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7B" w:rsidRDefault="0039207B" w:rsidP="0039207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44"/>
        <w:gridCol w:w="6274"/>
        <w:gridCol w:w="7636"/>
      </w:tblGrid>
      <w:tr w:rsidR="00F36802" w:rsidTr="00E57FCA">
        <w:tc>
          <w:tcPr>
            <w:tcW w:w="508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6291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>Pytanie</w:t>
            </w:r>
          </w:p>
        </w:tc>
        <w:tc>
          <w:tcPr>
            <w:tcW w:w="7655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 xml:space="preserve">Odpowiedź </w:t>
            </w:r>
          </w:p>
        </w:tc>
      </w:tr>
      <w:tr w:rsidR="00F36802" w:rsidTr="00E57FCA">
        <w:trPr>
          <w:trHeight w:val="1595"/>
        </w:trPr>
        <w:tc>
          <w:tcPr>
            <w:tcW w:w="508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6291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Partner w postaci NGO w ramach konkursu mógłby wspierać inne NGO? Identyfikujemy takie potrzeby i tereny (teren inny niż dolny śląsk), gdzie taka pomoc byłaby potrzebna (np. w Centrach Integracji dla osób z Ukrainy).</w:t>
            </w:r>
          </w:p>
        </w:tc>
        <w:tc>
          <w:tcPr>
            <w:tcW w:w="7655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Proszę o wyjaśnienie, co należy rozumieć poprzez</w:t>
            </w:r>
            <w:r w:rsidR="005D5581" w:rsidRPr="000B6327">
              <w:rPr>
                <w:rFonts w:ascii="Lato" w:hAnsi="Lato"/>
                <w:sz w:val="22"/>
                <w:szCs w:val="22"/>
              </w:rPr>
              <w:t xml:space="preserve"> określenie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„wsparcie” innych NGO’s. Bezpośrednie przekazywanie środków (regranting) innym organizacjom pozarządowym, w przypadku, gdy nie są one partnerami i nie odpowiadają za realizację działań w projekcie</w:t>
            </w:r>
            <w:r w:rsidR="00E1099B" w:rsidRPr="000B6327">
              <w:rPr>
                <w:rFonts w:ascii="Lato" w:hAnsi="Lato"/>
                <w:sz w:val="22"/>
                <w:szCs w:val="22"/>
              </w:rPr>
              <w:t>, nie jest możliwe w ramach naboru nr FBWP.03.01-IZ.00-002/26</w:t>
            </w:r>
            <w:r w:rsidRPr="000B6327">
              <w:rPr>
                <w:rFonts w:ascii="Lato" w:hAnsi="Lato"/>
                <w:sz w:val="22"/>
                <w:szCs w:val="22"/>
              </w:rPr>
              <w:t>. Ewentualne wsparcie może być traktowane jako kwalifikowane, jeśli odbywa się na zasadach podwykonawstwa lub partnerstwa. W innych przypadkach zostanie uznane za niekwalifikowane</w:t>
            </w:r>
          </w:p>
        </w:tc>
      </w:tr>
      <w:tr w:rsidR="00F36802" w:rsidTr="00E57FCA">
        <w:trPr>
          <w:trHeight w:val="1844"/>
        </w:trPr>
        <w:tc>
          <w:tcPr>
            <w:tcW w:w="508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2.</w:t>
            </w:r>
          </w:p>
        </w:tc>
        <w:tc>
          <w:tcPr>
            <w:tcW w:w="6291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Chcielibyśmy, aby udzielana pomoc w ramach projektu była również nakierowana na same ofiary handlu ludźmi i w związku z tym pojawia się pytanie, o możliwość pojawienia się wydatków dotyczących utrzymania mieszkania interwencyjnego dla ofiar w zakresie jego wyposażenia, tj. dostaw żywności, pościeli, ubrań dla potrzebujących, podstawowe środki medyczne w apteczce domowej. Moglibyśmy to zaprojektować np. w takich dedykowanych "paczkach/kompletach".</w:t>
            </w:r>
          </w:p>
        </w:tc>
        <w:tc>
          <w:tcPr>
            <w:tcW w:w="7655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Wskazane działania nakierowane na bezpośrednią pomoc ofiarom handlu ludźmi są kwalifikowaną formą wsparcia w ramach niniejszego naboru. Zaleca się, aby charakter takiej pomocy był incydentalny i doraźny. W przypadku przekazywania pomocy niematerialnej należy każdorazowo udokumentować otrzymanie wsparcia poprzez pisemne </w:t>
            </w:r>
            <w:r w:rsidR="005D5581" w:rsidRPr="000B6327">
              <w:rPr>
                <w:rFonts w:ascii="Lato" w:hAnsi="Lato"/>
                <w:sz w:val="22"/>
                <w:szCs w:val="22"/>
              </w:rPr>
              <w:t>potwierdzenie otrzymania pomocy przez beneficjenta ostatecznego wsparcia z zachowaniem prawidłowego stosowania przepisów dotyczących danych osobowych.</w:t>
            </w:r>
          </w:p>
        </w:tc>
      </w:tr>
      <w:tr w:rsidR="00F36802" w:rsidTr="00E57FCA">
        <w:trPr>
          <w:trHeight w:val="1240"/>
        </w:trPr>
        <w:tc>
          <w:tcPr>
            <w:tcW w:w="508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3.</w:t>
            </w:r>
          </w:p>
        </w:tc>
        <w:tc>
          <w:tcPr>
            <w:tcW w:w="6291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Pojawiło się nam też pytanie o pakiety pomocy zdrowotnej dla ofiar, a dokładniej chodzi nam o koszty obdukcji ofiar.</w:t>
            </w:r>
          </w:p>
        </w:tc>
        <w:tc>
          <w:tcPr>
            <w:tcW w:w="7655" w:type="dxa"/>
          </w:tcPr>
          <w:p w:rsidR="00F36802" w:rsidRPr="000B6327" w:rsidRDefault="00F36802" w:rsidP="006E021A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Koszty obdukcji ofiary będą </w:t>
            </w:r>
            <w:r w:rsidR="006E021A" w:rsidRPr="000B6327">
              <w:rPr>
                <w:rFonts w:ascii="Lato" w:hAnsi="Lato"/>
                <w:sz w:val="22"/>
                <w:szCs w:val="22"/>
              </w:rPr>
              <w:t>uznane za kwalifikowane w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projekcie. </w:t>
            </w:r>
            <w:r w:rsidR="000F61ED" w:rsidRPr="000B6327">
              <w:rPr>
                <w:rFonts w:ascii="Lato" w:hAnsi="Lato"/>
                <w:sz w:val="22"/>
                <w:szCs w:val="22"/>
              </w:rPr>
              <w:t xml:space="preserve">Jednocześnie należy podkreślić, że </w:t>
            </w:r>
            <w:r w:rsidRPr="000B6327">
              <w:rPr>
                <w:rFonts w:ascii="Lato" w:hAnsi="Lato"/>
                <w:sz w:val="22"/>
                <w:szCs w:val="22"/>
              </w:rPr>
              <w:t>komercyjne pakiety pomocy zdrowotnej</w:t>
            </w:r>
            <w:r w:rsidR="005D5581" w:rsidRPr="000B6327">
              <w:rPr>
                <w:rFonts w:ascii="Lato" w:hAnsi="Lato"/>
                <w:sz w:val="22"/>
                <w:szCs w:val="22"/>
              </w:rPr>
              <w:t xml:space="preserve"> nie są wydatkiem kwalifikowanym w ramach naboru. </w:t>
            </w:r>
          </w:p>
        </w:tc>
      </w:tr>
      <w:tr w:rsidR="00F36802" w:rsidTr="006802DB">
        <w:trPr>
          <w:trHeight w:val="3251"/>
        </w:trPr>
        <w:tc>
          <w:tcPr>
            <w:tcW w:w="508" w:type="dxa"/>
          </w:tcPr>
          <w:p w:rsidR="00F36802" w:rsidRDefault="00EC6046" w:rsidP="003920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6291" w:type="dxa"/>
          </w:tcPr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Regulamin naboru przewiduje, że "Co do zasady na zakup sprzętu, środków transportu lub budowę obiektów istotnych z punktu widzenia bezpieczeństwa może być przeznaczone maksymalnie 35% wartości projektu. Do powyższego progu procentowego na sprzęt nie wchodzą usługi takie jak: oprogramowanie, licencje, koszty konserwacji/utrzymania i gwarancje." </w:t>
            </w: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Natomiast, w przykładowych działaniach, tak wprost, jest mowa o tym, że można przeznaczyć część środków na "doposażenie istniejących struktur w wyposażenie służące ofiarom przestępstw takie jak urządzenia multimedialne, edukacyjne i sportowo-rekreacyjne" </w:t>
            </w:r>
          </w:p>
          <w:p w:rsidR="00F36802" w:rsidRPr="000B6327" w:rsidRDefault="00EC6046" w:rsidP="00B95350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oznacza to, że w ramach innych działań, przykładowo związanych z wczesną identyfikacją ofiar handlu ludźmi, nie możemy zakupić nowoczesnych laptopów lub innych urządzeń wspomagających dla policjantów (przykładowo translatorów)? Czy jest jaki</w:t>
            </w:r>
            <w:r w:rsidR="00B95350" w:rsidRPr="000B6327">
              <w:rPr>
                <w:rFonts w:ascii="Lato" w:hAnsi="Lato"/>
                <w:sz w:val="22"/>
                <w:szCs w:val="22"/>
              </w:rPr>
              <w:t>ś katalog sprzętów, które można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nabyć? </w:t>
            </w:r>
          </w:p>
        </w:tc>
        <w:tc>
          <w:tcPr>
            <w:tcW w:w="7655" w:type="dxa"/>
          </w:tcPr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Zapis zawarty w regulaminie na</w:t>
            </w:r>
            <w:r w:rsidR="00B95350" w:rsidRPr="000B6327">
              <w:rPr>
                <w:rFonts w:ascii="Lato" w:hAnsi="Lato"/>
                <w:sz w:val="22"/>
                <w:szCs w:val="22"/>
              </w:rPr>
              <w:t xml:space="preserve">boru nr FBWP.03.01-IZ.00-002/26: </w:t>
            </w:r>
            <w:r w:rsidRPr="000B6327">
              <w:rPr>
                <w:rFonts w:ascii="Lato" w:hAnsi="Lato"/>
                <w:i/>
                <w:sz w:val="22"/>
                <w:szCs w:val="22"/>
              </w:rPr>
              <w:t>Co do zasady na zakup sprzętu, środków transportu lub budowę obiektów istotnych z punktu widzenia bezpieczeństwa może być przeznaczone maksymalnie 35% wartości projektu. Do powyższego progu procentowego na sprzęt nie wchodzą usługi takie jak: oprogramowanie, licencje, koszty kons</w:t>
            </w:r>
            <w:r w:rsidR="00B95350" w:rsidRPr="000B6327">
              <w:rPr>
                <w:rFonts w:ascii="Lato" w:hAnsi="Lato"/>
                <w:i/>
                <w:sz w:val="22"/>
                <w:szCs w:val="22"/>
              </w:rPr>
              <w:t>erwacji/utrzymania i gwarancje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- oznacza, że w ramach projektu, beneficjent ma możliwość zaplanowania 35% wartości całkowitej projektu na zakupy w kategorii sprzęt, oprogramowanie i wyposażenie. W ramach Funduszu do tej kategorii zaliczamy taki sprzęt, który w jednostce beneficjenta podlega ewidencji księgowej. Sprzęt o małej wartości (&gt;10 tys netto), niespełniający tego warunku, należy przypisać do kategorii Inne koszty bezpośrednie. Do limitu 35% wydatków na sprzęt nie należy zaliczać takich pozycji w budżecie jak zakup licencji, oprogramowania, które nie są stale sprzężone z innym urządzeniem. Według KE samo oprogramowanie i licencje nie są sprzętem, zatem przy planowaniu budżetu nie wliczają się do limitu 35%, jeśli nie stanowią integralnej części środka trwałego. Na przykład licencja na system operacyjny, która jest przypisana do konkretnego urządzenia (np. komputera, systemu) i może być używana tylko na tym urządzeniu, nie jest ujmowana jako odrębny składnik aktywów, lecz wchodzi w skład obiektu środka trwałego, zwiększając jego wartość początkową – zatem również powinna być wliczana do limitu 35%. </w:t>
            </w: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Oznacza to, że zakup oprogramowanie/licencje/ pokrycie kosztów konserwacji/utrzymania/gwarancji, które nie stanowią części środka trwałego, można zakwalifikować w budżecie projektu do kategorii inne koszty bezpośrednie. Ich zakup jest kwalifikowany w kosztach bezpośrednich, a jednocześnie nie obciąża limitu 35% na zakup sprzętu w projekcie. </w:t>
            </w: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</w:p>
          <w:p w:rsidR="00F36802" w:rsidRPr="000B6327" w:rsidRDefault="00EC6046" w:rsidP="00B95350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Przykładowe działania wskazane w regulaminie naboru stanowią podpowiedź dla potencjalnych wnioskodawców oraz mają za zadanie wskazać kierunek działań możliwych do zrealizowania w ramach naboru. Wykaz przykładowych działań wymienionych w regulaminie nie stanowi zamkniętego spisu działań możliwych do dofinansowania i nie wyklucza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 xml:space="preserve">możliwości zgłoszenia innych propozycji. Niezmiennie jednak, wszystkie planowane działania oraz wydatki w budżecie muszą zostać odpowiednio uzasadnione oraz muszą przyczyniać się do realizacji Celu szczegółowego 3 – Zapobieganie i zwalczanie przestępczości. </w:t>
            </w:r>
          </w:p>
        </w:tc>
      </w:tr>
      <w:tr w:rsidR="006802DB" w:rsidTr="00E57FCA">
        <w:tc>
          <w:tcPr>
            <w:tcW w:w="508" w:type="dxa"/>
          </w:tcPr>
          <w:p w:rsidR="006802DB" w:rsidRDefault="006802DB" w:rsidP="003920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1" w:type="dxa"/>
          </w:tcPr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Analiza wykonalności projektu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- jakie informacje należy podać w przypadku, gdy projekt nie posiada komponentu technologicznego i opiera się na działaniach miękkich (działania szkoleniowe, wymiany eksperckie, kompleksowe wsparcie ofiar poprzez case management etc.)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Analiza rynku projektu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- j.w. informacje do zamieszczenia przy braku komponentu typu infrastruktura czy zakup sprzętu.</w:t>
            </w:r>
          </w:p>
        </w:tc>
        <w:tc>
          <w:tcPr>
            <w:tcW w:w="7655" w:type="dxa"/>
          </w:tcPr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Analiza wykonalności projektu</w:t>
            </w:r>
            <w:r w:rsidRPr="000B6327">
              <w:rPr>
                <w:rFonts w:ascii="Lato" w:hAnsi="Lato"/>
                <w:sz w:val="22"/>
                <w:szCs w:val="22"/>
              </w:rPr>
              <w:t>.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 treści Wniosku o Dofinansowanie, w części dotyczącej Analizy wykonalności projektu, zawarto adnotację: 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  <w:u w:val="single"/>
              </w:rPr>
              <w:t>Tam, gdzie to możliwe</w:t>
            </w:r>
            <w:r w:rsidRPr="000B6327">
              <w:rPr>
                <w:rFonts w:ascii="Lato" w:hAnsi="Lato"/>
                <w:sz w:val="22"/>
                <w:szCs w:val="22"/>
              </w:rPr>
              <w:t>, należy również opisać podstawowe komponenty oraz funkcje wybranej technologii, a także – w uzasadnionych przypadkach – wykazać zastosowanie „najlepszej dostępnej technologii”. Analiza techniczna może stanowić część studium wykonalności, jeśli zostało dołączone do Wniosku o dofinansowanie. 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 związku z powyższym, jeśli Państwa instytucja, ze względu na charakter planowanych działań nie przewiduje wprowadzenia innowacyjnych technologii w projekcie, wówczas </w:t>
            </w:r>
            <w:r w:rsidRPr="000B6327">
              <w:rPr>
                <w:rFonts w:ascii="Lato" w:hAnsi="Lato"/>
                <w:sz w:val="22"/>
                <w:szCs w:val="22"/>
                <w:u w:val="single"/>
              </w:rPr>
              <w:t>nie jest wymagane zamieszczanie rozbudowanego opisu w tym zakresie.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 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Analiza wykonalności w przypadku projektów miękkich może zostać przedstawiona poprzez wykazanie, że Beneficjent posiada zdolność organizacyjna, kadrową, finansową i merytoryczną do realizacji zaplanowanych działań. Analiza powinna potwierdzić, że zaplanowane działania odpowiadają na zidentyfikowane potrzeby i problemy (zapotrzebowanie jest realne) oraz projekt jest możliwy do realizacji w założonym czasie i budżecie. Wnioskodawca uzasadnia dobór metod i formy wsparcia względem zidentyfikowanego problemu, wykazuje, że zaplanowane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 xml:space="preserve">działania są potrzebne i mogą przynieść zakładane efekty. Można także przedstawić alternatywny scenariusz w przypadku braku podjęcia/zaniechania tego typu działań oraz wpływu na zidentyfikowany problem. . 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 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Analiza rynku projektu 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– zgodnie z Instrukcją wypełniania WoD - należy wskazać podstawę oszacowania kosztów ujętych w budżecie projektu, w tym opisać sposób rozeznania rynku oraz wskazać przykładowe oferty lub stawki wykorzystywane do kalkulacji wydatków (np. w zakresie usług szkoleniowych, eksperckich lub podwykonawstwa). </w:t>
            </w:r>
          </w:p>
          <w:p w:rsidR="006802DB" w:rsidRPr="000B6327" w:rsidRDefault="006802DB" w:rsidP="00EC604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E57FCA">
        <w:trPr>
          <w:trHeight w:val="378"/>
        </w:trPr>
        <w:tc>
          <w:tcPr>
            <w:tcW w:w="14454" w:type="dxa"/>
            <w:gridSpan w:val="3"/>
            <w:shd w:val="clear" w:color="auto" w:fill="DEEAF6" w:themeFill="accent1" w:themeFillTint="33"/>
            <w:vAlign w:val="center"/>
          </w:tcPr>
          <w:p w:rsidR="00AA71F7" w:rsidRPr="000B6327" w:rsidRDefault="00AA71F7" w:rsidP="00AA71F7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lastRenderedPageBreak/>
              <w:t>PYTANIA I ODPOWIEDZI PO SPOTKANIU INFORMACYJNYM W DN. 22.05.2026</w:t>
            </w:r>
          </w:p>
        </w:tc>
      </w:tr>
      <w:tr w:rsidR="00AA71F7" w:rsidTr="005A5EE5">
        <w:trPr>
          <w:trHeight w:val="3563"/>
        </w:trPr>
        <w:tc>
          <w:tcPr>
            <w:tcW w:w="508" w:type="dxa"/>
          </w:tcPr>
          <w:p w:rsidR="00AA71F7" w:rsidRDefault="00AA71F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91" w:type="dxa"/>
          </w:tcPr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wsparciem w ramach projektu mogą być objęte niżej wymienione kategorie osób: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osoby pokrzywdzone przestępstwem z art 189a § 1KK,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osoby uznane za domniemane ofiary handlu ludźmi, w tym obywatele UE którym wydano zaświadczenie z art 41a ustawy o wjeździe na terytorium Rzeczypospolitej Polskiej, pobycie oraz wyjeździe z tego terytorium obywateli państw członkowskich Unii Europejskiej i członków ich rodzin,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cudzoziemcy, którzy otrzymali zaświadczenie z art. 170 UoC,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cudzoziemcy, którzy wystąpili do wojewody z wnioskiem o udzielnie zgody na pobyt czasowy na podstawie art 176 UoC oraz cudzoziemcy, którzy otrzymali zgodę na pobyt czasowy na podstawie tegoż artykułu.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Dodatkowo proszę o informacje czy wsparciem będą mogli być objęci członkowie rodzin ofiar. Szczególnie zależy nam na możliwości udzielenia wsparcia mieszkaniowego/bytowego małoletniemu członkowi rodziny ofiary.</w:t>
            </w:r>
          </w:p>
        </w:tc>
        <w:tc>
          <w:tcPr>
            <w:tcW w:w="7655" w:type="dxa"/>
          </w:tcPr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W kontekście pierwszej części pytania wszystkie wymienione kategorie osób mogą być objęte wsparciem w ramach projektu.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Odpowiadając na drugą część pytania dot. członków rodzin ofiar, informuję że z uwagi na ograniczoną alokację środków z budżetu naboru i określony Regulamin, kwalifikowane w ramach naboru będą działania skoncentrowane wyłącznie na pomocy/wsparciu ofiar/domniemanych ofiar handlu ludźmi.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57FCA" w:rsidTr="000B6327">
        <w:trPr>
          <w:trHeight w:val="3118"/>
        </w:trPr>
        <w:tc>
          <w:tcPr>
            <w:tcW w:w="508" w:type="dxa"/>
          </w:tcPr>
          <w:p w:rsidR="00E57FCA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6.</w:t>
            </w:r>
          </w:p>
        </w:tc>
        <w:tc>
          <w:tcPr>
            <w:tcW w:w="6291" w:type="dxa"/>
          </w:tcPr>
          <w:p w:rsidR="00E57FCA" w:rsidRPr="000B6327" w:rsidRDefault="00E57FCA" w:rsidP="00E57FCA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Proszę o informacje czy obywatele RP kwalifikują się do projektu a jeśli tak, jakie dokumenty musieliby posiadać, aby potwierdzić swój status (domniemanej) ofiary handlu ludźmi. </w:t>
            </w:r>
          </w:p>
          <w:p w:rsidR="00E57FCA" w:rsidRPr="000B6327" w:rsidRDefault="00E57FCA" w:rsidP="00F9385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655" w:type="dxa"/>
          </w:tcPr>
          <w:p w:rsidR="00B85B07" w:rsidRPr="000B6327" w:rsidRDefault="006802DB" w:rsidP="000B632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Tak. Obywatele RP zidentyfikowani jako ofiary handlu ludźmi kwalifikują do udzielenia wsparcia objętego naborem. 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Regulamin </w:t>
            </w:r>
            <w:r w:rsidR="00353A91" w:rsidRPr="000B6327">
              <w:rPr>
                <w:rFonts w:ascii="Lato" w:hAnsi="Lato"/>
                <w:sz w:val="22"/>
                <w:szCs w:val="22"/>
              </w:rPr>
              <w:t xml:space="preserve">naboru 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nie </w:t>
            </w:r>
            <w:r w:rsidR="00B85B07" w:rsidRPr="000B6327">
              <w:rPr>
                <w:rFonts w:ascii="Lato" w:hAnsi="Lato"/>
                <w:sz w:val="22"/>
                <w:szCs w:val="22"/>
              </w:rPr>
              <w:t>określa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 sposobu identyfikacji </w:t>
            </w:r>
            <w:r w:rsidR="00B85B07" w:rsidRPr="000B6327">
              <w:rPr>
                <w:rFonts w:ascii="Lato" w:hAnsi="Lato"/>
                <w:sz w:val="22"/>
                <w:szCs w:val="22"/>
              </w:rPr>
              <w:t xml:space="preserve">(domniemanych) 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ofiar handlu ludźmi </w:t>
            </w:r>
            <w:r w:rsidR="00B85B07" w:rsidRPr="000B6327">
              <w:rPr>
                <w:rFonts w:ascii="Lato" w:hAnsi="Lato"/>
                <w:sz w:val="22"/>
                <w:szCs w:val="22"/>
              </w:rPr>
              <w:t>ani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r w:rsidR="00866AD5" w:rsidRPr="000B6327">
              <w:rPr>
                <w:rFonts w:ascii="Lato" w:hAnsi="Lato"/>
                <w:sz w:val="22"/>
                <w:szCs w:val="22"/>
              </w:rPr>
              <w:t>dokumentacji, która jest wymagana celem potwierdzenia statusu</w:t>
            </w:r>
            <w:r w:rsidR="00B85B07" w:rsidRPr="000B6327">
              <w:rPr>
                <w:rFonts w:ascii="Lato" w:hAnsi="Lato"/>
                <w:sz w:val="22"/>
                <w:szCs w:val="22"/>
              </w:rPr>
              <w:t>.</w:t>
            </w:r>
            <w:r w:rsidR="00866AD5"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r w:rsidR="00353A91" w:rsidRPr="000B6327">
              <w:rPr>
                <w:rFonts w:ascii="Lato" w:hAnsi="Lato"/>
                <w:sz w:val="22"/>
                <w:szCs w:val="22"/>
                <w:lang w:eastAsia="en-US"/>
              </w:rPr>
              <w:t>Od Beneficjentów realizujących zadania</w:t>
            </w:r>
            <w:r w:rsidR="00353A91" w:rsidRPr="000B6327">
              <w:rPr>
                <w:rFonts w:ascii="Lato" w:hAnsi="Lato"/>
                <w:sz w:val="22"/>
                <w:szCs w:val="22"/>
              </w:rPr>
              <w:t xml:space="preserve"> w obszarze naboru, w tym</w:t>
            </w:r>
            <w:r w:rsidR="00353A91" w:rsidRPr="000B6327">
              <w:rPr>
                <w:rFonts w:ascii="Lato" w:hAnsi="Lato"/>
                <w:sz w:val="22"/>
                <w:szCs w:val="22"/>
                <w:lang w:eastAsia="en-US"/>
              </w:rPr>
              <w:t xml:space="preserve"> w dziedzinie wsparcia i pomocy ofiarom handlu ludźmi</w:t>
            </w:r>
            <w:r w:rsidR="00B85B07" w:rsidRPr="000B6327">
              <w:rPr>
                <w:rFonts w:ascii="Lato" w:hAnsi="Lato"/>
                <w:sz w:val="22"/>
                <w:szCs w:val="22"/>
                <w:lang w:eastAsia="en-US"/>
              </w:rPr>
              <w:t>,</w:t>
            </w:r>
            <w:r w:rsidR="00353A91" w:rsidRPr="000B6327">
              <w:rPr>
                <w:rFonts w:ascii="Lato" w:hAnsi="Lato"/>
                <w:sz w:val="22"/>
                <w:szCs w:val="22"/>
                <w:lang w:eastAsia="en-US"/>
              </w:rPr>
              <w:t xml:space="preserve"> wymagamy przede wszystkim uzasadnienia konieczności planowanych działań, zgodności z Polskim Programem FBW</w:t>
            </w:r>
            <w:r w:rsidR="00B85B07" w:rsidRPr="000B6327">
              <w:rPr>
                <w:rFonts w:ascii="Lato" w:hAnsi="Lato"/>
                <w:sz w:val="22"/>
                <w:szCs w:val="22"/>
              </w:rPr>
              <w:t xml:space="preserve">, przejrzystej </w:t>
            </w:r>
            <w:r w:rsidR="00866AD5" w:rsidRPr="000B6327">
              <w:rPr>
                <w:rFonts w:ascii="Lato" w:hAnsi="Lato"/>
                <w:sz w:val="22"/>
                <w:szCs w:val="22"/>
              </w:rPr>
              <w:t>dokumentacji kosztów celem weryfikacji poprawności wydatkowania</w:t>
            </w:r>
            <w:r w:rsidR="00B85B07" w:rsidRPr="000B6327">
              <w:rPr>
                <w:rFonts w:ascii="Lato" w:hAnsi="Lato"/>
                <w:sz w:val="22"/>
                <w:szCs w:val="22"/>
              </w:rPr>
              <w:t xml:space="preserve">. Projekty powinny być realizowane zgodnie z obowiązującymi przepisami prawa krajowego oraz zasadami kwalifikowalności wydatków w ramach Funduszu Bezpieczeństwa Wewnętrznego. </w:t>
            </w:r>
          </w:p>
        </w:tc>
      </w:tr>
      <w:tr w:rsidR="00AA71F7" w:rsidTr="000B6327">
        <w:trPr>
          <w:trHeight w:val="979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6291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niefinansowy partner (fundacja) wnoszący do projektu zasoby ludzkie tzn. który będzie prowadził szkolenia może w ramach projektu otrzymać wynagrodzenie?</w:t>
            </w:r>
          </w:p>
        </w:tc>
        <w:tc>
          <w:tcPr>
            <w:tcW w:w="7655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</w:t>
            </w:r>
            <w:r w:rsidRPr="000B6327">
              <w:rPr>
                <w:rFonts w:ascii="Lato" w:hAnsi="Lato"/>
                <w:sz w:val="22"/>
                <w:szCs w:val="22"/>
              </w:rPr>
              <w:t>. Partner niefinansowy nie ma żadnego specjalnego statusu w zakresie finansowej realizacji projektu FBW. W tym zakresie jest traktowany tak jak podmiot zewnętrzny.</w:t>
            </w:r>
          </w:p>
        </w:tc>
      </w:tr>
      <w:tr w:rsidR="00AA71F7" w:rsidTr="000B6327">
        <w:trPr>
          <w:trHeight w:val="1276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6291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pomoc doraźna np. koszt zakupu leków, środków higieny osobistej i pierwszej potrzeby dla ofiar handlu ludźmi jest kwalifikowalny i na jakiej zasadzie należy rozliczyć taki wydatek np. czy przedłożenie paragonu wystarczy?</w:t>
            </w:r>
          </w:p>
        </w:tc>
        <w:tc>
          <w:tcPr>
            <w:tcW w:w="7655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Tak</w:t>
            </w:r>
            <w:r w:rsidRPr="000B6327">
              <w:rPr>
                <w:rFonts w:ascii="Lato" w:hAnsi="Lato"/>
                <w:sz w:val="22"/>
                <w:szCs w:val="22"/>
              </w:rPr>
              <w:t>. Koszty zakupu leków, środków higieny osobistej i pierwszej potrzeby dla ofiar handlu ludźmi są kwalifikowalne. Stanowią one element wsparcia socjalnego i ochrony ofiar. Musi to być odpowiednio udokumentowane np. fakturą, rachunkiem czy innym dowodem zakupu.</w:t>
            </w:r>
          </w:p>
        </w:tc>
      </w:tr>
      <w:tr w:rsidR="00AA71F7" w:rsidTr="000B6327">
        <w:trPr>
          <w:trHeight w:val="1253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6291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zatrudnienie osób na umowę o pracę np. pól etatu - świadczenie doradztwa prawnego dla ofiar handlu ludźmi lub osób z grup ryzyka - czy takie koszty są kwalifikowalne?</w:t>
            </w:r>
          </w:p>
        </w:tc>
        <w:tc>
          <w:tcPr>
            <w:tcW w:w="7655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Tak,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koszty zatrudnienia doradcy prawnego na pół etatu w ramach umowy o pracę są kwalifikowalne w Funduszu Bezpieczeństwa Wewnętrznego (FBW), pod warunkiem bezpośredniego związku z celami projektu, takimi jak ochrona i wsparcie ofiar przestępstw, w tym ofiar handlu ludźmi.</w:t>
            </w:r>
          </w:p>
        </w:tc>
      </w:tr>
      <w:tr w:rsidR="00AA71F7" w:rsidTr="00E57FCA"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6291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Jeśli lider projektu będzie miał w projekcie partnera społecznego, to czy partner społeczny może w ramach wzmacniania swojego potencjału organizacyjnego sfinansować szkolenia mające na celu podniesienie wiedzy personelu nt. handlu ludźmi?</w:t>
            </w:r>
          </w:p>
        </w:tc>
        <w:tc>
          <w:tcPr>
            <w:tcW w:w="7655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Partner społeczny nie ma żadnego specjalnego statusu w FBW. Jeżeli jest partnerem finansowym w projekcie, to otrzyma środki na działania zatwierdzone do wykonania przez niego w projekcie.</w:t>
            </w:r>
          </w:p>
        </w:tc>
      </w:tr>
      <w:tr w:rsidR="00AA71F7" w:rsidTr="00E57FCA">
        <w:trPr>
          <w:trHeight w:val="1923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291" w:type="dxa"/>
          </w:tcPr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Data zakończenia projektu znana. </w:t>
            </w:r>
            <w:r w:rsidR="00F9385F" w:rsidRPr="000B6327">
              <w:rPr>
                <w:rFonts w:ascii="Lato" w:hAnsi="Lato"/>
                <w:sz w:val="22"/>
                <w:szCs w:val="22"/>
              </w:rPr>
              <w:t>J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aki jest preferowany okres rozpoczęcia projektu?  </w:t>
            </w:r>
          </w:p>
        </w:tc>
        <w:tc>
          <w:tcPr>
            <w:tcW w:w="7655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Bezpieczny i preferowany okres rozpoczęcia realizacji projektu to od 01.01.2027 r. – jest to szacowany termin podpisania Porozumień Finansowych. Planowanie realizacji zadań związanych z ponoszeniem wydatków w ramach projektu, przed ogłoszeniem wyników naboru (~wrzesień 2026) obarczone jest ryzykiem, które ponosi Beneficjent w przypadku niewybrania projektu do dofinansowania. </w:t>
            </w:r>
          </w:p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Realizacja zadań w projekcie może zostać zaplanowana od października 2026, rekomendowane jest w tym przypadku, aby realizacja obejmowała działania niewymagające ponoszenia wydatków, np. o charakterze organizacyjno-planistycznym.</w:t>
            </w:r>
          </w:p>
        </w:tc>
      </w:tr>
      <w:tr w:rsidR="00AA71F7" w:rsidTr="00E57FCA"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6291" w:type="dxa"/>
          </w:tcPr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organizowane konferencje dla prelegentów, uczestników i partnerów projektu możemy ująć we wskaźnikach realizacji projektu? (np. liczba spotkań ekspertów/warsztatów/wizyt studyjnych/wspólnych ćwiczeń)</w:t>
            </w:r>
          </w:p>
        </w:tc>
        <w:tc>
          <w:tcPr>
            <w:tcW w:w="7655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Konferencje otwierające i podsumowujące nie można ująć we wskaźniku liczba spotkań ekspertów/warsztatów/wizyt studyjnych/wspólnych ćwiczeń</w:t>
            </w:r>
            <w:r w:rsidR="003F0E0D">
              <w:rPr>
                <w:rFonts w:ascii="Lato" w:hAnsi="Lato"/>
                <w:sz w:val="22"/>
                <w:szCs w:val="22"/>
              </w:rPr>
              <w:t xml:space="preserve">. </w:t>
            </w:r>
          </w:p>
        </w:tc>
      </w:tr>
      <w:tr w:rsidR="00AA71F7" w:rsidTr="00E57FCA"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6291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partner "niefinansowy" - bez przydzielonego budżetu, może brać udział w więcej niż dwóch projektach?</w:t>
            </w:r>
          </w:p>
        </w:tc>
        <w:tc>
          <w:tcPr>
            <w:tcW w:w="7655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Określa to regulamin przedmiotowego naboru: 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„W ramach naboru nr FBWP.03.01-IZ.00-002/26 wnioskodawca może złożyć maksymalnie jeden wniosek o dofinansowanie w naborze. Jednocześnie beneficjent może figurować jako partner tylko w 2 projektac</w:t>
            </w:r>
            <w:r w:rsidR="003F0E0D">
              <w:rPr>
                <w:rFonts w:ascii="Lato" w:hAnsi="Lato"/>
                <w:sz w:val="22"/>
                <w:szCs w:val="22"/>
              </w:rPr>
              <w:t>h innych organizacji/instytucji</w:t>
            </w:r>
            <w:r w:rsidRPr="000B6327">
              <w:rPr>
                <w:rFonts w:ascii="Lato" w:hAnsi="Lato"/>
                <w:sz w:val="22"/>
                <w:szCs w:val="22"/>
              </w:rPr>
              <w:t>”</w:t>
            </w:r>
            <w:r w:rsidR="003F0E0D">
              <w:rPr>
                <w:rFonts w:ascii="Lato" w:hAnsi="Lato"/>
                <w:sz w:val="22"/>
                <w:szCs w:val="22"/>
              </w:rPr>
              <w:t>.</w:t>
            </w:r>
          </w:p>
          <w:p w:rsidR="00AA71F7" w:rsidRPr="000B6327" w:rsidRDefault="00F9385F" w:rsidP="00F9385F">
            <w:pPr>
              <w:tabs>
                <w:tab w:val="left" w:pos="1198"/>
              </w:tabs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ab/>
            </w:r>
          </w:p>
        </w:tc>
      </w:tr>
      <w:tr w:rsidR="00AA71F7" w:rsidTr="00337AF0">
        <w:trPr>
          <w:trHeight w:val="1066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6291" w:type="dxa"/>
          </w:tcPr>
          <w:p w:rsidR="00AA71F7" w:rsidRPr="000B6327" w:rsidRDefault="00F9385F" w:rsidP="00F9385F">
            <w:pPr>
              <w:tabs>
                <w:tab w:val="left" w:pos="1117"/>
              </w:tabs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zakupiony sprzęt poniżej wartości 10 000 zł/szt. można ująć we wskaźnikach realizacji projektu?</w:t>
            </w:r>
          </w:p>
        </w:tc>
        <w:tc>
          <w:tcPr>
            <w:tcW w:w="7655" w:type="dxa"/>
          </w:tcPr>
          <w:p w:rsidR="00AA71F7" w:rsidRPr="000B6327" w:rsidRDefault="00E3591C" w:rsidP="00337AF0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Tak, </w:t>
            </w:r>
            <w:r w:rsidRPr="00E3591C">
              <w:rPr>
                <w:rFonts w:ascii="Lato" w:hAnsi="Lato"/>
                <w:sz w:val="22"/>
                <w:szCs w:val="22"/>
              </w:rPr>
              <w:t>jeśli sprzęt ten podlega ewidencji w jednostce/instytucji - zgodnie z treścią Podręcznika dla Beneficjenta</w:t>
            </w:r>
            <w:r w:rsidR="00337AF0">
              <w:rPr>
                <w:rFonts w:ascii="Lato" w:hAnsi="Lato"/>
                <w:sz w:val="22"/>
                <w:szCs w:val="22"/>
              </w:rPr>
              <w:t xml:space="preserve"> oraz jest zakupiony w celu realizacji działań w projekcie w ramach kosztów bezpośrednich</w:t>
            </w:r>
            <w:r w:rsidRPr="00E3591C">
              <w:rPr>
                <w:rFonts w:ascii="Lato" w:hAnsi="Lato"/>
                <w:sz w:val="22"/>
                <w:szCs w:val="22"/>
              </w:rPr>
              <w:t>.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</w:tc>
      </w:tr>
      <w:tr w:rsidR="00AA71F7" w:rsidTr="00E57FCA">
        <w:trPr>
          <w:trHeight w:val="1116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6291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wskaźnik "Liczba projektów mających na celu udzielanie pomocy ofiarom przestępstw" odnosi się do ewentualnych grantów w ramach projektu czy do projektu beneficjenta składanego w ramach naboru- stad zawsze będzie wynosić "1"?</w:t>
            </w:r>
          </w:p>
        </w:tc>
        <w:tc>
          <w:tcPr>
            <w:tcW w:w="7655" w:type="dxa"/>
          </w:tcPr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  <w:u w:val="single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Tak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. Wskaźnik: „Liczba projektów mających na celu udzielanie pomocy ofiarom przestępstw" odnosi się do ewentualnych grantów w ramach projektu czy do projektu beneficjenta składanego w ramach naboru: </w:t>
            </w:r>
            <w:r w:rsidRPr="000B6327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Zawsze „1”.</w:t>
            </w:r>
          </w:p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E57FCA">
        <w:trPr>
          <w:trHeight w:val="1120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6291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Czy to znaczy ze w sekcji zadania powinno być tyle zadań, ile partnerów w projekcie + koszty pośrednie? Zadania nie powinny być podzielone w takiej sytuacji na działania merytoryczne (np. zadanie 1. wsparcie bezpośrednie; 2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>zadanie: zwiększanie wiedzy itd. tylko zadanie 1. lider; zadanie 2. partner)?</w:t>
            </w:r>
          </w:p>
        </w:tc>
        <w:tc>
          <w:tcPr>
            <w:tcW w:w="7655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lastRenderedPageBreak/>
              <w:t>Tak.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Wg nomenklatury CST2021 Realizator to Beneficjent, ale również Partner.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Jeśli projekt realizowany jest tylko przez Wnioskodawcę, tzn. nie zakłada udziału Partnerów, wówczas w WOD uwzględnione są dwa zadania: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lastRenderedPageBreak/>
              <w:t>Zadanie 1 – działania merytoryczne realizowane w ramach kosztów bezpośrednich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2 – koszty pośrednie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Jeśli projekt realizowany będzie w Partnerstwie z jednym Partnerem, wówczas w WoD uwzględnione będą 3 zadania np.: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1 – działania merytoryczne realizowane przez Partnera 1 (Lider)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2 – działania merytoryczne realizowane przez Partnera 2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3 – koszty pośrednie (bez podziału na Partnerów)</w:t>
            </w:r>
          </w:p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Uwaga – Lider (Wnioskodawca) jest również Partnerem/Realizatorem.</w:t>
            </w:r>
          </w:p>
        </w:tc>
      </w:tr>
      <w:tr w:rsidR="00AA71F7" w:rsidTr="00E57FCA"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17.</w:t>
            </w:r>
          </w:p>
        </w:tc>
        <w:tc>
          <w:tcPr>
            <w:tcW w:w="6291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to oznacza, że w ramach projektu powinny być tylko dwa zadania (zadanie 1 obejmujące wszystkie działania merytoryczne w ramach kosztów bezpośrednich i zadanie 2 obejmujące koszty pośrednie)? w instrukcji jest zapis, że można podzielić budżet na kilka zadań, ale nie więcej niż 10. Która wersja jest właściwa?</w:t>
            </w:r>
          </w:p>
        </w:tc>
        <w:tc>
          <w:tcPr>
            <w:tcW w:w="7655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Tak. Przykład wyżej – dwa zadania w przypadku braku Partnerów.</w:t>
            </w:r>
          </w:p>
          <w:p w:rsidR="00F9385F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Jeśli projekt realizowany jest tylko przez Wnioskodawcę, tzn. nie zakłada udziału Partnerów, wówczas w WOD uwzględnione są dwa zadania: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1 – działania merytoryczne realizowane w ramach kosztów bezpośrednich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2 – koszty pośrednie</w:t>
            </w: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i/>
                <w:iCs/>
                <w:sz w:val="22"/>
                <w:szCs w:val="22"/>
              </w:rPr>
            </w:pPr>
            <w:r w:rsidRPr="000B6327">
              <w:rPr>
                <w:rFonts w:ascii="Lato" w:hAnsi="Lato"/>
                <w:i/>
                <w:iCs/>
                <w:sz w:val="22"/>
                <w:szCs w:val="22"/>
              </w:rPr>
              <w:t>Wyjątek – jeśli partnerstwo nie ma charakteru finansowego oraz jeśli partner/</w:t>
            </w:r>
            <w:r w:rsidR="001E1731" w:rsidRPr="000B6327">
              <w:rPr>
                <w:rFonts w:ascii="Lato" w:hAnsi="Lato"/>
                <w:i/>
                <w:iCs/>
                <w:sz w:val="22"/>
                <w:szCs w:val="22"/>
              </w:rPr>
              <w:t>instytucja</w:t>
            </w:r>
            <w:r w:rsidRPr="000B6327">
              <w:rPr>
                <w:rFonts w:ascii="Lato" w:hAnsi="Lato"/>
                <w:i/>
                <w:iCs/>
                <w:sz w:val="22"/>
                <w:szCs w:val="22"/>
              </w:rPr>
              <w:t xml:space="preserve"> współpracująca nie mają przewidzianych w budżecie projektu zadań do realizacji, wówczas nie ma konieczności wpisywania go jako oficjalnego Realizatora i nadal pozostają wyłącznie dwa Zadania: działania merytoryczne w ramach KB oraz koszty pośrednie.</w:t>
            </w:r>
          </w:p>
          <w:p w:rsidR="00F9385F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E57FCA"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6291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W której kategorii kosztów powinien być ujęty wynajem sali z systemem multimedialnym na konferencję/warsztaty?</w:t>
            </w:r>
          </w:p>
        </w:tc>
        <w:tc>
          <w:tcPr>
            <w:tcW w:w="7655" w:type="dxa"/>
          </w:tcPr>
          <w:p w:rsidR="00F9385F" w:rsidRPr="000B6327" w:rsidRDefault="00F9385F" w:rsidP="00AA71F7">
            <w:pPr>
              <w:rPr>
                <w:rFonts w:ascii="Lato" w:hAnsi="Lato"/>
                <w:b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Wynajem sali z systemem multimedialnym na konferencję/warsztaty, powinien się znaleźć w kategorii wydatków </w:t>
            </w:r>
            <w:r w:rsidRPr="000B6327">
              <w:rPr>
                <w:rFonts w:ascii="Lato" w:hAnsi="Lato"/>
                <w:b/>
                <w:sz w:val="22"/>
                <w:szCs w:val="22"/>
              </w:rPr>
              <w:t>„Usługi zewnętrzne” lub „Inne koszty bezpośrednie.</w:t>
            </w:r>
          </w:p>
          <w:p w:rsidR="00AA71F7" w:rsidRPr="000B6327" w:rsidRDefault="00AA71F7" w:rsidP="00F9385F">
            <w:pPr>
              <w:ind w:firstLine="708"/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E57FCA">
        <w:trPr>
          <w:trHeight w:val="1115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6291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wkład własny do projektu może być wniesiony w ramach kosztów osobowych personelu projektu? tj. osoba pracująca na rzecz projektu (np. prowadząca szkolenie), otrzyma wynagrodzenie za swoją prace (czyli mamy rozchód) jednak w ramach innych środków (nie z funduszy UE.)</w:t>
            </w:r>
          </w:p>
        </w:tc>
        <w:tc>
          <w:tcPr>
            <w:tcW w:w="7655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Tak.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Wynagrodzenie może być wkładem własnym do projektu, czyli może być zapłacone z innych środków (nie z funduszy UE). Beneficjent jest jednak zobowiązany do tego, aby w systemie CST w budżecie projektu wykazywać wydatki zawsze w podziale na 75%/25%.</w:t>
            </w:r>
          </w:p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2A28E6">
        <w:trPr>
          <w:trHeight w:val="552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20.</w:t>
            </w:r>
          </w:p>
        </w:tc>
        <w:tc>
          <w:tcPr>
            <w:tcW w:w="6291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Jakie są wymagania dotyczące raportowania oraz księgowania w sytuacji, gdy partner finansowy projektu posiada jedną linię budżetową przeznaczoną na koszty personelu, która w całości stanowi wkład własny do projektu.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 takim przypadku partner ten będzie zobowiązany do składania raportów (finansowych i/lub merytorycznych)? Jeśli tak, proszę o doprecyzowanie zakresu oraz formy wymaganych raportów.</w:t>
            </w:r>
          </w:p>
        </w:tc>
        <w:tc>
          <w:tcPr>
            <w:tcW w:w="7655" w:type="dxa"/>
          </w:tcPr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Nie dopuszczamy jednej zbiorczej pozycji budżetowej na koszty personelu. Pozycje budżetowe w ramach Kategorii „Koszty personelu” należy podzielić pod względem stanowisk osób zatrudnianych w projekcie. Nawet, jeżeli wynagrodzenie tych osób stanowić będzie wkład własny, sposób rozliczenia tych wynagrodzeń w projekcie nie różni się od wydatków finansowanych z FBW. Różnicę stanowi jedynie wskazanie źródła finansowania wydatku w opisu dokumentu księgowego (listy płac lub rachunku do umowy cywilnoprawnej). Treść umowy podpisanej z pracownikiem lub zakres obowiązków powinien nadal wskazywać numer projektu współfinansowanego z Funduszu.</w:t>
            </w: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Podczas kontroli w ramach projektu możemy prosić o następujące dokumenty: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umowy o pracę z pracownikami zatrudnionymi przy realizacji projektu (było to tzw. One year fixed term contract)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dokumenty przedstawiające zakres obowiązków pracowników zatrudnionych przy realizacji projektu (Terms of Reference),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listy płac (Payroll Calculation),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tabele ze stawkami zaszeregowań pracowników IOM na poszczególnych stopniach i poziomach wynagrodzeń (salary scale for the IOM),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wyciągi bankowe potwierdzające realizację płatności na rzecz pracowników z tytułu wynagrodzeń,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potwierdzenia realizacji płatności z tytułu składek na obowiązkowe ubezpieczenie zdrowotne (Medical Service Plan – MSP),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ubezpieczeń od następstw wypadków przy pracy (Compensation Plan).</w:t>
            </w:r>
          </w:p>
          <w:p w:rsidR="00AA71F7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Nie ma tu żadnych odrębnych zasad.</w:t>
            </w: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0B6327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W odpowiedzi na drugie pytanie: zasady partnerstwa są określone w umowie partnerskiej, ale partner musi stosować się do zasad sprawozdawczości określonych w umowie finansowej. Standardowe zasady sprawozdawczości opisano w Podręczniku dla Beneficjenta:</w:t>
            </w:r>
          </w:p>
          <w:p w:rsidR="002A28E6" w:rsidRPr="000B6327" w:rsidRDefault="00FF6B63" w:rsidP="002A28E6">
            <w:pPr>
              <w:rPr>
                <w:rFonts w:ascii="Lato" w:hAnsi="Lato"/>
                <w:color w:val="1F4E79"/>
                <w:sz w:val="22"/>
                <w:szCs w:val="22"/>
                <w:lang w:eastAsia="en-US"/>
              </w:rPr>
            </w:pPr>
            <w:hyperlink r:id="rId7" w:history="1">
              <w:r w:rsidR="002A28E6" w:rsidRPr="000B6327">
                <w:rPr>
                  <w:rStyle w:val="Hipercze"/>
                  <w:rFonts w:ascii="Lato" w:hAnsi="Lato"/>
                  <w:color w:val="1F4E79"/>
                  <w:sz w:val="22"/>
                  <w:szCs w:val="22"/>
                </w:rPr>
                <w:t>https://copemswia.gov.pl/fundusze/fbw-2/fbw-2021-2027/podrecznik-dla-beneficjenta/</w:t>
              </w:r>
            </w:hyperlink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0B6327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Jest to dokładnie opisane w instrukcji do WOD. Jeżeli Beneficjent zamierza realizować projekt w partnerstwie, w WOD powinien wskazać Realizatorów projektu (w tym siebie). Działania projektowe (w ramach kosztów bezpośrednich) są wtedy podzielone na realizatorów. Przykład: Realizator 1 –Lider projektu, Realizator 2 – Partner finansowy itp. W ramach FBW mamy dwa zadania: KOSZTY BEZPOŚREDNIE (tu wpisuje się poszczególne działania projektowe i każde działanie ma własnego realizatora/jeśli jest podział) i KOSZTY POŚREDNIE - jeśli mamy opcję bez wniosków częściowych, koszty pośrednie nie muszą być dzielone na Realizatorów. Może być to jedna pozycja przypisana do Lidera. I tak jest to ryczałt (max 7% KB). Natomiast jeśli mamy wnioski częściowe, to wtedy rzeczywiście należy w Zadaniu „Koszty pośrednie” dodać pozycje dotyczące każdego z Partnerów. Interesuje nas następnie całość tego Zadania na poziomie właściwego ryczałtu oraz każdy Partner powinien naliczyć sobie 7%. </w:t>
            </w: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W budżecie projektu do poszczególnych pozycji przypisuje się Realizatora, który ponosi wydatki. Przed podpisaniem umowy pozwalamy beneficjentowi wybrać, czy chce rozliczać się wnioskami częściowymi, czy też nie (jest to następnie zaznaczane w CST2021 i CST wie, że Realizatorzy w projekcie rozliczani samodzielnie. Rozliczanie wnioskami częściowymi oznacza, że Partner projektu sam ma dostęp do CST i uzupełnia wniosek częściowy, który następnie jest przekazywany do Lidera do zatwierdzenia oraz do utworzenia wniosku zbiorczego. Rozliczanie bez wniosków częściowych oznacza, że to IOM sporządza całość WOP bez angażowania Partnera.</w:t>
            </w:r>
          </w:p>
        </w:tc>
      </w:tr>
      <w:tr w:rsidR="00AA71F7" w:rsidTr="00E57FCA">
        <w:trPr>
          <w:trHeight w:val="873"/>
        </w:trPr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21.</w:t>
            </w:r>
          </w:p>
        </w:tc>
        <w:tc>
          <w:tcPr>
            <w:tcW w:w="6291" w:type="dxa"/>
          </w:tcPr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fundacja, która będzie odpłatnie prowadziła szkolenia w ramach projektu może być partnerem przedsięwzięcia?</w:t>
            </w:r>
          </w:p>
        </w:tc>
        <w:tc>
          <w:tcPr>
            <w:tcW w:w="7655" w:type="dxa"/>
          </w:tcPr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Nie: </w:t>
            </w:r>
            <w:r w:rsidRPr="000B6327">
              <w:rPr>
                <w:rFonts w:ascii="Lato" w:hAnsi="Lato"/>
                <w:sz w:val="22"/>
                <w:szCs w:val="22"/>
              </w:rPr>
              <w:t>Zapisy w Podręczniku dla Beneficjenta projektów FBW: Kategoria wydatków F: Usługi zewnętrzne/podwykonawstwo</w:t>
            </w: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. Wydatki niekwalifikowalne: usługi zlecane przez Partnera projektu beneficjentowi i odwrotnie</w:t>
            </w:r>
          </w:p>
        </w:tc>
      </w:tr>
      <w:tr w:rsidR="00AA71F7" w:rsidTr="00E57FCA">
        <w:tc>
          <w:tcPr>
            <w:tcW w:w="508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6291" w:type="dxa"/>
          </w:tcPr>
          <w:p w:rsidR="00AA71F7" w:rsidRPr="000B6327" w:rsidRDefault="00E57FCA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Dostosowanie sali dydaktyczno-szkoleniowej (remont) powyżej 60 tys. zł nie będzie kwalifikowany?</w:t>
            </w:r>
          </w:p>
        </w:tc>
        <w:tc>
          <w:tcPr>
            <w:tcW w:w="7655" w:type="dxa"/>
          </w:tcPr>
          <w:p w:rsidR="00E57FCA" w:rsidRPr="000B6327" w:rsidRDefault="00E57FCA" w:rsidP="00E57FCA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Nie. 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Zgodnie z zapisami Podręcznika dla Beneficjenta projektów FBW, w ramach kategorii budżetowej D. Nieruchomości, kwalifikowalne są drobne prace modernizacyjne lub remontowe o wartości do 60 000 PLN netto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>nieruchomości, którą dysponuje Wnioskodawca i która jest konieczna do realizacji projektu oraz w sposób oczywisty prace te są związane z celami projektu (nie obowiązuje trwałość).</w:t>
            </w:r>
          </w:p>
          <w:p w:rsidR="00AA71F7" w:rsidRPr="000B6327" w:rsidRDefault="00E57FCA" w:rsidP="00E57FCA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Ponadto, nie są kwalifikowalne koszty takich prac w nieruchomościach, które zostały wynajęte wyłącznie dla celów realizacji projektu.</w:t>
            </w:r>
          </w:p>
        </w:tc>
      </w:tr>
    </w:tbl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9A2089" w:rsidRDefault="009A2089"/>
    <w:sectPr w:rsidR="009A2089" w:rsidSect="00E57FC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63" w:rsidRDefault="00FF6B63" w:rsidP="0039207B">
      <w:r>
        <w:separator/>
      </w:r>
    </w:p>
  </w:endnote>
  <w:endnote w:type="continuationSeparator" w:id="0">
    <w:p w:rsidR="00FF6B63" w:rsidRDefault="00FF6B63" w:rsidP="0039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63" w:rsidRDefault="00FF6B63" w:rsidP="0039207B">
      <w:r>
        <w:separator/>
      </w:r>
    </w:p>
  </w:footnote>
  <w:footnote w:type="continuationSeparator" w:id="0">
    <w:p w:rsidR="00FF6B63" w:rsidRDefault="00FF6B63" w:rsidP="0039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7B" w:rsidRPr="0039207B" w:rsidRDefault="0039207B" w:rsidP="0039207B">
    <w:pPr>
      <w:pStyle w:val="Nagwek"/>
      <w:jc w:val="center"/>
      <w:rPr>
        <w:rFonts w:ascii="Lato" w:hAnsi="Lato"/>
        <w:sz w:val="28"/>
        <w:szCs w:val="28"/>
      </w:rPr>
    </w:pPr>
    <w:r w:rsidRPr="0039207B">
      <w:rPr>
        <w:rFonts w:ascii="Lato" w:hAnsi="Lato"/>
        <w:sz w:val="28"/>
        <w:szCs w:val="28"/>
      </w:rPr>
      <w:t xml:space="preserve">Nabór otwarty nr </w:t>
    </w:r>
    <w:r w:rsidRPr="0039207B">
      <w:rPr>
        <w:rFonts w:ascii="Lato" w:hAnsi="Lato" w:cs="Calibri"/>
        <w:sz w:val="28"/>
        <w:szCs w:val="28"/>
        <w:u w:val="single"/>
      </w:rPr>
      <w:t>FBWP.03.01-IZ.00-00</w:t>
    </w:r>
    <w:r w:rsidRPr="0039207B">
      <w:rPr>
        <w:rFonts w:ascii="Lato" w:hAnsi="Lato" w:cs="Calibri"/>
        <w:color w:val="000000" w:themeColor="text1"/>
        <w:sz w:val="28"/>
        <w:szCs w:val="28"/>
        <w:u w:val="single"/>
      </w:rPr>
      <w:t>2</w:t>
    </w:r>
    <w:r w:rsidRPr="0039207B">
      <w:rPr>
        <w:rFonts w:ascii="Lato" w:hAnsi="Lato" w:cs="Calibri"/>
        <w:sz w:val="28"/>
        <w:szCs w:val="28"/>
        <w:u w:val="single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37A0"/>
    <w:multiLevelType w:val="hybridMultilevel"/>
    <w:tmpl w:val="85105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797D"/>
    <w:multiLevelType w:val="multilevel"/>
    <w:tmpl w:val="E3A4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84272B"/>
    <w:multiLevelType w:val="hybridMultilevel"/>
    <w:tmpl w:val="D24C5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1B"/>
    <w:rsid w:val="0007421B"/>
    <w:rsid w:val="000A5274"/>
    <w:rsid w:val="000B6327"/>
    <w:rsid w:val="000F61ED"/>
    <w:rsid w:val="00120554"/>
    <w:rsid w:val="001E1731"/>
    <w:rsid w:val="002A28E6"/>
    <w:rsid w:val="00314517"/>
    <w:rsid w:val="00337AF0"/>
    <w:rsid w:val="00353A91"/>
    <w:rsid w:val="0039207B"/>
    <w:rsid w:val="003F0E0D"/>
    <w:rsid w:val="005A5EE5"/>
    <w:rsid w:val="005D5581"/>
    <w:rsid w:val="006802DB"/>
    <w:rsid w:val="006D6881"/>
    <w:rsid w:val="006E021A"/>
    <w:rsid w:val="00767A34"/>
    <w:rsid w:val="00866AD5"/>
    <w:rsid w:val="009A2089"/>
    <w:rsid w:val="00A509D4"/>
    <w:rsid w:val="00AA71F7"/>
    <w:rsid w:val="00B85B07"/>
    <w:rsid w:val="00B95350"/>
    <w:rsid w:val="00BE0D19"/>
    <w:rsid w:val="00BF00EE"/>
    <w:rsid w:val="00C24FEC"/>
    <w:rsid w:val="00E1099B"/>
    <w:rsid w:val="00E3591C"/>
    <w:rsid w:val="00E3680A"/>
    <w:rsid w:val="00E57FCA"/>
    <w:rsid w:val="00EC6046"/>
    <w:rsid w:val="00F20D45"/>
    <w:rsid w:val="00F36802"/>
    <w:rsid w:val="00F64EDD"/>
    <w:rsid w:val="00F9385F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55C7C-E1B5-46B3-92B3-9F4C9AB4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07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7B"/>
  </w:style>
  <w:style w:type="paragraph" w:styleId="Stopka">
    <w:name w:val="footer"/>
    <w:basedOn w:val="Normalny"/>
    <w:link w:val="StopkaZnak"/>
    <w:uiPriority w:val="99"/>
    <w:unhideWhenUsed/>
    <w:rsid w:val="003920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7B"/>
  </w:style>
  <w:style w:type="table" w:styleId="Tabela-Siatka">
    <w:name w:val="Table Grid"/>
    <w:basedOn w:val="Standardowy"/>
    <w:uiPriority w:val="39"/>
    <w:rsid w:val="00F3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8E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A2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emswia.gov.pl/fundusze/fbw-2/fbw-2021-2027/podrecznik-dla-beneficjen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3031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Heleniak Julia</dc:creator>
  <cp:keywords/>
  <dc:description/>
  <cp:lastModifiedBy>Pawłowska Karolina</cp:lastModifiedBy>
  <cp:revision>2</cp:revision>
  <dcterms:created xsi:type="dcterms:W3CDTF">2026-05-29T13:37:00Z</dcterms:created>
  <dcterms:modified xsi:type="dcterms:W3CDTF">2026-05-29T13:37:00Z</dcterms:modified>
</cp:coreProperties>
</file>