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E17" w:rsidRDefault="00EA5E17" w:rsidP="00EA5E17">
      <w:pPr>
        <w:pStyle w:val="Default"/>
        <w:spacing w:line="288" w:lineRule="auto"/>
        <w:ind w:left="7090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Załącznik nr 2</w:t>
      </w:r>
      <w:r w:rsidR="00153B9B">
        <w:rPr>
          <w:rFonts w:ascii="Calibri" w:hAnsi="Calibri" w:cs="Calibri"/>
          <w:sz w:val="16"/>
          <w:szCs w:val="16"/>
        </w:rPr>
        <w:t xml:space="preserve"> </w:t>
      </w:r>
    </w:p>
    <w:p w:rsidR="00153B9B" w:rsidRDefault="00153B9B" w:rsidP="00EA5E17">
      <w:pPr>
        <w:pStyle w:val="Default"/>
        <w:spacing w:line="288" w:lineRule="auto"/>
        <w:ind w:left="4111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do Ogłoszenia Wojewody Mazowieckiego </w:t>
      </w:r>
    </w:p>
    <w:p w:rsidR="00153B9B" w:rsidRPr="00085C00" w:rsidRDefault="00153B9B" w:rsidP="00EA5E17">
      <w:pPr>
        <w:pStyle w:val="Default"/>
        <w:jc w:val="right"/>
        <w:rPr>
          <w:rFonts w:ascii="Calibri" w:hAnsi="Calibri" w:cs="Calibri"/>
          <w:sz w:val="16"/>
          <w:szCs w:val="16"/>
        </w:rPr>
      </w:pPr>
      <w:r w:rsidRPr="00085C00">
        <w:rPr>
          <w:rFonts w:ascii="Calibri" w:hAnsi="Calibri" w:cs="Calibri"/>
          <w:sz w:val="16"/>
          <w:szCs w:val="16"/>
        </w:rPr>
        <w:t xml:space="preserve">o naborze wniosków o dofinansowanie zadań w ramach Rządowego Funduszu Rozwoju Dróg </w:t>
      </w:r>
    </w:p>
    <w:p w:rsidR="00153B9B" w:rsidRDefault="00153B9B" w:rsidP="00EA5E17">
      <w:pPr>
        <w:pStyle w:val="Default"/>
        <w:jc w:val="right"/>
        <w:rPr>
          <w:rFonts w:ascii="Calibri" w:hAnsi="Calibri" w:cs="Calibri"/>
          <w:sz w:val="16"/>
          <w:szCs w:val="16"/>
        </w:rPr>
      </w:pPr>
      <w:r w:rsidRPr="00085C00">
        <w:rPr>
          <w:rFonts w:ascii="Calibri" w:hAnsi="Calibri" w:cs="Calibri"/>
          <w:sz w:val="16"/>
          <w:szCs w:val="16"/>
        </w:rPr>
        <w:t>w zakresie poprawy bezpieczeństwa ruchu drogowego na przejściach dla pieszych</w:t>
      </w:r>
    </w:p>
    <w:p w:rsidR="00153B9B" w:rsidRDefault="00EA5E17" w:rsidP="00153B9B">
      <w:pPr>
        <w:pStyle w:val="Default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z dnia 9 marca </w:t>
      </w:r>
      <w:r w:rsidR="00153B9B">
        <w:rPr>
          <w:rFonts w:ascii="Calibri" w:hAnsi="Calibri" w:cs="Calibri"/>
          <w:sz w:val="16"/>
          <w:szCs w:val="16"/>
        </w:rPr>
        <w:t>2021 r.</w:t>
      </w:r>
    </w:p>
    <w:p w:rsidR="00153B9B" w:rsidRDefault="00153B9B" w:rsidP="00153B9B">
      <w:pPr>
        <w:pStyle w:val="Default"/>
        <w:jc w:val="right"/>
        <w:rPr>
          <w:rFonts w:ascii="Calibri" w:hAnsi="Calibri" w:cs="Calibri"/>
          <w:sz w:val="20"/>
          <w:szCs w:val="20"/>
        </w:rPr>
      </w:pPr>
    </w:p>
    <w:p w:rsidR="00153B9B" w:rsidRDefault="00153B9B" w:rsidP="00153B9B">
      <w:pPr>
        <w:pStyle w:val="Default"/>
        <w:jc w:val="right"/>
        <w:rPr>
          <w:rFonts w:ascii="Calibri" w:hAnsi="Calibri" w:cs="Calibri"/>
          <w:sz w:val="20"/>
          <w:szCs w:val="20"/>
        </w:rPr>
      </w:pPr>
    </w:p>
    <w:p w:rsidR="00153B9B" w:rsidRDefault="00153B9B" w:rsidP="00153B9B">
      <w:pPr>
        <w:pStyle w:val="Default"/>
        <w:jc w:val="right"/>
        <w:rPr>
          <w:rFonts w:ascii="Calibri" w:hAnsi="Calibri" w:cs="Calibri"/>
          <w:sz w:val="20"/>
          <w:szCs w:val="20"/>
        </w:rPr>
      </w:pPr>
    </w:p>
    <w:p w:rsidR="00EA762C" w:rsidRPr="00365A11" w:rsidRDefault="00153B9B" w:rsidP="00EA5E17">
      <w:pPr>
        <w:pStyle w:val="Default"/>
        <w:jc w:val="center"/>
        <w:rPr>
          <w:rFonts w:ascii="Calibri" w:hAnsi="Calibri" w:cs="Calibri"/>
          <w:b/>
          <w:bCs/>
          <w:i/>
          <w:iCs/>
          <w:szCs w:val="22"/>
        </w:rPr>
      </w:pPr>
      <w:r w:rsidRPr="00365A11">
        <w:rPr>
          <w:rFonts w:ascii="Calibri" w:hAnsi="Calibri" w:cs="Calibri"/>
          <w:b/>
          <w:bCs/>
          <w:i/>
          <w:iCs/>
          <w:szCs w:val="22"/>
        </w:rPr>
        <w:t xml:space="preserve">Istotne informacje dla Wnioskodawców </w:t>
      </w:r>
    </w:p>
    <w:p w:rsidR="00EA5E17" w:rsidRPr="00365A11" w:rsidRDefault="00153B9B" w:rsidP="00EA5E17">
      <w:pPr>
        <w:pStyle w:val="Default"/>
        <w:jc w:val="center"/>
        <w:rPr>
          <w:rFonts w:ascii="Calibri" w:hAnsi="Calibri" w:cs="Calibri"/>
          <w:b/>
          <w:bCs/>
          <w:i/>
          <w:iCs/>
          <w:szCs w:val="22"/>
        </w:rPr>
      </w:pPr>
      <w:r w:rsidRPr="00365A11">
        <w:rPr>
          <w:rFonts w:ascii="Calibri" w:hAnsi="Calibri" w:cs="Calibri"/>
          <w:b/>
          <w:bCs/>
          <w:i/>
          <w:iCs/>
          <w:szCs w:val="22"/>
        </w:rPr>
        <w:t xml:space="preserve">dotyczące minimalnego zakresu przedmiotowego </w:t>
      </w:r>
      <w:bookmarkStart w:id="0" w:name="_GoBack"/>
      <w:bookmarkEnd w:id="0"/>
      <w:r w:rsidRPr="00365A11">
        <w:rPr>
          <w:rFonts w:ascii="Calibri" w:hAnsi="Calibri" w:cs="Calibri"/>
          <w:b/>
          <w:bCs/>
          <w:i/>
          <w:iCs/>
          <w:szCs w:val="22"/>
        </w:rPr>
        <w:t xml:space="preserve">zadania </w:t>
      </w:r>
    </w:p>
    <w:p w:rsidR="00153B9B" w:rsidRPr="00365A11" w:rsidRDefault="00153B9B" w:rsidP="00153B9B">
      <w:pPr>
        <w:pStyle w:val="Default"/>
        <w:jc w:val="center"/>
        <w:rPr>
          <w:rFonts w:ascii="Calibri" w:hAnsi="Calibri" w:cs="Calibri"/>
          <w:b/>
          <w:bCs/>
          <w:i/>
          <w:iCs/>
          <w:szCs w:val="22"/>
        </w:rPr>
      </w:pPr>
      <w:r w:rsidRPr="00365A11">
        <w:rPr>
          <w:rFonts w:ascii="Calibri" w:hAnsi="Calibri" w:cs="Calibri"/>
          <w:b/>
          <w:bCs/>
          <w:i/>
          <w:iCs/>
          <w:szCs w:val="22"/>
        </w:rPr>
        <w:t xml:space="preserve">w ramach </w:t>
      </w:r>
      <w:r w:rsidR="00EA5E17" w:rsidRPr="00365A11">
        <w:rPr>
          <w:rFonts w:ascii="Calibri" w:hAnsi="Calibri" w:cs="Calibri"/>
          <w:b/>
          <w:bCs/>
          <w:i/>
          <w:iCs/>
          <w:szCs w:val="22"/>
        </w:rPr>
        <w:t xml:space="preserve">Rządowego Funduszu Rozwoju Dróg </w:t>
      </w:r>
      <w:r w:rsidRPr="00365A11">
        <w:rPr>
          <w:rFonts w:ascii="Calibri" w:hAnsi="Calibri" w:cs="Calibri"/>
          <w:b/>
          <w:bCs/>
          <w:i/>
          <w:iCs/>
          <w:szCs w:val="22"/>
        </w:rPr>
        <w:t>w województwie mazowieckim</w:t>
      </w:r>
    </w:p>
    <w:p w:rsidR="00365A11" w:rsidRDefault="00365A11" w:rsidP="00365A11">
      <w:pPr>
        <w:pStyle w:val="Akapitzlist"/>
        <w:spacing w:line="288" w:lineRule="auto"/>
        <w:ind w:left="0"/>
        <w:contextualSpacing w:val="0"/>
        <w:jc w:val="both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:rsidR="00365A11" w:rsidRDefault="00365A11" w:rsidP="00365A11">
      <w:pPr>
        <w:pStyle w:val="Akapitzlist"/>
        <w:spacing w:line="288" w:lineRule="auto"/>
        <w:ind w:left="0"/>
        <w:contextualSpacing w:val="0"/>
        <w:jc w:val="both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:rsidR="00287AF5" w:rsidRPr="005A667F" w:rsidRDefault="00153B9B" w:rsidP="00287AF5">
      <w:pPr>
        <w:pStyle w:val="Akapitzlist"/>
        <w:spacing w:after="120" w:line="288" w:lineRule="auto"/>
        <w:ind w:left="0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5A667F">
        <w:rPr>
          <w:rFonts w:ascii="Calibri" w:hAnsi="Calibri" w:cs="Calibri"/>
          <w:b/>
          <w:sz w:val="24"/>
          <w:szCs w:val="24"/>
          <w:u w:val="single"/>
        </w:rPr>
        <w:t>Warunki realizacji i zakres przedmiotowy zadań objętych dofinansowaniem</w:t>
      </w:r>
      <w:r w:rsidR="00365A11" w:rsidRPr="005A667F">
        <w:rPr>
          <w:rFonts w:ascii="Calibri" w:hAnsi="Calibri" w:cs="Calibri"/>
          <w:b/>
          <w:sz w:val="24"/>
          <w:szCs w:val="24"/>
          <w:u w:val="single"/>
        </w:rPr>
        <w:t>:</w:t>
      </w:r>
    </w:p>
    <w:p w:rsidR="00153B9B" w:rsidRPr="005A667F" w:rsidRDefault="00153B9B" w:rsidP="00365A11">
      <w:pPr>
        <w:pStyle w:val="Akapitzlist"/>
        <w:numPr>
          <w:ilvl w:val="0"/>
          <w:numId w:val="12"/>
        </w:numPr>
        <w:spacing w:line="288" w:lineRule="auto"/>
        <w:jc w:val="both"/>
        <w:rPr>
          <w:rFonts w:ascii="Calibri" w:hAnsi="Calibri" w:cs="Calibri"/>
          <w:b/>
          <w:sz w:val="24"/>
          <w:szCs w:val="24"/>
        </w:rPr>
      </w:pPr>
      <w:r w:rsidRPr="005A667F">
        <w:rPr>
          <w:rFonts w:ascii="Calibri" w:hAnsi="Calibri" w:cs="Calibri"/>
          <w:b/>
          <w:sz w:val="24"/>
          <w:szCs w:val="24"/>
        </w:rPr>
        <w:t>Oświetlenie</w:t>
      </w:r>
    </w:p>
    <w:p w:rsidR="00365A11" w:rsidRPr="005A667F" w:rsidRDefault="00153B9B" w:rsidP="00365A11">
      <w:pPr>
        <w:pStyle w:val="Akapitzlist"/>
        <w:spacing w:line="288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 xml:space="preserve">Wykonanie prawidłowego, dedykowanego oświetlenia lub dostosowanie istniejącego oświetlenia przejścia dla pieszych, dojścia do przejścia dla pieszych oraz stref oczekiwania, zgodnie z </w:t>
      </w:r>
      <w:r w:rsidRPr="005A667F">
        <w:rPr>
          <w:rFonts w:ascii="Calibri" w:hAnsi="Calibri" w:cs="Calibri"/>
          <w:b/>
          <w:sz w:val="24"/>
          <w:szCs w:val="24"/>
        </w:rPr>
        <w:t>Wytycznymi projektowania infrastruktury dla pieszych. Część 4: Projektowanie oświetlenia przejść dla pieszych (WR-D-41-4)</w:t>
      </w:r>
      <w:r w:rsidRPr="005A667F">
        <w:rPr>
          <w:rFonts w:ascii="Calibri" w:hAnsi="Calibri" w:cs="Calibri"/>
          <w:sz w:val="24"/>
          <w:szCs w:val="24"/>
        </w:rPr>
        <w:t xml:space="preserve">, dostępnymi na stronie internetowej Ministerstwa Infrastruktury pod adresem </w:t>
      </w:r>
      <w:hyperlink r:id="rId7" w:history="1">
        <w:r w:rsidR="000C7C37" w:rsidRPr="00286ECA">
          <w:rPr>
            <w:rStyle w:val="Hipercze"/>
            <w:rFonts w:ascii="Calibri" w:hAnsi="Calibri" w:cs="Calibri"/>
            <w:sz w:val="24"/>
            <w:szCs w:val="24"/>
          </w:rPr>
          <w:t>https://www.gov.pl/web/infras</w:t>
        </w:r>
        <w:r w:rsidR="000C7C37" w:rsidRPr="00286ECA">
          <w:rPr>
            <w:rStyle w:val="Hipercze"/>
            <w:rFonts w:ascii="Calibri" w:hAnsi="Calibri" w:cs="Calibri"/>
            <w:sz w:val="24"/>
            <w:szCs w:val="24"/>
          </w:rPr>
          <w:t>t</w:t>
        </w:r>
        <w:r w:rsidR="000C7C37" w:rsidRPr="00286ECA">
          <w:rPr>
            <w:rStyle w:val="Hipercze"/>
            <w:rFonts w:ascii="Calibri" w:hAnsi="Calibri" w:cs="Calibri"/>
            <w:sz w:val="24"/>
            <w:szCs w:val="24"/>
          </w:rPr>
          <w:t>ruktura/wr-d</w:t>
        </w:r>
      </w:hyperlink>
      <w:r w:rsidRPr="005A667F">
        <w:rPr>
          <w:rFonts w:ascii="Calibri" w:hAnsi="Calibri" w:cs="Calibri"/>
          <w:sz w:val="24"/>
          <w:szCs w:val="24"/>
        </w:rPr>
        <w:t>.</w:t>
      </w:r>
    </w:p>
    <w:p w:rsidR="00365A11" w:rsidRPr="005A667F" w:rsidRDefault="00365A11" w:rsidP="00365A11">
      <w:pPr>
        <w:pStyle w:val="Akapitzlist"/>
        <w:spacing w:line="288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153B9B" w:rsidRPr="005A667F" w:rsidRDefault="00153B9B" w:rsidP="00287AF5">
      <w:pPr>
        <w:pStyle w:val="Akapitzlist"/>
        <w:numPr>
          <w:ilvl w:val="0"/>
          <w:numId w:val="12"/>
        </w:numPr>
        <w:spacing w:line="288" w:lineRule="auto"/>
        <w:jc w:val="both"/>
        <w:rPr>
          <w:rFonts w:ascii="Calibri" w:hAnsi="Calibri" w:cs="Calibri"/>
          <w:b/>
          <w:sz w:val="24"/>
          <w:szCs w:val="24"/>
        </w:rPr>
      </w:pPr>
      <w:r w:rsidRPr="005A667F">
        <w:rPr>
          <w:rFonts w:ascii="Calibri" w:hAnsi="Calibri" w:cs="Calibri"/>
          <w:b/>
          <w:sz w:val="24"/>
          <w:szCs w:val="24"/>
        </w:rPr>
        <w:t>Parametry techniczno-budowlane</w:t>
      </w:r>
    </w:p>
    <w:p w:rsidR="00287AF5" w:rsidRPr="005A667F" w:rsidRDefault="00153B9B" w:rsidP="00287AF5">
      <w:p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Budowa nowego przejścia dla pieszych lub rozbudowa / przebudowa istniejącego przejścia dla pieszych, zgodnie z rozporządzeniem</w:t>
      </w:r>
      <w:r w:rsidRPr="005A667F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Pr="005A667F">
        <w:rPr>
          <w:rFonts w:ascii="Calibri" w:hAnsi="Calibri" w:cs="Calibri"/>
          <w:sz w:val="24"/>
          <w:szCs w:val="24"/>
        </w:rPr>
        <w:t xml:space="preserve"> i </w:t>
      </w:r>
      <w:r w:rsidRPr="005A667F">
        <w:rPr>
          <w:rFonts w:ascii="Calibri" w:hAnsi="Calibri" w:cs="Calibri"/>
          <w:b/>
          <w:sz w:val="24"/>
          <w:szCs w:val="24"/>
        </w:rPr>
        <w:t>Wytycznymi projektowania infrastruktury dla pieszych. Część 3: Projektowanie przejść dla pieszych (WR-D-41-3)</w:t>
      </w:r>
      <w:r w:rsidRPr="005A667F">
        <w:rPr>
          <w:rFonts w:ascii="Calibri" w:hAnsi="Calibri" w:cs="Calibri"/>
          <w:sz w:val="24"/>
          <w:szCs w:val="24"/>
        </w:rPr>
        <w:t xml:space="preserve">, dostępnymi na stronie internetowej Ministerstwa Infrastruktury pod adresem </w:t>
      </w:r>
      <w:hyperlink r:id="rId8" w:history="1">
        <w:r w:rsidR="000C7C37" w:rsidRPr="00286ECA">
          <w:rPr>
            <w:rStyle w:val="Hipercze"/>
            <w:rFonts w:ascii="Calibri" w:hAnsi="Calibri" w:cs="Calibri"/>
            <w:sz w:val="24"/>
            <w:szCs w:val="24"/>
          </w:rPr>
          <w:t>https://www.gov.pl/web/infrast</w:t>
        </w:r>
        <w:r w:rsidR="000C7C37" w:rsidRPr="00286ECA">
          <w:rPr>
            <w:rStyle w:val="Hipercze"/>
            <w:rFonts w:ascii="Calibri" w:hAnsi="Calibri" w:cs="Calibri"/>
            <w:sz w:val="24"/>
            <w:szCs w:val="24"/>
          </w:rPr>
          <w:t>r</w:t>
        </w:r>
        <w:r w:rsidR="000C7C37" w:rsidRPr="00286ECA">
          <w:rPr>
            <w:rStyle w:val="Hipercze"/>
            <w:rFonts w:ascii="Calibri" w:hAnsi="Calibri" w:cs="Calibri"/>
            <w:sz w:val="24"/>
            <w:szCs w:val="24"/>
          </w:rPr>
          <w:t>uktura/wr-d</w:t>
        </w:r>
      </w:hyperlink>
      <w:r w:rsidRPr="005A667F">
        <w:rPr>
          <w:rFonts w:ascii="Calibri" w:hAnsi="Calibri" w:cs="Calibri"/>
          <w:sz w:val="24"/>
          <w:szCs w:val="24"/>
        </w:rPr>
        <w:t>,</w:t>
      </w:r>
      <w:r w:rsidR="000C7C37">
        <w:rPr>
          <w:rFonts w:ascii="Calibri" w:hAnsi="Calibri" w:cs="Calibri"/>
          <w:sz w:val="24"/>
          <w:szCs w:val="24"/>
        </w:rPr>
        <w:t xml:space="preserve"> </w:t>
      </w:r>
      <w:r w:rsidRPr="005A667F">
        <w:rPr>
          <w:rFonts w:ascii="Calibri" w:hAnsi="Calibri" w:cs="Calibri"/>
          <w:sz w:val="24"/>
          <w:szCs w:val="24"/>
        </w:rPr>
        <w:t>a w szczególności:</w:t>
      </w:r>
    </w:p>
    <w:p w:rsidR="00287AF5" w:rsidRPr="005A667F" w:rsidRDefault="00153B9B" w:rsidP="00287AF5">
      <w:pPr>
        <w:pStyle w:val="Akapitzlist"/>
        <w:numPr>
          <w:ilvl w:val="0"/>
          <w:numId w:val="13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w zależności od przypadku – uspokojenie ruchu na drodze, w szczególnoś</w:t>
      </w:r>
      <w:r w:rsidR="00287AF5" w:rsidRPr="005A667F">
        <w:rPr>
          <w:rFonts w:ascii="Calibri" w:hAnsi="Calibri" w:cs="Calibri"/>
          <w:sz w:val="24"/>
          <w:szCs w:val="24"/>
        </w:rPr>
        <w:t>ci poprzez:</w:t>
      </w:r>
    </w:p>
    <w:p w:rsidR="00287AF5" w:rsidRPr="005A667F" w:rsidRDefault="00153B9B" w:rsidP="00287AF5">
      <w:pPr>
        <w:pStyle w:val="Akapitzlist"/>
        <w:numPr>
          <w:ilvl w:val="0"/>
          <w:numId w:val="14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zawężenie pasów ruchu (wykonanie przejścia dla pieszych z zawężeniem jezdni),</w:t>
      </w:r>
    </w:p>
    <w:p w:rsidR="00287AF5" w:rsidRPr="005A667F" w:rsidRDefault="00153B9B" w:rsidP="00287AF5">
      <w:pPr>
        <w:pStyle w:val="Akapitzlist"/>
        <w:numPr>
          <w:ilvl w:val="0"/>
          <w:numId w:val="14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wykonanie przejść dla pieszych zawierających dodatkowe rozwiązania wspomagające i ułatwiające przekraczanie</w:t>
      </w:r>
      <w:r w:rsidR="00287AF5" w:rsidRPr="005A667F">
        <w:rPr>
          <w:rFonts w:ascii="Calibri" w:hAnsi="Calibri" w:cs="Calibri"/>
          <w:sz w:val="24"/>
          <w:szCs w:val="24"/>
        </w:rPr>
        <w:t xml:space="preserve"> drogi: wyniesionych (również w </w:t>
      </w:r>
      <w:r w:rsidRPr="005A667F">
        <w:rPr>
          <w:rFonts w:ascii="Calibri" w:hAnsi="Calibri" w:cs="Calibri"/>
          <w:sz w:val="24"/>
          <w:szCs w:val="24"/>
        </w:rPr>
        <w:t>ramach wyniesionych skrzyżowań), z wyspami azylu lub z wysuniętymi platformami,</w:t>
      </w:r>
    </w:p>
    <w:p w:rsidR="00287AF5" w:rsidRPr="005A667F" w:rsidRDefault="00153B9B" w:rsidP="00287AF5">
      <w:pPr>
        <w:pStyle w:val="Akapitzlist"/>
        <w:numPr>
          <w:ilvl w:val="0"/>
          <w:numId w:val="14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przed przejściami dla pieszych zaliczonymi do przejść o podwyższonym standardzie</w:t>
      </w:r>
      <w:r w:rsidRPr="005A667F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Pr="005A667F">
        <w:rPr>
          <w:rFonts w:ascii="Calibri" w:hAnsi="Calibri" w:cs="Calibri"/>
          <w:sz w:val="24"/>
          <w:szCs w:val="24"/>
        </w:rPr>
        <w:t xml:space="preserve"> – fakultatywne zastosowanie progów zwalniających (listwowych lub wyspowych), zgodnie</w:t>
      </w:r>
      <w:r w:rsidR="00287AF5" w:rsidRPr="005A667F">
        <w:rPr>
          <w:rFonts w:ascii="Calibri" w:hAnsi="Calibri" w:cs="Calibri"/>
          <w:sz w:val="24"/>
          <w:szCs w:val="24"/>
        </w:rPr>
        <w:t xml:space="preserve"> z podrozdziałem 14.4 WR-D-41-3;</w:t>
      </w:r>
    </w:p>
    <w:p w:rsidR="00287AF5" w:rsidRPr="005A667F" w:rsidRDefault="00153B9B" w:rsidP="00287AF5">
      <w:pPr>
        <w:pStyle w:val="Akapitzlist"/>
        <w:numPr>
          <w:ilvl w:val="0"/>
          <w:numId w:val="13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lastRenderedPageBreak/>
        <w:t>w przypadku braku lub niewłaściwych parametrów</w:t>
      </w:r>
      <w:r w:rsidRPr="005A667F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="00287AF5" w:rsidRPr="005A667F">
        <w:rPr>
          <w:rFonts w:ascii="Calibri" w:hAnsi="Calibri" w:cs="Calibri"/>
          <w:sz w:val="24"/>
          <w:szCs w:val="24"/>
        </w:rPr>
        <w:t xml:space="preserve"> – budowa/rozbudowa/</w:t>
      </w:r>
      <w:r w:rsidRPr="005A667F">
        <w:rPr>
          <w:rFonts w:ascii="Calibri" w:hAnsi="Calibri" w:cs="Calibri"/>
          <w:sz w:val="24"/>
          <w:szCs w:val="24"/>
        </w:rPr>
        <w:t>przebudowa chodników (dróg dla pieszych) lub ścieżek pieszo-rowerowych (dróg dla pieszych i rowerów) stanowiących dojścia do przejścia dla pieszych (nie dotyczy ścieżek rowerowych (dróg dl</w:t>
      </w:r>
      <w:r w:rsidR="005A667F">
        <w:rPr>
          <w:rFonts w:ascii="Calibri" w:hAnsi="Calibri" w:cs="Calibri"/>
          <w:sz w:val="24"/>
          <w:szCs w:val="24"/>
        </w:rPr>
        <w:t>a rowerów)), na długościach nie </w:t>
      </w:r>
      <w:r w:rsidRPr="005A667F">
        <w:rPr>
          <w:rFonts w:ascii="Calibri" w:hAnsi="Calibri" w:cs="Calibri"/>
          <w:sz w:val="24"/>
          <w:szCs w:val="24"/>
        </w:rPr>
        <w:t>większych, niż</w:t>
      </w:r>
      <w:r w:rsidR="00287AF5" w:rsidRPr="005A667F">
        <w:rPr>
          <w:rFonts w:ascii="Calibri" w:hAnsi="Calibri" w:cs="Calibri"/>
          <w:sz w:val="24"/>
          <w:szCs w:val="24"/>
        </w:rPr>
        <w:t xml:space="preserve"> obszar oddziaływania przejścia;</w:t>
      </w:r>
    </w:p>
    <w:p w:rsidR="00287AF5" w:rsidRPr="005A667F" w:rsidRDefault="00153B9B" w:rsidP="00287AF5">
      <w:pPr>
        <w:pStyle w:val="Akapitzlist"/>
        <w:numPr>
          <w:ilvl w:val="0"/>
          <w:numId w:val="13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budowa / rozbudowa / przebudowa przejść dla pieszych z wyspą azylu na jezdniach przeznaczonych do ruchu w obu kierunkach o wi</w:t>
      </w:r>
      <w:r w:rsidR="00287AF5" w:rsidRPr="005A667F">
        <w:rPr>
          <w:rFonts w:ascii="Calibri" w:hAnsi="Calibri" w:cs="Calibri"/>
          <w:sz w:val="24"/>
          <w:szCs w:val="24"/>
        </w:rPr>
        <w:t>ęcej niż dwóch pasach ruchu (na </w:t>
      </w:r>
      <w:r w:rsidRPr="005A667F">
        <w:rPr>
          <w:rFonts w:ascii="Calibri" w:hAnsi="Calibri" w:cs="Calibri"/>
          <w:sz w:val="24"/>
          <w:szCs w:val="24"/>
        </w:rPr>
        <w:t>jezdniach dwupasowych</w:t>
      </w:r>
      <w:r w:rsidR="00287AF5" w:rsidRPr="005A667F">
        <w:rPr>
          <w:rFonts w:ascii="Calibri" w:hAnsi="Calibri" w:cs="Calibri"/>
          <w:sz w:val="24"/>
          <w:szCs w:val="24"/>
        </w:rPr>
        <w:t xml:space="preserve"> fakultatywnie);</w:t>
      </w:r>
    </w:p>
    <w:p w:rsidR="00287AF5" w:rsidRPr="005A667F" w:rsidRDefault="00153B9B" w:rsidP="00287AF5">
      <w:pPr>
        <w:pStyle w:val="Akapitzlist"/>
        <w:numPr>
          <w:ilvl w:val="0"/>
          <w:numId w:val="13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zapewnienie warunków widoczności pieszego przez kierowcę i pojazdu przez pieszego (np. usunięcie obiektów i zieleni ograniczających widoczność, korektę łuków, likwidację lub przeniesienie stanowisk postojowych albo zmiana lokalizacji przejścia itp.), z</w:t>
      </w:r>
      <w:r w:rsidR="00287AF5" w:rsidRPr="005A667F">
        <w:rPr>
          <w:rFonts w:ascii="Calibri" w:hAnsi="Calibri" w:cs="Calibri"/>
          <w:sz w:val="24"/>
          <w:szCs w:val="24"/>
        </w:rPr>
        <w:t>godnie z rozdziałem 9 WR-D-41-3;</w:t>
      </w:r>
    </w:p>
    <w:p w:rsidR="00287AF5" w:rsidRPr="005A667F" w:rsidRDefault="00153B9B" w:rsidP="00287AF5">
      <w:pPr>
        <w:pStyle w:val="Akapitzlist"/>
        <w:numPr>
          <w:ilvl w:val="0"/>
          <w:numId w:val="13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poprawa lub prawidłowe ukształtowanie wyso</w:t>
      </w:r>
      <w:r w:rsidR="00287AF5" w:rsidRPr="005A667F">
        <w:rPr>
          <w:rFonts w:ascii="Calibri" w:hAnsi="Calibri" w:cs="Calibri"/>
          <w:sz w:val="24"/>
          <w:szCs w:val="24"/>
        </w:rPr>
        <w:t>kościowe nawierzchni dojścia do </w:t>
      </w:r>
      <w:r w:rsidRPr="005A667F">
        <w:rPr>
          <w:rFonts w:ascii="Calibri" w:hAnsi="Calibri" w:cs="Calibri"/>
          <w:sz w:val="24"/>
          <w:szCs w:val="24"/>
        </w:rPr>
        <w:t>przejścia dla pieszych, przejścia dla pieszych i wysp azylu, w tym zaprojektowanie ramp krawężnikowych, zgodnie z podrozdziałem 14.2 WR</w:t>
      </w:r>
      <w:r w:rsidR="00287AF5" w:rsidRPr="005A667F">
        <w:rPr>
          <w:rFonts w:ascii="Calibri" w:hAnsi="Calibri" w:cs="Calibri"/>
          <w:sz w:val="24"/>
          <w:szCs w:val="24"/>
        </w:rPr>
        <w:t>-D-41-3;</w:t>
      </w:r>
    </w:p>
    <w:p w:rsidR="00287AF5" w:rsidRPr="005A667F" w:rsidRDefault="00153B9B" w:rsidP="00287AF5">
      <w:pPr>
        <w:pStyle w:val="Akapitzlist"/>
        <w:numPr>
          <w:ilvl w:val="0"/>
          <w:numId w:val="13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zastosowanie systemu fakturowych oznaczeń nawierzchni dla osób z dysfunkcjami wzroku, zgodnie</w:t>
      </w:r>
      <w:r w:rsidR="00287AF5" w:rsidRPr="005A667F">
        <w:rPr>
          <w:rFonts w:ascii="Calibri" w:hAnsi="Calibri" w:cs="Calibri"/>
          <w:sz w:val="24"/>
          <w:szCs w:val="24"/>
        </w:rPr>
        <w:t xml:space="preserve"> z podrozdziałem 14.3 WR-D-41-3;</w:t>
      </w:r>
    </w:p>
    <w:p w:rsidR="00287AF5" w:rsidRPr="005A667F" w:rsidRDefault="00153B9B" w:rsidP="00287AF5">
      <w:pPr>
        <w:pStyle w:val="Akapitzlist"/>
        <w:numPr>
          <w:ilvl w:val="0"/>
          <w:numId w:val="13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na lub przed przejściami dla pieszych zaliczonymi do przejść o podwyższonym standardzie – fakultatywne wykonanie, zgodnie z podrozdziałem 14.6 WR-D-41-3:</w:t>
      </w:r>
    </w:p>
    <w:p w:rsidR="00287AF5" w:rsidRPr="005A667F" w:rsidRDefault="00153B9B" w:rsidP="00287AF5">
      <w:pPr>
        <w:pStyle w:val="Akapitzlist"/>
        <w:numPr>
          <w:ilvl w:val="0"/>
          <w:numId w:val="15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nawierzchni jezdni lub torowiska tramwajowego w kolorze czerwonym,</w:t>
      </w:r>
    </w:p>
    <w:p w:rsidR="00287AF5" w:rsidRPr="005A667F" w:rsidRDefault="00153B9B" w:rsidP="00287AF5">
      <w:pPr>
        <w:pStyle w:val="Akapitzlist"/>
        <w:numPr>
          <w:ilvl w:val="0"/>
          <w:numId w:val="15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nawierzchni jezdni o zwiększonej szorstkości, na długości równej odległości widoczności na zatrzymanie, lecz nie mniejszej niż 20,00 m,</w:t>
      </w:r>
    </w:p>
    <w:p w:rsidR="00287AF5" w:rsidRPr="005A667F" w:rsidRDefault="00153B9B" w:rsidP="00287AF5">
      <w:pPr>
        <w:pStyle w:val="Akapitzlist"/>
        <w:numPr>
          <w:ilvl w:val="0"/>
          <w:numId w:val="15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pasów wibracyjno-akustycznych bar</w:t>
      </w:r>
      <w:r w:rsidR="00287AF5" w:rsidRPr="005A667F">
        <w:rPr>
          <w:rFonts w:ascii="Calibri" w:hAnsi="Calibri" w:cs="Calibri"/>
          <w:sz w:val="24"/>
          <w:szCs w:val="24"/>
        </w:rPr>
        <w:t>wy innej niż biała lub żółta, z </w:t>
      </w:r>
      <w:r w:rsidRPr="005A667F">
        <w:rPr>
          <w:rFonts w:ascii="Calibri" w:hAnsi="Calibri" w:cs="Calibri"/>
          <w:sz w:val="24"/>
          <w:szCs w:val="24"/>
        </w:rPr>
        <w:t>uwzględnieniem ochrony terenów przyległych do pasa drogowego przed niek</w:t>
      </w:r>
      <w:r w:rsidR="00287AF5" w:rsidRPr="005A667F">
        <w:rPr>
          <w:rFonts w:ascii="Calibri" w:hAnsi="Calibri" w:cs="Calibri"/>
          <w:sz w:val="24"/>
          <w:szCs w:val="24"/>
        </w:rPr>
        <w:t>orzystnym oddziaływaniem hałasu;</w:t>
      </w:r>
    </w:p>
    <w:p w:rsidR="00365A11" w:rsidRPr="005A667F" w:rsidRDefault="00153B9B" w:rsidP="00287AF5">
      <w:pPr>
        <w:pStyle w:val="Akapitzlist"/>
        <w:numPr>
          <w:ilvl w:val="0"/>
          <w:numId w:val="13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 xml:space="preserve">na przejściach dla pieszych zaliczonych do przejść o podwyższonym standardzie – fakultatywne zaprojektowanie balustrad i ogrodzeń, zgodnie </w:t>
      </w:r>
      <w:r w:rsidR="00365A11" w:rsidRPr="005A667F">
        <w:rPr>
          <w:rFonts w:ascii="Calibri" w:hAnsi="Calibri" w:cs="Calibri"/>
          <w:sz w:val="24"/>
          <w:szCs w:val="24"/>
        </w:rPr>
        <w:t xml:space="preserve">z podrozdziałem </w:t>
      </w:r>
      <w:r w:rsidR="00287AF5" w:rsidRPr="005A667F">
        <w:rPr>
          <w:rFonts w:ascii="Calibri" w:hAnsi="Calibri" w:cs="Calibri"/>
          <w:sz w:val="24"/>
          <w:szCs w:val="24"/>
        </w:rPr>
        <w:t>14.7  </w:t>
      </w:r>
      <w:r w:rsidR="00365A11" w:rsidRPr="005A667F">
        <w:rPr>
          <w:rFonts w:ascii="Calibri" w:hAnsi="Calibri" w:cs="Calibri"/>
          <w:sz w:val="24"/>
          <w:szCs w:val="24"/>
        </w:rPr>
        <w:t>WR-D-41-3.</w:t>
      </w:r>
    </w:p>
    <w:p w:rsidR="00287AF5" w:rsidRPr="005A667F" w:rsidRDefault="00287AF5" w:rsidP="00287AF5">
      <w:pPr>
        <w:pStyle w:val="Akapitzlis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:rsidR="00153B9B" w:rsidRPr="005A667F" w:rsidRDefault="00153B9B" w:rsidP="00287AF5">
      <w:pPr>
        <w:pStyle w:val="Akapitzlist"/>
        <w:numPr>
          <w:ilvl w:val="0"/>
          <w:numId w:val="12"/>
        </w:numPr>
        <w:spacing w:line="288" w:lineRule="auto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5A667F">
        <w:rPr>
          <w:rFonts w:ascii="Calibri" w:hAnsi="Calibri" w:cs="Calibri"/>
          <w:b/>
          <w:sz w:val="24"/>
          <w:szCs w:val="24"/>
        </w:rPr>
        <w:t>Organizacja ruchu</w:t>
      </w:r>
    </w:p>
    <w:p w:rsidR="00287AF5" w:rsidRPr="005A667F" w:rsidRDefault="00153B9B" w:rsidP="00287AF5">
      <w:pPr>
        <w:pStyle w:val="Akapitzlist"/>
        <w:spacing w:line="288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Zastosowanie prawidłowych rozwiązań w organizacji ruchu drogowego, zgodnie z rozporządzeniem</w:t>
      </w:r>
      <w:r w:rsidRPr="005A667F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5A667F">
        <w:rPr>
          <w:rFonts w:ascii="Calibri" w:hAnsi="Calibri" w:cs="Calibri"/>
          <w:sz w:val="24"/>
          <w:szCs w:val="24"/>
        </w:rPr>
        <w:t xml:space="preserve"> i </w:t>
      </w:r>
      <w:r w:rsidRPr="005A667F">
        <w:rPr>
          <w:rFonts w:ascii="Calibri" w:hAnsi="Calibri" w:cs="Calibri"/>
          <w:b/>
          <w:sz w:val="24"/>
          <w:szCs w:val="24"/>
        </w:rPr>
        <w:t>Wytycznymi projektowania infrastruktury dla pieszych. Część 3: Projektowanie przejść dla pieszych (WR-D-41-3)</w:t>
      </w:r>
      <w:r w:rsidRPr="005A667F">
        <w:rPr>
          <w:rFonts w:ascii="Calibri" w:hAnsi="Calibri" w:cs="Calibri"/>
          <w:sz w:val="24"/>
          <w:szCs w:val="24"/>
        </w:rPr>
        <w:t xml:space="preserve">, dostępnymi na stronie internetowej Ministerstwa Infrastruktury pod adresem </w:t>
      </w:r>
      <w:hyperlink r:id="rId9" w:history="1">
        <w:r w:rsidRPr="005A667F">
          <w:rPr>
            <w:rStyle w:val="Hipercze"/>
            <w:rFonts w:ascii="Calibri" w:hAnsi="Calibri" w:cs="Calibri"/>
            <w:sz w:val="24"/>
            <w:szCs w:val="24"/>
          </w:rPr>
          <w:t>https://www.gov.pl/web/infrastru</w:t>
        </w:r>
        <w:r w:rsidRPr="005A667F">
          <w:rPr>
            <w:rStyle w:val="Hipercze"/>
            <w:rFonts w:ascii="Calibri" w:hAnsi="Calibri" w:cs="Calibri"/>
            <w:sz w:val="24"/>
            <w:szCs w:val="24"/>
          </w:rPr>
          <w:t>k</w:t>
        </w:r>
        <w:r w:rsidRPr="005A667F">
          <w:rPr>
            <w:rStyle w:val="Hipercze"/>
            <w:rFonts w:ascii="Calibri" w:hAnsi="Calibri" w:cs="Calibri"/>
            <w:sz w:val="24"/>
            <w:szCs w:val="24"/>
          </w:rPr>
          <w:t>tura/wr-d</w:t>
        </w:r>
      </w:hyperlink>
      <w:r w:rsidRPr="005A667F">
        <w:rPr>
          <w:rFonts w:ascii="Calibri" w:hAnsi="Calibri" w:cs="Calibri"/>
          <w:sz w:val="24"/>
          <w:szCs w:val="24"/>
        </w:rPr>
        <w:t>, a w szczególności:</w:t>
      </w:r>
    </w:p>
    <w:p w:rsidR="00287AF5" w:rsidRPr="005A667F" w:rsidRDefault="00153B9B" w:rsidP="005A667F">
      <w:pPr>
        <w:pStyle w:val="Akapitzlist"/>
        <w:numPr>
          <w:ilvl w:val="0"/>
          <w:numId w:val="17"/>
        </w:numPr>
        <w:spacing w:line="288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ograniczenie prędkości dopuszczalnej do maksymalnie:</w:t>
      </w:r>
    </w:p>
    <w:p w:rsidR="00287AF5" w:rsidRPr="005A667F" w:rsidRDefault="00153B9B" w:rsidP="005A667F">
      <w:pPr>
        <w:pStyle w:val="Akapitzlist"/>
        <w:numPr>
          <w:ilvl w:val="0"/>
          <w:numId w:val="18"/>
        </w:numPr>
        <w:spacing w:line="288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lastRenderedPageBreak/>
        <w:t>70 km/h przed kolizyjnym przejściem dla pieszych z sygnalizacją świetlną,</w:t>
      </w:r>
    </w:p>
    <w:p w:rsidR="00287AF5" w:rsidRPr="005A667F" w:rsidRDefault="00153B9B" w:rsidP="005A667F">
      <w:pPr>
        <w:pStyle w:val="Akapitzlist"/>
        <w:numPr>
          <w:ilvl w:val="0"/>
          <w:numId w:val="18"/>
        </w:numPr>
        <w:spacing w:line="288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50 km/h przed kolizyjnym przejściem dla pies</w:t>
      </w:r>
      <w:r w:rsidR="00287AF5" w:rsidRPr="005A667F">
        <w:rPr>
          <w:rFonts w:ascii="Calibri" w:hAnsi="Calibri" w:cs="Calibri"/>
          <w:sz w:val="24"/>
          <w:szCs w:val="24"/>
        </w:rPr>
        <w:t>zych bez sygnalizacji świetlnej;</w:t>
      </w:r>
    </w:p>
    <w:p w:rsidR="00287AF5" w:rsidRPr="005A667F" w:rsidRDefault="00153B9B" w:rsidP="005A667F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w przypadku zaprojektowania przejścia dla pieszych z sygnalizacją świetlną:</w:t>
      </w:r>
    </w:p>
    <w:p w:rsidR="00287AF5" w:rsidRPr="005A667F" w:rsidRDefault="00153B9B" w:rsidP="005A667F">
      <w:pPr>
        <w:pStyle w:val="Akapitzlist"/>
        <w:numPr>
          <w:ilvl w:val="0"/>
          <w:numId w:val="19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zastosowanie pomocniczych sygnalizatorów akustycznych i wibracyjnych dla pieszych, a w uzasadnionych przypadkac</w:t>
      </w:r>
      <w:r w:rsidR="00287AF5" w:rsidRPr="005A667F">
        <w:rPr>
          <w:rFonts w:ascii="Calibri" w:hAnsi="Calibri" w:cs="Calibri"/>
          <w:sz w:val="24"/>
          <w:szCs w:val="24"/>
        </w:rPr>
        <w:t>h tylko wibracyjnych, zgodnie z </w:t>
      </w:r>
      <w:r w:rsidRPr="005A667F">
        <w:rPr>
          <w:rFonts w:ascii="Calibri" w:hAnsi="Calibri" w:cs="Calibri"/>
          <w:sz w:val="24"/>
          <w:szCs w:val="24"/>
        </w:rPr>
        <w:t>podrozdziałem 10.5 WR-D-41-3,</w:t>
      </w:r>
    </w:p>
    <w:p w:rsidR="00287AF5" w:rsidRPr="005A667F" w:rsidRDefault="00153B9B" w:rsidP="005A667F">
      <w:pPr>
        <w:pStyle w:val="Akapitzlist"/>
        <w:numPr>
          <w:ilvl w:val="0"/>
          <w:numId w:val="19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na przejściach zaliczonych do przejść o podwyższonym standardzie – fakultatywne zastosowanie sygnal</w:t>
      </w:r>
      <w:r w:rsidR="00287AF5" w:rsidRPr="005A667F">
        <w:rPr>
          <w:rFonts w:ascii="Calibri" w:hAnsi="Calibri" w:cs="Calibri"/>
          <w:sz w:val="24"/>
          <w:szCs w:val="24"/>
        </w:rPr>
        <w:t>izacji ostrzegawczej, zgodnie z podrozdziałem 14.5 WR-D-41-3;</w:t>
      </w:r>
    </w:p>
    <w:p w:rsidR="00287AF5" w:rsidRPr="005A667F" w:rsidRDefault="00153B9B" w:rsidP="005A667F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łączne wykonanie prawidłowego oznakowania poziomego i pionowego w obszarze oddziaływania przejścia dla pieszych</w:t>
      </w:r>
      <w:r w:rsidRPr="005A667F">
        <w:rPr>
          <w:rStyle w:val="Odwoanieprzypisudolnego"/>
          <w:rFonts w:ascii="Calibri" w:hAnsi="Calibri" w:cs="Calibri"/>
          <w:sz w:val="24"/>
          <w:szCs w:val="24"/>
        </w:rPr>
        <w:footnoteReference w:id="5"/>
      </w:r>
      <w:r w:rsidRPr="005A667F">
        <w:rPr>
          <w:rFonts w:ascii="Calibri" w:hAnsi="Calibri" w:cs="Calibri"/>
          <w:sz w:val="24"/>
          <w:szCs w:val="24"/>
        </w:rPr>
        <w:t>, a na przejściach zaliczonych do przejść o podwyższonym standardzie – fakultatywne zastosowanie, zgodnie z podrozdziałem 14.5 WR-D-41-3:</w:t>
      </w:r>
    </w:p>
    <w:p w:rsidR="00287AF5" w:rsidRPr="005A667F" w:rsidRDefault="00153B9B" w:rsidP="005A667F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znaków na tle folii pryzmatycznej odblaskowo-fluorescencyjnej żółto-zielonej lub pomarańczowej,</w:t>
      </w:r>
    </w:p>
    <w:p w:rsidR="00287AF5" w:rsidRPr="005A667F" w:rsidRDefault="00153B9B" w:rsidP="005A667F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dodatkowych tabliczek T-27,</w:t>
      </w:r>
    </w:p>
    <w:p w:rsidR="00287AF5" w:rsidRPr="005A667F" w:rsidRDefault="00153B9B" w:rsidP="005A667F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dodatkowych znaków D-6 „Przejście dla pieszych” (lub D-6b „Pr</w:t>
      </w:r>
      <w:r w:rsidR="00287AF5" w:rsidRPr="005A667F">
        <w:rPr>
          <w:rFonts w:ascii="Calibri" w:hAnsi="Calibri" w:cs="Calibri"/>
          <w:sz w:val="24"/>
          <w:szCs w:val="24"/>
        </w:rPr>
        <w:t>zejście dla </w:t>
      </w:r>
      <w:r w:rsidRPr="005A667F">
        <w:rPr>
          <w:rFonts w:ascii="Calibri" w:hAnsi="Calibri" w:cs="Calibri"/>
          <w:sz w:val="24"/>
          <w:szCs w:val="24"/>
        </w:rPr>
        <w:t>pieszych i przejazd dla rowerzystów”) nad jezdnią,</w:t>
      </w:r>
    </w:p>
    <w:p w:rsidR="00287AF5" w:rsidRPr="005A667F" w:rsidRDefault="00287AF5" w:rsidP="005A667F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oznakowania aktywnego;</w:t>
      </w:r>
    </w:p>
    <w:p w:rsidR="00287AF5" w:rsidRPr="005A667F" w:rsidRDefault="00153B9B" w:rsidP="005A667F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 xml:space="preserve">w przypadku zastosowania słupków przeszkodowych U-5a/U-5b lub tablic kierujących </w:t>
      </w:r>
      <w:r w:rsidRPr="005A667F">
        <w:rPr>
          <w:rFonts w:ascii="Calibri" w:hAnsi="Calibri" w:cs="Calibri"/>
          <w:sz w:val="24"/>
          <w:szCs w:val="24"/>
        </w:rPr>
        <w:br/>
        <w:t>U-6a/U-6b, takie ich usytuowanie, aby nie ograniczały widoczności pieszych przebywającyc</w:t>
      </w:r>
      <w:r w:rsidR="00287AF5" w:rsidRPr="005A667F">
        <w:rPr>
          <w:rFonts w:ascii="Calibri" w:hAnsi="Calibri" w:cs="Calibri"/>
          <w:sz w:val="24"/>
          <w:szCs w:val="24"/>
        </w:rPr>
        <w:t>h na wyspie azylu;</w:t>
      </w:r>
    </w:p>
    <w:p w:rsidR="00153B9B" w:rsidRPr="005A667F" w:rsidRDefault="00153B9B" w:rsidP="005A667F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667F">
        <w:rPr>
          <w:rFonts w:ascii="Calibri" w:hAnsi="Calibri" w:cs="Calibri"/>
          <w:sz w:val="24"/>
          <w:szCs w:val="24"/>
        </w:rPr>
        <w:t>na przejściach dla pieszych zaliczonych do przejść o podwyższonym standardzie – fakultatywne zastosowanie urządzeń systemu automatycznego nadzoru nad prędkością lub automatycznego pomiaru i informowania o prędkości pojazdu dojeżdżającego do przejścia dla pieszych, zgodnie z podrozdziałem 14.4 WR-D-41-3.</w:t>
      </w:r>
    </w:p>
    <w:p w:rsidR="004A5D8D" w:rsidRPr="005A667F" w:rsidRDefault="004A5D8D" w:rsidP="005A667F">
      <w:p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</w:p>
    <w:p w:rsidR="004A5D8D" w:rsidRPr="005A667F" w:rsidRDefault="004A5D8D" w:rsidP="004A5D8D">
      <w:pPr>
        <w:spacing w:after="0" w:line="288" w:lineRule="auto"/>
        <w:rPr>
          <w:rFonts w:ascii="Calibri" w:hAnsi="Calibri" w:cs="Calibri"/>
          <w:sz w:val="24"/>
          <w:szCs w:val="24"/>
        </w:rPr>
      </w:pPr>
    </w:p>
    <w:p w:rsidR="00732AF5" w:rsidRPr="004A5D8D" w:rsidRDefault="00732AF5" w:rsidP="004A5D8D">
      <w:pPr>
        <w:spacing w:after="0" w:line="288" w:lineRule="auto"/>
        <w:ind w:firstLine="5670"/>
        <w:jc w:val="center"/>
        <w:rPr>
          <w:rFonts w:cstheme="minorHAnsi"/>
          <w:color w:val="FF0000"/>
          <w:sz w:val="24"/>
          <w:szCs w:val="24"/>
        </w:rPr>
      </w:pPr>
    </w:p>
    <w:sectPr w:rsidR="00732AF5" w:rsidRPr="004A5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AA" w:rsidRDefault="00442DAA" w:rsidP="00153B9B">
      <w:pPr>
        <w:spacing w:after="0" w:line="240" w:lineRule="auto"/>
      </w:pPr>
      <w:r>
        <w:separator/>
      </w:r>
    </w:p>
  </w:endnote>
  <w:endnote w:type="continuationSeparator" w:id="0">
    <w:p w:rsidR="00442DAA" w:rsidRDefault="00442DAA" w:rsidP="0015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Inter">
    <w:altName w:val="Arial"/>
    <w:panose1 w:val="00000000000000000000"/>
    <w:charset w:val="00"/>
    <w:family w:val="swiss"/>
    <w:notTrueType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AA" w:rsidRDefault="00442DAA" w:rsidP="00153B9B">
      <w:pPr>
        <w:spacing w:after="0" w:line="240" w:lineRule="auto"/>
      </w:pPr>
      <w:r>
        <w:separator/>
      </w:r>
    </w:p>
  </w:footnote>
  <w:footnote w:type="continuationSeparator" w:id="0">
    <w:p w:rsidR="00442DAA" w:rsidRDefault="00442DAA" w:rsidP="00153B9B">
      <w:pPr>
        <w:spacing w:after="0" w:line="240" w:lineRule="auto"/>
      </w:pPr>
      <w:r>
        <w:continuationSeparator/>
      </w:r>
    </w:p>
  </w:footnote>
  <w:footnote w:id="1">
    <w:p w:rsidR="00153B9B" w:rsidRPr="005A667F" w:rsidRDefault="00153B9B" w:rsidP="00153B9B">
      <w:pPr>
        <w:pStyle w:val="Tekstprzypisudolnego"/>
        <w:jc w:val="both"/>
        <w:rPr>
          <w:rFonts w:ascii="Calibri" w:hAnsi="Calibri" w:cs="Calibri"/>
        </w:rPr>
      </w:pPr>
      <w:r w:rsidRPr="005A667F">
        <w:rPr>
          <w:rStyle w:val="Odwoanieprzypisudolnego"/>
          <w:rFonts w:ascii="Calibri" w:hAnsi="Calibri" w:cs="Calibri"/>
        </w:rPr>
        <w:footnoteRef/>
      </w:r>
      <w:r w:rsidRPr="005A667F">
        <w:rPr>
          <w:rFonts w:ascii="Calibri" w:hAnsi="Calibri" w:cs="Calibri"/>
        </w:rPr>
        <w:t xml:space="preserve"> </w:t>
      </w:r>
      <w:r w:rsidRPr="005A667F">
        <w:rPr>
          <w:rFonts w:ascii="Calibri" w:hAnsi="Calibri" w:cs="Calibri"/>
          <w:spacing w:val="4"/>
        </w:rPr>
        <w:t>rozporządzenie Ministra Transportu i Gospodarki Morskiej z dnia 2 marca 1999 r. w sprawie warunków technicznych, jakim powinny odpowiadać drogi publiczne i ich usytuowanie (Dz. U. z 2016 r. poz. 124, z późn. zm.),</w:t>
      </w:r>
    </w:p>
  </w:footnote>
  <w:footnote w:id="2">
    <w:p w:rsidR="00153B9B" w:rsidRPr="00153B9B" w:rsidRDefault="00153B9B" w:rsidP="00153B9B">
      <w:pPr>
        <w:pStyle w:val="Tekstprzypisudolnego"/>
        <w:jc w:val="both"/>
        <w:rPr>
          <w:rStyle w:val="Odwoanieprzypisudolnego"/>
          <w:rFonts w:ascii="Times New Roman" w:hAnsi="Times New Roman"/>
        </w:rPr>
      </w:pPr>
      <w:r w:rsidRPr="006167E8">
        <w:rPr>
          <w:rStyle w:val="Odwoanieprzypisudolnego"/>
          <w:rFonts w:ascii="Calibri" w:hAnsi="Calibri" w:cs="Calibri"/>
        </w:rPr>
        <w:footnoteRef/>
      </w:r>
      <w:r w:rsidRPr="005A667F">
        <w:rPr>
          <w:rFonts w:ascii="Calibri" w:hAnsi="Calibri" w:cs="Calibri"/>
        </w:rPr>
        <w:t xml:space="preserve"> klasyfikacji dokonuje się </w:t>
      </w:r>
      <w:r w:rsidRPr="005A667F">
        <w:rPr>
          <w:rStyle w:val="Odwoanieprzypisudolnego"/>
          <w:rFonts w:ascii="Calibri" w:hAnsi="Calibri" w:cs="Calibri"/>
          <w:vertAlign w:val="baseline"/>
        </w:rPr>
        <w:t>zgodnie z podrozdziałem 10.</w:t>
      </w:r>
      <w:r w:rsidRPr="005A667F">
        <w:rPr>
          <w:rFonts w:ascii="Calibri" w:hAnsi="Calibri" w:cs="Calibri"/>
        </w:rPr>
        <w:t>6</w:t>
      </w:r>
      <w:r w:rsidR="006167E8">
        <w:rPr>
          <w:rStyle w:val="Odwoanieprzypisudolnego"/>
          <w:rFonts w:ascii="Calibri" w:hAnsi="Calibri" w:cs="Calibri"/>
          <w:vertAlign w:val="baseline"/>
        </w:rPr>
        <w:t xml:space="preserve"> WR-D-41-3.</w:t>
      </w:r>
    </w:p>
  </w:footnote>
  <w:footnote w:id="3">
    <w:p w:rsidR="00153B9B" w:rsidRPr="005A667F" w:rsidRDefault="00153B9B" w:rsidP="00153B9B">
      <w:pPr>
        <w:pStyle w:val="Tekstprzypisudolnego"/>
        <w:jc w:val="both"/>
        <w:rPr>
          <w:rStyle w:val="Odwoanieprzypisudolnego"/>
          <w:rFonts w:ascii="Calibri" w:hAnsi="Calibri" w:cs="Calibri"/>
        </w:rPr>
      </w:pPr>
      <w:r w:rsidRPr="005A667F">
        <w:rPr>
          <w:rStyle w:val="Odwoanieprzypisudolnego"/>
          <w:rFonts w:ascii="Calibri" w:hAnsi="Calibri" w:cs="Calibri"/>
        </w:rPr>
        <w:footnoteRef/>
      </w:r>
      <w:r w:rsidRPr="005A667F">
        <w:rPr>
          <w:rStyle w:val="Odwoanieprzypisudolnego"/>
          <w:rFonts w:ascii="Calibri" w:hAnsi="Calibri" w:cs="Calibri"/>
        </w:rPr>
        <w:t> </w:t>
      </w:r>
      <w:r w:rsidRPr="005A667F">
        <w:rPr>
          <w:rStyle w:val="Odwoanieprzypisudolnego"/>
          <w:rFonts w:ascii="Calibri" w:hAnsi="Calibri" w:cs="Calibri"/>
          <w:vertAlign w:val="baseline"/>
        </w:rPr>
        <w:t>niezgodnych z ww. rozporządzeniem</w:t>
      </w:r>
      <w:r w:rsidRPr="005A667F">
        <w:rPr>
          <w:rFonts w:ascii="Calibri" w:hAnsi="Calibri" w:cs="Calibri"/>
        </w:rPr>
        <w:t>,</w:t>
      </w:r>
    </w:p>
  </w:footnote>
  <w:footnote w:id="4">
    <w:p w:rsidR="00153B9B" w:rsidRPr="004549B2" w:rsidRDefault="00153B9B" w:rsidP="00153B9B">
      <w:pPr>
        <w:pStyle w:val="Tekstprzypisudolnego"/>
        <w:jc w:val="both"/>
        <w:rPr>
          <w:rStyle w:val="Odwoanieprzypisudolnego"/>
          <w:rFonts w:ascii="Times New Roman" w:hAnsi="Times New Roman"/>
        </w:rPr>
      </w:pPr>
      <w:r w:rsidRPr="005A667F">
        <w:rPr>
          <w:rStyle w:val="Odwoanieprzypisudolnego"/>
          <w:rFonts w:ascii="Calibri" w:hAnsi="Calibri" w:cs="Calibri"/>
        </w:rPr>
        <w:footnoteRef/>
      </w:r>
      <w:r w:rsidRPr="005A667F">
        <w:rPr>
          <w:rStyle w:val="Odwoanieprzypisudolnego"/>
          <w:rFonts w:ascii="Calibri" w:hAnsi="Calibri" w:cs="Calibri"/>
        </w:rPr>
        <w:t xml:space="preserve"> </w:t>
      </w:r>
      <w:r w:rsidRPr="005A667F">
        <w:rPr>
          <w:rStyle w:val="Odwoanieprzypisudolnego"/>
          <w:rFonts w:ascii="Calibri" w:hAnsi="Calibri" w:cs="Calibri"/>
          <w:vertAlign w:val="baseline"/>
        </w:rPr>
        <w:t>rozporządzenie Ministra Infrastruktury z dnia 3 lipca 2003 r. w sprawie szczegółowych warunków technicznych dla znaków i sygnałów drogowych oraz urządzeń bezpieczeństwa ruchu drogowego i warunków ich umieszczania na drogach (Dz. U. z 2019 r. poz. 2311, z późn. zm.).</w:t>
      </w:r>
    </w:p>
  </w:footnote>
  <w:footnote w:id="5">
    <w:p w:rsidR="00153B9B" w:rsidRPr="00626CDF" w:rsidRDefault="00153B9B" w:rsidP="00153B9B">
      <w:pPr>
        <w:pStyle w:val="Tekstprzypisudolnego"/>
        <w:jc w:val="both"/>
        <w:rPr>
          <w:rStyle w:val="Odwoanieprzypisudolnego"/>
          <w:rFonts w:ascii="Times New Roman" w:hAnsi="Times New Roman"/>
        </w:rPr>
      </w:pPr>
      <w:r w:rsidRPr="00626CDF">
        <w:rPr>
          <w:rStyle w:val="Odwoanieprzypisudolnego"/>
          <w:rFonts w:ascii="Times New Roman" w:hAnsi="Times New Roman"/>
        </w:rPr>
        <w:footnoteRef/>
      </w:r>
      <w:r w:rsidRPr="00626CDF">
        <w:rPr>
          <w:rStyle w:val="Odwoanieprzypisudolnego"/>
          <w:rFonts w:ascii="Times New Roman" w:hAnsi="Times New Roman"/>
        </w:rPr>
        <w:t> </w:t>
      </w:r>
      <w:r w:rsidRPr="00153B9B">
        <w:rPr>
          <w:rStyle w:val="Odwoanieprzypisudolnego"/>
          <w:rFonts w:ascii="Calibri" w:hAnsi="Calibri" w:cs="Calibri"/>
          <w:vertAlign w:val="baseline"/>
        </w:rPr>
        <w:t xml:space="preserve">nie dotyczy przejść dla pieszych </w:t>
      </w:r>
      <w:r w:rsidRPr="00153B9B">
        <w:rPr>
          <w:rFonts w:ascii="Calibri" w:hAnsi="Calibri" w:cs="Calibri"/>
        </w:rPr>
        <w:t>przez</w:t>
      </w:r>
      <w:r w:rsidRPr="00153B9B">
        <w:rPr>
          <w:rStyle w:val="Odwoanieprzypisudolnego"/>
          <w:rFonts w:ascii="Calibri" w:hAnsi="Calibri" w:cs="Calibri"/>
          <w:vertAlign w:val="baseline"/>
        </w:rPr>
        <w:t xml:space="preserve"> drog</w:t>
      </w:r>
      <w:r w:rsidRPr="00153B9B">
        <w:rPr>
          <w:rFonts w:ascii="Calibri" w:hAnsi="Calibri" w:cs="Calibri"/>
        </w:rPr>
        <w:t>i</w:t>
      </w:r>
      <w:r w:rsidRPr="00153B9B">
        <w:rPr>
          <w:rStyle w:val="Odwoanieprzypisudolnego"/>
          <w:rFonts w:ascii="Calibri" w:hAnsi="Calibri" w:cs="Calibri"/>
          <w:vertAlign w:val="baseline"/>
        </w:rPr>
        <w:t xml:space="preserve"> dla rowerów, na których dopuszcza się wykonanie wyłącznie oznakowania poziomego.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D64"/>
    <w:multiLevelType w:val="hybridMultilevel"/>
    <w:tmpl w:val="8DBA9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2D87"/>
    <w:multiLevelType w:val="hybridMultilevel"/>
    <w:tmpl w:val="7BDC1F2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52612"/>
    <w:multiLevelType w:val="hybridMultilevel"/>
    <w:tmpl w:val="E60024DA"/>
    <w:lvl w:ilvl="0" w:tplc="A9328DD6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1C9832DF"/>
    <w:multiLevelType w:val="hybridMultilevel"/>
    <w:tmpl w:val="81065C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8A00AA"/>
    <w:multiLevelType w:val="hybridMultilevel"/>
    <w:tmpl w:val="71CAB140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B6F6E42"/>
    <w:multiLevelType w:val="hybridMultilevel"/>
    <w:tmpl w:val="448E7F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E32AF2"/>
    <w:multiLevelType w:val="hybridMultilevel"/>
    <w:tmpl w:val="66C28B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D279B"/>
    <w:multiLevelType w:val="hybridMultilevel"/>
    <w:tmpl w:val="6150B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6051D"/>
    <w:multiLevelType w:val="hybridMultilevel"/>
    <w:tmpl w:val="D046C980"/>
    <w:lvl w:ilvl="0" w:tplc="00C87032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9" w15:restartNumberingAfterBreak="0">
    <w:nsid w:val="407D4DD0"/>
    <w:multiLevelType w:val="hybridMultilevel"/>
    <w:tmpl w:val="9F26E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55EBE"/>
    <w:multiLevelType w:val="hybridMultilevel"/>
    <w:tmpl w:val="F34C623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AA36E3"/>
    <w:multiLevelType w:val="hybridMultilevel"/>
    <w:tmpl w:val="E4C03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A4426"/>
    <w:multiLevelType w:val="hybridMultilevel"/>
    <w:tmpl w:val="2AF8C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11DAA"/>
    <w:multiLevelType w:val="hybridMultilevel"/>
    <w:tmpl w:val="DE5E3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A44DF"/>
    <w:multiLevelType w:val="hybridMultilevel"/>
    <w:tmpl w:val="AC7C96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C34C8F"/>
    <w:multiLevelType w:val="multilevel"/>
    <w:tmpl w:val="67769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53A250A"/>
    <w:multiLevelType w:val="hybridMultilevel"/>
    <w:tmpl w:val="6BD09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B126B4"/>
    <w:multiLevelType w:val="hybridMultilevel"/>
    <w:tmpl w:val="E8967DEA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E521817"/>
    <w:multiLevelType w:val="hybridMultilevel"/>
    <w:tmpl w:val="C5BC579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EB13B5"/>
    <w:multiLevelType w:val="hybridMultilevel"/>
    <w:tmpl w:val="82A6BB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8"/>
  </w:num>
  <w:num w:numId="5">
    <w:abstractNumId w:val="10"/>
  </w:num>
  <w:num w:numId="6">
    <w:abstractNumId w:val="17"/>
  </w:num>
  <w:num w:numId="7">
    <w:abstractNumId w:val="1"/>
  </w:num>
  <w:num w:numId="8">
    <w:abstractNumId w:val="8"/>
  </w:num>
  <w:num w:numId="9">
    <w:abstractNumId w:val="11"/>
  </w:num>
  <w:num w:numId="10">
    <w:abstractNumId w:val="6"/>
  </w:num>
  <w:num w:numId="11">
    <w:abstractNumId w:val="7"/>
  </w:num>
  <w:num w:numId="12">
    <w:abstractNumId w:val="13"/>
  </w:num>
  <w:num w:numId="13">
    <w:abstractNumId w:val="9"/>
  </w:num>
  <w:num w:numId="14">
    <w:abstractNumId w:val="3"/>
  </w:num>
  <w:num w:numId="15">
    <w:abstractNumId w:val="16"/>
  </w:num>
  <w:num w:numId="16">
    <w:abstractNumId w:val="12"/>
  </w:num>
  <w:num w:numId="17">
    <w:abstractNumId w:val="0"/>
  </w:num>
  <w:num w:numId="18">
    <w:abstractNumId w:val="19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B9"/>
    <w:rsid w:val="000052B9"/>
    <w:rsid w:val="000C7C37"/>
    <w:rsid w:val="00153B9B"/>
    <w:rsid w:val="00287AF5"/>
    <w:rsid w:val="00365A11"/>
    <w:rsid w:val="00442DAA"/>
    <w:rsid w:val="004A5D8D"/>
    <w:rsid w:val="005A667F"/>
    <w:rsid w:val="006167E8"/>
    <w:rsid w:val="00732AF5"/>
    <w:rsid w:val="00EA5E17"/>
    <w:rsid w:val="00EA762C"/>
    <w:rsid w:val="00FA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92BC"/>
  <w15:chartTrackingRefBased/>
  <w15:docId w15:val="{E35237BF-F661-4E91-863C-FBCB4DB5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53B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3B9B"/>
    <w:pPr>
      <w:spacing w:after="0" w:line="240" w:lineRule="auto"/>
      <w:ind w:left="720"/>
      <w:contextualSpacing/>
    </w:pPr>
    <w:rPr>
      <w:rFonts w:ascii="Inter" w:eastAsia="Calibri" w:hAnsi="Inter" w:cs="Times New Roman"/>
      <w:sz w:val="20"/>
    </w:rPr>
  </w:style>
  <w:style w:type="character" w:styleId="Hipercze">
    <w:name w:val="Hyperlink"/>
    <w:uiPriority w:val="99"/>
    <w:unhideWhenUsed/>
    <w:rsid w:val="00153B9B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3B9B"/>
    <w:pPr>
      <w:spacing w:after="0" w:line="240" w:lineRule="auto"/>
    </w:pPr>
    <w:rPr>
      <w:rFonts w:ascii="Inter" w:eastAsia="Calibri" w:hAnsi="Inter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3B9B"/>
    <w:rPr>
      <w:rFonts w:ascii="Inter" w:eastAsia="Calibri" w:hAnsi="Inter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53B9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0C7C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nfrastruktura/wr-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infrastruktura/wr-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infrastruktura/wr-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Kropidłowska</dc:creator>
  <cp:keywords/>
  <dc:description/>
  <cp:lastModifiedBy>Rafał Rudnik</cp:lastModifiedBy>
  <cp:revision>2</cp:revision>
  <dcterms:created xsi:type="dcterms:W3CDTF">2021-03-11T08:06:00Z</dcterms:created>
  <dcterms:modified xsi:type="dcterms:W3CDTF">2021-03-11T08:06:00Z</dcterms:modified>
</cp:coreProperties>
</file>