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46921810"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4E348578" w:rsidR="00F432E6" w:rsidRPr="001E67FD" w:rsidRDefault="006021BE" w:rsidP="009F0EDF">
      <w:pPr>
        <w:widowControl w:val="0"/>
        <w:suppressAutoHyphens/>
        <w:spacing w:after="0" w:line="360" w:lineRule="auto"/>
        <w:rPr>
          <w:rFonts w:eastAsia="Lucida Sans Unicode" w:cstheme="minorHAnsi"/>
          <w:bCs/>
          <w:kern w:val="28"/>
          <w:sz w:val="24"/>
          <w:szCs w:val="24"/>
        </w:rPr>
      </w:pPr>
      <w:r w:rsidRPr="001E67FD">
        <w:rPr>
          <w:rFonts w:eastAsia="Lucida Sans Unicode" w:cstheme="minorHAnsi"/>
          <w:bCs/>
          <w:kern w:val="28"/>
          <w:sz w:val="24"/>
          <w:szCs w:val="24"/>
        </w:rPr>
        <w:t>WOOŚ.</w:t>
      </w:r>
      <w:r w:rsidR="00267220" w:rsidRPr="001E67FD">
        <w:rPr>
          <w:rFonts w:eastAsia="Lucida Sans Unicode" w:cstheme="minorHAnsi"/>
          <w:bCs/>
          <w:kern w:val="28"/>
          <w:sz w:val="24"/>
          <w:szCs w:val="24"/>
        </w:rPr>
        <w:t>420.</w:t>
      </w:r>
      <w:r w:rsidR="00EA1ABA">
        <w:rPr>
          <w:rFonts w:eastAsia="Lucida Sans Unicode" w:cstheme="minorHAnsi"/>
          <w:bCs/>
          <w:kern w:val="28"/>
          <w:sz w:val="24"/>
          <w:szCs w:val="24"/>
        </w:rPr>
        <w:t>7</w:t>
      </w:r>
      <w:r w:rsidR="00155A5C">
        <w:rPr>
          <w:rFonts w:eastAsia="Lucida Sans Unicode" w:cstheme="minorHAnsi"/>
          <w:bCs/>
          <w:kern w:val="28"/>
          <w:sz w:val="24"/>
          <w:szCs w:val="24"/>
        </w:rPr>
        <w:t>.2026.KT.</w:t>
      </w:r>
      <w:r w:rsidR="00EA1ABA">
        <w:rPr>
          <w:rFonts w:eastAsia="Lucida Sans Unicode" w:cstheme="minorHAnsi"/>
          <w:bCs/>
          <w:kern w:val="28"/>
          <w:sz w:val="24"/>
          <w:szCs w:val="24"/>
        </w:rPr>
        <w:t>9</w:t>
      </w:r>
    </w:p>
    <w:p w14:paraId="633219AB" w14:textId="14F5378F"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155A5C">
        <w:rPr>
          <w:rFonts w:eastAsia="Lucida Sans Unicode" w:cstheme="minorHAnsi"/>
          <w:bCs/>
          <w:kern w:val="28"/>
          <w:sz w:val="24"/>
          <w:szCs w:val="24"/>
        </w:rPr>
        <w:t>30 lipca</w:t>
      </w:r>
      <w:r w:rsidR="00E25E5A">
        <w:rPr>
          <w:rFonts w:eastAsia="Lucida Sans Unicode" w:cstheme="minorHAnsi"/>
          <w:bCs/>
          <w:kern w:val="28"/>
          <w:sz w:val="24"/>
          <w:szCs w:val="24"/>
        </w:rPr>
        <w:t xml:space="preserve"> 2026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7E6F134C" w14:textId="343D921A" w:rsidR="00FA6BFF" w:rsidRDefault="00E25E5A" w:rsidP="00E25E5A">
      <w:pPr>
        <w:spacing w:after="100" w:afterAutospacing="1" w:line="360" w:lineRule="auto"/>
        <w:rPr>
          <w:sz w:val="24"/>
          <w:szCs w:val="24"/>
          <w:lang w:eastAsia="zh-CN" w:bidi="hi-IN"/>
        </w:rPr>
      </w:pPr>
      <w:r w:rsidRPr="00E25E5A">
        <w:rPr>
          <w:sz w:val="24"/>
          <w:szCs w:val="24"/>
          <w:lang w:eastAsia="zh-CN" w:bidi="hi-IN"/>
        </w:rPr>
        <w:t xml:space="preserve">Na </w:t>
      </w:r>
      <w:r w:rsidR="00EA1ABA" w:rsidRPr="00EA1ABA">
        <w:rPr>
          <w:sz w:val="24"/>
          <w:szCs w:val="24"/>
          <w:lang w:eastAsia="zh-CN" w:bidi="hi-IN"/>
        </w:rPr>
        <w:t xml:space="preserve">podstawie art. 71 ust. 2 pkt 2, art. 75 ust. 1 pkt 1 lit. d, art. 84 i art. 85 ust. 1 ustawy z dnia 3 października 2008 r. o udostępnianiu informacji o środowisku i jego ochronie, udziale społeczeństwa w ochronie środowiska oraz o ocenach oddziaływania na środowisko (Dz. U. z 2026 r. poz. 670) oraz § 3 ust. 1 pkt 88 lit. b rozporządzenia Rady Ministrów z dnia 10 września 2019 r. w sprawie przedsięwzięć mogących znacząco oddziaływać na środowisko (Dz. U. z 2019 r. poz. 1839, z </w:t>
      </w:r>
      <w:proofErr w:type="spellStart"/>
      <w:r w:rsidR="00EA1ABA" w:rsidRPr="00EA1ABA">
        <w:rPr>
          <w:sz w:val="24"/>
          <w:szCs w:val="24"/>
          <w:lang w:eastAsia="zh-CN" w:bidi="hi-IN"/>
        </w:rPr>
        <w:t>późn</w:t>
      </w:r>
      <w:proofErr w:type="spellEnd"/>
      <w:r w:rsidR="00EA1ABA" w:rsidRPr="00EA1ABA">
        <w:rPr>
          <w:sz w:val="24"/>
          <w:szCs w:val="24"/>
          <w:lang w:eastAsia="zh-CN" w:bidi="hi-IN"/>
        </w:rPr>
        <w:t>. zm.), w związku z art. 104 ustawy z dnia 14 czerwca 1960 r. Kodeks postępowania administracyjnego (Dz. U. z 2025 r. poz. 1691), po rozpatrzeniu wniosku złożonego przez Inwestorów – (</w:t>
      </w:r>
      <w:proofErr w:type="spellStart"/>
      <w:r w:rsidR="00EA1ABA" w:rsidRPr="00EA1ABA">
        <w:rPr>
          <w:sz w:val="24"/>
          <w:szCs w:val="24"/>
          <w:lang w:eastAsia="zh-CN" w:bidi="hi-IN"/>
        </w:rPr>
        <w:t>anonimizacja</w:t>
      </w:r>
      <w:proofErr w:type="spellEnd"/>
      <w:r w:rsidR="00EA1ABA" w:rsidRPr="00EA1ABA">
        <w:rPr>
          <w:sz w:val="24"/>
          <w:szCs w:val="24"/>
          <w:lang w:eastAsia="zh-CN" w:bidi="hi-IN"/>
        </w:rPr>
        <w:t>) oraz po zasięgnięciu opinii Państwowego Gospodarstwa Wodnego Wody Polskie Zarządu Zlewni w Augustowie (opinia z dnia 30.06.2026 r., znak: BA.ZZŚ.4130.214.2026.AN</w:t>
      </w:r>
      <w:r w:rsidR="00155A5C" w:rsidRPr="00155A5C">
        <w:rPr>
          <w:sz w:val="24"/>
          <w:szCs w:val="24"/>
          <w:lang w:eastAsia="zh-CN" w:bidi="hi-IN"/>
        </w:rPr>
        <w:t>),</w:t>
      </w:r>
    </w:p>
    <w:p w14:paraId="7FA60CD8" w14:textId="33B5E0A9" w:rsidR="00AA7C36" w:rsidRDefault="00FA6BFF" w:rsidP="00463EB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orzek</w:t>
      </w:r>
      <w:r w:rsidR="00E25E5A">
        <w:rPr>
          <w:rFonts w:asciiTheme="minorHAnsi" w:hAnsiTheme="minorHAnsi" w:cstheme="minorHAnsi"/>
          <w:color w:val="auto"/>
          <w:sz w:val="28"/>
          <w:szCs w:val="28"/>
        </w:rPr>
        <w:t>am</w:t>
      </w:r>
    </w:p>
    <w:p w14:paraId="25281FC7" w14:textId="77777777" w:rsidR="00EA1ABA" w:rsidRPr="00EA1ABA" w:rsidRDefault="00EA1ABA" w:rsidP="00EA1ABA">
      <w:pPr>
        <w:pStyle w:val="Akapitzlist"/>
        <w:numPr>
          <w:ilvl w:val="0"/>
          <w:numId w:val="7"/>
        </w:numPr>
        <w:spacing w:after="0" w:line="360" w:lineRule="auto"/>
        <w:rPr>
          <w:rFonts w:ascii="Calibri" w:hAnsi="Calibri" w:cs="Calibri"/>
          <w:sz w:val="24"/>
          <w:szCs w:val="24"/>
        </w:rPr>
      </w:pPr>
      <w:r w:rsidRPr="00EA1ABA">
        <w:rPr>
          <w:rFonts w:ascii="Calibri" w:hAnsi="Calibri" w:cs="Calibri"/>
          <w:sz w:val="24"/>
          <w:szCs w:val="24"/>
        </w:rPr>
        <w:t>Brak potrzeby przeprowadzenia oceny oddziaływania na środowisko dla przedsięwzięcia polegającego na zmianie lasu na użytek rolny na działce nr 3/1 obręb Wilkasy (0,3783 ha) oraz działce nr 28 obręb Niedźwiedzkie (0,2121 ha), gm. Wieliczki, pow. olecki, woj. warmińsko-mazurskie.</w:t>
      </w:r>
    </w:p>
    <w:p w14:paraId="4D71E3E9" w14:textId="5EC74BCF" w:rsidR="00FA6BFF" w:rsidRPr="00EA1ABA" w:rsidRDefault="00155A5C" w:rsidP="00EA1ABA">
      <w:pPr>
        <w:pStyle w:val="Akapitzlist"/>
        <w:numPr>
          <w:ilvl w:val="0"/>
          <w:numId w:val="7"/>
        </w:numPr>
        <w:spacing w:after="0" w:line="360" w:lineRule="auto"/>
        <w:ind w:left="714" w:hanging="357"/>
        <w:rPr>
          <w:rFonts w:ascii="Calibri" w:hAnsi="Calibri" w:cs="Calibri"/>
          <w:sz w:val="24"/>
          <w:szCs w:val="24"/>
        </w:rPr>
      </w:pPr>
      <w:r w:rsidRPr="00155A5C">
        <w:rPr>
          <w:sz w:val="24"/>
          <w:szCs w:val="24"/>
        </w:rPr>
        <w:t xml:space="preserve">Charakterystyka przedsięwzięcia stanowi załącznik </w:t>
      </w:r>
      <w:r w:rsidR="00EA1ABA">
        <w:rPr>
          <w:sz w:val="24"/>
          <w:szCs w:val="24"/>
        </w:rPr>
        <w:t xml:space="preserve">nr 1 </w:t>
      </w:r>
      <w:r w:rsidRPr="00155A5C">
        <w:rPr>
          <w:sz w:val="24"/>
          <w:szCs w:val="24"/>
        </w:rPr>
        <w:t>do niniejszej decyzji.</w:t>
      </w:r>
    </w:p>
    <w:p w14:paraId="732C6E65" w14:textId="5883E004" w:rsidR="00EA1ABA" w:rsidRPr="00155A5C" w:rsidRDefault="00EA1ABA" w:rsidP="00EA1ABA">
      <w:pPr>
        <w:pStyle w:val="Akapitzlist"/>
        <w:numPr>
          <w:ilvl w:val="0"/>
          <w:numId w:val="7"/>
        </w:numPr>
        <w:spacing w:after="100" w:afterAutospacing="1" w:line="360" w:lineRule="auto"/>
        <w:ind w:left="714" w:hanging="357"/>
        <w:rPr>
          <w:rFonts w:ascii="Calibri" w:hAnsi="Calibri" w:cs="Calibri"/>
          <w:sz w:val="24"/>
          <w:szCs w:val="24"/>
        </w:rPr>
      </w:pPr>
      <w:r w:rsidRPr="00EA1ABA">
        <w:rPr>
          <w:rFonts w:ascii="Calibri" w:hAnsi="Calibri" w:cs="Calibri"/>
          <w:sz w:val="24"/>
          <w:szCs w:val="24"/>
        </w:rPr>
        <w:t>Teren przeznaczony do zmiany lasu na użytek rolny, przedstawia załącznik nr 2 do niniejszej decyzji</w:t>
      </w:r>
    </w:p>
    <w:p w14:paraId="71BF6806" w14:textId="4279C24F" w:rsidR="003D1849" w:rsidRDefault="00D9304D" w:rsidP="003D1849">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 xml:space="preserve">Uzasadnienie </w:t>
      </w:r>
    </w:p>
    <w:p w14:paraId="3361B86E" w14:textId="77777777" w:rsidR="00EA1ABA" w:rsidRDefault="00155A5C" w:rsidP="00EA1ABA">
      <w:pPr>
        <w:spacing w:after="0" w:line="360" w:lineRule="auto"/>
        <w:rPr>
          <w:rFonts w:cstheme="minorHAnsi"/>
          <w:color w:val="00000A"/>
          <w:sz w:val="24"/>
          <w:szCs w:val="24"/>
        </w:rPr>
      </w:pPr>
      <w:r>
        <w:rPr>
          <w:rFonts w:cstheme="minorHAnsi"/>
          <w:color w:val="00000A"/>
          <w:sz w:val="24"/>
          <w:szCs w:val="24"/>
        </w:rPr>
        <w:t xml:space="preserve">W dniu </w:t>
      </w:r>
      <w:r w:rsidR="00EA1ABA" w:rsidRPr="00EA1ABA">
        <w:rPr>
          <w:rFonts w:cstheme="minorHAnsi"/>
          <w:color w:val="00000A"/>
          <w:sz w:val="24"/>
          <w:szCs w:val="24"/>
        </w:rPr>
        <w:t xml:space="preserve">15.05.2026 r. wpłynął do Regionalnego Dyrektora Ochrony Środowiska w Olsztynie wniosek z dnia 12.05.2026 r. o wydanie decyzji o środowiskowych uwarunkowaniach dla </w:t>
      </w:r>
      <w:r w:rsidR="00EA1ABA" w:rsidRPr="00EA1ABA">
        <w:rPr>
          <w:rFonts w:cstheme="minorHAnsi"/>
          <w:color w:val="00000A"/>
          <w:sz w:val="24"/>
          <w:szCs w:val="24"/>
        </w:rPr>
        <w:lastRenderedPageBreak/>
        <w:t>planowanego przedsięwzięcia polegającego na zmianie lasu na użytek rolny na działce nr 3/1 obręb Wilkasy (0,3783 ha) oraz działce nr 28 obręb Niedźwiedzkie (0,2121 ha), gm. Wieliczki, pow. olecki, woj. warmińsko-mazurskie.</w:t>
      </w:r>
    </w:p>
    <w:p w14:paraId="7EE7B5D9" w14:textId="2F38DC21"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Działając zgodnie z art. 64 § 2 ustawy z dnia 14 czerwca 1960 r. Kodeks postępowania administracyjnego (Dz. U. z 2025 r. poz. 1691), Regionalny Dyrektor Ochrony Środowiska w Olsztynie, pismem z dnia 21.05.2026 r., znak: WOOŚ.420.7.2026.KT.1, wezwał Inwestorów do usunięcia braków formalnych wniosku. Uzupełnienie przedłożono w dniu 11.06.2026 r.</w:t>
      </w:r>
    </w:p>
    <w:p w14:paraId="5F843D2F" w14:textId="77777777" w:rsidR="00EA1ABA" w:rsidRDefault="00EA1ABA" w:rsidP="00EA1ABA">
      <w:pPr>
        <w:spacing w:after="0" w:line="360" w:lineRule="auto"/>
        <w:rPr>
          <w:rFonts w:cstheme="minorHAnsi"/>
          <w:color w:val="00000A"/>
          <w:sz w:val="24"/>
          <w:szCs w:val="24"/>
        </w:rPr>
      </w:pPr>
      <w:r w:rsidRPr="00EA1ABA">
        <w:rPr>
          <w:rFonts w:cstheme="minorHAnsi"/>
          <w:color w:val="00000A"/>
          <w:sz w:val="24"/>
          <w:szCs w:val="24"/>
        </w:rPr>
        <w:t>Do wymienionego wniosku o wydanie decyzji o środowiskowych uwarunkowaniach dołączono:</w:t>
      </w:r>
    </w:p>
    <w:p w14:paraId="340411C1" w14:textId="77777777" w:rsidR="00EA1ABA" w:rsidRDefault="00EA1ABA" w:rsidP="00EA1ABA">
      <w:pPr>
        <w:pStyle w:val="Akapitzlist"/>
        <w:numPr>
          <w:ilvl w:val="0"/>
          <w:numId w:val="12"/>
        </w:numPr>
        <w:spacing w:after="0" w:line="360" w:lineRule="auto"/>
        <w:rPr>
          <w:rFonts w:cstheme="minorHAnsi"/>
          <w:color w:val="00000A"/>
          <w:sz w:val="24"/>
          <w:szCs w:val="24"/>
        </w:rPr>
      </w:pPr>
      <w:r w:rsidRPr="00EA1ABA">
        <w:rPr>
          <w:rFonts w:cstheme="minorHAnsi"/>
          <w:color w:val="00000A"/>
          <w:sz w:val="24"/>
          <w:szCs w:val="24"/>
        </w:rPr>
        <w:t>kartę informacyjną przedsięwzięcia (opracowanie z maja 2026 r.) w formie pisemnej oraz na informatycznych nośnikach danych z jej zapisem w formie elektronicznej;</w:t>
      </w:r>
    </w:p>
    <w:p w14:paraId="6DEDDF47" w14:textId="77777777" w:rsidR="00EA1ABA" w:rsidRDefault="00EA1ABA" w:rsidP="00EA1ABA">
      <w:pPr>
        <w:pStyle w:val="Akapitzlist"/>
        <w:numPr>
          <w:ilvl w:val="0"/>
          <w:numId w:val="12"/>
        </w:numPr>
        <w:spacing w:after="0" w:line="360" w:lineRule="auto"/>
        <w:rPr>
          <w:rFonts w:cstheme="minorHAnsi"/>
          <w:color w:val="00000A"/>
          <w:sz w:val="24"/>
          <w:szCs w:val="24"/>
        </w:rPr>
      </w:pPr>
      <w:r w:rsidRPr="00EA1ABA">
        <w:rPr>
          <w:rFonts w:cstheme="minorHAnsi"/>
          <w:color w:val="00000A"/>
          <w:sz w:val="24"/>
          <w:szCs w:val="24"/>
        </w:rPr>
        <w:t>poświadczoną przez właściwy organ kopię mapy ewidencyjnej w skali 1:2000, w postaci papierowej, obejmującej przewidywany teren, na którym będzie realizowane przedsięwzięcie, oraz przewidywany obszar, na który będzie oddziaływać przedsięwzięcie;</w:t>
      </w:r>
    </w:p>
    <w:p w14:paraId="6E20CE21" w14:textId="77777777" w:rsidR="00EA1ABA" w:rsidRDefault="00EA1ABA" w:rsidP="00EA1ABA">
      <w:pPr>
        <w:pStyle w:val="Akapitzlist"/>
        <w:numPr>
          <w:ilvl w:val="0"/>
          <w:numId w:val="12"/>
        </w:numPr>
        <w:spacing w:after="0" w:line="360" w:lineRule="auto"/>
        <w:rPr>
          <w:rFonts w:cstheme="minorHAnsi"/>
          <w:color w:val="00000A"/>
          <w:sz w:val="24"/>
          <w:szCs w:val="24"/>
        </w:rPr>
      </w:pPr>
      <w:r w:rsidRPr="00EA1ABA">
        <w:rPr>
          <w:rFonts w:cstheme="minorHAnsi"/>
          <w:color w:val="00000A"/>
          <w:sz w:val="24"/>
          <w:szCs w:val="24"/>
        </w:rPr>
        <w:t>mapę, w postaci papierowej oraz elektronicznej, z zaznaczonym przewidywanym terenem, na którym będzie realizowane przedsięwzięcie, oraz z zaznaczonym przewidywanym obszarem, na który będzie oddziaływać przedsięwzięcie;</w:t>
      </w:r>
    </w:p>
    <w:p w14:paraId="77811F42" w14:textId="77777777" w:rsidR="00EA1ABA" w:rsidRDefault="00EA1ABA" w:rsidP="00EA1ABA">
      <w:pPr>
        <w:pStyle w:val="Akapitzlist"/>
        <w:numPr>
          <w:ilvl w:val="0"/>
          <w:numId w:val="12"/>
        </w:numPr>
        <w:spacing w:after="0" w:line="360" w:lineRule="auto"/>
        <w:rPr>
          <w:rFonts w:cstheme="minorHAnsi"/>
          <w:color w:val="00000A"/>
          <w:sz w:val="24"/>
          <w:szCs w:val="24"/>
        </w:rPr>
      </w:pPr>
      <w:r w:rsidRPr="00EA1ABA">
        <w:rPr>
          <w:rFonts w:cstheme="minorHAnsi"/>
          <w:color w:val="00000A"/>
          <w:sz w:val="24"/>
          <w:szCs w:val="24"/>
        </w:rPr>
        <w:t>zaświadczenie z dnia 12.05.2026 r., znak: G.I.6727.48.2026, wydane przez Wójta Gminy Wieliczki, że działka nr 3/1 obręb 0021 Wilkasy oraz działka nr 28 obręb 0012 Niedźwiedzkie, nie są objęte miejscowym planem zagospodarowania przestrzennego;</w:t>
      </w:r>
    </w:p>
    <w:p w14:paraId="1E5867FB" w14:textId="37A607AC" w:rsidR="00EA1ABA" w:rsidRPr="00EA1ABA" w:rsidRDefault="00EA1ABA" w:rsidP="00EA1ABA">
      <w:pPr>
        <w:pStyle w:val="Akapitzlist"/>
        <w:numPr>
          <w:ilvl w:val="0"/>
          <w:numId w:val="12"/>
        </w:numPr>
        <w:spacing w:after="0" w:line="360" w:lineRule="auto"/>
        <w:rPr>
          <w:rFonts w:cstheme="minorHAnsi"/>
          <w:color w:val="00000A"/>
          <w:sz w:val="24"/>
          <w:szCs w:val="24"/>
        </w:rPr>
      </w:pPr>
      <w:r w:rsidRPr="00EA1ABA">
        <w:rPr>
          <w:rFonts w:cstheme="minorHAnsi"/>
          <w:color w:val="00000A"/>
          <w:sz w:val="24"/>
          <w:szCs w:val="24"/>
        </w:rPr>
        <w:t>uproszczone wypisy z rejestru gruntów, pozwalające na ustalenie stron postępowania.</w:t>
      </w:r>
    </w:p>
    <w:p w14:paraId="4099D24A"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 xml:space="preserve">W myśl art. 75 ust. 1 pkt 1 lit. d ustawy z dnia 3 października 2008 r. o udostępnianiu informacji o środowisku i jego ochronie, udziale społeczeństwa w ochronie środowiska oraz o ocenach oddziaływania na środowisko (Dz. U. z 2026 r. poz. 670) – dalej: ustawa </w:t>
      </w:r>
      <w:proofErr w:type="spellStart"/>
      <w:r w:rsidRPr="00EA1ABA">
        <w:rPr>
          <w:rFonts w:cstheme="minorHAnsi"/>
          <w:color w:val="00000A"/>
          <w:sz w:val="24"/>
          <w:szCs w:val="24"/>
        </w:rPr>
        <w:t>ooś</w:t>
      </w:r>
      <w:proofErr w:type="spellEnd"/>
      <w:r w:rsidRPr="00EA1ABA">
        <w:rPr>
          <w:rFonts w:cstheme="minorHAnsi"/>
          <w:color w:val="00000A"/>
          <w:sz w:val="24"/>
          <w:szCs w:val="24"/>
        </w:rPr>
        <w:t>, organem właściwym do wydania decyzji o środowiskowych uwarunkowaniach dla zmiany lasu, niestanowiącego własności Skarbu Państwa, na użytek rolny jest regionalny dyrektor ochrony środowiska.</w:t>
      </w:r>
    </w:p>
    <w:p w14:paraId="0F56B1DB" w14:textId="77777777" w:rsidR="00EA1ABA" w:rsidRDefault="00EA1ABA" w:rsidP="00EA1ABA">
      <w:pPr>
        <w:spacing w:after="0" w:line="360" w:lineRule="auto"/>
        <w:rPr>
          <w:rFonts w:cstheme="minorHAnsi"/>
          <w:color w:val="00000A"/>
          <w:sz w:val="24"/>
          <w:szCs w:val="24"/>
        </w:rPr>
      </w:pPr>
      <w:r w:rsidRPr="00EA1ABA">
        <w:rPr>
          <w:rFonts w:cstheme="minorHAnsi"/>
          <w:color w:val="00000A"/>
          <w:sz w:val="24"/>
          <w:szCs w:val="24"/>
        </w:rPr>
        <w:t xml:space="preserve">Zgodnie z § 3 ust. 1 pkt 88 lit. b rozporządzenia Rady Ministrów z dnia 10 września 2019 r. w sprawie przedsięwzięć mogących znacząco oddziaływać na środowisko (Dz. U. z 2019 r. poz. 1839, z </w:t>
      </w:r>
      <w:proofErr w:type="spellStart"/>
      <w:r w:rsidRPr="00EA1ABA">
        <w:rPr>
          <w:rFonts w:cstheme="minorHAnsi"/>
          <w:color w:val="00000A"/>
          <w:sz w:val="24"/>
          <w:szCs w:val="24"/>
        </w:rPr>
        <w:t>późn</w:t>
      </w:r>
      <w:proofErr w:type="spellEnd"/>
      <w:r w:rsidRPr="00EA1ABA">
        <w:rPr>
          <w:rFonts w:cstheme="minorHAnsi"/>
          <w:color w:val="00000A"/>
          <w:sz w:val="24"/>
          <w:szCs w:val="24"/>
        </w:rPr>
        <w:t>. zm.) do przedsięwzięć mogących potencjalnie znacząco oddziaływać na środowisko zalicza się zmianę lasu, innego gruntu o zwartej powierzchni co najmniej 0,10 ha pokrytego roślinnością leśną - drzewami i krzewami oraz runem leśnym - lub nieużytku na użytek rolny lub wylesienie mające na celu zmianę sposobu użytkowania terenu:</w:t>
      </w:r>
    </w:p>
    <w:p w14:paraId="44862B5D" w14:textId="77777777" w:rsidR="00EA1ABA" w:rsidRDefault="00EA1ABA" w:rsidP="00EA1ABA">
      <w:pPr>
        <w:pStyle w:val="Akapitzlist"/>
        <w:numPr>
          <w:ilvl w:val="0"/>
          <w:numId w:val="13"/>
        </w:numPr>
        <w:spacing w:after="0" w:line="360" w:lineRule="auto"/>
        <w:rPr>
          <w:rFonts w:cstheme="minorHAnsi"/>
          <w:color w:val="00000A"/>
          <w:sz w:val="24"/>
          <w:szCs w:val="24"/>
        </w:rPr>
      </w:pPr>
      <w:r w:rsidRPr="00EA1ABA">
        <w:rPr>
          <w:rFonts w:cstheme="minorHAnsi"/>
          <w:color w:val="00000A"/>
          <w:sz w:val="24"/>
          <w:szCs w:val="24"/>
        </w:rPr>
        <w:lastRenderedPageBreak/>
        <w:t>jeżeli dotyczy lasów łęgowych, olsów lub lasów na siedliskach bagiennych,</w:t>
      </w:r>
    </w:p>
    <w:p w14:paraId="3DAF6508" w14:textId="77777777" w:rsidR="00EA1ABA" w:rsidRDefault="00EA1ABA" w:rsidP="00EA1ABA">
      <w:pPr>
        <w:pStyle w:val="Akapitzlist"/>
        <w:numPr>
          <w:ilvl w:val="0"/>
          <w:numId w:val="13"/>
        </w:numPr>
        <w:spacing w:after="0" w:line="360" w:lineRule="auto"/>
        <w:rPr>
          <w:rFonts w:cstheme="minorHAnsi"/>
          <w:color w:val="00000A"/>
          <w:sz w:val="24"/>
          <w:szCs w:val="24"/>
        </w:rPr>
      </w:pPr>
      <w:r w:rsidRPr="00EA1ABA">
        <w:rPr>
          <w:rFonts w:cstheme="minorHAnsi"/>
          <w:color w:val="00000A"/>
          <w:sz w:val="24"/>
          <w:szCs w:val="24"/>
        </w:rPr>
        <w:t>jeżeli dotyczy enklaw pośród użytków rolnych lub nieużytków,</w:t>
      </w:r>
    </w:p>
    <w:p w14:paraId="2475BE44" w14:textId="77777777" w:rsidR="00EA1ABA" w:rsidRDefault="00EA1ABA" w:rsidP="00EA1ABA">
      <w:pPr>
        <w:pStyle w:val="Akapitzlist"/>
        <w:numPr>
          <w:ilvl w:val="0"/>
          <w:numId w:val="13"/>
        </w:numPr>
        <w:spacing w:after="0" w:line="360" w:lineRule="auto"/>
        <w:rPr>
          <w:rFonts w:cstheme="minorHAnsi"/>
          <w:color w:val="00000A"/>
          <w:sz w:val="24"/>
          <w:szCs w:val="24"/>
        </w:rPr>
      </w:pPr>
      <w:r w:rsidRPr="00EA1ABA">
        <w:rPr>
          <w:rFonts w:cstheme="minorHAnsi"/>
          <w:color w:val="00000A"/>
          <w:sz w:val="24"/>
          <w:szCs w:val="24"/>
        </w:rPr>
        <w:t>na obszarach objętych formami ochrony przyrody, o których mowa w art. 6 ust. 1 pkt 1-5, 8 i 9 ustawy z dnia 16 kwietnia 2004 r. o ochronie przyrody, lub w otulinach form ochrony przyrody, o których mowa w art. 6 ust. 1 pkt 1-3 tej ustawy,</w:t>
      </w:r>
    </w:p>
    <w:p w14:paraId="6E49DA21" w14:textId="77777777" w:rsidR="00EA1ABA" w:rsidRDefault="00EA1ABA" w:rsidP="00EA1ABA">
      <w:pPr>
        <w:pStyle w:val="Akapitzlist"/>
        <w:numPr>
          <w:ilvl w:val="0"/>
          <w:numId w:val="13"/>
        </w:numPr>
        <w:spacing w:after="0" w:line="360" w:lineRule="auto"/>
        <w:rPr>
          <w:rFonts w:cstheme="minorHAnsi"/>
          <w:color w:val="00000A"/>
          <w:sz w:val="24"/>
          <w:szCs w:val="24"/>
        </w:rPr>
      </w:pPr>
      <w:r w:rsidRPr="00EA1ABA">
        <w:rPr>
          <w:rFonts w:cstheme="minorHAnsi"/>
          <w:color w:val="00000A"/>
          <w:sz w:val="24"/>
          <w:szCs w:val="24"/>
        </w:rPr>
        <w:t>w granicach administracyjnych miast,</w:t>
      </w:r>
    </w:p>
    <w:p w14:paraId="1D242E2E" w14:textId="182C15B7" w:rsidR="00EA1ABA" w:rsidRPr="00EA1ABA" w:rsidRDefault="00EA1ABA" w:rsidP="00EA1ABA">
      <w:pPr>
        <w:pStyle w:val="Akapitzlist"/>
        <w:numPr>
          <w:ilvl w:val="0"/>
          <w:numId w:val="13"/>
        </w:numPr>
        <w:spacing w:after="0" w:line="360" w:lineRule="auto"/>
        <w:rPr>
          <w:rFonts w:cstheme="minorHAnsi"/>
          <w:color w:val="00000A"/>
          <w:sz w:val="24"/>
          <w:szCs w:val="24"/>
        </w:rPr>
      </w:pPr>
      <w:r w:rsidRPr="00EA1ABA">
        <w:rPr>
          <w:rFonts w:cstheme="minorHAnsi"/>
          <w:color w:val="00000A"/>
          <w:sz w:val="24"/>
          <w:szCs w:val="24"/>
        </w:rPr>
        <w:t>o powierzchni nie mniejszej niż 1 ha, inne niż wymienione w lit. a-d.</w:t>
      </w:r>
    </w:p>
    <w:p w14:paraId="100C5888"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 xml:space="preserve">Zgodnie z art. 71 ust. 2 pkt 2 ustawy z dnia 3 października 2008 r. ustawy </w:t>
      </w:r>
      <w:proofErr w:type="spellStart"/>
      <w:r w:rsidRPr="00EA1ABA">
        <w:rPr>
          <w:rFonts w:cstheme="minorHAnsi"/>
          <w:color w:val="00000A"/>
          <w:sz w:val="24"/>
          <w:szCs w:val="24"/>
        </w:rPr>
        <w:t>ooś</w:t>
      </w:r>
      <w:proofErr w:type="spellEnd"/>
      <w:r w:rsidRPr="00EA1ABA">
        <w:rPr>
          <w:rFonts w:cstheme="minorHAnsi"/>
          <w:color w:val="00000A"/>
          <w:sz w:val="24"/>
          <w:szCs w:val="24"/>
        </w:rPr>
        <w:t>, przedsięwzięcie mogące potencjalnie znacząco oddziaływać na środowisko wymaga uzyskania decyzji o środowiskowych uwarunkowaniach.</w:t>
      </w:r>
    </w:p>
    <w:p w14:paraId="44AD0743"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 xml:space="preserve">Zgodnie z zapisem art. 2 pkt 5 ustawy z dnia 11 kwietnia 2003 r. o kształtowaniu ustroju rolnego (Dz. U. z 2026 r. poz. 941), ilekroć w ustawie jest mowa o "użytkach rolnych" należy przez to rozumieć grunty orne, sady, łąki trwałe, pastwiska trwałe, grunty rolne zabudowane, grunty pod stawami i grunty pod rowami. Również zgodnie z § 9 ust. 1 pkt 1 rozporządzenia Ministra Rozwoju, Pracy i Technologii z dnia 27 lipca 2021 r. w sprawie ewidencji gruntów i budynków (Dz. U. z 2024 r. poz. 219, z </w:t>
      </w:r>
      <w:proofErr w:type="spellStart"/>
      <w:r w:rsidRPr="00EA1ABA">
        <w:rPr>
          <w:rFonts w:cstheme="minorHAnsi"/>
          <w:color w:val="00000A"/>
          <w:sz w:val="24"/>
          <w:szCs w:val="24"/>
        </w:rPr>
        <w:t>późn</w:t>
      </w:r>
      <w:proofErr w:type="spellEnd"/>
      <w:r w:rsidRPr="00EA1ABA">
        <w:rPr>
          <w:rFonts w:cstheme="minorHAnsi"/>
          <w:color w:val="00000A"/>
          <w:sz w:val="24"/>
          <w:szCs w:val="24"/>
        </w:rPr>
        <w:t>. zm.), do użytków rolnych zalicza się: grunty orne (R), sady (S), łąki trwałe (Ł), pastwiska trwałe (</w:t>
      </w:r>
      <w:proofErr w:type="spellStart"/>
      <w:r w:rsidRPr="00EA1ABA">
        <w:rPr>
          <w:rFonts w:cstheme="minorHAnsi"/>
          <w:color w:val="00000A"/>
          <w:sz w:val="24"/>
          <w:szCs w:val="24"/>
        </w:rPr>
        <w:t>Ps</w:t>
      </w:r>
      <w:proofErr w:type="spellEnd"/>
      <w:r w:rsidRPr="00EA1ABA">
        <w:rPr>
          <w:rFonts w:cstheme="minorHAnsi"/>
          <w:color w:val="00000A"/>
          <w:sz w:val="24"/>
          <w:szCs w:val="24"/>
        </w:rPr>
        <w:t>), grunty rolne zabudowane (Br), grunty pod stawami (</w:t>
      </w:r>
      <w:proofErr w:type="spellStart"/>
      <w:r w:rsidRPr="00EA1ABA">
        <w:rPr>
          <w:rFonts w:cstheme="minorHAnsi"/>
          <w:color w:val="00000A"/>
          <w:sz w:val="24"/>
          <w:szCs w:val="24"/>
        </w:rPr>
        <w:t>Wsr</w:t>
      </w:r>
      <w:proofErr w:type="spellEnd"/>
      <w:r w:rsidRPr="00EA1ABA">
        <w:rPr>
          <w:rFonts w:cstheme="minorHAnsi"/>
          <w:color w:val="00000A"/>
          <w:sz w:val="24"/>
          <w:szCs w:val="24"/>
        </w:rPr>
        <w:t>), grunty pod rowami (W), grunty zadrzewione i zakrzewione na użytkach rolnych (</w:t>
      </w:r>
      <w:proofErr w:type="spellStart"/>
      <w:r w:rsidRPr="00EA1ABA">
        <w:rPr>
          <w:rFonts w:cstheme="minorHAnsi"/>
          <w:color w:val="00000A"/>
          <w:sz w:val="24"/>
          <w:szCs w:val="24"/>
        </w:rPr>
        <w:t>Lzr</w:t>
      </w:r>
      <w:proofErr w:type="spellEnd"/>
      <w:r w:rsidRPr="00EA1ABA">
        <w:rPr>
          <w:rFonts w:cstheme="minorHAnsi"/>
          <w:color w:val="00000A"/>
          <w:sz w:val="24"/>
          <w:szCs w:val="24"/>
        </w:rPr>
        <w:t>).</w:t>
      </w:r>
    </w:p>
    <w:p w14:paraId="3CFC7579"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 xml:space="preserve">Działając zgodnie z art. 61 § 4 ustawy z dnia 14 czerwca 1960 r. Kodeks postępowania administracyjnego, Regionalny Dyrektor Ochrony Środowiska w Olsztynie, pismem z dnia 17.06.2026 r., znak: WOOŚ.420.7.2026.KT.2 oraz obwieszczeniem z dnia 17.06.2026 r., znak: WOOŚ.420.7.2026.KT.4, zawiadomił strony postępowania o wszczęciu postępowania administracyjnego w sprawie wydania decyzji o środowiskowych uwarunkowaniach. Wymienione obwieszczenie udostępnione zostało w Biuletynie Informacji Publicznej tutejszego organu oraz na tablicy ogłoszeń w siedzibie tutejszego organu w terminie od 17.06.2026 r. do 1.07.2026 r. Jednocześnie, Regionalny Dyrektor Ochrony Środowiska w Olsztynie, pismem z dnia 17.06.2026 r., znak: WOOŚ.420.7.2026.KT.3, na podstawie art. 64 ust. 1 pkt 4 ustawy </w:t>
      </w:r>
      <w:proofErr w:type="spellStart"/>
      <w:r w:rsidRPr="00EA1ABA">
        <w:rPr>
          <w:rFonts w:cstheme="minorHAnsi"/>
          <w:color w:val="00000A"/>
          <w:sz w:val="24"/>
          <w:szCs w:val="24"/>
        </w:rPr>
        <w:t>ooś</w:t>
      </w:r>
      <w:proofErr w:type="spellEnd"/>
      <w:r w:rsidRPr="00EA1ABA">
        <w:rPr>
          <w:rFonts w:cstheme="minorHAnsi"/>
          <w:color w:val="00000A"/>
          <w:sz w:val="24"/>
          <w:szCs w:val="24"/>
        </w:rPr>
        <w:t xml:space="preserve">, wystąpił do Państwowego Gospodarstwa Wodnego (PGW) Wody Polskie Zarządu Zlewni w Augustowie o opinię w sprawie potrzeby przeprowadzenia oceny oddziaływania na środowisko dla przedmiotowego przedsięwzięcia. O powyższym wystąpieniu poinformowano strony postępowania również w ww. obwieszczeniu. Równocześnie, działając na podstawie art. 74 ust. 3aa ustawy </w:t>
      </w:r>
      <w:proofErr w:type="spellStart"/>
      <w:r w:rsidRPr="00EA1ABA">
        <w:rPr>
          <w:rFonts w:cstheme="minorHAnsi"/>
          <w:color w:val="00000A"/>
          <w:sz w:val="24"/>
          <w:szCs w:val="24"/>
        </w:rPr>
        <w:t>ooś</w:t>
      </w:r>
      <w:proofErr w:type="spellEnd"/>
      <w:r w:rsidRPr="00EA1ABA">
        <w:rPr>
          <w:rFonts w:cstheme="minorHAnsi"/>
          <w:color w:val="00000A"/>
          <w:sz w:val="24"/>
          <w:szCs w:val="24"/>
        </w:rPr>
        <w:t xml:space="preserve">, o powyższych czynnościach powiadomiono Wójta Gminy Wieliczki - </w:t>
      </w:r>
      <w:r w:rsidRPr="00EA1ABA">
        <w:rPr>
          <w:rFonts w:cstheme="minorHAnsi"/>
          <w:color w:val="00000A"/>
          <w:sz w:val="24"/>
          <w:szCs w:val="24"/>
        </w:rPr>
        <w:lastRenderedPageBreak/>
        <w:t>powiadomienie Regionalnego Dyrektora Ochrony Środowiska w Olsztynie z dnia 17.06.2026 r., znak: WOOŚ.420.7.2026.KT.5.</w:t>
      </w:r>
    </w:p>
    <w:p w14:paraId="3C337E85"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PGW Wody Polskie Zarząd Zlewni w Augustowie w opinii z dnia 30.06.2026 r., znak: BA.ZZŚ.4130.214.2026.AN (data wpływu do RDOŚ w Olsztynie: 30.06.2026 r.), nie stwierdził potrzeby przeprowadzenia oceny oddziaływania przedsięwzięcia na środowisko.</w:t>
      </w:r>
    </w:p>
    <w:p w14:paraId="1E898CCF"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 xml:space="preserve">Przed wydaniem decyzji o środowiskowych uwarunkowaniach, zgodnie z art. 10 § 1 ustawy z dnia 14 czerwca 1960 r. Kodeks postępowania administracyjnego, Regionalny Dyrektor Ochrony Środowiska w Olsztynie, pismem z dnia 2.07.2026 r., znak: WOOŚ.420.7.2026.KT.6 oraz obwieszczeniem z dnia 2.07.2026 r., znak: WOOŚ.420.7.2026.KT.7, zawiadomił strony o zebraniu materiału dowodowego, a także o możliwości zapoznania się z aktami sprawy oraz wypowiedzenia się co do zebranych dowodów i materiałów oraz zgłoszonych żądań w terminie 7 dni od dnia doręczenia zawiadomienia. Równocześnie, działając na podstawie art. 74 ust. 3aa ustawy </w:t>
      </w:r>
      <w:proofErr w:type="spellStart"/>
      <w:r w:rsidRPr="00EA1ABA">
        <w:rPr>
          <w:rFonts w:cstheme="minorHAnsi"/>
          <w:color w:val="00000A"/>
          <w:sz w:val="24"/>
          <w:szCs w:val="24"/>
        </w:rPr>
        <w:t>ooś</w:t>
      </w:r>
      <w:proofErr w:type="spellEnd"/>
      <w:r w:rsidRPr="00EA1ABA">
        <w:rPr>
          <w:rFonts w:cstheme="minorHAnsi"/>
          <w:color w:val="00000A"/>
          <w:sz w:val="24"/>
          <w:szCs w:val="24"/>
        </w:rPr>
        <w:t>, o powyższym powiadomiono Wójta Gminy Wieliczki - powiadomienie Regionalnego Dyrektora Ochrony Środowiska w Olsztynie z dnia 2.07.2026 r., znak: WOOŚ.420.7.2026.KT.8. W wyznaczonym terminie strony nie wniosły uwag i wniosków do planowanego przedsięwzięcia.</w:t>
      </w:r>
    </w:p>
    <w:p w14:paraId="1DEBA889"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 xml:space="preserve">Regionalny Dyrektor Ochrony Środowiska w Olsztynie, po przeanalizowaniu KIP oraz uwzględnieniu łącznych uwarunkowań określonych w art. 63 ust. 1 ustawy </w:t>
      </w:r>
      <w:proofErr w:type="spellStart"/>
      <w:r w:rsidRPr="00EA1ABA">
        <w:rPr>
          <w:rFonts w:cstheme="minorHAnsi"/>
          <w:color w:val="00000A"/>
          <w:sz w:val="24"/>
          <w:szCs w:val="24"/>
        </w:rPr>
        <w:t>ooś</w:t>
      </w:r>
      <w:proofErr w:type="spellEnd"/>
      <w:r w:rsidRPr="00EA1ABA">
        <w:rPr>
          <w:rFonts w:cstheme="minorHAnsi"/>
          <w:color w:val="00000A"/>
          <w:sz w:val="24"/>
          <w:szCs w:val="24"/>
        </w:rPr>
        <w:t>, a w szczególności rodzaju, charakteru, usytuowania oraz skali możliwego oddziaływania przedsięwzięcia stwierdził, że dla planowanego przedsięwzięcia nie istnieje konieczność przeprowadzenia oceny oddziaływania na środowisko.</w:t>
      </w:r>
    </w:p>
    <w:p w14:paraId="74AD403F"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Planowane przedsięwzięcie polega na zmianie przeznaczenia części gruntów leśnych na użytki rolne na działce nr 3/1, obręb 0021 Wilkasy, oraz na działce nr 28, obręb 0012 Niedźwiedzkie, położonych w gminie Wieliczki, powiecie oleckim, województwie warmińsko-mazurskim.</w:t>
      </w:r>
    </w:p>
    <w:p w14:paraId="35869EBC"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Teren objęty przedsięwzięciem nie jest objęty miejscowym planem zagospodarowania przestrzennego.</w:t>
      </w:r>
    </w:p>
    <w:p w14:paraId="088450DE"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Na działce nr 3/1 obręb Wilkasy planowana jest zmiana przeznaczenia dwóch niewielkich fragmentów gruntów leśnych o powierzchni 0,2781 ha oraz 0,1002 ha, natomiast na działce nr 28 obręb Niedźwiedzkie – jednego fragmentu o powierzchni 0,2121 ha. Łączna powierzchnia gruntów objętych zmianą wynosi 0,5904 ha.</w:t>
      </w:r>
    </w:p>
    <w:p w14:paraId="571EFB76"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Przedmiotowe fragmenty stanowią obrzeża większej enklawy leśnej zlokalizowanej na działkach nr 3/1 i 1 w obrębie Wilkasy oraz na działce nr 28 w obrębie Niedźwiedzkie. Zgodnie z uproszczonym wypisem z rejestru gruntów, na działce nr 3/1 o powierzchni 9,3780 ha lasy (</w:t>
      </w:r>
      <w:proofErr w:type="spellStart"/>
      <w:r w:rsidRPr="00EA1ABA">
        <w:rPr>
          <w:rFonts w:cstheme="minorHAnsi"/>
          <w:color w:val="00000A"/>
          <w:sz w:val="24"/>
          <w:szCs w:val="24"/>
        </w:rPr>
        <w:t>LsV</w:t>
      </w:r>
      <w:proofErr w:type="spellEnd"/>
      <w:r w:rsidRPr="00EA1ABA">
        <w:rPr>
          <w:rFonts w:cstheme="minorHAnsi"/>
          <w:color w:val="00000A"/>
          <w:sz w:val="24"/>
          <w:szCs w:val="24"/>
        </w:rPr>
        <w:t xml:space="preserve">) zajmują 2,87 ha, na działce nr 1 o powierzchni 3,99 ha – 1,07 ha, natomiast na działce nr 28 o </w:t>
      </w:r>
      <w:r w:rsidRPr="00EA1ABA">
        <w:rPr>
          <w:rFonts w:cstheme="minorHAnsi"/>
          <w:color w:val="00000A"/>
          <w:sz w:val="24"/>
          <w:szCs w:val="24"/>
        </w:rPr>
        <w:lastRenderedPageBreak/>
        <w:t>powierzchni 6,74 ha – 1,08 ha. Łączna powierzchnia gruntów leśnych w obrębie wskazanej enklawy wynosi zatem 5,02 ha, z czego zmianą przeznaczenia objętych zostanie jedynie 0,5904 ha, co stanowi ok. 11,8% jej powierzchni.</w:t>
      </w:r>
    </w:p>
    <w:p w14:paraId="5AA1BB27"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Grunty planowane do zmiany położone są na obrzeżach kompleksu leśnego, przy czym jeden z fragmentów bezpośrednio przylega do istniejącej zabudowy. Obecnie tereny te nie są porośnięte roślinnością leśną i nie pełnią funkcji leśnych.</w:t>
      </w:r>
    </w:p>
    <w:p w14:paraId="0995A67B"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Przedsięwzięcie ma charakter wyłącznie formalno-prawny i polega na dostosowaniu zapisów ewidencji gruntów do rzeczywistego sposobu użytkowania terenu. Nie przewiduje się wycinki drzew ani prowadzenia innych prac skutkujących usunięciem drzewostanu lub przekształceniem istniejących terenów leśnych.</w:t>
      </w:r>
    </w:p>
    <w:p w14:paraId="4D2071F5"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Realizacja przedsięwzięcia pozwoli na uporządkowanie stanu prawnego nieruchomości poprzez dostosowanie klasyfikacji gruntów do ich faktycznego zagospodarowania oraz umożliwi powiększenie powierzchni użytków rolnych.</w:t>
      </w:r>
    </w:p>
    <w:p w14:paraId="70C0A376"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Mając na uwadze, że powierzchnia leśna wnioskowana do zmiany na użytek rolny - 0,5904  ha w rzeczywistości faktycznie nie pełni funkcji leśnych, to nie przewiduje się etapu realizacji przedsięwzięcia. Planowana zmiana lasu na użytek rolny nie będzie wiązała się z wykonywaniem żadnych prac w terenie, w tym z wykonywaniem wycinki drzew i krzewów. Stan obecny na wnioskowanej powierzchni pozostanie bez zmian.</w:t>
      </w:r>
    </w:p>
    <w:p w14:paraId="294BCF71"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 xml:space="preserve">Planowane przedsięwzięcie nie będzie powodowało istotnego wpływu na klimat ani nie będzie miało znaczenia dla procesów związanych ze zmianami klimatu. Przedsięwzięcie ma charakter formalno-prawny i polega na dostosowaniu zapisów ewidencji gruntów do faktycznego sposobu użytkowania terenu poprzez zmianę przeznaczenia części gruntów leśnych na użytki rolne. Biorąc pod uwagę niewielką powierzchnię objętą zmianą (0,5904 ha), brak robót budowlanych i ziemnych oraz fakt, że nie przewiduje się wycinki drzew ani krzewów, nie wystąpi emisja gazów cieplarnianych związana z realizacją przedsięwzięcia. Zmiana przeznaczenia gruntów nie będzie wiązała się również z likwidacją istniejącego drzewostanu ani ograniczeniem powierzchni faktycznie pełniącej funkcje leśne, ponieważ obszary objęte przedsięwzięciem obecnie nie są porośnięte roślinnością leśną i nie pełnią funkcji lasu. Realizacja przedsięwzięcia nie wpłynie na lokalny mikroklimat, retencję terenową, bilans wodny ani zdolność terenu do pochłaniania dwutlenku węgla. Nie spowoduje także zwiększenia emisji zanieczyszczeń do powietrza ani wzrostu zapotrzebowania na energię. Z uwagi na charakter przedsięwzięcia nie przewiduje się również, aby było ono narażone na negatywne skutki zmian klimatu, takie jak wzrost temperatury, występowanie susz, intensywnych opadów czy silnych wiatrów. Przedsięwzięcie </w:t>
      </w:r>
      <w:r w:rsidRPr="00EA1ABA">
        <w:rPr>
          <w:rFonts w:cstheme="minorHAnsi"/>
          <w:color w:val="00000A"/>
          <w:sz w:val="24"/>
          <w:szCs w:val="24"/>
        </w:rPr>
        <w:lastRenderedPageBreak/>
        <w:t>nie obejmuje budowy nowych obiektów ani infrastruktury, dlatego jego realizacja nie wpłynie na odporność obszaru na zjawiska klimatyczne. W związku z powyższym należy stwierdzić, że planowane przedsięwzięcie nie będzie wywierało istotnego wpływu na klimat ani na procesy związane ze zmianami klimatu.</w:t>
      </w:r>
    </w:p>
    <w:p w14:paraId="5C61F957"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Przedmiotowe przedsięwzięcie zlokalizowane jest na obszarze dorzecza Wisły, dla którego opracowano Plan gospodarowania wodami na obszarze dorzecza Wisły, przyjęty rozporządzeniem Ministra Infrastruktury z dnia 4 listopada 2022 r. w sprawie Planu gospodarowania wodami na obszarze dorzecza Wisły (Dz. U. z 2023 r. poz. 300). Planowane zamierzenie znajduje się w zlewni jednolitej części wód powierzchniowych rzecznych (JCWP) o nazwie „Wieliczka” (krajowy kod: RW200009262615349) oraz  w obszarze jednolitej części wód podziemnych (</w:t>
      </w:r>
      <w:proofErr w:type="spellStart"/>
      <w:r w:rsidRPr="00EA1ABA">
        <w:rPr>
          <w:rFonts w:cstheme="minorHAnsi"/>
          <w:color w:val="00000A"/>
          <w:sz w:val="24"/>
          <w:szCs w:val="24"/>
        </w:rPr>
        <w:t>JCWPd</w:t>
      </w:r>
      <w:proofErr w:type="spellEnd"/>
      <w:r w:rsidRPr="00EA1ABA">
        <w:rPr>
          <w:rFonts w:cstheme="minorHAnsi"/>
          <w:color w:val="00000A"/>
          <w:sz w:val="24"/>
          <w:szCs w:val="24"/>
        </w:rPr>
        <w:t>) o krajowym kodzie GW200032. Biorąc pod uwagę opinię Państwowego Gospodarstwa Wodnego Wody Polskie Zarządu Zlewni w Augustowie oraz charakter przedsięwzięcia, polegającego na dostosowaniu zapisów w ewidencji do rzeczywistego stanu zagospodarowania terenu (brak lasu), stwierdza się, że realizacja przedmiotowego przedsięwzięcia nie będzie powodować negatywnego oddziaływania na jednolite części wód.</w:t>
      </w:r>
    </w:p>
    <w:p w14:paraId="35A76FE6"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Przedmiotowe przedsięwzięcie nie jest zlokalizowane na: obszarach wybrzeży i środowiska morskiego, obszarach górskich, obszarach wodno-błotnych, innych obszarach o płytkim zaleganiu wód podziemnych, w tym siedliskach łęgowych oraz ujściach rzek, obszarach przylegających do jezior, w strefach ochronnych ujęć wód i obszarach ochronnych zbiorników wód śródlądowych, obszarach, na których standardy jakości środowiska zostały przekroczone lub istnieje prawdopodobieństwo ich przekroczenia, obszarach o krajobrazie mającym znaczenie historyczne, kulturowe lub archeologiczne, uzdrowiskach i obszarach ochrony uzdrowiskowej.</w:t>
      </w:r>
    </w:p>
    <w:p w14:paraId="737C969B"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 xml:space="preserve">Planowane przedsięwzięcie zlokalizowane jest poza obszarami Natura 2000 oraz poza innymi formami ochrony przyrody, o których mowa w art. 6 ustawy z dnia 16 kwietnia 2004 r. o ochronie przyrody (Dz. U. z 2026 r. poz. 13, z </w:t>
      </w:r>
      <w:proofErr w:type="spellStart"/>
      <w:r w:rsidRPr="00EA1ABA">
        <w:rPr>
          <w:rFonts w:cstheme="minorHAnsi"/>
          <w:color w:val="00000A"/>
          <w:sz w:val="24"/>
          <w:szCs w:val="24"/>
        </w:rPr>
        <w:t>późn</w:t>
      </w:r>
      <w:proofErr w:type="spellEnd"/>
      <w:r w:rsidRPr="00EA1ABA">
        <w:rPr>
          <w:rFonts w:cstheme="minorHAnsi"/>
          <w:color w:val="00000A"/>
          <w:sz w:val="24"/>
          <w:szCs w:val="24"/>
        </w:rPr>
        <w:t xml:space="preserve">. zm.). </w:t>
      </w:r>
    </w:p>
    <w:p w14:paraId="0DAAA02A"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Najbliżej zlokalizowanym obszarem Natura 2000 jest obszar mający znaczenie dla Wspólnoty Dolina Górnej Rospudy PLH200022, położony ok. 7,2 km od planowanego przedsięwzięcia. Mając na uwadze oddalenie planowanego przedsięwzięcia od przedmiotowej formy ochrony przyrody nie przewiduje się możliwości negatywnego oddziaływania planowanego przedsięwzięcia na cele i przedmioty ochrony ww. obszaru Natura 2000 oraz jego integralność.</w:t>
      </w:r>
    </w:p>
    <w:p w14:paraId="65CF1571" w14:textId="77777777" w:rsidR="00EA1ABA" w:rsidRPr="00EA1ABA" w:rsidRDefault="00EA1ABA" w:rsidP="00EA1ABA">
      <w:pPr>
        <w:spacing w:after="0" w:line="360" w:lineRule="auto"/>
        <w:rPr>
          <w:rFonts w:cstheme="minorHAnsi"/>
          <w:color w:val="00000A"/>
          <w:sz w:val="24"/>
          <w:szCs w:val="24"/>
        </w:rPr>
      </w:pPr>
      <w:r w:rsidRPr="00EA1ABA">
        <w:rPr>
          <w:rFonts w:cstheme="minorHAnsi"/>
          <w:color w:val="00000A"/>
          <w:sz w:val="24"/>
          <w:szCs w:val="24"/>
        </w:rPr>
        <w:t>Przedsięwzięcie nie jest położone na korytarzach ekologicznych, istotnych dla populacji dużych ssaków leśnych oraz spójności siedlisk leśnych i wodno-błotnych w skali krajowej i kontynentalnej.</w:t>
      </w:r>
    </w:p>
    <w:p w14:paraId="1726E313" w14:textId="22421D39" w:rsidR="00EA1ABA" w:rsidRPr="00155A5C" w:rsidRDefault="00EA1ABA" w:rsidP="00EA1ABA">
      <w:pPr>
        <w:spacing w:after="0" w:line="360" w:lineRule="auto"/>
        <w:rPr>
          <w:rFonts w:cstheme="minorHAnsi"/>
          <w:color w:val="00000A"/>
          <w:sz w:val="24"/>
          <w:szCs w:val="24"/>
        </w:rPr>
      </w:pPr>
      <w:r w:rsidRPr="00EA1ABA">
        <w:rPr>
          <w:rFonts w:cstheme="minorHAnsi"/>
          <w:color w:val="00000A"/>
          <w:sz w:val="24"/>
          <w:szCs w:val="24"/>
        </w:rPr>
        <w:lastRenderedPageBreak/>
        <w:t>Na terenie przedsięwzięcia oraz w obszarze jego oddziaływania nie są planowane inne przedsięwzięcia o podobnym charakterze, których oddziaływania mogłyby się kumulować z planowanym przedsięwzięciem. Wystąpienie poważnej awarii lub katastrofy naturalnej i budowlanej będzie zerowe. Z uwagi na skalę i zakres  planowanego przedsięwzięcia oddziaływania będą miały zasięg lokalny, bez ryzyka transgranicznych oddziaływań na środowisko.</w:t>
      </w:r>
    </w:p>
    <w:p w14:paraId="5962CA16" w14:textId="52BE9B12" w:rsidR="00DC12F7" w:rsidRPr="007C2C60" w:rsidRDefault="00155A5C" w:rsidP="00155A5C">
      <w:pPr>
        <w:spacing w:after="100" w:afterAutospacing="1" w:line="360" w:lineRule="auto"/>
        <w:rPr>
          <w:rFonts w:cstheme="minorHAnsi"/>
          <w:color w:val="00000A"/>
          <w:sz w:val="24"/>
          <w:szCs w:val="24"/>
        </w:rPr>
      </w:pPr>
      <w:r w:rsidRPr="00155A5C">
        <w:rPr>
          <w:rFonts w:cstheme="minorHAnsi"/>
          <w:color w:val="00000A"/>
          <w:sz w:val="24"/>
          <w:szCs w:val="24"/>
        </w:rPr>
        <w:t>Mając powyższe na uwadze orzeczono jak w sentencji</w:t>
      </w:r>
      <w:r w:rsidR="00DC12F7" w:rsidRPr="005273E6">
        <w:rPr>
          <w:rFonts w:cstheme="minorHAnsi"/>
          <w:sz w:val="24"/>
          <w:szCs w:val="24"/>
        </w:rPr>
        <w:t>.</w:t>
      </w:r>
    </w:p>
    <w:p w14:paraId="28F46DFC" w14:textId="707CE2B2" w:rsidR="00BE7F8E" w:rsidRDefault="00BE7F8E" w:rsidP="00BE7F8E">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Pouczenie</w:t>
      </w:r>
    </w:p>
    <w:p w14:paraId="1E4C8E44" w14:textId="77777777" w:rsidR="00EA1ABA" w:rsidRDefault="00BE7F8E" w:rsidP="00EA1ABA">
      <w:pPr>
        <w:spacing w:after="0" w:line="360" w:lineRule="auto"/>
        <w:rPr>
          <w:sz w:val="24"/>
          <w:szCs w:val="24"/>
        </w:rPr>
      </w:pPr>
      <w:r w:rsidRPr="00BE7F8E">
        <w:rPr>
          <w:sz w:val="24"/>
          <w:szCs w:val="24"/>
        </w:rPr>
        <w:t xml:space="preserve">Od </w:t>
      </w:r>
      <w:r w:rsidR="00155A5C" w:rsidRPr="00155A5C">
        <w:rPr>
          <w:sz w:val="24"/>
          <w:szCs w:val="24"/>
        </w:rPr>
        <w:t xml:space="preserve">niniejszej </w:t>
      </w:r>
      <w:r w:rsidR="00EA1ABA" w:rsidRPr="00EA1ABA">
        <w:rPr>
          <w:sz w:val="24"/>
          <w:szCs w:val="24"/>
        </w:rPr>
        <w:t>decyzji, stosownie do art. 127 § 1 i § 2 oraz art. 129 § 1 i § 2 Kodeksu postępowania administracyjnego służy stronom odwołanie do Generalnego Dyrektora Ochrony Środowiska za pośrednictwem Regionalnego Dyrektora Ochrony Środowiska w Olsztynie w terminie 14 dni od dnia doręczenia niniejszej decyzji. Zgodnie z art. 57 § 5 Kodeksu postępowania administracyjnego termin uważa się za zachowany, jeżeli przed jego upływem pismo zostało m.in. wysłane na adres do doręczeń elektronicznych organu administracji publicznej, a nadawca otrzymał dowód otrzymania, o którym mowa w art. 41 ustawy z dnia 18 listopada 2020 r. o doręczeniach elektronicznych;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7BC4D700" w14:textId="7A2CD506" w:rsidR="00E80C24" w:rsidRPr="00FD74C2" w:rsidRDefault="00EA1ABA" w:rsidP="00EA1ABA">
      <w:pPr>
        <w:spacing w:after="100" w:afterAutospacing="1" w:line="360" w:lineRule="auto"/>
        <w:rPr>
          <w:sz w:val="24"/>
          <w:szCs w:val="24"/>
        </w:rPr>
      </w:pPr>
      <w:r w:rsidRPr="00EA1ABA">
        <w:rPr>
          <w:sz w:val="24"/>
          <w:szCs w:val="24"/>
        </w:rPr>
        <w:t>W myśl art. 127a § 1 i § 2 Kodeksu postępowania administracyjnego 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r w:rsidR="00BE7F8E" w:rsidRPr="00BE7F8E">
        <w:rPr>
          <w:sz w:val="24"/>
          <w:szCs w:val="24"/>
        </w:rPr>
        <w:t>.</w:t>
      </w:r>
    </w:p>
    <w:p w14:paraId="13FA7F26" w14:textId="77777777" w:rsidR="009F39F1" w:rsidRPr="009F39F1" w:rsidRDefault="009F39F1" w:rsidP="009F39F1">
      <w:pPr>
        <w:spacing w:after="0" w:line="360" w:lineRule="auto"/>
        <w:rPr>
          <w:sz w:val="24"/>
        </w:rPr>
      </w:pPr>
      <w:r w:rsidRPr="009F39F1">
        <w:rPr>
          <w:sz w:val="24"/>
        </w:rPr>
        <w:t>Regionalny Dyrektor</w:t>
      </w:r>
    </w:p>
    <w:p w14:paraId="0D6895FE" w14:textId="0BBC9458" w:rsidR="009F39F1" w:rsidRPr="009F39F1" w:rsidRDefault="009F39F1" w:rsidP="009F39F1">
      <w:pPr>
        <w:spacing w:after="0" w:line="360" w:lineRule="auto"/>
        <w:rPr>
          <w:sz w:val="24"/>
        </w:rPr>
      </w:pPr>
      <w:r w:rsidRPr="009F39F1">
        <w:rPr>
          <w:sz w:val="24"/>
        </w:rPr>
        <w:t>Ochrony Środowiska w Olsztynie</w:t>
      </w:r>
    </w:p>
    <w:p w14:paraId="004EF7B6" w14:textId="77777777" w:rsidR="009F39F1" w:rsidRPr="009F39F1" w:rsidRDefault="009F39F1" w:rsidP="009F39F1">
      <w:pPr>
        <w:spacing w:after="0" w:line="360" w:lineRule="auto"/>
        <w:rPr>
          <w:sz w:val="24"/>
        </w:rPr>
      </w:pPr>
      <w:r w:rsidRPr="009F39F1">
        <w:rPr>
          <w:sz w:val="24"/>
        </w:rPr>
        <w:t>Agata Moździerz</w:t>
      </w:r>
    </w:p>
    <w:p w14:paraId="7081AAB3" w14:textId="77777777" w:rsidR="009F39F1" w:rsidRPr="009F39F1" w:rsidRDefault="009F39F1" w:rsidP="00FD74C2">
      <w:pPr>
        <w:spacing w:after="100" w:afterAutospacing="1" w:line="360" w:lineRule="auto"/>
        <w:rPr>
          <w:sz w:val="24"/>
        </w:rPr>
      </w:pPr>
      <w:r w:rsidRPr="009F39F1">
        <w:rPr>
          <w:sz w:val="24"/>
        </w:rPr>
        <w:t>/podpis elektroniczny/</w:t>
      </w:r>
    </w:p>
    <w:p w14:paraId="4D1A87F1" w14:textId="11A6E099" w:rsidR="00FD74C2" w:rsidRPr="00FD74C2" w:rsidRDefault="00FD74C2" w:rsidP="00FD74C2">
      <w:pPr>
        <w:spacing w:after="0" w:line="360" w:lineRule="auto"/>
        <w:rPr>
          <w:sz w:val="24"/>
        </w:rPr>
      </w:pPr>
      <w:r w:rsidRPr="00FD74C2">
        <w:rPr>
          <w:sz w:val="24"/>
        </w:rPr>
        <w:lastRenderedPageBreak/>
        <w:t>Załącznik</w:t>
      </w:r>
      <w:r w:rsidR="007C2C60">
        <w:rPr>
          <w:sz w:val="24"/>
        </w:rPr>
        <w:t>:</w:t>
      </w:r>
    </w:p>
    <w:p w14:paraId="3C3ACF4C" w14:textId="5ABFA3CE" w:rsidR="00FD74C2" w:rsidRPr="00EA1ABA" w:rsidRDefault="00FD74C2">
      <w:pPr>
        <w:numPr>
          <w:ilvl w:val="0"/>
          <w:numId w:val="6"/>
        </w:numPr>
        <w:spacing w:after="0" w:line="360" w:lineRule="auto"/>
        <w:rPr>
          <w:sz w:val="24"/>
          <w:u w:val="single"/>
        </w:rPr>
      </w:pPr>
      <w:r w:rsidRPr="00FD74C2">
        <w:rPr>
          <w:sz w:val="24"/>
        </w:rPr>
        <w:t xml:space="preserve">Charakterystyka </w:t>
      </w:r>
      <w:r w:rsidR="007C2C60">
        <w:rPr>
          <w:sz w:val="24"/>
        </w:rPr>
        <w:t xml:space="preserve">planowanego </w:t>
      </w:r>
      <w:r w:rsidRPr="00FD74C2">
        <w:rPr>
          <w:sz w:val="24"/>
        </w:rPr>
        <w:t>przedsięwzięcia.</w:t>
      </w:r>
    </w:p>
    <w:p w14:paraId="5C05E1FC" w14:textId="6FDC49C4" w:rsidR="00EA1ABA" w:rsidRPr="00FD74C2" w:rsidRDefault="00EA1ABA">
      <w:pPr>
        <w:numPr>
          <w:ilvl w:val="0"/>
          <w:numId w:val="6"/>
        </w:numPr>
        <w:spacing w:after="0" w:line="360" w:lineRule="auto"/>
        <w:rPr>
          <w:sz w:val="24"/>
          <w:u w:val="single"/>
        </w:rPr>
      </w:pPr>
      <w:r>
        <w:rPr>
          <w:sz w:val="24"/>
        </w:rPr>
        <w:t>Tren przeznaczony do zmiany lasu na użytek rolny</w:t>
      </w:r>
    </w:p>
    <w:p w14:paraId="372F62AA" w14:textId="5273D702" w:rsidR="00FD74C2" w:rsidRPr="00FD74C2" w:rsidRDefault="00FD74C2" w:rsidP="00FD74C2">
      <w:pPr>
        <w:spacing w:after="0" w:line="360" w:lineRule="auto"/>
        <w:rPr>
          <w:sz w:val="24"/>
        </w:rPr>
      </w:pPr>
      <w:r w:rsidRPr="00FD74C2">
        <w:rPr>
          <w:sz w:val="24"/>
        </w:rPr>
        <w:t>Otrzymuj</w:t>
      </w:r>
      <w:r w:rsidR="007C2C60">
        <w:rPr>
          <w:sz w:val="24"/>
        </w:rPr>
        <w:t>ą</w:t>
      </w:r>
      <w:r w:rsidRPr="00FD74C2">
        <w:rPr>
          <w:sz w:val="24"/>
        </w:rPr>
        <w:t>:</w:t>
      </w:r>
    </w:p>
    <w:p w14:paraId="20798552" w14:textId="3A8B8786" w:rsidR="00FD74C2" w:rsidRDefault="00155A5C">
      <w:pPr>
        <w:numPr>
          <w:ilvl w:val="0"/>
          <w:numId w:val="5"/>
        </w:numPr>
        <w:spacing w:after="0" w:line="360" w:lineRule="auto"/>
        <w:rPr>
          <w:sz w:val="24"/>
        </w:rPr>
      </w:pPr>
      <w:r>
        <w:rPr>
          <w:sz w:val="24"/>
        </w:rPr>
        <w:t>(</w:t>
      </w:r>
      <w:proofErr w:type="spellStart"/>
      <w:r>
        <w:rPr>
          <w:sz w:val="24"/>
        </w:rPr>
        <w:t>anonimizacja</w:t>
      </w:r>
      <w:proofErr w:type="spellEnd"/>
      <w:r>
        <w:rPr>
          <w:sz w:val="24"/>
        </w:rPr>
        <w:t xml:space="preserve">) </w:t>
      </w:r>
      <w:r w:rsidR="00EA1ABA">
        <w:rPr>
          <w:sz w:val="24"/>
        </w:rPr>
        <w:t>–</w:t>
      </w:r>
      <w:r>
        <w:rPr>
          <w:sz w:val="24"/>
        </w:rPr>
        <w:t xml:space="preserve"> Wnioskodawca</w:t>
      </w:r>
    </w:p>
    <w:p w14:paraId="2F5B8834" w14:textId="45B90F9C" w:rsidR="00EA1ABA" w:rsidRDefault="00EA1ABA">
      <w:pPr>
        <w:numPr>
          <w:ilvl w:val="0"/>
          <w:numId w:val="5"/>
        </w:numPr>
        <w:spacing w:after="0" w:line="360" w:lineRule="auto"/>
        <w:rPr>
          <w:sz w:val="24"/>
        </w:rPr>
      </w:pPr>
      <w:r>
        <w:rPr>
          <w:sz w:val="24"/>
        </w:rPr>
        <w:t>(</w:t>
      </w:r>
      <w:proofErr w:type="spellStart"/>
      <w:r>
        <w:rPr>
          <w:sz w:val="24"/>
        </w:rPr>
        <w:t>anonimizacja</w:t>
      </w:r>
      <w:proofErr w:type="spellEnd"/>
      <w:r>
        <w:rPr>
          <w:sz w:val="24"/>
        </w:rPr>
        <w:t>) - Wnioskodawca</w:t>
      </w:r>
    </w:p>
    <w:p w14:paraId="2DE3A08A" w14:textId="133C4154" w:rsidR="00FD74C2" w:rsidRPr="00155A5C" w:rsidRDefault="00FD74C2">
      <w:pPr>
        <w:pStyle w:val="Akapitzlist"/>
        <w:numPr>
          <w:ilvl w:val="0"/>
          <w:numId w:val="5"/>
        </w:numPr>
        <w:spacing w:after="0" w:line="360" w:lineRule="auto"/>
        <w:rPr>
          <w:sz w:val="24"/>
        </w:rPr>
      </w:pPr>
      <w:r w:rsidRPr="00155A5C">
        <w:rPr>
          <w:sz w:val="24"/>
        </w:rPr>
        <w:t xml:space="preserve">pozostałe </w:t>
      </w:r>
      <w:r w:rsidR="00155A5C" w:rsidRPr="00155A5C">
        <w:rPr>
          <w:sz w:val="24"/>
        </w:rPr>
        <w:t xml:space="preserve">strony postępowania poprzez obwieszczenie – zgodnie z art. 49 kpa w związku z art. 74 ust. 3 ustawy z dnia 3 października 2008 r. o udostępnianiu informacji o środowisku (…) </w:t>
      </w:r>
    </w:p>
    <w:p w14:paraId="109295B1" w14:textId="77777777" w:rsidR="00FD74C2" w:rsidRPr="00FD74C2" w:rsidRDefault="00FD74C2">
      <w:pPr>
        <w:numPr>
          <w:ilvl w:val="0"/>
          <w:numId w:val="5"/>
        </w:numPr>
        <w:spacing w:after="100" w:afterAutospacing="1" w:line="360" w:lineRule="auto"/>
        <w:ind w:left="714" w:hanging="357"/>
        <w:rPr>
          <w:sz w:val="24"/>
        </w:rPr>
      </w:pPr>
      <w:r w:rsidRPr="00FD74C2">
        <w:rPr>
          <w:sz w:val="24"/>
        </w:rPr>
        <w:t>aa</w:t>
      </w:r>
    </w:p>
    <w:p w14:paraId="62856CAF" w14:textId="5FB6BDC0" w:rsidR="00FD74C2" w:rsidRPr="00FD74C2" w:rsidRDefault="00FD74C2" w:rsidP="00155A5C">
      <w:pPr>
        <w:spacing w:after="0" w:line="360" w:lineRule="auto"/>
        <w:rPr>
          <w:sz w:val="24"/>
        </w:rPr>
      </w:pPr>
      <w:r w:rsidRPr="00FD74C2">
        <w:rPr>
          <w:sz w:val="24"/>
        </w:rPr>
        <w:t>Do wiadomości</w:t>
      </w:r>
      <w:r w:rsidR="007C2C60">
        <w:rPr>
          <w:sz w:val="24"/>
        </w:rPr>
        <w:t xml:space="preserve"> – doręczanie elektroniczne:</w:t>
      </w:r>
    </w:p>
    <w:p w14:paraId="20230137" w14:textId="2F5BF4BD" w:rsidR="00155A5C" w:rsidRPr="00155A5C" w:rsidRDefault="007C2C60">
      <w:pPr>
        <w:pStyle w:val="Akapitzlist"/>
        <w:numPr>
          <w:ilvl w:val="0"/>
          <w:numId w:val="8"/>
        </w:numPr>
        <w:spacing w:after="100" w:afterAutospacing="1" w:line="360" w:lineRule="auto"/>
        <w:ind w:left="714" w:hanging="357"/>
        <w:rPr>
          <w:rFonts w:ascii="Calibri" w:hAnsi="Calibri" w:cs="Calibri"/>
          <w:sz w:val="24"/>
          <w:szCs w:val="24"/>
          <w:lang w:eastAsia="zh-CN"/>
        </w:rPr>
      </w:pPr>
      <w:r w:rsidRPr="007C2C60">
        <w:rPr>
          <w:rFonts w:ascii="Calibri" w:hAnsi="Calibri" w:cs="Calibri"/>
          <w:sz w:val="24"/>
          <w:szCs w:val="24"/>
          <w:lang w:eastAsia="zh-CN"/>
        </w:rPr>
        <w:t xml:space="preserve">Państwowe </w:t>
      </w:r>
      <w:r w:rsidR="00155A5C" w:rsidRPr="00155A5C">
        <w:rPr>
          <w:rFonts w:ascii="Calibri" w:hAnsi="Calibri" w:cs="Calibri"/>
          <w:sz w:val="24"/>
          <w:szCs w:val="24"/>
          <w:lang w:eastAsia="zh-CN"/>
        </w:rPr>
        <w:t xml:space="preserve">Gospodarstwo Wodne Wody Polskie Zarząd Zlewni w Augustowie, ul. 29 Listopada 5, 16-300 Augustów </w:t>
      </w:r>
    </w:p>
    <w:p w14:paraId="7322C203" w14:textId="4674D1EF" w:rsidR="00554D62" w:rsidRPr="00155A5C" w:rsidRDefault="007C2C60" w:rsidP="00155A5C">
      <w:pPr>
        <w:spacing w:after="0" w:line="360" w:lineRule="auto"/>
        <w:rPr>
          <w:rFonts w:ascii="Calibri" w:hAnsi="Calibri" w:cs="Calibri"/>
          <w:sz w:val="24"/>
          <w:szCs w:val="24"/>
          <w:lang w:eastAsia="zh-CN"/>
        </w:rPr>
      </w:pPr>
      <w:r w:rsidRPr="00155A5C">
        <w:rPr>
          <w:rFonts w:ascii="Calibri" w:hAnsi="Calibri" w:cs="Calibri"/>
          <w:sz w:val="24"/>
          <w:szCs w:val="24"/>
          <w:lang w:eastAsia="zh-CN"/>
        </w:rPr>
        <w:t xml:space="preserve">Na podstawie </w:t>
      </w:r>
      <w:r w:rsidR="00155A5C" w:rsidRPr="00155A5C">
        <w:rPr>
          <w:rFonts w:ascii="Calibri" w:hAnsi="Calibri" w:cs="Calibri"/>
          <w:sz w:val="24"/>
          <w:szCs w:val="24"/>
          <w:lang w:eastAsia="zh-CN"/>
        </w:rPr>
        <w:t xml:space="preserve">art. 5 ust. 1 ustawy z 16 listopada 2006  r. o opłacie skarbowej (Dz. U. z 2025 r. poz. 1154, z </w:t>
      </w:r>
      <w:proofErr w:type="spellStart"/>
      <w:r w:rsidR="00155A5C" w:rsidRPr="00155A5C">
        <w:rPr>
          <w:rFonts w:ascii="Calibri" w:hAnsi="Calibri" w:cs="Calibri"/>
          <w:sz w:val="24"/>
          <w:szCs w:val="24"/>
          <w:lang w:eastAsia="zh-CN"/>
        </w:rPr>
        <w:t>późn</w:t>
      </w:r>
      <w:proofErr w:type="spellEnd"/>
      <w:r w:rsidR="00155A5C" w:rsidRPr="00155A5C">
        <w:rPr>
          <w:rFonts w:ascii="Calibri" w:hAnsi="Calibri" w:cs="Calibri"/>
          <w:sz w:val="24"/>
          <w:szCs w:val="24"/>
          <w:lang w:eastAsia="zh-CN"/>
        </w:rPr>
        <w:t>. zm.) pobrano opłatę skarbową za wydanie decyzji o środowiskowych uwarunkowaniach w wysokości 205 zł (zał. nr 1, cz. I, p. 45).</w:t>
      </w:r>
    </w:p>
    <w:sectPr w:rsidR="00554D62" w:rsidRPr="00155A5C"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Calibri"/>
    <w:charset w:val="EE"/>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39A0AC2"/>
    <w:name w:val="WWNum6"/>
    <w:lvl w:ilvl="0">
      <w:start w:val="1"/>
      <w:numFmt w:val="decimal"/>
      <w:lvlText w:val="%1."/>
      <w:lvlJc w:val="left"/>
      <w:pPr>
        <w:tabs>
          <w:tab w:val="num" w:pos="0"/>
        </w:tabs>
        <w:ind w:left="720" w:hanging="360"/>
      </w:pPr>
      <w:rPr>
        <w:rFonts w:ascii="Arial" w:hAnsi="Arial" w:cs="Arial" w:hint="default"/>
        <w:sz w:val="18"/>
        <w:szCs w:val="18"/>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15:restartNumberingAfterBreak="0">
    <w:nsid w:val="0000001D"/>
    <w:multiLevelType w:val="singleLevel"/>
    <w:tmpl w:val="9D0A2B9C"/>
    <w:name w:val="WW8Num57"/>
    <w:lvl w:ilvl="0">
      <w:start w:val="1"/>
      <w:numFmt w:val="lowerLetter"/>
      <w:pStyle w:val="1wyliczenieROOS"/>
      <w:lvlText w:val="%1)"/>
      <w:lvlJc w:val="left"/>
      <w:pPr>
        <w:tabs>
          <w:tab w:val="num" w:pos="0"/>
        </w:tabs>
        <w:ind w:left="960" w:hanging="360"/>
      </w:pPr>
      <w:rPr>
        <w:rFonts w:ascii="Arial" w:eastAsia="Lucida Sans Unicode" w:hAnsi="Arial" w:cs="Arial"/>
      </w:rPr>
    </w:lvl>
  </w:abstractNum>
  <w:abstractNum w:abstractNumId="3" w15:restartNumberingAfterBreak="0">
    <w:nsid w:val="10763B90"/>
    <w:multiLevelType w:val="hybridMultilevel"/>
    <w:tmpl w:val="A718CE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995B9E"/>
    <w:multiLevelType w:val="hybridMultilevel"/>
    <w:tmpl w:val="0C569684"/>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AE7492D"/>
    <w:multiLevelType w:val="hybridMultilevel"/>
    <w:tmpl w:val="5CE41520"/>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6" w15:restartNumberingAfterBreak="0">
    <w:nsid w:val="1E1D6CD7"/>
    <w:multiLevelType w:val="hybridMultilevel"/>
    <w:tmpl w:val="B78CF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B521F6"/>
    <w:multiLevelType w:val="hybridMultilevel"/>
    <w:tmpl w:val="169CE5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5F71F0"/>
    <w:multiLevelType w:val="hybridMultilevel"/>
    <w:tmpl w:val="E1946E86"/>
    <w:lvl w:ilvl="0" w:tplc="C394A610">
      <w:start w:val="1"/>
      <w:numFmt w:val="decimal"/>
      <w:pStyle w:val="N3pz"/>
      <w:lvlText w:val="%1."/>
      <w:lvlJc w:val="left"/>
      <w:pPr>
        <w:tabs>
          <w:tab w:val="num" w:pos="851"/>
        </w:tabs>
        <w:ind w:left="851" w:hanging="425"/>
      </w:pPr>
      <w:rPr>
        <w:rFonts w:hint="default"/>
        <w:b/>
      </w:rPr>
    </w:lvl>
    <w:lvl w:ilvl="1" w:tplc="4D16AB0C">
      <w:start w:val="1"/>
      <w:numFmt w:val="lowerLetter"/>
      <w:lvlText w:val="%2."/>
      <w:lvlJc w:val="left"/>
      <w:pPr>
        <w:tabs>
          <w:tab w:val="num" w:pos="1582"/>
        </w:tabs>
        <w:ind w:left="1582" w:hanging="360"/>
      </w:pPr>
    </w:lvl>
    <w:lvl w:ilvl="2" w:tplc="947E3B12" w:tentative="1">
      <w:start w:val="1"/>
      <w:numFmt w:val="lowerRoman"/>
      <w:lvlText w:val="%3."/>
      <w:lvlJc w:val="right"/>
      <w:pPr>
        <w:tabs>
          <w:tab w:val="num" w:pos="2302"/>
        </w:tabs>
        <w:ind w:left="2302" w:hanging="180"/>
      </w:pPr>
    </w:lvl>
    <w:lvl w:ilvl="3" w:tplc="7794D9A8" w:tentative="1">
      <w:start w:val="1"/>
      <w:numFmt w:val="decimal"/>
      <w:lvlText w:val="%4."/>
      <w:lvlJc w:val="left"/>
      <w:pPr>
        <w:tabs>
          <w:tab w:val="num" w:pos="3022"/>
        </w:tabs>
        <w:ind w:left="3022" w:hanging="360"/>
      </w:pPr>
    </w:lvl>
    <w:lvl w:ilvl="4" w:tplc="B85AFD00" w:tentative="1">
      <w:start w:val="1"/>
      <w:numFmt w:val="lowerLetter"/>
      <w:lvlText w:val="%5."/>
      <w:lvlJc w:val="left"/>
      <w:pPr>
        <w:tabs>
          <w:tab w:val="num" w:pos="3742"/>
        </w:tabs>
        <w:ind w:left="3742" w:hanging="360"/>
      </w:pPr>
    </w:lvl>
    <w:lvl w:ilvl="5" w:tplc="6C80DBD6" w:tentative="1">
      <w:start w:val="1"/>
      <w:numFmt w:val="lowerRoman"/>
      <w:lvlText w:val="%6."/>
      <w:lvlJc w:val="right"/>
      <w:pPr>
        <w:tabs>
          <w:tab w:val="num" w:pos="4462"/>
        </w:tabs>
        <w:ind w:left="4462" w:hanging="180"/>
      </w:pPr>
    </w:lvl>
    <w:lvl w:ilvl="6" w:tplc="21481F28" w:tentative="1">
      <w:start w:val="1"/>
      <w:numFmt w:val="decimal"/>
      <w:lvlText w:val="%7."/>
      <w:lvlJc w:val="left"/>
      <w:pPr>
        <w:tabs>
          <w:tab w:val="num" w:pos="5182"/>
        </w:tabs>
        <w:ind w:left="5182" w:hanging="360"/>
      </w:pPr>
    </w:lvl>
    <w:lvl w:ilvl="7" w:tplc="866661DC" w:tentative="1">
      <w:start w:val="1"/>
      <w:numFmt w:val="lowerLetter"/>
      <w:lvlText w:val="%8."/>
      <w:lvlJc w:val="left"/>
      <w:pPr>
        <w:tabs>
          <w:tab w:val="num" w:pos="5902"/>
        </w:tabs>
        <w:ind w:left="5902" w:hanging="360"/>
      </w:pPr>
    </w:lvl>
    <w:lvl w:ilvl="8" w:tplc="8B54777A" w:tentative="1">
      <w:start w:val="1"/>
      <w:numFmt w:val="lowerRoman"/>
      <w:lvlText w:val="%9."/>
      <w:lvlJc w:val="right"/>
      <w:pPr>
        <w:tabs>
          <w:tab w:val="num" w:pos="6622"/>
        </w:tabs>
        <w:ind w:left="6622" w:hanging="180"/>
      </w:pPr>
    </w:lvl>
  </w:abstractNum>
  <w:abstractNum w:abstractNumId="9" w15:restartNumberingAfterBreak="0">
    <w:nsid w:val="317109B9"/>
    <w:multiLevelType w:val="hybridMultilevel"/>
    <w:tmpl w:val="5CE41520"/>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0" w15:restartNumberingAfterBreak="0">
    <w:nsid w:val="3BF85984"/>
    <w:multiLevelType w:val="multilevel"/>
    <w:tmpl w:val="C94A982A"/>
    <w:styleLink w:val="ListaNienumerowana"/>
    <w:lvl w:ilvl="0">
      <w:start w:val="1"/>
      <w:numFmt w:val="bullet"/>
      <w:pStyle w:val="071ListaPoziom1"/>
      <w:lvlText w:val=""/>
      <w:lvlJc w:val="left"/>
      <w:pPr>
        <w:ind w:left="284" w:hanging="284"/>
      </w:pPr>
      <w:rPr>
        <w:rFonts w:ascii="Symbol" w:hAnsi="Symbol" w:hint="default"/>
        <w:color w:val="44546A" w:themeColor="text2"/>
      </w:rPr>
    </w:lvl>
    <w:lvl w:ilvl="1">
      <w:start w:val="1"/>
      <w:numFmt w:val="bullet"/>
      <w:pStyle w:val="072ListaPoziom2"/>
      <w:lvlText w:val=""/>
      <w:lvlJc w:val="left"/>
      <w:pPr>
        <w:ind w:left="681" w:hanging="284"/>
      </w:pPr>
      <w:rPr>
        <w:rFonts w:ascii="Symbol" w:hAnsi="Symbol" w:hint="default"/>
        <w:color w:val="44546A" w:themeColor="text2"/>
        <w:sz w:val="16"/>
      </w:rPr>
    </w:lvl>
    <w:lvl w:ilvl="2">
      <w:start w:val="1"/>
      <w:numFmt w:val="bullet"/>
      <w:pStyle w:val="073ListaPoziom3"/>
      <w:lvlText w:val=""/>
      <w:lvlJc w:val="left"/>
      <w:pPr>
        <w:ind w:left="1078" w:hanging="284"/>
      </w:pPr>
      <w:rPr>
        <w:rFonts w:ascii="Symbol" w:hAnsi="Symbol" w:hint="default"/>
        <w:color w:val="44546A" w:themeColor="text2"/>
        <w:sz w:val="10"/>
      </w:rPr>
    </w:lvl>
    <w:lvl w:ilvl="3">
      <w:start w:val="1"/>
      <w:numFmt w:val="bullet"/>
      <w:lvlText w:val=""/>
      <w:lvlJc w:val="left"/>
      <w:pPr>
        <w:ind w:left="1475" w:hanging="284"/>
      </w:pPr>
      <w:rPr>
        <w:rFonts w:ascii="Symbol" w:hAnsi="Symbol" w:hint="default"/>
        <w:sz w:val="6"/>
      </w:rPr>
    </w:lvl>
    <w:lvl w:ilvl="4">
      <w:start w:val="1"/>
      <w:numFmt w:val="lowerLetter"/>
      <w:lvlText w:val="(%5)"/>
      <w:lvlJc w:val="left"/>
      <w:pPr>
        <w:ind w:left="1872" w:hanging="284"/>
      </w:pPr>
      <w:rPr>
        <w:rFonts w:hint="default"/>
      </w:rPr>
    </w:lvl>
    <w:lvl w:ilvl="5">
      <w:start w:val="1"/>
      <w:numFmt w:val="lowerRoman"/>
      <w:lvlText w:val="(%6)"/>
      <w:lvlJc w:val="left"/>
      <w:pPr>
        <w:ind w:left="2269" w:hanging="284"/>
      </w:pPr>
      <w:rPr>
        <w:rFonts w:hint="default"/>
      </w:rPr>
    </w:lvl>
    <w:lvl w:ilvl="6">
      <w:start w:val="1"/>
      <w:numFmt w:val="decimal"/>
      <w:lvlText w:val="%7."/>
      <w:lvlJc w:val="left"/>
      <w:pPr>
        <w:ind w:left="2666" w:hanging="284"/>
      </w:pPr>
      <w:rPr>
        <w:rFonts w:hint="default"/>
      </w:rPr>
    </w:lvl>
    <w:lvl w:ilvl="7">
      <w:start w:val="1"/>
      <w:numFmt w:val="lowerLetter"/>
      <w:lvlText w:val="%8."/>
      <w:lvlJc w:val="left"/>
      <w:pPr>
        <w:ind w:left="3063" w:hanging="284"/>
      </w:pPr>
      <w:rPr>
        <w:rFonts w:hint="default"/>
      </w:rPr>
    </w:lvl>
    <w:lvl w:ilvl="8">
      <w:start w:val="1"/>
      <w:numFmt w:val="lowerRoman"/>
      <w:lvlText w:val="%9."/>
      <w:lvlJc w:val="left"/>
      <w:pPr>
        <w:ind w:left="3460" w:hanging="284"/>
      </w:pPr>
      <w:rPr>
        <w:rFonts w:hint="default"/>
      </w:rPr>
    </w:lvl>
  </w:abstractNum>
  <w:abstractNum w:abstractNumId="11" w15:restartNumberingAfterBreak="0">
    <w:nsid w:val="4158079B"/>
    <w:multiLevelType w:val="hybridMultilevel"/>
    <w:tmpl w:val="0B5897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6315E5"/>
    <w:multiLevelType w:val="multilevel"/>
    <w:tmpl w:val="C94A982A"/>
    <w:numStyleLink w:val="ListaNienumerowana"/>
  </w:abstractNum>
  <w:abstractNum w:abstractNumId="13" w15:restartNumberingAfterBreak="0">
    <w:nsid w:val="5BC02DEF"/>
    <w:multiLevelType w:val="hybridMultilevel"/>
    <w:tmpl w:val="DCEE4DD6"/>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99522D7"/>
    <w:multiLevelType w:val="hybridMultilevel"/>
    <w:tmpl w:val="82940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4699873">
    <w:abstractNumId w:val="8"/>
  </w:num>
  <w:num w:numId="2" w16cid:durableId="2046367127">
    <w:abstractNumId w:val="10"/>
  </w:num>
  <w:num w:numId="3" w16cid:durableId="418067519">
    <w:abstractNumId w:val="12"/>
  </w:num>
  <w:num w:numId="4" w16cid:durableId="1264650419">
    <w:abstractNumId w:val="2"/>
    <w:lvlOverride w:ilvl="0">
      <w:startOverride w:val="1"/>
    </w:lvlOverride>
  </w:num>
  <w:num w:numId="5" w16cid:durableId="2100565419">
    <w:abstractNumId w:val="14"/>
  </w:num>
  <w:num w:numId="6" w16cid:durableId="1480876913">
    <w:abstractNumId w:val="11"/>
  </w:num>
  <w:num w:numId="7" w16cid:durableId="1280793923">
    <w:abstractNumId w:val="6"/>
  </w:num>
  <w:num w:numId="8" w16cid:durableId="2019504968">
    <w:abstractNumId w:val="3"/>
  </w:num>
  <w:num w:numId="9" w16cid:durableId="715741844">
    <w:abstractNumId w:val="9"/>
  </w:num>
  <w:num w:numId="10" w16cid:durableId="1714882113">
    <w:abstractNumId w:val="4"/>
  </w:num>
  <w:num w:numId="11" w16cid:durableId="444276416">
    <w:abstractNumId w:val="5"/>
  </w:num>
  <w:num w:numId="12" w16cid:durableId="1727802519">
    <w:abstractNumId w:val="13"/>
  </w:num>
  <w:num w:numId="13" w16cid:durableId="173782506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172A5"/>
    <w:rsid w:val="00036FD4"/>
    <w:rsid w:val="000528E7"/>
    <w:rsid w:val="00075C4A"/>
    <w:rsid w:val="00080B48"/>
    <w:rsid w:val="000824D2"/>
    <w:rsid w:val="000A6144"/>
    <w:rsid w:val="000B373D"/>
    <w:rsid w:val="000E4460"/>
    <w:rsid w:val="00127971"/>
    <w:rsid w:val="00155A5C"/>
    <w:rsid w:val="00160CD2"/>
    <w:rsid w:val="00163ED1"/>
    <w:rsid w:val="001947A7"/>
    <w:rsid w:val="001A0328"/>
    <w:rsid w:val="001B438A"/>
    <w:rsid w:val="001B44C4"/>
    <w:rsid w:val="001B5B56"/>
    <w:rsid w:val="001C51E6"/>
    <w:rsid w:val="001E67FD"/>
    <w:rsid w:val="0020327C"/>
    <w:rsid w:val="0026188F"/>
    <w:rsid w:val="00267220"/>
    <w:rsid w:val="002C59D4"/>
    <w:rsid w:val="002E129B"/>
    <w:rsid w:val="003226DE"/>
    <w:rsid w:val="00324FDD"/>
    <w:rsid w:val="00380D99"/>
    <w:rsid w:val="00384379"/>
    <w:rsid w:val="003A51F9"/>
    <w:rsid w:val="003B53A8"/>
    <w:rsid w:val="003B5565"/>
    <w:rsid w:val="003C3DE9"/>
    <w:rsid w:val="003D0F6B"/>
    <w:rsid w:val="003D1849"/>
    <w:rsid w:val="00403DE4"/>
    <w:rsid w:val="00414A88"/>
    <w:rsid w:val="00433620"/>
    <w:rsid w:val="0044167F"/>
    <w:rsid w:val="004449FF"/>
    <w:rsid w:val="00463EB7"/>
    <w:rsid w:val="00495993"/>
    <w:rsid w:val="004D7E42"/>
    <w:rsid w:val="005042FE"/>
    <w:rsid w:val="005257A1"/>
    <w:rsid w:val="00525E0D"/>
    <w:rsid w:val="005273E6"/>
    <w:rsid w:val="00554D62"/>
    <w:rsid w:val="00565A42"/>
    <w:rsid w:val="005726A9"/>
    <w:rsid w:val="00586F86"/>
    <w:rsid w:val="00592F40"/>
    <w:rsid w:val="006021BE"/>
    <w:rsid w:val="00651531"/>
    <w:rsid w:val="00662809"/>
    <w:rsid w:val="00665B79"/>
    <w:rsid w:val="0068663F"/>
    <w:rsid w:val="006C552A"/>
    <w:rsid w:val="006E0E17"/>
    <w:rsid w:val="006E48A8"/>
    <w:rsid w:val="00716102"/>
    <w:rsid w:val="007352DF"/>
    <w:rsid w:val="0073533C"/>
    <w:rsid w:val="00753934"/>
    <w:rsid w:val="0077526D"/>
    <w:rsid w:val="007C2C60"/>
    <w:rsid w:val="007D755D"/>
    <w:rsid w:val="0081118A"/>
    <w:rsid w:val="008159C8"/>
    <w:rsid w:val="00824D9D"/>
    <w:rsid w:val="00825D9D"/>
    <w:rsid w:val="008324E5"/>
    <w:rsid w:val="008448DF"/>
    <w:rsid w:val="00857867"/>
    <w:rsid w:val="00886839"/>
    <w:rsid w:val="0088776C"/>
    <w:rsid w:val="008C033D"/>
    <w:rsid w:val="008D1C53"/>
    <w:rsid w:val="008E1960"/>
    <w:rsid w:val="008E3B98"/>
    <w:rsid w:val="008F64EA"/>
    <w:rsid w:val="0090144B"/>
    <w:rsid w:val="009102F7"/>
    <w:rsid w:val="00921D97"/>
    <w:rsid w:val="00927E2C"/>
    <w:rsid w:val="009F0EDF"/>
    <w:rsid w:val="009F39F1"/>
    <w:rsid w:val="00A402BA"/>
    <w:rsid w:val="00A55D8E"/>
    <w:rsid w:val="00A60DBD"/>
    <w:rsid w:val="00A64CDD"/>
    <w:rsid w:val="00A760B7"/>
    <w:rsid w:val="00A77D11"/>
    <w:rsid w:val="00A94971"/>
    <w:rsid w:val="00AA7C36"/>
    <w:rsid w:val="00AD624D"/>
    <w:rsid w:val="00AF1399"/>
    <w:rsid w:val="00B03E7A"/>
    <w:rsid w:val="00B1496E"/>
    <w:rsid w:val="00B675D6"/>
    <w:rsid w:val="00BB7E65"/>
    <w:rsid w:val="00BE7F8E"/>
    <w:rsid w:val="00C34241"/>
    <w:rsid w:val="00C369D0"/>
    <w:rsid w:val="00C503ED"/>
    <w:rsid w:val="00C576CD"/>
    <w:rsid w:val="00C73352"/>
    <w:rsid w:val="00C806FA"/>
    <w:rsid w:val="00C81923"/>
    <w:rsid w:val="00C83D6B"/>
    <w:rsid w:val="00C87EA9"/>
    <w:rsid w:val="00CA0865"/>
    <w:rsid w:val="00CA5A82"/>
    <w:rsid w:val="00CF17CB"/>
    <w:rsid w:val="00D0663F"/>
    <w:rsid w:val="00D233B4"/>
    <w:rsid w:val="00D52BB0"/>
    <w:rsid w:val="00D84FB0"/>
    <w:rsid w:val="00D9304D"/>
    <w:rsid w:val="00DC12F7"/>
    <w:rsid w:val="00DD1A15"/>
    <w:rsid w:val="00DD7440"/>
    <w:rsid w:val="00DF5721"/>
    <w:rsid w:val="00DF6D00"/>
    <w:rsid w:val="00E00B34"/>
    <w:rsid w:val="00E07FC4"/>
    <w:rsid w:val="00E15AB9"/>
    <w:rsid w:val="00E25E5A"/>
    <w:rsid w:val="00E57CEC"/>
    <w:rsid w:val="00E72C2D"/>
    <w:rsid w:val="00E74C48"/>
    <w:rsid w:val="00E80C24"/>
    <w:rsid w:val="00EA1ABA"/>
    <w:rsid w:val="00ED29E2"/>
    <w:rsid w:val="00F04060"/>
    <w:rsid w:val="00F20082"/>
    <w:rsid w:val="00F25CD7"/>
    <w:rsid w:val="00F40174"/>
    <w:rsid w:val="00F4298F"/>
    <w:rsid w:val="00F432E6"/>
    <w:rsid w:val="00F56E82"/>
    <w:rsid w:val="00F67E14"/>
    <w:rsid w:val="00F83E03"/>
    <w:rsid w:val="00F852C0"/>
    <w:rsid w:val="00FA64F5"/>
    <w:rsid w:val="00FA6BFF"/>
    <w:rsid w:val="00FC21B9"/>
    <w:rsid w:val="00FD20E3"/>
    <w:rsid w:val="00FD74C2"/>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DC12F7"/>
    <w:pPr>
      <w:keepNext/>
      <w:keepLines/>
      <w:spacing w:before="40" w:after="0"/>
      <w:outlineLvl w:val="2"/>
    </w:pPr>
    <w:rPr>
      <w:rFonts w:asciiTheme="majorHAnsi" w:eastAsiaTheme="majorEastAsia" w:hAnsiTheme="majorHAnsi" w:cstheme="majorBidi"/>
      <w:color w:val="1F4D78" w:themeColor="accent1" w:themeShade="7F"/>
      <w:kern w:val="2"/>
      <w:sz w:val="24"/>
      <w:szCs w:val="24"/>
      <w14:ligatures w14:val="standardContextual"/>
    </w:rPr>
  </w:style>
  <w:style w:type="paragraph" w:styleId="Nagwek4">
    <w:name w:val="heading 4"/>
    <w:basedOn w:val="Normalny"/>
    <w:link w:val="Nagwek4Znak"/>
    <w:uiPriority w:val="9"/>
    <w:qFormat/>
    <w:rsid w:val="00DC12F7"/>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aliases w:val="Akapit z listą1,Akapit z listą11,Akapit z listą31,BulletC,Bullets,Eko punkty,Kolorowa lista — akcent 11,List Paragraph1,List Paragraph_0,Normal_0,Normal_1,Numerowanie,Obiekt,Sl_Akapit z listą,Wyliczanie,Wypunktowanie,normalny"/>
    <w:basedOn w:val="Normalny"/>
    <w:link w:val="AkapitzlistZnak"/>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character" w:customStyle="1" w:styleId="Teksttreci">
    <w:name w:val="Tekst treści_"/>
    <w:basedOn w:val="Domylnaczcionkaakapitu"/>
    <w:link w:val="Teksttreci0"/>
    <w:locked/>
    <w:rsid w:val="003B5565"/>
    <w:rPr>
      <w:rFonts w:ascii="Arial" w:eastAsia="Arial" w:hAnsi="Arial" w:cs="Arial"/>
    </w:rPr>
  </w:style>
  <w:style w:type="paragraph" w:customStyle="1" w:styleId="Teksttreci0">
    <w:name w:val="Tekst treści"/>
    <w:basedOn w:val="Normalny"/>
    <w:link w:val="Teksttreci"/>
    <w:rsid w:val="003B5565"/>
    <w:pPr>
      <w:widowControl w:val="0"/>
      <w:spacing w:after="100" w:line="276" w:lineRule="auto"/>
    </w:pPr>
    <w:rPr>
      <w:rFonts w:ascii="Arial" w:eastAsia="Arial" w:hAnsi="Arial" w:cs="Arial"/>
    </w:rPr>
  </w:style>
  <w:style w:type="character" w:customStyle="1" w:styleId="cf01">
    <w:name w:val="cf01"/>
    <w:basedOn w:val="Domylnaczcionkaakapitu"/>
    <w:rsid w:val="00FD20E3"/>
    <w:rPr>
      <w:rFonts w:ascii="Segoe UI" w:hAnsi="Segoe UI" w:cs="Segoe UI" w:hint="default"/>
      <w:sz w:val="18"/>
      <w:szCs w:val="18"/>
    </w:rPr>
  </w:style>
  <w:style w:type="character" w:customStyle="1" w:styleId="Nagwek3Znak">
    <w:name w:val="Nagłówek 3 Znak"/>
    <w:basedOn w:val="Domylnaczcionkaakapitu"/>
    <w:link w:val="Nagwek3"/>
    <w:uiPriority w:val="9"/>
    <w:rsid w:val="00DC12F7"/>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gwek4Znak">
    <w:name w:val="Nagłówek 4 Znak"/>
    <w:basedOn w:val="Domylnaczcionkaakapitu"/>
    <w:link w:val="Nagwek4"/>
    <w:uiPriority w:val="9"/>
    <w:rsid w:val="00DC12F7"/>
    <w:rPr>
      <w:rFonts w:ascii="Times New Roman" w:eastAsia="Times New Roman" w:hAnsi="Times New Roman" w:cs="Times New Roman"/>
      <w:b/>
      <w:bCs/>
      <w:sz w:val="24"/>
      <w:szCs w:val="24"/>
      <w:lang w:eastAsia="pl-PL"/>
    </w:rPr>
  </w:style>
  <w:style w:type="paragraph" w:customStyle="1" w:styleId="Normalnywcity">
    <w:name w:val="Normalny wcięty"/>
    <w:basedOn w:val="Normalny"/>
    <w:link w:val="NormalnywcityZnak"/>
    <w:qFormat/>
    <w:rsid w:val="00DC12F7"/>
    <w:pPr>
      <w:spacing w:after="0" w:line="240" w:lineRule="auto"/>
      <w:ind w:firstLine="567"/>
      <w:jc w:val="both"/>
    </w:pPr>
    <w:rPr>
      <w:rFonts w:ascii="Arial" w:eastAsia="Times New Roman" w:hAnsi="Arial" w:cs="Times New Roman"/>
      <w:sz w:val="24"/>
      <w:szCs w:val="20"/>
      <w:lang w:eastAsia="pl-PL"/>
    </w:rPr>
  </w:style>
  <w:style w:type="character" w:customStyle="1" w:styleId="NormalnywcityZnak">
    <w:name w:val="Normalny wcięty Znak"/>
    <w:basedOn w:val="Domylnaczcionkaakapitu"/>
    <w:link w:val="Normalnywcity"/>
    <w:locked/>
    <w:rsid w:val="00DC12F7"/>
    <w:rPr>
      <w:rFonts w:ascii="Arial" w:eastAsia="Times New Roman" w:hAnsi="Arial" w:cs="Times New Roman"/>
      <w:sz w:val="24"/>
      <w:szCs w:val="20"/>
      <w:lang w:eastAsia="pl-PL"/>
    </w:rPr>
  </w:style>
  <w:style w:type="paragraph" w:styleId="Nagwek">
    <w:name w:val="header"/>
    <w:basedOn w:val="Normalny"/>
    <w:link w:val="Nagwek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NagwekZnak">
    <w:name w:val="Nagłówek Znak"/>
    <w:basedOn w:val="Domylnaczcionkaakapitu"/>
    <w:link w:val="Nagwek"/>
    <w:uiPriority w:val="99"/>
    <w:rsid w:val="00DC12F7"/>
    <w:rPr>
      <w:kern w:val="2"/>
      <w14:ligatures w14:val="standardContextual"/>
    </w:rPr>
  </w:style>
  <w:style w:type="paragraph" w:styleId="Stopka">
    <w:name w:val="footer"/>
    <w:basedOn w:val="Normalny"/>
    <w:link w:val="Stopka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StopkaZnak">
    <w:name w:val="Stopka Znak"/>
    <w:basedOn w:val="Domylnaczcionkaakapitu"/>
    <w:link w:val="Stopka"/>
    <w:uiPriority w:val="99"/>
    <w:rsid w:val="00DC12F7"/>
    <w:rPr>
      <w:kern w:val="2"/>
      <w14:ligatures w14:val="standardContextual"/>
    </w:rPr>
  </w:style>
  <w:style w:type="paragraph" w:customStyle="1" w:styleId="Default">
    <w:name w:val="Default"/>
    <w:link w:val="DefaultZnak"/>
    <w:qFormat/>
    <w:rsid w:val="00DC12F7"/>
    <w:pPr>
      <w:autoSpaceDE w:val="0"/>
      <w:autoSpaceDN w:val="0"/>
      <w:adjustRightInd w:val="0"/>
      <w:spacing w:after="0" w:line="240" w:lineRule="auto"/>
    </w:pPr>
    <w:rPr>
      <w:rFonts w:ascii="Calibri" w:hAnsi="Calibri" w:cs="Calibri"/>
      <w:color w:val="000000"/>
      <w:sz w:val="24"/>
      <w:szCs w:val="24"/>
      <w14:ligatures w14:val="standardContextual"/>
    </w:rPr>
  </w:style>
  <w:style w:type="paragraph" w:styleId="Tekstprzypisukocowego">
    <w:name w:val="endnote text"/>
    <w:basedOn w:val="Normalny"/>
    <w:link w:val="TekstprzypisukocowegoZnak"/>
    <w:uiPriority w:val="99"/>
    <w:semiHidden/>
    <w:unhideWhenUsed/>
    <w:rsid w:val="00DC12F7"/>
    <w:pPr>
      <w:spacing w:after="0" w:line="240" w:lineRule="auto"/>
    </w:pPr>
    <w:rPr>
      <w:kern w:val="2"/>
      <w:sz w:val="20"/>
      <w:szCs w:val="20"/>
      <w14:ligatures w14:val="standardContextual"/>
    </w:rPr>
  </w:style>
  <w:style w:type="character" w:customStyle="1" w:styleId="TekstprzypisukocowegoZnak">
    <w:name w:val="Tekst przypisu końcowego Znak"/>
    <w:basedOn w:val="Domylnaczcionkaakapitu"/>
    <w:link w:val="Tekstprzypisukocowego"/>
    <w:uiPriority w:val="99"/>
    <w:semiHidden/>
    <w:rsid w:val="00DC12F7"/>
    <w:rPr>
      <w:kern w:val="2"/>
      <w:sz w:val="20"/>
      <w:szCs w:val="20"/>
      <w14:ligatures w14:val="standardContextual"/>
    </w:rPr>
  </w:style>
  <w:style w:type="character" w:styleId="Odwoanieprzypisukocowego">
    <w:name w:val="endnote reference"/>
    <w:basedOn w:val="Domylnaczcionkaakapitu"/>
    <w:uiPriority w:val="99"/>
    <w:semiHidden/>
    <w:unhideWhenUsed/>
    <w:rsid w:val="00DC12F7"/>
    <w:rPr>
      <w:vertAlign w:val="superscript"/>
    </w:rPr>
  </w:style>
  <w:style w:type="character" w:styleId="Uwydatnienie">
    <w:name w:val="Emphasis"/>
    <w:basedOn w:val="Domylnaczcionkaakapitu"/>
    <w:uiPriority w:val="20"/>
    <w:qFormat/>
    <w:rsid w:val="00DC12F7"/>
    <w:rPr>
      <w:i/>
      <w:iCs/>
    </w:rPr>
  </w:style>
  <w:style w:type="character" w:customStyle="1" w:styleId="Nierozpoznanawzmianka1">
    <w:name w:val="Nierozpoznana wzmianka1"/>
    <w:basedOn w:val="Domylnaczcionkaakapitu"/>
    <w:uiPriority w:val="99"/>
    <w:semiHidden/>
    <w:unhideWhenUsed/>
    <w:rsid w:val="00DC12F7"/>
    <w:rPr>
      <w:color w:val="605E5C"/>
      <w:shd w:val="clear" w:color="auto" w:fill="E1DFDD"/>
    </w:rPr>
  </w:style>
  <w:style w:type="paragraph" w:styleId="Tekstkomentarza">
    <w:name w:val="annotation text"/>
    <w:basedOn w:val="Normalny"/>
    <w:link w:val="TekstkomentarzaZnak"/>
    <w:uiPriority w:val="99"/>
    <w:unhideWhenUsed/>
    <w:rsid w:val="00DC12F7"/>
    <w:pPr>
      <w:suppressAutoHyphens/>
      <w:spacing w:after="0" w:line="240" w:lineRule="auto"/>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rsid w:val="00DC12F7"/>
    <w:rPr>
      <w:rFonts w:ascii="Times New Roman" w:eastAsia="Times New Roman" w:hAnsi="Times New Roman" w:cs="Times New Roman"/>
      <w:sz w:val="20"/>
      <w:szCs w:val="20"/>
      <w:lang w:eastAsia="zh-CN"/>
    </w:rPr>
  </w:style>
  <w:style w:type="character" w:styleId="Odwoaniedokomentarza">
    <w:name w:val="annotation reference"/>
    <w:basedOn w:val="Domylnaczcionkaakapitu"/>
    <w:uiPriority w:val="99"/>
    <w:semiHidden/>
    <w:unhideWhenUsed/>
    <w:rsid w:val="00DC12F7"/>
    <w:rPr>
      <w:sz w:val="16"/>
      <w:szCs w:val="16"/>
    </w:rPr>
  </w:style>
  <w:style w:type="character" w:customStyle="1" w:styleId="FontStyle22">
    <w:name w:val="Font Style22"/>
    <w:basedOn w:val="Domylnaczcionkaakapitu"/>
    <w:uiPriority w:val="99"/>
    <w:rsid w:val="00DC12F7"/>
    <w:rPr>
      <w:rFonts w:ascii="Times New Roman" w:hAnsi="Times New Roman" w:cs="Times New Roman" w:hint="default"/>
      <w:sz w:val="22"/>
      <w:szCs w:val="22"/>
    </w:rPr>
  </w:style>
  <w:style w:type="paragraph" w:styleId="Bezodstpw">
    <w:name w:val="No Spacing"/>
    <w:aliases w:val="1."/>
    <w:link w:val="BezodstpwZnak"/>
    <w:uiPriority w:val="1"/>
    <w:qFormat/>
    <w:rsid w:val="00DC12F7"/>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aliases w:val="1. Znak"/>
    <w:link w:val="Bezodstpw"/>
    <w:uiPriority w:val="1"/>
    <w:rsid w:val="00DC12F7"/>
    <w:rPr>
      <w:rFonts w:ascii="Times New Roman" w:eastAsia="Times New Roman" w:hAnsi="Times New Roman" w:cs="Times New Roman"/>
      <w:sz w:val="24"/>
      <w:szCs w:val="24"/>
      <w:lang w:eastAsia="pl-PL"/>
    </w:rPr>
  </w:style>
  <w:style w:type="table" w:styleId="Tabela-Siatka">
    <w:name w:val="Table Grid"/>
    <w:aliases w:val="Pole tekstowe - kratka,Pole tekstowe - kratka10,Pole tekstowe - kratka12,Table Grid SW,Table long document"/>
    <w:basedOn w:val="Standardowy"/>
    <w:uiPriority w:val="59"/>
    <w:rsid w:val="00DC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ee">
    <w:name w:val="Ansee"/>
    <w:basedOn w:val="Normalny"/>
    <w:link w:val="AnseeZnak"/>
    <w:qFormat/>
    <w:rsid w:val="00DC12F7"/>
    <w:pPr>
      <w:widowControl w:val="0"/>
      <w:tabs>
        <w:tab w:val="left" w:pos="1800"/>
        <w:tab w:val="left" w:pos="2660"/>
        <w:tab w:val="left" w:pos="3080"/>
        <w:tab w:val="left" w:pos="4640"/>
        <w:tab w:val="left" w:pos="5880"/>
        <w:tab w:val="left" w:pos="6280"/>
        <w:tab w:val="left" w:pos="7340"/>
        <w:tab w:val="left" w:pos="8360"/>
      </w:tabs>
      <w:suppressAutoHyphens/>
      <w:spacing w:before="3" w:after="0" w:line="360" w:lineRule="auto"/>
      <w:ind w:firstLine="708"/>
      <w:jc w:val="both"/>
    </w:pPr>
    <w:rPr>
      <w:rFonts w:ascii="Times New Roman" w:eastAsia="MS Mincho" w:hAnsi="Times New Roman" w:cs="Calibri"/>
      <w:kern w:val="1"/>
      <w:sz w:val="24"/>
      <w:szCs w:val="24"/>
      <w:lang w:eastAsia="hi-IN" w:bidi="hi-IN"/>
    </w:rPr>
  </w:style>
  <w:style w:type="character" w:customStyle="1" w:styleId="AnseeZnak">
    <w:name w:val="Ansee Znak"/>
    <w:link w:val="Ansee"/>
    <w:rsid w:val="00DC12F7"/>
    <w:rPr>
      <w:rFonts w:ascii="Times New Roman" w:eastAsia="MS Mincho" w:hAnsi="Times New Roman" w:cs="Calibri"/>
      <w:kern w:val="1"/>
      <w:sz w:val="24"/>
      <w:szCs w:val="24"/>
      <w:lang w:eastAsia="hi-IN" w:bidi="hi-IN"/>
    </w:rPr>
  </w:style>
  <w:style w:type="paragraph" w:styleId="Tekstpodstawowy">
    <w:name w:val="Body Text"/>
    <w:basedOn w:val="Normalny"/>
    <w:link w:val="TekstpodstawowyZnak"/>
    <w:uiPriority w:val="99"/>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C12F7"/>
    <w:rPr>
      <w:rFonts w:ascii="Times New Roman" w:eastAsia="Times New Roman" w:hAnsi="Times New Roman" w:cs="Times New Roman"/>
      <w:sz w:val="24"/>
      <w:szCs w:val="24"/>
      <w:lang w:eastAsia="pl-PL"/>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34"/>
    <w:qFormat/>
    <w:locked/>
    <w:rsid w:val="00DC12F7"/>
  </w:style>
  <w:style w:type="paragraph" w:customStyle="1" w:styleId="Zwykytekst2">
    <w:name w:val="Zwykły tekst2"/>
    <w:basedOn w:val="Normalny"/>
    <w:rsid w:val="00DC12F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pl-PL"/>
    </w:rPr>
  </w:style>
  <w:style w:type="paragraph" w:customStyle="1" w:styleId="N3pz">
    <w:name w:val="N 3 pz"/>
    <w:basedOn w:val="Normalny"/>
    <w:rsid w:val="00DC12F7"/>
    <w:pPr>
      <w:numPr>
        <w:numId w:val="1"/>
      </w:numPr>
      <w:tabs>
        <w:tab w:val="left" w:pos="0"/>
      </w:tabs>
      <w:overflowPunct w:val="0"/>
      <w:autoSpaceDE w:val="0"/>
      <w:autoSpaceDN w:val="0"/>
      <w:adjustRightInd w:val="0"/>
      <w:spacing w:after="80" w:line="300" w:lineRule="exact"/>
      <w:jc w:val="both"/>
      <w:textAlignment w:val="baseline"/>
    </w:pPr>
    <w:rPr>
      <w:rFonts w:ascii="Arial" w:eastAsia="Times New Roman" w:hAnsi="Arial" w:cs="Times New Roman"/>
      <w:sz w:val="24"/>
      <w:szCs w:val="20"/>
      <w:lang w:eastAsia="zh-CN"/>
    </w:rPr>
  </w:style>
  <w:style w:type="character" w:customStyle="1" w:styleId="Poziom1Znak3">
    <w:name w:val="Poziom 1 Znak3"/>
    <w:aliases w:val="2 pz Znak3"/>
    <w:rsid w:val="00DC12F7"/>
    <w:rPr>
      <w:rFonts w:ascii="Arial" w:hAnsi="Arial"/>
      <w:sz w:val="22"/>
    </w:rPr>
  </w:style>
  <w:style w:type="character" w:customStyle="1" w:styleId="WW8Num56z0">
    <w:name w:val="WW8Num56z0"/>
    <w:rsid w:val="00DC12F7"/>
    <w:rPr>
      <w:rFonts w:ascii="Symbol" w:hAnsi="Symbol" w:cs="StarSymbol"/>
      <w:color w:val="000000"/>
      <w:sz w:val="20"/>
      <w:szCs w:val="23"/>
    </w:rPr>
  </w:style>
  <w:style w:type="character" w:customStyle="1" w:styleId="DefaultZnak">
    <w:name w:val="Default Znak"/>
    <w:link w:val="Default"/>
    <w:rsid w:val="00DC12F7"/>
    <w:rPr>
      <w:rFonts w:ascii="Calibri" w:hAnsi="Calibri" w:cs="Calibri"/>
      <w:color w:val="000000"/>
      <w:sz w:val="24"/>
      <w:szCs w:val="24"/>
      <w14:ligatures w14:val="standardContextual"/>
    </w:rPr>
  </w:style>
  <w:style w:type="paragraph" w:styleId="Lista2">
    <w:name w:val="List 2"/>
    <w:basedOn w:val="Normalny"/>
    <w:uiPriority w:val="99"/>
    <w:unhideWhenUsed/>
    <w:rsid w:val="00DC12F7"/>
    <w:pPr>
      <w:widowControl w:val="0"/>
      <w:suppressAutoHyphens/>
      <w:spacing w:after="0" w:line="240" w:lineRule="auto"/>
      <w:ind w:left="566" w:hanging="283"/>
      <w:contextualSpacing/>
      <w:jc w:val="both"/>
    </w:pPr>
    <w:rPr>
      <w:rFonts w:ascii="Times New Roman" w:eastAsia="SimSun" w:hAnsi="Times New Roman" w:cs="Mangal"/>
      <w:kern w:val="1"/>
      <w:sz w:val="21"/>
      <w:szCs w:val="20"/>
      <w:lang w:val="en-US" w:eastAsia="hi-IN" w:bidi="hi-IN"/>
    </w:rPr>
  </w:style>
  <w:style w:type="character" w:customStyle="1" w:styleId="markedcontent">
    <w:name w:val="markedcontent"/>
    <w:basedOn w:val="Domylnaczcionkaakapitu"/>
    <w:rsid w:val="00DC12F7"/>
  </w:style>
  <w:style w:type="paragraph" w:customStyle="1" w:styleId="standard">
    <w:name w:val="standard"/>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podstawowa">
    <w:name w:val="Tabela_podstawowa"/>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paragraph" w:customStyle="1" w:styleId="Tekstakapitu">
    <w:name w:val="Tekst akapitu"/>
    <w:basedOn w:val="Normalny"/>
    <w:link w:val="TekstakapituZnak"/>
    <w:qFormat/>
    <w:rsid w:val="00DC12F7"/>
    <w:pPr>
      <w:overflowPunct w:val="0"/>
      <w:autoSpaceDE w:val="0"/>
      <w:autoSpaceDN w:val="0"/>
      <w:adjustRightInd w:val="0"/>
      <w:spacing w:after="0" w:line="276" w:lineRule="auto"/>
      <w:ind w:firstLine="567"/>
      <w:jc w:val="both"/>
      <w:textAlignment w:val="baseline"/>
    </w:pPr>
    <w:rPr>
      <w:rFonts w:ascii="Cambria" w:eastAsia="Times New Roman" w:hAnsi="Cambria" w:cs="Times New Roman"/>
      <w:sz w:val="20"/>
      <w:szCs w:val="20"/>
    </w:rPr>
  </w:style>
  <w:style w:type="character" w:customStyle="1" w:styleId="TekstakapituZnak">
    <w:name w:val="Tekst akapitu Znak"/>
    <w:link w:val="Tekstakapitu"/>
    <w:rsid w:val="00DC12F7"/>
    <w:rPr>
      <w:rFonts w:ascii="Cambria" w:eastAsia="Times New Roman" w:hAnsi="Cambria" w:cs="Times New Roman"/>
      <w:sz w:val="20"/>
      <w:szCs w:val="20"/>
    </w:rPr>
  </w:style>
  <w:style w:type="numbering" w:customStyle="1" w:styleId="ListaNienumerowana">
    <w:name w:val="Lista_Nienumerowana"/>
    <w:basedOn w:val="Bezlisty"/>
    <w:uiPriority w:val="99"/>
    <w:rsid w:val="00DC12F7"/>
    <w:pPr>
      <w:numPr>
        <w:numId w:val="2"/>
      </w:numPr>
    </w:pPr>
  </w:style>
  <w:style w:type="paragraph" w:customStyle="1" w:styleId="071ListaPoziom1">
    <w:name w:val="071_Lista_Poziom_1"/>
    <w:basedOn w:val="Akapitzlist"/>
    <w:link w:val="071ListaPoziom1Char"/>
    <w:qFormat/>
    <w:rsid w:val="00DC12F7"/>
    <w:pPr>
      <w:numPr>
        <w:numId w:val="3"/>
      </w:numPr>
      <w:spacing w:after="0" w:line="264" w:lineRule="auto"/>
      <w:jc w:val="both"/>
    </w:pPr>
    <w:rPr>
      <w:rFonts w:ascii="Cambria" w:eastAsiaTheme="minorEastAsia" w:hAnsi="Cambria"/>
      <w:sz w:val="20"/>
    </w:rPr>
  </w:style>
  <w:style w:type="paragraph" w:customStyle="1" w:styleId="072ListaPoziom2">
    <w:name w:val="072_Lista_Poziom_2"/>
    <w:basedOn w:val="071ListaPoziom1"/>
    <w:rsid w:val="00DC12F7"/>
    <w:pPr>
      <w:numPr>
        <w:ilvl w:val="1"/>
      </w:numPr>
      <w:tabs>
        <w:tab w:val="num" w:pos="360"/>
      </w:tabs>
      <w:ind w:left="1080" w:hanging="360"/>
    </w:pPr>
  </w:style>
  <w:style w:type="character" w:customStyle="1" w:styleId="071ListaPoziom1Char">
    <w:name w:val="071_Lista_Poziom_1 Char"/>
    <w:basedOn w:val="Domylnaczcionkaakapitu"/>
    <w:link w:val="071ListaPoziom1"/>
    <w:rsid w:val="00DC12F7"/>
    <w:rPr>
      <w:rFonts w:ascii="Cambria" w:eastAsiaTheme="minorEastAsia" w:hAnsi="Cambria"/>
      <w:sz w:val="20"/>
    </w:rPr>
  </w:style>
  <w:style w:type="paragraph" w:customStyle="1" w:styleId="073ListaPoziom3">
    <w:name w:val="073_Lista_Poziom_3"/>
    <w:basedOn w:val="072ListaPoziom2"/>
    <w:rsid w:val="00DC12F7"/>
    <w:pPr>
      <w:numPr>
        <w:ilvl w:val="2"/>
      </w:numPr>
      <w:tabs>
        <w:tab w:val="num" w:pos="360"/>
      </w:tabs>
      <w:ind w:left="1800" w:hanging="180"/>
    </w:pPr>
  </w:style>
  <w:style w:type="table" w:customStyle="1" w:styleId="Tabelapodstawowa3">
    <w:name w:val="Tabela_podstawowa3"/>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character" w:customStyle="1" w:styleId="default-value">
    <w:name w:val="default-value"/>
    <w:basedOn w:val="Domylnaczcionkaakapitu"/>
    <w:rsid w:val="00DC12F7"/>
  </w:style>
  <w:style w:type="paragraph" w:styleId="Tekstpodstawowy2">
    <w:name w:val="Body Text 2"/>
    <w:basedOn w:val="Normalny"/>
    <w:link w:val="Tekstpodstawowy2Znak"/>
    <w:uiPriority w:val="99"/>
    <w:semiHidden/>
    <w:unhideWhenUsed/>
    <w:rsid w:val="00DC12F7"/>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semiHidden/>
    <w:rsid w:val="00DC12F7"/>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DC12F7"/>
    <w:pPr>
      <w:suppressAutoHyphens w:val="0"/>
    </w:pPr>
    <w:rPr>
      <w:b/>
      <w:bCs/>
      <w:lang w:eastAsia="pl-PL"/>
    </w:rPr>
  </w:style>
  <w:style w:type="character" w:customStyle="1" w:styleId="TematkomentarzaZnak">
    <w:name w:val="Temat komentarza Znak"/>
    <w:basedOn w:val="TekstkomentarzaZnak"/>
    <w:link w:val="Tematkomentarza"/>
    <w:uiPriority w:val="99"/>
    <w:semiHidden/>
    <w:rsid w:val="00DC12F7"/>
    <w:rPr>
      <w:rFonts w:ascii="Times New Roman" w:eastAsia="Times New Roman" w:hAnsi="Times New Roman" w:cs="Times New Roman"/>
      <w:b/>
      <w:bCs/>
      <w:sz w:val="20"/>
      <w:szCs w:val="20"/>
      <w:lang w:eastAsia="pl-PL"/>
    </w:rPr>
  </w:style>
  <w:style w:type="paragraph" w:styleId="Poprawka">
    <w:name w:val="Revision"/>
    <w:hidden/>
    <w:uiPriority w:val="99"/>
    <w:semiHidden/>
    <w:rsid w:val="00DC12F7"/>
    <w:pPr>
      <w:spacing w:after="0" w:line="240" w:lineRule="auto"/>
    </w:pPr>
    <w:rPr>
      <w:rFonts w:ascii="Times New Roman" w:eastAsia="Times New Roman" w:hAnsi="Times New Roman" w:cs="Times New Roman"/>
      <w:sz w:val="24"/>
      <w:szCs w:val="24"/>
      <w:lang w:eastAsia="pl-PL"/>
    </w:rPr>
  </w:style>
  <w:style w:type="paragraph" w:customStyle="1" w:styleId="1wyliczenieROOS">
    <w:name w:val="1_wyliczenie _ROOS"/>
    <w:basedOn w:val="Normalny"/>
    <w:qFormat/>
    <w:rsid w:val="00DC12F7"/>
    <w:pPr>
      <w:numPr>
        <w:numId w:val="4"/>
      </w:numPr>
      <w:spacing w:after="0" w:line="240" w:lineRule="auto"/>
    </w:pPr>
    <w:rPr>
      <w:rFonts w:ascii="Arial" w:hAnsi="Arial" w:cs="Arial"/>
      <w:sz w:val="20"/>
      <w:szCs w:val="20"/>
      <w:lang w:eastAsia="zh-CN"/>
    </w:rPr>
  </w:style>
  <w:style w:type="character" w:customStyle="1" w:styleId="Inne">
    <w:name w:val="Inne_"/>
    <w:basedOn w:val="Domylnaczcionkaakapitu"/>
    <w:link w:val="Inne0"/>
    <w:locked/>
    <w:rsid w:val="00DC12F7"/>
    <w:rPr>
      <w:rFonts w:ascii="Arial" w:eastAsia="Arial" w:hAnsi="Arial" w:cs="Arial"/>
    </w:rPr>
  </w:style>
  <w:style w:type="paragraph" w:customStyle="1" w:styleId="Inne0">
    <w:name w:val="Inne"/>
    <w:basedOn w:val="Normalny"/>
    <w:link w:val="Inne"/>
    <w:rsid w:val="00DC12F7"/>
    <w:pPr>
      <w:widowControl w:val="0"/>
      <w:spacing w:after="100" w:line="276" w:lineRule="auto"/>
    </w:pPr>
    <w:rPr>
      <w:rFonts w:ascii="Arial" w:eastAsia="Arial" w:hAnsi="Arial" w:cs="Arial"/>
    </w:rPr>
  </w:style>
  <w:style w:type="paragraph" w:styleId="Tekstprzypisudolnego">
    <w:name w:val="footnote text"/>
    <w:aliases w:val="Tekst przypisu,Podrozdział,Podrozdzia3,-E Fuﬂnotentext,Fuﬂnotentext Ursprung,Fußnotentext Ursprung,-E Fußnotentext,Footnote text,Tekst przypisu Znak Znak Znak Znak,Tekst przypisu Znak Znak Znak Znak Znak,footnote text,Fußnote,fn,F"/>
    <w:basedOn w:val="Normalny"/>
    <w:link w:val="TekstprzypisudolnegoZnak"/>
    <w:uiPriority w:val="99"/>
    <w:unhideWhenUsed/>
    <w:qFormat/>
    <w:rsid w:val="00DC12F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Podrozdział Znak,Podrozdzia3 Znak,-E Fuﬂnotentext Znak,Fuﬂnotentext Ursprung Znak,Fußnotentext Ursprung Znak,-E Fußnotentext Znak,Footnote text Znak,Tekst przypisu Znak Znak Znak Znak Znak1,Fußnote Znak"/>
    <w:basedOn w:val="Domylnaczcionkaakapitu"/>
    <w:link w:val="Tekstprzypisudolnego"/>
    <w:uiPriority w:val="99"/>
    <w:rsid w:val="00DC12F7"/>
    <w:rPr>
      <w:rFonts w:ascii="Times New Roman" w:eastAsia="Times New Roman" w:hAnsi="Times New Roman" w:cs="Times New Roman"/>
      <w:sz w:val="20"/>
      <w:szCs w:val="20"/>
      <w:lang w:eastAsia="pl-PL"/>
    </w:rPr>
  </w:style>
  <w:style w:type="character" w:styleId="Odwoanieprzypisudolnego">
    <w:name w:val="footnote reference"/>
    <w:aliases w:val="Odwołanie przypisu,Footnote Reference Number,EN Footnote Reference,Times 10 Point,Exposant 3 Point,Footnote symbol,Footnote reference number,note TESI,fr,Odwo³anie przypisu,stylish,-E Fußnotenzeichen,16 Point,Superscript 6 Poi"/>
    <w:basedOn w:val="Domylnaczcionkaakapitu"/>
    <w:uiPriority w:val="99"/>
    <w:unhideWhenUsed/>
    <w:qFormat/>
    <w:rsid w:val="00DC12F7"/>
    <w:rPr>
      <w:vertAlign w:val="superscript"/>
    </w:rPr>
  </w:style>
  <w:style w:type="character" w:customStyle="1" w:styleId="Podpistabeli">
    <w:name w:val="Podpis tabeli_"/>
    <w:basedOn w:val="Domylnaczcionkaakapitu"/>
    <w:link w:val="Podpistabeli0"/>
    <w:rsid w:val="00DC12F7"/>
    <w:rPr>
      <w:rFonts w:ascii="Calibri" w:eastAsia="Calibri" w:hAnsi="Calibri" w:cs="Calibri"/>
      <w:sz w:val="18"/>
      <w:szCs w:val="18"/>
    </w:rPr>
  </w:style>
  <w:style w:type="paragraph" w:customStyle="1" w:styleId="Podpistabeli0">
    <w:name w:val="Podpis tabeli"/>
    <w:basedOn w:val="Normalny"/>
    <w:link w:val="Podpistabeli"/>
    <w:rsid w:val="00DC12F7"/>
    <w:pPr>
      <w:widowControl w:val="0"/>
      <w:spacing w:after="0" w:line="240" w:lineRule="auto"/>
    </w:pPr>
    <w:rPr>
      <w:rFonts w:ascii="Calibri" w:eastAsia="Calibri" w:hAnsi="Calibri" w:cs="Calibri"/>
      <w:sz w:val="18"/>
      <w:szCs w:val="18"/>
    </w:rPr>
  </w:style>
  <w:style w:type="paragraph" w:customStyle="1" w:styleId="pf0">
    <w:name w:val="pf0"/>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DC12F7"/>
    <w:pPr>
      <w:spacing w:after="120" w:line="480" w:lineRule="auto"/>
      <w:ind w:left="283"/>
    </w:pPr>
    <w:rPr>
      <w:rFonts w:ascii="Calibri" w:eastAsia="Calibri" w:hAnsi="Calibri" w:cs="Times New Roman"/>
    </w:rPr>
  </w:style>
  <w:style w:type="character" w:customStyle="1" w:styleId="Tekstpodstawowywcity2Znak">
    <w:name w:val="Tekst podstawowy wcięty 2 Znak"/>
    <w:basedOn w:val="Domylnaczcionkaakapitu"/>
    <w:link w:val="Tekstpodstawowywcity2"/>
    <w:uiPriority w:val="99"/>
    <w:rsid w:val="00DC12F7"/>
    <w:rPr>
      <w:rFonts w:ascii="Calibri" w:eastAsia="Calibri" w:hAnsi="Calibri" w:cs="Times New Roman"/>
    </w:rPr>
  </w:style>
  <w:style w:type="paragraph" w:styleId="NormalnyWeb">
    <w:name w:val="Normal (Web)"/>
    <w:basedOn w:val="Normalny"/>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rzypisudolnegoZnak1">
    <w:name w:val="Tekst przypisu dolnego Znak1"/>
    <w:basedOn w:val="Domylnaczcionkaakapitu"/>
    <w:uiPriority w:val="99"/>
    <w:semiHidden/>
    <w:rsid w:val="00DC12F7"/>
    <w:rPr>
      <w:lang w:eastAsia="en-US"/>
    </w:rPr>
  </w:style>
  <w:style w:type="character" w:styleId="Nierozpoznanawzmianka">
    <w:name w:val="Unresolved Mention"/>
    <w:uiPriority w:val="99"/>
    <w:unhideWhenUsed/>
    <w:rsid w:val="00DC12F7"/>
    <w:rPr>
      <w:color w:val="605E5C"/>
      <w:shd w:val="clear" w:color="auto" w:fill="E1DFDD"/>
    </w:rPr>
  </w:style>
  <w:style w:type="table" w:customStyle="1" w:styleId="TableGrid">
    <w:name w:val="TableGrid"/>
    <w:rsid w:val="00DC12F7"/>
    <w:pPr>
      <w:spacing w:after="0" w:line="240" w:lineRule="auto"/>
    </w:pPr>
    <w:rPr>
      <w:rFonts w:ascii="Calibri" w:eastAsia="Times New Roman" w:hAnsi="Calibri" w:cs="Times New Roman"/>
      <w:kern w:val="2"/>
      <w:sz w:val="24"/>
      <w:szCs w:val="24"/>
      <w:lang w:eastAsia="pl-PL"/>
    </w:rPr>
    <w:tblPr>
      <w:tblCellMar>
        <w:top w:w="0" w:type="dxa"/>
        <w:left w:w="0" w:type="dxa"/>
        <w:bottom w:w="0" w:type="dxa"/>
        <w:right w:w="0" w:type="dxa"/>
      </w:tblCellMar>
    </w:tblPr>
  </w:style>
  <w:style w:type="paragraph" w:customStyle="1" w:styleId="Standard0">
    <w:name w:val="Standard"/>
    <w:rsid w:val="00DC12F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character" w:styleId="Pogrubienie">
    <w:name w:val="Strong"/>
    <w:aliases w:val="Pogrubiony,żródło,BOLD HIGHLIGHT CPK"/>
    <w:uiPriority w:val="22"/>
    <w:qFormat/>
    <w:rsid w:val="00DC12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2562</Words>
  <Characters>15372</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5</cp:revision>
  <dcterms:created xsi:type="dcterms:W3CDTF">2026-03-27T11:49:00Z</dcterms:created>
  <dcterms:modified xsi:type="dcterms:W3CDTF">2026-07-30T11:04:00Z</dcterms:modified>
</cp:coreProperties>
</file>