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29" w:rsidRPr="00EA6F29" w:rsidRDefault="00EA6F29" w:rsidP="00EA6F29">
      <w:pPr>
        <w:jc w:val="center"/>
        <w:rPr>
          <w:b/>
        </w:rPr>
      </w:pPr>
      <w:bookmarkStart w:id="0" w:name="_GoBack"/>
      <w:bookmarkEnd w:id="0"/>
      <w:r w:rsidRPr="00EA6F29">
        <w:rPr>
          <w:b/>
        </w:rPr>
        <w:t>Informacja w związku z postępowaniami rozstrzygającymi i nowym brzmieniem art. 23 ust. 6 ustawy z dnia 21 marca 1991 r. o obszarach morskich Rzeczypospolitej Polskiej i administracji morskiej</w:t>
      </w:r>
    </w:p>
    <w:p w:rsidR="0093431E" w:rsidRDefault="0093431E" w:rsidP="0093431E">
      <w:pPr>
        <w:jc w:val="both"/>
      </w:pPr>
      <w:r>
        <w:t xml:space="preserve">21 grudnia 2022 r. weszła w życie ustawa z dnia </w:t>
      </w:r>
      <w:r w:rsidRPr="0093431E">
        <w:t>15 grudnia 2022 r.</w:t>
      </w:r>
      <w:r>
        <w:t xml:space="preserve"> </w:t>
      </w:r>
      <w:r w:rsidRPr="0093431E">
        <w:t>o szczególnej ochronie niektórych odbiorców paliw gazowych w 2023 r. w związku z sytuacją na rynku gazu</w:t>
      </w:r>
      <w:r>
        <w:t xml:space="preserve"> (Dz. U. </w:t>
      </w:r>
      <w:proofErr w:type="gramStart"/>
      <w:r>
        <w:t>poz</w:t>
      </w:r>
      <w:proofErr w:type="gramEnd"/>
      <w:r>
        <w:t xml:space="preserve">. 2687), zwana dalej „tarczą gazową”. Zgodnie z art. 34 </w:t>
      </w:r>
      <w:r w:rsidR="0040235B">
        <w:t xml:space="preserve">pkt 1 lit. a </w:t>
      </w:r>
      <w:r>
        <w:t>tarczy gazowej art. 23 ust. 6 ustawy z dnia 21 marca 1991 r. o </w:t>
      </w:r>
      <w:r w:rsidRPr="0093431E">
        <w:t>obszarach morskich Rzeczypospolitej Polskiej i administracji mors</w:t>
      </w:r>
      <w:r>
        <w:t xml:space="preserve">kiej (Dz. U. </w:t>
      </w:r>
      <w:proofErr w:type="gramStart"/>
      <w:r>
        <w:t>z</w:t>
      </w:r>
      <w:proofErr w:type="gramEnd"/>
      <w:r>
        <w:t xml:space="preserve"> 2022 r. poz. 457, z 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.), zwanej dalej „</w:t>
      </w:r>
      <w:proofErr w:type="spellStart"/>
      <w:r>
        <w:t>uom</w:t>
      </w:r>
      <w:proofErr w:type="spellEnd"/>
      <w:r>
        <w:t>”, otrzymał brzmienie:</w:t>
      </w:r>
    </w:p>
    <w:p w:rsidR="006F499F" w:rsidRPr="0040235B" w:rsidRDefault="0040235B" w:rsidP="0093431E">
      <w:pPr>
        <w:jc w:val="both"/>
        <w:rPr>
          <w:i/>
        </w:rPr>
      </w:pPr>
      <w:r>
        <w:rPr>
          <w:i/>
        </w:rPr>
        <w:t>„</w:t>
      </w:r>
      <w:r w:rsidR="0093431E" w:rsidRPr="0040235B">
        <w:rPr>
          <w:i/>
        </w:rPr>
        <w:t>6. Pozwolenie, o którym mowa w ust. 1, jest wydawane na okres niezbędny do wznoszenia lub wykorzystywania sztucznych wysp, konstrukcji i urządzeń, jednak nie dłuższy niż 35 lat, liczony od dnia, w którym decyzja stała się ostateczna. W przypadku morskiej farmy wiatrowej, o której mowa w ustawie z dnia 17 grudnia 2020 r. o promowaniu wytwarzania energii elektrycznej w morskich farmach wiatrowych, pozwolenie, o którym mowa w ust. 1, jest wydawane na okres od dnia, w którym decyzja stała się ostateczna, do upływu 30 lat od dnia, w którym rozpoczęto wykorzystanie tej morskiej farmy wiatrowej.</w:t>
      </w:r>
      <w:r>
        <w:rPr>
          <w:i/>
        </w:rPr>
        <w:t>”.</w:t>
      </w:r>
    </w:p>
    <w:p w:rsidR="0093431E" w:rsidRDefault="0040235B" w:rsidP="0093431E">
      <w:pPr>
        <w:jc w:val="both"/>
      </w:pPr>
      <w:r>
        <w:t>D</w:t>
      </w:r>
      <w:r w:rsidR="0093431E">
        <w:t xml:space="preserve">otychczasowy termin obowiązywania pozwolenia, o którym mowa w art. 23 ust. 1 </w:t>
      </w:r>
      <w:proofErr w:type="spellStart"/>
      <w:r w:rsidR="0093431E">
        <w:t>uom</w:t>
      </w:r>
      <w:proofErr w:type="spellEnd"/>
      <w:r w:rsidR="0093431E">
        <w:t xml:space="preserve">, został </w:t>
      </w:r>
      <w:r>
        <w:t xml:space="preserve">po nowelizacji </w:t>
      </w:r>
      <w:r w:rsidR="0093431E">
        <w:t xml:space="preserve">zróżnicowany w zależności od przedsięwzięcia, jakiego pozwolenie ma dotyczyć. Dla morskich farm wiatrowych termin ten został wydłużony do końca 30-letniego okresu liczonego od dnia, w którym rozpocznie się wykorzystanie </w:t>
      </w:r>
      <w:r w:rsidR="00EA6F29">
        <w:t>danej</w:t>
      </w:r>
      <w:r w:rsidR="0093431E">
        <w:t xml:space="preserve"> morskiej farmy wiatrowej. Dla pozostałych przedsięwzięć termin obowiązywania pozwolenia</w:t>
      </w:r>
      <w:r w:rsidR="00EA6F29">
        <w:t xml:space="preserve"> się nie zmienił i wynosi maksymalnie 35 lat od dnia, w którym decyzja (pozwolenie) stanie się ostateczna.</w:t>
      </w:r>
    </w:p>
    <w:p w:rsidR="0093431E" w:rsidRPr="0040235B" w:rsidRDefault="00EA6F29" w:rsidP="0093431E">
      <w:pPr>
        <w:jc w:val="both"/>
        <w:rPr>
          <w:u w:val="single"/>
        </w:rPr>
      </w:pPr>
      <w:r w:rsidRPr="0040235B">
        <w:rPr>
          <w:u w:val="single"/>
        </w:rPr>
        <w:t>A</w:t>
      </w:r>
      <w:r w:rsidR="0093431E" w:rsidRPr="0040235B">
        <w:rPr>
          <w:u w:val="single"/>
        </w:rPr>
        <w:t xml:space="preserve">rt. 23 ust. 6 </w:t>
      </w:r>
      <w:proofErr w:type="spellStart"/>
      <w:r w:rsidR="0093431E" w:rsidRPr="0040235B">
        <w:rPr>
          <w:u w:val="single"/>
        </w:rPr>
        <w:t>uom</w:t>
      </w:r>
      <w:proofErr w:type="spellEnd"/>
      <w:r w:rsidRPr="0040235B">
        <w:rPr>
          <w:u w:val="single"/>
        </w:rPr>
        <w:t xml:space="preserve"> w brzmieniu nadanym przez tarczę gazową</w:t>
      </w:r>
      <w:r w:rsidR="0093431E" w:rsidRPr="0040235B">
        <w:rPr>
          <w:u w:val="single"/>
        </w:rPr>
        <w:t xml:space="preserve"> znajdzie zastosowanie także do wszczętych i niezakończonych postępowań o wydanie pozwolenia, o którym mowa w art. 23 ust. 1 </w:t>
      </w:r>
      <w:proofErr w:type="spellStart"/>
      <w:r w:rsidR="0093431E" w:rsidRPr="0040235B">
        <w:rPr>
          <w:u w:val="single"/>
        </w:rPr>
        <w:t>uom</w:t>
      </w:r>
      <w:proofErr w:type="spellEnd"/>
      <w:r w:rsidR="0093431E" w:rsidRPr="0040235B">
        <w:rPr>
          <w:u w:val="single"/>
        </w:rPr>
        <w:t>.</w:t>
      </w:r>
    </w:p>
    <w:p w:rsidR="0093431E" w:rsidRDefault="00EA6F29" w:rsidP="0093431E">
      <w:pPr>
        <w:jc w:val="both"/>
      </w:pPr>
      <w:r>
        <w:t>W</w:t>
      </w:r>
      <w:r w:rsidR="0093431E">
        <w:t>obec braku wyraźnego przepisu przejściowego</w:t>
      </w:r>
      <w:r>
        <w:t xml:space="preserve"> a</w:t>
      </w:r>
      <w:r w:rsidRPr="00EA6F29">
        <w:t xml:space="preserve">rt. 23 ust. 6 </w:t>
      </w:r>
      <w:proofErr w:type="spellStart"/>
      <w:r w:rsidRPr="00EA6F29">
        <w:t>uom</w:t>
      </w:r>
      <w:proofErr w:type="spellEnd"/>
      <w:r w:rsidRPr="00EA6F29">
        <w:t xml:space="preserve"> w </w:t>
      </w:r>
      <w:r>
        <w:t>nowym brzmieniu będzie stosowany do postępowań wszczętych i niezakończonych w oparciu o zasadę</w:t>
      </w:r>
      <w:r w:rsidR="0093431E">
        <w:t xml:space="preserve"> bezpośredniego działania nowego prawa. Zgodnie z tą zasadą w sytuacjach, kiedy ustawodaw</w:t>
      </w:r>
      <w:r>
        <w:t>ca nie wypowiada się wyraźnie w </w:t>
      </w:r>
      <w:r w:rsidR="0093431E">
        <w:t>kwestii przepisów przejściowych, należy przyjąć, że nowa ustawa ma zastosowanie do zdarzeń prawnych powstałych po jej wejściu w życie, jak również do zdarzeń, które miały miejsce wcześniej, lecz trwają dalej, po wejściu w życie nowej ustawy. (</w:t>
      </w:r>
      <w:proofErr w:type="gramStart"/>
      <w:r w:rsidR="0093431E">
        <w:t>patrz</w:t>
      </w:r>
      <w:proofErr w:type="gramEnd"/>
      <w:r w:rsidR="0093431E">
        <w:t>: wyrok Naczelnego Sądu Administracyjnego z dnia 28 czerwca 2011 r. sygn. akt II GSK 674/10).</w:t>
      </w:r>
    </w:p>
    <w:p w:rsidR="00EA6F29" w:rsidRDefault="00EA6F29" w:rsidP="0093431E">
      <w:pPr>
        <w:jc w:val="both"/>
      </w:pPr>
      <w:r>
        <w:t>J</w:t>
      </w:r>
      <w:r w:rsidR="0093431E">
        <w:t>ednym z kryteriów oceny wniosków w postępowaniach rozstrzygających są proponowane przez wnioskodawców okresy obowiązywania pozwolenia, w tym daty roz</w:t>
      </w:r>
      <w:r w:rsidR="002D7F19">
        <w:t>poczęcia i zakończenia budowy i </w:t>
      </w:r>
      <w:r w:rsidR="0093431E">
        <w:t>eksploatacji planowanych przedsięwzięć</w:t>
      </w:r>
      <w:r>
        <w:t xml:space="preserve">. Kryterium to oceniane jest na podstawie </w:t>
      </w:r>
      <w:r w:rsidRPr="00EA6F29">
        <w:t xml:space="preserve">harmonogramu realizacji planowanego przedsięwzięcia pozwalającego na ustalenie spełnienia przez wnioskodawcę </w:t>
      </w:r>
      <w:r>
        <w:t>tego szczegółowego kryterium.</w:t>
      </w:r>
    </w:p>
    <w:p w:rsidR="0093431E" w:rsidRDefault="00EA6F29" w:rsidP="0093431E">
      <w:pPr>
        <w:jc w:val="both"/>
      </w:pPr>
      <w:r>
        <w:t>J</w:t>
      </w:r>
      <w:r w:rsidR="0093431E">
        <w:t xml:space="preserve">ednym z wymogów formalnych wniosku </w:t>
      </w:r>
      <w:r>
        <w:t>jest z kolei</w:t>
      </w:r>
      <w:r w:rsidR="0093431E">
        <w:t xml:space="preserve"> przedstawienie harmonogramu realizacji przedsięwzięcia</w:t>
      </w:r>
      <w:r>
        <w:t xml:space="preserve">. </w:t>
      </w:r>
      <w:proofErr w:type="gramStart"/>
      <w:r>
        <w:t>Powstaje zatem</w:t>
      </w:r>
      <w:proofErr w:type="gramEnd"/>
      <w:r>
        <w:t xml:space="preserve"> pytanie czy wnioskodawcy, którzy jeszcze nie złożyli informacji i dokumentów w postępowaniach rozstrzygających, </w:t>
      </w:r>
      <w:r w:rsidR="00025166">
        <w:t>mogą</w:t>
      </w:r>
      <w:r>
        <w:t xml:space="preserve"> dostosować przedkładane w tych postępowaniach harmonogramy do nowych przepisów i nowych okresów obowiązywania pozwolenia, a jeśli tak, to czy nie będzie to postrzegane jako modyfikacja wniosku, z czym wiązałaby się np. konieczność jego ponownego zaopiniowania przez wskazane w </w:t>
      </w:r>
      <w:proofErr w:type="spellStart"/>
      <w:r>
        <w:t>uom</w:t>
      </w:r>
      <w:proofErr w:type="spellEnd"/>
      <w:r>
        <w:t xml:space="preserve"> organy.</w:t>
      </w:r>
    </w:p>
    <w:p w:rsidR="0040235B" w:rsidRDefault="00EA6F29" w:rsidP="00EA6F29">
      <w:pPr>
        <w:jc w:val="both"/>
      </w:pPr>
      <w:r w:rsidRPr="0040235B">
        <w:rPr>
          <w:u w:val="single"/>
        </w:rPr>
        <w:lastRenderedPageBreak/>
        <w:t xml:space="preserve">Wnioskodawcy w postępowaniach </w:t>
      </w:r>
      <w:r w:rsidR="002D7F19">
        <w:rPr>
          <w:u w:val="single"/>
        </w:rPr>
        <w:t>rozstrzygających, przy składaniu informacji i dokumentów (o ile nie upłynął jeszcze termin)</w:t>
      </w:r>
      <w:r w:rsidRPr="0040235B">
        <w:rPr>
          <w:u w:val="single"/>
        </w:rPr>
        <w:t xml:space="preserve"> mogą dostosować harmonogramy realizacji przedsięwzięć do brzmienia nowych przepisów, tj. przedłożyć harmonogramy uwzględniające nowe daty obowiązywania pozwoleń, jeżeli zmiana przepisów ma znaczenie dla tych harmonogramów.</w:t>
      </w:r>
      <w:r>
        <w:t xml:space="preserve"> </w:t>
      </w:r>
    </w:p>
    <w:p w:rsidR="00EA6F29" w:rsidRDefault="00EA6F29" w:rsidP="00EA6F29">
      <w:pPr>
        <w:jc w:val="both"/>
      </w:pPr>
      <w:r>
        <w:t xml:space="preserve">Inaczej mówiąc, odstępstwo od harmonogramu określonego we wniosku może nastąpić w przypadku, gdy zmiana przepisów rzeczywiście ma wpływ na plany </w:t>
      </w:r>
      <w:proofErr w:type="gramStart"/>
      <w:r>
        <w:t>inwestora co</w:t>
      </w:r>
      <w:proofErr w:type="gramEnd"/>
      <w:r>
        <w:t xml:space="preserve"> do dat rozpoczęcia i zakończenia budowy przedsięwzięcia oraz jego eksploatacji. </w:t>
      </w:r>
    </w:p>
    <w:p w:rsidR="00EA6F29" w:rsidRDefault="00EA6F29" w:rsidP="0093431E">
      <w:pPr>
        <w:jc w:val="both"/>
      </w:pPr>
      <w:r>
        <w:t xml:space="preserve">Zgodnie z art. 27f </w:t>
      </w:r>
      <w:proofErr w:type="spellStart"/>
      <w:r>
        <w:t>uom</w:t>
      </w:r>
      <w:proofErr w:type="spellEnd"/>
      <w:r>
        <w:t xml:space="preserve"> postępowanie rozstrzygające, o którym mowa w art. 27d ust. 1 </w:t>
      </w:r>
      <w:proofErr w:type="spellStart"/>
      <w:r>
        <w:t>uom</w:t>
      </w:r>
      <w:proofErr w:type="spellEnd"/>
      <w:r>
        <w:t xml:space="preserve">, jest postępowaniem odrębnym od postępowania w sprawie o wydanie pozwolenia, o którym mowa w art. 23 ust. 1 </w:t>
      </w:r>
      <w:proofErr w:type="spellStart"/>
      <w:r>
        <w:t>uom</w:t>
      </w:r>
      <w:proofErr w:type="spellEnd"/>
      <w:r>
        <w:t xml:space="preserve">. Dokonanie modyfikacji harmonogramu realizacji przedsięwzięcia przedstawianego w postępowaniu rozstrzygającym w stosunku do dat pierwotnie określonych we wniosku o wydanie pozwolenia, o którym mowa w art. 23 ust. 1 </w:t>
      </w:r>
      <w:proofErr w:type="spellStart"/>
      <w:r>
        <w:t>uom</w:t>
      </w:r>
      <w:proofErr w:type="spellEnd"/>
      <w:r>
        <w:t>, nie zostanie uznane za modyfikację tego wniosku, przy czym należy jeszcze raz podkreślić, że zmiana to powinna być uzasadniona.</w:t>
      </w:r>
    </w:p>
    <w:p w:rsidR="002D7F19" w:rsidRDefault="002D7F19" w:rsidP="0093431E">
      <w:pPr>
        <w:jc w:val="both"/>
      </w:pPr>
      <w:r>
        <w:t>Podsumowując:</w:t>
      </w:r>
    </w:p>
    <w:p w:rsidR="002D7F19" w:rsidRDefault="002D7F19" w:rsidP="002D7F19">
      <w:pPr>
        <w:pStyle w:val="Akapitzlist"/>
        <w:numPr>
          <w:ilvl w:val="0"/>
          <w:numId w:val="1"/>
        </w:numPr>
        <w:jc w:val="both"/>
      </w:pPr>
      <w:r>
        <w:t xml:space="preserve">Wnioskodawca </w:t>
      </w:r>
      <w:r w:rsidRPr="00D826C5">
        <w:rPr>
          <w:u w:val="single"/>
        </w:rPr>
        <w:t>nie jest zobowiązany do zmiany wniosku</w:t>
      </w:r>
      <w:r>
        <w:t xml:space="preserve"> w zakresie harmonogramu w związku z wejściem w życie przepisów o okresie, na jaki wydaje się pozwolenie dla morskiej farmy wiatrowej. Organ przy wydawaniu pozwolenia z urzędu zastosuje nowe przepisy.</w:t>
      </w:r>
    </w:p>
    <w:p w:rsidR="002D7F19" w:rsidRDefault="002D7F19" w:rsidP="002D7F19">
      <w:pPr>
        <w:pStyle w:val="Akapitzlist"/>
        <w:numPr>
          <w:ilvl w:val="0"/>
          <w:numId w:val="1"/>
        </w:numPr>
        <w:jc w:val="both"/>
      </w:pPr>
      <w:r>
        <w:t xml:space="preserve">Wnioskodawca w postępowaniu rozstrzygającym </w:t>
      </w:r>
      <w:r w:rsidRPr="00D826C5">
        <w:rPr>
          <w:u w:val="single"/>
        </w:rPr>
        <w:t>może w informacjach i dokumentach przedstawić harmonogram dostosowany do nowych przepisów</w:t>
      </w:r>
      <w:r>
        <w:t xml:space="preserve"> (i w ten sposób odejść w tym zakresie od harmonogramu przedstawionego we wniosku), jeżeli taka zmiana harmonogramu jest uzasadniona.</w:t>
      </w:r>
    </w:p>
    <w:sectPr w:rsidR="002D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009E2"/>
    <w:multiLevelType w:val="hybridMultilevel"/>
    <w:tmpl w:val="8A6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1E"/>
    <w:rsid w:val="00025166"/>
    <w:rsid w:val="002D7F19"/>
    <w:rsid w:val="00380AEA"/>
    <w:rsid w:val="0040235B"/>
    <w:rsid w:val="006F499F"/>
    <w:rsid w:val="0093431E"/>
    <w:rsid w:val="00D826C5"/>
    <w:rsid w:val="00E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11DC-36D0-4B99-9FC4-ABCA78E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D7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F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7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Wisniewski Karol</dc:creator>
  <cp:keywords/>
  <dc:description/>
  <cp:lastModifiedBy>Zając Natalia</cp:lastModifiedBy>
  <cp:revision>2</cp:revision>
  <dcterms:created xsi:type="dcterms:W3CDTF">2023-01-09T14:14:00Z</dcterms:created>
  <dcterms:modified xsi:type="dcterms:W3CDTF">2023-01-09T14:14:00Z</dcterms:modified>
</cp:coreProperties>
</file>