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EE" w:rsidRPr="003114F3" w:rsidRDefault="00965BEE" w:rsidP="00965BEE">
      <w:pPr>
        <w:spacing w:line="240" w:lineRule="auto"/>
        <w:jc w:val="right"/>
        <w:rPr>
          <w:rFonts w:cstheme="minorHAnsi"/>
        </w:rPr>
      </w:pPr>
      <w:r>
        <w:rPr>
          <w:rFonts w:cstheme="minorHAnsi"/>
          <w:sz w:val="24"/>
          <w:szCs w:val="24"/>
        </w:rPr>
        <w:t>Załącznik nr 6</w:t>
      </w:r>
      <w:r w:rsidRPr="003114F3">
        <w:rPr>
          <w:rFonts w:cstheme="minorHAnsi"/>
          <w:sz w:val="24"/>
          <w:szCs w:val="24"/>
        </w:rPr>
        <w:t xml:space="preserve"> do SWZ</w:t>
      </w:r>
    </w:p>
    <w:p w:rsidR="00965BEE" w:rsidRPr="003114F3" w:rsidRDefault="00965BEE" w:rsidP="00965BEE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965BEE" w:rsidRDefault="00965BEE" w:rsidP="00965BEE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65BEE" w:rsidRDefault="00965BEE" w:rsidP="00965BEE">
      <w:pPr>
        <w:rPr>
          <w:rFonts w:asciiTheme="majorHAnsi" w:hAnsiTheme="majorHAnsi" w:cstheme="majorHAnsi"/>
          <w:b/>
          <w:bCs/>
          <w:color w:val="FF0000"/>
          <w:lang w:eastAsia="ar-SA"/>
        </w:rPr>
      </w:pPr>
    </w:p>
    <w:p w:rsidR="00965BEE" w:rsidRDefault="00965BEE" w:rsidP="00965BEE">
      <w:pPr>
        <w:rPr>
          <w:rFonts w:asciiTheme="majorHAnsi" w:hAnsiTheme="majorHAnsi" w:cstheme="majorHAnsi"/>
          <w:b/>
          <w:bCs/>
          <w:color w:val="FF0000"/>
          <w:lang w:eastAsia="ar-SA"/>
        </w:rPr>
      </w:pPr>
    </w:p>
    <w:p w:rsidR="00965BEE" w:rsidRDefault="00965BEE" w:rsidP="00965BEE">
      <w:pPr>
        <w:jc w:val="center"/>
        <w:rPr>
          <w:rFonts w:asciiTheme="majorHAnsi" w:hAnsiTheme="majorHAnsi" w:cstheme="majorHAnsi"/>
          <w:b/>
          <w:bCs/>
          <w:sz w:val="24"/>
          <w:szCs w:val="24"/>
          <w:lang w:eastAsia="ar-SA"/>
        </w:rPr>
      </w:pPr>
      <w:r w:rsidRPr="009B75D4">
        <w:rPr>
          <w:rFonts w:asciiTheme="majorHAnsi" w:hAnsiTheme="majorHAnsi" w:cstheme="majorHAnsi"/>
          <w:b/>
          <w:bCs/>
          <w:sz w:val="24"/>
          <w:szCs w:val="24"/>
          <w:lang w:eastAsia="ar-SA"/>
        </w:rPr>
        <w:t>Opis przedmiotu zamówienia</w:t>
      </w:r>
    </w:p>
    <w:p w:rsidR="00965BEE" w:rsidRPr="007F756E" w:rsidRDefault="00965BEE" w:rsidP="00965BEE">
      <w:pPr>
        <w:spacing w:line="240" w:lineRule="auto"/>
        <w:jc w:val="both"/>
        <w:rPr>
          <w:rFonts w:cstheme="minorHAnsi"/>
          <w:sz w:val="24"/>
          <w:szCs w:val="24"/>
        </w:rPr>
      </w:pPr>
      <w:r w:rsidRPr="009B75D4">
        <w:rPr>
          <w:sz w:val="24"/>
          <w:szCs w:val="24"/>
        </w:rPr>
        <w:t xml:space="preserve">1. Przedmiotem zamówienia jest </w:t>
      </w:r>
      <w:r>
        <w:rPr>
          <w:rFonts w:cstheme="minorHAnsi"/>
          <w:b/>
          <w:i/>
          <w:sz w:val="24"/>
          <w:szCs w:val="24"/>
        </w:rPr>
        <w:t>z</w:t>
      </w:r>
      <w:r w:rsidR="0026624F">
        <w:rPr>
          <w:rFonts w:cstheme="minorHAnsi"/>
          <w:b/>
          <w:i/>
          <w:sz w:val="24"/>
          <w:szCs w:val="24"/>
        </w:rPr>
        <w:t>akup i dostawa wyposażenia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Realizacja </w:t>
      </w:r>
      <w:r w:rsidRPr="009B75D4">
        <w:rPr>
          <w:sz w:val="24"/>
          <w:szCs w:val="24"/>
        </w:rPr>
        <w:t>przedmiotu zamówienia będzie się odbywała na koszt własny Wykonawcy i będzie obejmowała wniesienie,</w:t>
      </w:r>
      <w:r>
        <w:rPr>
          <w:sz w:val="24"/>
          <w:szCs w:val="24"/>
        </w:rPr>
        <w:t xml:space="preserve"> rozpakowanie, w razie potrzeby złożenie/zmontowanie</w:t>
      </w:r>
      <w:r w:rsidRPr="009B75D4">
        <w:rPr>
          <w:sz w:val="24"/>
          <w:szCs w:val="24"/>
        </w:rPr>
        <w:t>/uruchomienie/</w:t>
      </w:r>
      <w:r>
        <w:rPr>
          <w:sz w:val="24"/>
          <w:szCs w:val="24"/>
        </w:rPr>
        <w:t xml:space="preserve"> </w:t>
      </w:r>
      <w:r w:rsidRPr="009B75D4">
        <w:rPr>
          <w:sz w:val="24"/>
          <w:szCs w:val="24"/>
        </w:rPr>
        <w:t xml:space="preserve">skonfigurowanie oraz ustawienie we wskazanych przez Zamawiającego miejscach (pomieszczeniach) w jego siedzibie – ul. </w:t>
      </w:r>
      <w:r>
        <w:rPr>
          <w:sz w:val="24"/>
          <w:szCs w:val="24"/>
        </w:rPr>
        <w:t>Lipowa 30, 24-150 Nałęczów</w:t>
      </w:r>
      <w:r w:rsidRPr="009B75D4">
        <w:rPr>
          <w:sz w:val="24"/>
          <w:szCs w:val="24"/>
        </w:rPr>
        <w:t xml:space="preserve"> różnego rodzaju urządzeń, wyposażenia ruchomego oraz sprzętu. Dostawą mają być objęte urządzenia, wyposażenie oraz sprzęt nie będące przedmiotem ekspozycji, nieużywane, p</w:t>
      </w:r>
      <w:r w:rsidR="00512D0A">
        <w:rPr>
          <w:sz w:val="24"/>
          <w:szCs w:val="24"/>
        </w:rPr>
        <w:t xml:space="preserve">ochodzące z bieżącej produkcji. </w:t>
      </w:r>
      <w:r w:rsidRPr="009B75D4">
        <w:rPr>
          <w:sz w:val="24"/>
          <w:szCs w:val="24"/>
        </w:rPr>
        <w:t xml:space="preserve">Do dostarczanego przedmiotu zamówienia, Wykonawca jest zobowiązany dołączyć wymagane instrukcje w języku polskim. </w:t>
      </w:r>
    </w:p>
    <w:p w:rsidR="00965BEE" w:rsidRDefault="00965BEE" w:rsidP="00965BEE">
      <w:pPr>
        <w:spacing w:after="0"/>
        <w:jc w:val="both"/>
        <w:rPr>
          <w:sz w:val="24"/>
          <w:szCs w:val="24"/>
        </w:rPr>
      </w:pPr>
      <w:r w:rsidRPr="009B75D4">
        <w:rPr>
          <w:sz w:val="24"/>
          <w:szCs w:val="24"/>
        </w:rPr>
        <w:t xml:space="preserve">2. Zamawiający wymaga, aby przedmiot zamówienia był fabrycznie nowy, wolny od wad technicznych i prawnych, dobrej, jakości, dopuszczony do obrotu, zapakowany w oryginalne opakowanie dla danego produktu, zaopatrzone w etykiety identyfikujące dany produkt, określający jego parametry techniczne, jakościowe, funkcjonalne oraz użytkowe. </w:t>
      </w:r>
    </w:p>
    <w:p w:rsidR="00965BEE" w:rsidRPr="009B75D4" w:rsidRDefault="00965BEE" w:rsidP="00965BEE">
      <w:pPr>
        <w:jc w:val="both"/>
        <w:rPr>
          <w:rFonts w:asciiTheme="majorHAnsi" w:hAnsiTheme="majorHAnsi" w:cstheme="majorHAnsi"/>
          <w:b/>
          <w:bCs/>
          <w:sz w:val="24"/>
          <w:szCs w:val="24"/>
          <w:lang w:eastAsia="ar-SA"/>
        </w:rPr>
      </w:pPr>
      <w:r w:rsidRPr="009B75D4">
        <w:rPr>
          <w:sz w:val="24"/>
          <w:szCs w:val="24"/>
        </w:rPr>
        <w:t xml:space="preserve">3. Wykaz </w:t>
      </w:r>
      <w:r>
        <w:rPr>
          <w:sz w:val="24"/>
          <w:szCs w:val="24"/>
        </w:rPr>
        <w:t>jakościowo – ilościowy zawiera poniższa tabela</w:t>
      </w:r>
      <w:r w:rsidRPr="009B75D4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2329"/>
        <w:gridCol w:w="4111"/>
        <w:gridCol w:w="1879"/>
      </w:tblGrid>
      <w:tr w:rsidR="00965BEE" w:rsidTr="00BD479B">
        <w:tc>
          <w:tcPr>
            <w:tcW w:w="425" w:type="dxa"/>
          </w:tcPr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proofErr w:type="spellStart"/>
            <w:r w:rsidRPr="00B21C55">
              <w:rPr>
                <w:rFonts w:eastAsia="Times New Roman" w:cstheme="minorHAnsi"/>
                <w:b/>
                <w:lang w:eastAsia="pl-PL"/>
              </w:rPr>
              <w:t>Lp</w:t>
            </w:r>
            <w:proofErr w:type="spellEnd"/>
          </w:p>
        </w:tc>
        <w:tc>
          <w:tcPr>
            <w:tcW w:w="2329" w:type="dxa"/>
          </w:tcPr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21C55">
              <w:rPr>
                <w:rFonts w:eastAsia="Times New Roman" w:cstheme="minorHAnsi"/>
                <w:b/>
                <w:lang w:eastAsia="pl-PL"/>
              </w:rPr>
              <w:t>Nazwa przedmiotu zamówienia</w:t>
            </w:r>
          </w:p>
        </w:tc>
        <w:tc>
          <w:tcPr>
            <w:tcW w:w="4111" w:type="dxa"/>
          </w:tcPr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21C55">
              <w:rPr>
                <w:rFonts w:eastAsia="Times New Roman" w:cstheme="minorHAnsi"/>
                <w:b/>
                <w:lang w:eastAsia="pl-PL"/>
              </w:rPr>
              <w:t>Minimalne parametry</w:t>
            </w:r>
          </w:p>
        </w:tc>
        <w:tc>
          <w:tcPr>
            <w:tcW w:w="1879" w:type="dxa"/>
          </w:tcPr>
          <w:p w:rsidR="00965BEE" w:rsidRPr="00B21C55" w:rsidRDefault="00287EE1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Ilość(szt./zestaw</w:t>
            </w:r>
            <w:bookmarkStart w:id="0" w:name="_GoBack"/>
            <w:bookmarkEnd w:id="0"/>
            <w:r w:rsidR="00965BEE" w:rsidRPr="00B21C55">
              <w:rPr>
                <w:rFonts w:eastAsia="Times New Roman" w:cstheme="minorHAnsi"/>
                <w:b/>
                <w:lang w:eastAsia="pl-PL"/>
              </w:rPr>
              <w:t>)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83C3F">
              <w:rPr>
                <w:rFonts w:ascii="Calibri" w:hAnsi="Calibri" w:cs="Calibri"/>
                <w:b/>
                <w:color w:val="000000"/>
              </w:rPr>
              <w:t>DRUKARKA 3D  WIELKOFORMATOWA</w:t>
            </w:r>
          </w:p>
          <w:p w:rsidR="00965BEE" w:rsidRPr="00D83C3F" w:rsidRDefault="00965BEE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83C3F">
              <w:rPr>
                <w:rFonts w:ascii="Calibri" w:hAnsi="Calibri" w:cs="Calibri"/>
                <w:b/>
                <w:color w:val="000000"/>
              </w:rPr>
              <w:t xml:space="preserve"> Z AKCESORIAMI</w:t>
            </w:r>
          </w:p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Specyfikacja: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Technologia: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Fused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Deposition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Modeling (FDM)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Głowica drukująca: Podwójna głowica drukująca z unikalnym systemem automatycznego podnoszenia dysz, wykrywaniem zalania i sondowaniem indukcyjnym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Typ podajnika: Podwójny podajnik chwytakowy z regulacją naprężenia, funkcją zwalniania i kontrolą prędkości podawania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filamentu</w:t>
            </w:r>
            <w:proofErr w:type="spellEnd"/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Kontroler ruchu: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planer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ruchu drukarki 3D z ograniczeniem szarpnięć, z ciągłym, płynnym ruchem i algorytmem poprawiania narożników 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Średnica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filamentu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>: 2,85 mm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Kompatybilne moduły drukujące: AA+ 0,4 / CC+ 0,4 ,  BB 0,4 i DD 0,4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Temperatura dyszy: Do 340°C (644 °F)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Dokładność wymiarowa: ± 0,15 mm ± 0,15% długości nominalnej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Płyta robocza: Podgrzewana elastyczna płyta robocza z PEI. Do 120 °C (248 °F)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lastRenderedPageBreak/>
              <w:t>Objętość robocza: (XYZ) 330 x 240 x 300 mm (~ 13 x 9,4 x 11,8 cala)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Temperatura komory roboczej: Zamknięta komora robocza &lt; 50 °C (122 °F) kontrola temperatury w pętli otwartej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Rozdzielczość warstwy: 60 - 300 mikronów (w zależności od rozmiaru dyszy modułu drukującego i profilu drukowania)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Przepływ: Do 35 mm3/s 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Prędkość XY, akceleracja, szarpnięcie: Do 500 mm/s, do 50. 000 mm/s2, do 100.000.000 mm/s3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Filtr powietrza: Usuwa do 95% UFP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Obsługa materiału: Podwójny uchwyt szpuli z rozpoznawaniem NFC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Głośność: &lt; 50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dBA</w:t>
            </w:r>
            <w:proofErr w:type="spellEnd"/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Wyświetlacz: Szybko reagujący kolorowy ekran dotykowy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Monitorowanie: Kamera Full HD HDR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Hardware: 1,8 GHz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Kontroler czasu rzeczywistego: 600 MHz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Łączność: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- Wi-Fi: 2,4 i 5 GHz IEEE 802.11a/b/g/n/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ac</w:t>
            </w:r>
            <w:proofErr w:type="spellEnd"/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- LAN: Gigabit Ethernet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- USB: 2.0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Wymiary: 495 x 585 x 800,5 mm (~ 19,5 x 23 x 31,5 cala) (z uchwytem szpuli)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Masa netto: 30 kg (66 funtów)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Warunki pracy: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- Temperatura pracy 15 - 32 °C (59 - 90 °F), 10 - 90 % wilgotności względnej bez kondensacji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>- Temperatura bez pracy 0 - 32 °C (32 - 90 °F), 10 - 90 % wilgotności względnej bez kondensacji Oprogramowanie: przygotowanie do druku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Obsługiwany system operacyjny: Windows,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MacOS</w:t>
            </w:r>
            <w:proofErr w:type="spellEnd"/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Obsługa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filamentów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: Dedykowana stacja materiałowa z kontrolowaną wilgotnością, na sześć szpul, z rozpoznawaniem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filamentów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i automatyczną zmianą.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b/>
                <w:color w:val="000000"/>
                <w:sz w:val="18"/>
                <w:szCs w:val="18"/>
              </w:rPr>
              <w:t>Akcesoria: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Filament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PETG ORANGE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Filament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TPU 95A RED 700 g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Polymaker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PolyLite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ABS 2,85 mm BLACK 1000 g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Polymaker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PolySmooth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2,85 mm SLATE GREY 750 g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Polymaker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Tech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Sample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Box, 2,85 mm 7 x 50 g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Polymaker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PolyTerra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PLA 2,85 MINT 1000 g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Polymaker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</w:rPr>
              <w:t>PolySmooth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</w:rPr>
              <w:t xml:space="preserve"> 2,85 mm ELECTRIC BLUE 750 g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2</w:t>
            </w:r>
          </w:p>
        </w:tc>
        <w:tc>
          <w:tcPr>
            <w:tcW w:w="2329" w:type="dxa"/>
          </w:tcPr>
          <w:p w:rsidR="00965BEE" w:rsidRPr="006E0A59" w:rsidRDefault="00965BEE" w:rsidP="00BD479B">
            <w:pPr>
              <w:spacing w:after="0" w:line="259" w:lineRule="auto"/>
              <w:rPr>
                <w:rFonts w:cstheme="minorHAnsi"/>
                <w:b/>
                <w:color w:val="2C363A"/>
                <w:shd w:val="clear" w:color="auto" w:fill="FFFFFF"/>
              </w:rPr>
            </w:pPr>
            <w:r w:rsidRPr="006E0A59">
              <w:rPr>
                <w:rFonts w:cstheme="minorHAnsi"/>
                <w:b/>
                <w:color w:val="2C363A"/>
                <w:shd w:val="clear" w:color="auto" w:fill="FFFFFF"/>
              </w:rPr>
              <w:t>TERMOFORMIERKA CIŚNIENIOWA Z AKCESORIAMI</w:t>
            </w:r>
          </w:p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</w:tcPr>
          <w:p w:rsidR="00965BEE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Specyfikacja: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Obszar formowania: Okrągły 380 mm (szer.) x 160 mm (wys.)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Profile materiałowe: Nieograniczone niestandardowe profile materiałowe - kompatybilne z dowolnym tworzywem termoplastycznym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Ciśnienie formowania: do 60 psi (4 bar)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Grubość arkusza: do 5 mm bez płyty redukcyjnej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Automatyczne poziomowanie arkusza: (brak opadania plastiku), czujnik podczerwieni do kontroli temperatury plastiku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Bezpieczeństwo: 8 niezależnych/nadmiarowych funkcji bezpieczeństwa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B21C55">
              <w:rPr>
                <w:rFonts w:cstheme="minorHAnsi"/>
                <w:sz w:val="18"/>
                <w:szCs w:val="18"/>
              </w:rPr>
              <w:t>Firmware</w:t>
            </w:r>
            <w:proofErr w:type="spellEnd"/>
            <w:r w:rsidRPr="00B21C55">
              <w:rPr>
                <w:rFonts w:cstheme="minorHAnsi"/>
                <w:sz w:val="18"/>
                <w:szCs w:val="18"/>
              </w:rPr>
              <w:t xml:space="preserve">: Z możliwością aktualizacji przez </w:t>
            </w:r>
            <w:proofErr w:type="spellStart"/>
            <w:r w:rsidRPr="00B21C55">
              <w:rPr>
                <w:rFonts w:cstheme="minorHAnsi"/>
                <w:sz w:val="18"/>
                <w:szCs w:val="18"/>
              </w:rPr>
              <w:t>WiFi</w:t>
            </w:r>
            <w:proofErr w:type="spellEnd"/>
            <w:r w:rsidRPr="00B21C55">
              <w:rPr>
                <w:rFonts w:cstheme="minorHAnsi"/>
                <w:sz w:val="18"/>
                <w:szCs w:val="18"/>
              </w:rPr>
              <w:t xml:space="preserve"> dla nowych funkcji/materiałów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B21C55">
              <w:rPr>
                <w:rFonts w:cstheme="minorHAnsi"/>
                <w:sz w:val="18"/>
                <w:szCs w:val="18"/>
              </w:rPr>
              <w:lastRenderedPageBreak/>
              <w:t>Autotest</w:t>
            </w:r>
            <w:proofErr w:type="spellEnd"/>
            <w:r w:rsidRPr="00B21C55">
              <w:rPr>
                <w:rFonts w:cstheme="minorHAnsi"/>
                <w:sz w:val="18"/>
                <w:szCs w:val="18"/>
              </w:rPr>
              <w:t>: Wbudowany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Wylot powietrza: Wbudowany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Zasilanie: 110-240V, 12A/6A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Maksymalna moc: 1500 W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Maksymalne ciśnienie: 4,1 bar/60 psi (kopuła), 12 bar/175 psi (zbiornik)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Wyświetlacz: LCD 720x720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Temperatura pracy/przechowywania: +5 do +40°C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 xml:space="preserve">Łączność: </w:t>
            </w:r>
            <w:proofErr w:type="spellStart"/>
            <w:r w:rsidRPr="00B21C55">
              <w:rPr>
                <w:rFonts w:cstheme="minorHAnsi"/>
                <w:sz w:val="18"/>
                <w:szCs w:val="18"/>
              </w:rPr>
              <w:t>WiFi</w:t>
            </w:r>
            <w:proofErr w:type="spellEnd"/>
            <w:r w:rsidRPr="00B21C55">
              <w:rPr>
                <w:rFonts w:cstheme="minorHAnsi"/>
                <w:sz w:val="18"/>
                <w:szCs w:val="18"/>
              </w:rPr>
              <w:t xml:space="preserve"> 2.4 GHz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Wymiary netto: 585 mm (dł.) x 515 mm (szer.) x 420 mm (wys.)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Waga netto: 57 kg (125 funtów)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Obszar formowania: 380mm (szer.) x 160mm (wys.)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Maksymalna objętość szablonu: 3500cm3 / 214in3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sz w:val="18"/>
                <w:szCs w:val="18"/>
              </w:rPr>
              <w:t>Materiały zaprogramowane: ABS, PMMA, UHMW, PETG, HIPS, EVA.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- Arkusze białego materiału do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termoformierki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ABS 4 mm, 10 szt.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PMMA 3 mm, 10 szt.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EVA 1,5 mm, 10 szt.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PETG 1 mm, 10 szt.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HIPS 1 mm, 10 szt.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3</w:t>
            </w:r>
          </w:p>
        </w:tc>
        <w:tc>
          <w:tcPr>
            <w:tcW w:w="2329" w:type="dxa"/>
          </w:tcPr>
          <w:p w:rsidR="00965BEE" w:rsidRPr="006E0A59" w:rsidRDefault="00965BEE" w:rsidP="00BD479B">
            <w:pPr>
              <w:spacing w:after="0" w:line="259" w:lineRule="auto"/>
              <w:rPr>
                <w:rFonts w:cstheme="minorHAnsi"/>
                <w:b/>
                <w:color w:val="2C363A"/>
                <w:shd w:val="clear" w:color="auto" w:fill="FFFFFF"/>
              </w:rPr>
            </w:pPr>
            <w:r>
              <w:rPr>
                <w:rFonts w:cstheme="minorHAnsi"/>
                <w:b/>
                <w:color w:val="2C363A"/>
                <w:shd w:val="clear" w:color="auto" w:fill="FFFFFF"/>
              </w:rPr>
              <w:t>PLOTER FREZUJĄCY</w:t>
            </w:r>
            <w:r w:rsidRPr="006E0A59">
              <w:rPr>
                <w:rFonts w:cstheme="minorHAnsi"/>
                <w:b/>
                <w:color w:val="2C363A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 xml:space="preserve">CNC </w:t>
            </w:r>
            <w:r w:rsidRPr="006E0A59">
              <w:rPr>
                <w:rFonts w:cstheme="minorHAnsi"/>
                <w:b/>
                <w:color w:val="2C363A"/>
                <w:shd w:val="clear" w:color="auto" w:fill="FFFFFF"/>
              </w:rPr>
              <w:t>Z AKCESORIAMI</w:t>
            </w:r>
          </w:p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59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D752E8" w:rsidRDefault="00965BEE" w:rsidP="00BD479B">
            <w:pPr>
              <w:spacing w:after="0" w:line="259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•    Sterowanie CNC: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 System sterowania: Mach 3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Pole Robocze: 1200 x 1200 x 200 [mm]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Stół: hybrydowy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    •    Wentylator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bocznokanałowy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 7,5 kW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Ruch w osiach: X,Y,Z 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Metoda mocowania: zaciski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Prowadnice: trapezowe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Przeniesienie napędu (X,Y) - listwy zębate, (Z) - śruba z nakrętką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Rodzaj silników: Silniki krokowe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Rozdzielczość programowa: 0,01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Wrzeciono: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   Moc wrzeciona: 5,5 kW 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  Chłodzenie wrzeciona: Woda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  Prędkość wrzeciona: 6000-24000 obrotów/min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Falownik dobrany do mocy wrzeciona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Maksymalna prędkość posuwu: 8000 mm/min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Maksymalny posuw roboczy: 7000 mm/min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Obsługiwane instrukcje: .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nc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, g-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code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Interfejs: port USB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Kompatybilność z systemami: Windows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Temperatura pracy: 15-35 stopni C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Wilgotność powietrza: 30% - 75%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Wymagane certyfikaty ISO 14001, ISO 9000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Zestaw frezów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TOKARKA Z PODSTAWĄ, BLATEM ROBOCZYM I NOGAMI</w:t>
            </w: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40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Klasa: Midi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Gwint wrzeciona: M33 x 3.5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Wrzeciono: z kołnierzem zabezpieczenia ASR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toczenia: 450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Długość toczonego przedmiotu: 400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wrzeciennika: obracany i przesuwany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Zakres obrotów: 60-3700 (w 3 pozycjach paska 1: 60-1000, 2: 150-1900, 3: 350-3700)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lastRenderedPageBreak/>
              <w:t>Przystosowanie do ASR: TAK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Moc silnika: 750 W / 1 KM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silnika: indukcyjny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System indeksacji: 24-punktowy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Otwór wrzeciona i konika: stożek Morse'a 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Skok konika: 100 mm (z podziałką)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Konik przystosowany do instalacji specjalnej tulei na uchwyty zaciskowe typu ER25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gwintu konika: trapezowy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Wejście na trzpień w podpórce narzędzi: 25,4 mm (1")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Zintegrowany system przedłużenia łoża i wysięgnika do toczenia poza łożem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układ elektroniczny w oparciu o przemiennik częstotliwości (inwerter)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Hamulec wrzeciona po wyłączeniu maszyny (powoduje szybsze zatrzymanie kręcącego się wrzeciona)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Mobilny panel sterowania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Stalowe nogi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Masa: 53 kg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Zasilanie: 230V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Kierunek obrotów: Przód/tył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Płyta do podstawy tokarki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Nogi do podstawy tokarki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5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59" w:lineRule="auto"/>
              <w:rPr>
                <w:rFonts w:cstheme="minorHAnsi"/>
                <w:color w:val="2C363A"/>
                <w:shd w:val="clear" w:color="auto" w:fill="FFFFFF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 xml:space="preserve">TOKARKA 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 xml:space="preserve">Z </w:t>
            </w: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AKCESORIAMI</w:t>
            </w:r>
          </w:p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40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Klasa: Średnia wyższa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Gwint wrzeciona: M33 x 3.5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toczenia; 455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 poza łożem: 800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Długość toczonego przedmiotu: 1000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wrzeciennika: Obracany i przesuwany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Zakres obrotów: 60-3750 (w 2 pozycjach paska 1: 60-1350, 2: 180-3750)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Przystosowanie do ASR: TAK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Moc silnika: 1500 W / 2 KM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silnika: indukcyjny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System indeksacji: 24-punktowy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Otwór wrzeciona i konika: stożek Morse'a 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Skok konika: 100 mm (z podziałką)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gwintu konika: trapezowy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Wejście na trzpień w podpórce narzędzi: 25,4 mm (1")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Wrzeciono z kołnierzem zabezpieczenia ASR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Konik przystosowany do instalacji specjalnej tulei na uchwyty zaciskowe typu ER25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Hamulec wrzeciona po wyłączeniu maszyny (powoduje szybsze zatrzymanie kręcącego się wrzeciona)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Czujnik otwarcia pokrywy wrzeciennika (powoduje zatrzymanie pracy w przypadku otwarcia pokrywy kół pasowych)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Układ elektroniczny w oparciu o przemiennik częstotliwości (inwerter)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2 gniazda 230V na obudowie inwertera do podłączenia zewnętrznych urządzeń (oświetlenie, wiertarka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itp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Mobilny panel sterowania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Zintegrowany system przedłużenia łoża i wysięgnika do toczenia poza łożem (jeden element służy do jednego i drugiego)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Dodatkowe ramię do mocowania zewnętrznych </w:t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lastRenderedPageBreak/>
              <w:t>przyrządów i akcesoriów (np. kolektora odciągu pyłu)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Obracany i przesuwany wrzeciennik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Przełącznik obrotów przód/tył 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Kompletny zestaw do przedłużenia łoża w tokarkach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Wymiary (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wys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gł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): 1760 x 1290 x 540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Masa: 195 kg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Zasilanie: 230V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Przedłużka/wysięgnik do tokarki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Luneta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Podpórka narzędzi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Zestaw dwóch uchwytów i szczęk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6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61976">
              <w:rPr>
                <w:rFonts w:cstheme="minorHAnsi"/>
                <w:b/>
                <w:color w:val="2C363A"/>
                <w:shd w:val="clear" w:color="auto" w:fill="FFFFFF"/>
              </w:rPr>
              <w:t>TOKARKA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 xml:space="preserve"> Z</w:t>
            </w:r>
            <w:r w:rsidRPr="00861976">
              <w:rPr>
                <w:rFonts w:cstheme="minorHAnsi"/>
                <w:b/>
                <w:color w:val="2C363A"/>
                <w:shd w:val="clear" w:color="auto" w:fill="FFFFFF"/>
              </w:rPr>
              <w:t xml:space="preserve"> AKCESORIAMI</w:t>
            </w: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40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Klasa: Wyższa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Gwint wrzeciona: M33 x 3.5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toczenia: 550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 poza łożem: 1000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Długość toczonego przedmiotu: 1000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wrzeciennika: Obracany i przesuwany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Zakres obrotów: 60-3700 (w 3 pozycjach paska 1: 60-1200, 2: 100-2200, 3: 150-3700)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Przystosowanie do ASR: TAK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Moc silnika: 2200 W/3 KM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silnika: indukcyjny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System indeksacji: 24-punktowy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Otwór wrzeciona i konika: stożek Morse'a 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Skok konika: 150 mm (z podziałką)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gwintu konika: trapezowy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Wejście na trzpień w podpórce narzędzi: 30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Wrzeciono z kołnierzem zabezpieczenia ASR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Konik przystosowany do instalacji specjalnej tulei na uchwyty zaciskowe typu ER25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Hamulec wrzeciona po wyłączeniu maszyny (powoduje szybsze zatrzymanie kręcącego się wrzeciona)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Czujnik otwarcia pokrywy wrzeciennika (powoduje zatrzymanie pracy w przypadku otwarcia pokrywy kół pasowych)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Układ elektroniczny w oparciu o przemiennik częstotliwości (inwerter)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2 gniazda 230V na obudowie inwertera do podłączenia zewnętrznych urządzeń (oświetlenie, wiertarka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itp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Mobilny panel sterowania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Zintegrowany system przedłużenia łoża i wysięgnika do toczenia poza łożem (jeden element służy do jednego i drugiego)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Możliwość mocowania przedłużki od czoła łoża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Dodatkowe ramię do mocowania zewnętrznych przyrządów i akcesoriów (np. kolektora odciągu pyłu)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Obracany i przesuwany wrzeciennik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Przełącznik obrotów przód/tył 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Kompletny zestaw do przedłużenia łoża w tokarkach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Wymiary (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wys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gł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): 1800 x 1300 x 620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Masa: 320 kg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Zasilanie: 230V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Przedłużka/wysięgnik do tokarki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Luneta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Podpórka narzędzi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Szlifierka do ostrzenia dłut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Oscylacyjna szlifierka wrzecionowa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Zestaw dwóch uchwytów i szczęk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7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PIŁA TAŚMOWA Z AKCESORIAMI</w:t>
            </w:r>
          </w:p>
        </w:tc>
        <w:tc>
          <w:tcPr>
            <w:tcW w:w="4111" w:type="dxa"/>
          </w:tcPr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Rama konstrukcyjna: stalowy odlew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Waga urządzenia bez podstawy: min 70 kg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Szer. Taśmy tnącej od 1 mm do 3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Wys. Cięcia: 150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2 prędkości taśmy tnącej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Stół: żeliwny, wymiary 406/406 mm, pochylany w stosunku do pionu o kąt 40 stopni w obie strony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- 3 zestawy pił taśmowych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nogi do piły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b/>
                <w:color w:val="2C363A"/>
                <w:shd w:val="clear" w:color="auto" w:fill="FFFFFF"/>
              </w:rPr>
              <w:t>KOMPUTER Z OPROGRAMOWANIEM i</w:t>
            </w: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 xml:space="preserve"> MONITOR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>EM</w:t>
            </w:r>
          </w:p>
        </w:tc>
        <w:tc>
          <w:tcPr>
            <w:tcW w:w="4111" w:type="dxa"/>
          </w:tcPr>
          <w:p w:rsidR="00965BEE" w:rsidRPr="00B21C55" w:rsidRDefault="00965BEE" w:rsidP="00BD479B">
            <w:pPr>
              <w:spacing w:after="0"/>
              <w:rPr>
                <w:rFonts w:cstheme="minorHAnsi"/>
                <w:color w:val="2C363A"/>
                <w:sz w:val="18"/>
                <w:szCs w:val="18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B21C55" w:rsidRDefault="00965BEE" w:rsidP="00BD479B">
            <w:pPr>
              <w:spacing w:after="0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</w:rPr>
              <w:t xml:space="preserve">System operacyjny: </w:t>
            </w: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Windows 11 Pro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Procesor: 1 x Intel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Core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i7 (14. generacja) i7-14700K / 3.4 GHz (do 5.6 GHz, (20 rdzeni)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Port Procesora: Gniazdo LGA1700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Główne cechy procesora: Technologia Intel Turbo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Boost</w:t>
            </w:r>
            <w:proofErr w:type="spellEnd"/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Pamięć podręczna: 33 MB pamięć podręczna L3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Pamięć podręczna na procesor: 33 MB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Pamięć RAM: 32 GB (zainstalowane) / 128 GB (maks.) - DDR5 SDRAM - bez ECC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Kontroler pamięci masowej: SATA/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NVMe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(SATA 6Gb/s /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PCIe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4.0 x4 (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NVMe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Pamięć HDD/SSD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SSD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: 1 TB - PCI Express 4.0 x4 - M.2 2280 - TCG Opal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Encryption,NVM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Express (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NVMe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),Performance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Karta graficzna: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NVidia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Quadro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A4000 RTX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Praca w sieci: 1GbE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Zasilacz: HP Z2 TWR G9 700W RCTO Chassis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System operacyjny: Windows 11 Pro 64-bit Edition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Kolor: Czarny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Wymiary )szer./głęb./wys.): 16.9 cm x 38.5 cm x 35.6 cm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Waga: 7.2 kg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Standardy ochrony środowiska: TAK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Akcesoria: HP USB 320K Klawiatura, HP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Wired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320M Myszka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Monitor: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Monitor LCD z podświetleniem LED - 27"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Klasa energii: Klasa F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Konsumpcja energii (w trybie ON): 26 W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Cechy: Przełącznik KVM, USB 3.2 Gen 2 hub, PD USB 100 wat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Typ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panela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:  IPS Black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Współczynnik kształtu: 16:9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Rozdzielczość natywna: 4K 3840 x 2160 przy 60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Hz</w:t>
            </w:r>
            <w:proofErr w:type="spellEnd"/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Rozstaw pikseli: 0.15 mm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Jasność: 400 cd/m2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Współczynnik kontrastu: 2000:1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Czas reakcji: </w:t>
            </w:r>
            <w:r w:rsidRPr="00B21C5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5 ms (szary-do-szarego z technologią </w:t>
            </w:r>
            <w:proofErr w:type="spellStart"/>
            <w:r w:rsidRPr="00B21C5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overdrive</w:t>
            </w:r>
            <w:proofErr w:type="spellEnd"/>
            <w:r w:rsidRPr="00B21C5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Złącza: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(HDCP) Wyjście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(HDCP) HDMI (HDCP) 5 x USB 3.2 Gen 2 (1 x ładowanie)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Thunderbolt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4/USB4/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1.4 (Tryb Alternatywny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, zasilanie do 100 W) Sieć (RJ-45)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Thunderbolt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4 (ładowanie)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Regulacja pozycji ekranu: wysokość,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pivot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(obrót), pokrętło, odchylenie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Powłoka ekranu: Antyrefleksyjna, 3H Hard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Coating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, Mgła 25%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Napięcie: AC 120/230 V (50/60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Hz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Kolor: czarny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Wymiary (szer./głęb./wys.) - z podstawką: 61.34 cm x 22.52 cm x 54.05 cm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Waga:</w:t>
            </w:r>
            <w:r w:rsidRPr="00B21C55">
              <w:rPr>
                <w:rFonts w:cstheme="minorHAnsi"/>
                <w:sz w:val="18"/>
                <w:szCs w:val="18"/>
              </w:rPr>
              <w:t xml:space="preserve"> </w:t>
            </w: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6.5 kg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</w:rPr>
              <w:t xml:space="preserve">Lokalizacja: </w:t>
            </w: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Angielski / Europa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2C363A"/>
                <w:sz w:val="18"/>
                <w:szCs w:val="18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</w:rPr>
              <w:t>Standardy Ochrony Środowiska: TAK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</w:rPr>
              <w:t xml:space="preserve">Zgodność z normami: </w:t>
            </w: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CSA, UL, VCCI, BSMI, GS, NOM, TUV S, CB, CCC, PSB, FCC, ISO 9241-307, KCC, WEEE, KC, CECP, CEL, EAC, ISC, RCM, CEL Grade 2, SEPA, BIS, słabe światło halogenowe, ICE, UAE,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Belarus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Energy, TCO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Certified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Edge, Korea MEPS,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Ukraine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EE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tr w:rsidR="00965BEE" w:rsidTr="00BD479B">
        <w:trPr>
          <w:trHeight w:val="699"/>
        </w:trPr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9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61976">
              <w:rPr>
                <w:rFonts w:cstheme="minorHAnsi"/>
                <w:b/>
                <w:color w:val="2C363A"/>
                <w:shd w:val="clear" w:color="auto" w:fill="FFFFFF"/>
              </w:rPr>
              <w:t>PLOTER LASEROWY</w:t>
            </w: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40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Przestrzeń robocza: 900 x 600 [mm]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    •    Źródło laserowe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Fiber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   moc 20 W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    -   długość fali promieniowania: 1060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nm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częstotliwość: 100 KHz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   chłodzenie głowicy: Powietrze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Źródło laserowe CO2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   rodzaj rezonatora: gazowy CO2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  moc lasera: 60 W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  chłodzenie cieczą – profesjonalna chłodnica CHILLER zawarta w zestawie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Rozdzielczość pozycjonowania: 0,01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Maksymalna prędkość znakowania: 12 000 mm/s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Stół:</w:t>
            </w:r>
          </w:p>
          <w:p w:rsidR="00965BEE" w:rsidRPr="00832547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 Typ stołu: nożowy oraz plaster miodu wentylowany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 Budowa: przelotowy stół roboczy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Regulacja wysokości stołu: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 Typ: automatyczna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 Zakres maksymalny: 420 mm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 Zakres z komorą zbiorczą: ok. 240 mm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Prowadnice: hartowane, szlifowane szyny z wózkami liniowymi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Układ optyczny renomowanych marek (bardzo długa żywotność elementów optycznych)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Możliwość komunikacji poprzez wbudowaną pamięć (zapamiętywanie dotychczasowych programów)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Możliwość komunikacji za pomocą komputera w trybie ON-LINE poprzez kabel lub moduł WIFI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Wspomożenie procesu obróbczego poprzez doprowadzenie sprężonego powietrza do głowicy laserowej CO2 (kompresor zawarty w cenie)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Funkcja bigowania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System pozycjonowania: RED POINT, który umożliwia precyzyjne ustawienie głowicy laserowej względem materiału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System odciągowy (turbina + przewód)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W zestawie zawarty jest komplet przewodów do zasilania oraz komunikacji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Zasilanie: 230V/ 50Hz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Wymagane certyfikaty ISO 14001, ISO 9000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 sztuka</w:t>
            </w:r>
          </w:p>
        </w:tc>
      </w:tr>
    </w:tbl>
    <w:p w:rsidR="00965BEE" w:rsidRPr="003114F3" w:rsidRDefault="00965BEE" w:rsidP="00965BEE">
      <w:pPr>
        <w:spacing w:after="0" w:line="240" w:lineRule="auto"/>
        <w:rPr>
          <w:rFonts w:eastAsia="Times New Roman" w:cstheme="minorHAnsi"/>
          <w:lang w:eastAsia="pl-PL"/>
        </w:rPr>
      </w:pPr>
    </w:p>
    <w:p w:rsidR="00965BEE" w:rsidRPr="00832547" w:rsidRDefault="00965BEE" w:rsidP="00965B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2547">
        <w:rPr>
          <w:rFonts w:eastAsia="Times New Roman" w:cstheme="minorHAnsi"/>
          <w:sz w:val="24"/>
          <w:szCs w:val="24"/>
          <w:lang w:eastAsia="pl-PL"/>
        </w:rPr>
        <w:lastRenderedPageBreak/>
        <w:t>4.</w:t>
      </w:r>
      <w:r w:rsidRPr="00832547">
        <w:rPr>
          <w:sz w:val="24"/>
          <w:szCs w:val="24"/>
        </w:rPr>
        <w:t xml:space="preserve"> Wykonawca udzieli Zamawiającemu minimum 24 miesięcznej gwarancji i rękojmi na dostarczony przedmiot zamówienia. Datą rozpoczęcia okresu gwarancji i rękojmi będzie data podpisania końcowego protokołu odbioru – dostawy przez Wykonawcę i Zamawiającego, udzielona gwarancja nie wyłącza odpowiedzialności Wykonawcy z tytułu rękojmi za wady przedmiotu umowy wynikającej z przepisów Kodeksu Cywilnego. W okresie gwarancji i rękojmi, Wykonawca zgodnie z wymaganiami Zamawiającego, zobowiązany będzie, w przypadku wystąpienia usterki jakiegokolwiek elementu przedmiotu zamówienia do jego naprawy w terminie nie dłuższym niż 14 dni od zgłoszenia usterki. Reakcja Wykonawcy na dokonane przez Zamawiającego zgłoszenie – maksymalnie 24 godziny. Ostateczny termin gwarancji i rękojmi (wydłużenie minimalnego wymaganego przez Zamawiającego terminu) zależeć będzie od oferty wybranego Wykonawcy. Zamawiający dopuszcza możliwość terminu gwarancji i rękojmi na zrealizowany przedmiot zamówienia zgodnie z treścią wybranej oferty, co będzie stanowiło element oceny merytorycznej na etapie wyboru najkorzystniejszej oferty.</w:t>
      </w:r>
    </w:p>
    <w:p w:rsidR="00965BEE" w:rsidRDefault="00965BEE" w:rsidP="00965BEE">
      <w:pPr>
        <w:spacing w:after="0" w:line="240" w:lineRule="auto"/>
        <w:ind w:left="2832" w:firstLine="708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965BEE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65BEE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65BEE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65BEE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65BEE" w:rsidRPr="00D752E8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752E8">
        <w:rPr>
          <w:rFonts w:eastAsia="Times New Roman" w:cstheme="minorHAnsi"/>
          <w:sz w:val="24"/>
          <w:szCs w:val="24"/>
          <w:lang w:eastAsia="pl-PL"/>
        </w:rPr>
        <w:t>..................................... dnia .............................</w:t>
      </w:r>
    </w:p>
    <w:p w:rsidR="00965BEE" w:rsidRPr="003114F3" w:rsidRDefault="00965BEE" w:rsidP="00965BE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…………………………………………………………..</w:t>
      </w:r>
    </w:p>
    <w:p w:rsidR="00965BEE" w:rsidRPr="00104C72" w:rsidRDefault="003A7792" w:rsidP="00965BEE">
      <w:pPr>
        <w:spacing w:after="0" w:line="240" w:lineRule="auto"/>
        <w:ind w:left="4956" w:firstLine="708"/>
        <w:rPr>
          <w:rFonts w:eastAsia="Times New Roman" w:cstheme="minorHAnsi"/>
          <w:i/>
          <w:sz w:val="18"/>
          <w:szCs w:val="18"/>
          <w:lang w:eastAsia="pl-PL"/>
        </w:rPr>
      </w:pPr>
      <w:r>
        <w:rPr>
          <w:rFonts w:eastAsia="Times New Roman" w:cstheme="minorHAnsi"/>
          <w:i/>
          <w:sz w:val="18"/>
          <w:szCs w:val="18"/>
          <w:lang w:eastAsia="pl-PL"/>
        </w:rPr>
        <w:t xml:space="preserve">                 </w:t>
      </w:r>
      <w:r w:rsidR="00965BEE"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/podpis Wykonawcy lub </w:t>
      </w:r>
    </w:p>
    <w:p w:rsidR="00965BEE" w:rsidRDefault="003A7792" w:rsidP="00965BEE">
      <w:pPr>
        <w:spacing w:after="0" w:line="240" w:lineRule="auto"/>
        <w:ind w:left="4248" w:firstLine="708"/>
        <w:rPr>
          <w:rFonts w:eastAsia="Times New Roman" w:cstheme="minorHAnsi"/>
          <w:i/>
          <w:sz w:val="18"/>
          <w:szCs w:val="18"/>
          <w:lang w:eastAsia="pl-PL"/>
        </w:rPr>
      </w:pPr>
      <w:r>
        <w:rPr>
          <w:rFonts w:eastAsia="Times New Roman" w:cstheme="minorHAnsi"/>
          <w:i/>
          <w:sz w:val="18"/>
          <w:szCs w:val="18"/>
          <w:lang w:eastAsia="pl-PL"/>
        </w:rPr>
        <w:t xml:space="preserve">                   </w:t>
      </w:r>
      <w:r w:rsidR="00965BEE"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    upoważnionego przedstawiciela/</w:t>
      </w:r>
    </w:p>
    <w:p w:rsidR="00965BEE" w:rsidRPr="009C45E6" w:rsidRDefault="00965BEE" w:rsidP="00965BEE">
      <w:pPr>
        <w:rPr>
          <w:rFonts w:asciiTheme="majorHAnsi" w:hAnsiTheme="majorHAnsi" w:cstheme="majorHAnsi"/>
          <w:b/>
          <w:color w:val="FF0000"/>
        </w:rPr>
      </w:pPr>
    </w:p>
    <w:p w:rsidR="00965BEE" w:rsidRDefault="00965BEE" w:rsidP="00965BEE">
      <w:pPr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:rsidR="00965BEE" w:rsidRDefault="00965BEE" w:rsidP="00965BEE">
      <w:pPr>
        <w:rPr>
          <w:rFonts w:asciiTheme="majorHAnsi" w:hAnsiTheme="majorHAnsi" w:cstheme="majorHAnsi"/>
          <w:b/>
          <w:bCs/>
          <w:color w:val="FF0000"/>
          <w:lang w:eastAsia="ar-SA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Default="00F0106E"/>
    <w:sectPr w:rsidR="00F0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EE"/>
    <w:rsid w:val="0026624F"/>
    <w:rsid w:val="00287EE1"/>
    <w:rsid w:val="002A53BE"/>
    <w:rsid w:val="002F0310"/>
    <w:rsid w:val="003A7792"/>
    <w:rsid w:val="00512D0A"/>
    <w:rsid w:val="00965BEE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E661"/>
  <w15:chartTrackingRefBased/>
  <w15:docId w15:val="{3313D505-8EE6-4EDF-8328-8878D409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B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5BE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2324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5</cp:revision>
  <dcterms:created xsi:type="dcterms:W3CDTF">2025-08-27T09:46:00Z</dcterms:created>
  <dcterms:modified xsi:type="dcterms:W3CDTF">2025-08-27T10:17:00Z</dcterms:modified>
</cp:coreProperties>
</file>