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49466" w14:textId="7F57BF97" w:rsidR="005D11CC" w:rsidRPr="002C188E" w:rsidRDefault="000B3477" w:rsidP="00860E28">
      <w:pPr>
        <w:pStyle w:val="Nagwek1"/>
        <w:rPr>
          <w:rFonts w:asciiTheme="minorHAnsi" w:eastAsia="Calibri" w:hAnsiTheme="minorHAnsi" w:cstheme="minorHAnsi"/>
          <w:b/>
          <w:color w:val="auto"/>
          <w:sz w:val="28"/>
          <w:szCs w:val="28"/>
        </w:rPr>
      </w:pPr>
      <w:r w:rsidRPr="000D5D4B">
        <w:rPr>
          <w:rFonts w:asciiTheme="minorHAnsi" w:eastAsia="Calibri" w:hAnsiTheme="minorHAnsi" w:cstheme="minorHAnsi"/>
          <w:b/>
          <w:color w:val="auto"/>
          <w:sz w:val="28"/>
          <w:szCs w:val="28"/>
        </w:rPr>
        <w:t>ORZECZENIE</w:t>
      </w:r>
      <w:r w:rsidR="008D732F" w:rsidRPr="000D5D4B">
        <w:rPr>
          <w:rFonts w:asciiTheme="minorHAnsi" w:eastAsia="Calibri" w:hAnsiTheme="minorHAnsi" w:cstheme="minorHAnsi"/>
          <w:b/>
          <w:color w:val="auto"/>
          <w:sz w:val="28"/>
          <w:szCs w:val="28"/>
        </w:rPr>
        <w:br/>
      </w:r>
      <w:r w:rsidRPr="000D5D4B">
        <w:rPr>
          <w:rFonts w:asciiTheme="minorHAnsi" w:eastAsia="Calibri" w:hAnsiTheme="minorHAnsi" w:cstheme="minorHAnsi"/>
          <w:b/>
          <w:color w:val="auto"/>
          <w:sz w:val="28"/>
          <w:szCs w:val="28"/>
        </w:rPr>
        <w:t>Głównej Komisji Orzekającej w Sprawach o Naruszenie Dyscypliny Finansów Publicznych</w:t>
      </w:r>
    </w:p>
    <w:p w14:paraId="058BAA11" w14:textId="645E0A20" w:rsidR="00C50815" w:rsidRDefault="00F6525C" w:rsidP="00860E28">
      <w:pPr>
        <w:spacing w:before="600" w:after="0" w:line="276" w:lineRule="auto"/>
        <w:rPr>
          <w:rFonts w:eastAsia="Calibri" w:cstheme="minorHAnsi"/>
          <w:sz w:val="24"/>
        </w:rPr>
      </w:pPr>
      <w:r>
        <w:rPr>
          <w:rFonts w:eastAsia="Calibri" w:cstheme="minorHAnsi"/>
          <w:sz w:val="24"/>
        </w:rPr>
        <w:t xml:space="preserve">Warszawa, dnia </w:t>
      </w:r>
      <w:r w:rsidR="005D11CC">
        <w:rPr>
          <w:rFonts w:eastAsia="Calibri" w:cstheme="minorHAnsi"/>
          <w:sz w:val="24"/>
        </w:rPr>
        <w:t>2</w:t>
      </w:r>
      <w:r w:rsidR="006745C5">
        <w:rPr>
          <w:rFonts w:eastAsia="Calibri" w:cstheme="minorHAnsi"/>
          <w:sz w:val="24"/>
        </w:rPr>
        <w:t>7 stycznia</w:t>
      </w:r>
      <w:r w:rsidR="004045D8" w:rsidRPr="00E928D0">
        <w:rPr>
          <w:rFonts w:eastAsia="Calibri" w:cstheme="minorHAnsi"/>
          <w:sz w:val="24"/>
        </w:rPr>
        <w:t xml:space="preserve"> </w:t>
      </w:r>
      <w:r w:rsidR="006745C5">
        <w:rPr>
          <w:rFonts w:eastAsia="Calibri" w:cstheme="minorHAnsi"/>
          <w:sz w:val="24"/>
        </w:rPr>
        <w:t>2022</w:t>
      </w:r>
      <w:r w:rsidR="000B3477" w:rsidRPr="00E928D0">
        <w:rPr>
          <w:rFonts w:eastAsia="Calibri" w:cstheme="minorHAnsi"/>
          <w:sz w:val="24"/>
        </w:rPr>
        <w:t xml:space="preserve"> r.</w:t>
      </w:r>
    </w:p>
    <w:p w14:paraId="0E549F4B" w14:textId="3EC75013" w:rsidR="005D11CC" w:rsidRPr="00E928D0" w:rsidRDefault="000B3477" w:rsidP="00860E28">
      <w:pPr>
        <w:spacing w:after="240" w:line="360" w:lineRule="auto"/>
        <w:rPr>
          <w:rFonts w:eastAsia="Calibri" w:cstheme="minorHAnsi"/>
          <w:sz w:val="24"/>
        </w:rPr>
      </w:pPr>
      <w:r w:rsidRPr="00E928D0">
        <w:rPr>
          <w:rFonts w:eastAsia="Calibri" w:cstheme="minorHAnsi"/>
          <w:sz w:val="24"/>
        </w:rPr>
        <w:t xml:space="preserve">Główna Komisja Orzekająca w Sprawach o Naruszenie Dyscypliny Finansów Publicznych </w:t>
      </w:r>
      <w:r w:rsidRPr="00E928D0">
        <w:rPr>
          <w:rFonts w:eastAsia="Calibri" w:cstheme="minorHAnsi"/>
          <w:sz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0B3477" w:rsidRPr="00E928D0" w14:paraId="122AC8DE" w14:textId="77777777" w:rsidTr="004F558F">
        <w:trPr>
          <w:cantSplit/>
        </w:trPr>
        <w:tc>
          <w:tcPr>
            <w:tcW w:w="1985" w:type="dxa"/>
          </w:tcPr>
          <w:p w14:paraId="7F59BF2A" w14:textId="77777777" w:rsidR="000B3477" w:rsidRPr="00E928D0" w:rsidRDefault="000B3477" w:rsidP="00860E28">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Przewodniczący:</w:t>
            </w:r>
          </w:p>
        </w:tc>
        <w:tc>
          <w:tcPr>
            <w:tcW w:w="3260" w:type="dxa"/>
          </w:tcPr>
          <w:p w14:paraId="3107B44E" w14:textId="77EFF94A" w:rsidR="000B3477" w:rsidRPr="00E928D0" w:rsidRDefault="00C14327" w:rsidP="00860E28">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B9047E" w:rsidRPr="00B9047E">
              <w:rPr>
                <w:rFonts w:eastAsia="Times New Roman" w:cstheme="minorHAnsi"/>
                <w:sz w:val="24"/>
                <w:szCs w:val="24"/>
                <w:lang w:eastAsia="pl-PL"/>
              </w:rPr>
              <w:t>:</w:t>
            </w:r>
          </w:p>
        </w:tc>
        <w:tc>
          <w:tcPr>
            <w:tcW w:w="3875" w:type="dxa"/>
          </w:tcPr>
          <w:p w14:paraId="0F9CEC88" w14:textId="4DCEDEC6" w:rsidR="000B3477" w:rsidRPr="00E928D0" w:rsidRDefault="006D5722" w:rsidP="00860E28">
            <w:pPr>
              <w:keepNext/>
              <w:tabs>
                <w:tab w:val="right" w:pos="8931"/>
              </w:tabs>
              <w:spacing w:after="0" w:line="360" w:lineRule="atLeast"/>
              <w:ind w:right="-10"/>
              <w:outlineLvl w:val="2"/>
              <w:rPr>
                <w:rFonts w:eastAsia="Times New Roman" w:cstheme="minorHAnsi"/>
                <w:b/>
                <w:i/>
                <w:sz w:val="24"/>
                <w:szCs w:val="24"/>
                <w:lang w:eastAsia="pl-PL"/>
              </w:rPr>
            </w:pPr>
            <w:r>
              <w:rPr>
                <w:rFonts w:eastAsia="Times New Roman" w:cstheme="minorHAnsi"/>
                <w:b/>
                <w:sz w:val="24"/>
                <w:szCs w:val="24"/>
                <w:lang w:eastAsia="pl-PL"/>
              </w:rPr>
              <w:t>Sylwester Kuchnio</w:t>
            </w:r>
            <w:r w:rsidR="00C14327">
              <w:rPr>
                <w:rFonts w:eastAsia="Times New Roman" w:cstheme="minorHAnsi"/>
                <w:b/>
                <w:sz w:val="24"/>
                <w:szCs w:val="24"/>
                <w:lang w:eastAsia="pl-PL"/>
              </w:rPr>
              <w:t xml:space="preserve"> </w:t>
            </w:r>
          </w:p>
        </w:tc>
      </w:tr>
      <w:tr w:rsidR="000B3477" w:rsidRPr="00E928D0" w14:paraId="2759C0BA" w14:textId="77777777" w:rsidTr="004F558F">
        <w:trPr>
          <w:cantSplit/>
        </w:trPr>
        <w:tc>
          <w:tcPr>
            <w:tcW w:w="1985" w:type="dxa"/>
          </w:tcPr>
          <w:p w14:paraId="0E68AD9D" w14:textId="77777777" w:rsidR="000B3477" w:rsidRPr="00E928D0" w:rsidRDefault="000B3477" w:rsidP="00860E28">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 xml:space="preserve">Członkowie: </w:t>
            </w:r>
          </w:p>
        </w:tc>
        <w:tc>
          <w:tcPr>
            <w:tcW w:w="3260" w:type="dxa"/>
          </w:tcPr>
          <w:p w14:paraId="60D92604" w14:textId="66C45B49" w:rsidR="000B3477" w:rsidRPr="00E928D0" w:rsidRDefault="00C14327" w:rsidP="00860E28">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F6525C" w:rsidRPr="00F6525C">
              <w:rPr>
                <w:rFonts w:eastAsia="Times New Roman" w:cstheme="minorHAnsi"/>
                <w:sz w:val="24"/>
                <w:szCs w:val="24"/>
                <w:lang w:eastAsia="pl-PL"/>
              </w:rPr>
              <w:t>:</w:t>
            </w:r>
          </w:p>
        </w:tc>
        <w:tc>
          <w:tcPr>
            <w:tcW w:w="3875" w:type="dxa"/>
          </w:tcPr>
          <w:p w14:paraId="05945A52" w14:textId="40FCA386" w:rsidR="000B3477" w:rsidRPr="00E928D0" w:rsidRDefault="004B2E95" w:rsidP="00860E28">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Anna Maksym</w:t>
            </w:r>
            <w:r w:rsidR="002C188E">
              <w:rPr>
                <w:rFonts w:eastAsia="Times New Roman" w:cstheme="minorHAnsi"/>
                <w:b/>
                <w:sz w:val="24"/>
                <w:szCs w:val="24"/>
                <w:lang w:eastAsia="pl-PL"/>
              </w:rPr>
              <w:t xml:space="preserve"> (spr.)</w:t>
            </w:r>
          </w:p>
        </w:tc>
      </w:tr>
      <w:tr w:rsidR="000B3477" w:rsidRPr="00E928D0" w14:paraId="48F4C630" w14:textId="77777777" w:rsidTr="004F558F">
        <w:trPr>
          <w:cantSplit/>
        </w:trPr>
        <w:tc>
          <w:tcPr>
            <w:tcW w:w="1985" w:type="dxa"/>
          </w:tcPr>
          <w:p w14:paraId="3943573E" w14:textId="77777777" w:rsidR="000B3477" w:rsidRPr="00E928D0" w:rsidRDefault="000B3477" w:rsidP="00860E28">
            <w:pPr>
              <w:spacing w:after="0" w:line="360" w:lineRule="atLeast"/>
              <w:rPr>
                <w:rFonts w:eastAsia="Times New Roman" w:cstheme="minorHAnsi"/>
                <w:sz w:val="24"/>
                <w:szCs w:val="24"/>
                <w:lang w:eastAsia="pl-PL"/>
              </w:rPr>
            </w:pPr>
          </w:p>
        </w:tc>
        <w:tc>
          <w:tcPr>
            <w:tcW w:w="3260" w:type="dxa"/>
          </w:tcPr>
          <w:p w14:paraId="6776BDC9" w14:textId="1CB2E580" w:rsidR="000B3477" w:rsidRPr="00E928D0" w:rsidRDefault="00C14327" w:rsidP="00860E28">
            <w:pPr>
              <w:spacing w:after="0" w:line="360" w:lineRule="atLeast"/>
              <w:rPr>
                <w:rFonts w:eastAsia="Times New Roman" w:cstheme="minorHAnsi"/>
                <w:sz w:val="24"/>
                <w:szCs w:val="24"/>
                <w:lang w:eastAsia="pl-PL"/>
              </w:rPr>
            </w:pPr>
            <w:r>
              <w:rPr>
                <w:rFonts w:eastAsia="Times New Roman" w:cstheme="minorHAnsi"/>
                <w:sz w:val="24"/>
                <w:szCs w:val="24"/>
                <w:lang w:eastAsia="pl-PL"/>
              </w:rPr>
              <w:t>Członek GKO:</w:t>
            </w:r>
          </w:p>
        </w:tc>
        <w:tc>
          <w:tcPr>
            <w:tcW w:w="3875" w:type="dxa"/>
          </w:tcPr>
          <w:p w14:paraId="515BC72C" w14:textId="47C404BC" w:rsidR="000B3477" w:rsidRPr="00E928D0" w:rsidRDefault="000D53BB" w:rsidP="00860E28">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Jarosław Talarowski</w:t>
            </w:r>
            <w:r w:rsidR="006D4A71">
              <w:rPr>
                <w:rFonts w:eastAsia="Times New Roman" w:cstheme="minorHAnsi"/>
                <w:b/>
                <w:sz w:val="24"/>
                <w:szCs w:val="24"/>
                <w:lang w:eastAsia="pl-PL"/>
              </w:rPr>
              <w:t xml:space="preserve"> </w:t>
            </w:r>
          </w:p>
        </w:tc>
      </w:tr>
      <w:tr w:rsidR="000B3477" w:rsidRPr="00E928D0" w14:paraId="308A44D4" w14:textId="77777777" w:rsidTr="004F558F">
        <w:trPr>
          <w:cantSplit/>
        </w:trPr>
        <w:tc>
          <w:tcPr>
            <w:tcW w:w="1985" w:type="dxa"/>
          </w:tcPr>
          <w:p w14:paraId="71640C28" w14:textId="77777777" w:rsidR="000B3477" w:rsidRPr="00E928D0" w:rsidRDefault="000B3477" w:rsidP="00860E28">
            <w:pPr>
              <w:spacing w:after="0" w:line="360" w:lineRule="atLeast"/>
              <w:rPr>
                <w:rFonts w:eastAsia="Times New Roman" w:cstheme="minorHAnsi"/>
                <w:sz w:val="24"/>
                <w:szCs w:val="24"/>
                <w:lang w:eastAsia="pl-PL"/>
              </w:rPr>
            </w:pPr>
            <w:r w:rsidRPr="00E928D0">
              <w:rPr>
                <w:rFonts w:eastAsia="Times New Roman" w:cstheme="minorHAnsi"/>
                <w:sz w:val="24"/>
                <w:szCs w:val="24"/>
                <w:lang w:eastAsia="pl-PL"/>
              </w:rPr>
              <w:t>Protokolant:</w:t>
            </w:r>
          </w:p>
        </w:tc>
        <w:tc>
          <w:tcPr>
            <w:tcW w:w="3260" w:type="dxa"/>
          </w:tcPr>
          <w:p w14:paraId="263349E0" w14:textId="77777777" w:rsidR="000B3477" w:rsidRPr="00E928D0" w:rsidRDefault="000B3477" w:rsidP="00860E28">
            <w:pPr>
              <w:spacing w:after="0" w:line="360" w:lineRule="atLeast"/>
              <w:rPr>
                <w:rFonts w:eastAsia="Times New Roman" w:cstheme="minorHAnsi"/>
                <w:i/>
                <w:sz w:val="24"/>
                <w:szCs w:val="24"/>
                <w:lang w:eastAsia="pl-PL"/>
              </w:rPr>
            </w:pPr>
          </w:p>
        </w:tc>
        <w:tc>
          <w:tcPr>
            <w:tcW w:w="3875" w:type="dxa"/>
          </w:tcPr>
          <w:p w14:paraId="18A5ED38" w14:textId="6A809B35" w:rsidR="000B3477" w:rsidRPr="00E928D0" w:rsidRDefault="00C14327" w:rsidP="00860E28">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Dorota Machnicka</w:t>
            </w:r>
          </w:p>
        </w:tc>
      </w:tr>
    </w:tbl>
    <w:p w14:paraId="6C75A95F" w14:textId="77777777" w:rsidR="00B841FE" w:rsidRDefault="00B841FE" w:rsidP="00860E28">
      <w:pPr>
        <w:pStyle w:val="Tekstpodstawowy1"/>
        <w:shd w:val="clear" w:color="auto" w:fill="auto"/>
        <w:spacing w:before="0" w:after="0" w:line="365" w:lineRule="exact"/>
        <w:ind w:right="40"/>
        <w:rPr>
          <w:rFonts w:asciiTheme="minorHAnsi" w:hAnsiTheme="minorHAnsi" w:cstheme="minorHAnsi"/>
          <w:sz w:val="24"/>
          <w:szCs w:val="22"/>
        </w:rPr>
      </w:pPr>
    </w:p>
    <w:p w14:paraId="78EFA276" w14:textId="77777777" w:rsidR="00B841FE" w:rsidRDefault="00B841FE" w:rsidP="00860E28">
      <w:pPr>
        <w:pStyle w:val="Tekstpodstawowy1"/>
        <w:shd w:val="clear" w:color="auto" w:fill="auto"/>
        <w:spacing w:before="0" w:after="0" w:line="365" w:lineRule="exact"/>
        <w:ind w:right="40"/>
        <w:rPr>
          <w:rFonts w:asciiTheme="minorHAnsi" w:hAnsiTheme="minorHAnsi" w:cstheme="minorHAnsi"/>
          <w:sz w:val="24"/>
          <w:szCs w:val="22"/>
        </w:rPr>
      </w:pPr>
    </w:p>
    <w:p w14:paraId="0938DFE3" w14:textId="191AE7A9" w:rsidR="002C188E" w:rsidRDefault="000B3477" w:rsidP="00860E28">
      <w:pPr>
        <w:tabs>
          <w:tab w:val="num" w:pos="540"/>
        </w:tabs>
        <w:spacing w:after="120" w:line="300" w:lineRule="auto"/>
        <w:rPr>
          <w:rFonts w:eastAsia="Lato" w:cstheme="minorHAnsi"/>
          <w:sz w:val="24"/>
          <w:szCs w:val="24"/>
        </w:rPr>
      </w:pPr>
      <w:r w:rsidRPr="00101B7A">
        <w:rPr>
          <w:rFonts w:cstheme="minorHAnsi"/>
          <w:sz w:val="24"/>
          <w:szCs w:val="24"/>
        </w:rPr>
        <w:t xml:space="preserve">przy udziale Zastępcy Głównego Rzecznika Dyscypliny Finansów Publicznych </w:t>
      </w:r>
      <w:r w:rsidR="005D11CC">
        <w:rPr>
          <w:rFonts w:cstheme="minorHAnsi"/>
          <w:sz w:val="24"/>
          <w:szCs w:val="24"/>
        </w:rPr>
        <w:t>Roberta</w:t>
      </w:r>
      <w:r w:rsidR="000D53BB">
        <w:rPr>
          <w:rFonts w:cstheme="minorHAnsi"/>
          <w:sz w:val="24"/>
          <w:szCs w:val="24"/>
        </w:rPr>
        <w:t xml:space="preserve"> Banacha</w:t>
      </w:r>
      <w:r w:rsidRPr="00101B7A">
        <w:rPr>
          <w:rFonts w:cstheme="minorHAnsi"/>
          <w:sz w:val="24"/>
          <w:szCs w:val="24"/>
        </w:rPr>
        <w:t>,</w:t>
      </w:r>
      <w:r w:rsidR="00B9047E" w:rsidRPr="00101B7A">
        <w:rPr>
          <w:rFonts w:cstheme="minorHAnsi"/>
          <w:sz w:val="24"/>
          <w:szCs w:val="24"/>
        </w:rPr>
        <w:t xml:space="preserve"> </w:t>
      </w:r>
      <w:r w:rsidRPr="00101B7A">
        <w:rPr>
          <w:rFonts w:cstheme="minorHAnsi"/>
          <w:sz w:val="24"/>
          <w:szCs w:val="24"/>
        </w:rPr>
        <w:t xml:space="preserve">po rozpoznaniu na rozprawie w dniu </w:t>
      </w:r>
      <w:r w:rsidR="000D53BB">
        <w:rPr>
          <w:rFonts w:cstheme="minorHAnsi"/>
          <w:sz w:val="24"/>
          <w:szCs w:val="24"/>
        </w:rPr>
        <w:t>2</w:t>
      </w:r>
      <w:r w:rsidR="006745C5" w:rsidRPr="00101B7A">
        <w:rPr>
          <w:rFonts w:cstheme="minorHAnsi"/>
          <w:sz w:val="24"/>
          <w:szCs w:val="24"/>
        </w:rPr>
        <w:t>7 stycznia</w:t>
      </w:r>
      <w:r w:rsidR="004045D8" w:rsidRPr="00101B7A">
        <w:rPr>
          <w:rFonts w:cstheme="minorHAnsi"/>
          <w:sz w:val="24"/>
          <w:szCs w:val="24"/>
        </w:rPr>
        <w:t xml:space="preserve"> </w:t>
      </w:r>
      <w:r w:rsidR="006745C5" w:rsidRPr="00101B7A">
        <w:rPr>
          <w:rFonts w:cstheme="minorHAnsi"/>
          <w:sz w:val="24"/>
          <w:szCs w:val="24"/>
        </w:rPr>
        <w:t>2022</w:t>
      </w:r>
      <w:r w:rsidRPr="00101B7A">
        <w:rPr>
          <w:rFonts w:cstheme="minorHAnsi"/>
          <w:sz w:val="24"/>
          <w:szCs w:val="24"/>
        </w:rPr>
        <w:t xml:space="preserve"> r. odwołania</w:t>
      </w:r>
      <w:r w:rsidR="007B3459" w:rsidRPr="00101B7A">
        <w:rPr>
          <w:rFonts w:cstheme="minorHAnsi"/>
          <w:sz w:val="24"/>
          <w:szCs w:val="24"/>
        </w:rPr>
        <w:t xml:space="preserve"> wniesionego przez</w:t>
      </w:r>
      <w:r w:rsidR="005D11CC">
        <w:rPr>
          <w:rFonts w:cstheme="minorHAnsi"/>
          <w:sz w:val="24"/>
          <w:szCs w:val="24"/>
        </w:rPr>
        <w:t xml:space="preserve"> </w:t>
      </w:r>
      <w:r w:rsidR="002C188E" w:rsidRPr="004B14AF">
        <w:rPr>
          <w:rFonts w:eastAsia="Lato" w:cstheme="minorHAnsi"/>
          <w:sz w:val="24"/>
          <w:szCs w:val="24"/>
        </w:rPr>
        <w:t xml:space="preserve">Rzecznika dyscypliny finansów publicznych na niekorzyść Pana </w:t>
      </w:r>
      <w:r w:rsidR="00D629CD">
        <w:rPr>
          <w:rFonts w:eastAsia="Lato" w:cstheme="minorHAnsi"/>
          <w:sz w:val="24"/>
          <w:szCs w:val="24"/>
        </w:rPr>
        <w:t>(...)</w:t>
      </w:r>
      <w:r w:rsidR="002C188E">
        <w:rPr>
          <w:rFonts w:eastAsia="Lato" w:cstheme="minorHAnsi"/>
          <w:sz w:val="24"/>
          <w:szCs w:val="24"/>
        </w:rPr>
        <w:t xml:space="preserve"> (zam. ul. </w:t>
      </w:r>
      <w:r w:rsidR="00D629CD">
        <w:rPr>
          <w:rFonts w:eastAsia="Lato" w:cstheme="minorHAnsi"/>
          <w:sz w:val="24"/>
          <w:szCs w:val="24"/>
        </w:rPr>
        <w:t xml:space="preserve">(…) </w:t>
      </w:r>
      <w:r w:rsidR="002C188E">
        <w:rPr>
          <w:rFonts w:eastAsia="Lato" w:cstheme="minorHAnsi"/>
          <w:sz w:val="24"/>
          <w:szCs w:val="24"/>
        </w:rPr>
        <w:t>)</w:t>
      </w:r>
      <w:r w:rsidR="002C188E" w:rsidRPr="004B14AF">
        <w:rPr>
          <w:rFonts w:eastAsia="Lato" w:cstheme="minorHAnsi"/>
          <w:sz w:val="24"/>
          <w:szCs w:val="24"/>
        </w:rPr>
        <w:t>,</w:t>
      </w:r>
      <w:r w:rsidR="002C188E" w:rsidRPr="004B14AF">
        <w:rPr>
          <w:rFonts w:cstheme="minorHAnsi"/>
          <w:color w:val="000000"/>
          <w:sz w:val="24"/>
          <w:szCs w:val="24"/>
          <w:lang w:bidi="pl-PL"/>
        </w:rPr>
        <w:t xml:space="preserve"> pełniącego </w:t>
      </w:r>
      <w:r w:rsidR="002C188E" w:rsidRPr="004B14AF">
        <w:rPr>
          <w:rFonts w:cstheme="minorHAnsi"/>
          <w:color w:val="000000"/>
          <w:sz w:val="24"/>
          <w:szCs w:val="24"/>
          <w:lang w:val="pl"/>
        </w:rPr>
        <w:t>w czasie zarzucanego naruszenia dyscypliny finansów publicznych funkcję</w:t>
      </w:r>
      <w:r w:rsidR="002C188E" w:rsidRPr="004B14AF">
        <w:rPr>
          <w:rFonts w:eastAsia="Lato" w:cstheme="minorHAnsi"/>
          <w:sz w:val="24"/>
          <w:szCs w:val="24"/>
        </w:rPr>
        <w:t xml:space="preserve"> </w:t>
      </w:r>
      <w:r w:rsidR="002C188E" w:rsidRPr="004B14AF">
        <w:rPr>
          <w:spacing w:val="-4"/>
          <w:sz w:val="24"/>
          <w:szCs w:val="24"/>
        </w:rPr>
        <w:t>Dyrek</w:t>
      </w:r>
      <w:r w:rsidR="002C188E">
        <w:rPr>
          <w:spacing w:val="-4"/>
          <w:sz w:val="24"/>
          <w:szCs w:val="24"/>
        </w:rPr>
        <w:t xml:space="preserve">tora Naczelnego Zespołu Opieki Zdrowotnej w </w:t>
      </w:r>
      <w:r w:rsidR="00D629CD">
        <w:rPr>
          <w:spacing w:val="-4"/>
          <w:sz w:val="24"/>
          <w:szCs w:val="24"/>
        </w:rPr>
        <w:t>(...)</w:t>
      </w:r>
      <w:r w:rsidR="002C188E" w:rsidRPr="004B14AF">
        <w:rPr>
          <w:spacing w:val="-4"/>
          <w:sz w:val="24"/>
          <w:szCs w:val="24"/>
        </w:rPr>
        <w:t>,</w:t>
      </w:r>
      <w:r w:rsidR="002C188E" w:rsidRPr="004B14AF">
        <w:rPr>
          <w:rFonts w:eastAsia="Lato" w:cstheme="minorHAnsi"/>
          <w:sz w:val="24"/>
          <w:szCs w:val="24"/>
        </w:rPr>
        <w:t xml:space="preserve"> </w:t>
      </w:r>
      <w:r w:rsidR="002C188E" w:rsidRPr="004411C4">
        <w:rPr>
          <w:rFonts w:eastAsia="Lato" w:cstheme="minorHAnsi"/>
          <w:sz w:val="24"/>
          <w:szCs w:val="24"/>
        </w:rPr>
        <w:t xml:space="preserve">od orzeczenia </w:t>
      </w:r>
      <w:r w:rsidR="002C188E" w:rsidRPr="001A465E">
        <w:rPr>
          <w:sz w:val="24"/>
          <w:szCs w:val="24"/>
        </w:rPr>
        <w:t xml:space="preserve">Regionalnej Komisji Orzekającej w sprawach o naruszenie dyscypliny finansów publicznych przy Regionalnej Izbie Obrachunkowej w </w:t>
      </w:r>
      <w:r w:rsidR="002C188E">
        <w:rPr>
          <w:rFonts w:eastAsia="Lato" w:cstheme="minorHAnsi"/>
          <w:sz w:val="24"/>
          <w:szCs w:val="24"/>
        </w:rPr>
        <w:t>Rzeszowie z  15 kwietnia 2021 r., nr 4010/3/2021</w:t>
      </w:r>
      <w:r w:rsidR="002C188E">
        <w:rPr>
          <w:rFonts w:eastAsia="Lato" w:cstheme="minorHAnsi"/>
          <w:b/>
          <w:sz w:val="24"/>
          <w:szCs w:val="24"/>
        </w:rPr>
        <w:t>,</w:t>
      </w:r>
      <w:r w:rsidR="002C188E">
        <w:rPr>
          <w:rFonts w:eastAsia="Lato" w:cstheme="minorHAnsi"/>
          <w:sz w:val="24"/>
          <w:szCs w:val="24"/>
        </w:rPr>
        <w:t xml:space="preserve"> </w:t>
      </w:r>
      <w:r w:rsidR="002C188E" w:rsidRPr="004B14AF">
        <w:rPr>
          <w:rFonts w:ascii="Calibri" w:hAnsi="Calibri" w:cs="Calibri"/>
          <w:color w:val="000000"/>
          <w:kern w:val="22"/>
          <w:sz w:val="24"/>
          <w:szCs w:val="24"/>
        </w:rPr>
        <w:t>którym Regionalna Komisja Orzekająca u</w:t>
      </w:r>
      <w:r w:rsidR="002C188E">
        <w:rPr>
          <w:rFonts w:ascii="Calibri" w:hAnsi="Calibri" w:cs="Calibri"/>
          <w:color w:val="000000"/>
          <w:kern w:val="22"/>
          <w:sz w:val="24"/>
          <w:szCs w:val="24"/>
        </w:rPr>
        <w:t>niewinniła</w:t>
      </w:r>
      <w:r w:rsidR="002C188E" w:rsidRPr="004B14AF">
        <w:rPr>
          <w:rFonts w:ascii="Calibri" w:hAnsi="Calibri" w:cs="Calibri"/>
          <w:color w:val="000000"/>
          <w:kern w:val="22"/>
          <w:sz w:val="24"/>
          <w:szCs w:val="24"/>
        </w:rPr>
        <w:t xml:space="preserve"> </w:t>
      </w:r>
      <w:r w:rsidR="002C188E" w:rsidRPr="004B14AF">
        <w:rPr>
          <w:rFonts w:cstheme="minorHAnsi"/>
          <w:sz w:val="24"/>
          <w:szCs w:val="24"/>
        </w:rPr>
        <w:t>Pana</w:t>
      </w:r>
      <w:r w:rsidR="002C188E" w:rsidRPr="004B14AF">
        <w:rPr>
          <w:rFonts w:cstheme="minorHAnsi"/>
          <w:szCs w:val="24"/>
        </w:rPr>
        <w:t xml:space="preserve"> </w:t>
      </w:r>
      <w:r w:rsidR="00D629CD">
        <w:rPr>
          <w:rFonts w:eastAsia="Lato" w:cstheme="minorHAnsi"/>
          <w:sz w:val="24"/>
          <w:szCs w:val="24"/>
        </w:rPr>
        <w:t>(...)</w:t>
      </w:r>
      <w:r w:rsidR="002C188E">
        <w:rPr>
          <w:rFonts w:eastAsia="Lato" w:cstheme="minorHAnsi"/>
          <w:sz w:val="24"/>
          <w:szCs w:val="24"/>
        </w:rPr>
        <w:t>:</w:t>
      </w:r>
    </w:p>
    <w:p w14:paraId="65F1AC2D" w14:textId="08E86382" w:rsidR="002C188E" w:rsidRPr="009E506A" w:rsidRDefault="002C188E" w:rsidP="00860E28">
      <w:pPr>
        <w:pStyle w:val="Styl1"/>
        <w:tabs>
          <w:tab w:val="left" w:pos="9072"/>
        </w:tabs>
        <w:spacing w:line="276" w:lineRule="auto"/>
        <w:jc w:val="left"/>
        <w:rPr>
          <w:rFonts w:asciiTheme="minorHAnsi" w:hAnsiTheme="minorHAnsi" w:cstheme="minorHAnsi"/>
          <w:szCs w:val="24"/>
          <w:lang w:val="pl-PL"/>
        </w:rPr>
      </w:pPr>
      <w:r w:rsidRPr="00C80615">
        <w:rPr>
          <w:rFonts w:asciiTheme="minorHAnsi" w:eastAsia="Lato" w:hAnsiTheme="minorHAnsi" w:cstheme="minorHAnsi"/>
          <w:szCs w:val="24"/>
        </w:rPr>
        <w:t xml:space="preserve">- </w:t>
      </w:r>
      <w:r w:rsidRPr="00C80615">
        <w:rPr>
          <w:rFonts w:asciiTheme="minorHAnsi" w:hAnsiTheme="minorHAnsi" w:cstheme="minorHAnsi"/>
          <w:szCs w:val="24"/>
        </w:rPr>
        <w:t xml:space="preserve"> </w:t>
      </w:r>
      <w:r w:rsidRPr="00C80615">
        <w:rPr>
          <w:rFonts w:asciiTheme="minorHAnsi" w:hAnsiTheme="minorHAnsi" w:cstheme="minorHAnsi"/>
          <w:szCs w:val="24"/>
          <w:lang w:val="pl-PL"/>
        </w:rPr>
        <w:t xml:space="preserve">od zarzutu naruszenia dyscypliny finansów publicznych określonego w art. 14 pkt 1, 2 i 3 </w:t>
      </w:r>
      <w:r w:rsidRPr="002C188E">
        <w:rPr>
          <w:rFonts w:asciiTheme="minorHAnsi" w:hAnsiTheme="minorHAnsi" w:cstheme="minorHAnsi"/>
          <w:szCs w:val="24"/>
        </w:rPr>
        <w:t>ustawy o odpowiedzialności za naruszenie dyscypliny finansów publicznych</w:t>
      </w:r>
      <w:r w:rsidRPr="002C188E">
        <w:rPr>
          <w:rStyle w:val="Odwoanieprzypisudolnego"/>
          <w:rFonts w:asciiTheme="minorHAnsi" w:hAnsiTheme="minorHAnsi" w:cstheme="minorHAnsi"/>
          <w:color w:val="000000"/>
        </w:rPr>
        <w:t xml:space="preserve"> </w:t>
      </w:r>
      <w:r w:rsidRPr="002C188E">
        <w:rPr>
          <w:rStyle w:val="Odwoanieprzypisudolnego"/>
          <w:rFonts w:asciiTheme="minorHAnsi" w:hAnsiTheme="minorHAnsi" w:cstheme="minorHAnsi"/>
          <w:color w:val="000000"/>
        </w:rPr>
        <w:footnoteReference w:id="1"/>
      </w:r>
      <w:r w:rsidRPr="002C188E">
        <w:rPr>
          <w:rFonts w:asciiTheme="minorHAnsi" w:hAnsiTheme="minorHAnsi" w:cstheme="minorHAnsi"/>
          <w:color w:val="000000"/>
        </w:rPr>
        <w:t xml:space="preserve"> - </w:t>
      </w:r>
      <w:r w:rsidRPr="002C188E">
        <w:rPr>
          <w:rFonts w:asciiTheme="minorHAnsi" w:hAnsiTheme="minorHAnsi" w:cstheme="minorHAnsi"/>
          <w:szCs w:val="24"/>
          <w:lang w:val="pl-PL"/>
        </w:rPr>
        <w:t>uondfp</w:t>
      </w:r>
      <w:r w:rsidRPr="002C188E">
        <w:rPr>
          <w:rFonts w:asciiTheme="minorHAnsi" w:hAnsiTheme="minorHAnsi" w:cstheme="minorHAnsi"/>
          <w:i/>
          <w:szCs w:val="24"/>
          <w:lang w:val="pl-PL"/>
        </w:rPr>
        <w:t xml:space="preserve"> </w:t>
      </w:r>
      <w:r w:rsidRPr="002C188E">
        <w:rPr>
          <w:rFonts w:asciiTheme="minorHAnsi" w:hAnsiTheme="minorHAnsi" w:cstheme="minorHAnsi"/>
          <w:szCs w:val="24"/>
          <w:lang w:val="pl-PL"/>
        </w:rPr>
        <w:t>poprzez to, iż w dniach: 16.10, 15.11, 15.12.2017 r. i 15.01.2018 r. nie opłacił składek</w:t>
      </w:r>
      <w:r w:rsidRPr="009E506A">
        <w:rPr>
          <w:rFonts w:asciiTheme="minorHAnsi" w:hAnsiTheme="minorHAnsi" w:cstheme="minorHAnsi"/>
          <w:szCs w:val="24"/>
          <w:lang w:val="pl-PL"/>
        </w:rPr>
        <w:t xml:space="preserve"> na ubezpieczenie społeczne odpowiednio za miesiące:  wrzesień, październik, listopad i grudzień 2017 r., tj. z naruszeniem postanowień art. 47 ust. 1 pkt 3 ustawy</w:t>
      </w:r>
      <w:r>
        <w:rPr>
          <w:rFonts w:asciiTheme="minorHAnsi" w:hAnsiTheme="minorHAnsi" w:cstheme="minorHAnsi"/>
          <w:szCs w:val="24"/>
          <w:lang w:val="pl-PL"/>
        </w:rPr>
        <w:t xml:space="preserve"> </w:t>
      </w:r>
      <w:r w:rsidRPr="009E506A">
        <w:rPr>
          <w:rFonts w:asciiTheme="minorHAnsi" w:hAnsiTheme="minorHAnsi" w:cstheme="minorHAnsi"/>
          <w:szCs w:val="24"/>
          <w:lang w:val="pl-PL"/>
        </w:rPr>
        <w:t>o systemie ubezpieczeń społecznych</w:t>
      </w:r>
      <w:r>
        <w:rPr>
          <w:rStyle w:val="Odwoanieprzypisudolnego"/>
          <w:rFonts w:asciiTheme="minorHAnsi" w:hAnsiTheme="minorHAnsi" w:cstheme="minorHAnsi"/>
          <w:szCs w:val="24"/>
          <w:lang w:val="pl-PL"/>
        </w:rPr>
        <w:footnoteReference w:id="2"/>
      </w:r>
      <w:r w:rsidRPr="009E506A">
        <w:rPr>
          <w:rFonts w:asciiTheme="minorHAnsi" w:hAnsiTheme="minorHAnsi" w:cstheme="minorHAnsi"/>
          <w:szCs w:val="24"/>
          <w:lang w:val="pl-PL"/>
        </w:rPr>
        <w:t>; w dniach: 15.12.2017 r., 15.01., 15.02 i 15.03.2018 r. nie opłacił składek na ubezpieczenie zdrowotne odpowiednio za miesiące: listopad i grudzień 2017 r. oraz za styczeń i luty 2018 r., tj. z naruszeniem art. 87 ust. 1 ustawy o świadczeniach opieki zdrowotnej finansowanych ze środków publicznych</w:t>
      </w:r>
      <w:r>
        <w:rPr>
          <w:rStyle w:val="Odwoanieprzypisudolnego"/>
          <w:rFonts w:asciiTheme="minorHAnsi" w:hAnsiTheme="minorHAnsi" w:cstheme="minorHAnsi"/>
          <w:szCs w:val="24"/>
          <w:lang w:val="pl-PL"/>
        </w:rPr>
        <w:footnoteReference w:id="3"/>
      </w:r>
      <w:r w:rsidRPr="009E506A">
        <w:rPr>
          <w:rFonts w:asciiTheme="minorHAnsi" w:hAnsiTheme="minorHAnsi" w:cstheme="minorHAnsi"/>
          <w:szCs w:val="24"/>
          <w:lang w:val="pl-PL"/>
        </w:rPr>
        <w:t xml:space="preserve">; w dniach: 15.01, 15.02 i 15.03.2018 r. nie opłacił składek na fundusz pracy odpowiednio za miesiące: grudzień 2017 r. oraz styczeń i </w:t>
      </w:r>
      <w:r w:rsidRPr="009E506A">
        <w:rPr>
          <w:rFonts w:asciiTheme="minorHAnsi" w:hAnsiTheme="minorHAnsi" w:cstheme="minorHAnsi"/>
          <w:szCs w:val="24"/>
          <w:lang w:val="pl-PL"/>
        </w:rPr>
        <w:lastRenderedPageBreak/>
        <w:t>luty 2018 r., tj. z naruszeniem art. 107 ust. 1 ustawy z dnia 20 kwietnia 2004 r. o promocji zatrudnienia i instytucjach rynku pracy (Dz. U. z 2020 r. poz. 1409 z późn. zm.)</w:t>
      </w:r>
      <w:r>
        <w:rPr>
          <w:rFonts w:asciiTheme="minorHAnsi" w:hAnsiTheme="minorHAnsi" w:cstheme="minorHAnsi"/>
          <w:szCs w:val="24"/>
          <w:lang w:val="pl-PL"/>
        </w:rPr>
        <w:t>,</w:t>
      </w:r>
    </w:p>
    <w:p w14:paraId="03673AB4" w14:textId="77777777" w:rsidR="002C188E" w:rsidRDefault="002C188E" w:rsidP="00860E28">
      <w:pPr>
        <w:pStyle w:val="Styl1"/>
        <w:tabs>
          <w:tab w:val="left" w:pos="9072"/>
        </w:tabs>
        <w:spacing w:line="276" w:lineRule="auto"/>
        <w:jc w:val="left"/>
        <w:rPr>
          <w:rFonts w:asciiTheme="minorHAnsi" w:hAnsiTheme="minorHAnsi" w:cstheme="minorHAnsi"/>
          <w:szCs w:val="24"/>
          <w:lang w:val="pl-PL"/>
        </w:rPr>
      </w:pPr>
      <w:r w:rsidRPr="00C80615">
        <w:rPr>
          <w:rFonts w:asciiTheme="minorHAnsi" w:hAnsiTheme="minorHAnsi" w:cstheme="minorHAnsi"/>
          <w:szCs w:val="24"/>
          <w:lang w:val="pl-PL"/>
        </w:rPr>
        <w:t>- od zarzutu naruszenia dyscypliny finansów publicznych określonego w art. 16 ust. 1 uondfp,</w:t>
      </w:r>
      <w:r w:rsidRPr="009E506A">
        <w:rPr>
          <w:rFonts w:asciiTheme="minorHAnsi" w:hAnsiTheme="minorHAnsi" w:cstheme="minorHAnsi"/>
          <w:szCs w:val="24"/>
          <w:lang w:val="pl-PL"/>
        </w:rPr>
        <w:t xml:space="preserve"> poprzez to, iż w okresie od 16 września 2017 r. do 1 grudnia 2019 r. nieterminowo wykonywał zobowiązania pieniężne z tytułu dostaw towarów i usług skutkujące zapłatą odsetek od nieterminowych pł</w:t>
      </w:r>
      <w:r>
        <w:rPr>
          <w:rFonts w:asciiTheme="minorHAnsi" w:hAnsiTheme="minorHAnsi" w:cstheme="minorHAnsi"/>
          <w:szCs w:val="24"/>
          <w:lang w:val="pl-PL"/>
        </w:rPr>
        <w:t xml:space="preserve">atności (wykazanych w tabelach w orzeczeniu Komisji Orzekającej I </w:t>
      </w:r>
      <w:r w:rsidRPr="003D7D70">
        <w:rPr>
          <w:rFonts w:asciiTheme="minorHAnsi" w:hAnsiTheme="minorHAnsi" w:cstheme="minorHAnsi"/>
          <w:szCs w:val="24"/>
          <w:lang w:val="pl-PL"/>
        </w:rPr>
        <w:t xml:space="preserve">Instancji </w:t>
      </w:r>
      <w:r>
        <w:rPr>
          <w:rFonts w:asciiTheme="minorHAnsi" w:eastAsia="Lato" w:hAnsiTheme="minorHAnsi" w:cstheme="minorHAnsi"/>
          <w:szCs w:val="24"/>
        </w:rPr>
        <w:t xml:space="preserve">z </w:t>
      </w:r>
      <w:r w:rsidRPr="003D7D70">
        <w:rPr>
          <w:rFonts w:asciiTheme="minorHAnsi" w:eastAsia="Lato" w:hAnsiTheme="minorHAnsi" w:cstheme="minorHAnsi"/>
          <w:szCs w:val="24"/>
        </w:rPr>
        <w:t>15 kwietnia 2021 r., nr 4010/3/202)</w:t>
      </w:r>
      <w:r>
        <w:rPr>
          <w:rFonts w:eastAsia="Lato" w:cstheme="minorHAnsi"/>
          <w:szCs w:val="24"/>
        </w:rPr>
        <w:t xml:space="preserve"> </w:t>
      </w:r>
      <w:r w:rsidRPr="009E506A">
        <w:rPr>
          <w:rFonts w:asciiTheme="minorHAnsi" w:hAnsiTheme="minorHAnsi" w:cstheme="minorHAnsi"/>
          <w:szCs w:val="24"/>
          <w:lang w:val="pl-PL"/>
        </w:rPr>
        <w:t>w łącznej kwocie 521 614,76  zł</w:t>
      </w:r>
      <w:r>
        <w:rPr>
          <w:rFonts w:asciiTheme="minorHAnsi" w:hAnsiTheme="minorHAnsi" w:cstheme="minorHAnsi"/>
          <w:szCs w:val="24"/>
          <w:lang w:val="pl-PL"/>
        </w:rPr>
        <w:t>.</w:t>
      </w:r>
    </w:p>
    <w:p w14:paraId="2A43C4A3" w14:textId="77777777" w:rsidR="002C188E" w:rsidRDefault="002C188E" w:rsidP="00860E28">
      <w:pPr>
        <w:pStyle w:val="Styl1"/>
        <w:tabs>
          <w:tab w:val="left" w:pos="9072"/>
        </w:tabs>
        <w:spacing w:line="276" w:lineRule="auto"/>
        <w:jc w:val="left"/>
        <w:rPr>
          <w:rFonts w:asciiTheme="minorHAnsi" w:hAnsiTheme="minorHAnsi" w:cstheme="minorHAnsi"/>
          <w:szCs w:val="24"/>
          <w:lang w:val="pl-PL"/>
        </w:rPr>
      </w:pPr>
    </w:p>
    <w:p w14:paraId="6CDE78BA" w14:textId="3C3B01F8" w:rsidR="005D11CC" w:rsidRDefault="002C188E" w:rsidP="00860E28">
      <w:pPr>
        <w:pStyle w:val="Tekstpodstawowywcity"/>
        <w:spacing w:after="0"/>
        <w:ind w:left="0"/>
        <w:rPr>
          <w:rFonts w:ascii="Calibri" w:hAnsi="Calibri" w:cs="Calibri"/>
          <w:sz w:val="24"/>
          <w:szCs w:val="24"/>
        </w:rPr>
      </w:pPr>
      <w:r w:rsidRPr="003D7D70">
        <w:rPr>
          <w:rFonts w:ascii="Calibri" w:hAnsi="Calibri" w:cs="Calibri"/>
          <w:sz w:val="24"/>
          <w:szCs w:val="24"/>
        </w:rPr>
        <w:t>Komisja Orzekająca I instancji orzekła, że ko</w:t>
      </w:r>
      <w:r>
        <w:rPr>
          <w:rFonts w:ascii="Calibri" w:hAnsi="Calibri" w:cs="Calibri"/>
          <w:sz w:val="24"/>
          <w:szCs w:val="24"/>
        </w:rPr>
        <w:t>szty postępowania ponosi Skarb Państwa,</w:t>
      </w:r>
    </w:p>
    <w:p w14:paraId="22D0B84C" w14:textId="77777777" w:rsidR="002C188E" w:rsidRPr="002C188E" w:rsidRDefault="002C188E" w:rsidP="00860E28">
      <w:pPr>
        <w:pStyle w:val="Tekstpodstawowywcity"/>
        <w:spacing w:after="0"/>
        <w:ind w:left="0"/>
        <w:rPr>
          <w:rFonts w:ascii="Calibri" w:hAnsi="Calibri" w:cs="Calibri"/>
          <w:sz w:val="24"/>
          <w:szCs w:val="24"/>
        </w:rPr>
      </w:pPr>
    </w:p>
    <w:p w14:paraId="6D1E0D41" w14:textId="40CABE98" w:rsidR="005D11CC" w:rsidRPr="00140FB9" w:rsidRDefault="004F558F" w:rsidP="00860E28">
      <w:pPr>
        <w:spacing w:after="353" w:line="230" w:lineRule="exact"/>
        <w:ind w:left="20"/>
        <w:rPr>
          <w:rFonts w:ascii="Calibri" w:eastAsia="Calibri" w:hAnsi="Calibri" w:cs="Calibri"/>
          <w:b/>
          <w:bCs/>
          <w:color w:val="000000"/>
          <w:sz w:val="24"/>
          <w:szCs w:val="24"/>
          <w:lang w:val="pl" w:eastAsia="pl-PL"/>
        </w:rPr>
      </w:pPr>
      <w:bookmarkStart w:id="0" w:name="bookmark3"/>
      <w:r>
        <w:rPr>
          <w:rFonts w:ascii="Calibri" w:eastAsia="Calibri" w:hAnsi="Calibri" w:cs="Calibri"/>
          <w:b/>
          <w:bCs/>
          <w:color w:val="000000"/>
          <w:sz w:val="24"/>
          <w:szCs w:val="24"/>
          <w:lang w:val="pl" w:eastAsia="pl-PL"/>
        </w:rPr>
        <w:t>o</w:t>
      </w:r>
      <w:r w:rsidR="00EF6D63" w:rsidRPr="00140FB9">
        <w:rPr>
          <w:rFonts w:ascii="Calibri" w:eastAsia="Calibri" w:hAnsi="Calibri" w:cs="Calibri"/>
          <w:b/>
          <w:bCs/>
          <w:color w:val="000000"/>
          <w:sz w:val="24"/>
          <w:szCs w:val="24"/>
          <w:lang w:val="pl" w:eastAsia="pl-PL"/>
        </w:rPr>
        <w:t>rzeka</w:t>
      </w:r>
      <w:bookmarkEnd w:id="0"/>
    </w:p>
    <w:p w14:paraId="2DCA5FF2" w14:textId="7255A740" w:rsidR="005D11CC" w:rsidRPr="00EF6D63" w:rsidRDefault="00EF6D63" w:rsidP="00860E28">
      <w:pPr>
        <w:spacing w:after="225" w:line="360" w:lineRule="auto"/>
        <w:ind w:left="20"/>
        <w:rPr>
          <w:rFonts w:ascii="Calibri" w:eastAsia="Calibri" w:hAnsi="Calibri" w:cs="Calibri"/>
          <w:b/>
          <w:bCs/>
          <w:color w:val="000000"/>
          <w:sz w:val="24"/>
          <w:szCs w:val="24"/>
          <w:lang w:val="pl" w:eastAsia="pl-PL"/>
        </w:rPr>
      </w:pPr>
      <w:bookmarkStart w:id="1" w:name="bookmark4"/>
      <w:r w:rsidRPr="00EF6D63">
        <w:rPr>
          <w:rFonts w:ascii="Calibri" w:eastAsia="Calibri" w:hAnsi="Calibri" w:cs="Calibri"/>
          <w:b/>
          <w:bCs/>
          <w:color w:val="000000"/>
          <w:sz w:val="24"/>
          <w:szCs w:val="24"/>
          <w:lang w:val="pl" w:eastAsia="pl-PL"/>
        </w:rPr>
        <w:t>na</w:t>
      </w:r>
      <w:r w:rsidR="009D04BE">
        <w:rPr>
          <w:rFonts w:ascii="Calibri" w:eastAsia="Calibri" w:hAnsi="Calibri" w:cs="Calibri"/>
          <w:b/>
          <w:bCs/>
          <w:color w:val="000000"/>
          <w:sz w:val="24"/>
          <w:szCs w:val="24"/>
          <w:lang w:val="pl" w:eastAsia="pl-PL"/>
        </w:rPr>
        <w:t xml:space="preserve"> podstawie art. 147 ust. 1 pkt 3 uondfp, uchyla w całości </w:t>
      </w:r>
      <w:r w:rsidRPr="00EF6D63">
        <w:rPr>
          <w:rFonts w:ascii="Calibri" w:eastAsia="Calibri" w:hAnsi="Calibri" w:cs="Calibri"/>
          <w:b/>
          <w:bCs/>
          <w:color w:val="000000"/>
          <w:sz w:val="24"/>
          <w:szCs w:val="24"/>
          <w:lang w:val="pl" w:eastAsia="pl-PL"/>
        </w:rPr>
        <w:t>zaskarżone orzeczenie</w:t>
      </w:r>
      <w:r w:rsidR="009D04BE">
        <w:rPr>
          <w:rFonts w:ascii="Calibri" w:eastAsia="Calibri" w:hAnsi="Calibri" w:cs="Calibri"/>
          <w:b/>
          <w:bCs/>
          <w:color w:val="000000"/>
          <w:sz w:val="24"/>
          <w:szCs w:val="24"/>
          <w:lang w:val="pl" w:eastAsia="pl-PL"/>
        </w:rPr>
        <w:t xml:space="preserve"> i przekazuje sprawę do ponownego rozpoznania przez </w:t>
      </w:r>
      <w:r w:rsidR="009D04BE">
        <w:rPr>
          <w:b/>
          <w:sz w:val="24"/>
          <w:szCs w:val="24"/>
        </w:rPr>
        <w:t>Regionalną Komisję Orzekającą</w:t>
      </w:r>
      <w:r w:rsidR="009D04BE" w:rsidRPr="009D04BE">
        <w:rPr>
          <w:b/>
          <w:sz w:val="24"/>
          <w:szCs w:val="24"/>
        </w:rPr>
        <w:t xml:space="preserve"> w sprawach o naruszenie dyscypliny finansów publicznych przy Regionalnej Izbie Obrachunkowej w </w:t>
      </w:r>
      <w:r w:rsidR="009D04BE" w:rsidRPr="009D04BE">
        <w:rPr>
          <w:rFonts w:eastAsia="Lato" w:cstheme="minorHAnsi"/>
          <w:b/>
          <w:sz w:val="24"/>
          <w:szCs w:val="24"/>
        </w:rPr>
        <w:t>Rzeszowie</w:t>
      </w:r>
      <w:r w:rsidRPr="009D04BE">
        <w:rPr>
          <w:rFonts w:ascii="Calibri" w:eastAsia="Calibri" w:hAnsi="Calibri" w:cs="Calibri"/>
          <w:b/>
          <w:bCs/>
          <w:color w:val="000000"/>
          <w:sz w:val="24"/>
          <w:szCs w:val="24"/>
          <w:lang w:val="pl" w:eastAsia="pl-PL"/>
        </w:rPr>
        <w:t>.</w:t>
      </w:r>
      <w:bookmarkEnd w:id="1"/>
    </w:p>
    <w:p w14:paraId="3E610BE1" w14:textId="747973A0" w:rsidR="005D11CC" w:rsidRPr="00140FB9" w:rsidRDefault="00EF6D63" w:rsidP="00860E28">
      <w:pPr>
        <w:keepNext/>
        <w:keepLines/>
        <w:spacing w:after="159" w:line="270" w:lineRule="exact"/>
        <w:ind w:left="20"/>
        <w:outlineLvl w:val="0"/>
        <w:rPr>
          <w:rFonts w:ascii="Calibri" w:eastAsia="Calibri" w:hAnsi="Calibri" w:cs="Calibri"/>
          <w:b/>
          <w:bCs/>
          <w:color w:val="000000"/>
          <w:sz w:val="28"/>
          <w:szCs w:val="28"/>
          <w:lang w:val="pl" w:eastAsia="pl-PL"/>
        </w:rPr>
      </w:pPr>
      <w:bookmarkStart w:id="2" w:name="bookmark5"/>
      <w:r w:rsidRPr="00140FB9">
        <w:rPr>
          <w:rFonts w:ascii="Calibri" w:eastAsia="Calibri" w:hAnsi="Calibri" w:cs="Calibri"/>
          <w:b/>
          <w:bCs/>
          <w:color w:val="000000"/>
          <w:sz w:val="28"/>
          <w:szCs w:val="28"/>
          <w:lang w:val="pl" w:eastAsia="pl-PL"/>
        </w:rPr>
        <w:t>Pouczenie:</w:t>
      </w:r>
      <w:bookmarkEnd w:id="2"/>
    </w:p>
    <w:p w14:paraId="28D5E548" w14:textId="3FDA7D96" w:rsidR="00DD5516" w:rsidRPr="00DD5516" w:rsidRDefault="00EF6D63" w:rsidP="00860E28">
      <w:pPr>
        <w:spacing w:line="276" w:lineRule="auto"/>
        <w:ind w:left="20" w:right="240"/>
        <w:rPr>
          <w:rFonts w:eastAsia="Times New Roman"/>
          <w:i/>
          <w:sz w:val="24"/>
          <w:szCs w:val="24"/>
          <w:lang w:eastAsia="pl-PL"/>
        </w:rPr>
      </w:pPr>
      <w:r w:rsidRPr="00EF6D63">
        <w:rPr>
          <w:rFonts w:ascii="Calibri" w:eastAsia="Calibri" w:hAnsi="Calibri" w:cs="Calibri"/>
          <w:color w:val="000000"/>
          <w:sz w:val="24"/>
          <w:szCs w:val="24"/>
          <w:lang w:val="pl" w:eastAsia="pl-PL"/>
        </w:rPr>
        <w:t>O</w:t>
      </w:r>
      <w:r w:rsidR="00E96D5A">
        <w:rPr>
          <w:rFonts w:ascii="Calibri" w:eastAsia="Calibri" w:hAnsi="Calibri" w:cs="Calibri"/>
          <w:color w:val="000000"/>
          <w:sz w:val="24"/>
          <w:szCs w:val="24"/>
          <w:lang w:val="pl" w:eastAsia="pl-PL"/>
        </w:rPr>
        <w:t>d niniejszego orzeczenia środek zaskarżenia nie przysługuje.</w:t>
      </w:r>
      <w:r w:rsidR="00860E28" w:rsidRPr="00DD5516">
        <w:rPr>
          <w:rFonts w:eastAsia="Times New Roman"/>
          <w:i/>
          <w:sz w:val="24"/>
          <w:szCs w:val="24"/>
          <w:lang w:eastAsia="pl-PL"/>
        </w:rPr>
        <w:t xml:space="preserve"> </w:t>
      </w:r>
    </w:p>
    <w:p w14:paraId="3C4E182A" w14:textId="77777777" w:rsidR="006639FF" w:rsidRPr="00860E28" w:rsidRDefault="006639FF" w:rsidP="00860E28">
      <w:pPr>
        <w:pStyle w:val="Nagwek2"/>
        <w:spacing w:after="240"/>
        <w:rPr>
          <w:b/>
        </w:rPr>
      </w:pPr>
      <w:r w:rsidRPr="00860E28">
        <w:rPr>
          <w:b/>
        </w:rPr>
        <w:t>UZASADNIENIE</w:t>
      </w:r>
    </w:p>
    <w:p w14:paraId="1B01C9C5" w14:textId="6006DCFB" w:rsidR="006639FF" w:rsidRPr="006639FF" w:rsidRDefault="006639FF" w:rsidP="00860E28">
      <w:pPr>
        <w:spacing w:before="120"/>
        <w:ind w:right="45"/>
        <w:rPr>
          <w:sz w:val="24"/>
          <w:szCs w:val="24"/>
        </w:rPr>
      </w:pPr>
      <w:r w:rsidRPr="006639FF">
        <w:rPr>
          <w:sz w:val="24"/>
          <w:szCs w:val="24"/>
        </w:rPr>
        <w:t xml:space="preserve">Postepowanie wyjaśniające wobec Obwinionego – Pana </w:t>
      </w:r>
      <w:r w:rsidR="00D629CD">
        <w:rPr>
          <w:sz w:val="24"/>
          <w:szCs w:val="24"/>
        </w:rPr>
        <w:t>(...)</w:t>
      </w:r>
      <w:r w:rsidRPr="006639FF">
        <w:rPr>
          <w:sz w:val="24"/>
          <w:szCs w:val="24"/>
        </w:rPr>
        <w:t xml:space="preserve"> zostało wszczęte przez Zastępcę Rzecznika Dyscypliny Finansów Publicznych właściwego w sprawach rozpoznawanych przez Regionalną Komisję Orzekającą w sprawach o naruszenie dyscypliny finansów publicznych przy Regionalnej Izbie Obrachunkowej w Rzeszowie (zwanego dalej Zastępcą Rzecznika), w związku z otrzymaniem przez niego zawiadomień o ujawnionych okolicznościach wskazujących na naruszenie dyscypliny finansów publicznych od Starosty Powiatu Dębickiego (pismo z 20 lipca 2020 r., znak: BF.3250.1.2020) oraz Prezesa Regionalnej Izby Obrachunkowej w Rzeszowie (pismo z 20 września 2020 r., znak: WA/426/5/2020).</w:t>
      </w:r>
    </w:p>
    <w:p w14:paraId="2EA63B1F" w14:textId="14B4F478" w:rsidR="006639FF" w:rsidRPr="006639FF" w:rsidRDefault="006639FF" w:rsidP="00860E28">
      <w:pPr>
        <w:spacing w:before="120"/>
        <w:ind w:right="45"/>
        <w:rPr>
          <w:sz w:val="24"/>
          <w:szCs w:val="24"/>
        </w:rPr>
      </w:pPr>
      <w:r w:rsidRPr="006639FF">
        <w:rPr>
          <w:sz w:val="24"/>
          <w:szCs w:val="24"/>
        </w:rPr>
        <w:t xml:space="preserve">Po przeprowadzeniu postępowania wyjaśniającego Zastępca Rzecznika skierował do Regionalnej Komisji Orzekającej w sprawach o naruszenie dyscypliny finansów publicznych przy Regionalnej Izbie Obrachunkowej w Rzeszowie (dalej zwanej również „RKO”) wniosek z 31 grudnia 2020 r. (znak: RD/431/31/2020) o przypisanie </w:t>
      </w:r>
      <w:r w:rsidR="00D629CD">
        <w:rPr>
          <w:sz w:val="24"/>
          <w:szCs w:val="24"/>
        </w:rPr>
        <w:t>(...)</w:t>
      </w:r>
      <w:r w:rsidRPr="006639FF">
        <w:rPr>
          <w:sz w:val="24"/>
          <w:szCs w:val="24"/>
        </w:rPr>
        <w:t xml:space="preserve"> odpowiedzialności w związku z naruszeniem przez niego dyscypliny finansów publicznych w rozumieniu:</w:t>
      </w:r>
    </w:p>
    <w:p w14:paraId="3A36E2B6" w14:textId="577E12CE" w:rsidR="006639FF" w:rsidRPr="006639FF" w:rsidRDefault="006639FF" w:rsidP="00860E28">
      <w:pPr>
        <w:pStyle w:val="Akapitzlist"/>
        <w:numPr>
          <w:ilvl w:val="0"/>
          <w:numId w:val="42"/>
        </w:numPr>
        <w:spacing w:before="120"/>
        <w:ind w:right="45"/>
        <w:rPr>
          <w:sz w:val="24"/>
          <w:szCs w:val="24"/>
        </w:rPr>
      </w:pPr>
      <w:r w:rsidRPr="006639FF">
        <w:rPr>
          <w:sz w:val="24"/>
          <w:szCs w:val="24"/>
        </w:rPr>
        <w:t xml:space="preserve">art. 14 pkt 1, 2 i 3 ustawy z dnia 17 grudnia 2004 r. o odpowiedzialności za naruszenie dyscypliny finansów publicznych (zwanej dalej uondfp), polegającym na nieopłaceniu przez jednostkę sektora finansów publicznych działającą w formie samodzielnego publicznego zakładu opieki zdrowotnej, składek na ubezpieczenie społeczne, ubezpieczenie zdrowotne i Fundusz Pracy w terminach ustalonych przepisami odpowiednio: art. 47 ust. 1 pkt 3 ustawy o systemie ubezpieczeń </w:t>
      </w:r>
      <w:r w:rsidRPr="006639FF">
        <w:rPr>
          <w:sz w:val="24"/>
          <w:szCs w:val="24"/>
        </w:rPr>
        <w:lastRenderedPageBreak/>
        <w:t xml:space="preserve">społecznych, art. 87 ust. 1 ustawy z dnia 27 sierpnia 2004 r. o świadczeniach opieki zdrowotnej finansowych ze środków publicznych, art. 107 ust. 1 ustawy z dnia 20 kwietnia 2004 r. o promocji zatrudnienia i instytucjach rynku pracy, </w:t>
      </w:r>
    </w:p>
    <w:p w14:paraId="66A440C6" w14:textId="1AA45928" w:rsidR="006639FF" w:rsidRPr="006639FF" w:rsidRDefault="006639FF" w:rsidP="00860E28">
      <w:pPr>
        <w:pStyle w:val="Akapitzlist"/>
        <w:numPr>
          <w:ilvl w:val="0"/>
          <w:numId w:val="42"/>
        </w:numPr>
        <w:spacing w:before="120"/>
        <w:ind w:right="45"/>
        <w:rPr>
          <w:sz w:val="24"/>
          <w:szCs w:val="24"/>
        </w:rPr>
      </w:pPr>
      <w:r w:rsidRPr="006639FF">
        <w:rPr>
          <w:sz w:val="24"/>
          <w:szCs w:val="24"/>
        </w:rPr>
        <w:t>art. 16 ust. 1 uondfp polegających na nieterminowym wykonaniu w latach 2017-2019 zobowiązań pieniężnych z tytułu dostaw i usług, skutkującym zapłatą odsetek od nieterminowych płatności, co stanowi naruszenie art. 44 ust. 3 pkt 3 ustawy z dnia 27 sierpnia 2009 r. o finansach publicznych.</w:t>
      </w:r>
    </w:p>
    <w:p w14:paraId="4655D1E8" w14:textId="77777777" w:rsidR="006639FF" w:rsidRPr="006639FF" w:rsidRDefault="006639FF" w:rsidP="00860E28">
      <w:pPr>
        <w:spacing w:before="120"/>
        <w:ind w:right="45"/>
        <w:rPr>
          <w:sz w:val="24"/>
          <w:szCs w:val="24"/>
        </w:rPr>
      </w:pPr>
      <w:r w:rsidRPr="006639FF">
        <w:rPr>
          <w:sz w:val="24"/>
          <w:szCs w:val="24"/>
        </w:rPr>
        <w:t xml:space="preserve">Rzecznik wniósł o wymierzenie Obwinionemu kary upomnienia i uzasadnił wniosek o ukaranie. </w:t>
      </w:r>
    </w:p>
    <w:p w14:paraId="65629349" w14:textId="07DA91B5" w:rsidR="006639FF" w:rsidRPr="006639FF" w:rsidRDefault="006639FF" w:rsidP="00860E28">
      <w:pPr>
        <w:spacing w:before="120"/>
        <w:ind w:right="45"/>
        <w:rPr>
          <w:sz w:val="24"/>
          <w:szCs w:val="24"/>
        </w:rPr>
      </w:pPr>
      <w:r w:rsidRPr="006639FF">
        <w:rPr>
          <w:sz w:val="24"/>
          <w:szCs w:val="24"/>
        </w:rPr>
        <w:t xml:space="preserve">Orzeczeniem z dnia 15 kwietnia 2021 r. (Sygn. akt 4010/3/2021), na podstawie art. 78 ust. 1 pkt 2 i ust. 3 w związku z art. 19 ust. 2 uondfp, RKO uniewinniła Pana </w:t>
      </w:r>
      <w:r w:rsidR="00D629CD">
        <w:rPr>
          <w:sz w:val="24"/>
          <w:szCs w:val="24"/>
        </w:rPr>
        <w:t>(...)</w:t>
      </w:r>
      <w:r w:rsidRPr="006639FF">
        <w:rPr>
          <w:sz w:val="24"/>
          <w:szCs w:val="24"/>
        </w:rPr>
        <w:t xml:space="preserve"> – pełniącego funkcję Dyrektora Naczelnego Zespołu Opieki Zdrowotnej w </w:t>
      </w:r>
      <w:r w:rsidR="00D629CD">
        <w:rPr>
          <w:sz w:val="24"/>
          <w:szCs w:val="24"/>
        </w:rPr>
        <w:t>(...)</w:t>
      </w:r>
      <w:r w:rsidRPr="006639FF">
        <w:rPr>
          <w:sz w:val="24"/>
          <w:szCs w:val="24"/>
        </w:rPr>
        <w:t>, od wskazanych wyżej zarzutów naruszenia dyscypliny finansów publicznych. Zgodnie z art. 167 ust. 2 uondfp kosztami postępowania obciążono Skarb Państwa.</w:t>
      </w:r>
    </w:p>
    <w:p w14:paraId="11B947D7" w14:textId="1FDEBBA3" w:rsidR="006639FF" w:rsidRPr="006639FF" w:rsidRDefault="006639FF" w:rsidP="00860E28">
      <w:pPr>
        <w:spacing w:before="120"/>
        <w:ind w:right="45"/>
        <w:rPr>
          <w:sz w:val="24"/>
          <w:szCs w:val="24"/>
        </w:rPr>
      </w:pPr>
      <w:r w:rsidRPr="006639FF">
        <w:rPr>
          <w:sz w:val="24"/>
          <w:szCs w:val="24"/>
        </w:rPr>
        <w:t xml:space="preserve">Na podstawie zgromadzonego w sprawie materiału dowodowego RKO uznała, że powyższe czyny wyczerpują znamiona naruszenia dyscypliny finansów publicznych z art. 14 pkt 1, 2 i </w:t>
      </w:r>
      <w:r>
        <w:rPr>
          <w:sz w:val="24"/>
          <w:szCs w:val="24"/>
        </w:rPr>
        <w:t>3 oraz z art. 16 ust. 1 uondfp</w:t>
      </w:r>
      <w:r w:rsidRPr="006639FF">
        <w:rPr>
          <w:sz w:val="24"/>
          <w:szCs w:val="24"/>
        </w:rPr>
        <w:t>, stwierdzając, że : „…naruszeniem dyscypliny finansów publicznych jest odpowiednio nieopłacenie w terminie przez jednostkę sektora finansów publicznych składek na ubezpieczenie społeczne, składek na ubezpieczenie zdrowotne i składek na Fundusz Pracy oraz niewykonanie w terminie zobowiązania jednostki sektora finansów publicznych, którego skutkiem jest zapłata odsetek. Działanie określone w art. 14 pkt 1, 2 i 3 narusza postanowienia art. 47 ust. 1 pkt 3 ustawy z dnia 13 października 1998 r. o systemie ubezpieczeń społecznych, art. 87 ust. 1 ustawy z dnia 27 sierpnia 2004 r. o świadczeniach opieki zdrowotnej finansowanych ze środków publicznych i art. 107 ust. 1 ustawy z dnia 20 kwietnia 2004 r. o promocji zatrudnienia i instytucjach rynku pracy. Z kolei działanie określone w art. 16 ust. 1 narusza postanowienia art. 44 ust. 3 pkt 3 ustawy o finansach publicznych, który stanowi, że wydatki publiczne powinny być dokonywane w wysokości i terminach wynikających z wcześniej zaciągniętych zobowiązań.” Jednocześnie RKO dała wiarę wyjaśnieniom Obwinionego, zarówno złożonym podczas rozprawy, jak i przedstawionym w przedłożonych pismach w sprawie, odnośnie do trudnej sytuacji finansowej zarządzanej przez niego jednostki. RKO przytoczyła przy tym czynniki - w ocenie Obwinionego od niego niezależne - świadczące o niemożności wywiązania się przez Szpital ze wszystkich zobowiązań, w tym tych, których termin płatności wynikał z przepisów prawa.</w:t>
      </w:r>
    </w:p>
    <w:p w14:paraId="0C05C14D" w14:textId="77777777" w:rsidR="006639FF" w:rsidRPr="006639FF" w:rsidRDefault="006639FF" w:rsidP="00860E28">
      <w:pPr>
        <w:spacing w:before="120"/>
        <w:ind w:right="45"/>
        <w:rPr>
          <w:sz w:val="24"/>
          <w:szCs w:val="24"/>
        </w:rPr>
      </w:pPr>
      <w:r w:rsidRPr="006639FF">
        <w:rPr>
          <w:sz w:val="24"/>
          <w:szCs w:val="24"/>
        </w:rPr>
        <w:t>Wskazane przez RKO w uzasadnieniu uwarunkowania działalności Szpitala to w szczególności:</w:t>
      </w:r>
    </w:p>
    <w:p w14:paraId="53D5514E" w14:textId="358AB1DE" w:rsidR="006639FF" w:rsidRDefault="006639FF" w:rsidP="00860E28">
      <w:pPr>
        <w:pStyle w:val="Akapitzlist"/>
        <w:numPr>
          <w:ilvl w:val="0"/>
          <w:numId w:val="43"/>
        </w:numPr>
        <w:spacing w:before="120"/>
        <w:ind w:right="45"/>
        <w:rPr>
          <w:sz w:val="24"/>
          <w:szCs w:val="24"/>
        </w:rPr>
      </w:pPr>
      <w:r w:rsidRPr="0024387A">
        <w:rPr>
          <w:sz w:val="24"/>
          <w:szCs w:val="24"/>
        </w:rPr>
        <w:t xml:space="preserve">fakt, iż środki otrzymywane z NFZ w związku z realizacją zakontraktowanych procedur nie odpowiadają rzeczywistemu kosztowi ich wykonywania, dodatkowo niekorzystny dla Szpitala jest mechanizm finansowania, tzw. nadwykonań; </w:t>
      </w:r>
    </w:p>
    <w:p w14:paraId="756A7D8B" w14:textId="2D53D076" w:rsidR="006639FF" w:rsidRPr="0024387A" w:rsidRDefault="006639FF" w:rsidP="00860E28">
      <w:pPr>
        <w:pStyle w:val="Akapitzlist"/>
        <w:numPr>
          <w:ilvl w:val="0"/>
          <w:numId w:val="43"/>
        </w:numPr>
        <w:spacing w:before="120"/>
        <w:ind w:right="45"/>
        <w:rPr>
          <w:sz w:val="24"/>
          <w:szCs w:val="24"/>
        </w:rPr>
      </w:pPr>
      <w:r w:rsidRPr="00971E04">
        <w:rPr>
          <w:sz w:val="24"/>
          <w:szCs w:val="24"/>
        </w:rPr>
        <w:t xml:space="preserve">konieczność poniesienia wydatków na dostosowanie pomieszczeń i urządzeń do wymogów rozporządzenia Ministra Zdrowia w sprawie szczegółowych wymagań jakim powinny odpowiadać budynki, pomieszczenia i urządzenia podmiotu </w:t>
      </w:r>
      <w:r w:rsidRPr="00971E04">
        <w:rPr>
          <w:sz w:val="24"/>
          <w:szCs w:val="24"/>
        </w:rPr>
        <w:lastRenderedPageBreak/>
        <w:t>wykonującego działalność leczniczą; w tym celu Szpital zaciągnął kredyt, który jest spłacany;</w:t>
      </w:r>
    </w:p>
    <w:p w14:paraId="595E0181" w14:textId="05D5FFE2" w:rsidR="006639FF" w:rsidRPr="0024387A" w:rsidRDefault="006639FF" w:rsidP="00860E28">
      <w:pPr>
        <w:pStyle w:val="Akapitzlist"/>
        <w:numPr>
          <w:ilvl w:val="0"/>
          <w:numId w:val="43"/>
        </w:numPr>
        <w:spacing w:before="120"/>
        <w:ind w:right="45"/>
        <w:rPr>
          <w:sz w:val="24"/>
          <w:szCs w:val="24"/>
        </w:rPr>
      </w:pPr>
      <w:r w:rsidRPr="0024387A">
        <w:rPr>
          <w:sz w:val="24"/>
          <w:szCs w:val="24"/>
        </w:rPr>
        <w:t>fakt, iż najistotniejszą pozycją wydatkową związaną z funkcjonowaniem placówki są wynagrodzenia i pochodne, szczególnie biorąc pod uwagę wzrost wydatków związanych z zatrudnieniem (wzrost minimalnych wynagrodzeń oraz ustawowy wzrost wynagrodzeń pracowników medycznych i pracowników zatrudnionych w podmiotach leczniczych);</w:t>
      </w:r>
    </w:p>
    <w:p w14:paraId="066C9F1D" w14:textId="1682C063" w:rsidR="006639FF" w:rsidRPr="0024387A" w:rsidRDefault="006639FF" w:rsidP="00860E28">
      <w:pPr>
        <w:pStyle w:val="Akapitzlist"/>
        <w:numPr>
          <w:ilvl w:val="0"/>
          <w:numId w:val="45"/>
        </w:numPr>
        <w:spacing w:before="120"/>
        <w:ind w:right="45"/>
        <w:rPr>
          <w:sz w:val="24"/>
          <w:szCs w:val="24"/>
        </w:rPr>
      </w:pPr>
      <w:r w:rsidRPr="0024387A">
        <w:rPr>
          <w:sz w:val="24"/>
          <w:szCs w:val="24"/>
        </w:rPr>
        <w:t xml:space="preserve">funkcjonowanie na rynku usług medycznych prywatnych jednostek, które wyspecjalizowały się w realizacji procedur korzystnie wycenianych przez NFZ; jednocześnie ZOZ w </w:t>
      </w:r>
      <w:r w:rsidR="00D629CD">
        <w:rPr>
          <w:sz w:val="24"/>
          <w:szCs w:val="24"/>
        </w:rPr>
        <w:t>(...)</w:t>
      </w:r>
      <w:r w:rsidRPr="0024387A">
        <w:rPr>
          <w:sz w:val="24"/>
          <w:szCs w:val="24"/>
        </w:rPr>
        <w:t xml:space="preserve"> - jako szpital publiczny obsługujący cały Powiat – zobowiązany jest przyjmować wszystkie przypadki, także te mniej opłacalne z punktu widzenia wyceny świadczeń opieki zdrowotnej;</w:t>
      </w:r>
    </w:p>
    <w:p w14:paraId="1020C892" w14:textId="77777777" w:rsidR="006639FF" w:rsidRPr="0024387A" w:rsidRDefault="006639FF" w:rsidP="00860E28">
      <w:pPr>
        <w:pStyle w:val="Akapitzlist"/>
        <w:numPr>
          <w:ilvl w:val="0"/>
          <w:numId w:val="45"/>
        </w:numPr>
        <w:spacing w:before="120"/>
        <w:ind w:right="45"/>
        <w:rPr>
          <w:sz w:val="24"/>
          <w:szCs w:val="24"/>
        </w:rPr>
      </w:pPr>
      <w:r w:rsidRPr="0024387A">
        <w:rPr>
          <w:sz w:val="24"/>
          <w:szCs w:val="24"/>
        </w:rPr>
        <w:t>- nieściągalność należności od pacjentów nieubezpieczonych, pacjentów o nieustalonym miejscu pobytu oraz obcokrajowców oraz rosnący koszt realizacji procedur medycznych i outsourcingu (usługi pralnicze czy informatyczne) oraz dynamiczny przyrost wydatków (np. energii elektrycznej, gazu, wody).</w:t>
      </w:r>
    </w:p>
    <w:p w14:paraId="54BB42E2" w14:textId="77777777" w:rsidR="006639FF" w:rsidRPr="006639FF" w:rsidRDefault="006639FF" w:rsidP="00860E28">
      <w:pPr>
        <w:spacing w:before="120"/>
        <w:ind w:right="45"/>
        <w:rPr>
          <w:sz w:val="24"/>
          <w:szCs w:val="24"/>
        </w:rPr>
      </w:pPr>
      <w:r w:rsidRPr="006639FF">
        <w:rPr>
          <w:sz w:val="24"/>
          <w:szCs w:val="24"/>
        </w:rPr>
        <w:t xml:space="preserve">Ujęte przez RKO w uzasadnieniu orzeczenia uniewinniającego działania mające świadczyć o dołożeniu staranności wymaganej na danym stanowisku to w szczególności: ustalenie kolejności dokonywania płatności (jednym z zastosowanych kryteriów w odniesieniu do dostawców było uniknięcie potencjalnego zaprzestania dostaw), zawieranie porozumień z kontrahentami w celu przesunięcia płatności lub umorzenia odsetek. RKO przytoczyła również wyjaśnienia Obwinionego, iż opóźnienia w regulowaniu zobowiązań wobec ZUS, stanowiły wybór tzw. mniejszego zła. Dodatkowo, w celu uporządkowania tego obszaru, zawierane były porozumienia z ZUS celem odłożenia płatności w czasie. </w:t>
      </w:r>
    </w:p>
    <w:p w14:paraId="2F01BAA2" w14:textId="5BFA93DE" w:rsidR="006639FF" w:rsidRPr="006639FF" w:rsidRDefault="006639FF" w:rsidP="00860E28">
      <w:pPr>
        <w:spacing w:before="120"/>
        <w:ind w:right="45"/>
        <w:rPr>
          <w:sz w:val="24"/>
          <w:szCs w:val="24"/>
        </w:rPr>
      </w:pPr>
      <w:r w:rsidRPr="006639FF">
        <w:rPr>
          <w:sz w:val="24"/>
          <w:szCs w:val="24"/>
        </w:rPr>
        <w:t xml:space="preserve">W ocenie RKO, trudna sytuacja finansowa Szpitala oraz działania Obwinionego podjęte w celu minimalizacji negatywnych skutków finansowych (przy uwzględnieniu specyfiki działania szpitala jako placówki powołanej dla ratowanie zdrowia i życia ludzi), dowodzą tego, iż Obwiniony wykazał się starannością wymaganą od niego w sytuacji, w jakiej znalazła się kierowana przez niego placówka. Podejmowane przez Obwinionego działania okazały się jednak niewystarczające, naruszenia prawa nie można było uniknąć, w związku z czym </w:t>
      </w:r>
      <w:r>
        <w:rPr>
          <w:sz w:val="24"/>
          <w:szCs w:val="24"/>
        </w:rPr>
        <w:t>RKO</w:t>
      </w:r>
      <w:r w:rsidRPr="006639FF">
        <w:rPr>
          <w:sz w:val="24"/>
          <w:szCs w:val="24"/>
        </w:rPr>
        <w:t xml:space="preserve"> nie </w:t>
      </w:r>
      <w:r>
        <w:rPr>
          <w:sz w:val="24"/>
          <w:szCs w:val="24"/>
        </w:rPr>
        <w:t>mogła</w:t>
      </w:r>
      <w:r w:rsidRPr="006639FF">
        <w:rPr>
          <w:sz w:val="24"/>
          <w:szCs w:val="24"/>
        </w:rPr>
        <w:t xml:space="preserve"> wskazać wzorca prawidłowego zachowania w rozpatrywanej sprawie.</w:t>
      </w:r>
    </w:p>
    <w:p w14:paraId="7061AD38" w14:textId="21112663" w:rsidR="006639FF" w:rsidRPr="006639FF" w:rsidRDefault="006639FF" w:rsidP="00860E28">
      <w:pPr>
        <w:spacing w:before="120"/>
        <w:ind w:right="45"/>
        <w:rPr>
          <w:sz w:val="24"/>
          <w:szCs w:val="24"/>
        </w:rPr>
      </w:pPr>
      <w:r w:rsidRPr="006639FF">
        <w:rPr>
          <w:sz w:val="24"/>
          <w:szCs w:val="24"/>
        </w:rPr>
        <w:t xml:space="preserve">Dokonana analiza doprowadziła skład orzekający </w:t>
      </w:r>
      <w:r>
        <w:rPr>
          <w:sz w:val="24"/>
          <w:szCs w:val="24"/>
        </w:rPr>
        <w:t xml:space="preserve">RKO </w:t>
      </w:r>
      <w:r w:rsidRPr="006639FF">
        <w:rPr>
          <w:sz w:val="24"/>
          <w:szCs w:val="24"/>
        </w:rPr>
        <w:t xml:space="preserve">do przekonania, zgodnie z którym, w świetle art. 19. ust. 2 uondfp, nie można było przypisać Obwinionemu winy za czyny wskazane we wniosku o ukaranie. W ocenie </w:t>
      </w:r>
      <w:r>
        <w:rPr>
          <w:sz w:val="24"/>
          <w:szCs w:val="24"/>
        </w:rPr>
        <w:t>RKO</w:t>
      </w:r>
      <w:r w:rsidRPr="006639FF">
        <w:rPr>
          <w:sz w:val="24"/>
          <w:szCs w:val="24"/>
        </w:rPr>
        <w:t xml:space="preserve">, na postawie art. 78 ust. 1 pkt 2 i ust. 3 uondfp, w zarzucanych czynach brak znamion naruszenia dyscypliny finansów publicznych, w związku z brakiem winy Pana </w:t>
      </w:r>
      <w:r w:rsidR="00D629CD">
        <w:rPr>
          <w:sz w:val="24"/>
          <w:szCs w:val="24"/>
        </w:rPr>
        <w:t>(...)</w:t>
      </w:r>
      <w:r w:rsidRPr="006639FF">
        <w:rPr>
          <w:sz w:val="24"/>
          <w:szCs w:val="24"/>
        </w:rPr>
        <w:t xml:space="preserve">. </w:t>
      </w:r>
    </w:p>
    <w:p w14:paraId="6E3F2B69" w14:textId="079BED1F" w:rsidR="006639FF" w:rsidRPr="006639FF" w:rsidRDefault="006639FF" w:rsidP="00860E28">
      <w:pPr>
        <w:spacing w:before="120"/>
        <w:ind w:right="45"/>
        <w:rPr>
          <w:sz w:val="24"/>
          <w:szCs w:val="24"/>
        </w:rPr>
      </w:pPr>
      <w:r w:rsidRPr="006639FF">
        <w:rPr>
          <w:sz w:val="24"/>
          <w:szCs w:val="24"/>
        </w:rPr>
        <w:t>Zastępca Rzecznika , działając na podstawie art. 137 ust. 5 uondfp, złożył odwołanie od powyższego orzeczenia.  Orzeczeniu zarzucił „obrazę art. 19 us</w:t>
      </w:r>
      <w:r>
        <w:rPr>
          <w:sz w:val="24"/>
          <w:szCs w:val="24"/>
        </w:rPr>
        <w:t>t</w:t>
      </w:r>
      <w:r w:rsidRPr="006639FF">
        <w:rPr>
          <w:sz w:val="24"/>
          <w:szCs w:val="24"/>
        </w:rPr>
        <w:t>. 2 uondfp poprzez uznanie, że Obwiniony nie miał możliwości zachowania się zgodnego z normą ustawową oraz że dołożył należytej staranności w celu uniknięcia naruszenia dyscypliny finansów publicznych.”, wnosząc jednocześnie o przekazanie sprawy do ponownego rozpatrzenia.</w:t>
      </w:r>
    </w:p>
    <w:p w14:paraId="087154E8" w14:textId="77777777" w:rsidR="006639FF" w:rsidRPr="006639FF" w:rsidRDefault="006639FF" w:rsidP="00860E28">
      <w:pPr>
        <w:spacing w:before="120"/>
        <w:ind w:right="45"/>
        <w:rPr>
          <w:sz w:val="24"/>
          <w:szCs w:val="24"/>
        </w:rPr>
      </w:pPr>
      <w:r w:rsidRPr="006639FF">
        <w:rPr>
          <w:sz w:val="24"/>
          <w:szCs w:val="24"/>
        </w:rPr>
        <w:lastRenderedPageBreak/>
        <w:t xml:space="preserve">Zdaniem Zastępcy Rzecznika nieprawidłowa jest dokonana przez RKO ocena dochowania przez Obwinionego należytej staranności przy wykonywaniu powierzonych mu obowiązków. </w:t>
      </w:r>
    </w:p>
    <w:p w14:paraId="7ED30233" w14:textId="77777777" w:rsidR="006639FF" w:rsidRPr="006639FF" w:rsidRDefault="006639FF" w:rsidP="00860E28">
      <w:pPr>
        <w:spacing w:before="120"/>
        <w:ind w:right="45"/>
        <w:rPr>
          <w:sz w:val="24"/>
          <w:szCs w:val="24"/>
        </w:rPr>
      </w:pPr>
      <w:r w:rsidRPr="006639FF">
        <w:rPr>
          <w:sz w:val="24"/>
          <w:szCs w:val="24"/>
        </w:rPr>
        <w:t xml:space="preserve">Zastępca Rzecznika przedstawił następujące argumenty swojego twierdzenia. </w:t>
      </w:r>
    </w:p>
    <w:p w14:paraId="00084808" w14:textId="4603E6B3" w:rsidR="006639FF" w:rsidRPr="006639FF" w:rsidRDefault="006639FF" w:rsidP="00860E28">
      <w:pPr>
        <w:spacing w:before="120"/>
        <w:ind w:right="45"/>
        <w:rPr>
          <w:sz w:val="24"/>
          <w:szCs w:val="24"/>
        </w:rPr>
      </w:pPr>
      <w:r w:rsidRPr="006639FF">
        <w:rPr>
          <w:sz w:val="24"/>
          <w:szCs w:val="24"/>
        </w:rPr>
        <w:t>W odniesieniu do zarzutów dotyczących składek na ubezpieczenie społeczne, ubezpieczenie zdrowotne oraz Fundusz Pracy, wskazał, iż: „Obwiniony nie płacił części składek na ubezpieczenie społeczne, ubezpieczenie zdrowotne oraz Fundusz Pracy w ustawowych terminach. Jak wyjaśniał, decydując o opóźnieniu regulowania zobowiązań wobec ZUS wybierał „mniejsze zło", gdyż poprzez zawieranie ugód oraz układów ratalnych z ZUS następuje rozłożenie płatności w czasie, naliczane odsetki i opłaty prolongacyjne z tytułu przesunięcia terminów płatności składek są znacząco mniejsze niż odsetki naliczane przez kontrahentów, dlatego umowy podpisywane z ZUS „kosztują mniej" niż umowy z kontrahentami [karta 205]. Należy tu podkreślić, że zgodnie z orzecznictwem nie dochodzi do naruszenia dyscypliny finansów publicznych, jeżeli w wyniku zawarcie umowy z Zakładem Ubezpieczeń Społecznych określone zostały inne niż ustawowe terminy zapłaty składek, a terminy umowne zostały dotrzymane. Zarzuty sformułowane we wniosku o ukaranie dotyczyły czynów polegających na nieterminowym płaceniu składek bez umowy.</w:t>
      </w:r>
    </w:p>
    <w:p w14:paraId="58C004CA" w14:textId="5064A3AA" w:rsidR="006639FF" w:rsidRPr="006639FF" w:rsidRDefault="006639FF" w:rsidP="00860E28">
      <w:pPr>
        <w:spacing w:before="120"/>
        <w:ind w:right="45"/>
        <w:rPr>
          <w:sz w:val="24"/>
          <w:szCs w:val="24"/>
        </w:rPr>
      </w:pPr>
      <w:r w:rsidRPr="006639FF">
        <w:rPr>
          <w:sz w:val="24"/>
          <w:szCs w:val="24"/>
        </w:rPr>
        <w:t>Nieterminowego przekazywania składek od wynagrodzeń, trwającego kilka miesięcy, nie mogą usprawiedliwiać trudności finansowe Zespołu. Zapłata składek jest wydatkiem przewidywalnym, planowanym i cyklicznym - również przy uwzględnieniu wzrostu wynagrodzeń minimalnych oraz wzrostu wynagrodzeń pracowników medycznych i pracowników zatrudnionych w podmiotach leczniczych - niedopuszczalne jest łamanie ustawowego obowiązku poprzez przyjęcie polityki w zakresie płatności zobowiązań niezgodnej z przepisami prawa.”</w:t>
      </w:r>
    </w:p>
    <w:p w14:paraId="5984A7D4" w14:textId="0E27F93A" w:rsidR="006639FF" w:rsidRPr="006639FF" w:rsidRDefault="006639FF" w:rsidP="00860E28">
      <w:pPr>
        <w:spacing w:before="120"/>
        <w:ind w:right="45"/>
        <w:rPr>
          <w:sz w:val="24"/>
          <w:szCs w:val="24"/>
        </w:rPr>
      </w:pPr>
      <w:r w:rsidRPr="006639FF">
        <w:rPr>
          <w:sz w:val="24"/>
          <w:szCs w:val="24"/>
        </w:rPr>
        <w:t>W odniesieniu do sposobu regulowania zobowiązań, który skutkował koniecznością zapłaty odsetek Zastępca Rzecznika zauważył, iż przyjęty w jednostce sposób regulowania zobowiązań zakładający zapłatę określonego rodzaju zobowiązań po terminie</w:t>
      </w:r>
      <w:r w:rsidR="006B1E15">
        <w:rPr>
          <w:sz w:val="24"/>
          <w:szCs w:val="24"/>
        </w:rPr>
        <w:t>,</w:t>
      </w:r>
      <w:r w:rsidRPr="006639FF">
        <w:rPr>
          <w:sz w:val="24"/>
          <w:szCs w:val="24"/>
        </w:rPr>
        <w:t xml:space="preserve">  tj. z koniecznością zapłaty odsetek, nie może stanowić okoliczności wyłączającej odpowiedzialność obwinionego za zaistniałe naruszenia. Zgodnie z ustaloną kolejnością regulowania, wydatki niezbędne z punktu widzenia działalności statutowej szpitala tj. z tytułu dostaw leków, materiałów medycznych i żywności, umieszczane były na ostatnich pozycjach - zdaniem Zastępcy Rzecznika oznaczało to godzenie się na zapłatę po terminie płatności i związane z tym naliczanie przez wierzycieli odsetek, a także możliwość dochodzenia przez nich opłat z tytułu rekompensaty za koszty odzyskiwania należności. „Dodatkowo stosowanie przyjętej w Zespole metody regulowania zobowiązań - zakładającej płacenie zobowiązań z tytułu dostaw towarów i usług po terminach z uiszczeniem odsetek za zwłokę - nie było skuteczne, ponieważ nie wywołało pozytywnego skutku w postaci terminowego regulowania składek od wynagrodzeń.”</w:t>
      </w:r>
    </w:p>
    <w:p w14:paraId="51274D73" w14:textId="77777777" w:rsidR="006639FF" w:rsidRPr="006639FF" w:rsidRDefault="006639FF" w:rsidP="00860E28">
      <w:pPr>
        <w:spacing w:before="120"/>
        <w:ind w:right="45"/>
        <w:rPr>
          <w:sz w:val="24"/>
          <w:szCs w:val="24"/>
        </w:rPr>
      </w:pPr>
      <w:r w:rsidRPr="006639FF">
        <w:rPr>
          <w:sz w:val="24"/>
          <w:szCs w:val="24"/>
        </w:rPr>
        <w:t xml:space="preserve">Zastępca Rzecznika wskazał również, że choć z diagnozy i sformułowanych wniosków ujętych w  programach naprawczych wynikały zalecenia co do gospodarowania zapasami leków, to nie znalazły one w rzeczywistości zastosowania w jednostce. Tymczasem odsetki związane z </w:t>
      </w:r>
      <w:r w:rsidRPr="006639FF">
        <w:rPr>
          <w:sz w:val="24"/>
          <w:szCs w:val="24"/>
        </w:rPr>
        <w:lastRenderedPageBreak/>
        <w:t>nieterminowym regulowaniem należności dotyczą w dużej części właśnie leków i innych wyrobów medycznych.</w:t>
      </w:r>
    </w:p>
    <w:p w14:paraId="6BD32205" w14:textId="184AAE1D" w:rsidR="006639FF" w:rsidRPr="006639FF" w:rsidRDefault="006639FF" w:rsidP="00860E28">
      <w:pPr>
        <w:spacing w:before="120"/>
        <w:ind w:right="45"/>
        <w:rPr>
          <w:sz w:val="24"/>
          <w:szCs w:val="24"/>
        </w:rPr>
      </w:pPr>
      <w:r w:rsidRPr="006639FF">
        <w:rPr>
          <w:sz w:val="24"/>
          <w:szCs w:val="24"/>
        </w:rPr>
        <w:t>Dodatkowo w odniesieniu do przyjętych programów naprawczych stwierdz</w:t>
      </w:r>
      <w:r w:rsidR="006B1E15">
        <w:rPr>
          <w:sz w:val="24"/>
          <w:szCs w:val="24"/>
        </w:rPr>
        <w:t>ił</w:t>
      </w:r>
      <w:r w:rsidRPr="006639FF">
        <w:rPr>
          <w:sz w:val="24"/>
          <w:szCs w:val="24"/>
        </w:rPr>
        <w:t>, iż „Obydwa programy naprawcze wskazują również odnośnie aktualnej sytuacji finansowej Zespołu, na podstawie analizy struktury bilansu, że w grupie pasywów analiza porównawcza wartości zobowiązań krótkoterminowych (wyższa wartość) i należności krótkoterminowych (niższa wartość) wskazuje na utratę zdolności do terminowego regulowania zobowiązań. Odraczane są terminy płatności na rzecz dostawców lub rozkładane na raty, Jest to jedna z najdroższych form finansowania, bowiem przeterminowane zobowiązania podlegają wysokiemu oprocentowaniu oraz dodatkowym opłatom, np. z tytułu rekompensaty za koszty odzyskiwania należności, opłatom sądowym oraz komorniczym [karty 231, 304], Dodatkowo program naprawczy na lata 2020-2022 wskazuje na wzrost zobowiązań długoterminowych, co jest skutkiem pożyczki w kwocie 13.224.276,82 zł, zaciągniętej na cele inwestycyjne w SIEMENS FINANCE ze spłatą do 2027 r. Pożyczka została zaciągnięta w instytucji parabankowej, w której koszt do spłaty jest z reguły wyższy niż kredytów i pożyczek zaciąganych w bankach. Para- banki nie podlegają kontroli Komisji Nadzoru Finansowego, a zadłużanie się w parabankach charakteryzuje się podwyższonym poziomem ryzyka.</w:t>
      </w:r>
    </w:p>
    <w:p w14:paraId="1DCD1394" w14:textId="3275E4C3" w:rsidR="006639FF" w:rsidRPr="006639FF" w:rsidRDefault="006B1E15" w:rsidP="00860E28">
      <w:pPr>
        <w:spacing w:before="120"/>
        <w:ind w:right="45"/>
        <w:rPr>
          <w:sz w:val="24"/>
          <w:szCs w:val="24"/>
        </w:rPr>
      </w:pPr>
      <w:r>
        <w:rPr>
          <w:sz w:val="24"/>
          <w:szCs w:val="24"/>
        </w:rPr>
        <w:t>RKO</w:t>
      </w:r>
      <w:r w:rsidR="006639FF" w:rsidRPr="006639FF">
        <w:rPr>
          <w:sz w:val="24"/>
          <w:szCs w:val="24"/>
        </w:rPr>
        <w:t xml:space="preserve"> przyjęła wyjaśnienia obwinionego, że wszystkie wydatki finansowane są ze środków otrzymywanych przez Narodowy Fundusz Zdrowia i w tym zakresie podmiot leczniczy musi realizować bieżące obowiązki, jak i inwestycje [karty 205, 265, str. 73 orzeczenia]. Wyjaśnienia te są sprzeczne z planami finansowymi Zespołu, które oprócz przychodów z Podkarpackiego Oddziału Narodowego Funduszu Zdrowia przewidują także przychody z pozostałych usług medycznych, pozostałej sprzedaży, przychody ze sprzedaży towarów i materiałów, przychody finansowe oraz pozostałe przychody operacyjne. Jednym z dziewięciu zaleceń zawartych w programie naprawczym na lata 2017-2019 odnośnie działań w zakresie optymalizacji bieżącej działalności operacyjnej, które pozwolą na poprawę sytuacji finansowej Zespołu w długim okresie, w szczególności zapewnienie zdolności do bilansowania jego bieżącej działalności, było zwiększenie przychodów z realizacji świadczeń poza ryczałtem...”</w:t>
      </w:r>
      <w:r>
        <w:rPr>
          <w:sz w:val="24"/>
          <w:szCs w:val="24"/>
        </w:rPr>
        <w:t>.</w:t>
      </w:r>
    </w:p>
    <w:p w14:paraId="5F74CEAF" w14:textId="6FD5E614" w:rsidR="006639FF" w:rsidRPr="006639FF" w:rsidRDefault="006639FF" w:rsidP="00860E28">
      <w:pPr>
        <w:spacing w:before="120"/>
        <w:ind w:right="45"/>
        <w:rPr>
          <w:sz w:val="24"/>
          <w:szCs w:val="24"/>
        </w:rPr>
      </w:pPr>
      <w:r w:rsidRPr="006639FF">
        <w:rPr>
          <w:sz w:val="24"/>
          <w:szCs w:val="24"/>
        </w:rPr>
        <w:t xml:space="preserve">Zastępca </w:t>
      </w:r>
      <w:r w:rsidR="006B1E15">
        <w:rPr>
          <w:sz w:val="24"/>
          <w:szCs w:val="24"/>
        </w:rPr>
        <w:t>R</w:t>
      </w:r>
      <w:r w:rsidRPr="006639FF">
        <w:rPr>
          <w:sz w:val="24"/>
          <w:szCs w:val="24"/>
        </w:rPr>
        <w:t>zecznika wskazał ponadto, iż zgodnie ze zgromadzonym materiałem dowodowym w latach 2016-2019 doszło do blisko 3 tysięcy czynów polegających na nieterminowej spłacie zobowiązań, co ma świadczyć o notorycznym łamaniu zasad gospodarki finansowej. Ponadto z informacji dodatkowej do sprawozdania rocznego w wykonania planu finansowego wynika, że w 2020 r. Zespół zapłacił odsetki z tytułu nieterminowej realizacji zobowiązań w wysokości 402.262,37 zł. Tym samym - w opinii Zastępcy Rzecznika - należy uznać, że uniewinnienie Obwinionego nie znajduje uzasadnienia.</w:t>
      </w:r>
    </w:p>
    <w:p w14:paraId="1F29F913" w14:textId="77777777" w:rsidR="006639FF" w:rsidRPr="0024387A" w:rsidRDefault="006639FF" w:rsidP="00860E28">
      <w:pPr>
        <w:spacing w:before="120"/>
        <w:ind w:right="45"/>
        <w:rPr>
          <w:b/>
          <w:sz w:val="24"/>
          <w:szCs w:val="24"/>
        </w:rPr>
      </w:pPr>
      <w:r w:rsidRPr="0024387A">
        <w:rPr>
          <w:b/>
          <w:sz w:val="24"/>
          <w:szCs w:val="24"/>
        </w:rPr>
        <w:t>Po przeprowadzeniu 27 stycznia 2022 r. rozprawy, przy udziale Zastępcy Głównego Rzecznika Dyscypliny Finansów Publicznych, Główna Komisja Orzekająca uznała, iż odwołanie zasługuje na uwzględnienie.</w:t>
      </w:r>
    </w:p>
    <w:p w14:paraId="28451E27" w14:textId="77777777" w:rsidR="006639FF" w:rsidRPr="006639FF" w:rsidRDefault="006639FF" w:rsidP="00860E28">
      <w:pPr>
        <w:spacing w:before="120"/>
        <w:ind w:right="45"/>
        <w:rPr>
          <w:sz w:val="24"/>
          <w:szCs w:val="24"/>
        </w:rPr>
      </w:pPr>
      <w:r w:rsidRPr="006639FF">
        <w:rPr>
          <w:sz w:val="24"/>
          <w:szCs w:val="24"/>
        </w:rPr>
        <w:t xml:space="preserve">RKO stwierdziła, iż Obwiniony popełnił czyny wyczerpujące znamiona naruszenia dyscypliny finansów publicznych, w wyniku naruszenia art. 14 pkt 1, 2 i 3 oraz art. 16 ust. 1 uondfp, </w:t>
      </w:r>
      <w:r w:rsidRPr="006639FF">
        <w:rPr>
          <w:sz w:val="24"/>
          <w:szCs w:val="24"/>
        </w:rPr>
        <w:lastRenderedPageBreak/>
        <w:t>wskazując jednocześnie na art. 19 ust. 2 uondfp, zgodnie z którym odpowiedzialność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 RKO uniewinniła Obwinionego ponieważ nie była w stanie przypisać mu odpowiedzialności za popełnienie tych czynów.</w:t>
      </w:r>
    </w:p>
    <w:p w14:paraId="7EA2863F" w14:textId="77777777" w:rsidR="006639FF" w:rsidRPr="006639FF" w:rsidRDefault="006639FF" w:rsidP="00860E28">
      <w:pPr>
        <w:spacing w:before="120"/>
        <w:ind w:right="45"/>
        <w:rPr>
          <w:sz w:val="24"/>
          <w:szCs w:val="24"/>
        </w:rPr>
      </w:pPr>
      <w:r w:rsidRPr="006639FF">
        <w:rPr>
          <w:sz w:val="24"/>
          <w:szCs w:val="24"/>
        </w:rPr>
        <w:t xml:space="preserve">Zasadniczym przedmiotem rozważań RKO w celu ustalenia odpowiedzialności Obwinionego za zarzucane czyny były złożone przez niego wyjaśnienia oraz przedłożone dokumenty obrazujące długotrwałą trudną sytuację finansową Szpitala. Komisja I instancji skoncentrowała się przede wszystkim na ogólnych informacjach świadczących o sytuacji finansowej placówki, akcentując -  wskazane przez Obwinionego w wyjaśnieniach - następujące okoliczności jej funkcjonowania takie jak:  niedofinansowanie przez NFZ procedur realizowanych przez Szpital; wysokie koszty działalności, w tym dotyczące wynagrodzeń oraz konieczności dostosowania budynków, pomieszczeń i urządzeń placówki do obowiązujących wymogów; niemożność ściągnięcia należności od niektórych pacjentów (np. nieubezpieczonych). </w:t>
      </w:r>
    </w:p>
    <w:p w14:paraId="3C05150D" w14:textId="77777777" w:rsidR="006639FF" w:rsidRPr="006639FF" w:rsidRDefault="006639FF" w:rsidP="00860E28">
      <w:pPr>
        <w:spacing w:before="120"/>
        <w:ind w:right="45"/>
        <w:rPr>
          <w:sz w:val="24"/>
          <w:szCs w:val="24"/>
        </w:rPr>
      </w:pPr>
      <w:r w:rsidRPr="006639FF">
        <w:rPr>
          <w:sz w:val="24"/>
          <w:szCs w:val="24"/>
        </w:rPr>
        <w:t xml:space="preserve">GKO nie kwestionuje tej części ustaleń RKO, która dotyczy uwarunkowań funkcjonowania jednostki zarządzanej przez Obwinionego. Bez wątpienia trudna sytuacja finansowa placówki powinna być - i w omawianym przypadku faktycznie była - istotnym elementem rozważań co do odpowiedzialności Obwinionego. W tym miejscu należy jednak zauważyć, że z dotychczasowego orzecznictwa GKO jednoznacznie wynika, iż trudna sytuacja finansowa sama w sobie nie może usprawiedliwiać naruszania dyscypliny finansów publicznych. Przedmiotem pogłębionej analizy powinny być zatem - w nie mniejszym stopniu niż uwarunkowania zewnętrzne - również działania podejmowane przez Obwinionego w odniesieniu do konkretnych czynów, które są przedmiotem rozpoznania. </w:t>
      </w:r>
    </w:p>
    <w:p w14:paraId="2A05586F" w14:textId="77777777" w:rsidR="006639FF" w:rsidRPr="006639FF" w:rsidRDefault="006639FF" w:rsidP="00860E28">
      <w:pPr>
        <w:spacing w:before="120"/>
        <w:ind w:right="45"/>
        <w:rPr>
          <w:sz w:val="24"/>
          <w:szCs w:val="24"/>
        </w:rPr>
      </w:pPr>
      <w:r w:rsidRPr="006639FF">
        <w:rPr>
          <w:sz w:val="24"/>
          <w:szCs w:val="24"/>
        </w:rPr>
        <w:t xml:space="preserve">Co istotne również Zastępca Rzecznika nie kwestionował trudności z jakimi zmagała się jednostka.  Złożone przez niego odwołanie zawiera natomiast szereg konkretnych zastrzeżeń co do działań/decyzji podejmowanych przez Obwinionego, wskazując jednocześnie na potrzebę ponownego zbadania materiału dowodowego.  I w zakresie takiej analizy tj. dotyczącej działań podejmowanych przez Obwinionego, uzasadnienie - również w opinii GKO - nie jest wystarczające. </w:t>
      </w:r>
    </w:p>
    <w:p w14:paraId="2A1E6375" w14:textId="77777777" w:rsidR="006639FF" w:rsidRPr="006639FF" w:rsidRDefault="006639FF" w:rsidP="00860E28">
      <w:pPr>
        <w:spacing w:before="120"/>
        <w:ind w:right="45"/>
        <w:rPr>
          <w:sz w:val="24"/>
          <w:szCs w:val="24"/>
        </w:rPr>
      </w:pPr>
      <w:r w:rsidRPr="006639FF">
        <w:rPr>
          <w:sz w:val="24"/>
          <w:szCs w:val="24"/>
        </w:rPr>
        <w:t xml:space="preserve">Należy zaznaczyć, że prawidłowo sformułowane uzasadnienie - spełniające wymogi art. z art. 137 ust. 2 uondfp – powinno przede wszystkim umożliwiać merytoryczną ocenę orzeczenia i odniesienie się do podstawy przypisania odpowiedzialności za naruszenie dyscypliny finansów publicznych. Wynik dokonanego przez Komisję I instancji wszechstronnego rozpatrzenia materiału dowodowego powinien znaleźć stosowne odzwierciadlenie w uzasadnieniu. Tymczasem, w zakresie czynności dokonanych przez Obwinionego, wyniki tej analizy nie zostały przedstawione w sposób wystarczający. Działania zmierzające do poprawy sytuacji finansowej Szpitala podejmowane przez Obwinionego, takie jak: ustalenie kolejności dokonywania płatności za towary i usługi, podpisywane ugód z kontrahentami, prowadzenie negocjacji co do umorzenia odsetek, zawieranie ugód z Zakładem Ubezpieczeń </w:t>
      </w:r>
      <w:r w:rsidRPr="006639FF">
        <w:rPr>
          <w:sz w:val="24"/>
          <w:szCs w:val="24"/>
        </w:rPr>
        <w:lastRenderedPageBreak/>
        <w:t xml:space="preserve">Społecznych, zostały zaprezentowane w uzasadnieniu bardzo oszczędnie. Ograniczono się w zasadzie do ich wymienienia, nie dokonano jednakże szerszego ich zaprezentowania świadczącego o dokonaniu analizy w kontekście czynów Obwinionego ujętych we wniosku o ukaranie. Uzasadnienie przedstawione przez RKO w tym zakresie jest nazbyt lakoniczne i nie pozwala na rozwianie wątpliwości wyrażonych przez Zastępcę Rzecznika w odwołaniu. Tym samym budzi wątpliwości, czy RKO dokonała wystarczająco wnikliwej i co za tym idzie właściwej oceny wszystkich okoliczności sprawy, które mogły mieć wpływ na jej rozstrzygnięcie. </w:t>
      </w:r>
    </w:p>
    <w:p w14:paraId="6ADA3DC4" w14:textId="34038C90" w:rsidR="006639FF" w:rsidRPr="006639FF" w:rsidRDefault="006639FF" w:rsidP="00860E28">
      <w:pPr>
        <w:spacing w:before="120"/>
        <w:ind w:right="45"/>
        <w:rPr>
          <w:sz w:val="24"/>
          <w:szCs w:val="24"/>
        </w:rPr>
      </w:pPr>
      <w:r w:rsidRPr="006639FF">
        <w:rPr>
          <w:sz w:val="24"/>
          <w:szCs w:val="24"/>
        </w:rPr>
        <w:t>Odnosząc się do konkretnych zarzutów sformułowanych w odwołaniu, w pierwszej kolejności należy wymienić wątpliwości co do realizacji przez Obwinionego ustaleń zawartych w programach naprawczych, w szczególności w zakresie gospodarowania zapasami, a także optymalizacji bieżącej działalności jednostki, w tym przede wszystkim planów zwiększenia przychodów z realizacji świadczeń poza ryczałtem. Zastępca Rzecznika słusznie wskazał również na potrzebę oceny skuteczności prowadzonego programu naprawczego</w:t>
      </w:r>
      <w:r w:rsidR="006B1E15">
        <w:rPr>
          <w:sz w:val="24"/>
          <w:szCs w:val="24"/>
        </w:rPr>
        <w:t>,</w:t>
      </w:r>
      <w:r w:rsidRPr="006639FF">
        <w:rPr>
          <w:sz w:val="24"/>
          <w:szCs w:val="24"/>
        </w:rPr>
        <w:t xml:space="preserve"> m. in. w zakresie gromadzonych zapasów leków i materiałów medycznych, ponieważ opóźnienia w dokonywaniu płatności skutkujące koniecznością zapłaty odsetek dotyczyły w znaczącym stopniu właśnie tego rodzaju zakupów. </w:t>
      </w:r>
    </w:p>
    <w:p w14:paraId="5180863B" w14:textId="77777777" w:rsidR="006639FF" w:rsidRPr="006639FF" w:rsidRDefault="006639FF" w:rsidP="00860E28">
      <w:pPr>
        <w:spacing w:before="120"/>
        <w:ind w:right="45"/>
        <w:rPr>
          <w:sz w:val="24"/>
          <w:szCs w:val="24"/>
        </w:rPr>
      </w:pPr>
      <w:r w:rsidRPr="006639FF">
        <w:rPr>
          <w:sz w:val="24"/>
          <w:szCs w:val="24"/>
        </w:rPr>
        <w:t>Ocena programów naprawczych powinna być możliwa, biorąc pod uwagę, iż pierwszy z wdrożonych programów naprawczych już się zakończył, drugi natomiast jest już od ponad roku realizowany.</w:t>
      </w:r>
    </w:p>
    <w:p w14:paraId="4AAA735A" w14:textId="77E8DB8F" w:rsidR="006639FF" w:rsidRPr="006639FF" w:rsidRDefault="006639FF" w:rsidP="00860E28">
      <w:pPr>
        <w:spacing w:before="120"/>
        <w:ind w:right="45"/>
        <w:rPr>
          <w:sz w:val="24"/>
          <w:szCs w:val="24"/>
        </w:rPr>
      </w:pPr>
      <w:r w:rsidRPr="006639FF">
        <w:rPr>
          <w:sz w:val="24"/>
          <w:szCs w:val="24"/>
        </w:rPr>
        <w:t>Dodatkowo w kontekście stwierdzenia zawartego we wniosku o ukaranie i powtórzonego w odwołaniu, iż wniosek o ukaranie nie obejmuje czynów dotyczących nieterminowego odprowadzania składek co do których zawarto ugody oraz układy ratalne, należałoby jednoznacznie zaprezentować w uzasadnieniu czy działania zmierzające do zawarcia takich umów były w odniesieniu do nich podejmowane. Zgodnie z dotychczasowym orzecznictwem GKO, w przypadku czynów wskazanych w art. 14 uondfp, działaniem zmierzającym do zapewnienia zgodności z prawem może być</w:t>
      </w:r>
      <w:r w:rsidR="006B1E15">
        <w:rPr>
          <w:sz w:val="24"/>
          <w:szCs w:val="24"/>
        </w:rPr>
        <w:t>,</w:t>
      </w:r>
      <w:r w:rsidRPr="006639FF">
        <w:rPr>
          <w:sz w:val="24"/>
          <w:szCs w:val="24"/>
        </w:rPr>
        <w:t xml:space="preserve"> m. in. samo wystąpienie do ZUS z wnioskiem o odroczenie terminu płatności składek lub rozłożenie tych płatności na raty. Należy zauważyć, że jednym </w:t>
      </w:r>
      <w:r w:rsidR="006B1E15">
        <w:rPr>
          <w:sz w:val="24"/>
          <w:szCs w:val="24"/>
        </w:rPr>
        <w:t xml:space="preserve">z </w:t>
      </w:r>
      <w:r w:rsidRPr="006639FF">
        <w:rPr>
          <w:sz w:val="24"/>
          <w:szCs w:val="24"/>
        </w:rPr>
        <w:t xml:space="preserve">argumentów mającym świadczyć o dochowaniu należytej staranności miałyby być starania Obwinionego o zawarcie ugód z ZUS, tymczasem Zastępca Rzecznika wskazuje, iż w przypadku składek objętych wnioskiem o ukaranie takich starań nie podejmowano.  GKO w orzeczeniach wskazywała wielokrotnie, że jednym z elementów prawidłowego uzasadnienia powinno być odniesienie się do argumentacji stron, tymczasem Komisja I instancji całkowicie pominęła argument Zastępcy Rzecznika zawarty, jak wskazano wyżej, po raz pierwszy już we wniosku o ukaranie. Należy w tym miejscu podkreślić, że dowody, które skład orzekający bierze pod uwagę w procesie analizy odpowiedzialności Obwinionego, powinny być adekwatne i odnosić się wprost – tam gdzie bezpośrednie odniesienie jest możliwe i wykonalne - do czynów, których orzeczenie dotyczy. </w:t>
      </w:r>
    </w:p>
    <w:p w14:paraId="08182F72" w14:textId="77777777" w:rsidR="006639FF" w:rsidRPr="006639FF" w:rsidRDefault="006639FF" w:rsidP="00860E28">
      <w:pPr>
        <w:spacing w:before="120"/>
        <w:ind w:right="45"/>
        <w:rPr>
          <w:sz w:val="24"/>
          <w:szCs w:val="24"/>
        </w:rPr>
      </w:pPr>
      <w:r w:rsidRPr="006639FF">
        <w:rPr>
          <w:sz w:val="24"/>
          <w:szCs w:val="24"/>
        </w:rPr>
        <w:t>Powyższe zagadnienia powinny, zdaniem GKO, zostać przez Komisję I instancji poddane ponownej analizie, natomiast wnioski tej analizy odpowiednio zaprezentowane w uzasadnieniu.</w:t>
      </w:r>
    </w:p>
    <w:p w14:paraId="22E0E389" w14:textId="77777777" w:rsidR="006639FF" w:rsidRPr="006639FF" w:rsidRDefault="006639FF" w:rsidP="00860E28">
      <w:pPr>
        <w:spacing w:before="120"/>
        <w:ind w:right="45"/>
        <w:rPr>
          <w:sz w:val="24"/>
          <w:szCs w:val="24"/>
        </w:rPr>
      </w:pPr>
      <w:r w:rsidRPr="006639FF">
        <w:rPr>
          <w:sz w:val="24"/>
          <w:szCs w:val="24"/>
        </w:rPr>
        <w:lastRenderedPageBreak/>
        <w:t xml:space="preserve">Niezależnie od powyższego Główna Komisja Orzekająca zwraca uwagę na konieczność wyeliminowania błędów, które znalazły się w sentencji orzeczenia. W pierwszej kolejności należy wyjaśnić i oprawić rozbieżności między ujętym w orzeczeniu zestawieniem dotyczącym zapłaconych odsetek a kwotą wykazaną pod zestawieniem tabelarycznym. Dotyczy to kwot ujętych w pkt 4 i 5 wniosku o ukaranie. Biorąc pod uwagę, że w tabelach będących częścią orzeczenia zastosowano symbole: „*”, „**”, „***” a brak odpowiedniego objaśnienia tych odnośników uniemożliwia pełną analizę tego zestawienia, powyższa rozbieżność nie może zostać potraktowana jako oczywisty błąd rachunkowy. Ponadto zestawienia dotyczące zobowiązań pieniężnych z tytułu dostaw i usług powinny zostać ujednolicone pod kątem stosowanego formatu zapisu dat, tak aby nie było wątpliwości co do dat poszczególnych czynów. </w:t>
      </w:r>
    </w:p>
    <w:p w14:paraId="4B4DEC36" w14:textId="5AFE3244" w:rsidR="004A3B45" w:rsidRPr="00860E28" w:rsidRDefault="006639FF" w:rsidP="00860E28">
      <w:pPr>
        <w:spacing w:before="120"/>
        <w:ind w:right="45"/>
        <w:rPr>
          <w:sz w:val="24"/>
          <w:szCs w:val="24"/>
        </w:rPr>
      </w:pPr>
      <w:r w:rsidRPr="006639FF">
        <w:rPr>
          <w:sz w:val="24"/>
          <w:szCs w:val="24"/>
        </w:rPr>
        <w:t>Mając powyższe na uwadze, GKO orzekła jak w sentencji orzeczenia.</w:t>
      </w:r>
      <w:bookmarkStart w:id="3" w:name="_GoBack"/>
      <w:bookmarkEnd w:id="3"/>
    </w:p>
    <w:sectPr w:rsidR="004A3B45" w:rsidRPr="00860E28" w:rsidSect="004F558F">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DBA3" w14:textId="77777777" w:rsidR="004F558F" w:rsidRDefault="004F558F">
      <w:pPr>
        <w:spacing w:after="0" w:line="240" w:lineRule="auto"/>
      </w:pPr>
      <w:r>
        <w:separator/>
      </w:r>
    </w:p>
  </w:endnote>
  <w:endnote w:type="continuationSeparator" w:id="0">
    <w:p w14:paraId="125F2D79" w14:textId="77777777" w:rsidR="004F558F" w:rsidRDefault="004F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altName w:val="Segoe UI"/>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B034" w14:textId="77777777" w:rsidR="004F558F" w:rsidRPr="001E48A5" w:rsidRDefault="004F558F" w:rsidP="004F558F">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sidR="00D629CD">
      <w:rPr>
        <w:noProof/>
        <w:sz w:val="20"/>
        <w:szCs w:val="20"/>
      </w:rPr>
      <w:t>9</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97ABC" w14:textId="77777777" w:rsidR="004F558F" w:rsidRDefault="004F558F">
      <w:pPr>
        <w:spacing w:after="0" w:line="240" w:lineRule="auto"/>
      </w:pPr>
      <w:r>
        <w:separator/>
      </w:r>
    </w:p>
  </w:footnote>
  <w:footnote w:type="continuationSeparator" w:id="0">
    <w:p w14:paraId="7D913D34" w14:textId="77777777" w:rsidR="004F558F" w:rsidRDefault="004F558F">
      <w:pPr>
        <w:spacing w:after="0" w:line="240" w:lineRule="auto"/>
      </w:pPr>
      <w:r>
        <w:continuationSeparator/>
      </w:r>
    </w:p>
  </w:footnote>
  <w:footnote w:id="1">
    <w:p w14:paraId="560922AA" w14:textId="77777777" w:rsidR="002C188E" w:rsidRDefault="002C188E" w:rsidP="002C188E">
      <w:pPr>
        <w:pStyle w:val="Tekstprzypisudolnego"/>
      </w:pPr>
      <w:r>
        <w:rPr>
          <w:rStyle w:val="Odwoanieprzypisudolnego"/>
        </w:rPr>
        <w:footnoteRef/>
      </w:r>
      <w:r>
        <w:t xml:space="preserve"> ustawa</w:t>
      </w:r>
      <w:r w:rsidRPr="003B05E3">
        <w:t xml:space="preserve"> z dnia 17 grudnia 2004 r. o odpowiedzialności za naruszenie dyscypliny finansów publicznych (Dz. U. z 2021 r. poz. 289</w:t>
      </w:r>
      <w:r>
        <w:t xml:space="preserve"> ze zm.)</w:t>
      </w:r>
    </w:p>
    <w:p w14:paraId="3783BB62" w14:textId="77777777" w:rsidR="002C188E" w:rsidRDefault="002C188E" w:rsidP="002C188E">
      <w:pPr>
        <w:pStyle w:val="Tekstprzypisudolnego"/>
      </w:pPr>
    </w:p>
  </w:footnote>
  <w:footnote w:id="2">
    <w:p w14:paraId="71BF28C2" w14:textId="77777777" w:rsidR="002C188E" w:rsidRDefault="002C188E" w:rsidP="002C188E">
      <w:pPr>
        <w:pStyle w:val="Tekstprzypisudolnego"/>
      </w:pPr>
      <w:r>
        <w:rPr>
          <w:rStyle w:val="Odwoanieprzypisudolnego"/>
        </w:rPr>
        <w:footnoteRef/>
      </w:r>
      <w:r>
        <w:t xml:space="preserve"> </w:t>
      </w:r>
      <w:r w:rsidRPr="00C80615">
        <w:rPr>
          <w:rFonts w:cstheme="minorHAnsi"/>
        </w:rPr>
        <w:t>ustawa z dnia 13 października 1998 r. o systemie ubezpieczeń społecznych (Dz. U. z 2020 r. poz. 266 z późn. zm.)</w:t>
      </w:r>
    </w:p>
  </w:footnote>
  <w:footnote w:id="3">
    <w:p w14:paraId="4D8B858C" w14:textId="77777777" w:rsidR="002C188E" w:rsidRDefault="002C188E" w:rsidP="002C188E">
      <w:pPr>
        <w:pStyle w:val="Tekstprzypisudolnego"/>
      </w:pPr>
      <w:r>
        <w:rPr>
          <w:rStyle w:val="Odwoanieprzypisudolnego"/>
        </w:rPr>
        <w:footnoteRef/>
      </w:r>
      <w:r>
        <w:t xml:space="preserve"> </w:t>
      </w:r>
      <w:r w:rsidRPr="00C80615">
        <w:rPr>
          <w:rFonts w:cstheme="minorHAnsi"/>
        </w:rPr>
        <w:t>ustawy z dnia 27 sierpnia 2004 r. o świadczeniach opieki zdrowotnej finansowanych ze środków publicznych (Dz. U. z 2020 r. poz. 1398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74A8" w14:textId="1D581B5B" w:rsidR="004F558F" w:rsidRPr="00B9047E" w:rsidRDefault="004F558F" w:rsidP="004F558F">
    <w:pPr>
      <w:pStyle w:val="Nagwek"/>
      <w:ind w:firstLine="0"/>
      <w:rPr>
        <w:rFonts w:asciiTheme="minorHAnsi" w:hAnsiTheme="minorHAnsi" w:cstheme="minorHAnsi"/>
        <w:b/>
        <w:lang w:val="pl-PL"/>
      </w:rPr>
    </w:pPr>
    <w:r>
      <w:rPr>
        <w:rFonts w:asciiTheme="minorHAnsi" w:hAnsiTheme="minorHAnsi" w:cstheme="minorHAnsi"/>
        <w:b/>
      </w:rPr>
      <w:t>Sygn. akt BDF1.4800.</w:t>
    </w:r>
    <w:r w:rsidR="002C188E">
      <w:rPr>
        <w:rFonts w:asciiTheme="minorHAnsi" w:hAnsiTheme="minorHAnsi" w:cstheme="minorHAnsi"/>
        <w:b/>
        <w:lang w:val="pl-PL"/>
      </w:rPr>
      <w:t>55</w:t>
    </w:r>
    <w:r>
      <w:rPr>
        <w:rFonts w:asciiTheme="minorHAnsi" w:hAnsiTheme="minorHAnsi" w:cstheme="minorHAnsi"/>
        <w:b/>
      </w:rPr>
      <w:t>.202</w:t>
    </w:r>
    <w:r>
      <w:rPr>
        <w:rFonts w:asciiTheme="minorHAnsi" w:hAnsiTheme="minorHAnsi" w:cstheme="minorHAnsi"/>
        <w:b/>
        <w:lang w:val="pl-PL"/>
      </w:rPr>
      <w:t>1</w:t>
    </w:r>
  </w:p>
  <w:p w14:paraId="2ED434FD" w14:textId="77777777" w:rsidR="004F558F" w:rsidRPr="00D00DA1" w:rsidRDefault="004F558F" w:rsidP="004F558F">
    <w:pPr>
      <w:pStyle w:val="Nagwek"/>
      <w:ind w:firstLine="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9A92" w14:textId="77777777" w:rsidR="004F558F" w:rsidRPr="001E48A5" w:rsidRDefault="004F558F" w:rsidP="004F558F">
    <w:pPr>
      <w:pStyle w:val="Nagwek"/>
      <w:ind w:firstLine="0"/>
      <w:rPr>
        <w:b/>
      </w:rPr>
    </w:pPr>
    <w:r>
      <w:rPr>
        <w:b/>
      </w:rPr>
      <w:t>Sygn. akt BDF1/490</w:t>
    </w:r>
    <w:r w:rsidRPr="001E48A5">
      <w:rPr>
        <w:b/>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664A"/>
    <w:multiLevelType w:val="hybridMultilevel"/>
    <w:tmpl w:val="D3F2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2D0359"/>
    <w:multiLevelType w:val="hybridMultilevel"/>
    <w:tmpl w:val="397A4A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EC22F4"/>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270A8"/>
    <w:multiLevelType w:val="hybridMultilevel"/>
    <w:tmpl w:val="3CE2FA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AA2F00"/>
    <w:multiLevelType w:val="hybridMultilevel"/>
    <w:tmpl w:val="D8BA0DBA"/>
    <w:lvl w:ilvl="0" w:tplc="FC3062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17E2F"/>
    <w:multiLevelType w:val="hybridMultilevel"/>
    <w:tmpl w:val="5A722302"/>
    <w:lvl w:ilvl="0" w:tplc="0415000F">
      <w:start w:val="1"/>
      <w:numFmt w:val="decimal"/>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6" w15:restartNumberingAfterBreak="0">
    <w:nsid w:val="172C36E0"/>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8555F"/>
    <w:multiLevelType w:val="hybridMultilevel"/>
    <w:tmpl w:val="EC7A8554"/>
    <w:lvl w:ilvl="0" w:tplc="3098944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9623D8"/>
    <w:multiLevelType w:val="hybridMultilevel"/>
    <w:tmpl w:val="B0B0E4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1C18B5"/>
    <w:multiLevelType w:val="hybridMultilevel"/>
    <w:tmpl w:val="13DC2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2831C7"/>
    <w:multiLevelType w:val="hybridMultilevel"/>
    <w:tmpl w:val="CC14CF5E"/>
    <w:lvl w:ilvl="0" w:tplc="309894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9A1F03"/>
    <w:multiLevelType w:val="hybridMultilevel"/>
    <w:tmpl w:val="E3BC472A"/>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283A85"/>
    <w:multiLevelType w:val="hybridMultilevel"/>
    <w:tmpl w:val="9364E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AC6DF2"/>
    <w:multiLevelType w:val="hybridMultilevel"/>
    <w:tmpl w:val="36583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47742"/>
    <w:multiLevelType w:val="hybridMultilevel"/>
    <w:tmpl w:val="E22439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9B1722"/>
    <w:multiLevelType w:val="hybridMultilevel"/>
    <w:tmpl w:val="7624B60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FC17CC"/>
    <w:multiLevelType w:val="hybridMultilevel"/>
    <w:tmpl w:val="44D2A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DC4061F"/>
    <w:multiLevelType w:val="hybridMultilevel"/>
    <w:tmpl w:val="313A0896"/>
    <w:lvl w:ilvl="0" w:tplc="FB720B46">
      <w:start w:val="1"/>
      <w:numFmt w:val="upperRoman"/>
      <w:lvlText w:val="%1."/>
      <w:lvlJc w:val="left"/>
      <w:pPr>
        <w:ind w:left="720" w:hanging="360"/>
      </w:pPr>
      <w:rPr>
        <w:rFonts w:cstheme="minorBid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B26A31"/>
    <w:multiLevelType w:val="hybridMultilevel"/>
    <w:tmpl w:val="5F548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FB87465"/>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9E4D32"/>
    <w:multiLevelType w:val="hybridMultilevel"/>
    <w:tmpl w:val="5EA8DD38"/>
    <w:lvl w:ilvl="0" w:tplc="1EBA2C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3009D6"/>
    <w:multiLevelType w:val="hybridMultilevel"/>
    <w:tmpl w:val="02640D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CE97556"/>
    <w:multiLevelType w:val="hybridMultilevel"/>
    <w:tmpl w:val="8D404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8A0AE4"/>
    <w:multiLevelType w:val="hybridMultilevel"/>
    <w:tmpl w:val="03E23F5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45C72320"/>
    <w:multiLevelType w:val="hybridMultilevel"/>
    <w:tmpl w:val="975E7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13347E"/>
    <w:multiLevelType w:val="hybridMultilevel"/>
    <w:tmpl w:val="F2949B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94D4D35"/>
    <w:multiLevelType w:val="hybridMultilevel"/>
    <w:tmpl w:val="17D0C4AC"/>
    <w:lvl w:ilvl="0" w:tplc="721E4E72">
      <w:start w:val="1"/>
      <w:numFmt w:val="decimal"/>
      <w:lvlText w:val="%1."/>
      <w:lvlJc w:val="left"/>
      <w:pPr>
        <w:ind w:left="360" w:hanging="360"/>
      </w:pPr>
      <w:rPr>
        <w:b/>
        <w:i w:val="0"/>
      </w:rPr>
    </w:lvl>
    <w:lvl w:ilvl="1" w:tplc="A42CD2D6">
      <w:start w:val="1"/>
      <w:numFmt w:val="decimal"/>
      <w:lvlText w:val="%2)"/>
      <w:lvlJc w:val="left"/>
      <w:pPr>
        <w:tabs>
          <w:tab w:val="num" w:pos="1174"/>
        </w:tabs>
        <w:ind w:left="1174" w:hanging="454"/>
      </w:pPr>
      <w:rPr>
        <w:rFonts w:hint="default"/>
      </w:rPr>
    </w:lvl>
    <w:lvl w:ilvl="2" w:tplc="AC5AACDA">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C66280F"/>
    <w:multiLevelType w:val="hybridMultilevel"/>
    <w:tmpl w:val="EE1AE46E"/>
    <w:lvl w:ilvl="0" w:tplc="DE5E4BD2">
      <w:start w:val="1"/>
      <w:numFmt w:val="upperRoman"/>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667FFA"/>
    <w:multiLevelType w:val="hybridMultilevel"/>
    <w:tmpl w:val="CAD281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24C0521"/>
    <w:multiLevelType w:val="hybridMultilevel"/>
    <w:tmpl w:val="D51C2A0C"/>
    <w:lvl w:ilvl="0" w:tplc="24EE4A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C7CF5"/>
    <w:multiLevelType w:val="hybridMultilevel"/>
    <w:tmpl w:val="47D4F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AF2CD3"/>
    <w:multiLevelType w:val="hybridMultilevel"/>
    <w:tmpl w:val="B504F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F93696"/>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AF4F57"/>
    <w:multiLevelType w:val="hybridMultilevel"/>
    <w:tmpl w:val="52D05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D70816"/>
    <w:multiLevelType w:val="hybridMultilevel"/>
    <w:tmpl w:val="E46A723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902A79"/>
    <w:multiLevelType w:val="hybridMultilevel"/>
    <w:tmpl w:val="D4BA6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7E0BD4"/>
    <w:multiLevelType w:val="hybridMultilevel"/>
    <w:tmpl w:val="07FC9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6B2188"/>
    <w:multiLevelType w:val="hybridMultilevel"/>
    <w:tmpl w:val="235A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D860CB"/>
    <w:multiLevelType w:val="hybridMultilevel"/>
    <w:tmpl w:val="4B3CB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CE4370A"/>
    <w:multiLevelType w:val="hybridMultilevel"/>
    <w:tmpl w:val="954C30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F32286"/>
    <w:multiLevelType w:val="hybridMultilevel"/>
    <w:tmpl w:val="3A6EF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D77A4F"/>
    <w:multiLevelType w:val="hybridMultilevel"/>
    <w:tmpl w:val="0E7C0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83B3BDB"/>
    <w:multiLevelType w:val="hybridMultilevel"/>
    <w:tmpl w:val="25D49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E34318"/>
    <w:multiLevelType w:val="hybridMultilevel"/>
    <w:tmpl w:val="5CCA3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02632B"/>
    <w:multiLevelType w:val="hybridMultilevel"/>
    <w:tmpl w:val="611CC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B9416A"/>
    <w:multiLevelType w:val="hybridMultilevel"/>
    <w:tmpl w:val="1E0AB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4"/>
  </w:num>
  <w:num w:numId="3">
    <w:abstractNumId w:val="20"/>
  </w:num>
  <w:num w:numId="4">
    <w:abstractNumId w:val="13"/>
  </w:num>
  <w:num w:numId="5">
    <w:abstractNumId w:val="10"/>
  </w:num>
  <w:num w:numId="6">
    <w:abstractNumId w:val="21"/>
  </w:num>
  <w:num w:numId="7">
    <w:abstractNumId w:val="19"/>
  </w:num>
  <w:num w:numId="8">
    <w:abstractNumId w:val="39"/>
  </w:num>
  <w:num w:numId="9">
    <w:abstractNumId w:val="18"/>
  </w:num>
  <w:num w:numId="10">
    <w:abstractNumId w:val="3"/>
  </w:num>
  <w:num w:numId="11">
    <w:abstractNumId w:val="28"/>
  </w:num>
  <w:num w:numId="12">
    <w:abstractNumId w:val="0"/>
  </w:num>
  <w:num w:numId="13">
    <w:abstractNumId w:val="11"/>
  </w:num>
  <w:num w:numId="14">
    <w:abstractNumId w:val="6"/>
  </w:num>
  <w:num w:numId="15">
    <w:abstractNumId w:val="38"/>
  </w:num>
  <w:num w:numId="16">
    <w:abstractNumId w:val="23"/>
  </w:num>
  <w:num w:numId="17">
    <w:abstractNumId w:val="1"/>
  </w:num>
  <w:num w:numId="18">
    <w:abstractNumId w:val="40"/>
  </w:num>
  <w:num w:numId="19">
    <w:abstractNumId w:val="8"/>
  </w:num>
  <w:num w:numId="20">
    <w:abstractNumId w:val="22"/>
  </w:num>
  <w:num w:numId="21">
    <w:abstractNumId w:val="2"/>
  </w:num>
  <w:num w:numId="22">
    <w:abstractNumId w:val="34"/>
  </w:num>
  <w:num w:numId="23">
    <w:abstractNumId w:val="15"/>
  </w:num>
  <w:num w:numId="24">
    <w:abstractNumId w:val="45"/>
  </w:num>
  <w:num w:numId="25">
    <w:abstractNumId w:val="27"/>
  </w:num>
  <w:num w:numId="26">
    <w:abstractNumId w:val="29"/>
  </w:num>
  <w:num w:numId="27">
    <w:abstractNumId w:val="17"/>
  </w:num>
  <w:num w:numId="28">
    <w:abstractNumId w:val="25"/>
  </w:num>
  <w:num w:numId="29">
    <w:abstractNumId w:val="4"/>
  </w:num>
  <w:num w:numId="30">
    <w:abstractNumId w:val="32"/>
  </w:num>
  <w:num w:numId="31">
    <w:abstractNumId w:val="26"/>
  </w:num>
  <w:num w:numId="32">
    <w:abstractNumId w:val="5"/>
  </w:num>
  <w:num w:numId="33">
    <w:abstractNumId w:val="12"/>
  </w:num>
  <w:num w:numId="34">
    <w:abstractNumId w:val="16"/>
  </w:num>
  <w:num w:numId="35">
    <w:abstractNumId w:val="43"/>
  </w:num>
  <w:num w:numId="36">
    <w:abstractNumId w:val="37"/>
  </w:num>
  <w:num w:numId="37">
    <w:abstractNumId w:val="36"/>
  </w:num>
  <w:num w:numId="38">
    <w:abstractNumId w:val="30"/>
  </w:num>
  <w:num w:numId="39">
    <w:abstractNumId w:val="31"/>
  </w:num>
  <w:num w:numId="40">
    <w:abstractNumId w:val="41"/>
  </w:num>
  <w:num w:numId="41">
    <w:abstractNumId w:val="44"/>
  </w:num>
  <w:num w:numId="42">
    <w:abstractNumId w:val="35"/>
  </w:num>
  <w:num w:numId="43">
    <w:abstractNumId w:val="42"/>
  </w:num>
  <w:num w:numId="44">
    <w:abstractNumId w:val="24"/>
  </w:num>
  <w:num w:numId="45">
    <w:abstractNumId w:val="3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7"/>
    <w:rsid w:val="000506D5"/>
    <w:rsid w:val="000924CC"/>
    <w:rsid w:val="000B3477"/>
    <w:rsid w:val="000C1773"/>
    <w:rsid w:val="000D53BB"/>
    <w:rsid w:val="000D5D4B"/>
    <w:rsid w:val="000E0554"/>
    <w:rsid w:val="000F2943"/>
    <w:rsid w:val="00101B7A"/>
    <w:rsid w:val="00140FB9"/>
    <w:rsid w:val="00152441"/>
    <w:rsid w:val="001529FC"/>
    <w:rsid w:val="00167CDC"/>
    <w:rsid w:val="00174453"/>
    <w:rsid w:val="00182624"/>
    <w:rsid w:val="001A1227"/>
    <w:rsid w:val="001A6AF4"/>
    <w:rsid w:val="0023071F"/>
    <w:rsid w:val="0024387A"/>
    <w:rsid w:val="002C188E"/>
    <w:rsid w:val="002C23D3"/>
    <w:rsid w:val="00356612"/>
    <w:rsid w:val="0037009E"/>
    <w:rsid w:val="00395555"/>
    <w:rsid w:val="003D7B65"/>
    <w:rsid w:val="003E253D"/>
    <w:rsid w:val="003F4046"/>
    <w:rsid w:val="004045D8"/>
    <w:rsid w:val="00426582"/>
    <w:rsid w:val="00454B8A"/>
    <w:rsid w:val="004A3B45"/>
    <w:rsid w:val="004B2E95"/>
    <w:rsid w:val="004E5838"/>
    <w:rsid w:val="004F26EB"/>
    <w:rsid w:val="004F558F"/>
    <w:rsid w:val="005D11CC"/>
    <w:rsid w:val="005F6C16"/>
    <w:rsid w:val="00611964"/>
    <w:rsid w:val="00630588"/>
    <w:rsid w:val="006639FF"/>
    <w:rsid w:val="00666B24"/>
    <w:rsid w:val="006745C5"/>
    <w:rsid w:val="006B1E15"/>
    <w:rsid w:val="006D4A71"/>
    <w:rsid w:val="006D5722"/>
    <w:rsid w:val="006F0128"/>
    <w:rsid w:val="007218F7"/>
    <w:rsid w:val="0074631B"/>
    <w:rsid w:val="007911E3"/>
    <w:rsid w:val="007B3459"/>
    <w:rsid w:val="007B5306"/>
    <w:rsid w:val="007C66B2"/>
    <w:rsid w:val="007D3D88"/>
    <w:rsid w:val="007F1743"/>
    <w:rsid w:val="007F3F44"/>
    <w:rsid w:val="00860E28"/>
    <w:rsid w:val="00886689"/>
    <w:rsid w:val="008C6569"/>
    <w:rsid w:val="008D6B59"/>
    <w:rsid w:val="008D732F"/>
    <w:rsid w:val="008E435B"/>
    <w:rsid w:val="009007BE"/>
    <w:rsid w:val="0094650F"/>
    <w:rsid w:val="00961910"/>
    <w:rsid w:val="00985232"/>
    <w:rsid w:val="009C78A8"/>
    <w:rsid w:val="009D04BE"/>
    <w:rsid w:val="009D2307"/>
    <w:rsid w:val="00A07B61"/>
    <w:rsid w:val="00AD3486"/>
    <w:rsid w:val="00AE37FA"/>
    <w:rsid w:val="00AF3D02"/>
    <w:rsid w:val="00AF79C4"/>
    <w:rsid w:val="00B15493"/>
    <w:rsid w:val="00B46C4A"/>
    <w:rsid w:val="00B61452"/>
    <w:rsid w:val="00B81691"/>
    <w:rsid w:val="00B841FE"/>
    <w:rsid w:val="00B9047E"/>
    <w:rsid w:val="00B95D71"/>
    <w:rsid w:val="00C14327"/>
    <w:rsid w:val="00C15BBA"/>
    <w:rsid w:val="00C272D4"/>
    <w:rsid w:val="00C50815"/>
    <w:rsid w:val="00C74E86"/>
    <w:rsid w:val="00CA18FA"/>
    <w:rsid w:val="00D37D01"/>
    <w:rsid w:val="00D629CD"/>
    <w:rsid w:val="00DD5516"/>
    <w:rsid w:val="00DF54B1"/>
    <w:rsid w:val="00E152B2"/>
    <w:rsid w:val="00E35B74"/>
    <w:rsid w:val="00E74BD3"/>
    <w:rsid w:val="00E928D0"/>
    <w:rsid w:val="00E96D5A"/>
    <w:rsid w:val="00ED0CE8"/>
    <w:rsid w:val="00EF6D63"/>
    <w:rsid w:val="00F12D5B"/>
    <w:rsid w:val="00F6525C"/>
    <w:rsid w:val="00F72B9A"/>
    <w:rsid w:val="00F91EC1"/>
    <w:rsid w:val="00FA1333"/>
    <w:rsid w:val="00FB2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0035B1E"/>
  <w15:chartTrackingRefBased/>
  <w15:docId w15:val="{D1F8984C-70A7-429B-8998-DABB9ED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28"/>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gwek3">
    <w:name w:val="heading 3"/>
    <w:basedOn w:val="Normalny"/>
    <w:next w:val="Normalny"/>
    <w:link w:val="Nagwek3Znak"/>
    <w:uiPriority w:val="9"/>
    <w:unhideWhenUsed/>
    <w:qFormat/>
    <w:rsid w:val="0039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477"/>
    <w:pPr>
      <w:tabs>
        <w:tab w:val="center" w:pos="4536"/>
        <w:tab w:val="right" w:pos="9072"/>
      </w:tabs>
      <w:spacing w:after="0" w:line="240" w:lineRule="auto"/>
      <w:ind w:firstLine="851"/>
      <w:jc w:val="both"/>
    </w:pPr>
    <w:rPr>
      <w:rFonts w:ascii="Times New Roman" w:eastAsia="Calibri" w:hAnsi="Times New Roman" w:cs="Times New Roman"/>
      <w:sz w:val="24"/>
      <w:lang w:val="x-none"/>
    </w:rPr>
  </w:style>
  <w:style w:type="character" w:customStyle="1" w:styleId="NagwekZnak">
    <w:name w:val="Nagłówek Znak"/>
    <w:basedOn w:val="Domylnaczcionkaakapitu"/>
    <w:link w:val="Nagwek"/>
    <w:uiPriority w:val="99"/>
    <w:rsid w:val="000B3477"/>
    <w:rPr>
      <w:rFonts w:ascii="Times New Roman" w:eastAsia="Calibri" w:hAnsi="Times New Roman" w:cs="Times New Roman"/>
      <w:sz w:val="24"/>
      <w:lang w:val="x-none"/>
    </w:rPr>
  </w:style>
  <w:style w:type="character" w:styleId="Odwoaniedokomentarza">
    <w:name w:val="annotation reference"/>
    <w:basedOn w:val="Domylnaczcionkaakapitu"/>
    <w:uiPriority w:val="99"/>
    <w:semiHidden/>
    <w:unhideWhenUsed/>
    <w:rsid w:val="000B3477"/>
    <w:rPr>
      <w:sz w:val="16"/>
      <w:szCs w:val="16"/>
    </w:rPr>
  </w:style>
  <w:style w:type="paragraph" w:styleId="Tekstkomentarza">
    <w:name w:val="annotation text"/>
    <w:basedOn w:val="Normalny"/>
    <w:link w:val="TekstkomentarzaZnak"/>
    <w:uiPriority w:val="99"/>
    <w:semiHidden/>
    <w:unhideWhenUsed/>
    <w:rsid w:val="000B3477"/>
    <w:pPr>
      <w:spacing w:before="240" w:after="0" w:line="240" w:lineRule="auto"/>
      <w:ind w:firstLine="851"/>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0B347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B3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7"/>
    <w:rPr>
      <w:rFonts w:ascii="Segoe UI" w:hAnsi="Segoe UI" w:cs="Segoe UI"/>
      <w:sz w:val="18"/>
      <w:szCs w:val="18"/>
    </w:rPr>
  </w:style>
  <w:style w:type="paragraph" w:styleId="Akapitzlist">
    <w:name w:val="List Paragraph"/>
    <w:basedOn w:val="Normalny"/>
    <w:uiPriority w:val="34"/>
    <w:qFormat/>
    <w:rsid w:val="00E928D0"/>
    <w:pPr>
      <w:ind w:left="720"/>
      <w:contextualSpacing/>
    </w:pPr>
  </w:style>
  <w:style w:type="character" w:customStyle="1" w:styleId="Nagwek1Znak">
    <w:name w:val="Nagłówek 1 Znak"/>
    <w:basedOn w:val="Domylnaczcionkaakapitu"/>
    <w:link w:val="Nagwek1"/>
    <w:uiPriority w:val="9"/>
    <w:rsid w:val="003955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860E28"/>
    <w:rPr>
      <w:rFonts w:asciiTheme="majorHAnsi" w:eastAsiaTheme="majorEastAsia" w:hAnsiTheme="majorHAnsi" w:cstheme="majorBidi"/>
      <w:color w:val="000000" w:themeColor="text1"/>
      <w:sz w:val="26"/>
      <w:szCs w:val="26"/>
    </w:rPr>
  </w:style>
  <w:style w:type="character" w:customStyle="1" w:styleId="Nagwek3Znak">
    <w:name w:val="Nagłówek 3 Znak"/>
    <w:basedOn w:val="Domylnaczcionkaakapitu"/>
    <w:link w:val="Nagwek3"/>
    <w:uiPriority w:val="9"/>
    <w:rsid w:val="00395555"/>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F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B1"/>
  </w:style>
  <w:style w:type="paragraph" w:styleId="Tekstprzypisudolnego">
    <w:name w:val="footnote text"/>
    <w:basedOn w:val="Normalny"/>
    <w:link w:val="TekstprzypisudolnegoZnak"/>
    <w:unhideWhenUsed/>
    <w:rsid w:val="003D7B65"/>
    <w:pPr>
      <w:spacing w:after="0" w:line="240" w:lineRule="auto"/>
    </w:pPr>
    <w:rPr>
      <w:sz w:val="20"/>
      <w:szCs w:val="20"/>
    </w:rPr>
  </w:style>
  <w:style w:type="character" w:customStyle="1" w:styleId="TekstprzypisudolnegoZnak">
    <w:name w:val="Tekst przypisu dolnego Znak"/>
    <w:basedOn w:val="Domylnaczcionkaakapitu"/>
    <w:link w:val="Tekstprzypisudolnego"/>
    <w:rsid w:val="003D7B65"/>
    <w:rPr>
      <w:sz w:val="20"/>
      <w:szCs w:val="20"/>
    </w:rPr>
  </w:style>
  <w:style w:type="character" w:styleId="Odwoanieprzypisudolnego">
    <w:name w:val="footnote reference"/>
    <w:basedOn w:val="Domylnaczcionkaakapitu"/>
    <w:unhideWhenUsed/>
    <w:rsid w:val="003D7B65"/>
    <w:rPr>
      <w:vertAlign w:val="superscript"/>
    </w:rPr>
  </w:style>
  <w:style w:type="character" w:customStyle="1" w:styleId="Footnote">
    <w:name w:val="Footnote_"/>
    <w:basedOn w:val="Domylnaczcionkaakapitu"/>
    <w:link w:val="Footnote0"/>
    <w:rsid w:val="00EF6D63"/>
    <w:rPr>
      <w:rFonts w:ascii="Calibri" w:eastAsia="Calibri" w:hAnsi="Calibri" w:cs="Calibri"/>
      <w:sz w:val="20"/>
      <w:szCs w:val="20"/>
      <w:shd w:val="clear" w:color="auto" w:fill="FFFFFF"/>
    </w:rPr>
  </w:style>
  <w:style w:type="character" w:customStyle="1" w:styleId="Bodytext">
    <w:name w:val="Body text_"/>
    <w:basedOn w:val="Domylnaczcionkaakapitu"/>
    <w:link w:val="Tekstpodstawowy1"/>
    <w:rsid w:val="00EF6D63"/>
    <w:rPr>
      <w:rFonts w:ascii="Calibri" w:eastAsia="Calibri" w:hAnsi="Calibri" w:cs="Calibri"/>
      <w:sz w:val="23"/>
      <w:szCs w:val="23"/>
      <w:shd w:val="clear" w:color="auto" w:fill="FFFFFF"/>
    </w:rPr>
  </w:style>
  <w:style w:type="paragraph" w:customStyle="1" w:styleId="Footnote0">
    <w:name w:val="Footnote"/>
    <w:basedOn w:val="Normalny"/>
    <w:link w:val="Footnote"/>
    <w:rsid w:val="00EF6D63"/>
    <w:pPr>
      <w:shd w:val="clear" w:color="auto" w:fill="FFFFFF"/>
      <w:spacing w:after="0" w:line="240" w:lineRule="exact"/>
      <w:jc w:val="both"/>
    </w:pPr>
    <w:rPr>
      <w:rFonts w:ascii="Calibri" w:eastAsia="Calibri" w:hAnsi="Calibri" w:cs="Calibri"/>
      <w:sz w:val="20"/>
      <w:szCs w:val="20"/>
    </w:rPr>
  </w:style>
  <w:style w:type="paragraph" w:customStyle="1" w:styleId="Tekstpodstawowy1">
    <w:name w:val="Tekst podstawowy1"/>
    <w:basedOn w:val="Normalny"/>
    <w:link w:val="Bodytext"/>
    <w:rsid w:val="00EF6D63"/>
    <w:pPr>
      <w:shd w:val="clear" w:color="auto" w:fill="FFFFFF"/>
      <w:spacing w:before="780" w:after="780" w:line="0" w:lineRule="atLeast"/>
    </w:pPr>
    <w:rPr>
      <w:rFonts w:ascii="Calibri" w:eastAsia="Calibri" w:hAnsi="Calibri" w:cs="Calibri"/>
      <w:sz w:val="23"/>
      <w:szCs w:val="23"/>
    </w:rPr>
  </w:style>
  <w:style w:type="character" w:customStyle="1" w:styleId="TekstpodstawowyZnak">
    <w:name w:val="Tekst podstawowy Znak"/>
    <w:basedOn w:val="Domylnaczcionkaakapitu"/>
    <w:link w:val="Tekstpodstawowy"/>
    <w:uiPriority w:val="1"/>
    <w:qFormat/>
    <w:rsid w:val="006745C5"/>
    <w:rPr>
      <w:rFonts w:eastAsia="Lato" w:cs="Lato"/>
      <w:sz w:val="24"/>
    </w:rPr>
  </w:style>
  <w:style w:type="paragraph" w:styleId="Tekstpodstawowy">
    <w:name w:val="Body Text"/>
    <w:basedOn w:val="Normalny"/>
    <w:link w:val="TekstpodstawowyZnak"/>
    <w:uiPriority w:val="1"/>
    <w:qFormat/>
    <w:rsid w:val="006745C5"/>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6745C5"/>
  </w:style>
  <w:style w:type="paragraph" w:styleId="Tekstpodstawowywcity">
    <w:name w:val="Body Text Indent"/>
    <w:basedOn w:val="Normalny"/>
    <w:link w:val="TekstpodstawowywcityZnak"/>
    <w:uiPriority w:val="99"/>
    <w:unhideWhenUsed/>
    <w:rsid w:val="006745C5"/>
    <w:pPr>
      <w:spacing w:after="120"/>
      <w:ind w:left="283"/>
    </w:pPr>
  </w:style>
  <w:style w:type="character" w:customStyle="1" w:styleId="TekstpodstawowywcityZnak">
    <w:name w:val="Tekst podstawowy wcięty Znak"/>
    <w:basedOn w:val="Domylnaczcionkaakapitu"/>
    <w:link w:val="Tekstpodstawowywcity"/>
    <w:uiPriority w:val="99"/>
    <w:rsid w:val="006745C5"/>
  </w:style>
  <w:style w:type="character" w:customStyle="1" w:styleId="Teksttreci">
    <w:name w:val="Tekst treści_"/>
    <w:rsid w:val="00101B7A"/>
    <w:rPr>
      <w:rFonts w:ascii="Arial" w:eastAsia="Arial" w:hAnsi="Arial" w:cs="Arial"/>
      <w:b w:val="0"/>
      <w:bCs w:val="0"/>
      <w:i w:val="0"/>
      <w:iCs w:val="0"/>
      <w:smallCaps w:val="0"/>
      <w:strike w:val="0"/>
      <w:sz w:val="18"/>
      <w:szCs w:val="18"/>
      <w:u w:val="none"/>
    </w:rPr>
  </w:style>
  <w:style w:type="paragraph" w:customStyle="1" w:styleId="Bodytext2">
    <w:name w:val="Body text (2)"/>
    <w:basedOn w:val="Normalny"/>
    <w:rsid w:val="000D53BB"/>
    <w:pPr>
      <w:widowControl w:val="0"/>
      <w:shd w:val="clear" w:color="auto" w:fill="FFFFFF"/>
      <w:spacing w:after="0" w:line="224" w:lineRule="exact"/>
    </w:pPr>
    <w:rPr>
      <w:rFonts w:ascii="Arial" w:eastAsia="Arial" w:hAnsi="Arial" w:cs="Arial"/>
      <w:sz w:val="20"/>
      <w:szCs w:val="20"/>
      <w:lang w:eastAsia="pl-PL"/>
    </w:rPr>
  </w:style>
  <w:style w:type="paragraph" w:customStyle="1" w:styleId="Styl1">
    <w:name w:val="Styl1"/>
    <w:basedOn w:val="Normalny"/>
    <w:rsid w:val="002C188E"/>
    <w:pPr>
      <w:spacing w:after="0" w:line="240" w:lineRule="auto"/>
      <w:jc w:val="both"/>
    </w:pPr>
    <w:rPr>
      <w:rFonts w:ascii="Bookman Old Style" w:eastAsia="Times New Roman" w:hAnsi="Bookman Old Style" w:cs="Times New Roman"/>
      <w:sz w:val="24"/>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C71D-8A31-4D36-B330-A9220DF9CE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0C051F-52F3-4C5F-B13D-06A45854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DFFB2F-779E-4266-AF07-FDA478252D68}">
  <ds:schemaRefs>
    <ds:schemaRef ds:uri="http://schemas.microsoft.com/sharepoint/v3/contenttype/forms"/>
  </ds:schemaRefs>
</ds:datastoreItem>
</file>

<file path=customXml/itemProps4.xml><?xml version="1.0" encoding="utf-8"?>
<ds:datastoreItem xmlns:ds="http://schemas.openxmlformats.org/officeDocument/2006/customXml" ds:itemID="{11529F6B-2B19-4662-9867-9C475B20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3559</Words>
  <Characters>21359</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Pytel Dominik</cp:lastModifiedBy>
  <cp:revision>2</cp:revision>
  <cp:lastPrinted>2023-08-25T08:51:00Z</cp:lastPrinted>
  <dcterms:created xsi:type="dcterms:W3CDTF">2023-08-29T09:08:00Z</dcterms:created>
  <dcterms:modified xsi:type="dcterms:W3CDTF">2023-08-29T09:08:00Z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UxC4dwLulzfINJ8nQH+xvX5LNGipWa4BRSZhPgxsCvnjDKBWJdCz0HhpS/sYjoAr5XI4Bjz6+sNm9Bf5i3bWQw==</vt:lpwstr>
  </property>
  <property fmtid="{D5CDD505-2E9C-101B-9397-08002B2CF9AE}" pid="5" name="MFClassificationDate">
    <vt:lpwstr>2021-12-06T14:50:57.1797585+01:00</vt:lpwstr>
  </property>
  <property fmtid="{D5CDD505-2E9C-101B-9397-08002B2CF9AE}" pid="6" name="MFClassifiedBySID">
    <vt:lpwstr>UxC4dwLulzfINJ8nQH+xvX5LNGipWa4BRSZhPgxsCvm42mrIC/DSDv0ggS+FjUN/2v1BBotkLlY5aAiEhoi6ucJ6+fDIg1f5BEwoa8WJbLspuk4FNaYidYoU+/AQDbAp</vt:lpwstr>
  </property>
  <property fmtid="{D5CDD505-2E9C-101B-9397-08002B2CF9AE}" pid="7" name="MFGRNItemId">
    <vt:lpwstr>GRN-7b1bbf05-6942-4848-b868-d65cd5578dab</vt:lpwstr>
  </property>
  <property fmtid="{D5CDD505-2E9C-101B-9397-08002B2CF9AE}" pid="8" name="MFHash">
    <vt:lpwstr>NkJphhVeLzO7I0SIQLvTZlmsqo0tGO+lJlZJhZat368=</vt:lpwstr>
  </property>
  <property fmtid="{D5CDD505-2E9C-101B-9397-08002B2CF9AE}" pid="9" name="DLPManualFileClassification">
    <vt:lpwstr>{5fdfc941-3fcf-4a5b-87be-4848800d39d0}</vt:lpwstr>
  </property>
  <property fmtid="{D5CDD505-2E9C-101B-9397-08002B2CF9AE}" pid="10" name="MFRefresh">
    <vt:lpwstr>False</vt:lpwstr>
  </property>
</Properties>
</file>