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566B" w14:textId="015F7F35" w:rsidR="0048087E" w:rsidRPr="004D77E0" w:rsidRDefault="008D723E" w:rsidP="0058562B">
      <w:pPr>
        <w:tabs>
          <w:tab w:val="left" w:pos="1800"/>
        </w:tabs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28"/>
          <w:szCs w:val="28"/>
        </w:rPr>
        <w:tab/>
      </w:r>
      <w:r w:rsidR="0048087E"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E </w:t>
      </w:r>
      <w:r w:rsidR="0048087E"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REFUNDACYJNE NR 80 (1 PAŹDZIERNIKA 2025 r.)</w:t>
      </w:r>
    </w:p>
    <w:p w14:paraId="49B9E641" w14:textId="66CB48AA" w:rsidR="008D723E" w:rsidRPr="0058562B" w:rsidRDefault="008D723E" w:rsidP="0058562B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W ramach ostatniego wykazu w roku 2025, finansowaniem ze środków publicznych zostało objętych </w:t>
      </w:r>
      <w:r w:rsidRPr="0058562B">
        <w:rPr>
          <w:rFonts w:ascii="Lato" w:hAnsi="Lato"/>
          <w:b/>
          <w:bCs/>
        </w:rPr>
        <w:t>5</w:t>
      </w:r>
      <w:r w:rsidR="000F50CB">
        <w:rPr>
          <w:rFonts w:ascii="Lato" w:hAnsi="Lato"/>
          <w:b/>
          <w:bCs/>
        </w:rPr>
        <w:t>1</w:t>
      </w:r>
      <w:r w:rsidRPr="0058562B">
        <w:rPr>
          <w:rFonts w:ascii="Lato" w:hAnsi="Lato"/>
          <w:b/>
          <w:bCs/>
        </w:rPr>
        <w:t xml:space="preserve"> nowych cząsteczko – wskazań</w:t>
      </w:r>
      <w:r w:rsidRPr="0058562B">
        <w:rPr>
          <w:rFonts w:ascii="Lato" w:hAnsi="Lato"/>
        </w:rPr>
        <w:t>, w tym:</w:t>
      </w:r>
    </w:p>
    <w:p w14:paraId="00708599" w14:textId="77777777" w:rsidR="008D723E" w:rsidRPr="008D723E" w:rsidRDefault="008D723E" w:rsidP="0058562B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 w:rsidRPr="008D723E">
        <w:rPr>
          <w:rFonts w:ascii="Lato" w:hAnsi="Lato"/>
        </w:rPr>
        <w:t>22 cząsteczko – wskazania onkologiczne,</w:t>
      </w:r>
    </w:p>
    <w:p w14:paraId="77C1EBD6" w14:textId="2AD1E67F" w:rsidR="008D723E" w:rsidRPr="008D723E" w:rsidRDefault="008D723E" w:rsidP="0058562B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 w:rsidRPr="008D723E">
        <w:rPr>
          <w:rFonts w:ascii="Lato" w:hAnsi="Lato"/>
        </w:rPr>
        <w:t>2</w:t>
      </w:r>
      <w:r w:rsidR="000F50CB">
        <w:rPr>
          <w:rFonts w:ascii="Lato" w:hAnsi="Lato"/>
        </w:rPr>
        <w:t>9</w:t>
      </w:r>
      <w:r w:rsidRPr="008D723E">
        <w:rPr>
          <w:rFonts w:ascii="Lato" w:hAnsi="Lato"/>
        </w:rPr>
        <w:t xml:space="preserve"> cząsteczko - wskazań nieonkologicznych,</w:t>
      </w:r>
    </w:p>
    <w:p w14:paraId="658165DB" w14:textId="77777777" w:rsidR="008D723E" w:rsidRPr="008D723E" w:rsidRDefault="008D723E" w:rsidP="0058562B">
      <w:pPr>
        <w:pStyle w:val="Akapitzlist"/>
        <w:numPr>
          <w:ilvl w:val="0"/>
          <w:numId w:val="25"/>
        </w:numPr>
        <w:spacing w:before="240" w:after="120" w:line="276" w:lineRule="auto"/>
        <w:jc w:val="both"/>
        <w:rPr>
          <w:rFonts w:ascii="Lato" w:hAnsi="Lato"/>
        </w:rPr>
      </w:pPr>
      <w:r w:rsidRPr="008D723E">
        <w:rPr>
          <w:rFonts w:ascii="Lato" w:hAnsi="Lato"/>
        </w:rPr>
        <w:t>12 cząsteczko - wskazań dedykowanych chorobom rzadkim.</w:t>
      </w:r>
    </w:p>
    <w:p w14:paraId="7981E90A" w14:textId="19A5709B" w:rsidR="008D723E" w:rsidRPr="0058562B" w:rsidRDefault="008D723E" w:rsidP="0058562B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>Obwieszczenie refundacyjne obowiązujące od 1 października 2025 r. (nr 80), w porównaniu do obwieszczenia 79 zawiera następujące zmiany:</w:t>
      </w:r>
    </w:p>
    <w:p w14:paraId="31476000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W związku z wydaniem pozytywnych decyzji o objęciu refundacją ogółem do wykazu zostało dodanych 175 produktów bądź nowych wskazań.</w:t>
      </w:r>
    </w:p>
    <w:p w14:paraId="1A3AB56C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Dla 153 produktów wprowadzono obniżki cen zbytu netto (od 0,01 zł do 75 508,00 zł).</w:t>
      </w:r>
    </w:p>
    <w:p w14:paraId="594EA668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Dla 25 produktów wprowadzono podwyżki cen zbytu netto (od 0,30 zł do 99,48 zł).</w:t>
      </w:r>
    </w:p>
    <w:p w14:paraId="3952CA22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Dla 512 pozycji w obwieszczeniu spadnie dopłata pacjenta (od 0,01 zł do 47,04 zł).</w:t>
      </w:r>
    </w:p>
    <w:p w14:paraId="382158D6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Dla 169 pozycji w obwieszczeniu wzrośnie dopłata pacjenta (od 0,01 zł do 64,41 zł).</w:t>
      </w:r>
    </w:p>
    <w:p w14:paraId="7259E574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Dla 586 produktów ulegną obniżeniu ceny detaliczne (od 0,01 zł do 132,46 zł).</w:t>
      </w:r>
    </w:p>
    <w:p w14:paraId="7DC47990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Dla 60 produktów wzrosną ceny detaliczne (od 0,01 zł do 11,45 zł).</w:t>
      </w:r>
    </w:p>
    <w:p w14:paraId="75789533" w14:textId="77777777" w:rsidR="00F74D9B" w:rsidRPr="00F74D9B" w:rsidRDefault="00F74D9B" w:rsidP="00F74D9B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F74D9B">
        <w:rPr>
          <w:rFonts w:ascii="Lato" w:hAnsi="Lato"/>
        </w:rPr>
        <w:t>W związku z wpłynięciem wniosków o skrócenie terminu obowiązywania decyzji refundacyjnych lub upłynięciem terminu obowiązywania decyzji refundacyjnych lub odmową refundacji na kolejny okres w obwieszczeniu nie znajdzie się 75 produktów bądź wskazań figurujących w poprzednim obwieszczeniu.</w:t>
      </w:r>
    </w:p>
    <w:p w14:paraId="3D863C20" w14:textId="5C0ADF30" w:rsidR="007417A0" w:rsidRDefault="008D723E" w:rsidP="00300474">
      <w:pPr>
        <w:spacing w:after="0" w:line="240" w:lineRule="auto"/>
        <w:jc w:val="both"/>
        <w:rPr>
          <w:rFonts w:ascii="Lato" w:hAnsi="Lato"/>
          <w:b/>
          <w:bCs/>
          <w:u w:val="single"/>
        </w:rPr>
      </w:pPr>
      <w:r w:rsidRPr="008D723E">
        <w:rPr>
          <w:rFonts w:ascii="Lato" w:hAnsi="Lato"/>
          <w:b/>
          <w:bCs/>
          <w:u w:val="single"/>
        </w:rPr>
        <w:br w:type="page"/>
      </w:r>
    </w:p>
    <w:p w14:paraId="43684E47" w14:textId="2CB99C11" w:rsidR="008D723E" w:rsidRPr="007417A0" w:rsidRDefault="000F50CB" w:rsidP="00300474">
      <w:pPr>
        <w:spacing w:after="0" w:line="240" w:lineRule="auto"/>
        <w:jc w:val="both"/>
        <w:rPr>
          <w:rFonts w:ascii="Lato" w:hAnsi="Lato"/>
          <w:b/>
          <w:bCs/>
        </w:rPr>
      </w:pPr>
      <w:r>
        <w:rPr>
          <w:noProof/>
        </w:rPr>
        <w:lastRenderedPageBreak/>
        <w:drawing>
          <wp:inline distT="0" distB="0" distL="0" distR="0" wp14:anchorId="113220F6" wp14:editId="4CFEBB6C">
            <wp:extent cx="4860000" cy="3240000"/>
            <wp:effectExtent l="0" t="0" r="17145" b="17780"/>
            <wp:docPr id="88822100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0D5CA79-D76A-46E2-96FB-49E66CAE0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7417A0" w:rsidRPr="007417A0">
        <w:rPr>
          <w:rFonts w:ascii="Lato" w:hAnsi="Lato"/>
          <w:b/>
          <w:bCs/>
        </w:rPr>
        <w:t xml:space="preserve"> </w:t>
      </w:r>
      <w:r>
        <w:rPr>
          <w:noProof/>
        </w:rPr>
        <w:drawing>
          <wp:inline distT="0" distB="0" distL="0" distR="0" wp14:anchorId="2019AC52" wp14:editId="55DD7AB7">
            <wp:extent cx="4860000" cy="3240000"/>
            <wp:effectExtent l="0" t="0" r="17145" b="17780"/>
            <wp:docPr id="109511399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104527A-4B7B-4B3E-B490-148695C59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3BB9E1" w14:textId="5B612F10" w:rsidR="00300474" w:rsidRDefault="007417A0" w:rsidP="00300474">
      <w:pPr>
        <w:spacing w:after="0" w:line="240" w:lineRule="auto"/>
        <w:jc w:val="both"/>
        <w:rPr>
          <w:rFonts w:ascii="Lato" w:hAnsi="Lato"/>
          <w:b/>
          <w:bCs/>
        </w:rPr>
      </w:pPr>
      <w:r>
        <w:rPr>
          <w:noProof/>
        </w:rPr>
        <w:drawing>
          <wp:inline distT="0" distB="0" distL="0" distR="0" wp14:anchorId="28BD958D" wp14:editId="6AF94EEC">
            <wp:extent cx="4860000" cy="3240000"/>
            <wp:effectExtent l="0" t="0" r="17145" b="17780"/>
            <wp:docPr id="14871233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9C8C64-7E08-4BD1-B749-283AD55A8E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Lato" w:hAnsi="Lato"/>
          <w:b/>
          <w:bCs/>
        </w:rPr>
        <w:t xml:space="preserve"> </w:t>
      </w:r>
      <w:r w:rsidR="000F50CB">
        <w:rPr>
          <w:noProof/>
        </w:rPr>
        <w:drawing>
          <wp:inline distT="0" distB="0" distL="0" distR="0" wp14:anchorId="3A5771AC" wp14:editId="0DDCC8C7">
            <wp:extent cx="4860000" cy="3240000"/>
            <wp:effectExtent l="0" t="0" r="17145" b="17780"/>
            <wp:docPr id="175150040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C9CAC52-56A2-4432-8150-D06BD397D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300474">
        <w:rPr>
          <w:rFonts w:ascii="Lato" w:hAnsi="Lato"/>
          <w:b/>
          <w:bCs/>
        </w:rPr>
        <w:br w:type="page"/>
      </w:r>
    </w:p>
    <w:p w14:paraId="06A06678" w14:textId="7D136BFD" w:rsidR="00AD08C5" w:rsidRPr="004D77E0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77E0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77E0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77E0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77E0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477"/>
        <w:gridCol w:w="1944"/>
        <w:gridCol w:w="1867"/>
        <w:gridCol w:w="3390"/>
        <w:gridCol w:w="6171"/>
      </w:tblGrid>
      <w:tr w:rsidR="005058F2" w:rsidRPr="004D77E0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77E0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77E0" w14:paraId="60CDF2D4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1321BE" w:rsidRPr="004D77E0" w14:paraId="1F4280B1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270F3EE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="007D3AA2"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6EC507F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Fruzaqla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17D0597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frukwintynib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AA9781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B.4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D2107B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2732662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frukwintynibem w monoterapii dorosłych pacjentów z zaawansowanym rakiem elita grubego, po udokumentowanej nieskuteczności chemioterapii opartej na fluoropirymidynie, oksaliplatynie i irynotekanie, lekach anty-VEGF, lekach anty-EGFR oraz triflurydynie z typiracylem lub regorafenibie (III lub kolejne linie leczenia).</w:t>
            </w:r>
          </w:p>
        </w:tc>
      </w:tr>
      <w:tr w:rsidR="00661BA2" w:rsidRPr="004D77E0" w14:paraId="4EA5D316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5E8E" w14:textId="0623A29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346" w14:textId="2F64A36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Tagrisso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B510" w14:textId="42DD291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ozymertynib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D5DE" w14:textId="397F2C0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8230" w14:textId="5EC9EBD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B6E" w14:textId="0369F11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konsolidujące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 pacjentów z miejscowo zaawansowanym, nieoperacyjnym niedrobnokomórkowym rakiem płuca, u których występuje mutacja delecji w eksonie 19 lub substytucji L858R w eksonie 21 genu EGFR, i u których nie doszło do progresji choroby w trakcie lub po zakończeniu chemioradioterapii opartej na pochodnych platyny. </w:t>
            </w:r>
          </w:p>
        </w:tc>
      </w:tr>
      <w:tr w:rsidR="00661BA2" w:rsidRPr="004D77E0" w14:paraId="5A345E23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20226FB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405A16A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Kisqali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5B232A6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rybocyklib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6F1DA9C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6007D9C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283AFCC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(adjuwantowe) rybocyklibem w skojarzeniu z inhibitorem aromatazy dorosłych pacjentów z wczesnym HR-dodatnim, HER2-ujemnym rakiem piersi. </w:t>
            </w:r>
          </w:p>
        </w:tc>
      </w:tr>
      <w:tr w:rsidR="00661BA2" w:rsidRPr="004D77E0" w14:paraId="2F304C7B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6423F9D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79FFB1A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Phesqo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8A29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pertuzumab + trastuzumab</w:t>
            </w:r>
          </w:p>
          <w:p w14:paraId="61F52E7F" w14:textId="1D173FE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(do podań podskórnych, s.c.)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FFB682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0AD81F0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202A13A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na HER2 dodatniego raka piersi w formie podań podskórnych: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przedoperacyjne (neoadjuwantowe) raka piersi pertuzumabem w skojarzeniu z trastuzumabem i chemioterapią.</w:t>
            </w:r>
            <w:r w:rsidRPr="004D77E0">
              <w:rPr>
                <w:rFonts w:ascii="Arial" w:hAnsi="Arial" w:cs="Arial"/>
                <w:color w:val="000000"/>
                <w:sz w:val="18"/>
                <w:szCs w:val="18"/>
              </w:rPr>
              <w:t>​</w:t>
            </w:r>
            <w:r w:rsidRPr="00F453C2">
              <w:rPr>
                <w:rFonts w:ascii="Lato" w:hAnsi="Lato" w:cs="Arial"/>
                <w:color w:val="000000"/>
                <w:sz w:val="18"/>
                <w:szCs w:val="18"/>
              </w:rPr>
              <w:t xml:space="preserve"> </w:t>
            </w:r>
            <w:r w:rsidRPr="00F453C2">
              <w:rPr>
                <w:rFonts w:ascii="Lato" w:hAnsi="Lato" w:cs="Arial"/>
                <w:color w:val="000000"/>
                <w:sz w:val="18"/>
                <w:szCs w:val="18"/>
              </w:rPr>
              <w:br/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przerzutowego raka piersi pertuzumabem w skojarzeniu z trastuzumabem i docetakselem w I linia leczenia przerzutowego raka piersi. </w:t>
            </w:r>
          </w:p>
        </w:tc>
      </w:tr>
      <w:tr w:rsidR="00661BA2" w:rsidRPr="004D77E0" w14:paraId="41B567AC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5335C3A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093FA5B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Truqap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69C40C2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kapiwasertyb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1123AD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5368E0D6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38E8DB6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linii leczenia w skojarzeniu z fulwestrantem, u dorosłych pacjentów na miejscowo zaawansowanego lub przerzutowego raka piersi hormonozależnego, HER2-ujemnego, z co najmniej jedną zmianą w genach PIK3CA/AKT1/PTEN.</w:t>
            </w:r>
          </w:p>
        </w:tc>
      </w:tr>
      <w:tr w:rsidR="00661BA2" w:rsidRPr="004D77E0" w14:paraId="4193F70D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0A040E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3419363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Trodelvy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5836CC72" w:rsidR="00661BA2" w:rsidRPr="004D77E0" w:rsidRDefault="00912744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</w:t>
            </w: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acytuzumab </w:t>
            </w:r>
            <w:r w:rsidR="00661BA2"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gowitekan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0BFEA64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33CA6F6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494E282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Leczenie od III lub IV linii w monoterapii 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dorosłych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 pacjentów na przerzutowego lub miejscowo zawansowanego (gdy radykalne leczenie miejscowe jest nieskuteczne lub niemożliwe do zastosowania) HER-2 ujemnego raka piersi.</w:t>
            </w:r>
          </w:p>
        </w:tc>
      </w:tr>
      <w:tr w:rsidR="00661BA2" w:rsidRPr="004D77E0" w14:paraId="34137848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2EE79AB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4A32602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Elahere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099F0DC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mirwetuksymab sorawtanzyna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35DFACA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60EF996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AFC1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w monoterapii, dorosłych pacjentek z opornym na platynę, surowiczym, o wysokim stopniu złośliwości nabłonkowym rakiem jajnika, rakiem jajowodu lub pierwotnym rakiem otrzewnej z dodatnim receptorem folianowym alfa (FR</w:t>
            </w:r>
            <w:r w:rsidRPr="004D77E0">
              <w:rPr>
                <w:rFonts w:cs="Calibri"/>
                <w:color w:val="000000"/>
                <w:sz w:val="18"/>
                <w:szCs w:val="18"/>
              </w:rPr>
              <w:t>α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), kt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 otrzyma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ł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y wcze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ś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niej od jednego do trzech schemat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leczenia systemowego.</w:t>
            </w:r>
          </w:p>
          <w:p w14:paraId="75074C9F" w14:textId="3289882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(Technologia lekowa o wysokim </w:t>
            </w:r>
            <w:r w:rsidR="0048087E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poziomie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innowacyjności)</w:t>
            </w:r>
          </w:p>
        </w:tc>
      </w:tr>
      <w:tr w:rsidR="00661BA2" w:rsidRPr="004D77E0" w14:paraId="79F6918C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0627376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BA04EF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Enhertu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200319E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trastuzumab derukstekan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32056C2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B.58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13586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22335CC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trastuzumabem derukstekanem w monoterapii dorosłych pacjentów z HER2 dodatnim zaawansowanym gruczolakorakiem żołądka lub połączenia żołądkowo-przełykowego, którzy otrzymali wcześniej schemat leczenia oparty na trastuzumabie (II lub kolejne linie leczenia).</w:t>
            </w:r>
          </w:p>
        </w:tc>
      </w:tr>
      <w:tr w:rsidR="00661BA2" w:rsidRPr="004D77E0" w14:paraId="2EAEEA58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2985F50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3168479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Opdivo + Yervoy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6139AF1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niwolumab + ipilim</w:t>
            </w:r>
            <w:r w:rsidR="005512E6"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u</w:t>
            </w: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F991F7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B.59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3059BB2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7D6E932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niwolumabem w skojarzeniu z ipilimumabem jako leczenie przedoperacyjne (neoadjuwantowe) i kontynuacja niwolumabem lub dabrafenibem w skojarzeniu z trametynibem jako leczenie pooperacyjne (adjuwantowe) po zabiegu chirurgicznym u chorych na czerniaka w stopniu zaawansowania III z przerzutami in transit lub potwierdzonym zajęciem węzłów chłonnych, bez przerzutów odległych.</w:t>
            </w:r>
          </w:p>
        </w:tc>
      </w:tr>
      <w:tr w:rsidR="00661BA2" w:rsidRPr="004D77E0" w14:paraId="28BD7DC7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5434" w14:textId="1315589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329F" w14:textId="7CFFCF0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Om</w:t>
            </w:r>
            <w:r w:rsidR="005D60FF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CE88" w14:textId="243D503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momelotynib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3045" w14:textId="5F3B3FB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7A05" w14:textId="2645905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NOWOTWORY MIELOPROLIFERACYJNE Ph (-) (ICD-10: D45, D47.1)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D0BD" w14:textId="56681C5D" w:rsidR="00661BA2" w:rsidRPr="00F453C2" w:rsidRDefault="00661BA2" w:rsidP="00661BA2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opcja terapeutyczna dla chorych </w:t>
            </w:r>
            <w:r w:rsidRPr="00F453C2">
              <w:rPr>
                <w:rFonts w:ascii="Lato" w:hAnsi="Lato"/>
                <w:sz w:val="18"/>
                <w:szCs w:val="18"/>
              </w:rPr>
              <w:t xml:space="preserve">na pierwotną mielofibrozę (PMF) lub mielofibrozę w przebiegu czerwienicy prawdziwej (Post-PV MF) lub mielofibrozę w przebiegu nadpłytkowości samoistnej (Post-ET MF), którzy nie byli wcześniej leczeni inhibitorami kinazy janusowej lub byli wcześniej leczeni </w:t>
            </w:r>
            <w:r w:rsidRPr="00F453C2">
              <w:rPr>
                <w:rFonts w:ascii="Lato" w:hAnsi="Lato"/>
                <w:i/>
                <w:iCs/>
                <w:sz w:val="18"/>
                <w:szCs w:val="18"/>
              </w:rPr>
              <w:t xml:space="preserve">ruksolitynibem </w:t>
            </w:r>
            <w:r w:rsidRPr="00F453C2">
              <w:rPr>
                <w:rFonts w:ascii="Lato" w:hAnsi="Lato"/>
                <w:sz w:val="18"/>
                <w:szCs w:val="18"/>
              </w:rPr>
              <w:t>lub</w:t>
            </w:r>
            <w:r w:rsidRPr="00F453C2">
              <w:rPr>
                <w:rFonts w:ascii="Lato" w:hAnsi="Lato"/>
                <w:i/>
                <w:iCs/>
                <w:sz w:val="18"/>
                <w:szCs w:val="18"/>
              </w:rPr>
              <w:t xml:space="preserve"> fedratynibem</w:t>
            </w:r>
            <w:r w:rsidRPr="00F453C2">
              <w:rPr>
                <w:rFonts w:ascii="Lato" w:hAnsi="Lato"/>
                <w:sz w:val="18"/>
                <w:szCs w:val="18"/>
              </w:rPr>
              <w:t>).</w:t>
            </w:r>
          </w:p>
          <w:p w14:paraId="5D3DD912" w14:textId="136D75A2" w:rsidR="006C31BC" w:rsidRPr="00F453C2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(Choroba rzadka)</w:t>
            </w:r>
          </w:p>
        </w:tc>
      </w:tr>
      <w:tr w:rsidR="00661BA2" w:rsidRPr="004D77E0" w14:paraId="7BD08E16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6B6B" w14:textId="34F3A2C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E72E" w14:textId="2F9F036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Keytruda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7434" w14:textId="0251ADD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pembrolizumab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B3FB" w14:textId="1287751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B.159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436E" w14:textId="71A3392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A2FC" w14:textId="731509B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Leczenie pembrolizumabem w skojarzeniu z chemioradioterapią, a następnie w monoterapii dorosłych pacjentek z pierwotnym </w:t>
            </w:r>
            <w:r w:rsidR="00912744" w:rsidRPr="004D77E0">
              <w:rPr>
                <w:rFonts w:ascii="Lato" w:hAnsi="Lato" w:cstheme="majorHAnsi"/>
                <w:sz w:val="18"/>
                <w:szCs w:val="18"/>
              </w:rPr>
              <w:t>nowo zdiagnozowanym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>, miejscowo zaawanasowanym rakiem szyjki macicy.</w:t>
            </w:r>
          </w:p>
        </w:tc>
      </w:tr>
      <w:tr w:rsidR="00661BA2" w:rsidRPr="004D77E0" w14:paraId="58A92FEF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F8D8" w14:textId="01B82F3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26E0" w14:textId="1B50E8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Keytruda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2E42" w14:textId="09F2D16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pembrolizumab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5F96" w14:textId="4357604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CD84" w14:textId="0A14C50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1A7E" w14:textId="09222A2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I linii dorosłych pacjentek na pierwotnie zaawansowanego lub nawrotowego raka endometrium pembrolizumabem w skojarzeniu z karboplatyną i paklitakselem, a następnie w terapii podtrzymującej pembrolizumebem w monoterapii.</w:t>
            </w:r>
          </w:p>
        </w:tc>
      </w:tr>
      <w:tr w:rsidR="00661BA2" w:rsidRPr="004D77E0" w14:paraId="6F0C135D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1695" w14:textId="11F82E0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0E85" w14:textId="165117C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Imfinzi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ED97" w14:textId="400A72B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durwalumab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9B90" w14:textId="6BE03B4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B7C2" w14:textId="14503B9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20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5C27" w14:textId="6509D283" w:rsidR="00661BA2" w:rsidRPr="00F453C2" w:rsidRDefault="00661BA2" w:rsidP="00661BA2">
            <w:pPr>
              <w:suppressAutoHyphens w:val="0"/>
              <w:autoSpaceDE w:val="0"/>
              <w:adjustRightInd w:val="0"/>
              <w:spacing w:after="60" w:line="276" w:lineRule="auto"/>
              <w:jc w:val="center"/>
              <w:textAlignment w:val="auto"/>
              <w:rPr>
                <w:rFonts w:ascii="Lato" w:hAnsi="Lato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I linia leczenia dorosłych pacjentek na pierwotnie zaawansowanego lub nawrotowego raka endometrium durwalumabem w skojarzeniu z karboplatyną i paklitakselem, którzy kwalifikują się do terapii systemowej, po którym następuje leczenie  podtrzymujące: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br/>
              <w:t>- durwalumabem w monoterapii w raku endometrium z zaburzeniami w systemie naprawy nieprawidłowo sparowanych nukleotydów  (dMMR) lub wysokiej niestabilności mikrosatelitarnej (ang. microsatellite instabilityhigh, MSI-H) albo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br/>
              <w:t xml:space="preserve"> - durwalumabem w skojarzeniu z olaparybem w raku endometrium bez zaburzeń w systemie naprawy nieprawidłowo sparowanych nukleotydów (pMMR)</w:t>
            </w:r>
            <w:r w:rsidRPr="00F453C2">
              <w:rPr>
                <w:rFonts w:ascii="Lato" w:hAnsi="Lato"/>
              </w:rPr>
              <w:t xml:space="preserve"> 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>lub bez wysokiej niestabilności mikrosatelitarnej (ang. microsatellite stable; bez MSI-H) .</w:t>
            </w:r>
          </w:p>
        </w:tc>
      </w:tr>
      <w:tr w:rsidR="00661BA2" w:rsidRPr="004D77E0" w14:paraId="318BF7FF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F5D1" w14:textId="790B2666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5646" w14:textId="6FCCCA3D" w:rsidR="00661BA2" w:rsidRPr="004D77E0" w:rsidRDefault="00822DFB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Imfinzi + </w:t>
            </w:r>
            <w:r w:rsidR="00661BA2"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Lynparza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0DD2" w14:textId="2E294F38" w:rsidR="00822DFB" w:rsidRDefault="00795B9B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d</w:t>
            </w:r>
            <w:r w:rsidR="00822DFB"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urwalumab</w:t>
            </w:r>
            <w:r w:rsidR="00822DFB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</w:t>
            </w:r>
          </w:p>
          <w:p w14:paraId="672BA54D" w14:textId="68AA03B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olaparyb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E11" w14:textId="4AF5889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35A6" w14:textId="4885162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20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1956" w14:textId="18C6342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</w:p>
        </w:tc>
      </w:tr>
      <w:tr w:rsidR="00661BA2" w:rsidRPr="004D77E0" w14:paraId="385862F6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0D6A" w14:textId="3BCD160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74E6" w14:textId="235DF34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Finlee</w:t>
            </w:r>
            <w:r w:rsidR="0048087E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+ Spexotras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69C8" w14:textId="02D6EE4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dabrafenib</w:t>
            </w:r>
            <w:r w:rsidR="0048087E"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trametynib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E969" w14:textId="518843C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B.177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2D1F" w14:textId="739E3E6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(ICD-10: C71)</w:t>
            </w:r>
          </w:p>
        </w:tc>
        <w:tc>
          <w:tcPr>
            <w:tcW w:w="20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E0D3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przy wykorzystaniu substancji czynnej dabrafenib w skojarzeniu z trametynibem.</w:t>
            </w:r>
          </w:p>
          <w:p w14:paraId="2D36B0A2" w14:textId="56DF79C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Dotyczy glejaków o niskim stopniu złośliwości (LGG) u pacjentów z mutacją BRAF V600E.</w:t>
            </w:r>
          </w:p>
          <w:p w14:paraId="4EB90692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(Technologia o wysokim poziomie innowacyjności)</w:t>
            </w:r>
          </w:p>
          <w:p w14:paraId="1797DF26" w14:textId="19B201E0" w:rsidR="0048087E" w:rsidRPr="004D77E0" w:rsidRDefault="0048087E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sz w:val="18"/>
                <w:szCs w:val="18"/>
              </w:rPr>
              <w:t>(Choroba rzadka)</w:t>
            </w:r>
          </w:p>
        </w:tc>
      </w:tr>
      <w:tr w:rsidR="00661BA2" w:rsidRPr="004D77E0" w14:paraId="1F524DFA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4D03" w14:textId="3841A68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16.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372A" w14:textId="07363A2B" w:rsidR="00661BA2" w:rsidRPr="004D77E0" w:rsidRDefault="0048087E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Finlee+ Spexotras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469C" w14:textId="68795136" w:rsidR="00661BA2" w:rsidRPr="004D77E0" w:rsidRDefault="0048087E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dabrafenib + trametynib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AE5B" w14:textId="73B62F4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B.177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B12E" w14:textId="2F3FDF6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(ICD-10: C71)</w:t>
            </w:r>
          </w:p>
        </w:tc>
        <w:tc>
          <w:tcPr>
            <w:tcW w:w="20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3A87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przy wykorzystaniu substancji czynnej dabrafenib w skojarzeniu z trametynibem.</w:t>
            </w:r>
          </w:p>
          <w:p w14:paraId="6CB13664" w14:textId="3498EAE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Dotyczy glejaków o wysokim stopniu złośliwości (HGG), u pacjentów z mutacją BRAF V600E.</w:t>
            </w:r>
          </w:p>
          <w:p w14:paraId="0809FD0C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(Technologia o wysokim poziomie innowacyjności)</w:t>
            </w:r>
          </w:p>
          <w:p w14:paraId="5A1CD633" w14:textId="48F81658" w:rsidR="00121E74" w:rsidRPr="004D77E0" w:rsidRDefault="00121E74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sz w:val="18"/>
                <w:szCs w:val="18"/>
              </w:rPr>
              <w:t>(Choroba rzadka)</w:t>
            </w:r>
          </w:p>
        </w:tc>
      </w:tr>
      <w:tr w:rsidR="00661BA2" w:rsidRPr="004D77E0" w14:paraId="2733A10F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08D" w14:textId="586A980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17.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3AD" w14:textId="1C47A5F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Hycamtin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A3F0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topotecan</w:t>
            </w:r>
          </w:p>
          <w:p w14:paraId="0E0B679E" w14:textId="10BBF24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(w postaci doustnej, p.o.)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BDDC" w14:textId="154B2BB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C.57.1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9A3C" w14:textId="7FD9111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TOPOTECAN p.o.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00EF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w monoterapii dorosłych pacjentów z nawrotowym rakiem drobnokomórkowym płuca, u których ponowne leczenie z użyciem chemioterapii pierwszego rzutu uznano za nieodpowiednie.</w:t>
            </w:r>
          </w:p>
          <w:p w14:paraId="2E4BA632" w14:textId="1B3DB48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6C31BC" w:rsidRPr="004D77E0" w14:paraId="703EE610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A5F9" w14:textId="7A41253B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18.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FBD3" w14:textId="3AFAC6DC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Erbitux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BA99" w14:textId="4109FB27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cetuximab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5D9F" w14:textId="64F20032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C.95.c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4EAA" w14:textId="15C4099F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CETUXIMAB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4011" w14:textId="1F6DBF71" w:rsidR="00463E4B" w:rsidRPr="004D77E0" w:rsidRDefault="00463E4B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Dodanie nowego zakresu wskazań pozarejestracyjnych (off-label) dla substancji czynnej cetuksymab w terapii raka płaskonabłonkowego głowy i szyi. Finansowanie dotyczyć będzie kolejnych linii terapii stosowanych po niepowodzeniu leczenia z zastosowaniem immunoterapii prowadzon</w:t>
            </w:r>
            <w:r w:rsidR="00E3083B"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programie lekowym B.52. </w:t>
            </w: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0CB0A88D" w14:textId="521003F2" w:rsidR="00C664AC" w:rsidRPr="00F453C2" w:rsidRDefault="00C664A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off-label)</w:t>
            </w:r>
          </w:p>
        </w:tc>
      </w:tr>
      <w:tr w:rsidR="00F07177" w:rsidRPr="004D77E0" w14:paraId="704E9642" w14:textId="77777777" w:rsidTr="00F453C2">
        <w:trPr>
          <w:cantSplit/>
          <w:trHeight w:val="727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5065" w14:textId="4C858CDC" w:rsidR="00F07177" w:rsidRPr="004D77E0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19.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3632" w14:textId="17498F2D" w:rsidR="00F07177" w:rsidRPr="004D77E0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Xgeva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C73F" w14:textId="66C37B4C" w:rsidR="00F07177" w:rsidRPr="004D77E0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denosumab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A6BD" w14:textId="06F5A87B" w:rsidR="00F07177" w:rsidRPr="00795B9B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C.109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54E3" w14:textId="23DD01A0" w:rsidR="00F07177" w:rsidRPr="00795B9B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DENOSUMAB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5319" w14:textId="35481C19" w:rsidR="00F07177" w:rsidRPr="00F453C2" w:rsidRDefault="00F07177" w:rsidP="00F0717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Rozszerzenie zakresu objętych refundacją kodów ICD-10 guzów litych przy jednoczesnej zmianie kategorii dostępności refundacyjnej dla denosumabu z programu lekowego B.134. na katalog chemioterapii.</w:t>
            </w:r>
          </w:p>
        </w:tc>
      </w:tr>
    </w:tbl>
    <w:p w14:paraId="7F9CCF36" w14:textId="51B74B46" w:rsidR="004D093B" w:rsidRPr="00F453C2" w:rsidRDefault="004D093B">
      <w:pPr>
        <w:rPr>
          <w:rFonts w:ascii="Lato" w:hAnsi="Lato"/>
        </w:rPr>
      </w:pPr>
    </w:p>
    <w:p w14:paraId="7FCF9A29" w14:textId="77777777" w:rsidR="004D093B" w:rsidRPr="00F453C2" w:rsidRDefault="004D093B">
      <w:pPr>
        <w:suppressAutoHyphens w:val="0"/>
        <w:rPr>
          <w:rFonts w:ascii="Lato" w:hAnsi="Lato"/>
        </w:rPr>
      </w:pPr>
      <w:r w:rsidRPr="00F453C2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1744"/>
        <w:gridCol w:w="1987"/>
        <w:gridCol w:w="2058"/>
        <w:gridCol w:w="3667"/>
        <w:gridCol w:w="5258"/>
      </w:tblGrid>
      <w:tr w:rsidR="002D6ED9" w:rsidRPr="004D77E0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77E0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1321BE" w:rsidRPr="004D77E0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BE00A89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534E422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Altuvoct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7C4C4FC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efanesoctocog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169D199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679C9366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5128F59E" w:rsidR="00565C90" w:rsidRPr="004D77E0" w:rsidRDefault="001321BE" w:rsidP="00565C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Udostępnienie pacjentom pediatrycznym czynnika krzepnięcia VIII o ultraprzedłużonym działaniu rok od zarejestrowania go w Europejskiej Agencji Leków. </w:t>
            </w:r>
            <w:r w:rsidR="00565C90"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6C31BC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565C90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 w:rsidR="006C31BC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321BE" w:rsidRPr="004D77E0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1384142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343C54F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Hemlibra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995413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emicizumab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3DF44DA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5ADA7A2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5ADF" w14:textId="77777777" w:rsidR="00565C90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na pełną populację pediatryczną oraz o pacjentów z umiarkowaną postacią hemofilii A przy ciężkim fenotypie krwotocznym.</w:t>
            </w:r>
            <w:r w:rsidR="00565C90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0C1040" w14:textId="02742BA7" w:rsidR="001321BE" w:rsidRPr="004D77E0" w:rsidRDefault="006C31BC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565C90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321BE" w:rsidRPr="004D77E0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4A3568AF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40FF" w14:textId="2C23CB0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0F5E89EF" w14:textId="664A1011" w:rsidR="00661BA2" w:rsidRPr="004D77E0" w:rsidRDefault="00661B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1B0E67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1A865F9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300ED19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438B799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4D77E0"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infliksymabem w postaci podskórnej pacjentów z ciężką lub umiarkowaną, czynną postacią ChL-C (wynik w skali CDAI &gt;220 punktów), w wieku od 18 lat.</w:t>
            </w:r>
          </w:p>
        </w:tc>
      </w:tr>
      <w:tr w:rsidR="001321BE" w:rsidRPr="004D77E0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0D3955CE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BE69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47880F3F" w14:textId="596B9709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2E230E6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11EB7E0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124E7D6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82DAE5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RZS infliksymabem w podskórnej postaci leku (aktualnie refundowany jest w postaci dożylnej).</w:t>
            </w:r>
          </w:p>
        </w:tc>
      </w:tr>
      <w:tr w:rsidR="001321BE" w:rsidRPr="004D77E0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1503F737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C4F3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5B155C18" w14:textId="2E2B7A24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4140BA6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6B3AFC5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50EFA56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14A8DD0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ŁZS infliksymabem w podskórnej postaci leku (aktualnie refundowany jest w postaci dożylnej).</w:t>
            </w:r>
          </w:p>
        </w:tc>
      </w:tr>
      <w:tr w:rsidR="001321BE" w:rsidRPr="004D77E0" w14:paraId="1AE3D8C5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359B" w14:textId="47A6ABC2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2D7B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55327837" w14:textId="74A479A8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A808" w14:textId="61C974B5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EA69" w14:textId="088F32A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9E21" w14:textId="7896DD8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AKTYWNĄ POSTACIĄ ZESZTYWNIAJĄCEGO ZAPALENIA STAWÓW KRĘGOSŁUPA (ZZSK) (ICD-10: M45)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259D" w14:textId="4EBE3C7E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ZZSK infliksymabem w podskórnej postaci leku (aktualnie refundowany jest w postaci dożylnej).</w:t>
            </w:r>
          </w:p>
        </w:tc>
      </w:tr>
      <w:tr w:rsidR="001321BE" w:rsidRPr="004D77E0" w14:paraId="02301C56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A9B5" w14:textId="140CC465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3F66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68A957B3" w14:textId="4A762716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4ACA" w14:textId="37A5C639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FC46" w14:textId="6DB23F5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01EB" w14:textId="6A35B7A3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UMIARKOWANĄ I CIĘŻKĄ POSTACIĄ ŁUSZCZYCY PLACKOWATEJ (ICD-10: L40.0)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4AD8" w14:textId="29D2D4F0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łuszczycą plackowatą infliksymabem w podskórnej postaci leku (aktualnie refundowany jest w postaci dożylnej).</w:t>
            </w:r>
          </w:p>
        </w:tc>
      </w:tr>
      <w:tr w:rsidR="001321BE" w:rsidRPr="004D77E0" w14:paraId="2A1C204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812C" w14:textId="5458235F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3BFB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33DD37AC" w14:textId="2870DEAE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8E49" w14:textId="37372FC0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6754" w14:textId="5B2FAC12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CF12" w14:textId="4EE907C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98F1" w14:textId="5CDC43F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4D77E0"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infliksymabem w postaci podskórnej pacjentów z ciężką lub umiarkowaną postacią WZJG (wynik w skali Mayo ≥6 punktów), w wieku od 18 lat.</w:t>
            </w:r>
          </w:p>
        </w:tc>
      </w:tr>
      <w:tr w:rsidR="001321BE" w:rsidRPr="004D77E0" w14:paraId="4B5EB201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C369" w14:textId="6017B4B0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8E2E" w14:textId="43146100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Fasenra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37ED" w14:textId="7FDA0CF2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benralizumab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84C" w14:textId="6B2F98D9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0658" w14:textId="1C079D4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M30.1, M31.3, M31.5, M31.6, M31.7, M31.8)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0AD9" w14:textId="7EB7625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benralizumabem pacjentów od 18 r. ż. chorych na eozynofilową ziarniniakowatość z zapaleniem naczyń w dedykowanej części programu: „III. LECZENIE CHORYCH Z AKTYWNĄ POSTACIĄ EOZYNOFILOWEJ ZIARNINIAKOWATOŚCI Z ZAPALENIEM NACZYŃ (EGPA) (ICD-10: M30.1)”</w:t>
            </w:r>
          </w:p>
          <w:p w14:paraId="799E5CE5" w14:textId="20921C2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1321BE" w:rsidRPr="004D77E0" w14:paraId="1913EFE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F589" w14:textId="7E45842A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5499" w14:textId="3BCED62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Voydeya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4487" w14:textId="08FAEB6B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danikopan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CBCE" w14:textId="1D26196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72BA" w14:textId="59A93A5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7F4A" w14:textId="77777777" w:rsidR="006C31BC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PNH danikopanem w skojarzeniu z rawulizumabem lub ekulizumabem, pierwsza terapia doustna. </w:t>
            </w:r>
          </w:p>
          <w:p w14:paraId="2095420F" w14:textId="7CB694DC" w:rsidR="001321BE" w:rsidRPr="004D77E0" w:rsidRDefault="006C31BC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1321BE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06DAB" w:rsidRPr="004D77E0" w14:paraId="2046657E" w14:textId="77777777" w:rsidTr="00A06DA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8484" w14:textId="66B9189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7952" w14:textId="12D888C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Piasky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0F91" w14:textId="180390F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krowalimab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9CF" w14:textId="5BDC0779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B384" w14:textId="2317A75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99A7" w14:textId="2164FC5B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PNH w wieku od 12 roku życia wcześniej nieleczonych inhibitorami C5 (C5i) lub stabilnych, leczonych C5i co najmniej 6 miesięcy.  Jest to rekombinowane humanizowane przeciwciało monoklonalne klasy immunoglobulin G1 (IgG1)</w:t>
            </w:r>
            <w:r w:rsidR="009127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- inhibitor układu dopełniacza C5.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0239635" w14:textId="4365839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1C84FA7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28763596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Leqvio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59F28D63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inklisiran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4926FD42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2E810FA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10F4" w14:textId="500A58C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leczenia dla populacji dorosłych pacjentów z bardzo wysokim i ekstremalnym ryzykiem chorób układu sercowo-naczyniowego oraz dorosłych pacjentów z heterozygotyczną hipercholesterolemią rodzinną.</w:t>
            </w:r>
          </w:p>
        </w:tc>
      </w:tr>
      <w:tr w:rsidR="00A06DAB" w:rsidRPr="004D77E0" w14:paraId="4BA1E6E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18CF" w14:textId="40FDF69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93E5" w14:textId="37FC3F2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Praluent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71BC" w14:textId="630EAC5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alirokumab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2650" w14:textId="44F6F0F5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D648" w14:textId="2843380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EF0C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leczenia dla populacji dorosłych pacjentów z bardzo wysokim i ekstremalnym ryzykiem chorób układu sercowo-naczyniowego oraz dorosłych pacjentów z heterozygotyczną hipercholesterolemią rodzinną.</w:t>
            </w:r>
          </w:p>
          <w:p w14:paraId="29054E84" w14:textId="316C929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pacjentów z heterozygotyczną hipercholesterolemią rodzinną.</w:t>
            </w:r>
          </w:p>
        </w:tc>
      </w:tr>
      <w:tr w:rsidR="00A06DAB" w:rsidRPr="004D77E0" w14:paraId="43E8CAC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2A5B" w14:textId="474E601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EAA7" w14:textId="2D40DF5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Repatha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03C6" w14:textId="2CC595D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ewolokumab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AD8D" w14:textId="3312A656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E658" w14:textId="35C9A975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9BEF" w14:textId="7ADE368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leczenia dla populacji dorosłych pacjentów z bardzo wysokim i ekstremalnym ryzykiem chorób układu sercowo-naczyniowego oraz dorosłych pacjentów z heterozygotyczną hipercholesterolemią rodzinną.</w:t>
            </w:r>
          </w:p>
        </w:tc>
      </w:tr>
      <w:tr w:rsidR="00A06DAB" w:rsidRPr="004D77E0" w14:paraId="3169AFC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BB44" w14:textId="501FFFD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0D2C" w14:textId="39DDC2A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Cibinqo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395D" w14:textId="0B81B87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abrocytynib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5950" w14:textId="0A8E9CB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1233" w14:textId="1C1F49D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1AF3" w14:textId="77606E6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populacji pacjentów z ciężką postacią AZS poprzez obniżenie wieku z 18 lat do 12 lat i powyżej. </w:t>
            </w:r>
          </w:p>
        </w:tc>
      </w:tr>
      <w:tr w:rsidR="00A06DAB" w:rsidRPr="004D77E0" w14:paraId="3ECF8532" w14:textId="77777777" w:rsidTr="00A06DA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447D" w14:textId="32EC90F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4AE7" w14:textId="4978798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produkty handlowe 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2B13" w14:textId="2DDBF41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69B8" w14:textId="6A30A08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8E50" w14:textId="668A2F8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TOCZNIEM RUMIENIOWATYM UKŁADOWYM (TRU, SLE) (ICD-10: M32)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56DC" w14:textId="77777777" w:rsidR="00A06DAB" w:rsidRPr="00F453C2" w:rsidRDefault="00A06DAB" w:rsidP="00A06DAB">
            <w:pPr>
              <w:spacing w:before="60" w:after="60" w:line="240" w:lineRule="auto"/>
              <w:jc w:val="center"/>
              <w:rPr>
                <w:rFonts w:ascii="Lato" w:hAnsi="Lato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rytuksymabem pacjentów z toczniem rumieniowatym układowym w wieku ≥ 18 lat oraz dzieci po okresie dojrzewania.</w:t>
            </w:r>
            <w:r w:rsidRPr="00F453C2">
              <w:rPr>
                <w:rFonts w:ascii="Lato" w:hAnsi="Lato"/>
              </w:rPr>
              <w:t xml:space="preserve"> </w:t>
            </w:r>
          </w:p>
          <w:p w14:paraId="7E6729AF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7DB25E10" w14:textId="56B710C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4D0AB30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4D9B" w14:textId="78092BE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ED3A" w14:textId="480B0226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B392" w14:textId="695E489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B84A" w14:textId="1476AE7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B6F7" w14:textId="26192E2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B7BB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rytuksymabem pacjentów z chorobą śródmiąższową płuc przebiegającą z włóknieniem o 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fenotypie postępującym (PF-ILD) w przebiegu układowych chorób tkanki łącznej lub związaną z twardziną układową (SSc-ILD).</w:t>
            </w:r>
          </w:p>
          <w:p w14:paraId="15F15CCC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503CF187" w14:textId="6781CC1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5CBB197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6E77" w14:textId="08D33A9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939C" w14:textId="79802B6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B358" w14:textId="450D26F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tocilizumab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17B" w14:textId="280FF79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85B6" w14:textId="07D654A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73A4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tocilizumabem pacjentów z chorobą śródmiąższową płuc związaną z twardziną układową (SSc-ILD).</w:t>
            </w:r>
          </w:p>
          <w:p w14:paraId="28B346C7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47D54B6B" w14:textId="00AEFEDD" w:rsidR="00A06DAB" w:rsidRPr="00F453C2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0D2D9E1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C798" w14:textId="3AD0BB42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D402" w14:textId="54740B19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Qalsody 100 mg roztwór do wstrzykiwań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16A2" w14:textId="02DA9B5F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tofersen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30C0" w14:textId="17874FE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B.176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FECD" w14:textId="3D11E45B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ZANIKOWE BOCZNE (ICD-10: G12.2)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5CCF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zanikowe boczne (ALS, SLA) związane z mutacją w genie dysmutazy ponadtlenkowej 1 (SOD1).</w:t>
            </w:r>
          </w:p>
          <w:p w14:paraId="285F64AA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Tofersen jest zaawansowaną cząsteczką (antysensownym oligonukleotydem) i jest przeznaczony do stosowania dooponowego przez nakłucie lędźwiowe.</w:t>
            </w:r>
          </w:p>
          <w:p w14:paraId="7AB5027E" w14:textId="6EA5A426" w:rsidR="00A06DAB" w:rsidRPr="00F453C2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Pr="004D77E0" w:rsidRDefault="004D093B">
      <w:pPr>
        <w:rPr>
          <w:rFonts w:ascii="Lato" w:hAnsi="Lato"/>
        </w:rPr>
      </w:pPr>
    </w:p>
    <w:p w14:paraId="169C5300" w14:textId="77777777" w:rsidR="004D093B" w:rsidRPr="004D77E0" w:rsidRDefault="004D093B">
      <w:pPr>
        <w:suppressAutoHyphens w:val="0"/>
        <w:rPr>
          <w:rFonts w:ascii="Lato" w:hAnsi="Lato"/>
        </w:rPr>
      </w:pPr>
      <w:r w:rsidRPr="004D77E0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1809"/>
        <w:gridCol w:w="2753"/>
        <w:gridCol w:w="10115"/>
      </w:tblGrid>
      <w:tr w:rsidR="00A434EB" w:rsidRPr="004D77E0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77E0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661BA2" w:rsidRPr="004D77E0" w14:paraId="50DA02B0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5D98A03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538A094B" w:rsidR="00661BA2" w:rsidRPr="004D77E0" w:rsidRDefault="00661BA2" w:rsidP="00795B9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7193581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D77E0">
              <w:rPr>
                <w:rFonts w:ascii="Lato" w:hAnsi="Lato"/>
                <w:b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3CA83085" w:rsidR="00661BA2" w:rsidRPr="004D77E0" w:rsidRDefault="00661BA2" w:rsidP="00661BA2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Wydłużenie okresu ważności badań obrazowych służących do kwalifikacji pacjentów do programu oraz usunięcie zapisu uzależniającego częstość wykonywania badań monitorujących leczenie od stwierdzenia przy kwalifikacji przerzutów do OUN.</w:t>
            </w:r>
          </w:p>
        </w:tc>
      </w:tr>
      <w:tr w:rsidR="00661BA2" w:rsidRPr="004D77E0" w14:paraId="571B0832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4403B18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97A5DBD" w:rsidR="00661BA2" w:rsidRPr="004D77E0" w:rsidRDefault="00661BA2" w:rsidP="00795B9B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266ADEB9" w:rsidR="00661BA2" w:rsidRPr="004D77E0" w:rsidRDefault="00661BA2" w:rsidP="00661BA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sz w:val="18"/>
                <w:szCs w:val="18"/>
                <w:lang w:eastAsia="en-US"/>
              </w:rPr>
            </w:pPr>
            <w:r w:rsidRPr="004D77E0">
              <w:rPr>
                <w:rFonts w:ascii="Lato" w:hAnsi="Lato" w:cs="Calibri"/>
                <w:b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5C44BDCE" w:rsidR="00661BA2" w:rsidRPr="004D77E0" w:rsidRDefault="00661BA2" w:rsidP="00661BA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/>
                <w:sz w:val="18"/>
                <w:szCs w:val="18"/>
              </w:rPr>
              <w:t xml:space="preserve">W zakresie leczenia ekulizumabem, rawulizumabem i </w:t>
            </w:r>
            <w:r w:rsidR="00912744" w:rsidRPr="004D77E0">
              <w:rPr>
                <w:rFonts w:ascii="Lato" w:hAnsi="Lato"/>
                <w:sz w:val="18"/>
                <w:szCs w:val="18"/>
              </w:rPr>
              <w:t>peg</w:t>
            </w:r>
            <w:r w:rsidR="00912744">
              <w:rPr>
                <w:rFonts w:ascii="Lato" w:hAnsi="Lato"/>
                <w:sz w:val="18"/>
                <w:szCs w:val="18"/>
              </w:rPr>
              <w:t>c</w:t>
            </w:r>
            <w:r w:rsidR="00912744" w:rsidRPr="004D77E0">
              <w:rPr>
                <w:rFonts w:ascii="Lato" w:hAnsi="Lato"/>
                <w:sz w:val="18"/>
                <w:szCs w:val="18"/>
              </w:rPr>
              <w:t xml:space="preserve">etakoplanem </w:t>
            </w:r>
            <w:r w:rsidRPr="004D77E0">
              <w:rPr>
                <w:rFonts w:ascii="Lato" w:hAnsi="Lato"/>
                <w:sz w:val="18"/>
                <w:szCs w:val="18"/>
              </w:rPr>
              <w:t>dopuszczenia do rozpoczęcia leczenia pacjentek ciężarnych. Powrót do wcześniejszej terapii w przypadku braku odpowiedzi na leczenie, wystąpieniu działań niepożądanych lub czasowych przeciwskazań do stosowania pegcetakoplanu. Uproszczenie monitorowania leczenia pegcetakoplanu.</w:t>
            </w:r>
          </w:p>
        </w:tc>
      </w:tr>
      <w:tr w:rsidR="00661BA2" w:rsidRPr="004D77E0" w14:paraId="5874EDB8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852C" w14:textId="04F63D6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920C" w14:textId="4B53E038" w:rsidR="00661BA2" w:rsidRPr="004D77E0" w:rsidRDefault="00661BA2" w:rsidP="00795B9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9E84" w14:textId="192C09DE" w:rsidR="00661BA2" w:rsidRPr="004D77E0" w:rsidRDefault="00661BA2" w:rsidP="00661BA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D77E0">
              <w:rPr>
                <w:rFonts w:ascii="Lato" w:hAnsi="Lato"/>
                <w:b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04B9" w14:textId="498340A5" w:rsidR="00661BA2" w:rsidRPr="004D77E0" w:rsidRDefault="00661BA2" w:rsidP="00661BA2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Doprecyzowanie zapisów powodujących wątpliwości przy zmianie terapii z rysdyplamu na nusinersen 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br/>
              <w:t>(np. w przypadkach planowanej ciąży, chorzy po zabiegach albo przy braku skuteczności rysdyplamu).</w:t>
            </w:r>
          </w:p>
        </w:tc>
      </w:tr>
      <w:tr w:rsidR="00FE2769" w:rsidRPr="004D77E0" w14:paraId="760505AF" w14:textId="77777777" w:rsidTr="00795B9B">
        <w:trPr>
          <w:cantSplit/>
          <w:trHeight w:val="70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5F72A00D" w:rsidR="00FE2769" w:rsidRPr="004D77E0" w:rsidRDefault="00FE2769" w:rsidP="00FE276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7448A87" w:rsidR="00FE2769" w:rsidRPr="004D77E0" w:rsidRDefault="000C7D57" w:rsidP="00795B9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7D5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C.104.c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0659DCCF" w:rsidR="00FE2769" w:rsidRPr="004D77E0" w:rsidRDefault="000C7D57" w:rsidP="000C7D57">
            <w:pPr>
              <w:pStyle w:val="Style2"/>
              <w:spacing w:before="60" w:after="60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7D57">
              <w:rPr>
                <w:rFonts w:ascii="Lato" w:hAnsi="Lato" w:cstheme="majorHAnsi"/>
                <w:b/>
                <w:bCs/>
                <w:sz w:val="18"/>
                <w:szCs w:val="18"/>
              </w:rPr>
              <w:t>NAB-PACLITAXEL I.V.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38CB4B08" w:rsidR="00FE2769" w:rsidRPr="004D77E0" w:rsidRDefault="000C7D57" w:rsidP="00FE276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kategorii dostępności nab-paklitakselu z programu lekowego B.85. </w:t>
            </w:r>
            <w:r w:rsidRPr="000C7D57">
              <w:rPr>
                <w:rFonts w:ascii="Lato" w:hAnsi="Lato" w:cstheme="majorHAnsi"/>
                <w:sz w:val="18"/>
                <w:szCs w:val="18"/>
              </w:rPr>
              <w:t>LECZENIE PACJENTÓW Z GRUCZOLAKORAKIEM TRZUSTKI (ICD-10: C25.0, C25.1, C25.2, C25.3, C25.5, C25.6, C25.7, C25.8, C25.9)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do katalogu chemioterapii.</w:t>
            </w:r>
          </w:p>
        </w:tc>
      </w:tr>
      <w:tr w:rsidR="000C7D57" w:rsidRPr="004D77E0" w14:paraId="3E101F43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632F" w14:textId="6FFE5189" w:rsidR="000C7D57" w:rsidRPr="004D77E0" w:rsidRDefault="000C7D57" w:rsidP="000C7D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D8FF" w14:textId="29A8F2BF" w:rsidR="000C7D57" w:rsidRPr="004D77E0" w:rsidRDefault="000C7D57" w:rsidP="00795B9B">
            <w:pPr>
              <w:pStyle w:val="Style2"/>
              <w:widowControl/>
              <w:spacing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56BA" w14:textId="51756027" w:rsidR="000C7D57" w:rsidRPr="004D77E0" w:rsidRDefault="000C7D57" w:rsidP="000C7D5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/>
                <w:b/>
                <w:bCs/>
                <w:sz w:val="18"/>
                <w:szCs w:val="18"/>
              </w:rPr>
              <w:t>PAZOPANIB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D7DD" w14:textId="1EF69F0C" w:rsidR="000C7D57" w:rsidRPr="004D77E0" w:rsidRDefault="000C7D57" w:rsidP="000C7D5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Zmiana kategorii dostępności z programu lekowego (B.10.) na lek stosowany w ramach katalogu chemioterapii (C.107.) w odniesieniu do substancji czynnej pazopanib - w terapii raka nerkowokomórkowego.</w:t>
            </w:r>
          </w:p>
        </w:tc>
      </w:tr>
      <w:tr w:rsidR="000C7D57" w:rsidRPr="004D77E0" w14:paraId="056FDDF6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063D" w14:textId="1C92A36C" w:rsidR="000C7D57" w:rsidRPr="004D77E0" w:rsidRDefault="000C7D57" w:rsidP="000C7D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04F6" w14:textId="221B98BE" w:rsidR="000C7D57" w:rsidRPr="004D77E0" w:rsidRDefault="000C7D57" w:rsidP="00795B9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310C" w14:textId="17BF7B94" w:rsidR="000C7D57" w:rsidRPr="004D77E0" w:rsidRDefault="000C7D57" w:rsidP="000C7D5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4D77E0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>PAZOPANIB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97D6" w14:textId="27F4AC57" w:rsidR="000C7D57" w:rsidRPr="004D77E0" w:rsidRDefault="000C7D57" w:rsidP="000C7D5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Zmiana kategorii dostępności z programu lekowego (B.8.) na lek stosowany w ramach katalogu chemioterapii (C.107.b.) w odniesieniu do substancji czynnej pazopanib - w terapii mięsaków tkanek miękkich. Ponieważ pazopanib był ostatnią substancją objęta finasowaniem w PL B.8. to od 1 października 2025 r. leczenie mięsaków tkanek miękkich będzie odbywało się w całości w ramach katalogu chemioterapii.</w:t>
            </w:r>
          </w:p>
        </w:tc>
      </w:tr>
      <w:tr w:rsidR="00944A08" w:rsidRPr="004D77E0" w14:paraId="626E51F7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FAC3" w14:textId="0E727DF4" w:rsidR="00944A08" w:rsidRDefault="00944A08" w:rsidP="00944A0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DE62" w14:textId="5F498B1C" w:rsidR="00944A08" w:rsidRPr="004D77E0" w:rsidRDefault="00944A08" w:rsidP="00944A08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43C0" w14:textId="236AA730" w:rsidR="00944A08" w:rsidRPr="00944A08" w:rsidRDefault="00944A08" w:rsidP="00944A08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sz w:val="18"/>
                <w:szCs w:val="18"/>
                <w:lang w:eastAsia="en-US"/>
              </w:rPr>
            </w:pPr>
            <w:r w:rsidRPr="00944A08">
              <w:rPr>
                <w:rFonts w:ascii="Lato" w:hAnsi="Lato"/>
                <w:b/>
                <w:sz w:val="18"/>
                <w:szCs w:val="18"/>
              </w:rPr>
              <w:t>DENOSUMAB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D0AE" w14:textId="3D27A300" w:rsidR="00944A08" w:rsidRPr="004D77E0" w:rsidRDefault="00944A08" w:rsidP="00944A08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Zmiana kategorii dostępności z programu lekowego (B.134.)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 na lek stosowany w ramach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do katalogu chemioterapii (C.109). Jednocześnie rozbudowano zakres kodów ICD-10 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>guzów litych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</w:tbl>
    <w:p w14:paraId="08AE375A" w14:textId="21965E07" w:rsidR="006826ED" w:rsidRDefault="006826ED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20A1FED2" w14:textId="77777777" w:rsidR="006826ED" w:rsidRDefault="006826ED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052EAE3A" w14:textId="3F2DD5CD" w:rsidR="004D093B" w:rsidRPr="004D77E0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703841AA" w14:textId="36DADBCA" w:rsidR="0056748F" w:rsidRPr="004D77E0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77E0">
        <w:rPr>
          <w:rFonts w:ascii="Lato" w:hAnsi="Lato"/>
          <w:b/>
          <w:bCs/>
          <w:color w:val="00B0F0"/>
          <w:sz w:val="28"/>
          <w:szCs w:val="28"/>
        </w:rPr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2652"/>
        <w:gridCol w:w="2021"/>
        <w:gridCol w:w="5937"/>
        <w:gridCol w:w="4012"/>
      </w:tblGrid>
      <w:tr w:rsidR="00AD08C5" w:rsidRPr="004D77E0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77E0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77E0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77E0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77E0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213CAE" w:rsidRPr="004D77E0" w14:paraId="04D28BBA" w14:textId="77777777" w:rsidTr="00A06DA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1894" w14:textId="3E181FF1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CBAB" w14:textId="6315FDE4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Acarizax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3A28" w14:textId="301D0A28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s</w:t>
            </w:r>
            <w:r w:rsidR="00213CAE"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tandaryzowany wyciąg alergenowy roztoczy kurzu domowego (Dermatophagoides pteronyssinus, Dermatophagoides farina)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04F8" w14:textId="4526B985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umiarkowanego do ciężkiego alergicznego nieżytu nosa spowodowanego kurzem domowym, utrzymującego się pomimo stosowania leków łagodzących objawy u dzieci w wieku 5-11 lat, u których rozpoznanie zostało postawione na podstawie wywiadu klinicznego oraz dodatniego testu alergicznego na roztocze kurzu domowego (punktowe testy skórne lub swoiste immunoglobuliny E)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246" w14:textId="79A7FF7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Rozszerzenia wskazania o populację dzieci w wieku 5-11 lat.</w:t>
            </w:r>
          </w:p>
        </w:tc>
      </w:tr>
      <w:tr w:rsidR="00213CAE" w:rsidRPr="004D77E0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3E8E28DB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18DE6C95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Arexvy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68C270BC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="00213CAE"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zczepionka przeciw syncytialnemu wirusowi dróg oddechowych (RSV) (rekombinowana, z adiuwantem)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AE75BBC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484A310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drugiej szczepionki przeciw RSV dla osób powyżej 60 roku życia.</w:t>
            </w:r>
          </w:p>
        </w:tc>
      </w:tr>
      <w:tr w:rsidR="00213CAE" w:rsidRPr="004D77E0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6EC23E42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15BEF01D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Buccolam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590E4C1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midazolam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148B14F6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Przedłużone, ostre napady drgawkowe u dorosłych.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D0B9" w14:textId="77777777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Lek interwencyjny.</w:t>
            </w:r>
          </w:p>
          <w:p w14:paraId="11E71B42" w14:textId="77777777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Podanie podpoliczkowe - alternatywa dla refundowanego diazepamu podawanego doodbytniczo w celu przerwania napadów drgawkowych.</w:t>
            </w:r>
          </w:p>
          <w:p w14:paraId="10823724" w14:textId="6A0D627B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dostępnego obecnie tylko dla populacji pediatrycznej o populację dorosłych.</w:t>
            </w:r>
          </w:p>
        </w:tc>
      </w:tr>
      <w:tr w:rsidR="00767CC5" w:rsidRPr="004D77E0" w14:paraId="68403E4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8F09" w14:textId="386C5A4C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44AD" w14:textId="68E52886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Exferama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9D28" w14:textId="3FAED118" w:rsidR="00767CC5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767C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efera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zy</w:t>
            </w:r>
            <w:r w:rsidRPr="00767C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733C" w14:textId="77777777" w:rsidR="00767CC5" w:rsidRPr="00767CC5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7CC5">
              <w:rPr>
                <w:rFonts w:ascii="Lato" w:hAnsi="Lato" w:cstheme="majorHAnsi"/>
                <w:color w:val="000000"/>
                <w:sz w:val="18"/>
                <w:szCs w:val="18"/>
              </w:rPr>
              <w:t>Leczenie przewlekłego obciążenia żelazem spowodowanego transfuzjami krwi, gdy leczenie deferoksaminą jest przeciwwskazane lub nieodpowiednie, w następujących grupach pacjentów:</w:t>
            </w:r>
          </w:p>
          <w:p w14:paraId="07BBC0BB" w14:textId="77777777" w:rsidR="00767CC5" w:rsidRPr="00767CC5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7CC5">
              <w:rPr>
                <w:rFonts w:ascii="Lato" w:hAnsi="Lato" w:cstheme="majorHAnsi"/>
                <w:color w:val="000000"/>
                <w:sz w:val="18"/>
                <w:szCs w:val="18"/>
              </w:rPr>
              <w:t>− u dzieci z ciężką postacią talasemii beta z obciążeniem żelazem w wyniku częstych transfuzji krwi (≥7 ml/kg mc. na miesiąc koncentratu krwinek czerwonych) w wieku od 2 do 5 lat,</w:t>
            </w:r>
          </w:p>
          <w:p w14:paraId="48DD8A31" w14:textId="7B75ADC9" w:rsidR="00767CC5" w:rsidRPr="00767CC5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7CC5">
              <w:rPr>
                <w:rFonts w:ascii="Lato" w:hAnsi="Lato" w:cstheme="majorHAnsi"/>
                <w:color w:val="000000"/>
                <w:sz w:val="18"/>
                <w:szCs w:val="18"/>
              </w:rPr>
              <w:t>− u dorosłych, dzieci i młodzieży z ciężką postacią talasemii beta z obciążeniem żelazem w wyniku nieczęstych transfuzji krwi ( &lt; 7ml/kg m.c. na miesiąc koncentratu krwinek czerwonych) w wieku 2 lat i starszych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5FE8C81E" w14:textId="23C43213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7CC5">
              <w:rPr>
                <w:rFonts w:ascii="Lato" w:hAnsi="Lato" w:cstheme="majorHAnsi"/>
                <w:color w:val="000000"/>
                <w:sz w:val="18"/>
                <w:szCs w:val="18"/>
              </w:rPr>
              <w:t>- u dorosłych, dzieci i młodzieży z innymi rodzajami niedokrwistości w wieku 2 lat i starszych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CD54" w14:textId="44F7CB7B" w:rsidR="00767CC5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leku stosowanego u pacjentów przewlekle obciążonych żelazem ze względu na transfuzje krwi.</w:t>
            </w:r>
          </w:p>
          <w:p w14:paraId="63BF9928" w14:textId="77777777" w:rsidR="00767CC5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  <w:p w14:paraId="005216C5" w14:textId="486370E4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67CC5" w:rsidRPr="004D77E0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98B24F9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3620DB91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Forxiga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076EDD13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3B68FB90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Cukrzyca typu 2, u pacjentów stosujących co najmniej jeden lek hipoglikemizujący, z HbA1c ≥7% oraz bardzo wysokim ryzykiem sercowo-naczyniowym rozumianym jako: 1. potwierdzona choroba sercowo-naczyniowa, lub 2. uszkodzenie innych narządów objawiające się poprzez: białkomocz lub przerost lewej komory lub retinopatię, lub 3. obecność 3 lub więcej głównych czynników ryzyka spośród wymienionych poniżej: wiek ≥55 lat dla mężczyzn i ≥60 lat dla kobiet, dyslipidemia, nadciśnienie tętnicze, palenie tytoniu, otyłość.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45878FD0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poprzez obniżenie wymaganego poziomu hemoglobiny glikowanej, wprowadzenie konieczności stosowania co najmniej jednego leku hipoglikemizującego.</w:t>
            </w:r>
          </w:p>
        </w:tc>
      </w:tr>
      <w:tr w:rsidR="00767CC5" w:rsidRPr="004D77E0" w14:paraId="10C792C6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998C" w14:textId="759F75E7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6941" w14:textId="7CA509DB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Forxiga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8A7B" w14:textId="502B2281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3612" w14:textId="34AF0158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Przewlekła niewydolność serca u dorosłych pacjentów w pełnym zakresie LVEF oraz utrzymującymi się objawami choroby w klasie II-IV NYHA: − pomimo zastosowania terapii opartej na ACEi (lub ARB/ARNi) i lekach z grupy betaadrenolityków oraz jeśli wskazane antagonistach receptora mineralokortykoidów (z frakcją wyrzutową z LVEF ≤40%) lub − pomimo zastosowania terapii opartej na ACEi (lub ARB/ARNi) i lekach z grupy betaadrenolityków oraz jeśli wskazane diuretykach (z frakcją wyrzutową z LVEF&gt;40%).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42E1" w14:textId="38D36CBA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do pełnego zakresu frakcji wyrzutowej lewej komory serca (LVEF).</w:t>
            </w:r>
          </w:p>
        </w:tc>
      </w:tr>
      <w:tr w:rsidR="00767CC5" w:rsidRPr="004D77E0" w14:paraId="7AC7A105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290" w14:textId="6B125DD5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A9E0" w14:textId="7E08A184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Glandex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CEDD" w14:textId="2C29357F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eksemestan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E1FB" w14:textId="43F61C62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leczeniu zaawansowanego raka piersi u kobiet w okresie naturalnego lub wywołanego leczeniem stanu po menopauzie, u których choroba uległa postępowi po zastosowaniu terapii antyestrogenowej.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ADDF" w14:textId="5C6FE3BA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ujętej na wykazie substancji czynnej.</w:t>
            </w:r>
          </w:p>
          <w:p w14:paraId="2FCA3107" w14:textId="7C3A2EC8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67CC5" w:rsidRPr="004D77E0" w14:paraId="1F65A043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1E57" w14:textId="2559D8A6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E730" w14:textId="478CDE57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Oralair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18BF" w14:textId="12CA6794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w</w:t>
            </w: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yciąg alergenów z pyłków traw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17FA" w14:textId="1C4FD9B9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dzieci (od 5 roku życia), młodzieży oraz dorosłych (do 65 roku życia), u których zdiagnozowano alergiczny nieżyt nosa z</w:t>
            </w:r>
            <w:r w:rsidRPr="004D77E0">
              <w:rPr>
                <w:rFonts w:ascii="Arial" w:hAnsi="Arial" w:cs="Arial"/>
                <w:color w:val="000000"/>
                <w:sz w:val="18"/>
                <w:szCs w:val="18"/>
              </w:rPr>
              <w:t> 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lub bez zapalenia spoj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wek, na podstawie objaw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w klinicznych oraz dodatniego wyniku punktowego testu sk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rnego lub obecno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ś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ci swoistych IgE w surowicy skierowanego przeciw py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ł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kowi jednej z traw z grupy homologicznej traw wiechlinowatych (Pooideae)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9B53" w14:textId="3E605DDC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/>
                <w:sz w:val="18"/>
                <w:szCs w:val="18"/>
              </w:rPr>
              <w:t>Wyciąg alergenów z pyłków 5 traw.</w:t>
            </w:r>
          </w:p>
        </w:tc>
      </w:tr>
      <w:tr w:rsidR="00767CC5" w:rsidRPr="004D77E0" w14:paraId="0BC6A89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2808" w14:textId="5D4C5651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A1EE" w14:textId="0139141B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1E4D" w14:textId="05C5010A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anastrozol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2699" w14:textId="71C59D12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leczeniu zaawansowanego raka piersi u kobiet po menopauzie, u których stwierdzono w guzie obecność receptora estrogenowego.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A8F8" w14:textId="4B8030A2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ujętej na wykazie substancji czynnej.</w:t>
            </w:r>
          </w:p>
          <w:p w14:paraId="77657F04" w14:textId="1D89FC33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67CC5" w:rsidRPr="004D77E0" w14:paraId="5BDF8A8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0E3E" w14:textId="7048DB50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17D2" w14:textId="404F4888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AF14" w14:textId="3C9E68CA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letrozol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594D" w14:textId="2426EFFE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leczeniu zaawansowanego raka piersi u kobiet po menopauzie, występującej fizjologicznie lub wywołanej sztucznie, u których wystąpił nawrót lub progresja procesu nowotworowego, a które uprzednio były leczone lekami o działaniu antyestrogenowym.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9840" w14:textId="0FD69D6F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ujętej na wykazie substancji czynnej.</w:t>
            </w:r>
          </w:p>
          <w:p w14:paraId="12B599F2" w14:textId="77CA92D5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67CC5" w:rsidRPr="004D77E0" w14:paraId="2B168D8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0DCF" w14:textId="000C24EC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9DA9" w14:textId="65C500A1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Ryeqo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1F9B" w14:textId="51B61D3E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relugoliks +</w:t>
            </w: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br/>
              <w:t>estradiol + octan</w:t>
            </w: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br/>
              <w:t>noretysteronu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5487" w14:textId="528CBDEC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Objawowe leczenie endometriozy u dorosłych kobiet w wieku rozrodczym, które wcześniej były leczone farmakologicznie lub chirurgicznie.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8300" w14:textId="7C5EDDDF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ujętej na wykazie substancji czynnej.</w:t>
            </w:r>
          </w:p>
        </w:tc>
      </w:tr>
      <w:tr w:rsidR="00767CC5" w:rsidRPr="004D77E0" w14:paraId="70E7655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A074" w14:textId="7789D8AE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7D07" w14:textId="3B0095D6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Staloral 300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24D3" w14:textId="67533427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m</w:t>
            </w: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ieszanki wyciągów alergenowych roztoczy kurzu domowego (350 Dermatophagoides pteronyssinus, Dermatophagoides farinae)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DBB" w14:textId="126D7A90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w wieku od ukończonego 5. roku życia do ukończonego 12. roku życia (w wieku 5-11 lat)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lub swoiste immunoglobuliny 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48EC" w14:textId="0D0398BE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Rozszerzenia wskazania o populację dzieci w wieku 5-11 lat.</w:t>
            </w:r>
          </w:p>
        </w:tc>
      </w:tr>
      <w:tr w:rsidR="00767CC5" w:rsidRPr="004D77E0" w14:paraId="2E47449C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80D0" w14:textId="0A778E6B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529A" w14:textId="6E87F637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Staloral 300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9EBA" w14:textId="7175BD80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w</w:t>
            </w: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yciągi alergenowe pyłku tymotki łąkowej (661) albo pyłku brzozy (615) oraz</w:t>
            </w:r>
          </w:p>
          <w:p w14:paraId="4D51A9C6" w14:textId="4CBF446C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Mieszanki wyciągów alergenowych 5 traw (688)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E3E0" w14:textId="60B0D101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schorzeń alergicznych (typ I alergii wg klasyfikacji Gella i Coombsa), objawiających się nieżytem nosa, zapaleniem spojówek, nieżytem nosa i spojówek lub astmą (łagodną do umiarkowanej) u dzieci i młodzieży od ukończonego 5. roku życia do ukończonego 18. roku życia (w wieku 5-17 lat), u których rozpoznanie zostało postawione na podstawie wywiadu klinicznego oraz dodatniego wyniku punktowych testów skórnych lub testu w kierunku swoistej immunoglobuliny E na pyłki traw lub brzozy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E522" w14:textId="30914534" w:rsidR="00767CC5" w:rsidRPr="004D77E0" w:rsidRDefault="00767CC5" w:rsidP="00767C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wyciągów alergenowych pyłków roślin: tymotki łąkowej, pyłku brzozy oraz mieszaniny wyciągów 5 traw.</w:t>
            </w:r>
          </w:p>
        </w:tc>
      </w:tr>
    </w:tbl>
    <w:p w14:paraId="6B996492" w14:textId="0986F7C0" w:rsidR="009D10B8" w:rsidRPr="004D77E0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21B5752" w14:textId="78A39E6B" w:rsidR="006826ED" w:rsidRDefault="001321BE">
      <w:pPr>
        <w:suppressAutoHyphens w:val="0"/>
        <w:rPr>
          <w:rFonts w:ascii="Lato" w:hAnsi="Lato"/>
        </w:rPr>
      </w:pPr>
      <w:r w:rsidRPr="004D77E0">
        <w:rPr>
          <w:rFonts w:ascii="Lato" w:hAnsi="Lato"/>
        </w:rPr>
        <w:tab/>
      </w:r>
    </w:p>
    <w:p w14:paraId="0D5B3F4C" w14:textId="77777777" w:rsidR="001321BE" w:rsidRPr="004D77E0" w:rsidRDefault="001321BE" w:rsidP="001321BE">
      <w:pPr>
        <w:suppressAutoHyphens w:val="0"/>
        <w:rPr>
          <w:rFonts w:ascii="Lato" w:hAnsi="Lato"/>
          <w:b/>
          <w:bCs/>
          <w:color w:val="00B0F0"/>
        </w:rPr>
      </w:pPr>
    </w:p>
    <w:p w14:paraId="6EC0A257" w14:textId="77777777" w:rsidR="001321BE" w:rsidRPr="004D77E0" w:rsidRDefault="001321BE" w:rsidP="001321BE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77E0">
        <w:rPr>
          <w:rFonts w:ascii="Lato" w:hAnsi="Lato"/>
          <w:b/>
          <w:bCs/>
          <w:color w:val="00B0F0"/>
          <w:sz w:val="28"/>
          <w:szCs w:val="28"/>
        </w:rPr>
        <w:t xml:space="preserve">ZMIANY NA BEZPŁATNYCH WYKAZACH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124"/>
        <w:gridCol w:w="4210"/>
        <w:gridCol w:w="8534"/>
      </w:tblGrid>
      <w:tr w:rsidR="001321BE" w:rsidRPr="004D77E0" w14:paraId="5A3DE00D" w14:textId="77777777" w:rsidTr="00E20B57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D951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48004033"/>
            <w:r w:rsidRPr="004D77E0">
              <w:rPr>
                <w:rFonts w:ascii="Lato" w:hAnsi="Lato" w:cstheme="majorHAnsi"/>
                <w:b/>
                <w:bCs/>
                <w:color w:val="FFFFFF"/>
              </w:rPr>
              <w:t>Zmiany na liście 18-</w:t>
            </w:r>
          </w:p>
        </w:tc>
      </w:tr>
      <w:tr w:rsidR="001321BE" w:rsidRPr="004D77E0" w14:paraId="0D5A7C1E" w14:textId="77777777" w:rsidTr="00E20B57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34A8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690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D404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1368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8621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2773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7050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1321BE" w:rsidRPr="004D77E0" w14:paraId="53B8DA68" w14:textId="77777777" w:rsidTr="00E20B57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3036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72FD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Wyciągi alergenowe roztoczy kurzu domowego (Dermatophagoides pteronyssinus, Dermatophagoides farina)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38E9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w wieku od ukończonego 5. roku życia do ukończonego 12. roku życia (w wieku 5-11 lat)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lub swoiste immunoglobuliny E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3D27" w14:textId="77777777" w:rsidR="001321BE" w:rsidRPr="004D77E0" w:rsidRDefault="001321BE" w:rsidP="00E20B5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wyniku rozszerzenia populacji dla dzieci w wieku od 5 lat do 11 lat decyzją Ministra Zdrowia substancja czynna, która była oceniana przez Agencję Oceny Technologii Medycznych i Taryfikacji, została włączona na bezpłatny wykaz D1 (lista bezpłatnych leków 18-) z uwagi na bezpłatne zaopatrzenie starszej populacji dzieci w analogicznym wskazaniu.</w:t>
            </w:r>
          </w:p>
        </w:tc>
      </w:tr>
      <w:bookmarkEnd w:id="2"/>
    </w:tbl>
    <w:p w14:paraId="759FAE6E" w14:textId="77777777" w:rsidR="001321BE" w:rsidRPr="004D77E0" w:rsidRDefault="001321BE" w:rsidP="001321BE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124"/>
        <w:gridCol w:w="4210"/>
        <w:gridCol w:w="8534"/>
      </w:tblGrid>
      <w:tr w:rsidR="00565C90" w:rsidRPr="004D77E0" w14:paraId="21C06A5C" w14:textId="77777777" w:rsidTr="00145E7D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225F" w14:textId="02E9A754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565C90" w:rsidRPr="004D77E0" w14:paraId="748391B3" w14:textId="77777777" w:rsidTr="00145E7D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08B6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690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1E4A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1368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AD37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2773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D087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565C90" w:rsidRPr="004D77E0" w14:paraId="6A89B47A" w14:textId="77777777" w:rsidTr="00145E7D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64E1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F876" w14:textId="40EB7191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Szczepionka przeciw syncytialnemu wirusowi dróg oddechowych (RSV) (rekombinowana, z adiuwantem)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8FED" w14:textId="366C418A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2E65" w14:textId="58509A69" w:rsidR="00565C90" w:rsidRPr="004D77E0" w:rsidRDefault="00565C90" w:rsidP="00145E7D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Umieszczenie na wykazie 65+ dodatkowej szczepionki przeciwko RSV. </w:t>
            </w:r>
          </w:p>
        </w:tc>
      </w:tr>
      <w:tr w:rsidR="005512E6" w:rsidRPr="004D77E0" w14:paraId="016F6F04" w14:textId="77777777" w:rsidTr="00145E7D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729D" w14:textId="435BCBCB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F31D" w14:textId="3D1D0F56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Dapagliflozyna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5F98" w14:textId="3496C6F8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Cukrzyca typu 2, u pacjentów stosujących co najmniej jeden lek hipoglikemizujący, z HbA1c ≥7% oraz bardzo wysokim ryzykiem sercowo-naczyniowym rozumianym jako: 1. potwierdzona choroba sercowo-naczyniowa, lub 2. uszkodzenie innych narządów objawiające się poprzez: białkomocz lub przerost lewej komory lub retinopatię, lub 3. obecność 3 lub więcej głównych czynników ryzyka spośród wymienionych poniżej: wiek ≥55 lat dla mężczyzn i ≥60 lat dla kobiet, dyslipidemia, nadciśnienie tętnicze, palenie tytoniu, otyłość.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5608" w14:textId="7E17106A" w:rsidR="005512E6" w:rsidRPr="004D77E0" w:rsidRDefault="005512E6" w:rsidP="005512E6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Włączenie rozszerzonego wskazania diabetologicznego na listę D2.</w:t>
            </w:r>
          </w:p>
        </w:tc>
      </w:tr>
      <w:tr w:rsidR="005512E6" w:rsidRPr="004D77E0" w14:paraId="76FA32A1" w14:textId="77777777" w:rsidTr="00145E7D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0984" w14:textId="6C0B31ED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C826" w14:textId="3FEFAAAB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Dapagliflozyna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204F" w14:textId="175BE86B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Przewlekła niewydolność serca u dorosłych pacjentów w pełnym zakresie LVEF oraz utrzymującymi się objawami choroby w klasie II-IV NYHA: − pomimo zastosowania terapii opartej na ACEi (lub ARB/ARNi) i lekach z grupy betaadrenolityków oraz jeśli wskazane antagonistach receptora mineralokortykoidów (z frakcją wyrzutową z LVEF ≤40%) lub − pomimo zastosowania terapii opartej na ACEi (lub ARB/ARNi) i lekach z grupy betaadrenolityków oraz jeśli wskazane diuretykach (z frakcją wyrzutową z LVEF&gt;40%).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73FB" w14:textId="396F5CAB" w:rsidR="005512E6" w:rsidRPr="004D77E0" w:rsidRDefault="005512E6" w:rsidP="005512E6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Włączenie rozszerzonego wskazania kardiologicznego na listę D2.</w:t>
            </w:r>
          </w:p>
        </w:tc>
      </w:tr>
    </w:tbl>
    <w:p w14:paraId="54E1ACCA" w14:textId="09F3AC53" w:rsidR="001321BE" w:rsidRPr="004D77E0" w:rsidRDefault="001321BE" w:rsidP="001321BE">
      <w:pPr>
        <w:tabs>
          <w:tab w:val="left" w:pos="4283"/>
        </w:tabs>
        <w:rPr>
          <w:rFonts w:ascii="Lato" w:hAnsi="Lato"/>
        </w:rPr>
      </w:pPr>
    </w:p>
    <w:sectPr w:rsidR="001321BE" w:rsidRPr="004D77E0" w:rsidSect="00F453C2"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DB08" w14:textId="77777777" w:rsidR="000701F5" w:rsidRDefault="000701F5">
      <w:pPr>
        <w:spacing w:after="0" w:line="240" w:lineRule="auto"/>
      </w:pPr>
      <w:r>
        <w:separator/>
      </w:r>
    </w:p>
  </w:endnote>
  <w:endnote w:type="continuationSeparator" w:id="0">
    <w:p w14:paraId="53B7EFA6" w14:textId="77777777" w:rsidR="000701F5" w:rsidRDefault="0007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5FBC" w14:textId="77777777" w:rsidR="000701F5" w:rsidRDefault="000701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84AE32" w14:textId="77777777" w:rsidR="000701F5" w:rsidRDefault="0007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6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2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9"/>
  </w:num>
  <w:num w:numId="10" w16cid:durableId="1576276737">
    <w:abstractNumId w:val="1"/>
  </w:num>
  <w:num w:numId="11" w16cid:durableId="409036424">
    <w:abstractNumId w:val="23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21"/>
  </w:num>
  <w:num w:numId="17" w16cid:durableId="485172914">
    <w:abstractNumId w:val="15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7"/>
  </w:num>
  <w:num w:numId="22" w16cid:durableId="1157845039">
    <w:abstractNumId w:val="16"/>
  </w:num>
  <w:num w:numId="23" w16cid:durableId="1318220489">
    <w:abstractNumId w:val="13"/>
  </w:num>
  <w:num w:numId="24" w16cid:durableId="791442922">
    <w:abstractNumId w:val="18"/>
  </w:num>
  <w:num w:numId="25" w16cid:durableId="1852790301">
    <w:abstractNumId w:val="20"/>
  </w:num>
  <w:num w:numId="26" w16cid:durableId="1722246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1122C"/>
    <w:rsid w:val="00022990"/>
    <w:rsid w:val="00031E9F"/>
    <w:rsid w:val="00033ED5"/>
    <w:rsid w:val="0003445F"/>
    <w:rsid w:val="0004009C"/>
    <w:rsid w:val="0005011B"/>
    <w:rsid w:val="00052E44"/>
    <w:rsid w:val="000603EB"/>
    <w:rsid w:val="00061904"/>
    <w:rsid w:val="000701F5"/>
    <w:rsid w:val="000702E4"/>
    <w:rsid w:val="00070A13"/>
    <w:rsid w:val="00070A89"/>
    <w:rsid w:val="0008118E"/>
    <w:rsid w:val="00086074"/>
    <w:rsid w:val="0009112E"/>
    <w:rsid w:val="00092C38"/>
    <w:rsid w:val="00097B17"/>
    <w:rsid w:val="000A4576"/>
    <w:rsid w:val="000A688D"/>
    <w:rsid w:val="000A6B96"/>
    <w:rsid w:val="000B21F0"/>
    <w:rsid w:val="000B32C4"/>
    <w:rsid w:val="000B7075"/>
    <w:rsid w:val="000C7D57"/>
    <w:rsid w:val="000D02C0"/>
    <w:rsid w:val="000D2FED"/>
    <w:rsid w:val="000E3BBE"/>
    <w:rsid w:val="000E649C"/>
    <w:rsid w:val="000F077F"/>
    <w:rsid w:val="000F3ED2"/>
    <w:rsid w:val="000F50CB"/>
    <w:rsid w:val="000F5E24"/>
    <w:rsid w:val="001030B2"/>
    <w:rsid w:val="00103C77"/>
    <w:rsid w:val="001204EA"/>
    <w:rsid w:val="00121E74"/>
    <w:rsid w:val="001321BE"/>
    <w:rsid w:val="0014120D"/>
    <w:rsid w:val="00143D0B"/>
    <w:rsid w:val="00144B55"/>
    <w:rsid w:val="0014687D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2D4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3CAE"/>
    <w:rsid w:val="00221A2A"/>
    <w:rsid w:val="002270E2"/>
    <w:rsid w:val="0023030E"/>
    <w:rsid w:val="00230BB7"/>
    <w:rsid w:val="0024697E"/>
    <w:rsid w:val="00255E53"/>
    <w:rsid w:val="00256617"/>
    <w:rsid w:val="00275115"/>
    <w:rsid w:val="00280311"/>
    <w:rsid w:val="00281BE7"/>
    <w:rsid w:val="00286651"/>
    <w:rsid w:val="00287196"/>
    <w:rsid w:val="0029287B"/>
    <w:rsid w:val="0029403F"/>
    <w:rsid w:val="002A1024"/>
    <w:rsid w:val="002C0340"/>
    <w:rsid w:val="002C19DE"/>
    <w:rsid w:val="002C7803"/>
    <w:rsid w:val="002D55B8"/>
    <w:rsid w:val="002D6ED9"/>
    <w:rsid w:val="002E46AC"/>
    <w:rsid w:val="002F0FB2"/>
    <w:rsid w:val="002F61E3"/>
    <w:rsid w:val="00300474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3874"/>
    <w:rsid w:val="003A5B7D"/>
    <w:rsid w:val="003A6433"/>
    <w:rsid w:val="003B46BF"/>
    <w:rsid w:val="003D0498"/>
    <w:rsid w:val="003D2AE2"/>
    <w:rsid w:val="003D71C6"/>
    <w:rsid w:val="003F072E"/>
    <w:rsid w:val="003F3A5D"/>
    <w:rsid w:val="00404F9B"/>
    <w:rsid w:val="00411C64"/>
    <w:rsid w:val="004156E6"/>
    <w:rsid w:val="00415707"/>
    <w:rsid w:val="00416F70"/>
    <w:rsid w:val="0041703B"/>
    <w:rsid w:val="00426A12"/>
    <w:rsid w:val="004403B4"/>
    <w:rsid w:val="00446466"/>
    <w:rsid w:val="00447CE9"/>
    <w:rsid w:val="00453B55"/>
    <w:rsid w:val="00457779"/>
    <w:rsid w:val="00463E4B"/>
    <w:rsid w:val="00466FE8"/>
    <w:rsid w:val="004744CD"/>
    <w:rsid w:val="0048011A"/>
    <w:rsid w:val="0048087E"/>
    <w:rsid w:val="004850DC"/>
    <w:rsid w:val="00490715"/>
    <w:rsid w:val="00491267"/>
    <w:rsid w:val="00491300"/>
    <w:rsid w:val="00492285"/>
    <w:rsid w:val="004944F1"/>
    <w:rsid w:val="004A2F20"/>
    <w:rsid w:val="004A2F45"/>
    <w:rsid w:val="004A5135"/>
    <w:rsid w:val="004B2F38"/>
    <w:rsid w:val="004C35E7"/>
    <w:rsid w:val="004C7EB8"/>
    <w:rsid w:val="004D093B"/>
    <w:rsid w:val="004D2191"/>
    <w:rsid w:val="004D77E0"/>
    <w:rsid w:val="004D7DDC"/>
    <w:rsid w:val="004E4723"/>
    <w:rsid w:val="004F3FEF"/>
    <w:rsid w:val="005058F2"/>
    <w:rsid w:val="00512C38"/>
    <w:rsid w:val="00512C7C"/>
    <w:rsid w:val="005130EF"/>
    <w:rsid w:val="005143E4"/>
    <w:rsid w:val="00543E79"/>
    <w:rsid w:val="005512E6"/>
    <w:rsid w:val="0055182D"/>
    <w:rsid w:val="00553AE5"/>
    <w:rsid w:val="00565C90"/>
    <w:rsid w:val="0056748F"/>
    <w:rsid w:val="00570A91"/>
    <w:rsid w:val="00574D83"/>
    <w:rsid w:val="0058562B"/>
    <w:rsid w:val="005871C9"/>
    <w:rsid w:val="005B06B3"/>
    <w:rsid w:val="005B09E1"/>
    <w:rsid w:val="005B598A"/>
    <w:rsid w:val="005C1959"/>
    <w:rsid w:val="005C499F"/>
    <w:rsid w:val="005C608D"/>
    <w:rsid w:val="005C6551"/>
    <w:rsid w:val="005D269A"/>
    <w:rsid w:val="005D3140"/>
    <w:rsid w:val="005D5D31"/>
    <w:rsid w:val="005D60FF"/>
    <w:rsid w:val="005D7E09"/>
    <w:rsid w:val="005E4CF5"/>
    <w:rsid w:val="005E7898"/>
    <w:rsid w:val="005F41CC"/>
    <w:rsid w:val="005F70FE"/>
    <w:rsid w:val="006008CD"/>
    <w:rsid w:val="00633806"/>
    <w:rsid w:val="00633883"/>
    <w:rsid w:val="00634434"/>
    <w:rsid w:val="0064109C"/>
    <w:rsid w:val="0064487F"/>
    <w:rsid w:val="006516E8"/>
    <w:rsid w:val="00661BA2"/>
    <w:rsid w:val="006648F3"/>
    <w:rsid w:val="00670C14"/>
    <w:rsid w:val="0068046C"/>
    <w:rsid w:val="00680B0E"/>
    <w:rsid w:val="00682616"/>
    <w:rsid w:val="006826ED"/>
    <w:rsid w:val="00685732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31BC"/>
    <w:rsid w:val="006C452F"/>
    <w:rsid w:val="006C4ED5"/>
    <w:rsid w:val="006D079B"/>
    <w:rsid w:val="006D183E"/>
    <w:rsid w:val="006D336E"/>
    <w:rsid w:val="006D7964"/>
    <w:rsid w:val="006E62D7"/>
    <w:rsid w:val="006F498A"/>
    <w:rsid w:val="006F5BEB"/>
    <w:rsid w:val="00707F05"/>
    <w:rsid w:val="007135A8"/>
    <w:rsid w:val="007156F6"/>
    <w:rsid w:val="00715B91"/>
    <w:rsid w:val="007321D8"/>
    <w:rsid w:val="00733AF9"/>
    <w:rsid w:val="00734732"/>
    <w:rsid w:val="00740ABA"/>
    <w:rsid w:val="007417A0"/>
    <w:rsid w:val="0074295D"/>
    <w:rsid w:val="00754E58"/>
    <w:rsid w:val="00755E27"/>
    <w:rsid w:val="007655E7"/>
    <w:rsid w:val="00767CC5"/>
    <w:rsid w:val="0078723A"/>
    <w:rsid w:val="00795B9B"/>
    <w:rsid w:val="007A4FB5"/>
    <w:rsid w:val="007B043E"/>
    <w:rsid w:val="007B74F8"/>
    <w:rsid w:val="007C4332"/>
    <w:rsid w:val="007C4C95"/>
    <w:rsid w:val="007D0493"/>
    <w:rsid w:val="007D1551"/>
    <w:rsid w:val="007D273D"/>
    <w:rsid w:val="007D3AA2"/>
    <w:rsid w:val="007D6A3A"/>
    <w:rsid w:val="007D6B6F"/>
    <w:rsid w:val="007D74E2"/>
    <w:rsid w:val="007F016E"/>
    <w:rsid w:val="008008F6"/>
    <w:rsid w:val="008017A7"/>
    <w:rsid w:val="00822DFB"/>
    <w:rsid w:val="00823875"/>
    <w:rsid w:val="00827817"/>
    <w:rsid w:val="00827986"/>
    <w:rsid w:val="008279BD"/>
    <w:rsid w:val="0084154E"/>
    <w:rsid w:val="00841C78"/>
    <w:rsid w:val="00843352"/>
    <w:rsid w:val="00844624"/>
    <w:rsid w:val="008462C0"/>
    <w:rsid w:val="0087118E"/>
    <w:rsid w:val="0087657F"/>
    <w:rsid w:val="008771C8"/>
    <w:rsid w:val="00882DCA"/>
    <w:rsid w:val="0088727A"/>
    <w:rsid w:val="00896D35"/>
    <w:rsid w:val="008B00C4"/>
    <w:rsid w:val="008B43B0"/>
    <w:rsid w:val="008C0493"/>
    <w:rsid w:val="008C0E92"/>
    <w:rsid w:val="008C1DC6"/>
    <w:rsid w:val="008D45C3"/>
    <w:rsid w:val="008D723E"/>
    <w:rsid w:val="008E18D7"/>
    <w:rsid w:val="008E33C7"/>
    <w:rsid w:val="008F1D35"/>
    <w:rsid w:val="00902739"/>
    <w:rsid w:val="009066C7"/>
    <w:rsid w:val="00912744"/>
    <w:rsid w:val="00915144"/>
    <w:rsid w:val="0092216D"/>
    <w:rsid w:val="00933339"/>
    <w:rsid w:val="00944A08"/>
    <w:rsid w:val="00953B84"/>
    <w:rsid w:val="00982754"/>
    <w:rsid w:val="009943F4"/>
    <w:rsid w:val="00995E0A"/>
    <w:rsid w:val="00995FDD"/>
    <w:rsid w:val="00996389"/>
    <w:rsid w:val="009A2234"/>
    <w:rsid w:val="009A56BD"/>
    <w:rsid w:val="009A6D46"/>
    <w:rsid w:val="009B2F99"/>
    <w:rsid w:val="009B7A4D"/>
    <w:rsid w:val="009C573D"/>
    <w:rsid w:val="009C66C8"/>
    <w:rsid w:val="009D10B8"/>
    <w:rsid w:val="009D185F"/>
    <w:rsid w:val="009D43CC"/>
    <w:rsid w:val="009E2331"/>
    <w:rsid w:val="009F413F"/>
    <w:rsid w:val="009F4196"/>
    <w:rsid w:val="009F550A"/>
    <w:rsid w:val="009F7497"/>
    <w:rsid w:val="00A01F60"/>
    <w:rsid w:val="00A06DAB"/>
    <w:rsid w:val="00A118F0"/>
    <w:rsid w:val="00A159DA"/>
    <w:rsid w:val="00A20E09"/>
    <w:rsid w:val="00A22494"/>
    <w:rsid w:val="00A22A7B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3D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D0AB2"/>
    <w:rsid w:val="00AD602B"/>
    <w:rsid w:val="00AE069A"/>
    <w:rsid w:val="00AF1EBC"/>
    <w:rsid w:val="00B00F80"/>
    <w:rsid w:val="00B1467F"/>
    <w:rsid w:val="00B26346"/>
    <w:rsid w:val="00B31928"/>
    <w:rsid w:val="00B326A9"/>
    <w:rsid w:val="00B45ED3"/>
    <w:rsid w:val="00B543E9"/>
    <w:rsid w:val="00B57127"/>
    <w:rsid w:val="00B76B2B"/>
    <w:rsid w:val="00B8251D"/>
    <w:rsid w:val="00B92D4D"/>
    <w:rsid w:val="00B94288"/>
    <w:rsid w:val="00B9538B"/>
    <w:rsid w:val="00BA15A9"/>
    <w:rsid w:val="00BB30C0"/>
    <w:rsid w:val="00BC376D"/>
    <w:rsid w:val="00BD18E8"/>
    <w:rsid w:val="00BD20BC"/>
    <w:rsid w:val="00C129E4"/>
    <w:rsid w:val="00C15673"/>
    <w:rsid w:val="00C15E6F"/>
    <w:rsid w:val="00C210A9"/>
    <w:rsid w:val="00C22821"/>
    <w:rsid w:val="00C243BF"/>
    <w:rsid w:val="00C25F63"/>
    <w:rsid w:val="00C276AE"/>
    <w:rsid w:val="00C30537"/>
    <w:rsid w:val="00C34F0F"/>
    <w:rsid w:val="00C4237C"/>
    <w:rsid w:val="00C55218"/>
    <w:rsid w:val="00C55C85"/>
    <w:rsid w:val="00C60868"/>
    <w:rsid w:val="00C6097A"/>
    <w:rsid w:val="00C64DAA"/>
    <w:rsid w:val="00C65204"/>
    <w:rsid w:val="00C664AC"/>
    <w:rsid w:val="00C67FB4"/>
    <w:rsid w:val="00C70530"/>
    <w:rsid w:val="00C77217"/>
    <w:rsid w:val="00C816A5"/>
    <w:rsid w:val="00C83BE1"/>
    <w:rsid w:val="00C919E5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D7881"/>
    <w:rsid w:val="00CE099F"/>
    <w:rsid w:val="00CE73E2"/>
    <w:rsid w:val="00CF402D"/>
    <w:rsid w:val="00CF5E4F"/>
    <w:rsid w:val="00CF7674"/>
    <w:rsid w:val="00D17D3E"/>
    <w:rsid w:val="00D21B9D"/>
    <w:rsid w:val="00D44A5D"/>
    <w:rsid w:val="00D510E8"/>
    <w:rsid w:val="00D554A2"/>
    <w:rsid w:val="00D5628B"/>
    <w:rsid w:val="00D63F4F"/>
    <w:rsid w:val="00D6426A"/>
    <w:rsid w:val="00D66456"/>
    <w:rsid w:val="00D77CD0"/>
    <w:rsid w:val="00D92375"/>
    <w:rsid w:val="00D9306F"/>
    <w:rsid w:val="00D94376"/>
    <w:rsid w:val="00DA16F1"/>
    <w:rsid w:val="00DB0B88"/>
    <w:rsid w:val="00DD18C6"/>
    <w:rsid w:val="00DD6D00"/>
    <w:rsid w:val="00DE00F0"/>
    <w:rsid w:val="00DE1894"/>
    <w:rsid w:val="00DE5079"/>
    <w:rsid w:val="00DF6B3A"/>
    <w:rsid w:val="00E10271"/>
    <w:rsid w:val="00E134B8"/>
    <w:rsid w:val="00E275CD"/>
    <w:rsid w:val="00E3083B"/>
    <w:rsid w:val="00E34DF7"/>
    <w:rsid w:val="00E35DF6"/>
    <w:rsid w:val="00E50D44"/>
    <w:rsid w:val="00E52765"/>
    <w:rsid w:val="00E636D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D2E5D"/>
    <w:rsid w:val="00EE4384"/>
    <w:rsid w:val="00EE4BD7"/>
    <w:rsid w:val="00EF3551"/>
    <w:rsid w:val="00F017D6"/>
    <w:rsid w:val="00F066C9"/>
    <w:rsid w:val="00F07177"/>
    <w:rsid w:val="00F12CF6"/>
    <w:rsid w:val="00F147FC"/>
    <w:rsid w:val="00F15BD4"/>
    <w:rsid w:val="00F23691"/>
    <w:rsid w:val="00F31A79"/>
    <w:rsid w:val="00F42214"/>
    <w:rsid w:val="00F453C2"/>
    <w:rsid w:val="00F5061B"/>
    <w:rsid w:val="00F52755"/>
    <w:rsid w:val="00F61A7D"/>
    <w:rsid w:val="00F63AA8"/>
    <w:rsid w:val="00F67CA2"/>
    <w:rsid w:val="00F73CAC"/>
    <w:rsid w:val="00F74D9B"/>
    <w:rsid w:val="00F859A8"/>
    <w:rsid w:val="00F9203E"/>
    <w:rsid w:val="00F957B7"/>
    <w:rsid w:val="00FA53DF"/>
    <w:rsid w:val="00FA5800"/>
    <w:rsid w:val="00FB2364"/>
    <w:rsid w:val="00FB30AC"/>
    <w:rsid w:val="00FB3B6F"/>
    <w:rsid w:val="00FC712D"/>
    <w:rsid w:val="00FD39E3"/>
    <w:rsid w:val="00FD48BC"/>
    <w:rsid w:val="00FE1242"/>
    <w:rsid w:val="00FE2769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styleId="Poprawka">
    <w:name w:val="Revision"/>
    <w:hidden/>
    <w:uiPriority w:val="99"/>
    <w:semiHidden/>
    <w:rsid w:val="003A3874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2025'!$B$3:$E$3</c:f>
              <c:numCache>
                <c:formatCode>General</c:formatCode>
                <c:ptCount val="4"/>
                <c:pt idx="0">
                  <c:v>13</c:v>
                </c:pt>
                <c:pt idx="1">
                  <c:v>10</c:v>
                </c:pt>
                <c:pt idx="2">
                  <c:v>18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01-4583-B3D0-49199D87AD2B}"/>
            </c:ext>
          </c:extLst>
        </c:ser>
        <c:ser>
          <c:idx val="1"/>
          <c:order val="1"/>
          <c:tx>
            <c:strRef>
              <c:f>'miesiące 2025'!$A$4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2025'!$B$4:$E$4</c:f>
              <c:numCache>
                <c:formatCode>General</c:formatCode>
                <c:ptCount val="4"/>
                <c:pt idx="0">
                  <c:v>18</c:v>
                </c:pt>
                <c:pt idx="1">
                  <c:v>19</c:v>
                </c:pt>
                <c:pt idx="2">
                  <c:v>23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01-4583-B3D0-49199D87AD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2025'!$B$18:$E$18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60-4AE0-8A44-3AC5E06979F5}"/>
            </c:ext>
          </c:extLst>
        </c:ser>
        <c:ser>
          <c:idx val="1"/>
          <c:order val="1"/>
          <c:tx>
            <c:strRef>
              <c:f>'miesiące 2025'!$A$19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2025'!$B$19:$E$19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29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60-4AE0-8A44-3AC5E06979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2025 r. </a:t>
            </a:r>
          </a:p>
        </c:rich>
      </c:tx>
      <c:layout>
        <c:manualLayout>
          <c:xMode val="edge"/>
          <c:yMode val="edge"/>
          <c:x val="0.25296529732800593"/>
          <c:y val="1.7697683863420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9.2193272979254698E-2"/>
          <c:w val="0.84009663854336591"/>
          <c:h val="0.84366174141991557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2025'!$B$2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2025'!$A$3:$A$10,'miesiące 2025'!$A$12)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nerki</c:v>
                </c:pt>
                <c:pt idx="6">
                  <c:v>Nowotwory głowy 
i szyi</c:v>
                </c:pt>
                <c:pt idx="7">
                  <c:v>Nowotwory 
ginekologiczne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('miesiące 2025'!$B$3:$B$10,'miesiące 2025'!$B$12)</c:f>
              <c:numCache>
                <c:formatCode>General</c:formatCode>
                <c:ptCount val="9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7</c:v>
                </c:pt>
                <c:pt idx="4">
                  <c:v>10</c:v>
                </c:pt>
                <c:pt idx="5">
                  <c:v>1</c:v>
                </c:pt>
                <c:pt idx="6">
                  <c:v>1</c:v>
                </c:pt>
                <c:pt idx="7">
                  <c:v>18</c:v>
                </c:pt>
                <c:pt idx="8">
                  <c:v>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E5D-4665-8BDB-D9A5B8079E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2025 r.</a:t>
            </a:r>
          </a:p>
        </c:rich>
      </c:tx>
      <c:layout>
        <c:manualLayout>
          <c:xMode val="edge"/>
          <c:yMode val="edge"/>
          <c:x val="0.29040250799696682"/>
          <c:y val="1.17600940807526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9.5160150257580012E-2"/>
          <c:w val="0.76644349190079053"/>
          <c:h val="0.83248131811826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2025'!$B$19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2025'!$A$20:$A$39</c:f>
              <c:strCache>
                <c:ptCount val="20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Endokrynologia</c:v>
                </c:pt>
                <c:pt idx="14">
                  <c:v>Diabetologia</c:v>
                </c:pt>
                <c:pt idx="15">
                  <c:v>Dermatologia</c:v>
                </c:pt>
                <c:pt idx="16">
                  <c:v>Choroby zakaźne</c:v>
                </c:pt>
                <c:pt idx="17">
                  <c:v>Choroby metaboliczne</c:v>
                </c:pt>
                <c:pt idx="18">
                  <c:v>Angiologia</c:v>
                </c:pt>
                <c:pt idx="19">
                  <c:v>Alergologia</c:v>
                </c:pt>
              </c:strCache>
            </c:strRef>
          </c:cat>
          <c:val>
            <c:numRef>
              <c:f>'miesiące 2025'!$B$20:$B$39</c:f>
              <c:numCache>
                <c:formatCode>General</c:formatCode>
                <c:ptCount val="20"/>
                <c:pt idx="0">
                  <c:v>1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12</c:v>
                </c:pt>
                <c:pt idx="6">
                  <c:v>3</c:v>
                </c:pt>
                <c:pt idx="7">
                  <c:v>18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1</c:v>
                </c:pt>
                <c:pt idx="12">
                  <c:v>3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66-4EAE-9527-E70D4276A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5A0F-79F3-45FB-AAC6-7EBFDA95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3844</Words>
  <Characters>23065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6</cp:revision>
  <dcterms:created xsi:type="dcterms:W3CDTF">2025-09-17T07:36:00Z</dcterms:created>
  <dcterms:modified xsi:type="dcterms:W3CDTF">2025-09-17T09:28:00Z</dcterms:modified>
</cp:coreProperties>
</file>