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3773F3" w:rsidRDefault="00486E30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>Data:</w:t>
      </w:r>
      <w:r w:rsidR="0088080F" w:rsidRPr="003773F3">
        <w:rPr>
          <w:rFonts w:ascii="Arial" w:hAnsi="Arial" w:cs="Arial"/>
        </w:rPr>
        <w:t xml:space="preserve"> </w:t>
      </w:r>
      <w:bookmarkStart w:id="0" w:name="ezdDataPodpisu"/>
      <w:bookmarkEnd w:id="0"/>
    </w:p>
    <w:p w:rsidR="00420AC6" w:rsidRPr="003773F3" w:rsidRDefault="001A4BED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>Znak sprawy:</w:t>
      </w:r>
      <w:r w:rsidR="00AF181F" w:rsidRPr="003773F3">
        <w:rPr>
          <w:rFonts w:ascii="Arial" w:hAnsi="Arial" w:cs="Arial"/>
        </w:rPr>
        <w:t xml:space="preserve"> </w:t>
      </w:r>
      <w:bookmarkStart w:id="1" w:name="ezdSprawaZnak"/>
      <w:bookmarkEnd w:id="1"/>
    </w:p>
    <w:p w:rsidR="00AC6F29" w:rsidRPr="003773F3" w:rsidRDefault="00C17795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C17795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C17795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C17795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D12A92" w:rsidRPr="003773F3" w:rsidRDefault="00C17795" w:rsidP="00880FD8">
      <w:pPr>
        <w:ind w:left="5387"/>
        <w:rPr>
          <w:rFonts w:ascii="Arial" w:hAnsi="Arial" w:cs="Arial"/>
          <w:bCs/>
        </w:rPr>
      </w:pPr>
    </w:p>
    <w:p w:rsidR="005B492B" w:rsidRPr="003773F3" w:rsidRDefault="00C17795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7B1B19" w:rsidRDefault="007B1B19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022B1C" w:rsidRDefault="00022B1C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bookmarkStart w:id="2" w:name="_GoBack"/>
      <w:bookmarkEnd w:id="2"/>
    </w:p>
    <w:p w:rsidR="00A72B74" w:rsidRPr="003773F3" w:rsidRDefault="00A72B74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1F4A3C" w:rsidRDefault="00070C38" w:rsidP="001F4A3C">
      <w:pPr>
        <w:tabs>
          <w:tab w:val="center" w:pos="1848"/>
          <w:tab w:val="left" w:pos="5273"/>
        </w:tabs>
        <w:spacing w:before="600" w:after="600" w:line="360" w:lineRule="auto"/>
        <w:jc w:val="center"/>
        <w:outlineLvl w:val="0"/>
        <w:rPr>
          <w:rFonts w:ascii="Arial" w:hAnsi="Arial" w:cs="Arial"/>
          <w:b/>
        </w:rPr>
      </w:pPr>
      <w:r w:rsidRPr="00070C38">
        <w:rPr>
          <w:rFonts w:ascii="Arial" w:hAnsi="Arial" w:cs="Arial"/>
          <w:b/>
        </w:rPr>
        <w:t>ZAWIADOMIENIE O SPOSOBIE ZAŁATWIENIA PETYCJI</w:t>
      </w:r>
    </w:p>
    <w:p w:rsidR="00070C38" w:rsidRDefault="00CC7511" w:rsidP="00681E7E">
      <w:pPr>
        <w:spacing w:before="120" w:after="120" w:line="360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D</w:t>
      </w:r>
      <w:r w:rsidR="00070C38" w:rsidRPr="00070C38">
        <w:rPr>
          <w:rFonts w:ascii="Arial" w:hAnsi="Arial" w:cs="Arial"/>
          <w:lang w:bidi="pl-PL"/>
        </w:rPr>
        <w:t>ziałając na podstawie art. 13 ustawy z dnia 11 lipca 2014 r. o petycjach</w:t>
      </w:r>
      <w:r w:rsidR="00681E7E">
        <w:rPr>
          <w:rStyle w:val="Odwoanieprzypisudolnego"/>
          <w:rFonts w:ascii="Arial" w:hAnsi="Arial" w:cs="Arial"/>
          <w:lang w:bidi="pl-PL"/>
        </w:rPr>
        <w:footnoteReference w:id="1"/>
      </w:r>
      <w:r w:rsidR="00070C38" w:rsidRPr="00070C38">
        <w:rPr>
          <w:rFonts w:ascii="Arial" w:hAnsi="Arial" w:cs="Arial"/>
          <w:lang w:bidi="pl-PL"/>
        </w:rPr>
        <w:t xml:space="preserve"> </w:t>
      </w:r>
      <w:r w:rsidR="001E2942">
        <w:rPr>
          <w:rFonts w:ascii="Arial" w:hAnsi="Arial" w:cs="Arial"/>
          <w:lang w:bidi="pl-PL"/>
        </w:rPr>
        <w:t>informuję, że </w:t>
      </w:r>
      <w:r w:rsidR="00681E7E">
        <w:rPr>
          <w:rFonts w:ascii="Arial" w:hAnsi="Arial" w:cs="Arial"/>
          <w:lang w:bidi="pl-PL"/>
        </w:rPr>
        <w:t>petycja z dnia 11 sierpnia 2020 r. w sprawie</w:t>
      </w:r>
      <w:r w:rsidR="00070C38" w:rsidRPr="00070C38">
        <w:rPr>
          <w:rFonts w:ascii="Arial" w:hAnsi="Arial" w:cs="Arial"/>
          <w:lang w:bidi="pl-PL"/>
        </w:rPr>
        <w:t xml:space="preserve"> </w:t>
      </w:r>
      <w:r w:rsidR="00681E7E">
        <w:rPr>
          <w:rFonts w:ascii="Arial" w:hAnsi="Arial" w:cs="Arial"/>
          <w:lang w:bidi="pl-PL"/>
        </w:rPr>
        <w:t>wprowadzenia</w:t>
      </w:r>
      <w:r w:rsidR="00070C38" w:rsidRPr="00070C38">
        <w:rPr>
          <w:rFonts w:ascii="Arial" w:hAnsi="Arial" w:cs="Arial"/>
          <w:lang w:bidi="pl-PL"/>
        </w:rPr>
        <w:t xml:space="preserve"> zmian w ustawie z dnia 24 czerwca 1994 r. o własności lokali</w:t>
      </w:r>
      <w:r w:rsidR="00DB4C23">
        <w:rPr>
          <w:rStyle w:val="Odwoanieprzypisudolnego"/>
          <w:rFonts w:ascii="Arial" w:hAnsi="Arial" w:cs="Arial"/>
          <w:lang w:bidi="pl-PL"/>
        </w:rPr>
        <w:footnoteReference w:id="2"/>
      </w:r>
      <w:r w:rsidR="00681E7E">
        <w:rPr>
          <w:rFonts w:ascii="Arial" w:hAnsi="Arial" w:cs="Arial"/>
          <w:lang w:bidi="pl-PL"/>
        </w:rPr>
        <w:t xml:space="preserve"> dalej: </w:t>
      </w:r>
      <w:proofErr w:type="spellStart"/>
      <w:r w:rsidR="00681E7E">
        <w:rPr>
          <w:rFonts w:ascii="Arial" w:hAnsi="Arial" w:cs="Arial"/>
          <w:lang w:bidi="pl-PL"/>
        </w:rPr>
        <w:t>u.w.l</w:t>
      </w:r>
      <w:proofErr w:type="spellEnd"/>
      <w:r w:rsidR="00681E7E">
        <w:rPr>
          <w:rFonts w:ascii="Arial" w:hAnsi="Arial" w:cs="Arial"/>
          <w:lang w:bidi="pl-PL"/>
        </w:rPr>
        <w:t>.,</w:t>
      </w:r>
      <w:r w:rsidR="00070C38" w:rsidRPr="00070C38">
        <w:rPr>
          <w:rFonts w:ascii="Arial" w:hAnsi="Arial" w:cs="Arial"/>
          <w:lang w:bidi="pl-PL"/>
        </w:rPr>
        <w:t xml:space="preserve"> </w:t>
      </w:r>
      <w:r w:rsidR="00681E7E">
        <w:rPr>
          <w:rFonts w:ascii="Arial" w:hAnsi="Arial" w:cs="Arial"/>
          <w:lang w:bidi="pl-PL"/>
        </w:rPr>
        <w:t xml:space="preserve">w zakresie </w:t>
      </w:r>
      <w:r w:rsidR="001F4A3C">
        <w:rPr>
          <w:rFonts w:ascii="Arial" w:hAnsi="Arial" w:cs="Arial"/>
          <w:lang w:bidi="pl-PL"/>
        </w:rPr>
        <w:t xml:space="preserve">dotyczącym modyfikacji art. 14 </w:t>
      </w:r>
      <w:proofErr w:type="spellStart"/>
      <w:r w:rsidR="001F4A3C">
        <w:rPr>
          <w:rFonts w:ascii="Arial" w:hAnsi="Arial" w:cs="Arial"/>
          <w:lang w:bidi="pl-PL"/>
        </w:rPr>
        <w:t>u.w.l</w:t>
      </w:r>
      <w:proofErr w:type="spellEnd"/>
      <w:r w:rsidR="001F4A3C">
        <w:rPr>
          <w:rFonts w:ascii="Arial" w:hAnsi="Arial" w:cs="Arial"/>
          <w:lang w:bidi="pl-PL"/>
        </w:rPr>
        <w:t xml:space="preserve">. oraz </w:t>
      </w:r>
      <w:r w:rsidR="00681E7E">
        <w:rPr>
          <w:rFonts w:ascii="Arial" w:hAnsi="Arial" w:cs="Arial"/>
          <w:lang w:bidi="pl-PL"/>
        </w:rPr>
        <w:t xml:space="preserve">zmiany </w:t>
      </w:r>
      <w:r w:rsidR="00681E7E">
        <w:rPr>
          <w:rFonts w:ascii="Arial" w:hAnsi="Arial" w:cs="Arial"/>
        </w:rPr>
        <w:t xml:space="preserve">sposobu rozliczania </w:t>
      </w:r>
      <w:r w:rsidR="00681E7E" w:rsidRPr="00681E7E">
        <w:rPr>
          <w:rFonts w:ascii="Arial" w:hAnsi="Arial" w:cs="Arial"/>
        </w:rPr>
        <w:t xml:space="preserve">kosztów utrzymania </w:t>
      </w:r>
      <w:r w:rsidR="009F767D">
        <w:rPr>
          <w:rFonts w:ascii="Arial" w:hAnsi="Arial" w:cs="Arial"/>
        </w:rPr>
        <w:t>wind</w:t>
      </w:r>
      <w:r w:rsidR="00681E7E">
        <w:rPr>
          <w:rFonts w:ascii="Arial" w:hAnsi="Arial" w:cs="Arial"/>
          <w:lang w:bidi="pl-PL"/>
        </w:rPr>
        <w:t xml:space="preserve">, </w:t>
      </w:r>
      <w:r w:rsidR="00070C38" w:rsidRPr="00070C38">
        <w:rPr>
          <w:rFonts w:ascii="Arial" w:hAnsi="Arial" w:cs="Arial"/>
          <w:lang w:bidi="pl-PL"/>
        </w:rPr>
        <w:t xml:space="preserve">została rozpatrzona negatywnie. </w:t>
      </w:r>
    </w:p>
    <w:p w:rsidR="00A72B74" w:rsidRDefault="00A72B74" w:rsidP="00681E7E">
      <w:pPr>
        <w:spacing w:before="120" w:after="120" w:line="360" w:lineRule="auto"/>
        <w:jc w:val="both"/>
        <w:rPr>
          <w:rFonts w:ascii="Arial" w:hAnsi="Arial" w:cs="Arial"/>
          <w:lang w:bidi="pl-PL"/>
        </w:rPr>
      </w:pPr>
    </w:p>
    <w:p w:rsidR="00A72B74" w:rsidRDefault="00A72B74" w:rsidP="00A72B74">
      <w:pPr>
        <w:spacing w:after="240" w:line="276" w:lineRule="auto"/>
        <w:jc w:val="center"/>
        <w:rPr>
          <w:rFonts w:ascii="Arial" w:hAnsi="Arial" w:cs="Arial"/>
          <w:b/>
        </w:rPr>
      </w:pPr>
      <w:r w:rsidRPr="00A72B74">
        <w:rPr>
          <w:rFonts w:ascii="Arial" w:hAnsi="Arial" w:cs="Arial"/>
          <w:b/>
        </w:rPr>
        <w:t>UZASADNIENIE</w:t>
      </w:r>
    </w:p>
    <w:p w:rsidR="00DB4C23" w:rsidRDefault="00580089" w:rsidP="00DB4C23">
      <w:pPr>
        <w:spacing w:before="120" w:after="120" w:line="360" w:lineRule="auto"/>
        <w:jc w:val="both"/>
        <w:rPr>
          <w:rFonts w:ascii="Arial" w:hAnsi="Arial" w:cs="Arial"/>
          <w:bCs/>
          <w:lang w:bidi="pl-PL"/>
        </w:rPr>
      </w:pPr>
      <w:r w:rsidRPr="00580089">
        <w:rPr>
          <w:rFonts w:ascii="Arial" w:hAnsi="Arial" w:cs="Arial"/>
          <w:lang w:bidi="pl-PL"/>
        </w:rPr>
        <w:t xml:space="preserve">Zgodnie z art. 13 ust. 1 </w:t>
      </w:r>
      <w:proofErr w:type="spellStart"/>
      <w:r>
        <w:rPr>
          <w:rFonts w:ascii="Arial" w:hAnsi="Arial" w:cs="Arial"/>
          <w:lang w:bidi="pl-PL"/>
        </w:rPr>
        <w:t>u.w.l</w:t>
      </w:r>
      <w:proofErr w:type="spellEnd"/>
      <w:r>
        <w:rPr>
          <w:rFonts w:ascii="Arial" w:hAnsi="Arial" w:cs="Arial"/>
          <w:lang w:bidi="pl-PL"/>
        </w:rPr>
        <w:t>.</w:t>
      </w:r>
      <w:r w:rsidRPr="00580089">
        <w:rPr>
          <w:rFonts w:ascii="Arial" w:hAnsi="Arial" w:cs="Arial"/>
          <w:bCs/>
        </w:rPr>
        <w:t xml:space="preserve"> </w:t>
      </w:r>
      <w:r w:rsidRPr="00580089">
        <w:rPr>
          <w:rFonts w:ascii="Arial" w:hAnsi="Arial" w:cs="Arial"/>
          <w:bCs/>
          <w:lang w:bidi="pl-PL"/>
        </w:rPr>
        <w:t xml:space="preserve">każdy właściciel lokalu poza obowiązkiem utrzymania swojego lokalu w należytym stanie zobowiązany jest również uczestniczyć w kosztach zarządu związanych z utrzymaniem nieruchomości wspólnej. </w:t>
      </w:r>
      <w:r w:rsidRPr="00580089">
        <w:rPr>
          <w:rFonts w:ascii="Arial" w:hAnsi="Arial" w:cs="Arial"/>
          <w:lang w:bidi="pl-PL"/>
        </w:rPr>
        <w:t xml:space="preserve">Na pokrycie kosztów zarządu nieruchomością wspólną właściciele lokali uiszczają zaliczki w formie bieżących opłat, płatne z góry do 10 każdego miesiąca (art. 15 ust. 1 </w:t>
      </w:r>
      <w:proofErr w:type="spellStart"/>
      <w:r w:rsidRPr="00580089">
        <w:rPr>
          <w:rFonts w:ascii="Arial" w:hAnsi="Arial" w:cs="Arial"/>
          <w:lang w:bidi="pl-PL"/>
        </w:rPr>
        <w:t>u.w.l</w:t>
      </w:r>
      <w:proofErr w:type="spellEnd"/>
      <w:r w:rsidRPr="00580089">
        <w:rPr>
          <w:rFonts w:ascii="Arial" w:hAnsi="Arial" w:cs="Arial"/>
          <w:lang w:bidi="pl-PL"/>
        </w:rPr>
        <w:t>.). Rodzaje wydatków, które składają się na koszty zarządu nieruchomością ws</w:t>
      </w:r>
      <w:r w:rsidR="001E2942">
        <w:rPr>
          <w:rFonts w:ascii="Arial" w:hAnsi="Arial" w:cs="Arial"/>
          <w:lang w:bidi="pl-PL"/>
        </w:rPr>
        <w:t>pólną zostały wymienione w art. </w:t>
      </w:r>
      <w:r w:rsidRPr="00580089">
        <w:rPr>
          <w:rFonts w:ascii="Arial" w:hAnsi="Arial" w:cs="Arial"/>
          <w:lang w:bidi="pl-PL"/>
        </w:rPr>
        <w:t xml:space="preserve">14 </w:t>
      </w:r>
      <w:proofErr w:type="spellStart"/>
      <w:r w:rsidRPr="00580089">
        <w:rPr>
          <w:rFonts w:ascii="Arial" w:hAnsi="Arial" w:cs="Arial"/>
          <w:lang w:bidi="pl-PL"/>
        </w:rPr>
        <w:t>u.w.l</w:t>
      </w:r>
      <w:proofErr w:type="spellEnd"/>
      <w:r w:rsidRPr="00580089">
        <w:rPr>
          <w:rFonts w:ascii="Arial" w:hAnsi="Arial" w:cs="Arial"/>
          <w:lang w:bidi="pl-PL"/>
        </w:rPr>
        <w:t>. Wyliczenie rodzajów wydatków, które składają się na koszty zarządu nieruchomością wspólną, ma charakter wyłącznie przykładowy, o</w:t>
      </w:r>
      <w:r w:rsidR="00395917">
        <w:rPr>
          <w:rFonts w:ascii="Arial" w:hAnsi="Arial" w:cs="Arial"/>
          <w:lang w:bidi="pl-PL"/>
        </w:rPr>
        <w:t xml:space="preserve"> czym świadczy użycie zwrotu „w </w:t>
      </w:r>
      <w:r w:rsidRPr="00580089">
        <w:rPr>
          <w:rFonts w:ascii="Arial" w:hAnsi="Arial" w:cs="Arial"/>
          <w:lang w:bidi="pl-PL"/>
        </w:rPr>
        <w:t xml:space="preserve">szczególności”. Ustawodawca zdecydował o określeniu w art. 14 </w:t>
      </w:r>
      <w:proofErr w:type="spellStart"/>
      <w:r w:rsidRPr="00580089">
        <w:rPr>
          <w:rFonts w:ascii="Arial" w:hAnsi="Arial" w:cs="Arial"/>
          <w:lang w:bidi="pl-PL"/>
        </w:rPr>
        <w:t>u.w.l</w:t>
      </w:r>
      <w:proofErr w:type="spellEnd"/>
      <w:r w:rsidRPr="00580089">
        <w:rPr>
          <w:rFonts w:ascii="Arial" w:hAnsi="Arial" w:cs="Arial"/>
          <w:lang w:bidi="pl-PL"/>
        </w:rPr>
        <w:t>. przykładowego, czyli otwartego katalogu rodzajów wydatków, które składają się na koszty zarządu nieruchomością wspólną. Kosztami obciążającymi ws</w:t>
      </w:r>
      <w:r w:rsidR="00395917">
        <w:rPr>
          <w:rFonts w:ascii="Arial" w:hAnsi="Arial" w:cs="Arial"/>
          <w:lang w:bidi="pl-PL"/>
        </w:rPr>
        <w:t>zystkich właścicieli (każdego w </w:t>
      </w:r>
      <w:r w:rsidRPr="00580089">
        <w:rPr>
          <w:rFonts w:ascii="Arial" w:hAnsi="Arial" w:cs="Arial"/>
          <w:lang w:bidi="pl-PL"/>
        </w:rPr>
        <w:t xml:space="preserve">odpowiedniej ułamkowej części) są co do rodzaju te koszty, które zostały </w:t>
      </w:r>
      <w:r w:rsidRPr="00580089">
        <w:rPr>
          <w:rFonts w:ascii="Arial" w:hAnsi="Arial" w:cs="Arial"/>
          <w:lang w:bidi="pl-PL"/>
        </w:rPr>
        <w:lastRenderedPageBreak/>
        <w:t>wymienione w art. 14 </w:t>
      </w:r>
      <w:proofErr w:type="spellStart"/>
      <w:r w:rsidRPr="00580089">
        <w:rPr>
          <w:rFonts w:ascii="Arial" w:hAnsi="Arial" w:cs="Arial"/>
          <w:lang w:bidi="pl-PL"/>
        </w:rPr>
        <w:t>u.w.l</w:t>
      </w:r>
      <w:proofErr w:type="spellEnd"/>
      <w:r w:rsidRPr="00580089">
        <w:rPr>
          <w:rFonts w:ascii="Arial" w:hAnsi="Arial" w:cs="Arial"/>
          <w:lang w:bidi="pl-PL"/>
        </w:rPr>
        <w:t>., a co do rozmiaru te, które są związane z utrzymaniem współwłasności (nieruchomości wspólnej).</w:t>
      </w:r>
    </w:p>
    <w:p w:rsidR="00DB4C23" w:rsidRDefault="00DB4C23" w:rsidP="00DB4C23">
      <w:pPr>
        <w:spacing w:before="120" w:after="120" w:line="360" w:lineRule="auto"/>
        <w:jc w:val="both"/>
        <w:rPr>
          <w:rFonts w:ascii="Arial" w:hAnsi="Arial" w:cs="Arial"/>
          <w:bCs/>
        </w:rPr>
      </w:pPr>
      <w:r w:rsidRPr="00DB4C23">
        <w:rPr>
          <w:rFonts w:ascii="Arial" w:hAnsi="Arial" w:cs="Arial"/>
          <w:bCs/>
        </w:rPr>
        <w:t xml:space="preserve">Natomiast stosownie do art. 12 ust. 2 </w:t>
      </w:r>
      <w:proofErr w:type="spellStart"/>
      <w:r w:rsidRPr="00DB4C23">
        <w:rPr>
          <w:rFonts w:ascii="Arial" w:hAnsi="Arial" w:cs="Arial"/>
          <w:bCs/>
        </w:rPr>
        <w:t>u.w.l</w:t>
      </w:r>
      <w:proofErr w:type="spellEnd"/>
      <w:r w:rsidRPr="00DB4C23">
        <w:rPr>
          <w:rFonts w:ascii="Arial" w:hAnsi="Arial" w:cs="Arial"/>
          <w:bCs/>
        </w:rPr>
        <w:t>. właściciele lokali obowiązani są ponosić wszelkie wydatki i ciężary związane z utrzymaniem nieruchomości wspólnej (np. związane z utrzymaniem wind) w stosunku do posiadanych udziałów we współwłasności nieruchomości wspólnej zapisanych w aktach notarialnych. Jest to przepis ustawowy powszechnie obowiązujący, który nie może być mocą uchwały właścicieli lokali zmieniony</w:t>
      </w:r>
      <w:r w:rsidR="006B4B3B">
        <w:rPr>
          <w:rFonts w:ascii="Arial" w:hAnsi="Arial" w:cs="Arial"/>
          <w:bCs/>
        </w:rPr>
        <w:t>.</w:t>
      </w:r>
    </w:p>
    <w:p w:rsidR="00ED2AC5" w:rsidRDefault="00043A30" w:rsidP="00DB4C23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bidi="pl-PL"/>
        </w:rPr>
        <w:t xml:space="preserve">Jednocześnie </w:t>
      </w:r>
      <w:r w:rsidR="00DB4C23">
        <w:rPr>
          <w:rFonts w:ascii="Arial" w:hAnsi="Arial" w:cs="Arial"/>
        </w:rPr>
        <w:t xml:space="preserve">należy zauważyć, że </w:t>
      </w:r>
      <w:r w:rsidR="00DB4C23" w:rsidRPr="00DB4C23">
        <w:rPr>
          <w:rFonts w:ascii="Arial" w:hAnsi="Arial" w:cs="Arial"/>
          <w:bCs/>
        </w:rPr>
        <w:t xml:space="preserve">z prawem odrębnej własności lokalu jest nierozerwalnie związany udział w nieruchomości wspólnej. Udział w nieruchomości wspólnej zapisany w akcie notarialnym jest jednym z najistotniejszych ustaleń </w:t>
      </w:r>
      <w:proofErr w:type="spellStart"/>
      <w:r w:rsidR="00DB4C23" w:rsidRPr="00DB4C23">
        <w:rPr>
          <w:rFonts w:ascii="Arial" w:hAnsi="Arial" w:cs="Arial"/>
          <w:bCs/>
          <w:lang w:bidi="pl-PL"/>
        </w:rPr>
        <w:t>u.w.l</w:t>
      </w:r>
      <w:proofErr w:type="spellEnd"/>
      <w:r w:rsidR="00DB4C23" w:rsidRPr="00DB4C23">
        <w:rPr>
          <w:rFonts w:ascii="Arial" w:hAnsi="Arial" w:cs="Arial"/>
          <w:bCs/>
          <w:lang w:bidi="pl-PL"/>
        </w:rPr>
        <w:t>.</w:t>
      </w:r>
      <w:r w:rsidR="0025497B">
        <w:rPr>
          <w:rFonts w:ascii="Arial" w:hAnsi="Arial" w:cs="Arial"/>
          <w:bCs/>
          <w:lang w:bidi="pl-PL"/>
        </w:rPr>
        <w:t>.</w:t>
      </w:r>
      <w:r w:rsidR="00DB4C23" w:rsidRPr="00DB4C23">
        <w:rPr>
          <w:rFonts w:ascii="Arial" w:hAnsi="Arial" w:cs="Arial"/>
          <w:bCs/>
          <w:lang w:bidi="pl-PL"/>
        </w:rPr>
        <w:t xml:space="preserve"> </w:t>
      </w:r>
      <w:r w:rsidR="00DB4C23" w:rsidRPr="00DB4C23">
        <w:rPr>
          <w:rFonts w:ascii="Arial" w:hAnsi="Arial" w:cs="Arial"/>
          <w:bCs/>
        </w:rPr>
        <w:t xml:space="preserve">Zgodnie z art. 3 ust. 1 </w:t>
      </w:r>
      <w:proofErr w:type="spellStart"/>
      <w:r w:rsidR="00DB4C23" w:rsidRPr="00DB4C23">
        <w:rPr>
          <w:rFonts w:ascii="Arial" w:hAnsi="Arial" w:cs="Arial"/>
          <w:bCs/>
        </w:rPr>
        <w:t>u.w.l</w:t>
      </w:r>
      <w:proofErr w:type="spellEnd"/>
      <w:r w:rsidR="00DB4C23" w:rsidRPr="00DB4C23">
        <w:rPr>
          <w:rFonts w:ascii="Arial" w:hAnsi="Arial" w:cs="Arial"/>
          <w:bCs/>
        </w:rPr>
        <w:t>. w razie wyodrębnienia własności lokali właścicielowi lokalu przysługuje udział w nieruchomości wspólnej jako prawo związane z własnością lokali. Odrębna własność lokalu nie może zatem istnieć bez udziału właściciela w nieruchomości wspólnej. Dopóki trwa odrębna własność lokali, dopóty nie można żądać zniesienia współwłasności nieruchomości wspólnej. Powyższe oznacza przymus pozostawania</w:t>
      </w:r>
      <w:r w:rsidR="001E2942">
        <w:rPr>
          <w:rFonts w:ascii="Arial" w:hAnsi="Arial" w:cs="Arial"/>
          <w:bCs/>
        </w:rPr>
        <w:t xml:space="preserve"> w </w:t>
      </w:r>
      <w:r w:rsidR="00DB4C23" w:rsidRPr="00DB4C23">
        <w:rPr>
          <w:rFonts w:ascii="Arial" w:hAnsi="Arial" w:cs="Arial"/>
          <w:bCs/>
        </w:rPr>
        <w:t xml:space="preserve">stosunku współwłasności nieruchomości wspólnej wraz z konsekwencjami, np. co do obowiązku pokrywania kosztów </w:t>
      </w:r>
      <w:r w:rsidR="00AB4D63">
        <w:rPr>
          <w:rFonts w:ascii="Arial" w:hAnsi="Arial" w:cs="Arial"/>
          <w:bCs/>
        </w:rPr>
        <w:t xml:space="preserve">utrzymania nieruchomości (tzw. koszów </w:t>
      </w:r>
      <w:r w:rsidR="00DB4C23" w:rsidRPr="00DB4C23">
        <w:rPr>
          <w:rFonts w:ascii="Arial" w:hAnsi="Arial" w:cs="Arial"/>
          <w:bCs/>
        </w:rPr>
        <w:t>zarządu nieruchomością wspólną</w:t>
      </w:r>
      <w:r w:rsidR="00AB4D63">
        <w:rPr>
          <w:rFonts w:ascii="Arial" w:hAnsi="Arial" w:cs="Arial"/>
          <w:bCs/>
        </w:rPr>
        <w:t>)</w:t>
      </w:r>
      <w:r w:rsidR="00DB4C23" w:rsidRPr="00DB4C23">
        <w:rPr>
          <w:rFonts w:ascii="Arial" w:hAnsi="Arial" w:cs="Arial"/>
          <w:bCs/>
        </w:rPr>
        <w:t xml:space="preserve"> w proporcji do posiadanego w niej udziału. W myśl art. 3 ust. 2 </w:t>
      </w:r>
      <w:proofErr w:type="spellStart"/>
      <w:r w:rsidR="00DB4C23" w:rsidRPr="00DB4C23">
        <w:rPr>
          <w:rFonts w:ascii="Arial" w:hAnsi="Arial" w:cs="Arial"/>
          <w:bCs/>
        </w:rPr>
        <w:t>u.w.l</w:t>
      </w:r>
      <w:proofErr w:type="spellEnd"/>
      <w:r w:rsidR="00DB4C23" w:rsidRPr="00DB4C23">
        <w:rPr>
          <w:rFonts w:ascii="Arial" w:hAnsi="Arial" w:cs="Arial"/>
          <w:bCs/>
        </w:rPr>
        <w:t xml:space="preserve">. nieruchomość wspólną stanowi grunt oraz części budynku i urządzenia, które nie służą wyłącznie </w:t>
      </w:r>
      <w:r w:rsidR="00395917">
        <w:rPr>
          <w:rFonts w:ascii="Arial" w:hAnsi="Arial" w:cs="Arial"/>
          <w:bCs/>
        </w:rPr>
        <w:t>do użytku właścicieli lokali. W </w:t>
      </w:r>
      <w:r w:rsidR="00DB4C23" w:rsidRPr="00DB4C23">
        <w:rPr>
          <w:rFonts w:ascii="Arial" w:hAnsi="Arial" w:cs="Arial"/>
          <w:bCs/>
        </w:rPr>
        <w:t>następstwie ustanowienia odrębnej własności lokali zarówno grunt, na którym usytuowany jest budynek</w:t>
      </w:r>
      <w:r w:rsidR="006B4B3B">
        <w:rPr>
          <w:rFonts w:ascii="Arial" w:hAnsi="Arial" w:cs="Arial"/>
          <w:bCs/>
        </w:rPr>
        <w:t xml:space="preserve"> (budynki)</w:t>
      </w:r>
      <w:r w:rsidR="00DB4C23" w:rsidRPr="00DB4C23">
        <w:rPr>
          <w:rFonts w:ascii="Arial" w:hAnsi="Arial" w:cs="Arial"/>
          <w:bCs/>
        </w:rPr>
        <w:t>, jak i części budynku oraz urządzenia, które nie służą wyłącznie do użytku poszczególnych właścicieli lokali, a są niezb</w:t>
      </w:r>
      <w:r w:rsidR="006B3C8C">
        <w:rPr>
          <w:rFonts w:ascii="Arial" w:hAnsi="Arial" w:cs="Arial"/>
          <w:bCs/>
        </w:rPr>
        <w:t>ędne do korzystania z </w:t>
      </w:r>
      <w:r w:rsidR="001E2942">
        <w:rPr>
          <w:rFonts w:ascii="Arial" w:hAnsi="Arial" w:cs="Arial"/>
          <w:bCs/>
        </w:rPr>
        <w:t>budynku i </w:t>
      </w:r>
      <w:r w:rsidR="00DB4C23" w:rsidRPr="00DB4C23">
        <w:rPr>
          <w:rFonts w:ascii="Arial" w:hAnsi="Arial" w:cs="Arial"/>
          <w:bCs/>
        </w:rPr>
        <w:t xml:space="preserve">lokali, stają się stosownie do dyspozycji art. 3 ust. 2 </w:t>
      </w:r>
      <w:proofErr w:type="spellStart"/>
      <w:r w:rsidR="00DB4C23" w:rsidRPr="00DB4C23">
        <w:rPr>
          <w:rFonts w:ascii="Arial" w:hAnsi="Arial" w:cs="Arial"/>
          <w:bCs/>
        </w:rPr>
        <w:t>u.w.l</w:t>
      </w:r>
      <w:proofErr w:type="spellEnd"/>
      <w:r w:rsidR="00DB4C23" w:rsidRPr="00DB4C23">
        <w:rPr>
          <w:rFonts w:ascii="Arial" w:hAnsi="Arial" w:cs="Arial"/>
          <w:bCs/>
        </w:rPr>
        <w:t xml:space="preserve">. współwłasnością wszystkich właścicieli samodzielnych lokali. Nieruchomość wspólna prezentuje typ współwłasności przymusowej, ponieważ każdemu właścicielowi lokalu przysługuje w tej współwłasności odpowiedni ułamkowy udział. Nie jest to jednak typowa współwłasność ułamkowa, lecz szczególna jej odmiana, zwana współwłasnością przymusową. W budynku wielomieszkaniowym tzw. współwłasnością przymusową objęte są zatem takie jego części, jak np. klatki schodowe, windy, dachy, ściany zewnętrzne czy fundamenty. </w:t>
      </w:r>
    </w:p>
    <w:p w:rsidR="00FA1749" w:rsidRDefault="00DB4C23" w:rsidP="00DB4C23">
      <w:pPr>
        <w:spacing w:before="120" w:after="120" w:line="360" w:lineRule="auto"/>
        <w:jc w:val="both"/>
        <w:rPr>
          <w:rFonts w:ascii="Arial" w:hAnsi="Arial" w:cs="Arial"/>
          <w:bCs/>
        </w:rPr>
      </w:pPr>
      <w:r w:rsidRPr="00DB4C23">
        <w:rPr>
          <w:rFonts w:ascii="Arial" w:hAnsi="Arial" w:cs="Arial"/>
          <w:bCs/>
        </w:rPr>
        <w:t xml:space="preserve">Powyższe oznacza, iż </w:t>
      </w:r>
      <w:r w:rsidR="00A30006">
        <w:rPr>
          <w:rFonts w:ascii="Arial" w:hAnsi="Arial" w:cs="Arial"/>
          <w:bCs/>
        </w:rPr>
        <w:t>o</w:t>
      </w:r>
      <w:r w:rsidRPr="00DB4C23">
        <w:rPr>
          <w:rFonts w:ascii="Arial" w:hAnsi="Arial" w:cs="Arial"/>
          <w:bCs/>
        </w:rPr>
        <w:t>bowiązek ponoszenia kosztów utrzymania budynku wynika z faktu bycia współwłaścicielem nieruchomości i nie ma związku z rzeczywistym zakresem korzystania z danych urządzeń czy części nieruchomości.</w:t>
      </w:r>
      <w:r w:rsidR="001912E9">
        <w:rPr>
          <w:rFonts w:ascii="Arial" w:hAnsi="Arial" w:cs="Arial"/>
          <w:bCs/>
        </w:rPr>
        <w:t xml:space="preserve"> </w:t>
      </w:r>
      <w:r w:rsidR="00E13B9B">
        <w:rPr>
          <w:rFonts w:ascii="Arial" w:hAnsi="Arial" w:cs="Arial"/>
          <w:bCs/>
        </w:rPr>
        <w:t>Ustawa</w:t>
      </w:r>
      <w:r w:rsidR="001E2942">
        <w:rPr>
          <w:rFonts w:ascii="Arial" w:hAnsi="Arial" w:cs="Arial"/>
          <w:bCs/>
        </w:rPr>
        <w:t xml:space="preserve"> przyjmuje zasadę, iż </w:t>
      </w:r>
      <w:r w:rsidR="001910BE" w:rsidRPr="001910BE">
        <w:rPr>
          <w:rFonts w:ascii="Arial" w:hAnsi="Arial" w:cs="Arial"/>
          <w:bCs/>
        </w:rPr>
        <w:t xml:space="preserve">właściciele lokali ponoszą koszty utrzymania nieruchomości wspólnej bez względu na </w:t>
      </w:r>
      <w:r w:rsidR="001910BE" w:rsidRPr="001910BE">
        <w:rPr>
          <w:rFonts w:ascii="Arial" w:hAnsi="Arial" w:cs="Arial"/>
          <w:bCs/>
        </w:rPr>
        <w:lastRenderedPageBreak/>
        <w:t>to, w jakim zakresie z niej korzystają, ponieważ przyjęcie innej zasady doprowadziłoby do nieustannych sporów wśród właścicieli lokali</w:t>
      </w:r>
      <w:r w:rsidR="001910BE">
        <w:rPr>
          <w:rFonts w:ascii="Arial" w:hAnsi="Arial" w:cs="Arial"/>
          <w:bCs/>
        </w:rPr>
        <w:t xml:space="preserve">. </w:t>
      </w:r>
      <w:r w:rsidR="00ED2AC5" w:rsidRPr="00ED2AC5">
        <w:rPr>
          <w:rFonts w:ascii="Arial" w:hAnsi="Arial" w:cs="Arial"/>
          <w:bCs/>
        </w:rPr>
        <w:t>Kwalifikując windę ja</w:t>
      </w:r>
      <w:r w:rsidR="00B93EC3">
        <w:rPr>
          <w:rFonts w:ascii="Arial" w:hAnsi="Arial" w:cs="Arial"/>
          <w:bCs/>
        </w:rPr>
        <w:t>ko część nieruchomości wspólnej</w:t>
      </w:r>
      <w:r w:rsidR="00ED2AC5" w:rsidRPr="00ED2AC5">
        <w:rPr>
          <w:rFonts w:ascii="Arial" w:hAnsi="Arial" w:cs="Arial"/>
          <w:bCs/>
        </w:rPr>
        <w:t xml:space="preserve"> stwierdzić należy, że brak jest podstaw do różnicowania kosztów utrzymania nieruchom</w:t>
      </w:r>
      <w:r w:rsidR="00B93EC3">
        <w:rPr>
          <w:rFonts w:ascii="Arial" w:hAnsi="Arial" w:cs="Arial"/>
          <w:bCs/>
        </w:rPr>
        <w:t>ości wspólnej w zależności od tego, czy</w:t>
      </w:r>
      <w:r w:rsidR="00ED2AC5" w:rsidRPr="00ED2AC5">
        <w:rPr>
          <w:rFonts w:ascii="Arial" w:hAnsi="Arial" w:cs="Arial"/>
          <w:bCs/>
        </w:rPr>
        <w:t xml:space="preserve"> członek wspólnoty mi</w:t>
      </w:r>
      <w:r w:rsidR="00043A30">
        <w:rPr>
          <w:rFonts w:ascii="Arial" w:hAnsi="Arial" w:cs="Arial"/>
          <w:bCs/>
        </w:rPr>
        <w:t xml:space="preserve">eszkaniowej faktycznie </w:t>
      </w:r>
      <w:r w:rsidR="00B93EC3">
        <w:rPr>
          <w:rFonts w:ascii="Arial" w:hAnsi="Arial" w:cs="Arial"/>
          <w:bCs/>
        </w:rPr>
        <w:t xml:space="preserve">z niej korzysta oraz w jakim zakresie z niej </w:t>
      </w:r>
      <w:r w:rsidR="00043A30">
        <w:rPr>
          <w:rFonts w:ascii="Arial" w:hAnsi="Arial" w:cs="Arial"/>
          <w:bCs/>
        </w:rPr>
        <w:t>korzysta.</w:t>
      </w:r>
      <w:r w:rsidR="00ED2AC5" w:rsidRPr="00ED2AC5">
        <w:rPr>
          <w:rFonts w:ascii="Arial" w:hAnsi="Arial" w:cs="Arial"/>
          <w:bCs/>
        </w:rPr>
        <w:t xml:space="preserve"> </w:t>
      </w:r>
      <w:r w:rsidR="00043A30">
        <w:rPr>
          <w:rFonts w:ascii="Arial" w:hAnsi="Arial" w:cs="Arial"/>
          <w:bCs/>
        </w:rPr>
        <w:t>Z</w:t>
      </w:r>
      <w:r w:rsidR="00043A30" w:rsidRPr="00043A30">
        <w:rPr>
          <w:rFonts w:ascii="Arial" w:hAnsi="Arial" w:cs="Arial"/>
          <w:bCs/>
        </w:rPr>
        <w:t>aklas</w:t>
      </w:r>
      <w:r w:rsidR="00043A30">
        <w:rPr>
          <w:rFonts w:ascii="Arial" w:hAnsi="Arial" w:cs="Arial"/>
          <w:bCs/>
        </w:rPr>
        <w:t xml:space="preserve">yfikowanie danego elementu, konstrukcji, </w:t>
      </w:r>
      <w:r w:rsidR="00043A30" w:rsidRPr="00043A30">
        <w:rPr>
          <w:rFonts w:ascii="Arial" w:hAnsi="Arial" w:cs="Arial"/>
          <w:bCs/>
        </w:rPr>
        <w:t>pomieszczenia czy urządzenia do nieruchomości wspólnej</w:t>
      </w:r>
      <w:r w:rsidR="00043A30">
        <w:rPr>
          <w:rFonts w:ascii="Arial" w:hAnsi="Arial" w:cs="Arial"/>
          <w:bCs/>
        </w:rPr>
        <w:t xml:space="preserve"> przesądza o konieczności ponoszeniu przez poszczególnych właścicieli kosztów </w:t>
      </w:r>
      <w:r w:rsidR="00ED2AC5" w:rsidRPr="00ED2AC5">
        <w:rPr>
          <w:rFonts w:ascii="Arial" w:hAnsi="Arial" w:cs="Arial"/>
          <w:bCs/>
        </w:rPr>
        <w:t>utrzymania nieruchomości wspólnej</w:t>
      </w:r>
      <w:r w:rsidR="00ED2AC5">
        <w:rPr>
          <w:rFonts w:ascii="Arial" w:hAnsi="Arial" w:cs="Arial"/>
          <w:bCs/>
        </w:rPr>
        <w:t xml:space="preserve">. </w:t>
      </w:r>
    </w:p>
    <w:p w:rsidR="00F72E2A" w:rsidRDefault="00FA1749" w:rsidP="00FA1749">
      <w:pPr>
        <w:spacing w:before="120" w:after="120" w:line="360" w:lineRule="auto"/>
        <w:jc w:val="both"/>
        <w:rPr>
          <w:rFonts w:ascii="Arial" w:hAnsi="Arial" w:cs="Arial"/>
          <w:bCs/>
        </w:rPr>
      </w:pPr>
      <w:r w:rsidRPr="00FA1749">
        <w:rPr>
          <w:rFonts w:ascii="Arial" w:hAnsi="Arial" w:cs="Arial"/>
          <w:bCs/>
        </w:rPr>
        <w:t>Uczestniczenie w kosztach zarządu nieruchomością wspólną w proporcji do wysokości udziałów w nieruchomości wspólnej zapewnia rzetelne i racjonalne rozłożenie kosztów zarządu pomiędzy poszczególnych właścicieli lokali, a tym samym zapewnia prawidłowy zarząd nieruchomością wspólną</w:t>
      </w:r>
      <w:r w:rsidR="00366073">
        <w:rPr>
          <w:rFonts w:ascii="Arial" w:hAnsi="Arial" w:cs="Arial"/>
          <w:bCs/>
        </w:rPr>
        <w:t xml:space="preserve"> oraz utrzymanie </w:t>
      </w:r>
      <w:r w:rsidR="00DB4FA2">
        <w:rPr>
          <w:rFonts w:ascii="Arial" w:hAnsi="Arial" w:cs="Arial"/>
          <w:bCs/>
        </w:rPr>
        <w:t xml:space="preserve">nieruchomości w stanie niepogorszonym. </w:t>
      </w:r>
      <w:r w:rsidRPr="00FA1749">
        <w:rPr>
          <w:rFonts w:ascii="Arial" w:hAnsi="Arial" w:cs="Arial"/>
          <w:bCs/>
        </w:rPr>
        <w:t>Właściciel lokalu pokrywa koszty utrzymania nieruchomości w takiej części, w jakiej jest jej współwłaścicielem. Warto zauważyć, że jest to jedyna sprawiedliwa metoda podziału kosztów utrzymania nieruchomości. W</w:t>
      </w:r>
      <w:r w:rsidR="008F14E1">
        <w:rPr>
          <w:rFonts w:ascii="Arial" w:hAnsi="Arial" w:cs="Arial"/>
          <w:bCs/>
        </w:rPr>
        <w:t>prowadzenie innej zasady jest w </w:t>
      </w:r>
      <w:r w:rsidRPr="00FA1749">
        <w:rPr>
          <w:rFonts w:ascii="Arial" w:hAnsi="Arial" w:cs="Arial"/>
          <w:bCs/>
        </w:rPr>
        <w:t>praktyce niemożliwe i mogłoby prowadzić do sporów pomiędzy członkami wspólnot mieszkaniowych. Konieczność udziału w pokrywaniu kosztów nieruchomości nie wynika ze „stopnia” używania tej nieruchomości przez danego właściciela lokalu, ale z faktu posiadania udziału w tej nieruchomości (czyli z faktu bycia współwłaścicielem nieruchomości). Z tej przyczyny nie jest istotne na której kondygnacji znajduje się lokal, ile osób zamieszkuje w danym lokalu</w:t>
      </w:r>
      <w:r w:rsidR="00B93EC3">
        <w:rPr>
          <w:rFonts w:ascii="Arial" w:hAnsi="Arial" w:cs="Arial"/>
          <w:bCs/>
        </w:rPr>
        <w:t xml:space="preserve"> oraz</w:t>
      </w:r>
      <w:r w:rsidRPr="00FA1749">
        <w:rPr>
          <w:rFonts w:ascii="Arial" w:hAnsi="Arial" w:cs="Arial"/>
          <w:bCs/>
        </w:rPr>
        <w:t xml:space="preserve"> czy budynek </w:t>
      </w:r>
      <w:r w:rsidR="00B93EC3">
        <w:rPr>
          <w:rFonts w:ascii="Arial" w:hAnsi="Arial" w:cs="Arial"/>
          <w:bCs/>
        </w:rPr>
        <w:t xml:space="preserve">położony na </w:t>
      </w:r>
      <w:r w:rsidRPr="00FA1749">
        <w:rPr>
          <w:rFonts w:ascii="Arial" w:hAnsi="Arial" w:cs="Arial"/>
          <w:bCs/>
        </w:rPr>
        <w:t>jednej nieruchomości gruntowej wyposażony jest w windę</w:t>
      </w:r>
      <w:r w:rsidR="00303183">
        <w:rPr>
          <w:rFonts w:ascii="Arial" w:hAnsi="Arial" w:cs="Arial"/>
          <w:bCs/>
        </w:rPr>
        <w:t>.</w:t>
      </w:r>
      <w:r w:rsidRPr="00FA1749">
        <w:rPr>
          <w:rFonts w:ascii="Arial" w:hAnsi="Arial" w:cs="Arial"/>
          <w:bCs/>
        </w:rPr>
        <w:t xml:space="preserve"> </w:t>
      </w:r>
      <w:r w:rsidR="00303183">
        <w:rPr>
          <w:rFonts w:ascii="Arial" w:hAnsi="Arial" w:cs="Arial"/>
          <w:bCs/>
        </w:rPr>
        <w:t>Rozstrzygające jest</w:t>
      </w:r>
      <w:r w:rsidRPr="00FA1749">
        <w:rPr>
          <w:rFonts w:ascii="Arial" w:hAnsi="Arial" w:cs="Arial"/>
          <w:bCs/>
        </w:rPr>
        <w:t xml:space="preserve"> jaki jest udział danego właściciela lokalu we współwłasności nieruchomości wspólnej (w tym m.in. windy jako części nieruchomości wspólnej).</w:t>
      </w:r>
      <w:r w:rsidR="00E015A6">
        <w:rPr>
          <w:rFonts w:ascii="Arial" w:hAnsi="Arial" w:cs="Arial"/>
          <w:bCs/>
        </w:rPr>
        <w:t xml:space="preserve"> </w:t>
      </w:r>
      <w:r w:rsidR="00E015A6" w:rsidRPr="00E015A6">
        <w:rPr>
          <w:rFonts w:ascii="Arial" w:hAnsi="Arial" w:cs="Arial"/>
          <w:bCs/>
          <w:iCs/>
        </w:rPr>
        <w:t>Konieczność ponoszenia kosztów zarządu nieruchomością wspólną w proporcji do posi</w:t>
      </w:r>
      <w:r w:rsidR="00B93EC3">
        <w:rPr>
          <w:rFonts w:ascii="Arial" w:hAnsi="Arial" w:cs="Arial"/>
          <w:bCs/>
          <w:iCs/>
        </w:rPr>
        <w:t>adanych udziałów związane jest z</w:t>
      </w:r>
      <w:r w:rsidR="00303183">
        <w:rPr>
          <w:rFonts w:ascii="Arial" w:hAnsi="Arial" w:cs="Arial"/>
          <w:bCs/>
          <w:iCs/>
        </w:rPr>
        <w:t> </w:t>
      </w:r>
      <w:r w:rsidR="00B93EC3">
        <w:rPr>
          <w:rFonts w:ascii="Arial" w:hAnsi="Arial" w:cs="Arial"/>
          <w:bCs/>
          <w:iCs/>
        </w:rPr>
        <w:t xml:space="preserve">obowiązkiem </w:t>
      </w:r>
      <w:r w:rsidR="00E015A6" w:rsidRPr="00E015A6">
        <w:rPr>
          <w:rFonts w:ascii="Arial" w:hAnsi="Arial" w:cs="Arial"/>
          <w:bCs/>
          <w:iCs/>
        </w:rPr>
        <w:t>zapewnienia sprawnego działania</w:t>
      </w:r>
      <w:r w:rsidR="00366073">
        <w:rPr>
          <w:rFonts w:ascii="Arial" w:hAnsi="Arial" w:cs="Arial"/>
          <w:bCs/>
          <w:iCs/>
        </w:rPr>
        <w:t xml:space="preserve"> windy (</w:t>
      </w:r>
      <w:r w:rsidR="00E015A6" w:rsidRPr="00E015A6">
        <w:rPr>
          <w:rFonts w:ascii="Arial" w:hAnsi="Arial" w:cs="Arial"/>
          <w:bCs/>
          <w:iCs/>
        </w:rPr>
        <w:t xml:space="preserve">podobnie jak </w:t>
      </w:r>
      <w:r w:rsidR="00303183">
        <w:rPr>
          <w:rFonts w:ascii="Arial" w:hAnsi="Arial" w:cs="Arial"/>
          <w:bCs/>
          <w:iCs/>
        </w:rPr>
        <w:t xml:space="preserve">np. </w:t>
      </w:r>
      <w:r w:rsidR="009E25EA">
        <w:rPr>
          <w:rFonts w:ascii="Arial" w:hAnsi="Arial" w:cs="Arial"/>
          <w:bCs/>
          <w:iCs/>
        </w:rPr>
        <w:t>utrzymanie w</w:t>
      </w:r>
      <w:r w:rsidR="00303183">
        <w:rPr>
          <w:rFonts w:ascii="Arial" w:hAnsi="Arial" w:cs="Arial"/>
          <w:bCs/>
          <w:iCs/>
        </w:rPr>
        <w:t> </w:t>
      </w:r>
      <w:r w:rsidR="009E25EA">
        <w:rPr>
          <w:rFonts w:ascii="Arial" w:hAnsi="Arial" w:cs="Arial"/>
          <w:bCs/>
          <w:iCs/>
        </w:rPr>
        <w:t xml:space="preserve">dobrym stanie technicznym </w:t>
      </w:r>
      <w:r w:rsidR="00E015A6" w:rsidRPr="00E015A6">
        <w:rPr>
          <w:rFonts w:ascii="Arial" w:hAnsi="Arial" w:cs="Arial"/>
          <w:bCs/>
          <w:iCs/>
        </w:rPr>
        <w:t>dachu</w:t>
      </w:r>
      <w:r w:rsidR="00366073">
        <w:rPr>
          <w:rFonts w:ascii="Arial" w:hAnsi="Arial" w:cs="Arial"/>
          <w:bCs/>
          <w:iCs/>
        </w:rPr>
        <w:t>)</w:t>
      </w:r>
      <w:r w:rsidR="00E015A6" w:rsidRPr="00E015A6">
        <w:rPr>
          <w:rFonts w:ascii="Arial" w:hAnsi="Arial" w:cs="Arial"/>
          <w:bCs/>
          <w:iCs/>
        </w:rPr>
        <w:t xml:space="preserve">, ponieważ utrzymanie ich w dobrym stanie technicznym rzutuje na stan techniczny całego budynku, niezależnie od tego, gdzie dany lokal się znajduje. </w:t>
      </w:r>
      <w:r w:rsidR="00E015A6">
        <w:rPr>
          <w:rFonts w:ascii="Arial" w:hAnsi="Arial" w:cs="Arial"/>
          <w:bCs/>
          <w:iCs/>
        </w:rPr>
        <w:t>Natomiast f</w:t>
      </w:r>
      <w:r w:rsidRPr="00FA1749">
        <w:rPr>
          <w:rFonts w:ascii="Arial" w:hAnsi="Arial" w:cs="Arial"/>
          <w:bCs/>
        </w:rPr>
        <w:t>akt niekorzystania prz</w:t>
      </w:r>
      <w:r w:rsidR="00B93EC3">
        <w:rPr>
          <w:rFonts w:ascii="Arial" w:hAnsi="Arial" w:cs="Arial"/>
          <w:bCs/>
        </w:rPr>
        <w:t>ez wybranych właścicieli</w:t>
      </w:r>
      <w:r w:rsidR="001E2942">
        <w:rPr>
          <w:rFonts w:ascii="Arial" w:hAnsi="Arial" w:cs="Arial"/>
          <w:bCs/>
        </w:rPr>
        <w:t xml:space="preserve"> z </w:t>
      </w:r>
      <w:r w:rsidRPr="00FA1749">
        <w:rPr>
          <w:rFonts w:ascii="Arial" w:hAnsi="Arial" w:cs="Arial"/>
          <w:bCs/>
        </w:rPr>
        <w:t xml:space="preserve">windy, placu zabaw czy części ogródka nie powoduje zwolnienia </w:t>
      </w:r>
      <w:r w:rsidR="006B7797">
        <w:rPr>
          <w:rFonts w:ascii="Arial" w:hAnsi="Arial" w:cs="Arial"/>
          <w:bCs/>
        </w:rPr>
        <w:t xml:space="preserve">ich </w:t>
      </w:r>
      <w:r w:rsidRPr="00FA1749">
        <w:rPr>
          <w:rFonts w:ascii="Arial" w:hAnsi="Arial" w:cs="Arial"/>
          <w:bCs/>
        </w:rPr>
        <w:t>z kosztów utrzymania tych urządzeń czy części nieruchomości.</w:t>
      </w:r>
    </w:p>
    <w:p w:rsidR="00366073" w:rsidRPr="00366073" w:rsidRDefault="00366073" w:rsidP="00366073">
      <w:pPr>
        <w:spacing w:before="120" w:after="120" w:line="360" w:lineRule="auto"/>
        <w:jc w:val="both"/>
        <w:rPr>
          <w:rFonts w:ascii="Arial" w:hAnsi="Arial" w:cs="Arial"/>
          <w:bCs/>
          <w:iCs/>
          <w:lang w:bidi="pl-PL"/>
        </w:rPr>
      </w:pPr>
      <w:r w:rsidRPr="00366073">
        <w:rPr>
          <w:rFonts w:ascii="Arial" w:hAnsi="Arial" w:cs="Arial"/>
          <w:bCs/>
          <w:iCs/>
          <w:lang w:bidi="pl-PL"/>
        </w:rPr>
        <w:t xml:space="preserve">Jednocześnie należy wskazać na art. 17 </w:t>
      </w:r>
      <w:proofErr w:type="spellStart"/>
      <w:r w:rsidRPr="00366073">
        <w:rPr>
          <w:rFonts w:ascii="Arial" w:hAnsi="Arial" w:cs="Arial"/>
          <w:bCs/>
          <w:iCs/>
          <w:lang w:bidi="pl-PL"/>
        </w:rPr>
        <w:t>u.w.l</w:t>
      </w:r>
      <w:proofErr w:type="spellEnd"/>
      <w:r w:rsidRPr="00366073">
        <w:rPr>
          <w:rFonts w:ascii="Arial" w:hAnsi="Arial" w:cs="Arial"/>
          <w:bCs/>
          <w:iCs/>
          <w:lang w:bidi="pl-PL"/>
        </w:rPr>
        <w:t xml:space="preserve">., który określa odpowiedzialność za zobowiązania dotyczące nieruchomości wspólnej. Zgodnie z tym przepisem za zobowiązania dotyczące nieruchomości wspólnej odpowiada wspólnota mieszkaniowa bez ograniczeń, a każdy właściciel lokalu – w części odpowiadającej jego udziałowi w tej </w:t>
      </w:r>
      <w:r w:rsidRPr="00366073">
        <w:rPr>
          <w:rFonts w:ascii="Arial" w:hAnsi="Arial" w:cs="Arial"/>
          <w:bCs/>
          <w:iCs/>
          <w:lang w:bidi="pl-PL"/>
        </w:rPr>
        <w:lastRenderedPageBreak/>
        <w:t xml:space="preserve">nieruchomości. Przepis art. 12 ust. 2 </w:t>
      </w:r>
      <w:proofErr w:type="spellStart"/>
      <w:r w:rsidRPr="00366073">
        <w:rPr>
          <w:rFonts w:ascii="Arial" w:hAnsi="Arial" w:cs="Arial"/>
          <w:bCs/>
          <w:iCs/>
          <w:lang w:bidi="pl-PL"/>
        </w:rPr>
        <w:t>u.w.l</w:t>
      </w:r>
      <w:proofErr w:type="spellEnd"/>
      <w:r w:rsidRPr="00366073">
        <w:rPr>
          <w:rFonts w:ascii="Arial" w:hAnsi="Arial" w:cs="Arial"/>
          <w:bCs/>
          <w:iCs/>
          <w:lang w:bidi="pl-PL"/>
        </w:rPr>
        <w:t>. ma charakter powszechnie</w:t>
      </w:r>
      <w:r w:rsidR="001E2942">
        <w:rPr>
          <w:rFonts w:ascii="Arial" w:hAnsi="Arial" w:cs="Arial"/>
          <w:bCs/>
          <w:iCs/>
          <w:lang w:bidi="pl-PL"/>
        </w:rPr>
        <w:t xml:space="preserve"> obowiązujący i </w:t>
      </w:r>
      <w:r w:rsidRPr="00366073">
        <w:rPr>
          <w:rFonts w:ascii="Arial" w:hAnsi="Arial" w:cs="Arial"/>
          <w:bCs/>
          <w:iCs/>
          <w:lang w:bidi="pl-PL"/>
        </w:rPr>
        <w:t>odstępstwa od określonej w nim odpowiedzialności</w:t>
      </w:r>
      <w:r w:rsidR="001E2942">
        <w:rPr>
          <w:rFonts w:ascii="Arial" w:hAnsi="Arial" w:cs="Arial"/>
          <w:bCs/>
          <w:iCs/>
          <w:lang w:bidi="pl-PL"/>
        </w:rPr>
        <w:t xml:space="preserve"> nie są możliwe. Oznacza to, iż </w:t>
      </w:r>
      <w:r w:rsidRPr="00366073">
        <w:rPr>
          <w:rFonts w:ascii="Arial" w:hAnsi="Arial" w:cs="Arial"/>
          <w:bCs/>
          <w:iCs/>
          <w:lang w:bidi="pl-PL"/>
        </w:rPr>
        <w:t>wspólnota mieszkaniowa nie ma swobody w określaniu odpowiedzialności właściciela lokalu za jej zobowiązania i nie może przyjmować innych kryteriów tej odpowiedzialności niż wielkość jego udziału w nieruchomości wspólnej.</w:t>
      </w:r>
    </w:p>
    <w:p w:rsidR="00366073" w:rsidRPr="00366073" w:rsidRDefault="00366073" w:rsidP="00366073">
      <w:pPr>
        <w:spacing w:before="120" w:after="120" w:line="360" w:lineRule="auto"/>
        <w:jc w:val="both"/>
        <w:rPr>
          <w:rFonts w:ascii="Arial" w:hAnsi="Arial" w:cs="Arial"/>
          <w:bCs/>
          <w:iCs/>
        </w:rPr>
      </w:pPr>
      <w:r w:rsidRPr="00366073">
        <w:rPr>
          <w:rFonts w:ascii="Arial" w:hAnsi="Arial" w:cs="Arial"/>
          <w:bCs/>
          <w:iCs/>
        </w:rPr>
        <w:t xml:space="preserve">Równocześnie należy zauważyć, iż zasady rozliczeń kosztów utrzymania nieruchomości wspólnej (w tym wind) obowiązują od 1 stycznia 1995 r., czyli od dnia wejścia w życie </w:t>
      </w:r>
      <w:proofErr w:type="spellStart"/>
      <w:r w:rsidRPr="00366073">
        <w:rPr>
          <w:rFonts w:ascii="Arial" w:hAnsi="Arial" w:cs="Arial"/>
          <w:bCs/>
          <w:iCs/>
        </w:rPr>
        <w:t>u.w.l</w:t>
      </w:r>
      <w:proofErr w:type="spellEnd"/>
      <w:r w:rsidRPr="00366073">
        <w:rPr>
          <w:rFonts w:ascii="Arial" w:hAnsi="Arial" w:cs="Arial"/>
          <w:bCs/>
          <w:iCs/>
        </w:rPr>
        <w:t>. i nie były powszechnie kwestionowane.</w:t>
      </w:r>
    </w:p>
    <w:p w:rsidR="001910BE" w:rsidRDefault="00366073" w:rsidP="001910BE">
      <w:pPr>
        <w:spacing w:before="120" w:after="120" w:line="360" w:lineRule="auto"/>
        <w:jc w:val="both"/>
        <w:rPr>
          <w:rFonts w:ascii="Arial" w:hAnsi="Arial" w:cs="Arial"/>
          <w:bCs/>
          <w:iCs/>
        </w:rPr>
      </w:pPr>
      <w:r w:rsidRPr="00366073">
        <w:rPr>
          <w:rFonts w:ascii="Arial" w:hAnsi="Arial" w:cs="Arial"/>
          <w:bCs/>
          <w:iCs/>
        </w:rPr>
        <w:t>Mając na uwadze powyższ</w:t>
      </w:r>
      <w:r w:rsidR="00CC7511">
        <w:rPr>
          <w:rFonts w:ascii="Arial" w:hAnsi="Arial" w:cs="Arial"/>
          <w:bCs/>
          <w:iCs/>
        </w:rPr>
        <w:t>e wyjaśnienia, petycję w sprawie wprowadzenia</w:t>
      </w:r>
      <w:r w:rsidRPr="00366073">
        <w:rPr>
          <w:rFonts w:ascii="Arial" w:hAnsi="Arial" w:cs="Arial"/>
          <w:bCs/>
          <w:iCs/>
        </w:rPr>
        <w:t xml:space="preserve"> zmian w </w:t>
      </w:r>
      <w:proofErr w:type="spellStart"/>
      <w:r w:rsidRPr="00366073">
        <w:rPr>
          <w:rFonts w:ascii="Arial" w:hAnsi="Arial" w:cs="Arial"/>
          <w:bCs/>
          <w:iCs/>
        </w:rPr>
        <w:t>u.w.l</w:t>
      </w:r>
      <w:proofErr w:type="spellEnd"/>
      <w:r w:rsidRPr="00366073">
        <w:rPr>
          <w:rFonts w:ascii="Arial" w:hAnsi="Arial" w:cs="Arial"/>
          <w:bCs/>
          <w:iCs/>
        </w:rPr>
        <w:t xml:space="preserve">. w zakresie postulowanym w wystąpieniu, należy rozpatrzyć negatywnie.  </w:t>
      </w:r>
    </w:p>
    <w:p w:rsidR="001910BE" w:rsidRDefault="001910BE" w:rsidP="001910BE">
      <w:pPr>
        <w:spacing w:before="120" w:after="120" w:line="360" w:lineRule="auto"/>
        <w:jc w:val="both"/>
        <w:rPr>
          <w:rFonts w:ascii="Arial" w:hAnsi="Arial" w:cs="Arial"/>
          <w:bCs/>
          <w:iCs/>
        </w:rPr>
      </w:pPr>
    </w:p>
    <w:p w:rsidR="001912E9" w:rsidRPr="001910BE" w:rsidRDefault="001912E9" w:rsidP="001910B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1910BE">
        <w:rPr>
          <w:rFonts w:ascii="Arial" w:hAnsi="Arial" w:cs="Arial"/>
          <w:b/>
          <w:bCs/>
        </w:rPr>
        <w:t>POUCZENIE</w:t>
      </w:r>
    </w:p>
    <w:p w:rsidR="0095045A" w:rsidRPr="00DB4FA2" w:rsidRDefault="001912E9" w:rsidP="00DB4FA2">
      <w:pPr>
        <w:spacing w:before="120" w:after="120" w:line="360" w:lineRule="auto"/>
        <w:jc w:val="both"/>
        <w:rPr>
          <w:rFonts w:ascii="Arial" w:hAnsi="Arial" w:cs="Arial"/>
          <w:bCs/>
        </w:rPr>
      </w:pPr>
      <w:r w:rsidRPr="001912E9">
        <w:rPr>
          <w:rFonts w:ascii="Arial" w:hAnsi="Arial" w:cs="Arial"/>
          <w:bCs/>
        </w:rPr>
        <w:t>Zgodnie z art. 13 ust. 2 ustawy o petycjach sposób załatwienia petycji</w:t>
      </w:r>
      <w:r w:rsidR="00DB4FA2">
        <w:rPr>
          <w:rFonts w:ascii="Arial" w:hAnsi="Arial" w:cs="Arial"/>
          <w:bCs/>
        </w:rPr>
        <w:t xml:space="preserve"> nie może być przedmiotem skargi. </w:t>
      </w:r>
    </w:p>
    <w:p w:rsidR="009946A3" w:rsidRDefault="009946A3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1910BE" w:rsidRPr="003773F3" w:rsidRDefault="001910BE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C23FC8" w:rsidRDefault="00620979" w:rsidP="00022B1C">
      <w:pPr>
        <w:spacing w:line="260" w:lineRule="exact"/>
        <w:ind w:left="5387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 xml:space="preserve">Z poważaniem </w:t>
      </w:r>
    </w:p>
    <w:p w:rsidR="00DD4D55" w:rsidRDefault="00DD4D55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DD4D55" w:rsidRPr="003773F3" w:rsidRDefault="00DD4D55" w:rsidP="00022B1C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:rsidR="00C23FC8" w:rsidRPr="003773F3" w:rsidRDefault="00C17795" w:rsidP="00022B1C">
      <w:pPr>
        <w:spacing w:line="260" w:lineRule="exact"/>
        <w:ind w:left="5387"/>
        <w:rPr>
          <w:rFonts w:ascii="Arial" w:hAnsi="Arial" w:cs="Arial"/>
        </w:rPr>
      </w:pPr>
      <w:bookmarkStart w:id="3" w:name="ezdPracownikNazwa"/>
      <w:bookmarkEnd w:id="3"/>
    </w:p>
    <w:p w:rsidR="00E34B19" w:rsidRPr="003773F3" w:rsidRDefault="00E34B19" w:rsidP="00022B1C">
      <w:pPr>
        <w:spacing w:line="260" w:lineRule="exact"/>
        <w:ind w:left="5387"/>
        <w:rPr>
          <w:rFonts w:ascii="Arial" w:hAnsi="Arial" w:cs="Arial"/>
        </w:rPr>
      </w:pPr>
      <w:bookmarkStart w:id="4" w:name="ezdPracownikStanowisko"/>
      <w:bookmarkEnd w:id="4"/>
    </w:p>
    <w:p w:rsidR="004A0B59" w:rsidRPr="003773F3" w:rsidRDefault="00C17795" w:rsidP="00C23FC8">
      <w:pPr>
        <w:rPr>
          <w:rFonts w:ascii="Arial" w:hAnsi="Arial" w:cs="Arial"/>
          <w:b/>
        </w:rPr>
      </w:pPr>
    </w:p>
    <w:p w:rsidR="002C7FC9" w:rsidRPr="003773F3" w:rsidRDefault="002C7FC9" w:rsidP="00C23FC8">
      <w:pPr>
        <w:rPr>
          <w:rFonts w:ascii="Arial" w:hAnsi="Arial" w:cs="Arial"/>
          <w:b/>
        </w:rPr>
      </w:pPr>
    </w:p>
    <w:p w:rsidR="00A47044" w:rsidRPr="003773F3" w:rsidRDefault="00C639FC" w:rsidP="002D3D39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</w:t>
      </w:r>
      <w:r w:rsidR="00E34B19" w:rsidRPr="003773F3">
        <w:rPr>
          <w:rFonts w:ascii="Arial" w:hAnsi="Arial" w:cs="Arial"/>
        </w:rPr>
        <w:t xml:space="preserve">odpisano </w:t>
      </w:r>
      <w:r w:rsidRPr="003773F3">
        <w:rPr>
          <w:rFonts w:ascii="Arial" w:hAnsi="Arial" w:cs="Arial"/>
        </w:rPr>
        <w:t>elektronicznie]</w:t>
      </w:r>
    </w:p>
    <w:p w:rsidR="004A36F0" w:rsidRPr="003773F3" w:rsidRDefault="004A36F0" w:rsidP="004A36F0">
      <w:pPr>
        <w:spacing w:line="360" w:lineRule="auto"/>
        <w:rPr>
          <w:rFonts w:ascii="Arial" w:hAnsi="Arial" w:cs="Arial"/>
        </w:rPr>
      </w:pPr>
    </w:p>
    <w:p w:rsidR="00DB4FA2" w:rsidRDefault="00DB4FA2" w:rsidP="004A36F0">
      <w:pPr>
        <w:spacing w:line="360" w:lineRule="auto"/>
        <w:rPr>
          <w:rFonts w:ascii="Arial" w:hAnsi="Arial" w:cs="Arial"/>
        </w:rPr>
      </w:pPr>
    </w:p>
    <w:p w:rsidR="00DB4FA2" w:rsidRDefault="00DB4FA2" w:rsidP="004A36F0">
      <w:pPr>
        <w:spacing w:line="360" w:lineRule="auto"/>
        <w:rPr>
          <w:rFonts w:ascii="Arial" w:hAnsi="Arial" w:cs="Arial"/>
        </w:rPr>
      </w:pPr>
    </w:p>
    <w:p w:rsidR="00DB4FA2" w:rsidRDefault="00DB4FA2" w:rsidP="004A36F0">
      <w:pPr>
        <w:spacing w:line="360" w:lineRule="auto"/>
        <w:rPr>
          <w:rFonts w:ascii="Arial" w:hAnsi="Arial" w:cs="Arial"/>
        </w:rPr>
      </w:pPr>
    </w:p>
    <w:p w:rsidR="00DB4FA2" w:rsidRDefault="00DB4FA2" w:rsidP="004A36F0">
      <w:pPr>
        <w:spacing w:line="360" w:lineRule="auto"/>
        <w:rPr>
          <w:rFonts w:ascii="Arial" w:hAnsi="Arial" w:cs="Arial"/>
        </w:rPr>
      </w:pPr>
    </w:p>
    <w:p w:rsidR="0088274E" w:rsidRDefault="0088274E" w:rsidP="004A36F0">
      <w:pPr>
        <w:spacing w:line="360" w:lineRule="auto"/>
        <w:rPr>
          <w:rFonts w:ascii="Arial" w:hAnsi="Arial" w:cs="Arial"/>
        </w:rPr>
      </w:pPr>
    </w:p>
    <w:p w:rsidR="0088274E" w:rsidRDefault="0088274E" w:rsidP="004A36F0">
      <w:pPr>
        <w:spacing w:line="360" w:lineRule="auto"/>
        <w:rPr>
          <w:rFonts w:ascii="Arial" w:hAnsi="Arial" w:cs="Arial"/>
        </w:rPr>
      </w:pPr>
    </w:p>
    <w:p w:rsidR="007B1B19" w:rsidRDefault="007B1B19" w:rsidP="004A36F0">
      <w:pPr>
        <w:spacing w:line="360" w:lineRule="auto"/>
        <w:rPr>
          <w:rFonts w:ascii="Arial" w:hAnsi="Arial" w:cs="Arial"/>
        </w:rPr>
      </w:pPr>
    </w:p>
    <w:p w:rsidR="00BC0D8D" w:rsidRPr="003773F3" w:rsidRDefault="00BC0D8D" w:rsidP="004A36F0">
      <w:pPr>
        <w:spacing w:line="360" w:lineRule="auto"/>
        <w:rPr>
          <w:rFonts w:ascii="Arial" w:hAnsi="Arial" w:cs="Arial"/>
        </w:rPr>
      </w:pPr>
    </w:p>
    <w:sectPr w:rsidR="00BC0D8D" w:rsidRPr="003773F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795" w:rsidRDefault="00C17795">
      <w:r>
        <w:separator/>
      </w:r>
    </w:p>
  </w:endnote>
  <w:endnote w:type="continuationSeparator" w:id="0">
    <w:p w:rsidR="00C17795" w:rsidRDefault="00C1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872E3D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C177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C17795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180737786"/>
        <w:placeholder>
          <w:docPart w:val="923E7762084B456B9DC737CCE5CC8F6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6F34BD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6F34BD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</w:t>
    </w:r>
    <w:r w:rsidR="00AF6E52">
      <w:rPr>
        <w:rFonts w:ascii="Arial" w:hAnsi="Arial" w:cs="Arial"/>
        <w:iCs/>
        <w:color w:val="8C8C8C" w:themeColor="background1" w:themeShade="8C"/>
        <w:sz w:val="16"/>
        <w:szCs w:val="16"/>
      </w:rPr>
      <w:t>zyży 3/5, 00-507 Warszawa</w:t>
    </w:r>
  </w:p>
  <w:p w:rsidR="00AD2F91" w:rsidRPr="006F34BD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 w:rsidR="00A275B6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 w:rsidR="00AF6E52"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 w:rsidR="00A275B6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795" w:rsidRDefault="00C17795">
      <w:r>
        <w:separator/>
      </w:r>
    </w:p>
  </w:footnote>
  <w:footnote w:type="continuationSeparator" w:id="0">
    <w:p w:rsidR="00C17795" w:rsidRDefault="00C17795">
      <w:r>
        <w:continuationSeparator/>
      </w:r>
    </w:p>
  </w:footnote>
  <w:footnote w:id="1">
    <w:p w:rsidR="00681E7E" w:rsidRPr="00687DFC" w:rsidRDefault="00681E7E">
      <w:pPr>
        <w:pStyle w:val="Tekstprzypisudolnego"/>
        <w:rPr>
          <w:rFonts w:ascii="Arial" w:hAnsi="Arial" w:cs="Arial"/>
        </w:rPr>
      </w:pPr>
      <w:r w:rsidRPr="00681E7E">
        <w:rPr>
          <w:rStyle w:val="Odwoanieprzypisudolnego"/>
          <w:rFonts w:ascii="Arial" w:hAnsi="Arial" w:cs="Arial"/>
        </w:rPr>
        <w:footnoteRef/>
      </w:r>
      <w:r w:rsidRPr="00681E7E">
        <w:rPr>
          <w:rFonts w:ascii="Arial" w:hAnsi="Arial" w:cs="Arial"/>
        </w:rPr>
        <w:t xml:space="preserve"> </w:t>
      </w:r>
      <w:r w:rsidRPr="00681E7E">
        <w:rPr>
          <w:rFonts w:ascii="Arial" w:hAnsi="Arial" w:cs="Arial"/>
          <w:lang w:bidi="pl-PL"/>
        </w:rPr>
        <w:t>(</w:t>
      </w:r>
      <w:r w:rsidRPr="00687DFC">
        <w:rPr>
          <w:rFonts w:ascii="Arial" w:hAnsi="Arial" w:cs="Arial"/>
          <w:lang w:bidi="pl-PL"/>
        </w:rPr>
        <w:t>Dz. U. z 2018 r. poz. 870)</w:t>
      </w:r>
    </w:p>
  </w:footnote>
  <w:footnote w:id="2">
    <w:p w:rsidR="00DB4C23" w:rsidRPr="00687DFC" w:rsidRDefault="00DB4C23" w:rsidP="00DB4C23">
      <w:pPr>
        <w:pStyle w:val="Tekstprzypisudolnego"/>
        <w:rPr>
          <w:rFonts w:ascii="Arial" w:hAnsi="Arial" w:cs="Arial"/>
        </w:rPr>
      </w:pPr>
      <w:r w:rsidRPr="00687DFC">
        <w:rPr>
          <w:rStyle w:val="Odwoanieprzypisudolnego"/>
          <w:rFonts w:ascii="Arial" w:hAnsi="Arial" w:cs="Arial"/>
        </w:rPr>
        <w:footnoteRef/>
      </w:r>
      <w:r w:rsidRPr="00687DFC">
        <w:rPr>
          <w:rFonts w:ascii="Arial" w:hAnsi="Arial" w:cs="Arial"/>
        </w:rPr>
        <w:t xml:space="preserve"> (Dz. U. z 2020 r. poz. 532, z </w:t>
      </w:r>
      <w:proofErr w:type="spellStart"/>
      <w:r w:rsidRPr="00687DFC">
        <w:rPr>
          <w:rFonts w:ascii="Arial" w:hAnsi="Arial" w:cs="Arial"/>
        </w:rPr>
        <w:t>późn</w:t>
      </w:r>
      <w:proofErr w:type="spellEnd"/>
      <w:r w:rsidRPr="00687DFC">
        <w:rPr>
          <w:rFonts w:ascii="Arial" w:hAnsi="Arial" w:cs="Arial"/>
        </w:rPr>
        <w:t>. zm.)</w:t>
      </w:r>
    </w:p>
    <w:p w:rsidR="00DB4C23" w:rsidRPr="00687DFC" w:rsidRDefault="00DB4C23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80FD8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22B1C"/>
    <w:rsid w:val="00043A30"/>
    <w:rsid w:val="0004695B"/>
    <w:rsid w:val="00055135"/>
    <w:rsid w:val="00070C38"/>
    <w:rsid w:val="000773DB"/>
    <w:rsid w:val="000D655B"/>
    <w:rsid w:val="000E22A9"/>
    <w:rsid w:val="000F201D"/>
    <w:rsid w:val="00107D6E"/>
    <w:rsid w:val="001910BE"/>
    <w:rsid w:val="001912E9"/>
    <w:rsid w:val="001A4BED"/>
    <w:rsid w:val="001D7E12"/>
    <w:rsid w:val="001E2942"/>
    <w:rsid w:val="001F4A3C"/>
    <w:rsid w:val="0023087E"/>
    <w:rsid w:val="0025497B"/>
    <w:rsid w:val="00257A7E"/>
    <w:rsid w:val="00290E66"/>
    <w:rsid w:val="0029255C"/>
    <w:rsid w:val="002A0A41"/>
    <w:rsid w:val="002B31DE"/>
    <w:rsid w:val="002C7FC9"/>
    <w:rsid w:val="002D2733"/>
    <w:rsid w:val="002D3D39"/>
    <w:rsid w:val="002D41B3"/>
    <w:rsid w:val="002E16DC"/>
    <w:rsid w:val="002F4304"/>
    <w:rsid w:val="00303183"/>
    <w:rsid w:val="003324DC"/>
    <w:rsid w:val="003567B6"/>
    <w:rsid w:val="00366073"/>
    <w:rsid w:val="00375A04"/>
    <w:rsid w:val="003773F3"/>
    <w:rsid w:val="00387DD0"/>
    <w:rsid w:val="00395917"/>
    <w:rsid w:val="003960E1"/>
    <w:rsid w:val="00396A02"/>
    <w:rsid w:val="003D20FC"/>
    <w:rsid w:val="003D5CA3"/>
    <w:rsid w:val="00430921"/>
    <w:rsid w:val="0044133C"/>
    <w:rsid w:val="00486E30"/>
    <w:rsid w:val="00497842"/>
    <w:rsid w:val="004A36F0"/>
    <w:rsid w:val="004A7EA8"/>
    <w:rsid w:val="0050797F"/>
    <w:rsid w:val="0053272E"/>
    <w:rsid w:val="0053510A"/>
    <w:rsid w:val="00542548"/>
    <w:rsid w:val="00557732"/>
    <w:rsid w:val="00580089"/>
    <w:rsid w:val="00620979"/>
    <w:rsid w:val="00633FC9"/>
    <w:rsid w:val="00676D76"/>
    <w:rsid w:val="00681E7E"/>
    <w:rsid w:val="00687DFC"/>
    <w:rsid w:val="00697B2B"/>
    <w:rsid w:val="006A53D2"/>
    <w:rsid w:val="006B3C8C"/>
    <w:rsid w:val="006B4B3B"/>
    <w:rsid w:val="006B7797"/>
    <w:rsid w:val="006F34BD"/>
    <w:rsid w:val="00743217"/>
    <w:rsid w:val="00766B6F"/>
    <w:rsid w:val="007B1B19"/>
    <w:rsid w:val="007C7814"/>
    <w:rsid w:val="0084388D"/>
    <w:rsid w:val="0084695C"/>
    <w:rsid w:val="00847615"/>
    <w:rsid w:val="00872E3D"/>
    <w:rsid w:val="0088080F"/>
    <w:rsid w:val="00880FD8"/>
    <w:rsid w:val="0088274E"/>
    <w:rsid w:val="00885D54"/>
    <w:rsid w:val="0089562A"/>
    <w:rsid w:val="008B4D05"/>
    <w:rsid w:val="008F04C6"/>
    <w:rsid w:val="008F14E1"/>
    <w:rsid w:val="008F266E"/>
    <w:rsid w:val="008F6BD0"/>
    <w:rsid w:val="00913702"/>
    <w:rsid w:val="0093747E"/>
    <w:rsid w:val="0095045A"/>
    <w:rsid w:val="00960B09"/>
    <w:rsid w:val="00980D7D"/>
    <w:rsid w:val="009910CC"/>
    <w:rsid w:val="009946A3"/>
    <w:rsid w:val="009B7D61"/>
    <w:rsid w:val="009C37DF"/>
    <w:rsid w:val="009E25EA"/>
    <w:rsid w:val="009F767D"/>
    <w:rsid w:val="00A02408"/>
    <w:rsid w:val="00A0410B"/>
    <w:rsid w:val="00A275B6"/>
    <w:rsid w:val="00A30006"/>
    <w:rsid w:val="00A47044"/>
    <w:rsid w:val="00A54DCF"/>
    <w:rsid w:val="00A60A9A"/>
    <w:rsid w:val="00A61B75"/>
    <w:rsid w:val="00A72B74"/>
    <w:rsid w:val="00A72F91"/>
    <w:rsid w:val="00A818C6"/>
    <w:rsid w:val="00AB4419"/>
    <w:rsid w:val="00AB4D63"/>
    <w:rsid w:val="00AF181F"/>
    <w:rsid w:val="00AF6E52"/>
    <w:rsid w:val="00B416AA"/>
    <w:rsid w:val="00B55B42"/>
    <w:rsid w:val="00B61961"/>
    <w:rsid w:val="00B709F2"/>
    <w:rsid w:val="00B93EC3"/>
    <w:rsid w:val="00BC0D8D"/>
    <w:rsid w:val="00BD6BC8"/>
    <w:rsid w:val="00C128EC"/>
    <w:rsid w:val="00C17795"/>
    <w:rsid w:val="00C23436"/>
    <w:rsid w:val="00C5048F"/>
    <w:rsid w:val="00C639FC"/>
    <w:rsid w:val="00C74CA1"/>
    <w:rsid w:val="00C8214A"/>
    <w:rsid w:val="00CC6C70"/>
    <w:rsid w:val="00CC7511"/>
    <w:rsid w:val="00CF70B6"/>
    <w:rsid w:val="00D01196"/>
    <w:rsid w:val="00D87271"/>
    <w:rsid w:val="00DB4C23"/>
    <w:rsid w:val="00DB4FA2"/>
    <w:rsid w:val="00DD4D55"/>
    <w:rsid w:val="00DE2100"/>
    <w:rsid w:val="00DF1F3E"/>
    <w:rsid w:val="00E015A6"/>
    <w:rsid w:val="00E13B9B"/>
    <w:rsid w:val="00E17B6C"/>
    <w:rsid w:val="00E34B19"/>
    <w:rsid w:val="00E37E1F"/>
    <w:rsid w:val="00E91116"/>
    <w:rsid w:val="00EA2107"/>
    <w:rsid w:val="00EA475D"/>
    <w:rsid w:val="00EA4F1E"/>
    <w:rsid w:val="00EB1F09"/>
    <w:rsid w:val="00ED2AC5"/>
    <w:rsid w:val="00F21558"/>
    <w:rsid w:val="00F72E2A"/>
    <w:rsid w:val="00FA1749"/>
    <w:rsid w:val="00FC30F0"/>
    <w:rsid w:val="00FC61C1"/>
    <w:rsid w:val="00FE26B4"/>
    <w:rsid w:val="00F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681E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1E7E"/>
    <w:rPr>
      <w:lang w:val="pl-PL" w:eastAsia="pl-PL"/>
    </w:rPr>
  </w:style>
  <w:style w:type="character" w:styleId="Odwoanieprzypisudolnego">
    <w:name w:val="footnote reference"/>
    <w:aliases w:val="Footnote number,-E Fußnotenzeichen,SUPERS,Footnote Reference Superscript,BVI fnr,Footnote symbol,(Footnote Reference),Footnote reference number,note TESI,EN Footnote Reference,Voetnootverwijzing,Times 10 Point,Exposant 3 Point"/>
    <w:basedOn w:val="Domylnaczcionkaakapitu"/>
    <w:unhideWhenUsed/>
    <w:rsid w:val="00681E7E"/>
    <w:rPr>
      <w:vertAlign w:val="superscript"/>
    </w:rPr>
  </w:style>
  <w:style w:type="paragraph" w:styleId="NormalnyWeb">
    <w:name w:val="Normal (Web)"/>
    <w:basedOn w:val="Normalny"/>
    <w:semiHidden/>
    <w:unhideWhenUsed/>
    <w:rsid w:val="0029255C"/>
  </w:style>
  <w:style w:type="character" w:styleId="Hipercze">
    <w:name w:val="Hyperlink"/>
    <w:basedOn w:val="Domylnaczcionkaakapitu"/>
    <w:unhideWhenUsed/>
    <w:rsid w:val="002925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681E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1E7E"/>
    <w:rPr>
      <w:lang w:val="pl-PL" w:eastAsia="pl-PL"/>
    </w:rPr>
  </w:style>
  <w:style w:type="character" w:styleId="Odwoanieprzypisudolnego">
    <w:name w:val="footnote reference"/>
    <w:aliases w:val="Footnote number,-E Fußnotenzeichen,SUPERS,Footnote Reference Superscript,BVI fnr,Footnote symbol,(Footnote Reference),Footnote reference number,note TESI,EN Footnote Reference,Voetnootverwijzing,Times 10 Point,Exposant 3 Point"/>
    <w:basedOn w:val="Domylnaczcionkaakapitu"/>
    <w:unhideWhenUsed/>
    <w:rsid w:val="00681E7E"/>
    <w:rPr>
      <w:vertAlign w:val="superscript"/>
    </w:rPr>
  </w:style>
  <w:style w:type="paragraph" w:styleId="NormalnyWeb">
    <w:name w:val="Normal (Web)"/>
    <w:basedOn w:val="Normalny"/>
    <w:semiHidden/>
    <w:unhideWhenUsed/>
    <w:rsid w:val="0029255C"/>
  </w:style>
  <w:style w:type="character" w:styleId="Hipercze">
    <w:name w:val="Hyperlink"/>
    <w:basedOn w:val="Domylnaczcionkaakapitu"/>
    <w:unhideWhenUsed/>
    <w:rsid w:val="00292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3E7762084B456B9DC737CCE5CC8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3AC35-0DDC-4E05-B824-23854B49C69A}"/>
      </w:docPartPr>
      <w:docPartBody>
        <w:p w:rsidR="009272F3" w:rsidRDefault="00DE744A" w:rsidP="00DE744A">
          <w:pPr>
            <w:pStyle w:val="923E7762084B456B9DC737CCE5CC8F64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507E"/>
    <w:rsid w:val="000971F1"/>
    <w:rsid w:val="000D090C"/>
    <w:rsid w:val="001437E2"/>
    <w:rsid w:val="001C1FC5"/>
    <w:rsid w:val="001D4B12"/>
    <w:rsid w:val="002A57A6"/>
    <w:rsid w:val="003916B5"/>
    <w:rsid w:val="003C3AD9"/>
    <w:rsid w:val="00432448"/>
    <w:rsid w:val="0048507E"/>
    <w:rsid w:val="0049763D"/>
    <w:rsid w:val="004C43F9"/>
    <w:rsid w:val="004D0987"/>
    <w:rsid w:val="00705E58"/>
    <w:rsid w:val="00710B40"/>
    <w:rsid w:val="007163BF"/>
    <w:rsid w:val="00730BF9"/>
    <w:rsid w:val="008A5CFA"/>
    <w:rsid w:val="008F01F3"/>
    <w:rsid w:val="009272F3"/>
    <w:rsid w:val="009E4DB7"/>
    <w:rsid w:val="00A74AFE"/>
    <w:rsid w:val="00CC2261"/>
    <w:rsid w:val="00CD477B"/>
    <w:rsid w:val="00D62D15"/>
    <w:rsid w:val="00D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B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9CD93-AC4B-41D1-87D6-8106D38C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Joanna Morawiec</cp:lastModifiedBy>
  <cp:revision>4</cp:revision>
  <cp:lastPrinted>2020-09-09T11:37:00Z</cp:lastPrinted>
  <dcterms:created xsi:type="dcterms:W3CDTF">2020-09-23T13:03:00Z</dcterms:created>
  <dcterms:modified xsi:type="dcterms:W3CDTF">2020-09-24T07:50:00Z</dcterms:modified>
</cp:coreProperties>
</file>