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003BC" w14:textId="3B591780" w:rsidR="0083598F" w:rsidRDefault="00F90637">
      <w:pPr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Załącznik </w:t>
      </w:r>
      <w:r w:rsidR="001F4D0C">
        <w:rPr>
          <w:rFonts w:ascii="Calibri,Bold" w:hAnsi="Calibri,Bold" w:cs="Calibri,Bold"/>
          <w:b/>
          <w:bCs/>
          <w:sz w:val="24"/>
          <w:szCs w:val="24"/>
        </w:rPr>
        <w:t>8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– </w:t>
      </w:r>
      <w:r w:rsidR="00DA2149" w:rsidRPr="00DA2149">
        <w:rPr>
          <w:rFonts w:ascii="Calibri,Bold" w:hAnsi="Calibri,Bold" w:cs="Calibri,Bold"/>
          <w:b/>
          <w:bCs/>
          <w:sz w:val="24"/>
          <w:szCs w:val="24"/>
        </w:rPr>
        <w:t xml:space="preserve">Standardy dotyczące kosztów w projekcie </w:t>
      </w:r>
    </w:p>
    <w:tbl>
      <w:tblPr>
        <w:tblW w:w="1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  <w:gridCol w:w="8215"/>
      </w:tblGrid>
      <w:tr w:rsidR="00A3194B" w:rsidRPr="00A3194B" w14:paraId="4235B578" w14:textId="77777777" w:rsidTr="00A3194B">
        <w:trPr>
          <w:trHeight w:val="120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C174B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6BAB9301" wp14:editId="3033858D">
                  <wp:extent cx="1725295" cy="776605"/>
                  <wp:effectExtent l="0" t="0" r="8255" b="4445"/>
                  <wp:docPr id="1" name="Obraz 1" descr="FE_WER_POZIOM-Kolor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_WER_POZIOM-Kolo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66379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43973330" wp14:editId="1A937E6C">
                  <wp:extent cx="1638935" cy="647065"/>
                  <wp:effectExtent l="0" t="0" r="0" b="635"/>
                  <wp:docPr id="2" name="Obraz 2" descr="ncbr_logo_z_czerwonym_napis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br_logo_z_czerwonym_napis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300E1" w14:textId="77777777" w:rsidR="00A3194B" w:rsidRPr="00A3194B" w:rsidRDefault="00A3194B" w:rsidP="00A3194B">
            <w:pPr>
              <w:spacing w:before="120" w:after="0" w:line="276" w:lineRule="auto"/>
              <w:jc w:val="both"/>
              <w:rPr>
                <w:rFonts w:eastAsia="Calibri" w:cs="Times New Roman"/>
              </w:rPr>
            </w:pPr>
            <w:r w:rsidRPr="00A3194B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2765C1BD" wp14:editId="05C63499">
                  <wp:extent cx="2052955" cy="681355"/>
                  <wp:effectExtent l="0" t="0" r="4445" b="4445"/>
                  <wp:docPr id="3" name="Obraz 3" descr="UE_EFS_POZIOM-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E_EFS_POZIOM-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7F8E7E" w14:textId="77777777" w:rsidR="00A3194B" w:rsidRPr="00A3194B" w:rsidRDefault="00A3194B" w:rsidP="00A3194B">
      <w:pPr>
        <w:spacing w:after="200" w:line="276" w:lineRule="auto"/>
        <w:jc w:val="both"/>
        <w:rPr>
          <w:rFonts w:eastAsia="Calibri" w:cs="Times New Roman"/>
        </w:rPr>
      </w:pPr>
    </w:p>
    <w:p w14:paraId="509A84E2" w14:textId="41E63AE0" w:rsidR="00C67B54" w:rsidRPr="00C67B54" w:rsidRDefault="00A3194B" w:rsidP="00C67B54">
      <w:pPr>
        <w:spacing w:after="240" w:line="240" w:lineRule="atLeast"/>
        <w:jc w:val="both"/>
        <w:rPr>
          <w:rFonts w:eastAsia="Calibri" w:cs="Times New Roman"/>
          <w:i/>
        </w:rPr>
      </w:pPr>
      <w:r w:rsidRPr="00A3194B">
        <w:rPr>
          <w:rFonts w:eastAsia="Calibri" w:cs="Times New Roman"/>
          <w:b/>
        </w:rPr>
        <w:t xml:space="preserve">Niniejszy załącznik określa wymagane standardy kosztów działań realizowanych w projektach złożonych w odpowiedzi na konkurs </w:t>
      </w:r>
      <w:r w:rsidR="00F24A95">
        <w:rPr>
          <w:rFonts w:eastAsia="Calibri" w:cs="Times New Roman"/>
          <w:b/>
        </w:rPr>
        <w:br/>
      </w:r>
      <w:r w:rsidRPr="00A3194B">
        <w:rPr>
          <w:rFonts w:eastAsia="Calibri" w:cs="Times New Roman"/>
          <w:b/>
        </w:rPr>
        <w:t xml:space="preserve">nr </w:t>
      </w:r>
      <w:r w:rsidR="001F4D0C">
        <w:rPr>
          <w:rFonts w:eastAsia="Calibri" w:cs="Times New Roman"/>
          <w:b/>
        </w:rPr>
        <w:t>POWR.03.05</w:t>
      </w:r>
      <w:r w:rsidR="00BB2D50">
        <w:rPr>
          <w:rFonts w:eastAsia="Calibri" w:cs="Times New Roman"/>
          <w:b/>
        </w:rPr>
        <w:t>.00-IP.08-00-</w:t>
      </w:r>
      <w:r w:rsidR="001F4D0C">
        <w:rPr>
          <w:rFonts w:eastAsia="Calibri" w:cs="Times New Roman"/>
          <w:b/>
        </w:rPr>
        <w:t>DOS</w:t>
      </w:r>
      <w:r w:rsidR="00F24A95" w:rsidRPr="00F24A95">
        <w:rPr>
          <w:rFonts w:eastAsia="Calibri" w:cs="Times New Roman"/>
          <w:b/>
        </w:rPr>
        <w:t>/</w:t>
      </w:r>
      <w:r w:rsidR="002D4BE9">
        <w:rPr>
          <w:rFonts w:eastAsia="Calibri" w:cs="Times New Roman"/>
          <w:b/>
        </w:rPr>
        <w:t>2</w:t>
      </w:r>
      <w:r w:rsidR="00F80124">
        <w:rPr>
          <w:rFonts w:eastAsia="Calibri" w:cs="Times New Roman"/>
          <w:b/>
        </w:rPr>
        <w:t>1</w:t>
      </w:r>
      <w:r w:rsidRPr="00A3194B">
        <w:rPr>
          <w:rFonts w:eastAsia="Calibri" w:cs="Times New Roman"/>
          <w:b/>
        </w:rPr>
        <w:t xml:space="preserve">. </w:t>
      </w:r>
      <w:r w:rsidR="00D01122">
        <w:rPr>
          <w:rFonts w:eastAsia="Calibri" w:cs="Times New Roman"/>
        </w:rPr>
        <w:t>Uwzględnione zostały w nim, z jednej strony,</w:t>
      </w:r>
      <w:r w:rsidR="005E667A">
        <w:rPr>
          <w:rFonts w:eastAsia="Calibri" w:cs="Times New Roman"/>
        </w:rPr>
        <w:t xml:space="preserve"> </w:t>
      </w:r>
      <w:r w:rsidR="00D01122">
        <w:rPr>
          <w:rFonts w:eastAsia="Calibri" w:cs="Times New Roman"/>
        </w:rPr>
        <w:t xml:space="preserve">zasady zapisane w </w:t>
      </w:r>
      <w:r w:rsidR="00D01122" w:rsidRPr="00D01122">
        <w:rPr>
          <w:rFonts w:eastAsia="Calibri" w:cs="Times New Roman"/>
          <w:i/>
        </w:rPr>
        <w:t>Informacja na temat wykorzystania dotacji podmiotowej przeznaczonej na zadania związane z zapewnieniem osobom niepełnosprawnym warunków do pełnego udziału w procesie przyjmowania na studia, do szkół doktorskich, kształceniu na studiach i w szkołach doktorskich lub prowadzeniu działalności naukowej</w:t>
      </w:r>
      <w:r w:rsidR="00D01122">
        <w:rPr>
          <w:rFonts w:eastAsia="Calibri" w:cs="Times New Roman"/>
          <w:i/>
        </w:rPr>
        <w:t xml:space="preserve">, </w:t>
      </w:r>
      <w:r w:rsidR="00D01122" w:rsidRPr="00D01122">
        <w:rPr>
          <w:rFonts w:eastAsia="Calibri" w:cs="Times New Roman"/>
        </w:rPr>
        <w:t>a także</w:t>
      </w:r>
      <w:r w:rsidR="00D01122">
        <w:rPr>
          <w:rFonts w:eastAsia="Calibri" w:cs="Times New Roman"/>
          <w:i/>
        </w:rPr>
        <w:t xml:space="preserve"> Wskazówki</w:t>
      </w:r>
      <w:r w:rsidR="00144C2B" w:rsidRPr="00144C2B">
        <w:rPr>
          <w:rFonts w:eastAsia="Calibri" w:cs="Times New Roman"/>
          <w:i/>
        </w:rPr>
        <w:t xml:space="preserve"> IZ PO WER do opracowania zestawienia standardu i ceny rynkowych wyb</w:t>
      </w:r>
      <w:r w:rsidR="00D01122">
        <w:rPr>
          <w:rFonts w:eastAsia="Calibri" w:cs="Times New Roman"/>
          <w:i/>
        </w:rPr>
        <w:t>ranych wydatków w ramach PO WER.</w:t>
      </w:r>
    </w:p>
    <w:p w14:paraId="5B2856DD" w14:textId="5E9B7C0F" w:rsidR="00256D72" w:rsidRPr="00214379" w:rsidRDefault="00256D72" w:rsidP="00D619D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480" w:after="120" w:line="240" w:lineRule="atLeast"/>
        <w:ind w:hanging="218"/>
        <w:jc w:val="both"/>
        <w:rPr>
          <w:rFonts w:eastAsia="Calibri" w:cs="Arial,Bold"/>
          <w:b/>
          <w:bCs/>
          <w:sz w:val="28"/>
          <w:szCs w:val="28"/>
          <w:u w:val="single"/>
          <w:lang w:eastAsia="pl-PL"/>
        </w:rPr>
      </w:pP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Zasady ogólne:</w:t>
      </w:r>
    </w:p>
    <w:p w14:paraId="086D790E" w14:textId="2CD4EF8A" w:rsidR="006467C9" w:rsidRPr="006467C9" w:rsidRDefault="00D01122" w:rsidP="00D01122">
      <w:pPr>
        <w:spacing w:after="120" w:line="240" w:lineRule="atLeast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S</w:t>
      </w:r>
      <w:r w:rsidR="006467C9" w:rsidRPr="00A3194B">
        <w:rPr>
          <w:rFonts w:eastAsia="Calibri" w:cs="Times New Roman"/>
          <w:b/>
        </w:rPr>
        <w:t xml:space="preserve">tandardy dotyczące kosztów w projekcie stanowią </w:t>
      </w:r>
      <w:r w:rsidR="006467C9" w:rsidRPr="00144C2B">
        <w:rPr>
          <w:rFonts w:eastAsia="Calibri" w:cs="Times New Roman"/>
          <w:b/>
          <w:u w:val="single"/>
        </w:rPr>
        <w:t>katalog otwarty</w:t>
      </w:r>
      <w:r w:rsidR="006467C9" w:rsidRPr="00A3194B">
        <w:rPr>
          <w:rFonts w:eastAsia="Calibri" w:cs="Times New Roman"/>
          <w:b/>
        </w:rPr>
        <w:t xml:space="preserve">. </w:t>
      </w:r>
      <w:r w:rsidRPr="00D01122">
        <w:rPr>
          <w:rFonts w:eastAsia="Calibri" w:cs="Times New Roman"/>
        </w:rPr>
        <w:t>Niemniej jednak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</w:rPr>
        <w:t>b</w:t>
      </w:r>
      <w:r w:rsidR="006467C9" w:rsidRPr="006467C9">
        <w:rPr>
          <w:rFonts w:eastAsia="Calibri" w:cs="Times New Roman"/>
        </w:rPr>
        <w:t>eneficjent jest zo</w:t>
      </w:r>
      <w:r w:rsidR="006467C9">
        <w:rPr>
          <w:rFonts w:eastAsia="Calibri" w:cs="Times New Roman"/>
        </w:rPr>
        <w:t xml:space="preserve">bowiązany do stosowania </w:t>
      </w:r>
      <w:r>
        <w:rPr>
          <w:rFonts w:eastAsia="Calibri" w:cs="Times New Roman"/>
        </w:rPr>
        <w:t xml:space="preserve">także innych </w:t>
      </w:r>
      <w:r w:rsidR="006467C9">
        <w:rPr>
          <w:rFonts w:eastAsia="Calibri" w:cs="Times New Roman"/>
        </w:rPr>
        <w:t xml:space="preserve">przedstawionych </w:t>
      </w:r>
      <w:r w:rsidR="00B4745E">
        <w:rPr>
          <w:rFonts w:eastAsia="Calibri" w:cs="Times New Roman"/>
        </w:rPr>
        <w:t xml:space="preserve">w nich </w:t>
      </w:r>
      <w:r w:rsidR="006467C9">
        <w:rPr>
          <w:rFonts w:eastAsia="Calibri" w:cs="Times New Roman"/>
        </w:rPr>
        <w:t>zasad.</w:t>
      </w:r>
    </w:p>
    <w:p w14:paraId="2CEA411C" w14:textId="77C4C195" w:rsidR="00C149E1" w:rsidRPr="00B4745E" w:rsidRDefault="00256D72" w:rsidP="00D01122">
      <w:pPr>
        <w:spacing w:after="120" w:line="240" w:lineRule="atLeast"/>
        <w:jc w:val="both"/>
        <w:rPr>
          <w:rFonts w:ascii="Calibri" w:eastAsia="Calibri" w:hAnsi="Calibri" w:cs="Times New Roman"/>
        </w:rPr>
      </w:pPr>
      <w:r w:rsidRPr="00A3194B">
        <w:rPr>
          <w:rFonts w:eastAsia="Calibri" w:cs="Arial,Bold"/>
          <w:b/>
          <w:bCs/>
          <w:lang w:eastAsia="pl-PL"/>
        </w:rPr>
        <w:t xml:space="preserve">Na beneficjencie spoczywa odpowiedzialność </w:t>
      </w:r>
      <w:r w:rsidRPr="00D01122">
        <w:rPr>
          <w:rFonts w:eastAsia="Calibri" w:cs="Arial,Bold"/>
          <w:b/>
          <w:bCs/>
          <w:lang w:eastAsia="pl-PL"/>
        </w:rPr>
        <w:t>za jakość</w:t>
      </w:r>
      <w:r w:rsidRPr="00A3194B">
        <w:rPr>
          <w:rFonts w:eastAsia="Calibri" w:cs="Arial,Bold"/>
          <w:b/>
          <w:bCs/>
          <w:lang w:eastAsia="pl-PL"/>
        </w:rPr>
        <w:t xml:space="preserve"> prowadzonych w projekcie działań</w:t>
      </w:r>
      <w:r w:rsidR="00D01122">
        <w:rPr>
          <w:rFonts w:eastAsia="Calibri" w:cs="Arial,Bold"/>
          <w:b/>
          <w:bCs/>
          <w:lang w:eastAsia="pl-PL"/>
        </w:rPr>
        <w:t>, jak również racjonalność i efektywność ponoszonych wydatków</w:t>
      </w:r>
      <w:r w:rsidRPr="00A3194B">
        <w:rPr>
          <w:rFonts w:eastAsia="Calibri" w:cs="Arial"/>
          <w:lang w:eastAsia="pl-PL"/>
        </w:rPr>
        <w:t xml:space="preserve">. </w:t>
      </w:r>
      <w:r w:rsidR="00D01122">
        <w:rPr>
          <w:rFonts w:eastAsia="Calibri" w:cs="Arial"/>
          <w:lang w:eastAsia="pl-PL"/>
        </w:rPr>
        <w:t xml:space="preserve">Weryfikacja standardów jakości, które przekładają się również na efektywność wydatków, jest </w:t>
      </w:r>
      <w:r w:rsidR="00C67B54" w:rsidRPr="007135D7">
        <w:rPr>
          <w:rFonts w:eastAsia="Calibri" w:cs="Arial"/>
          <w:lang w:eastAsia="pl-PL"/>
        </w:rPr>
        <w:t xml:space="preserve">prowadzona </w:t>
      </w:r>
      <w:r w:rsidR="00C67B54">
        <w:rPr>
          <w:rFonts w:eastAsia="Calibri" w:cs="Arial"/>
          <w:lang w:eastAsia="pl-PL"/>
        </w:rPr>
        <w:t xml:space="preserve">– </w:t>
      </w:r>
      <w:r w:rsidRPr="007135D7">
        <w:rPr>
          <w:rFonts w:eastAsia="Calibri" w:cs="Arial"/>
          <w:lang w:eastAsia="pl-PL"/>
        </w:rPr>
        <w:t>w pierwszej kolejności</w:t>
      </w:r>
      <w:r w:rsidR="00C67B54">
        <w:rPr>
          <w:rFonts w:eastAsia="Calibri" w:cs="Arial"/>
          <w:lang w:eastAsia="pl-PL"/>
        </w:rPr>
        <w:t xml:space="preserve"> – </w:t>
      </w:r>
      <w:r w:rsidRPr="007135D7">
        <w:rPr>
          <w:rFonts w:eastAsia="Calibri" w:cs="Arial"/>
          <w:lang w:eastAsia="pl-PL"/>
        </w:rPr>
        <w:t xml:space="preserve">w </w:t>
      </w:r>
      <w:r>
        <w:rPr>
          <w:rFonts w:eastAsia="Calibri" w:cs="Arial"/>
          <w:lang w:eastAsia="pl-PL"/>
        </w:rPr>
        <w:t xml:space="preserve">trakcie oceny wniosku </w:t>
      </w:r>
      <w:r w:rsidRPr="007135D7">
        <w:rPr>
          <w:rFonts w:eastAsia="Calibri" w:cs="Arial"/>
          <w:lang w:eastAsia="pl-PL"/>
        </w:rPr>
        <w:t xml:space="preserve">o dofinansowanie na podstawie informacji ujętych </w:t>
      </w:r>
      <w:r w:rsidR="00D01122">
        <w:rPr>
          <w:rFonts w:eastAsia="Calibri" w:cs="Arial"/>
          <w:lang w:eastAsia="pl-PL"/>
        </w:rPr>
        <w:t>we wniosku. Wobec powyższego w</w:t>
      </w:r>
      <w:r w:rsidRPr="007135D7">
        <w:rPr>
          <w:rFonts w:eastAsia="Calibri" w:cs="Arial"/>
          <w:lang w:eastAsia="pl-PL"/>
        </w:rPr>
        <w:t xml:space="preserve">nioskodawca jest zobowiązany do uzasadnienia każdego wydatku poprzez opis standardu jakościowego (poprzez opis np. wymagań dotyczących </w:t>
      </w:r>
      <w:r w:rsidR="00B4745E">
        <w:rPr>
          <w:rFonts w:eastAsia="Calibri" w:cs="Arial"/>
          <w:lang w:eastAsia="pl-PL"/>
        </w:rPr>
        <w:t>wykonawcy/usługodawcy/personelu</w:t>
      </w:r>
      <w:r w:rsidRPr="007135D7">
        <w:rPr>
          <w:rFonts w:eastAsia="Calibri" w:cs="Arial"/>
          <w:lang w:eastAsia="pl-PL"/>
        </w:rPr>
        <w:t>, wymiaru czaso</w:t>
      </w:r>
      <w:r w:rsidR="00287B6D">
        <w:rPr>
          <w:rFonts w:eastAsia="Calibri" w:cs="Arial"/>
          <w:lang w:eastAsia="pl-PL"/>
        </w:rPr>
        <w:t>wego, zakresu merytorycznego</w:t>
      </w:r>
      <w:r w:rsidR="00B4745E">
        <w:rPr>
          <w:rFonts w:eastAsia="Calibri" w:cs="Arial"/>
          <w:lang w:eastAsia="pl-PL"/>
        </w:rPr>
        <w:t xml:space="preserve"> działań</w:t>
      </w:r>
      <w:r w:rsidR="004F5A5A">
        <w:rPr>
          <w:rFonts w:eastAsia="Calibri" w:cs="Arial"/>
          <w:lang w:eastAsia="pl-PL"/>
        </w:rPr>
        <w:t xml:space="preserve">, </w:t>
      </w:r>
      <w:r w:rsidR="00B4745E">
        <w:rPr>
          <w:rFonts w:eastAsia="Calibri" w:cs="Arial"/>
          <w:lang w:eastAsia="pl-PL"/>
        </w:rPr>
        <w:t>przedstawienie specyfikacji</w:t>
      </w:r>
      <w:r w:rsidR="004F5A5A">
        <w:rPr>
          <w:rFonts w:eastAsia="Calibri" w:cs="Arial"/>
          <w:lang w:eastAsia="pl-PL"/>
        </w:rPr>
        <w:t xml:space="preserve"> kupowanego sprzętu</w:t>
      </w:r>
      <w:r w:rsidR="00B4745E">
        <w:rPr>
          <w:rFonts w:eastAsia="Calibri" w:cs="Arial"/>
          <w:lang w:eastAsia="pl-PL"/>
        </w:rPr>
        <w:t>, dokonywanych inwestycji), jak również przedstawienie zastosowanej kalkulacji kosztu.</w:t>
      </w:r>
      <w:r w:rsidR="00B4745E">
        <w:rPr>
          <w:rFonts w:ascii="Calibri" w:eastAsia="Calibri" w:hAnsi="Calibri" w:cs="Times New Roman"/>
        </w:rPr>
        <w:t xml:space="preserve"> Informacje te można zamieścić </w:t>
      </w:r>
      <w:r w:rsidR="00B4745E" w:rsidRPr="00B4745E">
        <w:rPr>
          <w:rFonts w:ascii="Calibri" w:eastAsia="Calibri" w:hAnsi="Calibri" w:cs="Times New Roman"/>
          <w:b/>
        </w:rPr>
        <w:t>w</w:t>
      </w:r>
      <w:r w:rsidR="00C149E1" w:rsidRPr="00B4745E">
        <w:rPr>
          <w:rFonts w:eastAsia="Calibri" w:cs="Arial"/>
          <w:b/>
          <w:lang w:eastAsia="pl-PL"/>
        </w:rPr>
        <w:t xml:space="preserve"> sekcji</w:t>
      </w:r>
      <w:r w:rsidR="00C149E1" w:rsidRPr="007135D7">
        <w:rPr>
          <w:rFonts w:eastAsia="Calibri" w:cs="Arial"/>
          <w:b/>
          <w:lang w:eastAsia="pl-PL"/>
        </w:rPr>
        <w:t xml:space="preserve"> XI </w:t>
      </w:r>
      <w:r w:rsidR="00B84C2E">
        <w:rPr>
          <w:rFonts w:eastAsia="Calibri" w:cs="Arial"/>
          <w:b/>
          <w:lang w:eastAsia="pl-PL"/>
        </w:rPr>
        <w:t xml:space="preserve">wniosku o dofinansowanie projektu </w:t>
      </w:r>
      <w:r w:rsidR="00C149E1" w:rsidRPr="00B84C2E">
        <w:rPr>
          <w:rFonts w:eastAsia="Calibri" w:cs="Arial"/>
          <w:b/>
          <w:i/>
          <w:lang w:eastAsia="pl-PL"/>
        </w:rPr>
        <w:t>Uzasadnienie wydatków</w:t>
      </w:r>
      <w:r w:rsidR="00B4745E">
        <w:rPr>
          <w:rFonts w:eastAsia="Calibri" w:cs="Arial"/>
          <w:b/>
          <w:i/>
          <w:lang w:eastAsia="pl-PL"/>
        </w:rPr>
        <w:t xml:space="preserve">, </w:t>
      </w:r>
      <w:r w:rsidR="00B4745E" w:rsidRPr="00B4745E">
        <w:rPr>
          <w:rFonts w:eastAsia="Calibri" w:cs="Arial"/>
          <w:lang w:eastAsia="pl-PL"/>
        </w:rPr>
        <w:t>którego</w:t>
      </w:r>
      <w:r w:rsidR="00B4745E">
        <w:rPr>
          <w:rFonts w:eastAsia="Calibri" w:cs="Arial"/>
          <w:b/>
          <w:i/>
          <w:lang w:eastAsia="pl-PL"/>
        </w:rPr>
        <w:t xml:space="preserve"> </w:t>
      </w:r>
      <w:r w:rsidR="00C149E1" w:rsidRPr="00B4745E">
        <w:rPr>
          <w:rFonts w:eastAsia="Calibri" w:cs="Arial"/>
          <w:lang w:eastAsia="pl-PL"/>
        </w:rPr>
        <w:t>część 2</w:t>
      </w:r>
      <w:r w:rsidR="004A7E1D">
        <w:rPr>
          <w:rFonts w:eastAsia="Calibri" w:cs="Arial"/>
          <w:lang w:eastAsia="pl-PL"/>
        </w:rPr>
        <w:t>.</w:t>
      </w:r>
      <w:r w:rsidR="00C149E1" w:rsidRPr="00B4745E">
        <w:rPr>
          <w:rFonts w:eastAsia="Calibri" w:cs="Arial"/>
          <w:lang w:eastAsia="pl-PL"/>
        </w:rPr>
        <w:t xml:space="preserve"> jest polem obligatoryjnym.</w:t>
      </w:r>
      <w:r w:rsidR="00C149E1" w:rsidRPr="00B4745E">
        <w:rPr>
          <w:rFonts w:ascii="Calibri" w:eastAsia="Calibri" w:hAnsi="Calibri" w:cs="Times New Roman"/>
        </w:rPr>
        <w:t xml:space="preserve"> </w:t>
      </w:r>
    </w:p>
    <w:p w14:paraId="4F7DC71B" w14:textId="4E5DB27A" w:rsidR="00256D72" w:rsidRPr="00A3194B" w:rsidRDefault="00256D72" w:rsidP="00D01122">
      <w:pPr>
        <w:spacing w:after="120" w:line="240" w:lineRule="atLeast"/>
        <w:jc w:val="both"/>
        <w:rPr>
          <w:rFonts w:eastAsia="Calibri" w:cs="Times New Roman"/>
          <w:b/>
        </w:rPr>
      </w:pPr>
      <w:r w:rsidRPr="00A3194B">
        <w:rPr>
          <w:rFonts w:eastAsia="Calibri" w:cs="Times New Roman"/>
          <w:b/>
        </w:rPr>
        <w:t xml:space="preserve">Weryfikacja spełnienia opisanych standardów będzie </w:t>
      </w:r>
      <w:r w:rsidR="006620E0">
        <w:rPr>
          <w:rFonts w:eastAsia="Calibri" w:cs="Times New Roman"/>
          <w:b/>
        </w:rPr>
        <w:t>oparta</w:t>
      </w:r>
      <w:r w:rsidRPr="00A3194B">
        <w:rPr>
          <w:rFonts w:eastAsia="Calibri" w:cs="Times New Roman"/>
          <w:b/>
        </w:rPr>
        <w:t xml:space="preserve"> w pierwszej kolejności </w:t>
      </w:r>
      <w:r w:rsidR="00C149E1">
        <w:rPr>
          <w:rFonts w:eastAsia="Calibri" w:cs="Times New Roman"/>
          <w:b/>
        </w:rPr>
        <w:t>o zapisy</w:t>
      </w:r>
      <w:r w:rsidRPr="00A3194B">
        <w:rPr>
          <w:rFonts w:eastAsia="Calibri" w:cs="Times New Roman"/>
          <w:b/>
        </w:rPr>
        <w:t xml:space="preserve"> wniosku o dofinansowanie, w związku z powyższym niezwykle istotne jest zawarcie wszystkich wymaganych informacji we wniosku oraz stosowanie precyzyjnego języka</w:t>
      </w:r>
      <w:r w:rsidR="00B84C2E">
        <w:rPr>
          <w:rFonts w:eastAsia="Calibri" w:cs="Times New Roman"/>
          <w:b/>
        </w:rPr>
        <w:t xml:space="preserve"> (w tym jak najmniej skrótów)</w:t>
      </w:r>
      <w:r w:rsidRPr="00A3194B">
        <w:rPr>
          <w:rFonts w:eastAsia="Calibri" w:cs="Times New Roman"/>
          <w:b/>
        </w:rPr>
        <w:t xml:space="preserve">. </w:t>
      </w:r>
    </w:p>
    <w:p w14:paraId="40AA7E37" w14:textId="77777777" w:rsidR="00C149E1" w:rsidRDefault="00256D72" w:rsidP="00C149E1">
      <w:pPr>
        <w:spacing w:after="240" w:line="240" w:lineRule="atLeast"/>
        <w:jc w:val="both"/>
        <w:rPr>
          <w:rFonts w:ascii="Calibri" w:eastAsia="Calibri" w:hAnsi="Calibri" w:cs="Times New Roman"/>
        </w:rPr>
      </w:pPr>
      <w:r>
        <w:rPr>
          <w:rFonts w:eastAsia="Calibri" w:cs="Arial,Bold"/>
          <w:b/>
          <w:bCs/>
          <w:lang w:eastAsia="pl-PL"/>
        </w:rPr>
        <w:t>IOK zastrzega sobie prawo do przeprowadzenia po zakończeniu naboru w konkursie analizy</w:t>
      </w:r>
      <w:r w:rsidRPr="006128E5">
        <w:rPr>
          <w:rFonts w:eastAsia="Calibri" w:cs="Arial,Bold"/>
          <w:b/>
          <w:bCs/>
          <w:lang w:eastAsia="pl-PL"/>
        </w:rPr>
        <w:t xml:space="preserve"> kosztów założonych we wniosku o dofinansowanie </w:t>
      </w:r>
      <w:r>
        <w:rPr>
          <w:rFonts w:eastAsia="Calibri" w:cs="Arial,Bold"/>
          <w:b/>
          <w:bCs/>
          <w:lang w:eastAsia="pl-PL"/>
        </w:rPr>
        <w:br/>
      </w:r>
      <w:r w:rsidRPr="006128E5">
        <w:rPr>
          <w:rFonts w:eastAsia="Calibri" w:cs="Arial,Bold"/>
          <w:b/>
          <w:bCs/>
          <w:lang w:eastAsia="pl-PL"/>
        </w:rPr>
        <w:t>w odniesieniu do analogicznych kosztów w pozostałych wnioskach złożonych w odpowiedzi na konkurs</w:t>
      </w:r>
      <w:r>
        <w:rPr>
          <w:rFonts w:eastAsia="Calibri" w:cs="Arial,Bold"/>
          <w:b/>
          <w:bCs/>
          <w:lang w:eastAsia="pl-PL"/>
        </w:rPr>
        <w:t xml:space="preserve"> tak, aby wydatki w zatwierdzonych </w:t>
      </w:r>
      <w:r>
        <w:rPr>
          <w:rFonts w:eastAsia="Calibri" w:cs="Arial,Bold"/>
          <w:b/>
          <w:bCs/>
          <w:lang w:eastAsia="pl-PL"/>
        </w:rPr>
        <w:br/>
        <w:t>do dofinansowania wnioskach były wystandaryzowane.</w:t>
      </w:r>
      <w:r w:rsidR="00C149E1" w:rsidRPr="00C149E1">
        <w:rPr>
          <w:rFonts w:ascii="Calibri" w:eastAsia="Calibri" w:hAnsi="Calibri" w:cs="Times New Roman"/>
        </w:rPr>
        <w:t xml:space="preserve"> </w:t>
      </w:r>
    </w:p>
    <w:p w14:paraId="436F3869" w14:textId="4D100D98" w:rsidR="00C149E1" w:rsidRDefault="00C149E1" w:rsidP="00C149E1">
      <w:pPr>
        <w:spacing w:after="360" w:line="240" w:lineRule="atLeast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Jednocześnie, n</w:t>
      </w:r>
      <w:r w:rsidRPr="004D6B50">
        <w:rPr>
          <w:rFonts w:ascii="Calibri" w:eastAsia="Calibri" w:hAnsi="Calibri" w:cs="Times New Roman"/>
        </w:rPr>
        <w:t>a etapie realizacji i rozliczania projektu</w:t>
      </w:r>
      <w:r>
        <w:rPr>
          <w:rFonts w:ascii="Calibri" w:eastAsia="Calibri" w:hAnsi="Calibri" w:cs="Times New Roman"/>
        </w:rPr>
        <w:t>,</w:t>
      </w:r>
      <w:r w:rsidRPr="004D6B50">
        <w:rPr>
          <w:rFonts w:ascii="Calibri" w:eastAsia="Calibri" w:hAnsi="Calibri" w:cs="Times New Roman"/>
        </w:rPr>
        <w:t xml:space="preserve"> IOK dopuszcza możliwość uznania za niekwalifikowalne kosztów działań o zmienionych warunkach, podwyższonych ko</w:t>
      </w:r>
      <w:r>
        <w:rPr>
          <w:rFonts w:ascii="Calibri" w:eastAsia="Calibri" w:hAnsi="Calibri" w:cs="Times New Roman"/>
        </w:rPr>
        <w:t>s</w:t>
      </w:r>
      <w:r w:rsidRPr="004D6B50">
        <w:rPr>
          <w:rFonts w:ascii="Calibri" w:eastAsia="Calibri" w:hAnsi="Calibri" w:cs="Times New Roman"/>
        </w:rPr>
        <w:t xml:space="preserve">ztach i standardzie niższym niż założone </w:t>
      </w:r>
      <w:r w:rsidR="00D01122">
        <w:rPr>
          <w:rFonts w:ascii="Calibri" w:eastAsia="Calibri" w:hAnsi="Calibri" w:cs="Times New Roman"/>
        </w:rPr>
        <w:t>w obowiązującym wniosku o dofinansowanie, stanowiącym załącznik do umowy</w:t>
      </w:r>
      <w:r w:rsidRPr="004D6B50">
        <w:rPr>
          <w:rFonts w:ascii="Calibri" w:eastAsia="Calibri" w:hAnsi="Calibri" w:cs="Times New Roman"/>
        </w:rPr>
        <w:t xml:space="preserve"> o dofinansowanie</w:t>
      </w:r>
      <w:r w:rsidR="00D01122">
        <w:rPr>
          <w:rFonts w:ascii="Calibri" w:eastAsia="Calibri" w:hAnsi="Calibri" w:cs="Times New Roman"/>
        </w:rPr>
        <w:t xml:space="preserve"> projektu.</w:t>
      </w:r>
    </w:p>
    <w:p w14:paraId="6D32DF57" w14:textId="7FB1627E" w:rsidR="00C149E1" w:rsidRPr="00C149E1" w:rsidRDefault="00C149E1" w:rsidP="00C149E1">
      <w:pPr>
        <w:autoSpaceDE w:val="0"/>
        <w:autoSpaceDN w:val="0"/>
        <w:adjustRightInd w:val="0"/>
        <w:spacing w:after="240" w:line="240" w:lineRule="atLeast"/>
        <w:jc w:val="both"/>
        <w:rPr>
          <w:rFonts w:eastAsia="Calibri" w:cs="Arial"/>
        </w:rPr>
      </w:pPr>
      <w:r w:rsidRPr="00234AFF">
        <w:rPr>
          <w:rFonts w:eastAsia="Calibri" w:cs="Arial"/>
        </w:rPr>
        <w:t>Projekty powinny finansować usługi o standardzie zbliżonym do usług powszechnie dostępnych, komercyjnych. Nie</w:t>
      </w:r>
      <w:r w:rsidRPr="00C149E1">
        <w:rPr>
          <w:rFonts w:eastAsia="Calibri" w:cs="Arial"/>
        </w:rPr>
        <w:t xml:space="preserve"> jest zasadne finansowanie działań dodatkowych, zawyżających standard. </w:t>
      </w:r>
      <w:r w:rsidR="00234AFF">
        <w:rPr>
          <w:rFonts w:eastAsia="Calibri" w:cs="Arial"/>
        </w:rPr>
        <w:t xml:space="preserve">Należy mieć </w:t>
      </w:r>
      <w:r w:rsidR="00B4745E">
        <w:rPr>
          <w:rFonts w:eastAsia="Calibri" w:cs="Arial"/>
        </w:rPr>
        <w:t xml:space="preserve">też </w:t>
      </w:r>
      <w:r w:rsidR="00234AFF">
        <w:rPr>
          <w:rFonts w:eastAsia="Calibri" w:cs="Arial"/>
        </w:rPr>
        <w:t xml:space="preserve">na uwadze kwestie trwałości działań projektowych. </w:t>
      </w:r>
      <w:r w:rsidRPr="00C149E1">
        <w:rPr>
          <w:rFonts w:eastAsia="Calibri" w:cs="Arial"/>
        </w:rPr>
        <w:t xml:space="preserve">Stawki wynagrodzeń, szczególnie osób zatrudnianych na umowy o pracę, nie powinny odbiegać od stawek obowiązujących u </w:t>
      </w:r>
      <w:r w:rsidR="00D01122">
        <w:rPr>
          <w:rFonts w:eastAsia="Calibri" w:cs="Arial"/>
        </w:rPr>
        <w:t>w</w:t>
      </w:r>
      <w:r w:rsidRPr="00C149E1">
        <w:rPr>
          <w:rFonts w:eastAsia="Calibri" w:cs="Arial"/>
        </w:rPr>
        <w:t>nioskodawcy na analogicznych stanowiskach lub przy zbliżonym zakresie obowiązków (np. stawki ustalone na podstawie obowiązujących regulaminów wynagradzania).</w:t>
      </w:r>
      <w:r w:rsidR="00234AFF">
        <w:rPr>
          <w:rFonts w:eastAsia="Calibri" w:cs="Arial"/>
        </w:rPr>
        <w:t xml:space="preserve"> </w:t>
      </w:r>
    </w:p>
    <w:p w14:paraId="36F88FBB" w14:textId="7D607B48" w:rsidR="00234AFF" w:rsidRDefault="00C149E1" w:rsidP="00C149E1">
      <w:pPr>
        <w:autoSpaceDE w:val="0"/>
        <w:autoSpaceDN w:val="0"/>
        <w:adjustRightInd w:val="0"/>
        <w:spacing w:after="240" w:line="240" w:lineRule="atLeast"/>
        <w:jc w:val="both"/>
        <w:rPr>
          <w:rFonts w:eastAsia="Calibri" w:cs="Arial"/>
        </w:rPr>
      </w:pPr>
      <w:r w:rsidRPr="00C149E1">
        <w:rPr>
          <w:rFonts w:eastAsia="Calibri" w:cs="Arial"/>
        </w:rPr>
        <w:t xml:space="preserve">Obligatoryjne jest porównanie kosztów danej usługi </w:t>
      </w:r>
      <w:r w:rsidR="007528DA">
        <w:rPr>
          <w:rFonts w:eastAsia="Calibri" w:cs="Arial"/>
        </w:rPr>
        <w:t>przewidzianej projektem</w:t>
      </w:r>
      <w:r w:rsidRPr="00C149E1">
        <w:rPr>
          <w:rFonts w:eastAsia="Calibri" w:cs="Arial"/>
        </w:rPr>
        <w:t xml:space="preserve"> z kosztem usługi dostępnej na rynku komercyjnym. W tym celu należy przeprowadzić i udokumentować </w:t>
      </w:r>
      <w:r w:rsidR="00D81BD4">
        <w:rPr>
          <w:rFonts w:eastAsia="Calibri" w:cs="Arial"/>
        </w:rPr>
        <w:t>porównanie cen rynkowych</w:t>
      </w:r>
      <w:r w:rsidRPr="00C149E1">
        <w:rPr>
          <w:rFonts w:eastAsia="Calibri" w:cs="Arial"/>
        </w:rPr>
        <w:t xml:space="preserve">. </w:t>
      </w:r>
      <w:r w:rsidRPr="00C149E1">
        <w:rPr>
          <w:rFonts w:ascii="Calibri" w:eastAsia="Calibri" w:hAnsi="Calibri" w:cs="Times New Roman"/>
        </w:rPr>
        <w:t xml:space="preserve">IOK zastrzega sobie możliwość zwrócenia się do </w:t>
      </w:r>
      <w:r w:rsidR="00D619D9">
        <w:rPr>
          <w:rFonts w:ascii="Calibri" w:eastAsia="Calibri" w:hAnsi="Calibri" w:cs="Times New Roman"/>
        </w:rPr>
        <w:t xml:space="preserve">wnioskodawcy – </w:t>
      </w:r>
      <w:r w:rsidR="00D619D9" w:rsidRPr="00C149E1">
        <w:rPr>
          <w:rFonts w:ascii="Calibri" w:eastAsia="Calibri" w:hAnsi="Calibri" w:cs="Times New Roman"/>
        </w:rPr>
        <w:t xml:space="preserve">na każdym etapie oceny wniosku oraz po zawarciu umowy o dofinansowanie </w:t>
      </w:r>
      <w:r w:rsidR="00D619D9">
        <w:rPr>
          <w:rFonts w:ascii="Calibri" w:eastAsia="Calibri" w:hAnsi="Calibri" w:cs="Times New Roman"/>
        </w:rPr>
        <w:t xml:space="preserve">– </w:t>
      </w:r>
      <w:r w:rsidRPr="00C149E1">
        <w:rPr>
          <w:rFonts w:ascii="Calibri" w:eastAsia="Calibri" w:hAnsi="Calibri" w:cs="Times New Roman"/>
        </w:rPr>
        <w:t>o przedłożenie dokumentów potwierdzających należyte oszacowanie kosztu, który został ujęty</w:t>
      </w:r>
      <w:r w:rsidR="00D619D9">
        <w:rPr>
          <w:rFonts w:ascii="Calibri" w:eastAsia="Calibri" w:hAnsi="Calibri" w:cs="Times New Roman"/>
        </w:rPr>
        <w:t xml:space="preserve"> </w:t>
      </w:r>
      <w:r w:rsidR="00D619D9">
        <w:rPr>
          <w:rFonts w:ascii="Calibri" w:eastAsia="Calibri" w:hAnsi="Calibri" w:cs="Times New Roman"/>
        </w:rPr>
        <w:br/>
        <w:t>w</w:t>
      </w:r>
      <w:r w:rsidRPr="00C149E1">
        <w:rPr>
          <w:rFonts w:ascii="Calibri" w:eastAsia="Calibri" w:hAnsi="Calibri" w:cs="Times New Roman"/>
        </w:rPr>
        <w:t xml:space="preserve"> budżecie projektu.</w:t>
      </w:r>
      <w:r w:rsidRPr="00C149E1">
        <w:rPr>
          <w:rFonts w:eastAsia="Calibri" w:cs="Arial"/>
        </w:rPr>
        <w:t xml:space="preserve"> </w:t>
      </w:r>
      <w:r w:rsidR="00D619D9">
        <w:rPr>
          <w:rFonts w:eastAsia="Calibri" w:cs="Arial"/>
        </w:rPr>
        <w:t>IOK zwraca również uwagę na fakt, iż c</w:t>
      </w:r>
      <w:r w:rsidR="00234AFF">
        <w:rPr>
          <w:rFonts w:eastAsia="Calibri" w:cs="Arial"/>
        </w:rPr>
        <w:t>enniki i standardy obowiązujące w jednostce nie zwalniają Wnioskodawcy z dokon</w:t>
      </w:r>
      <w:r w:rsidR="00707290">
        <w:rPr>
          <w:rFonts w:eastAsia="Calibri" w:cs="Arial"/>
        </w:rPr>
        <w:t>ania rozeznania i potwierdzenia</w:t>
      </w:r>
      <w:r w:rsidR="00D619D9">
        <w:rPr>
          <w:rFonts w:eastAsia="Calibri" w:cs="Arial"/>
        </w:rPr>
        <w:t xml:space="preserve"> racjonalności stawek</w:t>
      </w:r>
      <w:r w:rsidR="00707290">
        <w:rPr>
          <w:rFonts w:eastAsia="Calibri" w:cs="Arial"/>
        </w:rPr>
        <w:t>.</w:t>
      </w:r>
      <w:r w:rsidR="000154EA">
        <w:rPr>
          <w:rFonts w:eastAsia="Calibri" w:cs="Arial"/>
        </w:rPr>
        <w:t xml:space="preserve"> Jednocześnie IOK przypomina, że </w:t>
      </w:r>
      <w:r w:rsidR="000154EA" w:rsidRPr="000154EA">
        <w:rPr>
          <w:rFonts w:eastAsia="Calibri" w:cs="Arial"/>
        </w:rPr>
        <w:t xml:space="preserve">fakt przeprowadzenia rozeznania </w:t>
      </w:r>
      <w:r w:rsidR="000154EA">
        <w:rPr>
          <w:rFonts w:eastAsia="Calibri" w:cs="Arial"/>
        </w:rPr>
        <w:t xml:space="preserve">rynku na etapie przygotowywania wniosku </w:t>
      </w:r>
      <w:r w:rsidR="000154EA">
        <w:rPr>
          <w:rFonts w:eastAsia="Calibri" w:cs="Arial"/>
        </w:rPr>
        <w:br/>
        <w:t xml:space="preserve">o dofinansowanie projektu, </w:t>
      </w:r>
      <w:r w:rsidR="000154EA" w:rsidRPr="000154EA">
        <w:rPr>
          <w:rFonts w:eastAsia="Calibri" w:cs="Arial"/>
        </w:rPr>
        <w:t>nie zwalnia beneficjenta z trybów konkurencyjnych (w tym rozeznania rynku) na etapie realizacji umowy o dofinansowanie.</w:t>
      </w:r>
    </w:p>
    <w:p w14:paraId="404A8687" w14:textId="45085CAA" w:rsidR="00C149E1" w:rsidRDefault="00C149E1" w:rsidP="00C149E1">
      <w:pPr>
        <w:autoSpaceDE w:val="0"/>
        <w:autoSpaceDN w:val="0"/>
        <w:adjustRightInd w:val="0"/>
        <w:spacing w:after="240" w:line="240" w:lineRule="atLeast"/>
        <w:jc w:val="both"/>
        <w:rPr>
          <w:rFonts w:ascii="Calibri" w:eastAsia="Calibri" w:hAnsi="Calibri" w:cs="Times New Roman"/>
        </w:rPr>
      </w:pPr>
      <w:r w:rsidRPr="00A3194B">
        <w:rPr>
          <w:rFonts w:ascii="Calibri" w:eastAsia="Calibri" w:hAnsi="Calibri" w:cs="Times New Roman"/>
        </w:rPr>
        <w:t>Stosowanie kwot</w:t>
      </w:r>
      <w:r w:rsidR="00D619D9">
        <w:rPr>
          <w:rFonts w:ascii="Calibri" w:eastAsia="Calibri" w:hAnsi="Calibri" w:cs="Times New Roman"/>
        </w:rPr>
        <w:t>,</w:t>
      </w:r>
      <w:r w:rsidRPr="00A3194B">
        <w:rPr>
          <w:rFonts w:ascii="Calibri" w:eastAsia="Calibri" w:hAnsi="Calibri" w:cs="Times New Roman"/>
        </w:rPr>
        <w:t xml:space="preserve"> wskazanych w </w:t>
      </w:r>
      <w:r w:rsidR="00D619D9">
        <w:rPr>
          <w:rFonts w:ascii="Calibri" w:eastAsia="Calibri" w:hAnsi="Calibri" w:cs="Times New Roman"/>
        </w:rPr>
        <w:t>części III niniejszego</w:t>
      </w:r>
      <w:r w:rsidRPr="00A3194B">
        <w:rPr>
          <w:rFonts w:ascii="Calibri" w:eastAsia="Calibri" w:hAnsi="Calibri" w:cs="Times New Roman"/>
        </w:rPr>
        <w:t xml:space="preserve"> opracowani</w:t>
      </w:r>
      <w:r w:rsidR="00D619D9">
        <w:rPr>
          <w:rFonts w:ascii="Calibri" w:eastAsia="Calibri" w:hAnsi="Calibri" w:cs="Times New Roman"/>
        </w:rPr>
        <w:t>a,</w:t>
      </w:r>
      <w:r w:rsidRPr="00A3194B">
        <w:rPr>
          <w:rFonts w:ascii="Calibri" w:eastAsia="Calibri" w:hAnsi="Calibri" w:cs="Times New Roman"/>
        </w:rPr>
        <w:t xml:space="preserve"> nie zwalnia członków KOP z weryfikacji zasadności i racjonalności wszystkich stawek, również tych mieszczących się poniżej maksymalnego poziomu. Przyjęcie stawki maksymalnej nie oznacza, że będzie ona akceptowana w każdym projekcie </w:t>
      </w:r>
      <w:r w:rsidR="00D619D9">
        <w:rPr>
          <w:rFonts w:ascii="Calibri" w:eastAsia="Calibri" w:hAnsi="Calibri" w:cs="Times New Roman"/>
        </w:rPr>
        <w:br/>
      </w:r>
      <w:r w:rsidRPr="00A3194B">
        <w:rPr>
          <w:rFonts w:ascii="Calibri" w:eastAsia="Calibri" w:hAnsi="Calibri" w:cs="Times New Roman"/>
        </w:rPr>
        <w:t>– przy ocenie budżetu brane będą pod uwagę m.in. takie czynniki</w:t>
      </w:r>
      <w:r w:rsidR="00D619D9">
        <w:rPr>
          <w:rFonts w:ascii="Calibri" w:eastAsia="Calibri" w:hAnsi="Calibri" w:cs="Times New Roman"/>
        </w:rPr>
        <w:t>,</w:t>
      </w:r>
      <w:r w:rsidRPr="00A3194B">
        <w:rPr>
          <w:rFonts w:ascii="Calibri" w:eastAsia="Calibri" w:hAnsi="Calibri" w:cs="Times New Roman"/>
        </w:rPr>
        <w:t xml:space="preserve"> jak np. stopień złożoności </w:t>
      </w:r>
      <w:r>
        <w:rPr>
          <w:rFonts w:ascii="Calibri" w:eastAsia="Calibri" w:hAnsi="Calibri" w:cs="Times New Roman"/>
        </w:rPr>
        <w:t xml:space="preserve">wsparcia udzielanego w ramach </w:t>
      </w:r>
      <w:r w:rsidRPr="00A3194B">
        <w:rPr>
          <w:rFonts w:ascii="Calibri" w:eastAsia="Calibri" w:hAnsi="Calibri" w:cs="Times New Roman"/>
        </w:rPr>
        <w:t>projektu, wielkość grupy docelowej.</w:t>
      </w:r>
    </w:p>
    <w:p w14:paraId="0A3BA6DB" w14:textId="1BF60DCA" w:rsidR="0092400E" w:rsidRPr="00214379" w:rsidRDefault="0092400E" w:rsidP="0092400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480" w:after="120" w:line="240" w:lineRule="atLeast"/>
        <w:ind w:hanging="218"/>
        <w:jc w:val="both"/>
        <w:rPr>
          <w:rFonts w:eastAsia="Calibri" w:cs="Arial,Bold"/>
          <w:b/>
          <w:bCs/>
          <w:sz w:val="28"/>
          <w:szCs w:val="28"/>
          <w:u w:val="single"/>
          <w:lang w:eastAsia="pl-PL"/>
        </w:rPr>
      </w:pP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Wykorzystanie dotacji podmiotowej na zadania związane z zapewnianiem warunków osobom niepełnosprawnym</w:t>
      </w:r>
    </w:p>
    <w:p w14:paraId="27CFFC6B" w14:textId="67887DE6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b/>
          <w:bCs/>
          <w:color w:val="212529"/>
          <w:lang w:eastAsia="pl-PL"/>
        </w:rPr>
      </w:pPr>
      <w:r w:rsidRPr="0092400E">
        <w:rPr>
          <w:rFonts w:eastAsia="Times New Roman" w:cstheme="minorHAnsi"/>
          <w:b/>
          <w:bCs/>
          <w:i/>
          <w:color w:val="212529"/>
          <w:lang w:eastAsia="pl-PL"/>
        </w:rPr>
        <w:t xml:space="preserve">Informacja na temat wykorzystania dotacji podmiotowej przeznaczonej na zadania związane z zapewnieniem osobom niepełnosprawnym warunków </w:t>
      </w:r>
      <w:r>
        <w:rPr>
          <w:rFonts w:eastAsia="Times New Roman" w:cstheme="minorHAnsi"/>
          <w:b/>
          <w:bCs/>
          <w:i/>
          <w:color w:val="212529"/>
          <w:lang w:eastAsia="pl-PL"/>
        </w:rPr>
        <w:br/>
      </w:r>
      <w:r w:rsidRPr="0092400E">
        <w:rPr>
          <w:rFonts w:eastAsia="Times New Roman" w:cstheme="minorHAnsi"/>
          <w:b/>
          <w:bCs/>
          <w:i/>
          <w:color w:val="212529"/>
          <w:lang w:eastAsia="pl-PL"/>
        </w:rPr>
        <w:t>do pełnego udziału w procesie przyjmowania na studia, do szkół doktorskich, kształceniu na studiach i w szkołach doktorskich lub prowadzeniu działalności naukowej</w:t>
      </w:r>
    </w:p>
    <w:p w14:paraId="711362CB" w14:textId="5A3851BE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55EBF">
        <w:rPr>
          <w:rFonts w:eastAsia="Times New Roman" w:cstheme="minorHAnsi"/>
          <w:color w:val="212529"/>
          <w:lang w:eastAsia="pl-PL"/>
        </w:rPr>
        <w:t xml:space="preserve">W myśl art. 371 ust. 2 ustawy – </w:t>
      </w:r>
      <w:r w:rsidRPr="00955EBF">
        <w:rPr>
          <w:rFonts w:eastAsia="Times New Roman" w:cstheme="minorHAnsi"/>
          <w:i/>
          <w:iCs/>
          <w:color w:val="212529"/>
          <w:lang w:eastAsia="pl-PL"/>
        </w:rPr>
        <w:t xml:space="preserve">Prawo o szkolnictwie wyższym i nauce </w:t>
      </w:r>
      <w:r w:rsidRPr="00955EBF">
        <w:rPr>
          <w:rFonts w:eastAsia="Times New Roman" w:cstheme="minorHAnsi"/>
          <w:color w:val="212529"/>
          <w:lang w:eastAsia="pl-PL"/>
        </w:rPr>
        <w:t>(</w:t>
      </w:r>
      <w:r w:rsidR="00F80124" w:rsidRPr="00955EBF">
        <w:rPr>
          <w:rFonts w:eastAsia="Times New Roman" w:cstheme="minorHAnsi"/>
          <w:color w:val="212529"/>
          <w:lang w:eastAsia="pl-PL"/>
        </w:rPr>
        <w:t>t</w:t>
      </w:r>
      <w:r w:rsidR="00AC69DF" w:rsidRPr="00955EBF">
        <w:rPr>
          <w:rFonts w:eastAsia="Times New Roman" w:cstheme="minorHAnsi"/>
          <w:color w:val="212529"/>
          <w:lang w:eastAsia="pl-PL"/>
        </w:rPr>
        <w:t xml:space="preserve"> </w:t>
      </w:r>
      <w:r w:rsidR="00F80124" w:rsidRPr="00955EBF">
        <w:rPr>
          <w:rFonts w:eastAsia="Times New Roman" w:cstheme="minorHAnsi"/>
          <w:color w:val="212529"/>
          <w:lang w:eastAsia="pl-PL"/>
        </w:rPr>
        <w:t>.j.</w:t>
      </w:r>
      <w:r w:rsidR="00AC69DF" w:rsidRPr="00955EBF">
        <w:rPr>
          <w:rFonts w:eastAsia="Times New Roman" w:cstheme="minorHAnsi"/>
          <w:color w:val="212529"/>
          <w:lang w:eastAsia="pl-PL"/>
        </w:rPr>
        <w:t xml:space="preserve"> </w:t>
      </w:r>
      <w:r w:rsidRPr="00955EBF">
        <w:rPr>
          <w:rFonts w:eastAsia="Times New Roman" w:cstheme="minorHAnsi"/>
          <w:color w:val="212529"/>
          <w:lang w:eastAsia="pl-PL"/>
        </w:rPr>
        <w:t xml:space="preserve">Dz. U. </w:t>
      </w:r>
      <w:r w:rsidR="00AC69DF" w:rsidRPr="00955EBF">
        <w:rPr>
          <w:rFonts w:eastAsia="Times New Roman" w:cstheme="minorHAnsi"/>
          <w:color w:val="212529"/>
          <w:lang w:eastAsia="pl-PL"/>
        </w:rPr>
        <w:t>z 2021r., poz. 478</w:t>
      </w:r>
      <w:r w:rsidRPr="00955EBF">
        <w:rPr>
          <w:rFonts w:eastAsia="Times New Roman" w:cstheme="minorHAnsi"/>
          <w:color w:val="212529"/>
          <w:lang w:eastAsia="pl-PL"/>
        </w:rPr>
        <w:t xml:space="preserve"> z  </w:t>
      </w:r>
      <w:proofErr w:type="spellStart"/>
      <w:r w:rsidRPr="00955EBF">
        <w:rPr>
          <w:rFonts w:eastAsia="Times New Roman" w:cstheme="minorHAnsi"/>
          <w:color w:val="212529"/>
          <w:lang w:eastAsia="pl-PL"/>
        </w:rPr>
        <w:t>późn</w:t>
      </w:r>
      <w:proofErr w:type="spellEnd"/>
      <w:r w:rsidRPr="00955EBF">
        <w:rPr>
          <w:rFonts w:eastAsia="Times New Roman" w:cstheme="minorHAnsi"/>
          <w:color w:val="212529"/>
          <w:lang w:eastAsia="pl-PL"/>
        </w:rPr>
        <w:t xml:space="preserve">. zm.), środki finansowe przyznawane na finansowanie zadań związanych z zapewnieniem osobom niepełnosprawnym warunków do pełnego udziału w procesie przyjmowania na studia, do szkół doktorskich, kształceniu na studiach i w szkołach doktorskich lub prowadzeniu działalności naukowej przekazywane są </w:t>
      </w:r>
      <w:r w:rsidRPr="00955EBF">
        <w:rPr>
          <w:rFonts w:eastAsia="Times New Roman" w:cstheme="minorHAnsi"/>
          <w:b/>
          <w:bCs/>
          <w:color w:val="212529"/>
          <w:lang w:eastAsia="pl-PL"/>
        </w:rPr>
        <w:t>w formie dotacji podmiotowej</w:t>
      </w:r>
      <w:r w:rsidRPr="00955EBF">
        <w:rPr>
          <w:rFonts w:eastAsia="Times New Roman" w:cstheme="minorHAnsi"/>
          <w:color w:val="212529"/>
          <w:lang w:eastAsia="pl-PL"/>
        </w:rPr>
        <w:t xml:space="preserve">. Oznacza to iż, zgodnie z art. 131 – ustawy  o </w:t>
      </w:r>
      <w:r w:rsidRPr="00955EBF">
        <w:rPr>
          <w:rFonts w:eastAsia="Times New Roman" w:cstheme="minorHAnsi"/>
          <w:i/>
          <w:iCs/>
          <w:color w:val="212529"/>
          <w:lang w:eastAsia="pl-PL"/>
        </w:rPr>
        <w:t>finansach publicznych</w:t>
      </w:r>
      <w:r w:rsidRPr="00955EBF">
        <w:rPr>
          <w:rFonts w:eastAsia="Times New Roman" w:cstheme="minorHAnsi"/>
          <w:color w:val="212529"/>
          <w:lang w:eastAsia="pl-PL"/>
        </w:rPr>
        <w:t xml:space="preserve"> (</w:t>
      </w:r>
      <w:r w:rsidR="00F80124" w:rsidRPr="00955EBF">
        <w:rPr>
          <w:rFonts w:eastAsia="Times New Roman" w:cstheme="minorHAnsi"/>
          <w:color w:val="212529"/>
          <w:lang w:eastAsia="pl-PL"/>
        </w:rPr>
        <w:t xml:space="preserve"> t.</w:t>
      </w:r>
      <w:r w:rsidR="00AC69DF" w:rsidRPr="00955EBF">
        <w:rPr>
          <w:rFonts w:eastAsia="Times New Roman" w:cstheme="minorHAnsi"/>
          <w:color w:val="212529"/>
          <w:lang w:eastAsia="pl-PL"/>
        </w:rPr>
        <w:t xml:space="preserve"> </w:t>
      </w:r>
      <w:r w:rsidR="00F80124" w:rsidRPr="00955EBF">
        <w:rPr>
          <w:rFonts w:eastAsia="Times New Roman" w:cstheme="minorHAnsi"/>
          <w:color w:val="212529"/>
          <w:lang w:eastAsia="pl-PL"/>
        </w:rPr>
        <w:t xml:space="preserve">j. </w:t>
      </w:r>
      <w:r w:rsidRPr="00955EBF">
        <w:rPr>
          <w:rFonts w:eastAsia="Times New Roman" w:cstheme="minorHAnsi"/>
          <w:color w:val="212529"/>
          <w:lang w:eastAsia="pl-PL"/>
        </w:rPr>
        <w:t xml:space="preserve">Dz. U. z </w:t>
      </w:r>
      <w:r w:rsidR="00F80124" w:rsidRPr="00955EBF">
        <w:rPr>
          <w:rFonts w:eastAsia="Times New Roman" w:cstheme="minorHAnsi"/>
          <w:color w:val="212529"/>
          <w:lang w:eastAsia="pl-PL"/>
        </w:rPr>
        <w:t xml:space="preserve">2021 </w:t>
      </w:r>
      <w:r w:rsidRPr="00955EBF">
        <w:rPr>
          <w:rFonts w:eastAsia="Times New Roman" w:cstheme="minorHAnsi"/>
          <w:color w:val="212529"/>
          <w:lang w:eastAsia="pl-PL"/>
        </w:rPr>
        <w:t xml:space="preserve">r. poz. </w:t>
      </w:r>
      <w:r w:rsidR="00F80124" w:rsidRPr="00955EBF">
        <w:rPr>
          <w:rFonts w:eastAsia="Times New Roman" w:cstheme="minorHAnsi"/>
          <w:color w:val="212529"/>
          <w:lang w:eastAsia="pl-PL"/>
        </w:rPr>
        <w:t>305</w:t>
      </w:r>
      <w:r w:rsidRPr="00955EBF">
        <w:rPr>
          <w:rFonts w:eastAsia="Times New Roman" w:cstheme="minorHAnsi"/>
          <w:color w:val="212529"/>
          <w:lang w:eastAsia="pl-PL"/>
        </w:rPr>
        <w:t xml:space="preserve">, z </w:t>
      </w:r>
      <w:proofErr w:type="spellStart"/>
      <w:r w:rsidRPr="00955EBF">
        <w:rPr>
          <w:rFonts w:eastAsia="Times New Roman" w:cstheme="minorHAnsi"/>
          <w:color w:val="212529"/>
          <w:lang w:eastAsia="pl-PL"/>
        </w:rPr>
        <w:t>późn</w:t>
      </w:r>
      <w:proofErr w:type="spellEnd"/>
      <w:r w:rsidRPr="00955EBF">
        <w:rPr>
          <w:rFonts w:eastAsia="Times New Roman" w:cstheme="minorHAnsi"/>
          <w:color w:val="212529"/>
          <w:lang w:eastAsia="pl-PL"/>
        </w:rPr>
        <w:t>. zm.)</w:t>
      </w:r>
      <w:r w:rsidRPr="0092400E">
        <w:rPr>
          <w:rFonts w:eastAsia="Times New Roman" w:cstheme="minorHAnsi"/>
          <w:color w:val="212529"/>
          <w:lang w:eastAsia="pl-PL"/>
        </w:rPr>
        <w:t xml:space="preserve"> dotacje te obejmują środki dla podmiotu wskazanego w odrębnej ustawie (w tym przypadku uczelni publicznej i niepublicznej), wyłącznie na dofinansowanie działalności bieżącej w zakresie określonym w odrębnej ustawie (w tym przypadku ustawie – </w:t>
      </w:r>
      <w:r w:rsidRPr="0092400E">
        <w:rPr>
          <w:rFonts w:eastAsia="Times New Roman" w:cstheme="minorHAnsi"/>
          <w:i/>
          <w:iCs/>
          <w:color w:val="212529"/>
          <w:lang w:eastAsia="pl-PL"/>
        </w:rPr>
        <w:t>Prawo o szkolnictwie wyższym i nauce</w:t>
      </w:r>
      <w:r w:rsidRPr="0092400E">
        <w:rPr>
          <w:rFonts w:eastAsia="Times New Roman" w:cstheme="minorHAnsi"/>
          <w:color w:val="212529"/>
          <w:lang w:eastAsia="pl-PL"/>
        </w:rPr>
        <w:t xml:space="preserve">). </w:t>
      </w:r>
      <w:bookmarkStart w:id="0" w:name="_GoBack"/>
      <w:bookmarkEnd w:id="0"/>
    </w:p>
    <w:p w14:paraId="0FC2025B" w14:textId="77777777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lastRenderedPageBreak/>
        <w:t xml:space="preserve">W związku z powyższym ze środków omawianej dotacji mogą być finansowane: </w:t>
      </w:r>
    </w:p>
    <w:p w14:paraId="505F369D" w14:textId="77777777" w:rsidR="0092400E" w:rsidRDefault="0092400E" w:rsidP="0092400E">
      <w:pPr>
        <w:pStyle w:val="Akapitzlist"/>
        <w:numPr>
          <w:ilvl w:val="0"/>
          <w:numId w:val="41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wydatki bieżące; </w:t>
      </w:r>
    </w:p>
    <w:p w14:paraId="541F91C0" w14:textId="57AAC707" w:rsidR="0092400E" w:rsidRDefault="0092400E" w:rsidP="0092400E">
      <w:pPr>
        <w:pStyle w:val="Akapitzlist"/>
        <w:numPr>
          <w:ilvl w:val="0"/>
          <w:numId w:val="41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koszty nabycia lub wytworzenia we własnym zakresie środków trwałych niezaliczonych  do pierwszego wyposażenia, których wartość początkowa jest niższa od kwoty określonej  w art. 16f ustawy z dnia 15 lutego 1992 r. </w:t>
      </w:r>
      <w:r w:rsidRPr="0092400E">
        <w:rPr>
          <w:rFonts w:eastAsia="Times New Roman" w:cstheme="minorHAnsi"/>
          <w:i/>
          <w:iCs/>
          <w:color w:val="212529"/>
          <w:lang w:eastAsia="pl-PL"/>
        </w:rPr>
        <w:t>o podatku dochodowym od osób prawnych</w:t>
      </w:r>
      <w:r w:rsidRPr="0092400E">
        <w:rPr>
          <w:rFonts w:eastAsia="Times New Roman" w:cstheme="minorHAnsi"/>
          <w:color w:val="212529"/>
          <w:lang w:eastAsia="pl-PL"/>
        </w:rPr>
        <w:t xml:space="preserve">  (</w:t>
      </w:r>
      <w:r w:rsidR="00F80124">
        <w:rPr>
          <w:rFonts w:eastAsia="Times New Roman" w:cstheme="minorHAnsi"/>
          <w:color w:val="212529"/>
          <w:lang w:eastAsia="pl-PL"/>
        </w:rPr>
        <w:t>t.</w:t>
      </w:r>
      <w:r w:rsidR="00AC69DF">
        <w:rPr>
          <w:rFonts w:eastAsia="Times New Roman" w:cstheme="minorHAnsi"/>
          <w:color w:val="212529"/>
          <w:lang w:eastAsia="pl-PL"/>
        </w:rPr>
        <w:t xml:space="preserve"> </w:t>
      </w:r>
      <w:r w:rsidR="00F80124">
        <w:rPr>
          <w:rFonts w:eastAsia="Times New Roman" w:cstheme="minorHAnsi"/>
          <w:color w:val="212529"/>
          <w:lang w:eastAsia="pl-PL"/>
        </w:rPr>
        <w:t xml:space="preserve">j. </w:t>
      </w:r>
      <w:r w:rsidRPr="0092400E">
        <w:rPr>
          <w:rFonts w:eastAsia="Times New Roman" w:cstheme="minorHAnsi"/>
          <w:color w:val="212529"/>
          <w:lang w:eastAsia="pl-PL"/>
        </w:rPr>
        <w:t>Dz. U. z 20</w:t>
      </w:r>
      <w:r w:rsidR="00F80124">
        <w:rPr>
          <w:rFonts w:eastAsia="Times New Roman" w:cstheme="minorHAnsi"/>
          <w:color w:val="212529"/>
          <w:lang w:eastAsia="pl-PL"/>
        </w:rPr>
        <w:t>20</w:t>
      </w:r>
      <w:r w:rsidRPr="0092400E">
        <w:rPr>
          <w:rFonts w:eastAsia="Times New Roman" w:cstheme="minorHAnsi"/>
          <w:color w:val="212529"/>
          <w:lang w:eastAsia="pl-PL"/>
        </w:rPr>
        <w:t xml:space="preserve"> r. poz. </w:t>
      </w:r>
      <w:r w:rsidR="00F80124">
        <w:rPr>
          <w:rFonts w:eastAsia="Times New Roman" w:cstheme="minorHAnsi"/>
          <w:color w:val="212529"/>
          <w:lang w:eastAsia="pl-PL"/>
        </w:rPr>
        <w:t>1406</w:t>
      </w:r>
      <w:r w:rsidRPr="0092400E">
        <w:rPr>
          <w:rFonts w:eastAsia="Times New Roman" w:cstheme="minorHAnsi"/>
          <w:color w:val="212529"/>
          <w:lang w:eastAsia="pl-PL"/>
        </w:rPr>
        <w:t>), tj. 10.000 zł;</w:t>
      </w:r>
    </w:p>
    <w:p w14:paraId="54DD9181" w14:textId="72201702" w:rsidR="0092400E" w:rsidRPr="0092400E" w:rsidRDefault="0092400E" w:rsidP="0092400E">
      <w:pPr>
        <w:pStyle w:val="Akapitzlist"/>
        <w:numPr>
          <w:ilvl w:val="0"/>
          <w:numId w:val="41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zakupu wartości niematerialnych i prawnych, niezaliczonych do pierwszego wyposażenia, których wartość jest niższa od kwoty 10.000 zł;</w:t>
      </w:r>
    </w:p>
    <w:p w14:paraId="5323DDA6" w14:textId="3D473028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związane bezpośrednio z zapewnieniem osobom z niepełnosprawnościami warunków do pełnego udziału w procesie przyjmowania na studia, do szkół doktorskich, kształceniu na studiach i w szkołach doktorskich lub prowadzeniu działalności naukowej – </w:t>
      </w:r>
      <w:r w:rsidRPr="0092400E">
        <w:rPr>
          <w:rFonts w:eastAsia="Times New Roman" w:cstheme="minorHAnsi"/>
          <w:color w:val="212529"/>
          <w:u w:val="single"/>
          <w:lang w:eastAsia="pl-PL"/>
        </w:rPr>
        <w:t>z zastrzeżeniem,</w:t>
      </w:r>
      <w:r w:rsidRPr="0092400E">
        <w:rPr>
          <w:rFonts w:eastAsia="Times New Roman" w:cstheme="minorHAnsi"/>
          <w:color w:val="212529"/>
          <w:lang w:eastAsia="pl-PL"/>
        </w:rPr>
        <w:t xml:space="preserve"> że w przypadku określenia w polityce rachunkowości uczelni niższego limitu wartości początkowej środków trwałych, do których stosuje się jednorazowy odpis amortyzacyjny, maksymalna wartość początkowa środka trwałego lub wartości niematerialnej i prawnej, finansowanej z dotacji nie może być wyższa niż wysokość tego limitu. </w:t>
      </w:r>
      <w:r w:rsidRPr="0092400E">
        <w:rPr>
          <w:rFonts w:eastAsia="Times New Roman" w:cstheme="minorHAnsi"/>
          <w:b/>
          <w:bCs/>
          <w:color w:val="212529"/>
          <w:lang w:eastAsia="pl-PL"/>
        </w:rPr>
        <w:t>Niedopuszczalne</w:t>
      </w:r>
      <w:r w:rsidRPr="0092400E">
        <w:rPr>
          <w:rFonts w:eastAsia="Times New Roman" w:cstheme="minorHAnsi"/>
          <w:color w:val="212529"/>
          <w:lang w:eastAsia="pl-PL"/>
        </w:rPr>
        <w:t xml:space="preserve"> zatem jest dokonywanie ze środków omawianej dotacji podmiotowej </w:t>
      </w:r>
      <w:r w:rsidRPr="0092400E">
        <w:rPr>
          <w:rFonts w:eastAsia="Times New Roman" w:cstheme="minorHAnsi"/>
          <w:b/>
          <w:bCs/>
          <w:color w:val="212529"/>
          <w:lang w:eastAsia="pl-PL"/>
        </w:rPr>
        <w:t>wydatków inwestycyjnych</w:t>
      </w:r>
      <w:r w:rsidRPr="0092400E">
        <w:rPr>
          <w:rFonts w:eastAsia="Times New Roman" w:cstheme="minorHAnsi"/>
          <w:color w:val="212529"/>
          <w:lang w:eastAsia="pl-PL"/>
        </w:rPr>
        <w:t>.</w:t>
      </w:r>
    </w:p>
    <w:p w14:paraId="21FB16B4" w14:textId="68A723B2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Ponadto z ww. dotacji uczelnie mogą realizować wydatki na rzecz osób z niepełnosprawnościami, potwierdzonymi orzeczeniem o stopniu niepełnosprawności oraz wydatki na rzecz osób z niepełnosprawnościami bez stosownego orzeczenia. W tym celu uczelnie mogą opracować wewnętrzny regulamin, który określi kryteria kwalifikacji oraz formy pomocy studentom/doktorantom oraz pracownikom prowadzącym działalność naukową z niepełnosprawnościami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bez stosownego orzeczenia.</w:t>
      </w:r>
    </w:p>
    <w:p w14:paraId="0DA15637" w14:textId="24B1A599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b/>
          <w:color w:val="212529"/>
          <w:lang w:eastAsia="pl-PL"/>
        </w:rPr>
      </w:pPr>
      <w:r w:rsidRPr="0092400E">
        <w:rPr>
          <w:rFonts w:eastAsia="Times New Roman" w:cstheme="minorHAnsi"/>
          <w:b/>
          <w:color w:val="212529"/>
          <w:lang w:eastAsia="pl-PL"/>
        </w:rPr>
        <w:t>Przykładowy katalog wydatków z dotacji na wsparcie procesu kształcenia i prowadzenia badań osób z niepełnosprawnościami</w:t>
      </w:r>
    </w:p>
    <w:p w14:paraId="017540D8" w14:textId="59732FFD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 xml:space="preserve">Poniżej przygotowany przez </w:t>
      </w:r>
      <w:proofErr w:type="spellStart"/>
      <w:r w:rsidR="00F80124" w:rsidRPr="0092400E">
        <w:rPr>
          <w:rFonts w:eastAsia="Times New Roman" w:cstheme="minorHAnsi"/>
          <w:bCs/>
          <w:color w:val="212529"/>
          <w:lang w:eastAsia="pl-PL"/>
        </w:rPr>
        <w:t>M</w:t>
      </w:r>
      <w:r w:rsidR="00F80124">
        <w:rPr>
          <w:rFonts w:eastAsia="Times New Roman" w:cstheme="minorHAnsi"/>
          <w:bCs/>
          <w:color w:val="212529"/>
          <w:lang w:eastAsia="pl-PL"/>
        </w:rPr>
        <w:t>EiN</w:t>
      </w:r>
      <w:proofErr w:type="spellEnd"/>
      <w:r w:rsidR="00F80124">
        <w:rPr>
          <w:rFonts w:eastAsia="Times New Roman" w:cstheme="minorHAnsi"/>
          <w:bCs/>
          <w:color w:val="212529"/>
          <w:lang w:eastAsia="pl-PL"/>
        </w:rPr>
        <w:t xml:space="preserve"> </w:t>
      </w:r>
      <w:r w:rsidRPr="0092400E">
        <w:rPr>
          <w:rFonts w:eastAsia="Times New Roman" w:cstheme="minorHAnsi"/>
          <w:bCs/>
          <w:color w:val="212529"/>
          <w:lang w:eastAsia="pl-PL"/>
        </w:rPr>
        <w:t xml:space="preserve">przykładowy katalog zadań, które można sfinansować ze środków tej dotacji. Jednocześnie należy podkreślić, że katalog ma charakter otwarty i uczelnie mają swobodę w realizacji także innych zadań, </w:t>
      </w:r>
      <w:r w:rsidRPr="0092400E">
        <w:rPr>
          <w:rFonts w:eastAsia="Times New Roman" w:cstheme="minorHAnsi"/>
          <w:bCs/>
          <w:color w:val="212529"/>
          <w:u w:val="single"/>
          <w:lang w:eastAsia="pl-PL"/>
        </w:rPr>
        <w:t>zgodnych z przeznaczeniem i charakterem dotacji.</w:t>
      </w:r>
    </w:p>
    <w:p w14:paraId="0A454F2D" w14:textId="7381E16A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W zakresie dostosowania infrastruktury uczelni/domów studenckich do potrzeb osób z niepełnosprawnościami (niwelowanie barier architektonicznych):</w:t>
      </w:r>
    </w:p>
    <w:p w14:paraId="1FFB2760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remonty</w:t>
      </w:r>
      <w:r w:rsidRPr="0092400E">
        <w:rPr>
          <w:rStyle w:val="Odwoanieprzypisudolnego"/>
          <w:rFonts w:eastAsia="Times New Roman" w:cstheme="minorHAnsi"/>
          <w:color w:val="212529"/>
          <w:lang w:eastAsia="pl-PL"/>
        </w:rPr>
        <w:footnoteReference w:id="1"/>
      </w:r>
      <w:r w:rsidRPr="0092400E">
        <w:rPr>
          <w:rFonts w:eastAsia="Times New Roman" w:cstheme="minorHAnsi"/>
          <w:color w:val="212529"/>
          <w:lang w:eastAsia="pl-PL"/>
        </w:rPr>
        <w:t xml:space="preserve"> istniejącej infrastruktury, służącej osobom z niepełnosprawnościami;</w:t>
      </w:r>
    </w:p>
    <w:p w14:paraId="01224B6F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eksploatacji i konserwacji sprzętu dla osób z niepełnosprawnością (wind/dźwigów/urządzeń/itp.);</w:t>
      </w:r>
    </w:p>
    <w:p w14:paraId="1BB489FA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miejsc parkingowych;</w:t>
      </w:r>
    </w:p>
    <w:p w14:paraId="781DF0D5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dostosowanie na terenie uczelni oraz w domach studenckich i w bursach akademickich miejsc i ciągów komunikacyjnych (oznaczenia duktów pieszych), miejsc, sanitariatów w celu dostępności korzystania osobom z niepełnosprawnościami;</w:t>
      </w:r>
    </w:p>
    <w:p w14:paraId="2FAD0122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lastRenderedPageBreak/>
        <w:t>dostosowanie obiektów/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sal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 xml:space="preserve"> dydaktycznych na potrzeby osób z niepełnosprawnościami, wyposażenia w sprzęt specjalistyczny kompensujący niepełnosprawność;</w:t>
      </w:r>
    </w:p>
    <w:p w14:paraId="1B11429B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badania i weryfikacji dostępności uczelni dla osób z niepełnosprawnościami, w tym audytów dostępności informacji (w szczególności: serwisów internetowych, aplikacji komputerowych i mobilnych), komunikacji z osobami z niepełnosprawnościami, procesów: dydaktycznego, badawczego;</w:t>
      </w:r>
    </w:p>
    <w:p w14:paraId="0034F234" w14:textId="77777777" w:rsidR="0092400E" w:rsidRPr="0092400E" w:rsidRDefault="0092400E" w:rsidP="0092400E">
      <w:pPr>
        <w:numPr>
          <w:ilvl w:val="0"/>
          <w:numId w:val="44"/>
        </w:num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konsultacji/szkoleń specjalistycznych dotyczących dostępności (architektonicznej, informacji itp.) dla kadry uczelni, w tym osób odpowiedzialnych za inwestycje i remonty, utrzymanie budynków, tworzenie serwisów internetowych, aplikacji (komputerowych, mobilnych).</w:t>
      </w:r>
    </w:p>
    <w:p w14:paraId="42CE3D09" w14:textId="33E1C243" w:rsid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Mając na względzie prawidłowość wykorzystania dotacji istotnym jest, aby poniesione z niej wydatki nie nosiły znamion ulepszenia środka trwałego. Środki trwałe uważa się za ulepszone, gdy suma wydatków poniesionych na ich przebudowę, rozbudowę, rekonstrukcję, adaptację lub modernizację w danym roku podatkowym przekracza 10.000 zł i wydatki te powodują wzrost wartości użytkowej w stosunku do wartości z dnia przyjęcia środków trwałych </w:t>
      </w:r>
      <w:r w:rsidRPr="0092400E">
        <w:rPr>
          <w:rFonts w:eastAsia="Times New Roman" w:cstheme="minorHAnsi"/>
          <w:color w:val="212529"/>
          <w:lang w:eastAsia="pl-PL"/>
        </w:rPr>
        <w:br/>
        <w:t xml:space="preserve">do używania, mierzonej w szczególności okresem używania, zdolnością wytwórczą, jakością produktów uzyskiwanych za pomocą ulepszonych środków trwałych i kosztami ich eksploatacji (art. 16g ust. 13 ustawy </w:t>
      </w:r>
      <w:r w:rsidRPr="0092400E">
        <w:rPr>
          <w:rFonts w:eastAsia="Times New Roman" w:cstheme="minorHAnsi"/>
          <w:i/>
          <w:iCs/>
          <w:color w:val="212529"/>
          <w:lang w:eastAsia="pl-PL"/>
        </w:rPr>
        <w:t>o podatku dochodowym od osób prawnych</w:t>
      </w:r>
      <w:r w:rsidRPr="0092400E">
        <w:rPr>
          <w:rFonts w:eastAsia="Times New Roman" w:cstheme="minorHAnsi"/>
          <w:color w:val="212529"/>
          <w:lang w:eastAsia="pl-PL"/>
        </w:rPr>
        <w:t xml:space="preserve">). O tym, czy poniesione nakłady stanowią wydatki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 xml:space="preserve">na remont czy nakłady na ulepszenie środka trwałego, decyduje zakres przeprowadzonych prac. Różnica między nakładami na remont, a nakładami </w:t>
      </w:r>
      <w:r w:rsidRPr="0092400E">
        <w:rPr>
          <w:rFonts w:eastAsia="Times New Roman" w:cstheme="minorHAnsi"/>
          <w:color w:val="212529"/>
          <w:lang w:eastAsia="pl-PL"/>
        </w:rPr>
        <w:br/>
        <w:t>na ulepszenie środków trwałych polega na tym, że pierwsze z nich zmierzają do podtrzymania, odtworzenia wartości użytkowej środków trwałych, a drugie do podwyższenia bądź istotnej zmiany cech użytkowych tego składnika majątkowego.</w:t>
      </w:r>
    </w:p>
    <w:p w14:paraId="65E3E43E" w14:textId="2E3BAFA6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bCs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W zakresie dostosowania procesu kształcenia lub prowadzenia działalności naukowej:</w:t>
      </w:r>
    </w:p>
    <w:p w14:paraId="72B8040C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diagnoza potrzeb i możliwości studentów/doktorantów oraz pracowników prowadzących działalność naukową z niepełnosprawnościami (w celu zapewnienia im warunków do pełnego udziału w procesie kształcenia i prowadzenia działalności naukowej);</w:t>
      </w:r>
    </w:p>
    <w:p w14:paraId="18804549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dostosowanie miejsc, harmonogramu oraz formy zajęć dydaktycznych, w tym zajęć indywidualnych w procesie kształcenia oraz w prowadzeniu działalności naukowej;</w:t>
      </w:r>
    </w:p>
    <w:p w14:paraId="0BEEBDFD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rekrutacji na studia studentów/doktorantów z niepełnosprawnościami: dostosowanie materiałów informacyjno-rekrutacyjnych oraz pomocy dydaktycznych (w tym serwisów internetowych) do potrzeb kandydatów, z zastrzeżeniem, że materiały informacyjne nie zawierają treści promujących uczelnię – odnoszą się wyłącznie do przekazania informacji o  warunkach rekrutacji i studiowania;</w:t>
      </w:r>
    </w:p>
    <w:p w14:paraId="60FB5CC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pełnego udziału osób z niepełnosprawnościami w procesie weryfikacji wiedzy (egzaminy, zaliczenia, itp.), poprzez zastosowanie adekwatnych warunków, trybu oraz środków dydaktycznych;</w:t>
      </w:r>
    </w:p>
    <w:p w14:paraId="26238EF8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i dostosowanie odpowiednich materiałów dydaktycznych, w tym: przenoszenie do wersji tekstowej lub do wersji w druku powiększonym, opracowanie notatek do wersji elektronicznej lub w alfabecie Braille’a oraz dokumentów graficznych z warstwą tekstową   i z opisami alternatywnymi dla obiektów graficznych (dokumenty tekstowe, druk powiększony, druk brajlowski, grafiki wypukłe (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tyflografiki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 xml:space="preserve">), wydruki 3D, wykorzystanie tablic interaktywnych, tłumaczenia na język migowy, usługi tłumaczy oraz kursy języka migowego dla studentów/doktorantów oraz dla pracowników </w:t>
      </w:r>
      <w:r w:rsidRPr="0092400E">
        <w:rPr>
          <w:rFonts w:eastAsia="Times New Roman" w:cstheme="minorHAnsi"/>
          <w:color w:val="212529"/>
          <w:lang w:eastAsia="pl-PL"/>
        </w:rPr>
        <w:lastRenderedPageBreak/>
        <w:t xml:space="preserve">prowadzących działalność naukową, kursy 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fonogestów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 xml:space="preserve">, zapisów alternatywnych, usługi zdalnego tłumaczenia typu 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wideotłumacz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 xml:space="preserve">, usługi 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lipspeakingu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>, itp.);</w:t>
      </w:r>
    </w:p>
    <w:p w14:paraId="3D3094EA" w14:textId="2C806C02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zapewnienie notatek w dostępnej formie, w tym usługi asystenta wspomagającego oraz usługi zdalnego tworzenia notatek – (opracowanie notatek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w wersji elektronicznej lub w powiększonym piśmie odręcznym, alfabecie Braille'a, itp.);</w:t>
      </w:r>
    </w:p>
    <w:p w14:paraId="0BCDA02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literatury specjalistycznej i naukowej dla potrzeb osób z niepełnosprawnościami, w tym zakup pozycji bibliotecznych, przenoszenie treści do formy dostępnej dla osób z niepełnosprawnościami (wersje tekstowe, wersje graficzne w warstwą cyfrową i opisami alternatywnymi, druk powiększony, druk brajlowski, nagrania audio itp.);</w:t>
      </w:r>
    </w:p>
    <w:p w14:paraId="6A8625D9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stanowisk z obsługą multimedialną (ksero, skaner, oprogramowanie OCR);</w:t>
      </w:r>
    </w:p>
    <w:p w14:paraId="3766F7AF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najmu/wynajmu lub leasingu pomocy/urządzeń specjalistycznych ułatwiających dostępność osobom z niepełnosprawnością;</w:t>
      </w:r>
    </w:p>
    <w:p w14:paraId="0438C61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organizacji lektoratów z języka obcego w formie zajęć grupowych lub indywidualnych, w tym języka polskiego jako obcego dla osób nie(do)słyszących;</w:t>
      </w:r>
    </w:p>
    <w:p w14:paraId="1114788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dodatkowych zajęć konsultacyjno-wyrównawczych, w tym zajęć indywidualnych;</w:t>
      </w:r>
    </w:p>
    <w:p w14:paraId="5960F63C" w14:textId="7E16DF84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koszty jednostek biurowo-administracyjnych związanych z obsługą studentów/doktorantów i  pracowników prowadzących działalność naukową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z niepełnosprawnością;</w:t>
      </w:r>
    </w:p>
    <w:p w14:paraId="77D34D29" w14:textId="532171D1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zapewnienie specjalistycznych szkoleń dla kadry uczelni wspierających pełny udział osób z niepełnosprawnościami w rekrutacji, kształceniu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i prowadzeniu działalności naukowej;</w:t>
      </w:r>
    </w:p>
    <w:p w14:paraId="00441748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specjalistyczne szkolenia wspomagające proces dydaktyczny osób z niepełnosprawnościami, umożliwiające studentom/doktorantom oraz osobom prowadzącym działalność naukową właściwą orientację przestrzenną na terenie uczelni oraz zdobywanie umiejętności posługiwania się technologiami asystującymi, poszerzanie wiedzy i kompetencji społecznych;</w:t>
      </w:r>
    </w:p>
    <w:p w14:paraId="4F3DE286" w14:textId="7D8B76AA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koszty rozwiązań technologicznych oraz koszty porad/kursów specjalistycznych wspomagających adaptację osób z niepełnosprawnościami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w środowisku akademickim;</w:t>
      </w:r>
    </w:p>
    <w:p w14:paraId="1427FF75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specjalistycznych konsultacji (np. logopedycznych, prawnych, zawodowych) osobom z niepełnosprawnościami w celu wspierania ich procesu kształcenia oraz w prowadzeniu działalności naukowej;</w:t>
      </w:r>
    </w:p>
    <w:p w14:paraId="5D7FE605" w14:textId="4ED27954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zakup sprzętu i urządzeń specjalistycznych wspomagających proces dydaktyczny, np. specjalistyczne oprogramowanie komputerowe, rzutniki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do wyświetlania tekstu wykładu, finansowanie wkładu własnego uczelni w ramach ubiegania się o dofinansowanie w programie „PFRON ABSOLWENT” lub w innych programach/konkursach – o ile stan prawny lub regulamin projektu/programu/przedsięwzięcia nie wyklucza finansowania/współfinansowania z „dotacji na rzecz osób z niepełnosprawnościami”;</w:t>
      </w:r>
    </w:p>
    <w:p w14:paraId="0EA848B4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lastRenderedPageBreak/>
        <w:t>zapewnienie/dostosowanie odpowiednich warunków do realizacji zajęć wychowania fizycznego dla osób z niepełnosprawnościami, zapewnienie specjalistycznego sprzętu treningowego (platform, wyczynowych wózków inwalidzkich, itp.), w tym jego ubezpieczenie lub wypożyczanie go osobom z niepełnosprawnościami;</w:t>
      </w:r>
    </w:p>
    <w:p w14:paraId="68F9D0AB" w14:textId="245D837C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wsparcie uczelnianych sekcji zajmujących się organizacją oraz przygotowaniem osób z niepełnosprawnościami do udziału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w obozach/konkursach/olimpiadach/paraolimpiadach;</w:t>
      </w:r>
    </w:p>
    <w:p w14:paraId="52C72190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alternatywnych form zajęć wychowania fizycznego osobom z niepełnosprawnościami;</w:t>
      </w:r>
    </w:p>
    <w:p w14:paraId="3C5F6B4D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związane z prowadzeniem specjalistycznych zajęć.</w:t>
      </w:r>
    </w:p>
    <w:p w14:paraId="2AF95D6C" w14:textId="327A8877" w:rsid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Ponadto dokumentowanie zajęć powinno odbywać się np. poprzez sporządzanie listy obecności studentów i doktorantów z niepełnosprawnościami, uczestniczących w zajęciach. Jedocześnie należy podkreślić, że uczelnia powinna posiadać także dokumenty księgowe, rachunki lub faktury potwierdzające poniesienie wydatku z tytułu prowadzenia tego typu zajęć W ramach organizacji zajęć wychowania fizycznego dostosowanych do potrzeb studentów niepełnosprawnych uczelnia może dokonać zakupu wyposażenia do uczelnianej wypożyczalni sprzętu (o wartości jednostkowej do 10.000 zł) dla osób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z niepełnosprawnościami, a także pokrycie kosztów ubezpieczenia tego sprzętu.</w:t>
      </w:r>
    </w:p>
    <w:p w14:paraId="40814D47" w14:textId="797C2737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bCs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W zakresie transportu, zakwaterowania oraz udziału w wydarzeniach:</w:t>
      </w:r>
    </w:p>
    <w:p w14:paraId="3B7E6BC5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finansowanie kosztów transportu studentów/doktorantów, pracowników prowadzących działalność naukową z niepełnosprawnościami pomiędzy obiektami uczelni oraz z i do uczelni, pomiędzy uczelnią a miejscem zamieszkania;</w:t>
      </w:r>
    </w:p>
    <w:p w14:paraId="7BF92946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wsparcie uczelni w pokryciu ponadnormatywnych kosztów udziału w  krajowych i zagranicznych szkoleniach/konferencjach, zajęciach sportowych, obozach naukowo-sportowych/olimpiadach/paraolimpiadach, itp.;</w:t>
      </w:r>
    </w:p>
    <w:p w14:paraId="20B151ED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finansowanie kosztów zakwaterowania w sytuacjach wynikających z konieczności realizowania przedsięwzięcia specjalistycznego lub konieczność jego zapewnienia wynika ze specjalnych potrzeb osoby z niepełnosprawnością;</w:t>
      </w:r>
    </w:p>
    <w:p w14:paraId="7EA536D7" w14:textId="5D7EBB65" w:rsid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koszty związane z przygotowaniem specjalistycznych/alternatywnych warunków/urządzeń oraz materiałów pozwalających na aktywny udział osób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z niepełnosprawnością w przedsięwzięciu/spotkaniu.</w:t>
      </w:r>
    </w:p>
    <w:p w14:paraId="28745A74" w14:textId="30210AB9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bCs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W zakresie zapewnienia optymalnych rozwiązań technologii wspierających (</w:t>
      </w:r>
      <w:proofErr w:type="spellStart"/>
      <w:r w:rsidRPr="0092400E">
        <w:rPr>
          <w:rFonts w:eastAsia="Times New Roman" w:cstheme="minorHAnsi"/>
          <w:bCs/>
          <w:color w:val="212529"/>
          <w:lang w:eastAsia="pl-PL"/>
        </w:rPr>
        <w:t>assistive</w:t>
      </w:r>
      <w:proofErr w:type="spellEnd"/>
      <w:r w:rsidRPr="0092400E">
        <w:rPr>
          <w:rFonts w:eastAsia="Times New Roman" w:cstheme="minorHAnsi"/>
          <w:bCs/>
          <w:color w:val="212529"/>
          <w:lang w:eastAsia="pl-PL"/>
        </w:rPr>
        <w:t xml:space="preserve"> </w:t>
      </w:r>
      <w:proofErr w:type="spellStart"/>
      <w:r w:rsidRPr="0092400E">
        <w:rPr>
          <w:rFonts w:eastAsia="Times New Roman" w:cstheme="minorHAnsi"/>
          <w:bCs/>
          <w:color w:val="212529"/>
          <w:lang w:eastAsia="pl-PL"/>
        </w:rPr>
        <w:t>technologies</w:t>
      </w:r>
      <w:proofErr w:type="spellEnd"/>
      <w:r w:rsidRPr="0092400E">
        <w:rPr>
          <w:rFonts w:eastAsia="Times New Roman" w:cstheme="minorHAnsi"/>
          <w:bCs/>
          <w:color w:val="212529"/>
          <w:lang w:eastAsia="pl-PL"/>
        </w:rPr>
        <w:t>):</w:t>
      </w:r>
    </w:p>
    <w:p w14:paraId="12BEDB8D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dostępności stron internetowych uczelni do potrzeb osób z  niepełnosprawnościami, w tym tworzenie stron uniwersalnie zaprojektowanych, dostosowanie istniejących stron, nadzór i bieżący monitoring dostępności;</w:t>
      </w:r>
    </w:p>
    <w:p w14:paraId="3EF967AC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dostępności aplikacji komputerowych i mobilnych dla osób z niepełnosprawnościami (studentów/doktorantów, pracowników prowadzących działalność naukową, itp.);</w:t>
      </w:r>
    </w:p>
    <w:p w14:paraId="010AF4D9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lastRenderedPageBreak/>
        <w:t>zapewnienie dostępności e-learningu i innych materiałów multimedialnych, w tym tworzenie materiałów multimedialnych uniwersalnie zaprojektowanych, dostosowanie istniejących materiałów multimedialnych, nadzór oraz bieżący monitoring dostępności;</w:t>
      </w:r>
    </w:p>
    <w:p w14:paraId="1C5FE7A0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dostępu do zasobów specjalistycznych serwisów bibliotecznych;</w:t>
      </w:r>
    </w:p>
    <w:p w14:paraId="2645A0D9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wyposażenie obiektów/</w:t>
      </w:r>
      <w:proofErr w:type="spellStart"/>
      <w:r w:rsidRPr="0092400E">
        <w:rPr>
          <w:rFonts w:eastAsia="Times New Roman" w:cstheme="minorHAnsi"/>
          <w:color w:val="212529"/>
          <w:lang w:eastAsia="pl-PL"/>
        </w:rPr>
        <w:t>sal</w:t>
      </w:r>
      <w:proofErr w:type="spellEnd"/>
      <w:r w:rsidRPr="0092400E">
        <w:rPr>
          <w:rFonts w:eastAsia="Times New Roman" w:cstheme="minorHAnsi"/>
          <w:color w:val="212529"/>
          <w:lang w:eastAsia="pl-PL"/>
        </w:rPr>
        <w:t xml:space="preserve"> uczelni w sprzęt wspomagający widzenie/słyszenie, w tym pętle indukcyjne, systemy FM;</w:t>
      </w:r>
    </w:p>
    <w:p w14:paraId="58385AE4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koszty rozwiązań kompensujących niepełnosprawność; zapewnienie zdalnych usług w oparciu o nowoczesne technologie, jak tłumaczenia na język migowy czy zdalne tworzenie notatek;</w:t>
      </w:r>
    </w:p>
    <w:p w14:paraId="0503CBE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rozwiązań technicznych i technologicznych wspierających nawigację, orientację przestrzenną, informację mobilną i inne usługi dla osób z niepełnosprawnościami;</w:t>
      </w:r>
    </w:p>
    <w:p w14:paraId="7DB27B2A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dostępność on-line/e-learning w ramach pomocy dydaktycznych i naukowych oraz konsultacji z pracownikami dydaktycznymi/naukowymi, kursy internetowe;</w:t>
      </w:r>
    </w:p>
    <w:p w14:paraId="432BEC13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zakup sprzętu multimedialnego z przeznaczeniem do wypożyczania;</w:t>
      </w:r>
    </w:p>
    <w:p w14:paraId="57AE92BC" w14:textId="77777777" w:rsid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zapewnienie serwisu internetowego jednostki/biura obsługi osób z niepełnosprawnościami.</w:t>
      </w:r>
    </w:p>
    <w:p w14:paraId="0282C664" w14:textId="0EDD37B3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bCs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W zakresie zatrudniania i wynagradzania pracowników biur/jednostek organizacyjno-wspomagających osoby z niepełnosprawnościami:</w:t>
      </w:r>
    </w:p>
    <w:p w14:paraId="6E0192DD" w14:textId="3B676BCB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koszty zatrudniania/wynagradzania/podnoszenia kwalifikacji i kompetencji pracowników biur/jednostek zajmujących się dostępnością warunków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na rzecz studentów/doktorantów oraz pracowników prowadzących działalność naukową z niepełnosprawnościami;</w:t>
      </w:r>
    </w:p>
    <w:p w14:paraId="4D6C0C64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wynagrodzenie asystentów świadczących usługi asysty wspomagającej, zatrudnionych na potrzeby kandydatów na studia, studentów, doktorantów oraz pracowników prowadzących działalność naukową.</w:t>
      </w:r>
    </w:p>
    <w:p w14:paraId="45243CA8" w14:textId="77777777" w:rsidR="0092400E" w:rsidRPr="0092400E" w:rsidRDefault="0092400E" w:rsidP="0092400E">
      <w:pPr>
        <w:pStyle w:val="Akapitzlist"/>
        <w:numPr>
          <w:ilvl w:val="0"/>
          <w:numId w:val="42"/>
        </w:numPr>
        <w:spacing w:after="120" w:line="240" w:lineRule="atLeast"/>
        <w:jc w:val="both"/>
        <w:rPr>
          <w:rFonts w:eastAsia="Times New Roman" w:cstheme="minorHAnsi"/>
          <w:bCs/>
          <w:color w:val="212529"/>
          <w:lang w:eastAsia="pl-PL"/>
        </w:rPr>
      </w:pPr>
      <w:r w:rsidRPr="0092400E">
        <w:rPr>
          <w:rFonts w:eastAsia="Times New Roman" w:cstheme="minorHAnsi"/>
          <w:bCs/>
          <w:color w:val="212529"/>
          <w:lang w:eastAsia="pl-PL"/>
        </w:rPr>
        <w:t>Niedozwolone jest natomiast wydatkowanie środków z dotacji na pokrycie kosztów związanych z:</w:t>
      </w:r>
    </w:p>
    <w:p w14:paraId="1A37DB31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opłatami za studia, które wnoszą niepełnosprawni studenci i doktoranci;</w:t>
      </w:r>
    </w:p>
    <w:p w14:paraId="6BE09853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stypendiami lub innymi świadczeniami dla osób z niepełnosprawnością;</w:t>
      </w:r>
    </w:p>
    <w:p w14:paraId="2240AAD4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spotkaniami integracyjnymi;</w:t>
      </w:r>
    </w:p>
    <w:p w14:paraId="25E65877" w14:textId="77B826F3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rehabilitacją medyczną lub leczniczą studentów/doktorantów, pracowników prowadzących działalność naukową z niepełnosprawnościami, </w:t>
      </w:r>
      <w:r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 xml:space="preserve">w szczególności wydatków na zakup sprzętu do rehabilitacji leczniczo-medycznej, przedmiotów ortopedycznych i środków pomocniczych </w:t>
      </w:r>
      <w:r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oraz wynagrodzeń za pracę fizjoterapeuty;</w:t>
      </w:r>
    </w:p>
    <w:p w14:paraId="10DC91B8" w14:textId="46928746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promocją uczelni (np. finansowanie kosztów wyjazdów promujących uczelnie, np. w szkołach średnich lub drukowanie ulotek dla kandydatów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na studia, przygotowanie filmu promocyjnego o uczelni);</w:t>
      </w:r>
    </w:p>
    <w:p w14:paraId="78CEF411" w14:textId="77777777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lastRenderedPageBreak/>
        <w:t>pokrywanie wydatków o charakterze inwestycyjnym;</w:t>
      </w:r>
    </w:p>
    <w:p w14:paraId="3676212B" w14:textId="3AC7F7A6" w:rsidR="0092400E" w:rsidRPr="0092400E" w:rsidRDefault="0092400E" w:rsidP="0092400E">
      <w:pPr>
        <w:numPr>
          <w:ilvl w:val="0"/>
          <w:numId w:val="44"/>
        </w:numPr>
        <w:tabs>
          <w:tab w:val="num" w:pos="426"/>
        </w:tabs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pokrywanie kosztów wydawania artykułów niezwiązanych z tematyką dostępności uczelni dla osób niepełnosprawnych w czasopismach - działania te powinny być pokrywane ze środków własnych uczelni.</w:t>
      </w:r>
    </w:p>
    <w:p w14:paraId="6CE34529" w14:textId="0F49019E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>Reasumując, należy podkreślić, że przedstawiono tylko przykłady wykorzystania środków z dotacji, a decyzje o tym, jakie zadania będą finansowane, podejmują uczelnie zgodnie z przeznaczeniem dotacji.</w:t>
      </w:r>
    </w:p>
    <w:p w14:paraId="65E12E3A" w14:textId="3DA21830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Istotny jest fakt, iż zasadniczym celem dotacji jest zapewnienie osobom z niepełnosprawnościami warunków do pełnego udziału w procesie przyjmowania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>na studia, do szkół doktorskich, kształceniu na studiach i w szkołach doktorskich lub prowadzeniu działalności naukowej, co oznacza, że powinno się w sposób racjonalny wyważyć proporcję ponoszonych kosztów administracyjnych (np. na wynagrodzenie pełnomocnika ds. osób z niepełnosprawnościami) w kosztach finansowanych z dotacji.</w:t>
      </w:r>
    </w:p>
    <w:p w14:paraId="0AB75C7D" w14:textId="1D6571F8" w:rsidR="0092400E" w:rsidRPr="0092400E" w:rsidRDefault="0092400E" w:rsidP="0092400E">
      <w:pPr>
        <w:spacing w:after="120" w:line="240" w:lineRule="atLeast"/>
        <w:jc w:val="both"/>
        <w:rPr>
          <w:rFonts w:eastAsia="Times New Roman" w:cstheme="minorHAnsi"/>
          <w:color w:val="212529"/>
          <w:lang w:eastAsia="pl-PL"/>
        </w:rPr>
      </w:pPr>
      <w:r w:rsidRPr="0092400E">
        <w:rPr>
          <w:rFonts w:eastAsia="Times New Roman" w:cstheme="minorHAnsi"/>
          <w:color w:val="212529"/>
          <w:lang w:eastAsia="pl-PL"/>
        </w:rPr>
        <w:t xml:space="preserve">Ponadto, dotacji nie należy traktować jako jedynego źródła finansowania aktywności osób z niepełnosprawnościami. W przypadkach udziału osób </w:t>
      </w:r>
      <w:r w:rsidR="000B77FE">
        <w:rPr>
          <w:rFonts w:eastAsia="Times New Roman" w:cstheme="minorHAnsi"/>
          <w:color w:val="212529"/>
          <w:lang w:eastAsia="pl-PL"/>
        </w:rPr>
        <w:br/>
      </w:r>
      <w:r w:rsidRPr="0092400E">
        <w:rPr>
          <w:rFonts w:eastAsia="Times New Roman" w:cstheme="minorHAnsi"/>
          <w:color w:val="212529"/>
          <w:lang w:eastAsia="pl-PL"/>
        </w:rPr>
        <w:t xml:space="preserve">z </w:t>
      </w:r>
      <w:r>
        <w:rPr>
          <w:rFonts w:eastAsia="Times New Roman" w:cstheme="minorHAnsi"/>
          <w:color w:val="212529"/>
          <w:lang w:eastAsia="pl-PL"/>
        </w:rPr>
        <w:t>n</w:t>
      </w:r>
      <w:r w:rsidRPr="0092400E">
        <w:rPr>
          <w:rFonts w:eastAsia="Times New Roman" w:cstheme="minorHAnsi"/>
          <w:color w:val="212529"/>
          <w:lang w:eastAsia="pl-PL"/>
        </w:rPr>
        <w:t>iepełnosprawnościami w konferencjach, zawodach sportowych itp., koszt ich udziału powinien być finansowany na zasadach przyjętych dla wszystkich studentów/doktorantów/pracowników uczelni, natomiast z ww. dotacji zaleca się pokrywanie dodatkowych kosztów związanych z umożliwieniem osobom z niepełnosprawnościami udziału w ww. aktywnościach.</w:t>
      </w:r>
    </w:p>
    <w:p w14:paraId="29E4D0AD" w14:textId="19776DF2" w:rsidR="004C14FA" w:rsidRPr="00214379" w:rsidRDefault="004C14FA" w:rsidP="000B77F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480" w:after="120" w:line="240" w:lineRule="atLeast"/>
        <w:ind w:hanging="218"/>
        <w:jc w:val="both"/>
        <w:rPr>
          <w:rFonts w:eastAsia="Calibri" w:cs="Arial,Bold"/>
          <w:b/>
          <w:bCs/>
          <w:sz w:val="28"/>
          <w:szCs w:val="28"/>
          <w:u w:val="single"/>
          <w:lang w:eastAsia="pl-PL"/>
        </w:rPr>
      </w:pP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Wymagania </w:t>
      </w:r>
      <w:r w:rsidR="000B77FE"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szczegółowe </w:t>
      </w: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dotyczące wydatków związanych z realizacją projektów w konkursie</w:t>
      </w:r>
      <w:r w:rsid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 pt. </w:t>
      </w:r>
      <w:r w:rsidR="00214379" w:rsidRPr="00214379">
        <w:rPr>
          <w:rFonts w:eastAsia="Calibri" w:cs="Arial,Bold"/>
          <w:b/>
          <w:bCs/>
          <w:i/>
          <w:sz w:val="28"/>
          <w:szCs w:val="28"/>
          <w:u w:val="single"/>
          <w:lang w:eastAsia="pl-PL"/>
        </w:rPr>
        <w:t>Uczelnia dostępna</w:t>
      </w:r>
      <w:r w:rsid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 </w:t>
      </w: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 </w:t>
      </w:r>
      <w:r w:rsidR="00231953">
        <w:rPr>
          <w:rFonts w:eastAsia="Calibri" w:cs="Arial,Bold"/>
          <w:b/>
          <w:bCs/>
          <w:sz w:val="28"/>
          <w:szCs w:val="28"/>
          <w:u w:val="single"/>
          <w:lang w:eastAsia="pl-PL"/>
        </w:rPr>
        <w:t>I</w:t>
      </w:r>
      <w:r w:rsidR="002D4BE9">
        <w:rPr>
          <w:rFonts w:eastAsia="Calibri" w:cs="Arial,Bold"/>
          <w:b/>
          <w:bCs/>
          <w:sz w:val="28"/>
          <w:szCs w:val="28"/>
          <w:u w:val="single"/>
          <w:lang w:eastAsia="pl-PL"/>
        </w:rPr>
        <w:t xml:space="preserve">II </w:t>
      </w: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nr POWR.03.05.00-IP.08-00-DOS/</w:t>
      </w:r>
      <w:r w:rsidR="002D4BE9">
        <w:rPr>
          <w:rFonts w:eastAsia="Calibri" w:cs="Arial,Bold"/>
          <w:b/>
          <w:bCs/>
          <w:sz w:val="28"/>
          <w:szCs w:val="28"/>
          <w:u w:val="single"/>
          <w:lang w:eastAsia="pl-PL"/>
        </w:rPr>
        <w:t>2</w:t>
      </w:r>
      <w:r w:rsidR="00F80124">
        <w:rPr>
          <w:rFonts w:eastAsia="Calibri" w:cs="Arial,Bold"/>
          <w:b/>
          <w:bCs/>
          <w:sz w:val="28"/>
          <w:szCs w:val="28"/>
          <w:u w:val="single"/>
          <w:lang w:eastAsia="pl-PL"/>
        </w:rPr>
        <w:t>1</w:t>
      </w:r>
      <w:r w:rsidRPr="00214379">
        <w:rPr>
          <w:rFonts w:eastAsia="Calibri" w:cs="Arial,Bold"/>
          <w:b/>
          <w:bCs/>
          <w:sz w:val="28"/>
          <w:szCs w:val="28"/>
          <w:u w:val="single"/>
          <w:lang w:eastAsia="pl-PL"/>
        </w:rPr>
        <w:t>:</w:t>
      </w:r>
    </w:p>
    <w:p w14:paraId="688BBD69" w14:textId="5B93B014" w:rsidR="000B77FE" w:rsidRPr="000B77FE" w:rsidRDefault="000B77FE" w:rsidP="00745279">
      <w:pPr>
        <w:spacing w:after="120" w:line="240" w:lineRule="atLeast"/>
        <w:jc w:val="both"/>
        <w:rPr>
          <w:rFonts w:eastAsia="Times New Roman" w:cstheme="minorHAnsi"/>
          <w:b/>
          <w:bCs/>
          <w:color w:val="212529"/>
          <w:lang w:eastAsia="pl-PL"/>
        </w:rPr>
      </w:pPr>
      <w:r w:rsidRPr="000B77FE">
        <w:rPr>
          <w:rFonts w:eastAsia="Times New Roman" w:cstheme="minorHAnsi"/>
          <w:b/>
          <w:bCs/>
          <w:color w:val="212529"/>
          <w:lang w:eastAsia="pl-PL"/>
        </w:rPr>
        <w:t xml:space="preserve">IOK zastrzega, że realizacja projektów dofinansowywanych w ramach przedmiotowego konkursu, ma pozwolić na zwiększenie intensywności wsparcia </w:t>
      </w:r>
      <w:r w:rsidRPr="000B77FE">
        <w:rPr>
          <w:rFonts w:eastAsia="Times New Roman" w:cstheme="minorHAnsi"/>
          <w:b/>
          <w:bCs/>
          <w:color w:val="212529"/>
          <w:u w:val="single"/>
          <w:lang w:eastAsia="pl-PL"/>
        </w:rPr>
        <w:t>ponad to</w:t>
      </w:r>
      <w:r w:rsidRPr="00745279">
        <w:rPr>
          <w:rFonts w:eastAsia="Times New Roman" w:cstheme="minorHAnsi"/>
          <w:b/>
          <w:bCs/>
          <w:color w:val="212529"/>
          <w:u w:val="single"/>
          <w:lang w:eastAsia="pl-PL"/>
        </w:rPr>
        <w:t>, co jest finansowane z dotacji podmiotowej</w:t>
      </w:r>
      <w:r w:rsidRPr="000B77FE">
        <w:rPr>
          <w:rFonts w:eastAsia="Times New Roman" w:cstheme="minorHAnsi"/>
          <w:b/>
          <w:bCs/>
          <w:color w:val="212529"/>
          <w:lang w:eastAsia="pl-PL"/>
        </w:rPr>
        <w:t xml:space="preserve"> – środki EFS nie mogą zastępować dotacji, lecz mogą pozwolić na realizację wsparcia edukacyjnego na większą skalę.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A zatem uczelnie mają obowiązek wykorzystywać </w:t>
      </w:r>
      <w:r w:rsidR="00745279">
        <w:rPr>
          <w:rFonts w:eastAsia="Times New Roman" w:cstheme="minorHAnsi"/>
          <w:b/>
          <w:bCs/>
          <w:color w:val="212529"/>
          <w:lang w:eastAsia="pl-PL"/>
        </w:rPr>
        <w:t xml:space="preserve">w pierwszej kolejności 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środki z dotacji i na zasadach, o których mowa w części </w:t>
      </w:r>
      <w:r w:rsidR="00745279">
        <w:rPr>
          <w:rFonts w:eastAsia="Times New Roman" w:cstheme="minorHAnsi"/>
          <w:b/>
          <w:bCs/>
          <w:color w:val="212529"/>
          <w:lang w:eastAsia="pl-PL"/>
        </w:rPr>
        <w:br/>
      </w:r>
      <w:r>
        <w:rPr>
          <w:rFonts w:eastAsia="Times New Roman" w:cstheme="minorHAnsi"/>
          <w:b/>
          <w:bCs/>
          <w:color w:val="212529"/>
          <w:lang w:eastAsia="pl-PL"/>
        </w:rPr>
        <w:t>II niniejszego opracowania</w:t>
      </w:r>
      <w:r w:rsidR="00745279">
        <w:rPr>
          <w:rFonts w:eastAsia="Times New Roman" w:cstheme="minorHAnsi"/>
          <w:b/>
          <w:bCs/>
          <w:color w:val="212529"/>
          <w:lang w:eastAsia="pl-PL"/>
        </w:rPr>
        <w:t xml:space="preserve">, tj. z uwzględnieniem </w:t>
      </w:r>
      <w:r w:rsidR="00745279" w:rsidRPr="00745279">
        <w:rPr>
          <w:rFonts w:eastAsia="Times New Roman" w:cstheme="minorHAnsi"/>
          <w:b/>
          <w:bCs/>
          <w:i/>
          <w:color w:val="212529"/>
          <w:lang w:eastAsia="pl-PL"/>
        </w:rPr>
        <w:t>Informacji na temat wykorzystania dotacji podmiotowej…</w:t>
      </w:r>
    </w:p>
    <w:p w14:paraId="329BB52B" w14:textId="7377097D" w:rsidR="00AB769B" w:rsidRPr="00AB769B" w:rsidRDefault="00AB769B" w:rsidP="00AB769B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Zgodnie z kryterium dostępu nr </w:t>
      </w:r>
      <w:r w:rsidR="002D4BE9">
        <w:rPr>
          <w:rFonts w:eastAsia="Calibri" w:cstheme="minorHAnsi"/>
        </w:rPr>
        <w:t>10</w:t>
      </w:r>
      <w:r>
        <w:rPr>
          <w:rFonts w:eastAsia="Calibri" w:cstheme="minorHAnsi"/>
        </w:rPr>
        <w:t xml:space="preserve"> w</w:t>
      </w:r>
      <w:r w:rsidRPr="00AB769B">
        <w:rPr>
          <w:rFonts w:eastAsia="Calibri" w:cstheme="minorHAnsi"/>
        </w:rPr>
        <w:t>ydatki ponoszone na realizację projektu muszą uwzględniać zasadę, iż zadania podlegające finansowaniu z EFS nie służą realizacji obowiązków wynikających z przepisów regulujących funkcjonowanie systemu szkolnictwa wyższego, samorządu terytorialnego oraz innych źródeł.</w:t>
      </w:r>
      <w:r>
        <w:rPr>
          <w:rFonts w:eastAsia="Calibri" w:cstheme="minorHAnsi"/>
        </w:rPr>
        <w:t xml:space="preserve"> Ponadto, oprócz tego, że</w:t>
      </w:r>
      <w:r w:rsidRPr="00AB769B">
        <w:rPr>
          <w:rFonts w:eastAsia="Calibri" w:cstheme="minorHAnsi"/>
        </w:rPr>
        <w:t xml:space="preserve"> muszą być zgodne z </w:t>
      </w:r>
      <w:r>
        <w:rPr>
          <w:rFonts w:eastAsia="Calibri" w:cstheme="minorHAnsi"/>
        </w:rPr>
        <w:t xml:space="preserve">poniższym </w:t>
      </w:r>
      <w:r w:rsidRPr="00AB769B">
        <w:rPr>
          <w:rFonts w:eastAsia="Calibri" w:cstheme="minorHAnsi"/>
        </w:rPr>
        <w:t>katalogiem dopuszczalnych kosztów oraz maksymalnymi stawkami dla poszc</w:t>
      </w:r>
      <w:r>
        <w:rPr>
          <w:rFonts w:eastAsia="Calibri" w:cstheme="minorHAnsi"/>
        </w:rPr>
        <w:t>zególnych instrumentów wsparcia, muszą uwzględniać również kategorie</w:t>
      </w:r>
      <w:r w:rsidRPr="00AB769B">
        <w:rPr>
          <w:rFonts w:eastAsia="Calibri" w:cstheme="minorHAnsi"/>
        </w:rPr>
        <w:t xml:space="preserve"> kosztów określonych w </w:t>
      </w:r>
      <w:r w:rsidRPr="00AB769B">
        <w:rPr>
          <w:rFonts w:eastAsia="Calibri" w:cstheme="minorHAnsi"/>
          <w:i/>
        </w:rPr>
        <w:t xml:space="preserve">Modelach wsparcia uczelni w celu zwiększenia ich dostępności dla osób </w:t>
      </w:r>
      <w:r>
        <w:rPr>
          <w:rFonts w:eastAsia="Calibri" w:cstheme="minorHAnsi"/>
          <w:i/>
        </w:rPr>
        <w:br/>
      </w:r>
      <w:r w:rsidRPr="00AB769B">
        <w:rPr>
          <w:rFonts w:eastAsia="Calibri" w:cstheme="minorHAnsi"/>
          <w:i/>
        </w:rPr>
        <w:t>z niepełnosprawnościami</w:t>
      </w:r>
      <w:r w:rsidRPr="00AB769B">
        <w:rPr>
          <w:rFonts w:eastAsia="Calibri" w:cstheme="minorHAnsi"/>
        </w:rPr>
        <w:t xml:space="preserve">, stanowiącym odrębny załącznik do regulaminu. </w:t>
      </w:r>
    </w:p>
    <w:p w14:paraId="4A26509E" w14:textId="07B84315" w:rsidR="004C14FA" w:rsidRPr="0092400E" w:rsidRDefault="004C14FA" w:rsidP="00AB769B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  <w:r w:rsidRPr="0092400E">
        <w:rPr>
          <w:rFonts w:eastAsia="Calibri" w:cstheme="minorHAnsi"/>
        </w:rPr>
        <w:t>Jednocześnie należy podkreślić, że wszelkie koszty muszą być ściśle powiązane z działaniami projektowymi i mają służyć prawidłowej ich realizacji, a zatem muszą być niezbędne i mieć racjonalną wysokość.</w:t>
      </w:r>
    </w:p>
    <w:p w14:paraId="2E286B9A" w14:textId="77777777" w:rsidR="007528DA" w:rsidRPr="0092400E" w:rsidRDefault="007528D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08DEE45E" w14:textId="77777777" w:rsidR="007528DA" w:rsidRPr="0092400E" w:rsidRDefault="007528D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6243CF78" w14:textId="77777777" w:rsidR="007528DA" w:rsidRPr="0092400E" w:rsidRDefault="007528D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122B384D" w14:textId="77777777" w:rsidR="007528DA" w:rsidRPr="0092400E" w:rsidRDefault="007528D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</w:p>
    <w:p w14:paraId="3AEF9A16" w14:textId="1BB537D2" w:rsidR="004C14FA" w:rsidRPr="0092400E" w:rsidRDefault="004C14FA" w:rsidP="0092400E">
      <w:pPr>
        <w:autoSpaceDE w:val="0"/>
        <w:autoSpaceDN w:val="0"/>
        <w:adjustRightInd w:val="0"/>
        <w:spacing w:after="120" w:line="240" w:lineRule="atLeast"/>
        <w:jc w:val="both"/>
        <w:rPr>
          <w:rFonts w:eastAsia="Calibri" w:cstheme="minorHAnsi"/>
        </w:rPr>
      </w:pPr>
      <w:r w:rsidRPr="0092400E">
        <w:rPr>
          <w:rFonts w:eastAsia="Calibri" w:cstheme="minorHAnsi"/>
        </w:rPr>
        <w:t>Zestawienie niektórych wydatków, które mogą pojawić się w projekcie i ich kwoty maksymalne: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528"/>
        <w:gridCol w:w="1984"/>
        <w:gridCol w:w="3793"/>
      </w:tblGrid>
      <w:tr w:rsidR="004C14FA" w:rsidRPr="000D5E3B" w14:paraId="0BDFE313" w14:textId="77777777" w:rsidTr="00045E52">
        <w:tc>
          <w:tcPr>
            <w:tcW w:w="562" w:type="dxa"/>
          </w:tcPr>
          <w:p w14:paraId="14F70BEC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149E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64910C9D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Towar / usługa</w:t>
            </w:r>
          </w:p>
        </w:tc>
        <w:tc>
          <w:tcPr>
            <w:tcW w:w="5528" w:type="dxa"/>
          </w:tcPr>
          <w:p w14:paraId="2B9DBF80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Standard – warunki kwalifikowania wydatku na etapie oceny projektów</w:t>
            </w:r>
          </w:p>
        </w:tc>
        <w:tc>
          <w:tcPr>
            <w:tcW w:w="1984" w:type="dxa"/>
          </w:tcPr>
          <w:p w14:paraId="5DC84A85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Maksymalna cena</w:t>
            </w:r>
            <w:r>
              <w:rPr>
                <w:rFonts w:cstheme="minorHAnsi"/>
                <w:b/>
                <w:bCs/>
              </w:rPr>
              <w:t xml:space="preserve"> r</w:t>
            </w:r>
            <w:r w:rsidRPr="000D5E3B">
              <w:rPr>
                <w:rFonts w:cstheme="minorHAnsi"/>
                <w:b/>
                <w:bCs/>
              </w:rPr>
              <w:t>ynkowa</w:t>
            </w:r>
          </w:p>
        </w:tc>
        <w:tc>
          <w:tcPr>
            <w:tcW w:w="3793" w:type="dxa"/>
          </w:tcPr>
          <w:p w14:paraId="67DFB2EC" w14:textId="77777777" w:rsidR="004C14FA" w:rsidRPr="000D5E3B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0D5E3B">
              <w:rPr>
                <w:rFonts w:cstheme="minorHAnsi"/>
                <w:b/>
                <w:bCs/>
              </w:rPr>
              <w:t>Dodatkowe zalecenia IOK</w:t>
            </w:r>
          </w:p>
        </w:tc>
      </w:tr>
      <w:tr w:rsidR="004C14FA" w:rsidRPr="001F5597" w14:paraId="44EC525D" w14:textId="77777777" w:rsidTr="00045E52">
        <w:tc>
          <w:tcPr>
            <w:tcW w:w="562" w:type="dxa"/>
          </w:tcPr>
          <w:p w14:paraId="2717137D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C149E1">
              <w:rPr>
                <w:b/>
              </w:rPr>
              <w:t>1.</w:t>
            </w:r>
          </w:p>
        </w:tc>
        <w:tc>
          <w:tcPr>
            <w:tcW w:w="2127" w:type="dxa"/>
          </w:tcPr>
          <w:p w14:paraId="3B53761B" w14:textId="77777777" w:rsidR="004C14FA" w:rsidRPr="00413482" w:rsidRDefault="004C14FA" w:rsidP="00A2586E">
            <w:pPr>
              <w:spacing w:before="120" w:after="120"/>
              <w:jc w:val="center"/>
              <w:rPr>
                <w:b/>
                <w:color w:val="FF0000"/>
              </w:rPr>
            </w:pPr>
            <w:r>
              <w:rPr>
                <w:b/>
              </w:rPr>
              <w:t>trener/wykładowca</w:t>
            </w:r>
          </w:p>
        </w:tc>
        <w:tc>
          <w:tcPr>
            <w:tcW w:w="5528" w:type="dxa"/>
          </w:tcPr>
          <w:p w14:paraId="0BE6BF88" w14:textId="77777777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2E4E7017" w14:textId="686D9F46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koszt pracy trenera obejmuje koszty opracowania programu oraz materiałów dydaktycznych, dojazdu, zakwaterowania, wyżywienia oraz dodatkowego wsparcia, jeśli przewidziane jest w ramach projektu;</w:t>
            </w:r>
          </w:p>
          <w:p w14:paraId="122EF83A" w14:textId="77777777" w:rsidR="004C14FA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trener posiada wykształcenie wyższe/zawodowe lub certyfikaty/zaświadczenia/inne umożliwiające przeprowadzenie danego wsparcia;</w:t>
            </w:r>
          </w:p>
          <w:p w14:paraId="2EF582B1" w14:textId="0238F277" w:rsidR="004C14FA" w:rsidRPr="001F5597" w:rsidRDefault="004C14FA" w:rsidP="00A2586E">
            <w:pPr>
              <w:pStyle w:val="Akapitzlist"/>
              <w:numPr>
                <w:ilvl w:val="0"/>
                <w:numId w:val="28"/>
              </w:numPr>
              <w:spacing w:before="120" w:after="120"/>
              <w:ind w:left="357" w:hanging="357"/>
              <w:contextualSpacing w:val="0"/>
            </w:pPr>
            <w:r>
              <w:t>wydatek kwalifikowalny, o ile trener posiada doświadczenie umożliwiające przeprowadzenie danego wsparcia, przy czym minimalne doświadczenie zawodowe w danej dziedzinie nie może być krótsze niż 2 lata</w:t>
            </w:r>
          </w:p>
        </w:tc>
        <w:tc>
          <w:tcPr>
            <w:tcW w:w="1984" w:type="dxa"/>
          </w:tcPr>
          <w:p w14:paraId="1BA38DEE" w14:textId="77777777" w:rsidR="004C14FA" w:rsidRPr="001F5597" w:rsidRDefault="004C14FA" w:rsidP="00A2586E">
            <w:pPr>
              <w:spacing w:before="120" w:after="120"/>
              <w:jc w:val="center"/>
            </w:pPr>
            <w:r>
              <w:t>150 PLN/godz.</w:t>
            </w:r>
          </w:p>
        </w:tc>
        <w:tc>
          <w:tcPr>
            <w:tcW w:w="3793" w:type="dxa"/>
          </w:tcPr>
          <w:p w14:paraId="6C889DD4" w14:textId="34924C34" w:rsidR="004C14FA" w:rsidRDefault="004C14FA" w:rsidP="00A2586E">
            <w:pPr>
              <w:spacing w:before="120" w:after="120"/>
            </w:pPr>
            <w:r>
              <w:t xml:space="preserve">Możliwe jest ujęcie w budżecie stawki wyższej niż 150 PLN/godz. wyłącznie </w:t>
            </w:r>
            <w:r w:rsidR="00214379">
              <w:br/>
            </w:r>
            <w:r>
              <w:t>w uzasadnionych przypadk</w:t>
            </w:r>
            <w:r w:rsidR="00AB769B">
              <w:t xml:space="preserve">ach, </w:t>
            </w:r>
            <w:r w:rsidR="00214379">
              <w:br/>
            </w:r>
            <w:r w:rsidR="00AB769B">
              <w:t xml:space="preserve">w zależności od tematyki, </w:t>
            </w:r>
            <w:r>
              <w:t>zakresu wsparcia.</w:t>
            </w:r>
          </w:p>
          <w:p w14:paraId="617BDC97" w14:textId="21E61C0D" w:rsidR="00AB769B" w:rsidRDefault="004C14FA" w:rsidP="00A2586E">
            <w:pPr>
              <w:spacing w:before="120" w:after="120"/>
            </w:pPr>
            <w:r>
              <w:t xml:space="preserve">Standard szkolenia, w tym wymagania dotyczące trenera, czasu trwania, poziomu, zakresu merytorycznego wnioskodawca określa we wniosku </w:t>
            </w:r>
            <w:r w:rsidR="00214379">
              <w:br/>
            </w:r>
            <w:r>
              <w:t xml:space="preserve">o dofinansowanie projektu. </w:t>
            </w:r>
            <w:r w:rsidR="00214379">
              <w:br/>
            </w:r>
            <w:r w:rsidR="00AB769B">
              <w:t>W przypadku przedmiotowego konkursu dopuszcza się uwzględnie</w:t>
            </w:r>
            <w:r w:rsidR="00045E52">
              <w:t xml:space="preserve">nie wyższej stawki </w:t>
            </w:r>
            <w:r w:rsidR="00AB769B">
              <w:t xml:space="preserve">w przypadku  trenerów będących osobami </w:t>
            </w:r>
            <w:r w:rsidR="00214379">
              <w:br/>
            </w:r>
            <w:r w:rsidR="00AB769B">
              <w:t>z ni</w:t>
            </w:r>
            <w:r w:rsidR="00045E52">
              <w:t>epełnosprawnościami</w:t>
            </w:r>
            <w:r w:rsidR="009C351E">
              <w:t xml:space="preserve">, których koszty realizacji usługi na rzecz beneficjenta </w:t>
            </w:r>
            <w:r w:rsidR="002978CA">
              <w:t>mogą być podwyższone</w:t>
            </w:r>
            <w:r w:rsidR="009C351E">
              <w:t xml:space="preserve">. Przykładowo: w związku z tym, że trener jest osobą posiadającą niepełnosprawność ruchową może zaistnieć konieczność </w:t>
            </w:r>
            <w:r w:rsidR="002978CA">
              <w:t xml:space="preserve">dojazdu na miejsce szkolenia dzień </w:t>
            </w:r>
            <w:r w:rsidR="003C3911">
              <w:t>wcześniej</w:t>
            </w:r>
            <w:r w:rsidR="002978CA">
              <w:t xml:space="preserve"> a </w:t>
            </w:r>
            <w:r w:rsidR="002978CA">
              <w:lastRenderedPageBreak/>
              <w:t>więc koszt realizacji usługi jest wyższy o koszt zakwaterowania</w:t>
            </w:r>
            <w:r w:rsidR="00045E52">
              <w:t>.</w:t>
            </w:r>
          </w:p>
          <w:p w14:paraId="501BBAF6" w14:textId="62CD5D3A" w:rsidR="004C14FA" w:rsidRDefault="004C14FA" w:rsidP="00A2586E">
            <w:pPr>
              <w:spacing w:before="120" w:after="120"/>
            </w:pPr>
            <w:r>
              <w:t xml:space="preserve">Na etapie realizacji i rozliczania projektu IOK dopuszcza możliwość uznania za niekwalifikowalne kosztów organizacji szkoleń o zmienionych warunkach i standardzie niższym niż założone w umowie o dofinansowanie. </w:t>
            </w:r>
          </w:p>
          <w:p w14:paraId="52E04D67" w14:textId="77777777" w:rsidR="004C14FA" w:rsidRDefault="004C14FA" w:rsidP="00A2586E">
            <w:pPr>
              <w:spacing w:before="120" w:after="120"/>
            </w:pPr>
            <w:r>
              <w:t xml:space="preserve">W przypadku szkoleń zamkniętych wnioskodawca przedstawia koszty </w:t>
            </w:r>
            <w:r>
              <w:br/>
              <w:t xml:space="preserve">w ujęciu godzinowym np. koszt 1 h </w:t>
            </w:r>
            <w:r>
              <w:br/>
              <w:t xml:space="preserve">x liczba  godz. x liczba  grup. </w:t>
            </w:r>
            <w:r>
              <w:br/>
              <w:t xml:space="preserve">W przypadku finansowania w ramach projektu uczestnictwa w szkoleniach otwartych możliwe jest przedstawienie kosztu jednostkowego za uczestnika. </w:t>
            </w:r>
          </w:p>
          <w:p w14:paraId="020640B0" w14:textId="77777777" w:rsidR="004C14FA" w:rsidRPr="001F5597" w:rsidRDefault="004C14FA" w:rsidP="00A2586E">
            <w:pPr>
              <w:spacing w:before="120" w:after="120"/>
            </w:pPr>
            <w:r>
              <w:t>Godzina szkolenia rozumiana jest jako 45 min.</w:t>
            </w:r>
          </w:p>
        </w:tc>
      </w:tr>
      <w:tr w:rsidR="004C14FA" w:rsidRPr="001F5597" w14:paraId="35FAF261" w14:textId="77777777" w:rsidTr="00045E52">
        <w:tc>
          <w:tcPr>
            <w:tcW w:w="562" w:type="dxa"/>
          </w:tcPr>
          <w:p w14:paraId="39209CFE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2127" w:type="dxa"/>
          </w:tcPr>
          <w:p w14:paraId="333399A3" w14:textId="77777777" w:rsidR="004C14FA" w:rsidRPr="00591903" w:rsidRDefault="004C14FA" w:rsidP="00A2586E">
            <w:pPr>
              <w:spacing w:before="120" w:after="120"/>
              <w:jc w:val="center"/>
              <w:rPr>
                <w:b/>
                <w:color w:val="7030A0"/>
              </w:rPr>
            </w:pPr>
            <w:r>
              <w:rPr>
                <w:b/>
              </w:rPr>
              <w:t>przerwa kawowa</w:t>
            </w:r>
          </w:p>
        </w:tc>
        <w:tc>
          <w:tcPr>
            <w:tcW w:w="5528" w:type="dxa"/>
          </w:tcPr>
          <w:p w14:paraId="5D99C221" w14:textId="77777777" w:rsidR="004C14FA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6EB94381" w14:textId="77777777" w:rsidR="004C14FA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 xml:space="preserve">wydatek kwalifikowalny, o ile forma wsparcia, </w:t>
            </w:r>
            <w:r>
              <w:br/>
              <w:t>w ramach której ma być świadczona przerwa kawowa dla tej samej grupy osób w danym dniu trwa co najmniej 4 godziny lekcyjne;</w:t>
            </w:r>
          </w:p>
          <w:p w14:paraId="545F8BB2" w14:textId="4824C8B6" w:rsidR="004C14FA" w:rsidRPr="008D19DB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>
              <w:t>obejmuje kawę, herbatę, wodę, mleko, cukier, cytryn</w:t>
            </w:r>
            <w:r w:rsidR="007133F7">
              <w:t>ę</w:t>
            </w:r>
            <w:r>
              <w:t>, drobne słone lub słodkie przekąski typu paluszki lub kruche ciastka lub owoce, przy czym istnieje możliwość szerszego zakresu usługi, o ile mieści się w określonej cenie rynkowej</w:t>
            </w:r>
          </w:p>
        </w:tc>
        <w:tc>
          <w:tcPr>
            <w:tcW w:w="1984" w:type="dxa"/>
          </w:tcPr>
          <w:p w14:paraId="707F11CA" w14:textId="77777777" w:rsidR="004C14FA" w:rsidRDefault="004C14FA" w:rsidP="00A2586E">
            <w:pPr>
              <w:spacing w:before="120" w:after="120"/>
              <w:jc w:val="center"/>
            </w:pPr>
            <w:r>
              <w:t>15 PLN/osobę</w:t>
            </w:r>
            <w:r>
              <w:br/>
              <w:t>/dzień szkoleniowy</w:t>
            </w:r>
          </w:p>
        </w:tc>
        <w:tc>
          <w:tcPr>
            <w:tcW w:w="3793" w:type="dxa"/>
          </w:tcPr>
          <w:p w14:paraId="55DA6253" w14:textId="77777777" w:rsidR="004C14FA" w:rsidRDefault="004C14FA" w:rsidP="00A2586E">
            <w:pPr>
              <w:spacing w:before="120" w:after="120"/>
            </w:pPr>
            <w:r>
              <w:t>Cena rynkowa powinna być uzależniona od rodzaju oferowanej usługi i jest niższa, jeśli finansowany jest mniejszy zakres usługi (np. kawa, herbata, woda, mleko, cukier, cytryna bez drobnych słonych lub słodkich przekąsek).</w:t>
            </w:r>
          </w:p>
        </w:tc>
      </w:tr>
      <w:tr w:rsidR="004C14FA" w:rsidRPr="003D33C4" w14:paraId="12D97D4D" w14:textId="77777777" w:rsidTr="00045E52">
        <w:trPr>
          <w:trHeight w:val="2579"/>
        </w:trPr>
        <w:tc>
          <w:tcPr>
            <w:tcW w:w="562" w:type="dxa"/>
          </w:tcPr>
          <w:p w14:paraId="7731401D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127" w:type="dxa"/>
          </w:tcPr>
          <w:p w14:paraId="37758050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681F97">
              <w:rPr>
                <w:b/>
              </w:rPr>
              <w:t>zimny bufet</w:t>
            </w:r>
          </w:p>
        </w:tc>
        <w:tc>
          <w:tcPr>
            <w:tcW w:w="5528" w:type="dxa"/>
          </w:tcPr>
          <w:p w14:paraId="31C84691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>wydatek kwalifikowalny, o ile jest to uzasadnione specyfiką realizowanego projektu</w:t>
            </w:r>
          </w:p>
          <w:p w14:paraId="6B4809C8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 xml:space="preserve">wydatek kwalifikowalny, o ile forma wsparcia, </w:t>
            </w:r>
            <w:r w:rsidRPr="00681F97">
              <w:br/>
              <w:t xml:space="preserve">w ramach której ma być świadczony zimny bufet dla tej samej grupy osób w danym dniu trwa </w:t>
            </w:r>
            <w:r w:rsidRPr="00681F97">
              <w:br/>
              <w:t xml:space="preserve">co najmniej 4 godziny lekcyjne (tj. 4 x 45 minut) </w:t>
            </w:r>
            <w:r w:rsidRPr="00681F97">
              <w:br/>
              <w:t xml:space="preserve">i nie jest przewidziany lunch/obiad </w:t>
            </w:r>
          </w:p>
          <w:p w14:paraId="45AC2715" w14:textId="77777777" w:rsidR="004C14FA" w:rsidRPr="00681F97" w:rsidRDefault="004C14FA" w:rsidP="00A2586E">
            <w:pPr>
              <w:pStyle w:val="Akapitzlist"/>
              <w:numPr>
                <w:ilvl w:val="0"/>
                <w:numId w:val="29"/>
              </w:numPr>
              <w:spacing w:before="120" w:after="120"/>
              <w:ind w:left="357" w:hanging="357"/>
              <w:contextualSpacing w:val="0"/>
            </w:pPr>
            <w:r w:rsidRPr="00681F97">
              <w:t>obejmuje kawę, herbatę, wo</w:t>
            </w:r>
            <w:r>
              <w:t>dę, soki, mleko, cukier, cytrynę</w:t>
            </w:r>
            <w:r w:rsidRPr="00681F97">
              <w:t>, drobne słone lub słodkie przekąski typu paluszki lub kruche ciastka lub owoce, kanapki, przekąski koktajlowe, przy czym istnieje możliwość szerszego zakresu usługi, o ile mieści się w określonej cenie rynkowej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786419FB" w14:textId="77777777" w:rsidR="004C14FA" w:rsidRPr="003D33C4" w:rsidRDefault="004C14FA" w:rsidP="00A25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PLN/osobę</w:t>
            </w:r>
            <w:r>
              <w:br/>
              <w:t>/dzień szkoleniowy</w:t>
            </w:r>
          </w:p>
        </w:tc>
        <w:tc>
          <w:tcPr>
            <w:tcW w:w="3793" w:type="dxa"/>
          </w:tcPr>
          <w:p w14:paraId="3345ABB8" w14:textId="77777777" w:rsidR="004C14FA" w:rsidRPr="00681F97" w:rsidRDefault="004C14FA" w:rsidP="00A2586E">
            <w:pPr>
              <w:spacing w:before="120" w:after="120"/>
            </w:pPr>
            <w:r>
              <w:t>C</w:t>
            </w:r>
            <w:r w:rsidRPr="00681F97">
              <w:t>ena rynkowa powinna być uzależniona od  rodzaju oferowanej usługi i jest niższa, jeśli finansowany jest mniejszy zakres usługi</w:t>
            </w:r>
            <w:r>
              <w:t>.</w:t>
            </w:r>
          </w:p>
        </w:tc>
      </w:tr>
      <w:tr w:rsidR="004C14FA" w:rsidRPr="001F5597" w14:paraId="633315D8" w14:textId="77777777" w:rsidTr="00045E52">
        <w:tc>
          <w:tcPr>
            <w:tcW w:w="562" w:type="dxa"/>
          </w:tcPr>
          <w:p w14:paraId="3CA8A314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2C850145" w14:textId="77777777" w:rsidR="004C14FA" w:rsidRPr="00002F8E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313E7B">
              <w:rPr>
                <w:b/>
              </w:rPr>
              <w:t>lunch/obiad/kolacja</w:t>
            </w:r>
          </w:p>
        </w:tc>
        <w:tc>
          <w:tcPr>
            <w:tcW w:w="5528" w:type="dxa"/>
          </w:tcPr>
          <w:p w14:paraId="058E8717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47E13AB9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obejmuje dwa dania (zupa i drugie danie) oraz napój, przy czym istnieje możliwość szerszego zakresu usługi, o ile mieści się w określonej cenie rynkowej;</w:t>
            </w:r>
          </w:p>
          <w:p w14:paraId="26969BFB" w14:textId="77777777" w:rsidR="004C14FA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 przypadku lunchu / obiadu wydatek kwalifikowalny, o ile wsparcie dla tej samej grupy osób w danym dniu trwa co najmniej 6 godzin lekcyjnych (tj. 6 x 45 minut);</w:t>
            </w:r>
          </w:p>
          <w:p w14:paraId="7AEABEAD" w14:textId="77777777" w:rsidR="004C14FA" w:rsidRPr="00002F8E" w:rsidRDefault="004C14FA" w:rsidP="00A2586E">
            <w:pPr>
              <w:pStyle w:val="Akapitzlist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</w:pPr>
            <w:r>
              <w:t>w przypadku kolacji wydatek kwalifikowalny, o ile finansowana jest usługa noclegowa</w:t>
            </w:r>
          </w:p>
        </w:tc>
        <w:tc>
          <w:tcPr>
            <w:tcW w:w="1984" w:type="dxa"/>
          </w:tcPr>
          <w:p w14:paraId="1AA1F287" w14:textId="77777777" w:rsidR="004C14FA" w:rsidRPr="004A2CE4" w:rsidRDefault="004C14FA" w:rsidP="00A2586E">
            <w:pPr>
              <w:spacing w:before="120" w:after="120"/>
              <w:jc w:val="center"/>
            </w:pPr>
            <w:r>
              <w:t>35 PLN/osobę</w:t>
            </w:r>
          </w:p>
        </w:tc>
        <w:tc>
          <w:tcPr>
            <w:tcW w:w="3793" w:type="dxa"/>
          </w:tcPr>
          <w:p w14:paraId="51E1EC4D" w14:textId="6AD58C43" w:rsidR="004C14FA" w:rsidRPr="00C40DBF" w:rsidRDefault="004C14FA" w:rsidP="00045E52">
            <w:pPr>
              <w:spacing w:before="120" w:after="120"/>
              <w:rPr>
                <w:b/>
                <w:color w:val="538135" w:themeColor="accent6" w:themeShade="BF"/>
              </w:rPr>
            </w:pPr>
            <w:r>
              <w:t>Cena rynkowa powinna być uzależniona od rodzaju oferowanej usługi i jest niższa, jeśli finansowany jest mniejszy zakres usługi (np. obiad składający się tylko z drugiego dania i napoju).</w:t>
            </w:r>
          </w:p>
        </w:tc>
      </w:tr>
      <w:tr w:rsidR="004C14FA" w:rsidRPr="001F5597" w14:paraId="0BA0245F" w14:textId="77777777" w:rsidTr="00045E52">
        <w:tc>
          <w:tcPr>
            <w:tcW w:w="562" w:type="dxa"/>
          </w:tcPr>
          <w:p w14:paraId="39D9F16F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791013BA" w14:textId="77777777" w:rsidR="004C14FA" w:rsidRPr="00681F97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681F97">
              <w:rPr>
                <w:b/>
              </w:rPr>
              <w:t xml:space="preserve">nocleg w kraju </w:t>
            </w:r>
          </w:p>
        </w:tc>
        <w:tc>
          <w:tcPr>
            <w:tcW w:w="5528" w:type="dxa"/>
          </w:tcPr>
          <w:p w14:paraId="78D1AFB1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>wydatek kwalifikowalny, o ile jest to uzasadnione specyfiką realizowanego projektu;</w:t>
            </w:r>
          </w:p>
          <w:p w14:paraId="1F4E1383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możliwość zagwarantowania noclegu dotyczy wyłącznie uczestników, którzy posiadają miejsce </w:t>
            </w:r>
            <w:r>
              <w:lastRenderedPageBreak/>
              <w:t>zamieszkania w miejscowości innej niż ta miejscowość, w której odbywa się wsparcie;</w:t>
            </w:r>
          </w:p>
          <w:p w14:paraId="114F45F6" w14:textId="44599476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planowanie form wsparcia poza miejscowością, </w:t>
            </w:r>
            <w:r>
              <w:br/>
              <w:t xml:space="preserve">w której ma siedzibę wnioskodawca będzie w </w:t>
            </w:r>
            <w:r w:rsidR="00045E52">
              <w:t>s</w:t>
            </w:r>
            <w:r>
              <w:t>zczególny sposób przedmiotem oceny przez KOP pod kątem adekwatności i kwalifikowalności kosztów;</w:t>
            </w:r>
          </w:p>
          <w:p w14:paraId="293B98C7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>wydatek kwalifikowalny, o ile wsparcie (np. szkolenie, spotkanie) dla tej samej grupy osób trwa co najmniej dwa dni;</w:t>
            </w:r>
          </w:p>
          <w:p w14:paraId="6E60DCC9" w14:textId="77777777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w przypadku wsparcia trwającego nie dłużej niż jeden dzień wydatek kwalifikowalny w sytuacji, gdy miejsce udzielania wsparcia jest oddalone </w:t>
            </w:r>
            <w:r>
              <w:br/>
              <w:t>od miejscowości, w której siedzibę ma wnioskodawca  o więcej niż 50 km (drogą publiczną, a nie w linii prostej), a jednocześnie wsparcie zaczyna się przed godziną 9.00 lub kończy się po godzinie 17.00, chyba że nie ma dostępnego dojazdu publicznymi środkami transportu;</w:t>
            </w:r>
          </w:p>
          <w:p w14:paraId="15030AB3" w14:textId="706DB950" w:rsidR="004C14FA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obejmuje nocleg w miejscu noclegowym </w:t>
            </w:r>
            <w:r>
              <w:br/>
              <w:t xml:space="preserve">o standardzie maksymalnie hotelu 3* wraz ze śniadaniem, przy czym istnieje możliwość szerszego zakresu usługi, o ile mieści się </w:t>
            </w:r>
            <w:r>
              <w:br/>
              <w:t>w określonej cenie rynkowej i jest to uzasadnione celami projektu</w:t>
            </w:r>
            <w:r w:rsidR="00045E52">
              <w:t xml:space="preserve"> lub specyficznymi potrzebami</w:t>
            </w:r>
            <w:r>
              <w:t>;</w:t>
            </w:r>
          </w:p>
          <w:p w14:paraId="30BE3C49" w14:textId="77777777" w:rsidR="004C14FA" w:rsidRPr="004A2CE4" w:rsidRDefault="004C14FA" w:rsidP="00A2586E">
            <w:pPr>
              <w:pStyle w:val="Akapitzlist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</w:pPr>
            <w:r>
              <w:t xml:space="preserve">obejmuje nocleg, co do zasady w pokojach </w:t>
            </w:r>
            <w:r>
              <w:br/>
              <w:t>2-osobowych (nocleg w pokojach 1-osobowych jest kwalifikowalny tylko w uzasadnionych przypadkach)</w:t>
            </w:r>
          </w:p>
        </w:tc>
        <w:tc>
          <w:tcPr>
            <w:tcW w:w="1984" w:type="dxa"/>
          </w:tcPr>
          <w:p w14:paraId="0D1B8C66" w14:textId="77777777" w:rsidR="004C14FA" w:rsidRDefault="004C14FA" w:rsidP="00A2586E">
            <w:pPr>
              <w:jc w:val="center"/>
            </w:pPr>
          </w:p>
          <w:p w14:paraId="74E5CA4B" w14:textId="77777777" w:rsidR="004C14FA" w:rsidRDefault="004C14FA" w:rsidP="00A2586E">
            <w:pPr>
              <w:jc w:val="center"/>
            </w:pPr>
            <w:r>
              <w:t>hotel o maksymalnym standardzie 3*:</w:t>
            </w:r>
          </w:p>
          <w:p w14:paraId="2E8E83A7" w14:textId="77777777" w:rsidR="004C14FA" w:rsidRDefault="004C14FA" w:rsidP="00A2586E">
            <w:pPr>
              <w:jc w:val="center"/>
            </w:pPr>
            <w:r>
              <w:t>- 220 PLN/1 nocleg / 1 osoba</w:t>
            </w:r>
          </w:p>
          <w:p w14:paraId="2C5D606E" w14:textId="77777777" w:rsidR="004C14FA" w:rsidRDefault="004C14FA" w:rsidP="00A2586E">
            <w:pPr>
              <w:jc w:val="center"/>
            </w:pPr>
          </w:p>
          <w:p w14:paraId="15492FBC" w14:textId="77777777" w:rsidR="004C14FA" w:rsidRDefault="004C14FA" w:rsidP="00A2586E">
            <w:pPr>
              <w:jc w:val="center"/>
            </w:pPr>
            <w:r>
              <w:t>hotel o niższym standardzie niż 3* oraz pensjonat, motel itd.:</w:t>
            </w:r>
          </w:p>
          <w:p w14:paraId="33B8F59F" w14:textId="77777777" w:rsidR="004C14FA" w:rsidRDefault="004C14FA" w:rsidP="00A2586E">
            <w:pPr>
              <w:jc w:val="center"/>
            </w:pPr>
            <w:r>
              <w:t>- 130 PLN/1 nocleg / 1 osoba</w:t>
            </w:r>
          </w:p>
          <w:p w14:paraId="59B3A2B0" w14:textId="77777777" w:rsidR="004C14FA" w:rsidRDefault="004C14FA" w:rsidP="00A2586E">
            <w:pPr>
              <w:jc w:val="center"/>
            </w:pPr>
          </w:p>
          <w:p w14:paraId="5B75102E" w14:textId="77777777" w:rsidR="004C14FA" w:rsidRPr="004A2CE4" w:rsidRDefault="004C14FA" w:rsidP="00A2586E">
            <w:pPr>
              <w:spacing w:before="120" w:after="120"/>
              <w:jc w:val="center"/>
            </w:pPr>
          </w:p>
        </w:tc>
        <w:tc>
          <w:tcPr>
            <w:tcW w:w="3793" w:type="dxa"/>
          </w:tcPr>
          <w:p w14:paraId="34FA912C" w14:textId="5C8B1D24" w:rsidR="004C14FA" w:rsidRPr="004A2CE4" w:rsidRDefault="004C14FA" w:rsidP="00A2586E">
            <w:pPr>
              <w:spacing w:before="120" w:after="120"/>
            </w:pPr>
            <w:r>
              <w:lastRenderedPageBreak/>
              <w:t xml:space="preserve">Cena rynkowa powinna być uzależniona od rodzaju oferowanej usługi i jest niższa, jeśli finansowany jest mniejszy zakres usługi (np. nocleg w pokoju </w:t>
            </w:r>
            <w:r w:rsidR="00214379">
              <w:br/>
            </w:r>
            <w:r>
              <w:t>3-osobowym)</w:t>
            </w:r>
          </w:p>
        </w:tc>
      </w:tr>
      <w:tr w:rsidR="004C14FA" w:rsidRPr="007D3B0A" w14:paraId="602EE580" w14:textId="77777777" w:rsidTr="00045E52">
        <w:tc>
          <w:tcPr>
            <w:tcW w:w="562" w:type="dxa"/>
          </w:tcPr>
          <w:p w14:paraId="19A00CC2" w14:textId="77777777" w:rsidR="004C14FA" w:rsidRPr="00C149E1" w:rsidRDefault="004C14FA" w:rsidP="00A2586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149E1">
              <w:rPr>
                <w:b/>
              </w:rPr>
              <w:t>.</w:t>
            </w:r>
          </w:p>
        </w:tc>
        <w:tc>
          <w:tcPr>
            <w:tcW w:w="2127" w:type="dxa"/>
          </w:tcPr>
          <w:p w14:paraId="2C162374" w14:textId="77777777" w:rsidR="004C14FA" w:rsidRPr="007D3B0A" w:rsidRDefault="004C14FA" w:rsidP="00A2586E">
            <w:pPr>
              <w:spacing w:before="120" w:after="120"/>
              <w:jc w:val="center"/>
              <w:rPr>
                <w:b/>
              </w:rPr>
            </w:pPr>
            <w:r w:rsidRPr="007D3B0A">
              <w:rPr>
                <w:b/>
              </w:rPr>
              <w:t>zwrot kosztów dojazdu</w:t>
            </w:r>
          </w:p>
        </w:tc>
        <w:tc>
          <w:tcPr>
            <w:tcW w:w="5528" w:type="dxa"/>
          </w:tcPr>
          <w:p w14:paraId="685ADCB9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kwalifikowalny w </w:t>
            </w:r>
            <w:r>
              <w:t>przypadku uzasadnionych potrzeb</w:t>
            </w:r>
            <w:r w:rsidRPr="007D3B0A">
              <w:t xml:space="preserve"> grupy docelowej;</w:t>
            </w:r>
          </w:p>
          <w:p w14:paraId="00D29F45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lastRenderedPageBreak/>
              <w:t xml:space="preserve">planowanie form wsparcia </w:t>
            </w:r>
            <w:r>
              <w:t xml:space="preserve">poza </w:t>
            </w:r>
            <w:r w:rsidRPr="00806C8A">
              <w:t xml:space="preserve">miejscem zamieszkania </w:t>
            </w:r>
            <w:r w:rsidRPr="007D3B0A">
              <w:t>będzie w szczególny sposób przedmiotem oceny przez KOP pod kątem adekwatności i kwalifikowalności kosztów;</w:t>
            </w:r>
          </w:p>
          <w:p w14:paraId="2B34C96C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rozliczany na podstawie rzeczywiście poniesionych kosztów za faktycznie odbytą podróż </w:t>
            </w:r>
            <w:r>
              <w:br/>
            </w:r>
            <w:r w:rsidRPr="007D3B0A">
              <w:t>z uwzględnieniem posiadanej przez danego uczestnika projektu ulgi na dany środek transportu, bez względu na to, z jakiego tytułu ulga przysługuje. Wydatki powinny być udokumentowane.</w:t>
            </w:r>
          </w:p>
          <w:p w14:paraId="23200649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wydatek kwalifikowalny </w:t>
            </w:r>
            <w:r w:rsidRPr="007D161D">
              <w:rPr>
                <w:u w:val="single"/>
              </w:rPr>
              <w:t>do wysokości</w:t>
            </w:r>
            <w:r w:rsidRPr="007D3B0A">
              <w:t xml:space="preserve"> opłat za środki transportu publicznego szynowego lub kołowego zgodnie z cennikiem biletów II klasy obowiązującym na danym obszarze, także</w:t>
            </w:r>
            <w:r>
              <w:t xml:space="preserve"> </w:t>
            </w:r>
            <w:r w:rsidRPr="007D3B0A">
              <w:t>w przypadku korzystania ze środków transportu prywatnego (w szczególności samochodem lub taksówką) jako refundacja wydatku faktycznie poniesionego do ww. wysokości</w:t>
            </w:r>
          </w:p>
          <w:p w14:paraId="1E9DD987" w14:textId="77777777" w:rsidR="004C14FA" w:rsidRPr="007D3B0A" w:rsidRDefault="004C14FA" w:rsidP="00A2586E">
            <w:pPr>
              <w:pStyle w:val="Akapitzlist"/>
              <w:numPr>
                <w:ilvl w:val="0"/>
                <w:numId w:val="6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w przypadku podróży międzynarodowych </w:t>
            </w:r>
            <w:r>
              <w:t xml:space="preserve">(wykładowcy z zagranicy) </w:t>
            </w:r>
            <w:r w:rsidRPr="007D3B0A">
              <w:t xml:space="preserve">kwalifikowany może być koszt </w:t>
            </w:r>
            <w:r w:rsidRPr="007D161D">
              <w:rPr>
                <w:u w:val="single"/>
              </w:rPr>
              <w:t>do wysokości</w:t>
            </w:r>
            <w:r>
              <w:t xml:space="preserve"> opłat za </w:t>
            </w:r>
            <w:r w:rsidRPr="007D3B0A">
              <w:t>transport</w:t>
            </w:r>
            <w:r>
              <w:t xml:space="preserve"> lotniczy</w:t>
            </w:r>
            <w:r w:rsidRPr="007D3B0A">
              <w:t xml:space="preserve"> </w:t>
            </w:r>
            <w:r>
              <w:br/>
            </w:r>
            <w:r w:rsidRPr="007D3B0A">
              <w:t xml:space="preserve">w klasie ekonomicznej </w:t>
            </w:r>
            <w:r>
              <w:t>–</w:t>
            </w:r>
            <w:r w:rsidRPr="007D3B0A">
              <w:t xml:space="preserve"> zalecany jest, jeśli to możliwe, zakup biletów podróży z możliwością zwrotu lub wymiany (np. w zakresie zmiany terminu podróży lub nazwiska osoby podróżującej) na wypadek nieoczekiwanych sytuacji</w:t>
            </w:r>
          </w:p>
        </w:tc>
        <w:tc>
          <w:tcPr>
            <w:tcW w:w="1984" w:type="dxa"/>
          </w:tcPr>
          <w:p w14:paraId="28AED850" w14:textId="77777777" w:rsidR="004C14FA" w:rsidRDefault="004C14FA" w:rsidP="00A2586E">
            <w:pPr>
              <w:spacing w:before="120" w:after="120"/>
              <w:jc w:val="center"/>
            </w:pPr>
            <w:r w:rsidRPr="007D3B0A">
              <w:lastRenderedPageBreak/>
              <w:t>cena uzależniona</w:t>
            </w:r>
            <w:r>
              <w:t xml:space="preserve"> </w:t>
            </w:r>
            <w:r w:rsidRPr="007D3B0A">
              <w:t>od cenników</w:t>
            </w:r>
            <w:r>
              <w:t xml:space="preserve"> </w:t>
            </w:r>
            <w:r w:rsidRPr="007D3B0A">
              <w:t>operatorów</w:t>
            </w:r>
            <w:r>
              <w:t xml:space="preserve"> </w:t>
            </w:r>
            <w:r w:rsidRPr="007D3B0A">
              <w:lastRenderedPageBreak/>
              <w:t>komunikacji</w:t>
            </w:r>
            <w:r>
              <w:t xml:space="preserve"> publicznej</w:t>
            </w:r>
          </w:p>
          <w:p w14:paraId="56AD4319" w14:textId="77777777" w:rsidR="004C14FA" w:rsidRPr="007D3B0A" w:rsidRDefault="004C14FA" w:rsidP="00A2586E">
            <w:pPr>
              <w:spacing w:before="120" w:after="120"/>
              <w:jc w:val="center"/>
            </w:pPr>
            <w:r>
              <w:t>istnieje możliwość przewidzenia organizacji transportu zbiorowego – porównanie cen rynkowych</w:t>
            </w:r>
          </w:p>
        </w:tc>
        <w:tc>
          <w:tcPr>
            <w:tcW w:w="3793" w:type="dxa"/>
          </w:tcPr>
          <w:p w14:paraId="4FF409F5" w14:textId="77777777" w:rsidR="004C14FA" w:rsidRPr="007D3B0A" w:rsidRDefault="004C14FA" w:rsidP="00A2586E">
            <w:pPr>
              <w:spacing w:before="120" w:after="120"/>
            </w:pPr>
          </w:p>
        </w:tc>
      </w:tr>
      <w:tr w:rsidR="004C14FA" w:rsidRPr="00B126E8" w14:paraId="545DFFE4" w14:textId="77777777" w:rsidTr="00045E52">
        <w:tc>
          <w:tcPr>
            <w:tcW w:w="562" w:type="dxa"/>
          </w:tcPr>
          <w:p w14:paraId="0227561E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3A1F5E9E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90D99">
              <w:rPr>
                <w:rFonts w:cstheme="minorHAnsi"/>
                <w:b/>
                <w:bCs/>
              </w:rPr>
              <w:t xml:space="preserve">wynajem </w:t>
            </w:r>
            <w:proofErr w:type="spellStart"/>
            <w:r w:rsidRPr="00690D99">
              <w:rPr>
                <w:rFonts w:cstheme="minorHAnsi"/>
                <w:b/>
                <w:bCs/>
              </w:rPr>
              <w:t>sal</w:t>
            </w:r>
            <w:proofErr w:type="spellEnd"/>
            <w:r w:rsidRPr="00690D99">
              <w:rPr>
                <w:rFonts w:cstheme="minorHAnsi"/>
                <w:b/>
                <w:bCs/>
              </w:rPr>
              <w:t xml:space="preserve"> szkoleniowych</w:t>
            </w:r>
          </w:p>
        </w:tc>
        <w:tc>
          <w:tcPr>
            <w:tcW w:w="5528" w:type="dxa"/>
          </w:tcPr>
          <w:p w14:paraId="607DA333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>wydatek kwalifikowalny, o ile jest to uzasadnione specyfiką realizowanego projektu oraz potrzebami grupy docelowej;</w:t>
            </w:r>
          </w:p>
          <w:p w14:paraId="4EEAB72A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>
              <w:lastRenderedPageBreak/>
              <w:t>s</w:t>
            </w:r>
            <w:r w:rsidRPr="007D3B0A">
              <w:t>ala zajęciowa powinna mieścić do 30 osób z zapewnieniem odpowiednich warunków socjalnych i bhp;</w:t>
            </w:r>
          </w:p>
          <w:p w14:paraId="1D81A5B8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 xml:space="preserve">obejmuje koszt wynajmu sali wyposażonej, zgodnie z potrzebami projektu, m.in. w stoły, krzesła, rzutnik multimedialny z ekranem, komputer, tablice flipchart lub tablice </w:t>
            </w:r>
            <w:proofErr w:type="spellStart"/>
            <w:r w:rsidRPr="007D3B0A">
              <w:t>suchościeralne</w:t>
            </w:r>
            <w:proofErr w:type="spellEnd"/>
            <w:r w:rsidRPr="007D3B0A">
              <w:t>, bezprzewodowy dostęp do Internetu oraz koszty utrzymania sali, w tym energii elektrycznej;</w:t>
            </w:r>
          </w:p>
          <w:p w14:paraId="11BF470F" w14:textId="77777777" w:rsidR="004C14FA" w:rsidRPr="007D3B0A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7D3B0A">
              <w:t>wydatek kwalifikowalny, o ile sala oraz budynek, w którym się ona znajduje, zapewnia dostęp dla osób z niepełnosprawnością ruchową (tj. dostosowanie architektoniczne)</w:t>
            </w:r>
          </w:p>
          <w:p w14:paraId="7215BB4D" w14:textId="77777777" w:rsidR="004C14FA" w:rsidRPr="00DE1DDE" w:rsidRDefault="004C14FA" w:rsidP="00A2586E">
            <w:pPr>
              <w:pStyle w:val="Akapitzlist"/>
              <w:numPr>
                <w:ilvl w:val="0"/>
                <w:numId w:val="17"/>
              </w:numPr>
              <w:spacing w:before="120" w:after="120"/>
              <w:ind w:left="357" w:hanging="357"/>
              <w:contextualSpacing w:val="0"/>
              <w:jc w:val="both"/>
              <w:rPr>
                <w:rFonts w:cstheme="minorHAnsi"/>
              </w:rPr>
            </w:pPr>
            <w:r w:rsidRPr="007D3B0A">
              <w:t xml:space="preserve">nie dotyczy udostępniania </w:t>
            </w:r>
            <w:proofErr w:type="spellStart"/>
            <w:r w:rsidRPr="007D3B0A">
              <w:t>sal</w:t>
            </w:r>
            <w:proofErr w:type="spellEnd"/>
            <w:r w:rsidRPr="007D3B0A">
              <w:t xml:space="preserve"> szkoleniowych</w:t>
            </w:r>
            <w:r>
              <w:t>,</w:t>
            </w:r>
            <w:r w:rsidRPr="007D3B0A">
              <w:t xml:space="preserve"> jako wkład własny w projekcie</w:t>
            </w:r>
          </w:p>
        </w:tc>
        <w:tc>
          <w:tcPr>
            <w:tcW w:w="1984" w:type="dxa"/>
            <w:vAlign w:val="center"/>
          </w:tcPr>
          <w:p w14:paraId="46BF634C" w14:textId="77777777" w:rsidR="004C14FA" w:rsidRPr="00690D99" w:rsidRDefault="004C14FA" w:rsidP="00A2586E">
            <w:pPr>
              <w:jc w:val="center"/>
            </w:pPr>
            <w:r>
              <w:lastRenderedPageBreak/>
              <w:t>75 PLN/</w:t>
            </w:r>
            <w:r w:rsidRPr="007D3B0A">
              <w:t>godz</w:t>
            </w:r>
            <w:r>
              <w:t xml:space="preserve">. </w:t>
            </w:r>
            <w:r w:rsidRPr="007D3B0A">
              <w:t>zegarową szkolenia</w:t>
            </w:r>
          </w:p>
        </w:tc>
        <w:tc>
          <w:tcPr>
            <w:tcW w:w="3793" w:type="dxa"/>
          </w:tcPr>
          <w:p w14:paraId="37512ADC" w14:textId="77777777" w:rsidR="004C14FA" w:rsidRPr="007D3B0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7D3B0A">
              <w:t>cena dotyczy też wynajmu sali na</w:t>
            </w:r>
            <w:r>
              <w:t xml:space="preserve"> </w:t>
            </w:r>
            <w:r w:rsidRPr="007D3B0A">
              <w:t>różnego typu spotkania, o ile ich</w:t>
            </w:r>
            <w:r>
              <w:t xml:space="preserve"> </w:t>
            </w:r>
            <w:r w:rsidRPr="007D3B0A">
              <w:t>realizacja jest niezbędna i wynika</w:t>
            </w:r>
            <w:r>
              <w:t xml:space="preserve"> </w:t>
            </w:r>
            <w:r w:rsidRPr="007D3B0A">
              <w:t>z celu realizacji projektu, zaś cena</w:t>
            </w:r>
            <w:r>
              <w:t xml:space="preserve"> </w:t>
            </w:r>
            <w:r w:rsidRPr="007D3B0A">
              <w:t>powinna być niższa, jeśli koszt nie</w:t>
            </w:r>
            <w:r>
              <w:t xml:space="preserve"> </w:t>
            </w:r>
            <w:r w:rsidRPr="007D3B0A">
              <w:lastRenderedPageBreak/>
              <w:t>obejmuje wyposażenia określonego jak dla wynajmu sali szkoleniowej;</w:t>
            </w:r>
          </w:p>
          <w:p w14:paraId="3FE60201" w14:textId="77777777" w:rsidR="004C14FA" w:rsidRPr="007D3B0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7D3B0A">
              <w:t>cena obejmuje wynajem krótkoterminowy (w przypadku</w:t>
            </w:r>
            <w:r>
              <w:t xml:space="preserve"> </w:t>
            </w:r>
            <w:r w:rsidRPr="007D3B0A">
              <w:t xml:space="preserve">wynajmu </w:t>
            </w:r>
            <w:proofErr w:type="spellStart"/>
            <w:r w:rsidRPr="007D3B0A">
              <w:t>sal</w:t>
            </w:r>
            <w:proofErr w:type="spellEnd"/>
            <w:r w:rsidRPr="007D3B0A">
              <w:t xml:space="preserve"> szkoleniowych na okres dłuższy niż 80 godzin zegarowych cena powinna być niższa);</w:t>
            </w:r>
          </w:p>
          <w:p w14:paraId="75E7B029" w14:textId="77777777" w:rsidR="004C14FA" w:rsidRPr="00B126E8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  <w:rPr>
                <w:rFonts w:cstheme="minorHAnsi"/>
              </w:rPr>
            </w:pPr>
            <w:r w:rsidRPr="007D3B0A">
              <w:t>cena nie dotyczy wynajmu</w:t>
            </w:r>
            <w:r>
              <w:t xml:space="preserve"> </w:t>
            </w:r>
            <w:r w:rsidRPr="007D3B0A">
              <w:t xml:space="preserve">specjalistycznych </w:t>
            </w:r>
            <w:proofErr w:type="spellStart"/>
            <w:r w:rsidRPr="007D3B0A">
              <w:t>sal</w:t>
            </w:r>
            <w:proofErr w:type="spellEnd"/>
            <w:r w:rsidRPr="007D3B0A">
              <w:t xml:space="preserve"> szkoleniowych, np. </w:t>
            </w:r>
            <w:proofErr w:type="spellStart"/>
            <w:r w:rsidRPr="007D3B0A">
              <w:t>sal</w:t>
            </w:r>
            <w:proofErr w:type="spellEnd"/>
            <w:r w:rsidRPr="007D3B0A">
              <w:t xml:space="preserve"> komputerowych, laboratoriów lub </w:t>
            </w:r>
            <w:proofErr w:type="spellStart"/>
            <w:r w:rsidRPr="007D3B0A">
              <w:t>sal</w:t>
            </w:r>
            <w:proofErr w:type="spellEnd"/>
            <w:r w:rsidRPr="007D3B0A">
              <w:t xml:space="preserve"> wyposażonych w sprzęt</w:t>
            </w:r>
            <w:r>
              <w:t xml:space="preserve"> </w:t>
            </w:r>
            <w:r w:rsidRPr="007D3B0A">
              <w:t>specjalistyczny umożliwiający  udział we wsparciu osób z innymi rodzajami niepełnosprawności niż niepełnosprawność ruchowa (np. sala z pętlą indukcyjną)</w:t>
            </w:r>
          </w:p>
        </w:tc>
      </w:tr>
      <w:tr w:rsidR="004C14FA" w:rsidRPr="003D33C4" w14:paraId="43C5862D" w14:textId="77777777" w:rsidTr="00045E52">
        <w:tc>
          <w:tcPr>
            <w:tcW w:w="562" w:type="dxa"/>
          </w:tcPr>
          <w:p w14:paraId="352EB65B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8.</w:t>
            </w:r>
          </w:p>
        </w:tc>
        <w:tc>
          <w:tcPr>
            <w:tcW w:w="2127" w:type="dxa"/>
          </w:tcPr>
          <w:p w14:paraId="5C168372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81F97">
              <w:rPr>
                <w:rFonts w:cstheme="minorHAnsi"/>
                <w:b/>
                <w:bCs/>
              </w:rPr>
              <w:t>wynajem sali na spotkania indywidualne</w:t>
            </w:r>
          </w:p>
        </w:tc>
        <w:tc>
          <w:tcPr>
            <w:tcW w:w="5528" w:type="dxa"/>
          </w:tcPr>
          <w:p w14:paraId="66BD83B4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jest to uzasadnione specyfiką realizowanego projektu oraz potrzebami grupy docelowej</w:t>
            </w:r>
          </w:p>
          <w:p w14:paraId="0F7281AF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obejmuje koszt wynajmu sali wyposażonej, zgodnie z potrzebami projektu, m.in. w stoły, krzesła, tablice flipchart lub tablice </w:t>
            </w:r>
            <w:proofErr w:type="spellStart"/>
            <w:r w:rsidRPr="00681F97">
              <w:t>suchościeralne</w:t>
            </w:r>
            <w:proofErr w:type="spellEnd"/>
            <w:r w:rsidRPr="00681F97">
              <w:t xml:space="preserve">, bezprzewodowy dostęp do Internetu oraz koszty utrzymania sali, w tym energii elektrycznej </w:t>
            </w:r>
          </w:p>
          <w:p w14:paraId="36E5E2A1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sala oraz budynek, w którym się ona znajduje, zapewnia dostęp dla osób z niepełnosprawnością ruchową (tj. dostosowanie architektoniczne), przy czym obowiązek ten nie dotyczy </w:t>
            </w:r>
            <w:r w:rsidRPr="00681F97">
              <w:lastRenderedPageBreak/>
              <w:t xml:space="preserve">udostępniania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na spotkania indywidualne jako wkład własny w projekcie</w:t>
            </w:r>
          </w:p>
          <w:p w14:paraId="2C33FBFA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>
              <w:t>s</w:t>
            </w:r>
            <w:r w:rsidRPr="007D3B0A">
              <w:t xml:space="preserve">ala zajęciowa powinna mieścić do </w:t>
            </w:r>
            <w:r>
              <w:t>1</w:t>
            </w:r>
            <w:r w:rsidRPr="007D3B0A">
              <w:t>0 osób z zapewnieniem odpowiednich warunków socjalnych i bhp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61567637" w14:textId="77777777" w:rsidR="004C14FA" w:rsidRPr="00681F97" w:rsidRDefault="004C14FA" w:rsidP="00A2586E">
            <w:pPr>
              <w:jc w:val="center"/>
            </w:pPr>
            <w:r w:rsidRPr="00681F97">
              <w:lastRenderedPageBreak/>
              <w:t xml:space="preserve">40 PLN/ </w:t>
            </w:r>
            <w:r>
              <w:t>godz.</w:t>
            </w:r>
            <w:r w:rsidRPr="00681F97">
              <w:t xml:space="preserve"> zegarową </w:t>
            </w:r>
            <w:r>
              <w:t>s</w:t>
            </w:r>
            <w:r w:rsidRPr="00681F97">
              <w:t>potkania</w:t>
            </w:r>
          </w:p>
          <w:p w14:paraId="4D02185C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646D6F57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obejmuje wynajem krótkoterminowy (w przypadku wynajmu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na okres dłuższy niż 80 godzin zegarowych cena powinna być niższa) </w:t>
            </w:r>
          </w:p>
          <w:p w14:paraId="5555485A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nie dotyczy wynajmu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wyposażonych w sprzęt specjalistyczny umożliwiający udział we wsparciu osób z innymi rodzajami niepełnosprawności niż niepełnosprawność ruchowa (np. sala z pętlą indukcyjną)</w:t>
            </w:r>
            <w:r>
              <w:t>.</w:t>
            </w:r>
          </w:p>
        </w:tc>
      </w:tr>
      <w:tr w:rsidR="004C14FA" w:rsidRPr="003D33C4" w14:paraId="708C6150" w14:textId="77777777" w:rsidTr="00045E52">
        <w:tc>
          <w:tcPr>
            <w:tcW w:w="562" w:type="dxa"/>
          </w:tcPr>
          <w:p w14:paraId="0BB95241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2127" w:type="dxa"/>
          </w:tcPr>
          <w:p w14:paraId="5F953C49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681F97">
              <w:rPr>
                <w:rFonts w:cstheme="minorHAnsi"/>
                <w:b/>
                <w:bCs/>
              </w:rPr>
              <w:t>wynajem sali komputerowej</w:t>
            </w:r>
          </w:p>
        </w:tc>
        <w:tc>
          <w:tcPr>
            <w:tcW w:w="5528" w:type="dxa"/>
          </w:tcPr>
          <w:p w14:paraId="7B36B0F4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jest to uzasadnione specyfiką realizowanego projektu </w:t>
            </w:r>
          </w:p>
          <w:p w14:paraId="7C2F8B2E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obejmuje koszt wynajmu sali wyposażonej, zgodnie z potrzebami projektu, m.in. w stoły, krzesła, rzutnik multimedialny z ekranem, min. 12 stanowisk komputerowych, tablice flipchart lub tablice </w:t>
            </w:r>
            <w:proofErr w:type="spellStart"/>
            <w:r w:rsidRPr="00681F97">
              <w:t>suchościeralne</w:t>
            </w:r>
            <w:proofErr w:type="spellEnd"/>
            <w:r w:rsidRPr="00681F97">
              <w:t xml:space="preserve">, bezprzewodowy dostęp do Internetu oraz koszty utrzymania sali, w tym energii elektrycznej </w:t>
            </w:r>
          </w:p>
          <w:p w14:paraId="46FB5E5E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sala oraz budynek, w którym się ona znajduje, zapewnia dostęp dla osób z niepełnosprawnością ruchową (tj. dostosowanie architektoniczne), przy czym obowiązek ten nie dotyczy udostępniania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jako wkład własny w projekcie</w:t>
            </w:r>
            <w:r>
              <w:t>.</w:t>
            </w:r>
          </w:p>
        </w:tc>
        <w:tc>
          <w:tcPr>
            <w:tcW w:w="1984" w:type="dxa"/>
            <w:vAlign w:val="center"/>
          </w:tcPr>
          <w:p w14:paraId="34602353" w14:textId="77777777" w:rsidR="004C14FA" w:rsidRPr="00681F97" w:rsidRDefault="004C14FA" w:rsidP="00A2586E">
            <w:pPr>
              <w:jc w:val="center"/>
            </w:pPr>
            <w:r w:rsidRPr="00681F97">
              <w:t xml:space="preserve">70 PLN/ </w:t>
            </w:r>
            <w:r>
              <w:t>godz.</w:t>
            </w:r>
            <w:r w:rsidRPr="00681F97">
              <w:t xml:space="preserve"> zegarową szkolenia</w:t>
            </w:r>
          </w:p>
          <w:p w14:paraId="6738058F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6B3A3A0E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>cena dotyczy wynajmu sali na szkolenia specjalistyczne wymagające określonego typu sprzętu, min. 12 stanowisk komputerowych (cena powinna być niższa, jeśli koszt obejmuje mniejszą liczbę stanowisk komputerowych)</w:t>
            </w:r>
          </w:p>
          <w:p w14:paraId="33D215A3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obejmuje wynajem krótkoterminowy (w przypadku wynajmu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na okres dłuższy niż 80 godzin zegarowych cena powinna być niższa) </w:t>
            </w:r>
          </w:p>
          <w:p w14:paraId="1D94CD15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t xml:space="preserve">cena nie dotyczy wynajmu </w:t>
            </w:r>
            <w:proofErr w:type="spellStart"/>
            <w:r w:rsidRPr="00681F97">
              <w:t>sal</w:t>
            </w:r>
            <w:proofErr w:type="spellEnd"/>
            <w:r w:rsidRPr="00681F97">
              <w:t xml:space="preserve"> wyposażonych w sprzęt specjalistyczny umożliwiający udział we wsparciu osób z innymi rodzajami niepełnosprawności niż niepełnosprawność ruchowa (np. sala z pętlą indukcyjną)</w:t>
            </w:r>
          </w:p>
        </w:tc>
      </w:tr>
      <w:tr w:rsidR="004C14FA" w:rsidRPr="003D33C4" w14:paraId="2D2C9DE7" w14:textId="77777777" w:rsidTr="00045E52">
        <w:tc>
          <w:tcPr>
            <w:tcW w:w="562" w:type="dxa"/>
          </w:tcPr>
          <w:p w14:paraId="547E2D3A" w14:textId="77777777" w:rsidR="004C14FA" w:rsidRPr="00681F97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2127" w:type="dxa"/>
          </w:tcPr>
          <w:p w14:paraId="0799EAF5" w14:textId="77777777" w:rsidR="004C14FA" w:rsidRPr="00681F97" w:rsidRDefault="004C14FA" w:rsidP="00A2586E">
            <w:pPr>
              <w:jc w:val="center"/>
              <w:rPr>
                <w:b/>
              </w:rPr>
            </w:pPr>
            <w:r w:rsidRPr="00681F97">
              <w:rPr>
                <w:b/>
              </w:rPr>
              <w:t>zakup materi</w:t>
            </w:r>
            <w:r>
              <w:rPr>
                <w:b/>
              </w:rPr>
              <w:t>ałów biurowych dla uczestników zajęć</w:t>
            </w:r>
          </w:p>
        </w:tc>
        <w:tc>
          <w:tcPr>
            <w:tcW w:w="5528" w:type="dxa"/>
          </w:tcPr>
          <w:p w14:paraId="36D76729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>wydatek kwalifikowalny, o ile jest to uzasadnione specyfiką realizowanego projektu</w:t>
            </w:r>
          </w:p>
          <w:p w14:paraId="009D658B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t xml:space="preserve">wydatek kwalifikowalny, o ile przewidziane są </w:t>
            </w:r>
            <w:r w:rsidRPr="00681F97">
              <w:br/>
              <w:t>w ramach realizowanego projektu szkolenia/warsztaty/doradztwo</w:t>
            </w:r>
          </w:p>
          <w:p w14:paraId="314D2A36" w14:textId="77777777" w:rsidR="004C14FA" w:rsidRPr="00681F97" w:rsidRDefault="004C14FA" w:rsidP="00A2586E">
            <w:pPr>
              <w:pStyle w:val="Akapitzlist"/>
              <w:numPr>
                <w:ilvl w:val="0"/>
                <w:numId w:val="7"/>
              </w:numPr>
              <w:spacing w:before="120" w:after="120"/>
              <w:ind w:left="317" w:hanging="284"/>
              <w:contextualSpacing w:val="0"/>
            </w:pPr>
            <w:r w:rsidRPr="00681F97">
              <w:lastRenderedPageBreak/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</w:tc>
        <w:tc>
          <w:tcPr>
            <w:tcW w:w="1984" w:type="dxa"/>
          </w:tcPr>
          <w:p w14:paraId="7859339B" w14:textId="77777777" w:rsidR="004C14FA" w:rsidRPr="00681F97" w:rsidRDefault="004C14FA" w:rsidP="00A2586E">
            <w:pPr>
              <w:jc w:val="center"/>
            </w:pPr>
          </w:p>
          <w:p w14:paraId="111DAC6C" w14:textId="77777777" w:rsidR="004C14FA" w:rsidRPr="00681F97" w:rsidRDefault="004C14FA" w:rsidP="00A2586E">
            <w:pPr>
              <w:jc w:val="center"/>
            </w:pPr>
            <w:r w:rsidRPr="00681F97">
              <w:t xml:space="preserve">9 PLN/zestaw </w:t>
            </w:r>
            <w:r>
              <w:br/>
            </w:r>
            <w:r w:rsidRPr="00681F97">
              <w:t>bez pendrive</w:t>
            </w:r>
          </w:p>
          <w:p w14:paraId="3A6C64B4" w14:textId="77777777" w:rsidR="004C14FA" w:rsidRPr="00681F97" w:rsidRDefault="004C14FA" w:rsidP="00A2586E">
            <w:pPr>
              <w:jc w:val="center"/>
            </w:pPr>
            <w:r w:rsidRPr="00681F97">
              <w:t>lub</w:t>
            </w:r>
          </w:p>
          <w:p w14:paraId="6B603371" w14:textId="3BE7C337" w:rsidR="004C14FA" w:rsidRPr="00681F97" w:rsidRDefault="004C14FA" w:rsidP="00A2586E">
            <w:pPr>
              <w:jc w:val="center"/>
            </w:pPr>
            <w:r w:rsidRPr="00681F97">
              <w:t xml:space="preserve">24 zł/zestaw </w:t>
            </w:r>
            <w:r w:rsidR="00045E52">
              <w:br/>
            </w:r>
            <w:r w:rsidRPr="00681F97">
              <w:t xml:space="preserve">z </w:t>
            </w:r>
            <w:proofErr w:type="spellStart"/>
            <w:r w:rsidRPr="00681F97">
              <w:t>pendrivem</w:t>
            </w:r>
            <w:proofErr w:type="spellEnd"/>
          </w:p>
          <w:p w14:paraId="64A25F06" w14:textId="77777777" w:rsidR="004C14FA" w:rsidRPr="00681F97" w:rsidRDefault="004C14FA" w:rsidP="00A2586E">
            <w:pPr>
              <w:jc w:val="center"/>
            </w:pPr>
          </w:p>
        </w:tc>
        <w:tc>
          <w:tcPr>
            <w:tcW w:w="3793" w:type="dxa"/>
          </w:tcPr>
          <w:p w14:paraId="44245573" w14:textId="77777777" w:rsidR="004C14FA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lastRenderedPageBreak/>
              <w:t>cena rynkowa powinna być uzależniona od  rodzaju oferowanej usługi i jest niższa, jeśli finansowany jest mniejszy zakres usługi (np. notes i długopis)</w:t>
            </w:r>
          </w:p>
          <w:p w14:paraId="40EF08AD" w14:textId="77777777" w:rsidR="004C14FA" w:rsidRPr="00681F97" w:rsidRDefault="004C14FA" w:rsidP="00A2586E">
            <w:pPr>
              <w:pStyle w:val="Akapitzlist"/>
              <w:numPr>
                <w:ilvl w:val="0"/>
                <w:numId w:val="8"/>
              </w:numPr>
              <w:spacing w:before="120" w:after="120"/>
              <w:ind w:left="317" w:hanging="317"/>
              <w:contextualSpacing w:val="0"/>
            </w:pPr>
            <w:r w:rsidRPr="00681F97">
              <w:lastRenderedPageBreak/>
              <w:t>cena nie obejmuje kosztu logotypów (objęte są kosztami pośrednimi)</w:t>
            </w:r>
          </w:p>
        </w:tc>
      </w:tr>
      <w:tr w:rsidR="004C14FA" w:rsidRPr="00B126E8" w14:paraId="51C0628E" w14:textId="77777777" w:rsidTr="00045E52">
        <w:tc>
          <w:tcPr>
            <w:tcW w:w="562" w:type="dxa"/>
          </w:tcPr>
          <w:p w14:paraId="23B28495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11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1294FD8E" w14:textId="77777777" w:rsidR="004C14FA" w:rsidRPr="007D3B0A" w:rsidRDefault="004C14FA" w:rsidP="00A2586E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7D3B0A">
              <w:rPr>
                <w:b/>
              </w:rPr>
              <w:t>oszty niezbędnych materiałów zużywalnych</w:t>
            </w:r>
          </w:p>
          <w:p w14:paraId="78CFF79D" w14:textId="77777777" w:rsidR="004C14FA" w:rsidRPr="00D739D5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5528" w:type="dxa"/>
          </w:tcPr>
          <w:p w14:paraId="5D5B49BB" w14:textId="77777777" w:rsidR="004C14FA" w:rsidRPr="007D3B0A" w:rsidRDefault="004C14FA" w:rsidP="00A2586E">
            <w:pPr>
              <w:spacing w:before="120" w:after="120"/>
            </w:pPr>
            <w:r w:rsidRPr="007D3B0A">
              <w:t xml:space="preserve">IOK dopuszcza możliwość finansowania materiałów zużywalnych tj. materiałów ulegających całkowitemu zużyciu, wyczerpaniu lub degradacji w wyniku normalnej eksploatacji w czasie realizacji zajęć (np. odczynniki chemiczne), w przypadku, gdy brak ich finansowania w projekcie skutkowałby zubożeniem praktycznego wymiaru zajęć. Powinny to być jednak wyłącznie materiały w ilości/liczbie niezbędnej i ściśle powiązanej z programem zajęć na podstawie przedstawionej we wniosku analizy potrzeb w tym zakresie. </w:t>
            </w:r>
          </w:p>
          <w:p w14:paraId="122862FA" w14:textId="77777777" w:rsidR="004C14FA" w:rsidRPr="007D3B0A" w:rsidRDefault="004C14FA" w:rsidP="00A2586E">
            <w:pPr>
              <w:spacing w:before="120" w:after="120"/>
            </w:pPr>
            <w:r w:rsidRPr="007D3B0A">
              <w:rPr>
                <w:u w:val="single"/>
              </w:rPr>
              <w:t>Nie mogą tu być uwzględnione środki trwałe</w:t>
            </w:r>
            <w:r w:rsidRPr="007D3B0A">
              <w:t xml:space="preserve"> (komputer, laptop, drukarka, skaner, rzutnik multimedialny itp.) </w:t>
            </w:r>
            <w:r w:rsidRPr="007D3B0A">
              <w:rPr>
                <w:u w:val="single"/>
              </w:rPr>
              <w:t>niezależnie od ich wartości, ani inne rzeczowe składniki majątku, których przewidywany okres użytkowania jest dłuższy niż okres realizacji zajęć.</w:t>
            </w:r>
            <w:r w:rsidRPr="007D3B0A">
              <w:t xml:space="preserve"> </w:t>
            </w:r>
          </w:p>
          <w:p w14:paraId="3269D4B5" w14:textId="77777777" w:rsidR="004C14FA" w:rsidRPr="007D3B0A" w:rsidRDefault="004C14FA" w:rsidP="00A2586E">
            <w:pPr>
              <w:spacing w:before="120" w:after="120"/>
            </w:pPr>
            <w:r w:rsidRPr="007D3B0A">
              <w:t xml:space="preserve">Wnioskodawca w uzasadnieniu pod budżetem projektu powinien wskazać szczegółowo rodzaj materiałów zużywalnych i ich szacunkową ilość/liczbę.   </w:t>
            </w:r>
          </w:p>
          <w:p w14:paraId="2111ECF6" w14:textId="77777777" w:rsidR="004C14FA" w:rsidRPr="006011E6" w:rsidRDefault="004C14FA" w:rsidP="00A2586E">
            <w:pPr>
              <w:spacing w:before="120" w:after="120"/>
              <w:rPr>
                <w:rFonts w:cstheme="minorHAnsi"/>
              </w:rPr>
            </w:pPr>
            <w:r w:rsidRPr="007D3B0A">
              <w:t>Fakt wykorzystania materiałów zużywalnych powinien być udokumentowany np. w dzienniku zajęć. Zakup materiałów zużywalnych powinien b</w:t>
            </w:r>
            <w:r>
              <w:t>yć udokumentowany (np. faktura)</w:t>
            </w:r>
            <w:r w:rsidRPr="007D3B0A">
              <w:t xml:space="preserve">. Oprócz zakupu możliwe jest wykorzystanie materiałów zużywalnych </w:t>
            </w:r>
            <w:r>
              <w:t>będących w dyspozycji podmiotu</w:t>
            </w:r>
            <w:r w:rsidRPr="007D3B0A">
              <w:t xml:space="preserve">/beneficjenta – w takim przypadku </w:t>
            </w:r>
            <w:r w:rsidRPr="007D3B0A">
              <w:lastRenderedPageBreak/>
              <w:t>wnioskodawca powinien ująć te koszty w budżecie projektu wyłącznie jako wkład własny rzeczowy.</w:t>
            </w:r>
          </w:p>
        </w:tc>
        <w:tc>
          <w:tcPr>
            <w:tcW w:w="1984" w:type="dxa"/>
            <w:vAlign w:val="center"/>
          </w:tcPr>
          <w:p w14:paraId="47BC5E9A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3793" w:type="dxa"/>
          </w:tcPr>
          <w:p w14:paraId="20860D7E" w14:textId="77777777" w:rsidR="004C14FA" w:rsidRPr="00B126E8" w:rsidRDefault="004C14FA" w:rsidP="00A2586E">
            <w:pPr>
              <w:spacing w:before="120" w:after="120"/>
              <w:rPr>
                <w:rFonts w:cstheme="minorHAnsi"/>
              </w:rPr>
            </w:pPr>
            <w:r w:rsidRPr="007D3B0A">
              <w:t xml:space="preserve">Wnioskodawca powinien przeprowadzić na etapie konstruowania budżetu projektu </w:t>
            </w:r>
            <w:r>
              <w:t>porównanie cen rynkowych</w:t>
            </w:r>
            <w:r w:rsidRPr="007D3B0A">
              <w:t xml:space="preserve"> uzasadniające racjonalność i efektywność przyjętej kwoty kosztów materiałów zużywalnych. </w:t>
            </w:r>
          </w:p>
        </w:tc>
      </w:tr>
      <w:tr w:rsidR="004C14FA" w:rsidRPr="00B126E8" w14:paraId="09E7FEC4" w14:textId="77777777" w:rsidTr="00045E52">
        <w:tc>
          <w:tcPr>
            <w:tcW w:w="562" w:type="dxa"/>
          </w:tcPr>
          <w:p w14:paraId="5C91BBE0" w14:textId="77777777" w:rsidR="004C14FA" w:rsidRPr="00C149E1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  <w:r w:rsidRPr="00C149E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7" w:type="dxa"/>
          </w:tcPr>
          <w:p w14:paraId="5DE1557E" w14:textId="77777777" w:rsidR="004C14FA" w:rsidRPr="00D739D5" w:rsidRDefault="004C14FA" w:rsidP="00A2586E">
            <w:pPr>
              <w:spacing w:before="120" w:after="120"/>
              <w:jc w:val="center"/>
              <w:rPr>
                <w:rFonts w:cstheme="minorHAnsi"/>
                <w:b/>
                <w:bCs/>
                <w:i/>
              </w:rPr>
            </w:pPr>
            <w:r w:rsidRPr="007D3B0A">
              <w:rPr>
                <w:b/>
              </w:rPr>
              <w:t>Ubezpieczenie NNW</w:t>
            </w:r>
          </w:p>
        </w:tc>
        <w:tc>
          <w:tcPr>
            <w:tcW w:w="5528" w:type="dxa"/>
          </w:tcPr>
          <w:p w14:paraId="2899A9CD" w14:textId="77777777" w:rsidR="004C14FA" w:rsidRPr="007D3B0A" w:rsidRDefault="004C14FA" w:rsidP="00A2586E">
            <w:r w:rsidRPr="007D3B0A">
              <w:t xml:space="preserve">Zakres ubezpieczenia określa wnioskodawca, także w zależności od uregulowań obowiązujących </w:t>
            </w:r>
            <w:r w:rsidRPr="007D3B0A">
              <w:br/>
              <w:t>w podmiocie przyjmującym uczestników.</w:t>
            </w:r>
          </w:p>
          <w:p w14:paraId="2A13EDF3" w14:textId="5C8394CA" w:rsidR="004C14FA" w:rsidRPr="007D3B0A" w:rsidRDefault="004C14FA" w:rsidP="00A2586E">
            <w:r w:rsidRPr="007D3B0A">
              <w:t xml:space="preserve">Koszty związane z wykupieniem polisy ubezpieczeniowej NNW (od następstw nieszczęśliwych wypadków) dla uczestników są kosztem kwalifikowalnym za cały okres trwania </w:t>
            </w:r>
            <w:r>
              <w:t>wsparcia</w:t>
            </w:r>
            <w:r w:rsidRPr="007D3B0A">
              <w:t xml:space="preserve">, łącznie z dojazdem i powrotem. Ubezpieczenie obejmuje wyłącznie zdarzenia zaistniałe </w:t>
            </w:r>
            <w:r w:rsidR="00045E52">
              <w:br/>
            </w:r>
            <w:r w:rsidRPr="007D3B0A">
              <w:t xml:space="preserve">w Polsce. </w:t>
            </w:r>
          </w:p>
          <w:p w14:paraId="599C39E6" w14:textId="00E50E52" w:rsidR="004C14FA" w:rsidRPr="006011E6" w:rsidRDefault="004C14FA" w:rsidP="00045E52">
            <w:pPr>
              <w:spacing w:before="120" w:after="120"/>
              <w:rPr>
                <w:rFonts w:cstheme="minorHAnsi"/>
              </w:rPr>
            </w:pPr>
            <w:r w:rsidRPr="007D3B0A">
              <w:t xml:space="preserve">Koszty i standardy ubezpieczenia muszą być porównywalne do tego rodzaju usług dostępnych na rynku komercyjnym. </w:t>
            </w:r>
            <w:r w:rsidR="00045E52">
              <w:br/>
            </w:r>
            <w:r w:rsidRPr="007D3B0A">
              <w:t>W przypadku, jeśli możliwe będzie ubezpieczenie grupowe uczestników, IOK rekomenduje zastosowanie takiego rozwiązania, jeśli będzie ono rozwiązaniem tańszym niż indywidualne ubezpieczenie.</w:t>
            </w:r>
          </w:p>
        </w:tc>
        <w:tc>
          <w:tcPr>
            <w:tcW w:w="1984" w:type="dxa"/>
            <w:vAlign w:val="center"/>
          </w:tcPr>
          <w:p w14:paraId="5966165A" w14:textId="77777777" w:rsidR="004C14FA" w:rsidRPr="00B126E8" w:rsidRDefault="004C14FA" w:rsidP="00A2586E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3793" w:type="dxa"/>
          </w:tcPr>
          <w:p w14:paraId="3C7466D1" w14:textId="77777777" w:rsidR="004C14FA" w:rsidRPr="007D3B0A" w:rsidRDefault="004C14FA" w:rsidP="00A2586E">
            <w:r w:rsidRPr="007D3B0A">
              <w:t xml:space="preserve">Wnioskodawca winien przeprowadzić na etapie konstruowania budżetu projektu </w:t>
            </w:r>
            <w:r>
              <w:t>porównanie cen rynkowych</w:t>
            </w:r>
            <w:r w:rsidRPr="007D3B0A">
              <w:t xml:space="preserve"> uzasadniające racjonalność i efektywność przyjętej kwoty.</w:t>
            </w:r>
          </w:p>
          <w:p w14:paraId="58993DE2" w14:textId="77777777" w:rsidR="004C14FA" w:rsidRPr="00B126E8" w:rsidRDefault="004C14FA" w:rsidP="00A2586E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24253B0E" w14:textId="546C45B4" w:rsidR="007D0C39" w:rsidRPr="007D0C39" w:rsidRDefault="00707290" w:rsidP="00F1468C">
      <w:pPr>
        <w:spacing w:before="240"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przypadku gdy Wnioskodawca przewiduje we wniosku stawkę wyższą od powyżej wskazanych lub też inne koszty, należy ten fakt uzasadnić pod budżetem szczegółowym.</w:t>
      </w:r>
    </w:p>
    <w:sectPr w:rsidR="007D0C39" w:rsidRPr="007D0C39" w:rsidSect="00B30198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FC7AF" w14:textId="77777777" w:rsidR="00624099" w:rsidRDefault="00624099" w:rsidP="00B126E8">
      <w:pPr>
        <w:spacing w:after="0" w:line="240" w:lineRule="auto"/>
      </w:pPr>
      <w:r>
        <w:separator/>
      </w:r>
    </w:p>
  </w:endnote>
  <w:endnote w:type="continuationSeparator" w:id="0">
    <w:p w14:paraId="06547EF8" w14:textId="77777777" w:rsidR="00624099" w:rsidRDefault="00624099" w:rsidP="00B1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67"/>
      <w:docPartObj>
        <w:docPartGallery w:val="Page Numbers (Bottom of Page)"/>
        <w:docPartUnique/>
      </w:docPartObj>
    </w:sdtPr>
    <w:sdtEndPr/>
    <w:sdtContent>
      <w:p w14:paraId="354F95F5" w14:textId="370D0F0A" w:rsidR="006011E6" w:rsidRDefault="00601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EBF">
          <w:rPr>
            <w:noProof/>
          </w:rPr>
          <w:t>17</w:t>
        </w:r>
        <w:r>
          <w:fldChar w:fldCharType="end"/>
        </w:r>
      </w:p>
    </w:sdtContent>
  </w:sdt>
  <w:p w14:paraId="2048F272" w14:textId="77777777" w:rsidR="006011E6" w:rsidRDefault="0060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E8C4" w14:textId="77777777" w:rsidR="00624099" w:rsidRDefault="00624099" w:rsidP="00B126E8">
      <w:pPr>
        <w:spacing w:after="0" w:line="240" w:lineRule="auto"/>
      </w:pPr>
      <w:r>
        <w:separator/>
      </w:r>
    </w:p>
  </w:footnote>
  <w:footnote w:type="continuationSeparator" w:id="0">
    <w:p w14:paraId="456ED457" w14:textId="77777777" w:rsidR="00624099" w:rsidRDefault="00624099" w:rsidP="00B126E8">
      <w:pPr>
        <w:spacing w:after="0" w:line="240" w:lineRule="auto"/>
      </w:pPr>
      <w:r>
        <w:continuationSeparator/>
      </w:r>
    </w:p>
  </w:footnote>
  <w:footnote w:id="1">
    <w:p w14:paraId="3763CCBA" w14:textId="5102EBCB" w:rsidR="0092400E" w:rsidRPr="000E730C" w:rsidRDefault="0092400E" w:rsidP="0092400E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6"/>
          <w:szCs w:val="16"/>
          <w:lang w:eastAsia="pl-PL"/>
        </w:rPr>
      </w:pPr>
      <w:r w:rsidRPr="000E73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E730C">
        <w:rPr>
          <w:rFonts w:ascii="Arial" w:hAnsi="Arial" w:cs="Arial"/>
          <w:sz w:val="16"/>
          <w:szCs w:val="16"/>
        </w:rPr>
        <w:t xml:space="preserve"> </w:t>
      </w:r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Zgodnie z art. 3 pkt 8 ustawy z dnia 7 lipca 1994 r. – </w:t>
      </w:r>
      <w:r w:rsidRPr="000E730C">
        <w:rPr>
          <w:rFonts w:ascii="Arial" w:eastAsia="Times New Roman" w:hAnsi="Arial" w:cs="Arial"/>
          <w:i/>
          <w:iCs/>
          <w:color w:val="212529"/>
          <w:sz w:val="16"/>
          <w:szCs w:val="16"/>
          <w:lang w:eastAsia="pl-PL"/>
        </w:rPr>
        <w:t>Prawo budowlane</w:t>
      </w:r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 (</w:t>
      </w:r>
      <w:proofErr w:type="spellStart"/>
      <w:r w:rsidR="00F80124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t.j</w:t>
      </w:r>
      <w:proofErr w:type="spellEnd"/>
      <w:r w:rsidR="00F80124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. </w:t>
      </w:r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Dz. U. z 20</w:t>
      </w:r>
      <w:r w:rsidR="00F80124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20</w:t>
      </w:r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 r. poz. </w:t>
      </w:r>
      <w:r w:rsidR="00F80124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1333</w:t>
      </w:r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 z </w:t>
      </w:r>
      <w:proofErr w:type="spellStart"/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późn</w:t>
      </w:r>
      <w:proofErr w:type="spellEnd"/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. zm.) przez remont należy rozumieć wykonywanie w istniejącym obiekcie budowlanym robót budowlanych polegających na odtworzeniu stanu </w:t>
      </w:r>
      <w:proofErr w:type="spellStart"/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>pierwotnego,a</w:t>
      </w:r>
      <w:proofErr w:type="spellEnd"/>
      <w:r w:rsidRPr="000E730C">
        <w:rPr>
          <w:rFonts w:ascii="Arial" w:eastAsia="Times New Roman" w:hAnsi="Arial" w:cs="Arial"/>
          <w:color w:val="212529"/>
          <w:sz w:val="16"/>
          <w:szCs w:val="16"/>
          <w:lang w:eastAsia="pl-PL"/>
        </w:rPr>
        <w:t xml:space="preserve"> niestanowiących bieżącej konserwacji, przy czym dopuszcza się stosowanie wyrobów budowlanych innych niż użyto w stanie pierwotnym.</w:t>
      </w:r>
    </w:p>
    <w:p w14:paraId="0AB1C095" w14:textId="77777777" w:rsidR="0092400E" w:rsidRDefault="0092400E" w:rsidP="0092400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D97"/>
    <w:multiLevelType w:val="multilevel"/>
    <w:tmpl w:val="3B24534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MS Mincho" w:hAnsi="Helvetica" w:cs="Helvetic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6AA8"/>
    <w:multiLevelType w:val="multilevel"/>
    <w:tmpl w:val="11AA1C94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1BD6"/>
    <w:multiLevelType w:val="hybridMultilevel"/>
    <w:tmpl w:val="140C5D82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27EC5"/>
    <w:multiLevelType w:val="hybridMultilevel"/>
    <w:tmpl w:val="62E66B10"/>
    <w:lvl w:ilvl="0" w:tplc="E6C4A0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305"/>
    <w:multiLevelType w:val="hybridMultilevel"/>
    <w:tmpl w:val="D1C28EDC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BD0151"/>
    <w:multiLevelType w:val="hybridMultilevel"/>
    <w:tmpl w:val="6C7C618E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81700"/>
    <w:multiLevelType w:val="hybridMultilevel"/>
    <w:tmpl w:val="1518970C"/>
    <w:lvl w:ilvl="0" w:tplc="041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BA40BBC"/>
    <w:multiLevelType w:val="hybridMultilevel"/>
    <w:tmpl w:val="BBFA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348E5"/>
    <w:multiLevelType w:val="hybridMultilevel"/>
    <w:tmpl w:val="81925034"/>
    <w:lvl w:ilvl="0" w:tplc="2714745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2941577E"/>
    <w:multiLevelType w:val="hybridMultilevel"/>
    <w:tmpl w:val="AC8C1824"/>
    <w:lvl w:ilvl="0" w:tplc="9B0EFDBA">
      <w:start w:val="2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211A6"/>
    <w:multiLevelType w:val="hybridMultilevel"/>
    <w:tmpl w:val="A54AB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51B1"/>
    <w:multiLevelType w:val="hybridMultilevel"/>
    <w:tmpl w:val="8C9010B2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E4120"/>
    <w:multiLevelType w:val="hybridMultilevel"/>
    <w:tmpl w:val="5A90BBE0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24A72"/>
    <w:multiLevelType w:val="multilevel"/>
    <w:tmpl w:val="9418DC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53D3A"/>
    <w:multiLevelType w:val="hybridMultilevel"/>
    <w:tmpl w:val="6CB4CE32"/>
    <w:lvl w:ilvl="0" w:tplc="43C08A2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A7854C6"/>
    <w:multiLevelType w:val="hybridMultilevel"/>
    <w:tmpl w:val="0B26195A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075BD"/>
    <w:multiLevelType w:val="hybridMultilevel"/>
    <w:tmpl w:val="78F005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755D3"/>
    <w:multiLevelType w:val="hybridMultilevel"/>
    <w:tmpl w:val="8F12226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10B0"/>
    <w:multiLevelType w:val="hybridMultilevel"/>
    <w:tmpl w:val="EB8AA26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E141E"/>
    <w:multiLevelType w:val="hybridMultilevel"/>
    <w:tmpl w:val="06F4281A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F73195"/>
    <w:multiLevelType w:val="hybridMultilevel"/>
    <w:tmpl w:val="B3BCE95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BF5774"/>
    <w:multiLevelType w:val="hybridMultilevel"/>
    <w:tmpl w:val="27707504"/>
    <w:lvl w:ilvl="0" w:tplc="271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13D3C"/>
    <w:multiLevelType w:val="hybridMultilevel"/>
    <w:tmpl w:val="A948D15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4D15"/>
    <w:multiLevelType w:val="hybridMultilevel"/>
    <w:tmpl w:val="DF567956"/>
    <w:lvl w:ilvl="0" w:tplc="CF2EB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765E1"/>
    <w:multiLevelType w:val="multilevel"/>
    <w:tmpl w:val="50AC2E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0C8425F"/>
    <w:multiLevelType w:val="hybridMultilevel"/>
    <w:tmpl w:val="3F8C3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656912"/>
    <w:multiLevelType w:val="multilevel"/>
    <w:tmpl w:val="578E7D1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8142F"/>
    <w:multiLevelType w:val="hybridMultilevel"/>
    <w:tmpl w:val="0D28F8D2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F1EEB"/>
    <w:multiLevelType w:val="hybridMultilevel"/>
    <w:tmpl w:val="A63492C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FD0174"/>
    <w:multiLevelType w:val="hybridMultilevel"/>
    <w:tmpl w:val="C2306446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B56E6"/>
    <w:multiLevelType w:val="hybridMultilevel"/>
    <w:tmpl w:val="5BF66EAA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71E16"/>
    <w:multiLevelType w:val="multilevel"/>
    <w:tmpl w:val="EA0C5A9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47CC6"/>
    <w:multiLevelType w:val="hybridMultilevel"/>
    <w:tmpl w:val="FEB27C0C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7EAE"/>
    <w:multiLevelType w:val="multilevel"/>
    <w:tmpl w:val="4E964C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90850"/>
    <w:multiLevelType w:val="multilevel"/>
    <w:tmpl w:val="1B6C89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0E3BFB"/>
    <w:multiLevelType w:val="multilevel"/>
    <w:tmpl w:val="AC8AD2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4147E"/>
    <w:multiLevelType w:val="hybridMultilevel"/>
    <w:tmpl w:val="EB081846"/>
    <w:lvl w:ilvl="0" w:tplc="88AA4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27D7E"/>
    <w:multiLevelType w:val="hybridMultilevel"/>
    <w:tmpl w:val="26BEB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A6DD5"/>
    <w:multiLevelType w:val="multilevel"/>
    <w:tmpl w:val="A4AE3958"/>
    <w:lvl w:ilvl="0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37422"/>
    <w:multiLevelType w:val="hybridMultilevel"/>
    <w:tmpl w:val="1EE6CB8A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08446F"/>
    <w:multiLevelType w:val="hybridMultilevel"/>
    <w:tmpl w:val="545240F4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655A18"/>
    <w:multiLevelType w:val="hybridMultilevel"/>
    <w:tmpl w:val="D2548A76"/>
    <w:lvl w:ilvl="0" w:tplc="EEBAEC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E1D6430"/>
    <w:multiLevelType w:val="hybridMultilevel"/>
    <w:tmpl w:val="C5141628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93B5B"/>
    <w:multiLevelType w:val="hybridMultilevel"/>
    <w:tmpl w:val="BB4281C0"/>
    <w:lvl w:ilvl="0" w:tplc="27147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17"/>
  </w:num>
  <w:num w:numId="4">
    <w:abstractNumId w:val="22"/>
  </w:num>
  <w:num w:numId="5">
    <w:abstractNumId w:val="32"/>
  </w:num>
  <w:num w:numId="6">
    <w:abstractNumId w:val="30"/>
  </w:num>
  <w:num w:numId="7">
    <w:abstractNumId w:val="27"/>
  </w:num>
  <w:num w:numId="8">
    <w:abstractNumId w:val="41"/>
  </w:num>
  <w:num w:numId="9">
    <w:abstractNumId w:val="3"/>
  </w:num>
  <w:num w:numId="10">
    <w:abstractNumId w:val="11"/>
  </w:num>
  <w:num w:numId="11">
    <w:abstractNumId w:val="4"/>
  </w:num>
  <w:num w:numId="12">
    <w:abstractNumId w:val="43"/>
  </w:num>
  <w:num w:numId="13">
    <w:abstractNumId w:val="40"/>
  </w:num>
  <w:num w:numId="14">
    <w:abstractNumId w:val="12"/>
  </w:num>
  <w:num w:numId="15">
    <w:abstractNumId w:val="2"/>
  </w:num>
  <w:num w:numId="16">
    <w:abstractNumId w:val="39"/>
  </w:num>
  <w:num w:numId="17">
    <w:abstractNumId w:val="29"/>
  </w:num>
  <w:num w:numId="18">
    <w:abstractNumId w:val="20"/>
  </w:num>
  <w:num w:numId="19">
    <w:abstractNumId w:val="19"/>
  </w:num>
  <w:num w:numId="20">
    <w:abstractNumId w:val="25"/>
  </w:num>
  <w:num w:numId="21">
    <w:abstractNumId w:val="21"/>
  </w:num>
  <w:num w:numId="22">
    <w:abstractNumId w:val="9"/>
  </w:num>
  <w:num w:numId="23">
    <w:abstractNumId w:val="8"/>
  </w:num>
  <w:num w:numId="24">
    <w:abstractNumId w:val="14"/>
  </w:num>
  <w:num w:numId="25">
    <w:abstractNumId w:val="36"/>
  </w:num>
  <w:num w:numId="26">
    <w:abstractNumId w:val="6"/>
  </w:num>
  <w:num w:numId="27">
    <w:abstractNumId w:val="42"/>
  </w:num>
  <w:num w:numId="28">
    <w:abstractNumId w:val="18"/>
  </w:num>
  <w:num w:numId="29">
    <w:abstractNumId w:val="5"/>
  </w:num>
  <w:num w:numId="30">
    <w:abstractNumId w:val="28"/>
  </w:num>
  <w:num w:numId="31">
    <w:abstractNumId w:val="10"/>
  </w:num>
  <w:num w:numId="32">
    <w:abstractNumId w:val="16"/>
  </w:num>
  <w:num w:numId="33">
    <w:abstractNumId w:val="33"/>
  </w:num>
  <w:num w:numId="34">
    <w:abstractNumId w:val="1"/>
  </w:num>
  <w:num w:numId="35">
    <w:abstractNumId w:val="35"/>
  </w:num>
  <w:num w:numId="36">
    <w:abstractNumId w:val="34"/>
  </w:num>
  <w:num w:numId="37">
    <w:abstractNumId w:val="13"/>
  </w:num>
  <w:num w:numId="38">
    <w:abstractNumId w:val="31"/>
  </w:num>
  <w:num w:numId="39">
    <w:abstractNumId w:val="26"/>
  </w:num>
  <w:num w:numId="40">
    <w:abstractNumId w:val="24"/>
  </w:num>
  <w:num w:numId="41">
    <w:abstractNumId w:val="7"/>
  </w:num>
  <w:num w:numId="42">
    <w:abstractNumId w:val="23"/>
  </w:num>
  <w:num w:numId="43">
    <w:abstractNumId w:val="3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98"/>
    <w:rsid w:val="00002F8E"/>
    <w:rsid w:val="000154EA"/>
    <w:rsid w:val="0002594E"/>
    <w:rsid w:val="0003213E"/>
    <w:rsid w:val="000349D6"/>
    <w:rsid w:val="000368DE"/>
    <w:rsid w:val="0004464C"/>
    <w:rsid w:val="00045E52"/>
    <w:rsid w:val="00050B6F"/>
    <w:rsid w:val="000521BD"/>
    <w:rsid w:val="00052B82"/>
    <w:rsid w:val="00063E5A"/>
    <w:rsid w:val="00072347"/>
    <w:rsid w:val="000833F1"/>
    <w:rsid w:val="00084483"/>
    <w:rsid w:val="000B3517"/>
    <w:rsid w:val="000B77FE"/>
    <w:rsid w:val="000C5C6F"/>
    <w:rsid w:val="000C714D"/>
    <w:rsid w:val="000D5E3B"/>
    <w:rsid w:val="000E0A42"/>
    <w:rsid w:val="000E43B7"/>
    <w:rsid w:val="000E7046"/>
    <w:rsid w:val="00101191"/>
    <w:rsid w:val="00106978"/>
    <w:rsid w:val="00112989"/>
    <w:rsid w:val="00123F69"/>
    <w:rsid w:val="00124207"/>
    <w:rsid w:val="0012497C"/>
    <w:rsid w:val="00134582"/>
    <w:rsid w:val="00137ADB"/>
    <w:rsid w:val="00144C2B"/>
    <w:rsid w:val="00160DF9"/>
    <w:rsid w:val="0016503B"/>
    <w:rsid w:val="001975C5"/>
    <w:rsid w:val="001B2C25"/>
    <w:rsid w:val="001C6FDA"/>
    <w:rsid w:val="001D2426"/>
    <w:rsid w:val="001D44A7"/>
    <w:rsid w:val="001D4F73"/>
    <w:rsid w:val="001E1CE8"/>
    <w:rsid w:val="001E63C8"/>
    <w:rsid w:val="001F0790"/>
    <w:rsid w:val="001F4D0C"/>
    <w:rsid w:val="00201E73"/>
    <w:rsid w:val="00214379"/>
    <w:rsid w:val="002202C6"/>
    <w:rsid w:val="00231953"/>
    <w:rsid w:val="00232B13"/>
    <w:rsid w:val="00234735"/>
    <w:rsid w:val="00234AFF"/>
    <w:rsid w:val="00241287"/>
    <w:rsid w:val="00253C13"/>
    <w:rsid w:val="00256D72"/>
    <w:rsid w:val="00261DF6"/>
    <w:rsid w:val="00264B91"/>
    <w:rsid w:val="002853C9"/>
    <w:rsid w:val="00287B6D"/>
    <w:rsid w:val="00293352"/>
    <w:rsid w:val="002978CA"/>
    <w:rsid w:val="002B0566"/>
    <w:rsid w:val="002D4BE9"/>
    <w:rsid w:val="002E7004"/>
    <w:rsid w:val="00307FD7"/>
    <w:rsid w:val="00313E7B"/>
    <w:rsid w:val="0032285E"/>
    <w:rsid w:val="0033114B"/>
    <w:rsid w:val="00331946"/>
    <w:rsid w:val="00332863"/>
    <w:rsid w:val="0034590A"/>
    <w:rsid w:val="003517FE"/>
    <w:rsid w:val="003534A9"/>
    <w:rsid w:val="003662F7"/>
    <w:rsid w:val="00376287"/>
    <w:rsid w:val="00380E59"/>
    <w:rsid w:val="00387917"/>
    <w:rsid w:val="00390710"/>
    <w:rsid w:val="0039330E"/>
    <w:rsid w:val="003956F5"/>
    <w:rsid w:val="00397165"/>
    <w:rsid w:val="003C1EC7"/>
    <w:rsid w:val="003C3911"/>
    <w:rsid w:val="003C66F4"/>
    <w:rsid w:val="00402558"/>
    <w:rsid w:val="004057A8"/>
    <w:rsid w:val="00405A3C"/>
    <w:rsid w:val="004110B9"/>
    <w:rsid w:val="00413482"/>
    <w:rsid w:val="004156CE"/>
    <w:rsid w:val="004263D6"/>
    <w:rsid w:val="00427830"/>
    <w:rsid w:val="00433218"/>
    <w:rsid w:val="00440EFD"/>
    <w:rsid w:val="004472DF"/>
    <w:rsid w:val="00460FB7"/>
    <w:rsid w:val="004640B6"/>
    <w:rsid w:val="00464310"/>
    <w:rsid w:val="00475118"/>
    <w:rsid w:val="0047722A"/>
    <w:rsid w:val="00487C1F"/>
    <w:rsid w:val="00497487"/>
    <w:rsid w:val="004A2CE4"/>
    <w:rsid w:val="004A7E1D"/>
    <w:rsid w:val="004B6722"/>
    <w:rsid w:val="004B6B72"/>
    <w:rsid w:val="004C14FA"/>
    <w:rsid w:val="004C205A"/>
    <w:rsid w:val="004D360A"/>
    <w:rsid w:val="004D6B50"/>
    <w:rsid w:val="004E51E7"/>
    <w:rsid w:val="004E7FFC"/>
    <w:rsid w:val="004F41C8"/>
    <w:rsid w:val="004F5A5A"/>
    <w:rsid w:val="00503526"/>
    <w:rsid w:val="0051279A"/>
    <w:rsid w:val="00516D5B"/>
    <w:rsid w:val="005277A5"/>
    <w:rsid w:val="005279AD"/>
    <w:rsid w:val="00530DEE"/>
    <w:rsid w:val="005434BC"/>
    <w:rsid w:val="00556290"/>
    <w:rsid w:val="00564F56"/>
    <w:rsid w:val="00591903"/>
    <w:rsid w:val="00596D10"/>
    <w:rsid w:val="00596D33"/>
    <w:rsid w:val="005B7D87"/>
    <w:rsid w:val="005E3539"/>
    <w:rsid w:val="005E667A"/>
    <w:rsid w:val="005F2B8D"/>
    <w:rsid w:val="005F59B4"/>
    <w:rsid w:val="006011E6"/>
    <w:rsid w:val="006128E5"/>
    <w:rsid w:val="00614579"/>
    <w:rsid w:val="00614A6B"/>
    <w:rsid w:val="00624099"/>
    <w:rsid w:val="006353D2"/>
    <w:rsid w:val="00636820"/>
    <w:rsid w:val="00637885"/>
    <w:rsid w:val="00644EB6"/>
    <w:rsid w:val="006467C9"/>
    <w:rsid w:val="00652785"/>
    <w:rsid w:val="00654AAD"/>
    <w:rsid w:val="006620E0"/>
    <w:rsid w:val="00673521"/>
    <w:rsid w:val="00674302"/>
    <w:rsid w:val="00681F97"/>
    <w:rsid w:val="006863DF"/>
    <w:rsid w:val="00690D99"/>
    <w:rsid w:val="00695A1C"/>
    <w:rsid w:val="006A070C"/>
    <w:rsid w:val="006A446A"/>
    <w:rsid w:val="006C0FA9"/>
    <w:rsid w:val="006C1CFC"/>
    <w:rsid w:val="006C34EF"/>
    <w:rsid w:val="006D19AC"/>
    <w:rsid w:val="006D1E8C"/>
    <w:rsid w:val="006F220D"/>
    <w:rsid w:val="007042E4"/>
    <w:rsid w:val="00706C5C"/>
    <w:rsid w:val="00707290"/>
    <w:rsid w:val="007133F7"/>
    <w:rsid w:val="007135D7"/>
    <w:rsid w:val="00713A6E"/>
    <w:rsid w:val="00714036"/>
    <w:rsid w:val="00737E1C"/>
    <w:rsid w:val="00745279"/>
    <w:rsid w:val="00746126"/>
    <w:rsid w:val="00751D4F"/>
    <w:rsid w:val="007528DA"/>
    <w:rsid w:val="007676DE"/>
    <w:rsid w:val="00786F5B"/>
    <w:rsid w:val="007B330F"/>
    <w:rsid w:val="007C1763"/>
    <w:rsid w:val="007D0C39"/>
    <w:rsid w:val="007D161D"/>
    <w:rsid w:val="007D19EE"/>
    <w:rsid w:val="007D3B0A"/>
    <w:rsid w:val="007F7B27"/>
    <w:rsid w:val="008052F9"/>
    <w:rsid w:val="00806C8A"/>
    <w:rsid w:val="008109CE"/>
    <w:rsid w:val="00824E71"/>
    <w:rsid w:val="008326C3"/>
    <w:rsid w:val="0083598F"/>
    <w:rsid w:val="00836208"/>
    <w:rsid w:val="008450A3"/>
    <w:rsid w:val="0084704B"/>
    <w:rsid w:val="00850CEB"/>
    <w:rsid w:val="00872172"/>
    <w:rsid w:val="00881345"/>
    <w:rsid w:val="0088518F"/>
    <w:rsid w:val="008866AA"/>
    <w:rsid w:val="008A1104"/>
    <w:rsid w:val="008C6AF5"/>
    <w:rsid w:val="008D19DB"/>
    <w:rsid w:val="008D1ECC"/>
    <w:rsid w:val="00901D82"/>
    <w:rsid w:val="0090561C"/>
    <w:rsid w:val="00920126"/>
    <w:rsid w:val="0092400E"/>
    <w:rsid w:val="00944451"/>
    <w:rsid w:val="00955EBF"/>
    <w:rsid w:val="00961324"/>
    <w:rsid w:val="00965E17"/>
    <w:rsid w:val="00972778"/>
    <w:rsid w:val="009B25FD"/>
    <w:rsid w:val="009B465D"/>
    <w:rsid w:val="009B5F8E"/>
    <w:rsid w:val="009C351E"/>
    <w:rsid w:val="009D293D"/>
    <w:rsid w:val="009E2043"/>
    <w:rsid w:val="009E6473"/>
    <w:rsid w:val="009E7306"/>
    <w:rsid w:val="009F2986"/>
    <w:rsid w:val="00A03E5D"/>
    <w:rsid w:val="00A04D2D"/>
    <w:rsid w:val="00A11923"/>
    <w:rsid w:val="00A26099"/>
    <w:rsid w:val="00A3194B"/>
    <w:rsid w:val="00A41E62"/>
    <w:rsid w:val="00A41FD1"/>
    <w:rsid w:val="00A54BB0"/>
    <w:rsid w:val="00A850C6"/>
    <w:rsid w:val="00A969E3"/>
    <w:rsid w:val="00AA0EFF"/>
    <w:rsid w:val="00AA0F83"/>
    <w:rsid w:val="00AA3408"/>
    <w:rsid w:val="00AB401B"/>
    <w:rsid w:val="00AB769B"/>
    <w:rsid w:val="00AC69DF"/>
    <w:rsid w:val="00AD4788"/>
    <w:rsid w:val="00AD6300"/>
    <w:rsid w:val="00AE227F"/>
    <w:rsid w:val="00AE46EA"/>
    <w:rsid w:val="00AE52AC"/>
    <w:rsid w:val="00AE6C5F"/>
    <w:rsid w:val="00B126E8"/>
    <w:rsid w:val="00B2792C"/>
    <w:rsid w:val="00B30198"/>
    <w:rsid w:val="00B4075C"/>
    <w:rsid w:val="00B432BF"/>
    <w:rsid w:val="00B4745E"/>
    <w:rsid w:val="00B5319F"/>
    <w:rsid w:val="00B84C2E"/>
    <w:rsid w:val="00B86F86"/>
    <w:rsid w:val="00BB1196"/>
    <w:rsid w:val="00BB2D50"/>
    <w:rsid w:val="00BD3922"/>
    <w:rsid w:val="00BE01B9"/>
    <w:rsid w:val="00C021D8"/>
    <w:rsid w:val="00C114C1"/>
    <w:rsid w:val="00C14265"/>
    <w:rsid w:val="00C149E1"/>
    <w:rsid w:val="00C20357"/>
    <w:rsid w:val="00C27AD7"/>
    <w:rsid w:val="00C303E7"/>
    <w:rsid w:val="00C40972"/>
    <w:rsid w:val="00C40DBF"/>
    <w:rsid w:val="00C428EB"/>
    <w:rsid w:val="00C57379"/>
    <w:rsid w:val="00C57B29"/>
    <w:rsid w:val="00C6327F"/>
    <w:rsid w:val="00C67B54"/>
    <w:rsid w:val="00C84F8D"/>
    <w:rsid w:val="00CA4790"/>
    <w:rsid w:val="00CA5FB0"/>
    <w:rsid w:val="00CB3F2F"/>
    <w:rsid w:val="00CC19A6"/>
    <w:rsid w:val="00CE10B6"/>
    <w:rsid w:val="00CE21A2"/>
    <w:rsid w:val="00CF3F2C"/>
    <w:rsid w:val="00D01122"/>
    <w:rsid w:val="00D01F01"/>
    <w:rsid w:val="00D2222D"/>
    <w:rsid w:val="00D43AB4"/>
    <w:rsid w:val="00D619D9"/>
    <w:rsid w:val="00D64114"/>
    <w:rsid w:val="00D739D5"/>
    <w:rsid w:val="00D81BD4"/>
    <w:rsid w:val="00D85B95"/>
    <w:rsid w:val="00D8790C"/>
    <w:rsid w:val="00D9240A"/>
    <w:rsid w:val="00D96AD3"/>
    <w:rsid w:val="00DA2149"/>
    <w:rsid w:val="00DA4B61"/>
    <w:rsid w:val="00DA69BD"/>
    <w:rsid w:val="00DA6F36"/>
    <w:rsid w:val="00DB509C"/>
    <w:rsid w:val="00DD7C80"/>
    <w:rsid w:val="00DE1DDE"/>
    <w:rsid w:val="00DE4972"/>
    <w:rsid w:val="00DE7EC6"/>
    <w:rsid w:val="00DF0B18"/>
    <w:rsid w:val="00DF37EB"/>
    <w:rsid w:val="00E04A9D"/>
    <w:rsid w:val="00E0698B"/>
    <w:rsid w:val="00E22794"/>
    <w:rsid w:val="00E26324"/>
    <w:rsid w:val="00E510CE"/>
    <w:rsid w:val="00E52D5F"/>
    <w:rsid w:val="00E5626A"/>
    <w:rsid w:val="00E63DDA"/>
    <w:rsid w:val="00E77055"/>
    <w:rsid w:val="00E872A8"/>
    <w:rsid w:val="00EA04C0"/>
    <w:rsid w:val="00EA0911"/>
    <w:rsid w:val="00EA627A"/>
    <w:rsid w:val="00EA70E2"/>
    <w:rsid w:val="00EB21E1"/>
    <w:rsid w:val="00EB3A2A"/>
    <w:rsid w:val="00EB59F1"/>
    <w:rsid w:val="00EC4C2A"/>
    <w:rsid w:val="00EC5D01"/>
    <w:rsid w:val="00EC6BA5"/>
    <w:rsid w:val="00EE639D"/>
    <w:rsid w:val="00EF167B"/>
    <w:rsid w:val="00EF5891"/>
    <w:rsid w:val="00EF604B"/>
    <w:rsid w:val="00F00F82"/>
    <w:rsid w:val="00F05F9E"/>
    <w:rsid w:val="00F1264C"/>
    <w:rsid w:val="00F1468C"/>
    <w:rsid w:val="00F24A95"/>
    <w:rsid w:val="00F24F07"/>
    <w:rsid w:val="00F31879"/>
    <w:rsid w:val="00F45634"/>
    <w:rsid w:val="00F6325D"/>
    <w:rsid w:val="00F64E22"/>
    <w:rsid w:val="00F7072C"/>
    <w:rsid w:val="00F712A7"/>
    <w:rsid w:val="00F73876"/>
    <w:rsid w:val="00F80124"/>
    <w:rsid w:val="00F90637"/>
    <w:rsid w:val="00F90E1F"/>
    <w:rsid w:val="00F96045"/>
    <w:rsid w:val="00F9734B"/>
    <w:rsid w:val="00FA6B43"/>
    <w:rsid w:val="00FC1F19"/>
    <w:rsid w:val="00FC2B1E"/>
    <w:rsid w:val="00FC2D03"/>
    <w:rsid w:val="00FC5105"/>
    <w:rsid w:val="00FC6156"/>
    <w:rsid w:val="00FE1707"/>
    <w:rsid w:val="00FE247D"/>
    <w:rsid w:val="00FE5C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37C"/>
  <w15:docId w15:val="{62655BCC-D3D0-4C37-BDD1-03A4AFB7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1426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D1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9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9E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AE6C5F"/>
  </w:style>
  <w:style w:type="paragraph" w:styleId="Tekstprzypisudolnego">
    <w:name w:val="footnote text"/>
    <w:basedOn w:val="Normalny"/>
    <w:link w:val="TekstprzypisudolnegoZnak"/>
    <w:uiPriority w:val="99"/>
    <w:unhideWhenUsed/>
    <w:rsid w:val="00B12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2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126E8"/>
    <w:rPr>
      <w:vertAlign w:val="superscript"/>
    </w:rPr>
  </w:style>
  <w:style w:type="character" w:customStyle="1" w:styleId="FontStyle37">
    <w:name w:val="Font Style37"/>
    <w:uiPriority w:val="99"/>
    <w:rsid w:val="005277A5"/>
    <w:rPr>
      <w:rFonts w:ascii="Calibri" w:hAnsi="Calibri"/>
      <w:sz w:val="18"/>
    </w:rPr>
  </w:style>
  <w:style w:type="character" w:styleId="Hipercze">
    <w:name w:val="Hyperlink"/>
    <w:basedOn w:val="Domylnaczcionkaakapitu"/>
    <w:uiPriority w:val="99"/>
    <w:unhideWhenUsed/>
    <w:rsid w:val="008D1EC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1E6"/>
  </w:style>
  <w:style w:type="paragraph" w:styleId="Stopka">
    <w:name w:val="footer"/>
    <w:basedOn w:val="Normalny"/>
    <w:link w:val="StopkaZnak"/>
    <w:uiPriority w:val="99"/>
    <w:unhideWhenUsed/>
    <w:rsid w:val="0060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6D97-488F-46A8-A842-739F641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5314</Words>
  <Characters>31884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37124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Milena Kuskowska</cp:lastModifiedBy>
  <cp:revision>6</cp:revision>
  <cp:lastPrinted>2019-02-27T14:41:00Z</cp:lastPrinted>
  <dcterms:created xsi:type="dcterms:W3CDTF">2021-03-26T11:20:00Z</dcterms:created>
  <dcterms:modified xsi:type="dcterms:W3CDTF">2021-04-15T07:30:00Z</dcterms:modified>
</cp:coreProperties>
</file>