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2E434D60" w14:textId="76A89466" w:rsidR="00202697" w:rsidRDefault="00202697" w:rsidP="00202697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>PROJEKT OBWIESZCZENIA REFUNDACYJNEGO NR 74 (1 KWIETNIA 2024 r.)</w:t>
      </w:r>
    </w:p>
    <w:p w14:paraId="66FC1558" w14:textId="77D838E2" w:rsidR="00202697" w:rsidRDefault="00202697" w:rsidP="00202697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Prezentowane podsumowanie projektu obwieszczenia refundacyjnego nr 74 </w:t>
      </w:r>
      <w:r>
        <w:rPr>
          <w:rFonts w:ascii="Lato" w:hAnsi="Lato"/>
          <w:b/>
          <w:bCs/>
        </w:rPr>
        <w:t>nie stanowi jego ostatecznej wersji</w:t>
      </w:r>
      <w:r>
        <w:rPr>
          <w:rFonts w:ascii="Lato" w:hAnsi="Lato"/>
        </w:rPr>
        <w:t xml:space="preserve">, bowiem nadal trwają prace administracyjne nad finalnym wykazem refundowanych leków, środków spożywczych specjalnego przeznaczenia żywieniowego oraz wyrobów medycznych obowiązującym od 1 kwietnia 2024 r. </w:t>
      </w:r>
    </w:p>
    <w:p w14:paraId="6FCBB705" w14:textId="55512B89" w:rsidR="00202697" w:rsidRPr="00A053B9" w:rsidRDefault="00202697" w:rsidP="00202697">
      <w:pPr>
        <w:spacing w:after="120" w:line="360" w:lineRule="auto"/>
        <w:jc w:val="both"/>
        <w:rPr>
          <w:rFonts w:ascii="Lato" w:hAnsi="Lato"/>
        </w:rPr>
      </w:pPr>
      <w:r w:rsidRPr="00A053B9">
        <w:rPr>
          <w:rFonts w:ascii="Lato" w:hAnsi="Lato"/>
        </w:rPr>
        <w:t xml:space="preserve">Uwzględniając niniejszy projekt, w drugim wykazie w roku 2024, finansowaniem ze środków publicznych zostanie objętych </w:t>
      </w:r>
      <w:r w:rsidR="00516499" w:rsidRPr="00A053B9">
        <w:rPr>
          <w:rFonts w:ascii="Lato" w:hAnsi="Lato"/>
          <w:b/>
          <w:bCs/>
        </w:rPr>
        <w:t>3</w:t>
      </w:r>
      <w:r w:rsidR="00305610">
        <w:rPr>
          <w:rFonts w:ascii="Lato" w:hAnsi="Lato"/>
          <w:b/>
          <w:bCs/>
        </w:rPr>
        <w:t>3</w:t>
      </w:r>
      <w:r w:rsidRPr="00A053B9">
        <w:rPr>
          <w:rFonts w:ascii="Lato" w:hAnsi="Lato"/>
          <w:b/>
          <w:bCs/>
        </w:rPr>
        <w:t xml:space="preserve"> nowych cząsteczko – wskazań</w:t>
      </w:r>
      <w:r w:rsidRPr="00A053B9">
        <w:rPr>
          <w:rFonts w:ascii="Lato" w:hAnsi="Lato"/>
        </w:rPr>
        <w:t>, w tym:</w:t>
      </w:r>
    </w:p>
    <w:p w14:paraId="753923CA" w14:textId="22DE8C51" w:rsidR="00202697" w:rsidRPr="00A053B9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053B9">
        <w:rPr>
          <w:rFonts w:ascii="Lato" w:hAnsi="Lato"/>
        </w:rPr>
        <w:t>7</w:t>
      </w:r>
      <w:r w:rsidR="00202697" w:rsidRPr="00A053B9">
        <w:rPr>
          <w:rFonts w:ascii="Lato" w:hAnsi="Lato"/>
        </w:rPr>
        <w:t xml:space="preserve"> cząsteczko – wskazań onkologicznych,</w:t>
      </w:r>
    </w:p>
    <w:p w14:paraId="2C1EE8A8" w14:textId="170C9662" w:rsidR="00202697" w:rsidRPr="00A053B9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053B9">
        <w:rPr>
          <w:rFonts w:ascii="Lato" w:hAnsi="Lato"/>
        </w:rPr>
        <w:t>2</w:t>
      </w:r>
      <w:r w:rsidR="00305610">
        <w:rPr>
          <w:rFonts w:ascii="Lato" w:hAnsi="Lato"/>
        </w:rPr>
        <w:t>6</w:t>
      </w:r>
      <w:r w:rsidR="00202697" w:rsidRPr="00A053B9">
        <w:rPr>
          <w:rFonts w:ascii="Lato" w:hAnsi="Lato"/>
        </w:rPr>
        <w:t xml:space="preserve"> cząsteczko - wskaza</w:t>
      </w:r>
      <w:r w:rsidRPr="00A053B9">
        <w:rPr>
          <w:rFonts w:ascii="Lato" w:hAnsi="Lato"/>
        </w:rPr>
        <w:t>nia</w:t>
      </w:r>
      <w:r w:rsidR="00202697" w:rsidRPr="00A053B9">
        <w:rPr>
          <w:rFonts w:ascii="Lato" w:hAnsi="Lato"/>
        </w:rPr>
        <w:t xml:space="preserve"> nieonkologiczn</w:t>
      </w:r>
      <w:r w:rsidRPr="00A053B9">
        <w:rPr>
          <w:rFonts w:ascii="Lato" w:hAnsi="Lato"/>
        </w:rPr>
        <w:t>e</w:t>
      </w:r>
      <w:r w:rsidR="00202697" w:rsidRPr="00A053B9">
        <w:rPr>
          <w:rFonts w:ascii="Lato" w:hAnsi="Lato"/>
        </w:rPr>
        <w:t>,</w:t>
      </w:r>
    </w:p>
    <w:p w14:paraId="38D03AA4" w14:textId="5698932F" w:rsidR="00202697" w:rsidRPr="00A053B9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053B9">
        <w:rPr>
          <w:rFonts w:ascii="Lato" w:hAnsi="Lato"/>
        </w:rPr>
        <w:t>8</w:t>
      </w:r>
      <w:r w:rsidR="00202697" w:rsidRPr="00A053B9">
        <w:rPr>
          <w:rFonts w:ascii="Lato" w:hAnsi="Lato"/>
        </w:rPr>
        <w:t xml:space="preserve"> cząsteczko - wskazań dedykowanych chorobom rzadkim.</w:t>
      </w:r>
    </w:p>
    <w:p w14:paraId="2766759A" w14:textId="778CC7F2" w:rsidR="00202697" w:rsidRPr="00A053B9" w:rsidRDefault="00202697" w:rsidP="00202697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A053B9">
        <w:rPr>
          <w:rFonts w:ascii="Lato" w:hAnsi="Lato" w:cs="Arial"/>
        </w:rPr>
        <w:t xml:space="preserve">Najwięcej nowych cząsteczko - wskazań onkologicznych w 2024 r. obserwujemy w </w:t>
      </w:r>
      <w:proofErr w:type="spellStart"/>
      <w:r w:rsidRPr="00A053B9">
        <w:rPr>
          <w:rFonts w:ascii="Lato" w:hAnsi="Lato" w:cs="Arial"/>
        </w:rPr>
        <w:t>hematoonkologii</w:t>
      </w:r>
      <w:proofErr w:type="spellEnd"/>
      <w:r w:rsidRPr="00A053B9">
        <w:rPr>
          <w:rFonts w:ascii="Lato" w:hAnsi="Lato" w:cs="Arial"/>
        </w:rPr>
        <w:t xml:space="preserve"> (</w:t>
      </w:r>
      <w:r w:rsidR="00516499" w:rsidRPr="00A053B9">
        <w:rPr>
          <w:rFonts w:ascii="Lato" w:hAnsi="Lato" w:cs="Arial"/>
        </w:rPr>
        <w:t>7</w:t>
      </w:r>
      <w:r w:rsidRPr="00A053B9">
        <w:rPr>
          <w:rFonts w:ascii="Lato" w:hAnsi="Lato" w:cs="Arial"/>
        </w:rPr>
        <w:t xml:space="preserve">), w nowotworach </w:t>
      </w:r>
      <w:r w:rsidR="00516499" w:rsidRPr="00A053B9">
        <w:rPr>
          <w:rFonts w:ascii="Lato" w:hAnsi="Lato" w:cs="Arial"/>
        </w:rPr>
        <w:t>ginekologicznych</w:t>
      </w:r>
      <w:r w:rsidRPr="00A053B9">
        <w:rPr>
          <w:rFonts w:ascii="Lato" w:hAnsi="Lato" w:cs="Arial"/>
        </w:rPr>
        <w:t xml:space="preserve"> (</w:t>
      </w:r>
      <w:r w:rsidR="00D4388C" w:rsidRPr="00A053B9">
        <w:rPr>
          <w:rFonts w:ascii="Lato" w:hAnsi="Lato" w:cs="Arial"/>
        </w:rPr>
        <w:t>2</w:t>
      </w:r>
      <w:r w:rsidRPr="00A053B9">
        <w:rPr>
          <w:rFonts w:ascii="Lato" w:hAnsi="Lato" w:cs="Arial"/>
        </w:rPr>
        <w:t xml:space="preserve">) oraz nowotworach układu </w:t>
      </w:r>
      <w:r w:rsidR="00516499" w:rsidRPr="00A053B9">
        <w:rPr>
          <w:rFonts w:ascii="Lato" w:hAnsi="Lato" w:cs="Arial"/>
        </w:rPr>
        <w:t>pokarmowego</w:t>
      </w:r>
      <w:r w:rsidRPr="00A053B9">
        <w:rPr>
          <w:rFonts w:ascii="Lato" w:hAnsi="Lato" w:cs="Arial"/>
        </w:rPr>
        <w:t xml:space="preserve"> (</w:t>
      </w:r>
      <w:r w:rsidR="00516499" w:rsidRPr="00A053B9">
        <w:rPr>
          <w:rFonts w:ascii="Lato" w:hAnsi="Lato" w:cs="Arial"/>
        </w:rPr>
        <w:t>2</w:t>
      </w:r>
      <w:r w:rsidRPr="00A053B9">
        <w:rPr>
          <w:rFonts w:ascii="Lato" w:hAnsi="Lato" w:cs="Arial"/>
        </w:rPr>
        <w:t xml:space="preserve">). </w:t>
      </w:r>
    </w:p>
    <w:p w14:paraId="20BA6E7D" w14:textId="38C07492" w:rsidR="00202697" w:rsidRDefault="00202697" w:rsidP="00202697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A053B9">
        <w:rPr>
          <w:rFonts w:ascii="Lato" w:hAnsi="Lato" w:cs="Arial"/>
        </w:rPr>
        <w:t xml:space="preserve">Najwięcej nowych cząsteczko - wskazań nieonkologicznych w 2024 r. obserwujemy w </w:t>
      </w:r>
      <w:r w:rsidR="00516499" w:rsidRPr="00A053B9">
        <w:rPr>
          <w:rFonts w:ascii="Lato" w:hAnsi="Lato" w:cs="Arial"/>
        </w:rPr>
        <w:t>neurologii</w:t>
      </w:r>
      <w:r w:rsidRPr="00A053B9">
        <w:rPr>
          <w:rFonts w:ascii="Lato" w:hAnsi="Lato" w:cs="Arial"/>
        </w:rPr>
        <w:t xml:space="preserve"> (</w:t>
      </w:r>
      <w:r w:rsidR="00516499" w:rsidRPr="00A053B9">
        <w:rPr>
          <w:rFonts w:ascii="Lato" w:hAnsi="Lato" w:cs="Arial"/>
        </w:rPr>
        <w:t>7</w:t>
      </w:r>
      <w:r w:rsidRPr="00A053B9">
        <w:rPr>
          <w:rFonts w:ascii="Lato" w:hAnsi="Lato" w:cs="Arial"/>
        </w:rPr>
        <w:t xml:space="preserve">), </w:t>
      </w:r>
      <w:r w:rsidR="00516499" w:rsidRPr="00A053B9">
        <w:rPr>
          <w:rFonts w:ascii="Lato" w:hAnsi="Lato" w:cs="Arial"/>
        </w:rPr>
        <w:t xml:space="preserve">kardiologii (5) oraz </w:t>
      </w:r>
      <w:r w:rsidRPr="00A053B9">
        <w:rPr>
          <w:rFonts w:ascii="Lato" w:hAnsi="Lato" w:cs="Arial"/>
        </w:rPr>
        <w:t>nefrologii (</w:t>
      </w:r>
      <w:r w:rsidR="00FE34E5">
        <w:rPr>
          <w:rFonts w:ascii="Lato" w:hAnsi="Lato" w:cs="Arial"/>
        </w:rPr>
        <w:t>5</w:t>
      </w:r>
      <w:r w:rsidRPr="00A053B9">
        <w:rPr>
          <w:rFonts w:ascii="Lato" w:hAnsi="Lato" w:cs="Arial"/>
        </w:rPr>
        <w:t>)</w:t>
      </w:r>
      <w:r w:rsidR="00516499" w:rsidRPr="00A053B9">
        <w:rPr>
          <w:rFonts w:ascii="Lato" w:hAnsi="Lato" w:cs="Arial"/>
        </w:rPr>
        <w:t>.</w:t>
      </w:r>
    </w:p>
    <w:p w14:paraId="6B466A0C" w14:textId="77777777" w:rsidR="004D093B" w:rsidRDefault="004D093B">
      <w:pPr>
        <w:suppressAutoHyphens w:val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38E7C447" w14:textId="65B99C45" w:rsidR="00127452" w:rsidRDefault="00FE34E5">
      <w:pPr>
        <w:suppressAutoHyphens w:val="0"/>
        <w:rPr>
          <w:noProof/>
        </w:rPr>
      </w:pPr>
      <w:r>
        <w:rPr>
          <w:noProof/>
        </w:rPr>
        <w:lastRenderedPageBreak/>
        <w:drawing>
          <wp:inline distT="0" distB="0" distL="0" distR="0" wp14:anchorId="2E9663ED" wp14:editId="1FD64454">
            <wp:extent cx="4410075" cy="2859405"/>
            <wp:effectExtent l="0" t="0" r="9525" b="17145"/>
            <wp:docPr id="168829232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C6074ED-C953-414E-8657-6D9838D8DB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DCE10D4" wp14:editId="1D3C03AF">
            <wp:extent cx="4229100" cy="2886075"/>
            <wp:effectExtent l="0" t="0" r="0" b="9525"/>
            <wp:docPr id="17208617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3EEC769-7086-49DE-8BAD-8CC35BDC18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 w:rsidR="00C0285F">
        <w:rPr>
          <w:noProof/>
        </w:rPr>
        <w:drawing>
          <wp:inline distT="0" distB="0" distL="0" distR="0" wp14:anchorId="4277A410" wp14:editId="1D1D9ED5">
            <wp:extent cx="4410075" cy="2796540"/>
            <wp:effectExtent l="0" t="0" r="9525" b="3810"/>
            <wp:docPr id="89299114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A79078D-806F-4958-9948-92A3449EF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028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BAA865" wp14:editId="39A156FB">
            <wp:extent cx="4223982" cy="2785745"/>
            <wp:effectExtent l="0" t="0" r="5715" b="14605"/>
            <wp:docPr id="138973951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E0023C9-8891-4322-B9CF-5D2C6FA25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A06678" w14:textId="6B7EEC54" w:rsidR="00AD08C5" w:rsidRPr="004D093B" w:rsidRDefault="00127452" w:rsidP="00127452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noProof/>
        </w:rPr>
        <w:br w:type="page"/>
      </w:r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496"/>
        <w:gridCol w:w="2063"/>
        <w:gridCol w:w="1867"/>
        <w:gridCol w:w="3198"/>
        <w:gridCol w:w="4869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65ED" w:rsidRPr="004D093B" w14:paraId="41B567AC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68FD1566" w:rsidR="00961330" w:rsidRPr="004D093B" w:rsidRDefault="00961330" w:rsidP="0096133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53C3B106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56B1C8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49324FB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B.50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2A29162B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49501823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II linii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olaparyb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nawrotowego raka jajnika, raka jajowodu lub pierwotnego raka otrzewnej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brakiem obecności mutacji w genach BRCA 1/2.</w:t>
            </w:r>
          </w:p>
        </w:tc>
      </w:tr>
      <w:tr w:rsidR="00B265ED" w:rsidRPr="004D093B" w14:paraId="7B60364B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DFB9" w14:textId="15170971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820A" w14:textId="6F2CBB3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Opdualag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9E90" w14:textId="22172DB6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relatlimab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C791" w14:textId="6E416339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C392" w14:textId="5D88862E" w:rsidR="00B265ED" w:rsidRPr="00DA445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LECZENIECH CHORYCH NA CZERNIAKA SKÓRY LUB BŁON ŚLUZOWYCH (ICD-10: C43)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6CDD" w14:textId="78EEFB3A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III lub IV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relatlimabem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od 12 roku życia z czerniakiem w stopniu zaawansowania z ekspresją PDL1 &lt; 1%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65ED" w:rsidRPr="004D093B" w14:paraId="4193F70D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4A8C0D3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575EDF65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Imbruvica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6DAD1794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ibrutynib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246E8C91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0135DA2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4459">
              <w:rPr>
                <w:rFonts w:ascii="Lato" w:hAnsi="Lato" w:cstheme="majorHAnsi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EA37" w14:textId="2323D3C2" w:rsidR="00B265ED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B265ED"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przewlekłą białaczkę limfocytową ibrutynibem w skojarzeniu z wenetoklaksem (schemat I+V), bez względu na status del17p/mutTP53.</w:t>
            </w:r>
          </w:p>
          <w:p w14:paraId="5966388A" w14:textId="78551C10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65ED" w:rsidRPr="004D093B" w14:paraId="34137848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3230AD21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74229B14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Calquence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6EA4457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akalabrutynib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2F0A32D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354DFE2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3560" w14:textId="1105255F" w:rsidR="00B265ED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od II linii</w:t>
            </w:r>
            <w:r w:rsidR="00B265ED"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przewlekłą białaczkę limfocytową bez del17p/mutTP53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akalabrutynibem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(rozszerzenie dotychczas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refundowanego wskazania poprzez usunięcie warunków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dotyczących 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wcześniejszego leczenia wenetoklaksem w skojarzeniu z przeciwciałem anty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CD20 lub z przeciwwskazaniami do tej terapii lub z toksycznością tej terapii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75074C9F" w14:textId="31386C7B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65ED" w:rsidRPr="004D093B" w14:paraId="79F6918C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C2F934B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64F25845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40312F5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674540C1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206085A1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0E1">
              <w:rPr>
                <w:rFonts w:ascii="Lato" w:hAnsi="Lato" w:cstheme="majorHAnsi"/>
                <w:sz w:val="18"/>
                <w:szCs w:val="18"/>
              </w:rPr>
              <w:t>LECZENIE CHORYCH NA RAKA SZYJKI MACICY (ICD-10: C53)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43F53A61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w skojarzeniu z chemioterapią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bewacyzumabem</w:t>
            </w:r>
            <w:proofErr w:type="spellEnd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bez </w:t>
            </w:r>
            <w:proofErr w:type="spellStart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bewacyzumabu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leczeniu chorych na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przetrwałego, nawrotowego lub z przerzutami raka szyjki macicy, u których CPS z ekspresją PD-L1 w tkance nowotworowej wynosi ≥ 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65ED" w:rsidRPr="004D093B" w14:paraId="2EAEEA58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583DB425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487E28B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2AED80BA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kapecytabina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74701D8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C.5.b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0C29F2E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CAPECITABINE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4624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załącznika C.5.b o wskazania pozarejestracyjne:</w:t>
            </w:r>
          </w:p>
          <w:p w14:paraId="3BE496F7" w14:textId="4FE51EB3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narządów głowy i szyi (C00 – C14)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4B804AEF" w14:textId="224967E1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przełyku (C15)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13C79E6D" w14:textId="5871C042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jelita cienkiego (C17)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6C1568C7" w14:textId="003039B8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odbytu i kanału odbytu (C21)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0C618871" w14:textId="77777777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</w:t>
            </w:r>
            <w:r w:rsidRPr="00BE5438">
              <w:rPr>
                <w:rFonts w:ascii="Lato" w:hAnsi="Lato" w:cstheme="majorHAnsi"/>
                <w:color w:val="000000"/>
                <w:sz w:val="18"/>
                <w:szCs w:val="18"/>
              </w:rPr>
              <w:t>owotwory złośliwe tarczycy i innych gruczołów wydzielania wewnętrznego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(C73 – C75).</w:t>
            </w:r>
          </w:p>
          <w:p w14:paraId="14BC0B21" w14:textId="6047F60F" w:rsidR="00B265ED" w:rsidRPr="00F0148C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o leczenie choroby zaawansowanej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rozpoznaniach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22–C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25.</w:t>
            </w:r>
          </w:p>
          <w:p w14:paraId="7CDFBEFD" w14:textId="0D03ADAF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265ED" w:rsidRPr="004D093B" w14:paraId="189EA4B0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1C6968A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612ACAF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41BA69D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oksaliplatyna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277BF2D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C.46.b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5920EF3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OXALIPLATIN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C0AA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załącznika C.46.b o wskazanie pozarejestracyjne: nowotwór złośliwy przełyku (C15).</w:t>
            </w:r>
          </w:p>
          <w:p w14:paraId="0B1AA7A9" w14:textId="4F9A1ADD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65ED" w:rsidRPr="004D093B" w14:paraId="641E2DE2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6D1C" w14:textId="0B662CAD" w:rsidR="00B265ED" w:rsidRPr="004D093B" w:rsidRDefault="00A1146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B6C4" w14:textId="4992DB2A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Tysabri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A590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natalizumab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1619771D" w14:textId="5B524DD7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(postać podskórna)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5B64" w14:textId="7DA7174E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EC95" w14:textId="195080C1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30AC" w14:textId="6C6D32CF" w:rsidR="00B265ED" w:rsidRDefault="00645CA2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natalizumabu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A1146C">
              <w:rPr>
                <w:rFonts w:ascii="Lato" w:hAnsi="Lato" w:cstheme="majorHAnsi"/>
                <w:color w:val="000000"/>
                <w:sz w:val="18"/>
                <w:szCs w:val="18"/>
              </w:rPr>
              <w:t>w formie podskórnej.</w:t>
            </w:r>
          </w:p>
          <w:p w14:paraId="449A077D" w14:textId="6CE82AD4" w:rsidR="00B265ED" w:rsidRPr="00496AA9" w:rsidRDefault="00C36F4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</w:t>
            </w:r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nietolerancj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terapii z </w:t>
            </w:r>
            <w:proofErr w:type="spellStart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natalizumabem</w:t>
            </w:r>
            <w:proofErr w:type="spellEnd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i.v</w:t>
            </w:r>
            <w:proofErr w:type="spellEnd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. (w postaci dożylnej) z powodu zapalenia żył po wlewach dożylnych lub z powodu trudnego dostępu do żył.</w:t>
            </w:r>
          </w:p>
        </w:tc>
      </w:tr>
      <w:tr w:rsidR="00A1146C" w:rsidRPr="004D093B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6898F934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0DC37823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1EE48792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4031B000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4D39C02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LEŚNIOWSKIEGO – CROHNA (ICD-10: K50)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3B8E3F7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rozpoznaną ciężk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 lub umiarkowaną</w:t>
            </w: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czynna postać choroby </w:t>
            </w:r>
            <w:proofErr w:type="spellStart"/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Leśniowskiego-Crohna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</w:t>
            </w: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pierwszy lek  z grupy inhibitorów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1146C" w:rsidRPr="004D093B" w14:paraId="5C1FF5A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FC7" w14:textId="5B7A8F60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6492" w14:textId="687D74D3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Synagis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EF43" w14:textId="2FF7B931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paliwizumab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95FD" w14:textId="4D884DEA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B.40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CAAD" w14:textId="0121DDEF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(ICD-10: P07.2, P07.3, P27.1, P07.0, P07.1, Q20-Q24, G12.0, G12.1, E84.0)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B7B9" w14:textId="12409BD6" w:rsidR="00A1146C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populacji 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kwalifikującej się do leczenia:</w:t>
            </w:r>
          </w:p>
          <w:p w14:paraId="72D3F9E4" w14:textId="643DB8DD" w:rsidR="00A1146C" w:rsidRDefault="00A1146C" w:rsidP="00A1146C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pacjentów z mukowiscydozą do 1 roku życia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</w:t>
            </w:r>
          </w:p>
          <w:p w14:paraId="49268252" w14:textId="77777777" w:rsidR="00A1146C" w:rsidRDefault="00A1146C" w:rsidP="00A1146C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pacjentów z SMA do 2 roku życia.</w:t>
            </w:r>
          </w:p>
          <w:p w14:paraId="4872186D" w14:textId="656267F7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1146C" w:rsidRPr="004D093B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2D8A215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60899FBF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Tezspire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AC25AA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tezepelumab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2D1C5A3D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B.44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33BE980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CIĘŻKĄ POSTACIĄ ASTMY (ICD-10: J45, J82)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53A71B13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ciężkiej astmy 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tezepelumabem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od 12 r.ż. (przeciwciało monoklonalne (IgG2</w:t>
            </w:r>
            <w:r w:rsidRPr="00496AA9">
              <w:rPr>
                <w:rFonts w:cs="Calibri"/>
                <w:color w:val="000000"/>
                <w:sz w:val="18"/>
                <w:szCs w:val="18"/>
              </w:rPr>
              <w:t>λ</w:t>
            </w: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A1146C" w:rsidRPr="004D093B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53132BF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6EFF3E17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50FDDB8F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35DCE9A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76FD347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6AD28FE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E877CC">
              <w:rPr>
                <w:rFonts w:ascii="Lato" w:hAnsi="Lato" w:cstheme="majorHAnsi"/>
                <w:color w:val="000000"/>
                <w:sz w:val="18"/>
                <w:szCs w:val="18"/>
              </w:rPr>
              <w:t>eczeni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 dorosłych</w:t>
            </w:r>
            <w:r w:rsidRPr="00E87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z postacią ciężką lub umiarkowaną WZJG</w:t>
            </w:r>
            <w:r>
              <w:t xml:space="preserve"> -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</w:t>
            </w:r>
            <w:r w:rsidRPr="003F5F57">
              <w:rPr>
                <w:rFonts w:ascii="Lato" w:hAnsi="Lato" w:cstheme="majorHAnsi"/>
                <w:color w:val="000000"/>
                <w:sz w:val="18"/>
                <w:szCs w:val="18"/>
              </w:rPr>
              <w:t>lek  z grupy inhibitorów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510E6" w:rsidRPr="004D093B" w14:paraId="26F1757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581F" w14:textId="7CA5CE0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8903" w14:textId="00D5B39B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F35C" w14:textId="530B81AA" w:rsidR="00A510E6" w:rsidRPr="00496AA9" w:rsidRDefault="00AA2E63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różne substancje czynne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DDE6" w14:textId="408CDCAF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B.67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935A" w14:textId="76FAFED0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IMMUNOGLOBULINAMI CHORÓB NEUROLOGICZNYCH (ICD-10: G61.8, G62.8, G63.1, G70, G04.8, G73.1, G73.2, G72.4, G61.0, G36.0, G25.82, M33.0, M33.1, M33.2)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F587" w14:textId="7B7A2B9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>Leczenie immunoglobulinami zespołu sztywności uogólnionej (SPS), tzw. zespołu sztywnego człowieka -  nowe wskazanie</w:t>
            </w:r>
            <w:r w:rsidR="00AA2E63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5B74B285" w14:textId="458573F9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510E6" w:rsidRPr="004D093B" w14:paraId="6D899FD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7FDD361B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2AE830B8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28A1D08C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62CA4C32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B.82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05DA02FE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AKTYWNĄ POSTACIĄ SPONDYLOARTROPATII (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SpA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) BEZ ZMIAN RADIOGRAFICZNYCH CHARAKTERYSTYCZNYCH DLA ZZSK (ICD-10: M46.8)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6F022A9A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aktywnej 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SpA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bez zmian 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radiolograficznych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charakterystyk dla ZZSK w postaci osiowej i obwodowej- pierwszy lek  z grupy inhibitorów JAK.</w:t>
            </w:r>
          </w:p>
        </w:tc>
      </w:tr>
      <w:tr w:rsidR="00A510E6" w:rsidRPr="004D093B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6471B519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56FEE6BD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0BE6B49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2CAA7C64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2372CE03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0148C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2016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chorych na pierwotną małopłytkowość immunologiczną. Kolejna opcja terapeutyczna obok agonistów receptora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trombopoetyny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31199B0C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686710F4" w14:textId="3E5DF7E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510E6" w:rsidRPr="004D093B" w14:paraId="31330B87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58D2" w14:textId="793D73B1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5238" w14:textId="0E4E0619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17B1" w14:textId="624CAE91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C9FA" w14:textId="32D1E770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4C24" w14:textId="39A889B5" w:rsidR="00A510E6" w:rsidRPr="00F0148C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0148C">
              <w:rPr>
                <w:rFonts w:ascii="Lato" w:hAnsi="Lato" w:cstheme="majorHAnsi"/>
                <w:color w:val="000000"/>
                <w:sz w:val="18"/>
                <w:szCs w:val="18"/>
              </w:rPr>
              <w:t>LECZENIE PEDIATRYCZNYCH CHORYCH NA PIERWOTNĄ MAŁOPŁYTKOWOŚĆ IMMUNOLOGICZNĄ (ICD-10: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AC50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pediatrycznych chorych na pierwotną małopłytkowość immunologiczną. Kolejna opcja terapeutyczna obok agonistów receptora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trombopoetyny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E5A3E72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76AEF67D" w14:textId="771A7CE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510E6" w:rsidRPr="004D093B" w14:paraId="36D6461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9517" w14:textId="458C57E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8C97" w14:textId="2D4D869B" w:rsidR="00A510E6" w:rsidRPr="008C6910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Repatha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52A7" w14:textId="1231B1A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Pr="009B41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wolokumab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8352" w14:textId="3A338D4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B28A" w14:textId="2F130AC4" w:rsidR="00A510E6" w:rsidRPr="006C3C84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B413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1222" w14:textId="0890C9BD" w:rsidR="00A510E6" w:rsidRPr="006C3C84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B41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pacjentów z homozygotyczną hipercholesterolemią rodzinną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oraz leczenie pacjentów pediatrycznych (10 - 18 lat) z homozygotyczną i heterozygotyczną hipercholesterolemią rodzinną.</w:t>
            </w:r>
          </w:p>
        </w:tc>
      </w:tr>
      <w:tr w:rsidR="00A510E6" w:rsidRPr="004D093B" w14:paraId="00A3222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C0E5" w14:textId="3415ADB6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E9B0" w14:textId="4341E40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C691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Dupixent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A5E8" w14:textId="51D64E71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dupilumab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8C21" w14:textId="6C52771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7D7D" w14:textId="09DD95C6" w:rsidR="00A510E6" w:rsidRPr="00F0148C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ZAPALENIEM NOSA I ZATOK PRZYNOSOWYCH Z POLIPAMI NOSA (ICD-10: J32, J33)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2AC2" w14:textId="4926EF58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</w:t>
            </w: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na ciężkie, przewlekłe zapalenie nosa i zatok przynosowych z polipami nosa (</w:t>
            </w:r>
            <w:proofErr w:type="spellStart"/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PZZPzPN</w:t>
            </w:r>
            <w:proofErr w:type="spellEnd"/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), u których leczenie ogólnoustrojowymi kortykosteroidami i przebyte co najmniej 2 zabiegi operacyjne zatok (lub przeciwwskazania do zabiegu) nie zapewniają kontroli choroby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510E6" w:rsidRPr="004D093B" w14:paraId="7B830F3F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8F03" w14:textId="3EB5E2B4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3897" w14:textId="1BA558C0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ABCF" w14:textId="314A6DEE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EB74" w14:textId="5741C472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B761" w14:textId="270B123A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F8CF" w14:textId="63B35A2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miastenię w ramach nowego, dedykowanego programu lekowego.</w:t>
            </w:r>
          </w:p>
          <w:p w14:paraId="624410D0" w14:textId="77777777" w:rsidR="00A510E6" w:rsidRPr="00BA603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Możliwość stosowania 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rytuksymabu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leczeniu kortykosteroidami oraz po leczeniu immunosupresyjnym u pacjentów:</w:t>
            </w:r>
          </w:p>
          <w:p w14:paraId="6845DFE4" w14:textId="72962FB4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receptorowi acetylocholiny (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AChR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5BAB0FFC" w14:textId="06B10CAC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swoistej dla mięśni kinazie tyrozynowej (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MuSK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4C910E70" w14:textId="513FD4C3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białku związanemu z receptorem 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lipoproteiny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 niskiej gęstości 4 (anty-LRP4)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73E3BAFF" w14:textId="77777777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seronegatywnych.</w:t>
            </w:r>
          </w:p>
          <w:p w14:paraId="0289C073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3BC7CFFE" w14:textId="79A8C05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A510E6" w:rsidRPr="004D093B" w14:paraId="75E2BF3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A749" w14:textId="62C6E71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7E21" w14:textId="59E784C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Vyvgart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6CF7" w14:textId="21DE8A0F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efgartigimod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0352" w14:textId="536298E2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0E1F" w14:textId="0625C039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9628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miastenię w ramach nowego, dedykowanego programu lekowego.</w:t>
            </w:r>
          </w:p>
          <w:p w14:paraId="0C771656" w14:textId="18E697EC" w:rsidR="00A510E6" w:rsidRPr="0003095C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Możliwość stosowania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efgartigimodu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alfa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leczeniu kortykosteroidami oraz po leczeniu immunosupresyjnym u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z przeciwciałami przeciwko receptorowi acetylocholiny (</w:t>
            </w:r>
            <w:proofErr w:type="spellStart"/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AChR</w:t>
            </w:r>
            <w:proofErr w:type="spellEnd"/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FA0886E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4FCC90FB" w14:textId="5C9EBDB9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A510E6" w:rsidRPr="004D093B" w14:paraId="271B2F3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A0C9" w14:textId="6A954520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0467" w14:textId="1D9D798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Xenpozyme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C4E5" w14:textId="3D4C93A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olipudaza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9175" w14:textId="5B16E55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16EAA">
              <w:rPr>
                <w:rFonts w:ascii="Lato" w:hAnsi="Lato" w:cstheme="majorHAnsi"/>
                <w:sz w:val="18"/>
                <w:szCs w:val="18"/>
              </w:rPr>
              <w:t>B</w:t>
            </w:r>
            <w:r w:rsidR="000F61F5">
              <w:rPr>
                <w:rFonts w:ascii="Lato" w:hAnsi="Lato" w:cstheme="majorHAnsi"/>
                <w:sz w:val="18"/>
                <w:szCs w:val="18"/>
              </w:rPr>
              <w:t>.</w:t>
            </w:r>
            <w:r w:rsidR="008F7384">
              <w:rPr>
                <w:rFonts w:ascii="Lato" w:hAnsi="Lato" w:cstheme="majorHAnsi"/>
                <w:sz w:val="18"/>
                <w:szCs w:val="18"/>
              </w:rPr>
              <w:t>158</w:t>
            </w:r>
            <w:r w:rsidRPr="00616EAA">
              <w:rPr>
                <w:rFonts w:ascii="Lato" w:hAnsi="Lato" w:cstheme="majorHAnsi"/>
                <w:sz w:val="18"/>
                <w:szCs w:val="18"/>
              </w:rPr>
              <w:t>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108C" w14:textId="0F44D641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16EAA">
              <w:rPr>
                <w:rFonts w:ascii="Lato" w:hAnsi="Lato" w:cstheme="majorHAnsi"/>
                <w:sz w:val="18"/>
                <w:szCs w:val="18"/>
              </w:rPr>
              <w:t>LECZENIE CHORYCH Z NIEDOBOREM KWAŚNEJ SFINGOMIELINAZY (ASMD) TYPU A/B i B (ICD-10: E75.241, E75.244)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21E6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olipudazą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alfa dzieci 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i młodzieży oraz dorosłych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jako e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nzymatyczna terapia zastępcza w leczeniu objawów niedoboru kwaśnej </w:t>
            </w:r>
            <w:proofErr w:type="spellStart"/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sfingomielinazy</w:t>
            </w:r>
            <w:proofErr w:type="spellEnd"/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(ASMD) typu A/B lub B, niezwiązanych z ośrodkowym układem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nerwowym (OUN).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  <w:p w14:paraId="3E0D6DCA" w14:textId="77777777" w:rsidR="00A510E6" w:rsidRPr="00946C5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123F7293" w14:textId="32C38E5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B265ED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1F1F2807" w:rsidR="00B265ED" w:rsidRPr="004D093B" w:rsidRDefault="00A1146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0563BFE6" w:rsidR="00B265ED" w:rsidRPr="00A1146C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5EC590F3" w:rsidR="00B265ED" w:rsidRPr="00A1146C" w:rsidRDefault="00B265ED" w:rsidP="00B265E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5C56B588" w:rsidR="00B265ED" w:rsidRPr="00A1146C" w:rsidRDefault="00B265ED" w:rsidP="00B265ED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Wykreślenie zapisów odnoszących się do nierefundowanego leku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Zykadia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cerytynib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).  Dodanie zapisów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 xml:space="preserve">umożliwiających rozpoznanie raka niedrobnokomórkowego bez ustalonego podtypu „NOS” u chorych z ekspresją PD-L1 &lt; 50% leczonych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ipilimumabem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chemioterapią (2 cykle) opartą o pochodne platyny.</w:t>
            </w:r>
          </w:p>
        </w:tc>
      </w:tr>
      <w:tr w:rsidR="00E351BA" w:rsidRPr="004D093B" w14:paraId="4D9E9A2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9A41" w14:textId="494A6A57" w:rsid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18D" w14:textId="6DE5C573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0211" w14:textId="71A7D6A2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C36F4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PACJENTÓW Z CHOROBĄ LEŚNIOWSKIEGO – CROHNA (ICD-10: K50)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29D4" w14:textId="49D3E2D9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Kompleksowa zmiana treści programu lekowego obejmująca wszystkie jego składowe. Wprowadzono liczne zmiany ujednolicające, porządkujące oraz znacząco uproszczono program lekowy. Główna zmiana dotyczy liberalizacji kryteriów kwalifikacji pacjentów dorosłych i pediatrycznych. Udostępniono nowe możliwości terapeutyczne dla pacjentów cechujących się wytworzeniem przetok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okołoodbytowych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pacjentów po odcinkowej resekcji jelita z powodu choroby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Leśniowskiego-Crohna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Uregulowano kwestię kontynuacji terapii rozpoczętej w ramach innego źródła finansowania. Wprowadzone zapisy dotyczące monitorowania wskaźników określających skuteczność leczenia poszczególnych terapii. Ponadto, do programu włączono nową opcję terapeutyczną –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upadacytynib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351BA" w:rsidRPr="004D093B" w14:paraId="3AC3527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855" w14:textId="46DE606D" w:rsid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D36E" w14:textId="27D5B301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1B38" w14:textId="0651BA6E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351B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PACJENTÓW Z WRZODZIEJĄCYM ZAPALENIEM JELITA GRUBEGO (WZJG) (ICD-10: K51)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21A4" w14:textId="356E066B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Kompleksowa zmiana treści programu lekowego obejmująca wszystkie jego składowe. Wprowadzono liczne zmiany ujednolicające, porządkujące oraz znacząco uproszczono program lekowy. Główna zmiana dotyczy liberalizacji kryteriów kwalifikacji pacjentów dorosłych i pediatrycznych. Uregulowano kwestię </w:t>
            </w: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kryteriów kwalifikacji pacjentów hospitalizowanych z powodu ciężkiego rzutu choroby z niedostateczną odpowiedzią na kortykosteroidy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a także kwestię kontynuacji terapii rozpoczętej w ramach innego źródła finansowania. Wprowadzone zapisy dotyczące monitorowania wskaźników określających skuteczność leczenia poszczególnych terapii. Ponadto, do programu włączono nową opcję terapeutyczną –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upadacytynib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351BA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5C2600C0" w:rsidR="00E351BA" w:rsidRPr="004D093B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057F1AE5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783779A9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RAKA GRUCZOŁU 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03434AA0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Wykreślenie zapisów odnoszących się do nierefundowanego leku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Xofigo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dichlorek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radu-223). Wprowadzenie zmian porządkujących i ujednolicających zapisy. Dodanie zapisów i wskaźników dotyczących oceny skuteczności terapii. Ponadto zmodyfikowano zapis umożliwiający monitorowanie skuteczności leczenia przy oznaczeniu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stężenia PSA.</w:t>
            </w:r>
          </w:p>
        </w:tc>
      </w:tr>
      <w:tr w:rsidR="00E351BA" w:rsidRPr="004D093B" w14:paraId="4B4000D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F305" w14:textId="38F7A6B5" w:rsidR="00E351BA" w:rsidRPr="004D093B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C9BA" w14:textId="1606C746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C647" w14:textId="1D1793CF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663D" w14:textId="315DE387" w:rsidR="00E351BA" w:rsidRPr="00A1146C" w:rsidRDefault="00D4388C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Kompleksowe zmiany porządkujące w programie zainicjowane wprowadzeniem nowego leku, tj.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niwolumabu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skojarzeniu z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relatlimabem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oraz wprowadzenie w kryteriach kwalifikacji zapisu o </w:t>
            </w:r>
            <w:r w:rsidRPr="008257F8">
              <w:rPr>
                <w:rFonts w:ascii="Lato" w:hAnsi="Lato" w:cstheme="majorHAnsi"/>
                <w:i/>
                <w:iCs/>
                <w:sz w:val="18"/>
                <w:szCs w:val="18"/>
              </w:rPr>
              <w:t>nieobecności innych nowotworów niekontrolowanych leczeniem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E351BA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57B1193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67E3AC9A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B.95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2461721A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Z ATYPOWYM ZESPOŁEM HEMOLITYCZNO-MOCZNICOWYM (</w:t>
            </w:r>
            <w:proofErr w:type="spellStart"/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aHUS</w:t>
            </w:r>
            <w:proofErr w:type="spellEnd"/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) (ICD-10: D59.3)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037D38E9" w:rsidR="00E351BA" w:rsidRPr="00A1146C" w:rsidRDefault="00E351BA" w:rsidP="00AA2E6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Zmiany kryteriów kwalifikacji do programu w zakresie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umożliwienia leczenia za pomocą substancji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ekulizumab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rawulizumab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, dorosłych pacjentów z wartością parametru PLASMIC Score≤5 (PS≤5), którzy oczekują na wynik badania aktywności ADAMTS13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oraz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zmiany czasu leczenia w programie w zakresie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skrócenia czasu z 6 miesięcy na 3 miesiące od rozpoczęcia terapii na składanie wniosków do ZK o kontynuację lub czasowe przerwanie leczenia.</w:t>
            </w:r>
          </w:p>
        </w:tc>
      </w:tr>
      <w:tr w:rsidR="00E351BA" w:rsidRPr="004D093B" w14:paraId="1EC37EE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6B8C53E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039622EB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68AD0D53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51E51FB0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 xml:space="preserve">Zmiana jednego z kryteriów włączenia w części dotyczącej dorosłych pacjentów z bardzo wysokim ryzykiem chorób układu sercowo-naczyniowego, polegająca na zmianie poziomu LDL-C z „LDL-C &gt;100 mg/dl (2,5 </w:t>
            </w:r>
            <w:proofErr w:type="spellStart"/>
            <w:r w:rsidRPr="00A1146C">
              <w:rPr>
                <w:rFonts w:ascii="Lato" w:hAnsi="Lato" w:cstheme="majorHAnsi"/>
                <w:sz w:val="18"/>
                <w:szCs w:val="18"/>
              </w:rPr>
              <w:t>mmol</w:t>
            </w:r>
            <w:proofErr w:type="spellEnd"/>
            <w:r w:rsidRPr="00A1146C">
              <w:rPr>
                <w:rFonts w:ascii="Lato" w:hAnsi="Lato" w:cstheme="majorHAnsi"/>
                <w:sz w:val="18"/>
                <w:szCs w:val="18"/>
              </w:rPr>
              <w:t xml:space="preserve">/l)” na „LDL-C &gt;70 mg/dl (1,8 </w:t>
            </w:r>
            <w:proofErr w:type="spellStart"/>
            <w:r w:rsidRPr="00A1146C">
              <w:rPr>
                <w:rFonts w:ascii="Lato" w:hAnsi="Lato" w:cstheme="majorHAnsi"/>
                <w:sz w:val="18"/>
                <w:szCs w:val="18"/>
              </w:rPr>
              <w:t>mmol</w:t>
            </w:r>
            <w:proofErr w:type="spellEnd"/>
            <w:r w:rsidRPr="00A1146C">
              <w:rPr>
                <w:rFonts w:ascii="Lato" w:hAnsi="Lato" w:cstheme="majorHAnsi"/>
                <w:sz w:val="18"/>
                <w:szCs w:val="18"/>
              </w:rPr>
              <w:t>/l)”, skutkująca rozszerzeniem populacji.</w:t>
            </w:r>
          </w:p>
        </w:tc>
      </w:tr>
      <w:tr w:rsidR="00E351BA" w:rsidRPr="004D093B" w14:paraId="176D4AEB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D69F" w14:textId="1799095E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7963" w14:textId="31C6381C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B.102.FM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ACD2" w14:textId="09A89422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RDZENIOWY ZANIK MIĘŚNI (ICD-10: G12.0, G12.1)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A110" w14:textId="43D66AB3" w:rsidR="00E351BA" w:rsidRPr="00A1146C" w:rsidRDefault="00E351BA" w:rsidP="00E351B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>Rozszerzenie kryteriów kwalifikacji w programie lekowym</w:t>
            </w:r>
            <w:r w:rsidR="00AA2E63">
              <w:rPr>
                <w:rFonts w:ascii="Lato" w:hAnsi="Lato" w:cstheme="majorHAnsi"/>
                <w:sz w:val="18"/>
                <w:szCs w:val="18"/>
              </w:rPr>
              <w:t xml:space="preserve"> dotyczącym chorych na rdzeniowy zanik mięśni:</w:t>
            </w:r>
          </w:p>
          <w:p w14:paraId="0DFAABF2" w14:textId="7F482883" w:rsidR="00E351BA" w:rsidRPr="00AA2E63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ożliwość zastosowania terapii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onasemnogen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abeparwowek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otrzymają pacjenci leczeni terapią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nusinersen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rysdyplam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:</w:t>
            </w:r>
          </w:p>
          <w:p w14:paraId="64A3212D" w14:textId="647A4C84" w:rsidR="00E351BA" w:rsidRPr="00AA2E63" w:rsidRDefault="00E351BA" w:rsidP="00AA2E63">
            <w:pPr>
              <w:pStyle w:val="Akapitzlist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a) po ustąpieniu przeciwwskazań do terapii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onasemnogen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abeparwowek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(pierwotnie pacjent nie otrzymał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onasemnogen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abeparwowek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ze względu na wystąpienie przeciwwskazań z zastrzeżeniem masy ciała do 13,5 kg)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613CB960" w14:textId="57B149CF" w:rsidR="00E351BA" w:rsidRPr="00AA2E63" w:rsidRDefault="00E351BA" w:rsidP="00AA2E63">
            <w:pPr>
              <w:pStyle w:val="Akapitzlist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b) pacjenci urodzeni przed 1 września 2022 r. (pacjenci zdiagnozowani w ramach Rządowego Programu Badań Przesiewowych Noworodków w Polsce z zastrzeżeniem masy ciała do 13,5 kg)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2A406079" w14:textId="581A1DC0" w:rsidR="00E351BA" w:rsidRPr="00AA2E63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ożliwość stosowania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nusinersenu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podczas ciąży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7FB9D6AB" w14:textId="3CA3A797" w:rsidR="00E351BA" w:rsidRPr="00584C82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ożliwość kontynuacji terapii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nusinersenem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rysdyplamem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pacjentów, którzy z powodu okoliczności niezwiązanych z brakiem skuteczności leczenia (np. uraz, zabieg operacyjny) spełnili kryterium wyłączenia z programu, a jednocześnie po ustaniu tych okoliczności wykazują poprawę.</w:t>
            </w:r>
          </w:p>
        </w:tc>
      </w:tr>
      <w:tr w:rsidR="00E351BA" w:rsidRPr="004D093B" w14:paraId="760505A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282C85A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F3B1568" w:rsidR="00E351BA" w:rsidRPr="004D093B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7067">
              <w:rPr>
                <w:rFonts w:ascii="Lato" w:hAnsi="Lato" w:cstheme="majorHAnsi"/>
                <w:color w:val="000000"/>
                <w:sz w:val="18"/>
                <w:szCs w:val="18"/>
              </w:rPr>
              <w:t>B.132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28B1072E" w:rsidR="00E351BA" w:rsidRPr="004D093B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7067">
              <w:rPr>
                <w:rFonts w:ascii="Lato" w:hAnsi="Lato" w:cstheme="majorHAnsi"/>
                <w:color w:val="000000"/>
                <w:sz w:val="18"/>
                <w:szCs w:val="18"/>
              </w:rPr>
              <w:t>ZAPOBIEGANIE REAKTYWACJI CYTOMEGALOWIRUSA (CMV) I ROZWOJOWI CHOROBY U SEROPOZYTYWNYCH WZGLĘDEM CMV PACJENTÓW, KTÓRZY BYLI PODDANI ZABIEGOWI PRZESZCZEPIENIA ALLOGENICZNYCH KRWIOTWÓRCZYCH KOMÓREK MACIERZYSTYCH (ICD-10: C81, C82, C83, C84, C85, C88, C90, C91, C92, C93, C94, C95, C96, C45, D46, D47, D56, D57, D58, D61, D75, D80, D81, D82, D84)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49C4C9F6" w:rsidR="00E351BA" w:rsidRPr="003B46BF" w:rsidRDefault="00E351BA" w:rsidP="00AA2E6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Zmiana nazwy i treści programu lekowego w związku z objęciem refundacją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letermowiru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we wskazaniu: </w:t>
            </w:r>
            <w:r w:rsidRPr="00DA4459">
              <w:rPr>
                <w:rFonts w:ascii="Lato" w:hAnsi="Lato" w:cstheme="majorHAnsi"/>
                <w:sz w:val="18"/>
                <w:szCs w:val="18"/>
              </w:rPr>
              <w:t xml:space="preserve">stosowanie </w:t>
            </w:r>
            <w:proofErr w:type="spellStart"/>
            <w:r w:rsidRPr="00DA4459">
              <w:rPr>
                <w:rFonts w:ascii="Lato" w:hAnsi="Lato" w:cstheme="majorHAnsi"/>
                <w:sz w:val="18"/>
                <w:szCs w:val="18"/>
              </w:rPr>
              <w:t>letermowiru</w:t>
            </w:r>
            <w:proofErr w:type="spellEnd"/>
            <w:r w:rsidRPr="00DA4459">
              <w:rPr>
                <w:rFonts w:ascii="Lato" w:hAnsi="Lato" w:cstheme="majorHAnsi"/>
                <w:sz w:val="18"/>
                <w:szCs w:val="18"/>
              </w:rPr>
              <w:t xml:space="preserve"> w celu zapobiegania reaktywacji </w:t>
            </w:r>
            <w:proofErr w:type="spellStart"/>
            <w:r w:rsidRPr="00DA4459">
              <w:rPr>
                <w:rFonts w:ascii="Lato" w:hAnsi="Lato" w:cstheme="majorHAnsi"/>
                <w:sz w:val="18"/>
                <w:szCs w:val="18"/>
              </w:rPr>
              <w:t>cytomegalowirusa</w:t>
            </w:r>
            <w:proofErr w:type="spellEnd"/>
            <w:r w:rsidRPr="00DA4459">
              <w:rPr>
                <w:rFonts w:ascii="Lato" w:hAnsi="Lato" w:cstheme="majorHAnsi"/>
                <w:sz w:val="18"/>
                <w:szCs w:val="18"/>
              </w:rPr>
              <w:t xml:space="preserve"> (CMV) i rozwojowi choroby u dzieci przed ukończeniem 18 roku życia, seropozytywnych względem CMV, które były poddane zabiegowi przeszczepienia allogenicznych krwiotwórczych komórek macierzystych (</w:t>
            </w:r>
            <w:proofErr w:type="spellStart"/>
            <w:r w:rsidRPr="00DA4459">
              <w:rPr>
                <w:rFonts w:ascii="Lato" w:hAnsi="Lato" w:cstheme="majorHAnsi"/>
                <w:sz w:val="18"/>
                <w:szCs w:val="18"/>
              </w:rPr>
              <w:t>alloHSCT</w:t>
            </w:r>
            <w:proofErr w:type="spellEnd"/>
            <w:r w:rsidRPr="00DA4459">
              <w:rPr>
                <w:rFonts w:ascii="Lato" w:hAnsi="Lato" w:cstheme="majorHAnsi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  <w:r w:rsidR="00AA2E63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Wprowadzone zapisy dotyczące monitorowania wskaźników określających skuteczność leczenia terapii.</w:t>
            </w:r>
          </w:p>
        </w:tc>
      </w:tr>
      <w:tr w:rsidR="00E351BA" w:rsidRPr="004D093B" w14:paraId="51A86B5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5E128E29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2C2C" w14:textId="77777777" w:rsidR="00E351BA" w:rsidRP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C.5.a</w:t>
            </w:r>
          </w:p>
          <w:p w14:paraId="78B751A6" w14:textId="77777777" w:rsidR="00E351BA" w:rsidRP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C.5.b</w:t>
            </w:r>
          </w:p>
          <w:p w14:paraId="3076BB58" w14:textId="2BC439F4" w:rsidR="00E351BA" w:rsidRPr="004D093B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C.5.c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21F007CE" w:rsidR="00E351BA" w:rsidRPr="004D093B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CAPECITABINE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2C3A" w14:textId="77777777" w:rsidR="00E351BA" w:rsidRDefault="00E351BA" w:rsidP="00E351BA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Kompleksowa zmiana polegająca na przeniesieniu kodów ICD-10 z załącznika C.5.c. do C.5.b. </w:t>
            </w:r>
          </w:p>
          <w:p w14:paraId="08AF8C5C" w14:textId="07755E01" w:rsidR="00E351BA" w:rsidRPr="004D093B" w:rsidRDefault="00E351BA" w:rsidP="00E351BA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Zmiany w załącznikach C.5.a. i C.5.b. o charakterze porządkującym. </w:t>
            </w:r>
          </w:p>
        </w:tc>
      </w:tr>
    </w:tbl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61127618"/>
            <w:bookmarkEnd w:id="1"/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B265ED" w:rsidRPr="004D093B" w14:paraId="28078F30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4812" w14:textId="492148CE" w:rsidR="00B265ED" w:rsidRPr="004D093B" w:rsidRDefault="00A510E6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962F" w14:textId="77083C25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Invokana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5308" w14:textId="11F84584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33FB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</w:t>
            </w:r>
            <w:r w:rsidRPr="0082517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 najmniej dwoma lekami hipoglikemizującymi, z HbA1c ≥ 7,5%</w:t>
            </w: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bardzo wysokim ryzykiem sercowo-naczyniowym rozumianym jako:</w:t>
            </w:r>
          </w:p>
          <w:p w14:paraId="212DEA24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1)potwierdzona choroba sercowo-naczyniowa, lub </w:t>
            </w:r>
          </w:p>
          <w:p w14:paraId="01539996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2)uszkodzenie innych narządów objawiające się poprzez: białkomocz lub przerost lewej komory lub retinopatię, lub</w:t>
            </w:r>
          </w:p>
          <w:p w14:paraId="19761350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3)obecność 3 lub więcej głównych czynników ryzyka spośród wymienionych poniżej:</w:t>
            </w:r>
          </w:p>
          <w:p w14:paraId="75654A3F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-wiek ≥ 55 lat dla mężczyzn, ≥60 lat dla kobiet, </w:t>
            </w:r>
          </w:p>
          <w:p w14:paraId="72851B52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proofErr w:type="spellStart"/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dyslipidemia</w:t>
            </w:r>
            <w:proofErr w:type="spellEnd"/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</w:p>
          <w:p w14:paraId="090875AE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-nadciśnienie tętnicze, </w:t>
            </w:r>
          </w:p>
          <w:p w14:paraId="5D355F1F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-palenie tytoniu,</w:t>
            </w:r>
          </w:p>
          <w:p w14:paraId="5C341818" w14:textId="249758C6" w:rsidR="00B265ED" w:rsidRPr="007A7671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-otyłość;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47C7" w14:textId="2913F4C2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Powrót na wykaz leków refundowanych po 5-miesięcznej nieobecności, we wskazaniu niezmienionym w stosunku do wskazania obowiązującego do 31 października 2023 r.</w:t>
            </w:r>
          </w:p>
        </w:tc>
      </w:tr>
      <w:tr w:rsidR="00A22EE5" w:rsidRPr="004D093B" w14:paraId="3F53E28F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34F6" w14:textId="2F8D7CE5" w:rsidR="00A22EE5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A373" w14:textId="4C408140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43B4" w14:textId="61AB51E9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0A76" w14:textId="04723370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niewydolność serca u dorosłych pacjentów z LVEF≤50% oraz utrzymującymi się objawami choroby w klasie II-IV NYHA: - pomimo zastosowania terapii opartej na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(lub ARB/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ARNi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i lekach z grupy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betaadrenolityków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jeśli wskazane antagonistach receptora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mineralokortykoidów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(z frakcją wyrzutową z LVEF ≤40%) lub - pomimo zastosowania terapii opartej na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(lub ARB/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ARNi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i lekach z grupy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betaadrenolityków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jeśli wskazane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diuretykach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(z frakcją wyrzutową z LVEF 41-50%)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21F1" w14:textId="2C2BF05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wskazania do stosowania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empa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gliflozyny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chorych z niewydolnością serca, poprzez zmianę wymaganej do rozpoczęcia leczenia frakcji wyrzutowej lewej komory serca z poziomu ≤40% na ≤50%.</w:t>
            </w:r>
          </w:p>
        </w:tc>
      </w:tr>
      <w:tr w:rsidR="004F7A4E" w:rsidRPr="004D093B" w14:paraId="4C0E4342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EA6B" w14:textId="4A8B3BB3" w:rsidR="004F7A4E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0A7A" w14:textId="0BEE948A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AA9C" w14:textId="26D7120C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F6AA" w14:textId="7C7E643E" w:rsidR="004F7A4E" w:rsidRPr="004F7A4E" w:rsidRDefault="004F7A4E" w:rsidP="004F7A4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choroba nerek u dorosłych pacjentów z: </w:t>
            </w:r>
            <w:proofErr w:type="spellStart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zakresie od ≥ 20 ml/min/1,73 m2 do &lt; 45 ml/min/1,73 m2, stosujących leczenie oparte na </w:t>
            </w:r>
            <w:proofErr w:type="spellStart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/ARB co najmniej 4 tygodnie lub z przeciwwskazaniem do stosowania takiej terapii lub </w:t>
            </w:r>
            <w:proofErr w:type="spellStart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zakresie od ≥ 45 ml/min/1,73 m2 do &lt; 90 ml/min/1,73 m2 oraz albuminurią lub białkomoczem, stosujących leczenie oparte na </w:t>
            </w:r>
            <w:proofErr w:type="spellStart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/ARB co najmniej 4 tygodnie lub z przeciwwskazaniem do stosowania takiej terapii.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C959" w14:textId="5508FF14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obecnie refundowanych wskazań klinicznych o przewlekłą chorobę nerek u pacjentów dorosłych.</w:t>
            </w:r>
          </w:p>
        </w:tc>
      </w:tr>
      <w:tr w:rsidR="00A22EE5" w:rsidRPr="004D093B" w14:paraId="6E8D63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2C6A" w14:textId="31A6F4D7" w:rsidR="00A22EE5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8001" w14:textId="2CB0B464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Mizetam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6143" w14:textId="1205384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atorwastatyna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005C" w14:textId="31CD1BE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wspomagające do stosowania wraz z dietą u pacjentów dorosłych z pierwotną hipercholesterolemią (heterozygotyczną i homozygotyczną rodzinną i nierodzinną) lub mieszaną </w:t>
            </w:r>
            <w:proofErr w:type="spellStart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hiperlipidemią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już kontrolowaną za pomocą </w:t>
            </w:r>
            <w:proofErr w:type="spellStart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atorwastatyny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ezetymibu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, które są podawane w takich samych dawkach; Zapobieganie zdarzeniom sercowo-naczyniowym, tj. jako leczenie substytucyjne u pacjentów z chorobą niedokrwienną serca i ostrym zespołem wieńcowym w wywiadzie, u których uzyskano kontrolę choroby stosując jednocześnie pojedyncze substancje czynne w osobnych produktach leczniczych, ale w takich samych dawkach, jak w produkcie złożonym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AC06" w14:textId="5015A05E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do stosowania leku złożonego w zapobieganiu zdarzeń sercowo-naczyniowych 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u pacjentów z chorobą niedokrwienną serca i ostrym zespołem wieńcowym w wywiadzie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A2DBB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49D9E9A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D9AF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2451D194" w14:textId="2603D442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7BF2BEF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2A950583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w trakcie leczenia </w:t>
            </w:r>
            <w:proofErr w:type="spellStart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statyną</w:t>
            </w:r>
            <w:proofErr w:type="spellEnd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włączane jednocześnie ze </w:t>
            </w:r>
            <w:proofErr w:type="spellStart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statyną</w:t>
            </w:r>
            <w:proofErr w:type="spellEnd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albo leczenie w przypadku stwierdzenia nietolerancji co najmniej 2 </w:t>
            </w:r>
            <w:proofErr w:type="spellStart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statyn</w:t>
            </w:r>
            <w:proofErr w:type="spellEnd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jednej w najmniejszej początkowej dawce na dobę i drugiej w dowolnej dostępnej dawce przez okres leczenia nie krótszy niż 3 miesiące, w celu zapobiegania zdarzeniom sercowo-naczyniowym u pacjentów, u których ryzyko pierwszego lub kolejnego zdarzenia sercowo-naczyniowego oceniane jest jako co najmniej duże, wraz z działaniami mającymi na celu redukcję innych czynników ryzyka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32014F21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Zmiana wskazania refundacyjnego z: „</w:t>
            </w:r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Hipercholesterolemia LDL-C powyżej 130 mg/dl utrzymująca się pomimo terapii </w:t>
            </w:r>
            <w:proofErr w:type="spellStart"/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>statynami</w:t>
            </w:r>
            <w:proofErr w:type="spellEnd"/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przypadku: stanu po zawale serca lub rewaskularyzacji wieńcowej (przezskórnej lub kardiochirurgicznej), stanu po rewaskularyzacji obwodowej lub amputacji obwodowej z powodu choroby miażdżycowej, hipercholesterolemii rodzinnej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”, skutkująca rozszerzeniem populacji.</w:t>
            </w:r>
          </w:p>
        </w:tc>
      </w:tr>
      <w:tr w:rsidR="00EA2DBB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1F876CD5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64F9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7BCD168B" w14:textId="3C3FA94E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714EF11F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mykofenolan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mofetylu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7C851FA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M</w:t>
            </w:r>
            <w:r w:rsidRPr="00C9587D">
              <w:rPr>
                <w:rFonts w:ascii="Lato" w:hAnsi="Lato" w:cstheme="majorHAnsi"/>
                <w:sz w:val="18"/>
                <w:szCs w:val="18"/>
              </w:rPr>
              <w:t>iastenia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515E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ramach kompleksowego podejścia do leczenia chorych na miastenię do refundacji wprowadzono wszystkie możliwe technologie dla tej jednostki chorobowej.</w:t>
            </w:r>
          </w:p>
          <w:p w14:paraId="4B6A34D3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10823724" w14:textId="44796CE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EA2DBB" w:rsidRPr="004D093B" w14:paraId="60EFD40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4E3C" w14:textId="42FF5610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A321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5683414E" w14:textId="00A5C7DD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25E8" w14:textId="72F11677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takrolimus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DD37" w14:textId="25F7CCE0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Zespół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Henoch-Schoenleina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(zapalenie naczyń spowodowane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IgA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IgA-vasculitis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) w przypadku nietolerancji, przeciwwskazań lub oporności na inne metody leczenia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7F6C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Nowe wskazanie refundacyjne w ramach leczenia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takrolimusem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E5A8011" w14:textId="52D4281A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A2DBB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7ABFF8CD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D6E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65AF24A9" w14:textId="6F8E4296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F9D553A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takrolimus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11DB58BB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Zespół nerczycowy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sterydozależny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/zespół nerczycowy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sterydooporny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/zespół nerczycowy nawracający - w przypadku nietolerancji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cyklosporyny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oporności na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cyklosporynę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, nefropatia toczniowa/toczniowe zapalenie nerek - w przypadku nietolerancji, przeciwwskazań lub oporności na inne metody leczenia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BC6D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jednego z dotychczas obowiązujących wskazań refundacyjnych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takrolimusu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1D464AF" w14:textId="233467CF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A2DBB" w:rsidRPr="004D093B" w14:paraId="51CD7DC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BF5C" w14:textId="1994D552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189F" w14:textId="26E5D5CF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Rxulti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4A54" w14:textId="5A48242A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brekspiprazol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45B1" w14:textId="1CA0416B" w:rsidR="00EA2DBB" w:rsidRPr="00752F2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chizofrenia u pacjentów dorosłych po nieskuteczności lub w przypadku przeciwwskazań do terapii pozostałymi lekami </w:t>
            </w:r>
            <w:proofErr w:type="spellStart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przeciwpsychotycznymi</w:t>
            </w:r>
            <w:proofErr w:type="spellEnd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generacji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496" w14:textId="4AFA576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Brekspiprazol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kolejnym atypowym lekiem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który </w:t>
            </w:r>
            <w:r w:rsidRPr="004F44A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poszerza zakres możliwości terapeutycznych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doustnym </w:t>
            </w:r>
            <w:r w:rsidRPr="004F44A5">
              <w:rPr>
                <w:rFonts w:ascii="Lato" w:hAnsi="Lato" w:cstheme="majorHAnsi"/>
                <w:color w:val="000000"/>
                <w:sz w:val="18"/>
                <w:szCs w:val="18"/>
              </w:rPr>
              <w:t>leczeniu schizofrenii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Charakteryzuje się korzystnym profilem metabolicznym. Analogicznie jak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lurazydon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będzie refundowany w przypadku 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nieskuteczności lub przeciwwskazań do terapii pozostałymi lekami </w:t>
            </w:r>
            <w:proofErr w:type="spellStart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przeciwpsychotycznymi</w:t>
            </w:r>
            <w:proofErr w:type="spellEnd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 generacji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jednak wyłącznie w populacji osób dorosłych. </w:t>
            </w:r>
          </w:p>
        </w:tc>
      </w:tr>
      <w:tr w:rsidR="00EA2DBB" w:rsidRPr="004D093B" w14:paraId="6B947B6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718D" w14:textId="4DFEE46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F51B" w14:textId="00F7C05F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B6D6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Ryeqo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E034" w14:textId="3B9BA799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relugolixum</w:t>
            </w:r>
            <w:proofErr w:type="spellEnd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estradiolum</w:t>
            </w:r>
            <w:proofErr w:type="spellEnd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norethisterone</w:t>
            </w:r>
            <w:proofErr w:type="spellEnd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acetate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0B19" w14:textId="5D795D11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B6D6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 dwóch lat ciężkich objawów mięśniaków macicy w postaci nasilonych krwawień u dorosłych kobiet w wieku rozrodczym, po weryfikacji histologicznej endometrium, niekwalifikujących się do leczenia operacyjnego, po nieskutecznym leczeniu zachowawczym objawów lekami zawierającymi pochodne o działaniu </w:t>
            </w:r>
            <w:proofErr w:type="spellStart"/>
            <w:r w:rsidRPr="003B6D68">
              <w:rPr>
                <w:rFonts w:ascii="Lato" w:hAnsi="Lato" w:cstheme="majorHAnsi"/>
                <w:color w:val="000000"/>
                <w:sz w:val="18"/>
                <w:szCs w:val="18"/>
              </w:rPr>
              <w:t>gestagennym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A09C" w14:textId="13F43B3B" w:rsidR="00EA2DBB" w:rsidRPr="0028384A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Nowy lek wieloskładnikowy stosowany w leczeniu mięśniaków macicy dostępny w ramach refundacji aptecznej. </w:t>
            </w:r>
          </w:p>
        </w:tc>
      </w:tr>
      <w:tr w:rsidR="00EA2DBB" w:rsidRPr="004D093B" w14:paraId="4DE1700A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AA37" w14:textId="7C8B5BBC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D34D" w14:textId="0F37652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Solitombo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0A36" w14:textId="5B2FBD5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solifenacyna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tamsulosyna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A046" w14:textId="517F935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umiarkowanych i ciężkich objawów w fazie napełnienia pęcherza i w fazie opróżniania pęcherza, związanych z łagodnym rozrostem gruczołu krokowego u mężczyzn, którzy niewystarczająco odpowiadają na leczenie w </w:t>
            </w:r>
            <w:proofErr w:type="spellStart"/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>monoterapi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4B11" w14:textId="26443731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Produkt leczniczy złożony. Preparat zawiera połączenie dwóch substancji czynnych stosowanych w łagodnym rozroście gruczołu krokowego. Produkt korzystnie wpływa na zachowanie odpowiedniej adherencji terapeutycznej.</w:t>
            </w:r>
          </w:p>
        </w:tc>
      </w:tr>
      <w:tr w:rsidR="00EA2DBB" w:rsidRPr="004D093B" w14:paraId="3258821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16AB" w14:textId="56341BA4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7F62" w14:textId="21A77E5D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Veltassa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7D3C" w14:textId="31A7816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</w:t>
            </w:r>
            <w:r w:rsidRPr="00D345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atiromer</w:t>
            </w:r>
            <w:proofErr w:type="spellEnd"/>
            <w:r w:rsidRPr="00D345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4E34" w14:textId="021B975F" w:rsidR="00EA2DBB" w:rsidRPr="00C9587D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>hyperkaliemii</w:t>
            </w:r>
            <w:proofErr w:type="spellEnd"/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pacjentów w przebiegu przewlekłej choroby nerek w stopniu 3b-5, u chorych przyjmujących leki z grupy inhibitorów układu renina-angiotensyna-aldosteron (inhibitory ACE oraz inhibitory receptora dla angiotensyny)</w:t>
            </w:r>
            <w:r>
              <w:rPr>
                <w:rFonts w:ascii="Lato" w:hAnsi="Lato"/>
              </w:rPr>
              <w:fldChar w:fldCharType="begin"/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t>«wskazanie_ref_apteka»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DA45" w14:textId="77777777" w:rsidR="00EA2DBB" w:rsidRPr="00CB1DE1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stosowany w hiperkaliemii u dorosłych pacjentów. </w:t>
            </w:r>
            <w:proofErr w:type="spellStart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>Patiromer</w:t>
            </w:r>
            <w:proofErr w:type="spellEnd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</w:t>
            </w:r>
            <w:proofErr w:type="spellStart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>niewchłanialnym</w:t>
            </w:r>
            <w:proofErr w:type="spellEnd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polimerem, który zwiększa wydalanie potasu poprzez wiązanie potasu w świetle przewodu pokarmowego.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Lek finansowany w ramach Funduszu Medycznego.</w:t>
            </w:r>
          </w:p>
          <w:p w14:paraId="1A93C77B" w14:textId="24E4833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(TLK)</w:t>
            </w:r>
          </w:p>
        </w:tc>
      </w:tr>
      <w:bookmarkEnd w:id="2"/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0F61F5" w:rsidRPr="001A28EB" w14:paraId="6BCE8CED" w14:textId="77777777" w:rsidTr="00C45B7B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232F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3" w:name="_Hlk148004033"/>
            <w:r w:rsidRPr="001A28EB">
              <w:rPr>
                <w:rFonts w:ascii="Lato" w:hAnsi="Lato" w:cstheme="majorHAnsi"/>
                <w:b/>
                <w:bCs/>
                <w:color w:val="FFFFFF"/>
              </w:rPr>
              <w:t>Zmiany na liście 65+</w:t>
            </w:r>
          </w:p>
        </w:tc>
      </w:tr>
      <w:tr w:rsidR="000F61F5" w:rsidRPr="001A28EB" w14:paraId="2E28E9A6" w14:textId="77777777" w:rsidTr="00C45B7B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4B8B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FF9E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2E6F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3097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0F61F5" w:rsidRPr="001A28EB" w14:paraId="5542B4FE" w14:textId="77777777" w:rsidTr="00C45B7B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4225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7229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kanagliflozyna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7E50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</w:t>
            </w:r>
            <w:r w:rsidRPr="001A28E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 najmniej dwoma lekami hipoglikemizującymi, z HbA1c ≥ 7,5%</w:t>
            </w: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bardzo wysokim ryzykiem sercowo-naczyniowym rozumianym jako: 1)potwierdzona choroba sercowo-naczyniowa, lub 2)uszkodzenie innych narządów objawiające się poprzez: białkomocz lub przerost lewej komory lub retinopatię, lub 3)obecność 3 lub więcej głównych czynników ryzyka spośród wymienionych poniżej: -wiek ≥ 55 lat dla mężczyzn, ≥60 lat dla kobiet, -</w:t>
            </w:r>
            <w:proofErr w:type="spellStart"/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>dyslipidemia</w:t>
            </w:r>
            <w:proofErr w:type="spellEnd"/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>, -nadciśnienie tętnicze, -palenie tytoniu, -otyłość.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A0B9" w14:textId="77777777" w:rsidR="000F61F5" w:rsidRPr="001A28EB" w:rsidRDefault="000F61F5" w:rsidP="00C45B7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Powrót na wykaz leków refundowanych i na listę bezpłatnych leków dla seniorów po 5-miesięcznej nieobecności, we wskazaniu niezmienionym w stosunku do wskazania obowiązującego do 31 października 2023 r.</w:t>
            </w:r>
          </w:p>
        </w:tc>
      </w:tr>
      <w:tr w:rsidR="00CB1DE1" w:rsidRPr="001A28EB" w14:paraId="1E20C47E" w14:textId="77777777" w:rsidTr="00C45B7B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9C9B" w14:textId="44001DC4" w:rsidR="00CB1DE1" w:rsidRPr="001A28EB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8DF2" w14:textId="14170F7B" w:rsidR="00CB1DE1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solifenacyna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tamsulosyna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5A21" w14:textId="53B9AEA2" w:rsidR="00CB1DE1" w:rsidRPr="001A28EB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umiarkowanych i ciężkich objawów w fazie napełnienia pęcherza i w fazie opróżniania pęcherza, związanych z łagodnym rozrostem gruczołu krokowego u mężczyzn, którzy niewystarczająco odpowiadają na leczenie w </w:t>
            </w:r>
            <w:proofErr w:type="spellStart"/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>monoterapi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55F7" w14:textId="0D34CFF3" w:rsidR="00CB1DE1" w:rsidRDefault="00CB1DE1" w:rsidP="00CB1DE1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złożony. Obecnie na wykazie 65+ znajdują się produkty lecznicze jednoskładnikowe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solifenacyną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tamsulosyną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bookmarkEnd w:id="3"/>
    </w:tbl>
    <w:p w14:paraId="5FEAC7C3" w14:textId="1E597D96" w:rsidR="0011263C" w:rsidRDefault="0011263C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A33A521" w14:textId="77777777" w:rsidR="0011263C" w:rsidRDefault="0011263C">
      <w:pPr>
        <w:suppressAutoHyphens w:val="0"/>
        <w:rPr>
          <w:rFonts w:ascii="Lato" w:hAnsi="Lato"/>
          <w:b/>
          <w:bCs/>
          <w:color w:val="00B0F0"/>
        </w:rPr>
      </w:pPr>
      <w:r>
        <w:rPr>
          <w:rFonts w:ascii="Lato" w:hAnsi="Lato"/>
          <w:b/>
          <w:bCs/>
          <w:color w:val="00B0F0"/>
        </w:rPr>
        <w:br w:type="page"/>
      </w:r>
    </w:p>
    <w:p w14:paraId="44843106" w14:textId="77777777" w:rsidR="00584C82" w:rsidRDefault="00584C82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52F20E92" w14:textId="77777777" w:rsidR="0057280A" w:rsidRDefault="0057280A" w:rsidP="0057280A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POLSKIE LEKI</w:t>
      </w:r>
    </w:p>
    <w:p w14:paraId="2B25DB72" w14:textId="77777777" w:rsidR="0057280A" w:rsidRPr="00032F73" w:rsidRDefault="0057280A" w:rsidP="0057280A">
      <w:pPr>
        <w:spacing w:after="120" w:line="360" w:lineRule="auto"/>
        <w:rPr>
          <w:rFonts w:ascii="Lato" w:hAnsi="Lato"/>
        </w:rPr>
      </w:pPr>
      <w:r>
        <w:rPr>
          <w:rFonts w:ascii="Lato" w:hAnsi="Lato"/>
        </w:rPr>
        <w:t>Ustawa z dnia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 xml:space="preserve">17 sierpnia 2023 r. </w:t>
      </w:r>
      <w:r w:rsidRPr="00032F73">
        <w:rPr>
          <w:rFonts w:ascii="Lato" w:hAnsi="Lato"/>
        </w:rPr>
        <w:t>o zmianie ustawy o refundacji leków, środków spożywczych specjalnego przeznaczenia żywieniowego oraz wyrobów medycznych oraz niektórych innych ustaw</w:t>
      </w:r>
      <w:r w:rsidRPr="00AD3429">
        <w:t xml:space="preserve"> </w:t>
      </w:r>
      <w:r w:rsidRPr="00AD3429">
        <w:rPr>
          <w:rFonts w:ascii="Lato" w:hAnsi="Lato"/>
        </w:rPr>
        <w:t>(Dz.</w:t>
      </w:r>
      <w:r>
        <w:rPr>
          <w:rFonts w:ascii="Lato" w:hAnsi="Lato"/>
        </w:rPr>
        <w:t xml:space="preserve"> </w:t>
      </w:r>
      <w:r w:rsidRPr="00AD3429">
        <w:rPr>
          <w:rFonts w:ascii="Lato" w:hAnsi="Lato"/>
        </w:rPr>
        <w:t>U. z 2023 r. poz. 1938)</w:t>
      </w:r>
      <w:r>
        <w:rPr>
          <w:rFonts w:ascii="Lato" w:hAnsi="Lato"/>
        </w:rPr>
        <w:t xml:space="preserve"> wprowadziła nowe rozwiązania mające na celu </w:t>
      </w:r>
      <w:r w:rsidRPr="00032F73">
        <w:rPr>
          <w:rFonts w:ascii="Lato" w:hAnsi="Lato"/>
        </w:rPr>
        <w:t>zwiększenie udziału w rynku produktów leczniczych wytwarzanych przez przemysł farmaceutyczny na terytorium Polski</w:t>
      </w:r>
      <w:r>
        <w:rPr>
          <w:rFonts w:ascii="Lato" w:hAnsi="Lato"/>
        </w:rPr>
        <w:t xml:space="preserve">. </w:t>
      </w:r>
      <w:r w:rsidRPr="00032F73">
        <w:rPr>
          <w:rFonts w:ascii="Lato" w:hAnsi="Lato"/>
        </w:rPr>
        <w:t>Przedmiotowa nowelizacja ustawy o refundacji, wprowadz</w:t>
      </w:r>
      <w:r>
        <w:rPr>
          <w:rFonts w:ascii="Lato" w:hAnsi="Lato"/>
        </w:rPr>
        <w:t>iła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 xml:space="preserve">szereg </w:t>
      </w:r>
      <w:r w:rsidRPr="00032F73">
        <w:rPr>
          <w:rFonts w:ascii="Lato" w:hAnsi="Lato"/>
        </w:rPr>
        <w:t>przepis</w:t>
      </w:r>
      <w:r>
        <w:rPr>
          <w:rFonts w:ascii="Lato" w:hAnsi="Lato"/>
        </w:rPr>
        <w:t>ów</w:t>
      </w:r>
      <w:r w:rsidRPr="00032F73">
        <w:rPr>
          <w:rFonts w:ascii="Lato" w:hAnsi="Lato"/>
        </w:rPr>
        <w:t xml:space="preserve"> dotycząc</w:t>
      </w:r>
      <w:r>
        <w:rPr>
          <w:rFonts w:ascii="Lato" w:hAnsi="Lato"/>
        </w:rPr>
        <w:t>ych</w:t>
      </w:r>
      <w:r w:rsidRPr="00032F73">
        <w:rPr>
          <w:rFonts w:ascii="Lato" w:hAnsi="Lato"/>
        </w:rPr>
        <w:t xml:space="preserve"> zarówno bezpośrednio Bezpieczeństwa Lekowego Polski (BLP), jak i pośrednio </w:t>
      </w:r>
      <w:r>
        <w:rPr>
          <w:rFonts w:ascii="Lato" w:hAnsi="Lato"/>
        </w:rPr>
        <w:t>wpływających</w:t>
      </w:r>
      <w:r w:rsidRPr="00032F73">
        <w:rPr>
          <w:rFonts w:ascii="Lato" w:hAnsi="Lato"/>
        </w:rPr>
        <w:t xml:space="preserve"> na dostępność leków dla pacjentów.</w:t>
      </w:r>
      <w:r>
        <w:rPr>
          <w:rFonts w:ascii="Lato" w:hAnsi="Lato"/>
        </w:rPr>
        <w:t xml:space="preserve"> </w:t>
      </w:r>
      <w:r w:rsidRPr="00032F73">
        <w:rPr>
          <w:rFonts w:ascii="Lato" w:hAnsi="Lato"/>
        </w:rPr>
        <w:t>Zaproponowany w ustawie mechanizm BLP, pozwala zwiększyć znaczenie wpływu działalności inwestycyjnej wnioskodawcy w zakresie związanym z ochroną zdrowia na terytorium R</w:t>
      </w:r>
      <w:r>
        <w:rPr>
          <w:rFonts w:ascii="Lato" w:hAnsi="Lato"/>
        </w:rPr>
        <w:t>zeczypospolitej Polskiej</w:t>
      </w:r>
      <w:r w:rsidRPr="00032F73">
        <w:rPr>
          <w:rFonts w:ascii="Lato" w:hAnsi="Lato"/>
        </w:rPr>
        <w:t xml:space="preserve">, zwłaszcza uwzględniający aspekt produkcji leków na terytorium Rzeczpospolitej Polskiej bądź wykorzystania do produkcji takich leków substancji czynnej wyprodukowanej na terytorium Rzeczpospolitej Polskiej stanowi zachętę do rozwoju produkcji substancji czynnych i leków w kraju.  Dzięki </w:t>
      </w:r>
      <w:r>
        <w:rPr>
          <w:rFonts w:ascii="Lato" w:hAnsi="Lato"/>
        </w:rPr>
        <w:t>wprowadzonym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>regulacjom</w:t>
      </w:r>
      <w:r w:rsidRPr="00032F73">
        <w:rPr>
          <w:rFonts w:ascii="Lato" w:hAnsi="Lato"/>
        </w:rPr>
        <w:t xml:space="preserve"> możliwe </w:t>
      </w:r>
      <w:r>
        <w:rPr>
          <w:rFonts w:ascii="Lato" w:hAnsi="Lato"/>
        </w:rPr>
        <w:t>jest</w:t>
      </w:r>
      <w:r w:rsidRPr="00032F73">
        <w:rPr>
          <w:rFonts w:ascii="Lato" w:hAnsi="Lato"/>
        </w:rPr>
        <w:t xml:space="preserve"> wnioskowanie o większe benefity w zakresie refundacji. </w:t>
      </w:r>
      <w:r>
        <w:rPr>
          <w:rFonts w:ascii="Lato" w:hAnsi="Lato"/>
        </w:rPr>
        <w:t xml:space="preserve">Obecnie </w:t>
      </w:r>
      <w:r w:rsidRPr="00032F73">
        <w:rPr>
          <w:rFonts w:ascii="Lato" w:hAnsi="Lato"/>
        </w:rPr>
        <w:t xml:space="preserve">Wnioskodawcy </w:t>
      </w:r>
      <w:r>
        <w:rPr>
          <w:rFonts w:ascii="Lato" w:hAnsi="Lato"/>
        </w:rPr>
        <w:t>mogą</w:t>
      </w:r>
      <w:r w:rsidRPr="00032F73">
        <w:rPr>
          <w:rFonts w:ascii="Lato" w:hAnsi="Lato"/>
        </w:rPr>
        <w:t xml:space="preserve"> się ubiegać o następujące preferencje:</w:t>
      </w:r>
    </w:p>
    <w:p w14:paraId="6660672C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 xml:space="preserve">zwolnienie z obowiązku zapłaty kwoty przekroczenia w przypadku przekroczenia całkowitego budżetu na refundację, o którym mowa w art. 4 (tzw. </w:t>
      </w:r>
      <w:proofErr w:type="spellStart"/>
      <w:r w:rsidRPr="000F15DB">
        <w:rPr>
          <w:rFonts w:ascii="Lato" w:hAnsi="Lato"/>
        </w:rPr>
        <w:t>payback</w:t>
      </w:r>
      <w:proofErr w:type="spellEnd"/>
      <w:r w:rsidRPr="000F15DB">
        <w:rPr>
          <w:rFonts w:ascii="Lato" w:hAnsi="Lato"/>
        </w:rPr>
        <w:t xml:space="preserve"> ustawowy), wówczas koszt ten ponosi Fundusz,</w:t>
      </w:r>
    </w:p>
    <w:p w14:paraId="1B62FD1F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wydanie pierwszej decyzji o objęciu refundacją na okres 3 lat, a każdej kolejnej decyzji o objęciu refundacją na okres 5 lat pod warunkiem, że proponowana cena zbytu netto nie przekroczy 150% ceny zbytu netto leku stanowiącej podstawę limitu w grupie limitowej, w której znajduje się lek będący przedmiotem wniosku, z obwieszczenia Ministra Zdrowia, obowiązującego w dniu złożenia wniosku, chyba że lek nie był dotychczas wytwarzany w Polsce wówczas pierwsza decyzja o objęciu refundacją jest wydawana na okres 5 lat,</w:t>
      </w:r>
    </w:p>
    <w:p w14:paraId="3F954496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zwolnione z negocjacji cenowych z Komisją Ekonomiczną, w ramach wniosków stanowiących kontynuację refundacji leku refundowanych w aptece,</w:t>
      </w:r>
    </w:p>
    <w:p w14:paraId="5C74FC6B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rozpatrzenie wniosku w terminie nie dłuższym niż 90 dni, dla leków dostępnych w aptece, oraz nie dłuższym niż 120 dni dla leków refundowanych w ramach chemioterapii lub programów lekowych,</w:t>
      </w:r>
    </w:p>
    <w:p w14:paraId="0F046B1E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zmniejszenie opłaty za złożenie wniosku lub jego uzupełnienie do poziomu 50%,</w:t>
      </w:r>
    </w:p>
    <w:p w14:paraId="378E13FF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lastRenderedPageBreak/>
        <w:t>obniżenie do 50% opłaty za analizę weryfikacyjną,</w:t>
      </w:r>
    </w:p>
    <w:p w14:paraId="60A1FD05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umożliwienie ustalenia urzędowej ceny zbytu w wysokości 75% urzędowej ceny zbytu jedynego odpowiednika refundowanego w danym wskazaniu,</w:t>
      </w:r>
    </w:p>
    <w:p w14:paraId="41748B6C" w14:textId="5AE6BAAB" w:rsidR="0057280A" w:rsidRDefault="0057280A" w:rsidP="0057280A">
      <w:pPr>
        <w:spacing w:after="120" w:line="360" w:lineRule="auto"/>
        <w:rPr>
          <w:rFonts w:ascii="Lato" w:hAnsi="Lato"/>
        </w:rPr>
      </w:pPr>
      <w:r w:rsidRPr="00032F73">
        <w:rPr>
          <w:rFonts w:ascii="Lato" w:hAnsi="Lato"/>
        </w:rPr>
        <w:t xml:space="preserve">Dodatkowo </w:t>
      </w:r>
      <w:r>
        <w:rPr>
          <w:rFonts w:ascii="Lato" w:hAnsi="Lato"/>
        </w:rPr>
        <w:t>wraz z nadaniem statusu „polskiego leku” redukcji ulega</w:t>
      </w:r>
      <w:r w:rsidRPr="00032F73">
        <w:rPr>
          <w:rFonts w:ascii="Lato" w:hAnsi="Lato"/>
        </w:rPr>
        <w:t xml:space="preserve"> poziom odpłatności pacjenta za lek refundowany w aptece o 10%, jeżeli lek jest wytwarzany w Polsce albo do jego wytworzenia wykorzystano substancję czynną wyprodukowaną na terenie Rzeczpospolitej Polskiej albo o 15%, jeżeli lek jest wytwarzany </w:t>
      </w:r>
      <w:r w:rsidR="0045613D">
        <w:rPr>
          <w:rFonts w:ascii="Lato" w:hAnsi="Lato"/>
        </w:rPr>
        <w:t xml:space="preserve">w </w:t>
      </w:r>
      <w:r w:rsidRPr="00032F73">
        <w:rPr>
          <w:rFonts w:ascii="Lato" w:hAnsi="Lato"/>
        </w:rPr>
        <w:t xml:space="preserve">Polsce z wykorzystaniem substancji czynnej wytwarzanej w Polsce. </w:t>
      </w:r>
    </w:p>
    <w:p w14:paraId="35305876" w14:textId="739C46E5" w:rsidR="005224DB" w:rsidRDefault="005224DB" w:rsidP="005224DB">
      <w:pPr>
        <w:suppressAutoHyphens w:val="0"/>
        <w:spacing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Mając na względzie powyższe, niniejsze obwieszczenie uzupełniono o dwa nowe wykazy, tj.:</w:t>
      </w:r>
    </w:p>
    <w:p w14:paraId="06F5EDE4" w14:textId="40AB3557" w:rsidR="0057280A" w:rsidRDefault="0057280A" w:rsidP="0057280A">
      <w:pPr>
        <w:numPr>
          <w:ilvl w:val="0"/>
          <w:numId w:val="29"/>
        </w:numPr>
        <w:suppressAutoHyphens w:val="0"/>
        <w:spacing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wykaz </w:t>
      </w:r>
      <w:r w:rsidR="005224DB">
        <w:rPr>
          <w:rFonts w:ascii="Lato" w:hAnsi="Lato"/>
        </w:rPr>
        <w:t>G</w:t>
      </w:r>
      <w:r>
        <w:rPr>
          <w:rFonts w:ascii="Lato" w:hAnsi="Lato"/>
        </w:rPr>
        <w:t xml:space="preserve">1 - </w:t>
      </w:r>
      <w:r w:rsidR="005224DB" w:rsidRPr="005224DB">
        <w:rPr>
          <w:rFonts w:ascii="Lato" w:hAnsi="Lato"/>
        </w:rPr>
        <w:t>Leki wytwarzane na terytorium Rzeczypospolitej Polskiej albo takie, do których wytworzenia wykorzystano substancję czynną wytworzoną na terytorium Rzeczypospolitej Polskiej</w:t>
      </w:r>
      <w:r w:rsidR="005224DB">
        <w:rPr>
          <w:rFonts w:ascii="Lato" w:hAnsi="Lato"/>
        </w:rPr>
        <w:t>,</w:t>
      </w:r>
    </w:p>
    <w:p w14:paraId="5D71D6A1" w14:textId="061B2629" w:rsidR="0057280A" w:rsidRPr="00AB3591" w:rsidRDefault="0057280A" w:rsidP="0068046C">
      <w:pPr>
        <w:numPr>
          <w:ilvl w:val="0"/>
          <w:numId w:val="29"/>
        </w:numPr>
        <w:suppressAutoHyphens w:val="0"/>
        <w:spacing w:line="360" w:lineRule="auto"/>
        <w:ind w:left="714" w:hanging="35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wykaz </w:t>
      </w:r>
      <w:r w:rsidR="005224DB">
        <w:rPr>
          <w:rFonts w:ascii="Lato" w:hAnsi="Lato"/>
        </w:rPr>
        <w:t>G</w:t>
      </w:r>
      <w:r>
        <w:rPr>
          <w:rFonts w:ascii="Lato" w:hAnsi="Lato"/>
        </w:rPr>
        <w:t xml:space="preserve">2 - </w:t>
      </w:r>
      <w:r w:rsidR="005224DB" w:rsidRPr="005224DB">
        <w:rPr>
          <w:rFonts w:ascii="Lato" w:hAnsi="Lato"/>
        </w:rPr>
        <w:t>Leki wytwarzane na terytorium Rzeczypospolitej Polskiej z wykorzystaniem substancji czynnej wytwarzanej na terytorium Rzeczypospolitej Polskiej</w:t>
      </w:r>
      <w:r w:rsidR="005224DB">
        <w:rPr>
          <w:rFonts w:ascii="Lato" w:hAnsi="Lato"/>
        </w:rPr>
        <w:t>.</w:t>
      </w:r>
    </w:p>
    <w:p w14:paraId="0F7D1239" w14:textId="2CC39536" w:rsidR="0057280A" w:rsidRPr="00F72521" w:rsidRDefault="0057280A" w:rsidP="00F72521">
      <w:pPr>
        <w:suppressAutoHyphens w:val="0"/>
        <w:spacing w:line="360" w:lineRule="auto"/>
        <w:jc w:val="both"/>
        <w:rPr>
          <w:rFonts w:ascii="Lato" w:eastAsia="Times New Roman" w:hAnsi="Lato" w:cs="Calibri"/>
          <w:color w:val="000000"/>
          <w:lang w:eastAsia="pl-PL"/>
        </w:rPr>
      </w:pPr>
      <w:r w:rsidRPr="00F72521">
        <w:rPr>
          <w:rFonts w:ascii="Lato" w:hAnsi="Lato"/>
        </w:rPr>
        <w:t xml:space="preserve">Wykaz </w:t>
      </w:r>
      <w:r w:rsidR="005224DB" w:rsidRPr="00F72521">
        <w:rPr>
          <w:rFonts w:ascii="Lato" w:hAnsi="Lato"/>
        </w:rPr>
        <w:t>G1</w:t>
      </w:r>
      <w:r w:rsidRPr="00F72521">
        <w:rPr>
          <w:rFonts w:ascii="Lato" w:hAnsi="Lato"/>
        </w:rPr>
        <w:t xml:space="preserve"> zawiera </w:t>
      </w:r>
      <w:r w:rsidR="005224DB" w:rsidRPr="00F72521">
        <w:rPr>
          <w:rFonts w:ascii="Lato" w:hAnsi="Lato"/>
          <w:b/>
          <w:bCs/>
        </w:rPr>
        <w:t>329</w:t>
      </w:r>
      <w:r w:rsidRPr="00F72521">
        <w:rPr>
          <w:rFonts w:ascii="Lato" w:hAnsi="Lato"/>
          <w:b/>
          <w:bCs/>
        </w:rPr>
        <w:t xml:space="preserve"> leków</w:t>
      </w:r>
      <w:r w:rsidRPr="00F72521">
        <w:rPr>
          <w:rFonts w:ascii="Lato" w:hAnsi="Lato"/>
        </w:rPr>
        <w:t xml:space="preserve"> rozumianych jako indywidualne kody GTIN. Lista </w:t>
      </w:r>
      <w:r w:rsidR="005224DB" w:rsidRPr="00F72521">
        <w:rPr>
          <w:rFonts w:ascii="Lato" w:hAnsi="Lato"/>
        </w:rPr>
        <w:t>leków wytwarzanych w Polsce albo z substancji czynnej wytwarzanej w Polsce</w:t>
      </w:r>
      <w:r w:rsidRPr="00F72521">
        <w:rPr>
          <w:rFonts w:ascii="Lato" w:hAnsi="Lato"/>
        </w:rPr>
        <w:t xml:space="preserve"> obejmuje </w:t>
      </w:r>
      <w:r w:rsidR="005224DB" w:rsidRPr="00F72521">
        <w:rPr>
          <w:rFonts w:ascii="Lato" w:hAnsi="Lato"/>
          <w:b/>
          <w:bCs/>
        </w:rPr>
        <w:t>prawie 90</w:t>
      </w:r>
      <w:r w:rsidRPr="00F72521">
        <w:rPr>
          <w:rFonts w:ascii="Lato" w:hAnsi="Lato"/>
          <w:b/>
          <w:bCs/>
        </w:rPr>
        <w:t xml:space="preserve"> substancji czynnych</w:t>
      </w:r>
      <w:r w:rsidR="005224DB" w:rsidRPr="00F72521">
        <w:rPr>
          <w:rFonts w:ascii="Lato" w:hAnsi="Lato"/>
          <w:b/>
          <w:bCs/>
        </w:rPr>
        <w:t xml:space="preserve"> lub ich połączeń </w:t>
      </w:r>
      <w:r w:rsidRPr="00F72521">
        <w:rPr>
          <w:rFonts w:ascii="Lato" w:hAnsi="Lato"/>
        </w:rPr>
        <w:t xml:space="preserve"> umieszczonych w </w:t>
      </w:r>
      <w:r w:rsidR="004E2587" w:rsidRPr="00F72521">
        <w:rPr>
          <w:rFonts w:ascii="Lato" w:hAnsi="Lato"/>
          <w:b/>
          <w:bCs/>
        </w:rPr>
        <w:t>71</w:t>
      </w:r>
      <w:r w:rsidRPr="00F72521">
        <w:rPr>
          <w:rFonts w:ascii="Lato" w:hAnsi="Lato"/>
          <w:b/>
          <w:bCs/>
        </w:rPr>
        <w:t xml:space="preserve"> grupach limitowych</w:t>
      </w:r>
      <w:r w:rsidRPr="00F72521">
        <w:rPr>
          <w:rFonts w:ascii="Lato" w:hAnsi="Lato"/>
        </w:rPr>
        <w:t xml:space="preserve">. </w:t>
      </w:r>
      <w:r w:rsidR="0014005D" w:rsidRPr="00F72521">
        <w:rPr>
          <w:rFonts w:ascii="Lato" w:hAnsi="Lato"/>
        </w:rPr>
        <w:t xml:space="preserve">Leki umieszczone na wykazie G1 </w:t>
      </w:r>
      <w:r w:rsidR="0011263C" w:rsidRPr="00F72521">
        <w:rPr>
          <w:rFonts w:ascii="Lato" w:hAnsi="Lato"/>
        </w:rPr>
        <w:t xml:space="preserve">należą do portfolio </w:t>
      </w:r>
      <w:r w:rsidR="0011263C" w:rsidRPr="00F72521">
        <w:rPr>
          <w:rFonts w:ascii="Lato" w:hAnsi="Lato"/>
          <w:b/>
          <w:bCs/>
        </w:rPr>
        <w:t>7 podmiotów odpowiedzialnych</w:t>
      </w:r>
      <w:r w:rsidR="0011263C" w:rsidRPr="00F72521">
        <w:rPr>
          <w:rFonts w:ascii="Lato" w:hAnsi="Lato"/>
        </w:rPr>
        <w:t xml:space="preserve"> </w:t>
      </w:r>
      <w:r w:rsidR="00F72521" w:rsidRPr="00F72521">
        <w:rPr>
          <w:rFonts w:ascii="Lato" w:hAnsi="Lato"/>
        </w:rPr>
        <w:t>(</w:t>
      </w:r>
      <w:proofErr w:type="spellStart"/>
      <w:r w:rsidR="00F72521" w:rsidRPr="00F72521">
        <w:rPr>
          <w:rFonts w:ascii="Lato" w:eastAsia="Times New Roman" w:hAnsi="Lato" w:cs="Calibri"/>
          <w:color w:val="000000"/>
          <w:lang w:eastAsia="pl-PL"/>
        </w:rPr>
        <w:t>Adamed</w:t>
      </w:r>
      <w:proofErr w:type="spellEnd"/>
      <w:r w:rsidR="00F72521" w:rsidRPr="00F72521">
        <w:rPr>
          <w:rFonts w:ascii="Lato" w:eastAsia="Times New Roman" w:hAnsi="Lato" w:cs="Calibri"/>
          <w:color w:val="000000"/>
          <w:lang w:eastAsia="pl-PL"/>
        </w:rPr>
        <w:t xml:space="preserve"> Pharma S.A., Celon Pharma S.A., Gedeon Richter Polska Sp. z o.o., Tarchomińskie Zakłady Farmaceutyczne "Polfa" S.A., </w:t>
      </w:r>
      <w:proofErr w:type="spellStart"/>
      <w:r w:rsidR="00F72521" w:rsidRPr="00F72521">
        <w:rPr>
          <w:rFonts w:ascii="Lato" w:eastAsia="Times New Roman" w:hAnsi="Lato" w:cs="Calibri"/>
          <w:color w:val="000000"/>
          <w:lang w:eastAsia="pl-PL"/>
        </w:rPr>
        <w:t>Teva</w:t>
      </w:r>
      <w:proofErr w:type="spellEnd"/>
      <w:r w:rsidR="00F72521" w:rsidRPr="00F72521">
        <w:rPr>
          <w:rFonts w:ascii="Lato" w:eastAsia="Times New Roman" w:hAnsi="Lato" w:cs="Calibri"/>
          <w:color w:val="000000"/>
          <w:lang w:eastAsia="pl-PL"/>
        </w:rPr>
        <w:t xml:space="preserve"> </w:t>
      </w:r>
      <w:proofErr w:type="spellStart"/>
      <w:r w:rsidR="00F72521" w:rsidRPr="00F72521">
        <w:rPr>
          <w:rFonts w:ascii="Lato" w:eastAsia="Times New Roman" w:hAnsi="Lato" w:cs="Calibri"/>
          <w:color w:val="000000"/>
          <w:lang w:eastAsia="pl-PL"/>
        </w:rPr>
        <w:t>Pharmaceuticals</w:t>
      </w:r>
      <w:proofErr w:type="spellEnd"/>
      <w:r w:rsidR="00F72521" w:rsidRPr="00F72521">
        <w:rPr>
          <w:rFonts w:ascii="Lato" w:eastAsia="Times New Roman" w:hAnsi="Lato" w:cs="Calibri"/>
          <w:color w:val="000000"/>
          <w:lang w:eastAsia="pl-PL"/>
        </w:rPr>
        <w:t xml:space="preserve"> Polska Sp. z o.o.,</w:t>
      </w:r>
      <w:r w:rsidR="00F72521" w:rsidRPr="00F72521">
        <w:rPr>
          <w:rFonts w:ascii="Lato" w:hAnsi="Lato" w:cs="Calibri"/>
          <w:color w:val="000000"/>
        </w:rPr>
        <w:t xml:space="preserve"> </w:t>
      </w:r>
      <w:r w:rsidR="00F72521" w:rsidRPr="00F72521">
        <w:rPr>
          <w:rFonts w:ascii="Lato" w:eastAsia="Times New Roman" w:hAnsi="Lato" w:cs="Calibri"/>
          <w:color w:val="000000"/>
          <w:lang w:eastAsia="pl-PL"/>
        </w:rPr>
        <w:t>Warszawskie Zakłady Farmaceutyczne Polfa S.A., Zakłady Farmaceutyczne POLPHARMA S.A.</w:t>
      </w:r>
      <w:r w:rsidR="00F72521">
        <w:rPr>
          <w:rFonts w:ascii="Lato" w:eastAsia="Times New Roman" w:hAnsi="Lato" w:cs="Calibri"/>
          <w:color w:val="000000"/>
          <w:lang w:eastAsia="pl-PL"/>
        </w:rPr>
        <w:t xml:space="preserve">) </w:t>
      </w:r>
      <w:r w:rsidR="0011263C" w:rsidRPr="00F72521">
        <w:rPr>
          <w:rFonts w:ascii="Lato" w:hAnsi="Lato"/>
        </w:rPr>
        <w:t xml:space="preserve">i </w:t>
      </w:r>
      <w:r w:rsidR="0014005D" w:rsidRPr="00F72521">
        <w:rPr>
          <w:rFonts w:ascii="Lato" w:hAnsi="Lato"/>
        </w:rPr>
        <w:t xml:space="preserve">objęte są 10% redukcją kwoty stanowiącej dopłatę pacjenta. </w:t>
      </w:r>
      <w:r w:rsidRPr="00F72521">
        <w:rPr>
          <w:rFonts w:ascii="Lato" w:hAnsi="Lato"/>
        </w:rPr>
        <w:t xml:space="preserve">Wśród tej grupy produktów leczniczych znalazły się m.in. leki: antyhistaminowe, cytostatyczne, hipoglikemizujące, </w:t>
      </w:r>
      <w:proofErr w:type="spellStart"/>
      <w:r w:rsidRPr="00F72521">
        <w:rPr>
          <w:rFonts w:ascii="Lato" w:hAnsi="Lato"/>
        </w:rPr>
        <w:t>hipolipemizujące</w:t>
      </w:r>
      <w:proofErr w:type="spellEnd"/>
      <w:r w:rsidR="0047197E" w:rsidRPr="00F72521">
        <w:rPr>
          <w:rFonts w:ascii="Lato" w:hAnsi="Lato"/>
        </w:rPr>
        <w:t>,</w:t>
      </w:r>
      <w:r w:rsidRPr="00F72521">
        <w:rPr>
          <w:rFonts w:ascii="Lato" w:hAnsi="Lato"/>
        </w:rPr>
        <w:t xml:space="preserve"> hipotensyjne</w:t>
      </w:r>
      <w:r w:rsidR="0047483C" w:rsidRPr="00F72521">
        <w:rPr>
          <w:rFonts w:ascii="Lato" w:hAnsi="Lato"/>
        </w:rPr>
        <w:t xml:space="preserve">, </w:t>
      </w:r>
      <w:proofErr w:type="spellStart"/>
      <w:r w:rsidR="0047197E" w:rsidRPr="00F72521">
        <w:rPr>
          <w:rFonts w:ascii="Lato" w:hAnsi="Lato"/>
        </w:rPr>
        <w:t>przeciwarytmiczne</w:t>
      </w:r>
      <w:proofErr w:type="spellEnd"/>
      <w:r w:rsidR="0047197E" w:rsidRPr="00F72521">
        <w:rPr>
          <w:rFonts w:ascii="Lato" w:hAnsi="Lato"/>
        </w:rPr>
        <w:t xml:space="preserve">, </w:t>
      </w:r>
      <w:r w:rsidRPr="00F72521">
        <w:rPr>
          <w:rFonts w:ascii="Lato" w:hAnsi="Lato"/>
        </w:rPr>
        <w:t xml:space="preserve">przeciwbakteryjne, przeciwgrzybicze, przeciwwirusowe, przeciwbólowe, przeciwdrgawkowe, </w:t>
      </w:r>
      <w:proofErr w:type="spellStart"/>
      <w:r w:rsidR="0047483C" w:rsidRPr="00F72521">
        <w:rPr>
          <w:rFonts w:ascii="Lato" w:hAnsi="Lato"/>
        </w:rPr>
        <w:t>przeciwpsychotyczne</w:t>
      </w:r>
      <w:proofErr w:type="spellEnd"/>
      <w:r w:rsidR="0047483C" w:rsidRPr="00F72521">
        <w:rPr>
          <w:rFonts w:ascii="Lato" w:hAnsi="Lato"/>
        </w:rPr>
        <w:t xml:space="preserve">, </w:t>
      </w:r>
      <w:r w:rsidRPr="00F72521">
        <w:rPr>
          <w:rFonts w:ascii="Lato" w:hAnsi="Lato"/>
        </w:rPr>
        <w:t>przeciwreumatyczne, przeciwparkinsonowskie, przeciwzakrzepowe, stosowane w chorobach dróg oddechowych, stosowane w chorobach urologicznych, stosowane w chorobach układu pokarmowego</w:t>
      </w:r>
      <w:r w:rsidR="00071A55" w:rsidRPr="00F72521">
        <w:rPr>
          <w:rFonts w:ascii="Lato" w:hAnsi="Lato"/>
        </w:rPr>
        <w:t>.</w:t>
      </w:r>
    </w:p>
    <w:p w14:paraId="428131AF" w14:textId="663FFA07" w:rsidR="0047197E" w:rsidRDefault="0047197E" w:rsidP="0047197E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Wykaz G2 zawiera </w:t>
      </w:r>
      <w:r w:rsidRPr="0047197E">
        <w:rPr>
          <w:rFonts w:ascii="Lato" w:hAnsi="Lato"/>
          <w:b/>
          <w:bCs/>
        </w:rPr>
        <w:t>24 leki</w:t>
      </w:r>
      <w:r>
        <w:rPr>
          <w:rFonts w:ascii="Lato" w:hAnsi="Lato"/>
        </w:rPr>
        <w:t xml:space="preserve"> rozumiane jako indywidualne kody GTIN. Lista leków wytwarzanych w Polsce z wykorzystaniem substancji czynnej wytwarzanej w Polsce obejmuje </w:t>
      </w:r>
      <w:r>
        <w:rPr>
          <w:rFonts w:ascii="Lato" w:hAnsi="Lato"/>
          <w:b/>
          <w:bCs/>
        </w:rPr>
        <w:t>11</w:t>
      </w:r>
      <w:r w:rsidR="003F3FAA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substancji czynnych lub ich połączeń </w:t>
      </w:r>
      <w:r>
        <w:rPr>
          <w:rFonts w:ascii="Lato" w:hAnsi="Lato"/>
        </w:rPr>
        <w:t xml:space="preserve"> umieszczonych w </w:t>
      </w:r>
      <w:r>
        <w:rPr>
          <w:rFonts w:ascii="Lato" w:hAnsi="Lato"/>
          <w:b/>
          <w:bCs/>
        </w:rPr>
        <w:t>10 grupach limitowych</w:t>
      </w:r>
      <w:r>
        <w:rPr>
          <w:rFonts w:ascii="Lato" w:hAnsi="Lato"/>
        </w:rPr>
        <w:t xml:space="preserve">. Leki umieszczone na wykazie G2 </w:t>
      </w:r>
      <w:r w:rsidR="0011263C">
        <w:rPr>
          <w:rFonts w:ascii="Lato" w:hAnsi="Lato"/>
        </w:rPr>
        <w:t xml:space="preserve">należą do portfolio </w:t>
      </w:r>
      <w:r w:rsidR="0011263C" w:rsidRPr="0011263C">
        <w:rPr>
          <w:rFonts w:ascii="Lato" w:hAnsi="Lato"/>
          <w:b/>
          <w:bCs/>
        </w:rPr>
        <w:t>3 podmiotów odpowiedzialnych</w:t>
      </w:r>
      <w:r w:rsidR="00F72521" w:rsidRPr="00F72521">
        <w:rPr>
          <w:rFonts w:ascii="Lato" w:hAnsi="Lato"/>
        </w:rPr>
        <w:t xml:space="preserve"> (</w:t>
      </w:r>
      <w:r w:rsidR="00F72521" w:rsidRPr="00F72521">
        <w:rPr>
          <w:rFonts w:ascii="Lato" w:eastAsia="Times New Roman" w:hAnsi="Lato" w:cs="Calibri"/>
          <w:color w:val="000000"/>
          <w:lang w:eastAsia="pl-PL"/>
        </w:rPr>
        <w:t>Tarchomińskie Zakłady Farmaceutyczne "Polfa" S.A., Warszawskie Zakłady Farmaceutyczne Polfa S.A., Zakłady Farmaceutyczne POLPHARMA S.A.</w:t>
      </w:r>
      <w:r w:rsidR="00F72521">
        <w:rPr>
          <w:rFonts w:ascii="Lato" w:eastAsia="Times New Roman" w:hAnsi="Lato" w:cs="Calibri"/>
          <w:color w:val="000000"/>
          <w:lang w:eastAsia="pl-PL"/>
        </w:rPr>
        <w:t>)</w:t>
      </w:r>
      <w:r w:rsidR="0011263C">
        <w:rPr>
          <w:rFonts w:ascii="Lato" w:hAnsi="Lato"/>
        </w:rPr>
        <w:t xml:space="preserve"> i </w:t>
      </w:r>
      <w:r>
        <w:rPr>
          <w:rFonts w:ascii="Lato" w:hAnsi="Lato"/>
        </w:rPr>
        <w:t xml:space="preserve">objęte są 15% redukcją kwoty stanowiącej dopłatę pacjenta. Wśród tej grupy produktów leczniczych znalazły się m.in. leki: hipoglikemizujące, hipotensyjne, przeciwdrgawkowe, </w:t>
      </w:r>
      <w:proofErr w:type="spellStart"/>
      <w:r>
        <w:rPr>
          <w:rFonts w:ascii="Lato" w:hAnsi="Lato"/>
        </w:rPr>
        <w:t>przeciwpsychotyczne</w:t>
      </w:r>
      <w:proofErr w:type="spellEnd"/>
      <w:r>
        <w:rPr>
          <w:rFonts w:ascii="Lato" w:hAnsi="Lato"/>
        </w:rPr>
        <w:t>, przeciwzakrzepowe, stosowane w chorobach dróg oddechowych</w:t>
      </w:r>
      <w:r w:rsidR="004E2587">
        <w:rPr>
          <w:rFonts w:ascii="Lato" w:hAnsi="Lato"/>
        </w:rPr>
        <w:t>.</w:t>
      </w:r>
    </w:p>
    <w:p w14:paraId="7A53AF28" w14:textId="7F6D3F21" w:rsidR="0047197E" w:rsidRDefault="004E2587" w:rsidP="004E2587">
      <w:pPr>
        <w:spacing w:line="360" w:lineRule="auto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PRZYWRÓCENIE STAWKI VAT NA ŚRODKI SPOŻYWCZE SPECJALNEGO PRZEZNACZENIA ŻYWIENIOWEGO</w:t>
      </w:r>
    </w:p>
    <w:p w14:paraId="0CBA89E0" w14:textId="6A585A62" w:rsidR="0057280A" w:rsidRPr="00AB3591" w:rsidRDefault="00AB3591" w:rsidP="00AB3591">
      <w:pPr>
        <w:spacing w:line="360" w:lineRule="auto"/>
        <w:jc w:val="both"/>
        <w:rPr>
          <w:rFonts w:ascii="Lato" w:hAnsi="Lato"/>
        </w:rPr>
      </w:pPr>
      <w:r w:rsidRPr="00AB3591">
        <w:rPr>
          <w:rFonts w:ascii="Lato" w:hAnsi="Lato"/>
        </w:rPr>
        <w:t>Zgodnie z informacja zamieszczoną na oficjalnej stronie Ministerstwa Finansów</w:t>
      </w:r>
      <w:r>
        <w:rPr>
          <w:rFonts w:ascii="Lato" w:hAnsi="Lato"/>
        </w:rPr>
        <w:t>,</w:t>
      </w:r>
      <w:r w:rsidRPr="00AB3591">
        <w:rPr>
          <w:rFonts w:ascii="Lato" w:hAnsi="Lato"/>
        </w:rPr>
        <w:t xml:space="preserve"> </w:t>
      </w:r>
      <w:r w:rsidRPr="00AB3591">
        <w:rPr>
          <w:rFonts w:ascii="Lato" w:hAnsi="Lato"/>
          <w:i/>
          <w:iCs/>
        </w:rPr>
        <w:t>w związku z najnowszymi odczytami inflacji oraz prognozami dynamiki cen podstawowych produktów spożywczych objętych przejściową stawką VAT 0%, Ministerstwo Finansów podjęło decyzję o nieprzedłużaniu po 31.03.2024 roku okresowego obniżenia stawki VAT na podstawowe produkty spożywcze</w:t>
      </w:r>
      <w:r w:rsidRPr="00AB3591">
        <w:rPr>
          <w:rFonts w:ascii="Lato" w:hAnsi="Lato"/>
        </w:rPr>
        <w:t>.</w:t>
      </w:r>
      <w:r>
        <w:rPr>
          <w:rFonts w:ascii="Lato" w:hAnsi="Lato"/>
        </w:rPr>
        <w:t xml:space="preserve"> Konsekwencją decyzji Ministerstwa Finansów jest przywrócenie 5% stawki VAT do wyliczeń cenowych refundowanych środków spożywczych specjalnego przeznaczenia żywieniowego zawartych na wykazie A2</w:t>
      </w:r>
      <w:r w:rsidR="00AE497D">
        <w:rPr>
          <w:rFonts w:ascii="Lato" w:hAnsi="Lato"/>
        </w:rPr>
        <w:t xml:space="preserve"> i wykazie B (produkt </w:t>
      </w:r>
      <w:r w:rsidR="00AE497D" w:rsidRPr="00AE497D">
        <w:rPr>
          <w:rFonts w:ascii="Lato" w:hAnsi="Lato"/>
        </w:rPr>
        <w:t>L-karnityna</w:t>
      </w:r>
      <w:r w:rsidR="00AE497D">
        <w:rPr>
          <w:rFonts w:ascii="Lato" w:hAnsi="Lato"/>
        </w:rPr>
        <w:t>)</w:t>
      </w:r>
      <w:r>
        <w:rPr>
          <w:rFonts w:ascii="Lato" w:hAnsi="Lato"/>
        </w:rPr>
        <w:t xml:space="preserve"> niniejszego obwieszczenia. </w:t>
      </w:r>
    </w:p>
    <w:sectPr w:rsidR="0057280A" w:rsidRPr="00AB3591" w:rsidSect="0070349C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43DE" w14:textId="77777777" w:rsidR="0070349C" w:rsidRDefault="0070349C">
      <w:pPr>
        <w:spacing w:after="0" w:line="240" w:lineRule="auto"/>
      </w:pPr>
      <w:r>
        <w:separator/>
      </w:r>
    </w:p>
  </w:endnote>
  <w:endnote w:type="continuationSeparator" w:id="0">
    <w:p w14:paraId="17A06339" w14:textId="77777777" w:rsidR="0070349C" w:rsidRDefault="0070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61B8" w14:textId="77777777" w:rsidR="0070349C" w:rsidRDefault="007034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8FC1FB" w14:textId="77777777" w:rsidR="0070349C" w:rsidRDefault="0070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4" w:name="_Hlk74147372"/>
    <w:bookmarkEnd w:id="4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666"/>
    <w:multiLevelType w:val="hybridMultilevel"/>
    <w:tmpl w:val="A4F8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12DB4"/>
    <w:multiLevelType w:val="hybridMultilevel"/>
    <w:tmpl w:val="0F0E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02E3E"/>
    <w:multiLevelType w:val="hybridMultilevel"/>
    <w:tmpl w:val="824E7FF2"/>
    <w:lvl w:ilvl="0" w:tplc="42B4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D6190"/>
    <w:multiLevelType w:val="hybridMultilevel"/>
    <w:tmpl w:val="2884C96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4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10"/>
  </w:num>
  <w:num w:numId="9" w16cid:durableId="969629549">
    <w:abstractNumId w:val="21"/>
  </w:num>
  <w:num w:numId="10" w16cid:durableId="1576276737">
    <w:abstractNumId w:val="1"/>
  </w:num>
  <w:num w:numId="11" w16cid:durableId="409036424">
    <w:abstractNumId w:val="26"/>
  </w:num>
  <w:num w:numId="12" w16cid:durableId="1526747669">
    <w:abstractNumId w:val="2"/>
  </w:num>
  <w:num w:numId="13" w16cid:durableId="1746950255">
    <w:abstractNumId w:val="11"/>
  </w:num>
  <w:num w:numId="14" w16cid:durableId="329715522">
    <w:abstractNumId w:val="13"/>
  </w:num>
  <w:num w:numId="15" w16cid:durableId="1837842867">
    <w:abstractNumId w:val="12"/>
  </w:num>
  <w:num w:numId="16" w16cid:durableId="1970238000">
    <w:abstractNumId w:val="23"/>
  </w:num>
  <w:num w:numId="17" w16cid:durableId="485172914">
    <w:abstractNumId w:val="17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9"/>
  </w:num>
  <w:num w:numId="22" w16cid:durableId="1157845039">
    <w:abstractNumId w:val="18"/>
  </w:num>
  <w:num w:numId="23" w16cid:durableId="1318220489">
    <w:abstractNumId w:val="15"/>
  </w:num>
  <w:num w:numId="24" w16cid:durableId="791442922">
    <w:abstractNumId w:val="20"/>
  </w:num>
  <w:num w:numId="25" w16cid:durableId="2017875421">
    <w:abstractNumId w:val="14"/>
  </w:num>
  <w:num w:numId="26" w16cid:durableId="980844193">
    <w:abstractNumId w:val="9"/>
  </w:num>
  <w:num w:numId="27" w16cid:durableId="1580867898">
    <w:abstractNumId w:val="16"/>
  </w:num>
  <w:num w:numId="28" w16cid:durableId="108477893">
    <w:abstractNumId w:val="22"/>
  </w:num>
  <w:num w:numId="29" w16cid:durableId="18091995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71A55"/>
    <w:rsid w:val="0008118E"/>
    <w:rsid w:val="00086074"/>
    <w:rsid w:val="0009112E"/>
    <w:rsid w:val="00097B17"/>
    <w:rsid w:val="000A4576"/>
    <w:rsid w:val="000A688D"/>
    <w:rsid w:val="000A6B96"/>
    <w:rsid w:val="000B07C1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0F61F5"/>
    <w:rsid w:val="001030B2"/>
    <w:rsid w:val="0011263C"/>
    <w:rsid w:val="001204EA"/>
    <w:rsid w:val="00127452"/>
    <w:rsid w:val="0014005D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354B"/>
    <w:rsid w:val="001D6485"/>
    <w:rsid w:val="001E2320"/>
    <w:rsid w:val="001E610A"/>
    <w:rsid w:val="001E721F"/>
    <w:rsid w:val="00202697"/>
    <w:rsid w:val="00205C55"/>
    <w:rsid w:val="00206C0B"/>
    <w:rsid w:val="00221A2A"/>
    <w:rsid w:val="002270E2"/>
    <w:rsid w:val="00230BB7"/>
    <w:rsid w:val="0024697E"/>
    <w:rsid w:val="00255E53"/>
    <w:rsid w:val="00275115"/>
    <w:rsid w:val="00280311"/>
    <w:rsid w:val="00281BE7"/>
    <w:rsid w:val="0028384A"/>
    <w:rsid w:val="00286651"/>
    <w:rsid w:val="00287196"/>
    <w:rsid w:val="0029287B"/>
    <w:rsid w:val="0029403F"/>
    <w:rsid w:val="002C0340"/>
    <w:rsid w:val="002C19DE"/>
    <w:rsid w:val="002D5020"/>
    <w:rsid w:val="002D55B8"/>
    <w:rsid w:val="002D6ED9"/>
    <w:rsid w:val="002E46AC"/>
    <w:rsid w:val="002F0FB2"/>
    <w:rsid w:val="002F61E3"/>
    <w:rsid w:val="003051DF"/>
    <w:rsid w:val="00305610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3F3FAA"/>
    <w:rsid w:val="00404F9B"/>
    <w:rsid w:val="00411C64"/>
    <w:rsid w:val="004156E6"/>
    <w:rsid w:val="00415707"/>
    <w:rsid w:val="00416F70"/>
    <w:rsid w:val="0041703B"/>
    <w:rsid w:val="004226E8"/>
    <w:rsid w:val="00424198"/>
    <w:rsid w:val="004403B4"/>
    <w:rsid w:val="00446466"/>
    <w:rsid w:val="00447CE9"/>
    <w:rsid w:val="00453B55"/>
    <w:rsid w:val="0045613D"/>
    <w:rsid w:val="00457779"/>
    <w:rsid w:val="00466FE8"/>
    <w:rsid w:val="0047197E"/>
    <w:rsid w:val="004744CD"/>
    <w:rsid w:val="0047483C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2587"/>
    <w:rsid w:val="004E4723"/>
    <w:rsid w:val="004F3FEF"/>
    <w:rsid w:val="004F7A4E"/>
    <w:rsid w:val="005058F2"/>
    <w:rsid w:val="00512C38"/>
    <w:rsid w:val="00512C7C"/>
    <w:rsid w:val="005130EF"/>
    <w:rsid w:val="005143E4"/>
    <w:rsid w:val="00516499"/>
    <w:rsid w:val="005224DB"/>
    <w:rsid w:val="0055182D"/>
    <w:rsid w:val="00553AE5"/>
    <w:rsid w:val="0056748F"/>
    <w:rsid w:val="0057280A"/>
    <w:rsid w:val="00574D83"/>
    <w:rsid w:val="00584C82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550D"/>
    <w:rsid w:val="005F70FE"/>
    <w:rsid w:val="006008CD"/>
    <w:rsid w:val="00633806"/>
    <w:rsid w:val="00633883"/>
    <w:rsid w:val="00634434"/>
    <w:rsid w:val="0064109C"/>
    <w:rsid w:val="0064487F"/>
    <w:rsid w:val="00644E28"/>
    <w:rsid w:val="00645CA2"/>
    <w:rsid w:val="006648F3"/>
    <w:rsid w:val="00670C14"/>
    <w:rsid w:val="0068046C"/>
    <w:rsid w:val="00680B0E"/>
    <w:rsid w:val="00686511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6B78"/>
    <w:rsid w:val="006D7964"/>
    <w:rsid w:val="006F498A"/>
    <w:rsid w:val="006F5BEB"/>
    <w:rsid w:val="0070349C"/>
    <w:rsid w:val="007135A8"/>
    <w:rsid w:val="007156F6"/>
    <w:rsid w:val="00715B91"/>
    <w:rsid w:val="007321D8"/>
    <w:rsid w:val="00733AF9"/>
    <w:rsid w:val="00734732"/>
    <w:rsid w:val="00740ABA"/>
    <w:rsid w:val="00741E62"/>
    <w:rsid w:val="0074295D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DAB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1D0D"/>
    <w:rsid w:val="00896D35"/>
    <w:rsid w:val="008B00C4"/>
    <w:rsid w:val="008B089D"/>
    <w:rsid w:val="008B43B0"/>
    <w:rsid w:val="008C0493"/>
    <w:rsid w:val="008C0E92"/>
    <w:rsid w:val="008D45C3"/>
    <w:rsid w:val="008E18D7"/>
    <w:rsid w:val="008E33C7"/>
    <w:rsid w:val="008F1D35"/>
    <w:rsid w:val="008F7384"/>
    <w:rsid w:val="009066C7"/>
    <w:rsid w:val="0092216D"/>
    <w:rsid w:val="00933339"/>
    <w:rsid w:val="00953B84"/>
    <w:rsid w:val="00961330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04BCC"/>
    <w:rsid w:val="00A053B9"/>
    <w:rsid w:val="00A1146C"/>
    <w:rsid w:val="00A118F0"/>
    <w:rsid w:val="00A159DA"/>
    <w:rsid w:val="00A22494"/>
    <w:rsid w:val="00A22A7B"/>
    <w:rsid w:val="00A22EE5"/>
    <w:rsid w:val="00A242D8"/>
    <w:rsid w:val="00A434EB"/>
    <w:rsid w:val="00A510E6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2E63"/>
    <w:rsid w:val="00AA4608"/>
    <w:rsid w:val="00AA6179"/>
    <w:rsid w:val="00AB1235"/>
    <w:rsid w:val="00AB2D5E"/>
    <w:rsid w:val="00AB3591"/>
    <w:rsid w:val="00AC0511"/>
    <w:rsid w:val="00AD08C5"/>
    <w:rsid w:val="00AE069A"/>
    <w:rsid w:val="00AE497D"/>
    <w:rsid w:val="00AF1EBC"/>
    <w:rsid w:val="00B03985"/>
    <w:rsid w:val="00B1467F"/>
    <w:rsid w:val="00B265ED"/>
    <w:rsid w:val="00B31928"/>
    <w:rsid w:val="00B326A9"/>
    <w:rsid w:val="00B45ED3"/>
    <w:rsid w:val="00B543E9"/>
    <w:rsid w:val="00B57127"/>
    <w:rsid w:val="00B76B2B"/>
    <w:rsid w:val="00B8251D"/>
    <w:rsid w:val="00B94288"/>
    <w:rsid w:val="00B9538B"/>
    <w:rsid w:val="00BA15A9"/>
    <w:rsid w:val="00BB30C0"/>
    <w:rsid w:val="00BC376D"/>
    <w:rsid w:val="00BD18E8"/>
    <w:rsid w:val="00BD20BC"/>
    <w:rsid w:val="00C0285F"/>
    <w:rsid w:val="00C15673"/>
    <w:rsid w:val="00C15E6F"/>
    <w:rsid w:val="00C210A9"/>
    <w:rsid w:val="00C22821"/>
    <w:rsid w:val="00C243BF"/>
    <w:rsid w:val="00C25F63"/>
    <w:rsid w:val="00C276AE"/>
    <w:rsid w:val="00C34F0F"/>
    <w:rsid w:val="00C36F4C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1DE1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56FA"/>
    <w:rsid w:val="00D17D3E"/>
    <w:rsid w:val="00D3459A"/>
    <w:rsid w:val="00D4388C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B0B88"/>
    <w:rsid w:val="00DD18C6"/>
    <w:rsid w:val="00DD6D00"/>
    <w:rsid w:val="00DE00F0"/>
    <w:rsid w:val="00DE1894"/>
    <w:rsid w:val="00DE5079"/>
    <w:rsid w:val="00DF6B3A"/>
    <w:rsid w:val="00E10271"/>
    <w:rsid w:val="00E34DF7"/>
    <w:rsid w:val="00E351BA"/>
    <w:rsid w:val="00E35DF6"/>
    <w:rsid w:val="00E50D44"/>
    <w:rsid w:val="00E52765"/>
    <w:rsid w:val="00E64133"/>
    <w:rsid w:val="00E6583C"/>
    <w:rsid w:val="00E66456"/>
    <w:rsid w:val="00E738D5"/>
    <w:rsid w:val="00E8288D"/>
    <w:rsid w:val="00E8348C"/>
    <w:rsid w:val="00E900DE"/>
    <w:rsid w:val="00E91E64"/>
    <w:rsid w:val="00EA2DBB"/>
    <w:rsid w:val="00EA326D"/>
    <w:rsid w:val="00EB1B3E"/>
    <w:rsid w:val="00EB5A68"/>
    <w:rsid w:val="00EB77EA"/>
    <w:rsid w:val="00EC0C4F"/>
    <w:rsid w:val="00EC2941"/>
    <w:rsid w:val="00EC2B8F"/>
    <w:rsid w:val="00EC74BA"/>
    <w:rsid w:val="00ED15F0"/>
    <w:rsid w:val="00EE4384"/>
    <w:rsid w:val="00EE4BD7"/>
    <w:rsid w:val="00EF3551"/>
    <w:rsid w:val="00F017D6"/>
    <w:rsid w:val="00F12CF6"/>
    <w:rsid w:val="00F147FC"/>
    <w:rsid w:val="00F15BD4"/>
    <w:rsid w:val="00F25384"/>
    <w:rsid w:val="00F31A79"/>
    <w:rsid w:val="00F42214"/>
    <w:rsid w:val="00F5061B"/>
    <w:rsid w:val="00F61A7D"/>
    <w:rsid w:val="00F63AA8"/>
    <w:rsid w:val="00F67CA2"/>
    <w:rsid w:val="00F7172F"/>
    <w:rsid w:val="00F72521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34E5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customStyle="1" w:styleId="pismamz">
    <w:name w:val="pisma_mz"/>
    <w:basedOn w:val="Normalny"/>
    <w:link w:val="pismamzZnak"/>
    <w:qFormat/>
    <w:rsid w:val="00E351BA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E351B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B3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layout>
        <c:manualLayout>
          <c:xMode val="edge"/>
          <c:yMode val="edge"/>
          <c:x val="0.16437636761487967"/>
          <c:y val="3.99733510992671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2024'!$B$3:$E$3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E0-422E-80EE-671E2CF41F41}"/>
            </c:ext>
          </c:extLst>
        </c:ser>
        <c:ser>
          <c:idx val="1"/>
          <c:order val="1"/>
          <c:tx>
            <c:strRef>
              <c:f>'miesiące 2024'!$A$4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2024'!$B$4:$E$4</c:f>
              <c:numCache>
                <c:formatCode>General</c:formatCode>
                <c:ptCount val="4"/>
                <c:pt idx="0">
                  <c:v>11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E0-422E-80EE-671E2CF41F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2024'!$B$18:$E$18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D1-49F7-AA94-2A2532319A2C}"/>
            </c:ext>
          </c:extLst>
        </c:ser>
        <c:ser>
          <c:idx val="1"/>
          <c:order val="1"/>
          <c:tx>
            <c:strRef>
              <c:f>'miesiące 2024'!$A$19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2024'!$B$19:$E$19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D1-49F7-AA94-2A2532319A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2024 r. (stan na kwiecień) </a:t>
            </a:r>
          </a:p>
        </c:rich>
      </c:tx>
      <c:layout>
        <c:manualLayout>
          <c:xMode val="edge"/>
          <c:yMode val="edge"/>
          <c:x val="0.16426706318362566"/>
          <c:y val="1.769783569386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1880571795478351"/>
          <c:y val="0.14038623766278416"/>
          <c:w val="0.75712097146654955"/>
          <c:h val="0.78198485572689991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2024'!$B$2</c:f>
              <c:strCache>
                <c:ptCount val="1"/>
                <c:pt idx="0">
                  <c:v>2024
(stan na kwiecień)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2024'!$A$3:$A$12</c:f>
              <c:strCache>
                <c:ptCount val="7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
ginekologiczne</c:v>
                </c:pt>
                <c:pt idx="5">
                  <c:v>Nowotwory układu 
endokrynnego</c:v>
                </c:pt>
                <c:pt idx="6">
                  <c:v>Hematoonkologia</c:v>
                </c:pt>
              </c:strCache>
              <c:extLst/>
            </c:strRef>
          </c:cat>
          <c:val>
            <c:numRef>
              <c:f>'miesiące 2024'!$B$3:$B$12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607-4453-9CC1-F93BD36035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2024 r. (stan na kwiecień) </a:t>
            </a:r>
          </a:p>
        </c:rich>
      </c:tx>
      <c:layout>
        <c:manualLayout>
          <c:xMode val="edge"/>
          <c:yMode val="edge"/>
          <c:x val="0.1180650118329255"/>
          <c:y val="2.73535445634830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3110532371053346"/>
          <c:w val="0.76644349190079053"/>
          <c:h val="0.7760530845429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2024'!$B$19</c:f>
              <c:strCache>
                <c:ptCount val="1"/>
                <c:pt idx="0">
                  <c:v>2024
(stan na kwiecień)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2024'!$A$20:$A$38</c:f>
              <c:strCache>
                <c:ptCount val="17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Hepatologia</c:v>
                </c:pt>
                <c:pt idx="10">
                  <c:v>Hematologia</c:v>
                </c:pt>
                <c:pt idx="11">
                  <c:v>Ginekologia</c:v>
                </c:pt>
                <c:pt idx="12">
                  <c:v>Gastroenterologia</c:v>
                </c:pt>
                <c:pt idx="13">
                  <c:v>Diabetologia</c:v>
                </c:pt>
                <c:pt idx="14">
                  <c:v>Choroby metaboliczne</c:v>
                </c:pt>
                <c:pt idx="15">
                  <c:v>Angiologia</c:v>
                </c:pt>
                <c:pt idx="16">
                  <c:v>Alergologia</c:v>
                </c:pt>
              </c:strCache>
              <c:extLst/>
            </c:strRef>
          </c:cat>
          <c:val>
            <c:numRef>
              <c:f>'miesiące 2024'!$B$20:$B$38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7</c:v>
                </c:pt>
                <c:pt idx="6">
                  <c:v>5</c:v>
                </c:pt>
                <c:pt idx="7">
                  <c:v>5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208-4555-986A-50DAD4DD13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4071</Words>
  <Characters>24426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22</cp:revision>
  <dcterms:created xsi:type="dcterms:W3CDTF">2024-03-12T10:59:00Z</dcterms:created>
  <dcterms:modified xsi:type="dcterms:W3CDTF">2024-03-14T09:40:00Z</dcterms:modified>
</cp:coreProperties>
</file>