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379" w:rsidRPr="004A5379" w:rsidRDefault="004A5379" w:rsidP="004A5379">
      <w:pPr>
        <w:spacing w:before="100" w:beforeAutospacing="1" w:after="100" w:afterAutospacing="1" w:line="300" w:lineRule="atLeast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4A5379">
        <w:rPr>
          <w:rFonts w:ascii="Verdana" w:eastAsia="Times New Roman" w:hAnsi="Verdana" w:cs="Times New Roman"/>
          <w:sz w:val="18"/>
          <w:szCs w:val="18"/>
          <w:lang w:eastAsia="pl-PL"/>
        </w:rPr>
        <w:br/>
      </w:r>
      <w:r w:rsidRPr="004A5379">
        <w:rPr>
          <w:rFonts w:ascii="Verdana" w:eastAsia="Times New Roman" w:hAnsi="Verdana" w:cs="Times New Roman"/>
          <w:sz w:val="18"/>
          <w:szCs w:val="18"/>
          <w:lang w:eastAsia="pl-PL"/>
        </w:rPr>
        <w:br/>
        <w:t xml:space="preserve">PESEL: </w:t>
      </w:r>
      <w:r w:rsidRPr="004A5379">
        <w:rPr>
          <w:rFonts w:ascii="Verdana" w:eastAsia="Times New Roman" w:hAnsi="Verdana" w:cs="Times New Roman"/>
          <w:sz w:val="18"/>
          <w:szCs w:val="18"/>
          <w:lang w:eastAsia="pl-PL"/>
        </w:rPr>
        <w:br/>
        <w:t xml:space="preserve">NIP: </w:t>
      </w:r>
      <w:bookmarkStart w:id="0" w:name="_GoBack"/>
      <w:bookmarkEnd w:id="0"/>
    </w:p>
    <w:p w:rsidR="004A5379" w:rsidRPr="004A5379" w:rsidRDefault="004A5379" w:rsidP="004A5379">
      <w:pPr>
        <w:spacing w:before="100" w:beforeAutospacing="1" w:after="100" w:afterAutospacing="1" w:line="300" w:lineRule="atLeast"/>
        <w:jc w:val="both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pl-PL"/>
        </w:rPr>
      </w:pPr>
      <w:r w:rsidRPr="004A5379">
        <w:rPr>
          <w:rFonts w:ascii="Verdana" w:eastAsia="Times New Roman" w:hAnsi="Verdana" w:cs="Times New Roman"/>
          <w:b/>
          <w:bCs/>
          <w:sz w:val="36"/>
          <w:szCs w:val="36"/>
          <w:lang w:eastAsia="pl-PL"/>
        </w:rPr>
        <w:t>Miejsce i data sporządzenia dokumentu</w:t>
      </w:r>
    </w:p>
    <w:p w:rsidR="004A5379" w:rsidRPr="004A5379" w:rsidRDefault="004A5379" w:rsidP="004A5379">
      <w:pPr>
        <w:spacing w:before="100" w:beforeAutospacing="1" w:after="100" w:afterAutospacing="1" w:line="300" w:lineRule="atLeast"/>
        <w:jc w:val="right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4A5379">
        <w:rPr>
          <w:rFonts w:ascii="Verdana" w:eastAsia="Times New Roman" w:hAnsi="Verdana" w:cs="Times New Roman"/>
          <w:sz w:val="18"/>
          <w:szCs w:val="18"/>
          <w:lang w:eastAsia="pl-PL"/>
        </w:rPr>
        <w:t>, 2024-09-18</w:t>
      </w:r>
    </w:p>
    <w:p w:rsidR="004A5379" w:rsidRPr="004A5379" w:rsidRDefault="004A5379" w:rsidP="004A5379">
      <w:pPr>
        <w:spacing w:before="100" w:beforeAutospacing="1" w:after="100" w:afterAutospacing="1" w:line="300" w:lineRule="atLeast"/>
        <w:jc w:val="both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pl-PL"/>
        </w:rPr>
      </w:pPr>
      <w:r w:rsidRPr="004A5379">
        <w:rPr>
          <w:rFonts w:ascii="Verdana" w:eastAsia="Times New Roman" w:hAnsi="Verdana" w:cs="Times New Roman"/>
          <w:b/>
          <w:bCs/>
          <w:sz w:val="36"/>
          <w:szCs w:val="36"/>
          <w:lang w:eastAsia="pl-PL"/>
        </w:rPr>
        <w:t>Dane adresatów</w:t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</w:tblGrid>
      <w:tr w:rsidR="004A5379" w:rsidRPr="004A5379" w:rsidTr="004878CB">
        <w:trPr>
          <w:trHeight w:val="1603"/>
          <w:tblCellSpacing w:w="15" w:type="dxa"/>
          <w:jc w:val="right"/>
        </w:trPr>
        <w:tc>
          <w:tcPr>
            <w:tcW w:w="4193" w:type="dxa"/>
            <w:vAlign w:val="center"/>
            <w:hideMark/>
          </w:tcPr>
          <w:p w:rsidR="004A5379" w:rsidRPr="004A5379" w:rsidRDefault="004A5379" w:rsidP="004A5379">
            <w:pPr>
              <w:spacing w:before="100" w:beforeAutospacing="1" w:after="240" w:line="300" w:lineRule="atLeast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A537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ADRESAT</w:t>
            </w:r>
            <w:r w:rsidRPr="004A537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Wybierz adresata za pomocą wyszukiwarki:</w:t>
            </w:r>
            <w:r w:rsidRPr="004A537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Ustaw / zmień adresata </w:t>
            </w:r>
          </w:p>
        </w:tc>
      </w:tr>
    </w:tbl>
    <w:p w:rsidR="004A5379" w:rsidRPr="004A5379" w:rsidRDefault="004A5379" w:rsidP="004A5379">
      <w:pPr>
        <w:spacing w:after="0" w:line="300" w:lineRule="atLeast"/>
        <w:jc w:val="both"/>
        <w:rPr>
          <w:rFonts w:ascii="Verdana" w:eastAsia="Times New Roman" w:hAnsi="Verdana" w:cs="Times New Roman"/>
          <w:sz w:val="17"/>
          <w:szCs w:val="17"/>
          <w:lang w:eastAsia="pl-PL"/>
        </w:rPr>
      </w:pPr>
    </w:p>
    <w:p w:rsidR="004A5379" w:rsidRPr="004A5379" w:rsidRDefault="004A5379" w:rsidP="004A5379">
      <w:pPr>
        <w:spacing w:before="100" w:beforeAutospacing="1" w:after="100" w:afterAutospacing="1" w:line="300" w:lineRule="atLeast"/>
        <w:jc w:val="center"/>
        <w:outlineLvl w:val="1"/>
        <w:rPr>
          <w:rFonts w:ascii="Verdana" w:eastAsia="Times New Roman" w:hAnsi="Verdana" w:cs="Times New Roman"/>
          <w:caps/>
          <w:sz w:val="18"/>
          <w:szCs w:val="18"/>
          <w:lang w:eastAsia="pl-PL"/>
        </w:rPr>
      </w:pPr>
      <w:r w:rsidRPr="004A5379">
        <w:rPr>
          <w:rFonts w:ascii="Verdana" w:eastAsia="Times New Roman" w:hAnsi="Verdana" w:cs="Times New Roman"/>
          <w:caps/>
          <w:sz w:val="18"/>
          <w:szCs w:val="18"/>
          <w:lang w:eastAsia="pl-PL"/>
        </w:rPr>
        <w:t>skarga</w:t>
      </w:r>
    </w:p>
    <w:p w:rsidR="004A5379" w:rsidRPr="004A5379" w:rsidRDefault="004A5379" w:rsidP="004A5379">
      <w:pPr>
        <w:spacing w:before="100" w:beforeAutospacing="1" w:after="100" w:afterAutospacing="1" w:line="300" w:lineRule="atLeast"/>
        <w:jc w:val="center"/>
        <w:outlineLvl w:val="2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4A5379">
        <w:rPr>
          <w:rFonts w:ascii="Verdana" w:eastAsia="Times New Roman" w:hAnsi="Verdana" w:cs="Times New Roman"/>
          <w:sz w:val="18"/>
          <w:szCs w:val="18"/>
          <w:lang w:eastAsia="pl-PL"/>
        </w:rPr>
        <w:t>Częstotliwość przeglądów przewodów kominowych dla instalacji gazowych</w:t>
      </w:r>
    </w:p>
    <w:p w:rsidR="004A5379" w:rsidRPr="004A5379" w:rsidRDefault="004A5379" w:rsidP="004A5379">
      <w:pPr>
        <w:spacing w:before="100" w:beforeAutospacing="1" w:after="100" w:afterAutospacing="1" w:line="300" w:lineRule="atLeast"/>
        <w:jc w:val="both"/>
        <w:outlineLvl w:val="3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  <w:r w:rsidRPr="004A5379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>Treść dokumentu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Przepis art. 62 ust. 1 pkt 1) lit. c) Prawa budowlanego określa, że obiekty budowlane (np. domy jednorodzinne a także wielorodzinne) powinny być w czasie ich użytkowania poddawane przez właściciela lub zarządcę kontroli: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1. okresowej, co najmniej raz w roku, polegającej na sprawdzeniu stanu technicznego: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 xml:space="preserve">w odniesieniu do 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[...]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c) instalacji gazowych oraz przewodów kominowych (dymowych, spalinowych i wentylacyjnych);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 xml:space="preserve">Tymczasem z rozporządzenia Ministra Spraw Wewnętrznych i Administracji (jeszcze tego </w:t>
      </w:r>
      <w:proofErr w:type="spellStart"/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PISowskiego</w:t>
      </w:r>
      <w:proofErr w:type="spellEnd"/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) w sprawie ochrony przeciwpożarowej budynków, innych obiektów budowlanych i terenów (tekst jednolity: Dz.U. 2023 poz. 822), § 34 tego rozporządzenia wynika, że: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 xml:space="preserve">1. W obiektach lub ich częściach, w których odbywa się proces spalania paliwa stałego, ciekłego lub gazowego, usuwa się zanieczyszczenia z przewodów dymowych i spalinowych w okresach ich użytkowania: 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[...]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 xml:space="preserve">3) od palenisk opalanych paliwem płynnym i gazowym niewymienionych w pkt 1 ‒ co najmniej raz na 6 miesięcy. 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lastRenderedPageBreak/>
        <w:t xml:space="preserve">A więc </w:t>
      </w:r>
      <w:proofErr w:type="spellStart"/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rozporządznenie</w:t>
      </w:r>
      <w:proofErr w:type="spellEnd"/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 xml:space="preserve"> ministra (jeszcze tego </w:t>
      </w:r>
      <w:proofErr w:type="spellStart"/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PISowskiego</w:t>
      </w:r>
      <w:proofErr w:type="spellEnd"/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) de facto narzuca 4-krotnie wyższą częstotliwość przeglądów kominowych, która już jest określona w prawie budowlanym. 4-krotnie, ponieważ raz w roku tzn., że taki przegląd można było wykonać np. 1 stycznia 2021, a kolejny 31 grudnia 2022 czyli po dwóch latach bez jednego dnia i wszystko było OK w świetle Prawa Budowlanego do czasu wydania rozporządzenia, a rozporządzenie nakazuje aby ten proces powtarzać co 6 miesięcy.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 xml:space="preserve">Tym samym minister określił rozporządzeniem inną częstotliwość usuwania zanieczyszczeń z przewodów kominowych niż ta która już jest określona w ustawie co czyni to </w:t>
      </w:r>
      <w:proofErr w:type="spellStart"/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rozporządenie</w:t>
      </w:r>
      <w:proofErr w:type="spellEnd"/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 xml:space="preserve"> niekonstytucyjnym.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 xml:space="preserve">Ja wiem, że "co 6 miesięcy" nie stoi w sprzeczności z "co </w:t>
      </w:r>
      <w:proofErr w:type="spellStart"/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namniej</w:t>
      </w:r>
      <w:proofErr w:type="spellEnd"/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 xml:space="preserve"> raz w roku", ale jednak jest to narzucona inna częstotliwość poprzez rozporządzenie w stosunku do tej, która jest już w ustawie.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Tym samym wnoszę o korektę tego stanu prawnego.</w:t>
      </w:r>
    </w:p>
    <w:p w:rsidR="004A5379" w:rsidRPr="004A5379" w:rsidRDefault="004A5379" w:rsidP="004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Verdana" w:eastAsia="Times New Roman" w:hAnsi="Verdana" w:cs="Courier New"/>
          <w:sz w:val="18"/>
          <w:szCs w:val="18"/>
          <w:lang w:eastAsia="pl-PL"/>
        </w:rPr>
      </w:pPr>
      <w:r w:rsidRPr="004A5379">
        <w:rPr>
          <w:rFonts w:ascii="Verdana" w:eastAsia="Times New Roman" w:hAnsi="Verdana" w:cs="Courier New"/>
          <w:sz w:val="18"/>
          <w:szCs w:val="18"/>
          <w:lang w:eastAsia="pl-PL"/>
        </w:rPr>
        <w:t>Pozdrowionka,</w:t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0"/>
      </w:tblGrid>
      <w:tr w:rsidR="004A5379" w:rsidRPr="004A5379" w:rsidTr="004A5379">
        <w:trPr>
          <w:tblCellSpacing w:w="15" w:type="dxa"/>
          <w:jc w:val="right"/>
        </w:trPr>
        <w:tc>
          <w:tcPr>
            <w:tcW w:w="5100" w:type="dxa"/>
            <w:vAlign w:val="center"/>
            <w:hideMark/>
          </w:tcPr>
          <w:p w:rsidR="004A5379" w:rsidRPr="004A5379" w:rsidRDefault="004A5379" w:rsidP="004A537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</w:tr>
    </w:tbl>
    <w:p w:rsidR="004A5379" w:rsidRPr="004A5379" w:rsidRDefault="004A5379" w:rsidP="004A5379">
      <w:pPr>
        <w:spacing w:after="0" w:line="300" w:lineRule="atLeast"/>
        <w:jc w:val="right"/>
        <w:rPr>
          <w:rFonts w:ascii="Verdana" w:eastAsia="Times New Roman" w:hAnsi="Verdana" w:cs="Times New Roman"/>
          <w:vanish/>
          <w:sz w:val="15"/>
          <w:szCs w:val="15"/>
          <w:lang w:eastAsia="pl-PL"/>
        </w:rPr>
      </w:pP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0"/>
      </w:tblGrid>
      <w:tr w:rsidR="004A5379" w:rsidRPr="004A5379" w:rsidTr="004A5379">
        <w:trPr>
          <w:tblCellSpacing w:w="15" w:type="dxa"/>
          <w:jc w:val="right"/>
        </w:trPr>
        <w:tc>
          <w:tcPr>
            <w:tcW w:w="5100" w:type="dxa"/>
            <w:vAlign w:val="center"/>
            <w:hideMark/>
          </w:tcPr>
          <w:p w:rsidR="004A5379" w:rsidRPr="004A5379" w:rsidRDefault="004A5379" w:rsidP="004A53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  <w:r w:rsidRPr="004A537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Podpisy elektroniczne</w:t>
            </w:r>
          </w:p>
          <w:p w:rsidR="004A5379" w:rsidRPr="004A5379" w:rsidRDefault="004A5379" w:rsidP="004A5379">
            <w:pPr>
              <w:spacing w:before="100" w:beforeAutospacing="1" w:after="100" w:afterAutospacing="1" w:line="300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pl-PL"/>
              </w:rPr>
            </w:pPr>
            <w:r w:rsidRPr="004A5379">
              <w:rPr>
                <w:rFonts w:ascii="Verdana" w:eastAsia="Times New Roman" w:hAnsi="Verdana" w:cs="Times New Roman"/>
                <w:sz w:val="15"/>
                <w:szCs w:val="15"/>
                <w:lang w:eastAsia="pl-PL"/>
              </w:rPr>
              <w:t>Dokument został podpisany, aby go zweryfikować należy użyć oprogramowania do weryfikacji podpisu</w:t>
            </w:r>
            <w:r w:rsidRPr="004A5379">
              <w:rPr>
                <w:rFonts w:ascii="Verdana" w:eastAsia="Times New Roman" w:hAnsi="Verdana" w:cs="Times New Roman"/>
                <w:sz w:val="15"/>
                <w:szCs w:val="15"/>
                <w:lang w:eastAsia="pl-PL"/>
              </w:rPr>
              <w:br/>
              <w:t>Data złożenia podpisu: 2024-09-18T14:12:57.453+02:00</w:t>
            </w:r>
            <w:r w:rsidRPr="004A5379">
              <w:rPr>
                <w:rFonts w:ascii="Verdana" w:eastAsia="Times New Roman" w:hAnsi="Verdana" w:cs="Times New Roman"/>
                <w:sz w:val="15"/>
                <w:szCs w:val="15"/>
                <w:lang w:eastAsia="pl-PL"/>
              </w:rPr>
              <w:br/>
            </w:r>
            <w:r w:rsidRPr="004A5379">
              <w:rPr>
                <w:rFonts w:ascii="Verdana" w:eastAsia="Times New Roman" w:hAnsi="Verdana" w:cs="Times New Roman"/>
                <w:b/>
                <w:bCs/>
                <w:sz w:val="14"/>
                <w:szCs w:val="14"/>
                <w:lang w:eastAsia="pl-PL"/>
              </w:rPr>
              <w:t xml:space="preserve">Podpis elektroniczny </w:t>
            </w:r>
          </w:p>
        </w:tc>
      </w:tr>
    </w:tbl>
    <w:p w:rsidR="000636CC" w:rsidRDefault="004878CB"/>
    <w:sectPr w:rsidR="00063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79"/>
    <w:rsid w:val="00103B34"/>
    <w:rsid w:val="004878CB"/>
    <w:rsid w:val="004A5379"/>
    <w:rsid w:val="00F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0C432-E70B-4B62-BADA-1DC83AF8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A5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A53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A53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A5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A537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A537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A5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A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A5379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0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Tymczyszyn Paweł</dc:creator>
  <cp:keywords/>
  <dc:description/>
  <cp:lastModifiedBy>Tymczyszyn Paweł</cp:lastModifiedBy>
  <cp:revision>1</cp:revision>
  <dcterms:created xsi:type="dcterms:W3CDTF">2024-10-25T09:31:00Z</dcterms:created>
  <dcterms:modified xsi:type="dcterms:W3CDTF">2024-10-25T09:54:00Z</dcterms:modified>
</cp:coreProperties>
</file>