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6CFFB" w14:textId="1F381D73" w:rsidR="00056846" w:rsidRDefault="00056846">
      <w:pPr>
        <w:rPr>
          <w:rFonts w:ascii="Arial" w:hAnsi="Arial" w:cs="Arial"/>
          <w:b/>
        </w:rPr>
      </w:pPr>
    </w:p>
    <w:p w14:paraId="6A359198" w14:textId="77777777" w:rsidR="00056846" w:rsidRDefault="00056846">
      <w:pPr>
        <w:rPr>
          <w:rFonts w:ascii="Arial" w:hAnsi="Arial" w:cs="Arial"/>
          <w:b/>
        </w:rPr>
      </w:pPr>
    </w:p>
    <w:p w14:paraId="241F6404" w14:textId="77777777" w:rsidR="00056846" w:rsidRDefault="00056846">
      <w:pPr>
        <w:rPr>
          <w:rFonts w:ascii="Arial" w:hAnsi="Arial" w:cs="Arial"/>
          <w:b/>
        </w:rPr>
      </w:pPr>
    </w:p>
    <w:p w14:paraId="634CA13A" w14:textId="77777777" w:rsidR="00056846" w:rsidRDefault="00056846">
      <w:pPr>
        <w:rPr>
          <w:rFonts w:ascii="Arial" w:hAnsi="Arial" w:cs="Arial"/>
          <w:b/>
        </w:rPr>
      </w:pPr>
    </w:p>
    <w:p w14:paraId="0DD21B9E" w14:textId="6B545DAC" w:rsidR="00056846" w:rsidRDefault="00056846">
      <w:pPr>
        <w:rPr>
          <w:rFonts w:ascii="Arial" w:hAnsi="Arial" w:cs="Arial"/>
          <w:b/>
        </w:rPr>
      </w:pPr>
    </w:p>
    <w:p w14:paraId="507A454E" w14:textId="77777777" w:rsidR="00056846" w:rsidRDefault="00056846">
      <w:pPr>
        <w:rPr>
          <w:rFonts w:ascii="Arial" w:hAnsi="Arial" w:cs="Arial"/>
          <w:b/>
        </w:rPr>
      </w:pPr>
    </w:p>
    <w:p w14:paraId="7DC1910E" w14:textId="77777777" w:rsidR="00056846" w:rsidRDefault="00056846">
      <w:pPr>
        <w:rPr>
          <w:rFonts w:ascii="Arial" w:hAnsi="Arial" w:cs="Arial"/>
          <w:b/>
        </w:rPr>
      </w:pPr>
    </w:p>
    <w:p w14:paraId="05E6D07B" w14:textId="77777777" w:rsidR="00056846" w:rsidRDefault="00056846">
      <w:pPr>
        <w:rPr>
          <w:rFonts w:ascii="Arial" w:hAnsi="Arial" w:cs="Arial"/>
          <w:b/>
          <w:sz w:val="28"/>
          <w:szCs w:val="28"/>
        </w:rPr>
      </w:pPr>
    </w:p>
    <w:p w14:paraId="02D8C50C" w14:textId="77777777" w:rsidR="00056846" w:rsidRPr="00925BCD" w:rsidRDefault="00E54725">
      <w:pPr>
        <w:spacing w:line="360" w:lineRule="auto"/>
        <w:jc w:val="center"/>
        <w:rPr>
          <w:rFonts w:ascii="Arial" w:hAnsi="Arial" w:cs="Arial"/>
          <w:b/>
          <w:sz w:val="28"/>
          <w:szCs w:val="28"/>
        </w:rPr>
      </w:pPr>
      <w:r w:rsidRPr="00925BCD">
        <w:rPr>
          <w:rFonts w:ascii="Arial" w:hAnsi="Arial" w:cs="Arial"/>
          <w:b/>
          <w:sz w:val="28"/>
          <w:szCs w:val="28"/>
        </w:rPr>
        <w:t>Sprawozdanie</w:t>
      </w:r>
    </w:p>
    <w:p w14:paraId="510BFFFA" w14:textId="6C34FCE2" w:rsidR="00056846" w:rsidRPr="00925BCD" w:rsidRDefault="00E54725">
      <w:pPr>
        <w:spacing w:line="360" w:lineRule="auto"/>
        <w:jc w:val="center"/>
        <w:rPr>
          <w:rFonts w:ascii="Arial" w:hAnsi="Arial" w:cs="Arial"/>
          <w:b/>
          <w:sz w:val="28"/>
          <w:szCs w:val="28"/>
        </w:rPr>
      </w:pPr>
      <w:r w:rsidRPr="00925BCD">
        <w:rPr>
          <w:rFonts w:ascii="Arial" w:hAnsi="Arial" w:cs="Arial"/>
          <w:b/>
          <w:sz w:val="28"/>
          <w:szCs w:val="28"/>
        </w:rPr>
        <w:t xml:space="preserve">z realizacji w </w:t>
      </w:r>
      <w:r w:rsidR="00B1043B" w:rsidRPr="00925BCD">
        <w:rPr>
          <w:rFonts w:ascii="Arial" w:hAnsi="Arial" w:cs="Arial"/>
          <w:b/>
          <w:sz w:val="28"/>
          <w:szCs w:val="28"/>
        </w:rPr>
        <w:t xml:space="preserve">latach </w:t>
      </w:r>
      <w:r w:rsidRPr="00925BCD">
        <w:rPr>
          <w:rFonts w:ascii="Arial" w:hAnsi="Arial" w:cs="Arial"/>
          <w:b/>
          <w:sz w:val="28"/>
          <w:szCs w:val="28"/>
        </w:rPr>
        <w:t>201</w:t>
      </w:r>
      <w:r w:rsidR="00B2660F" w:rsidRPr="00925BCD">
        <w:rPr>
          <w:rFonts w:ascii="Arial" w:hAnsi="Arial" w:cs="Arial"/>
          <w:b/>
          <w:sz w:val="28"/>
          <w:szCs w:val="28"/>
        </w:rPr>
        <w:t>8</w:t>
      </w:r>
      <w:r w:rsidR="00B1043B" w:rsidRPr="00925BCD">
        <w:rPr>
          <w:rFonts w:ascii="Arial" w:hAnsi="Arial" w:cs="Arial"/>
          <w:b/>
          <w:sz w:val="28"/>
          <w:szCs w:val="28"/>
        </w:rPr>
        <w:t>–</w:t>
      </w:r>
      <w:r w:rsidR="00B2660F" w:rsidRPr="00925BCD">
        <w:rPr>
          <w:rFonts w:ascii="Arial" w:hAnsi="Arial" w:cs="Arial"/>
          <w:b/>
          <w:sz w:val="28"/>
          <w:szCs w:val="28"/>
        </w:rPr>
        <w:t>20</w:t>
      </w:r>
      <w:r w:rsidR="00F13B50">
        <w:rPr>
          <w:rFonts w:ascii="Arial" w:hAnsi="Arial" w:cs="Arial"/>
          <w:b/>
          <w:sz w:val="28"/>
          <w:szCs w:val="28"/>
        </w:rPr>
        <w:t>2</w:t>
      </w:r>
      <w:r w:rsidR="000468A8">
        <w:rPr>
          <w:rFonts w:ascii="Arial" w:hAnsi="Arial" w:cs="Arial"/>
          <w:b/>
          <w:sz w:val="28"/>
          <w:szCs w:val="28"/>
        </w:rPr>
        <w:t>1</w:t>
      </w:r>
      <w:r w:rsidR="00B2660F" w:rsidRPr="00925BCD">
        <w:rPr>
          <w:rFonts w:ascii="Arial" w:hAnsi="Arial" w:cs="Arial"/>
          <w:b/>
          <w:sz w:val="28"/>
          <w:szCs w:val="28"/>
        </w:rPr>
        <w:t xml:space="preserve"> </w:t>
      </w:r>
    </w:p>
    <w:p w14:paraId="5467F084" w14:textId="77777777" w:rsidR="00056846" w:rsidRPr="00925BCD" w:rsidRDefault="00E54725">
      <w:pPr>
        <w:spacing w:line="360" w:lineRule="auto"/>
        <w:jc w:val="center"/>
        <w:rPr>
          <w:rFonts w:ascii="Arial" w:hAnsi="Arial" w:cs="Arial"/>
          <w:b/>
          <w:i/>
          <w:sz w:val="28"/>
          <w:szCs w:val="28"/>
        </w:rPr>
      </w:pPr>
      <w:r w:rsidRPr="00925BCD">
        <w:rPr>
          <w:rFonts w:ascii="Arial" w:hAnsi="Arial" w:cs="Arial"/>
          <w:b/>
          <w:i/>
          <w:sz w:val="28"/>
          <w:szCs w:val="28"/>
        </w:rPr>
        <w:t>krajowego planu działania na rzecz ograniczenia</w:t>
      </w:r>
    </w:p>
    <w:p w14:paraId="3282C881" w14:textId="77777777" w:rsidR="00056846" w:rsidRPr="00925BCD" w:rsidRDefault="00E54725">
      <w:pPr>
        <w:spacing w:line="360" w:lineRule="auto"/>
        <w:jc w:val="center"/>
        <w:rPr>
          <w:rFonts w:ascii="Arial" w:hAnsi="Arial" w:cs="Arial"/>
          <w:b/>
          <w:i/>
          <w:sz w:val="28"/>
          <w:szCs w:val="28"/>
        </w:rPr>
      </w:pPr>
      <w:r w:rsidRPr="00925BCD">
        <w:rPr>
          <w:rFonts w:ascii="Arial" w:hAnsi="Arial" w:cs="Arial"/>
          <w:b/>
          <w:i/>
          <w:sz w:val="28"/>
          <w:szCs w:val="28"/>
        </w:rPr>
        <w:t xml:space="preserve">ryzyka związanego ze stosowaniem środków ochrony roślin </w:t>
      </w:r>
    </w:p>
    <w:p w14:paraId="5E52BA74" w14:textId="77777777" w:rsidR="00056846" w:rsidRPr="00925BCD" w:rsidRDefault="00E54725">
      <w:pPr>
        <w:spacing w:line="360" w:lineRule="auto"/>
        <w:jc w:val="center"/>
        <w:rPr>
          <w:rFonts w:ascii="Arial" w:hAnsi="Arial" w:cs="Arial"/>
          <w:b/>
          <w:i/>
          <w:sz w:val="28"/>
          <w:szCs w:val="28"/>
        </w:rPr>
      </w:pPr>
      <w:r w:rsidRPr="00925BCD">
        <w:rPr>
          <w:rFonts w:ascii="Arial" w:hAnsi="Arial" w:cs="Arial"/>
          <w:b/>
          <w:i/>
          <w:sz w:val="28"/>
          <w:szCs w:val="28"/>
        </w:rPr>
        <w:t>na lata 2018–2022</w:t>
      </w:r>
    </w:p>
    <w:p w14:paraId="26C7D9D2" w14:textId="77777777" w:rsidR="00056846" w:rsidRPr="00925BCD" w:rsidRDefault="00056846">
      <w:pPr>
        <w:spacing w:line="360" w:lineRule="auto"/>
        <w:jc w:val="center"/>
        <w:rPr>
          <w:rFonts w:ascii="Arial" w:hAnsi="Arial" w:cs="Arial"/>
          <w:b/>
          <w:sz w:val="28"/>
          <w:szCs w:val="28"/>
        </w:rPr>
      </w:pPr>
    </w:p>
    <w:p w14:paraId="5BFC136C" w14:textId="77777777" w:rsidR="00056846" w:rsidRPr="00925BCD" w:rsidRDefault="00056846">
      <w:pPr>
        <w:spacing w:line="360" w:lineRule="auto"/>
        <w:jc w:val="center"/>
        <w:rPr>
          <w:rFonts w:ascii="Arial" w:hAnsi="Arial" w:cs="Arial"/>
          <w:b/>
          <w:sz w:val="28"/>
          <w:szCs w:val="28"/>
        </w:rPr>
      </w:pPr>
    </w:p>
    <w:p w14:paraId="277481F2" w14:textId="77777777" w:rsidR="00056846" w:rsidRPr="00925BCD" w:rsidRDefault="00056846">
      <w:pPr>
        <w:rPr>
          <w:rFonts w:ascii="Arial" w:hAnsi="Arial" w:cs="Arial"/>
          <w:b/>
        </w:rPr>
      </w:pPr>
    </w:p>
    <w:p w14:paraId="3BA9E241" w14:textId="77777777" w:rsidR="00056846" w:rsidRPr="00925BCD" w:rsidRDefault="00056846">
      <w:pPr>
        <w:rPr>
          <w:rFonts w:ascii="Arial" w:hAnsi="Arial" w:cs="Arial"/>
          <w:b/>
        </w:rPr>
      </w:pPr>
    </w:p>
    <w:p w14:paraId="7F599A12" w14:textId="77777777" w:rsidR="00056846" w:rsidRPr="00925BCD" w:rsidRDefault="00056846">
      <w:pPr>
        <w:rPr>
          <w:rFonts w:ascii="Arial" w:hAnsi="Arial" w:cs="Arial"/>
          <w:b/>
        </w:rPr>
      </w:pPr>
    </w:p>
    <w:p w14:paraId="2B78A92A" w14:textId="77777777" w:rsidR="00056846" w:rsidRPr="00925BCD" w:rsidRDefault="00056846">
      <w:pPr>
        <w:rPr>
          <w:rFonts w:ascii="Arial" w:hAnsi="Arial" w:cs="Arial"/>
          <w:b/>
        </w:rPr>
      </w:pPr>
    </w:p>
    <w:p w14:paraId="4EFE7737" w14:textId="77777777" w:rsidR="00056846" w:rsidRPr="00925BCD" w:rsidRDefault="00056846">
      <w:pPr>
        <w:rPr>
          <w:rFonts w:ascii="Arial" w:hAnsi="Arial" w:cs="Arial"/>
          <w:b/>
        </w:rPr>
      </w:pPr>
    </w:p>
    <w:p w14:paraId="13305359" w14:textId="77777777" w:rsidR="00056846" w:rsidRPr="00925BCD" w:rsidRDefault="00056846">
      <w:pPr>
        <w:rPr>
          <w:rFonts w:ascii="Arial" w:hAnsi="Arial" w:cs="Arial"/>
          <w:b/>
        </w:rPr>
      </w:pPr>
    </w:p>
    <w:p w14:paraId="3FFA330E" w14:textId="77777777" w:rsidR="00056846" w:rsidRPr="00925BCD" w:rsidRDefault="00056846">
      <w:pPr>
        <w:rPr>
          <w:rFonts w:ascii="Arial" w:hAnsi="Arial" w:cs="Arial"/>
          <w:b/>
        </w:rPr>
      </w:pPr>
    </w:p>
    <w:p w14:paraId="6FD24F86" w14:textId="77777777" w:rsidR="00056846" w:rsidRPr="00925BCD" w:rsidRDefault="00056846">
      <w:pPr>
        <w:rPr>
          <w:rFonts w:ascii="Arial" w:hAnsi="Arial" w:cs="Arial"/>
          <w:b/>
        </w:rPr>
      </w:pPr>
    </w:p>
    <w:p w14:paraId="7241A809" w14:textId="77777777" w:rsidR="00056846" w:rsidRPr="00925BCD" w:rsidRDefault="00056846">
      <w:pPr>
        <w:rPr>
          <w:rFonts w:ascii="Arial" w:hAnsi="Arial" w:cs="Arial"/>
          <w:b/>
        </w:rPr>
      </w:pPr>
    </w:p>
    <w:p w14:paraId="5BD851E3" w14:textId="77777777" w:rsidR="00056846" w:rsidRPr="00925BCD" w:rsidRDefault="00056846">
      <w:pPr>
        <w:rPr>
          <w:rFonts w:ascii="Arial" w:hAnsi="Arial" w:cs="Arial"/>
          <w:b/>
        </w:rPr>
      </w:pPr>
    </w:p>
    <w:p w14:paraId="14CA4B9B" w14:textId="77777777" w:rsidR="00056846" w:rsidRPr="00925BCD" w:rsidRDefault="00E54725">
      <w:pPr>
        <w:rPr>
          <w:rFonts w:ascii="Arial" w:hAnsi="Arial" w:cs="Arial"/>
          <w:b/>
        </w:rPr>
      </w:pPr>
      <w:r w:rsidRPr="00925BCD">
        <w:br w:type="page"/>
      </w:r>
    </w:p>
    <w:p w14:paraId="2FC3407E" w14:textId="77777777" w:rsidR="00056846" w:rsidRPr="00925BCD" w:rsidRDefault="00056846">
      <w:pPr>
        <w:rPr>
          <w:rFonts w:ascii="Arial" w:hAnsi="Arial" w:cs="Arial"/>
          <w:b/>
        </w:rPr>
      </w:pPr>
    </w:p>
    <w:p w14:paraId="708DEAAD" w14:textId="77777777" w:rsidR="00056846" w:rsidRPr="00925BCD" w:rsidRDefault="00E54725">
      <w:pPr>
        <w:rPr>
          <w:rFonts w:ascii="Arial" w:hAnsi="Arial" w:cs="Arial"/>
          <w:b/>
        </w:rPr>
      </w:pPr>
      <w:r w:rsidRPr="00925BCD">
        <w:rPr>
          <w:rFonts w:ascii="Arial" w:hAnsi="Arial" w:cs="Arial"/>
          <w:b/>
        </w:rPr>
        <w:t>SPIS TREŚCI</w:t>
      </w:r>
    </w:p>
    <w:p w14:paraId="0F70E4F0" w14:textId="77777777" w:rsidR="00056846" w:rsidRPr="00925BCD" w:rsidRDefault="00056846">
      <w:pPr>
        <w:jc w:val="center"/>
        <w:rPr>
          <w:rFonts w:ascii="Arial" w:hAnsi="Arial" w:cs="Arial"/>
          <w:b/>
          <w:sz w:val="16"/>
        </w:rPr>
      </w:pPr>
    </w:p>
    <w:sdt>
      <w:sdtPr>
        <w:id w:val="10429726"/>
        <w:docPartObj>
          <w:docPartGallery w:val="Table of Contents"/>
          <w:docPartUnique/>
        </w:docPartObj>
      </w:sdtPr>
      <w:sdtEndPr/>
      <w:sdtContent>
        <w:p w14:paraId="6CD1F83E" w14:textId="748D1A15" w:rsidR="004A01C3" w:rsidRDefault="00E54725">
          <w:pPr>
            <w:pStyle w:val="Spistreci1"/>
            <w:rPr>
              <w:rFonts w:asciiTheme="minorHAnsi" w:eastAsiaTheme="minorEastAsia" w:hAnsiTheme="minorHAnsi" w:cstheme="minorBidi"/>
              <w:b w:val="0"/>
              <w:bCs w:val="0"/>
              <w:caps w:val="0"/>
              <w:noProof/>
              <w:kern w:val="2"/>
              <w:sz w:val="22"/>
              <w:szCs w:val="22"/>
              <w14:ligatures w14:val="standardContextual"/>
            </w:rPr>
          </w:pPr>
          <w:r w:rsidRPr="00925BCD">
            <w:fldChar w:fldCharType="begin"/>
          </w:r>
          <w:r w:rsidRPr="00925BCD">
            <w:rPr>
              <w:rStyle w:val="czeindeksu"/>
              <w:webHidden/>
            </w:rPr>
            <w:instrText>TOC \z \o "1-5" \u \h</w:instrText>
          </w:r>
          <w:r w:rsidRPr="00925BCD">
            <w:rPr>
              <w:rStyle w:val="czeindeksu"/>
            </w:rPr>
            <w:fldChar w:fldCharType="separate"/>
          </w:r>
          <w:hyperlink w:anchor="_Toc134099242" w:history="1">
            <w:r w:rsidR="004A01C3" w:rsidRPr="00460B82">
              <w:rPr>
                <w:rStyle w:val="Hipercze"/>
                <w:noProof/>
              </w:rPr>
              <w:t>Wstęp</w:t>
            </w:r>
            <w:r w:rsidR="004A01C3">
              <w:rPr>
                <w:noProof/>
                <w:webHidden/>
              </w:rPr>
              <w:tab/>
            </w:r>
            <w:r w:rsidR="004A01C3">
              <w:rPr>
                <w:noProof/>
                <w:webHidden/>
              </w:rPr>
              <w:fldChar w:fldCharType="begin"/>
            </w:r>
            <w:r w:rsidR="004A01C3">
              <w:rPr>
                <w:noProof/>
                <w:webHidden/>
              </w:rPr>
              <w:instrText xml:space="preserve"> PAGEREF _Toc134099242 \h </w:instrText>
            </w:r>
            <w:r w:rsidR="004A01C3">
              <w:rPr>
                <w:noProof/>
                <w:webHidden/>
              </w:rPr>
            </w:r>
            <w:r w:rsidR="004A01C3">
              <w:rPr>
                <w:noProof/>
                <w:webHidden/>
              </w:rPr>
              <w:fldChar w:fldCharType="separate"/>
            </w:r>
            <w:r w:rsidR="004A01C3">
              <w:rPr>
                <w:noProof/>
                <w:webHidden/>
              </w:rPr>
              <w:t>4</w:t>
            </w:r>
            <w:r w:rsidR="004A01C3">
              <w:rPr>
                <w:noProof/>
                <w:webHidden/>
              </w:rPr>
              <w:fldChar w:fldCharType="end"/>
            </w:r>
          </w:hyperlink>
        </w:p>
        <w:p w14:paraId="4E2D48A6" w14:textId="2A85F42D"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43" w:history="1">
            <w:r w:rsidRPr="00460B82">
              <w:rPr>
                <w:rStyle w:val="Hipercze"/>
                <w:noProof/>
              </w:rPr>
              <w:t>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1. Szkolenia w zakresie środków ochrony roślin</w:t>
            </w:r>
            <w:r>
              <w:rPr>
                <w:noProof/>
                <w:webHidden/>
              </w:rPr>
              <w:tab/>
            </w:r>
            <w:r>
              <w:rPr>
                <w:noProof/>
                <w:webHidden/>
              </w:rPr>
              <w:fldChar w:fldCharType="begin"/>
            </w:r>
            <w:r>
              <w:rPr>
                <w:noProof/>
                <w:webHidden/>
              </w:rPr>
              <w:instrText xml:space="preserve"> PAGEREF _Toc134099243 \h </w:instrText>
            </w:r>
            <w:r>
              <w:rPr>
                <w:noProof/>
                <w:webHidden/>
              </w:rPr>
            </w:r>
            <w:r>
              <w:rPr>
                <w:noProof/>
                <w:webHidden/>
              </w:rPr>
              <w:fldChar w:fldCharType="separate"/>
            </w:r>
            <w:r>
              <w:rPr>
                <w:noProof/>
                <w:webHidden/>
              </w:rPr>
              <w:t>5</w:t>
            </w:r>
            <w:r>
              <w:rPr>
                <w:noProof/>
                <w:webHidden/>
              </w:rPr>
              <w:fldChar w:fldCharType="end"/>
            </w:r>
          </w:hyperlink>
        </w:p>
        <w:p w14:paraId="3A48F853" w14:textId="0F9B5613"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44" w:history="1">
            <w:r w:rsidRPr="00460B82">
              <w:rPr>
                <w:rStyle w:val="Hipercze"/>
                <w:noProof/>
              </w:rPr>
              <w:t>1.1.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_Toc134099244 \h </w:instrText>
            </w:r>
            <w:r>
              <w:rPr>
                <w:noProof/>
                <w:webHidden/>
              </w:rPr>
            </w:r>
            <w:r>
              <w:rPr>
                <w:noProof/>
                <w:webHidden/>
              </w:rPr>
              <w:fldChar w:fldCharType="separate"/>
            </w:r>
            <w:r>
              <w:rPr>
                <w:noProof/>
                <w:webHidden/>
              </w:rPr>
              <w:t>8</w:t>
            </w:r>
            <w:r>
              <w:rPr>
                <w:noProof/>
                <w:webHidden/>
              </w:rPr>
              <w:fldChar w:fldCharType="end"/>
            </w:r>
          </w:hyperlink>
        </w:p>
        <w:p w14:paraId="1C6B50D6" w14:textId="6B027787"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45" w:history="1">
            <w:r w:rsidRPr="00460B82">
              <w:rPr>
                <w:rStyle w:val="Hipercze"/>
                <w:noProof/>
              </w:rPr>
              <w:t>2.</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2. Ograniczanie ryzyka związanego ze zbywaniem środków ochrony roślin</w:t>
            </w:r>
            <w:r>
              <w:rPr>
                <w:noProof/>
                <w:webHidden/>
              </w:rPr>
              <w:tab/>
            </w:r>
            <w:r>
              <w:rPr>
                <w:noProof/>
                <w:webHidden/>
              </w:rPr>
              <w:fldChar w:fldCharType="begin"/>
            </w:r>
            <w:r>
              <w:rPr>
                <w:noProof/>
                <w:webHidden/>
              </w:rPr>
              <w:instrText xml:space="preserve"> PAGEREF _Toc134099245 \h </w:instrText>
            </w:r>
            <w:r>
              <w:rPr>
                <w:noProof/>
                <w:webHidden/>
              </w:rPr>
            </w:r>
            <w:r>
              <w:rPr>
                <w:noProof/>
                <w:webHidden/>
              </w:rPr>
              <w:fldChar w:fldCharType="separate"/>
            </w:r>
            <w:r>
              <w:rPr>
                <w:noProof/>
                <w:webHidden/>
              </w:rPr>
              <w:t>8</w:t>
            </w:r>
            <w:r>
              <w:rPr>
                <w:noProof/>
                <w:webHidden/>
              </w:rPr>
              <w:fldChar w:fldCharType="end"/>
            </w:r>
          </w:hyperlink>
        </w:p>
        <w:p w14:paraId="5C08DC8F" w14:textId="32475793"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46" w:history="1">
            <w:r w:rsidRPr="00460B82">
              <w:rPr>
                <w:rStyle w:val="Hipercze"/>
                <w:noProof/>
              </w:rPr>
              <w:t>2.1.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_Toc134099246 \h </w:instrText>
            </w:r>
            <w:r>
              <w:rPr>
                <w:noProof/>
                <w:webHidden/>
              </w:rPr>
            </w:r>
            <w:r>
              <w:rPr>
                <w:noProof/>
                <w:webHidden/>
              </w:rPr>
              <w:fldChar w:fldCharType="separate"/>
            </w:r>
            <w:r>
              <w:rPr>
                <w:noProof/>
                <w:webHidden/>
              </w:rPr>
              <w:t>10</w:t>
            </w:r>
            <w:r>
              <w:rPr>
                <w:noProof/>
                <w:webHidden/>
              </w:rPr>
              <w:fldChar w:fldCharType="end"/>
            </w:r>
          </w:hyperlink>
        </w:p>
        <w:p w14:paraId="5B024A57" w14:textId="3F7E6894"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47" w:history="1">
            <w:r w:rsidRPr="00460B82">
              <w:rPr>
                <w:rStyle w:val="Hipercze"/>
                <w:noProof/>
              </w:rPr>
              <w:t>3.</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3. Upowszechnianie w społeczeństwie wiedzy o środkach ochrony roślin</w:t>
            </w:r>
            <w:r>
              <w:rPr>
                <w:noProof/>
                <w:webHidden/>
              </w:rPr>
              <w:tab/>
            </w:r>
            <w:r>
              <w:rPr>
                <w:noProof/>
                <w:webHidden/>
              </w:rPr>
              <w:fldChar w:fldCharType="begin"/>
            </w:r>
            <w:r>
              <w:rPr>
                <w:noProof/>
                <w:webHidden/>
              </w:rPr>
              <w:instrText xml:space="preserve"> PAGEREF _Toc134099247 \h </w:instrText>
            </w:r>
            <w:r>
              <w:rPr>
                <w:noProof/>
                <w:webHidden/>
              </w:rPr>
            </w:r>
            <w:r>
              <w:rPr>
                <w:noProof/>
                <w:webHidden/>
              </w:rPr>
              <w:fldChar w:fldCharType="separate"/>
            </w:r>
            <w:r>
              <w:rPr>
                <w:noProof/>
                <w:webHidden/>
              </w:rPr>
              <w:t>10</w:t>
            </w:r>
            <w:r>
              <w:rPr>
                <w:noProof/>
                <w:webHidden/>
              </w:rPr>
              <w:fldChar w:fldCharType="end"/>
            </w:r>
          </w:hyperlink>
        </w:p>
        <w:p w14:paraId="01EAD722" w14:textId="306E8E21"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48" w:history="1">
            <w:r w:rsidRPr="00460B82">
              <w:rPr>
                <w:rStyle w:val="Hipercze"/>
                <w:noProof/>
              </w:rPr>
              <w:t>Zadanie 1. Promowanie dobrych praktyk bezpiecznego stosowania środków ochrony roślin</w:t>
            </w:r>
            <w:r>
              <w:rPr>
                <w:noProof/>
                <w:webHidden/>
              </w:rPr>
              <w:tab/>
            </w:r>
            <w:r>
              <w:rPr>
                <w:noProof/>
                <w:webHidden/>
              </w:rPr>
              <w:fldChar w:fldCharType="begin"/>
            </w:r>
            <w:r>
              <w:rPr>
                <w:noProof/>
                <w:webHidden/>
              </w:rPr>
              <w:instrText xml:space="preserve"> PAGEREF _Toc134099248 \h </w:instrText>
            </w:r>
            <w:r>
              <w:rPr>
                <w:noProof/>
                <w:webHidden/>
              </w:rPr>
            </w:r>
            <w:r>
              <w:rPr>
                <w:noProof/>
                <w:webHidden/>
              </w:rPr>
              <w:fldChar w:fldCharType="separate"/>
            </w:r>
            <w:r>
              <w:rPr>
                <w:noProof/>
                <w:webHidden/>
              </w:rPr>
              <w:t>10</w:t>
            </w:r>
            <w:r>
              <w:rPr>
                <w:noProof/>
                <w:webHidden/>
              </w:rPr>
              <w:fldChar w:fldCharType="end"/>
            </w:r>
          </w:hyperlink>
        </w:p>
        <w:p w14:paraId="294BD991" w14:textId="6C33446A"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49" w:history="1">
            <w:r w:rsidRPr="00460B82">
              <w:rPr>
                <w:rStyle w:val="Hipercze"/>
                <w:noProof/>
              </w:rPr>
              <w:t>Zadanie 2. Gromadzenie informacji o zatruciach ludzi środkami ochrony roślin</w:t>
            </w:r>
            <w:r>
              <w:rPr>
                <w:noProof/>
                <w:webHidden/>
              </w:rPr>
              <w:tab/>
            </w:r>
            <w:r>
              <w:rPr>
                <w:noProof/>
                <w:webHidden/>
              </w:rPr>
              <w:fldChar w:fldCharType="begin"/>
            </w:r>
            <w:r>
              <w:rPr>
                <w:noProof/>
                <w:webHidden/>
              </w:rPr>
              <w:instrText xml:space="preserve"> PAGEREF _Toc134099249 \h </w:instrText>
            </w:r>
            <w:r>
              <w:rPr>
                <w:noProof/>
                <w:webHidden/>
              </w:rPr>
            </w:r>
            <w:r>
              <w:rPr>
                <w:noProof/>
                <w:webHidden/>
              </w:rPr>
              <w:fldChar w:fldCharType="separate"/>
            </w:r>
            <w:r>
              <w:rPr>
                <w:noProof/>
                <w:webHidden/>
              </w:rPr>
              <w:t>12</w:t>
            </w:r>
            <w:r>
              <w:rPr>
                <w:noProof/>
                <w:webHidden/>
              </w:rPr>
              <w:fldChar w:fldCharType="end"/>
            </w:r>
          </w:hyperlink>
        </w:p>
        <w:p w14:paraId="5DE65B94" w14:textId="433F9EEF"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50" w:history="1">
            <w:r w:rsidRPr="00460B82">
              <w:rPr>
                <w:rStyle w:val="Hipercze"/>
                <w:noProof/>
              </w:rPr>
              <w:t>3.1.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_Toc134099250 \h </w:instrText>
            </w:r>
            <w:r>
              <w:rPr>
                <w:noProof/>
                <w:webHidden/>
              </w:rPr>
            </w:r>
            <w:r>
              <w:rPr>
                <w:noProof/>
                <w:webHidden/>
              </w:rPr>
              <w:fldChar w:fldCharType="separate"/>
            </w:r>
            <w:r>
              <w:rPr>
                <w:noProof/>
                <w:webHidden/>
              </w:rPr>
              <w:t>13</w:t>
            </w:r>
            <w:r>
              <w:rPr>
                <w:noProof/>
                <w:webHidden/>
              </w:rPr>
              <w:fldChar w:fldCharType="end"/>
            </w:r>
          </w:hyperlink>
        </w:p>
        <w:p w14:paraId="69542DAE" w14:textId="679D6C73"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51" w:history="1">
            <w:r w:rsidRPr="00460B82">
              <w:rPr>
                <w:rStyle w:val="Hipercze"/>
                <w:noProof/>
              </w:rPr>
              <w:t>4.</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4. Zapewnienie sprawności technicznej sprzętu przeznaczonego do stosowania środków ochrony roślin</w:t>
            </w:r>
            <w:r>
              <w:rPr>
                <w:noProof/>
                <w:webHidden/>
              </w:rPr>
              <w:tab/>
            </w:r>
            <w:r>
              <w:rPr>
                <w:noProof/>
                <w:webHidden/>
              </w:rPr>
              <w:fldChar w:fldCharType="begin"/>
            </w:r>
            <w:r>
              <w:rPr>
                <w:noProof/>
                <w:webHidden/>
              </w:rPr>
              <w:instrText xml:space="preserve"> PAGEREF _Toc134099251 \h </w:instrText>
            </w:r>
            <w:r>
              <w:rPr>
                <w:noProof/>
                <w:webHidden/>
              </w:rPr>
            </w:r>
            <w:r>
              <w:rPr>
                <w:noProof/>
                <w:webHidden/>
              </w:rPr>
              <w:fldChar w:fldCharType="separate"/>
            </w:r>
            <w:r>
              <w:rPr>
                <w:noProof/>
                <w:webHidden/>
              </w:rPr>
              <w:t>14</w:t>
            </w:r>
            <w:r>
              <w:rPr>
                <w:noProof/>
                <w:webHidden/>
              </w:rPr>
              <w:fldChar w:fldCharType="end"/>
            </w:r>
          </w:hyperlink>
        </w:p>
        <w:p w14:paraId="5D696226" w14:textId="4094CB5C"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52" w:history="1">
            <w:r w:rsidRPr="00460B82">
              <w:rPr>
                <w:rStyle w:val="Hipercze"/>
                <w:noProof/>
              </w:rPr>
              <w:t>4.1.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_Toc134099252 \h </w:instrText>
            </w:r>
            <w:r>
              <w:rPr>
                <w:noProof/>
                <w:webHidden/>
              </w:rPr>
            </w:r>
            <w:r>
              <w:rPr>
                <w:noProof/>
                <w:webHidden/>
              </w:rPr>
              <w:fldChar w:fldCharType="separate"/>
            </w:r>
            <w:r>
              <w:rPr>
                <w:noProof/>
                <w:webHidden/>
              </w:rPr>
              <w:t>17</w:t>
            </w:r>
            <w:r>
              <w:rPr>
                <w:noProof/>
                <w:webHidden/>
              </w:rPr>
              <w:fldChar w:fldCharType="end"/>
            </w:r>
          </w:hyperlink>
        </w:p>
        <w:p w14:paraId="2EE721E6" w14:textId="3AAB0E8B"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53" w:history="1">
            <w:r w:rsidRPr="00460B82">
              <w:rPr>
                <w:rStyle w:val="Hipercze"/>
                <w:noProof/>
              </w:rPr>
              <w:t>5.</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5. Zabiegi agrolotnicze</w:t>
            </w:r>
            <w:r>
              <w:rPr>
                <w:noProof/>
                <w:webHidden/>
              </w:rPr>
              <w:tab/>
            </w:r>
            <w:r>
              <w:rPr>
                <w:noProof/>
                <w:webHidden/>
              </w:rPr>
              <w:fldChar w:fldCharType="begin"/>
            </w:r>
            <w:r>
              <w:rPr>
                <w:noProof/>
                <w:webHidden/>
              </w:rPr>
              <w:instrText xml:space="preserve"> PAGEREF _Toc134099253 \h </w:instrText>
            </w:r>
            <w:r>
              <w:rPr>
                <w:noProof/>
                <w:webHidden/>
              </w:rPr>
            </w:r>
            <w:r>
              <w:rPr>
                <w:noProof/>
                <w:webHidden/>
              </w:rPr>
              <w:fldChar w:fldCharType="separate"/>
            </w:r>
            <w:r>
              <w:rPr>
                <w:noProof/>
                <w:webHidden/>
              </w:rPr>
              <w:t>17</w:t>
            </w:r>
            <w:r>
              <w:rPr>
                <w:noProof/>
                <w:webHidden/>
              </w:rPr>
              <w:fldChar w:fldCharType="end"/>
            </w:r>
          </w:hyperlink>
        </w:p>
        <w:p w14:paraId="740C4314" w14:textId="4693F38E"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54" w:history="1">
            <w:r w:rsidRPr="00460B82">
              <w:rPr>
                <w:rStyle w:val="Hipercze"/>
                <w:noProof/>
              </w:rPr>
              <w:t>5.1.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_Toc134099254 \h </w:instrText>
            </w:r>
            <w:r>
              <w:rPr>
                <w:noProof/>
                <w:webHidden/>
              </w:rPr>
            </w:r>
            <w:r>
              <w:rPr>
                <w:noProof/>
                <w:webHidden/>
              </w:rPr>
              <w:fldChar w:fldCharType="separate"/>
            </w:r>
            <w:r>
              <w:rPr>
                <w:noProof/>
                <w:webHidden/>
              </w:rPr>
              <w:t>19</w:t>
            </w:r>
            <w:r>
              <w:rPr>
                <w:noProof/>
                <w:webHidden/>
              </w:rPr>
              <w:fldChar w:fldCharType="end"/>
            </w:r>
          </w:hyperlink>
        </w:p>
        <w:p w14:paraId="15763DE5" w14:textId="627CAC30"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55" w:history="1">
            <w:r w:rsidRPr="00460B82">
              <w:rPr>
                <w:rStyle w:val="Hipercze"/>
                <w:noProof/>
              </w:rPr>
              <w:t>6.</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6. Ostrzeganie osób postronnych o zabiegach ochrony roślin</w:t>
            </w:r>
            <w:r>
              <w:rPr>
                <w:noProof/>
                <w:webHidden/>
              </w:rPr>
              <w:tab/>
            </w:r>
            <w:r>
              <w:rPr>
                <w:noProof/>
                <w:webHidden/>
              </w:rPr>
              <w:fldChar w:fldCharType="begin"/>
            </w:r>
            <w:r>
              <w:rPr>
                <w:noProof/>
                <w:webHidden/>
              </w:rPr>
              <w:instrText xml:space="preserve"> PAGEREF _Toc134099255 \h </w:instrText>
            </w:r>
            <w:r>
              <w:rPr>
                <w:noProof/>
                <w:webHidden/>
              </w:rPr>
            </w:r>
            <w:r>
              <w:rPr>
                <w:noProof/>
                <w:webHidden/>
              </w:rPr>
              <w:fldChar w:fldCharType="separate"/>
            </w:r>
            <w:r>
              <w:rPr>
                <w:noProof/>
                <w:webHidden/>
              </w:rPr>
              <w:t>19</w:t>
            </w:r>
            <w:r>
              <w:rPr>
                <w:noProof/>
                <w:webHidden/>
              </w:rPr>
              <w:fldChar w:fldCharType="end"/>
            </w:r>
          </w:hyperlink>
        </w:p>
        <w:p w14:paraId="743135C2" w14:textId="387D2541"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56" w:history="1">
            <w:r w:rsidRPr="00460B82">
              <w:rPr>
                <w:rStyle w:val="Hipercze"/>
                <w:noProof/>
              </w:rPr>
              <w:t>6.1.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_Toc134099256 \h </w:instrText>
            </w:r>
            <w:r>
              <w:rPr>
                <w:noProof/>
                <w:webHidden/>
              </w:rPr>
            </w:r>
            <w:r>
              <w:rPr>
                <w:noProof/>
                <w:webHidden/>
              </w:rPr>
              <w:fldChar w:fldCharType="separate"/>
            </w:r>
            <w:r>
              <w:rPr>
                <w:noProof/>
                <w:webHidden/>
              </w:rPr>
              <w:t>20</w:t>
            </w:r>
            <w:r>
              <w:rPr>
                <w:noProof/>
                <w:webHidden/>
              </w:rPr>
              <w:fldChar w:fldCharType="end"/>
            </w:r>
          </w:hyperlink>
        </w:p>
        <w:p w14:paraId="1EE83CD4" w14:textId="3B0DF808"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57" w:history="1">
            <w:r w:rsidRPr="00460B82">
              <w:rPr>
                <w:rStyle w:val="Hipercze"/>
                <w:noProof/>
              </w:rPr>
              <w:t>7.</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7. Środki ochrony środowiska wodnego i wody pitnej</w:t>
            </w:r>
            <w:r>
              <w:rPr>
                <w:noProof/>
                <w:webHidden/>
              </w:rPr>
              <w:tab/>
            </w:r>
            <w:r>
              <w:rPr>
                <w:noProof/>
                <w:webHidden/>
              </w:rPr>
              <w:fldChar w:fldCharType="begin"/>
            </w:r>
            <w:r>
              <w:rPr>
                <w:noProof/>
                <w:webHidden/>
              </w:rPr>
              <w:instrText xml:space="preserve"> PAGEREF _Toc134099257 \h </w:instrText>
            </w:r>
            <w:r>
              <w:rPr>
                <w:noProof/>
                <w:webHidden/>
              </w:rPr>
            </w:r>
            <w:r>
              <w:rPr>
                <w:noProof/>
                <w:webHidden/>
              </w:rPr>
              <w:fldChar w:fldCharType="separate"/>
            </w:r>
            <w:r>
              <w:rPr>
                <w:noProof/>
                <w:webHidden/>
              </w:rPr>
              <w:t>20</w:t>
            </w:r>
            <w:r>
              <w:rPr>
                <w:noProof/>
                <w:webHidden/>
              </w:rPr>
              <w:fldChar w:fldCharType="end"/>
            </w:r>
          </w:hyperlink>
        </w:p>
        <w:p w14:paraId="4E72537A" w14:textId="7909012B"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58" w:history="1">
            <w:r w:rsidRPr="00460B82">
              <w:rPr>
                <w:rStyle w:val="Hipercze"/>
                <w:noProof/>
              </w:rPr>
              <w:t>Zadanie 1. Prowadzenie monitoringu wód powierzchniowych, podziemnych i osadów dennych</w:t>
            </w:r>
            <w:r>
              <w:rPr>
                <w:noProof/>
                <w:webHidden/>
              </w:rPr>
              <w:tab/>
            </w:r>
            <w:r>
              <w:rPr>
                <w:noProof/>
                <w:webHidden/>
              </w:rPr>
              <w:fldChar w:fldCharType="begin"/>
            </w:r>
            <w:r>
              <w:rPr>
                <w:noProof/>
                <w:webHidden/>
              </w:rPr>
              <w:instrText xml:space="preserve"> PAGEREF _Toc134099258 \h </w:instrText>
            </w:r>
            <w:r>
              <w:rPr>
                <w:noProof/>
                <w:webHidden/>
              </w:rPr>
            </w:r>
            <w:r>
              <w:rPr>
                <w:noProof/>
                <w:webHidden/>
              </w:rPr>
              <w:fldChar w:fldCharType="separate"/>
            </w:r>
            <w:r>
              <w:rPr>
                <w:noProof/>
                <w:webHidden/>
              </w:rPr>
              <w:t>21</w:t>
            </w:r>
            <w:r>
              <w:rPr>
                <w:noProof/>
                <w:webHidden/>
              </w:rPr>
              <w:fldChar w:fldCharType="end"/>
            </w:r>
          </w:hyperlink>
        </w:p>
        <w:p w14:paraId="12F94D95" w14:textId="2591A6F6" w:rsidR="004A01C3" w:rsidRDefault="004A01C3">
          <w:pPr>
            <w:pStyle w:val="Spistreci3"/>
            <w:rPr>
              <w:rFonts w:asciiTheme="minorHAnsi" w:eastAsiaTheme="minorEastAsia" w:hAnsiTheme="minorHAnsi" w:cstheme="minorBidi"/>
              <w:iCs w:val="0"/>
              <w:noProof/>
              <w:kern w:val="2"/>
              <w:sz w:val="22"/>
              <w:szCs w:val="22"/>
              <w14:ligatures w14:val="standardContextual"/>
            </w:rPr>
          </w:pPr>
          <w:hyperlink w:anchor="_Toc134099259" w:history="1">
            <w:r w:rsidRPr="00460B82">
              <w:rPr>
                <w:rStyle w:val="Hipercze"/>
                <w:noProof/>
              </w:rPr>
              <w:t>Podzadanie 1. Wody powierzchniowe</w:t>
            </w:r>
            <w:r>
              <w:rPr>
                <w:noProof/>
                <w:webHidden/>
              </w:rPr>
              <w:tab/>
            </w:r>
            <w:r>
              <w:rPr>
                <w:noProof/>
                <w:webHidden/>
              </w:rPr>
              <w:fldChar w:fldCharType="begin"/>
            </w:r>
            <w:r>
              <w:rPr>
                <w:noProof/>
                <w:webHidden/>
              </w:rPr>
              <w:instrText xml:space="preserve"> PAGEREF _Toc134099259 \h </w:instrText>
            </w:r>
            <w:r>
              <w:rPr>
                <w:noProof/>
                <w:webHidden/>
              </w:rPr>
            </w:r>
            <w:r>
              <w:rPr>
                <w:noProof/>
                <w:webHidden/>
              </w:rPr>
              <w:fldChar w:fldCharType="separate"/>
            </w:r>
            <w:r>
              <w:rPr>
                <w:noProof/>
                <w:webHidden/>
              </w:rPr>
              <w:t>22</w:t>
            </w:r>
            <w:r>
              <w:rPr>
                <w:noProof/>
                <w:webHidden/>
              </w:rPr>
              <w:fldChar w:fldCharType="end"/>
            </w:r>
          </w:hyperlink>
        </w:p>
        <w:p w14:paraId="012213F1" w14:textId="67A44DD3" w:rsidR="004A01C3" w:rsidRDefault="004A01C3">
          <w:pPr>
            <w:pStyle w:val="Spistreci3"/>
            <w:rPr>
              <w:rFonts w:asciiTheme="minorHAnsi" w:eastAsiaTheme="minorEastAsia" w:hAnsiTheme="minorHAnsi" w:cstheme="minorBidi"/>
              <w:iCs w:val="0"/>
              <w:noProof/>
              <w:kern w:val="2"/>
              <w:sz w:val="22"/>
              <w:szCs w:val="22"/>
              <w14:ligatures w14:val="standardContextual"/>
            </w:rPr>
          </w:pPr>
          <w:hyperlink w:anchor="_Toc134099260" w:history="1">
            <w:r w:rsidRPr="00460B82">
              <w:rPr>
                <w:rStyle w:val="Hipercze"/>
                <w:noProof/>
              </w:rPr>
              <w:t>Podzadanie 2. Wody podziemne</w:t>
            </w:r>
            <w:r>
              <w:rPr>
                <w:noProof/>
                <w:webHidden/>
              </w:rPr>
              <w:tab/>
            </w:r>
            <w:r>
              <w:rPr>
                <w:noProof/>
                <w:webHidden/>
              </w:rPr>
              <w:fldChar w:fldCharType="begin"/>
            </w:r>
            <w:r>
              <w:rPr>
                <w:noProof/>
                <w:webHidden/>
              </w:rPr>
              <w:instrText xml:space="preserve"> PAGEREF _Toc134099260 \h </w:instrText>
            </w:r>
            <w:r>
              <w:rPr>
                <w:noProof/>
                <w:webHidden/>
              </w:rPr>
            </w:r>
            <w:r>
              <w:rPr>
                <w:noProof/>
                <w:webHidden/>
              </w:rPr>
              <w:fldChar w:fldCharType="separate"/>
            </w:r>
            <w:r>
              <w:rPr>
                <w:noProof/>
                <w:webHidden/>
              </w:rPr>
              <w:t>27</w:t>
            </w:r>
            <w:r>
              <w:rPr>
                <w:noProof/>
                <w:webHidden/>
              </w:rPr>
              <w:fldChar w:fldCharType="end"/>
            </w:r>
          </w:hyperlink>
        </w:p>
        <w:p w14:paraId="1363AA9E" w14:textId="4750D07C" w:rsidR="004A01C3" w:rsidRDefault="004A01C3">
          <w:pPr>
            <w:pStyle w:val="Spistreci3"/>
            <w:rPr>
              <w:rFonts w:asciiTheme="minorHAnsi" w:eastAsiaTheme="minorEastAsia" w:hAnsiTheme="minorHAnsi" w:cstheme="minorBidi"/>
              <w:iCs w:val="0"/>
              <w:noProof/>
              <w:kern w:val="2"/>
              <w:sz w:val="22"/>
              <w:szCs w:val="22"/>
              <w14:ligatures w14:val="standardContextual"/>
            </w:rPr>
          </w:pPr>
          <w:hyperlink w:anchor="_Toc134099261" w:history="1">
            <w:r w:rsidRPr="00460B82">
              <w:rPr>
                <w:rStyle w:val="Hipercze"/>
                <w:noProof/>
              </w:rPr>
              <w:t>Podzadanie 3. Osady denne</w:t>
            </w:r>
            <w:r>
              <w:rPr>
                <w:noProof/>
                <w:webHidden/>
              </w:rPr>
              <w:tab/>
            </w:r>
            <w:r>
              <w:rPr>
                <w:noProof/>
                <w:webHidden/>
              </w:rPr>
              <w:fldChar w:fldCharType="begin"/>
            </w:r>
            <w:r>
              <w:rPr>
                <w:noProof/>
                <w:webHidden/>
              </w:rPr>
              <w:instrText xml:space="preserve"> PAGEREF _Toc134099261 \h </w:instrText>
            </w:r>
            <w:r>
              <w:rPr>
                <w:noProof/>
                <w:webHidden/>
              </w:rPr>
            </w:r>
            <w:r>
              <w:rPr>
                <w:noProof/>
                <w:webHidden/>
              </w:rPr>
              <w:fldChar w:fldCharType="separate"/>
            </w:r>
            <w:r>
              <w:rPr>
                <w:noProof/>
                <w:webHidden/>
              </w:rPr>
              <w:t>30</w:t>
            </w:r>
            <w:r>
              <w:rPr>
                <w:noProof/>
                <w:webHidden/>
              </w:rPr>
              <w:fldChar w:fldCharType="end"/>
            </w:r>
          </w:hyperlink>
        </w:p>
        <w:p w14:paraId="71952D5D" w14:textId="6FB93F6C"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62" w:history="1">
            <w:r w:rsidRPr="00460B82">
              <w:rPr>
                <w:rStyle w:val="Hipercze"/>
                <w:noProof/>
              </w:rPr>
              <w:t>Zadanie 2. Prowadzenie monitoringu wody przeznaczonej do spożycia przez ludzi</w:t>
            </w:r>
            <w:r>
              <w:rPr>
                <w:noProof/>
                <w:webHidden/>
              </w:rPr>
              <w:tab/>
            </w:r>
            <w:r>
              <w:rPr>
                <w:noProof/>
                <w:webHidden/>
              </w:rPr>
              <w:fldChar w:fldCharType="begin"/>
            </w:r>
            <w:r>
              <w:rPr>
                <w:noProof/>
                <w:webHidden/>
              </w:rPr>
              <w:instrText xml:space="preserve"> PAGEREF _Toc134099262 \h </w:instrText>
            </w:r>
            <w:r>
              <w:rPr>
                <w:noProof/>
                <w:webHidden/>
              </w:rPr>
            </w:r>
            <w:r>
              <w:rPr>
                <w:noProof/>
                <w:webHidden/>
              </w:rPr>
              <w:fldChar w:fldCharType="separate"/>
            </w:r>
            <w:r>
              <w:rPr>
                <w:noProof/>
                <w:webHidden/>
              </w:rPr>
              <w:t>33</w:t>
            </w:r>
            <w:r>
              <w:rPr>
                <w:noProof/>
                <w:webHidden/>
              </w:rPr>
              <w:fldChar w:fldCharType="end"/>
            </w:r>
          </w:hyperlink>
        </w:p>
        <w:p w14:paraId="02FA3672" w14:textId="4CDCCE9C"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63" w:history="1">
            <w:r w:rsidRPr="00460B82">
              <w:rPr>
                <w:rStyle w:val="Hipercze"/>
                <w:noProof/>
              </w:rPr>
              <w:t>Zadanie 3. Badanie wpływu chemicznej ochrony roślin na stan wód powierzchniowych</w:t>
            </w:r>
            <w:r>
              <w:rPr>
                <w:noProof/>
                <w:webHidden/>
              </w:rPr>
              <w:tab/>
            </w:r>
            <w:r>
              <w:rPr>
                <w:noProof/>
                <w:webHidden/>
              </w:rPr>
              <w:fldChar w:fldCharType="begin"/>
            </w:r>
            <w:r>
              <w:rPr>
                <w:noProof/>
                <w:webHidden/>
              </w:rPr>
              <w:instrText xml:space="preserve"> PAGEREF _Toc134099263 \h </w:instrText>
            </w:r>
            <w:r>
              <w:rPr>
                <w:noProof/>
                <w:webHidden/>
              </w:rPr>
            </w:r>
            <w:r>
              <w:rPr>
                <w:noProof/>
                <w:webHidden/>
              </w:rPr>
              <w:fldChar w:fldCharType="separate"/>
            </w:r>
            <w:r>
              <w:rPr>
                <w:noProof/>
                <w:webHidden/>
              </w:rPr>
              <w:t>35</w:t>
            </w:r>
            <w:r>
              <w:rPr>
                <w:noProof/>
                <w:webHidden/>
              </w:rPr>
              <w:fldChar w:fldCharType="end"/>
            </w:r>
          </w:hyperlink>
        </w:p>
        <w:p w14:paraId="540773A0" w14:textId="2D9ACD62"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64" w:history="1">
            <w:r w:rsidRPr="00460B82">
              <w:rPr>
                <w:rStyle w:val="Hipercze"/>
                <w:noProof/>
              </w:rPr>
              <w:t>Zadanie 4. Nadzór nad środkami ochrony roślin zawierającymi substancje czynne, które powinny być objęte szczególnym monitoringiem</w:t>
            </w:r>
            <w:r>
              <w:rPr>
                <w:noProof/>
                <w:webHidden/>
              </w:rPr>
              <w:tab/>
            </w:r>
            <w:r>
              <w:rPr>
                <w:noProof/>
                <w:webHidden/>
              </w:rPr>
              <w:fldChar w:fldCharType="begin"/>
            </w:r>
            <w:r>
              <w:rPr>
                <w:noProof/>
                <w:webHidden/>
              </w:rPr>
              <w:instrText xml:space="preserve"> PAGEREF _Toc134099264 \h </w:instrText>
            </w:r>
            <w:r>
              <w:rPr>
                <w:noProof/>
                <w:webHidden/>
              </w:rPr>
            </w:r>
            <w:r>
              <w:rPr>
                <w:noProof/>
                <w:webHidden/>
              </w:rPr>
              <w:fldChar w:fldCharType="separate"/>
            </w:r>
            <w:r>
              <w:rPr>
                <w:noProof/>
                <w:webHidden/>
              </w:rPr>
              <w:t>46</w:t>
            </w:r>
            <w:r>
              <w:rPr>
                <w:noProof/>
                <w:webHidden/>
              </w:rPr>
              <w:fldChar w:fldCharType="end"/>
            </w:r>
          </w:hyperlink>
        </w:p>
        <w:p w14:paraId="3CEBB484" w14:textId="2A516CD2"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65" w:history="1">
            <w:r w:rsidRPr="00460B82">
              <w:rPr>
                <w:rStyle w:val="Hipercze"/>
                <w:noProof/>
              </w:rPr>
              <w:t>7.1.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_Toc134099265 \h </w:instrText>
            </w:r>
            <w:r>
              <w:rPr>
                <w:noProof/>
                <w:webHidden/>
              </w:rPr>
            </w:r>
            <w:r>
              <w:rPr>
                <w:noProof/>
                <w:webHidden/>
              </w:rPr>
              <w:fldChar w:fldCharType="separate"/>
            </w:r>
            <w:r>
              <w:rPr>
                <w:noProof/>
                <w:webHidden/>
              </w:rPr>
              <w:t>47</w:t>
            </w:r>
            <w:r>
              <w:rPr>
                <w:noProof/>
                <w:webHidden/>
              </w:rPr>
              <w:fldChar w:fldCharType="end"/>
            </w:r>
          </w:hyperlink>
        </w:p>
        <w:p w14:paraId="3979124E" w14:textId="013D65E8"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66" w:history="1">
            <w:r w:rsidRPr="00460B82">
              <w:rPr>
                <w:rStyle w:val="Hipercze"/>
                <w:noProof/>
              </w:rPr>
              <w:t>8.</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8. Ograniczenie stosowania środków ochrony roślin na obszarach szczególnie wrażliwych</w:t>
            </w:r>
            <w:r>
              <w:rPr>
                <w:noProof/>
                <w:webHidden/>
              </w:rPr>
              <w:tab/>
            </w:r>
            <w:r>
              <w:rPr>
                <w:noProof/>
                <w:webHidden/>
              </w:rPr>
              <w:fldChar w:fldCharType="begin"/>
            </w:r>
            <w:r>
              <w:rPr>
                <w:noProof/>
                <w:webHidden/>
              </w:rPr>
              <w:instrText xml:space="preserve"> PAGEREF _Toc134099266 \h </w:instrText>
            </w:r>
            <w:r>
              <w:rPr>
                <w:noProof/>
                <w:webHidden/>
              </w:rPr>
            </w:r>
            <w:r>
              <w:rPr>
                <w:noProof/>
                <w:webHidden/>
              </w:rPr>
              <w:fldChar w:fldCharType="separate"/>
            </w:r>
            <w:r>
              <w:rPr>
                <w:noProof/>
                <w:webHidden/>
              </w:rPr>
              <w:t>48</w:t>
            </w:r>
            <w:r>
              <w:rPr>
                <w:noProof/>
                <w:webHidden/>
              </w:rPr>
              <w:fldChar w:fldCharType="end"/>
            </w:r>
          </w:hyperlink>
        </w:p>
        <w:p w14:paraId="74C018D1" w14:textId="0F9C242A"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67" w:history="1">
            <w:r w:rsidRPr="00460B82">
              <w:rPr>
                <w:rStyle w:val="Hipercze"/>
                <w:noProof/>
              </w:rPr>
              <w:t>8.1.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_Toc134099267 \h </w:instrText>
            </w:r>
            <w:r>
              <w:rPr>
                <w:noProof/>
                <w:webHidden/>
              </w:rPr>
            </w:r>
            <w:r>
              <w:rPr>
                <w:noProof/>
                <w:webHidden/>
              </w:rPr>
              <w:fldChar w:fldCharType="separate"/>
            </w:r>
            <w:r>
              <w:rPr>
                <w:noProof/>
                <w:webHidden/>
              </w:rPr>
              <w:t>50</w:t>
            </w:r>
            <w:r>
              <w:rPr>
                <w:noProof/>
                <w:webHidden/>
              </w:rPr>
              <w:fldChar w:fldCharType="end"/>
            </w:r>
          </w:hyperlink>
        </w:p>
        <w:p w14:paraId="08850C01" w14:textId="1C742E86"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68" w:history="1">
            <w:r w:rsidRPr="00460B82">
              <w:rPr>
                <w:rStyle w:val="Hipercze"/>
                <w:noProof/>
              </w:rPr>
              <w:t>9.</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9. Wyeliminowanie zagrożeń na poszczególnych etapach wykonywania zabiegów ochrony roślin</w:t>
            </w:r>
            <w:r>
              <w:rPr>
                <w:noProof/>
                <w:webHidden/>
              </w:rPr>
              <w:tab/>
            </w:r>
            <w:r>
              <w:rPr>
                <w:noProof/>
                <w:webHidden/>
              </w:rPr>
              <w:fldChar w:fldCharType="begin"/>
            </w:r>
            <w:r>
              <w:rPr>
                <w:noProof/>
                <w:webHidden/>
              </w:rPr>
              <w:instrText xml:space="preserve"> PAGEREF _Toc134099268 \h </w:instrText>
            </w:r>
            <w:r>
              <w:rPr>
                <w:noProof/>
                <w:webHidden/>
              </w:rPr>
            </w:r>
            <w:r>
              <w:rPr>
                <w:noProof/>
                <w:webHidden/>
              </w:rPr>
              <w:fldChar w:fldCharType="separate"/>
            </w:r>
            <w:r>
              <w:rPr>
                <w:noProof/>
                <w:webHidden/>
              </w:rPr>
              <w:t>50</w:t>
            </w:r>
            <w:r>
              <w:rPr>
                <w:noProof/>
                <w:webHidden/>
              </w:rPr>
              <w:fldChar w:fldCharType="end"/>
            </w:r>
          </w:hyperlink>
        </w:p>
        <w:p w14:paraId="732A426D" w14:textId="2A13E48E"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69" w:history="1">
            <w:r w:rsidRPr="00460B82">
              <w:rPr>
                <w:rStyle w:val="Hipercze"/>
                <w:noProof/>
              </w:rPr>
              <w:t>9.1.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_Toc134099269 \h </w:instrText>
            </w:r>
            <w:r>
              <w:rPr>
                <w:noProof/>
                <w:webHidden/>
              </w:rPr>
            </w:r>
            <w:r>
              <w:rPr>
                <w:noProof/>
                <w:webHidden/>
              </w:rPr>
              <w:fldChar w:fldCharType="separate"/>
            </w:r>
            <w:r>
              <w:rPr>
                <w:noProof/>
                <w:webHidden/>
              </w:rPr>
              <w:t>52</w:t>
            </w:r>
            <w:r>
              <w:rPr>
                <w:noProof/>
                <w:webHidden/>
              </w:rPr>
              <w:fldChar w:fldCharType="end"/>
            </w:r>
          </w:hyperlink>
        </w:p>
        <w:p w14:paraId="3743350D" w14:textId="3249D6BC"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70" w:history="1">
            <w:r w:rsidRPr="00460B82">
              <w:rPr>
                <w:rStyle w:val="Hipercze"/>
                <w:noProof/>
              </w:rPr>
              <w:t>10.</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10. Integrowana ochrona roślin</w:t>
            </w:r>
            <w:r>
              <w:rPr>
                <w:noProof/>
                <w:webHidden/>
              </w:rPr>
              <w:tab/>
            </w:r>
            <w:r>
              <w:rPr>
                <w:noProof/>
                <w:webHidden/>
              </w:rPr>
              <w:fldChar w:fldCharType="begin"/>
            </w:r>
            <w:r>
              <w:rPr>
                <w:noProof/>
                <w:webHidden/>
              </w:rPr>
              <w:instrText xml:space="preserve"> PAGEREF _Toc134099270 \h </w:instrText>
            </w:r>
            <w:r>
              <w:rPr>
                <w:noProof/>
                <w:webHidden/>
              </w:rPr>
            </w:r>
            <w:r>
              <w:rPr>
                <w:noProof/>
                <w:webHidden/>
              </w:rPr>
              <w:fldChar w:fldCharType="separate"/>
            </w:r>
            <w:r>
              <w:rPr>
                <w:noProof/>
                <w:webHidden/>
              </w:rPr>
              <w:t>52</w:t>
            </w:r>
            <w:r>
              <w:rPr>
                <w:noProof/>
                <w:webHidden/>
              </w:rPr>
              <w:fldChar w:fldCharType="end"/>
            </w:r>
          </w:hyperlink>
        </w:p>
        <w:p w14:paraId="28570B77" w14:textId="153BA5B6"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71" w:history="1">
            <w:r w:rsidRPr="00460B82">
              <w:rPr>
                <w:rStyle w:val="Hipercze"/>
                <w:noProof/>
              </w:rPr>
              <w:t>Zadanie 1. Upowszechnianie wiedzy z zakresu integrowanej ochrony roślin</w:t>
            </w:r>
            <w:r>
              <w:rPr>
                <w:noProof/>
                <w:webHidden/>
              </w:rPr>
              <w:tab/>
            </w:r>
            <w:r>
              <w:rPr>
                <w:noProof/>
                <w:webHidden/>
              </w:rPr>
              <w:fldChar w:fldCharType="begin"/>
            </w:r>
            <w:r>
              <w:rPr>
                <w:noProof/>
                <w:webHidden/>
              </w:rPr>
              <w:instrText xml:space="preserve"> PAGEREF _Toc134099271 \h </w:instrText>
            </w:r>
            <w:r>
              <w:rPr>
                <w:noProof/>
                <w:webHidden/>
              </w:rPr>
            </w:r>
            <w:r>
              <w:rPr>
                <w:noProof/>
                <w:webHidden/>
              </w:rPr>
              <w:fldChar w:fldCharType="separate"/>
            </w:r>
            <w:r>
              <w:rPr>
                <w:noProof/>
                <w:webHidden/>
              </w:rPr>
              <w:t>52</w:t>
            </w:r>
            <w:r>
              <w:rPr>
                <w:noProof/>
                <w:webHidden/>
              </w:rPr>
              <w:fldChar w:fldCharType="end"/>
            </w:r>
          </w:hyperlink>
        </w:p>
        <w:p w14:paraId="2E5FA29B" w14:textId="5194B4FA"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72" w:history="1">
            <w:r w:rsidRPr="00460B82">
              <w:rPr>
                <w:rStyle w:val="Hipercze"/>
                <w:noProof/>
              </w:rPr>
              <w:t>Zadanie 2. Utrzymanie platformy internetowej poświęconej integrowanej ochronie roślin</w:t>
            </w:r>
            <w:r>
              <w:rPr>
                <w:noProof/>
                <w:webHidden/>
              </w:rPr>
              <w:tab/>
            </w:r>
            <w:r>
              <w:rPr>
                <w:noProof/>
                <w:webHidden/>
              </w:rPr>
              <w:fldChar w:fldCharType="begin"/>
            </w:r>
            <w:r>
              <w:rPr>
                <w:noProof/>
                <w:webHidden/>
              </w:rPr>
              <w:instrText xml:space="preserve"> PAGEREF _Toc134099272 \h </w:instrText>
            </w:r>
            <w:r>
              <w:rPr>
                <w:noProof/>
                <w:webHidden/>
              </w:rPr>
            </w:r>
            <w:r>
              <w:rPr>
                <w:noProof/>
                <w:webHidden/>
              </w:rPr>
              <w:fldChar w:fldCharType="separate"/>
            </w:r>
            <w:r>
              <w:rPr>
                <w:noProof/>
                <w:webHidden/>
              </w:rPr>
              <w:t>61</w:t>
            </w:r>
            <w:r>
              <w:rPr>
                <w:noProof/>
                <w:webHidden/>
              </w:rPr>
              <w:fldChar w:fldCharType="end"/>
            </w:r>
          </w:hyperlink>
        </w:p>
        <w:p w14:paraId="25EDEE00" w14:textId="554C3748"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73" w:history="1">
            <w:r w:rsidRPr="00460B82">
              <w:rPr>
                <w:rStyle w:val="Hipercze"/>
                <w:noProof/>
              </w:rPr>
              <w:t>Zadanie 3. Opracowanie, aktualizacja i udostępnienie metodyk integrowanej ochrony poszczególnych upraw</w:t>
            </w:r>
            <w:r>
              <w:rPr>
                <w:noProof/>
                <w:webHidden/>
              </w:rPr>
              <w:tab/>
            </w:r>
            <w:r>
              <w:rPr>
                <w:noProof/>
                <w:webHidden/>
              </w:rPr>
              <w:fldChar w:fldCharType="begin"/>
            </w:r>
            <w:r>
              <w:rPr>
                <w:noProof/>
                <w:webHidden/>
              </w:rPr>
              <w:instrText xml:space="preserve"> PAGEREF _Toc134099273 \h </w:instrText>
            </w:r>
            <w:r>
              <w:rPr>
                <w:noProof/>
                <w:webHidden/>
              </w:rPr>
            </w:r>
            <w:r>
              <w:rPr>
                <w:noProof/>
                <w:webHidden/>
              </w:rPr>
              <w:fldChar w:fldCharType="separate"/>
            </w:r>
            <w:r>
              <w:rPr>
                <w:noProof/>
                <w:webHidden/>
              </w:rPr>
              <w:t>62</w:t>
            </w:r>
            <w:r>
              <w:rPr>
                <w:noProof/>
                <w:webHidden/>
              </w:rPr>
              <w:fldChar w:fldCharType="end"/>
            </w:r>
          </w:hyperlink>
        </w:p>
        <w:p w14:paraId="33D039BC" w14:textId="7807708E"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74" w:history="1">
            <w:r w:rsidRPr="00460B82">
              <w:rPr>
                <w:rStyle w:val="Hipercze"/>
                <w:noProof/>
              </w:rPr>
              <w:t>Zadanie 4. Prowadzenie systemu sygnalizacji agrofagów</w:t>
            </w:r>
            <w:r>
              <w:rPr>
                <w:noProof/>
                <w:webHidden/>
              </w:rPr>
              <w:tab/>
            </w:r>
            <w:r>
              <w:rPr>
                <w:noProof/>
                <w:webHidden/>
              </w:rPr>
              <w:fldChar w:fldCharType="begin"/>
            </w:r>
            <w:r>
              <w:rPr>
                <w:noProof/>
                <w:webHidden/>
              </w:rPr>
              <w:instrText xml:space="preserve"> PAGEREF _Toc134099274 \h </w:instrText>
            </w:r>
            <w:r>
              <w:rPr>
                <w:noProof/>
                <w:webHidden/>
              </w:rPr>
            </w:r>
            <w:r>
              <w:rPr>
                <w:noProof/>
                <w:webHidden/>
              </w:rPr>
              <w:fldChar w:fldCharType="separate"/>
            </w:r>
            <w:r>
              <w:rPr>
                <w:noProof/>
                <w:webHidden/>
              </w:rPr>
              <w:t>64</w:t>
            </w:r>
            <w:r>
              <w:rPr>
                <w:noProof/>
                <w:webHidden/>
              </w:rPr>
              <w:fldChar w:fldCharType="end"/>
            </w:r>
          </w:hyperlink>
        </w:p>
        <w:p w14:paraId="5643C2ED" w14:textId="4EBED383"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75" w:history="1">
            <w:r w:rsidRPr="00460B82">
              <w:rPr>
                <w:rStyle w:val="Hipercze"/>
                <w:noProof/>
              </w:rPr>
              <w:t>Zadanie 5. Udostępnienie systemów wspomagania podejmowania decyzji w ochronie roślin</w:t>
            </w:r>
            <w:r>
              <w:rPr>
                <w:noProof/>
                <w:webHidden/>
              </w:rPr>
              <w:tab/>
            </w:r>
            <w:r>
              <w:rPr>
                <w:noProof/>
                <w:webHidden/>
              </w:rPr>
              <w:fldChar w:fldCharType="begin"/>
            </w:r>
            <w:r>
              <w:rPr>
                <w:noProof/>
                <w:webHidden/>
              </w:rPr>
              <w:instrText xml:space="preserve"> PAGEREF _Toc134099275 \h </w:instrText>
            </w:r>
            <w:r>
              <w:rPr>
                <w:noProof/>
                <w:webHidden/>
              </w:rPr>
            </w:r>
            <w:r>
              <w:rPr>
                <w:noProof/>
                <w:webHidden/>
              </w:rPr>
              <w:fldChar w:fldCharType="separate"/>
            </w:r>
            <w:r>
              <w:rPr>
                <w:noProof/>
                <w:webHidden/>
              </w:rPr>
              <w:t>65</w:t>
            </w:r>
            <w:r>
              <w:rPr>
                <w:noProof/>
                <w:webHidden/>
              </w:rPr>
              <w:fldChar w:fldCharType="end"/>
            </w:r>
          </w:hyperlink>
        </w:p>
        <w:p w14:paraId="0099F1F1" w14:textId="35242AB4"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76" w:history="1">
            <w:r w:rsidRPr="00460B82">
              <w:rPr>
                <w:rStyle w:val="Hipercze"/>
                <w:noProof/>
              </w:rPr>
              <w:t>Zadanie 6. Udostępnienie programów integrowanej ochrony roślin</w:t>
            </w:r>
            <w:r>
              <w:rPr>
                <w:noProof/>
                <w:webHidden/>
              </w:rPr>
              <w:tab/>
            </w:r>
            <w:r>
              <w:rPr>
                <w:noProof/>
                <w:webHidden/>
              </w:rPr>
              <w:fldChar w:fldCharType="begin"/>
            </w:r>
            <w:r>
              <w:rPr>
                <w:noProof/>
                <w:webHidden/>
              </w:rPr>
              <w:instrText xml:space="preserve"> PAGEREF _Toc134099276 \h </w:instrText>
            </w:r>
            <w:r>
              <w:rPr>
                <w:noProof/>
                <w:webHidden/>
              </w:rPr>
            </w:r>
            <w:r>
              <w:rPr>
                <w:noProof/>
                <w:webHidden/>
              </w:rPr>
              <w:fldChar w:fldCharType="separate"/>
            </w:r>
            <w:r>
              <w:rPr>
                <w:noProof/>
                <w:webHidden/>
              </w:rPr>
              <w:t>66</w:t>
            </w:r>
            <w:r>
              <w:rPr>
                <w:noProof/>
                <w:webHidden/>
              </w:rPr>
              <w:fldChar w:fldCharType="end"/>
            </w:r>
          </w:hyperlink>
        </w:p>
        <w:p w14:paraId="2CE356FC" w14:textId="2BCF177F"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77" w:history="1">
            <w:r w:rsidRPr="00460B82">
              <w:rPr>
                <w:rStyle w:val="Hipercze"/>
                <w:noProof/>
              </w:rPr>
              <w:t>Zadanie 7. Upowszechnianie wyników oceny prowadzonej w ramach Porejestrowego Doświadczalnictwa Odmianowego</w:t>
            </w:r>
            <w:r>
              <w:rPr>
                <w:noProof/>
                <w:webHidden/>
              </w:rPr>
              <w:tab/>
            </w:r>
            <w:r>
              <w:rPr>
                <w:noProof/>
                <w:webHidden/>
              </w:rPr>
              <w:fldChar w:fldCharType="begin"/>
            </w:r>
            <w:r>
              <w:rPr>
                <w:noProof/>
                <w:webHidden/>
              </w:rPr>
              <w:instrText xml:space="preserve"> PAGEREF _Toc134099277 \h </w:instrText>
            </w:r>
            <w:r>
              <w:rPr>
                <w:noProof/>
                <w:webHidden/>
              </w:rPr>
            </w:r>
            <w:r>
              <w:rPr>
                <w:noProof/>
                <w:webHidden/>
              </w:rPr>
              <w:fldChar w:fldCharType="separate"/>
            </w:r>
            <w:r>
              <w:rPr>
                <w:noProof/>
                <w:webHidden/>
              </w:rPr>
              <w:t>69</w:t>
            </w:r>
            <w:r>
              <w:rPr>
                <w:noProof/>
                <w:webHidden/>
              </w:rPr>
              <w:fldChar w:fldCharType="end"/>
            </w:r>
          </w:hyperlink>
        </w:p>
        <w:p w14:paraId="288CD060" w14:textId="41B87397"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78" w:history="1">
            <w:r w:rsidRPr="00460B82">
              <w:rPr>
                <w:rStyle w:val="Hipercze"/>
                <w:noProof/>
              </w:rPr>
              <w:t>Zadanie 8. Upowszechnianie systemu integrowanej produkcji roślin</w:t>
            </w:r>
            <w:r>
              <w:rPr>
                <w:noProof/>
                <w:webHidden/>
              </w:rPr>
              <w:tab/>
            </w:r>
            <w:r>
              <w:rPr>
                <w:noProof/>
                <w:webHidden/>
              </w:rPr>
              <w:fldChar w:fldCharType="begin"/>
            </w:r>
            <w:r>
              <w:rPr>
                <w:noProof/>
                <w:webHidden/>
              </w:rPr>
              <w:instrText xml:space="preserve"> PAGEREF _Toc134099278 \h </w:instrText>
            </w:r>
            <w:r>
              <w:rPr>
                <w:noProof/>
                <w:webHidden/>
              </w:rPr>
            </w:r>
            <w:r>
              <w:rPr>
                <w:noProof/>
                <w:webHidden/>
              </w:rPr>
              <w:fldChar w:fldCharType="separate"/>
            </w:r>
            <w:r>
              <w:rPr>
                <w:noProof/>
                <w:webHidden/>
              </w:rPr>
              <w:t>72</w:t>
            </w:r>
            <w:r>
              <w:rPr>
                <w:noProof/>
                <w:webHidden/>
              </w:rPr>
              <w:fldChar w:fldCharType="end"/>
            </w:r>
          </w:hyperlink>
        </w:p>
        <w:p w14:paraId="3D22B526" w14:textId="6ACD0CC6"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79" w:history="1">
            <w:r w:rsidRPr="00460B82">
              <w:rPr>
                <w:rStyle w:val="Hipercze"/>
                <w:noProof/>
              </w:rPr>
              <w:t>Zadanie 9. Prowadzenie doradztwa w ochronie roślin</w:t>
            </w:r>
            <w:r>
              <w:rPr>
                <w:noProof/>
                <w:webHidden/>
              </w:rPr>
              <w:tab/>
            </w:r>
            <w:r>
              <w:rPr>
                <w:noProof/>
                <w:webHidden/>
              </w:rPr>
              <w:fldChar w:fldCharType="begin"/>
            </w:r>
            <w:r>
              <w:rPr>
                <w:noProof/>
                <w:webHidden/>
              </w:rPr>
              <w:instrText xml:space="preserve"> PAGEREF _Toc134099279 \h </w:instrText>
            </w:r>
            <w:r>
              <w:rPr>
                <w:noProof/>
                <w:webHidden/>
              </w:rPr>
            </w:r>
            <w:r>
              <w:rPr>
                <w:noProof/>
                <w:webHidden/>
              </w:rPr>
              <w:fldChar w:fldCharType="separate"/>
            </w:r>
            <w:r>
              <w:rPr>
                <w:noProof/>
                <w:webHidden/>
              </w:rPr>
              <w:t>74</w:t>
            </w:r>
            <w:r>
              <w:rPr>
                <w:noProof/>
                <w:webHidden/>
              </w:rPr>
              <w:fldChar w:fldCharType="end"/>
            </w:r>
          </w:hyperlink>
        </w:p>
        <w:p w14:paraId="778C52D2" w14:textId="121C8A17"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80" w:history="1">
            <w:r w:rsidRPr="00460B82">
              <w:rPr>
                <w:rStyle w:val="Hipercze"/>
                <w:noProof/>
              </w:rPr>
              <w:t>Zadanie 10. Zapewnienie bezpieczeństwa owadów zapylających podczas wykonywania zabiegów ochrony roślin</w:t>
            </w:r>
            <w:r>
              <w:rPr>
                <w:noProof/>
                <w:webHidden/>
              </w:rPr>
              <w:tab/>
            </w:r>
            <w:r>
              <w:rPr>
                <w:noProof/>
                <w:webHidden/>
              </w:rPr>
              <w:fldChar w:fldCharType="begin"/>
            </w:r>
            <w:r>
              <w:rPr>
                <w:noProof/>
                <w:webHidden/>
              </w:rPr>
              <w:instrText xml:space="preserve"> PAGEREF _Toc134099280 \h </w:instrText>
            </w:r>
            <w:r>
              <w:rPr>
                <w:noProof/>
                <w:webHidden/>
              </w:rPr>
            </w:r>
            <w:r>
              <w:rPr>
                <w:noProof/>
                <w:webHidden/>
              </w:rPr>
              <w:fldChar w:fldCharType="separate"/>
            </w:r>
            <w:r>
              <w:rPr>
                <w:noProof/>
                <w:webHidden/>
              </w:rPr>
              <w:t>77</w:t>
            </w:r>
            <w:r>
              <w:rPr>
                <w:noProof/>
                <w:webHidden/>
              </w:rPr>
              <w:fldChar w:fldCharType="end"/>
            </w:r>
          </w:hyperlink>
        </w:p>
        <w:p w14:paraId="5D524CE8" w14:textId="2D20D284"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81" w:history="1">
            <w:r w:rsidRPr="00460B82">
              <w:rPr>
                <w:rStyle w:val="Hipercze"/>
                <w:noProof/>
              </w:rPr>
              <w:t>Zadanie 11. Monitoring odporności agrofagów na środki ochrony roślin oraz ograniczanie tego zjawiska</w:t>
            </w:r>
            <w:r>
              <w:rPr>
                <w:noProof/>
                <w:webHidden/>
              </w:rPr>
              <w:tab/>
            </w:r>
            <w:r>
              <w:rPr>
                <w:noProof/>
                <w:webHidden/>
              </w:rPr>
              <w:fldChar w:fldCharType="begin"/>
            </w:r>
            <w:r>
              <w:rPr>
                <w:noProof/>
                <w:webHidden/>
              </w:rPr>
              <w:instrText xml:space="preserve"> PAGEREF _Toc134099281 \h </w:instrText>
            </w:r>
            <w:r>
              <w:rPr>
                <w:noProof/>
                <w:webHidden/>
              </w:rPr>
            </w:r>
            <w:r>
              <w:rPr>
                <w:noProof/>
                <w:webHidden/>
              </w:rPr>
              <w:fldChar w:fldCharType="separate"/>
            </w:r>
            <w:r>
              <w:rPr>
                <w:noProof/>
                <w:webHidden/>
              </w:rPr>
              <w:t>85</w:t>
            </w:r>
            <w:r>
              <w:rPr>
                <w:noProof/>
                <w:webHidden/>
              </w:rPr>
              <w:fldChar w:fldCharType="end"/>
            </w:r>
          </w:hyperlink>
        </w:p>
        <w:p w14:paraId="395D3B9F" w14:textId="46C3B01B"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82" w:history="1">
            <w:r w:rsidRPr="00460B82">
              <w:rPr>
                <w:rStyle w:val="Hipercze"/>
                <w:noProof/>
              </w:rPr>
              <w:t>10.1.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_Toc134099282 \h </w:instrText>
            </w:r>
            <w:r>
              <w:rPr>
                <w:noProof/>
                <w:webHidden/>
              </w:rPr>
            </w:r>
            <w:r>
              <w:rPr>
                <w:noProof/>
                <w:webHidden/>
              </w:rPr>
              <w:fldChar w:fldCharType="separate"/>
            </w:r>
            <w:r>
              <w:rPr>
                <w:noProof/>
                <w:webHidden/>
              </w:rPr>
              <w:t>86</w:t>
            </w:r>
            <w:r>
              <w:rPr>
                <w:noProof/>
                <w:webHidden/>
              </w:rPr>
              <w:fldChar w:fldCharType="end"/>
            </w:r>
          </w:hyperlink>
        </w:p>
        <w:p w14:paraId="48C50659" w14:textId="39028675"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83" w:history="1">
            <w:r w:rsidRPr="00460B82">
              <w:rPr>
                <w:rStyle w:val="Hipercze"/>
                <w:noProof/>
              </w:rPr>
              <w:t>11.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11. Analiza ryzyka związanego ze stosowaniem środków ochrony roślin</w:t>
            </w:r>
            <w:r>
              <w:rPr>
                <w:noProof/>
                <w:webHidden/>
              </w:rPr>
              <w:tab/>
            </w:r>
            <w:r>
              <w:rPr>
                <w:noProof/>
                <w:webHidden/>
              </w:rPr>
              <w:fldChar w:fldCharType="begin"/>
            </w:r>
            <w:r>
              <w:rPr>
                <w:noProof/>
                <w:webHidden/>
              </w:rPr>
              <w:instrText xml:space="preserve"> PAGEREF _Toc134099283 \h </w:instrText>
            </w:r>
            <w:r>
              <w:rPr>
                <w:noProof/>
                <w:webHidden/>
              </w:rPr>
            </w:r>
            <w:r>
              <w:rPr>
                <w:noProof/>
                <w:webHidden/>
              </w:rPr>
              <w:fldChar w:fldCharType="separate"/>
            </w:r>
            <w:r>
              <w:rPr>
                <w:noProof/>
                <w:webHidden/>
              </w:rPr>
              <w:t>86</w:t>
            </w:r>
            <w:r>
              <w:rPr>
                <w:noProof/>
                <w:webHidden/>
              </w:rPr>
              <w:fldChar w:fldCharType="end"/>
            </w:r>
          </w:hyperlink>
        </w:p>
        <w:p w14:paraId="49915807" w14:textId="3CD9622A"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84" w:history="1">
            <w:r w:rsidRPr="00460B82">
              <w:rPr>
                <w:rStyle w:val="Hipercze"/>
                <w:noProof/>
              </w:rPr>
              <w:t>Zadanie 1. Badania statystyczne dotyczące środków ochrony roślin</w:t>
            </w:r>
            <w:r>
              <w:rPr>
                <w:noProof/>
                <w:webHidden/>
              </w:rPr>
              <w:tab/>
            </w:r>
            <w:r>
              <w:rPr>
                <w:noProof/>
                <w:webHidden/>
              </w:rPr>
              <w:fldChar w:fldCharType="begin"/>
            </w:r>
            <w:r>
              <w:rPr>
                <w:noProof/>
                <w:webHidden/>
              </w:rPr>
              <w:instrText xml:space="preserve"> PAGEREF _Toc134099284 \h </w:instrText>
            </w:r>
            <w:r>
              <w:rPr>
                <w:noProof/>
                <w:webHidden/>
              </w:rPr>
            </w:r>
            <w:r>
              <w:rPr>
                <w:noProof/>
                <w:webHidden/>
              </w:rPr>
              <w:fldChar w:fldCharType="separate"/>
            </w:r>
            <w:r>
              <w:rPr>
                <w:noProof/>
                <w:webHidden/>
              </w:rPr>
              <w:t>86</w:t>
            </w:r>
            <w:r>
              <w:rPr>
                <w:noProof/>
                <w:webHidden/>
              </w:rPr>
              <w:fldChar w:fldCharType="end"/>
            </w:r>
          </w:hyperlink>
        </w:p>
        <w:p w14:paraId="67EADA42" w14:textId="4B8DA877" w:rsidR="004A01C3" w:rsidRDefault="004A01C3">
          <w:pPr>
            <w:pStyle w:val="Spistreci3"/>
            <w:rPr>
              <w:rFonts w:asciiTheme="minorHAnsi" w:eastAsiaTheme="minorEastAsia" w:hAnsiTheme="minorHAnsi" w:cstheme="minorBidi"/>
              <w:iCs w:val="0"/>
              <w:noProof/>
              <w:kern w:val="2"/>
              <w:sz w:val="22"/>
              <w:szCs w:val="22"/>
              <w14:ligatures w14:val="standardContextual"/>
            </w:rPr>
          </w:pPr>
          <w:hyperlink w:anchor="_Toc134099285" w:history="1">
            <w:r w:rsidRPr="00460B82">
              <w:rPr>
                <w:rStyle w:val="Hipercze"/>
                <w:noProof/>
              </w:rPr>
              <w:t>Podzadanie 1. Prowadzenie badań statystycznych sprzedaży środków ochrony roślin</w:t>
            </w:r>
            <w:r>
              <w:rPr>
                <w:noProof/>
                <w:webHidden/>
              </w:rPr>
              <w:tab/>
            </w:r>
            <w:r>
              <w:rPr>
                <w:noProof/>
                <w:webHidden/>
              </w:rPr>
              <w:fldChar w:fldCharType="begin"/>
            </w:r>
            <w:r>
              <w:rPr>
                <w:noProof/>
                <w:webHidden/>
              </w:rPr>
              <w:instrText xml:space="preserve"> PAGEREF _Toc134099285 \h </w:instrText>
            </w:r>
            <w:r>
              <w:rPr>
                <w:noProof/>
                <w:webHidden/>
              </w:rPr>
            </w:r>
            <w:r>
              <w:rPr>
                <w:noProof/>
                <w:webHidden/>
              </w:rPr>
              <w:fldChar w:fldCharType="separate"/>
            </w:r>
            <w:r>
              <w:rPr>
                <w:noProof/>
                <w:webHidden/>
              </w:rPr>
              <w:t>86</w:t>
            </w:r>
            <w:r>
              <w:rPr>
                <w:noProof/>
                <w:webHidden/>
              </w:rPr>
              <w:fldChar w:fldCharType="end"/>
            </w:r>
          </w:hyperlink>
        </w:p>
        <w:p w14:paraId="37C40E63" w14:textId="3DDA12CF" w:rsidR="004A01C3" w:rsidRDefault="004A01C3">
          <w:pPr>
            <w:pStyle w:val="Spistreci3"/>
            <w:rPr>
              <w:rFonts w:asciiTheme="minorHAnsi" w:eastAsiaTheme="minorEastAsia" w:hAnsiTheme="minorHAnsi" w:cstheme="minorBidi"/>
              <w:iCs w:val="0"/>
              <w:noProof/>
              <w:kern w:val="2"/>
              <w:sz w:val="22"/>
              <w:szCs w:val="22"/>
              <w14:ligatures w14:val="standardContextual"/>
            </w:rPr>
          </w:pPr>
          <w:hyperlink w:anchor="_Toc134099286" w:history="1">
            <w:r w:rsidRPr="00460B82">
              <w:rPr>
                <w:rStyle w:val="Hipercze"/>
                <w:noProof/>
              </w:rPr>
              <w:t>Podzadanie 2. Prowadzenie badań statystycznych zużycia środków ochrony roślin</w:t>
            </w:r>
            <w:r>
              <w:rPr>
                <w:noProof/>
                <w:webHidden/>
              </w:rPr>
              <w:tab/>
            </w:r>
            <w:r>
              <w:rPr>
                <w:noProof/>
                <w:webHidden/>
              </w:rPr>
              <w:fldChar w:fldCharType="begin"/>
            </w:r>
            <w:r>
              <w:rPr>
                <w:noProof/>
                <w:webHidden/>
              </w:rPr>
              <w:instrText xml:space="preserve"> PAGEREF _Toc134099286 \h </w:instrText>
            </w:r>
            <w:r>
              <w:rPr>
                <w:noProof/>
                <w:webHidden/>
              </w:rPr>
            </w:r>
            <w:r>
              <w:rPr>
                <w:noProof/>
                <w:webHidden/>
              </w:rPr>
              <w:fldChar w:fldCharType="separate"/>
            </w:r>
            <w:r>
              <w:rPr>
                <w:noProof/>
                <w:webHidden/>
              </w:rPr>
              <w:t>89</w:t>
            </w:r>
            <w:r>
              <w:rPr>
                <w:noProof/>
                <w:webHidden/>
              </w:rPr>
              <w:fldChar w:fldCharType="end"/>
            </w:r>
          </w:hyperlink>
        </w:p>
        <w:p w14:paraId="7768C1D4" w14:textId="226CFCD1" w:rsidR="004A01C3" w:rsidRDefault="004A01C3">
          <w:pPr>
            <w:pStyle w:val="Spistreci3"/>
            <w:rPr>
              <w:rFonts w:asciiTheme="minorHAnsi" w:eastAsiaTheme="minorEastAsia" w:hAnsiTheme="minorHAnsi" w:cstheme="minorBidi"/>
              <w:iCs w:val="0"/>
              <w:noProof/>
              <w:kern w:val="2"/>
              <w:sz w:val="22"/>
              <w:szCs w:val="22"/>
              <w14:ligatures w14:val="standardContextual"/>
            </w:rPr>
          </w:pPr>
          <w:hyperlink w:anchor="_Toc134099287" w:history="1">
            <w:r w:rsidRPr="00460B82">
              <w:rPr>
                <w:rStyle w:val="Hipercze"/>
                <w:noProof/>
              </w:rPr>
              <w:t>Podzadanie 3. Prowadzenie badań dotyczących integrowanej ochrony roślin</w:t>
            </w:r>
            <w:r>
              <w:rPr>
                <w:noProof/>
                <w:webHidden/>
              </w:rPr>
              <w:tab/>
            </w:r>
            <w:r>
              <w:rPr>
                <w:noProof/>
                <w:webHidden/>
              </w:rPr>
              <w:fldChar w:fldCharType="begin"/>
            </w:r>
            <w:r>
              <w:rPr>
                <w:noProof/>
                <w:webHidden/>
              </w:rPr>
              <w:instrText xml:space="preserve"> PAGEREF _Toc134099287 \h </w:instrText>
            </w:r>
            <w:r>
              <w:rPr>
                <w:noProof/>
                <w:webHidden/>
              </w:rPr>
            </w:r>
            <w:r>
              <w:rPr>
                <w:noProof/>
                <w:webHidden/>
              </w:rPr>
              <w:fldChar w:fldCharType="separate"/>
            </w:r>
            <w:r>
              <w:rPr>
                <w:noProof/>
                <w:webHidden/>
              </w:rPr>
              <w:t>91</w:t>
            </w:r>
            <w:r>
              <w:rPr>
                <w:noProof/>
                <w:webHidden/>
              </w:rPr>
              <w:fldChar w:fldCharType="end"/>
            </w:r>
          </w:hyperlink>
        </w:p>
        <w:p w14:paraId="08E0E85E" w14:textId="528AE6F0"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88" w:history="1">
            <w:r w:rsidRPr="00460B82">
              <w:rPr>
                <w:rStyle w:val="Hipercze"/>
                <w:noProof/>
              </w:rPr>
              <w:t>Zadanie 2. Kontrole i monitoringi dotyczące środków ochrony roślin</w:t>
            </w:r>
            <w:r>
              <w:rPr>
                <w:noProof/>
                <w:webHidden/>
              </w:rPr>
              <w:tab/>
            </w:r>
            <w:r>
              <w:rPr>
                <w:noProof/>
                <w:webHidden/>
              </w:rPr>
              <w:fldChar w:fldCharType="begin"/>
            </w:r>
            <w:r>
              <w:rPr>
                <w:noProof/>
                <w:webHidden/>
              </w:rPr>
              <w:instrText xml:space="preserve"> PAGEREF _Toc134099288 \h </w:instrText>
            </w:r>
            <w:r>
              <w:rPr>
                <w:noProof/>
                <w:webHidden/>
              </w:rPr>
            </w:r>
            <w:r>
              <w:rPr>
                <w:noProof/>
                <w:webHidden/>
              </w:rPr>
              <w:fldChar w:fldCharType="separate"/>
            </w:r>
            <w:r>
              <w:rPr>
                <w:noProof/>
                <w:webHidden/>
              </w:rPr>
              <w:t>92</w:t>
            </w:r>
            <w:r>
              <w:rPr>
                <w:noProof/>
                <w:webHidden/>
              </w:rPr>
              <w:fldChar w:fldCharType="end"/>
            </w:r>
          </w:hyperlink>
        </w:p>
        <w:p w14:paraId="373F057D" w14:textId="26302945" w:rsidR="004A01C3" w:rsidRDefault="004A01C3">
          <w:pPr>
            <w:pStyle w:val="Spistreci3"/>
            <w:rPr>
              <w:rFonts w:asciiTheme="minorHAnsi" w:eastAsiaTheme="minorEastAsia" w:hAnsiTheme="minorHAnsi" w:cstheme="minorBidi"/>
              <w:iCs w:val="0"/>
              <w:noProof/>
              <w:kern w:val="2"/>
              <w:sz w:val="22"/>
              <w:szCs w:val="22"/>
              <w14:ligatures w14:val="standardContextual"/>
            </w:rPr>
          </w:pPr>
          <w:hyperlink w:anchor="_Toc134099289" w:history="1">
            <w:r w:rsidRPr="00460B82">
              <w:rPr>
                <w:rStyle w:val="Hipercze"/>
                <w:noProof/>
              </w:rPr>
              <w:t>Podzadanie 1. Kontrola żywności pochodzenia roślinnego na obecność pozostałości środkami ochrony roślin</w:t>
            </w:r>
            <w:r>
              <w:rPr>
                <w:noProof/>
                <w:webHidden/>
              </w:rPr>
              <w:tab/>
            </w:r>
            <w:r>
              <w:rPr>
                <w:noProof/>
                <w:webHidden/>
              </w:rPr>
              <w:fldChar w:fldCharType="begin"/>
            </w:r>
            <w:r>
              <w:rPr>
                <w:noProof/>
                <w:webHidden/>
              </w:rPr>
              <w:instrText xml:space="preserve"> PAGEREF _Toc134099289 \h </w:instrText>
            </w:r>
            <w:r>
              <w:rPr>
                <w:noProof/>
                <w:webHidden/>
              </w:rPr>
            </w:r>
            <w:r>
              <w:rPr>
                <w:noProof/>
                <w:webHidden/>
              </w:rPr>
              <w:fldChar w:fldCharType="separate"/>
            </w:r>
            <w:r>
              <w:rPr>
                <w:noProof/>
                <w:webHidden/>
              </w:rPr>
              <w:t>93</w:t>
            </w:r>
            <w:r>
              <w:rPr>
                <w:noProof/>
                <w:webHidden/>
              </w:rPr>
              <w:fldChar w:fldCharType="end"/>
            </w:r>
          </w:hyperlink>
        </w:p>
        <w:p w14:paraId="07C24DC0" w14:textId="3A59836E" w:rsidR="004A01C3" w:rsidRDefault="004A01C3">
          <w:pPr>
            <w:pStyle w:val="Spistreci3"/>
            <w:rPr>
              <w:rFonts w:asciiTheme="minorHAnsi" w:eastAsiaTheme="minorEastAsia" w:hAnsiTheme="minorHAnsi" w:cstheme="minorBidi"/>
              <w:iCs w:val="0"/>
              <w:noProof/>
              <w:kern w:val="2"/>
              <w:sz w:val="22"/>
              <w:szCs w:val="22"/>
              <w14:ligatures w14:val="standardContextual"/>
            </w:rPr>
          </w:pPr>
          <w:hyperlink w:anchor="_Toc134099290" w:history="1">
            <w:r w:rsidRPr="00460B82">
              <w:rPr>
                <w:rStyle w:val="Hipercze"/>
                <w:noProof/>
              </w:rPr>
              <w:t>Podzadanie 2. Kontrola pasz na obecność pozostałości środków ochrony roślin</w:t>
            </w:r>
            <w:r>
              <w:rPr>
                <w:noProof/>
                <w:webHidden/>
              </w:rPr>
              <w:tab/>
            </w:r>
            <w:r>
              <w:rPr>
                <w:noProof/>
                <w:webHidden/>
              </w:rPr>
              <w:fldChar w:fldCharType="begin"/>
            </w:r>
            <w:r>
              <w:rPr>
                <w:noProof/>
                <w:webHidden/>
              </w:rPr>
              <w:instrText xml:space="preserve"> PAGEREF _Toc134099290 \h </w:instrText>
            </w:r>
            <w:r>
              <w:rPr>
                <w:noProof/>
                <w:webHidden/>
              </w:rPr>
            </w:r>
            <w:r>
              <w:rPr>
                <w:noProof/>
                <w:webHidden/>
              </w:rPr>
              <w:fldChar w:fldCharType="separate"/>
            </w:r>
            <w:r>
              <w:rPr>
                <w:noProof/>
                <w:webHidden/>
              </w:rPr>
              <w:t>97</w:t>
            </w:r>
            <w:r>
              <w:rPr>
                <w:noProof/>
                <w:webHidden/>
              </w:rPr>
              <w:fldChar w:fldCharType="end"/>
            </w:r>
          </w:hyperlink>
        </w:p>
        <w:p w14:paraId="442D8136" w14:textId="4669271B" w:rsidR="004A01C3" w:rsidRDefault="004A01C3">
          <w:pPr>
            <w:pStyle w:val="Spistreci3"/>
            <w:rPr>
              <w:rFonts w:asciiTheme="minorHAnsi" w:eastAsiaTheme="minorEastAsia" w:hAnsiTheme="minorHAnsi" w:cstheme="minorBidi"/>
              <w:iCs w:val="0"/>
              <w:noProof/>
              <w:kern w:val="2"/>
              <w:sz w:val="22"/>
              <w:szCs w:val="22"/>
              <w14:ligatures w14:val="standardContextual"/>
            </w:rPr>
          </w:pPr>
          <w:hyperlink w:anchor="_Toc134099291" w:history="1">
            <w:r w:rsidRPr="00460B82">
              <w:rPr>
                <w:rStyle w:val="Hipercze"/>
                <w:noProof/>
              </w:rPr>
              <w:t>Podzadanie 3. Kontrola żywności pochodzenia zwierzęcego na obecność pozostałości środków ochrony roślin</w:t>
            </w:r>
            <w:r>
              <w:rPr>
                <w:noProof/>
                <w:webHidden/>
              </w:rPr>
              <w:tab/>
            </w:r>
            <w:r>
              <w:rPr>
                <w:noProof/>
                <w:webHidden/>
              </w:rPr>
              <w:fldChar w:fldCharType="begin"/>
            </w:r>
            <w:r>
              <w:rPr>
                <w:noProof/>
                <w:webHidden/>
              </w:rPr>
              <w:instrText xml:space="preserve"> PAGEREF _Toc134099291 \h </w:instrText>
            </w:r>
            <w:r>
              <w:rPr>
                <w:noProof/>
                <w:webHidden/>
              </w:rPr>
            </w:r>
            <w:r>
              <w:rPr>
                <w:noProof/>
                <w:webHidden/>
              </w:rPr>
              <w:fldChar w:fldCharType="separate"/>
            </w:r>
            <w:r>
              <w:rPr>
                <w:noProof/>
                <w:webHidden/>
              </w:rPr>
              <w:t>98</w:t>
            </w:r>
            <w:r>
              <w:rPr>
                <w:noProof/>
                <w:webHidden/>
              </w:rPr>
              <w:fldChar w:fldCharType="end"/>
            </w:r>
          </w:hyperlink>
        </w:p>
        <w:p w14:paraId="20C2D2E1" w14:textId="65E8E2C4" w:rsidR="004A01C3" w:rsidRDefault="004A01C3">
          <w:pPr>
            <w:pStyle w:val="Spistreci2"/>
            <w:rPr>
              <w:rFonts w:asciiTheme="minorHAnsi" w:eastAsiaTheme="minorEastAsia" w:hAnsiTheme="minorHAnsi" w:cstheme="minorBidi"/>
              <w:smallCaps w:val="0"/>
              <w:noProof/>
              <w:kern w:val="2"/>
              <w:sz w:val="22"/>
              <w:szCs w:val="22"/>
              <w14:ligatures w14:val="standardContextual"/>
            </w:rPr>
          </w:pPr>
          <w:hyperlink w:anchor="_Toc134099292" w:history="1">
            <w:r w:rsidRPr="00460B82">
              <w:rPr>
                <w:rStyle w:val="Hipercze"/>
                <w:noProof/>
              </w:rPr>
              <w:t>Zadanie 3. Opracowanie wskaźników oraz analiza ryzyka związanego ze stosowaniem środków ochrony roślin</w:t>
            </w:r>
            <w:r>
              <w:rPr>
                <w:noProof/>
                <w:webHidden/>
              </w:rPr>
              <w:tab/>
            </w:r>
            <w:r>
              <w:rPr>
                <w:noProof/>
                <w:webHidden/>
              </w:rPr>
              <w:fldChar w:fldCharType="begin"/>
            </w:r>
            <w:r>
              <w:rPr>
                <w:noProof/>
                <w:webHidden/>
              </w:rPr>
              <w:instrText xml:space="preserve"> PAGEREF _Toc134099292 \h </w:instrText>
            </w:r>
            <w:r>
              <w:rPr>
                <w:noProof/>
                <w:webHidden/>
              </w:rPr>
            </w:r>
            <w:r>
              <w:rPr>
                <w:noProof/>
                <w:webHidden/>
              </w:rPr>
              <w:fldChar w:fldCharType="separate"/>
            </w:r>
            <w:r>
              <w:rPr>
                <w:noProof/>
                <w:webHidden/>
              </w:rPr>
              <w:t>99</w:t>
            </w:r>
            <w:r>
              <w:rPr>
                <w:noProof/>
                <w:webHidden/>
              </w:rPr>
              <w:fldChar w:fldCharType="end"/>
            </w:r>
          </w:hyperlink>
        </w:p>
        <w:p w14:paraId="6D20C88B" w14:textId="012D482E"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93" w:history="1">
            <w:r w:rsidRPr="00460B82">
              <w:rPr>
                <w:rStyle w:val="Hipercze"/>
                <w:noProof/>
              </w:rPr>
              <w:t>11.1.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_Toc134099293 \h </w:instrText>
            </w:r>
            <w:r>
              <w:rPr>
                <w:noProof/>
                <w:webHidden/>
              </w:rPr>
            </w:r>
            <w:r>
              <w:rPr>
                <w:noProof/>
                <w:webHidden/>
              </w:rPr>
              <w:fldChar w:fldCharType="separate"/>
            </w:r>
            <w:r>
              <w:rPr>
                <w:noProof/>
                <w:webHidden/>
              </w:rPr>
              <w:t>101</w:t>
            </w:r>
            <w:r>
              <w:rPr>
                <w:noProof/>
                <w:webHidden/>
              </w:rPr>
              <w:fldChar w:fldCharType="end"/>
            </w:r>
          </w:hyperlink>
        </w:p>
        <w:p w14:paraId="1DBA6F4A" w14:textId="5F0C4C43"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94" w:history="1">
            <w:r w:rsidRPr="00460B82">
              <w:rPr>
                <w:rStyle w:val="Hipercze"/>
                <w:noProof/>
              </w:rPr>
              <w:t>12.</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12. Utrzymanie efektywnego nadzoru nad obrotem i stosowaniem środków ochrony roślin</w:t>
            </w:r>
            <w:r>
              <w:rPr>
                <w:noProof/>
                <w:webHidden/>
              </w:rPr>
              <w:tab/>
            </w:r>
            <w:r>
              <w:rPr>
                <w:noProof/>
                <w:webHidden/>
              </w:rPr>
              <w:fldChar w:fldCharType="begin"/>
            </w:r>
            <w:r>
              <w:rPr>
                <w:noProof/>
                <w:webHidden/>
              </w:rPr>
              <w:instrText xml:space="preserve"> PAGEREF _Toc134099294 \h </w:instrText>
            </w:r>
            <w:r>
              <w:rPr>
                <w:noProof/>
                <w:webHidden/>
              </w:rPr>
            </w:r>
            <w:r>
              <w:rPr>
                <w:noProof/>
                <w:webHidden/>
              </w:rPr>
              <w:fldChar w:fldCharType="separate"/>
            </w:r>
            <w:r>
              <w:rPr>
                <w:noProof/>
                <w:webHidden/>
              </w:rPr>
              <w:t>102</w:t>
            </w:r>
            <w:r>
              <w:rPr>
                <w:noProof/>
                <w:webHidden/>
              </w:rPr>
              <w:fldChar w:fldCharType="end"/>
            </w:r>
          </w:hyperlink>
        </w:p>
        <w:p w14:paraId="144C27DA" w14:textId="3E0E08B7"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95" w:history="1">
            <w:r w:rsidRPr="00460B82">
              <w:rPr>
                <w:rStyle w:val="Hipercze"/>
                <w:noProof/>
              </w:rPr>
              <w:t>12.1.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_Toc134099295 \h </w:instrText>
            </w:r>
            <w:r>
              <w:rPr>
                <w:noProof/>
                <w:webHidden/>
              </w:rPr>
            </w:r>
            <w:r>
              <w:rPr>
                <w:noProof/>
                <w:webHidden/>
              </w:rPr>
              <w:fldChar w:fldCharType="separate"/>
            </w:r>
            <w:r>
              <w:rPr>
                <w:noProof/>
                <w:webHidden/>
              </w:rPr>
              <w:t>108</w:t>
            </w:r>
            <w:r>
              <w:rPr>
                <w:noProof/>
                <w:webHidden/>
              </w:rPr>
              <w:fldChar w:fldCharType="end"/>
            </w:r>
          </w:hyperlink>
        </w:p>
        <w:p w14:paraId="48A191FD" w14:textId="5DE2F8CB"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96" w:history="1">
            <w:r w:rsidRPr="00460B82">
              <w:rPr>
                <w:rStyle w:val="Hipercze"/>
                <w:noProof/>
              </w:rPr>
              <w:t>13.</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Działanie 13. Optymalizacja ochrony upraw małoobszarowych i ekologicznych</w:t>
            </w:r>
            <w:r>
              <w:rPr>
                <w:noProof/>
                <w:webHidden/>
              </w:rPr>
              <w:tab/>
            </w:r>
            <w:r>
              <w:rPr>
                <w:noProof/>
                <w:webHidden/>
              </w:rPr>
              <w:fldChar w:fldCharType="begin"/>
            </w:r>
            <w:r>
              <w:rPr>
                <w:noProof/>
                <w:webHidden/>
              </w:rPr>
              <w:instrText xml:space="preserve"> PAGEREF _Toc134099296 \h </w:instrText>
            </w:r>
            <w:r>
              <w:rPr>
                <w:noProof/>
                <w:webHidden/>
              </w:rPr>
            </w:r>
            <w:r>
              <w:rPr>
                <w:noProof/>
                <w:webHidden/>
              </w:rPr>
              <w:fldChar w:fldCharType="separate"/>
            </w:r>
            <w:r>
              <w:rPr>
                <w:noProof/>
                <w:webHidden/>
              </w:rPr>
              <w:t>108</w:t>
            </w:r>
            <w:r>
              <w:rPr>
                <w:noProof/>
                <w:webHidden/>
              </w:rPr>
              <w:fldChar w:fldCharType="end"/>
            </w:r>
          </w:hyperlink>
        </w:p>
        <w:p w14:paraId="796A6ECC" w14:textId="1A32925A"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97" w:history="1">
            <w:r w:rsidRPr="00460B82">
              <w:rPr>
                <w:rStyle w:val="Hipercze"/>
                <w:noProof/>
              </w:rPr>
              <w:t>13.1.</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Mierniki służące monitorowaniu</w:t>
            </w:r>
            <w:r>
              <w:rPr>
                <w:noProof/>
                <w:webHidden/>
              </w:rPr>
              <w:tab/>
            </w:r>
            <w:r>
              <w:rPr>
                <w:noProof/>
                <w:webHidden/>
              </w:rPr>
              <w:fldChar w:fldCharType="begin"/>
            </w:r>
            <w:r>
              <w:rPr>
                <w:noProof/>
                <w:webHidden/>
              </w:rPr>
              <w:instrText xml:space="preserve"> PAGEREF _Toc134099297 \h </w:instrText>
            </w:r>
            <w:r>
              <w:rPr>
                <w:noProof/>
                <w:webHidden/>
              </w:rPr>
            </w:r>
            <w:r>
              <w:rPr>
                <w:noProof/>
                <w:webHidden/>
              </w:rPr>
              <w:fldChar w:fldCharType="separate"/>
            </w:r>
            <w:r>
              <w:rPr>
                <w:noProof/>
                <w:webHidden/>
              </w:rPr>
              <w:t>114</w:t>
            </w:r>
            <w:r>
              <w:rPr>
                <w:noProof/>
                <w:webHidden/>
              </w:rPr>
              <w:fldChar w:fldCharType="end"/>
            </w:r>
          </w:hyperlink>
        </w:p>
        <w:p w14:paraId="03298ACA" w14:textId="18533FD3" w:rsidR="004A01C3" w:rsidRDefault="004A01C3">
          <w:pPr>
            <w:pStyle w:val="Spistreci1"/>
            <w:rPr>
              <w:rFonts w:asciiTheme="minorHAnsi" w:eastAsiaTheme="minorEastAsia" w:hAnsiTheme="minorHAnsi" w:cstheme="minorBidi"/>
              <w:b w:val="0"/>
              <w:bCs w:val="0"/>
              <w:caps w:val="0"/>
              <w:noProof/>
              <w:kern w:val="2"/>
              <w:sz w:val="22"/>
              <w:szCs w:val="22"/>
              <w14:ligatures w14:val="standardContextual"/>
            </w:rPr>
          </w:pPr>
          <w:hyperlink w:anchor="_Toc134099298" w:history="1">
            <w:r w:rsidRPr="00460B82">
              <w:rPr>
                <w:rStyle w:val="Hipercze"/>
                <w:noProof/>
              </w:rPr>
              <w:t>14.</w:t>
            </w:r>
            <w:r>
              <w:rPr>
                <w:rFonts w:asciiTheme="minorHAnsi" w:eastAsiaTheme="minorEastAsia" w:hAnsiTheme="minorHAnsi" w:cstheme="minorBidi"/>
                <w:b w:val="0"/>
                <w:bCs w:val="0"/>
                <w:caps w:val="0"/>
                <w:noProof/>
                <w:kern w:val="2"/>
                <w:sz w:val="22"/>
                <w:szCs w:val="22"/>
                <w14:ligatures w14:val="standardContextual"/>
              </w:rPr>
              <w:tab/>
            </w:r>
            <w:r w:rsidRPr="00460B82">
              <w:rPr>
                <w:rStyle w:val="Hipercze"/>
                <w:noProof/>
              </w:rPr>
              <w:t>KOMPLEKSOWA OCENA W ZAKRESIE KRAJOWEGO BEZPIECZEŃSTWA PESTYCYDOWEGO W OPARCIU O KRAJOWE WSKAŹNIKI RYZYKA PESTYCYDOWEGO ORAZ ZHARMONIZOWANY WSKAŹNIK RYZYKA HRI-1 DLA POLSKI</w:t>
            </w:r>
            <w:r>
              <w:rPr>
                <w:noProof/>
                <w:webHidden/>
              </w:rPr>
              <w:tab/>
            </w:r>
            <w:r>
              <w:rPr>
                <w:noProof/>
                <w:webHidden/>
              </w:rPr>
              <w:fldChar w:fldCharType="begin"/>
            </w:r>
            <w:r>
              <w:rPr>
                <w:noProof/>
                <w:webHidden/>
              </w:rPr>
              <w:instrText xml:space="preserve"> PAGEREF _Toc134099298 \h </w:instrText>
            </w:r>
            <w:r>
              <w:rPr>
                <w:noProof/>
                <w:webHidden/>
              </w:rPr>
            </w:r>
            <w:r>
              <w:rPr>
                <w:noProof/>
                <w:webHidden/>
              </w:rPr>
              <w:fldChar w:fldCharType="separate"/>
            </w:r>
            <w:r>
              <w:rPr>
                <w:noProof/>
                <w:webHidden/>
              </w:rPr>
              <w:t>1</w:t>
            </w:r>
            <w:r>
              <w:rPr>
                <w:noProof/>
                <w:webHidden/>
              </w:rPr>
              <w:t>1</w:t>
            </w:r>
            <w:r>
              <w:rPr>
                <w:noProof/>
                <w:webHidden/>
              </w:rPr>
              <w:t>5</w:t>
            </w:r>
            <w:r>
              <w:rPr>
                <w:noProof/>
                <w:webHidden/>
              </w:rPr>
              <w:fldChar w:fldCharType="end"/>
            </w:r>
          </w:hyperlink>
        </w:p>
        <w:p w14:paraId="21FD24EA" w14:textId="6BBE1277" w:rsidR="00056846" w:rsidRPr="00925BCD" w:rsidRDefault="00E54725">
          <w:pPr>
            <w:pStyle w:val="Spistreci1"/>
            <w:rPr>
              <w:rFonts w:asciiTheme="minorHAnsi" w:eastAsiaTheme="minorEastAsia" w:hAnsiTheme="minorHAnsi" w:cstheme="minorBidi"/>
              <w:b w:val="0"/>
              <w:bCs w:val="0"/>
              <w:caps w:val="0"/>
              <w:sz w:val="22"/>
              <w:szCs w:val="22"/>
            </w:rPr>
          </w:pPr>
          <w:r w:rsidRPr="00925BCD">
            <w:rPr>
              <w:rStyle w:val="czeindeksu"/>
            </w:rPr>
            <w:fldChar w:fldCharType="end"/>
          </w:r>
        </w:p>
      </w:sdtContent>
    </w:sdt>
    <w:p w14:paraId="077DEF6A" w14:textId="77777777" w:rsidR="00056846" w:rsidRPr="00925BCD" w:rsidRDefault="00056846">
      <w:pPr>
        <w:pStyle w:val="Spistreci1"/>
        <w:rPr>
          <w:rFonts w:asciiTheme="minorHAnsi" w:eastAsiaTheme="minorEastAsia" w:hAnsiTheme="minorHAnsi" w:cstheme="minorBidi"/>
          <w:b w:val="0"/>
          <w:bCs w:val="0"/>
          <w:caps w:val="0"/>
          <w:sz w:val="22"/>
          <w:szCs w:val="22"/>
        </w:rPr>
      </w:pPr>
    </w:p>
    <w:p w14:paraId="05567726" w14:textId="77777777" w:rsidR="00056846" w:rsidRPr="00925BCD" w:rsidRDefault="00056846">
      <w:pPr>
        <w:spacing w:after="60"/>
        <w:jc w:val="both"/>
        <w:rPr>
          <w:rFonts w:ascii="Arial" w:hAnsi="Arial" w:cs="Arial"/>
          <w:caps/>
        </w:rPr>
      </w:pPr>
    </w:p>
    <w:p w14:paraId="6125A4C6" w14:textId="77777777" w:rsidR="00056846" w:rsidRPr="00925BCD" w:rsidRDefault="00E54725">
      <w:pPr>
        <w:rPr>
          <w:rFonts w:ascii="Arial" w:hAnsi="Arial" w:cs="Arial"/>
          <w:caps/>
        </w:rPr>
      </w:pPr>
      <w:r w:rsidRPr="00925BCD">
        <w:br w:type="page"/>
      </w:r>
    </w:p>
    <w:p w14:paraId="7C2F3411" w14:textId="77777777" w:rsidR="00056846" w:rsidRPr="00925BCD" w:rsidRDefault="00E54725">
      <w:pPr>
        <w:pStyle w:val="Nagwek1"/>
        <w:spacing w:before="0"/>
        <w:rPr>
          <w:i w:val="0"/>
          <w:sz w:val="24"/>
          <w:szCs w:val="24"/>
        </w:rPr>
      </w:pPr>
      <w:bookmarkStart w:id="0" w:name="_Toc134099242"/>
      <w:r w:rsidRPr="00925BCD">
        <w:rPr>
          <w:i w:val="0"/>
          <w:sz w:val="24"/>
          <w:szCs w:val="24"/>
        </w:rPr>
        <w:lastRenderedPageBreak/>
        <w:t>Wstęp</w:t>
      </w:r>
      <w:bookmarkEnd w:id="0"/>
    </w:p>
    <w:p w14:paraId="39ED5ED8"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Krajowy plan działania na rzecz ograniczenia ryzyka związanego ze stosowaniem środków ochrony roślin, zwany dalej „krajowym planem działania”, stanowi wykonanie zobowiązań wynikających z postanowień dyrektywy Parlamentu Europejskiego i Rady 2009/128/WE z dnia 21 października 2009 r. ustanawiającej ramy wspólnotowego działania na rzecz zrównoważonego stosowania pestycydów (Dz. Urz. UE L 309 z 24.11.2009, str. 71, z późn. zm.). </w:t>
      </w:r>
    </w:p>
    <w:p w14:paraId="625C693F"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Polsce pierwszy krajowy plan działania został przyjęty w dniu 6 maja 2013 r. i ogłoszony w dniu 18 czerwca 2013 r. w Dzienniku Urzędowym Rzeczypospolitej Polskiej „Monitor Polski” pod poz. 536. </w:t>
      </w:r>
    </w:p>
    <w:p w14:paraId="43CD02D7" w14:textId="12568D44" w:rsidR="00AF15C5" w:rsidRPr="000779DC" w:rsidRDefault="00E54725" w:rsidP="00AF15C5">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Stosownie do przepisów art. 47 ust. 6 pkt 2 ustawy z dnia 8 marca 2013 r. o środkach ochrony roślin, minister właściwy do spraw rolnictwa został zobowiązany do dokonania przeglądu krajowego planu działania w odstępach czasu nie dłuższych niż 5 lat. Tym samym w dniu 11 lipca 2018 r. </w:t>
      </w:r>
      <w:r w:rsidR="005E3114" w:rsidRPr="00925BCD">
        <w:rPr>
          <w:rFonts w:ascii="Arial" w:hAnsi="Arial" w:cs="Arial"/>
        </w:rPr>
        <w:t>przyjęty</w:t>
      </w:r>
      <w:r w:rsidR="00B1043B" w:rsidRPr="00925BCD">
        <w:rPr>
          <w:rFonts w:ascii="Arial" w:hAnsi="Arial" w:cs="Arial"/>
        </w:rPr>
        <w:t xml:space="preserve"> </w:t>
      </w:r>
      <w:r w:rsidRPr="00925BCD">
        <w:rPr>
          <w:rFonts w:ascii="Arial" w:hAnsi="Arial" w:cs="Arial"/>
        </w:rPr>
        <w:t>został Krajowy plan działania na rzecz ograniczenia ryzyka związanego ze stosowaniem środków ochrony roślin na lata 2018-2022</w:t>
      </w:r>
      <w:r w:rsidR="00B1043B" w:rsidRPr="00925BCD">
        <w:rPr>
          <w:rFonts w:ascii="Arial" w:hAnsi="Arial" w:cs="Arial"/>
        </w:rPr>
        <w:t xml:space="preserve">, </w:t>
      </w:r>
      <w:r w:rsidRPr="00925BCD">
        <w:rPr>
          <w:rFonts w:ascii="Arial" w:hAnsi="Arial" w:cs="Arial"/>
        </w:rPr>
        <w:t>ogłoszony w Dzienniku Urzędowym Rzeczypospolitej Polskiej „Monitor Polski” pod poz. 723</w:t>
      </w:r>
      <w:r w:rsidR="00AF15C5">
        <w:rPr>
          <w:rFonts w:ascii="Arial" w:hAnsi="Arial" w:cs="Arial"/>
        </w:rPr>
        <w:t xml:space="preserve">. </w:t>
      </w:r>
      <w:r w:rsidR="00AF15C5" w:rsidRPr="000779DC">
        <w:rPr>
          <w:rFonts w:ascii="Arial" w:hAnsi="Arial" w:cs="Arial"/>
        </w:rPr>
        <w:t xml:space="preserve">W 2020 r. obwieszczeniem </w:t>
      </w:r>
      <w:r w:rsidR="00EF6867" w:rsidRPr="000779DC">
        <w:rPr>
          <w:rFonts w:ascii="Arial" w:hAnsi="Arial" w:cs="Arial"/>
        </w:rPr>
        <w:t>Ministra Rolnictwa i Rozwoju Wsi z dnia 16 sty</w:t>
      </w:r>
      <w:r w:rsidR="002B1A37" w:rsidRPr="000779DC">
        <w:rPr>
          <w:rFonts w:ascii="Arial" w:hAnsi="Arial" w:cs="Arial"/>
        </w:rPr>
        <w:t xml:space="preserve">cznia 2020 r. </w:t>
      </w:r>
      <w:r w:rsidR="00AF15C5" w:rsidRPr="000779DC">
        <w:rPr>
          <w:rFonts w:ascii="Arial" w:hAnsi="Arial" w:cs="Arial"/>
        </w:rPr>
        <w:t xml:space="preserve">w sprawie zmiany krajowego planu działania na rzecz ograniczenia ryzyka związanego ze stosowaniem środków ochrony roślin na lata 2018.2022 </w:t>
      </w:r>
      <w:r w:rsidR="00B54D9A" w:rsidRPr="000779DC">
        <w:rPr>
          <w:rFonts w:ascii="Arial" w:hAnsi="Arial" w:cs="Arial"/>
        </w:rPr>
        <w:t xml:space="preserve">(M. P. </w:t>
      </w:r>
      <w:r w:rsidR="007B14E6" w:rsidRPr="000779DC">
        <w:rPr>
          <w:rFonts w:ascii="Arial" w:hAnsi="Arial" w:cs="Arial"/>
        </w:rPr>
        <w:t xml:space="preserve">poz. 99) </w:t>
      </w:r>
      <w:r w:rsidR="00043DFB" w:rsidRPr="000779DC">
        <w:rPr>
          <w:rFonts w:ascii="Arial" w:hAnsi="Arial" w:cs="Arial"/>
        </w:rPr>
        <w:t xml:space="preserve">dodano zapis </w:t>
      </w:r>
      <w:r w:rsidR="00AF15C5" w:rsidRPr="000779DC">
        <w:rPr>
          <w:rFonts w:ascii="Arial" w:hAnsi="Arial" w:cs="Arial"/>
        </w:rPr>
        <w:t xml:space="preserve">"W celu analizy ryzyka związanego ze stosowaniem środków ochrony roślin wykorzystywane będą także zharmonizowane wskaźniki ryzyka określone w załączniku IV do dyrektywy 2009/128/WE. Na ich podstawie, zgodnie </w:t>
      </w:r>
      <w:r w:rsidR="00C33599" w:rsidRPr="000779DC">
        <w:rPr>
          <w:rFonts w:ascii="Arial" w:hAnsi="Arial" w:cs="Arial"/>
        </w:rPr>
        <w:t>z</w:t>
      </w:r>
      <w:r w:rsidR="00C33599">
        <w:rPr>
          <w:rFonts w:ascii="Arial" w:hAnsi="Arial" w:cs="Arial"/>
        </w:rPr>
        <w:t> </w:t>
      </w:r>
      <w:r w:rsidR="00AF15C5" w:rsidRPr="000779DC">
        <w:rPr>
          <w:rFonts w:ascii="Arial" w:hAnsi="Arial" w:cs="Arial"/>
        </w:rPr>
        <w:t>art. 15 ust. 2 dyrektywy 2009/128/WE, będą określane tendencje w zakresie stosowania substancji czynnych mających szczególne znaczenie dla ryzyka związanego ze stosowaniem środków ochrony roślin oraz kwestie priorytetowe w tym obszarze. Informacje o tych tendencjach oraz kwestiach priorytetowych, a także wartości obliczonych zharmonizowanych wskaźników ryzyka będą przekazywane do publicznej wiadomości przez ich udostępnienie na stronie internetowej Ministerstwa Rolnictwa i Rozwoju Wsi.".</w:t>
      </w:r>
    </w:p>
    <w:p w14:paraId="0532B0B4" w14:textId="4D820749" w:rsidR="00CC078F"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Kluczowym celem dla Polski w związku z realizacją krajowego planu działania jest, podobnie jak w latach 2013</w:t>
      </w:r>
      <w:r w:rsidR="00226753" w:rsidRPr="00772A61">
        <w:rPr>
          <w:rFonts w:ascii="Arial" w:hAnsi="Arial" w:cs="Arial"/>
        </w:rPr>
        <w:t>–</w:t>
      </w:r>
      <w:r w:rsidRPr="00925BCD">
        <w:rPr>
          <w:rFonts w:ascii="Arial" w:hAnsi="Arial" w:cs="Arial"/>
        </w:rPr>
        <w:t>2017, upowszechnienie ogólnych zasad integrowanej ochrony roślin oraz zapobieganie zagrożeniom związanym ze stosowaniem środków ochrony roślin. Wdrożenie zasad integrowanej ochrony roślin, w szczególności przez promowanie niechemicznych metod ochrony, prowadzi bowiem do zmniejszenia zależności produkcji roślinnej od preparatów chemicznych i w efekcie ogranicza ryzyko związane z ich użyciem – zarówno dla konsumentów płodów rolnych, osób wykonujących zabiegi, jak i środowiska.</w:t>
      </w:r>
    </w:p>
    <w:p w14:paraId="3C4B88BF" w14:textId="5EBA9354"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Wyniki monitorowania realizacji celów krajowego planu działania, w tym wyniki oceny ryzyka związanego ze stosowaniem środków ochrony roślin, minister właściwy do spraw rolnictwa udostępnia corocznie na stronie internetowej administrowanej przez obsługujący go urząd. Poniższe opracowanie stanowi </w:t>
      </w:r>
      <w:r w:rsidR="00586C89">
        <w:rPr>
          <w:rFonts w:ascii="Arial" w:hAnsi="Arial" w:cs="Arial"/>
        </w:rPr>
        <w:t>czwarte</w:t>
      </w:r>
      <w:r w:rsidR="00E270F0" w:rsidRPr="00925BCD">
        <w:rPr>
          <w:rFonts w:ascii="Arial" w:hAnsi="Arial" w:cs="Arial"/>
        </w:rPr>
        <w:t xml:space="preserve"> </w:t>
      </w:r>
      <w:r w:rsidRPr="00925BCD">
        <w:rPr>
          <w:rFonts w:ascii="Arial" w:hAnsi="Arial" w:cs="Arial"/>
        </w:rPr>
        <w:t>sprawozdanie z realizacji drugiego krajowego planu działania</w:t>
      </w:r>
      <w:r w:rsidR="00C06C30" w:rsidRPr="00925BCD">
        <w:rPr>
          <w:rFonts w:ascii="Arial" w:hAnsi="Arial" w:cs="Arial"/>
        </w:rPr>
        <w:t>, obejmujące lata 2018–20</w:t>
      </w:r>
      <w:r w:rsidR="00F13B50">
        <w:rPr>
          <w:rFonts w:ascii="Arial" w:hAnsi="Arial" w:cs="Arial"/>
        </w:rPr>
        <w:t>2</w:t>
      </w:r>
      <w:r w:rsidR="004450F9">
        <w:rPr>
          <w:rFonts w:ascii="Arial" w:hAnsi="Arial" w:cs="Arial"/>
        </w:rPr>
        <w:t>1</w:t>
      </w:r>
      <w:r w:rsidRPr="00925BCD">
        <w:rPr>
          <w:rFonts w:ascii="Arial" w:hAnsi="Arial" w:cs="Arial"/>
        </w:rPr>
        <w:t>.</w:t>
      </w:r>
    </w:p>
    <w:p w14:paraId="38C9EA11" w14:textId="77777777" w:rsidR="00C06C30" w:rsidRPr="00925BCD" w:rsidRDefault="00C06C30" w:rsidP="00C06C30">
      <w:pPr>
        <w:pStyle w:val="NormalnyWeb"/>
        <w:tabs>
          <w:tab w:val="left" w:pos="284"/>
        </w:tabs>
        <w:spacing w:beforeAutospacing="0" w:after="120" w:afterAutospacing="0" w:line="360" w:lineRule="auto"/>
        <w:ind w:firstLine="284"/>
        <w:jc w:val="both"/>
        <w:rPr>
          <w:rFonts w:ascii="Arial" w:hAnsi="Arial" w:cs="Arial"/>
        </w:rPr>
      </w:pPr>
    </w:p>
    <w:p w14:paraId="3525707C" w14:textId="77777777" w:rsidR="00056846" w:rsidRPr="00925BCD" w:rsidRDefault="00E54725" w:rsidP="00C06C30">
      <w:pPr>
        <w:spacing w:after="120" w:line="360" w:lineRule="auto"/>
        <w:rPr>
          <w:rFonts w:ascii="Arial" w:hAnsi="Arial" w:cs="Arial"/>
        </w:rPr>
      </w:pPr>
      <w:r w:rsidRPr="00925BCD">
        <w:br w:type="page"/>
      </w:r>
    </w:p>
    <w:p w14:paraId="78590482" w14:textId="77777777" w:rsidR="00056846" w:rsidRPr="00925BCD" w:rsidRDefault="00E54725">
      <w:pPr>
        <w:pStyle w:val="Nagwek1"/>
        <w:numPr>
          <w:ilvl w:val="3"/>
          <w:numId w:val="2"/>
        </w:numPr>
        <w:tabs>
          <w:tab w:val="left" w:pos="2552"/>
        </w:tabs>
        <w:ind w:left="284" w:hanging="426"/>
        <w:jc w:val="both"/>
        <w:rPr>
          <w:i w:val="0"/>
          <w:sz w:val="22"/>
          <w:szCs w:val="22"/>
        </w:rPr>
      </w:pPr>
      <w:bookmarkStart w:id="1" w:name="_Toc134099243"/>
      <w:r w:rsidRPr="00925BCD">
        <w:rPr>
          <w:i w:val="0"/>
          <w:sz w:val="22"/>
          <w:szCs w:val="22"/>
        </w:rPr>
        <w:lastRenderedPageBreak/>
        <w:t>Działanie 1. Szkolenia w zakresie środków ochrony roślin</w:t>
      </w:r>
      <w:bookmarkEnd w:id="1"/>
    </w:p>
    <w:p w14:paraId="0A0EE9AA" w14:textId="4FCB35D5"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Prowadzenie systemu obowiązkowych szkoleń pod nadzorem Państwowej Inspekcji Ochrony Roślin i Nasiennictwa dla osób wykonujących zabiegi środkami ochrony roślin jest kluczowym elementem ograniczania ryzyka związanego ze stosowaniem tych środków dla zdrowia ludzi, bezpieczeństwa żywności oraz ochrony środowiska, w szczególności w odniesieniu do ochrony organizmów niebędących celem zwalczania (np. owadów zapylających) i środowiska wodnego. Działanie to służy osiągnięciu celów określonych w art. 5 dyrektywy 2009/128/WE.</w:t>
      </w:r>
    </w:p>
    <w:p w14:paraId="7926CABD" w14:textId="01C0169B"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art. 41 ustawy z dnia 8 marca 2013 r. o środkach ochrony roślin, wykonywanie zabiegów z zastosowaniem środków ochrony roślin przeznaczonych dla użytkowników profesjonalnych jest możliwe po ukończeniu specjalistycznego szkolenia. Tak więc, wszelkie zabiegi środkami ochrony roślin przeznaczonymi dla użytkowników profesjonalnych, w tym prowadzone </w:t>
      </w:r>
      <w:r w:rsidR="00D041C0">
        <w:rPr>
          <w:rFonts w:ascii="Arial" w:hAnsi="Arial" w:cs="Arial"/>
        </w:rPr>
        <w:t xml:space="preserve">poza rolnictwem - </w:t>
      </w:r>
      <w:r w:rsidRPr="00925BCD">
        <w:rPr>
          <w:rFonts w:ascii="Arial" w:hAnsi="Arial" w:cs="Arial"/>
        </w:rPr>
        <w:t xml:space="preserve">na obszarach zieleni miejskiej, w kolejnictwie oraz w pomieszczeniach magazynowych, mogą być wykonywane jedynie przez osoby odpowiednio przeszkolone. </w:t>
      </w:r>
    </w:p>
    <w:p w14:paraId="603CA666" w14:textId="29B307A5"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Specjalistyczne szkolenie muszą odbyć również osoby dokonujące sprzedaży środków ochrony roślin. Zgodnie z art. 25 ustawy z dnia 8 marca 2013 r. o środkach ochrony roślin przedsiębiorca wykonujący działalność gospodarczą w zakresie wprowadzania środków ochrony roślin do obrotu powinien zapewnić, aby osoby takie ukończyły stosowne szkolenie oraz aby udzielały nabywcy środków ochrony roślin, na jego żądanie, informacji dotyczących zagrożeń </w:t>
      </w:r>
      <w:r w:rsidR="00B1043B" w:rsidRPr="00925BCD">
        <w:rPr>
          <w:rFonts w:ascii="Arial" w:hAnsi="Arial" w:cs="Arial"/>
        </w:rPr>
        <w:t xml:space="preserve">stwarzanych przez te preparaty </w:t>
      </w:r>
      <w:r w:rsidRPr="00925BCD">
        <w:rPr>
          <w:rFonts w:ascii="Arial" w:hAnsi="Arial" w:cs="Arial"/>
        </w:rPr>
        <w:t xml:space="preserve">oraz prawidłowego i bezpiecznego </w:t>
      </w:r>
      <w:r w:rsidR="00B1043B" w:rsidRPr="00925BCD">
        <w:rPr>
          <w:rFonts w:ascii="Arial" w:hAnsi="Arial" w:cs="Arial"/>
        </w:rPr>
        <w:t xml:space="preserve">ich </w:t>
      </w:r>
      <w:r w:rsidRPr="00925BCD">
        <w:rPr>
          <w:rFonts w:ascii="Arial" w:hAnsi="Arial" w:cs="Arial"/>
        </w:rPr>
        <w:t>stosowania. Osoby te mają bowiem bezpośredni wpływ na zachowania użytkowników środków ochrony roślin, a przekazywana przez nich wiedza powinna efektywnie przyczyniać się do ograniczania zagrożeń powstających w trakcie transportu, przechowywania i stosowania środków ochrony roślin.</w:t>
      </w:r>
    </w:p>
    <w:p w14:paraId="11C88D12"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Ponadto, zgodnie z art. 42 ustawy z dnia 8 marca 2013 r. o środkach ochrony roślin, obowiązkowymi szkoleniami zostali objęci również doradcy profesjonalnie zajmujący się udzielaniem wskazówek w zakresie ochrony roślin, w tym w ramach prowadzonej działalności marketingowej. </w:t>
      </w:r>
    </w:p>
    <w:p w14:paraId="55D8A23C" w14:textId="1036E812"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Szczegółowe wymagania dotyczące organizacji oraz programy szkoleń zostały uregulowane w rozporządzeniu Ministra Rolnictwa i Rozwoju Wsi z dnia 8 maja 2013 r. w sprawie szkoleń w zakresie środków ochrony roślin (Dz. U. poz. 554</w:t>
      </w:r>
      <w:r w:rsidR="006A49D8">
        <w:rPr>
          <w:rFonts w:ascii="Arial" w:hAnsi="Arial" w:cs="Arial"/>
        </w:rPr>
        <w:t xml:space="preserve"> z późn. zm.</w:t>
      </w:r>
      <w:r w:rsidRPr="00925BCD">
        <w:rPr>
          <w:rFonts w:ascii="Arial" w:hAnsi="Arial" w:cs="Arial"/>
        </w:rPr>
        <w:t>). Programy szkoleń obejmują ogólne zasady integrowanej ochrony roślin oraz sposoby ograniczania ryzyka związanego ze stosowaniem środków ochrony roślin, w tym ryzyka dla środowiska wodnego. Duży nacisk w programach szkoleń został położony także na zagadnienia związane z ochroną organizmów pożytecznych, w tym zapylaczy. Szkolenia obejmują także aspekty właściwego przechowywania środków ochrony roślin oraz postępowania z opakowaniami po tych środkach. Odrębne programy zostały przy tym określone dla szkoleń podstawowych i uzupełniających dla osób, które ukończyły już szkolenia podstawowe. Szkolenia należy powtarzać co 5 lat.</w:t>
      </w:r>
      <w:r w:rsidRPr="00925BCD">
        <w:t xml:space="preserve"> </w:t>
      </w:r>
      <w:r w:rsidRPr="00925BCD">
        <w:rPr>
          <w:rFonts w:ascii="Arial" w:hAnsi="Arial" w:cs="Arial"/>
        </w:rPr>
        <w:t>Tym samym zrealizowane zostały obowiązki dotyczące ustanowienia systemu szkoleń, jakie nałożyła na Polskę dyrektywa 2009/128/WE.</w:t>
      </w:r>
    </w:p>
    <w:p w14:paraId="72D4C890" w14:textId="064F3F73" w:rsidR="00E270F0" w:rsidRPr="00925BCD" w:rsidRDefault="00E270F0"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Według rejestrów prowadzonych przez wojewódzkich inspektorów ochrony roślin i nasiennictwa na koniec grudnia 2018 r. liczba jednostek prowadzących szkolenia w zakresie środków ochrony roślin </w:t>
      </w:r>
      <w:r w:rsidRPr="00925BCD">
        <w:rPr>
          <w:rFonts w:ascii="Arial" w:hAnsi="Arial" w:cs="Arial"/>
        </w:rPr>
        <w:lastRenderedPageBreak/>
        <w:t xml:space="preserve">wynosiła 379, 2019 r. – 388, </w:t>
      </w:r>
      <w:r w:rsidR="00772A61">
        <w:rPr>
          <w:rFonts w:ascii="Arial" w:hAnsi="Arial" w:cs="Arial"/>
        </w:rPr>
        <w:t xml:space="preserve">2020 r. </w:t>
      </w:r>
      <w:bookmarkStart w:id="2" w:name="_Hlk92720844"/>
      <w:r w:rsidR="00772A61" w:rsidRPr="00772A61">
        <w:rPr>
          <w:rFonts w:ascii="Arial" w:hAnsi="Arial" w:cs="Arial"/>
        </w:rPr>
        <w:t>–</w:t>
      </w:r>
      <w:bookmarkEnd w:id="2"/>
      <w:r w:rsidR="00772A61">
        <w:rPr>
          <w:rFonts w:ascii="Arial" w:hAnsi="Arial" w:cs="Arial"/>
        </w:rPr>
        <w:t xml:space="preserve"> 392, </w:t>
      </w:r>
      <w:r w:rsidR="00027EA4">
        <w:rPr>
          <w:rFonts w:ascii="Arial" w:hAnsi="Arial" w:cs="Arial"/>
        </w:rPr>
        <w:t xml:space="preserve">a w 2021 r. wzrosła do 406, </w:t>
      </w:r>
      <w:r w:rsidRPr="00925BCD">
        <w:rPr>
          <w:rFonts w:ascii="Arial" w:hAnsi="Arial" w:cs="Arial"/>
        </w:rPr>
        <w:t>przy czym należy zaznaczyć, że jedna jednostka mogła prowadzić szkolenia w kilku zakresach. Najwięcej jednostek, bo odpowiednio 354</w:t>
      </w:r>
      <w:r w:rsidR="00772A61">
        <w:rPr>
          <w:rFonts w:ascii="Arial" w:hAnsi="Arial" w:cs="Arial"/>
        </w:rPr>
        <w:t>,</w:t>
      </w:r>
      <w:r w:rsidRPr="00925BCD">
        <w:rPr>
          <w:rFonts w:ascii="Arial" w:hAnsi="Arial" w:cs="Arial"/>
        </w:rPr>
        <w:t xml:space="preserve"> 365</w:t>
      </w:r>
      <w:r w:rsidR="00027EA4">
        <w:rPr>
          <w:rFonts w:ascii="Arial" w:hAnsi="Arial" w:cs="Arial"/>
        </w:rPr>
        <w:t>,</w:t>
      </w:r>
      <w:r w:rsidR="00772A61">
        <w:rPr>
          <w:rFonts w:ascii="Arial" w:hAnsi="Arial" w:cs="Arial"/>
        </w:rPr>
        <w:t xml:space="preserve"> 369</w:t>
      </w:r>
      <w:r w:rsidR="00027EA4">
        <w:rPr>
          <w:rFonts w:ascii="Arial" w:hAnsi="Arial" w:cs="Arial"/>
        </w:rPr>
        <w:t xml:space="preserve"> i 370</w:t>
      </w:r>
      <w:r w:rsidRPr="00925BCD">
        <w:rPr>
          <w:rFonts w:ascii="Arial" w:hAnsi="Arial" w:cs="Arial"/>
        </w:rPr>
        <w:t>, upoważnionych było do prowadzenia szkoleń w zakresie stosowania środków ochrony roślin sprzętem naziemnym z</w:t>
      </w:r>
      <w:r w:rsidR="00C06C30" w:rsidRPr="00925BCD">
        <w:rPr>
          <w:rFonts w:ascii="Arial" w:hAnsi="Arial" w:cs="Arial"/>
        </w:rPr>
        <w:t> </w:t>
      </w:r>
      <w:r w:rsidRPr="00925BCD">
        <w:rPr>
          <w:rFonts w:ascii="Arial" w:hAnsi="Arial" w:cs="Arial"/>
        </w:rPr>
        <w:t xml:space="preserve">wyłączeniem sprzętu montowanego na pojazdach szynowych oraz innego </w:t>
      </w:r>
      <w:r w:rsidR="00D041C0">
        <w:rPr>
          <w:rFonts w:ascii="Arial" w:hAnsi="Arial" w:cs="Arial"/>
        </w:rPr>
        <w:t xml:space="preserve">sprzętu </w:t>
      </w:r>
      <w:r w:rsidRPr="00925BCD">
        <w:rPr>
          <w:rFonts w:ascii="Arial" w:hAnsi="Arial" w:cs="Arial"/>
        </w:rPr>
        <w:t>stosowanego w</w:t>
      </w:r>
      <w:r w:rsidR="00C06C30" w:rsidRPr="00925BCD">
        <w:rPr>
          <w:rFonts w:ascii="Arial" w:hAnsi="Arial" w:cs="Arial"/>
        </w:rPr>
        <w:t> </w:t>
      </w:r>
      <w:r w:rsidRPr="00925BCD">
        <w:rPr>
          <w:rFonts w:ascii="Arial" w:hAnsi="Arial" w:cs="Arial"/>
        </w:rPr>
        <w:t>kolejnictwie.</w:t>
      </w:r>
    </w:p>
    <w:p w14:paraId="681F2450" w14:textId="3F26FEBE" w:rsidR="00E270F0" w:rsidRDefault="00E270F0"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przeprowadzono ogółem 3 266 szkoleń dla 76 723 osób, natomiast w 2019</w:t>
      </w:r>
      <w:r w:rsidR="00A82E96">
        <w:rPr>
          <w:rFonts w:ascii="Arial" w:hAnsi="Arial" w:cs="Arial"/>
        </w:rPr>
        <w:t> </w:t>
      </w:r>
      <w:r w:rsidRPr="00925BCD">
        <w:rPr>
          <w:rFonts w:ascii="Arial" w:hAnsi="Arial" w:cs="Arial"/>
        </w:rPr>
        <w:t>r. przeprowadzono ogółem 3 936 szkoleń dla 93 905 osób. W porównaniu do 2018 r. liczba osób przeszkolonych wzrosła o 22,3%.</w:t>
      </w:r>
      <w:r w:rsidR="00B1043B" w:rsidRPr="00925BCD">
        <w:rPr>
          <w:rFonts w:ascii="Arial" w:hAnsi="Arial" w:cs="Arial"/>
        </w:rPr>
        <w:t xml:space="preserve"> W dużej mierze związane jest to z koniecznością powtarzania szkoleń w 5-letnich odstępach czasu – dane wieloletnie pokazują tu stalą prawidłowość </w:t>
      </w:r>
      <w:bookmarkStart w:id="3" w:name="_Hlk118108294"/>
      <w:r w:rsidR="00B1043B" w:rsidRPr="00925BCD">
        <w:rPr>
          <w:rFonts w:ascii="Arial" w:hAnsi="Arial" w:cs="Arial"/>
        </w:rPr>
        <w:t>–</w:t>
      </w:r>
      <w:bookmarkEnd w:id="3"/>
      <w:r w:rsidR="00B1043B" w:rsidRPr="00925BCD">
        <w:rPr>
          <w:rFonts w:ascii="Arial" w:hAnsi="Arial" w:cs="Arial"/>
        </w:rPr>
        <w:t xml:space="preserve"> w pięcioletnich okresach </w:t>
      </w:r>
      <w:r w:rsidR="00BE6ED0" w:rsidRPr="00925BCD">
        <w:rPr>
          <w:rFonts w:ascii="Arial" w:hAnsi="Arial" w:cs="Arial"/>
        </w:rPr>
        <w:t>czasu</w:t>
      </w:r>
      <w:r w:rsidR="00B1043B" w:rsidRPr="00925BCD">
        <w:rPr>
          <w:rFonts w:ascii="Arial" w:hAnsi="Arial" w:cs="Arial"/>
        </w:rPr>
        <w:t xml:space="preserve"> powtarzają się lata o większej i mniejszej liczbie przeszkolonych </w:t>
      </w:r>
      <w:r w:rsidR="00BE6ED0" w:rsidRPr="00925BCD">
        <w:rPr>
          <w:rFonts w:ascii="Arial" w:hAnsi="Arial" w:cs="Arial"/>
        </w:rPr>
        <w:t>osób</w:t>
      </w:r>
      <w:r w:rsidR="00B1043B" w:rsidRPr="00925BCD">
        <w:rPr>
          <w:rFonts w:ascii="Arial" w:hAnsi="Arial" w:cs="Arial"/>
        </w:rPr>
        <w:t xml:space="preserve">. </w:t>
      </w:r>
      <w:r w:rsidR="00BE6ED0" w:rsidRPr="00925BCD">
        <w:rPr>
          <w:rFonts w:ascii="Arial" w:hAnsi="Arial" w:cs="Arial"/>
        </w:rPr>
        <w:t>Potwierdza</w:t>
      </w:r>
      <w:r w:rsidR="00B1043B" w:rsidRPr="00925BCD">
        <w:rPr>
          <w:rFonts w:ascii="Arial" w:hAnsi="Arial" w:cs="Arial"/>
        </w:rPr>
        <w:t xml:space="preserve"> to stałą tendencję u osób </w:t>
      </w:r>
      <w:r w:rsidR="00BE6ED0" w:rsidRPr="00925BCD">
        <w:rPr>
          <w:rFonts w:ascii="Arial" w:hAnsi="Arial" w:cs="Arial"/>
        </w:rPr>
        <w:t>przeszkolonych</w:t>
      </w:r>
      <w:r w:rsidR="00B1043B" w:rsidRPr="00925BCD">
        <w:rPr>
          <w:rFonts w:ascii="Arial" w:hAnsi="Arial" w:cs="Arial"/>
        </w:rPr>
        <w:t xml:space="preserve"> do </w:t>
      </w:r>
      <w:r w:rsidR="00BE6ED0" w:rsidRPr="00925BCD">
        <w:rPr>
          <w:rFonts w:ascii="Arial" w:hAnsi="Arial" w:cs="Arial"/>
        </w:rPr>
        <w:t>uczestniczenia w szkoleniach uzupełniających</w:t>
      </w:r>
      <w:r w:rsidR="00B1043B" w:rsidRPr="00925BCD">
        <w:rPr>
          <w:rFonts w:ascii="Arial" w:hAnsi="Arial" w:cs="Arial"/>
        </w:rPr>
        <w:t xml:space="preserve">. </w:t>
      </w:r>
    </w:p>
    <w:p w14:paraId="324705EB" w14:textId="3D85AADF" w:rsidR="00772A61" w:rsidRDefault="00772A61" w:rsidP="00772A61">
      <w:pPr>
        <w:pStyle w:val="NormalnyWeb"/>
        <w:tabs>
          <w:tab w:val="left" w:pos="284"/>
        </w:tabs>
        <w:spacing w:beforeAutospacing="0" w:after="120" w:afterAutospacing="0" w:line="360" w:lineRule="auto"/>
        <w:ind w:firstLine="284"/>
        <w:jc w:val="both"/>
        <w:rPr>
          <w:rFonts w:ascii="Arial" w:hAnsi="Arial" w:cs="Arial"/>
        </w:rPr>
      </w:pPr>
      <w:r w:rsidRPr="00772A61">
        <w:rPr>
          <w:rFonts w:ascii="Arial" w:hAnsi="Arial" w:cs="Arial"/>
        </w:rPr>
        <w:t xml:space="preserve">Rok 2020 był szczególny z powodu sytuacji epidemicznej związanej z </w:t>
      </w:r>
      <w:r w:rsidR="00D041C0">
        <w:rPr>
          <w:rFonts w:ascii="Arial" w:hAnsi="Arial" w:cs="Arial"/>
        </w:rPr>
        <w:t xml:space="preserve">pandemią wywołaną </w:t>
      </w:r>
      <w:r w:rsidRPr="00772A61">
        <w:rPr>
          <w:rFonts w:ascii="Arial" w:hAnsi="Arial" w:cs="Arial"/>
        </w:rPr>
        <w:t>koronawirusem</w:t>
      </w:r>
      <w:r>
        <w:rPr>
          <w:rFonts w:ascii="Arial" w:hAnsi="Arial" w:cs="Arial"/>
        </w:rPr>
        <w:t xml:space="preserve"> </w:t>
      </w:r>
      <w:r w:rsidRPr="00772A61">
        <w:rPr>
          <w:rFonts w:ascii="Arial" w:hAnsi="Arial" w:cs="Arial"/>
        </w:rPr>
        <w:t xml:space="preserve">SARS-CoV-2, </w:t>
      </w:r>
      <w:r w:rsidR="006A49D8">
        <w:rPr>
          <w:rFonts w:ascii="Arial" w:hAnsi="Arial" w:cs="Arial"/>
        </w:rPr>
        <w:t xml:space="preserve">a tym samym </w:t>
      </w:r>
      <w:r w:rsidRPr="00772A61">
        <w:rPr>
          <w:rFonts w:ascii="Arial" w:hAnsi="Arial" w:cs="Arial"/>
        </w:rPr>
        <w:t>wprowadzonych ograniczeń sanitarnych dotyczących m.in. organizacji szkoleń</w:t>
      </w:r>
      <w:r>
        <w:rPr>
          <w:rFonts w:ascii="Arial" w:hAnsi="Arial" w:cs="Arial"/>
        </w:rPr>
        <w:t xml:space="preserve"> </w:t>
      </w:r>
      <w:r w:rsidRPr="00772A61">
        <w:rPr>
          <w:rFonts w:ascii="Arial" w:hAnsi="Arial" w:cs="Arial"/>
        </w:rPr>
        <w:t>oraz zawieszenia obowiązku posiadania aktualnego zaświadczenia o ukończeniu szkolenia</w:t>
      </w:r>
      <w:r>
        <w:rPr>
          <w:rFonts w:ascii="Arial" w:hAnsi="Arial" w:cs="Arial"/>
        </w:rPr>
        <w:t xml:space="preserve"> </w:t>
      </w:r>
      <w:r w:rsidRPr="00772A61">
        <w:rPr>
          <w:rFonts w:ascii="Arial" w:hAnsi="Arial" w:cs="Arial"/>
        </w:rPr>
        <w:t xml:space="preserve">w zakresie </w:t>
      </w:r>
      <w:r w:rsidRPr="009B0585">
        <w:rPr>
          <w:rFonts w:ascii="Arial" w:hAnsi="Arial" w:cs="Arial"/>
        </w:rPr>
        <w:t>środków ochrony roślin. Pomimo tych wyjątkowych warunków, jednostki prowadzące szkolenia</w:t>
      </w:r>
      <w:r w:rsidRPr="00772A61">
        <w:rPr>
          <w:rFonts w:ascii="Arial" w:hAnsi="Arial" w:cs="Arial"/>
        </w:rPr>
        <w:t xml:space="preserve"> </w:t>
      </w:r>
      <w:r w:rsidRPr="000A166E">
        <w:rPr>
          <w:rFonts w:ascii="Arial" w:hAnsi="Arial" w:cs="Arial"/>
        </w:rPr>
        <w:t>zorganizowały 2 76</w:t>
      </w:r>
      <w:r w:rsidR="000A166E" w:rsidRPr="000A166E">
        <w:rPr>
          <w:rFonts w:ascii="Arial" w:hAnsi="Arial" w:cs="Arial"/>
        </w:rPr>
        <w:t>5</w:t>
      </w:r>
      <w:r w:rsidRPr="000A166E">
        <w:rPr>
          <w:rFonts w:ascii="Arial" w:hAnsi="Arial" w:cs="Arial"/>
        </w:rPr>
        <w:t xml:space="preserve"> szkoleń</w:t>
      </w:r>
      <w:r w:rsidRPr="00772A61">
        <w:rPr>
          <w:rFonts w:ascii="Arial" w:hAnsi="Arial" w:cs="Arial"/>
        </w:rPr>
        <w:t xml:space="preserve"> w zakresie środków ochrony roślin, z czego</w:t>
      </w:r>
      <w:r>
        <w:rPr>
          <w:rFonts w:ascii="Arial" w:hAnsi="Arial" w:cs="Arial"/>
        </w:rPr>
        <w:t xml:space="preserve"> </w:t>
      </w:r>
      <w:r w:rsidRPr="00772A61">
        <w:rPr>
          <w:rFonts w:ascii="Arial" w:hAnsi="Arial" w:cs="Arial"/>
        </w:rPr>
        <w:t>654 to szkolenia podstawowe, a 2 111 – szkolenia uzupełniające. Według danych na 31 grudnia</w:t>
      </w:r>
      <w:r>
        <w:rPr>
          <w:rFonts w:ascii="Arial" w:hAnsi="Arial" w:cs="Arial"/>
        </w:rPr>
        <w:t xml:space="preserve"> </w:t>
      </w:r>
      <w:r w:rsidRPr="00772A61">
        <w:rPr>
          <w:rFonts w:ascii="Arial" w:hAnsi="Arial" w:cs="Arial"/>
        </w:rPr>
        <w:t>2020 r., ukończyło je 62 675 osób.</w:t>
      </w:r>
    </w:p>
    <w:p w14:paraId="69D8941E" w14:textId="47C23E45" w:rsidR="002A0142" w:rsidRPr="002A0142" w:rsidRDefault="002A0142" w:rsidP="002A0142">
      <w:pPr>
        <w:pStyle w:val="NormalnyWeb"/>
        <w:tabs>
          <w:tab w:val="left" w:pos="284"/>
        </w:tabs>
        <w:spacing w:beforeAutospacing="0" w:after="120" w:afterAutospacing="0" w:line="360" w:lineRule="auto"/>
        <w:ind w:firstLine="284"/>
        <w:jc w:val="both"/>
        <w:rPr>
          <w:rFonts w:ascii="Arial" w:hAnsi="Arial" w:cs="Arial"/>
        </w:rPr>
      </w:pPr>
      <w:r w:rsidRPr="002A0142">
        <w:rPr>
          <w:rFonts w:ascii="Arial" w:hAnsi="Arial" w:cs="Arial"/>
        </w:rPr>
        <w:t xml:space="preserve">Rok 2021 to kolejny rok, w którym z powodu sytuacji epidemicznej związanej z koronawirusem SARS-CoV-2, obowiązywały ograniczenia dotyczące m.in. organizacji szkoleń oraz </w:t>
      </w:r>
      <w:proofErr w:type="spellStart"/>
      <w:r w:rsidRPr="002A0142">
        <w:rPr>
          <w:rFonts w:ascii="Arial" w:hAnsi="Arial" w:cs="Arial"/>
        </w:rPr>
        <w:t>zawiesze</w:t>
      </w:r>
      <w:proofErr w:type="spellEnd"/>
      <w:r w:rsidRPr="002A0142">
        <w:rPr>
          <w:rFonts w:ascii="Arial" w:hAnsi="Arial" w:cs="Arial"/>
        </w:rPr>
        <w:t xml:space="preserve"> obowiązku posiadania aktualnego zaświadczenia o ukończeniu szkolenia w zakresie środków ochrony roślin.</w:t>
      </w:r>
    </w:p>
    <w:p w14:paraId="34B73E3B" w14:textId="23A24B3F" w:rsidR="002A0142" w:rsidRPr="002A0142" w:rsidRDefault="002A0142" w:rsidP="002A0142">
      <w:pPr>
        <w:pStyle w:val="NormalnyWeb"/>
        <w:tabs>
          <w:tab w:val="left" w:pos="284"/>
        </w:tabs>
        <w:spacing w:beforeAutospacing="0" w:after="120" w:afterAutospacing="0" w:line="360" w:lineRule="auto"/>
        <w:ind w:firstLine="284"/>
        <w:jc w:val="both"/>
        <w:rPr>
          <w:rFonts w:ascii="Arial" w:hAnsi="Arial" w:cs="Arial"/>
        </w:rPr>
      </w:pPr>
      <w:r w:rsidRPr="002A0142">
        <w:rPr>
          <w:rFonts w:ascii="Arial" w:hAnsi="Arial" w:cs="Arial"/>
        </w:rPr>
        <w:t>Od marca 2021 r</w:t>
      </w:r>
      <w:r w:rsidR="00BA3936">
        <w:rPr>
          <w:rFonts w:ascii="Arial" w:hAnsi="Arial" w:cs="Arial"/>
        </w:rPr>
        <w:t>.</w:t>
      </w:r>
      <w:r w:rsidRPr="002A0142">
        <w:rPr>
          <w:rFonts w:ascii="Arial" w:hAnsi="Arial" w:cs="Arial"/>
        </w:rPr>
        <w:t xml:space="preserve"> jednostki organizujące szkolenia mogły je prowadzić on-line (z wyłączeniem części praktycznej i egzaminów). Możliwość taką dały przepisy rozporządzenia Ministra Rolnictwa i Rozwoju Wsi z dnia 3 marca 2021 r. zmieniającego rozporządzenie w sprawie szkoleń w zakresie środków ochrony roślin (Dz. U. z 2021 r. poz. 413).</w:t>
      </w:r>
    </w:p>
    <w:p w14:paraId="4BF911DD" w14:textId="1B48900F" w:rsidR="00CD011C" w:rsidRDefault="002A0142" w:rsidP="002A0142">
      <w:pPr>
        <w:pStyle w:val="NormalnyWeb"/>
        <w:tabs>
          <w:tab w:val="left" w:pos="284"/>
        </w:tabs>
        <w:spacing w:beforeAutospacing="0" w:after="120" w:afterAutospacing="0" w:line="360" w:lineRule="auto"/>
        <w:ind w:firstLine="284"/>
        <w:jc w:val="both"/>
        <w:rPr>
          <w:rFonts w:ascii="Arial" w:hAnsi="Arial" w:cs="Arial"/>
        </w:rPr>
      </w:pPr>
      <w:r w:rsidRPr="002A0142">
        <w:rPr>
          <w:rFonts w:ascii="Arial" w:hAnsi="Arial" w:cs="Arial"/>
        </w:rPr>
        <w:t>W tych szczególnych warunkach przeprowadzonych zostało 2 834 szkoleń w zakresie środków ochrony roślin (30 szkoleń on-line), z czego 832 to szkolenia podstawowe, a 2</w:t>
      </w:r>
      <w:r w:rsidR="00935FF2">
        <w:rPr>
          <w:rFonts w:ascii="Arial" w:hAnsi="Arial" w:cs="Arial"/>
        </w:rPr>
        <w:t> </w:t>
      </w:r>
      <w:r w:rsidRPr="002A0142">
        <w:rPr>
          <w:rFonts w:ascii="Arial" w:hAnsi="Arial" w:cs="Arial"/>
        </w:rPr>
        <w:t>002</w:t>
      </w:r>
      <w:r w:rsidR="00935FF2">
        <w:rPr>
          <w:rFonts w:ascii="Arial" w:hAnsi="Arial" w:cs="Arial"/>
        </w:rPr>
        <w:t xml:space="preserve"> </w:t>
      </w:r>
      <w:r w:rsidR="00935FF2" w:rsidRPr="00925BCD">
        <w:rPr>
          <w:rFonts w:ascii="Arial" w:hAnsi="Arial" w:cs="Arial"/>
        </w:rPr>
        <w:t>–</w:t>
      </w:r>
      <w:r w:rsidR="00935FF2">
        <w:rPr>
          <w:rFonts w:ascii="Arial" w:hAnsi="Arial" w:cs="Arial"/>
        </w:rPr>
        <w:t xml:space="preserve"> </w:t>
      </w:r>
      <w:r w:rsidRPr="002A0142">
        <w:rPr>
          <w:rFonts w:ascii="Arial" w:hAnsi="Arial" w:cs="Arial"/>
        </w:rPr>
        <w:t>szkolenia uzupełniające. Szkolenia te, według danych na 31 grudnia 2021 r., ukończyło 53</w:t>
      </w:r>
      <w:r w:rsidR="00BA3936">
        <w:rPr>
          <w:rFonts w:ascii="Arial" w:hAnsi="Arial" w:cs="Arial"/>
        </w:rPr>
        <w:t> </w:t>
      </w:r>
      <w:r w:rsidRPr="002A0142">
        <w:rPr>
          <w:rFonts w:ascii="Arial" w:hAnsi="Arial" w:cs="Arial"/>
        </w:rPr>
        <w:t xml:space="preserve">996 osób (564 </w:t>
      </w:r>
      <w:r w:rsidR="00BA3936" w:rsidRPr="00925BCD">
        <w:rPr>
          <w:rFonts w:ascii="Arial" w:hAnsi="Arial" w:cs="Arial"/>
        </w:rPr>
        <w:t>–</w:t>
      </w:r>
      <w:r w:rsidR="00BA3936">
        <w:rPr>
          <w:rFonts w:ascii="Arial" w:hAnsi="Arial" w:cs="Arial"/>
        </w:rPr>
        <w:t xml:space="preserve"> </w:t>
      </w:r>
      <w:r w:rsidRPr="002A0142">
        <w:rPr>
          <w:rFonts w:ascii="Arial" w:hAnsi="Arial" w:cs="Arial"/>
        </w:rPr>
        <w:t>osoby ukończył</w:t>
      </w:r>
      <w:r w:rsidR="00BA3936">
        <w:rPr>
          <w:rFonts w:ascii="Arial" w:hAnsi="Arial" w:cs="Arial"/>
        </w:rPr>
        <w:t>y</w:t>
      </w:r>
      <w:r w:rsidRPr="002A0142">
        <w:rPr>
          <w:rFonts w:ascii="Arial" w:hAnsi="Arial" w:cs="Arial"/>
        </w:rPr>
        <w:t xml:space="preserve"> szkolenia on-line).</w:t>
      </w:r>
    </w:p>
    <w:p w14:paraId="49CB4E77" w14:textId="77777777" w:rsidR="00CD011C" w:rsidRDefault="00CD011C">
      <w:pPr>
        <w:spacing w:after="0" w:line="240" w:lineRule="auto"/>
        <w:rPr>
          <w:rFonts w:ascii="Arial" w:eastAsia="Times New Roman" w:hAnsi="Arial" w:cs="Arial"/>
          <w:sz w:val="20"/>
          <w:szCs w:val="20"/>
          <w:lang w:eastAsia="pl-PL"/>
        </w:rPr>
      </w:pPr>
      <w:r>
        <w:rPr>
          <w:rFonts w:ascii="Arial" w:hAnsi="Arial" w:cs="Arial"/>
        </w:rPr>
        <w:br w:type="page"/>
      </w:r>
    </w:p>
    <w:p w14:paraId="0DC0EF67" w14:textId="6181BB22" w:rsidR="00056846"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Szczegółowe dane na temat przeprowadzonych szkoleń przedstawia tabela poniżej.</w:t>
      </w:r>
      <w:r w:rsidR="009E3F47">
        <w:rPr>
          <w:rFonts w:ascii="Arial" w:hAnsi="Arial" w:cs="Arial"/>
        </w:rPr>
        <w:t xml:space="preserve"> </w:t>
      </w:r>
    </w:p>
    <w:tbl>
      <w:tblPr>
        <w:tblW w:w="9062" w:type="dxa"/>
        <w:tblCellMar>
          <w:left w:w="70" w:type="dxa"/>
          <w:right w:w="70" w:type="dxa"/>
        </w:tblCellMar>
        <w:tblLook w:val="04A0" w:firstRow="1" w:lastRow="0" w:firstColumn="1" w:lastColumn="0" w:noHBand="0" w:noVBand="1"/>
      </w:tblPr>
      <w:tblGrid>
        <w:gridCol w:w="4483"/>
        <w:gridCol w:w="1144"/>
        <w:gridCol w:w="1145"/>
        <w:gridCol w:w="1145"/>
        <w:gridCol w:w="1145"/>
      </w:tblGrid>
      <w:tr w:rsidR="002A0142" w:rsidRPr="00925BCD" w14:paraId="1033175B" w14:textId="5163B858" w:rsidTr="002A0142">
        <w:trPr>
          <w:trHeight w:val="267"/>
        </w:trPr>
        <w:tc>
          <w:tcPr>
            <w:tcW w:w="4483" w:type="dxa"/>
            <w:tcBorders>
              <w:top w:val="single" w:sz="4" w:space="0" w:color="000000"/>
              <w:left w:val="single" w:sz="4" w:space="0" w:color="000000"/>
              <w:bottom w:val="single" w:sz="4" w:space="0" w:color="000000"/>
            </w:tcBorders>
            <w:shd w:val="clear" w:color="auto" w:fill="CCFFCC"/>
            <w:vAlign w:val="center"/>
          </w:tcPr>
          <w:p w14:paraId="344B11A7" w14:textId="77777777" w:rsidR="002A0142" w:rsidRPr="00925BCD" w:rsidRDefault="002A0142" w:rsidP="002A0142">
            <w:pPr>
              <w:jc w:val="center"/>
              <w:rPr>
                <w:rFonts w:ascii="Arial" w:hAnsi="Arial" w:cs="Arial"/>
                <w:b/>
                <w:color w:val="000000"/>
              </w:rPr>
            </w:pPr>
            <w:r w:rsidRPr="00925BCD">
              <w:rPr>
                <w:rFonts w:ascii="Arial" w:hAnsi="Arial" w:cs="Arial"/>
                <w:b/>
                <w:color w:val="000000"/>
              </w:rPr>
              <w:t>Liczba jednostek prowadzących szkolenia</w:t>
            </w:r>
          </w:p>
        </w:tc>
        <w:tc>
          <w:tcPr>
            <w:tcW w:w="114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3965B239" w14:textId="0784623C" w:rsidR="002A0142" w:rsidRPr="00925BCD" w:rsidRDefault="002A0142" w:rsidP="002A0142">
            <w:pPr>
              <w:jc w:val="center"/>
              <w:rPr>
                <w:rFonts w:ascii="Arial" w:hAnsi="Arial" w:cs="Arial"/>
                <w:b/>
                <w:color w:val="000000"/>
              </w:rPr>
            </w:pPr>
            <w:r w:rsidRPr="00925BCD">
              <w:rPr>
                <w:rFonts w:ascii="Arial" w:hAnsi="Arial" w:cs="Arial"/>
                <w:b/>
                <w:color w:val="000000"/>
              </w:rPr>
              <w:t>2018</w:t>
            </w:r>
          </w:p>
        </w:tc>
        <w:tc>
          <w:tcPr>
            <w:tcW w:w="1145" w:type="dxa"/>
            <w:tcBorders>
              <w:top w:val="single" w:sz="4" w:space="0" w:color="000000"/>
              <w:bottom w:val="single" w:sz="4" w:space="0" w:color="000000"/>
              <w:right w:val="single" w:sz="4" w:space="0" w:color="000000"/>
            </w:tcBorders>
            <w:shd w:val="clear" w:color="auto" w:fill="CCFFCC"/>
            <w:vAlign w:val="center"/>
          </w:tcPr>
          <w:p w14:paraId="0D73027C" w14:textId="28452A39" w:rsidR="002A0142" w:rsidRPr="00925BCD" w:rsidRDefault="002A0142" w:rsidP="002A0142">
            <w:pPr>
              <w:jc w:val="center"/>
              <w:rPr>
                <w:rFonts w:ascii="Arial" w:hAnsi="Arial" w:cs="Arial"/>
                <w:b/>
                <w:color w:val="000000"/>
              </w:rPr>
            </w:pPr>
            <w:r w:rsidRPr="00925BCD">
              <w:rPr>
                <w:rFonts w:ascii="Arial" w:hAnsi="Arial" w:cs="Arial"/>
                <w:b/>
                <w:color w:val="000000"/>
              </w:rPr>
              <w:t>2019</w:t>
            </w:r>
          </w:p>
        </w:tc>
        <w:tc>
          <w:tcPr>
            <w:tcW w:w="1145" w:type="dxa"/>
            <w:tcBorders>
              <w:top w:val="single" w:sz="4" w:space="0" w:color="000000"/>
              <w:bottom w:val="single" w:sz="4" w:space="0" w:color="000000"/>
              <w:right w:val="single" w:sz="4" w:space="0" w:color="000000"/>
            </w:tcBorders>
            <w:shd w:val="clear" w:color="auto" w:fill="CCFFCC"/>
            <w:vAlign w:val="center"/>
          </w:tcPr>
          <w:p w14:paraId="1CC2C19D" w14:textId="2E180C3D" w:rsidR="002A0142" w:rsidRPr="00925BCD" w:rsidRDefault="002A0142" w:rsidP="002A0142">
            <w:pPr>
              <w:jc w:val="center"/>
              <w:rPr>
                <w:rFonts w:ascii="Arial" w:hAnsi="Arial" w:cs="Arial"/>
                <w:b/>
                <w:color w:val="000000"/>
              </w:rPr>
            </w:pPr>
            <w:r>
              <w:rPr>
                <w:rFonts w:ascii="Arial" w:hAnsi="Arial" w:cs="Arial"/>
                <w:b/>
                <w:color w:val="000000"/>
              </w:rPr>
              <w:t>2020</w:t>
            </w:r>
          </w:p>
        </w:tc>
        <w:tc>
          <w:tcPr>
            <w:tcW w:w="1145" w:type="dxa"/>
            <w:tcBorders>
              <w:top w:val="single" w:sz="4" w:space="0" w:color="000000"/>
              <w:bottom w:val="single" w:sz="4" w:space="0" w:color="000000"/>
              <w:right w:val="single" w:sz="4" w:space="0" w:color="000000"/>
            </w:tcBorders>
            <w:shd w:val="clear" w:color="auto" w:fill="CCFFCC"/>
            <w:vAlign w:val="center"/>
          </w:tcPr>
          <w:p w14:paraId="79A3F62F" w14:textId="514F63E7" w:rsidR="002A0142" w:rsidRDefault="002A0142" w:rsidP="002A0142">
            <w:pPr>
              <w:jc w:val="center"/>
              <w:rPr>
                <w:rFonts w:ascii="Arial" w:hAnsi="Arial" w:cs="Arial"/>
                <w:b/>
                <w:color w:val="000000"/>
              </w:rPr>
            </w:pPr>
            <w:r>
              <w:rPr>
                <w:rFonts w:ascii="Arial" w:hAnsi="Arial" w:cs="Arial"/>
                <w:b/>
                <w:color w:val="000000"/>
              </w:rPr>
              <w:t>2021</w:t>
            </w:r>
          </w:p>
        </w:tc>
      </w:tr>
      <w:tr w:rsidR="009E358D" w:rsidRPr="002A0142" w14:paraId="366728D4" w14:textId="1182538A" w:rsidTr="002A0142">
        <w:trPr>
          <w:trHeight w:val="340"/>
        </w:trPr>
        <w:tc>
          <w:tcPr>
            <w:tcW w:w="4483" w:type="dxa"/>
            <w:tcBorders>
              <w:left w:val="single" w:sz="4" w:space="0" w:color="000000"/>
              <w:bottom w:val="single" w:sz="4" w:space="0" w:color="000000"/>
              <w:right w:val="single" w:sz="4" w:space="0" w:color="000000"/>
            </w:tcBorders>
            <w:shd w:val="clear" w:color="auto" w:fill="auto"/>
            <w:vAlign w:val="center"/>
          </w:tcPr>
          <w:p w14:paraId="1313BC67" w14:textId="77777777" w:rsidR="009E358D" w:rsidRPr="00925BCD" w:rsidRDefault="009E358D" w:rsidP="00091B33">
            <w:pPr>
              <w:numPr>
                <w:ilvl w:val="0"/>
                <w:numId w:val="13"/>
              </w:numPr>
              <w:ind w:left="634" w:hanging="425"/>
              <w:contextualSpacing/>
              <w:rPr>
                <w:rFonts w:ascii="Arial" w:hAnsi="Arial" w:cs="Arial"/>
                <w:b/>
                <w:color w:val="000000"/>
              </w:rPr>
            </w:pPr>
            <w:r w:rsidRPr="00925BCD">
              <w:rPr>
                <w:rFonts w:ascii="Arial" w:hAnsi="Arial" w:cs="Arial"/>
                <w:b/>
                <w:color w:val="000000"/>
              </w:rPr>
              <w:t>ogółem</w:t>
            </w:r>
          </w:p>
        </w:tc>
        <w:tc>
          <w:tcPr>
            <w:tcW w:w="1144" w:type="dxa"/>
            <w:tcBorders>
              <w:bottom w:val="single" w:sz="4" w:space="0" w:color="000000"/>
              <w:right w:val="single" w:sz="4" w:space="0" w:color="000000"/>
            </w:tcBorders>
            <w:vAlign w:val="center"/>
          </w:tcPr>
          <w:p w14:paraId="772F73B0" w14:textId="77777777" w:rsidR="009E358D" w:rsidRPr="00925BCD" w:rsidRDefault="009E358D" w:rsidP="007E6EBF">
            <w:pPr>
              <w:jc w:val="right"/>
              <w:rPr>
                <w:rFonts w:ascii="Arial" w:hAnsi="Arial" w:cs="Arial"/>
                <w:b/>
                <w:color w:val="000000"/>
              </w:rPr>
            </w:pPr>
            <w:r w:rsidRPr="00925BCD">
              <w:rPr>
                <w:rFonts w:ascii="Arial" w:hAnsi="Arial" w:cs="Arial"/>
                <w:b/>
                <w:color w:val="000000"/>
              </w:rPr>
              <w:t>379</w:t>
            </w:r>
          </w:p>
        </w:tc>
        <w:tc>
          <w:tcPr>
            <w:tcW w:w="1145" w:type="dxa"/>
            <w:tcBorders>
              <w:bottom w:val="single" w:sz="4" w:space="0" w:color="000000"/>
              <w:right w:val="single" w:sz="4" w:space="0" w:color="000000"/>
            </w:tcBorders>
            <w:vAlign w:val="center"/>
          </w:tcPr>
          <w:p w14:paraId="72761095" w14:textId="77777777" w:rsidR="009E358D" w:rsidRPr="00925BCD" w:rsidRDefault="009E358D" w:rsidP="007E6EBF">
            <w:pPr>
              <w:jc w:val="right"/>
              <w:rPr>
                <w:rFonts w:ascii="Arial" w:hAnsi="Arial" w:cs="Arial"/>
                <w:b/>
                <w:color w:val="000000"/>
              </w:rPr>
            </w:pPr>
            <w:r w:rsidRPr="00925BCD">
              <w:rPr>
                <w:rFonts w:ascii="Arial" w:hAnsi="Arial" w:cs="Arial"/>
                <w:b/>
                <w:color w:val="000000"/>
              </w:rPr>
              <w:t>388</w:t>
            </w:r>
          </w:p>
        </w:tc>
        <w:tc>
          <w:tcPr>
            <w:tcW w:w="1145" w:type="dxa"/>
            <w:tcBorders>
              <w:bottom w:val="single" w:sz="4" w:space="0" w:color="000000"/>
              <w:right w:val="single" w:sz="4" w:space="0" w:color="000000"/>
            </w:tcBorders>
            <w:vAlign w:val="center"/>
          </w:tcPr>
          <w:p w14:paraId="38CCBA67" w14:textId="4633F4FB" w:rsidR="009E358D" w:rsidRPr="00925BCD" w:rsidRDefault="009E358D" w:rsidP="007E6EBF">
            <w:pPr>
              <w:jc w:val="right"/>
              <w:rPr>
                <w:rFonts w:ascii="Arial" w:hAnsi="Arial" w:cs="Arial"/>
                <w:b/>
                <w:color w:val="000000"/>
              </w:rPr>
            </w:pPr>
            <w:r>
              <w:rPr>
                <w:rFonts w:ascii="Arial" w:hAnsi="Arial" w:cs="Arial"/>
                <w:b/>
                <w:color w:val="000000"/>
              </w:rPr>
              <w:t>392</w:t>
            </w:r>
          </w:p>
        </w:tc>
        <w:tc>
          <w:tcPr>
            <w:tcW w:w="1145" w:type="dxa"/>
            <w:tcBorders>
              <w:bottom w:val="single" w:sz="4" w:space="0" w:color="000000"/>
              <w:right w:val="single" w:sz="4" w:space="0" w:color="000000"/>
            </w:tcBorders>
          </w:tcPr>
          <w:p w14:paraId="4FCB99D7" w14:textId="131C9BC2" w:rsidR="009E358D" w:rsidRDefault="00027EA4" w:rsidP="007E6EBF">
            <w:pPr>
              <w:jc w:val="right"/>
              <w:rPr>
                <w:rFonts w:ascii="Arial" w:hAnsi="Arial" w:cs="Arial"/>
                <w:b/>
                <w:color w:val="000000"/>
              </w:rPr>
            </w:pPr>
            <w:r>
              <w:rPr>
                <w:rFonts w:ascii="Arial" w:hAnsi="Arial" w:cs="Arial"/>
                <w:b/>
                <w:color w:val="000000"/>
              </w:rPr>
              <w:t>406</w:t>
            </w:r>
          </w:p>
        </w:tc>
      </w:tr>
      <w:tr w:rsidR="009E358D" w:rsidRPr="002A0142" w14:paraId="4845F56F" w14:textId="4704D548" w:rsidTr="002A0142">
        <w:trPr>
          <w:trHeight w:val="1071"/>
        </w:trPr>
        <w:tc>
          <w:tcPr>
            <w:tcW w:w="4483" w:type="dxa"/>
            <w:tcBorders>
              <w:left w:val="single" w:sz="4" w:space="0" w:color="000000"/>
              <w:bottom w:val="single" w:sz="4" w:space="0" w:color="000000"/>
              <w:right w:val="single" w:sz="4" w:space="0" w:color="000000"/>
            </w:tcBorders>
            <w:shd w:val="clear" w:color="auto" w:fill="auto"/>
            <w:vAlign w:val="center"/>
          </w:tcPr>
          <w:p w14:paraId="2E961ADE" w14:textId="77777777" w:rsidR="009E358D" w:rsidRPr="00925BCD" w:rsidRDefault="009E358D"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w zakresie stosowania </w:t>
            </w:r>
            <w:proofErr w:type="spellStart"/>
            <w:r w:rsidRPr="00925BCD">
              <w:rPr>
                <w:rFonts w:ascii="Arial" w:hAnsi="Arial" w:cs="Arial"/>
                <w:color w:val="000000"/>
              </w:rPr>
              <w:t>śor</w:t>
            </w:r>
            <w:proofErr w:type="spellEnd"/>
            <w:r w:rsidRPr="00925BCD">
              <w:rPr>
                <w:rFonts w:ascii="Arial" w:hAnsi="Arial" w:cs="Arial"/>
                <w:color w:val="000000"/>
              </w:rPr>
              <w:t xml:space="preserve"> sprzętem naziemnym z wyłączeniem sprzętu montowanego na pojazdach szynowych oraz innego stosowanego w kolejnictwie </w:t>
            </w:r>
          </w:p>
        </w:tc>
        <w:tc>
          <w:tcPr>
            <w:tcW w:w="1144" w:type="dxa"/>
            <w:tcBorders>
              <w:bottom w:val="single" w:sz="4" w:space="0" w:color="000000"/>
              <w:right w:val="single" w:sz="4" w:space="0" w:color="000000"/>
            </w:tcBorders>
            <w:vAlign w:val="center"/>
          </w:tcPr>
          <w:p w14:paraId="4F9185EC" w14:textId="77777777" w:rsidR="009E358D" w:rsidRPr="00925BCD" w:rsidRDefault="009E358D" w:rsidP="007E6EBF">
            <w:pPr>
              <w:jc w:val="right"/>
              <w:rPr>
                <w:rFonts w:ascii="Arial" w:hAnsi="Arial" w:cs="Arial"/>
                <w:color w:val="000000"/>
              </w:rPr>
            </w:pPr>
            <w:r w:rsidRPr="00925BCD">
              <w:rPr>
                <w:rFonts w:ascii="Arial" w:hAnsi="Arial" w:cs="Arial"/>
                <w:color w:val="000000"/>
              </w:rPr>
              <w:t>354</w:t>
            </w:r>
          </w:p>
        </w:tc>
        <w:tc>
          <w:tcPr>
            <w:tcW w:w="1145" w:type="dxa"/>
            <w:tcBorders>
              <w:bottom w:val="single" w:sz="4" w:space="0" w:color="000000"/>
              <w:right w:val="single" w:sz="4" w:space="0" w:color="000000"/>
            </w:tcBorders>
            <w:vAlign w:val="center"/>
          </w:tcPr>
          <w:p w14:paraId="1CCB8F52" w14:textId="77777777" w:rsidR="009E358D" w:rsidRPr="00925BCD" w:rsidRDefault="009E358D" w:rsidP="007E6EBF">
            <w:pPr>
              <w:jc w:val="right"/>
              <w:rPr>
                <w:rFonts w:ascii="Arial" w:hAnsi="Arial" w:cs="Arial"/>
                <w:color w:val="000000"/>
              </w:rPr>
            </w:pPr>
            <w:r w:rsidRPr="00925BCD">
              <w:rPr>
                <w:rFonts w:ascii="Arial" w:hAnsi="Arial" w:cs="Arial"/>
                <w:color w:val="000000"/>
              </w:rPr>
              <w:t>364</w:t>
            </w:r>
          </w:p>
        </w:tc>
        <w:tc>
          <w:tcPr>
            <w:tcW w:w="1145" w:type="dxa"/>
            <w:tcBorders>
              <w:bottom w:val="single" w:sz="4" w:space="0" w:color="000000"/>
              <w:right w:val="single" w:sz="4" w:space="0" w:color="000000"/>
            </w:tcBorders>
            <w:vAlign w:val="center"/>
          </w:tcPr>
          <w:p w14:paraId="2AC4CA57" w14:textId="524A0DC2" w:rsidR="009E358D" w:rsidRPr="00925BCD" w:rsidRDefault="009E358D" w:rsidP="007E6EBF">
            <w:pPr>
              <w:jc w:val="right"/>
              <w:rPr>
                <w:rFonts w:ascii="Arial" w:hAnsi="Arial" w:cs="Arial"/>
                <w:color w:val="000000"/>
              </w:rPr>
            </w:pPr>
            <w:r>
              <w:rPr>
                <w:rFonts w:ascii="Arial" w:hAnsi="Arial" w:cs="Arial"/>
                <w:color w:val="000000"/>
              </w:rPr>
              <w:t>369</w:t>
            </w:r>
          </w:p>
        </w:tc>
        <w:tc>
          <w:tcPr>
            <w:tcW w:w="1145" w:type="dxa"/>
            <w:tcBorders>
              <w:bottom w:val="single" w:sz="4" w:space="0" w:color="000000"/>
              <w:right w:val="single" w:sz="4" w:space="0" w:color="000000"/>
            </w:tcBorders>
            <w:vAlign w:val="center"/>
          </w:tcPr>
          <w:p w14:paraId="1F7718EE" w14:textId="11056C9C" w:rsidR="009E358D" w:rsidRPr="002A0142" w:rsidRDefault="00027EA4" w:rsidP="002A0142">
            <w:pPr>
              <w:jc w:val="right"/>
              <w:rPr>
                <w:rFonts w:ascii="Arial" w:hAnsi="Arial" w:cs="Arial"/>
                <w:bCs/>
                <w:color w:val="000000"/>
              </w:rPr>
            </w:pPr>
            <w:r w:rsidRPr="002A0142">
              <w:rPr>
                <w:rFonts w:ascii="Arial" w:hAnsi="Arial" w:cs="Arial"/>
                <w:bCs/>
                <w:color w:val="000000"/>
              </w:rPr>
              <w:t>370</w:t>
            </w:r>
          </w:p>
        </w:tc>
      </w:tr>
      <w:tr w:rsidR="009E358D" w:rsidRPr="002A0142" w14:paraId="18F2DEAD" w14:textId="6EDFE284" w:rsidTr="002A0142">
        <w:trPr>
          <w:trHeight w:val="267"/>
        </w:trPr>
        <w:tc>
          <w:tcPr>
            <w:tcW w:w="4483" w:type="dxa"/>
            <w:tcBorders>
              <w:left w:val="single" w:sz="4" w:space="0" w:color="000000"/>
              <w:bottom w:val="single" w:sz="4" w:space="0" w:color="000000"/>
              <w:right w:val="single" w:sz="4" w:space="0" w:color="000000"/>
            </w:tcBorders>
            <w:shd w:val="clear" w:color="auto" w:fill="auto"/>
            <w:vAlign w:val="center"/>
          </w:tcPr>
          <w:p w14:paraId="3EE58974" w14:textId="77777777" w:rsidR="009E358D" w:rsidRPr="00925BCD" w:rsidRDefault="009E358D"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w zakresie stosowania </w:t>
            </w:r>
            <w:proofErr w:type="spellStart"/>
            <w:r w:rsidRPr="00925BCD">
              <w:rPr>
                <w:rFonts w:ascii="Arial" w:hAnsi="Arial" w:cs="Arial"/>
                <w:color w:val="000000"/>
              </w:rPr>
              <w:t>śor</w:t>
            </w:r>
            <w:proofErr w:type="spellEnd"/>
            <w:r w:rsidRPr="00925BCD">
              <w:rPr>
                <w:rFonts w:ascii="Arial" w:hAnsi="Arial" w:cs="Arial"/>
                <w:color w:val="000000"/>
              </w:rPr>
              <w:t xml:space="preserve"> metodą fumigacja</w:t>
            </w:r>
          </w:p>
        </w:tc>
        <w:tc>
          <w:tcPr>
            <w:tcW w:w="1144" w:type="dxa"/>
            <w:tcBorders>
              <w:bottom w:val="single" w:sz="4" w:space="0" w:color="000000"/>
              <w:right w:val="single" w:sz="4" w:space="0" w:color="000000"/>
            </w:tcBorders>
            <w:vAlign w:val="center"/>
          </w:tcPr>
          <w:p w14:paraId="06D6F0B9" w14:textId="77777777" w:rsidR="009E358D" w:rsidRPr="00925BCD" w:rsidRDefault="009E358D" w:rsidP="007E6EBF">
            <w:pPr>
              <w:jc w:val="right"/>
              <w:rPr>
                <w:rFonts w:ascii="Arial" w:hAnsi="Arial" w:cs="Arial"/>
                <w:color w:val="000000"/>
              </w:rPr>
            </w:pPr>
            <w:r w:rsidRPr="00925BCD">
              <w:rPr>
                <w:rFonts w:ascii="Arial" w:hAnsi="Arial" w:cs="Arial"/>
                <w:color w:val="000000"/>
              </w:rPr>
              <w:t>66</w:t>
            </w:r>
          </w:p>
        </w:tc>
        <w:tc>
          <w:tcPr>
            <w:tcW w:w="1145" w:type="dxa"/>
            <w:tcBorders>
              <w:bottom w:val="single" w:sz="4" w:space="0" w:color="000000"/>
              <w:right w:val="single" w:sz="4" w:space="0" w:color="000000"/>
            </w:tcBorders>
            <w:vAlign w:val="center"/>
          </w:tcPr>
          <w:p w14:paraId="7EDDAAEA" w14:textId="77777777" w:rsidR="009E358D" w:rsidRPr="00925BCD" w:rsidRDefault="009E358D" w:rsidP="007E6EBF">
            <w:pPr>
              <w:jc w:val="right"/>
              <w:rPr>
                <w:rFonts w:ascii="Arial" w:hAnsi="Arial" w:cs="Arial"/>
                <w:color w:val="000000"/>
              </w:rPr>
            </w:pPr>
            <w:r w:rsidRPr="00925BCD">
              <w:rPr>
                <w:rFonts w:ascii="Arial" w:hAnsi="Arial" w:cs="Arial"/>
                <w:color w:val="000000"/>
              </w:rPr>
              <w:t>74</w:t>
            </w:r>
          </w:p>
        </w:tc>
        <w:tc>
          <w:tcPr>
            <w:tcW w:w="1145" w:type="dxa"/>
            <w:tcBorders>
              <w:bottom w:val="single" w:sz="4" w:space="0" w:color="000000"/>
              <w:right w:val="single" w:sz="4" w:space="0" w:color="000000"/>
            </w:tcBorders>
            <w:vAlign w:val="center"/>
          </w:tcPr>
          <w:p w14:paraId="5D384AF7" w14:textId="2B7D1626" w:rsidR="009E358D" w:rsidRPr="00925BCD" w:rsidRDefault="009E358D" w:rsidP="007E6EBF">
            <w:pPr>
              <w:jc w:val="right"/>
              <w:rPr>
                <w:rFonts w:ascii="Arial" w:hAnsi="Arial" w:cs="Arial"/>
                <w:color w:val="000000"/>
              </w:rPr>
            </w:pPr>
            <w:r>
              <w:rPr>
                <w:rFonts w:ascii="Arial" w:hAnsi="Arial" w:cs="Arial"/>
                <w:color w:val="000000"/>
              </w:rPr>
              <w:t>77</w:t>
            </w:r>
          </w:p>
        </w:tc>
        <w:tc>
          <w:tcPr>
            <w:tcW w:w="1145" w:type="dxa"/>
            <w:tcBorders>
              <w:bottom w:val="single" w:sz="4" w:space="0" w:color="000000"/>
              <w:right w:val="single" w:sz="4" w:space="0" w:color="000000"/>
            </w:tcBorders>
            <w:vAlign w:val="center"/>
          </w:tcPr>
          <w:p w14:paraId="1E01C409" w14:textId="46067DC0" w:rsidR="009E358D" w:rsidRPr="002A0142" w:rsidRDefault="00027EA4" w:rsidP="002A0142">
            <w:pPr>
              <w:jc w:val="right"/>
              <w:rPr>
                <w:rFonts w:ascii="Arial" w:hAnsi="Arial" w:cs="Arial"/>
                <w:bCs/>
                <w:color w:val="000000"/>
              </w:rPr>
            </w:pPr>
            <w:r w:rsidRPr="002A0142">
              <w:rPr>
                <w:rFonts w:ascii="Arial" w:hAnsi="Arial" w:cs="Arial"/>
                <w:bCs/>
                <w:color w:val="000000"/>
              </w:rPr>
              <w:t>77</w:t>
            </w:r>
          </w:p>
        </w:tc>
      </w:tr>
      <w:tr w:rsidR="009E358D" w:rsidRPr="002A0142" w14:paraId="396E2F3E" w14:textId="6C4E5EC2" w:rsidTr="002A0142">
        <w:trPr>
          <w:trHeight w:val="267"/>
        </w:trPr>
        <w:tc>
          <w:tcPr>
            <w:tcW w:w="4483" w:type="dxa"/>
            <w:tcBorders>
              <w:left w:val="single" w:sz="4" w:space="0" w:color="000000"/>
              <w:bottom w:val="single" w:sz="4" w:space="0" w:color="000000"/>
              <w:right w:val="single" w:sz="4" w:space="0" w:color="000000"/>
            </w:tcBorders>
            <w:shd w:val="clear" w:color="auto" w:fill="auto"/>
            <w:vAlign w:val="center"/>
          </w:tcPr>
          <w:p w14:paraId="38555C81" w14:textId="77777777" w:rsidR="009E358D" w:rsidRPr="00925BCD" w:rsidRDefault="009E358D"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w zakresie stosowania </w:t>
            </w:r>
            <w:proofErr w:type="spellStart"/>
            <w:r w:rsidRPr="00925BCD">
              <w:rPr>
                <w:rFonts w:ascii="Arial" w:hAnsi="Arial" w:cs="Arial"/>
                <w:color w:val="000000"/>
              </w:rPr>
              <w:t>śor</w:t>
            </w:r>
            <w:proofErr w:type="spellEnd"/>
            <w:r w:rsidRPr="00925BCD">
              <w:rPr>
                <w:rFonts w:ascii="Arial" w:hAnsi="Arial" w:cs="Arial"/>
                <w:color w:val="000000"/>
              </w:rPr>
              <w:t xml:space="preserve"> sprzętem agrolotniczym</w:t>
            </w:r>
          </w:p>
        </w:tc>
        <w:tc>
          <w:tcPr>
            <w:tcW w:w="1144" w:type="dxa"/>
            <w:tcBorders>
              <w:bottom w:val="single" w:sz="4" w:space="0" w:color="000000"/>
              <w:right w:val="single" w:sz="4" w:space="0" w:color="000000"/>
            </w:tcBorders>
            <w:vAlign w:val="center"/>
          </w:tcPr>
          <w:p w14:paraId="3DCA898B" w14:textId="77777777" w:rsidR="009E358D" w:rsidRPr="00925BCD" w:rsidRDefault="009E358D" w:rsidP="007E6EBF">
            <w:pPr>
              <w:jc w:val="right"/>
              <w:rPr>
                <w:rFonts w:ascii="Arial" w:hAnsi="Arial" w:cs="Arial"/>
                <w:color w:val="000000"/>
              </w:rPr>
            </w:pPr>
            <w:r w:rsidRPr="00925BCD">
              <w:rPr>
                <w:rFonts w:ascii="Arial" w:hAnsi="Arial" w:cs="Arial"/>
                <w:color w:val="000000"/>
              </w:rPr>
              <w:t>23</w:t>
            </w:r>
          </w:p>
        </w:tc>
        <w:tc>
          <w:tcPr>
            <w:tcW w:w="1145" w:type="dxa"/>
            <w:tcBorders>
              <w:bottom w:val="single" w:sz="4" w:space="0" w:color="000000"/>
              <w:right w:val="single" w:sz="4" w:space="0" w:color="000000"/>
            </w:tcBorders>
            <w:vAlign w:val="center"/>
          </w:tcPr>
          <w:p w14:paraId="1E0B7AAE" w14:textId="77777777" w:rsidR="009E358D" w:rsidRPr="00925BCD" w:rsidRDefault="009E358D" w:rsidP="007E6EBF">
            <w:pPr>
              <w:jc w:val="right"/>
              <w:rPr>
                <w:rFonts w:ascii="Arial" w:hAnsi="Arial" w:cs="Arial"/>
                <w:color w:val="000000"/>
              </w:rPr>
            </w:pPr>
            <w:r w:rsidRPr="00925BCD">
              <w:rPr>
                <w:rFonts w:ascii="Arial" w:hAnsi="Arial" w:cs="Arial"/>
                <w:color w:val="000000"/>
              </w:rPr>
              <w:t>27</w:t>
            </w:r>
          </w:p>
        </w:tc>
        <w:tc>
          <w:tcPr>
            <w:tcW w:w="1145" w:type="dxa"/>
            <w:tcBorders>
              <w:bottom w:val="single" w:sz="4" w:space="0" w:color="000000"/>
              <w:right w:val="single" w:sz="4" w:space="0" w:color="000000"/>
            </w:tcBorders>
            <w:vAlign w:val="center"/>
          </w:tcPr>
          <w:p w14:paraId="5CBEE939" w14:textId="78C78273" w:rsidR="009E358D" w:rsidRPr="00925BCD" w:rsidRDefault="009E358D" w:rsidP="007E6EBF">
            <w:pPr>
              <w:jc w:val="right"/>
              <w:rPr>
                <w:rFonts w:ascii="Arial" w:hAnsi="Arial" w:cs="Arial"/>
                <w:color w:val="000000"/>
              </w:rPr>
            </w:pPr>
            <w:r>
              <w:rPr>
                <w:rFonts w:ascii="Arial" w:hAnsi="Arial" w:cs="Arial"/>
                <w:color w:val="000000"/>
              </w:rPr>
              <w:t>29</w:t>
            </w:r>
          </w:p>
        </w:tc>
        <w:tc>
          <w:tcPr>
            <w:tcW w:w="1145" w:type="dxa"/>
            <w:tcBorders>
              <w:bottom w:val="single" w:sz="4" w:space="0" w:color="000000"/>
              <w:right w:val="single" w:sz="4" w:space="0" w:color="000000"/>
            </w:tcBorders>
            <w:vAlign w:val="center"/>
          </w:tcPr>
          <w:p w14:paraId="15962739" w14:textId="2EE71E69" w:rsidR="009E358D" w:rsidRPr="002A0142" w:rsidRDefault="00027EA4" w:rsidP="002A0142">
            <w:pPr>
              <w:jc w:val="right"/>
              <w:rPr>
                <w:rFonts w:ascii="Arial" w:hAnsi="Arial" w:cs="Arial"/>
                <w:bCs/>
                <w:color w:val="000000"/>
              </w:rPr>
            </w:pPr>
            <w:r w:rsidRPr="002A0142">
              <w:rPr>
                <w:rFonts w:ascii="Arial" w:hAnsi="Arial" w:cs="Arial"/>
                <w:bCs/>
                <w:color w:val="000000"/>
              </w:rPr>
              <w:t>28</w:t>
            </w:r>
          </w:p>
        </w:tc>
      </w:tr>
      <w:tr w:rsidR="009E358D" w:rsidRPr="002A0142" w14:paraId="08428075" w14:textId="59E61B89" w:rsidTr="002A0142">
        <w:trPr>
          <w:trHeight w:val="535"/>
        </w:trPr>
        <w:tc>
          <w:tcPr>
            <w:tcW w:w="4483" w:type="dxa"/>
            <w:tcBorders>
              <w:left w:val="single" w:sz="4" w:space="0" w:color="000000"/>
              <w:bottom w:val="single" w:sz="4" w:space="0" w:color="000000"/>
              <w:right w:val="single" w:sz="4" w:space="0" w:color="000000"/>
            </w:tcBorders>
            <w:shd w:val="clear" w:color="auto" w:fill="auto"/>
            <w:vAlign w:val="center"/>
          </w:tcPr>
          <w:p w14:paraId="531722AE" w14:textId="77777777" w:rsidR="009E358D" w:rsidRPr="00925BCD" w:rsidRDefault="009E358D"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sprzętem montowanym na pojazdach szynowych oraz innym stosowanym w kolejnictwie </w:t>
            </w:r>
          </w:p>
        </w:tc>
        <w:tc>
          <w:tcPr>
            <w:tcW w:w="1144" w:type="dxa"/>
            <w:tcBorders>
              <w:bottom w:val="single" w:sz="4" w:space="0" w:color="000000"/>
              <w:right w:val="single" w:sz="4" w:space="0" w:color="000000"/>
            </w:tcBorders>
            <w:vAlign w:val="center"/>
          </w:tcPr>
          <w:p w14:paraId="399A6027" w14:textId="77777777" w:rsidR="009E358D" w:rsidRPr="00925BCD" w:rsidRDefault="009E358D" w:rsidP="007E6EBF">
            <w:pPr>
              <w:jc w:val="right"/>
              <w:rPr>
                <w:rFonts w:ascii="Arial" w:hAnsi="Arial" w:cs="Arial"/>
                <w:color w:val="000000"/>
              </w:rPr>
            </w:pPr>
            <w:r w:rsidRPr="00925BCD">
              <w:rPr>
                <w:rFonts w:ascii="Arial" w:hAnsi="Arial" w:cs="Arial"/>
                <w:color w:val="000000"/>
              </w:rPr>
              <w:t>46</w:t>
            </w:r>
          </w:p>
        </w:tc>
        <w:tc>
          <w:tcPr>
            <w:tcW w:w="1145" w:type="dxa"/>
            <w:tcBorders>
              <w:bottom w:val="single" w:sz="4" w:space="0" w:color="000000"/>
              <w:right w:val="single" w:sz="4" w:space="0" w:color="000000"/>
            </w:tcBorders>
            <w:vAlign w:val="center"/>
          </w:tcPr>
          <w:p w14:paraId="72678411" w14:textId="77777777" w:rsidR="009E358D" w:rsidRPr="00925BCD" w:rsidRDefault="009E358D" w:rsidP="007E6EBF">
            <w:pPr>
              <w:jc w:val="right"/>
              <w:rPr>
                <w:rFonts w:ascii="Arial" w:hAnsi="Arial" w:cs="Arial"/>
                <w:color w:val="000000"/>
              </w:rPr>
            </w:pPr>
            <w:r w:rsidRPr="00925BCD">
              <w:rPr>
                <w:rFonts w:ascii="Arial" w:hAnsi="Arial" w:cs="Arial"/>
                <w:color w:val="000000"/>
              </w:rPr>
              <w:t>52</w:t>
            </w:r>
          </w:p>
        </w:tc>
        <w:tc>
          <w:tcPr>
            <w:tcW w:w="1145" w:type="dxa"/>
            <w:tcBorders>
              <w:bottom w:val="single" w:sz="4" w:space="0" w:color="000000"/>
              <w:right w:val="single" w:sz="4" w:space="0" w:color="000000"/>
            </w:tcBorders>
            <w:vAlign w:val="center"/>
          </w:tcPr>
          <w:p w14:paraId="39DCCF34" w14:textId="18E45D08" w:rsidR="009E358D" w:rsidRPr="00925BCD" w:rsidRDefault="009E358D" w:rsidP="007E6EBF">
            <w:pPr>
              <w:jc w:val="right"/>
              <w:rPr>
                <w:rFonts w:ascii="Arial" w:hAnsi="Arial" w:cs="Arial"/>
                <w:color w:val="000000"/>
              </w:rPr>
            </w:pPr>
            <w:r>
              <w:rPr>
                <w:rFonts w:ascii="Arial" w:hAnsi="Arial" w:cs="Arial"/>
                <w:color w:val="000000"/>
              </w:rPr>
              <w:t>55</w:t>
            </w:r>
          </w:p>
        </w:tc>
        <w:tc>
          <w:tcPr>
            <w:tcW w:w="1145" w:type="dxa"/>
            <w:tcBorders>
              <w:bottom w:val="single" w:sz="4" w:space="0" w:color="000000"/>
              <w:right w:val="single" w:sz="4" w:space="0" w:color="000000"/>
            </w:tcBorders>
            <w:vAlign w:val="center"/>
          </w:tcPr>
          <w:p w14:paraId="6BBB322F" w14:textId="04C60F79" w:rsidR="009E358D" w:rsidRPr="002A0142" w:rsidRDefault="00027EA4" w:rsidP="002A0142">
            <w:pPr>
              <w:jc w:val="right"/>
              <w:rPr>
                <w:rFonts w:ascii="Arial" w:hAnsi="Arial" w:cs="Arial"/>
                <w:bCs/>
                <w:color w:val="000000"/>
              </w:rPr>
            </w:pPr>
            <w:r w:rsidRPr="002A0142">
              <w:rPr>
                <w:rFonts w:ascii="Arial" w:hAnsi="Arial" w:cs="Arial"/>
                <w:bCs/>
                <w:color w:val="000000"/>
              </w:rPr>
              <w:t>55</w:t>
            </w:r>
          </w:p>
        </w:tc>
      </w:tr>
      <w:tr w:rsidR="009E358D" w:rsidRPr="002A0142" w14:paraId="7B8CBBFF" w14:textId="131C5F15" w:rsidTr="002A0142">
        <w:trPr>
          <w:trHeight w:val="267"/>
        </w:trPr>
        <w:tc>
          <w:tcPr>
            <w:tcW w:w="4483" w:type="dxa"/>
            <w:tcBorders>
              <w:left w:val="single" w:sz="4" w:space="0" w:color="000000"/>
              <w:bottom w:val="single" w:sz="4" w:space="0" w:color="000000"/>
              <w:right w:val="single" w:sz="4" w:space="0" w:color="000000"/>
            </w:tcBorders>
            <w:shd w:val="clear" w:color="auto" w:fill="auto"/>
            <w:vAlign w:val="center"/>
          </w:tcPr>
          <w:p w14:paraId="7A46BAC7" w14:textId="77777777" w:rsidR="009E358D" w:rsidRPr="00925BCD" w:rsidRDefault="009E358D"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w zakresie doradztwa dotyczącego </w:t>
            </w:r>
            <w:proofErr w:type="spellStart"/>
            <w:r w:rsidRPr="00925BCD">
              <w:rPr>
                <w:rFonts w:ascii="Arial" w:hAnsi="Arial" w:cs="Arial"/>
                <w:color w:val="000000"/>
              </w:rPr>
              <w:t>śor</w:t>
            </w:r>
            <w:proofErr w:type="spellEnd"/>
          </w:p>
        </w:tc>
        <w:tc>
          <w:tcPr>
            <w:tcW w:w="1144" w:type="dxa"/>
            <w:tcBorders>
              <w:bottom w:val="single" w:sz="4" w:space="0" w:color="000000"/>
              <w:right w:val="single" w:sz="4" w:space="0" w:color="000000"/>
            </w:tcBorders>
            <w:vAlign w:val="center"/>
          </w:tcPr>
          <w:p w14:paraId="06785FEE" w14:textId="77777777" w:rsidR="009E358D" w:rsidRPr="00925BCD" w:rsidRDefault="009E358D" w:rsidP="007E6EBF">
            <w:pPr>
              <w:jc w:val="right"/>
              <w:rPr>
                <w:rFonts w:ascii="Arial" w:hAnsi="Arial" w:cs="Arial"/>
                <w:color w:val="000000"/>
              </w:rPr>
            </w:pPr>
            <w:r w:rsidRPr="00925BCD">
              <w:rPr>
                <w:rFonts w:ascii="Arial" w:hAnsi="Arial" w:cs="Arial"/>
                <w:color w:val="000000"/>
              </w:rPr>
              <w:t>261</w:t>
            </w:r>
          </w:p>
        </w:tc>
        <w:tc>
          <w:tcPr>
            <w:tcW w:w="1145" w:type="dxa"/>
            <w:tcBorders>
              <w:bottom w:val="single" w:sz="4" w:space="0" w:color="000000"/>
              <w:right w:val="single" w:sz="4" w:space="0" w:color="000000"/>
            </w:tcBorders>
            <w:vAlign w:val="center"/>
          </w:tcPr>
          <w:p w14:paraId="5304D5D9" w14:textId="77777777" w:rsidR="009E358D" w:rsidRPr="00925BCD" w:rsidRDefault="009E358D" w:rsidP="007E6EBF">
            <w:pPr>
              <w:jc w:val="right"/>
              <w:rPr>
                <w:rFonts w:ascii="Arial" w:hAnsi="Arial" w:cs="Arial"/>
                <w:color w:val="000000"/>
              </w:rPr>
            </w:pPr>
            <w:r w:rsidRPr="00925BCD">
              <w:rPr>
                <w:rFonts w:ascii="Arial" w:hAnsi="Arial" w:cs="Arial"/>
                <w:color w:val="000000"/>
              </w:rPr>
              <w:t>268</w:t>
            </w:r>
          </w:p>
        </w:tc>
        <w:tc>
          <w:tcPr>
            <w:tcW w:w="1145" w:type="dxa"/>
            <w:tcBorders>
              <w:bottom w:val="single" w:sz="4" w:space="0" w:color="000000"/>
              <w:right w:val="single" w:sz="4" w:space="0" w:color="000000"/>
            </w:tcBorders>
            <w:vAlign w:val="center"/>
          </w:tcPr>
          <w:p w14:paraId="66826EFB" w14:textId="0BD1BB13" w:rsidR="009E358D" w:rsidRPr="00925BCD" w:rsidRDefault="009E358D" w:rsidP="007E6EBF">
            <w:pPr>
              <w:jc w:val="right"/>
              <w:rPr>
                <w:rFonts w:ascii="Arial" w:hAnsi="Arial" w:cs="Arial"/>
                <w:color w:val="000000"/>
              </w:rPr>
            </w:pPr>
            <w:r>
              <w:rPr>
                <w:rFonts w:ascii="Arial" w:hAnsi="Arial" w:cs="Arial"/>
                <w:color w:val="000000"/>
              </w:rPr>
              <w:t>267</w:t>
            </w:r>
          </w:p>
        </w:tc>
        <w:tc>
          <w:tcPr>
            <w:tcW w:w="1145" w:type="dxa"/>
            <w:tcBorders>
              <w:bottom w:val="single" w:sz="4" w:space="0" w:color="000000"/>
              <w:right w:val="single" w:sz="4" w:space="0" w:color="000000"/>
            </w:tcBorders>
            <w:vAlign w:val="center"/>
          </w:tcPr>
          <w:p w14:paraId="42786EFD" w14:textId="1778A280" w:rsidR="009E358D" w:rsidRPr="002A0142" w:rsidRDefault="00027EA4" w:rsidP="002A0142">
            <w:pPr>
              <w:jc w:val="right"/>
              <w:rPr>
                <w:rFonts w:ascii="Arial" w:hAnsi="Arial" w:cs="Arial"/>
                <w:bCs/>
                <w:color w:val="000000"/>
              </w:rPr>
            </w:pPr>
            <w:r w:rsidRPr="002A0142">
              <w:rPr>
                <w:rFonts w:ascii="Arial" w:hAnsi="Arial" w:cs="Arial"/>
                <w:bCs/>
                <w:color w:val="000000"/>
              </w:rPr>
              <w:t>270</w:t>
            </w:r>
          </w:p>
        </w:tc>
      </w:tr>
      <w:tr w:rsidR="009E358D" w:rsidRPr="002A0142" w14:paraId="34582EEF" w14:textId="17DC133A" w:rsidTr="002A0142">
        <w:trPr>
          <w:trHeight w:val="267"/>
        </w:trPr>
        <w:tc>
          <w:tcPr>
            <w:tcW w:w="4483" w:type="dxa"/>
            <w:tcBorders>
              <w:left w:val="single" w:sz="4" w:space="0" w:color="000000"/>
              <w:bottom w:val="single" w:sz="4" w:space="0" w:color="000000"/>
              <w:right w:val="single" w:sz="4" w:space="0" w:color="000000"/>
            </w:tcBorders>
            <w:shd w:val="clear" w:color="auto" w:fill="auto"/>
            <w:vAlign w:val="center"/>
          </w:tcPr>
          <w:p w14:paraId="6115217E" w14:textId="77777777" w:rsidR="009E358D" w:rsidRPr="00925BCD" w:rsidRDefault="009E358D" w:rsidP="00091B33">
            <w:pPr>
              <w:numPr>
                <w:ilvl w:val="0"/>
                <w:numId w:val="13"/>
              </w:numPr>
              <w:ind w:left="634" w:hanging="425"/>
              <w:contextualSpacing/>
              <w:rPr>
                <w:rFonts w:ascii="Arial" w:hAnsi="Arial" w:cs="Arial"/>
                <w:color w:val="000000"/>
              </w:rPr>
            </w:pPr>
            <w:r w:rsidRPr="00925BCD">
              <w:rPr>
                <w:rFonts w:ascii="Arial" w:hAnsi="Arial" w:cs="Arial"/>
                <w:color w:val="000000"/>
              </w:rPr>
              <w:t>IP</w:t>
            </w:r>
          </w:p>
        </w:tc>
        <w:tc>
          <w:tcPr>
            <w:tcW w:w="1144" w:type="dxa"/>
            <w:tcBorders>
              <w:bottom w:val="single" w:sz="4" w:space="0" w:color="000000"/>
              <w:right w:val="single" w:sz="4" w:space="0" w:color="000000"/>
            </w:tcBorders>
            <w:vAlign w:val="center"/>
          </w:tcPr>
          <w:p w14:paraId="02B2C25B" w14:textId="77777777" w:rsidR="009E358D" w:rsidRPr="00925BCD" w:rsidRDefault="009E358D" w:rsidP="007E6EBF">
            <w:pPr>
              <w:jc w:val="right"/>
              <w:rPr>
                <w:rFonts w:ascii="Arial" w:hAnsi="Arial" w:cs="Arial"/>
                <w:color w:val="000000"/>
              </w:rPr>
            </w:pPr>
            <w:r w:rsidRPr="00925BCD">
              <w:rPr>
                <w:rFonts w:ascii="Arial" w:hAnsi="Arial" w:cs="Arial"/>
                <w:color w:val="000000"/>
              </w:rPr>
              <w:t>157</w:t>
            </w:r>
          </w:p>
        </w:tc>
        <w:tc>
          <w:tcPr>
            <w:tcW w:w="1145" w:type="dxa"/>
            <w:tcBorders>
              <w:bottom w:val="single" w:sz="4" w:space="0" w:color="000000"/>
              <w:right w:val="single" w:sz="4" w:space="0" w:color="000000"/>
            </w:tcBorders>
            <w:vAlign w:val="center"/>
          </w:tcPr>
          <w:p w14:paraId="1ED6DFE6" w14:textId="77777777" w:rsidR="009E358D" w:rsidRPr="00925BCD" w:rsidRDefault="009E358D" w:rsidP="007E6EBF">
            <w:pPr>
              <w:jc w:val="right"/>
              <w:rPr>
                <w:rFonts w:ascii="Arial" w:hAnsi="Arial" w:cs="Arial"/>
                <w:color w:val="000000"/>
              </w:rPr>
            </w:pPr>
            <w:r w:rsidRPr="00925BCD">
              <w:rPr>
                <w:rFonts w:ascii="Arial" w:hAnsi="Arial" w:cs="Arial"/>
                <w:color w:val="000000"/>
              </w:rPr>
              <w:t>167</w:t>
            </w:r>
          </w:p>
        </w:tc>
        <w:tc>
          <w:tcPr>
            <w:tcW w:w="1145" w:type="dxa"/>
            <w:tcBorders>
              <w:bottom w:val="single" w:sz="4" w:space="0" w:color="000000"/>
              <w:right w:val="single" w:sz="4" w:space="0" w:color="000000"/>
            </w:tcBorders>
            <w:vAlign w:val="center"/>
          </w:tcPr>
          <w:p w14:paraId="594E4FEE" w14:textId="0802801A" w:rsidR="009E358D" w:rsidRPr="00925BCD" w:rsidRDefault="009E358D" w:rsidP="007E6EBF">
            <w:pPr>
              <w:jc w:val="right"/>
              <w:rPr>
                <w:rFonts w:ascii="Arial" w:hAnsi="Arial" w:cs="Arial"/>
                <w:color w:val="000000"/>
              </w:rPr>
            </w:pPr>
            <w:r>
              <w:rPr>
                <w:rFonts w:ascii="Arial" w:hAnsi="Arial" w:cs="Arial"/>
                <w:color w:val="000000"/>
              </w:rPr>
              <w:t>166</w:t>
            </w:r>
          </w:p>
        </w:tc>
        <w:tc>
          <w:tcPr>
            <w:tcW w:w="1145" w:type="dxa"/>
            <w:tcBorders>
              <w:bottom w:val="single" w:sz="4" w:space="0" w:color="000000"/>
              <w:right w:val="single" w:sz="4" w:space="0" w:color="000000"/>
            </w:tcBorders>
            <w:vAlign w:val="center"/>
          </w:tcPr>
          <w:p w14:paraId="70DA5EBA" w14:textId="1BC6EA79" w:rsidR="009E358D" w:rsidRPr="002A0142" w:rsidRDefault="00027EA4" w:rsidP="002A0142">
            <w:pPr>
              <w:jc w:val="right"/>
              <w:rPr>
                <w:rFonts w:ascii="Arial" w:hAnsi="Arial" w:cs="Arial"/>
                <w:bCs/>
                <w:color w:val="000000"/>
              </w:rPr>
            </w:pPr>
            <w:r w:rsidRPr="002A0142">
              <w:rPr>
                <w:rFonts w:ascii="Arial" w:hAnsi="Arial" w:cs="Arial"/>
                <w:bCs/>
                <w:color w:val="000000"/>
              </w:rPr>
              <w:t>167</w:t>
            </w:r>
          </w:p>
        </w:tc>
      </w:tr>
      <w:tr w:rsidR="009E358D" w:rsidRPr="002A0142" w14:paraId="1FE561E9" w14:textId="363008FC" w:rsidTr="002A0142">
        <w:trPr>
          <w:trHeight w:val="803"/>
        </w:trPr>
        <w:tc>
          <w:tcPr>
            <w:tcW w:w="4483" w:type="dxa"/>
            <w:tcBorders>
              <w:left w:val="single" w:sz="4" w:space="0" w:color="000000"/>
              <w:bottom w:val="single" w:sz="4" w:space="0" w:color="000000"/>
              <w:right w:val="single" w:sz="4" w:space="0" w:color="000000"/>
            </w:tcBorders>
            <w:shd w:val="clear" w:color="auto" w:fill="auto"/>
            <w:vAlign w:val="center"/>
          </w:tcPr>
          <w:p w14:paraId="360D5008" w14:textId="77777777" w:rsidR="009E358D" w:rsidRPr="00925BCD" w:rsidRDefault="009E358D"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przygotowujące diagnostów do badania sprawności technicznej sprzętu naziemnego przeznaczonego do stosowania </w:t>
            </w:r>
            <w:proofErr w:type="spellStart"/>
            <w:r w:rsidRPr="00925BCD">
              <w:rPr>
                <w:rFonts w:ascii="Arial" w:hAnsi="Arial" w:cs="Arial"/>
                <w:color w:val="000000"/>
              </w:rPr>
              <w:t>śor</w:t>
            </w:r>
            <w:proofErr w:type="spellEnd"/>
            <w:r w:rsidRPr="00925BCD">
              <w:rPr>
                <w:rFonts w:ascii="Arial" w:hAnsi="Arial" w:cs="Arial"/>
                <w:color w:val="000000"/>
              </w:rPr>
              <w:t xml:space="preserve"> </w:t>
            </w:r>
          </w:p>
        </w:tc>
        <w:tc>
          <w:tcPr>
            <w:tcW w:w="1144" w:type="dxa"/>
            <w:tcBorders>
              <w:bottom w:val="single" w:sz="4" w:space="0" w:color="000000"/>
              <w:right w:val="single" w:sz="4" w:space="0" w:color="000000"/>
            </w:tcBorders>
            <w:vAlign w:val="center"/>
          </w:tcPr>
          <w:p w14:paraId="37C40824" w14:textId="77777777" w:rsidR="009E358D" w:rsidRPr="00925BCD" w:rsidRDefault="009E358D" w:rsidP="007E6EBF">
            <w:pPr>
              <w:jc w:val="right"/>
              <w:rPr>
                <w:rFonts w:ascii="Arial" w:hAnsi="Arial" w:cs="Arial"/>
                <w:color w:val="000000"/>
              </w:rPr>
            </w:pPr>
            <w:r w:rsidRPr="00925BCD">
              <w:rPr>
                <w:rFonts w:ascii="Arial" w:hAnsi="Arial" w:cs="Arial"/>
                <w:color w:val="000000"/>
              </w:rPr>
              <w:t>17</w:t>
            </w:r>
          </w:p>
        </w:tc>
        <w:tc>
          <w:tcPr>
            <w:tcW w:w="1145" w:type="dxa"/>
            <w:tcBorders>
              <w:bottom w:val="single" w:sz="4" w:space="0" w:color="000000"/>
              <w:right w:val="single" w:sz="4" w:space="0" w:color="000000"/>
            </w:tcBorders>
            <w:vAlign w:val="center"/>
          </w:tcPr>
          <w:p w14:paraId="7679209F" w14:textId="77777777" w:rsidR="009E358D" w:rsidRPr="00925BCD" w:rsidRDefault="009E358D" w:rsidP="007E6EBF">
            <w:pPr>
              <w:jc w:val="right"/>
              <w:rPr>
                <w:rFonts w:ascii="Arial" w:hAnsi="Arial" w:cs="Arial"/>
                <w:color w:val="000000"/>
              </w:rPr>
            </w:pPr>
            <w:r w:rsidRPr="00925BCD">
              <w:rPr>
                <w:rFonts w:ascii="Arial" w:hAnsi="Arial" w:cs="Arial"/>
                <w:color w:val="000000"/>
              </w:rPr>
              <w:t>20</w:t>
            </w:r>
          </w:p>
        </w:tc>
        <w:tc>
          <w:tcPr>
            <w:tcW w:w="1145" w:type="dxa"/>
            <w:tcBorders>
              <w:bottom w:val="single" w:sz="4" w:space="0" w:color="000000"/>
              <w:right w:val="single" w:sz="4" w:space="0" w:color="000000"/>
            </w:tcBorders>
            <w:vAlign w:val="center"/>
          </w:tcPr>
          <w:p w14:paraId="0F7B5282" w14:textId="62F921C3" w:rsidR="009E358D" w:rsidRPr="00925BCD" w:rsidRDefault="009E358D" w:rsidP="007E6EBF">
            <w:pPr>
              <w:jc w:val="right"/>
              <w:rPr>
                <w:rFonts w:ascii="Arial" w:hAnsi="Arial" w:cs="Arial"/>
                <w:color w:val="000000"/>
              </w:rPr>
            </w:pPr>
            <w:r>
              <w:rPr>
                <w:rFonts w:ascii="Arial" w:hAnsi="Arial" w:cs="Arial"/>
                <w:color w:val="000000"/>
              </w:rPr>
              <w:t>22</w:t>
            </w:r>
          </w:p>
        </w:tc>
        <w:tc>
          <w:tcPr>
            <w:tcW w:w="1145" w:type="dxa"/>
            <w:tcBorders>
              <w:bottom w:val="single" w:sz="4" w:space="0" w:color="000000"/>
              <w:right w:val="single" w:sz="4" w:space="0" w:color="000000"/>
            </w:tcBorders>
            <w:vAlign w:val="center"/>
          </w:tcPr>
          <w:p w14:paraId="6BD58263" w14:textId="48D30F83" w:rsidR="009E358D" w:rsidRPr="002A0142" w:rsidRDefault="00027EA4" w:rsidP="002A0142">
            <w:pPr>
              <w:jc w:val="right"/>
              <w:rPr>
                <w:rFonts w:ascii="Arial" w:hAnsi="Arial" w:cs="Arial"/>
                <w:bCs/>
                <w:color w:val="000000"/>
              </w:rPr>
            </w:pPr>
            <w:r w:rsidRPr="002A0142">
              <w:rPr>
                <w:rFonts w:ascii="Arial" w:hAnsi="Arial" w:cs="Arial"/>
                <w:bCs/>
                <w:color w:val="000000"/>
              </w:rPr>
              <w:t>24</w:t>
            </w:r>
          </w:p>
        </w:tc>
      </w:tr>
      <w:tr w:rsidR="009E358D" w:rsidRPr="002A0142" w14:paraId="67DE3CD3" w14:textId="5240663D" w:rsidTr="002A0142">
        <w:trPr>
          <w:trHeight w:val="804"/>
        </w:trPr>
        <w:tc>
          <w:tcPr>
            <w:tcW w:w="4483" w:type="dxa"/>
            <w:tcBorders>
              <w:left w:val="single" w:sz="4" w:space="0" w:color="000000"/>
              <w:bottom w:val="single" w:sz="4" w:space="0" w:color="000000"/>
              <w:right w:val="single" w:sz="4" w:space="0" w:color="000000"/>
            </w:tcBorders>
            <w:shd w:val="clear" w:color="auto" w:fill="auto"/>
            <w:vAlign w:val="center"/>
          </w:tcPr>
          <w:p w14:paraId="3DE9DBB8" w14:textId="77777777" w:rsidR="009E358D" w:rsidRPr="00925BCD" w:rsidRDefault="009E358D"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przygotowujące diagnostów do badania sprawności technicznej sprzętu agrolotniczego przeznaczonego do stosowania </w:t>
            </w:r>
            <w:proofErr w:type="spellStart"/>
            <w:r w:rsidRPr="00925BCD">
              <w:rPr>
                <w:rFonts w:ascii="Arial" w:hAnsi="Arial" w:cs="Arial"/>
                <w:color w:val="000000"/>
              </w:rPr>
              <w:t>śor</w:t>
            </w:r>
            <w:proofErr w:type="spellEnd"/>
            <w:r w:rsidRPr="00925BCD">
              <w:rPr>
                <w:rFonts w:ascii="Arial" w:hAnsi="Arial" w:cs="Arial"/>
                <w:color w:val="000000"/>
              </w:rPr>
              <w:t xml:space="preserve"> </w:t>
            </w:r>
          </w:p>
        </w:tc>
        <w:tc>
          <w:tcPr>
            <w:tcW w:w="1144" w:type="dxa"/>
            <w:tcBorders>
              <w:bottom w:val="single" w:sz="4" w:space="0" w:color="000000"/>
              <w:right w:val="single" w:sz="4" w:space="0" w:color="000000"/>
            </w:tcBorders>
            <w:vAlign w:val="center"/>
          </w:tcPr>
          <w:p w14:paraId="4F9F04E6" w14:textId="77777777" w:rsidR="009E358D" w:rsidRPr="00925BCD" w:rsidRDefault="009E358D" w:rsidP="007E6EBF">
            <w:pPr>
              <w:jc w:val="right"/>
              <w:rPr>
                <w:rFonts w:ascii="Arial" w:hAnsi="Arial" w:cs="Arial"/>
                <w:color w:val="000000"/>
              </w:rPr>
            </w:pPr>
            <w:r w:rsidRPr="00925BCD">
              <w:rPr>
                <w:rFonts w:ascii="Arial" w:hAnsi="Arial" w:cs="Arial"/>
                <w:color w:val="000000"/>
              </w:rPr>
              <w:t>7</w:t>
            </w:r>
          </w:p>
        </w:tc>
        <w:tc>
          <w:tcPr>
            <w:tcW w:w="1145" w:type="dxa"/>
            <w:tcBorders>
              <w:bottom w:val="single" w:sz="4" w:space="0" w:color="000000"/>
              <w:right w:val="single" w:sz="4" w:space="0" w:color="000000"/>
            </w:tcBorders>
            <w:vAlign w:val="center"/>
          </w:tcPr>
          <w:p w14:paraId="228BCA57" w14:textId="77777777" w:rsidR="009E358D" w:rsidRPr="00925BCD" w:rsidRDefault="009E358D" w:rsidP="007E6EBF">
            <w:pPr>
              <w:jc w:val="right"/>
              <w:rPr>
                <w:rFonts w:ascii="Arial" w:hAnsi="Arial" w:cs="Arial"/>
                <w:color w:val="000000"/>
              </w:rPr>
            </w:pPr>
            <w:r w:rsidRPr="00925BCD">
              <w:rPr>
                <w:rFonts w:ascii="Arial" w:hAnsi="Arial" w:cs="Arial"/>
                <w:color w:val="000000"/>
              </w:rPr>
              <w:t>8</w:t>
            </w:r>
          </w:p>
        </w:tc>
        <w:tc>
          <w:tcPr>
            <w:tcW w:w="1145" w:type="dxa"/>
            <w:tcBorders>
              <w:bottom w:val="single" w:sz="4" w:space="0" w:color="000000"/>
              <w:right w:val="single" w:sz="4" w:space="0" w:color="000000"/>
            </w:tcBorders>
            <w:vAlign w:val="center"/>
          </w:tcPr>
          <w:p w14:paraId="21347E98" w14:textId="0A911826" w:rsidR="009E358D" w:rsidRPr="00925BCD" w:rsidRDefault="009E358D" w:rsidP="007E6EBF">
            <w:pPr>
              <w:jc w:val="right"/>
              <w:rPr>
                <w:rFonts w:ascii="Arial" w:hAnsi="Arial" w:cs="Arial"/>
                <w:color w:val="000000"/>
              </w:rPr>
            </w:pPr>
            <w:r>
              <w:rPr>
                <w:rFonts w:ascii="Arial" w:hAnsi="Arial" w:cs="Arial"/>
                <w:color w:val="000000"/>
              </w:rPr>
              <w:t>10</w:t>
            </w:r>
          </w:p>
        </w:tc>
        <w:tc>
          <w:tcPr>
            <w:tcW w:w="1145" w:type="dxa"/>
            <w:tcBorders>
              <w:bottom w:val="single" w:sz="4" w:space="0" w:color="000000"/>
              <w:right w:val="single" w:sz="4" w:space="0" w:color="000000"/>
            </w:tcBorders>
            <w:vAlign w:val="center"/>
          </w:tcPr>
          <w:p w14:paraId="0B9F166B" w14:textId="6406FE76" w:rsidR="009E358D" w:rsidRPr="002A0142" w:rsidRDefault="00027EA4" w:rsidP="002A0142">
            <w:pPr>
              <w:jc w:val="right"/>
              <w:rPr>
                <w:rFonts w:ascii="Arial" w:hAnsi="Arial" w:cs="Arial"/>
                <w:bCs/>
                <w:color w:val="000000"/>
              </w:rPr>
            </w:pPr>
            <w:r w:rsidRPr="002A0142">
              <w:rPr>
                <w:rFonts w:ascii="Arial" w:hAnsi="Arial" w:cs="Arial"/>
                <w:bCs/>
                <w:color w:val="000000"/>
              </w:rPr>
              <w:t>9</w:t>
            </w:r>
          </w:p>
        </w:tc>
      </w:tr>
      <w:tr w:rsidR="009E358D" w:rsidRPr="00925BCD" w14:paraId="77BB1F68" w14:textId="001803CA" w:rsidTr="002A0142">
        <w:trPr>
          <w:trHeight w:val="267"/>
        </w:trPr>
        <w:tc>
          <w:tcPr>
            <w:tcW w:w="4483" w:type="dxa"/>
            <w:tcBorders>
              <w:top w:val="single" w:sz="4" w:space="0" w:color="000000"/>
              <w:left w:val="single" w:sz="4" w:space="0" w:color="000000"/>
              <w:bottom w:val="single" w:sz="4" w:space="0" w:color="000000"/>
            </w:tcBorders>
            <w:shd w:val="clear" w:color="auto" w:fill="CCFFCC"/>
            <w:vAlign w:val="center"/>
          </w:tcPr>
          <w:p w14:paraId="53D066F5" w14:textId="77777777" w:rsidR="009E358D" w:rsidRPr="00925BCD" w:rsidRDefault="009E358D" w:rsidP="00091B33">
            <w:pPr>
              <w:rPr>
                <w:rFonts w:ascii="Arial" w:hAnsi="Arial" w:cs="Arial"/>
                <w:b/>
                <w:color w:val="000000"/>
              </w:rPr>
            </w:pPr>
            <w:r w:rsidRPr="00925BCD">
              <w:rPr>
                <w:rFonts w:ascii="Arial" w:hAnsi="Arial" w:cs="Arial"/>
                <w:b/>
                <w:color w:val="000000"/>
              </w:rPr>
              <w:t>Liczba szkoleń</w:t>
            </w:r>
          </w:p>
        </w:tc>
        <w:tc>
          <w:tcPr>
            <w:tcW w:w="1144" w:type="dxa"/>
            <w:tcBorders>
              <w:top w:val="single" w:sz="4" w:space="0" w:color="000000"/>
              <w:bottom w:val="single" w:sz="4" w:space="0" w:color="000000"/>
              <w:right w:val="single" w:sz="4" w:space="0" w:color="000000"/>
            </w:tcBorders>
            <w:shd w:val="clear" w:color="auto" w:fill="CCFFCC"/>
            <w:vAlign w:val="center"/>
          </w:tcPr>
          <w:p w14:paraId="7D0AABF4" w14:textId="77777777" w:rsidR="009E358D" w:rsidRPr="00925BCD" w:rsidRDefault="009E358D" w:rsidP="007E6EBF">
            <w:pPr>
              <w:jc w:val="right"/>
              <w:rPr>
                <w:rFonts w:ascii="Arial" w:hAnsi="Arial" w:cs="Arial"/>
                <w:b/>
                <w:color w:val="000000"/>
              </w:rPr>
            </w:pPr>
          </w:p>
        </w:tc>
        <w:tc>
          <w:tcPr>
            <w:tcW w:w="1145" w:type="dxa"/>
            <w:tcBorders>
              <w:top w:val="single" w:sz="4" w:space="0" w:color="000000"/>
              <w:bottom w:val="single" w:sz="4" w:space="0" w:color="000000"/>
              <w:right w:val="single" w:sz="4" w:space="0" w:color="000000"/>
            </w:tcBorders>
            <w:shd w:val="clear" w:color="auto" w:fill="CCFFCC"/>
            <w:vAlign w:val="center"/>
          </w:tcPr>
          <w:p w14:paraId="1D739F83" w14:textId="77777777" w:rsidR="009E358D" w:rsidRPr="00925BCD" w:rsidRDefault="009E358D" w:rsidP="007E6EBF">
            <w:pPr>
              <w:jc w:val="right"/>
              <w:rPr>
                <w:rFonts w:ascii="Arial" w:hAnsi="Arial" w:cs="Arial"/>
                <w:b/>
                <w:color w:val="000000"/>
              </w:rPr>
            </w:pPr>
          </w:p>
        </w:tc>
        <w:tc>
          <w:tcPr>
            <w:tcW w:w="1145" w:type="dxa"/>
            <w:tcBorders>
              <w:top w:val="single" w:sz="4" w:space="0" w:color="000000"/>
              <w:bottom w:val="single" w:sz="4" w:space="0" w:color="000000"/>
              <w:right w:val="single" w:sz="4" w:space="0" w:color="000000"/>
            </w:tcBorders>
            <w:shd w:val="clear" w:color="auto" w:fill="CCFFCC"/>
            <w:vAlign w:val="center"/>
          </w:tcPr>
          <w:p w14:paraId="1463104D" w14:textId="77777777" w:rsidR="009E358D" w:rsidRPr="00925BCD" w:rsidRDefault="009E358D" w:rsidP="007E6EBF">
            <w:pPr>
              <w:jc w:val="right"/>
              <w:rPr>
                <w:rFonts w:ascii="Arial" w:hAnsi="Arial" w:cs="Arial"/>
                <w:b/>
                <w:color w:val="000000"/>
              </w:rPr>
            </w:pPr>
          </w:p>
        </w:tc>
        <w:tc>
          <w:tcPr>
            <w:tcW w:w="1145" w:type="dxa"/>
            <w:tcBorders>
              <w:top w:val="single" w:sz="4" w:space="0" w:color="000000"/>
              <w:bottom w:val="single" w:sz="4" w:space="0" w:color="000000"/>
              <w:right w:val="single" w:sz="4" w:space="0" w:color="000000"/>
            </w:tcBorders>
            <w:shd w:val="clear" w:color="auto" w:fill="CCFFCC"/>
          </w:tcPr>
          <w:p w14:paraId="34560AFD" w14:textId="77777777" w:rsidR="009E358D" w:rsidRPr="00925BCD" w:rsidRDefault="009E358D" w:rsidP="007E6EBF">
            <w:pPr>
              <w:jc w:val="right"/>
              <w:rPr>
                <w:rFonts w:ascii="Arial" w:hAnsi="Arial" w:cs="Arial"/>
                <w:b/>
                <w:color w:val="000000"/>
              </w:rPr>
            </w:pPr>
          </w:p>
        </w:tc>
      </w:tr>
      <w:tr w:rsidR="009E358D" w:rsidRPr="00925BCD" w14:paraId="52F43DE3" w14:textId="263E362F" w:rsidTr="002A0142">
        <w:trPr>
          <w:trHeight w:val="267"/>
        </w:trPr>
        <w:tc>
          <w:tcPr>
            <w:tcW w:w="4483" w:type="dxa"/>
            <w:tcBorders>
              <w:left w:val="single" w:sz="4" w:space="0" w:color="000000"/>
              <w:bottom w:val="single" w:sz="4" w:space="0" w:color="000000"/>
              <w:right w:val="single" w:sz="4" w:space="0" w:color="000000"/>
            </w:tcBorders>
            <w:shd w:val="clear" w:color="auto" w:fill="FFFFFF" w:themeFill="background1"/>
            <w:vAlign w:val="center"/>
          </w:tcPr>
          <w:p w14:paraId="60B0C92C" w14:textId="77777777" w:rsidR="009E358D" w:rsidRPr="00925BCD" w:rsidRDefault="009E358D" w:rsidP="00091B33">
            <w:pPr>
              <w:numPr>
                <w:ilvl w:val="0"/>
                <w:numId w:val="13"/>
              </w:numPr>
              <w:ind w:left="634" w:hanging="425"/>
              <w:contextualSpacing/>
              <w:rPr>
                <w:rFonts w:ascii="Arial" w:hAnsi="Arial" w:cs="Arial"/>
                <w:b/>
                <w:color w:val="000000"/>
              </w:rPr>
            </w:pPr>
            <w:r w:rsidRPr="00925BCD">
              <w:rPr>
                <w:rFonts w:ascii="Arial" w:hAnsi="Arial" w:cs="Arial"/>
                <w:b/>
                <w:color w:val="000000"/>
              </w:rPr>
              <w:t>ogółem</w:t>
            </w:r>
          </w:p>
        </w:tc>
        <w:tc>
          <w:tcPr>
            <w:tcW w:w="1144" w:type="dxa"/>
            <w:tcBorders>
              <w:bottom w:val="single" w:sz="4" w:space="0" w:color="000000"/>
              <w:right w:val="single" w:sz="4" w:space="0" w:color="000000"/>
            </w:tcBorders>
            <w:shd w:val="clear" w:color="auto" w:fill="FFFFFF" w:themeFill="background1"/>
            <w:vAlign w:val="center"/>
          </w:tcPr>
          <w:p w14:paraId="79228881" w14:textId="77777777" w:rsidR="009E358D" w:rsidRPr="00925BCD" w:rsidRDefault="009E358D" w:rsidP="007E6EBF">
            <w:pPr>
              <w:jc w:val="right"/>
              <w:rPr>
                <w:rFonts w:ascii="Arial" w:hAnsi="Arial" w:cs="Arial"/>
                <w:b/>
                <w:color w:val="000000"/>
              </w:rPr>
            </w:pPr>
            <w:r w:rsidRPr="00925BCD">
              <w:rPr>
                <w:rFonts w:ascii="Arial" w:hAnsi="Arial" w:cs="Arial"/>
                <w:b/>
                <w:color w:val="000000"/>
              </w:rPr>
              <w:t>3 266</w:t>
            </w:r>
          </w:p>
        </w:tc>
        <w:tc>
          <w:tcPr>
            <w:tcW w:w="1145" w:type="dxa"/>
            <w:tcBorders>
              <w:bottom w:val="single" w:sz="4" w:space="0" w:color="000000"/>
              <w:right w:val="single" w:sz="4" w:space="0" w:color="000000"/>
            </w:tcBorders>
            <w:shd w:val="clear" w:color="auto" w:fill="FFFFFF" w:themeFill="background1"/>
            <w:vAlign w:val="center"/>
          </w:tcPr>
          <w:p w14:paraId="3CDBAFCE" w14:textId="77777777" w:rsidR="009E358D" w:rsidRPr="00925BCD" w:rsidRDefault="009E358D" w:rsidP="007E6EBF">
            <w:pPr>
              <w:jc w:val="right"/>
              <w:rPr>
                <w:rFonts w:ascii="Arial" w:hAnsi="Arial" w:cs="Arial"/>
                <w:b/>
                <w:color w:val="000000"/>
              </w:rPr>
            </w:pPr>
            <w:r w:rsidRPr="00925BCD">
              <w:rPr>
                <w:rFonts w:ascii="Arial" w:hAnsi="Arial" w:cs="Arial"/>
                <w:b/>
                <w:color w:val="000000"/>
              </w:rPr>
              <w:t>3 936</w:t>
            </w:r>
          </w:p>
        </w:tc>
        <w:tc>
          <w:tcPr>
            <w:tcW w:w="1145" w:type="dxa"/>
            <w:tcBorders>
              <w:bottom w:val="single" w:sz="4" w:space="0" w:color="000000"/>
              <w:right w:val="single" w:sz="4" w:space="0" w:color="000000"/>
            </w:tcBorders>
            <w:shd w:val="clear" w:color="auto" w:fill="FFFFFF" w:themeFill="background1"/>
            <w:vAlign w:val="center"/>
          </w:tcPr>
          <w:p w14:paraId="1F21D701" w14:textId="3FEAEF1E" w:rsidR="009E358D" w:rsidRPr="00925BCD" w:rsidRDefault="009E358D" w:rsidP="007E6EBF">
            <w:pPr>
              <w:jc w:val="right"/>
              <w:rPr>
                <w:rFonts w:ascii="Arial" w:hAnsi="Arial" w:cs="Arial"/>
                <w:b/>
                <w:color w:val="000000"/>
              </w:rPr>
            </w:pPr>
            <w:r>
              <w:rPr>
                <w:rFonts w:ascii="Arial" w:hAnsi="Arial" w:cs="Arial"/>
                <w:b/>
                <w:color w:val="000000"/>
              </w:rPr>
              <w:t>2 765</w:t>
            </w:r>
          </w:p>
        </w:tc>
        <w:tc>
          <w:tcPr>
            <w:tcW w:w="1145" w:type="dxa"/>
            <w:tcBorders>
              <w:bottom w:val="single" w:sz="4" w:space="0" w:color="000000"/>
              <w:right w:val="single" w:sz="4" w:space="0" w:color="000000"/>
            </w:tcBorders>
            <w:shd w:val="clear" w:color="auto" w:fill="FFFFFF" w:themeFill="background1"/>
          </w:tcPr>
          <w:p w14:paraId="3BB15E6C" w14:textId="7F65D0B5" w:rsidR="009E358D" w:rsidRDefault="00027EA4" w:rsidP="007E6EBF">
            <w:pPr>
              <w:jc w:val="right"/>
              <w:rPr>
                <w:rFonts w:ascii="Arial" w:hAnsi="Arial" w:cs="Arial"/>
                <w:b/>
                <w:color w:val="000000"/>
              </w:rPr>
            </w:pPr>
            <w:r>
              <w:rPr>
                <w:rFonts w:ascii="Arial" w:hAnsi="Arial" w:cs="Arial"/>
                <w:b/>
                <w:color w:val="000000"/>
              </w:rPr>
              <w:t>2 834</w:t>
            </w:r>
          </w:p>
        </w:tc>
      </w:tr>
      <w:tr w:rsidR="009E358D" w:rsidRPr="00925BCD" w14:paraId="64C0C5E9" w14:textId="479D076C" w:rsidTr="002A0142">
        <w:trPr>
          <w:trHeight w:val="267"/>
        </w:trPr>
        <w:tc>
          <w:tcPr>
            <w:tcW w:w="4483" w:type="dxa"/>
            <w:tcBorders>
              <w:left w:val="single" w:sz="4" w:space="0" w:color="000000"/>
              <w:bottom w:val="single" w:sz="4" w:space="0" w:color="000000"/>
              <w:right w:val="single" w:sz="4" w:space="0" w:color="000000"/>
            </w:tcBorders>
            <w:shd w:val="clear" w:color="auto" w:fill="auto"/>
            <w:vAlign w:val="center"/>
          </w:tcPr>
          <w:p w14:paraId="7EF71550" w14:textId="77777777" w:rsidR="009E358D" w:rsidRPr="00925BCD" w:rsidRDefault="009E358D" w:rsidP="00091B33">
            <w:pPr>
              <w:numPr>
                <w:ilvl w:val="0"/>
                <w:numId w:val="13"/>
              </w:numPr>
              <w:ind w:left="634" w:hanging="425"/>
              <w:contextualSpacing/>
              <w:rPr>
                <w:rFonts w:ascii="Arial" w:hAnsi="Arial" w:cs="Arial"/>
                <w:color w:val="000000"/>
              </w:rPr>
            </w:pPr>
            <w:r w:rsidRPr="00925BCD">
              <w:rPr>
                <w:rFonts w:ascii="Arial" w:hAnsi="Arial" w:cs="Arial"/>
                <w:color w:val="000000"/>
              </w:rPr>
              <w:t>podstawowych</w:t>
            </w:r>
          </w:p>
        </w:tc>
        <w:tc>
          <w:tcPr>
            <w:tcW w:w="1144" w:type="dxa"/>
            <w:tcBorders>
              <w:bottom w:val="single" w:sz="4" w:space="0" w:color="000000"/>
              <w:right w:val="single" w:sz="4" w:space="0" w:color="000000"/>
            </w:tcBorders>
            <w:vAlign w:val="center"/>
          </w:tcPr>
          <w:p w14:paraId="67F994D2" w14:textId="77777777" w:rsidR="009E358D" w:rsidRPr="00925BCD" w:rsidRDefault="009E358D" w:rsidP="007E6EBF">
            <w:pPr>
              <w:jc w:val="right"/>
              <w:rPr>
                <w:rFonts w:ascii="Arial" w:hAnsi="Arial" w:cs="Arial"/>
                <w:color w:val="000000"/>
              </w:rPr>
            </w:pPr>
            <w:r w:rsidRPr="00925BCD">
              <w:rPr>
                <w:rFonts w:ascii="Arial" w:hAnsi="Arial" w:cs="Arial"/>
                <w:color w:val="000000"/>
              </w:rPr>
              <w:t>922</w:t>
            </w:r>
          </w:p>
        </w:tc>
        <w:tc>
          <w:tcPr>
            <w:tcW w:w="1145" w:type="dxa"/>
            <w:tcBorders>
              <w:bottom w:val="single" w:sz="4" w:space="0" w:color="000000"/>
              <w:right w:val="single" w:sz="4" w:space="0" w:color="000000"/>
            </w:tcBorders>
            <w:vAlign w:val="center"/>
          </w:tcPr>
          <w:p w14:paraId="6CCF38BE" w14:textId="77777777" w:rsidR="009E358D" w:rsidRPr="00925BCD" w:rsidRDefault="009E358D" w:rsidP="007E6EBF">
            <w:pPr>
              <w:jc w:val="right"/>
              <w:rPr>
                <w:rFonts w:ascii="Arial" w:hAnsi="Arial" w:cs="Arial"/>
                <w:color w:val="000000"/>
              </w:rPr>
            </w:pPr>
            <w:r w:rsidRPr="00925BCD">
              <w:rPr>
                <w:rFonts w:ascii="Arial" w:hAnsi="Arial" w:cs="Arial"/>
                <w:color w:val="000000"/>
              </w:rPr>
              <w:t>930</w:t>
            </w:r>
          </w:p>
        </w:tc>
        <w:tc>
          <w:tcPr>
            <w:tcW w:w="1145" w:type="dxa"/>
            <w:tcBorders>
              <w:bottom w:val="single" w:sz="4" w:space="0" w:color="000000"/>
              <w:right w:val="single" w:sz="4" w:space="0" w:color="000000"/>
            </w:tcBorders>
            <w:vAlign w:val="center"/>
          </w:tcPr>
          <w:p w14:paraId="31993CE5" w14:textId="6DE1B532" w:rsidR="009E358D" w:rsidRPr="00925BCD" w:rsidRDefault="009E358D" w:rsidP="007E6EBF">
            <w:pPr>
              <w:jc w:val="right"/>
              <w:rPr>
                <w:rFonts w:ascii="Arial" w:hAnsi="Arial" w:cs="Arial"/>
                <w:color w:val="000000"/>
              </w:rPr>
            </w:pPr>
            <w:r>
              <w:rPr>
                <w:rFonts w:ascii="Arial" w:hAnsi="Arial" w:cs="Arial"/>
                <w:color w:val="000000"/>
              </w:rPr>
              <w:t>654</w:t>
            </w:r>
          </w:p>
        </w:tc>
        <w:tc>
          <w:tcPr>
            <w:tcW w:w="1145" w:type="dxa"/>
            <w:tcBorders>
              <w:bottom w:val="single" w:sz="4" w:space="0" w:color="000000"/>
              <w:right w:val="single" w:sz="4" w:space="0" w:color="000000"/>
            </w:tcBorders>
          </w:tcPr>
          <w:p w14:paraId="6E32A109" w14:textId="7A292D01" w:rsidR="009E358D" w:rsidRDefault="00027EA4" w:rsidP="007E6EBF">
            <w:pPr>
              <w:jc w:val="right"/>
              <w:rPr>
                <w:rFonts w:ascii="Arial" w:hAnsi="Arial" w:cs="Arial"/>
                <w:color w:val="000000"/>
              </w:rPr>
            </w:pPr>
            <w:r>
              <w:rPr>
                <w:rFonts w:ascii="Arial" w:hAnsi="Arial" w:cs="Arial"/>
                <w:color w:val="000000"/>
              </w:rPr>
              <w:t>832</w:t>
            </w:r>
          </w:p>
        </w:tc>
      </w:tr>
      <w:tr w:rsidR="009E358D" w:rsidRPr="00925BCD" w14:paraId="414E6C68" w14:textId="2B170AEC" w:rsidTr="002A0142">
        <w:trPr>
          <w:trHeight w:val="267"/>
        </w:trPr>
        <w:tc>
          <w:tcPr>
            <w:tcW w:w="4483" w:type="dxa"/>
            <w:tcBorders>
              <w:left w:val="single" w:sz="4" w:space="0" w:color="000000"/>
              <w:bottom w:val="single" w:sz="4" w:space="0" w:color="000000"/>
              <w:right w:val="single" w:sz="4" w:space="0" w:color="000000"/>
            </w:tcBorders>
            <w:shd w:val="clear" w:color="auto" w:fill="auto"/>
            <w:vAlign w:val="center"/>
          </w:tcPr>
          <w:p w14:paraId="52756345" w14:textId="77777777" w:rsidR="009E358D" w:rsidRPr="00925BCD" w:rsidRDefault="009E358D" w:rsidP="00091B33">
            <w:pPr>
              <w:numPr>
                <w:ilvl w:val="0"/>
                <w:numId w:val="13"/>
              </w:numPr>
              <w:ind w:left="634" w:hanging="425"/>
              <w:contextualSpacing/>
              <w:rPr>
                <w:rFonts w:ascii="Arial" w:hAnsi="Arial" w:cs="Arial"/>
                <w:color w:val="000000"/>
              </w:rPr>
            </w:pPr>
            <w:r w:rsidRPr="00925BCD">
              <w:rPr>
                <w:rFonts w:ascii="Arial" w:hAnsi="Arial" w:cs="Arial"/>
                <w:color w:val="000000"/>
              </w:rPr>
              <w:t>uzupełniających</w:t>
            </w:r>
          </w:p>
        </w:tc>
        <w:tc>
          <w:tcPr>
            <w:tcW w:w="1144" w:type="dxa"/>
            <w:tcBorders>
              <w:bottom w:val="single" w:sz="4" w:space="0" w:color="000000"/>
              <w:right w:val="single" w:sz="4" w:space="0" w:color="000000"/>
            </w:tcBorders>
            <w:vAlign w:val="center"/>
          </w:tcPr>
          <w:p w14:paraId="7C6E2FEB" w14:textId="77777777" w:rsidR="009E358D" w:rsidRPr="00925BCD" w:rsidRDefault="009E358D" w:rsidP="007E6EBF">
            <w:pPr>
              <w:jc w:val="right"/>
              <w:rPr>
                <w:rFonts w:ascii="Arial" w:hAnsi="Arial" w:cs="Arial"/>
                <w:color w:val="000000"/>
              </w:rPr>
            </w:pPr>
            <w:r w:rsidRPr="00925BCD">
              <w:rPr>
                <w:rFonts w:ascii="Arial" w:hAnsi="Arial" w:cs="Arial"/>
                <w:color w:val="000000"/>
              </w:rPr>
              <w:t>2 344</w:t>
            </w:r>
          </w:p>
        </w:tc>
        <w:tc>
          <w:tcPr>
            <w:tcW w:w="1145" w:type="dxa"/>
            <w:tcBorders>
              <w:bottom w:val="single" w:sz="4" w:space="0" w:color="000000"/>
              <w:right w:val="single" w:sz="4" w:space="0" w:color="000000"/>
            </w:tcBorders>
            <w:vAlign w:val="center"/>
          </w:tcPr>
          <w:p w14:paraId="2A31531E" w14:textId="77777777" w:rsidR="009E358D" w:rsidRPr="00925BCD" w:rsidRDefault="009E358D" w:rsidP="007E6EBF">
            <w:pPr>
              <w:jc w:val="right"/>
              <w:rPr>
                <w:rFonts w:ascii="Arial" w:hAnsi="Arial" w:cs="Arial"/>
                <w:color w:val="000000"/>
              </w:rPr>
            </w:pPr>
            <w:r w:rsidRPr="00925BCD">
              <w:rPr>
                <w:rFonts w:ascii="Arial" w:hAnsi="Arial" w:cs="Arial"/>
                <w:color w:val="000000"/>
              </w:rPr>
              <w:t>3 006</w:t>
            </w:r>
          </w:p>
        </w:tc>
        <w:tc>
          <w:tcPr>
            <w:tcW w:w="1145" w:type="dxa"/>
            <w:tcBorders>
              <w:bottom w:val="single" w:sz="4" w:space="0" w:color="000000"/>
              <w:right w:val="single" w:sz="4" w:space="0" w:color="000000"/>
            </w:tcBorders>
            <w:vAlign w:val="center"/>
          </w:tcPr>
          <w:p w14:paraId="4EA26872" w14:textId="06F122F9" w:rsidR="009E358D" w:rsidRPr="00925BCD" w:rsidRDefault="009E358D" w:rsidP="007E6EBF">
            <w:pPr>
              <w:jc w:val="right"/>
              <w:rPr>
                <w:rFonts w:ascii="Arial" w:hAnsi="Arial" w:cs="Arial"/>
                <w:color w:val="000000"/>
              </w:rPr>
            </w:pPr>
            <w:r>
              <w:rPr>
                <w:rFonts w:ascii="Arial" w:hAnsi="Arial" w:cs="Arial"/>
                <w:color w:val="000000"/>
              </w:rPr>
              <w:t>2 111</w:t>
            </w:r>
          </w:p>
        </w:tc>
        <w:tc>
          <w:tcPr>
            <w:tcW w:w="1145" w:type="dxa"/>
            <w:tcBorders>
              <w:bottom w:val="single" w:sz="4" w:space="0" w:color="000000"/>
              <w:right w:val="single" w:sz="4" w:space="0" w:color="000000"/>
            </w:tcBorders>
          </w:tcPr>
          <w:p w14:paraId="2E0ACBF0" w14:textId="6C4AAAEA" w:rsidR="009E358D" w:rsidRDefault="00027EA4" w:rsidP="007E6EBF">
            <w:pPr>
              <w:jc w:val="right"/>
              <w:rPr>
                <w:rFonts w:ascii="Arial" w:hAnsi="Arial" w:cs="Arial"/>
                <w:color w:val="000000"/>
              </w:rPr>
            </w:pPr>
            <w:r>
              <w:rPr>
                <w:rFonts w:ascii="Arial" w:hAnsi="Arial" w:cs="Arial"/>
                <w:color w:val="000000"/>
              </w:rPr>
              <w:t>2 002</w:t>
            </w:r>
          </w:p>
        </w:tc>
      </w:tr>
      <w:tr w:rsidR="009E358D" w:rsidRPr="00925BCD" w14:paraId="66D975BE" w14:textId="16464EA5" w:rsidTr="002A0142">
        <w:trPr>
          <w:trHeight w:val="267"/>
        </w:trPr>
        <w:tc>
          <w:tcPr>
            <w:tcW w:w="4483" w:type="dxa"/>
            <w:tcBorders>
              <w:left w:val="single" w:sz="4" w:space="0" w:color="000000"/>
              <w:bottom w:val="single" w:sz="4" w:space="0" w:color="000000"/>
              <w:right w:val="single" w:sz="4" w:space="0" w:color="000000"/>
            </w:tcBorders>
            <w:shd w:val="clear" w:color="auto" w:fill="CCFFCC"/>
            <w:vAlign w:val="center"/>
          </w:tcPr>
          <w:p w14:paraId="78A1A8B2" w14:textId="77777777" w:rsidR="009E358D" w:rsidRPr="00925BCD" w:rsidRDefault="009E358D" w:rsidP="00091B33">
            <w:pPr>
              <w:rPr>
                <w:rFonts w:ascii="Arial" w:hAnsi="Arial" w:cs="Arial"/>
                <w:b/>
                <w:color w:val="000000"/>
              </w:rPr>
            </w:pPr>
            <w:r w:rsidRPr="00925BCD">
              <w:rPr>
                <w:rFonts w:ascii="Arial" w:hAnsi="Arial" w:cs="Arial"/>
                <w:b/>
                <w:color w:val="000000"/>
              </w:rPr>
              <w:t>Liczba przeszkolonych osób</w:t>
            </w:r>
          </w:p>
        </w:tc>
        <w:tc>
          <w:tcPr>
            <w:tcW w:w="1144" w:type="dxa"/>
            <w:tcBorders>
              <w:bottom w:val="single" w:sz="4" w:space="0" w:color="000000"/>
              <w:right w:val="single" w:sz="4" w:space="0" w:color="000000"/>
            </w:tcBorders>
            <w:shd w:val="clear" w:color="auto" w:fill="CCFFCC"/>
            <w:vAlign w:val="center"/>
          </w:tcPr>
          <w:p w14:paraId="6CD1A97A" w14:textId="77777777" w:rsidR="009E358D" w:rsidRPr="00925BCD" w:rsidRDefault="009E358D" w:rsidP="007E6EBF">
            <w:pPr>
              <w:jc w:val="right"/>
              <w:rPr>
                <w:rFonts w:ascii="Arial" w:hAnsi="Arial" w:cs="Arial"/>
                <w:b/>
                <w:color w:val="000000"/>
              </w:rPr>
            </w:pPr>
            <w:r w:rsidRPr="00925BCD">
              <w:rPr>
                <w:rFonts w:ascii="Arial" w:hAnsi="Arial" w:cs="Arial"/>
                <w:b/>
                <w:color w:val="000000"/>
              </w:rPr>
              <w:t>76 723</w:t>
            </w:r>
          </w:p>
        </w:tc>
        <w:tc>
          <w:tcPr>
            <w:tcW w:w="1145" w:type="dxa"/>
            <w:tcBorders>
              <w:bottom w:val="single" w:sz="4" w:space="0" w:color="000000"/>
              <w:right w:val="single" w:sz="4" w:space="0" w:color="000000"/>
            </w:tcBorders>
            <w:shd w:val="clear" w:color="auto" w:fill="CCFFCC"/>
            <w:vAlign w:val="center"/>
          </w:tcPr>
          <w:p w14:paraId="425F8E0E" w14:textId="77777777" w:rsidR="009E358D" w:rsidRPr="00925BCD" w:rsidRDefault="009E358D" w:rsidP="007E6EBF">
            <w:pPr>
              <w:jc w:val="right"/>
              <w:rPr>
                <w:rFonts w:ascii="Arial" w:hAnsi="Arial" w:cs="Arial"/>
                <w:b/>
                <w:color w:val="000000"/>
              </w:rPr>
            </w:pPr>
            <w:r w:rsidRPr="00925BCD">
              <w:rPr>
                <w:rFonts w:ascii="Arial" w:hAnsi="Arial" w:cs="Arial"/>
                <w:b/>
                <w:color w:val="000000"/>
              </w:rPr>
              <w:t>93 905</w:t>
            </w:r>
          </w:p>
        </w:tc>
        <w:tc>
          <w:tcPr>
            <w:tcW w:w="1145" w:type="dxa"/>
            <w:tcBorders>
              <w:bottom w:val="single" w:sz="4" w:space="0" w:color="000000"/>
              <w:right w:val="single" w:sz="4" w:space="0" w:color="000000"/>
            </w:tcBorders>
            <w:shd w:val="clear" w:color="auto" w:fill="CCFFCC"/>
            <w:vAlign w:val="center"/>
          </w:tcPr>
          <w:p w14:paraId="225A4EAF" w14:textId="6BD75BD5" w:rsidR="009E358D" w:rsidRPr="00925BCD" w:rsidRDefault="009E358D" w:rsidP="007E6EBF">
            <w:pPr>
              <w:jc w:val="right"/>
              <w:rPr>
                <w:rFonts w:ascii="Arial" w:hAnsi="Arial" w:cs="Arial"/>
                <w:b/>
                <w:color w:val="000000"/>
              </w:rPr>
            </w:pPr>
            <w:r>
              <w:rPr>
                <w:rFonts w:ascii="Arial" w:hAnsi="Arial" w:cs="Arial"/>
                <w:b/>
                <w:color w:val="000000"/>
              </w:rPr>
              <w:t>62 675</w:t>
            </w:r>
          </w:p>
        </w:tc>
        <w:tc>
          <w:tcPr>
            <w:tcW w:w="1145" w:type="dxa"/>
            <w:tcBorders>
              <w:bottom w:val="single" w:sz="4" w:space="0" w:color="000000"/>
              <w:right w:val="single" w:sz="4" w:space="0" w:color="000000"/>
            </w:tcBorders>
            <w:shd w:val="clear" w:color="auto" w:fill="CCFFCC"/>
          </w:tcPr>
          <w:p w14:paraId="2243D76D" w14:textId="12B3E919" w:rsidR="009E358D" w:rsidRDefault="00027EA4" w:rsidP="007E6EBF">
            <w:pPr>
              <w:jc w:val="right"/>
              <w:rPr>
                <w:rFonts w:ascii="Arial" w:hAnsi="Arial" w:cs="Arial"/>
                <w:b/>
                <w:color w:val="000000"/>
              </w:rPr>
            </w:pPr>
            <w:r>
              <w:rPr>
                <w:rFonts w:ascii="Arial" w:hAnsi="Arial" w:cs="Arial"/>
                <w:b/>
                <w:color w:val="000000"/>
              </w:rPr>
              <w:t>53 996</w:t>
            </w:r>
          </w:p>
        </w:tc>
      </w:tr>
    </w:tbl>
    <w:p w14:paraId="60B5AFB8" w14:textId="783A33C2" w:rsidR="00CD011C" w:rsidRDefault="00CD011C" w:rsidP="00617E50">
      <w:pPr>
        <w:jc w:val="both"/>
        <w:rPr>
          <w:rFonts w:ascii="Arial" w:hAnsi="Arial" w:cs="Arial"/>
          <w:b/>
          <w:bCs/>
          <w:szCs w:val="18"/>
        </w:rPr>
      </w:pPr>
    </w:p>
    <w:p w14:paraId="6BE09F25" w14:textId="77777777" w:rsidR="00CD011C" w:rsidRDefault="00CD011C">
      <w:pPr>
        <w:spacing w:after="0" w:line="240" w:lineRule="auto"/>
        <w:rPr>
          <w:rFonts w:ascii="Arial" w:hAnsi="Arial" w:cs="Arial"/>
          <w:b/>
          <w:bCs/>
          <w:szCs w:val="18"/>
        </w:rPr>
      </w:pPr>
      <w:r>
        <w:rPr>
          <w:rFonts w:ascii="Arial" w:hAnsi="Arial" w:cs="Arial"/>
          <w:b/>
          <w:bCs/>
          <w:szCs w:val="18"/>
        </w:rPr>
        <w:br w:type="page"/>
      </w:r>
    </w:p>
    <w:p w14:paraId="5F4514C2" w14:textId="77777777" w:rsidR="00BE6ED0" w:rsidRDefault="00BE6ED0" w:rsidP="00617E50">
      <w:pPr>
        <w:jc w:val="both"/>
        <w:rPr>
          <w:rFonts w:ascii="Arial" w:hAnsi="Arial" w:cs="Arial"/>
          <w:b/>
          <w:bCs/>
          <w:szCs w:val="18"/>
        </w:rPr>
      </w:pPr>
    </w:p>
    <w:p w14:paraId="13664611" w14:textId="6A76C47E" w:rsidR="00617E50" w:rsidRPr="00925BCD" w:rsidRDefault="00617E50" w:rsidP="00617E50">
      <w:pPr>
        <w:jc w:val="both"/>
        <w:rPr>
          <w:rFonts w:ascii="Arial" w:hAnsi="Arial" w:cs="Arial"/>
          <w:b/>
          <w:bCs/>
          <w:szCs w:val="18"/>
        </w:rPr>
      </w:pPr>
      <w:r w:rsidRPr="00925BCD">
        <w:rPr>
          <w:rFonts w:ascii="Arial" w:hAnsi="Arial" w:cs="Arial"/>
          <w:b/>
          <w:bCs/>
          <w:szCs w:val="18"/>
        </w:rPr>
        <w:t>Wykres 1. Liczba osób przeszkolonych w latach 2009–20</w:t>
      </w:r>
      <w:r w:rsidR="00A358AF">
        <w:rPr>
          <w:rFonts w:ascii="Arial" w:hAnsi="Arial" w:cs="Arial"/>
          <w:b/>
          <w:bCs/>
          <w:szCs w:val="18"/>
        </w:rPr>
        <w:t>2</w:t>
      </w:r>
      <w:r w:rsidR="005E0D5F">
        <w:rPr>
          <w:rFonts w:ascii="Arial" w:hAnsi="Arial" w:cs="Arial"/>
          <w:b/>
          <w:bCs/>
          <w:szCs w:val="18"/>
        </w:rPr>
        <w:t>1</w:t>
      </w:r>
    </w:p>
    <w:p w14:paraId="559AAC60" w14:textId="77777777" w:rsidR="00E54725" w:rsidRPr="00925BCD" w:rsidRDefault="00E54725">
      <w:pPr>
        <w:jc w:val="both"/>
        <w:rPr>
          <w:rFonts w:ascii="Arial" w:hAnsi="Arial" w:cs="Arial"/>
          <w:b/>
          <w:bCs/>
          <w:szCs w:val="18"/>
        </w:rPr>
      </w:pPr>
      <w:r w:rsidRPr="00925BCD">
        <w:rPr>
          <w:noProof/>
          <w:lang w:eastAsia="pl-PL"/>
        </w:rPr>
        <w:drawing>
          <wp:inline distT="0" distB="0" distL="0" distR="0" wp14:anchorId="0B035216" wp14:editId="58E57F40">
            <wp:extent cx="5791200" cy="2171700"/>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D3D38A" w14:textId="77777777" w:rsidR="00056846" w:rsidRPr="00925BCD" w:rsidRDefault="00E54725">
      <w:pPr>
        <w:pStyle w:val="Nagwek1"/>
        <w:numPr>
          <w:ilvl w:val="1"/>
          <w:numId w:val="9"/>
        </w:numPr>
        <w:tabs>
          <w:tab w:val="left" w:pos="284"/>
          <w:tab w:val="left" w:pos="2552"/>
        </w:tabs>
        <w:spacing w:before="0" w:after="120" w:line="360" w:lineRule="auto"/>
        <w:ind w:left="426" w:hanging="426"/>
        <w:jc w:val="both"/>
        <w:rPr>
          <w:i w:val="0"/>
          <w:sz w:val="22"/>
          <w:szCs w:val="22"/>
        </w:rPr>
      </w:pPr>
      <w:bookmarkStart w:id="4" w:name="_Toc134099244"/>
      <w:r w:rsidRPr="00925BCD">
        <w:rPr>
          <w:i w:val="0"/>
          <w:sz w:val="22"/>
          <w:szCs w:val="22"/>
        </w:rPr>
        <w:t>Mierniki służące monitorowaniu</w:t>
      </w:r>
      <w:bookmarkEnd w:id="4"/>
    </w:p>
    <w:p w14:paraId="3E6727DB"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jest oceniana na podstawie poziomu nieprawidłowości dotyczących realizacji obowiązku ukończenia szkolenia przez osoby stosujące środki ochrony roślin. W 2022 r. poziom nieprawidłowości w tym zakresie, stwierdzanych w ramach kontroli planowanej przeprowadzanej przez Państwową Inspekcję Ochrony Roślin i Nasiennictwa, powinien wynosić poniżej 1%. </w:t>
      </w:r>
    </w:p>
    <w:p w14:paraId="1670C46B" w14:textId="109FDB1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 nieprawidłowości dotyczących realizacji obowiązku ukończenia szkolenia przez osoby stosujące środki ochrony roślin wyniósł 1,59%</w:t>
      </w:r>
      <w:r w:rsidR="00370932" w:rsidRPr="00925BCD">
        <w:rPr>
          <w:rFonts w:ascii="Arial" w:hAnsi="Arial" w:cs="Arial"/>
        </w:rPr>
        <w:t>, w 2019 r.</w:t>
      </w:r>
      <w:r w:rsidR="008510AB" w:rsidRPr="00925BCD">
        <w:rPr>
          <w:rFonts w:ascii="Arial" w:hAnsi="Arial" w:cs="Arial"/>
        </w:rPr>
        <w:t xml:space="preserve"> wyniósł 2,38</w:t>
      </w:r>
      <w:r w:rsidR="008510AB" w:rsidRPr="00B943DC">
        <w:rPr>
          <w:rFonts w:ascii="Arial" w:hAnsi="Arial" w:cs="Arial"/>
        </w:rPr>
        <w:t>%</w:t>
      </w:r>
      <w:r w:rsidR="00D041C0">
        <w:rPr>
          <w:rFonts w:ascii="Arial" w:hAnsi="Arial" w:cs="Arial"/>
        </w:rPr>
        <w:t>.</w:t>
      </w:r>
      <w:r w:rsidR="006A49D8" w:rsidRPr="00B943DC">
        <w:rPr>
          <w:rFonts w:ascii="Arial" w:hAnsi="Arial" w:cs="Arial"/>
        </w:rPr>
        <w:t xml:space="preserve"> </w:t>
      </w:r>
      <w:r w:rsidR="00D041C0">
        <w:rPr>
          <w:rFonts w:ascii="Arial" w:hAnsi="Arial" w:cs="Arial"/>
        </w:rPr>
        <w:t>W</w:t>
      </w:r>
      <w:r w:rsidR="006A49D8" w:rsidRPr="00B943DC">
        <w:rPr>
          <w:rFonts w:ascii="Arial" w:hAnsi="Arial" w:cs="Arial"/>
        </w:rPr>
        <w:t xml:space="preserve"> 2020</w:t>
      </w:r>
      <w:r w:rsidR="00FB6559">
        <w:rPr>
          <w:rFonts w:ascii="Arial" w:hAnsi="Arial" w:cs="Arial"/>
        </w:rPr>
        <w:t> </w:t>
      </w:r>
      <w:r w:rsidR="006A49D8" w:rsidRPr="00B943DC">
        <w:rPr>
          <w:rFonts w:ascii="Arial" w:hAnsi="Arial" w:cs="Arial"/>
        </w:rPr>
        <w:t>r</w:t>
      </w:r>
      <w:r w:rsidR="00B943DC" w:rsidRPr="00B943DC">
        <w:rPr>
          <w:rFonts w:ascii="Arial" w:hAnsi="Arial" w:cs="Arial"/>
        </w:rPr>
        <w:t xml:space="preserve">. </w:t>
      </w:r>
      <w:r w:rsidR="00084BE8">
        <w:rPr>
          <w:rFonts w:ascii="Arial" w:hAnsi="Arial" w:cs="Arial"/>
        </w:rPr>
        <w:t>i 2021</w:t>
      </w:r>
      <w:r w:rsidR="00FB6559">
        <w:rPr>
          <w:rFonts w:ascii="Arial" w:hAnsi="Arial" w:cs="Arial"/>
        </w:rPr>
        <w:t> </w:t>
      </w:r>
      <w:r w:rsidR="000016AE">
        <w:rPr>
          <w:rFonts w:ascii="Arial" w:hAnsi="Arial" w:cs="Arial"/>
        </w:rPr>
        <w:t xml:space="preserve">r. </w:t>
      </w:r>
      <w:r w:rsidR="00D041C0">
        <w:rPr>
          <w:rFonts w:ascii="Arial" w:hAnsi="Arial" w:cs="Arial"/>
        </w:rPr>
        <w:t xml:space="preserve">odsetek osób nieprzeszkolonych </w:t>
      </w:r>
      <w:r w:rsidR="00645E54">
        <w:rPr>
          <w:rFonts w:ascii="Arial" w:hAnsi="Arial" w:cs="Arial"/>
        </w:rPr>
        <w:t xml:space="preserve">wyniósł </w:t>
      </w:r>
      <w:r w:rsidR="00B943DC" w:rsidRPr="00B943DC">
        <w:rPr>
          <w:rFonts w:ascii="Arial" w:hAnsi="Arial" w:cs="Arial"/>
        </w:rPr>
        <w:t>1,25%</w:t>
      </w:r>
      <w:r w:rsidR="000016AE">
        <w:rPr>
          <w:rFonts w:ascii="Arial" w:hAnsi="Arial" w:cs="Arial"/>
        </w:rPr>
        <w:t xml:space="preserve"> i 0,47%</w:t>
      </w:r>
      <w:r w:rsidR="00D041C0">
        <w:rPr>
          <w:rFonts w:ascii="Arial" w:hAnsi="Arial" w:cs="Arial"/>
        </w:rPr>
        <w:t xml:space="preserve">, przy czym z racji sytuacji pandemicznej nie traktowano tego jako </w:t>
      </w:r>
      <w:r w:rsidR="00D041C0" w:rsidRPr="00E22F85">
        <w:rPr>
          <w:rFonts w:ascii="Arial" w:hAnsi="Arial" w:cs="Arial"/>
        </w:rPr>
        <w:t>nieprawidłowości</w:t>
      </w:r>
      <w:r w:rsidR="00B943DC" w:rsidRPr="00E22F85">
        <w:rPr>
          <w:rFonts w:ascii="Arial" w:hAnsi="Arial" w:cs="Arial"/>
        </w:rPr>
        <w:t>.</w:t>
      </w:r>
    </w:p>
    <w:p w14:paraId="7F2BF7C3" w14:textId="77777777" w:rsidR="00056846" w:rsidRPr="00925BCD" w:rsidRDefault="00E54725">
      <w:pPr>
        <w:pStyle w:val="Nagwek1"/>
        <w:numPr>
          <w:ilvl w:val="0"/>
          <w:numId w:val="9"/>
        </w:numPr>
        <w:jc w:val="both"/>
        <w:rPr>
          <w:i w:val="0"/>
          <w:sz w:val="22"/>
          <w:szCs w:val="22"/>
        </w:rPr>
      </w:pPr>
      <w:bookmarkStart w:id="5" w:name="_Toc134099245"/>
      <w:r w:rsidRPr="00925BCD">
        <w:rPr>
          <w:i w:val="0"/>
          <w:sz w:val="22"/>
          <w:szCs w:val="22"/>
        </w:rPr>
        <w:t>Działanie 2. Ograniczanie ryzyka związanego ze zbywaniem środków ochrony roślin</w:t>
      </w:r>
      <w:bookmarkEnd w:id="5"/>
    </w:p>
    <w:p w14:paraId="54CCEB33"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Określone zagrożenia wiążą się nie tylko ze stosowaniem środków ochrony roślin, ale i z obrotem tymi środkami. W związku z powyższym konieczne było objęcie także tego obszaru zakresem krajowego planu działania. Działanie to służy osiągnięciu celów określonych w art. 6 dyrektywy 2009/128/WE.</w:t>
      </w:r>
    </w:p>
    <w:p w14:paraId="5467EB01" w14:textId="433E5A82" w:rsidR="00056846"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przepisami art. 25 ust. 1 ustawy z dnia 8 marca 2013 r. o środkach ochrony roślin, podmioty zajmujące się wprowadzaniem do obrotu oraz konfekcjonowaniem środków ochrony roślin podlegają obowiązkowi uzyskania wpisu do rejestru działalności regulowanej. Zapewnia to możliwość sprawowania przez Państwową Inspekcję Ochrony Roślin i Nasiennictwa skutecznego nadzoru nad tymi podmiotami. </w:t>
      </w:r>
    </w:p>
    <w:p w14:paraId="31AF5949"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Jednocześnie, przepisy art. 31 ww. ustawy zabraniają:</w:t>
      </w:r>
    </w:p>
    <w:p w14:paraId="2F0109C8" w14:textId="77777777" w:rsidR="00056846" w:rsidRPr="006A49D8" w:rsidRDefault="00E54725" w:rsidP="00804D7A">
      <w:pPr>
        <w:tabs>
          <w:tab w:val="center" w:pos="4536"/>
          <w:tab w:val="right" w:pos="9072"/>
        </w:tabs>
        <w:spacing w:after="120" w:line="360" w:lineRule="auto"/>
        <w:ind w:left="709" w:hanging="425"/>
        <w:jc w:val="both"/>
        <w:rPr>
          <w:rFonts w:ascii="Arial" w:hAnsi="Arial" w:cs="Arial"/>
          <w:sz w:val="20"/>
          <w:szCs w:val="20"/>
        </w:rPr>
      </w:pPr>
      <w:r w:rsidRPr="00925BCD">
        <w:rPr>
          <w:rFonts w:ascii="Arial" w:hAnsi="Arial" w:cs="Arial"/>
        </w:rPr>
        <w:t>1)</w:t>
      </w:r>
      <w:r w:rsidRPr="00925BCD">
        <w:rPr>
          <w:rFonts w:ascii="Arial" w:hAnsi="Arial" w:cs="Arial"/>
        </w:rPr>
        <w:tab/>
      </w:r>
      <w:r w:rsidRPr="006A49D8">
        <w:rPr>
          <w:rFonts w:ascii="Arial" w:hAnsi="Arial" w:cs="Arial"/>
          <w:sz w:val="20"/>
          <w:szCs w:val="20"/>
        </w:rPr>
        <w:t>zbywania środka ochrony roślin oraz składania oferty zbycia takiego środka:</w:t>
      </w:r>
    </w:p>
    <w:p w14:paraId="55E10357"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osobie, której zachowanie wskazuje, że znajduje się w stanie nietrzeźwości, lub osobie niepełnoletniej,</w:t>
      </w:r>
    </w:p>
    <w:p w14:paraId="3449F799"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lastRenderedPageBreak/>
        <w:t>w opakowaniu zastępczym,</w:t>
      </w:r>
    </w:p>
    <w:p w14:paraId="14AC7E01"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w pomieszczeniu, w którym jest prowadzona sprzedaż żywności lub pasz, chyba że w przypadku środka ochrony roślin przeznaczonego dla użytkownika nieprofesjonalnego środek ten jest przechowywany pod zamknięciem w sposób zapewniający brak jego kontaktu z żywnością lub paszą,</w:t>
      </w:r>
    </w:p>
    <w:p w14:paraId="386AA28A"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przy zastosowaniu automatu, samoobsługi lub sprzedaży dokonywanej poza punktem stałej lokalizacji (sprzedaż obwoźna i obnośna na targowiskach w rozumieniu przepisów o podatkach i opłatach lokalnych),</w:t>
      </w:r>
    </w:p>
    <w:p w14:paraId="6DEA481E"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po upływie terminu jego ważności;</w:t>
      </w:r>
    </w:p>
    <w:p w14:paraId="4FDDABBF" w14:textId="77777777" w:rsidR="00056846" w:rsidRPr="006A49D8" w:rsidRDefault="00E54725" w:rsidP="00804D7A">
      <w:pPr>
        <w:tabs>
          <w:tab w:val="center" w:pos="4536"/>
          <w:tab w:val="right" w:pos="9072"/>
        </w:tabs>
        <w:spacing w:after="120" w:line="360" w:lineRule="auto"/>
        <w:ind w:left="709" w:hanging="425"/>
        <w:jc w:val="both"/>
        <w:rPr>
          <w:rFonts w:ascii="Arial" w:hAnsi="Arial" w:cs="Arial"/>
          <w:sz w:val="20"/>
          <w:szCs w:val="20"/>
        </w:rPr>
      </w:pPr>
      <w:r w:rsidRPr="00925BCD">
        <w:rPr>
          <w:rFonts w:ascii="Arial" w:hAnsi="Arial" w:cs="Arial"/>
        </w:rPr>
        <w:t>2)</w:t>
      </w:r>
      <w:r w:rsidRPr="00925BCD">
        <w:rPr>
          <w:rFonts w:ascii="Arial" w:hAnsi="Arial" w:cs="Arial"/>
        </w:rPr>
        <w:tab/>
      </w:r>
      <w:r w:rsidRPr="006A49D8">
        <w:rPr>
          <w:rFonts w:ascii="Arial" w:hAnsi="Arial" w:cs="Arial"/>
          <w:sz w:val="20"/>
          <w:szCs w:val="20"/>
        </w:rPr>
        <w:t>podawania informacji niezgodnych z wymaganiami zawartymi w etykiecie środka ochrony roślin, w tym w trakcie ich sprzedaży.</w:t>
      </w:r>
    </w:p>
    <w:p w14:paraId="06129A2E"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Przepisy ustawy z dnia 8 marca 2013 r. o środkach ochrony roślin nakładają także na dystrybutorów środków ochrony roślin opisany wcześniej obowiązek ukończenia odpowiedniego szkolenia (dla doradców) przez osoby, które dokonują zbycia środków ochrony roślin ostatecznemu nabywcy (wymóg ten nie dotyczy </w:t>
      </w:r>
      <w:proofErr w:type="spellStart"/>
      <w:r w:rsidRPr="00925BCD">
        <w:rPr>
          <w:rFonts w:ascii="Arial" w:hAnsi="Arial" w:cs="Arial"/>
        </w:rPr>
        <w:t>mikroprzedsiębiorców</w:t>
      </w:r>
      <w:proofErr w:type="spellEnd"/>
      <w:r w:rsidRPr="00925BCD">
        <w:rPr>
          <w:rFonts w:ascii="Arial" w:hAnsi="Arial" w:cs="Arial"/>
        </w:rPr>
        <w:t xml:space="preserve">, dokonujących sprzedaży wyłącznie preparatów charakteryzujących się niskim ryzykiem, przeznaczonych dla użytkowników nieprofesjonalnych), a także udzielania nabywcom środków ochrony roślin informacji o stwarzanych przez nie zagrożeniach oraz sposobach ich unikania (art. 25 ww. ustawy). Osoby dokonujące zbycia środków ochrony roślin są bowiem często głównym źródłem wiedzy o tych środkach dla osób wykonujących zabiegi. </w:t>
      </w:r>
    </w:p>
    <w:p w14:paraId="766E32A9" w14:textId="3A00BFF1" w:rsidR="00CD011C"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Działania mające na celu ograniczanie ryzyka związanego ze sprzedażą środków ochrony roślin realizowane w ramach krajowego planu działania w </w:t>
      </w:r>
      <w:r w:rsidR="00D308C4">
        <w:rPr>
          <w:rFonts w:ascii="Arial" w:hAnsi="Arial" w:cs="Arial"/>
        </w:rPr>
        <w:t xml:space="preserve">latach </w:t>
      </w:r>
      <w:r w:rsidRPr="00925BCD">
        <w:rPr>
          <w:rFonts w:ascii="Arial" w:hAnsi="Arial" w:cs="Arial"/>
        </w:rPr>
        <w:t>2018</w:t>
      </w:r>
      <w:bookmarkStart w:id="6" w:name="_Hlk92798270"/>
      <w:r w:rsidR="00D308C4" w:rsidRPr="00772A61">
        <w:rPr>
          <w:rFonts w:ascii="Arial" w:hAnsi="Arial" w:cs="Arial"/>
        </w:rPr>
        <w:t>–</w:t>
      </w:r>
      <w:bookmarkEnd w:id="6"/>
      <w:r w:rsidR="00D308C4">
        <w:rPr>
          <w:rFonts w:ascii="Arial" w:hAnsi="Arial" w:cs="Arial"/>
        </w:rPr>
        <w:t>202</w:t>
      </w:r>
      <w:r w:rsidR="00AD7E59">
        <w:rPr>
          <w:rFonts w:ascii="Arial" w:hAnsi="Arial" w:cs="Arial"/>
        </w:rPr>
        <w:t>1</w:t>
      </w:r>
      <w:r w:rsidR="00804D7A" w:rsidRPr="00925BCD">
        <w:rPr>
          <w:rFonts w:ascii="Arial" w:hAnsi="Arial" w:cs="Arial"/>
        </w:rPr>
        <w:t xml:space="preserve"> </w:t>
      </w:r>
      <w:r w:rsidRPr="00925BCD">
        <w:rPr>
          <w:rFonts w:ascii="Arial" w:hAnsi="Arial" w:cs="Arial"/>
        </w:rPr>
        <w:t>koncentrowały się na eliminowaniu przypadków sprzedaży tych środków osobom nieuprawnionym oraz dystrybucji środków podrobionych lub niedopuszczonych do stosowania. Zgodnie z ewidencją prowadzoną przez Państwową Inspekcję Ochrony Roślin i Nasiennictwa, obrót środk</w:t>
      </w:r>
      <w:r w:rsidR="00C91801" w:rsidRPr="00925BCD">
        <w:rPr>
          <w:rFonts w:ascii="Arial" w:hAnsi="Arial" w:cs="Arial"/>
        </w:rPr>
        <w:t>ami</w:t>
      </w:r>
      <w:r w:rsidRPr="00925BCD">
        <w:rPr>
          <w:rFonts w:ascii="Arial" w:hAnsi="Arial" w:cs="Arial"/>
        </w:rPr>
        <w:t xml:space="preserve"> ochrony roślin prowadzony był </w:t>
      </w:r>
      <w:r w:rsidR="00723954" w:rsidRPr="00925BCD">
        <w:rPr>
          <w:rFonts w:ascii="Arial" w:hAnsi="Arial" w:cs="Arial"/>
        </w:rPr>
        <w:t>w</w:t>
      </w:r>
      <w:r w:rsidR="00723954">
        <w:rPr>
          <w:rFonts w:ascii="Arial" w:hAnsi="Arial" w:cs="Arial"/>
        </w:rPr>
        <w:t> </w:t>
      </w:r>
      <w:r w:rsidR="00025BD5">
        <w:rPr>
          <w:rFonts w:ascii="Arial" w:hAnsi="Arial" w:cs="Arial"/>
        </w:rPr>
        <w:t xml:space="preserve"> około </w:t>
      </w:r>
      <w:r w:rsidR="00B1335E">
        <w:rPr>
          <w:rFonts w:ascii="Arial" w:hAnsi="Arial" w:cs="Arial"/>
        </w:rPr>
        <w:t xml:space="preserve">8 000 </w:t>
      </w:r>
      <w:r w:rsidRPr="00925BCD">
        <w:rPr>
          <w:rFonts w:ascii="Arial" w:hAnsi="Arial" w:cs="Arial"/>
        </w:rPr>
        <w:t xml:space="preserve">punktach sprzedaży. Kontrole przestrzegania ww. wymagań przeprowadzone przez Inspekcję wykazały zbywanie środków ochrony osobom, które nie spełnią wymagań określonych w art. 28 ustawy o środkach ochrony roślin. Wydano </w:t>
      </w:r>
      <w:r w:rsidR="00C91801" w:rsidRPr="00925BCD">
        <w:rPr>
          <w:rFonts w:ascii="Arial" w:hAnsi="Arial" w:cs="Arial"/>
        </w:rPr>
        <w:t xml:space="preserve">też </w:t>
      </w:r>
      <w:r w:rsidRPr="00925BCD">
        <w:rPr>
          <w:rFonts w:ascii="Arial" w:hAnsi="Arial" w:cs="Arial"/>
        </w:rPr>
        <w:t xml:space="preserve">decyzje o określeniu opłaty sankcyjnej </w:t>
      </w:r>
      <w:r w:rsidR="00C91801" w:rsidRPr="00925BCD">
        <w:rPr>
          <w:rFonts w:ascii="Arial" w:hAnsi="Arial" w:cs="Arial"/>
        </w:rPr>
        <w:t xml:space="preserve">ze względu na sprzedaż </w:t>
      </w:r>
      <w:r w:rsidRPr="00925BCD">
        <w:rPr>
          <w:rFonts w:ascii="Arial" w:hAnsi="Arial" w:cs="Arial"/>
        </w:rPr>
        <w:t>środków niedopuszczonych do obrotu</w:t>
      </w:r>
      <w:r w:rsidR="00A33AF1">
        <w:rPr>
          <w:rFonts w:ascii="Arial" w:hAnsi="Arial" w:cs="Arial"/>
        </w:rPr>
        <w:t>.</w:t>
      </w:r>
    </w:p>
    <w:p w14:paraId="1B780A78" w14:textId="4C63C1D9" w:rsidR="007F5A8E" w:rsidRDefault="007F5A8E" w:rsidP="00804D7A">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Szczegół</w:t>
      </w:r>
      <w:r w:rsidR="00B16E80">
        <w:rPr>
          <w:rFonts w:ascii="Arial" w:hAnsi="Arial" w:cs="Arial"/>
        </w:rPr>
        <w:t>owe dane przedstawia t</w:t>
      </w:r>
      <w:r w:rsidR="00553961">
        <w:rPr>
          <w:rFonts w:ascii="Arial" w:hAnsi="Arial" w:cs="Arial"/>
        </w:rPr>
        <w:t>a</w:t>
      </w:r>
      <w:r w:rsidR="00B16E80">
        <w:rPr>
          <w:rFonts w:ascii="Arial" w:hAnsi="Arial" w:cs="Arial"/>
        </w:rPr>
        <w:t xml:space="preserve">bela poniżej. </w:t>
      </w:r>
    </w:p>
    <w:tbl>
      <w:tblPr>
        <w:tblStyle w:val="Tabela-Siatka"/>
        <w:tblW w:w="0" w:type="auto"/>
        <w:tblLook w:val="04A0" w:firstRow="1" w:lastRow="0" w:firstColumn="1" w:lastColumn="0" w:noHBand="0" w:noVBand="1"/>
      </w:tblPr>
      <w:tblGrid>
        <w:gridCol w:w="1812"/>
        <w:gridCol w:w="1812"/>
        <w:gridCol w:w="1812"/>
        <w:gridCol w:w="1813"/>
        <w:gridCol w:w="1813"/>
      </w:tblGrid>
      <w:tr w:rsidR="009B75C6" w14:paraId="009BD400" w14:textId="77777777" w:rsidTr="008A0D29">
        <w:tc>
          <w:tcPr>
            <w:tcW w:w="1812" w:type="dxa"/>
            <w:vAlign w:val="center"/>
          </w:tcPr>
          <w:p w14:paraId="0ADDF1BD" w14:textId="3A47A628" w:rsidR="009B75C6" w:rsidRPr="009A3796" w:rsidRDefault="00A876F6" w:rsidP="0043443F">
            <w:pPr>
              <w:jc w:val="center"/>
              <w:rPr>
                <w:rFonts w:ascii="Arial" w:hAnsi="Arial" w:cs="Arial"/>
                <w:b/>
                <w:color w:val="000000"/>
                <w:sz w:val="20"/>
                <w:szCs w:val="20"/>
              </w:rPr>
            </w:pPr>
            <w:r w:rsidRPr="009A3796">
              <w:rPr>
                <w:rFonts w:ascii="Arial" w:hAnsi="Arial" w:cs="Arial"/>
                <w:b/>
                <w:color w:val="000000"/>
                <w:sz w:val="20"/>
                <w:szCs w:val="20"/>
              </w:rPr>
              <w:t>Rok</w:t>
            </w:r>
          </w:p>
        </w:tc>
        <w:tc>
          <w:tcPr>
            <w:tcW w:w="1812" w:type="dxa"/>
            <w:vAlign w:val="center"/>
          </w:tcPr>
          <w:p w14:paraId="7F8F8412" w14:textId="1B150566" w:rsidR="009B75C6" w:rsidRPr="009A3796" w:rsidRDefault="00A876F6" w:rsidP="0043443F">
            <w:pPr>
              <w:jc w:val="center"/>
              <w:rPr>
                <w:rFonts w:ascii="Arial" w:hAnsi="Arial" w:cs="Arial"/>
                <w:b/>
                <w:color w:val="000000"/>
                <w:sz w:val="20"/>
                <w:szCs w:val="20"/>
              </w:rPr>
            </w:pPr>
            <w:r w:rsidRPr="009A3796">
              <w:rPr>
                <w:rFonts w:ascii="Arial" w:hAnsi="Arial" w:cs="Arial"/>
                <w:b/>
                <w:color w:val="000000"/>
                <w:sz w:val="20"/>
                <w:szCs w:val="20"/>
              </w:rPr>
              <w:t>Liczba punktów sprzedaży</w:t>
            </w:r>
          </w:p>
        </w:tc>
        <w:tc>
          <w:tcPr>
            <w:tcW w:w="1812" w:type="dxa"/>
            <w:vAlign w:val="center"/>
          </w:tcPr>
          <w:p w14:paraId="3FCAB162" w14:textId="63885F80" w:rsidR="009B75C6" w:rsidRPr="009A3796" w:rsidRDefault="009D0FCC" w:rsidP="0043443F">
            <w:pPr>
              <w:jc w:val="center"/>
              <w:rPr>
                <w:rFonts w:ascii="Arial" w:hAnsi="Arial" w:cs="Arial"/>
                <w:b/>
                <w:color w:val="000000"/>
                <w:sz w:val="20"/>
                <w:szCs w:val="20"/>
              </w:rPr>
            </w:pPr>
            <w:r w:rsidRPr="009A3796">
              <w:rPr>
                <w:rFonts w:ascii="Arial" w:hAnsi="Arial" w:cs="Arial"/>
                <w:b/>
                <w:color w:val="000000"/>
                <w:sz w:val="20"/>
                <w:szCs w:val="20"/>
              </w:rPr>
              <w:t>Liczba kontroli ogółem</w:t>
            </w:r>
          </w:p>
        </w:tc>
        <w:tc>
          <w:tcPr>
            <w:tcW w:w="1813" w:type="dxa"/>
            <w:vAlign w:val="center"/>
          </w:tcPr>
          <w:p w14:paraId="5E03C668" w14:textId="5A273CFC" w:rsidR="009B75C6" w:rsidRPr="009A3796" w:rsidRDefault="00BE74FD" w:rsidP="0043443F">
            <w:pPr>
              <w:jc w:val="center"/>
              <w:rPr>
                <w:rFonts w:ascii="Arial" w:hAnsi="Arial" w:cs="Arial"/>
                <w:b/>
                <w:color w:val="000000"/>
                <w:sz w:val="20"/>
                <w:szCs w:val="20"/>
              </w:rPr>
            </w:pPr>
            <w:r w:rsidRPr="009A3796">
              <w:rPr>
                <w:rFonts w:ascii="Arial" w:hAnsi="Arial" w:cs="Arial"/>
                <w:b/>
                <w:color w:val="000000"/>
                <w:sz w:val="20"/>
                <w:szCs w:val="20"/>
              </w:rPr>
              <w:t xml:space="preserve">Liczba </w:t>
            </w:r>
            <w:r w:rsidR="001C2794" w:rsidRPr="009A3796">
              <w:rPr>
                <w:rFonts w:ascii="Arial" w:hAnsi="Arial" w:cs="Arial"/>
                <w:b/>
                <w:color w:val="000000"/>
                <w:sz w:val="20"/>
                <w:szCs w:val="20"/>
              </w:rPr>
              <w:t xml:space="preserve">przypadków zbywania </w:t>
            </w:r>
            <w:proofErr w:type="spellStart"/>
            <w:r w:rsidR="001C2794" w:rsidRPr="009A3796">
              <w:rPr>
                <w:rFonts w:ascii="Arial" w:hAnsi="Arial" w:cs="Arial"/>
                <w:b/>
                <w:color w:val="000000"/>
                <w:sz w:val="20"/>
                <w:szCs w:val="20"/>
              </w:rPr>
              <w:t>śor</w:t>
            </w:r>
            <w:proofErr w:type="spellEnd"/>
            <w:r w:rsidR="001C2794" w:rsidRPr="009A3796">
              <w:rPr>
                <w:rFonts w:ascii="Arial" w:hAnsi="Arial" w:cs="Arial"/>
                <w:b/>
                <w:color w:val="000000"/>
                <w:sz w:val="20"/>
                <w:szCs w:val="20"/>
              </w:rPr>
              <w:t xml:space="preserve"> osobom nieuprawnionym</w:t>
            </w:r>
          </w:p>
        </w:tc>
        <w:tc>
          <w:tcPr>
            <w:tcW w:w="1813" w:type="dxa"/>
            <w:vAlign w:val="center"/>
          </w:tcPr>
          <w:p w14:paraId="51DF5A66" w14:textId="6C6F0A6D" w:rsidR="009B75C6" w:rsidRPr="009A3796" w:rsidRDefault="0023184B" w:rsidP="0043443F">
            <w:pPr>
              <w:jc w:val="center"/>
              <w:rPr>
                <w:rFonts w:ascii="Arial" w:hAnsi="Arial" w:cs="Arial"/>
                <w:b/>
                <w:color w:val="000000"/>
                <w:sz w:val="20"/>
                <w:szCs w:val="20"/>
              </w:rPr>
            </w:pPr>
            <w:r w:rsidRPr="009A3796">
              <w:rPr>
                <w:rFonts w:ascii="Arial" w:hAnsi="Arial" w:cs="Arial"/>
                <w:b/>
                <w:color w:val="000000"/>
                <w:sz w:val="20"/>
                <w:szCs w:val="20"/>
              </w:rPr>
              <w:t>Liczba decyzji o określeniu opłaty sankcyjnej</w:t>
            </w:r>
          </w:p>
        </w:tc>
      </w:tr>
      <w:tr w:rsidR="009B75C6" w14:paraId="2AF2AC56" w14:textId="77777777" w:rsidTr="008A0D29">
        <w:tc>
          <w:tcPr>
            <w:tcW w:w="1812" w:type="dxa"/>
            <w:vAlign w:val="center"/>
          </w:tcPr>
          <w:p w14:paraId="7520A86A" w14:textId="7A8E4A2A" w:rsidR="009B75C6" w:rsidRPr="009A3796" w:rsidRDefault="00A876F6"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2018</w:t>
            </w:r>
          </w:p>
        </w:tc>
        <w:tc>
          <w:tcPr>
            <w:tcW w:w="1812" w:type="dxa"/>
            <w:vAlign w:val="center"/>
          </w:tcPr>
          <w:p w14:paraId="00E9CEFE" w14:textId="1CC493F6" w:rsidR="009B75C6" w:rsidRPr="009A3796" w:rsidRDefault="007C2063"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8 124</w:t>
            </w:r>
          </w:p>
        </w:tc>
        <w:tc>
          <w:tcPr>
            <w:tcW w:w="1812" w:type="dxa"/>
            <w:vAlign w:val="center"/>
          </w:tcPr>
          <w:p w14:paraId="24B69541" w14:textId="2316DAA3"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6 626</w:t>
            </w:r>
          </w:p>
        </w:tc>
        <w:tc>
          <w:tcPr>
            <w:tcW w:w="1813" w:type="dxa"/>
            <w:vAlign w:val="center"/>
          </w:tcPr>
          <w:p w14:paraId="0B88B430" w14:textId="2E3B4BCE"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 xml:space="preserve">39 </w:t>
            </w:r>
          </w:p>
        </w:tc>
        <w:tc>
          <w:tcPr>
            <w:tcW w:w="1813" w:type="dxa"/>
            <w:vAlign w:val="center"/>
          </w:tcPr>
          <w:p w14:paraId="16753EB0" w14:textId="1E8D2D29" w:rsidR="009B75C6" w:rsidRPr="009A3796" w:rsidRDefault="008A0D29"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22</w:t>
            </w:r>
          </w:p>
        </w:tc>
      </w:tr>
      <w:tr w:rsidR="009B75C6" w14:paraId="271A5648" w14:textId="77777777" w:rsidTr="008A0D29">
        <w:tc>
          <w:tcPr>
            <w:tcW w:w="1812" w:type="dxa"/>
            <w:vAlign w:val="center"/>
          </w:tcPr>
          <w:p w14:paraId="3ACA1887" w14:textId="6002B57A" w:rsidR="009B75C6" w:rsidRPr="009A3796" w:rsidRDefault="00A876F6"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2019</w:t>
            </w:r>
          </w:p>
        </w:tc>
        <w:tc>
          <w:tcPr>
            <w:tcW w:w="1812" w:type="dxa"/>
            <w:vAlign w:val="center"/>
          </w:tcPr>
          <w:p w14:paraId="761BB47D" w14:textId="38CBC733" w:rsidR="009B75C6" w:rsidRPr="009A3796" w:rsidRDefault="007C2063"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8 029</w:t>
            </w:r>
          </w:p>
        </w:tc>
        <w:tc>
          <w:tcPr>
            <w:tcW w:w="1812" w:type="dxa"/>
            <w:vAlign w:val="center"/>
          </w:tcPr>
          <w:p w14:paraId="1FE825D5" w14:textId="0DE79AC6"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6 673</w:t>
            </w:r>
          </w:p>
        </w:tc>
        <w:tc>
          <w:tcPr>
            <w:tcW w:w="1813" w:type="dxa"/>
            <w:vAlign w:val="center"/>
          </w:tcPr>
          <w:p w14:paraId="28003120" w14:textId="7E9BE125"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15</w:t>
            </w:r>
          </w:p>
        </w:tc>
        <w:tc>
          <w:tcPr>
            <w:tcW w:w="1813" w:type="dxa"/>
            <w:vAlign w:val="center"/>
          </w:tcPr>
          <w:p w14:paraId="2A695CD0" w14:textId="2A55BFF7" w:rsidR="009B75C6" w:rsidRPr="009A3796" w:rsidRDefault="008A0D29"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 xml:space="preserve">36 </w:t>
            </w:r>
          </w:p>
        </w:tc>
      </w:tr>
      <w:tr w:rsidR="009B75C6" w14:paraId="6CB71363" w14:textId="77777777" w:rsidTr="008A0D29">
        <w:tc>
          <w:tcPr>
            <w:tcW w:w="1812" w:type="dxa"/>
            <w:vAlign w:val="center"/>
          </w:tcPr>
          <w:p w14:paraId="386CBCE8" w14:textId="29C81FFA" w:rsidR="009B75C6" w:rsidRPr="009A3796" w:rsidRDefault="00A876F6"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2020</w:t>
            </w:r>
          </w:p>
        </w:tc>
        <w:tc>
          <w:tcPr>
            <w:tcW w:w="1812" w:type="dxa"/>
            <w:vAlign w:val="center"/>
          </w:tcPr>
          <w:p w14:paraId="3E97E553" w14:textId="1685491C" w:rsidR="009B75C6" w:rsidRPr="009A3796" w:rsidRDefault="007C2063"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8 125</w:t>
            </w:r>
          </w:p>
        </w:tc>
        <w:tc>
          <w:tcPr>
            <w:tcW w:w="1812" w:type="dxa"/>
            <w:vAlign w:val="center"/>
          </w:tcPr>
          <w:p w14:paraId="64458135" w14:textId="3DBA8730"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 xml:space="preserve">5 595 </w:t>
            </w:r>
          </w:p>
        </w:tc>
        <w:tc>
          <w:tcPr>
            <w:tcW w:w="1813" w:type="dxa"/>
            <w:vAlign w:val="center"/>
          </w:tcPr>
          <w:p w14:paraId="597AC936" w14:textId="3D195528"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w:t>
            </w:r>
          </w:p>
        </w:tc>
        <w:tc>
          <w:tcPr>
            <w:tcW w:w="1813" w:type="dxa"/>
            <w:vAlign w:val="center"/>
          </w:tcPr>
          <w:p w14:paraId="5685F93A" w14:textId="6FB18F37" w:rsidR="009B75C6" w:rsidRPr="009A3796" w:rsidRDefault="008A0D29"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27</w:t>
            </w:r>
          </w:p>
        </w:tc>
      </w:tr>
      <w:tr w:rsidR="003F41AA" w14:paraId="3863D0FE" w14:textId="77777777" w:rsidTr="008A0D29">
        <w:tc>
          <w:tcPr>
            <w:tcW w:w="1812" w:type="dxa"/>
            <w:vAlign w:val="center"/>
          </w:tcPr>
          <w:p w14:paraId="03243902" w14:textId="2E097783" w:rsidR="003F41AA" w:rsidRPr="009A3796" w:rsidRDefault="003F41AA"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2021</w:t>
            </w:r>
          </w:p>
        </w:tc>
        <w:tc>
          <w:tcPr>
            <w:tcW w:w="1812" w:type="dxa"/>
            <w:vAlign w:val="center"/>
          </w:tcPr>
          <w:p w14:paraId="1FABAD56" w14:textId="08815EA1" w:rsidR="003F41AA" w:rsidRPr="009A3796" w:rsidRDefault="005D6D06"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 xml:space="preserve">7 </w:t>
            </w:r>
            <w:r w:rsidR="0033725E">
              <w:rPr>
                <w:rFonts w:ascii="Arial" w:hAnsi="Arial" w:cs="Arial"/>
              </w:rPr>
              <w:t>872</w:t>
            </w:r>
          </w:p>
        </w:tc>
        <w:tc>
          <w:tcPr>
            <w:tcW w:w="1812" w:type="dxa"/>
            <w:vAlign w:val="center"/>
          </w:tcPr>
          <w:p w14:paraId="18258B26" w14:textId="3D80BC50" w:rsidR="003F41AA" w:rsidRPr="009A3796" w:rsidRDefault="009B3ECB"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5 121</w:t>
            </w:r>
          </w:p>
        </w:tc>
        <w:tc>
          <w:tcPr>
            <w:tcW w:w="1813" w:type="dxa"/>
            <w:vAlign w:val="center"/>
          </w:tcPr>
          <w:p w14:paraId="7357DF2F" w14:textId="69A27452" w:rsidR="003F41AA" w:rsidRPr="009A3796" w:rsidRDefault="00F9459D"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3</w:t>
            </w:r>
          </w:p>
        </w:tc>
        <w:tc>
          <w:tcPr>
            <w:tcW w:w="1813" w:type="dxa"/>
            <w:vAlign w:val="center"/>
          </w:tcPr>
          <w:p w14:paraId="0D19F8A0" w14:textId="39991F69" w:rsidR="003F41AA" w:rsidRPr="009A3796" w:rsidRDefault="00000E22"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21</w:t>
            </w:r>
          </w:p>
        </w:tc>
      </w:tr>
    </w:tbl>
    <w:p w14:paraId="3D3DA592" w14:textId="77777777" w:rsidR="00056846" w:rsidRPr="00925BCD" w:rsidRDefault="00E54725">
      <w:pPr>
        <w:pStyle w:val="Nagwek1"/>
        <w:numPr>
          <w:ilvl w:val="1"/>
          <w:numId w:val="9"/>
        </w:numPr>
        <w:tabs>
          <w:tab w:val="left" w:pos="426"/>
        </w:tabs>
        <w:ind w:left="284" w:hanging="284"/>
        <w:jc w:val="both"/>
        <w:rPr>
          <w:i w:val="0"/>
          <w:sz w:val="22"/>
          <w:szCs w:val="22"/>
        </w:rPr>
      </w:pPr>
      <w:bookmarkStart w:id="7" w:name="_Toc134099246"/>
      <w:r w:rsidRPr="00925BCD">
        <w:rPr>
          <w:i w:val="0"/>
          <w:sz w:val="22"/>
          <w:szCs w:val="22"/>
        </w:rPr>
        <w:t>Mierniki służące monitorowaniu</w:t>
      </w:r>
      <w:bookmarkEnd w:id="7"/>
    </w:p>
    <w:p w14:paraId="0105AA02"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jest oceniana na podstawie nieprawidłowości w zakresie obrotu środkami ochrony roślin. W 2022 r. poziom nieprawidłowości w tym zakresie, stwierdzanych w ramach kontroli prowadzonej przez Państwową Inspekcję Ochrony Roślin i Nasiennictwa, powinien wynosić poniżej 3%. </w:t>
      </w:r>
    </w:p>
    <w:p w14:paraId="5157CBA4" w14:textId="16D125CD"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 nieprawidłowości w zakresie obrotu środkami ochrony roślin wyniósł 3,21%</w:t>
      </w:r>
      <w:r w:rsidR="00617E50" w:rsidRPr="00925BCD">
        <w:rPr>
          <w:rFonts w:ascii="Arial" w:hAnsi="Arial" w:cs="Arial"/>
        </w:rPr>
        <w:t>,</w:t>
      </w:r>
      <w:r w:rsidR="008510AB" w:rsidRPr="00925BCD">
        <w:rPr>
          <w:rFonts w:ascii="Arial" w:hAnsi="Arial" w:cs="Arial"/>
        </w:rPr>
        <w:t> w 2019 r. wyniósł 4,</w:t>
      </w:r>
      <w:r w:rsidR="008510AB" w:rsidRPr="00645E54">
        <w:rPr>
          <w:rFonts w:ascii="Arial" w:hAnsi="Arial" w:cs="Arial"/>
        </w:rPr>
        <w:t>69%</w:t>
      </w:r>
      <w:r w:rsidR="00B110EF" w:rsidRPr="00645E54">
        <w:rPr>
          <w:rFonts w:ascii="Arial" w:hAnsi="Arial" w:cs="Arial"/>
        </w:rPr>
        <w:t>, w 2020 r.</w:t>
      </w:r>
      <w:r w:rsidR="00645E54" w:rsidRPr="00645E54">
        <w:rPr>
          <w:rFonts w:ascii="Arial" w:hAnsi="Arial" w:cs="Arial"/>
        </w:rPr>
        <w:t xml:space="preserve"> wyniósł 4,09</w:t>
      </w:r>
      <w:r w:rsidR="00645E54" w:rsidRPr="009C7F3C">
        <w:rPr>
          <w:rFonts w:ascii="Arial" w:hAnsi="Arial" w:cs="Arial"/>
        </w:rPr>
        <w:t>%</w:t>
      </w:r>
      <w:r w:rsidR="00F42506" w:rsidRPr="009C7F3C">
        <w:rPr>
          <w:rFonts w:ascii="Arial" w:hAnsi="Arial" w:cs="Arial"/>
        </w:rPr>
        <w:t>, a w 2021 r. wyniósł</w:t>
      </w:r>
      <w:r w:rsidR="00C71BAC" w:rsidRPr="009C7F3C">
        <w:rPr>
          <w:rFonts w:ascii="Arial" w:hAnsi="Arial" w:cs="Arial"/>
        </w:rPr>
        <w:t xml:space="preserve"> </w:t>
      </w:r>
      <w:r w:rsidR="009C7F3C" w:rsidRPr="009C7F3C">
        <w:rPr>
          <w:rFonts w:ascii="Arial" w:hAnsi="Arial" w:cs="Arial"/>
        </w:rPr>
        <w:t>6,35%</w:t>
      </w:r>
      <w:r w:rsidR="008510AB" w:rsidRPr="009C7F3C">
        <w:rPr>
          <w:rFonts w:ascii="Arial" w:hAnsi="Arial" w:cs="Arial"/>
        </w:rPr>
        <w:t>.</w:t>
      </w:r>
    </w:p>
    <w:p w14:paraId="302C4645" w14:textId="77777777" w:rsidR="00056846" w:rsidRPr="00925BCD" w:rsidRDefault="00E54725">
      <w:pPr>
        <w:pStyle w:val="Nagwek1"/>
        <w:numPr>
          <w:ilvl w:val="0"/>
          <w:numId w:val="9"/>
        </w:numPr>
        <w:jc w:val="both"/>
        <w:rPr>
          <w:i w:val="0"/>
          <w:sz w:val="22"/>
          <w:szCs w:val="22"/>
        </w:rPr>
      </w:pPr>
      <w:bookmarkStart w:id="8" w:name="_Toc134099247"/>
      <w:r w:rsidRPr="00925BCD">
        <w:rPr>
          <w:i w:val="0"/>
          <w:sz w:val="22"/>
          <w:szCs w:val="22"/>
        </w:rPr>
        <w:t>Działanie 3. Upowszechnianie w społeczeństwie wiedzy o środkach ochrony roślin</w:t>
      </w:r>
      <w:bookmarkEnd w:id="8"/>
      <w:r w:rsidRPr="00925BCD">
        <w:rPr>
          <w:i w:val="0"/>
          <w:sz w:val="22"/>
          <w:szCs w:val="22"/>
        </w:rPr>
        <w:t xml:space="preserve"> </w:t>
      </w:r>
    </w:p>
    <w:p w14:paraId="2D909564" w14:textId="070FDA28"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Dyrektywa 2009/128/WE podkreśla konieczność podnoszenia wiedzy ogółu społeczeństwa odnośnie środków ochrony roślin, w tym osób nie zajmujących się zawodowo działalnością związaną ze stosowaniem tych środków, ich roli w nowoczesnym rolnictwie oraz ryzykiem, jakie może wiązać się z ich stosowaniem. </w:t>
      </w:r>
    </w:p>
    <w:p w14:paraId="1EBFEC61" w14:textId="16A845E7" w:rsidR="00CD011C"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tego działania, które służy osiągnięciu celów określonych w art. 7 dyrektywy 2009/128/WE, Ministerstwo Rolnictwa i Rozwoju Wsi, Państwowa Inspekcja Ochrony Roślin i Nasiennictwa, Centrum Doradztwa Rolniczego wraz z wojewódzkimi ośrodkami doradztwa rolniczego jak również instytuty nadzorowane przez Ministra Rolnictwa i Rozwoju Wsi prowadziły działalność edukacyjną w zakresie środków ochrony roślin, która obejmowała informacje o zagrożeniach wynikających ze stosowania środków ochrony roślin oraz metodach eliminacji tych zagrożeń. Informacje na ten temat były prezentowane na konferencjach, publikowane w prasie i Internecie. Wśród użytkowników środków ochrony roślin dystrybuowane były materiały informacyjne. Szczegółowe informacje w zakresie realizacji tego działania podano również w opisie Zadania 1 w Działaniu 10.</w:t>
      </w:r>
    </w:p>
    <w:p w14:paraId="43DC10EA"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Informacje dotyczące ograniczania ryzyka związanego ze stosowaniem środków ochrony roślin dla zdrowia ludzi i zwierząt oraz dla środowiska udostępniane były także na stronie internetowej poświęconej integrowanej ochronie roślin – Platforma Sygnalizacji Agrofagów.</w:t>
      </w:r>
    </w:p>
    <w:p w14:paraId="6C81CC61" w14:textId="77777777" w:rsidR="00056846" w:rsidRPr="00925BCD" w:rsidRDefault="00E54725" w:rsidP="00BD23CE">
      <w:pPr>
        <w:pStyle w:val="NormalnyWeb"/>
        <w:tabs>
          <w:tab w:val="left" w:pos="284"/>
        </w:tabs>
        <w:spacing w:before="280" w:beforeAutospacing="0" w:after="120" w:afterAutospacing="0" w:line="360" w:lineRule="auto"/>
        <w:jc w:val="center"/>
        <w:rPr>
          <w:rFonts w:ascii="Arial" w:hAnsi="Arial" w:cs="Arial"/>
        </w:rPr>
      </w:pPr>
      <w:r w:rsidRPr="00925BCD">
        <w:rPr>
          <w:noProof/>
        </w:rPr>
        <w:drawing>
          <wp:inline distT="0" distB="0" distL="0" distR="0" wp14:anchorId="18666154" wp14:editId="1557D908">
            <wp:extent cx="5781675" cy="1513189"/>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9"/>
                    <a:stretch>
                      <a:fillRect/>
                    </a:stretch>
                  </pic:blipFill>
                  <pic:spPr bwMode="auto">
                    <a:xfrm>
                      <a:off x="0" y="0"/>
                      <a:ext cx="5885970" cy="1540485"/>
                    </a:xfrm>
                    <a:prstGeom prst="rect">
                      <a:avLst/>
                    </a:prstGeom>
                  </pic:spPr>
                </pic:pic>
              </a:graphicData>
            </a:graphic>
          </wp:inline>
        </w:drawing>
      </w:r>
    </w:p>
    <w:p w14:paraId="4A8A8A3E"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Ponadto, w ramach działania były realizowane następujące zadania szczegółowe:</w:t>
      </w:r>
    </w:p>
    <w:p w14:paraId="3FE640AB" w14:textId="77777777" w:rsidR="00056846" w:rsidRPr="00925BCD" w:rsidRDefault="00E54725">
      <w:pPr>
        <w:pStyle w:val="Nagwek2"/>
        <w:rPr>
          <w:i w:val="0"/>
          <w:sz w:val="20"/>
          <w:szCs w:val="20"/>
        </w:rPr>
      </w:pPr>
      <w:bookmarkStart w:id="9" w:name="_Toc134099248"/>
      <w:r w:rsidRPr="00925BCD">
        <w:rPr>
          <w:i w:val="0"/>
          <w:sz w:val="20"/>
          <w:szCs w:val="20"/>
        </w:rPr>
        <w:t>Zadanie 1. Promowanie dobrych praktyk bezpiecznego stosowania środków ochrony roślin</w:t>
      </w:r>
      <w:bookmarkEnd w:id="9"/>
    </w:p>
    <w:p w14:paraId="7F4BB948" w14:textId="48930A11"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Bezpieczne stosowanie środków ochrony roślin zależy w dużym stopniu od świadomości, wiedzy i umiejętności osób wykonujących zabiegi. Dokonując właściwych wyborów oraz wykorzystując odpowiedni sprzęt i infrastrukturę techniczną, osoby wykonujące zabiegi środkami ochrony roślin minimalizują ryzyko związane z ich użyciem. </w:t>
      </w:r>
    </w:p>
    <w:p w14:paraId="17100535" w14:textId="24E6BB9E"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Ze względu na znaczenie upowszechniania i promowania dobrych praktyk w ochronie roślin dla zapewnienia bezpiecznego stosowania środków ochrony roślin, w ramach programu wieloletniego pn.</w:t>
      </w:r>
      <w:r w:rsidR="00804D7A" w:rsidRPr="00925BCD">
        <w:rPr>
          <w:rFonts w:ascii="Arial" w:hAnsi="Arial" w:cs="Arial"/>
        </w:rPr>
        <w:t> </w:t>
      </w:r>
      <w:r w:rsidRPr="00925BCD">
        <w:rPr>
          <w:rFonts w:ascii="Arial" w:hAnsi="Arial" w:cs="Arial"/>
        </w:rPr>
        <w:t xml:space="preserve">Działania na rzecz poprawy konkurencyjności i innowacyjności sektora ogrodniczego z uwzględnieniem jakości i bezpieczeństwa żywności oraz ochrony środowiska naturalnego na lata 2015–2020, realizowanego przez Instytut Ogrodnictwa </w:t>
      </w:r>
      <w:r w:rsidR="006C4771" w:rsidRPr="00772A61">
        <w:rPr>
          <w:rFonts w:ascii="Arial" w:hAnsi="Arial" w:cs="Arial"/>
        </w:rPr>
        <w:t>–</w:t>
      </w:r>
      <w:r w:rsidR="006C4771" w:rsidRPr="00925BCD">
        <w:rPr>
          <w:rFonts w:ascii="Arial" w:hAnsi="Arial" w:cs="Arial"/>
        </w:rPr>
        <w:t xml:space="preserve"> </w:t>
      </w:r>
      <w:r w:rsidR="006C4771">
        <w:rPr>
          <w:rFonts w:ascii="Arial" w:hAnsi="Arial" w:cs="Arial"/>
        </w:rPr>
        <w:t xml:space="preserve">PIB </w:t>
      </w:r>
      <w:r w:rsidRPr="00925BCD">
        <w:rPr>
          <w:rFonts w:ascii="Arial" w:hAnsi="Arial" w:cs="Arial"/>
        </w:rPr>
        <w:t>w 2018 r. opublikowano poradniki praktyk bezpiecznego stosowania środków ochrony roślin tj.:</w:t>
      </w:r>
    </w:p>
    <w:p w14:paraId="5CA47414" w14:textId="77777777" w:rsidR="00056846" w:rsidRPr="00925BCD" w:rsidRDefault="00E54725"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 xml:space="preserve">„Dobra Praktyka. Samodzielna kontrola opryskiwaczy polowych i sadowniczych”, </w:t>
      </w:r>
    </w:p>
    <w:p w14:paraId="2C061B74" w14:textId="77777777" w:rsidR="00056846" w:rsidRPr="00925BCD" w:rsidRDefault="00E54725"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 xml:space="preserve">„Dobra Praktyka. Samodzielna kontrola zaprawiarek do nasion”; </w:t>
      </w:r>
    </w:p>
    <w:p w14:paraId="0157F21C" w14:textId="77777777" w:rsidR="00056846" w:rsidRPr="00925BCD" w:rsidRDefault="00E54725"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„Instrukcja. Badania sprawności technicznej sprzętu ochrony roślin. Zaprawiarka do nasion”.</w:t>
      </w:r>
    </w:p>
    <w:p w14:paraId="25EFBBCB" w14:textId="77777777" w:rsidR="00A002EF" w:rsidRPr="00925BCD" w:rsidRDefault="00A002EF"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ramach zadania zaktualizowano i wydano drukiem następujące monografie:</w:t>
      </w:r>
    </w:p>
    <w:p w14:paraId="7904273F" w14:textId="77777777" w:rsidR="00A002EF" w:rsidRPr="00925BCD"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„INSTRUKCJA – Badania sprawności technicznej sprzętu ochrony roślin – opryskiwacze szklarniowe”</w:t>
      </w:r>
      <w:r w:rsidR="00340372" w:rsidRPr="00925BCD">
        <w:rPr>
          <w:rFonts w:ascii="Arial" w:hAnsi="Arial" w:cs="Arial"/>
        </w:rPr>
        <w:t>,</w:t>
      </w:r>
      <w:r w:rsidRPr="00925BCD">
        <w:rPr>
          <w:rFonts w:ascii="Arial" w:hAnsi="Arial" w:cs="Arial"/>
        </w:rPr>
        <w:t xml:space="preserve"> </w:t>
      </w:r>
    </w:p>
    <w:p w14:paraId="2F6292B0" w14:textId="77777777" w:rsidR="00A002EF" w:rsidRPr="00925BCD"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„D</w:t>
      </w:r>
      <w:r w:rsidR="00511CCD" w:rsidRPr="00925BCD">
        <w:rPr>
          <w:rFonts w:ascii="Arial" w:hAnsi="Arial" w:cs="Arial"/>
        </w:rPr>
        <w:t>obra</w:t>
      </w:r>
      <w:r w:rsidRPr="00925BCD">
        <w:rPr>
          <w:rFonts w:ascii="Arial" w:hAnsi="Arial" w:cs="Arial"/>
        </w:rPr>
        <w:t xml:space="preserve"> P</w:t>
      </w:r>
      <w:r w:rsidR="00511CCD" w:rsidRPr="00925BCD">
        <w:rPr>
          <w:rFonts w:ascii="Arial" w:hAnsi="Arial" w:cs="Arial"/>
        </w:rPr>
        <w:t>raktyka</w:t>
      </w:r>
      <w:r w:rsidRPr="00925BCD">
        <w:rPr>
          <w:rFonts w:ascii="Arial" w:hAnsi="Arial" w:cs="Arial"/>
        </w:rPr>
        <w:t xml:space="preserve"> – Samodzielna kontrola opryskiwaczy szklarniowych”.</w:t>
      </w:r>
    </w:p>
    <w:p w14:paraId="73A2304B" w14:textId="77777777" w:rsidR="00340372" w:rsidRPr="00925BCD" w:rsidRDefault="00340372"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oraz </w:t>
      </w:r>
      <w:r w:rsidR="00A002EF" w:rsidRPr="00925BCD">
        <w:rPr>
          <w:rFonts w:ascii="Arial" w:hAnsi="Arial" w:cs="Arial"/>
        </w:rPr>
        <w:t>opracowano dwie nowe książki dotyczące badania urządzeń do stosowania granulatów:</w:t>
      </w:r>
    </w:p>
    <w:p w14:paraId="30239C97" w14:textId="77777777" w:rsidR="00340372" w:rsidRPr="00925BCD"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„INSTRUKCJA – Badania sprawności technicznej sprzętu do stosowania środków ochrony roślin w formie granulatu”</w:t>
      </w:r>
      <w:r w:rsidR="00340372" w:rsidRPr="00925BCD">
        <w:rPr>
          <w:rFonts w:ascii="Arial" w:hAnsi="Arial" w:cs="Arial"/>
        </w:rPr>
        <w:t>,</w:t>
      </w:r>
    </w:p>
    <w:p w14:paraId="613B23B2" w14:textId="0B39BA6E" w:rsidR="00A002EF"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lastRenderedPageBreak/>
        <w:t>„D</w:t>
      </w:r>
      <w:r w:rsidR="00511CCD" w:rsidRPr="00925BCD">
        <w:rPr>
          <w:rFonts w:ascii="Arial" w:hAnsi="Arial" w:cs="Arial"/>
        </w:rPr>
        <w:t xml:space="preserve">obra </w:t>
      </w:r>
      <w:r w:rsidRPr="00925BCD">
        <w:rPr>
          <w:rFonts w:ascii="Arial" w:hAnsi="Arial" w:cs="Arial"/>
        </w:rPr>
        <w:t>P</w:t>
      </w:r>
      <w:r w:rsidR="00511CCD" w:rsidRPr="00925BCD">
        <w:rPr>
          <w:rFonts w:ascii="Arial" w:hAnsi="Arial" w:cs="Arial"/>
        </w:rPr>
        <w:t>raktyka</w:t>
      </w:r>
      <w:r w:rsidRPr="00925BCD">
        <w:rPr>
          <w:rFonts w:ascii="Arial" w:hAnsi="Arial" w:cs="Arial"/>
        </w:rPr>
        <w:t xml:space="preserve"> – Samodzielna kontrola sprzętu do stosowania środków ochrony roślin w</w:t>
      </w:r>
      <w:r w:rsidR="00511CCD" w:rsidRPr="00925BCD">
        <w:rPr>
          <w:rFonts w:ascii="Arial" w:hAnsi="Arial" w:cs="Arial"/>
        </w:rPr>
        <w:t> </w:t>
      </w:r>
      <w:r w:rsidRPr="00925BCD">
        <w:rPr>
          <w:rFonts w:ascii="Arial" w:hAnsi="Arial" w:cs="Arial"/>
        </w:rPr>
        <w:t>formie gran</w:t>
      </w:r>
      <w:r w:rsidR="00340372" w:rsidRPr="00925BCD">
        <w:rPr>
          <w:rFonts w:ascii="Arial" w:hAnsi="Arial" w:cs="Arial"/>
        </w:rPr>
        <w:t>ulatu”</w:t>
      </w:r>
      <w:r w:rsidR="006C4771">
        <w:rPr>
          <w:rFonts w:ascii="Arial" w:hAnsi="Arial" w:cs="Arial"/>
        </w:rPr>
        <w:t>,</w:t>
      </w:r>
    </w:p>
    <w:p w14:paraId="44CD1710" w14:textId="4FD9E284" w:rsidR="00E570F6" w:rsidRPr="00B110EF" w:rsidRDefault="006C4771" w:rsidP="006C4771">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natomiast w</w:t>
      </w:r>
      <w:r w:rsidR="00E570F6" w:rsidRPr="00B110EF">
        <w:rPr>
          <w:rFonts w:ascii="Arial" w:hAnsi="Arial" w:cs="Arial"/>
        </w:rPr>
        <w:t xml:space="preserve"> 2020 r. zaktualizowano i wydano drukiem opracowania o charakterze instruktażowym:</w:t>
      </w:r>
    </w:p>
    <w:p w14:paraId="0AFA982F" w14:textId="6B0A0D74" w:rsidR="00E570F6" w:rsidRPr="00B110EF"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DOBRA PRAKTYKA – Samodzielna kontrola pozostałego sprzętu do stosowania środków ochrony roślin w formie oprysku,</w:t>
      </w:r>
    </w:p>
    <w:p w14:paraId="4AACEE9B" w14:textId="7BB31BA4" w:rsidR="00E570F6" w:rsidRPr="00B110EF"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DOBRA PRAKTYKA – Samodzielna kontrola sprzętu do stosowania środków ochrony roślin w formie granulatu,</w:t>
      </w:r>
    </w:p>
    <w:p w14:paraId="674A9E9A" w14:textId="21385033" w:rsidR="00E570F6" w:rsidRPr="00B110EF"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INSTRUKCJA – Badania sprawności technicznej pozostałego sprzętu do stosowania środków ochrony roślin w formie oprysku,</w:t>
      </w:r>
    </w:p>
    <w:p w14:paraId="4C07C896" w14:textId="604626CF" w:rsidR="006C4771"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INSTRUKCJA – Badania sprawności technicznej sprzętu do stosowania środków ochrony roślin w formie granulatu.</w:t>
      </w:r>
    </w:p>
    <w:p w14:paraId="7E4BABC3" w14:textId="45202B70" w:rsidR="00F06F48" w:rsidRPr="00B110EF" w:rsidRDefault="00F06F48" w:rsidP="00F06F48">
      <w:pPr>
        <w:pStyle w:val="NormalnyWeb"/>
        <w:tabs>
          <w:tab w:val="left" w:pos="284"/>
        </w:tabs>
        <w:spacing w:beforeAutospacing="0" w:after="120" w:afterAutospacing="0" w:line="360" w:lineRule="auto"/>
        <w:jc w:val="both"/>
        <w:rPr>
          <w:rFonts w:ascii="Arial" w:hAnsi="Arial" w:cs="Arial"/>
        </w:rPr>
      </w:pPr>
      <w:r>
        <w:rPr>
          <w:rFonts w:ascii="Arial" w:hAnsi="Arial" w:cs="Arial"/>
        </w:rPr>
        <w:tab/>
      </w:r>
      <w:r w:rsidRPr="00F06F48">
        <w:rPr>
          <w:rFonts w:ascii="Arial" w:hAnsi="Arial" w:cs="Arial"/>
        </w:rPr>
        <w:t>W ramach programu wieloletniego Instytut Ochrony Roślin – PIB w 2020 r. opracował i wydał cieszący się dużą popularnością „Kodeks dobrej praktyki ochrony roślin”, który systematyzuje najważniejsze a zarazem praktyczne elementy związane z prawidłową i bezpieczną ochroną roślin oraz przepisami prawa w tym obszarze.</w:t>
      </w:r>
    </w:p>
    <w:p w14:paraId="34D55183" w14:textId="0FC6B2DA" w:rsidR="00056846" w:rsidRDefault="00340372"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Instytut Ogrodnictwa </w:t>
      </w:r>
      <w:r w:rsidR="005754FE" w:rsidRPr="00925BCD">
        <w:rPr>
          <w:rFonts w:ascii="Arial" w:hAnsi="Arial" w:cs="Arial"/>
        </w:rPr>
        <w:t xml:space="preserve">– </w:t>
      </w:r>
      <w:r w:rsidR="005754FE">
        <w:rPr>
          <w:rFonts w:ascii="Arial" w:hAnsi="Arial" w:cs="Arial"/>
        </w:rPr>
        <w:t xml:space="preserve">PIB </w:t>
      </w:r>
      <w:r w:rsidRPr="00925BCD">
        <w:rPr>
          <w:rFonts w:ascii="Arial" w:hAnsi="Arial" w:cs="Arial"/>
        </w:rPr>
        <w:t xml:space="preserve">zorganizował także szkolenia. </w:t>
      </w:r>
      <w:r w:rsidR="00E54725" w:rsidRPr="00925BCD">
        <w:rPr>
          <w:rFonts w:ascii="Arial" w:hAnsi="Arial" w:cs="Arial"/>
        </w:rPr>
        <w:t>W 2018 r</w:t>
      </w:r>
      <w:r w:rsidR="00804D7A" w:rsidRPr="00925BCD">
        <w:rPr>
          <w:rFonts w:ascii="Arial" w:hAnsi="Arial" w:cs="Arial"/>
        </w:rPr>
        <w:t>.</w:t>
      </w:r>
      <w:r w:rsidRPr="00925BCD">
        <w:rPr>
          <w:rFonts w:ascii="Arial" w:hAnsi="Arial" w:cs="Arial"/>
        </w:rPr>
        <w:t xml:space="preserve"> odbyły się</w:t>
      </w:r>
      <w:r w:rsidR="00E54725" w:rsidRPr="00925BCD">
        <w:rPr>
          <w:rFonts w:ascii="Arial" w:hAnsi="Arial" w:cs="Arial"/>
        </w:rPr>
        <w:t xml:space="preserve"> cztery szkolenia pod wspólnym tytułem „Podstawy diagnostyki sprzętu do stosowania środków ochrony roślin”, podzielone na trzy bloki tematyczne: technika ochrony roślin (opryskiwacze</w:t>
      </w:r>
      <w:bookmarkStart w:id="10" w:name="_Hlk92798414"/>
      <w:r w:rsidR="00E54725" w:rsidRPr="00925BCD">
        <w:rPr>
          <w:rFonts w:ascii="Arial" w:hAnsi="Arial" w:cs="Arial"/>
        </w:rPr>
        <w:t xml:space="preserve"> – </w:t>
      </w:r>
      <w:bookmarkEnd w:id="10"/>
      <w:r w:rsidR="00E54725" w:rsidRPr="00925BCD">
        <w:rPr>
          <w:rFonts w:ascii="Arial" w:hAnsi="Arial" w:cs="Arial"/>
        </w:rPr>
        <w:t>wyposażenie i stosowanie, rodzaje i dobór rozpylaczy oraz kalibracja opryskiwaczy), badanie sprawności technicznej sprzętu ochrony roślin (przepisy prawne i zasady ogólne, procedura badania i protokół kontroli) oraz ćwiczenia praktyczne (kalibracja opryskiwacza polowego i sadowniczego, badanie opryskiwaczy polowych i sadowniczych oraz badanie zaprawiarek do nasion). W szkoleniach uczestniczyło 106 osób.</w:t>
      </w:r>
      <w:r w:rsidR="00511CCD" w:rsidRPr="00925BCD">
        <w:rPr>
          <w:rFonts w:ascii="Arial" w:hAnsi="Arial" w:cs="Arial"/>
        </w:rPr>
        <w:t xml:space="preserve"> </w:t>
      </w:r>
      <w:r w:rsidR="00E54725" w:rsidRPr="00925BCD">
        <w:rPr>
          <w:rFonts w:ascii="Arial" w:hAnsi="Arial" w:cs="Arial"/>
        </w:rPr>
        <w:t>W 2019</w:t>
      </w:r>
      <w:r w:rsidR="00804D7A" w:rsidRPr="00925BCD">
        <w:rPr>
          <w:rFonts w:ascii="Arial" w:hAnsi="Arial" w:cs="Arial"/>
        </w:rPr>
        <w:t> </w:t>
      </w:r>
      <w:r w:rsidR="00A002EF" w:rsidRPr="00925BCD">
        <w:rPr>
          <w:rFonts w:ascii="Arial" w:hAnsi="Arial" w:cs="Arial"/>
        </w:rPr>
        <w:t>r.</w:t>
      </w:r>
      <w:r w:rsidR="00E54725" w:rsidRPr="00925BCD">
        <w:rPr>
          <w:rFonts w:ascii="Arial" w:hAnsi="Arial" w:cs="Arial"/>
        </w:rPr>
        <w:t xml:space="preserve"> </w:t>
      </w:r>
      <w:r w:rsidR="00A002EF" w:rsidRPr="00925BCD">
        <w:rPr>
          <w:rFonts w:ascii="Arial" w:hAnsi="Arial" w:cs="Arial"/>
        </w:rPr>
        <w:t xml:space="preserve">Instytut Ogrodnictwa </w:t>
      </w:r>
      <w:bookmarkStart w:id="11" w:name="_Hlk97287653"/>
      <w:r w:rsidR="005754FE" w:rsidRPr="00925BCD">
        <w:rPr>
          <w:rFonts w:ascii="Arial" w:hAnsi="Arial" w:cs="Arial"/>
        </w:rPr>
        <w:t xml:space="preserve">– </w:t>
      </w:r>
      <w:r w:rsidR="005754FE">
        <w:rPr>
          <w:rFonts w:ascii="Arial" w:hAnsi="Arial" w:cs="Arial"/>
        </w:rPr>
        <w:t xml:space="preserve">PIB </w:t>
      </w:r>
      <w:bookmarkEnd w:id="11"/>
      <w:r w:rsidR="00E54725" w:rsidRPr="00925BCD">
        <w:rPr>
          <w:rFonts w:ascii="Arial" w:hAnsi="Arial" w:cs="Arial"/>
        </w:rPr>
        <w:t>przeprowadz</w:t>
      </w:r>
      <w:r w:rsidR="00A002EF" w:rsidRPr="00925BCD">
        <w:rPr>
          <w:rFonts w:ascii="Arial" w:hAnsi="Arial" w:cs="Arial"/>
        </w:rPr>
        <w:t>ił</w:t>
      </w:r>
      <w:r w:rsidR="00E54725" w:rsidRPr="00925BCD">
        <w:rPr>
          <w:rFonts w:ascii="Arial" w:hAnsi="Arial" w:cs="Arial"/>
        </w:rPr>
        <w:t xml:space="preserve"> </w:t>
      </w:r>
      <w:r w:rsidR="00511CCD" w:rsidRPr="00925BCD">
        <w:rPr>
          <w:rFonts w:ascii="Arial" w:hAnsi="Arial" w:cs="Arial"/>
        </w:rPr>
        <w:t xml:space="preserve">dwa takie szkolenia </w:t>
      </w:r>
      <w:r w:rsidR="00A002EF" w:rsidRPr="00925BCD">
        <w:rPr>
          <w:rFonts w:ascii="Arial" w:hAnsi="Arial" w:cs="Arial"/>
        </w:rPr>
        <w:t>dla Wojewódzkich Inspektoratów Ochrony Roślin i Nasiennictwa</w:t>
      </w:r>
      <w:r w:rsidR="00804D7A" w:rsidRPr="00925BCD">
        <w:rPr>
          <w:rFonts w:ascii="Arial" w:hAnsi="Arial" w:cs="Arial"/>
        </w:rPr>
        <w:t>.</w:t>
      </w:r>
      <w:r w:rsidR="00A002EF" w:rsidRPr="00925BCD">
        <w:rPr>
          <w:rFonts w:ascii="Arial" w:hAnsi="Arial" w:cs="Arial"/>
        </w:rPr>
        <w:t xml:space="preserve"> </w:t>
      </w:r>
      <w:r w:rsidR="00E54725" w:rsidRPr="00925BCD">
        <w:rPr>
          <w:rFonts w:ascii="Arial" w:hAnsi="Arial" w:cs="Arial"/>
        </w:rPr>
        <w:t>W szkoleniach wzięło udział 55 osób</w:t>
      </w:r>
      <w:r w:rsidR="00511CCD" w:rsidRPr="00925BCD">
        <w:rPr>
          <w:rFonts w:ascii="Arial" w:hAnsi="Arial" w:cs="Arial"/>
        </w:rPr>
        <w:t>.</w:t>
      </w:r>
      <w:r w:rsidR="00E54725" w:rsidRPr="00925BCD">
        <w:rPr>
          <w:rFonts w:ascii="Arial" w:hAnsi="Arial" w:cs="Arial"/>
        </w:rPr>
        <w:t xml:space="preserve"> </w:t>
      </w:r>
      <w:r w:rsidR="00E570F6" w:rsidRPr="005754FE">
        <w:rPr>
          <w:rFonts w:ascii="Arial" w:hAnsi="Arial" w:cs="Arial"/>
        </w:rPr>
        <w:t>W 2020 r</w:t>
      </w:r>
      <w:r w:rsidR="006C4771" w:rsidRPr="005754FE">
        <w:rPr>
          <w:rFonts w:ascii="Arial" w:hAnsi="Arial" w:cs="Arial"/>
        </w:rPr>
        <w:t>.</w:t>
      </w:r>
      <w:r w:rsidR="00E570F6" w:rsidRPr="005754FE">
        <w:rPr>
          <w:rFonts w:ascii="Arial" w:hAnsi="Arial" w:cs="Arial"/>
        </w:rPr>
        <w:t xml:space="preserve"> w Instytucie Ogrodnictwa</w:t>
      </w:r>
      <w:r w:rsidR="006C4771" w:rsidRPr="005754FE">
        <w:rPr>
          <w:rFonts w:ascii="Arial" w:hAnsi="Arial" w:cs="Arial"/>
        </w:rPr>
        <w:t xml:space="preserve"> </w:t>
      </w:r>
      <w:r w:rsidR="00F006D5" w:rsidRPr="00925BCD">
        <w:rPr>
          <w:rFonts w:ascii="Arial" w:hAnsi="Arial" w:cs="Arial"/>
        </w:rPr>
        <w:t xml:space="preserve">– </w:t>
      </w:r>
      <w:r w:rsidR="00F006D5">
        <w:rPr>
          <w:rFonts w:ascii="Arial" w:hAnsi="Arial" w:cs="Arial"/>
        </w:rPr>
        <w:t xml:space="preserve">PIB </w:t>
      </w:r>
      <w:r w:rsidR="00E570F6" w:rsidRPr="005754FE">
        <w:rPr>
          <w:rFonts w:ascii="Arial" w:hAnsi="Arial" w:cs="Arial"/>
        </w:rPr>
        <w:t>odbyły się dwa webinaria dotyczące „Podstaw diagnostyki sprzętu do stosowania środków ochrony roślin”. Odbiorcami e-szkoleń transmitowanych za pośrednictwem platformy konferencyjnej byli przedstawiciele Wojewódzkich Inspektoratów Ochrony Roślin i Nasiennictwa z całej Polski. E-kurs wzbogacony został instruktażowymi materiałami filmowymi.</w:t>
      </w:r>
    </w:p>
    <w:p w14:paraId="3F2BC13B" w14:textId="1BB1E491" w:rsidR="00F06F48" w:rsidRDefault="00F06F48" w:rsidP="00F06F48">
      <w:pPr>
        <w:pStyle w:val="NormalnyWeb"/>
        <w:tabs>
          <w:tab w:val="left" w:pos="284"/>
        </w:tabs>
        <w:spacing w:beforeAutospacing="0" w:after="120" w:afterAutospacing="0" w:line="360" w:lineRule="auto"/>
        <w:ind w:firstLine="284"/>
        <w:jc w:val="both"/>
        <w:rPr>
          <w:rFonts w:ascii="Arial" w:hAnsi="Arial" w:cs="Arial"/>
        </w:rPr>
      </w:pPr>
      <w:r w:rsidRPr="0023005C">
        <w:rPr>
          <w:rFonts w:ascii="Arial" w:hAnsi="Arial" w:cs="Arial"/>
        </w:rPr>
        <w:t xml:space="preserve">W 2021 r., w ramach dotacji celowej </w:t>
      </w:r>
      <w:proofErr w:type="spellStart"/>
      <w:r w:rsidRPr="0023005C">
        <w:rPr>
          <w:rFonts w:ascii="Arial" w:hAnsi="Arial" w:cs="Arial"/>
        </w:rPr>
        <w:t>MRiRW</w:t>
      </w:r>
      <w:proofErr w:type="spellEnd"/>
      <w:r w:rsidRPr="0023005C">
        <w:rPr>
          <w:rFonts w:ascii="Arial" w:hAnsi="Arial" w:cs="Arial"/>
        </w:rPr>
        <w:t>, w Instytucie Ogrodnictwa – PIB zrealizowano dwa szkolenia pt. "Podstawy diagnostyki sprzętu do stosowania środków ochrony roślin”. Omawiano zagadnienia dotyczące techniki ochrony upraw oraz badania sprawności technicznej sprzętu ochrony roślin. Szkolenia odbywały się w trybie zdalnym. W szkoleniach uczestniczyło blisko 100 pracowników Państwowej Inspekcji Ochrony Roślin i</w:t>
      </w:r>
      <w:r w:rsidR="00B43490" w:rsidRPr="0023005C">
        <w:rPr>
          <w:rFonts w:ascii="Arial" w:hAnsi="Arial" w:cs="Arial"/>
        </w:rPr>
        <w:t> </w:t>
      </w:r>
      <w:r w:rsidRPr="0023005C">
        <w:rPr>
          <w:rFonts w:ascii="Arial" w:hAnsi="Arial" w:cs="Arial"/>
        </w:rPr>
        <w:t>Nasiennictwa.</w:t>
      </w:r>
      <w:r>
        <w:rPr>
          <w:rFonts w:ascii="Arial" w:hAnsi="Arial" w:cs="Arial"/>
        </w:rPr>
        <w:t xml:space="preserve"> </w:t>
      </w:r>
    </w:p>
    <w:p w14:paraId="0CA0BD1E" w14:textId="410AA458" w:rsidR="00F06F48" w:rsidRDefault="00F06F48" w:rsidP="00F06F48">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Opracowano </w:t>
      </w:r>
      <w:r w:rsidR="009C59FD">
        <w:rPr>
          <w:rFonts w:ascii="Arial" w:hAnsi="Arial" w:cs="Arial"/>
        </w:rPr>
        <w:t xml:space="preserve">również </w:t>
      </w:r>
      <w:r>
        <w:rPr>
          <w:rFonts w:ascii="Arial" w:hAnsi="Arial" w:cs="Arial"/>
        </w:rPr>
        <w:t>materiały szkoleniowe dla osób prowadzących szkolenia w zakresie stosowania środków ochrony roślin przy użyciu opryskiwaczy, z wyłączeniem sprzętu kolejowego. Całość materiałów została podzielona na segmenty dotyczące poszczególnych tematów wskazanych w</w:t>
      </w:r>
      <w:r w:rsidR="00B43490">
        <w:rPr>
          <w:rFonts w:ascii="Arial" w:hAnsi="Arial" w:cs="Arial"/>
        </w:rPr>
        <w:t> </w:t>
      </w:r>
      <w:r>
        <w:rPr>
          <w:rFonts w:ascii="Arial" w:hAnsi="Arial" w:cs="Arial"/>
        </w:rPr>
        <w:t>załączniku nr 4 do rozporządzenia M</w:t>
      </w:r>
      <w:r w:rsidR="00B43490">
        <w:rPr>
          <w:rFonts w:ascii="Arial" w:hAnsi="Arial" w:cs="Arial"/>
        </w:rPr>
        <w:t xml:space="preserve">inistra </w:t>
      </w:r>
      <w:r>
        <w:rPr>
          <w:rFonts w:ascii="Arial" w:hAnsi="Arial" w:cs="Arial"/>
        </w:rPr>
        <w:t>R</w:t>
      </w:r>
      <w:r w:rsidR="00B43490">
        <w:rPr>
          <w:rFonts w:ascii="Arial" w:hAnsi="Arial" w:cs="Arial"/>
        </w:rPr>
        <w:t xml:space="preserve">olnictwa </w:t>
      </w:r>
      <w:r>
        <w:rPr>
          <w:rFonts w:ascii="Arial" w:hAnsi="Arial" w:cs="Arial"/>
        </w:rPr>
        <w:t>i</w:t>
      </w:r>
      <w:r w:rsidR="00B43490">
        <w:rPr>
          <w:rFonts w:ascii="Arial" w:hAnsi="Arial" w:cs="Arial"/>
        </w:rPr>
        <w:t xml:space="preserve"> </w:t>
      </w:r>
      <w:r>
        <w:rPr>
          <w:rFonts w:ascii="Arial" w:hAnsi="Arial" w:cs="Arial"/>
        </w:rPr>
        <w:t>R</w:t>
      </w:r>
      <w:r w:rsidR="00B43490">
        <w:rPr>
          <w:rFonts w:ascii="Arial" w:hAnsi="Arial" w:cs="Arial"/>
        </w:rPr>
        <w:t xml:space="preserve">ozwoju </w:t>
      </w:r>
      <w:r>
        <w:rPr>
          <w:rFonts w:ascii="Arial" w:hAnsi="Arial" w:cs="Arial"/>
        </w:rPr>
        <w:t>W</w:t>
      </w:r>
      <w:r w:rsidR="00B43490">
        <w:rPr>
          <w:rFonts w:ascii="Arial" w:hAnsi="Arial" w:cs="Arial"/>
        </w:rPr>
        <w:t>si</w:t>
      </w:r>
      <w:r>
        <w:rPr>
          <w:rFonts w:ascii="Arial" w:hAnsi="Arial" w:cs="Arial"/>
        </w:rPr>
        <w:t xml:space="preserve"> w sprawie szkoleń w zakr</w:t>
      </w:r>
      <w:r w:rsidR="00B43490">
        <w:rPr>
          <w:rFonts w:ascii="Arial" w:hAnsi="Arial" w:cs="Arial"/>
        </w:rPr>
        <w:t xml:space="preserve">esie </w:t>
      </w:r>
      <w:r w:rsidR="00B43490">
        <w:rPr>
          <w:rFonts w:ascii="Arial" w:hAnsi="Arial" w:cs="Arial"/>
        </w:rPr>
        <w:lastRenderedPageBreak/>
        <w:t>środków ochrony roślin</w:t>
      </w:r>
      <w:r>
        <w:rPr>
          <w:rFonts w:ascii="Arial" w:hAnsi="Arial" w:cs="Arial"/>
        </w:rPr>
        <w:t xml:space="preserve">, a w ramach tematów na zagadnienia (podtematy). </w:t>
      </w:r>
    </w:p>
    <w:p w14:paraId="76A4CD01"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Wszystkie informacje i publikacje poświęcone dobrym praktykom są zamieszczane na Platformie Sygnalizacji Agrofagów. </w:t>
      </w:r>
    </w:p>
    <w:p w14:paraId="2B5984F8" w14:textId="77777777" w:rsidR="00056846" w:rsidRPr="00925BCD" w:rsidRDefault="00E54725">
      <w:pPr>
        <w:pStyle w:val="Nagwek2"/>
        <w:rPr>
          <w:i w:val="0"/>
          <w:sz w:val="20"/>
          <w:szCs w:val="20"/>
        </w:rPr>
      </w:pPr>
      <w:bookmarkStart w:id="12" w:name="_Toc134099249"/>
      <w:r w:rsidRPr="00925BCD">
        <w:rPr>
          <w:i w:val="0"/>
          <w:sz w:val="20"/>
          <w:szCs w:val="20"/>
        </w:rPr>
        <w:t>Zadanie 2. Gromadzenie informacji o zatruciach ludzi środkami ochrony roślin</w:t>
      </w:r>
      <w:bookmarkEnd w:id="12"/>
    </w:p>
    <w:p w14:paraId="244EDD43"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Obowiązek prowadzenia systemu rejestracji zatruć środkami ochrony roślin wynika z art. 7 ust. 2 dyrektywy 2009/128/WE. Przepis ten stanowi, że „państwa członkowskie ustanawiają systemy gromadzenia informacji o przypadkach ostrych zatruć pestycydami oraz, w stosownych przypadkach, o przewlekłych objawach zatruć wśród osób, które mogą być narażone na regularny kontakt z pestycydami, takich jak operatorzy stosujący pestycydy, pracownicy rolni lub osoby mieszkające w pobliżu obszarów, na których są stosowane pestycydy”. Implementując przepisy dyrektywy do prawodawstwa polskiego w ustawie z dnia 8 marca 2013 r. o środkach ochrony roślin, postanowiono, że informacje o zatruciach ludzi środkami ochrony roślin gromadzi urząd obsługujący ministra właściwego do spraw rolnictwa. </w:t>
      </w:r>
    </w:p>
    <w:p w14:paraId="008B0B8A" w14:textId="69EBFBFA"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zadania była kontynuowana współpraca Ministerstwa Rolnictwa i Rozwoju Wsi w zakresie pozyskiwania danych o zatruciach ludzi środkami ochrony roślin z Kasą Rolniczego Ubezpieczenia Społecznego, Ministerstwem Zdrowia (Narodowym Funduszem Zdrowia), Państwową Inspekcją Pracy.</w:t>
      </w:r>
    </w:p>
    <w:p w14:paraId="71466973" w14:textId="700F9398"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126273">
        <w:rPr>
          <w:rFonts w:ascii="Arial" w:hAnsi="Arial" w:cs="Arial"/>
        </w:rPr>
        <w:t xml:space="preserve">latach </w:t>
      </w:r>
      <w:r w:rsidRPr="00925BCD">
        <w:rPr>
          <w:rFonts w:ascii="Arial" w:hAnsi="Arial" w:cs="Arial"/>
        </w:rPr>
        <w:t>2018</w:t>
      </w:r>
      <w:r w:rsidR="00CB2064" w:rsidRPr="00772A61">
        <w:rPr>
          <w:rFonts w:ascii="Arial" w:hAnsi="Arial" w:cs="Arial"/>
        </w:rPr>
        <w:t>–</w:t>
      </w:r>
      <w:r w:rsidR="00126273">
        <w:rPr>
          <w:rFonts w:ascii="Arial" w:hAnsi="Arial" w:cs="Arial"/>
        </w:rPr>
        <w:t>202</w:t>
      </w:r>
      <w:r w:rsidR="002E184D">
        <w:rPr>
          <w:rFonts w:ascii="Arial" w:hAnsi="Arial" w:cs="Arial"/>
        </w:rPr>
        <w:t>1</w:t>
      </w:r>
      <w:r w:rsidR="00C1142E" w:rsidRPr="00925BCD">
        <w:rPr>
          <w:rFonts w:ascii="Arial" w:hAnsi="Arial" w:cs="Arial"/>
        </w:rPr>
        <w:t xml:space="preserve"> </w:t>
      </w:r>
      <w:r w:rsidRPr="00925BCD">
        <w:rPr>
          <w:rFonts w:ascii="Arial" w:hAnsi="Arial" w:cs="Arial"/>
        </w:rPr>
        <w:t>z Głównego Inspektoratu Pracy nie wpłynęły żadne zgłoszenia dotyczące zatruć ludzi środkami ochrony roślin</w:t>
      </w:r>
      <w:r w:rsidR="00C146B6">
        <w:rPr>
          <w:rFonts w:ascii="Arial" w:hAnsi="Arial" w:cs="Arial"/>
        </w:rPr>
        <w:t xml:space="preserve">, natomiast </w:t>
      </w:r>
      <w:r w:rsidR="00C146B6" w:rsidRPr="00925BCD">
        <w:rPr>
          <w:rFonts w:ascii="Arial" w:hAnsi="Arial" w:cs="Arial"/>
        </w:rPr>
        <w:t xml:space="preserve">z Kasy Rolniczego Ubezpieczenia Społecznego </w:t>
      </w:r>
      <w:r w:rsidR="00CB2064">
        <w:rPr>
          <w:rFonts w:ascii="Arial" w:hAnsi="Arial" w:cs="Arial"/>
        </w:rPr>
        <w:t>w 2020 </w:t>
      </w:r>
      <w:r w:rsidR="00C146B6">
        <w:rPr>
          <w:rFonts w:ascii="Arial" w:hAnsi="Arial" w:cs="Arial"/>
        </w:rPr>
        <w:t xml:space="preserve">r. wpłynęło </w:t>
      </w:r>
      <w:r w:rsidR="008055AC">
        <w:rPr>
          <w:rFonts w:ascii="Arial" w:hAnsi="Arial" w:cs="Arial"/>
        </w:rPr>
        <w:t>jedno zgłoszenie</w:t>
      </w:r>
      <w:r w:rsidR="009E34C0">
        <w:rPr>
          <w:rFonts w:ascii="Arial" w:hAnsi="Arial" w:cs="Arial"/>
        </w:rPr>
        <w:t>.</w:t>
      </w:r>
      <w:r w:rsidR="00557E92">
        <w:rPr>
          <w:rFonts w:ascii="Arial" w:hAnsi="Arial" w:cs="Arial"/>
        </w:rPr>
        <w:t xml:space="preserve"> </w:t>
      </w:r>
    </w:p>
    <w:p w14:paraId="35484316" w14:textId="6ED9B09A"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Według danych </w:t>
      </w:r>
      <w:r w:rsidRPr="00195A30">
        <w:rPr>
          <w:rFonts w:ascii="Arial" w:hAnsi="Arial" w:cs="Arial"/>
        </w:rPr>
        <w:t>Narodowego Funduszu Zdrowia</w:t>
      </w:r>
      <w:r w:rsidRPr="00925BCD">
        <w:rPr>
          <w:rFonts w:ascii="Arial" w:hAnsi="Arial" w:cs="Arial"/>
        </w:rPr>
        <w:t xml:space="preserve"> </w:t>
      </w:r>
      <w:r w:rsidR="00DC3F8B" w:rsidRPr="00925BCD">
        <w:rPr>
          <w:rFonts w:ascii="Arial" w:hAnsi="Arial" w:cs="Arial"/>
        </w:rPr>
        <w:t xml:space="preserve">w 2018 r. – </w:t>
      </w:r>
      <w:r w:rsidRPr="00925BCD">
        <w:rPr>
          <w:rFonts w:ascii="Arial" w:hAnsi="Arial" w:cs="Arial"/>
        </w:rPr>
        <w:t>492 osobom udzielona została pomoc medyczna w związku z zatruciem środkami ochrony roślin, w tym 260 osób wymagało leczenia szpitalnego</w:t>
      </w:r>
      <w:r w:rsidR="00DC3F8B" w:rsidRPr="00925BCD">
        <w:rPr>
          <w:rFonts w:ascii="Arial" w:hAnsi="Arial" w:cs="Arial"/>
        </w:rPr>
        <w:t>, natomiast w 2019 r. – 393 osobom udzielona została pomoc medyczna w związku z</w:t>
      </w:r>
      <w:r w:rsidR="00804D7A" w:rsidRPr="00925BCD">
        <w:rPr>
          <w:rFonts w:ascii="Arial" w:hAnsi="Arial" w:cs="Arial"/>
        </w:rPr>
        <w:t> </w:t>
      </w:r>
      <w:r w:rsidR="00DC3F8B" w:rsidRPr="00925BCD">
        <w:rPr>
          <w:rFonts w:ascii="Arial" w:hAnsi="Arial" w:cs="Arial"/>
        </w:rPr>
        <w:t>zatruciem środkami ochrony roślin, w tym 215 osób wymagało leczenia szpitalnego</w:t>
      </w:r>
      <w:r w:rsidRPr="00925BCD">
        <w:rPr>
          <w:rFonts w:ascii="Arial" w:hAnsi="Arial" w:cs="Arial"/>
        </w:rPr>
        <w:t xml:space="preserve">. </w:t>
      </w:r>
      <w:r w:rsidR="00E40553">
        <w:rPr>
          <w:rFonts w:ascii="Arial" w:hAnsi="Arial" w:cs="Arial"/>
        </w:rPr>
        <w:t xml:space="preserve">W </w:t>
      </w:r>
      <w:r w:rsidR="00A0559B">
        <w:rPr>
          <w:rFonts w:ascii="Arial" w:hAnsi="Arial" w:cs="Arial"/>
        </w:rPr>
        <w:t xml:space="preserve">latach </w:t>
      </w:r>
      <w:r w:rsidR="00E40553">
        <w:rPr>
          <w:rFonts w:ascii="Arial" w:hAnsi="Arial" w:cs="Arial"/>
        </w:rPr>
        <w:t>2020</w:t>
      </w:r>
      <w:r w:rsidR="00A0559B">
        <w:rPr>
          <w:rFonts w:ascii="Arial" w:hAnsi="Arial" w:cs="Arial"/>
        </w:rPr>
        <w:t>-</w:t>
      </w:r>
      <w:r w:rsidR="005A3F70">
        <w:rPr>
          <w:rFonts w:ascii="Arial" w:hAnsi="Arial" w:cs="Arial"/>
        </w:rPr>
        <w:t> </w:t>
      </w:r>
      <w:r w:rsidR="00A0559B">
        <w:rPr>
          <w:rFonts w:ascii="Arial" w:hAnsi="Arial" w:cs="Arial"/>
        </w:rPr>
        <w:t>2021</w:t>
      </w:r>
      <w:r w:rsidR="00E40553">
        <w:rPr>
          <w:rFonts w:ascii="Arial" w:hAnsi="Arial" w:cs="Arial"/>
        </w:rPr>
        <w:t xml:space="preserve"> </w:t>
      </w:r>
      <w:r w:rsidR="00E40553" w:rsidRPr="00E40553">
        <w:rPr>
          <w:rFonts w:ascii="Arial" w:hAnsi="Arial" w:cs="Arial"/>
        </w:rPr>
        <w:t>pomoc medyczna w</w:t>
      </w:r>
      <w:r w:rsidR="005A3F70">
        <w:rPr>
          <w:rFonts w:ascii="Arial" w:hAnsi="Arial" w:cs="Arial"/>
        </w:rPr>
        <w:t xml:space="preserve"> </w:t>
      </w:r>
      <w:r w:rsidR="00E40553" w:rsidRPr="00E40553">
        <w:rPr>
          <w:rFonts w:ascii="Arial" w:hAnsi="Arial" w:cs="Arial"/>
        </w:rPr>
        <w:t>związku z</w:t>
      </w:r>
      <w:r w:rsidR="005A3F70">
        <w:rPr>
          <w:rFonts w:ascii="Arial" w:hAnsi="Arial" w:cs="Arial"/>
        </w:rPr>
        <w:t xml:space="preserve"> </w:t>
      </w:r>
      <w:r w:rsidR="00E40553" w:rsidRPr="00E40553">
        <w:rPr>
          <w:rFonts w:ascii="Arial" w:hAnsi="Arial" w:cs="Arial"/>
        </w:rPr>
        <w:t>zatruciem środkami ochrony roślin</w:t>
      </w:r>
      <w:r w:rsidR="00E40553">
        <w:rPr>
          <w:rFonts w:ascii="Arial" w:hAnsi="Arial" w:cs="Arial"/>
        </w:rPr>
        <w:t xml:space="preserve"> znacząco zmalała, udzielona została </w:t>
      </w:r>
      <w:r w:rsidR="00C44B9D">
        <w:rPr>
          <w:rFonts w:ascii="Arial" w:hAnsi="Arial" w:cs="Arial"/>
        </w:rPr>
        <w:t>odpowiedni</w:t>
      </w:r>
      <w:r w:rsidR="00331758">
        <w:rPr>
          <w:rFonts w:ascii="Arial" w:hAnsi="Arial" w:cs="Arial"/>
        </w:rPr>
        <w:t xml:space="preserve">o </w:t>
      </w:r>
      <w:r w:rsidR="00E40553">
        <w:rPr>
          <w:rFonts w:ascii="Arial" w:hAnsi="Arial" w:cs="Arial"/>
        </w:rPr>
        <w:t xml:space="preserve">249 </w:t>
      </w:r>
      <w:r w:rsidR="00331758">
        <w:rPr>
          <w:rFonts w:ascii="Arial" w:hAnsi="Arial" w:cs="Arial"/>
        </w:rPr>
        <w:t xml:space="preserve">i </w:t>
      </w:r>
      <w:r w:rsidR="00E34439">
        <w:rPr>
          <w:rFonts w:ascii="Arial" w:hAnsi="Arial" w:cs="Arial"/>
        </w:rPr>
        <w:t xml:space="preserve">226 </w:t>
      </w:r>
      <w:r w:rsidR="00E40553">
        <w:rPr>
          <w:rFonts w:ascii="Arial" w:hAnsi="Arial" w:cs="Arial"/>
        </w:rPr>
        <w:t xml:space="preserve">osobom, w tym </w:t>
      </w:r>
      <w:r w:rsidR="00E34439">
        <w:rPr>
          <w:rFonts w:ascii="Arial" w:hAnsi="Arial" w:cs="Arial"/>
        </w:rPr>
        <w:t xml:space="preserve">co roku </w:t>
      </w:r>
      <w:r w:rsidR="00E40553">
        <w:rPr>
          <w:rFonts w:ascii="Arial" w:hAnsi="Arial" w:cs="Arial"/>
        </w:rPr>
        <w:t xml:space="preserve">152 </w:t>
      </w:r>
      <w:r w:rsidR="005A3F70">
        <w:rPr>
          <w:rFonts w:ascii="Arial" w:hAnsi="Arial" w:cs="Arial"/>
        </w:rPr>
        <w:t xml:space="preserve">osoby </w:t>
      </w:r>
      <w:r w:rsidR="00E40553">
        <w:rPr>
          <w:rFonts w:ascii="Arial" w:hAnsi="Arial" w:cs="Arial"/>
        </w:rPr>
        <w:t>wymagały leczenia szpitalnego.</w:t>
      </w:r>
    </w:p>
    <w:p w14:paraId="30426DFF" w14:textId="63B56DEE"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Dane Zakładu Ubezpieczeń Społecznych informują, że </w:t>
      </w:r>
      <w:r w:rsidR="00DC3F8B" w:rsidRPr="00925BCD">
        <w:rPr>
          <w:rFonts w:ascii="Arial" w:hAnsi="Arial" w:cs="Arial"/>
        </w:rPr>
        <w:t xml:space="preserve">w 2018 r. i 2019 r. </w:t>
      </w:r>
      <w:r w:rsidRPr="00925BCD">
        <w:rPr>
          <w:rFonts w:ascii="Arial" w:hAnsi="Arial" w:cs="Arial"/>
        </w:rPr>
        <w:t xml:space="preserve">nie </w:t>
      </w:r>
      <w:r w:rsidR="00425426" w:rsidRPr="00925BCD">
        <w:rPr>
          <w:rFonts w:ascii="Arial" w:hAnsi="Arial" w:cs="Arial"/>
        </w:rPr>
        <w:t xml:space="preserve">zostało </w:t>
      </w:r>
      <w:r w:rsidRPr="00925BCD">
        <w:rPr>
          <w:rFonts w:ascii="Arial" w:hAnsi="Arial" w:cs="Arial"/>
        </w:rPr>
        <w:t>wydane żadne orzeczenie</w:t>
      </w:r>
      <w:r w:rsidR="005754FE">
        <w:rPr>
          <w:rFonts w:ascii="Arial" w:hAnsi="Arial" w:cs="Arial"/>
        </w:rPr>
        <w:t>,</w:t>
      </w:r>
      <w:r w:rsidRPr="00925BCD">
        <w:rPr>
          <w:rFonts w:ascii="Arial" w:hAnsi="Arial" w:cs="Arial"/>
        </w:rPr>
        <w:t xml:space="preserve"> </w:t>
      </w:r>
      <w:r w:rsidR="00126273">
        <w:rPr>
          <w:rFonts w:ascii="Arial" w:hAnsi="Arial" w:cs="Arial"/>
        </w:rPr>
        <w:t>natomiast w 2020</w:t>
      </w:r>
      <w:r w:rsidR="00123162">
        <w:rPr>
          <w:rFonts w:ascii="Arial" w:hAnsi="Arial" w:cs="Arial"/>
        </w:rPr>
        <w:t xml:space="preserve"> r.</w:t>
      </w:r>
      <w:r w:rsidR="00126273">
        <w:rPr>
          <w:rFonts w:ascii="Arial" w:hAnsi="Arial" w:cs="Arial"/>
        </w:rPr>
        <w:t xml:space="preserve"> wydane zostały 3</w:t>
      </w:r>
      <w:r w:rsidR="006C6C20">
        <w:rPr>
          <w:rFonts w:ascii="Arial" w:hAnsi="Arial" w:cs="Arial"/>
        </w:rPr>
        <w:t>,</w:t>
      </w:r>
      <w:r w:rsidR="00126273">
        <w:rPr>
          <w:rFonts w:ascii="Arial" w:hAnsi="Arial" w:cs="Arial"/>
        </w:rPr>
        <w:t xml:space="preserve"> </w:t>
      </w:r>
      <w:r w:rsidR="00A41FE3">
        <w:rPr>
          <w:rFonts w:ascii="Arial" w:hAnsi="Arial" w:cs="Arial"/>
        </w:rPr>
        <w:t xml:space="preserve">a </w:t>
      </w:r>
      <w:r w:rsidR="00A41FE3" w:rsidRPr="00A236AF">
        <w:rPr>
          <w:rFonts w:ascii="Arial" w:hAnsi="Arial" w:cs="Arial"/>
        </w:rPr>
        <w:t>w 2021</w:t>
      </w:r>
      <w:r w:rsidR="00123162" w:rsidRPr="00A236AF">
        <w:rPr>
          <w:rFonts w:ascii="Arial" w:hAnsi="Arial" w:cs="Arial"/>
        </w:rPr>
        <w:t xml:space="preserve"> r. – 2 orzeczenia </w:t>
      </w:r>
      <w:r w:rsidR="006C6C20" w:rsidRPr="00A236AF">
        <w:rPr>
          <w:rFonts w:ascii="Arial" w:hAnsi="Arial" w:cs="Arial"/>
        </w:rPr>
        <w:t>o</w:t>
      </w:r>
      <w:r w:rsidR="006C6C20">
        <w:rPr>
          <w:rFonts w:ascii="Arial" w:hAnsi="Arial" w:cs="Arial"/>
        </w:rPr>
        <w:t xml:space="preserve"> </w:t>
      </w:r>
      <w:r w:rsidRPr="00925BCD">
        <w:rPr>
          <w:rFonts w:ascii="Arial" w:hAnsi="Arial" w:cs="Arial"/>
        </w:rPr>
        <w:t>okolicznościach uzasadniających ustalenie uprawnień do świadczenia rehabilitacyjnego, w którym lekarz orzecznik wskazał jako przyczynę niezdolności do pracy schorzenie oznaczone według Międzynarodowej Statystycznej Klasyfikacji Chorób i Problemów Zdrowotnych ICD-10, kodem T60-Toksyczny efekt pestycydów oraz</w:t>
      </w:r>
      <w:r w:rsidR="00804D7A" w:rsidRPr="00925BCD">
        <w:rPr>
          <w:rFonts w:ascii="Arial" w:hAnsi="Arial" w:cs="Arial"/>
        </w:rPr>
        <w:t>,</w:t>
      </w:r>
      <w:r w:rsidRPr="00925BCD">
        <w:rPr>
          <w:rFonts w:ascii="Arial" w:hAnsi="Arial" w:cs="Arial"/>
        </w:rPr>
        <w:t xml:space="preserve"> że wystawionych zostało i przekazanych do ZUS przez lekarzy systemu ochrony zdrowia </w:t>
      </w:r>
      <w:r w:rsidR="00DC3F8B" w:rsidRPr="00925BCD">
        <w:rPr>
          <w:rFonts w:ascii="Arial" w:hAnsi="Arial" w:cs="Arial"/>
        </w:rPr>
        <w:t xml:space="preserve">w 2018 r. – </w:t>
      </w:r>
      <w:r w:rsidRPr="00925BCD">
        <w:rPr>
          <w:rFonts w:ascii="Arial" w:hAnsi="Arial" w:cs="Arial"/>
        </w:rPr>
        <w:t>68</w:t>
      </w:r>
      <w:r w:rsidR="00DC3F8B" w:rsidRPr="00925BCD">
        <w:rPr>
          <w:rFonts w:ascii="Arial" w:hAnsi="Arial" w:cs="Arial"/>
        </w:rPr>
        <w:t>,</w:t>
      </w:r>
      <w:r w:rsidRPr="00925BCD">
        <w:rPr>
          <w:rFonts w:ascii="Arial" w:hAnsi="Arial" w:cs="Arial"/>
        </w:rPr>
        <w:t xml:space="preserve"> </w:t>
      </w:r>
      <w:r w:rsidR="00DC3F8B" w:rsidRPr="00925BCD">
        <w:rPr>
          <w:rFonts w:ascii="Arial" w:hAnsi="Arial" w:cs="Arial"/>
        </w:rPr>
        <w:t>w 2019 r. – 23</w:t>
      </w:r>
      <w:r w:rsidR="007543E2">
        <w:rPr>
          <w:rFonts w:ascii="Arial" w:hAnsi="Arial" w:cs="Arial"/>
        </w:rPr>
        <w:t xml:space="preserve">, w 2020 </w:t>
      </w:r>
      <w:r w:rsidR="00FF0AB0" w:rsidRPr="00925BCD">
        <w:rPr>
          <w:rFonts w:ascii="Arial" w:hAnsi="Arial" w:cs="Arial"/>
        </w:rPr>
        <w:t xml:space="preserve">– </w:t>
      </w:r>
      <w:r w:rsidR="00FF0AB0">
        <w:rPr>
          <w:rFonts w:ascii="Arial" w:hAnsi="Arial" w:cs="Arial"/>
        </w:rPr>
        <w:t>19</w:t>
      </w:r>
      <w:r w:rsidR="00EE087C">
        <w:rPr>
          <w:rFonts w:ascii="Arial" w:hAnsi="Arial" w:cs="Arial"/>
        </w:rPr>
        <w:t>,</w:t>
      </w:r>
      <w:r w:rsidR="00DC3F8B" w:rsidRPr="00925BCD">
        <w:rPr>
          <w:rFonts w:ascii="Arial" w:hAnsi="Arial" w:cs="Arial"/>
        </w:rPr>
        <w:t xml:space="preserve"> </w:t>
      </w:r>
      <w:r w:rsidR="00EE087C">
        <w:rPr>
          <w:rFonts w:ascii="Arial" w:hAnsi="Arial" w:cs="Arial"/>
        </w:rPr>
        <w:t xml:space="preserve">a w 2021 r. </w:t>
      </w:r>
      <w:r w:rsidR="00896DE4">
        <w:rPr>
          <w:rFonts w:ascii="Arial" w:hAnsi="Arial" w:cs="Arial"/>
        </w:rPr>
        <w:t xml:space="preserve">– 15 </w:t>
      </w:r>
      <w:r w:rsidRPr="00925BCD">
        <w:rPr>
          <w:rFonts w:ascii="Arial" w:hAnsi="Arial" w:cs="Arial"/>
        </w:rPr>
        <w:t>zaświadcze</w:t>
      </w:r>
      <w:r w:rsidR="00FF0AB0">
        <w:rPr>
          <w:rFonts w:ascii="Arial" w:hAnsi="Arial" w:cs="Arial"/>
        </w:rPr>
        <w:t>ń</w:t>
      </w:r>
      <w:r w:rsidRPr="00925BCD">
        <w:rPr>
          <w:rFonts w:ascii="Arial" w:hAnsi="Arial" w:cs="Arial"/>
        </w:rPr>
        <w:t xml:space="preserve"> lekarski</w:t>
      </w:r>
      <w:r w:rsidR="00FF0AB0">
        <w:rPr>
          <w:rFonts w:ascii="Arial" w:hAnsi="Arial" w:cs="Arial"/>
        </w:rPr>
        <w:t>ch</w:t>
      </w:r>
      <w:r w:rsidRPr="00925BCD">
        <w:rPr>
          <w:rFonts w:ascii="Arial" w:hAnsi="Arial" w:cs="Arial"/>
        </w:rPr>
        <w:t xml:space="preserve"> o czasowej niezdolności do pracy z powodu choroby z rozpoznaniem oznaczonym według klasyfikacji ICD-10, kodem T60-Toksyczny efekt pestycydów.</w:t>
      </w:r>
    </w:p>
    <w:p w14:paraId="7F82A2A7" w14:textId="0EC7336A" w:rsidR="00CD011C" w:rsidRDefault="004570E6"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Tym samym utrzymuje się stały trend spadku liczby zatruć ludzi środkami ochrony roślin. </w:t>
      </w:r>
    </w:p>
    <w:p w14:paraId="0B890BB1" w14:textId="77777777" w:rsidR="004570E6" w:rsidRPr="00925BCD" w:rsidRDefault="004570E6" w:rsidP="00F27DD8">
      <w:pPr>
        <w:jc w:val="center"/>
        <w:rPr>
          <w:rFonts w:ascii="Arial" w:hAnsi="Arial" w:cs="Arial"/>
          <w:b/>
          <w:bCs/>
          <w:szCs w:val="18"/>
        </w:rPr>
      </w:pPr>
      <w:r w:rsidRPr="00925BCD">
        <w:rPr>
          <w:rFonts w:ascii="Arial" w:hAnsi="Arial" w:cs="Arial"/>
          <w:b/>
          <w:bCs/>
          <w:szCs w:val="18"/>
        </w:rPr>
        <w:t>Wykres 2. Zatrucia ludzi środkami ochrony roślin</w:t>
      </w:r>
    </w:p>
    <w:p w14:paraId="23923867" w14:textId="77777777" w:rsidR="00D72E31" w:rsidRPr="00925BCD" w:rsidRDefault="00D72E31" w:rsidP="00804D7A">
      <w:pPr>
        <w:pStyle w:val="NormalnyWeb"/>
        <w:tabs>
          <w:tab w:val="left" w:pos="284"/>
        </w:tabs>
        <w:spacing w:beforeAutospacing="0" w:after="120" w:afterAutospacing="0" w:line="360" w:lineRule="auto"/>
        <w:ind w:firstLine="284"/>
        <w:jc w:val="both"/>
        <w:rPr>
          <w:rFonts w:ascii="Arial" w:hAnsi="Arial" w:cs="Arial"/>
        </w:rPr>
      </w:pPr>
      <w:r w:rsidRPr="006D456B">
        <w:rPr>
          <w:rFonts w:ascii="Arial" w:hAnsi="Arial" w:cs="Arial"/>
          <w:noProof/>
        </w:rPr>
        <w:drawing>
          <wp:inline distT="0" distB="0" distL="0" distR="0" wp14:anchorId="50BBF581" wp14:editId="0AE1B6A5">
            <wp:extent cx="5262113" cy="2622430"/>
            <wp:effectExtent l="0" t="0" r="15240" b="698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A6FAAA" w14:textId="77777777" w:rsidR="00056846" w:rsidRPr="00925BCD" w:rsidRDefault="00E54725">
      <w:pPr>
        <w:pStyle w:val="Nagwek1"/>
        <w:numPr>
          <w:ilvl w:val="1"/>
          <w:numId w:val="9"/>
        </w:numPr>
        <w:tabs>
          <w:tab w:val="left" w:pos="426"/>
        </w:tabs>
        <w:ind w:left="709" w:hanging="709"/>
        <w:jc w:val="both"/>
        <w:rPr>
          <w:i w:val="0"/>
          <w:sz w:val="22"/>
          <w:szCs w:val="22"/>
        </w:rPr>
      </w:pPr>
      <w:bookmarkStart w:id="13" w:name="_Toc134099250"/>
      <w:r w:rsidRPr="00925BCD">
        <w:rPr>
          <w:i w:val="0"/>
          <w:sz w:val="22"/>
          <w:szCs w:val="22"/>
        </w:rPr>
        <w:t>Mierniki służące monitorowaniu</w:t>
      </w:r>
      <w:bookmarkEnd w:id="13"/>
    </w:p>
    <w:p w14:paraId="53EB3E79"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będzie oceniana na podstawie nieprawidłowości w zakresie stosowania środków ochrony roślin. W 2022 r. poziom  nieprawidłowości w tym zakresie, stwierdzanych w ramach kontroli prowadzonej przez Państwową Inspekcję Ochrony Roślin i Nasiennictwa, powinien wynosić poniżej 5%. </w:t>
      </w:r>
    </w:p>
    <w:p w14:paraId="02C88552" w14:textId="62A525BF"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 nieprawidłowości w zakresie stosowania środków ochrony roślin wyniósł 6,48</w:t>
      </w:r>
      <w:r w:rsidR="00847AF6" w:rsidRPr="00925BCD">
        <w:rPr>
          <w:rFonts w:ascii="Arial" w:hAnsi="Arial" w:cs="Arial"/>
        </w:rPr>
        <w:t>,</w:t>
      </w:r>
      <w:r w:rsidR="008510AB" w:rsidRPr="00925BCD">
        <w:rPr>
          <w:rFonts w:ascii="Arial" w:hAnsi="Arial" w:cs="Arial"/>
        </w:rPr>
        <w:t> w 2019 r. wyniósł 9,05</w:t>
      </w:r>
      <w:r w:rsidR="008510AB" w:rsidRPr="003A0A0D">
        <w:rPr>
          <w:rFonts w:ascii="Arial" w:hAnsi="Arial" w:cs="Arial"/>
        </w:rPr>
        <w:t>%</w:t>
      </w:r>
      <w:r w:rsidR="0086664B" w:rsidRPr="003A0A0D">
        <w:rPr>
          <w:rFonts w:ascii="Arial" w:hAnsi="Arial" w:cs="Arial"/>
        </w:rPr>
        <w:t>, w 2020 r.</w:t>
      </w:r>
      <w:r w:rsidR="00645E54" w:rsidRPr="003A0A0D">
        <w:rPr>
          <w:rFonts w:ascii="Arial" w:hAnsi="Arial" w:cs="Arial"/>
        </w:rPr>
        <w:t xml:space="preserve"> wyniósł </w:t>
      </w:r>
      <w:r w:rsidR="003A0A0D" w:rsidRPr="003A0A0D">
        <w:rPr>
          <w:rFonts w:ascii="Arial" w:hAnsi="Arial" w:cs="Arial"/>
        </w:rPr>
        <w:t>7,8%</w:t>
      </w:r>
      <w:r w:rsidR="00A20B2A">
        <w:rPr>
          <w:rFonts w:ascii="Arial" w:hAnsi="Arial" w:cs="Arial"/>
        </w:rPr>
        <w:t xml:space="preserve">, </w:t>
      </w:r>
      <w:r w:rsidR="00A20B2A" w:rsidRPr="00D86D2F">
        <w:rPr>
          <w:rFonts w:ascii="Arial" w:hAnsi="Arial" w:cs="Arial"/>
        </w:rPr>
        <w:t>a</w:t>
      </w:r>
      <w:r w:rsidR="001F2C6A" w:rsidRPr="00D86D2F">
        <w:rPr>
          <w:rFonts w:ascii="Arial" w:hAnsi="Arial" w:cs="Arial"/>
        </w:rPr>
        <w:t xml:space="preserve"> w 2021</w:t>
      </w:r>
      <w:r w:rsidR="00E21283" w:rsidRPr="00D86D2F">
        <w:rPr>
          <w:rFonts w:ascii="Arial" w:hAnsi="Arial" w:cs="Arial"/>
        </w:rPr>
        <w:t xml:space="preserve"> r. wyniósł </w:t>
      </w:r>
      <w:r w:rsidR="00D86D2F" w:rsidRPr="00D86D2F">
        <w:rPr>
          <w:rFonts w:ascii="Arial" w:hAnsi="Arial" w:cs="Arial"/>
        </w:rPr>
        <w:t>7,38%.</w:t>
      </w:r>
      <w:r w:rsidR="001F2C6A">
        <w:rPr>
          <w:rFonts w:ascii="Arial" w:hAnsi="Arial" w:cs="Arial"/>
        </w:rPr>
        <w:t xml:space="preserve"> </w:t>
      </w:r>
    </w:p>
    <w:p w14:paraId="61AF5AB3" w14:textId="77777777" w:rsidR="00056846" w:rsidRPr="00925BCD" w:rsidRDefault="00E54725">
      <w:pPr>
        <w:pStyle w:val="Nagwek1"/>
        <w:numPr>
          <w:ilvl w:val="0"/>
          <w:numId w:val="9"/>
        </w:numPr>
        <w:ind w:left="284" w:hanging="284"/>
        <w:jc w:val="both"/>
        <w:rPr>
          <w:i w:val="0"/>
          <w:sz w:val="22"/>
          <w:szCs w:val="22"/>
        </w:rPr>
      </w:pPr>
      <w:bookmarkStart w:id="14" w:name="_Toc134099251"/>
      <w:r w:rsidRPr="00925BCD">
        <w:rPr>
          <w:i w:val="0"/>
          <w:sz w:val="22"/>
          <w:szCs w:val="22"/>
        </w:rPr>
        <w:t>Działanie 4. Zapewnienie sprawności technicznej sprzętu przeznaczonego do stosowania środków ochrony roślin</w:t>
      </w:r>
      <w:bookmarkStart w:id="15" w:name="_Toc341876080"/>
      <w:bookmarkStart w:id="16" w:name="_Toc301334598"/>
      <w:bookmarkStart w:id="17" w:name="_Toc300916209"/>
      <w:bookmarkStart w:id="18" w:name="_Toc300753356"/>
      <w:bookmarkEnd w:id="15"/>
      <w:bookmarkEnd w:id="16"/>
      <w:bookmarkEnd w:id="17"/>
      <w:bookmarkEnd w:id="18"/>
      <w:bookmarkEnd w:id="14"/>
    </w:p>
    <w:p w14:paraId="1F3782E9"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Korzystanie z niesprawnego technicznie opryskiwacza może mieć nieodwracalne, negatywne skutki zarówno dla zdrowia człowieka i zwierząt, jak i stanu środowiska. Nierównomierne rozprowadzenie środków ochrony roślin na opryskiwanej powierzchni niesie ze sobą także ryzyko, że na obszarze, na którym ilość użytych środków jest mniejsza od zamierzonej, zostanie ograniczona efektywność zabiegu. Działanie to służy osiągnięciu celów określonych w art. 8 dyrektywy 2009/128/WE</w:t>
      </w:r>
      <w:r w:rsidR="004570E6" w:rsidRPr="00925BCD">
        <w:rPr>
          <w:rFonts w:ascii="Arial" w:hAnsi="Arial" w:cs="Arial"/>
        </w:rPr>
        <w:t>.</w:t>
      </w:r>
    </w:p>
    <w:p w14:paraId="2FA5F51E"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celu ograniczenia ryzyka związanego z używaniem niesprawnych opryskiwaczy do wykonywania zabiegów ochrony roślin, a co za tym idzie zmniejszenia ryzyka nieprawidłowej aplikacji środków ochrony roślin, został utworzony system obligatoryjnych, okresowych badań sprawności technicznej opryskiwaczy. </w:t>
      </w:r>
    </w:p>
    <w:p w14:paraId="0CB95CE3" w14:textId="0612D63A"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sprawności technicznej opryskiwaczy są wykonywane na podstawie ustawy z dnia 8 marca 2013 r. o środkach ochrony roślin oraz przepisów rozporządzenia Ministra Rolnictwa i Rozwoju Wsi z dnia 18 grudnia 2013 r. w sprawie wymagań dotyczących sprawności technicznej sprzętu </w:t>
      </w:r>
      <w:r w:rsidRPr="00925BCD">
        <w:rPr>
          <w:rFonts w:ascii="Arial" w:hAnsi="Arial" w:cs="Arial"/>
        </w:rPr>
        <w:lastRenderedPageBreak/>
        <w:t>przeznaczonego do stosowania środków ochrony roślin (Dz. U. z 2016 r. poz. 760) oraz rozporządzenia Ministra Rolnictwa i Rozwoju Wsi z dnia 13 grudnia 2013 r. w sprawie potwierdzania sprawności technicznej sprzętu przeznaczonego do stosowania środków ochrony roślin (Dz. U. z 2016 r. poz. 924).</w:t>
      </w:r>
    </w:p>
    <w:p w14:paraId="3E2D33E7"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Przepisy ww. ustawy nakładają na użytkowników profesjonalnych środków ochrony roślin obowiązek przeprowadzania zarówno okresowej kontroli stanu technicznego, jak i kalibracji sprzętu przeznaczonego do stosowania tych środków. Zgodnie z tymi przepisami badaniom sprawności technicznej powinny być poddawane: opryskiwacze ciągnikowe i samobieżne polowe lub sadownicze, sprzęt agrolotniczy oraz wykorzystywany w kolejnictwie, a także sprzęt niestandardowy, tj. zaprawiarki do nasion, instalacje przeznaczone do stosowania środków ochrony roślin w formie oprysku lub zamgławiania w szklarniach lub tunelach foliowych, samobieżny lub ciągnikowy sprzęt przeznaczony do stosowania środków ochrony roślin w formie granulatu oraz sprzęt przeznaczony do stosowania środków ochrony roślin w formie oprysku, inny niż opryskiwacze ręczne i plecakowe, którego pojemność zbiornika przekracza 30 litrów.</w:t>
      </w:r>
    </w:p>
    <w:p w14:paraId="672CEAAD"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Mając na uwadze, że dyrektywa 2006/42/WE Parlamentu Europejskiego i Rady z dnia 17 maja 2006 r. w sprawie maszyn, zmieniająca dyrektywę 95/16/WE (przekształcenie) (Dz. Urz. UE L 157 z 09.06.2006, str. 24, z późn. zm.) określa wymagania techniczne, jakie powinny spełniać maszyny przeznaczone do stosowania środków ochrony roślin, wprowadzane do obrotu lub oddawane do użytku (nowe opryskiwacze), to wymienione wyżej przepisy określają wymagania odnoszące się jedynie do opryskiwaczy będących już w użytkowaniu. Ich celem jest sprawdzenie, czy w procesie eksploatacji stan techniczny opryskiwaczy nie uległ pogorszeniu w sposób stwarzający zagrożenie dla zdrowia ludzi i środowiska.</w:t>
      </w:r>
    </w:p>
    <w:p w14:paraId="4133CCCF"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Wskazane wyżej ramy prawne w pełni implementują postanowienia art. 8 dyrektywy 2009/128/WE, a także pozwalają na wyeliminowanie ryzyka wiążącego się ze stosowaniem środków ochrony roślin sprzętem niesprawnym technicznie. </w:t>
      </w:r>
    </w:p>
    <w:p w14:paraId="7B44F27E" w14:textId="42E7AFD3" w:rsidR="00056846" w:rsidRDefault="001B4131" w:rsidP="00804D7A">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E54725" w:rsidRPr="00925BCD">
        <w:rPr>
          <w:rFonts w:ascii="Arial" w:hAnsi="Arial" w:cs="Arial"/>
        </w:rPr>
        <w:t xml:space="preserve">pisy do rejestrów prowadzonych przez wojewódzkich inspektorów ochrony roślin i nasiennictwa </w:t>
      </w:r>
      <w:r w:rsidR="00807FF7" w:rsidRPr="00925BCD">
        <w:rPr>
          <w:rFonts w:ascii="Arial" w:hAnsi="Arial" w:cs="Arial"/>
        </w:rPr>
        <w:t>w</w:t>
      </w:r>
      <w:r w:rsidR="00807FF7">
        <w:rPr>
          <w:rFonts w:ascii="Arial" w:hAnsi="Arial" w:cs="Arial"/>
        </w:rPr>
        <w:t> </w:t>
      </w:r>
      <w:r w:rsidR="00E54725" w:rsidRPr="00925BCD">
        <w:rPr>
          <w:rFonts w:ascii="Arial" w:hAnsi="Arial" w:cs="Arial"/>
        </w:rPr>
        <w:t>zakresie potwierdzania sprawności technicznej sprzętu przeznaczonego do stosowania środków ochrony roślin, z</w:t>
      </w:r>
      <w:r w:rsidR="00DA54F4">
        <w:rPr>
          <w:rFonts w:ascii="Arial" w:hAnsi="Arial" w:cs="Arial"/>
        </w:rPr>
        <w:t> </w:t>
      </w:r>
      <w:r w:rsidR="00E54725" w:rsidRPr="00925BCD">
        <w:rPr>
          <w:rFonts w:ascii="Arial" w:hAnsi="Arial" w:cs="Arial"/>
        </w:rPr>
        <w:t xml:space="preserve">uwzględnieniem zakresów tych upoważnień, </w:t>
      </w:r>
      <w:r>
        <w:rPr>
          <w:rFonts w:ascii="Arial" w:hAnsi="Arial" w:cs="Arial"/>
        </w:rPr>
        <w:t>n</w:t>
      </w:r>
      <w:r w:rsidRPr="00925BCD">
        <w:rPr>
          <w:rFonts w:ascii="Arial" w:hAnsi="Arial" w:cs="Arial"/>
        </w:rPr>
        <w:t xml:space="preserve">a dzień 31 grudnia </w:t>
      </w:r>
      <w:r w:rsidR="00E244AB">
        <w:rPr>
          <w:rFonts w:ascii="Arial" w:hAnsi="Arial" w:cs="Arial"/>
        </w:rPr>
        <w:t xml:space="preserve">w </w:t>
      </w:r>
      <w:r w:rsidR="00D74BFE">
        <w:rPr>
          <w:rFonts w:ascii="Arial" w:hAnsi="Arial" w:cs="Arial"/>
        </w:rPr>
        <w:t>poszczególnych latach sprawozdawczych</w:t>
      </w:r>
      <w:r w:rsidR="00E244AB">
        <w:rPr>
          <w:rFonts w:ascii="Arial" w:hAnsi="Arial" w:cs="Arial"/>
        </w:rPr>
        <w:t>,</w:t>
      </w:r>
      <w:r>
        <w:rPr>
          <w:rFonts w:ascii="Arial" w:hAnsi="Arial" w:cs="Arial"/>
        </w:rPr>
        <w:t xml:space="preserve"> </w:t>
      </w:r>
      <w:r w:rsidR="00BD23CE">
        <w:rPr>
          <w:rFonts w:ascii="Arial" w:hAnsi="Arial" w:cs="Arial"/>
        </w:rPr>
        <w:t>przedstawia</w:t>
      </w:r>
      <w:r w:rsidR="00E54725" w:rsidRPr="00925BCD">
        <w:rPr>
          <w:rFonts w:ascii="Arial" w:hAnsi="Arial" w:cs="Arial"/>
        </w:rPr>
        <w:t xml:space="preserve"> tabela</w:t>
      </w:r>
      <w:r w:rsidR="00BD23CE">
        <w:rPr>
          <w:rFonts w:ascii="Arial" w:hAnsi="Arial" w:cs="Arial"/>
        </w:rPr>
        <w:t xml:space="preserve"> poniżej</w:t>
      </w:r>
      <w:r w:rsidR="00E54725" w:rsidRPr="00925BCD">
        <w:rPr>
          <w:rFonts w:ascii="Arial" w:hAnsi="Arial" w:cs="Arial"/>
        </w:rPr>
        <w:t>.</w:t>
      </w:r>
    </w:p>
    <w:p w14:paraId="4D50FD54" w14:textId="6C39EA5F" w:rsidR="00CD011C" w:rsidRDefault="00CD011C">
      <w:pPr>
        <w:spacing w:after="0" w:line="240" w:lineRule="auto"/>
        <w:rPr>
          <w:rFonts w:ascii="Arial" w:eastAsia="Times New Roman" w:hAnsi="Arial" w:cs="Arial"/>
          <w:sz w:val="20"/>
          <w:szCs w:val="20"/>
          <w:lang w:eastAsia="pl-PL"/>
        </w:rPr>
      </w:pPr>
    </w:p>
    <w:tbl>
      <w:tblPr>
        <w:tblW w:w="9062" w:type="dxa"/>
        <w:tblCellMar>
          <w:left w:w="70" w:type="dxa"/>
          <w:right w:w="70" w:type="dxa"/>
        </w:tblCellMar>
        <w:tblLook w:val="04A0" w:firstRow="1" w:lastRow="0" w:firstColumn="1" w:lastColumn="0" w:noHBand="0" w:noVBand="1"/>
      </w:tblPr>
      <w:tblGrid>
        <w:gridCol w:w="5307"/>
        <w:gridCol w:w="1015"/>
        <w:gridCol w:w="1000"/>
        <w:gridCol w:w="919"/>
        <w:gridCol w:w="821"/>
      </w:tblGrid>
      <w:tr w:rsidR="00E244AB" w:rsidRPr="00925BCD" w14:paraId="67465FF2" w14:textId="5A8C1777" w:rsidTr="00E244AB">
        <w:trPr>
          <w:trHeight w:val="1345"/>
        </w:trPr>
        <w:tc>
          <w:tcPr>
            <w:tcW w:w="53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CF0D" w14:textId="77777777" w:rsidR="00E244AB" w:rsidRPr="00925BCD" w:rsidRDefault="00E244AB">
            <w:pPr>
              <w:jc w:val="center"/>
              <w:rPr>
                <w:rFonts w:ascii="Arial" w:hAnsi="Arial" w:cs="Arial"/>
                <w:b/>
                <w:bCs/>
                <w:color w:val="000000"/>
              </w:rPr>
            </w:pPr>
            <w:r w:rsidRPr="00925BCD">
              <w:rPr>
                <w:rFonts w:ascii="Arial" w:hAnsi="Arial" w:cs="Arial"/>
                <w:b/>
                <w:bCs/>
                <w:color w:val="000000"/>
              </w:rPr>
              <w:lastRenderedPageBreak/>
              <w:t xml:space="preserve">Liczba jednostek upoważnionych do prowadzenia badań opryskiwaczy/ liczba przedsiębiorców/podmiotów prowadzących działalność w zakresie potwierdzania sprawności technicznej sprzętu przeznaczonego do stosowania środków ochrony roślin </w:t>
            </w:r>
          </w:p>
        </w:tc>
        <w:tc>
          <w:tcPr>
            <w:tcW w:w="1015" w:type="dxa"/>
            <w:tcBorders>
              <w:top w:val="single" w:sz="4" w:space="0" w:color="000000"/>
              <w:bottom w:val="single" w:sz="4" w:space="0" w:color="000000"/>
              <w:right w:val="single" w:sz="4" w:space="0" w:color="000000"/>
            </w:tcBorders>
            <w:vAlign w:val="center"/>
          </w:tcPr>
          <w:p w14:paraId="6F6EE230" w14:textId="77777777" w:rsidR="00E244AB" w:rsidRPr="00925BCD" w:rsidRDefault="00E244AB">
            <w:pPr>
              <w:jc w:val="center"/>
              <w:rPr>
                <w:rFonts w:ascii="Arial" w:hAnsi="Arial" w:cs="Arial"/>
                <w:b/>
                <w:bCs/>
                <w:color w:val="000000"/>
              </w:rPr>
            </w:pPr>
            <w:r w:rsidRPr="00925BCD">
              <w:rPr>
                <w:rFonts w:ascii="Arial" w:hAnsi="Arial" w:cs="Arial"/>
                <w:b/>
                <w:bCs/>
                <w:color w:val="000000"/>
              </w:rPr>
              <w:t>2018</w:t>
            </w:r>
          </w:p>
        </w:tc>
        <w:tc>
          <w:tcPr>
            <w:tcW w:w="1000" w:type="dxa"/>
            <w:tcBorders>
              <w:top w:val="single" w:sz="4" w:space="0" w:color="000000"/>
              <w:bottom w:val="single" w:sz="4" w:space="0" w:color="000000"/>
              <w:right w:val="single" w:sz="4" w:space="0" w:color="000000"/>
            </w:tcBorders>
            <w:vAlign w:val="center"/>
          </w:tcPr>
          <w:p w14:paraId="0BE83BAF" w14:textId="77777777" w:rsidR="00E244AB" w:rsidRPr="00925BCD" w:rsidRDefault="00E244AB" w:rsidP="00C03D4A">
            <w:pPr>
              <w:jc w:val="center"/>
              <w:rPr>
                <w:rFonts w:ascii="Arial" w:hAnsi="Arial" w:cs="Arial"/>
                <w:b/>
                <w:bCs/>
                <w:color w:val="000000"/>
              </w:rPr>
            </w:pPr>
            <w:r w:rsidRPr="00925BCD">
              <w:rPr>
                <w:rFonts w:ascii="Arial" w:hAnsi="Arial" w:cs="Arial"/>
                <w:b/>
                <w:bCs/>
                <w:color w:val="000000"/>
              </w:rPr>
              <w:t>2019</w:t>
            </w:r>
          </w:p>
        </w:tc>
        <w:tc>
          <w:tcPr>
            <w:tcW w:w="919" w:type="dxa"/>
            <w:tcBorders>
              <w:top w:val="single" w:sz="4" w:space="0" w:color="000000"/>
              <w:bottom w:val="single" w:sz="4" w:space="0" w:color="000000"/>
              <w:right w:val="single" w:sz="4" w:space="0" w:color="000000"/>
            </w:tcBorders>
            <w:vAlign w:val="center"/>
          </w:tcPr>
          <w:p w14:paraId="31F389B0" w14:textId="0AE94346" w:rsidR="00E244AB" w:rsidRPr="0086664B" w:rsidRDefault="00E244AB" w:rsidP="0086664B">
            <w:pPr>
              <w:jc w:val="center"/>
              <w:rPr>
                <w:rFonts w:ascii="Arial" w:hAnsi="Arial" w:cs="Arial"/>
                <w:b/>
                <w:bCs/>
              </w:rPr>
            </w:pPr>
            <w:r w:rsidRPr="0086664B">
              <w:rPr>
                <w:rFonts w:ascii="Arial" w:hAnsi="Arial" w:cs="Arial"/>
                <w:b/>
                <w:bCs/>
              </w:rPr>
              <w:t>2020</w:t>
            </w:r>
          </w:p>
        </w:tc>
        <w:tc>
          <w:tcPr>
            <w:tcW w:w="821" w:type="dxa"/>
            <w:tcBorders>
              <w:top w:val="single" w:sz="4" w:space="0" w:color="000000"/>
              <w:bottom w:val="single" w:sz="4" w:space="0" w:color="000000"/>
              <w:right w:val="single" w:sz="4" w:space="0" w:color="000000"/>
            </w:tcBorders>
            <w:vAlign w:val="center"/>
          </w:tcPr>
          <w:p w14:paraId="4B6D0A12" w14:textId="544303C6" w:rsidR="00E244AB" w:rsidRPr="0086664B" w:rsidRDefault="00E244AB" w:rsidP="00E244AB">
            <w:pPr>
              <w:jc w:val="center"/>
              <w:rPr>
                <w:rFonts w:ascii="Arial" w:hAnsi="Arial" w:cs="Arial"/>
                <w:b/>
                <w:bCs/>
              </w:rPr>
            </w:pPr>
            <w:r>
              <w:rPr>
                <w:rFonts w:ascii="Arial" w:hAnsi="Arial" w:cs="Arial"/>
                <w:b/>
                <w:bCs/>
              </w:rPr>
              <w:t>2021</w:t>
            </w:r>
          </w:p>
        </w:tc>
      </w:tr>
      <w:tr w:rsidR="00E244AB" w:rsidRPr="00925BCD" w14:paraId="589A6F7F" w14:textId="31282636" w:rsidTr="00E244AB">
        <w:trPr>
          <w:trHeight w:val="300"/>
        </w:trPr>
        <w:tc>
          <w:tcPr>
            <w:tcW w:w="5307" w:type="dxa"/>
            <w:tcBorders>
              <w:left w:val="single" w:sz="4" w:space="0" w:color="000000"/>
              <w:bottom w:val="single" w:sz="4" w:space="0" w:color="000000"/>
              <w:right w:val="single" w:sz="4" w:space="0" w:color="000000"/>
            </w:tcBorders>
            <w:shd w:val="clear" w:color="auto" w:fill="auto"/>
            <w:vAlign w:val="center"/>
          </w:tcPr>
          <w:p w14:paraId="11DBA9AC" w14:textId="77777777" w:rsidR="00E244AB" w:rsidRPr="00925BCD" w:rsidRDefault="00E244AB">
            <w:pPr>
              <w:rPr>
                <w:rFonts w:ascii="Arial" w:hAnsi="Arial" w:cs="Arial"/>
                <w:color w:val="000000"/>
              </w:rPr>
            </w:pPr>
            <w:r w:rsidRPr="00925BCD">
              <w:rPr>
                <w:rFonts w:ascii="Arial" w:hAnsi="Arial" w:cs="Arial"/>
                <w:color w:val="000000"/>
              </w:rPr>
              <w:t>Ogółem, w tym badających:</w:t>
            </w:r>
          </w:p>
        </w:tc>
        <w:tc>
          <w:tcPr>
            <w:tcW w:w="1015" w:type="dxa"/>
            <w:tcBorders>
              <w:bottom w:val="single" w:sz="4" w:space="0" w:color="000000"/>
              <w:right w:val="single" w:sz="4" w:space="0" w:color="000000"/>
            </w:tcBorders>
            <w:vAlign w:val="center"/>
          </w:tcPr>
          <w:p w14:paraId="3308EE65" w14:textId="77777777" w:rsidR="00E244AB" w:rsidRPr="00925BCD" w:rsidRDefault="00E244AB">
            <w:pPr>
              <w:jc w:val="center"/>
              <w:rPr>
                <w:rFonts w:ascii="Arial" w:hAnsi="Arial" w:cs="Arial"/>
                <w:color w:val="000000"/>
              </w:rPr>
            </w:pPr>
            <w:r w:rsidRPr="00925BCD">
              <w:rPr>
                <w:rFonts w:ascii="Arial" w:hAnsi="Arial" w:cs="Arial"/>
                <w:color w:val="000000"/>
              </w:rPr>
              <w:t>392</w:t>
            </w:r>
          </w:p>
        </w:tc>
        <w:tc>
          <w:tcPr>
            <w:tcW w:w="1000" w:type="dxa"/>
            <w:tcBorders>
              <w:bottom w:val="single" w:sz="4" w:space="0" w:color="000000"/>
              <w:right w:val="single" w:sz="4" w:space="0" w:color="000000"/>
            </w:tcBorders>
            <w:vAlign w:val="center"/>
          </w:tcPr>
          <w:p w14:paraId="78AE7A65" w14:textId="77777777" w:rsidR="00E244AB" w:rsidRPr="00925BCD" w:rsidRDefault="00E244AB" w:rsidP="008510AB">
            <w:pPr>
              <w:jc w:val="center"/>
              <w:rPr>
                <w:rFonts w:ascii="Arial" w:hAnsi="Arial" w:cs="Arial"/>
                <w:color w:val="000000"/>
              </w:rPr>
            </w:pPr>
            <w:r w:rsidRPr="00925BCD">
              <w:rPr>
                <w:rFonts w:ascii="Arial" w:hAnsi="Arial" w:cs="Arial"/>
                <w:color w:val="000000"/>
              </w:rPr>
              <w:t>386</w:t>
            </w:r>
          </w:p>
        </w:tc>
        <w:tc>
          <w:tcPr>
            <w:tcW w:w="919" w:type="dxa"/>
            <w:tcBorders>
              <w:bottom w:val="single" w:sz="4" w:space="0" w:color="000000"/>
              <w:right w:val="single" w:sz="4" w:space="0" w:color="000000"/>
            </w:tcBorders>
            <w:vAlign w:val="center"/>
          </w:tcPr>
          <w:p w14:paraId="02A4135A" w14:textId="62CA153E" w:rsidR="00E244AB" w:rsidRPr="0086664B" w:rsidRDefault="00E244AB" w:rsidP="0086664B">
            <w:pPr>
              <w:jc w:val="center"/>
              <w:rPr>
                <w:rFonts w:ascii="Arial" w:hAnsi="Arial" w:cs="Arial"/>
              </w:rPr>
            </w:pPr>
            <w:r w:rsidRPr="0086664B">
              <w:rPr>
                <w:rFonts w:ascii="Arial" w:hAnsi="Arial" w:cs="Arial"/>
              </w:rPr>
              <w:t>365</w:t>
            </w:r>
          </w:p>
        </w:tc>
        <w:tc>
          <w:tcPr>
            <w:tcW w:w="821" w:type="dxa"/>
            <w:tcBorders>
              <w:bottom w:val="single" w:sz="4" w:space="0" w:color="000000"/>
              <w:right w:val="single" w:sz="4" w:space="0" w:color="000000"/>
            </w:tcBorders>
            <w:vAlign w:val="center"/>
          </w:tcPr>
          <w:p w14:paraId="6C4EBF01" w14:textId="468E8979" w:rsidR="00E244AB" w:rsidRPr="00E244AB" w:rsidRDefault="00E244AB" w:rsidP="00E244AB">
            <w:pPr>
              <w:jc w:val="center"/>
              <w:rPr>
                <w:rFonts w:ascii="Arial" w:hAnsi="Arial" w:cs="Arial"/>
                <w:bCs/>
              </w:rPr>
            </w:pPr>
            <w:r w:rsidRPr="00E244AB">
              <w:rPr>
                <w:rFonts w:ascii="Arial" w:hAnsi="Arial" w:cs="Arial"/>
                <w:bCs/>
              </w:rPr>
              <w:t>356</w:t>
            </w:r>
          </w:p>
        </w:tc>
      </w:tr>
      <w:tr w:rsidR="00E244AB" w:rsidRPr="00925BCD" w14:paraId="48A59E4A" w14:textId="24027DF4" w:rsidTr="00E244AB">
        <w:trPr>
          <w:trHeight w:val="300"/>
        </w:trPr>
        <w:tc>
          <w:tcPr>
            <w:tcW w:w="5307" w:type="dxa"/>
            <w:tcBorders>
              <w:left w:val="single" w:sz="4" w:space="0" w:color="000000"/>
              <w:bottom w:val="single" w:sz="4" w:space="0" w:color="000000"/>
              <w:right w:val="single" w:sz="4" w:space="0" w:color="000000"/>
            </w:tcBorders>
            <w:shd w:val="clear" w:color="auto" w:fill="auto"/>
            <w:vAlign w:val="center"/>
          </w:tcPr>
          <w:p w14:paraId="37B45040" w14:textId="77777777" w:rsidR="00E244AB" w:rsidRPr="00925BCD" w:rsidRDefault="00E244A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opryskiwacze ciągnikowe i samobieżne polowe</w:t>
            </w:r>
          </w:p>
        </w:tc>
        <w:tc>
          <w:tcPr>
            <w:tcW w:w="1015" w:type="dxa"/>
            <w:tcBorders>
              <w:bottom w:val="single" w:sz="4" w:space="0" w:color="000000"/>
              <w:right w:val="single" w:sz="4" w:space="0" w:color="000000"/>
            </w:tcBorders>
            <w:vAlign w:val="center"/>
          </w:tcPr>
          <w:p w14:paraId="1B777D6C" w14:textId="77777777" w:rsidR="00E244AB" w:rsidRPr="00925BCD" w:rsidRDefault="00E244AB">
            <w:pPr>
              <w:jc w:val="center"/>
              <w:rPr>
                <w:rFonts w:ascii="Arial" w:hAnsi="Arial" w:cs="Arial"/>
                <w:color w:val="000000"/>
              </w:rPr>
            </w:pPr>
            <w:r w:rsidRPr="00925BCD">
              <w:rPr>
                <w:rFonts w:ascii="Arial" w:hAnsi="Arial" w:cs="Arial"/>
                <w:color w:val="000000"/>
              </w:rPr>
              <w:t>377</w:t>
            </w:r>
          </w:p>
        </w:tc>
        <w:tc>
          <w:tcPr>
            <w:tcW w:w="1000" w:type="dxa"/>
            <w:tcBorders>
              <w:bottom w:val="single" w:sz="4" w:space="0" w:color="000000"/>
              <w:right w:val="single" w:sz="4" w:space="0" w:color="000000"/>
            </w:tcBorders>
            <w:vAlign w:val="center"/>
          </w:tcPr>
          <w:p w14:paraId="5213475D" w14:textId="77777777" w:rsidR="00E244AB" w:rsidRPr="00925BCD" w:rsidRDefault="00E244AB" w:rsidP="008510AB">
            <w:pPr>
              <w:jc w:val="center"/>
              <w:rPr>
                <w:rFonts w:ascii="Arial" w:hAnsi="Arial" w:cs="Arial"/>
                <w:color w:val="000000"/>
              </w:rPr>
            </w:pPr>
            <w:r w:rsidRPr="00925BCD">
              <w:rPr>
                <w:rFonts w:ascii="Arial" w:hAnsi="Arial" w:cs="Arial"/>
                <w:color w:val="000000"/>
              </w:rPr>
              <w:t>349</w:t>
            </w:r>
          </w:p>
        </w:tc>
        <w:tc>
          <w:tcPr>
            <w:tcW w:w="919" w:type="dxa"/>
            <w:tcBorders>
              <w:bottom w:val="single" w:sz="4" w:space="0" w:color="000000"/>
              <w:right w:val="single" w:sz="4" w:space="0" w:color="000000"/>
            </w:tcBorders>
            <w:vAlign w:val="center"/>
          </w:tcPr>
          <w:p w14:paraId="3AA76C9B" w14:textId="66D672E5" w:rsidR="00E244AB" w:rsidRPr="0086664B" w:rsidRDefault="00E244AB" w:rsidP="0086664B">
            <w:pPr>
              <w:jc w:val="center"/>
              <w:rPr>
                <w:rFonts w:ascii="Arial" w:hAnsi="Arial" w:cs="Arial"/>
              </w:rPr>
            </w:pPr>
            <w:r w:rsidRPr="0086664B">
              <w:rPr>
                <w:rFonts w:ascii="Arial" w:hAnsi="Arial" w:cs="Arial"/>
              </w:rPr>
              <w:t>349</w:t>
            </w:r>
          </w:p>
        </w:tc>
        <w:tc>
          <w:tcPr>
            <w:tcW w:w="821" w:type="dxa"/>
            <w:tcBorders>
              <w:bottom w:val="single" w:sz="4" w:space="0" w:color="000000"/>
              <w:right w:val="single" w:sz="4" w:space="0" w:color="000000"/>
            </w:tcBorders>
            <w:vAlign w:val="center"/>
          </w:tcPr>
          <w:p w14:paraId="0EA6C565" w14:textId="79ABB227" w:rsidR="00E244AB" w:rsidRPr="00E244AB" w:rsidRDefault="00E244AB" w:rsidP="00E244AB">
            <w:pPr>
              <w:jc w:val="center"/>
              <w:rPr>
                <w:rFonts w:ascii="Arial" w:hAnsi="Arial" w:cs="Arial"/>
                <w:bCs/>
              </w:rPr>
            </w:pPr>
            <w:r w:rsidRPr="00E244AB">
              <w:rPr>
                <w:rFonts w:ascii="Arial" w:hAnsi="Arial" w:cs="Arial"/>
                <w:bCs/>
              </w:rPr>
              <w:t>334</w:t>
            </w:r>
          </w:p>
        </w:tc>
      </w:tr>
      <w:tr w:rsidR="00E244AB" w:rsidRPr="00925BCD" w14:paraId="495B8BEC" w14:textId="2EEF7FAC" w:rsidTr="00E244AB">
        <w:trPr>
          <w:trHeight w:val="300"/>
        </w:trPr>
        <w:tc>
          <w:tcPr>
            <w:tcW w:w="5307" w:type="dxa"/>
            <w:tcBorders>
              <w:left w:val="single" w:sz="4" w:space="0" w:color="000000"/>
              <w:bottom w:val="single" w:sz="4" w:space="0" w:color="000000"/>
              <w:right w:val="single" w:sz="4" w:space="0" w:color="000000"/>
            </w:tcBorders>
            <w:shd w:val="clear" w:color="auto" w:fill="auto"/>
            <w:vAlign w:val="center"/>
          </w:tcPr>
          <w:p w14:paraId="14B65F1E" w14:textId="77777777" w:rsidR="00E244AB" w:rsidRPr="00925BCD" w:rsidRDefault="00E244A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opryskiwacze ciągnikowe i samobieżne sadownicze</w:t>
            </w:r>
          </w:p>
        </w:tc>
        <w:tc>
          <w:tcPr>
            <w:tcW w:w="1015" w:type="dxa"/>
            <w:tcBorders>
              <w:bottom w:val="single" w:sz="4" w:space="0" w:color="000000"/>
              <w:right w:val="single" w:sz="4" w:space="0" w:color="000000"/>
            </w:tcBorders>
            <w:vAlign w:val="center"/>
          </w:tcPr>
          <w:p w14:paraId="336BBA65" w14:textId="77777777" w:rsidR="00E244AB" w:rsidRPr="00925BCD" w:rsidRDefault="00E244AB">
            <w:pPr>
              <w:jc w:val="center"/>
              <w:rPr>
                <w:rFonts w:ascii="Arial" w:hAnsi="Arial" w:cs="Arial"/>
                <w:color w:val="000000"/>
              </w:rPr>
            </w:pPr>
            <w:r w:rsidRPr="00925BCD">
              <w:rPr>
                <w:rFonts w:ascii="Arial" w:hAnsi="Arial" w:cs="Arial"/>
                <w:color w:val="000000"/>
              </w:rPr>
              <w:t>187</w:t>
            </w:r>
          </w:p>
        </w:tc>
        <w:tc>
          <w:tcPr>
            <w:tcW w:w="1000" w:type="dxa"/>
            <w:tcBorders>
              <w:bottom w:val="single" w:sz="4" w:space="0" w:color="000000"/>
              <w:right w:val="single" w:sz="4" w:space="0" w:color="000000"/>
            </w:tcBorders>
            <w:vAlign w:val="center"/>
          </w:tcPr>
          <w:p w14:paraId="46DA8CE2" w14:textId="77777777" w:rsidR="00E244AB" w:rsidRPr="00925BCD" w:rsidRDefault="00E244AB" w:rsidP="008510AB">
            <w:pPr>
              <w:jc w:val="center"/>
              <w:rPr>
                <w:rFonts w:ascii="Arial" w:hAnsi="Arial" w:cs="Arial"/>
                <w:color w:val="000000"/>
              </w:rPr>
            </w:pPr>
            <w:r w:rsidRPr="00925BCD">
              <w:rPr>
                <w:rFonts w:ascii="Arial" w:hAnsi="Arial" w:cs="Arial"/>
                <w:color w:val="000000"/>
              </w:rPr>
              <w:t>181</w:t>
            </w:r>
          </w:p>
        </w:tc>
        <w:tc>
          <w:tcPr>
            <w:tcW w:w="919" w:type="dxa"/>
            <w:tcBorders>
              <w:bottom w:val="single" w:sz="4" w:space="0" w:color="000000"/>
              <w:right w:val="single" w:sz="4" w:space="0" w:color="000000"/>
            </w:tcBorders>
            <w:vAlign w:val="center"/>
          </w:tcPr>
          <w:p w14:paraId="0C16AD58" w14:textId="77276D90" w:rsidR="00E244AB" w:rsidRPr="0086664B" w:rsidRDefault="00E244AB" w:rsidP="0086664B">
            <w:pPr>
              <w:jc w:val="center"/>
              <w:rPr>
                <w:rFonts w:ascii="Arial" w:hAnsi="Arial" w:cs="Arial"/>
              </w:rPr>
            </w:pPr>
            <w:r w:rsidRPr="0086664B">
              <w:rPr>
                <w:rFonts w:ascii="Arial" w:hAnsi="Arial" w:cs="Arial"/>
              </w:rPr>
              <w:t>181</w:t>
            </w:r>
          </w:p>
        </w:tc>
        <w:tc>
          <w:tcPr>
            <w:tcW w:w="821" w:type="dxa"/>
            <w:tcBorders>
              <w:bottom w:val="single" w:sz="4" w:space="0" w:color="000000"/>
              <w:right w:val="single" w:sz="4" w:space="0" w:color="000000"/>
            </w:tcBorders>
            <w:vAlign w:val="center"/>
          </w:tcPr>
          <w:p w14:paraId="3501A401" w14:textId="47CD3F0C" w:rsidR="00E244AB" w:rsidRPr="00E244AB" w:rsidRDefault="00E244AB" w:rsidP="00E244AB">
            <w:pPr>
              <w:jc w:val="center"/>
              <w:rPr>
                <w:rFonts w:ascii="Arial" w:hAnsi="Arial" w:cs="Arial"/>
                <w:bCs/>
              </w:rPr>
            </w:pPr>
            <w:r>
              <w:rPr>
                <w:rFonts w:ascii="Arial" w:hAnsi="Arial" w:cs="Arial"/>
                <w:bCs/>
              </w:rPr>
              <w:t>173</w:t>
            </w:r>
          </w:p>
        </w:tc>
      </w:tr>
      <w:tr w:rsidR="00E244AB" w:rsidRPr="00925BCD" w14:paraId="260408F9" w14:textId="1AFD8EE3" w:rsidTr="00E244AB">
        <w:trPr>
          <w:trHeight w:val="510"/>
        </w:trPr>
        <w:tc>
          <w:tcPr>
            <w:tcW w:w="5307" w:type="dxa"/>
            <w:tcBorders>
              <w:left w:val="single" w:sz="4" w:space="0" w:color="000000"/>
              <w:bottom w:val="single" w:sz="4" w:space="0" w:color="000000"/>
              <w:right w:val="single" w:sz="4" w:space="0" w:color="000000"/>
            </w:tcBorders>
            <w:shd w:val="clear" w:color="auto" w:fill="auto"/>
            <w:vAlign w:val="center"/>
          </w:tcPr>
          <w:p w14:paraId="5813C40F" w14:textId="77777777" w:rsidR="00E244AB" w:rsidRPr="00925BCD" w:rsidRDefault="00E244A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opryskiwacze wyposażone w belkę opryskową, montowane na pojazdach kolejowych</w:t>
            </w:r>
          </w:p>
        </w:tc>
        <w:tc>
          <w:tcPr>
            <w:tcW w:w="1015" w:type="dxa"/>
            <w:tcBorders>
              <w:bottom w:val="single" w:sz="4" w:space="0" w:color="000000"/>
              <w:right w:val="single" w:sz="4" w:space="0" w:color="000000"/>
            </w:tcBorders>
            <w:vAlign w:val="center"/>
          </w:tcPr>
          <w:p w14:paraId="09555FCD" w14:textId="77777777" w:rsidR="00E244AB" w:rsidRPr="00925BCD" w:rsidRDefault="00E244AB">
            <w:pPr>
              <w:jc w:val="center"/>
              <w:rPr>
                <w:rFonts w:ascii="Arial" w:hAnsi="Arial" w:cs="Arial"/>
                <w:color w:val="000000"/>
              </w:rPr>
            </w:pPr>
            <w:r w:rsidRPr="00925BCD">
              <w:rPr>
                <w:rFonts w:ascii="Arial" w:hAnsi="Arial" w:cs="Arial"/>
                <w:color w:val="000000"/>
              </w:rPr>
              <w:t>66</w:t>
            </w:r>
          </w:p>
        </w:tc>
        <w:tc>
          <w:tcPr>
            <w:tcW w:w="1000" w:type="dxa"/>
            <w:tcBorders>
              <w:bottom w:val="single" w:sz="4" w:space="0" w:color="000000"/>
              <w:right w:val="single" w:sz="4" w:space="0" w:color="000000"/>
            </w:tcBorders>
            <w:vAlign w:val="center"/>
          </w:tcPr>
          <w:p w14:paraId="2B48E19D" w14:textId="77777777" w:rsidR="00E244AB" w:rsidRPr="00925BCD" w:rsidRDefault="00E244AB" w:rsidP="00C03D4A">
            <w:pPr>
              <w:jc w:val="center"/>
              <w:rPr>
                <w:rFonts w:ascii="Arial" w:hAnsi="Arial" w:cs="Arial"/>
                <w:color w:val="000000"/>
              </w:rPr>
            </w:pPr>
            <w:r w:rsidRPr="00925BCD">
              <w:rPr>
                <w:rFonts w:ascii="Arial" w:hAnsi="Arial" w:cs="Arial"/>
                <w:color w:val="000000"/>
              </w:rPr>
              <w:t>67</w:t>
            </w:r>
          </w:p>
        </w:tc>
        <w:tc>
          <w:tcPr>
            <w:tcW w:w="919" w:type="dxa"/>
            <w:tcBorders>
              <w:bottom w:val="single" w:sz="4" w:space="0" w:color="000000"/>
              <w:right w:val="single" w:sz="4" w:space="0" w:color="000000"/>
            </w:tcBorders>
            <w:vAlign w:val="center"/>
          </w:tcPr>
          <w:p w14:paraId="1C75D3CB" w14:textId="119ADACB" w:rsidR="00E244AB" w:rsidRPr="0086664B" w:rsidRDefault="00E244AB" w:rsidP="0086664B">
            <w:pPr>
              <w:jc w:val="center"/>
              <w:rPr>
                <w:rFonts w:ascii="Arial" w:hAnsi="Arial" w:cs="Arial"/>
              </w:rPr>
            </w:pPr>
            <w:r w:rsidRPr="0086664B">
              <w:rPr>
                <w:rFonts w:ascii="Arial" w:hAnsi="Arial" w:cs="Arial"/>
              </w:rPr>
              <w:t>72</w:t>
            </w:r>
          </w:p>
        </w:tc>
        <w:tc>
          <w:tcPr>
            <w:tcW w:w="821" w:type="dxa"/>
            <w:tcBorders>
              <w:bottom w:val="single" w:sz="4" w:space="0" w:color="000000"/>
              <w:right w:val="single" w:sz="4" w:space="0" w:color="000000"/>
            </w:tcBorders>
            <w:vAlign w:val="center"/>
          </w:tcPr>
          <w:p w14:paraId="0C5F49C0" w14:textId="25DB5D22" w:rsidR="00E244AB" w:rsidRPr="00E244AB" w:rsidRDefault="00E244AB" w:rsidP="00E244AB">
            <w:pPr>
              <w:jc w:val="center"/>
              <w:rPr>
                <w:rFonts w:ascii="Arial" w:hAnsi="Arial" w:cs="Arial"/>
                <w:bCs/>
              </w:rPr>
            </w:pPr>
            <w:r>
              <w:rPr>
                <w:rFonts w:ascii="Arial" w:hAnsi="Arial" w:cs="Arial"/>
                <w:bCs/>
              </w:rPr>
              <w:t>69</w:t>
            </w:r>
          </w:p>
        </w:tc>
      </w:tr>
      <w:tr w:rsidR="00E244AB" w:rsidRPr="00925BCD" w14:paraId="446B1AA0" w14:textId="3E9CEF77" w:rsidTr="00E244AB">
        <w:trPr>
          <w:trHeight w:val="510"/>
        </w:trPr>
        <w:tc>
          <w:tcPr>
            <w:tcW w:w="5307" w:type="dxa"/>
            <w:tcBorders>
              <w:left w:val="single" w:sz="4" w:space="0" w:color="000000"/>
              <w:bottom w:val="single" w:sz="4" w:space="0" w:color="000000"/>
              <w:right w:val="single" w:sz="4" w:space="0" w:color="000000"/>
            </w:tcBorders>
            <w:shd w:val="clear" w:color="auto" w:fill="auto"/>
            <w:vAlign w:val="center"/>
          </w:tcPr>
          <w:p w14:paraId="03D8F022" w14:textId="77777777" w:rsidR="00E244AB" w:rsidRPr="00925BCD" w:rsidRDefault="00E244A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 xml:space="preserve">inny sprzęt przeznaczony do stosowania </w:t>
            </w:r>
            <w:proofErr w:type="spellStart"/>
            <w:r w:rsidRPr="00925BCD">
              <w:rPr>
                <w:rFonts w:ascii="Arial" w:eastAsia="Calibri" w:hAnsi="Arial" w:cs="Arial"/>
                <w:color w:val="000000"/>
              </w:rPr>
              <w:t>śor</w:t>
            </w:r>
            <w:proofErr w:type="spellEnd"/>
            <w:r w:rsidRPr="00925BCD">
              <w:rPr>
                <w:rFonts w:ascii="Arial" w:eastAsia="Calibri" w:hAnsi="Arial" w:cs="Arial"/>
                <w:color w:val="000000"/>
              </w:rPr>
              <w:t xml:space="preserve"> montowany na pojazdach kolejowych</w:t>
            </w:r>
          </w:p>
        </w:tc>
        <w:tc>
          <w:tcPr>
            <w:tcW w:w="1015" w:type="dxa"/>
            <w:tcBorders>
              <w:bottom w:val="single" w:sz="4" w:space="0" w:color="000000"/>
              <w:right w:val="single" w:sz="4" w:space="0" w:color="000000"/>
            </w:tcBorders>
            <w:vAlign w:val="center"/>
          </w:tcPr>
          <w:p w14:paraId="3480FA41" w14:textId="77777777" w:rsidR="00E244AB" w:rsidRPr="00925BCD" w:rsidRDefault="00E244AB">
            <w:pPr>
              <w:jc w:val="center"/>
              <w:rPr>
                <w:rFonts w:ascii="Arial" w:hAnsi="Arial" w:cs="Arial"/>
                <w:color w:val="000000"/>
              </w:rPr>
            </w:pPr>
            <w:r w:rsidRPr="00925BCD">
              <w:rPr>
                <w:rFonts w:ascii="Arial" w:hAnsi="Arial" w:cs="Arial"/>
                <w:color w:val="000000"/>
              </w:rPr>
              <w:t>55</w:t>
            </w:r>
          </w:p>
        </w:tc>
        <w:tc>
          <w:tcPr>
            <w:tcW w:w="1000" w:type="dxa"/>
            <w:tcBorders>
              <w:bottom w:val="single" w:sz="4" w:space="0" w:color="000000"/>
              <w:right w:val="single" w:sz="4" w:space="0" w:color="000000"/>
            </w:tcBorders>
            <w:vAlign w:val="center"/>
          </w:tcPr>
          <w:p w14:paraId="530D6867" w14:textId="77777777" w:rsidR="00E244AB" w:rsidRPr="00925BCD" w:rsidRDefault="00E244AB" w:rsidP="00C03D4A">
            <w:pPr>
              <w:jc w:val="center"/>
              <w:rPr>
                <w:rFonts w:ascii="Arial" w:hAnsi="Arial" w:cs="Arial"/>
                <w:color w:val="000000"/>
              </w:rPr>
            </w:pPr>
            <w:r w:rsidRPr="00925BCD">
              <w:rPr>
                <w:rFonts w:ascii="Arial" w:hAnsi="Arial" w:cs="Arial"/>
                <w:color w:val="000000"/>
              </w:rPr>
              <w:t>53</w:t>
            </w:r>
          </w:p>
        </w:tc>
        <w:tc>
          <w:tcPr>
            <w:tcW w:w="919" w:type="dxa"/>
            <w:tcBorders>
              <w:bottom w:val="single" w:sz="4" w:space="0" w:color="000000"/>
              <w:right w:val="single" w:sz="4" w:space="0" w:color="000000"/>
            </w:tcBorders>
            <w:vAlign w:val="center"/>
          </w:tcPr>
          <w:p w14:paraId="2297CAE6" w14:textId="2E958A36" w:rsidR="00E244AB" w:rsidRPr="0086664B" w:rsidRDefault="00E244AB" w:rsidP="0086664B">
            <w:pPr>
              <w:jc w:val="center"/>
              <w:rPr>
                <w:rFonts w:ascii="Arial" w:hAnsi="Arial" w:cs="Arial"/>
              </w:rPr>
            </w:pPr>
            <w:r w:rsidRPr="0086664B">
              <w:rPr>
                <w:rFonts w:ascii="Arial" w:hAnsi="Arial" w:cs="Arial"/>
              </w:rPr>
              <w:t>50</w:t>
            </w:r>
          </w:p>
        </w:tc>
        <w:tc>
          <w:tcPr>
            <w:tcW w:w="821" w:type="dxa"/>
            <w:tcBorders>
              <w:bottom w:val="single" w:sz="4" w:space="0" w:color="000000"/>
              <w:right w:val="single" w:sz="4" w:space="0" w:color="000000"/>
            </w:tcBorders>
            <w:vAlign w:val="center"/>
          </w:tcPr>
          <w:p w14:paraId="259B8239" w14:textId="2E48B37D" w:rsidR="00E244AB" w:rsidRPr="00E244AB" w:rsidRDefault="00E244AB" w:rsidP="00E244AB">
            <w:pPr>
              <w:jc w:val="center"/>
              <w:rPr>
                <w:rFonts w:ascii="Arial" w:hAnsi="Arial" w:cs="Arial"/>
                <w:bCs/>
              </w:rPr>
            </w:pPr>
            <w:r>
              <w:rPr>
                <w:rFonts w:ascii="Arial" w:hAnsi="Arial" w:cs="Arial"/>
                <w:bCs/>
              </w:rPr>
              <w:t>53</w:t>
            </w:r>
          </w:p>
        </w:tc>
      </w:tr>
      <w:tr w:rsidR="00E244AB" w:rsidRPr="00925BCD" w14:paraId="45781CB5" w14:textId="59DF7DF3" w:rsidTr="00E244AB">
        <w:trPr>
          <w:trHeight w:val="300"/>
        </w:trPr>
        <w:tc>
          <w:tcPr>
            <w:tcW w:w="5307" w:type="dxa"/>
            <w:tcBorders>
              <w:left w:val="single" w:sz="4" w:space="0" w:color="000000"/>
              <w:bottom w:val="single" w:sz="4" w:space="0" w:color="000000"/>
              <w:right w:val="single" w:sz="4" w:space="0" w:color="000000"/>
            </w:tcBorders>
            <w:shd w:val="clear" w:color="auto" w:fill="auto"/>
            <w:vAlign w:val="center"/>
          </w:tcPr>
          <w:p w14:paraId="5BE9327B" w14:textId="77777777" w:rsidR="00E244AB" w:rsidRPr="00925BCD" w:rsidRDefault="00E244A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sprzęt agrolotniczy</w:t>
            </w:r>
          </w:p>
        </w:tc>
        <w:tc>
          <w:tcPr>
            <w:tcW w:w="1015" w:type="dxa"/>
            <w:tcBorders>
              <w:bottom w:val="single" w:sz="4" w:space="0" w:color="000000"/>
              <w:right w:val="single" w:sz="4" w:space="0" w:color="000000"/>
            </w:tcBorders>
            <w:vAlign w:val="center"/>
          </w:tcPr>
          <w:p w14:paraId="1C428808" w14:textId="77777777" w:rsidR="00E244AB" w:rsidRPr="00925BCD" w:rsidRDefault="00E244AB">
            <w:pPr>
              <w:jc w:val="center"/>
              <w:rPr>
                <w:rFonts w:ascii="Arial" w:hAnsi="Arial" w:cs="Arial"/>
                <w:color w:val="000000"/>
              </w:rPr>
            </w:pPr>
            <w:r w:rsidRPr="00925BCD">
              <w:rPr>
                <w:rFonts w:ascii="Arial" w:hAnsi="Arial" w:cs="Arial"/>
                <w:color w:val="000000"/>
              </w:rPr>
              <w:t>14</w:t>
            </w:r>
          </w:p>
        </w:tc>
        <w:tc>
          <w:tcPr>
            <w:tcW w:w="1000" w:type="dxa"/>
            <w:tcBorders>
              <w:bottom w:val="single" w:sz="4" w:space="0" w:color="000000"/>
              <w:right w:val="single" w:sz="4" w:space="0" w:color="000000"/>
            </w:tcBorders>
            <w:vAlign w:val="center"/>
          </w:tcPr>
          <w:p w14:paraId="3F694B3C" w14:textId="77777777" w:rsidR="00E244AB" w:rsidRPr="00925BCD" w:rsidRDefault="00E244AB" w:rsidP="00C03D4A">
            <w:pPr>
              <w:jc w:val="center"/>
              <w:rPr>
                <w:rFonts w:ascii="Arial" w:hAnsi="Arial" w:cs="Arial"/>
                <w:color w:val="000000"/>
              </w:rPr>
            </w:pPr>
            <w:r w:rsidRPr="00925BCD">
              <w:rPr>
                <w:rFonts w:ascii="Arial" w:hAnsi="Arial" w:cs="Arial"/>
                <w:color w:val="000000"/>
              </w:rPr>
              <w:t>15</w:t>
            </w:r>
          </w:p>
        </w:tc>
        <w:tc>
          <w:tcPr>
            <w:tcW w:w="919" w:type="dxa"/>
            <w:tcBorders>
              <w:bottom w:val="single" w:sz="4" w:space="0" w:color="000000"/>
              <w:right w:val="single" w:sz="4" w:space="0" w:color="000000"/>
            </w:tcBorders>
            <w:vAlign w:val="center"/>
          </w:tcPr>
          <w:p w14:paraId="6D4F21A4" w14:textId="79E37FF4" w:rsidR="00E244AB" w:rsidRPr="0086664B" w:rsidRDefault="00E244AB" w:rsidP="0086664B">
            <w:pPr>
              <w:jc w:val="center"/>
              <w:rPr>
                <w:rFonts w:ascii="Arial" w:hAnsi="Arial" w:cs="Arial"/>
              </w:rPr>
            </w:pPr>
            <w:r w:rsidRPr="0086664B">
              <w:rPr>
                <w:rFonts w:ascii="Arial" w:hAnsi="Arial" w:cs="Arial"/>
              </w:rPr>
              <w:t>15</w:t>
            </w:r>
          </w:p>
        </w:tc>
        <w:tc>
          <w:tcPr>
            <w:tcW w:w="821" w:type="dxa"/>
            <w:tcBorders>
              <w:bottom w:val="single" w:sz="4" w:space="0" w:color="000000"/>
              <w:right w:val="single" w:sz="4" w:space="0" w:color="000000"/>
            </w:tcBorders>
            <w:vAlign w:val="center"/>
          </w:tcPr>
          <w:p w14:paraId="6DEFCAC9" w14:textId="7EDE816D" w:rsidR="00E244AB" w:rsidRPr="00E244AB" w:rsidRDefault="00E244AB" w:rsidP="00E244AB">
            <w:pPr>
              <w:jc w:val="center"/>
              <w:rPr>
                <w:rFonts w:ascii="Arial" w:hAnsi="Arial" w:cs="Arial"/>
                <w:bCs/>
              </w:rPr>
            </w:pPr>
            <w:r>
              <w:rPr>
                <w:rFonts w:ascii="Arial" w:hAnsi="Arial" w:cs="Arial"/>
                <w:bCs/>
              </w:rPr>
              <w:t>16</w:t>
            </w:r>
          </w:p>
        </w:tc>
      </w:tr>
      <w:tr w:rsidR="00E244AB" w:rsidRPr="00925BCD" w14:paraId="2F3E83AA" w14:textId="2343765C" w:rsidTr="00E244AB">
        <w:trPr>
          <w:trHeight w:val="510"/>
        </w:trPr>
        <w:tc>
          <w:tcPr>
            <w:tcW w:w="5307" w:type="dxa"/>
            <w:tcBorders>
              <w:left w:val="single" w:sz="4" w:space="0" w:color="000000"/>
              <w:bottom w:val="single" w:sz="4" w:space="0" w:color="000000"/>
              <w:right w:val="single" w:sz="4" w:space="0" w:color="000000"/>
            </w:tcBorders>
            <w:shd w:val="clear" w:color="auto" w:fill="auto"/>
            <w:vAlign w:val="center"/>
          </w:tcPr>
          <w:p w14:paraId="2BF2126A" w14:textId="77777777" w:rsidR="00E244AB" w:rsidRPr="00925BCD" w:rsidRDefault="00E244A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urządzenia przeznaczone do zaprawiania nasion, inne niż przemysłowe</w:t>
            </w:r>
          </w:p>
        </w:tc>
        <w:tc>
          <w:tcPr>
            <w:tcW w:w="1015" w:type="dxa"/>
            <w:tcBorders>
              <w:bottom w:val="single" w:sz="4" w:space="0" w:color="000000"/>
              <w:right w:val="single" w:sz="4" w:space="0" w:color="000000"/>
            </w:tcBorders>
            <w:vAlign w:val="center"/>
          </w:tcPr>
          <w:p w14:paraId="00B92B01" w14:textId="77777777" w:rsidR="00E244AB" w:rsidRPr="00925BCD" w:rsidRDefault="00E244AB">
            <w:pPr>
              <w:jc w:val="center"/>
              <w:rPr>
                <w:rFonts w:ascii="Arial" w:hAnsi="Arial" w:cs="Arial"/>
                <w:color w:val="000000"/>
              </w:rPr>
            </w:pPr>
            <w:r w:rsidRPr="00925BCD">
              <w:rPr>
                <w:rFonts w:ascii="Arial" w:hAnsi="Arial" w:cs="Arial"/>
                <w:color w:val="000000"/>
              </w:rPr>
              <w:t>142</w:t>
            </w:r>
          </w:p>
        </w:tc>
        <w:tc>
          <w:tcPr>
            <w:tcW w:w="1000" w:type="dxa"/>
            <w:tcBorders>
              <w:bottom w:val="single" w:sz="4" w:space="0" w:color="000000"/>
              <w:right w:val="single" w:sz="4" w:space="0" w:color="000000"/>
            </w:tcBorders>
            <w:vAlign w:val="center"/>
          </w:tcPr>
          <w:p w14:paraId="5AB36535" w14:textId="77777777" w:rsidR="00E244AB" w:rsidRPr="00925BCD" w:rsidRDefault="00E244AB" w:rsidP="00C03D4A">
            <w:pPr>
              <w:jc w:val="center"/>
              <w:rPr>
                <w:rFonts w:ascii="Arial" w:hAnsi="Arial" w:cs="Arial"/>
                <w:color w:val="000000"/>
              </w:rPr>
            </w:pPr>
            <w:r w:rsidRPr="00925BCD">
              <w:rPr>
                <w:rFonts w:ascii="Arial" w:hAnsi="Arial" w:cs="Arial"/>
                <w:color w:val="000000"/>
              </w:rPr>
              <w:t>141</w:t>
            </w:r>
          </w:p>
        </w:tc>
        <w:tc>
          <w:tcPr>
            <w:tcW w:w="919" w:type="dxa"/>
            <w:tcBorders>
              <w:bottom w:val="single" w:sz="4" w:space="0" w:color="000000"/>
              <w:right w:val="single" w:sz="4" w:space="0" w:color="000000"/>
            </w:tcBorders>
            <w:vAlign w:val="center"/>
          </w:tcPr>
          <w:p w14:paraId="67E4E8A0" w14:textId="5FDDB70D" w:rsidR="00E244AB" w:rsidRPr="0086664B" w:rsidRDefault="00E244AB" w:rsidP="0086664B">
            <w:pPr>
              <w:jc w:val="center"/>
              <w:rPr>
                <w:rFonts w:ascii="Arial" w:hAnsi="Arial" w:cs="Arial"/>
              </w:rPr>
            </w:pPr>
            <w:r w:rsidRPr="0086664B">
              <w:rPr>
                <w:rFonts w:ascii="Arial" w:hAnsi="Arial" w:cs="Arial"/>
              </w:rPr>
              <w:t>146</w:t>
            </w:r>
          </w:p>
        </w:tc>
        <w:tc>
          <w:tcPr>
            <w:tcW w:w="821" w:type="dxa"/>
            <w:tcBorders>
              <w:bottom w:val="single" w:sz="4" w:space="0" w:color="000000"/>
              <w:right w:val="single" w:sz="4" w:space="0" w:color="000000"/>
            </w:tcBorders>
            <w:vAlign w:val="center"/>
          </w:tcPr>
          <w:p w14:paraId="6E206C47" w14:textId="13C3C5B4" w:rsidR="00E244AB" w:rsidRPr="00E244AB" w:rsidRDefault="00E244AB" w:rsidP="00E244AB">
            <w:pPr>
              <w:jc w:val="center"/>
              <w:rPr>
                <w:rFonts w:ascii="Arial" w:hAnsi="Arial" w:cs="Arial"/>
                <w:bCs/>
              </w:rPr>
            </w:pPr>
            <w:r>
              <w:rPr>
                <w:rFonts w:ascii="Arial" w:hAnsi="Arial" w:cs="Arial"/>
                <w:bCs/>
              </w:rPr>
              <w:t>144</w:t>
            </w:r>
          </w:p>
        </w:tc>
      </w:tr>
      <w:tr w:rsidR="00E244AB" w:rsidRPr="00925BCD" w14:paraId="3B562D96" w14:textId="6CE6DD38" w:rsidTr="00E244AB">
        <w:trPr>
          <w:trHeight w:val="765"/>
        </w:trPr>
        <w:tc>
          <w:tcPr>
            <w:tcW w:w="5307" w:type="dxa"/>
            <w:tcBorders>
              <w:left w:val="single" w:sz="4" w:space="0" w:color="000000"/>
              <w:bottom w:val="single" w:sz="4" w:space="0" w:color="000000"/>
              <w:right w:val="single" w:sz="4" w:space="0" w:color="000000"/>
            </w:tcBorders>
            <w:shd w:val="clear" w:color="auto" w:fill="auto"/>
            <w:vAlign w:val="center"/>
          </w:tcPr>
          <w:p w14:paraId="0C4DD4CC" w14:textId="77777777" w:rsidR="00E244AB" w:rsidRPr="00925BCD" w:rsidRDefault="00E244A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 xml:space="preserve">instalacje przeznaczone do stosowania </w:t>
            </w:r>
            <w:proofErr w:type="spellStart"/>
            <w:r w:rsidRPr="00925BCD">
              <w:rPr>
                <w:rFonts w:ascii="Arial" w:eastAsia="Calibri" w:hAnsi="Arial" w:cs="Arial"/>
                <w:color w:val="000000"/>
              </w:rPr>
              <w:t>śor</w:t>
            </w:r>
            <w:proofErr w:type="spellEnd"/>
            <w:r w:rsidRPr="00925BCD">
              <w:rPr>
                <w:rFonts w:ascii="Arial" w:eastAsia="Calibri" w:hAnsi="Arial" w:cs="Arial"/>
                <w:color w:val="000000"/>
              </w:rPr>
              <w:t xml:space="preserve"> w formie oprysku lub zamgławiania w szklarniach lub tunelach foliowych</w:t>
            </w:r>
          </w:p>
        </w:tc>
        <w:tc>
          <w:tcPr>
            <w:tcW w:w="1015" w:type="dxa"/>
            <w:tcBorders>
              <w:bottom w:val="single" w:sz="4" w:space="0" w:color="000000"/>
              <w:right w:val="single" w:sz="4" w:space="0" w:color="000000"/>
            </w:tcBorders>
            <w:vAlign w:val="center"/>
          </w:tcPr>
          <w:p w14:paraId="20E946E4" w14:textId="77777777" w:rsidR="00E244AB" w:rsidRPr="00925BCD" w:rsidRDefault="00E244AB">
            <w:pPr>
              <w:jc w:val="center"/>
              <w:rPr>
                <w:rFonts w:ascii="Arial" w:hAnsi="Arial" w:cs="Arial"/>
                <w:color w:val="000000"/>
              </w:rPr>
            </w:pPr>
            <w:r w:rsidRPr="00925BCD">
              <w:rPr>
                <w:rFonts w:ascii="Arial" w:hAnsi="Arial" w:cs="Arial"/>
                <w:color w:val="000000"/>
              </w:rPr>
              <w:t>123</w:t>
            </w:r>
          </w:p>
        </w:tc>
        <w:tc>
          <w:tcPr>
            <w:tcW w:w="1000" w:type="dxa"/>
            <w:tcBorders>
              <w:bottom w:val="single" w:sz="4" w:space="0" w:color="000000"/>
              <w:right w:val="single" w:sz="4" w:space="0" w:color="000000"/>
            </w:tcBorders>
            <w:vAlign w:val="center"/>
          </w:tcPr>
          <w:p w14:paraId="305155D2" w14:textId="77777777" w:rsidR="00E244AB" w:rsidRPr="00925BCD" w:rsidRDefault="00E244AB" w:rsidP="00B075F3">
            <w:pPr>
              <w:jc w:val="center"/>
              <w:rPr>
                <w:rFonts w:ascii="Arial" w:hAnsi="Arial" w:cs="Arial"/>
                <w:color w:val="000000"/>
              </w:rPr>
            </w:pPr>
            <w:r w:rsidRPr="00925BCD">
              <w:rPr>
                <w:rFonts w:ascii="Arial" w:hAnsi="Arial" w:cs="Arial"/>
                <w:color w:val="000000"/>
              </w:rPr>
              <w:t>119</w:t>
            </w:r>
          </w:p>
        </w:tc>
        <w:tc>
          <w:tcPr>
            <w:tcW w:w="919" w:type="dxa"/>
            <w:tcBorders>
              <w:bottom w:val="single" w:sz="4" w:space="0" w:color="000000"/>
              <w:right w:val="single" w:sz="4" w:space="0" w:color="000000"/>
            </w:tcBorders>
            <w:vAlign w:val="center"/>
          </w:tcPr>
          <w:p w14:paraId="1E924318" w14:textId="055DE55A" w:rsidR="00E244AB" w:rsidRPr="0086664B" w:rsidRDefault="00E244AB" w:rsidP="0086664B">
            <w:pPr>
              <w:jc w:val="center"/>
              <w:rPr>
                <w:rFonts w:ascii="Arial" w:hAnsi="Arial" w:cs="Arial"/>
              </w:rPr>
            </w:pPr>
            <w:r w:rsidRPr="0086664B">
              <w:rPr>
                <w:rFonts w:ascii="Arial" w:hAnsi="Arial" w:cs="Arial"/>
              </w:rPr>
              <w:t>121</w:t>
            </w:r>
          </w:p>
        </w:tc>
        <w:tc>
          <w:tcPr>
            <w:tcW w:w="821" w:type="dxa"/>
            <w:tcBorders>
              <w:bottom w:val="single" w:sz="4" w:space="0" w:color="000000"/>
              <w:right w:val="single" w:sz="4" w:space="0" w:color="000000"/>
            </w:tcBorders>
            <w:vAlign w:val="center"/>
          </w:tcPr>
          <w:p w14:paraId="6FC1B03E" w14:textId="07A7E62A" w:rsidR="00E244AB" w:rsidRPr="00E244AB" w:rsidRDefault="00D74BFE" w:rsidP="00E244AB">
            <w:pPr>
              <w:jc w:val="center"/>
              <w:rPr>
                <w:rFonts w:ascii="Arial" w:hAnsi="Arial" w:cs="Arial"/>
                <w:bCs/>
              </w:rPr>
            </w:pPr>
            <w:r>
              <w:rPr>
                <w:rFonts w:ascii="Arial" w:hAnsi="Arial" w:cs="Arial"/>
                <w:bCs/>
              </w:rPr>
              <w:t>117</w:t>
            </w:r>
          </w:p>
        </w:tc>
      </w:tr>
      <w:tr w:rsidR="00E244AB" w:rsidRPr="00925BCD" w14:paraId="626AF247" w14:textId="749320F3" w:rsidTr="00D74BFE">
        <w:trPr>
          <w:trHeight w:val="510"/>
        </w:trPr>
        <w:tc>
          <w:tcPr>
            <w:tcW w:w="5307" w:type="dxa"/>
            <w:tcBorders>
              <w:left w:val="single" w:sz="4" w:space="0" w:color="000000"/>
              <w:bottom w:val="single" w:sz="4" w:space="0" w:color="000000"/>
              <w:right w:val="single" w:sz="4" w:space="0" w:color="000000"/>
            </w:tcBorders>
            <w:shd w:val="clear" w:color="auto" w:fill="auto"/>
            <w:vAlign w:val="center"/>
          </w:tcPr>
          <w:p w14:paraId="741F943A" w14:textId="77777777" w:rsidR="00E244AB" w:rsidRPr="00925BCD" w:rsidRDefault="00E244A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 xml:space="preserve">sprzęt samobieżny lub ciągnikowy przeznaczony do stosowania </w:t>
            </w:r>
            <w:proofErr w:type="spellStart"/>
            <w:r w:rsidRPr="00925BCD">
              <w:rPr>
                <w:rFonts w:ascii="Arial" w:eastAsia="Calibri" w:hAnsi="Arial" w:cs="Arial"/>
                <w:color w:val="000000"/>
              </w:rPr>
              <w:t>śor</w:t>
            </w:r>
            <w:proofErr w:type="spellEnd"/>
            <w:r w:rsidRPr="00925BCD">
              <w:rPr>
                <w:rFonts w:ascii="Arial" w:eastAsia="Calibri" w:hAnsi="Arial" w:cs="Arial"/>
                <w:color w:val="000000"/>
              </w:rPr>
              <w:t xml:space="preserve"> w formie granulatu</w:t>
            </w:r>
          </w:p>
        </w:tc>
        <w:tc>
          <w:tcPr>
            <w:tcW w:w="1015" w:type="dxa"/>
            <w:tcBorders>
              <w:bottom w:val="single" w:sz="4" w:space="0" w:color="000000"/>
              <w:right w:val="single" w:sz="4" w:space="0" w:color="000000"/>
            </w:tcBorders>
            <w:vAlign w:val="center"/>
          </w:tcPr>
          <w:p w14:paraId="7A8672DF" w14:textId="77777777" w:rsidR="00E244AB" w:rsidRPr="00925BCD" w:rsidRDefault="00E244AB">
            <w:pPr>
              <w:jc w:val="center"/>
              <w:rPr>
                <w:rFonts w:ascii="Arial" w:hAnsi="Arial" w:cs="Arial"/>
                <w:color w:val="000000"/>
              </w:rPr>
            </w:pPr>
            <w:r w:rsidRPr="00925BCD">
              <w:rPr>
                <w:rFonts w:ascii="Arial" w:hAnsi="Arial" w:cs="Arial"/>
                <w:color w:val="000000"/>
              </w:rPr>
              <w:t>105</w:t>
            </w:r>
          </w:p>
        </w:tc>
        <w:tc>
          <w:tcPr>
            <w:tcW w:w="1000" w:type="dxa"/>
            <w:tcBorders>
              <w:bottom w:val="single" w:sz="4" w:space="0" w:color="000000"/>
              <w:right w:val="single" w:sz="4" w:space="0" w:color="000000"/>
            </w:tcBorders>
            <w:vAlign w:val="center"/>
          </w:tcPr>
          <w:p w14:paraId="12F1D451" w14:textId="77777777" w:rsidR="00E244AB" w:rsidRPr="00925BCD" w:rsidRDefault="00E244AB" w:rsidP="00C03D4A">
            <w:pPr>
              <w:jc w:val="center"/>
              <w:rPr>
                <w:rFonts w:ascii="Arial" w:hAnsi="Arial" w:cs="Arial"/>
                <w:color w:val="000000"/>
              </w:rPr>
            </w:pPr>
            <w:r w:rsidRPr="00925BCD">
              <w:rPr>
                <w:rFonts w:ascii="Arial" w:hAnsi="Arial" w:cs="Arial"/>
                <w:color w:val="000000"/>
              </w:rPr>
              <w:t>103</w:t>
            </w:r>
          </w:p>
        </w:tc>
        <w:tc>
          <w:tcPr>
            <w:tcW w:w="919" w:type="dxa"/>
            <w:tcBorders>
              <w:bottom w:val="single" w:sz="4" w:space="0" w:color="000000"/>
              <w:right w:val="single" w:sz="4" w:space="0" w:color="000000"/>
            </w:tcBorders>
            <w:vAlign w:val="center"/>
          </w:tcPr>
          <w:p w14:paraId="58D6F5D2" w14:textId="70D7A979" w:rsidR="00E244AB" w:rsidRPr="0086664B" w:rsidRDefault="00E244AB" w:rsidP="0086664B">
            <w:pPr>
              <w:jc w:val="center"/>
              <w:rPr>
                <w:rFonts w:ascii="Arial" w:hAnsi="Arial" w:cs="Arial"/>
              </w:rPr>
            </w:pPr>
            <w:r w:rsidRPr="0086664B">
              <w:rPr>
                <w:rFonts w:ascii="Arial" w:hAnsi="Arial" w:cs="Arial"/>
              </w:rPr>
              <w:t>102</w:t>
            </w:r>
          </w:p>
        </w:tc>
        <w:tc>
          <w:tcPr>
            <w:tcW w:w="821" w:type="dxa"/>
            <w:tcBorders>
              <w:bottom w:val="single" w:sz="4" w:space="0" w:color="000000"/>
              <w:right w:val="single" w:sz="4" w:space="0" w:color="000000"/>
            </w:tcBorders>
            <w:vAlign w:val="center"/>
          </w:tcPr>
          <w:p w14:paraId="4B63EFCE" w14:textId="671CDA79" w:rsidR="00E244AB" w:rsidRPr="00D74BFE" w:rsidRDefault="00D74BFE" w:rsidP="00D74BFE">
            <w:pPr>
              <w:jc w:val="center"/>
              <w:rPr>
                <w:rFonts w:ascii="Arial" w:hAnsi="Arial" w:cs="Arial"/>
                <w:bCs/>
              </w:rPr>
            </w:pPr>
            <w:r>
              <w:rPr>
                <w:rFonts w:ascii="Arial" w:hAnsi="Arial" w:cs="Arial"/>
                <w:bCs/>
              </w:rPr>
              <w:t>98</w:t>
            </w:r>
          </w:p>
        </w:tc>
      </w:tr>
      <w:tr w:rsidR="00E244AB" w:rsidRPr="00925BCD" w14:paraId="040A716B" w14:textId="53F39078" w:rsidTr="00D74BFE">
        <w:trPr>
          <w:trHeight w:val="1020"/>
        </w:trPr>
        <w:tc>
          <w:tcPr>
            <w:tcW w:w="5307" w:type="dxa"/>
            <w:tcBorders>
              <w:left w:val="single" w:sz="4" w:space="0" w:color="000000"/>
              <w:bottom w:val="single" w:sz="4" w:space="0" w:color="000000"/>
              <w:right w:val="single" w:sz="4" w:space="0" w:color="000000"/>
            </w:tcBorders>
            <w:shd w:val="clear" w:color="auto" w:fill="auto"/>
            <w:vAlign w:val="center"/>
          </w:tcPr>
          <w:p w14:paraId="3BDD793E" w14:textId="77777777" w:rsidR="00E244AB" w:rsidRPr="00925BCD" w:rsidRDefault="00E244A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 xml:space="preserve">sprzęt przeznaczony do stosowania </w:t>
            </w:r>
            <w:proofErr w:type="spellStart"/>
            <w:r w:rsidRPr="00925BCD">
              <w:rPr>
                <w:rFonts w:ascii="Arial" w:eastAsia="Calibri" w:hAnsi="Arial" w:cs="Arial"/>
                <w:color w:val="000000"/>
              </w:rPr>
              <w:t>śor</w:t>
            </w:r>
            <w:proofErr w:type="spellEnd"/>
            <w:r w:rsidRPr="00925BCD">
              <w:rPr>
                <w:rFonts w:ascii="Arial" w:eastAsia="Calibri" w:hAnsi="Arial" w:cs="Arial"/>
                <w:color w:val="000000"/>
              </w:rPr>
              <w:t xml:space="preserve"> w formie oprysku, inny niż wymieniony nie będący opryskiwaczem ręcznym lub plecakowym, którego pojemność zbiornika przekracza 30 litrów</w:t>
            </w:r>
          </w:p>
        </w:tc>
        <w:tc>
          <w:tcPr>
            <w:tcW w:w="1015" w:type="dxa"/>
            <w:tcBorders>
              <w:bottom w:val="single" w:sz="4" w:space="0" w:color="000000"/>
              <w:right w:val="single" w:sz="4" w:space="0" w:color="000000"/>
            </w:tcBorders>
            <w:vAlign w:val="center"/>
          </w:tcPr>
          <w:p w14:paraId="3A810522" w14:textId="77777777" w:rsidR="00E244AB" w:rsidRPr="00925BCD" w:rsidRDefault="00E244AB">
            <w:pPr>
              <w:jc w:val="center"/>
              <w:rPr>
                <w:rFonts w:ascii="Arial" w:hAnsi="Arial" w:cs="Arial"/>
                <w:color w:val="000000"/>
              </w:rPr>
            </w:pPr>
            <w:r w:rsidRPr="00925BCD">
              <w:rPr>
                <w:rFonts w:ascii="Arial" w:hAnsi="Arial" w:cs="Arial"/>
                <w:color w:val="000000"/>
              </w:rPr>
              <w:t>121</w:t>
            </w:r>
          </w:p>
        </w:tc>
        <w:tc>
          <w:tcPr>
            <w:tcW w:w="1000" w:type="dxa"/>
            <w:tcBorders>
              <w:bottom w:val="single" w:sz="4" w:space="0" w:color="000000"/>
              <w:right w:val="single" w:sz="4" w:space="0" w:color="000000"/>
            </w:tcBorders>
            <w:vAlign w:val="center"/>
          </w:tcPr>
          <w:p w14:paraId="02AEB961" w14:textId="77777777" w:rsidR="00E244AB" w:rsidRPr="00925BCD" w:rsidRDefault="00E244AB" w:rsidP="00C03D4A">
            <w:pPr>
              <w:jc w:val="center"/>
              <w:rPr>
                <w:rFonts w:ascii="Arial" w:hAnsi="Arial" w:cs="Arial"/>
                <w:color w:val="000000"/>
              </w:rPr>
            </w:pPr>
            <w:r w:rsidRPr="00925BCD">
              <w:rPr>
                <w:rFonts w:ascii="Arial" w:hAnsi="Arial" w:cs="Arial"/>
                <w:color w:val="000000"/>
              </w:rPr>
              <w:t>120</w:t>
            </w:r>
          </w:p>
        </w:tc>
        <w:tc>
          <w:tcPr>
            <w:tcW w:w="919" w:type="dxa"/>
            <w:tcBorders>
              <w:bottom w:val="single" w:sz="4" w:space="0" w:color="000000"/>
              <w:right w:val="single" w:sz="4" w:space="0" w:color="000000"/>
            </w:tcBorders>
            <w:vAlign w:val="center"/>
          </w:tcPr>
          <w:p w14:paraId="4E97184C" w14:textId="1D413233" w:rsidR="00E244AB" w:rsidRPr="0086664B" w:rsidRDefault="00E244AB" w:rsidP="0086664B">
            <w:pPr>
              <w:jc w:val="center"/>
              <w:rPr>
                <w:rFonts w:ascii="Arial" w:hAnsi="Arial" w:cs="Arial"/>
              </w:rPr>
            </w:pPr>
            <w:r w:rsidRPr="0086664B">
              <w:rPr>
                <w:rFonts w:ascii="Arial" w:hAnsi="Arial" w:cs="Arial"/>
              </w:rPr>
              <w:t>119</w:t>
            </w:r>
          </w:p>
        </w:tc>
        <w:tc>
          <w:tcPr>
            <w:tcW w:w="821" w:type="dxa"/>
            <w:tcBorders>
              <w:bottom w:val="single" w:sz="4" w:space="0" w:color="000000"/>
              <w:right w:val="single" w:sz="4" w:space="0" w:color="000000"/>
            </w:tcBorders>
            <w:vAlign w:val="center"/>
          </w:tcPr>
          <w:p w14:paraId="41FA353E" w14:textId="2408ABA7" w:rsidR="00E244AB" w:rsidRPr="00D74BFE" w:rsidRDefault="00D74BFE" w:rsidP="00D74BFE">
            <w:pPr>
              <w:jc w:val="center"/>
              <w:rPr>
                <w:rFonts w:ascii="Arial" w:hAnsi="Arial" w:cs="Arial"/>
                <w:bCs/>
              </w:rPr>
            </w:pPr>
            <w:r>
              <w:rPr>
                <w:rFonts w:ascii="Arial" w:hAnsi="Arial" w:cs="Arial"/>
                <w:bCs/>
              </w:rPr>
              <w:t>114</w:t>
            </w:r>
          </w:p>
        </w:tc>
      </w:tr>
    </w:tbl>
    <w:p w14:paraId="1FADCBAD" w14:textId="784F50F5" w:rsidR="00B075F3" w:rsidRDefault="00B075F3" w:rsidP="00580E01">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Należy zaznaczyć, jak wskazywano także powyżej, że jeden przedsiębiorca/podmiot mógł być uprawniony do wykonywania badań sprzętu należącego do różnych kategorii.</w:t>
      </w:r>
    </w:p>
    <w:p w14:paraId="78814770" w14:textId="1B3FAEBE" w:rsidR="009621AF"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Liczba jednostek posiadających uprawnienia do badania stanu technicznego sprzętu do stosowania środków ochrony roślin</w:t>
      </w:r>
      <w:r w:rsidR="00804D7A" w:rsidRPr="00925BCD">
        <w:rPr>
          <w:rFonts w:ascii="Arial" w:hAnsi="Arial" w:cs="Arial"/>
        </w:rPr>
        <w:t>,</w:t>
      </w:r>
      <w:r w:rsidRPr="00925BCD">
        <w:rPr>
          <w:rFonts w:ascii="Arial" w:hAnsi="Arial" w:cs="Arial"/>
        </w:rPr>
        <w:t xml:space="preserve"> mimo </w:t>
      </w:r>
      <w:r w:rsidR="00807085">
        <w:rPr>
          <w:rFonts w:ascii="Arial" w:hAnsi="Arial" w:cs="Arial"/>
        </w:rPr>
        <w:t xml:space="preserve">kolejnego </w:t>
      </w:r>
      <w:r w:rsidRPr="00925BCD">
        <w:rPr>
          <w:rFonts w:ascii="Arial" w:hAnsi="Arial" w:cs="Arial"/>
        </w:rPr>
        <w:t>spadku w 20</w:t>
      </w:r>
      <w:r w:rsidR="00807085">
        <w:rPr>
          <w:rFonts w:ascii="Arial" w:hAnsi="Arial" w:cs="Arial"/>
        </w:rPr>
        <w:t>2</w:t>
      </w:r>
      <w:r w:rsidR="00D74BFE">
        <w:rPr>
          <w:rFonts w:ascii="Arial" w:hAnsi="Arial" w:cs="Arial"/>
        </w:rPr>
        <w:t>1</w:t>
      </w:r>
      <w:r w:rsidRPr="00925BCD">
        <w:rPr>
          <w:rFonts w:ascii="Arial" w:hAnsi="Arial" w:cs="Arial"/>
        </w:rPr>
        <w:t xml:space="preserve"> r.</w:t>
      </w:r>
      <w:r w:rsidR="005877FF" w:rsidRPr="00925BCD">
        <w:rPr>
          <w:rFonts w:ascii="Arial" w:hAnsi="Arial" w:cs="Arial"/>
        </w:rPr>
        <w:t>,</w:t>
      </w:r>
      <w:r w:rsidRPr="00925BCD">
        <w:rPr>
          <w:rFonts w:ascii="Arial" w:hAnsi="Arial" w:cs="Arial"/>
        </w:rPr>
        <w:t xml:space="preserve"> zapewnia możliwość dostępu do takich badań zainteresowanym podmiotom.</w:t>
      </w:r>
      <w:r w:rsidR="001B4131">
        <w:rPr>
          <w:rFonts w:ascii="Arial" w:hAnsi="Arial" w:cs="Arial"/>
        </w:rPr>
        <w:t xml:space="preserve"> Spadek ten może być zwiany z faktem, iż od dnia </w:t>
      </w:r>
      <w:r w:rsidR="001B4131" w:rsidRPr="001B4131">
        <w:rPr>
          <w:rFonts w:ascii="Arial" w:hAnsi="Arial" w:cs="Arial"/>
        </w:rPr>
        <w:t xml:space="preserve">1 </w:t>
      </w:r>
      <w:r w:rsidR="001B4131">
        <w:rPr>
          <w:rFonts w:ascii="Arial" w:hAnsi="Arial" w:cs="Arial"/>
        </w:rPr>
        <w:t>stycznia 2021 r. jedyną dopuszczalną metodą badania sprawności technicznej opryskiwaczy polowych jest p</w:t>
      </w:r>
      <w:r w:rsidR="001B4131" w:rsidRPr="001B4131">
        <w:rPr>
          <w:rFonts w:ascii="Arial" w:hAnsi="Arial" w:cs="Arial"/>
        </w:rPr>
        <w:t>omiar nierównomierności rozkładu poprzecznego cieczy</w:t>
      </w:r>
      <w:r w:rsidR="001B4131">
        <w:rPr>
          <w:rFonts w:ascii="Arial" w:hAnsi="Arial" w:cs="Arial"/>
        </w:rPr>
        <w:t xml:space="preserve"> roboczej – wykluczona została alternatywna metoda badania natężenia wypływu cieczy z poszczególnych rozpylaczy</w:t>
      </w:r>
      <w:r w:rsidR="001B4131" w:rsidRPr="001B4131">
        <w:rPr>
          <w:rFonts w:ascii="Arial" w:hAnsi="Arial" w:cs="Arial"/>
        </w:rPr>
        <w:t>.</w:t>
      </w:r>
      <w:r w:rsidR="001B4131">
        <w:rPr>
          <w:rFonts w:ascii="Arial" w:hAnsi="Arial" w:cs="Arial"/>
        </w:rPr>
        <w:t xml:space="preserve"> Wykluczono także możliwość stosowania niestandardowych stołów rowkowych. Rozwiązania te ujednoliciło i podniosło jakość badań prowadzonych przez poszczególne jednostki.</w:t>
      </w:r>
    </w:p>
    <w:p w14:paraId="574E47AF" w14:textId="2AA31E9D" w:rsidR="00B075F3" w:rsidRPr="00925BCD"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2018 r. przeprowadzono ogółem 64 955 badań sprzętu przeznaczonego do stosowania środków ochrony roślin, z czego pozytywnym wynikiem zakończono 64 951 badań. </w:t>
      </w:r>
      <w:r w:rsidR="005877FF" w:rsidRPr="00925BCD">
        <w:rPr>
          <w:rFonts w:ascii="Arial" w:hAnsi="Arial" w:cs="Arial"/>
        </w:rPr>
        <w:t xml:space="preserve">Natomiast w </w:t>
      </w:r>
      <w:r w:rsidRPr="00925BCD">
        <w:rPr>
          <w:rFonts w:ascii="Arial" w:hAnsi="Arial" w:cs="Arial"/>
        </w:rPr>
        <w:t>2019 r.</w:t>
      </w:r>
      <w:r w:rsidR="00D74BFE">
        <w:rPr>
          <w:rFonts w:ascii="Arial" w:hAnsi="Arial" w:cs="Arial"/>
        </w:rPr>
        <w:t>,</w:t>
      </w:r>
      <w:r w:rsidR="00807085">
        <w:rPr>
          <w:rFonts w:ascii="Arial" w:hAnsi="Arial" w:cs="Arial"/>
        </w:rPr>
        <w:t xml:space="preserve"> 2020 r. </w:t>
      </w:r>
      <w:r w:rsidR="00D74BFE">
        <w:rPr>
          <w:rFonts w:ascii="Arial" w:hAnsi="Arial" w:cs="Arial"/>
        </w:rPr>
        <w:t xml:space="preserve">i 2021 r. </w:t>
      </w:r>
      <w:r w:rsidRPr="00925BCD">
        <w:rPr>
          <w:rFonts w:ascii="Arial" w:hAnsi="Arial" w:cs="Arial"/>
        </w:rPr>
        <w:t>przeprowadzono ogółem 73</w:t>
      </w:r>
      <w:r w:rsidR="00D74BFE">
        <w:rPr>
          <w:rFonts w:ascii="Arial" w:hAnsi="Arial" w:cs="Arial"/>
        </w:rPr>
        <w:t> </w:t>
      </w:r>
      <w:r w:rsidRPr="00925BCD">
        <w:rPr>
          <w:rFonts w:ascii="Arial" w:hAnsi="Arial" w:cs="Arial"/>
        </w:rPr>
        <w:t>489</w:t>
      </w:r>
      <w:r w:rsidR="00D74BFE">
        <w:rPr>
          <w:rFonts w:ascii="Arial" w:hAnsi="Arial" w:cs="Arial"/>
        </w:rPr>
        <w:t>,</w:t>
      </w:r>
      <w:r w:rsidR="00807085">
        <w:rPr>
          <w:rFonts w:ascii="Arial" w:hAnsi="Arial" w:cs="Arial"/>
        </w:rPr>
        <w:t xml:space="preserve"> 6</w:t>
      </w:r>
      <w:r w:rsidR="00A96F41">
        <w:rPr>
          <w:rFonts w:ascii="Arial" w:hAnsi="Arial" w:cs="Arial"/>
        </w:rPr>
        <w:t>8</w:t>
      </w:r>
      <w:r w:rsidR="00D74BFE">
        <w:rPr>
          <w:rFonts w:ascii="Arial" w:hAnsi="Arial" w:cs="Arial"/>
        </w:rPr>
        <w:t> </w:t>
      </w:r>
      <w:r w:rsidR="00DC74DD">
        <w:rPr>
          <w:rFonts w:ascii="Arial" w:hAnsi="Arial" w:cs="Arial"/>
        </w:rPr>
        <w:t>743</w:t>
      </w:r>
      <w:r w:rsidR="00D74BFE">
        <w:rPr>
          <w:rFonts w:ascii="Arial" w:hAnsi="Arial" w:cs="Arial"/>
        </w:rPr>
        <w:t xml:space="preserve"> i </w:t>
      </w:r>
      <w:r w:rsidR="00D74BFE" w:rsidRPr="00834B8F">
        <w:rPr>
          <w:rFonts w:ascii="Arial" w:hAnsi="Arial" w:cs="Arial"/>
        </w:rPr>
        <w:t>58 748</w:t>
      </w:r>
      <w:r w:rsidR="00807085" w:rsidRPr="00834B8F">
        <w:rPr>
          <w:rFonts w:ascii="Arial" w:hAnsi="Arial" w:cs="Arial"/>
        </w:rPr>
        <w:t xml:space="preserve"> </w:t>
      </w:r>
      <w:r w:rsidRPr="00834B8F">
        <w:rPr>
          <w:rFonts w:ascii="Arial" w:hAnsi="Arial" w:cs="Arial"/>
        </w:rPr>
        <w:t>badań sprzętu</w:t>
      </w:r>
      <w:r w:rsidRPr="00925BCD">
        <w:rPr>
          <w:rFonts w:ascii="Arial" w:hAnsi="Arial" w:cs="Arial"/>
        </w:rPr>
        <w:t xml:space="preserve"> przeznaczonego do </w:t>
      </w:r>
      <w:r w:rsidRPr="00925BCD">
        <w:rPr>
          <w:rFonts w:ascii="Arial" w:hAnsi="Arial" w:cs="Arial"/>
        </w:rPr>
        <w:lastRenderedPageBreak/>
        <w:t>stosowania środków ochrony roślin, wszystkie zakończono pozytywnym wynikiem.</w:t>
      </w:r>
      <w:r w:rsidR="00807085">
        <w:rPr>
          <w:rFonts w:ascii="Arial" w:hAnsi="Arial" w:cs="Arial"/>
        </w:rPr>
        <w:t xml:space="preserve"> </w:t>
      </w:r>
    </w:p>
    <w:p w14:paraId="136B4F0D" w14:textId="2FE190FF" w:rsidR="00807085" w:rsidRPr="00925BCD"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E62D85">
        <w:rPr>
          <w:rFonts w:ascii="Arial" w:hAnsi="Arial" w:cs="Arial"/>
        </w:rPr>
        <w:t xml:space="preserve">latach </w:t>
      </w:r>
      <w:r w:rsidRPr="00925BCD">
        <w:rPr>
          <w:rFonts w:ascii="Arial" w:hAnsi="Arial" w:cs="Arial"/>
        </w:rPr>
        <w:t xml:space="preserve">2018 </w:t>
      </w:r>
      <w:r w:rsidR="00E62D85" w:rsidRPr="00E62D85">
        <w:rPr>
          <w:rFonts w:ascii="Arial" w:hAnsi="Arial" w:cs="Arial"/>
        </w:rPr>
        <w:t>–</w:t>
      </w:r>
      <w:r w:rsidR="00E62D85">
        <w:rPr>
          <w:rFonts w:ascii="Arial" w:hAnsi="Arial" w:cs="Arial"/>
        </w:rPr>
        <w:t xml:space="preserve"> 2021</w:t>
      </w:r>
      <w:r w:rsidRPr="00925BCD">
        <w:rPr>
          <w:rFonts w:ascii="Arial" w:hAnsi="Arial" w:cs="Arial"/>
        </w:rPr>
        <w:t xml:space="preserve"> aktualne zaświadczenie potwierdzające sprawność techniczną posiadał</w:t>
      </w:r>
      <w:r w:rsidR="00E62D85">
        <w:rPr>
          <w:rFonts w:ascii="Arial" w:hAnsi="Arial" w:cs="Arial"/>
        </w:rPr>
        <w:t>o</w:t>
      </w:r>
      <w:r w:rsidRPr="00925BCD">
        <w:rPr>
          <w:rFonts w:ascii="Arial" w:hAnsi="Arial" w:cs="Arial"/>
        </w:rPr>
        <w:t xml:space="preserve"> </w:t>
      </w:r>
      <w:r w:rsidR="00E62D85">
        <w:rPr>
          <w:rFonts w:ascii="Arial" w:hAnsi="Arial" w:cs="Arial"/>
        </w:rPr>
        <w:t xml:space="preserve">odpowiednio </w:t>
      </w:r>
      <w:r w:rsidRPr="00925BCD">
        <w:rPr>
          <w:rFonts w:ascii="Arial" w:hAnsi="Arial" w:cs="Arial"/>
        </w:rPr>
        <w:t>228</w:t>
      </w:r>
      <w:r w:rsidR="00E62D85">
        <w:rPr>
          <w:rFonts w:ascii="Arial" w:hAnsi="Arial" w:cs="Arial"/>
        </w:rPr>
        <w:t> </w:t>
      </w:r>
      <w:r w:rsidRPr="00925BCD">
        <w:rPr>
          <w:rFonts w:ascii="Arial" w:hAnsi="Arial" w:cs="Arial"/>
        </w:rPr>
        <w:t>822</w:t>
      </w:r>
      <w:r w:rsidR="00E62D85">
        <w:rPr>
          <w:rFonts w:ascii="Arial" w:hAnsi="Arial" w:cs="Arial"/>
        </w:rPr>
        <w:t>,</w:t>
      </w:r>
      <w:r w:rsidRPr="00925BCD">
        <w:rPr>
          <w:rFonts w:ascii="Arial" w:hAnsi="Arial" w:cs="Arial"/>
        </w:rPr>
        <w:t xml:space="preserve"> </w:t>
      </w:r>
      <w:r w:rsidR="00E62D85" w:rsidRPr="00925BCD">
        <w:rPr>
          <w:rFonts w:ascii="Arial" w:hAnsi="Arial" w:cs="Arial"/>
        </w:rPr>
        <w:t>234</w:t>
      </w:r>
      <w:r w:rsidR="00E62D85">
        <w:rPr>
          <w:rFonts w:ascii="Arial" w:hAnsi="Arial" w:cs="Arial"/>
        </w:rPr>
        <w:t> </w:t>
      </w:r>
      <w:r w:rsidR="00E62D85" w:rsidRPr="00925BCD">
        <w:rPr>
          <w:rFonts w:ascii="Arial" w:hAnsi="Arial" w:cs="Arial"/>
        </w:rPr>
        <w:t>745</w:t>
      </w:r>
      <w:r w:rsidR="00E62D85">
        <w:rPr>
          <w:rFonts w:ascii="Arial" w:hAnsi="Arial" w:cs="Arial"/>
        </w:rPr>
        <w:t>,</w:t>
      </w:r>
      <w:r w:rsidR="00E62D85" w:rsidRPr="00925BCD">
        <w:rPr>
          <w:rFonts w:ascii="Arial" w:hAnsi="Arial" w:cs="Arial"/>
        </w:rPr>
        <w:t xml:space="preserve"> </w:t>
      </w:r>
      <w:r w:rsidR="00E62D85" w:rsidRPr="00C743DD">
        <w:rPr>
          <w:rFonts w:ascii="Arial" w:hAnsi="Arial" w:cs="Arial"/>
        </w:rPr>
        <w:t>215</w:t>
      </w:r>
      <w:r w:rsidR="00E62D85">
        <w:rPr>
          <w:rFonts w:ascii="Arial" w:hAnsi="Arial" w:cs="Arial"/>
        </w:rPr>
        <w:t> </w:t>
      </w:r>
      <w:r w:rsidR="00E62D85" w:rsidRPr="00C743DD">
        <w:rPr>
          <w:rFonts w:ascii="Arial" w:hAnsi="Arial" w:cs="Arial"/>
        </w:rPr>
        <w:t>899</w:t>
      </w:r>
      <w:r w:rsidR="00E62D85">
        <w:rPr>
          <w:rFonts w:ascii="Arial" w:hAnsi="Arial" w:cs="Arial"/>
        </w:rPr>
        <w:t xml:space="preserve"> i 209 901 </w:t>
      </w:r>
      <w:r w:rsidRPr="00925BCD">
        <w:rPr>
          <w:rFonts w:ascii="Arial" w:hAnsi="Arial" w:cs="Arial"/>
        </w:rPr>
        <w:t>opryskiwacz</w:t>
      </w:r>
      <w:r w:rsidR="00E62D85">
        <w:rPr>
          <w:rFonts w:ascii="Arial" w:hAnsi="Arial" w:cs="Arial"/>
        </w:rPr>
        <w:t>y</w:t>
      </w:r>
      <w:r w:rsidRPr="00925BCD">
        <w:rPr>
          <w:rFonts w:ascii="Arial" w:hAnsi="Arial" w:cs="Arial"/>
        </w:rPr>
        <w:t>, w tym opryskiwacz</w:t>
      </w:r>
      <w:r w:rsidR="00E62D85">
        <w:rPr>
          <w:rFonts w:ascii="Arial" w:hAnsi="Arial" w:cs="Arial"/>
        </w:rPr>
        <w:t xml:space="preserve">e </w:t>
      </w:r>
      <w:r w:rsidRPr="00925BCD">
        <w:rPr>
          <w:rFonts w:ascii="Arial" w:hAnsi="Arial" w:cs="Arial"/>
        </w:rPr>
        <w:t>wyposażon</w:t>
      </w:r>
      <w:r w:rsidR="00E62D85">
        <w:rPr>
          <w:rFonts w:ascii="Arial" w:hAnsi="Arial" w:cs="Arial"/>
        </w:rPr>
        <w:t>e</w:t>
      </w:r>
      <w:r w:rsidRPr="00925BCD">
        <w:rPr>
          <w:rFonts w:ascii="Arial" w:hAnsi="Arial" w:cs="Arial"/>
        </w:rPr>
        <w:t xml:space="preserve"> w</w:t>
      </w:r>
      <w:r w:rsidR="00834B8F">
        <w:rPr>
          <w:rFonts w:ascii="Arial" w:hAnsi="Arial" w:cs="Arial"/>
        </w:rPr>
        <w:t> </w:t>
      </w:r>
      <w:r w:rsidRPr="00925BCD">
        <w:rPr>
          <w:rFonts w:ascii="Arial" w:hAnsi="Arial" w:cs="Arial"/>
        </w:rPr>
        <w:t xml:space="preserve">belkę opryskową montowaną na pojazdach kolejowych </w:t>
      </w:r>
      <w:r w:rsidR="00E62D85">
        <w:rPr>
          <w:rFonts w:ascii="Arial" w:hAnsi="Arial" w:cs="Arial"/>
        </w:rPr>
        <w:t>i</w:t>
      </w:r>
      <w:r w:rsidRPr="00925BCD">
        <w:rPr>
          <w:rFonts w:ascii="Arial" w:hAnsi="Arial" w:cs="Arial"/>
        </w:rPr>
        <w:t xml:space="preserve"> opryskiwacz</w:t>
      </w:r>
      <w:r w:rsidR="00E62D85">
        <w:rPr>
          <w:rFonts w:ascii="Arial" w:hAnsi="Arial" w:cs="Arial"/>
        </w:rPr>
        <w:t>e agrolotnicze</w:t>
      </w:r>
      <w:r w:rsidRPr="00925BCD">
        <w:rPr>
          <w:rFonts w:ascii="Arial" w:hAnsi="Arial" w:cs="Arial"/>
        </w:rPr>
        <w:t xml:space="preserve">. </w:t>
      </w:r>
      <w:r w:rsidR="00E62D85">
        <w:rPr>
          <w:rFonts w:ascii="Arial" w:hAnsi="Arial" w:cs="Arial"/>
        </w:rPr>
        <w:t>Szczegółowe dane przedstawia tabela poniżej.</w:t>
      </w:r>
    </w:p>
    <w:tbl>
      <w:tblPr>
        <w:tblStyle w:val="Tabela-Siatka"/>
        <w:tblW w:w="0" w:type="auto"/>
        <w:tblLook w:val="04A0" w:firstRow="1" w:lastRow="0" w:firstColumn="1" w:lastColumn="0" w:noHBand="0" w:noVBand="1"/>
      </w:tblPr>
      <w:tblGrid>
        <w:gridCol w:w="3964"/>
        <w:gridCol w:w="1274"/>
        <w:gridCol w:w="1275"/>
        <w:gridCol w:w="1274"/>
        <w:gridCol w:w="1275"/>
      </w:tblGrid>
      <w:tr w:rsidR="00A645EC" w14:paraId="28BA529C" w14:textId="77777777" w:rsidTr="00120461">
        <w:tc>
          <w:tcPr>
            <w:tcW w:w="3964" w:type="dxa"/>
            <w:vAlign w:val="center"/>
          </w:tcPr>
          <w:p w14:paraId="1447CB89" w14:textId="42C82ADA" w:rsidR="00A645EC" w:rsidRPr="00E62D85" w:rsidRDefault="00A645EC" w:rsidP="00120461">
            <w:pPr>
              <w:pStyle w:val="NormalnyWeb"/>
              <w:tabs>
                <w:tab w:val="left" w:pos="284"/>
              </w:tabs>
              <w:spacing w:beforeAutospacing="0" w:after="120" w:afterAutospacing="0" w:line="360" w:lineRule="auto"/>
              <w:jc w:val="center"/>
              <w:rPr>
                <w:rFonts w:ascii="Arial" w:hAnsi="Arial" w:cs="Arial"/>
                <w:b/>
              </w:rPr>
            </w:pPr>
            <w:r w:rsidRPr="00E62D85">
              <w:rPr>
                <w:rFonts w:ascii="Arial" w:hAnsi="Arial" w:cs="Arial"/>
                <w:b/>
              </w:rPr>
              <w:t>Rok</w:t>
            </w:r>
          </w:p>
        </w:tc>
        <w:tc>
          <w:tcPr>
            <w:tcW w:w="1274" w:type="dxa"/>
            <w:vAlign w:val="center"/>
          </w:tcPr>
          <w:p w14:paraId="2157FA8C" w14:textId="2F924485" w:rsidR="00A645EC" w:rsidRPr="00E62D85" w:rsidRDefault="00A645EC" w:rsidP="00120461">
            <w:pPr>
              <w:pStyle w:val="NormalnyWeb"/>
              <w:tabs>
                <w:tab w:val="left" w:pos="284"/>
              </w:tabs>
              <w:spacing w:beforeAutospacing="0" w:after="120" w:afterAutospacing="0" w:line="360" w:lineRule="auto"/>
              <w:jc w:val="center"/>
              <w:rPr>
                <w:rFonts w:ascii="Arial" w:hAnsi="Arial" w:cs="Arial"/>
                <w:b/>
              </w:rPr>
            </w:pPr>
            <w:r w:rsidRPr="00E62D85">
              <w:rPr>
                <w:rFonts w:ascii="Arial" w:hAnsi="Arial" w:cs="Arial"/>
                <w:b/>
              </w:rPr>
              <w:t>2018</w:t>
            </w:r>
          </w:p>
        </w:tc>
        <w:tc>
          <w:tcPr>
            <w:tcW w:w="1275" w:type="dxa"/>
            <w:vAlign w:val="center"/>
          </w:tcPr>
          <w:p w14:paraId="4733940B" w14:textId="3E0EDECE" w:rsidR="00A645EC" w:rsidRPr="00E62D85" w:rsidRDefault="00A645EC" w:rsidP="00120461">
            <w:pPr>
              <w:pStyle w:val="NormalnyWeb"/>
              <w:tabs>
                <w:tab w:val="left" w:pos="284"/>
              </w:tabs>
              <w:spacing w:beforeAutospacing="0" w:after="120" w:afterAutospacing="0" w:line="360" w:lineRule="auto"/>
              <w:jc w:val="center"/>
              <w:rPr>
                <w:rFonts w:ascii="Arial" w:hAnsi="Arial" w:cs="Arial"/>
                <w:b/>
              </w:rPr>
            </w:pPr>
            <w:r w:rsidRPr="00E62D85">
              <w:rPr>
                <w:rFonts w:ascii="Arial" w:hAnsi="Arial" w:cs="Arial"/>
                <w:b/>
              </w:rPr>
              <w:t>2019</w:t>
            </w:r>
          </w:p>
        </w:tc>
        <w:tc>
          <w:tcPr>
            <w:tcW w:w="1274" w:type="dxa"/>
            <w:vAlign w:val="center"/>
          </w:tcPr>
          <w:p w14:paraId="20C332E7" w14:textId="6304FEFA" w:rsidR="00A645EC" w:rsidRPr="00E62D85" w:rsidRDefault="00A645EC" w:rsidP="00120461">
            <w:pPr>
              <w:pStyle w:val="NormalnyWeb"/>
              <w:tabs>
                <w:tab w:val="left" w:pos="284"/>
              </w:tabs>
              <w:spacing w:beforeAutospacing="0" w:after="120" w:afterAutospacing="0" w:line="360" w:lineRule="auto"/>
              <w:jc w:val="center"/>
              <w:rPr>
                <w:rFonts w:ascii="Arial" w:hAnsi="Arial" w:cs="Arial"/>
                <w:b/>
              </w:rPr>
            </w:pPr>
            <w:r w:rsidRPr="00E62D85">
              <w:rPr>
                <w:rFonts w:ascii="Arial" w:hAnsi="Arial" w:cs="Arial"/>
                <w:b/>
              </w:rPr>
              <w:t>2020</w:t>
            </w:r>
          </w:p>
        </w:tc>
        <w:tc>
          <w:tcPr>
            <w:tcW w:w="1275" w:type="dxa"/>
            <w:vAlign w:val="center"/>
          </w:tcPr>
          <w:p w14:paraId="7B8497A3" w14:textId="78C0BA1C" w:rsidR="00A645EC" w:rsidRPr="00E62D85" w:rsidRDefault="00A645EC" w:rsidP="00120461">
            <w:pPr>
              <w:pStyle w:val="NormalnyWeb"/>
              <w:tabs>
                <w:tab w:val="left" w:pos="284"/>
              </w:tabs>
              <w:spacing w:beforeAutospacing="0" w:after="120" w:afterAutospacing="0" w:line="360" w:lineRule="auto"/>
              <w:jc w:val="center"/>
              <w:rPr>
                <w:rFonts w:ascii="Arial" w:hAnsi="Arial" w:cs="Arial"/>
                <w:b/>
              </w:rPr>
            </w:pPr>
            <w:r w:rsidRPr="00E62D85">
              <w:rPr>
                <w:rFonts w:ascii="Arial" w:hAnsi="Arial" w:cs="Arial"/>
                <w:b/>
              </w:rPr>
              <w:t>2021</w:t>
            </w:r>
          </w:p>
        </w:tc>
      </w:tr>
      <w:tr w:rsidR="00A645EC" w14:paraId="0FDE629C" w14:textId="77777777" w:rsidTr="00980271">
        <w:tc>
          <w:tcPr>
            <w:tcW w:w="3964" w:type="dxa"/>
          </w:tcPr>
          <w:p w14:paraId="0EFFF108" w14:textId="30F31416" w:rsidR="00A645EC" w:rsidRDefault="00A645EC" w:rsidP="00A645EC">
            <w:pPr>
              <w:pStyle w:val="NormalnyWeb"/>
              <w:tabs>
                <w:tab w:val="left" w:pos="284"/>
              </w:tabs>
              <w:spacing w:beforeAutospacing="0" w:after="120" w:afterAutospacing="0" w:line="360" w:lineRule="auto"/>
              <w:jc w:val="both"/>
              <w:rPr>
                <w:rFonts w:ascii="Arial" w:hAnsi="Arial" w:cs="Arial"/>
              </w:rPr>
            </w:pPr>
            <w:r>
              <w:rPr>
                <w:rFonts w:ascii="Arial" w:hAnsi="Arial" w:cs="Arial"/>
              </w:rPr>
              <w:t xml:space="preserve">Liczba opryskiwaczy posiadających </w:t>
            </w:r>
            <w:r w:rsidRPr="00A645EC">
              <w:rPr>
                <w:rFonts w:ascii="Arial" w:hAnsi="Arial" w:cs="Arial"/>
              </w:rPr>
              <w:t xml:space="preserve">aktualne zaświadczenie potwierdzające sprawność techniczną </w:t>
            </w:r>
          </w:p>
        </w:tc>
        <w:tc>
          <w:tcPr>
            <w:tcW w:w="1274" w:type="dxa"/>
            <w:vAlign w:val="center"/>
          </w:tcPr>
          <w:p w14:paraId="0BCE88E4" w14:textId="5975B754" w:rsidR="00A645EC" w:rsidRDefault="00A645EC" w:rsidP="00980271">
            <w:pPr>
              <w:pStyle w:val="NormalnyWeb"/>
              <w:tabs>
                <w:tab w:val="left" w:pos="284"/>
              </w:tabs>
              <w:spacing w:beforeAutospacing="0" w:after="120" w:afterAutospacing="0" w:line="360" w:lineRule="auto"/>
              <w:jc w:val="right"/>
              <w:rPr>
                <w:rFonts w:ascii="Arial" w:hAnsi="Arial" w:cs="Arial"/>
              </w:rPr>
            </w:pPr>
            <w:r w:rsidRPr="00A645EC">
              <w:rPr>
                <w:rFonts w:ascii="Arial" w:hAnsi="Arial" w:cs="Arial"/>
              </w:rPr>
              <w:t>228 822</w:t>
            </w:r>
          </w:p>
        </w:tc>
        <w:tc>
          <w:tcPr>
            <w:tcW w:w="1275" w:type="dxa"/>
            <w:vAlign w:val="center"/>
          </w:tcPr>
          <w:p w14:paraId="0D664329" w14:textId="3D3B77D8" w:rsidR="00A645EC" w:rsidRDefault="00980271" w:rsidP="00980271">
            <w:pPr>
              <w:pStyle w:val="NormalnyWeb"/>
              <w:tabs>
                <w:tab w:val="left" w:pos="284"/>
              </w:tabs>
              <w:spacing w:beforeAutospacing="0" w:after="120" w:afterAutospacing="0" w:line="360" w:lineRule="auto"/>
              <w:jc w:val="right"/>
              <w:rPr>
                <w:rFonts w:ascii="Arial" w:hAnsi="Arial" w:cs="Arial"/>
              </w:rPr>
            </w:pPr>
            <w:r w:rsidRPr="00980271">
              <w:rPr>
                <w:rFonts w:ascii="Arial" w:hAnsi="Arial" w:cs="Arial"/>
              </w:rPr>
              <w:t>234 745</w:t>
            </w:r>
          </w:p>
        </w:tc>
        <w:tc>
          <w:tcPr>
            <w:tcW w:w="1274" w:type="dxa"/>
            <w:vAlign w:val="center"/>
          </w:tcPr>
          <w:p w14:paraId="272B3571" w14:textId="7C54CCCD" w:rsidR="00A645EC" w:rsidRDefault="00980271" w:rsidP="00980271">
            <w:pPr>
              <w:pStyle w:val="NormalnyWeb"/>
              <w:tabs>
                <w:tab w:val="left" w:pos="284"/>
              </w:tabs>
              <w:spacing w:beforeAutospacing="0" w:after="120" w:afterAutospacing="0" w:line="360" w:lineRule="auto"/>
              <w:jc w:val="right"/>
              <w:rPr>
                <w:rFonts w:ascii="Arial" w:hAnsi="Arial" w:cs="Arial"/>
              </w:rPr>
            </w:pPr>
            <w:r w:rsidRPr="00980271">
              <w:rPr>
                <w:rFonts w:ascii="Arial" w:hAnsi="Arial" w:cs="Arial"/>
              </w:rPr>
              <w:t>215 899</w:t>
            </w:r>
          </w:p>
        </w:tc>
        <w:tc>
          <w:tcPr>
            <w:tcW w:w="1275" w:type="dxa"/>
            <w:vAlign w:val="center"/>
          </w:tcPr>
          <w:p w14:paraId="3FADF6B5" w14:textId="7F23B3B2" w:rsidR="00A645EC" w:rsidRDefault="00980271" w:rsidP="00980271">
            <w:pPr>
              <w:pStyle w:val="NormalnyWeb"/>
              <w:tabs>
                <w:tab w:val="left" w:pos="284"/>
              </w:tabs>
              <w:spacing w:beforeAutospacing="0" w:after="120" w:afterAutospacing="0" w:line="360" w:lineRule="auto"/>
              <w:jc w:val="right"/>
              <w:rPr>
                <w:rFonts w:ascii="Arial" w:hAnsi="Arial" w:cs="Arial"/>
              </w:rPr>
            </w:pPr>
            <w:r w:rsidRPr="00980271">
              <w:rPr>
                <w:rFonts w:ascii="Arial" w:hAnsi="Arial" w:cs="Arial"/>
              </w:rPr>
              <w:t>209 902</w:t>
            </w:r>
          </w:p>
        </w:tc>
      </w:tr>
      <w:tr w:rsidR="00A645EC" w14:paraId="2E976CCC" w14:textId="77777777" w:rsidTr="00E62D85">
        <w:tc>
          <w:tcPr>
            <w:tcW w:w="3964" w:type="dxa"/>
          </w:tcPr>
          <w:p w14:paraId="6179C0E1" w14:textId="0A077E66" w:rsidR="00A645EC" w:rsidRDefault="00A645EC" w:rsidP="00F27DD8">
            <w:pPr>
              <w:pStyle w:val="NormalnyWeb"/>
              <w:numPr>
                <w:ilvl w:val="0"/>
                <w:numId w:val="41"/>
              </w:numPr>
              <w:tabs>
                <w:tab w:val="left" w:pos="164"/>
              </w:tabs>
              <w:spacing w:beforeAutospacing="0" w:after="120" w:afterAutospacing="0" w:line="360" w:lineRule="auto"/>
              <w:ind w:left="589" w:hanging="425"/>
              <w:rPr>
                <w:rFonts w:ascii="Arial" w:hAnsi="Arial" w:cs="Arial"/>
              </w:rPr>
            </w:pPr>
            <w:r w:rsidRPr="00A645EC">
              <w:rPr>
                <w:rFonts w:ascii="Arial" w:hAnsi="Arial" w:cs="Arial"/>
              </w:rPr>
              <w:t xml:space="preserve">w tym </w:t>
            </w:r>
            <w:r>
              <w:rPr>
                <w:rFonts w:ascii="Arial" w:hAnsi="Arial" w:cs="Arial"/>
              </w:rPr>
              <w:t xml:space="preserve">opryskiwaczy </w:t>
            </w:r>
            <w:r w:rsidRPr="00A645EC">
              <w:rPr>
                <w:rFonts w:ascii="Arial" w:hAnsi="Arial" w:cs="Arial"/>
              </w:rPr>
              <w:t>wyposażonych w belkę opryskową montowaną na pojazdach kolejowych</w:t>
            </w:r>
            <w:r>
              <w:rPr>
                <w:rFonts w:ascii="Arial" w:hAnsi="Arial" w:cs="Arial"/>
              </w:rPr>
              <w:t xml:space="preserve"> </w:t>
            </w:r>
          </w:p>
        </w:tc>
        <w:tc>
          <w:tcPr>
            <w:tcW w:w="1274" w:type="dxa"/>
            <w:vAlign w:val="center"/>
          </w:tcPr>
          <w:p w14:paraId="16E95926" w14:textId="4216A0BD" w:rsidR="00A645EC" w:rsidRDefault="00980271"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18</w:t>
            </w:r>
          </w:p>
        </w:tc>
        <w:tc>
          <w:tcPr>
            <w:tcW w:w="1275" w:type="dxa"/>
            <w:vAlign w:val="center"/>
          </w:tcPr>
          <w:p w14:paraId="110DBF61" w14:textId="48B34BEC" w:rsidR="00A645EC" w:rsidRDefault="00E62D85"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16</w:t>
            </w:r>
          </w:p>
        </w:tc>
        <w:tc>
          <w:tcPr>
            <w:tcW w:w="1274" w:type="dxa"/>
            <w:vAlign w:val="center"/>
          </w:tcPr>
          <w:p w14:paraId="5773A508" w14:textId="5AC49797" w:rsidR="00A645EC" w:rsidRDefault="00E62D85"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13</w:t>
            </w:r>
          </w:p>
        </w:tc>
        <w:tc>
          <w:tcPr>
            <w:tcW w:w="1275" w:type="dxa"/>
            <w:vAlign w:val="center"/>
          </w:tcPr>
          <w:p w14:paraId="0A8F17F9" w14:textId="0B557FA9" w:rsidR="00A645EC" w:rsidRDefault="00807DAE"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16</w:t>
            </w:r>
          </w:p>
        </w:tc>
      </w:tr>
      <w:tr w:rsidR="00A645EC" w14:paraId="2C585698" w14:textId="77777777" w:rsidTr="00E62D85">
        <w:tc>
          <w:tcPr>
            <w:tcW w:w="3964" w:type="dxa"/>
          </w:tcPr>
          <w:p w14:paraId="02359093" w14:textId="3A17ABE9" w:rsidR="00A645EC" w:rsidRDefault="00980271" w:rsidP="00F27DD8">
            <w:pPr>
              <w:pStyle w:val="NormalnyWeb"/>
              <w:numPr>
                <w:ilvl w:val="0"/>
                <w:numId w:val="41"/>
              </w:numPr>
              <w:tabs>
                <w:tab w:val="left" w:pos="164"/>
              </w:tabs>
              <w:spacing w:beforeAutospacing="0" w:after="120" w:afterAutospacing="0" w:line="360" w:lineRule="auto"/>
              <w:ind w:left="589" w:hanging="425"/>
              <w:rPr>
                <w:rFonts w:ascii="Arial" w:hAnsi="Arial" w:cs="Arial"/>
              </w:rPr>
            </w:pPr>
            <w:r>
              <w:rPr>
                <w:rFonts w:ascii="Arial" w:hAnsi="Arial" w:cs="Arial"/>
              </w:rPr>
              <w:t>w tym opryskiwaczy agrolotniczych</w:t>
            </w:r>
          </w:p>
        </w:tc>
        <w:tc>
          <w:tcPr>
            <w:tcW w:w="1274" w:type="dxa"/>
            <w:vAlign w:val="center"/>
          </w:tcPr>
          <w:p w14:paraId="5BF80F4C" w14:textId="4899B930" w:rsidR="00A645EC" w:rsidRDefault="00E62D85"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20</w:t>
            </w:r>
          </w:p>
        </w:tc>
        <w:tc>
          <w:tcPr>
            <w:tcW w:w="1275" w:type="dxa"/>
            <w:vAlign w:val="center"/>
          </w:tcPr>
          <w:p w14:paraId="566FC3C8" w14:textId="1DBEB418" w:rsidR="00A645EC" w:rsidRDefault="00E62D85"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24</w:t>
            </w:r>
          </w:p>
        </w:tc>
        <w:tc>
          <w:tcPr>
            <w:tcW w:w="1274" w:type="dxa"/>
            <w:vAlign w:val="center"/>
          </w:tcPr>
          <w:p w14:paraId="18B6B317" w14:textId="099A9A7F" w:rsidR="00A645EC" w:rsidRDefault="00E62D85"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31</w:t>
            </w:r>
          </w:p>
        </w:tc>
        <w:tc>
          <w:tcPr>
            <w:tcW w:w="1275" w:type="dxa"/>
            <w:vAlign w:val="center"/>
          </w:tcPr>
          <w:p w14:paraId="34012E42" w14:textId="2DF91487" w:rsidR="00A645EC" w:rsidRDefault="00D63263"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31</w:t>
            </w:r>
          </w:p>
        </w:tc>
      </w:tr>
    </w:tbl>
    <w:p w14:paraId="35456D36" w14:textId="61B7AB5F" w:rsidR="00A645EC" w:rsidRDefault="00A645EC" w:rsidP="002B2514">
      <w:pPr>
        <w:pStyle w:val="NormalnyWeb"/>
        <w:tabs>
          <w:tab w:val="left" w:pos="284"/>
        </w:tabs>
        <w:spacing w:beforeAutospacing="0" w:after="120" w:afterAutospacing="0" w:line="360" w:lineRule="auto"/>
        <w:ind w:firstLine="284"/>
        <w:jc w:val="both"/>
        <w:rPr>
          <w:rFonts w:ascii="Arial" w:hAnsi="Arial" w:cs="Arial"/>
        </w:rPr>
      </w:pPr>
    </w:p>
    <w:p w14:paraId="5E364A7B" w14:textId="265608F7" w:rsidR="00A645EC" w:rsidRDefault="00E62D85" w:rsidP="002B2514">
      <w:pPr>
        <w:pStyle w:val="NormalnyWeb"/>
        <w:tabs>
          <w:tab w:val="left" w:pos="284"/>
        </w:tabs>
        <w:spacing w:beforeAutospacing="0" w:after="120" w:afterAutospacing="0" w:line="360" w:lineRule="auto"/>
        <w:ind w:firstLine="284"/>
        <w:jc w:val="both"/>
        <w:rPr>
          <w:rFonts w:ascii="Arial" w:hAnsi="Arial" w:cs="Arial"/>
        </w:rPr>
      </w:pPr>
      <w:r w:rsidRPr="00E62D85">
        <w:rPr>
          <w:rFonts w:ascii="Arial" w:hAnsi="Arial" w:cs="Arial"/>
        </w:rPr>
        <w:t xml:space="preserve">Zewidencjonowano również w 2018 r. – 13 591 sztuk, w 2019 r. – 858 sztuk, w 2020 r. 1 229 sztuk </w:t>
      </w:r>
      <w:r>
        <w:rPr>
          <w:rFonts w:ascii="Arial" w:hAnsi="Arial" w:cs="Arial"/>
        </w:rPr>
        <w:t xml:space="preserve">a w 2021 r. </w:t>
      </w:r>
      <w:r w:rsidRPr="00E62D85">
        <w:rPr>
          <w:rFonts w:ascii="Arial" w:hAnsi="Arial" w:cs="Arial"/>
        </w:rPr>
        <w:t>–</w:t>
      </w:r>
      <w:r>
        <w:rPr>
          <w:rFonts w:ascii="Arial" w:hAnsi="Arial" w:cs="Arial"/>
        </w:rPr>
        <w:t xml:space="preserve"> 1 415 sztuk </w:t>
      </w:r>
      <w:r w:rsidRPr="00E62D85">
        <w:rPr>
          <w:rFonts w:ascii="Arial" w:hAnsi="Arial" w:cs="Arial"/>
        </w:rPr>
        <w:t>sprzętu do stosowania środków ochrony roślin, będącego w użytkowaniu, zwolnionego z konieczności badań na podstawie dowodów zakupu.</w:t>
      </w:r>
    </w:p>
    <w:p w14:paraId="4DA2A20E" w14:textId="78BE350A" w:rsidR="007D7FE1" w:rsidRPr="00925BCD" w:rsidRDefault="007D7FE1" w:rsidP="007D7FE1">
      <w:pPr>
        <w:pStyle w:val="NormalnyWeb"/>
        <w:tabs>
          <w:tab w:val="left" w:pos="284"/>
        </w:tabs>
        <w:spacing w:after="120" w:line="360" w:lineRule="auto"/>
        <w:ind w:firstLine="284"/>
        <w:jc w:val="both"/>
        <w:rPr>
          <w:rFonts w:ascii="Arial" w:hAnsi="Arial" w:cs="Arial"/>
        </w:rPr>
      </w:pPr>
      <w:r w:rsidRPr="007D7FE1">
        <w:rPr>
          <w:rFonts w:ascii="Arial" w:hAnsi="Arial" w:cs="Arial"/>
        </w:rPr>
        <w:t>2021</w:t>
      </w:r>
      <w:r>
        <w:rPr>
          <w:rFonts w:ascii="Arial" w:hAnsi="Arial" w:cs="Arial"/>
        </w:rPr>
        <w:t xml:space="preserve"> r. </w:t>
      </w:r>
      <w:r w:rsidRPr="007D7FE1">
        <w:rPr>
          <w:rFonts w:ascii="Arial" w:hAnsi="Arial" w:cs="Arial"/>
        </w:rPr>
        <w:t xml:space="preserve">był </w:t>
      </w:r>
      <w:r>
        <w:rPr>
          <w:rFonts w:ascii="Arial" w:hAnsi="Arial" w:cs="Arial"/>
        </w:rPr>
        <w:t xml:space="preserve">kolejnym </w:t>
      </w:r>
      <w:r w:rsidRPr="007D7FE1">
        <w:rPr>
          <w:rFonts w:ascii="Arial" w:hAnsi="Arial" w:cs="Arial"/>
        </w:rPr>
        <w:t>rokiem szczególnym z powodu sytuacji epidemicznej związanej z</w:t>
      </w:r>
      <w:r>
        <w:rPr>
          <w:rFonts w:ascii="Arial" w:hAnsi="Arial" w:cs="Arial"/>
        </w:rPr>
        <w:t> </w:t>
      </w:r>
      <w:r w:rsidRPr="007D7FE1">
        <w:rPr>
          <w:rFonts w:ascii="Arial" w:hAnsi="Arial" w:cs="Arial"/>
        </w:rPr>
        <w:t>korona</w:t>
      </w:r>
      <w:r>
        <w:rPr>
          <w:rFonts w:ascii="Arial" w:hAnsi="Arial" w:cs="Arial"/>
        </w:rPr>
        <w:t>-</w:t>
      </w:r>
      <w:r w:rsidRPr="007D7FE1">
        <w:rPr>
          <w:rFonts w:ascii="Arial" w:hAnsi="Arial" w:cs="Arial"/>
        </w:rPr>
        <w:t>wirusem SARS-CoV-2. Wprowadzone rozwiązania prawne</w:t>
      </w:r>
      <w:r>
        <w:rPr>
          <w:rFonts w:ascii="Arial" w:hAnsi="Arial" w:cs="Arial"/>
        </w:rPr>
        <w:t xml:space="preserve">, które okresowo zawiesiły </w:t>
      </w:r>
      <w:r w:rsidRPr="007D7FE1">
        <w:rPr>
          <w:rFonts w:ascii="Arial" w:hAnsi="Arial" w:cs="Arial"/>
        </w:rPr>
        <w:t>obowiązek potwierdzania sprawności technicznej sprzętu do stosowania środków ochrony roślin spowodowały zmniejszenie liczby przeprowadzonych badań. Jednocześnie zmniejszyła się również liczba sprzętu posiadającego aktualne badania</w:t>
      </w:r>
      <w:r>
        <w:rPr>
          <w:rFonts w:ascii="Arial" w:hAnsi="Arial" w:cs="Arial"/>
        </w:rPr>
        <w:t>.</w:t>
      </w:r>
    </w:p>
    <w:p w14:paraId="34515304" w14:textId="04282AF1" w:rsidR="00B075F3" w:rsidRPr="00925BCD"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wykonywania obowiązków organu prowadzącego rejestr w zakresie potwierdzania sprawności sprzętu przeznaczonego do stosowania środków ochrony roślin inspektorzy </w:t>
      </w:r>
      <w:proofErr w:type="spellStart"/>
      <w:r w:rsidRPr="00925BCD">
        <w:rPr>
          <w:rFonts w:ascii="Arial" w:hAnsi="Arial" w:cs="Arial"/>
        </w:rPr>
        <w:t>PIORiN</w:t>
      </w:r>
      <w:proofErr w:type="spellEnd"/>
      <w:r w:rsidRPr="00925BCD">
        <w:rPr>
          <w:rFonts w:ascii="Arial" w:hAnsi="Arial" w:cs="Arial"/>
        </w:rPr>
        <w:t xml:space="preserve"> prowadzili kontrole przedsiębiorców i podmiotów prowadzących działalność w tym zakresie. W 2018 r. przeprowadzono 628 takich kontroli, w 2019 r. – 5</w:t>
      </w:r>
      <w:r w:rsidR="00D40062">
        <w:rPr>
          <w:rFonts w:ascii="Arial" w:hAnsi="Arial" w:cs="Arial"/>
        </w:rPr>
        <w:t xml:space="preserve">39, </w:t>
      </w:r>
      <w:r w:rsidR="006B19AA">
        <w:rPr>
          <w:rFonts w:ascii="Arial" w:hAnsi="Arial" w:cs="Arial"/>
        </w:rPr>
        <w:t> </w:t>
      </w:r>
      <w:r w:rsidR="00D40062">
        <w:rPr>
          <w:rFonts w:ascii="Arial" w:hAnsi="Arial" w:cs="Arial"/>
        </w:rPr>
        <w:t xml:space="preserve">w 2020 r. </w:t>
      </w:r>
      <w:r w:rsidR="00D40062" w:rsidRPr="00925BCD">
        <w:rPr>
          <w:rFonts w:ascii="Arial" w:hAnsi="Arial" w:cs="Arial"/>
        </w:rPr>
        <w:t xml:space="preserve">– </w:t>
      </w:r>
      <w:r w:rsidR="00D40062">
        <w:rPr>
          <w:rFonts w:ascii="Arial" w:hAnsi="Arial" w:cs="Arial"/>
        </w:rPr>
        <w:t>55</w:t>
      </w:r>
      <w:r w:rsidR="007C53DB">
        <w:rPr>
          <w:rFonts w:ascii="Arial" w:hAnsi="Arial" w:cs="Arial"/>
        </w:rPr>
        <w:t>1</w:t>
      </w:r>
      <w:r w:rsidR="007D7FE1">
        <w:rPr>
          <w:rFonts w:ascii="Arial" w:hAnsi="Arial" w:cs="Arial"/>
        </w:rPr>
        <w:t>, a w 2021 r</w:t>
      </w:r>
      <w:r w:rsidR="007D7FE1" w:rsidRPr="00DE1591">
        <w:rPr>
          <w:rFonts w:ascii="Arial" w:hAnsi="Arial" w:cs="Arial"/>
        </w:rPr>
        <w:t>. – 384</w:t>
      </w:r>
      <w:r w:rsidRPr="00DE1591">
        <w:rPr>
          <w:rFonts w:ascii="Arial" w:hAnsi="Arial" w:cs="Arial"/>
        </w:rPr>
        <w:t>.</w:t>
      </w:r>
    </w:p>
    <w:p w14:paraId="2EEA8D55" w14:textId="5C226487" w:rsidR="005909A6" w:rsidRDefault="005909A6"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Liczba badań sprzętu do aplikacji środków ochrony roślin w Polsce utrzymuje się na stabilnym poziomie</w:t>
      </w:r>
      <w:r w:rsidR="00F27DD8">
        <w:rPr>
          <w:rFonts w:ascii="Arial" w:hAnsi="Arial" w:cs="Arial"/>
        </w:rPr>
        <w:t>, co przedstawia wykres poniżej</w:t>
      </w:r>
      <w:r w:rsidR="00162AA0">
        <w:rPr>
          <w:rFonts w:ascii="Arial" w:hAnsi="Arial" w:cs="Arial"/>
        </w:rPr>
        <w:t>.</w:t>
      </w:r>
      <w:r w:rsidRPr="00925BCD">
        <w:rPr>
          <w:rFonts w:ascii="Arial" w:hAnsi="Arial" w:cs="Arial"/>
        </w:rPr>
        <w:t xml:space="preserve"> </w:t>
      </w:r>
    </w:p>
    <w:p w14:paraId="11297D4B" w14:textId="1546CDC9" w:rsidR="00CD011C" w:rsidRDefault="00CD011C">
      <w:pPr>
        <w:spacing w:after="0" w:line="240" w:lineRule="auto"/>
        <w:rPr>
          <w:rFonts w:ascii="Arial" w:eastAsia="Times New Roman" w:hAnsi="Arial" w:cs="Arial"/>
          <w:sz w:val="20"/>
          <w:szCs w:val="20"/>
          <w:lang w:eastAsia="pl-PL"/>
        </w:rPr>
      </w:pPr>
    </w:p>
    <w:p w14:paraId="773CB74A" w14:textId="2E9DF1D3" w:rsidR="005909A6" w:rsidRPr="00925BCD" w:rsidRDefault="005909A6" w:rsidP="00F27DD8">
      <w:pPr>
        <w:jc w:val="center"/>
        <w:rPr>
          <w:rFonts w:ascii="Arial" w:hAnsi="Arial" w:cs="Arial"/>
          <w:b/>
          <w:bCs/>
          <w:szCs w:val="18"/>
        </w:rPr>
      </w:pPr>
      <w:r w:rsidRPr="00AE1379">
        <w:rPr>
          <w:rFonts w:ascii="Arial" w:hAnsi="Arial" w:cs="Arial"/>
          <w:b/>
          <w:bCs/>
          <w:szCs w:val="18"/>
        </w:rPr>
        <w:lastRenderedPageBreak/>
        <w:t>Wykres 3. Badania sprzętu do aplikacji środków ochrony roślin</w:t>
      </w:r>
    </w:p>
    <w:p w14:paraId="6F5081AC" w14:textId="77777777" w:rsidR="005877FF" w:rsidRPr="00925BCD" w:rsidRDefault="002E626F" w:rsidP="00114D52">
      <w:pPr>
        <w:tabs>
          <w:tab w:val="center" w:pos="4536"/>
          <w:tab w:val="right" w:pos="9072"/>
        </w:tabs>
        <w:suppressAutoHyphens/>
        <w:autoSpaceDN w:val="0"/>
        <w:spacing w:before="120" w:after="120" w:line="360" w:lineRule="auto"/>
        <w:ind w:firstLine="357"/>
        <w:jc w:val="both"/>
        <w:textAlignment w:val="baseline"/>
        <w:rPr>
          <w:rFonts w:ascii="Arial" w:hAnsi="Arial" w:cs="Arial"/>
        </w:rPr>
      </w:pPr>
      <w:r w:rsidRPr="006D456B">
        <w:rPr>
          <w:rFonts w:ascii="Arial" w:hAnsi="Arial" w:cs="Arial"/>
          <w:noProof/>
          <w:lang w:eastAsia="pl-PL"/>
        </w:rPr>
        <w:drawing>
          <wp:inline distT="0" distB="0" distL="0" distR="0" wp14:anchorId="329ED5D8" wp14:editId="21F1A45C">
            <wp:extent cx="5518150" cy="2755900"/>
            <wp:effectExtent l="0" t="0" r="6350" b="635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8BA3FC" w14:textId="77777777" w:rsidR="00056846" w:rsidRPr="00925BCD" w:rsidRDefault="00E54725">
      <w:pPr>
        <w:pStyle w:val="Nagwek1"/>
        <w:numPr>
          <w:ilvl w:val="1"/>
          <w:numId w:val="9"/>
        </w:numPr>
        <w:tabs>
          <w:tab w:val="left" w:pos="426"/>
        </w:tabs>
        <w:ind w:left="709" w:hanging="709"/>
        <w:jc w:val="both"/>
        <w:rPr>
          <w:i w:val="0"/>
          <w:sz w:val="22"/>
          <w:szCs w:val="22"/>
        </w:rPr>
      </w:pPr>
      <w:bookmarkStart w:id="19" w:name="_Toc134099252"/>
      <w:r w:rsidRPr="00925BCD">
        <w:rPr>
          <w:i w:val="0"/>
          <w:sz w:val="22"/>
          <w:szCs w:val="22"/>
        </w:rPr>
        <w:t>Mierniki służące monitorowaniu</w:t>
      </w:r>
      <w:bookmarkEnd w:id="19"/>
    </w:p>
    <w:p w14:paraId="4E1EE82B" w14:textId="77777777" w:rsidR="00056846" w:rsidRPr="00925BCD" w:rsidRDefault="00E54725" w:rsidP="00114D52">
      <w:pPr>
        <w:pStyle w:val="napakapit"/>
        <w:spacing w:before="0"/>
        <w:ind w:firstLine="357"/>
        <w:rPr>
          <w:rFonts w:cs="Arial"/>
        </w:rPr>
      </w:pPr>
      <w:r w:rsidRPr="00925BCD">
        <w:rPr>
          <w:rFonts w:cs="Arial"/>
        </w:rPr>
        <w:t>Efektywność działania będzie oceniana na podstawie odsetka znajdującego się w użyciu sprzętu do stosowania środków ochrony roślin, który jest regularnie poddawany obowiązkowym badaniom sprawności technicznej. W 2022 r. poziom  nieprawidłowości w tym zakresie, stwierdzanych w ramach kontroli prowadzonej przez Państwową Inspekcję Ochrony Roślin i Nasiennictwa, powinien wynosić poniżej 1%.</w:t>
      </w:r>
    </w:p>
    <w:p w14:paraId="12BD8993" w14:textId="7DEF2644" w:rsidR="00056846" w:rsidRPr="00925BCD" w:rsidRDefault="00E54725" w:rsidP="00114D52">
      <w:pPr>
        <w:pStyle w:val="napakapit"/>
        <w:spacing w:before="0"/>
        <w:ind w:firstLine="357"/>
        <w:rPr>
          <w:rFonts w:cs="Arial"/>
        </w:rPr>
      </w:pPr>
      <w:r w:rsidRPr="00925BCD">
        <w:rPr>
          <w:rFonts w:cs="Arial"/>
        </w:rPr>
        <w:t>W 2018 r. poziom nieprawidłowości wyniósł 1,41%</w:t>
      </w:r>
      <w:r w:rsidR="00B075F3" w:rsidRPr="00925BCD">
        <w:rPr>
          <w:rFonts w:cs="Arial"/>
        </w:rPr>
        <w:t>,</w:t>
      </w:r>
      <w:r w:rsidR="00DC6EA1">
        <w:rPr>
          <w:rFonts w:cs="Arial"/>
        </w:rPr>
        <w:t xml:space="preserve"> a</w:t>
      </w:r>
      <w:r w:rsidR="008510AB" w:rsidRPr="00925BCD">
        <w:rPr>
          <w:rFonts w:cs="Arial"/>
        </w:rPr>
        <w:t xml:space="preserve"> w 2019 r. wyniósł 1,34</w:t>
      </w:r>
      <w:r w:rsidR="008510AB" w:rsidRPr="001A314E">
        <w:rPr>
          <w:rFonts w:cs="Arial"/>
        </w:rPr>
        <w:t>%</w:t>
      </w:r>
      <w:r w:rsidR="00B3153A">
        <w:rPr>
          <w:rFonts w:cs="Arial"/>
        </w:rPr>
        <w:t>. W</w:t>
      </w:r>
      <w:r w:rsidR="00D91036" w:rsidRPr="001A314E">
        <w:rPr>
          <w:rFonts w:cs="Arial"/>
        </w:rPr>
        <w:t xml:space="preserve"> 2020 r.</w:t>
      </w:r>
      <w:r w:rsidR="001A314E" w:rsidRPr="001A314E">
        <w:rPr>
          <w:rFonts w:cs="Arial"/>
        </w:rPr>
        <w:t xml:space="preserve"> </w:t>
      </w:r>
      <w:r w:rsidR="00507F25">
        <w:rPr>
          <w:rFonts w:cs="Arial"/>
        </w:rPr>
        <w:t xml:space="preserve">i 2021 r. </w:t>
      </w:r>
      <w:r w:rsidR="00B3153A">
        <w:rPr>
          <w:rFonts w:cs="Arial"/>
        </w:rPr>
        <w:t xml:space="preserve">odsetek sprzętu przeznaczonego do stosowania środków ochrony roślin nieposiadającego aktualnych dowodów badania sprawności technicznej </w:t>
      </w:r>
      <w:r w:rsidR="001A314E" w:rsidRPr="001B4C76">
        <w:rPr>
          <w:rFonts w:cs="Arial"/>
        </w:rPr>
        <w:t>wyniósł 0,86%</w:t>
      </w:r>
      <w:r w:rsidR="00507F25" w:rsidRPr="001B4C76">
        <w:rPr>
          <w:rFonts w:cs="Arial"/>
        </w:rPr>
        <w:t xml:space="preserve"> i </w:t>
      </w:r>
      <w:r w:rsidR="00D3442C" w:rsidRPr="001B4C76">
        <w:rPr>
          <w:rFonts w:cs="Arial"/>
        </w:rPr>
        <w:t>0,81%</w:t>
      </w:r>
      <w:r w:rsidR="00B3153A" w:rsidRPr="001B4C76">
        <w:rPr>
          <w:rFonts w:cs="Arial"/>
        </w:rPr>
        <w:t>, przy czym z racji sytuacji pandemicznej nie traktowano tego jako nieprawidłowości</w:t>
      </w:r>
      <w:r w:rsidR="001B4C76" w:rsidRPr="001B4C76">
        <w:rPr>
          <w:rFonts w:cs="Arial"/>
        </w:rPr>
        <w:t xml:space="preserve">. </w:t>
      </w:r>
      <w:r w:rsidR="00C14594">
        <w:rPr>
          <w:rFonts w:cs="Arial"/>
        </w:rPr>
        <w:t xml:space="preserve"> </w:t>
      </w:r>
    </w:p>
    <w:p w14:paraId="0C53789D" w14:textId="77777777" w:rsidR="00056846" w:rsidRPr="00925BCD" w:rsidRDefault="00E54725">
      <w:pPr>
        <w:pStyle w:val="Nagwek1"/>
        <w:numPr>
          <w:ilvl w:val="0"/>
          <w:numId w:val="9"/>
        </w:numPr>
        <w:jc w:val="both"/>
        <w:rPr>
          <w:sz w:val="22"/>
          <w:szCs w:val="22"/>
        </w:rPr>
      </w:pPr>
      <w:bookmarkStart w:id="20" w:name="_Toc134099253"/>
      <w:r w:rsidRPr="00925BCD">
        <w:rPr>
          <w:i w:val="0"/>
          <w:sz w:val="22"/>
          <w:szCs w:val="22"/>
        </w:rPr>
        <w:t>Działanie 5. Zabiegi agrolotnicze</w:t>
      </w:r>
      <w:bookmarkEnd w:id="20"/>
    </w:p>
    <w:p w14:paraId="7946D8F4"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Wymagania i obowiązki związane z wykonywaniem zabiegów z zastosowaniem środków ochrony roślin przy użyciu sprzętu agrolotniczego w Polsce, zarówno dla stosujących te środki, jak i dla służb kontrolnych, określają przepisy ustawy z dnia 8 marca 2013 r. o środkach ochrony roślin oraz przepisy rozporządzenia Ministra Rolnictwa i Rozwoju Wsi z dnia 18 kwietnia 2013 r. w sprawie rozwiązań technicznych, jakie powinny być zastosowane podczas wykonywania zabiegów z zastosowaniem środków ochrony roślin przy użyciu sprzętu agrolotniczego (Dz. U. poz. 504), rozporządzenia Ministra Rolnictwa i Rozwoju Wsi z dnia 22 maja 2013 r. w sprawie sposobu postępowania przy stosowaniu i przechowywaniu środków ochrony roślin (Dz. U. poz. 625) oraz rozporządzenia Ministra Rolnictwa i Rozwoju Wsi z dnia z dnia 31 marca 2014 r. w sprawie warunków stosowania środków ochrony roślin (Dz. U. poz. 516). </w:t>
      </w:r>
    </w:p>
    <w:p w14:paraId="3EE66FF6" w14:textId="77777777" w:rsidR="00F27DD8" w:rsidRDefault="00F27DD8" w:rsidP="00114D52">
      <w:pPr>
        <w:tabs>
          <w:tab w:val="center" w:pos="4536"/>
          <w:tab w:val="right" w:pos="9072"/>
        </w:tabs>
        <w:spacing w:after="120" w:line="360" w:lineRule="auto"/>
        <w:ind w:firstLine="357"/>
        <w:jc w:val="both"/>
        <w:rPr>
          <w:rFonts w:ascii="Arial" w:hAnsi="Arial" w:cs="Arial"/>
          <w:iCs/>
          <w:sz w:val="20"/>
          <w:szCs w:val="20"/>
        </w:rPr>
      </w:pPr>
    </w:p>
    <w:p w14:paraId="2DFDF224" w14:textId="415D99EA" w:rsidR="00056846" w:rsidRPr="00D91036" w:rsidRDefault="00E54725" w:rsidP="00114D52">
      <w:pPr>
        <w:tabs>
          <w:tab w:val="center" w:pos="4536"/>
          <w:tab w:val="right" w:pos="9072"/>
        </w:tabs>
        <w:spacing w:after="120" w:line="360" w:lineRule="auto"/>
        <w:ind w:firstLine="357"/>
        <w:jc w:val="both"/>
        <w:rPr>
          <w:rFonts w:ascii="Arial" w:hAnsi="Arial" w:cs="Arial"/>
          <w:iCs/>
          <w:sz w:val="20"/>
          <w:szCs w:val="20"/>
        </w:rPr>
      </w:pPr>
      <w:r w:rsidRPr="00D91036">
        <w:rPr>
          <w:rFonts w:ascii="Arial" w:hAnsi="Arial" w:cs="Arial"/>
          <w:iCs/>
          <w:sz w:val="20"/>
          <w:szCs w:val="20"/>
        </w:rPr>
        <w:lastRenderedPageBreak/>
        <w:t>Powyższe przepisy określają zasady wykonywania zabiegów ochrony roślin z wykorzystaniem sprzętu agrolotniczego, w tym:</w:t>
      </w:r>
    </w:p>
    <w:p w14:paraId="023F1F55"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środki ochrony roślin, które nie mogą być stosowane przy użyciu sprzętu agrolotniczego;</w:t>
      </w:r>
    </w:p>
    <w:p w14:paraId="4AA1A199"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zasady zatwierdzania planów takich zabiegów przez Państwową Inspekcję Ochrony Roślin i Nasiennictwa;</w:t>
      </w:r>
    </w:p>
    <w:p w14:paraId="35C13A62"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sposoby ostrzegania o wykonywaniu takich zabiegów osób, które mogłyby być narażone na przypadkowy kontakt ze środkiem ochrony roślin;</w:t>
      </w:r>
    </w:p>
    <w:p w14:paraId="50E99D3D"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warunki, w jakich zabiegi takie mogą się odbywać, w tym w odniesieniu do warunków atmosferycznych,</w:t>
      </w:r>
    </w:p>
    <w:p w14:paraId="2D420C9F"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 xml:space="preserve">wymagania dotyczące wyposażenia statku powietrznego (w urządzenia wykorzystujące sygnał GPS do naprowadzania statku powietrznego na ścieżkę zabiegu oraz rozpoczęcia i zakończenia oprysku). </w:t>
      </w:r>
    </w:p>
    <w:p w14:paraId="59EAF2F9"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Zabiegi agrolotnicze w Polsce są wykonywane tylko i wyłącznie w lasach, które zajmują 29,4% terytorium kraju i rosną na obszarze 9,1 mln ha. Zabiegi te są wykonywane głównie przeciwko brudnicy mniszce (</w:t>
      </w:r>
      <w:proofErr w:type="spellStart"/>
      <w:r w:rsidRPr="00925BCD">
        <w:rPr>
          <w:rFonts w:ascii="Arial" w:hAnsi="Arial" w:cs="Arial"/>
        </w:rPr>
        <w:t>Lymantria</w:t>
      </w:r>
      <w:proofErr w:type="spellEnd"/>
      <w:r w:rsidRPr="00925BCD">
        <w:rPr>
          <w:rFonts w:ascii="Arial" w:hAnsi="Arial" w:cs="Arial"/>
        </w:rPr>
        <w:t xml:space="preserve"> </w:t>
      </w:r>
      <w:proofErr w:type="spellStart"/>
      <w:r w:rsidRPr="00925BCD">
        <w:rPr>
          <w:rFonts w:ascii="Arial" w:hAnsi="Arial" w:cs="Arial"/>
        </w:rPr>
        <w:t>monacha</w:t>
      </w:r>
      <w:proofErr w:type="spellEnd"/>
      <w:r w:rsidRPr="00925BCD">
        <w:rPr>
          <w:rFonts w:ascii="Arial" w:hAnsi="Arial" w:cs="Arial"/>
        </w:rPr>
        <w:t>), barczatce sosnówce (</w:t>
      </w:r>
      <w:proofErr w:type="spellStart"/>
      <w:r w:rsidRPr="00925BCD">
        <w:rPr>
          <w:rFonts w:ascii="Arial" w:hAnsi="Arial" w:cs="Arial"/>
        </w:rPr>
        <w:t>Dendrolimus</w:t>
      </w:r>
      <w:proofErr w:type="spellEnd"/>
      <w:r w:rsidRPr="00925BCD">
        <w:rPr>
          <w:rFonts w:ascii="Arial" w:hAnsi="Arial" w:cs="Arial"/>
        </w:rPr>
        <w:t xml:space="preserve"> </w:t>
      </w:r>
      <w:proofErr w:type="spellStart"/>
      <w:r w:rsidRPr="00925BCD">
        <w:rPr>
          <w:rFonts w:ascii="Arial" w:hAnsi="Arial" w:cs="Arial"/>
        </w:rPr>
        <w:t>pini</w:t>
      </w:r>
      <w:proofErr w:type="spellEnd"/>
      <w:r w:rsidRPr="00925BCD">
        <w:rPr>
          <w:rFonts w:ascii="Arial" w:hAnsi="Arial" w:cs="Arial"/>
        </w:rPr>
        <w:t>), strzygoni choinówce (</w:t>
      </w:r>
      <w:proofErr w:type="spellStart"/>
      <w:r w:rsidRPr="00925BCD">
        <w:rPr>
          <w:rFonts w:ascii="Arial" w:hAnsi="Arial" w:cs="Arial"/>
        </w:rPr>
        <w:t>Panolis</w:t>
      </w:r>
      <w:proofErr w:type="spellEnd"/>
      <w:r w:rsidRPr="00925BCD">
        <w:rPr>
          <w:rFonts w:ascii="Arial" w:hAnsi="Arial" w:cs="Arial"/>
        </w:rPr>
        <w:t xml:space="preserve"> </w:t>
      </w:r>
      <w:proofErr w:type="spellStart"/>
      <w:r w:rsidRPr="00925BCD">
        <w:rPr>
          <w:rFonts w:ascii="Arial" w:hAnsi="Arial" w:cs="Arial"/>
        </w:rPr>
        <w:t>flammea</w:t>
      </w:r>
      <w:proofErr w:type="spellEnd"/>
      <w:r w:rsidRPr="00925BCD">
        <w:rPr>
          <w:rFonts w:ascii="Arial" w:hAnsi="Arial" w:cs="Arial"/>
        </w:rPr>
        <w:t>), osnui gwiaździstej (</w:t>
      </w:r>
      <w:proofErr w:type="spellStart"/>
      <w:r w:rsidRPr="00925BCD">
        <w:rPr>
          <w:rFonts w:ascii="Arial" w:hAnsi="Arial" w:cs="Arial"/>
        </w:rPr>
        <w:t>Acantholyda</w:t>
      </w:r>
      <w:proofErr w:type="spellEnd"/>
      <w:r w:rsidRPr="00925BCD">
        <w:rPr>
          <w:rFonts w:ascii="Arial" w:hAnsi="Arial" w:cs="Arial"/>
        </w:rPr>
        <w:t xml:space="preserve"> </w:t>
      </w:r>
      <w:proofErr w:type="spellStart"/>
      <w:r w:rsidRPr="00925BCD">
        <w:rPr>
          <w:rFonts w:ascii="Arial" w:hAnsi="Arial" w:cs="Arial"/>
        </w:rPr>
        <w:t>posticalis</w:t>
      </w:r>
      <w:proofErr w:type="spellEnd"/>
      <w:r w:rsidRPr="00925BCD">
        <w:rPr>
          <w:rFonts w:ascii="Arial" w:hAnsi="Arial" w:cs="Arial"/>
        </w:rPr>
        <w:t>), borecznikom sosnowym (</w:t>
      </w:r>
      <w:proofErr w:type="spellStart"/>
      <w:r w:rsidRPr="00925BCD">
        <w:rPr>
          <w:rFonts w:ascii="Arial" w:hAnsi="Arial" w:cs="Arial"/>
        </w:rPr>
        <w:t>Diptrion</w:t>
      </w:r>
      <w:proofErr w:type="spellEnd"/>
      <w:r w:rsidRPr="00925BCD">
        <w:rPr>
          <w:rFonts w:ascii="Arial" w:hAnsi="Arial" w:cs="Arial"/>
        </w:rPr>
        <w:t xml:space="preserve"> sp.), chrabąszczowatym (</w:t>
      </w:r>
      <w:proofErr w:type="spellStart"/>
      <w:r w:rsidRPr="00925BCD">
        <w:rPr>
          <w:rFonts w:ascii="Arial" w:hAnsi="Arial" w:cs="Arial"/>
        </w:rPr>
        <w:t>Melolontha</w:t>
      </w:r>
      <w:proofErr w:type="spellEnd"/>
      <w:r w:rsidRPr="00925BCD">
        <w:rPr>
          <w:rFonts w:ascii="Arial" w:hAnsi="Arial" w:cs="Arial"/>
        </w:rPr>
        <w:t xml:space="preserve"> sp.), zwójkowatym (</w:t>
      </w:r>
      <w:proofErr w:type="spellStart"/>
      <w:r w:rsidRPr="00925BCD">
        <w:rPr>
          <w:rFonts w:ascii="Arial" w:hAnsi="Arial" w:cs="Arial"/>
        </w:rPr>
        <w:t>Tortricidae</w:t>
      </w:r>
      <w:proofErr w:type="spellEnd"/>
      <w:r w:rsidRPr="00925BCD">
        <w:rPr>
          <w:rFonts w:ascii="Arial" w:hAnsi="Arial" w:cs="Arial"/>
        </w:rPr>
        <w:t xml:space="preserve">) i </w:t>
      </w:r>
      <w:proofErr w:type="spellStart"/>
      <w:r w:rsidRPr="00925BCD">
        <w:rPr>
          <w:rFonts w:ascii="Arial" w:hAnsi="Arial" w:cs="Arial"/>
        </w:rPr>
        <w:t>miernikowcowatym</w:t>
      </w:r>
      <w:proofErr w:type="spellEnd"/>
      <w:r w:rsidRPr="00925BCD">
        <w:rPr>
          <w:rFonts w:ascii="Arial" w:hAnsi="Arial" w:cs="Arial"/>
        </w:rPr>
        <w:t xml:space="preserve"> (</w:t>
      </w:r>
      <w:proofErr w:type="spellStart"/>
      <w:r w:rsidRPr="00925BCD">
        <w:rPr>
          <w:rFonts w:ascii="Arial" w:hAnsi="Arial" w:cs="Arial"/>
        </w:rPr>
        <w:t>Geometridae</w:t>
      </w:r>
      <w:proofErr w:type="spellEnd"/>
      <w:r w:rsidRPr="00925BCD">
        <w:rPr>
          <w:rFonts w:ascii="Arial" w:hAnsi="Arial" w:cs="Arial"/>
        </w:rPr>
        <w:t xml:space="preserve">). </w:t>
      </w:r>
    </w:p>
    <w:p w14:paraId="7821AE3C" w14:textId="24DB6B6E" w:rsidR="00E76B18" w:rsidRDefault="00E54725" w:rsidP="00114D52">
      <w:pPr>
        <w:pStyle w:val="NormalnyWeb"/>
        <w:tabs>
          <w:tab w:val="left" w:pos="284"/>
        </w:tabs>
        <w:spacing w:beforeAutospacing="0" w:after="120" w:afterAutospacing="0" w:line="360" w:lineRule="auto"/>
        <w:ind w:firstLine="284"/>
        <w:jc w:val="both"/>
        <w:rPr>
          <w:rFonts w:ascii="Arial" w:hAnsi="Arial" w:cs="Arial"/>
          <w:bCs/>
        </w:rPr>
      </w:pPr>
      <w:r w:rsidRPr="00925BCD">
        <w:rPr>
          <w:rFonts w:ascii="Arial" w:hAnsi="Arial" w:cs="Arial"/>
        </w:rPr>
        <w:t xml:space="preserve">W </w:t>
      </w:r>
      <w:r w:rsidR="008D7A04">
        <w:rPr>
          <w:rFonts w:ascii="Arial" w:hAnsi="Arial" w:cs="Arial"/>
        </w:rPr>
        <w:t xml:space="preserve">latach </w:t>
      </w:r>
      <w:r w:rsidRPr="00925BCD">
        <w:rPr>
          <w:rFonts w:ascii="Arial" w:hAnsi="Arial" w:cs="Arial"/>
        </w:rPr>
        <w:t xml:space="preserve">2018 </w:t>
      </w:r>
      <w:r w:rsidR="008D7A04" w:rsidRPr="008D7A04">
        <w:rPr>
          <w:rFonts w:ascii="Arial" w:hAnsi="Arial" w:cs="Arial"/>
        </w:rPr>
        <w:t>–</w:t>
      </w:r>
      <w:r w:rsidR="008D7A04">
        <w:rPr>
          <w:rFonts w:ascii="Arial" w:hAnsi="Arial" w:cs="Arial"/>
        </w:rPr>
        <w:t xml:space="preserve"> 202</w:t>
      </w:r>
      <w:r w:rsidR="003C2D51">
        <w:rPr>
          <w:rFonts w:ascii="Arial" w:hAnsi="Arial" w:cs="Arial"/>
        </w:rPr>
        <w:t>1</w:t>
      </w:r>
      <w:r w:rsidR="008D7A04">
        <w:rPr>
          <w:rFonts w:ascii="Arial" w:hAnsi="Arial" w:cs="Arial"/>
        </w:rPr>
        <w:t xml:space="preserve"> </w:t>
      </w:r>
      <w:r w:rsidRPr="00925BCD">
        <w:rPr>
          <w:rFonts w:ascii="Arial" w:hAnsi="Arial" w:cs="Arial"/>
        </w:rPr>
        <w:t>r</w:t>
      </w:r>
      <w:r w:rsidR="00114D52" w:rsidRPr="00925BCD">
        <w:rPr>
          <w:rFonts w:ascii="Arial" w:hAnsi="Arial" w:cs="Arial"/>
        </w:rPr>
        <w:t>.</w:t>
      </w:r>
      <w:r w:rsidRPr="00925BCD">
        <w:rPr>
          <w:rFonts w:ascii="Arial" w:hAnsi="Arial" w:cs="Arial"/>
        </w:rPr>
        <w:t xml:space="preserve"> zabiegi agrolotnicze zostały wykonane na obszarze </w:t>
      </w:r>
      <w:r w:rsidR="005733C2">
        <w:rPr>
          <w:rFonts w:ascii="Arial" w:hAnsi="Arial" w:cs="Arial"/>
        </w:rPr>
        <w:t>od 11 do 16</w:t>
      </w:r>
      <w:r w:rsidR="003C2D51">
        <w:rPr>
          <w:rFonts w:ascii="Arial" w:hAnsi="Arial" w:cs="Arial"/>
        </w:rPr>
        <w:t> </w:t>
      </w:r>
      <w:r w:rsidRPr="00925BCD">
        <w:rPr>
          <w:rFonts w:ascii="Arial" w:hAnsi="Arial" w:cs="Arial"/>
        </w:rPr>
        <w:t xml:space="preserve">województw, obejmując łącznie powierzchnię </w:t>
      </w:r>
      <w:r w:rsidR="00A62F5E">
        <w:rPr>
          <w:rFonts w:ascii="Arial" w:hAnsi="Arial" w:cs="Arial"/>
        </w:rPr>
        <w:t xml:space="preserve">od </w:t>
      </w:r>
      <w:r w:rsidR="00A62F5E" w:rsidRPr="00A62F5E">
        <w:rPr>
          <w:rFonts w:ascii="Arial" w:hAnsi="Arial" w:cs="Arial"/>
        </w:rPr>
        <w:t>50 073,93</w:t>
      </w:r>
      <w:r w:rsidR="008608BC">
        <w:rPr>
          <w:rFonts w:ascii="Arial" w:hAnsi="Arial" w:cs="Arial"/>
        </w:rPr>
        <w:t xml:space="preserve"> ha w 2020 do </w:t>
      </w:r>
      <w:r w:rsidRPr="00925BCD">
        <w:rPr>
          <w:rFonts w:ascii="Arial" w:hAnsi="Arial" w:cs="Arial"/>
        </w:rPr>
        <w:t>2</w:t>
      </w:r>
      <w:r w:rsidR="006549D5">
        <w:rPr>
          <w:rFonts w:ascii="Arial" w:hAnsi="Arial" w:cs="Arial"/>
        </w:rPr>
        <w:t>37 876,00</w:t>
      </w:r>
      <w:r w:rsidRPr="00925BCD">
        <w:rPr>
          <w:rFonts w:ascii="Arial" w:hAnsi="Arial" w:cs="Arial"/>
        </w:rPr>
        <w:t xml:space="preserve"> ha</w:t>
      </w:r>
      <w:r w:rsidR="008608BC">
        <w:rPr>
          <w:rFonts w:ascii="Arial" w:hAnsi="Arial" w:cs="Arial"/>
        </w:rPr>
        <w:t xml:space="preserve"> w 201</w:t>
      </w:r>
      <w:r w:rsidR="00220800">
        <w:rPr>
          <w:rFonts w:ascii="Arial" w:hAnsi="Arial" w:cs="Arial"/>
        </w:rPr>
        <w:t>9</w:t>
      </w:r>
      <w:r w:rsidR="008608BC">
        <w:rPr>
          <w:rFonts w:ascii="Arial" w:hAnsi="Arial" w:cs="Arial"/>
        </w:rPr>
        <w:t xml:space="preserve"> r</w:t>
      </w:r>
      <w:r w:rsidRPr="00925BCD">
        <w:rPr>
          <w:rFonts w:ascii="Arial" w:hAnsi="Arial" w:cs="Arial"/>
          <w:bCs/>
        </w:rPr>
        <w:t xml:space="preserve">. </w:t>
      </w:r>
      <w:r w:rsidR="00076DC9">
        <w:rPr>
          <w:rFonts w:ascii="Arial" w:hAnsi="Arial" w:cs="Arial"/>
          <w:bCs/>
        </w:rPr>
        <w:t>We wszystkich latach o</w:t>
      </w:r>
      <w:r w:rsidRPr="00925BCD">
        <w:rPr>
          <w:rFonts w:ascii="Arial" w:hAnsi="Arial" w:cs="Arial"/>
          <w:bCs/>
        </w:rPr>
        <w:t>rganizmy szkodliwe w drzewostanach iglastych i liściastych zwalczane były przy użyciu środków ochrony roślin</w:t>
      </w:r>
      <w:r w:rsidR="00C44720">
        <w:rPr>
          <w:rFonts w:ascii="Arial" w:hAnsi="Arial" w:cs="Arial"/>
          <w:bCs/>
        </w:rPr>
        <w:t xml:space="preserve"> tych samych środków tj.</w:t>
      </w:r>
      <w:r w:rsidRPr="00925BCD">
        <w:rPr>
          <w:rFonts w:ascii="Arial" w:hAnsi="Arial" w:cs="Arial"/>
          <w:bCs/>
        </w:rPr>
        <w:t xml:space="preserve">: </w:t>
      </w:r>
      <w:proofErr w:type="spellStart"/>
      <w:r w:rsidRPr="00925BCD">
        <w:rPr>
          <w:rFonts w:ascii="Arial" w:hAnsi="Arial" w:cs="Arial"/>
          <w:bCs/>
        </w:rPr>
        <w:t>Mospilan</w:t>
      </w:r>
      <w:r w:rsidR="006109E9">
        <w:rPr>
          <w:rFonts w:ascii="Arial" w:hAnsi="Arial" w:cs="Arial"/>
          <w:bCs/>
        </w:rPr>
        <w:t>u</w:t>
      </w:r>
      <w:proofErr w:type="spellEnd"/>
      <w:r w:rsidRPr="00925BCD">
        <w:rPr>
          <w:rFonts w:ascii="Arial" w:hAnsi="Arial" w:cs="Arial"/>
          <w:bCs/>
        </w:rPr>
        <w:t xml:space="preserve"> 20 SP, </w:t>
      </w:r>
      <w:proofErr w:type="spellStart"/>
      <w:r w:rsidRPr="00925BCD">
        <w:rPr>
          <w:rFonts w:ascii="Arial" w:hAnsi="Arial" w:cs="Arial"/>
          <w:bCs/>
        </w:rPr>
        <w:t>Dimilin</w:t>
      </w:r>
      <w:r w:rsidR="006109E9">
        <w:rPr>
          <w:rFonts w:ascii="Arial" w:hAnsi="Arial" w:cs="Arial"/>
          <w:bCs/>
        </w:rPr>
        <w:t>u</w:t>
      </w:r>
      <w:proofErr w:type="spellEnd"/>
      <w:r w:rsidRPr="00925BCD">
        <w:rPr>
          <w:rFonts w:ascii="Arial" w:hAnsi="Arial" w:cs="Arial"/>
          <w:bCs/>
        </w:rPr>
        <w:t> 480 SC oraz</w:t>
      </w:r>
      <w:r w:rsidR="006109E9">
        <w:rPr>
          <w:rFonts w:ascii="Arial" w:hAnsi="Arial" w:cs="Arial"/>
          <w:bCs/>
        </w:rPr>
        <w:t xml:space="preserve"> </w:t>
      </w:r>
      <w:proofErr w:type="spellStart"/>
      <w:r w:rsidRPr="00925BCD">
        <w:rPr>
          <w:rFonts w:ascii="Arial" w:hAnsi="Arial" w:cs="Arial"/>
          <w:bCs/>
        </w:rPr>
        <w:t>Foray</w:t>
      </w:r>
      <w:proofErr w:type="spellEnd"/>
      <w:r w:rsidR="006109E9">
        <w:rPr>
          <w:rFonts w:ascii="Arial" w:hAnsi="Arial" w:cs="Arial"/>
          <w:bCs/>
        </w:rPr>
        <w:t> </w:t>
      </w:r>
      <w:r w:rsidRPr="00925BCD">
        <w:rPr>
          <w:rFonts w:ascii="Arial" w:hAnsi="Arial" w:cs="Arial"/>
          <w:bCs/>
        </w:rPr>
        <w:t xml:space="preserve">76 B. </w:t>
      </w:r>
    </w:p>
    <w:p w14:paraId="257811AD" w14:textId="031BF9A3" w:rsidR="00056846" w:rsidRPr="00925BCD" w:rsidRDefault="00E80E30" w:rsidP="00114D52">
      <w:pPr>
        <w:pStyle w:val="NormalnyWeb"/>
        <w:tabs>
          <w:tab w:val="left" w:pos="284"/>
        </w:tabs>
        <w:spacing w:beforeAutospacing="0" w:after="120" w:afterAutospacing="0" w:line="360" w:lineRule="auto"/>
        <w:ind w:firstLine="284"/>
        <w:jc w:val="both"/>
        <w:rPr>
          <w:rFonts w:ascii="Arial" w:hAnsi="Arial" w:cs="Arial"/>
          <w:bCs/>
        </w:rPr>
      </w:pPr>
      <w:r>
        <w:rPr>
          <w:rFonts w:ascii="Arial" w:hAnsi="Arial" w:cs="Arial"/>
          <w:bCs/>
        </w:rPr>
        <w:t>Corocznie i</w:t>
      </w:r>
      <w:r w:rsidR="00E54725" w:rsidRPr="00925BCD">
        <w:rPr>
          <w:rFonts w:ascii="Arial" w:hAnsi="Arial" w:cs="Arial"/>
          <w:bCs/>
        </w:rPr>
        <w:t>nspektorzy Państwowej Inspekcji Ochrony Roślin i Nasiennictwa przeprowadzili kontrol</w:t>
      </w:r>
      <w:r w:rsidR="0002775D">
        <w:rPr>
          <w:rFonts w:ascii="Arial" w:hAnsi="Arial" w:cs="Arial"/>
          <w:bCs/>
        </w:rPr>
        <w:t>e</w:t>
      </w:r>
      <w:r w:rsidR="00E54725" w:rsidRPr="00925BCD">
        <w:rPr>
          <w:rFonts w:ascii="Arial" w:hAnsi="Arial" w:cs="Arial"/>
          <w:bCs/>
        </w:rPr>
        <w:t xml:space="preserve"> planowan</w:t>
      </w:r>
      <w:r w:rsidR="0002775D">
        <w:rPr>
          <w:rFonts w:ascii="Arial" w:hAnsi="Arial" w:cs="Arial"/>
          <w:bCs/>
        </w:rPr>
        <w:t>e</w:t>
      </w:r>
      <w:r w:rsidR="00E54725" w:rsidRPr="00925BCD">
        <w:rPr>
          <w:rFonts w:ascii="Arial" w:hAnsi="Arial" w:cs="Arial"/>
          <w:bCs/>
        </w:rPr>
        <w:t xml:space="preserve"> produkcji leśnej i interwencyjne, w tym w odniesieniu do zabiegów wykonywanych przy zastosowaniu st</w:t>
      </w:r>
      <w:r w:rsidR="00114D52" w:rsidRPr="00925BCD">
        <w:rPr>
          <w:rFonts w:ascii="Arial" w:hAnsi="Arial" w:cs="Arial"/>
          <w:bCs/>
        </w:rPr>
        <w:t>at</w:t>
      </w:r>
      <w:r w:rsidR="00E54725" w:rsidRPr="00925BCD">
        <w:rPr>
          <w:rFonts w:ascii="Arial" w:hAnsi="Arial" w:cs="Arial"/>
          <w:bCs/>
        </w:rPr>
        <w:t>ków powietrznych.</w:t>
      </w:r>
    </w:p>
    <w:p w14:paraId="5C03B049" w14:textId="0E895940" w:rsidR="006A453C" w:rsidRDefault="007D5421" w:rsidP="00D91036">
      <w:pPr>
        <w:pStyle w:val="NormalnyWeb"/>
        <w:tabs>
          <w:tab w:val="left" w:pos="284"/>
        </w:tabs>
        <w:spacing w:after="120" w:line="360" w:lineRule="auto"/>
        <w:ind w:firstLine="284"/>
        <w:jc w:val="both"/>
        <w:rPr>
          <w:rFonts w:ascii="Arial" w:hAnsi="Arial" w:cs="Arial"/>
        </w:rPr>
      </w:pPr>
      <w:r w:rsidRPr="007D5421">
        <w:rPr>
          <w:rFonts w:ascii="Arial" w:hAnsi="Arial" w:cs="Arial"/>
        </w:rPr>
        <w:t>W 2021 r</w:t>
      </w:r>
      <w:r w:rsidR="007C134D">
        <w:rPr>
          <w:rFonts w:ascii="Arial" w:hAnsi="Arial" w:cs="Arial"/>
        </w:rPr>
        <w:t>.</w:t>
      </w:r>
      <w:r w:rsidRPr="007D5421">
        <w:rPr>
          <w:rFonts w:ascii="Arial" w:hAnsi="Arial" w:cs="Arial"/>
        </w:rPr>
        <w:t xml:space="preserve"> wojewódzcy inspektorzy ochrony roślin i nasiennictwa wydali 28 decyzji zatwierdzających plany zabiegów agrolotniczych oraz 1 decyzję zakazującą wykonania takich zabiegów z powodu zamiaru użycia środków ochrony roślin niedopuszczonych do zwalczania szkodnika brudnicy nieparki.</w:t>
      </w:r>
      <w:r w:rsidR="00404F67">
        <w:rPr>
          <w:rFonts w:ascii="Arial" w:hAnsi="Arial" w:cs="Arial"/>
        </w:rPr>
        <w:t xml:space="preserve"> </w:t>
      </w:r>
      <w:r w:rsidR="00404F67" w:rsidRPr="00DE524C">
        <w:rPr>
          <w:rFonts w:ascii="Arial" w:hAnsi="Arial" w:cs="Arial"/>
        </w:rPr>
        <w:t xml:space="preserve">Zabiegi agrolotnicze wykonane zostały na obszarze 13 województw i objęły powierzchnię </w:t>
      </w:r>
      <w:r w:rsidR="00CF4E09">
        <w:rPr>
          <w:rFonts w:ascii="Arial" w:hAnsi="Arial" w:cs="Arial"/>
        </w:rPr>
        <w:t>79 131,78 ha</w:t>
      </w:r>
      <w:r w:rsidR="00404F67" w:rsidRPr="00DE524C">
        <w:rPr>
          <w:rFonts w:ascii="Arial" w:hAnsi="Arial" w:cs="Arial"/>
        </w:rPr>
        <w:t>.</w:t>
      </w:r>
      <w:r w:rsidR="00BA655A">
        <w:rPr>
          <w:rFonts w:ascii="Arial" w:hAnsi="Arial" w:cs="Arial"/>
        </w:rPr>
        <w:t xml:space="preserve"> </w:t>
      </w:r>
      <w:r w:rsidRPr="007D5421">
        <w:rPr>
          <w:rFonts w:ascii="Arial" w:hAnsi="Arial" w:cs="Arial"/>
        </w:rPr>
        <w:t xml:space="preserve">Do zwalczania organizmów szkodliwych w drzewostanach iglastych i liściastych zastosowano środki ochrony roślin: </w:t>
      </w:r>
      <w:proofErr w:type="spellStart"/>
      <w:r w:rsidRPr="007D5421">
        <w:rPr>
          <w:rFonts w:ascii="Arial" w:hAnsi="Arial" w:cs="Arial"/>
        </w:rPr>
        <w:t>Mospilan</w:t>
      </w:r>
      <w:proofErr w:type="spellEnd"/>
      <w:r w:rsidRPr="007D5421">
        <w:rPr>
          <w:rFonts w:ascii="Arial" w:hAnsi="Arial" w:cs="Arial"/>
        </w:rPr>
        <w:t xml:space="preserve"> 20 SP (21 515,6 kg), </w:t>
      </w:r>
      <w:proofErr w:type="spellStart"/>
      <w:r w:rsidRPr="007D5421">
        <w:rPr>
          <w:rFonts w:ascii="Arial" w:hAnsi="Arial" w:cs="Arial"/>
        </w:rPr>
        <w:t>Dimilin</w:t>
      </w:r>
      <w:proofErr w:type="spellEnd"/>
      <w:r w:rsidRPr="007D5421">
        <w:rPr>
          <w:rFonts w:ascii="Arial" w:hAnsi="Arial" w:cs="Arial"/>
        </w:rPr>
        <w:t xml:space="preserve"> 480 SC (2 122,15 l) oraz </w:t>
      </w:r>
      <w:proofErr w:type="spellStart"/>
      <w:r w:rsidRPr="007C3E75">
        <w:rPr>
          <w:rFonts w:ascii="Arial" w:hAnsi="Arial" w:cs="Arial"/>
        </w:rPr>
        <w:t>Foray</w:t>
      </w:r>
      <w:proofErr w:type="spellEnd"/>
      <w:r w:rsidRPr="007C3E75">
        <w:rPr>
          <w:rFonts w:ascii="Arial" w:hAnsi="Arial" w:cs="Arial"/>
        </w:rPr>
        <w:t xml:space="preserve"> 76 B (9 799,8 l). Wykorzystano również 150 l środka Ikar 95 EC, zastosowanego jako adiuwant</w:t>
      </w:r>
      <w:r w:rsidR="006A453C" w:rsidRPr="007C3E75">
        <w:rPr>
          <w:rFonts w:ascii="Arial" w:hAnsi="Arial" w:cs="Arial"/>
        </w:rPr>
        <w:t>.</w:t>
      </w:r>
      <w:r w:rsidR="00274EA5" w:rsidRPr="007C3E75">
        <w:rPr>
          <w:rFonts w:ascii="Arial" w:hAnsi="Arial" w:cs="Arial"/>
        </w:rPr>
        <w:t xml:space="preserve"> </w:t>
      </w:r>
      <w:r w:rsidR="008D7A04" w:rsidRPr="007C3E75">
        <w:rPr>
          <w:rFonts w:ascii="Arial" w:hAnsi="Arial" w:cs="Arial"/>
        </w:rPr>
        <w:t xml:space="preserve">Inspektorzy Państwowej Inspekcji Ochrony Roślin i Nasiennictwa przeprowadzili </w:t>
      </w:r>
      <w:r w:rsidR="00A300D9" w:rsidRPr="007C3E75">
        <w:rPr>
          <w:rFonts w:ascii="Arial" w:hAnsi="Arial" w:cs="Arial"/>
        </w:rPr>
        <w:t>36</w:t>
      </w:r>
      <w:r w:rsidR="00A300D9">
        <w:rPr>
          <w:rFonts w:ascii="Arial" w:hAnsi="Arial" w:cs="Arial"/>
        </w:rPr>
        <w:t xml:space="preserve"> </w:t>
      </w:r>
      <w:r w:rsidR="008D7A04" w:rsidRPr="007C3E75">
        <w:rPr>
          <w:rFonts w:ascii="Arial" w:hAnsi="Arial" w:cs="Arial"/>
        </w:rPr>
        <w:t xml:space="preserve">kontroli planowanych produkcji leśnej objętej zabiegami agrolotniczymi i </w:t>
      </w:r>
      <w:r w:rsidR="007C3E75" w:rsidRPr="007C3E75">
        <w:rPr>
          <w:rFonts w:ascii="Arial" w:hAnsi="Arial" w:cs="Arial"/>
        </w:rPr>
        <w:t>1</w:t>
      </w:r>
      <w:r w:rsidR="008D7A04" w:rsidRPr="007C3E75">
        <w:rPr>
          <w:rFonts w:ascii="Arial" w:hAnsi="Arial" w:cs="Arial"/>
        </w:rPr>
        <w:t xml:space="preserve"> interwencyjną, w tym w odniesieniu</w:t>
      </w:r>
      <w:r w:rsidR="008D7A04" w:rsidRPr="008D7A04">
        <w:rPr>
          <w:rFonts w:ascii="Arial" w:hAnsi="Arial" w:cs="Arial"/>
        </w:rPr>
        <w:t xml:space="preserve"> do zabiegów wykonywanych przy zastosowaniu statków powietrznych.</w:t>
      </w:r>
    </w:p>
    <w:p w14:paraId="2712FE0D" w14:textId="77777777" w:rsidR="00434F6A" w:rsidRDefault="00434F6A" w:rsidP="00D91036">
      <w:pPr>
        <w:pStyle w:val="NormalnyWeb"/>
        <w:tabs>
          <w:tab w:val="left" w:pos="284"/>
        </w:tabs>
        <w:spacing w:after="120" w:line="360" w:lineRule="auto"/>
        <w:ind w:firstLine="284"/>
        <w:jc w:val="both"/>
        <w:rPr>
          <w:rFonts w:ascii="Arial" w:hAnsi="Arial" w:cs="Arial"/>
          <w:bCs/>
        </w:rPr>
      </w:pPr>
    </w:p>
    <w:p w14:paraId="527726D1" w14:textId="77777777" w:rsidR="00434F6A" w:rsidRDefault="00434F6A" w:rsidP="00D91036">
      <w:pPr>
        <w:pStyle w:val="NormalnyWeb"/>
        <w:tabs>
          <w:tab w:val="left" w:pos="284"/>
        </w:tabs>
        <w:spacing w:after="120" w:line="360" w:lineRule="auto"/>
        <w:ind w:firstLine="284"/>
        <w:jc w:val="both"/>
        <w:rPr>
          <w:rFonts w:ascii="Arial" w:hAnsi="Arial" w:cs="Arial"/>
          <w:bCs/>
        </w:rPr>
      </w:pPr>
    </w:p>
    <w:p w14:paraId="18E0B839" w14:textId="40190E4C" w:rsidR="007D5421" w:rsidRDefault="006D1D30" w:rsidP="00D91036">
      <w:pPr>
        <w:pStyle w:val="NormalnyWeb"/>
        <w:tabs>
          <w:tab w:val="left" w:pos="284"/>
        </w:tabs>
        <w:spacing w:after="120" w:line="360" w:lineRule="auto"/>
        <w:ind w:firstLine="284"/>
        <w:jc w:val="both"/>
        <w:rPr>
          <w:rFonts w:ascii="Arial" w:hAnsi="Arial" w:cs="Arial"/>
        </w:rPr>
      </w:pPr>
      <w:r>
        <w:rPr>
          <w:rFonts w:ascii="Arial" w:hAnsi="Arial" w:cs="Arial"/>
          <w:bCs/>
        </w:rPr>
        <w:lastRenderedPageBreak/>
        <w:t>Szczegółowe dane</w:t>
      </w:r>
      <w:r w:rsidR="006A453C">
        <w:rPr>
          <w:rFonts w:ascii="Arial" w:hAnsi="Arial" w:cs="Arial"/>
          <w:bCs/>
        </w:rPr>
        <w:t xml:space="preserve"> na temat zabiegów </w:t>
      </w:r>
      <w:r w:rsidR="00274EA5">
        <w:rPr>
          <w:rFonts w:ascii="Arial" w:hAnsi="Arial" w:cs="Arial"/>
          <w:bCs/>
        </w:rPr>
        <w:t xml:space="preserve">agrolotniczych </w:t>
      </w:r>
      <w:r>
        <w:rPr>
          <w:rFonts w:ascii="Arial" w:hAnsi="Arial" w:cs="Arial"/>
          <w:bCs/>
        </w:rPr>
        <w:t>przedstawia tabela poniżej</w:t>
      </w:r>
    </w:p>
    <w:tbl>
      <w:tblPr>
        <w:tblStyle w:val="Tabela-Siatka"/>
        <w:tblW w:w="0" w:type="auto"/>
        <w:tblLook w:val="04A0" w:firstRow="1" w:lastRow="0" w:firstColumn="1" w:lastColumn="0" w:noHBand="0" w:noVBand="1"/>
      </w:tblPr>
      <w:tblGrid>
        <w:gridCol w:w="2261"/>
        <w:gridCol w:w="1699"/>
        <w:gridCol w:w="1702"/>
        <w:gridCol w:w="1700"/>
        <w:gridCol w:w="1700"/>
      </w:tblGrid>
      <w:tr w:rsidR="008D7A04" w14:paraId="4E15A366" w14:textId="77777777" w:rsidTr="004A370C">
        <w:trPr>
          <w:trHeight w:val="737"/>
        </w:trPr>
        <w:tc>
          <w:tcPr>
            <w:tcW w:w="2262" w:type="dxa"/>
            <w:vAlign w:val="center"/>
          </w:tcPr>
          <w:p w14:paraId="65F3545C" w14:textId="6B6B25AB" w:rsidR="008D7A04" w:rsidRPr="002C1980" w:rsidRDefault="008D7A04" w:rsidP="004A370C">
            <w:pPr>
              <w:jc w:val="center"/>
              <w:rPr>
                <w:rFonts w:ascii="Arial" w:hAnsi="Arial" w:cs="Arial"/>
                <w:b/>
                <w:color w:val="000000"/>
              </w:rPr>
            </w:pPr>
            <w:r w:rsidRPr="002C1980">
              <w:rPr>
                <w:rFonts w:ascii="Arial" w:hAnsi="Arial" w:cs="Arial"/>
                <w:b/>
                <w:color w:val="000000"/>
              </w:rPr>
              <w:t>Rok</w:t>
            </w:r>
          </w:p>
        </w:tc>
        <w:tc>
          <w:tcPr>
            <w:tcW w:w="1698" w:type="dxa"/>
            <w:vAlign w:val="center"/>
          </w:tcPr>
          <w:p w14:paraId="42F83546" w14:textId="7C154307" w:rsidR="008D7A04" w:rsidRPr="002C1980" w:rsidRDefault="008D7A04" w:rsidP="004A370C">
            <w:pPr>
              <w:jc w:val="center"/>
              <w:rPr>
                <w:rFonts w:ascii="Arial" w:hAnsi="Arial" w:cs="Arial"/>
                <w:b/>
                <w:color w:val="000000"/>
              </w:rPr>
            </w:pPr>
            <w:r w:rsidRPr="002C1980">
              <w:rPr>
                <w:rFonts w:ascii="Arial" w:hAnsi="Arial" w:cs="Arial"/>
                <w:b/>
                <w:color w:val="000000"/>
              </w:rPr>
              <w:t>2018</w:t>
            </w:r>
          </w:p>
        </w:tc>
        <w:tc>
          <w:tcPr>
            <w:tcW w:w="1702" w:type="dxa"/>
            <w:vAlign w:val="center"/>
          </w:tcPr>
          <w:p w14:paraId="47208ED4" w14:textId="1EC64CEB" w:rsidR="008D7A04" w:rsidRPr="002C1980" w:rsidRDefault="008D7A04" w:rsidP="004A370C">
            <w:pPr>
              <w:jc w:val="center"/>
              <w:rPr>
                <w:rFonts w:ascii="Arial" w:hAnsi="Arial" w:cs="Arial"/>
                <w:b/>
                <w:color w:val="000000"/>
              </w:rPr>
            </w:pPr>
            <w:r w:rsidRPr="002C1980">
              <w:rPr>
                <w:rFonts w:ascii="Arial" w:hAnsi="Arial" w:cs="Arial"/>
                <w:b/>
                <w:color w:val="000000"/>
              </w:rPr>
              <w:t>2019</w:t>
            </w:r>
          </w:p>
        </w:tc>
        <w:tc>
          <w:tcPr>
            <w:tcW w:w="1700" w:type="dxa"/>
            <w:vAlign w:val="center"/>
          </w:tcPr>
          <w:p w14:paraId="47143108" w14:textId="17815BBF" w:rsidR="008D7A04" w:rsidRPr="002C1980" w:rsidRDefault="008D7A04" w:rsidP="004A370C">
            <w:pPr>
              <w:jc w:val="center"/>
              <w:rPr>
                <w:rFonts w:ascii="Arial" w:hAnsi="Arial" w:cs="Arial"/>
                <w:b/>
                <w:color w:val="000000"/>
              </w:rPr>
            </w:pPr>
            <w:r w:rsidRPr="002C1980">
              <w:rPr>
                <w:rFonts w:ascii="Arial" w:hAnsi="Arial" w:cs="Arial"/>
                <w:b/>
                <w:color w:val="000000"/>
              </w:rPr>
              <w:t>2020</w:t>
            </w:r>
          </w:p>
        </w:tc>
        <w:tc>
          <w:tcPr>
            <w:tcW w:w="1700" w:type="dxa"/>
            <w:vAlign w:val="center"/>
          </w:tcPr>
          <w:p w14:paraId="6CA9EDD3" w14:textId="293055D5" w:rsidR="008D7A04" w:rsidRPr="002C1980" w:rsidRDefault="008D7A04" w:rsidP="004A370C">
            <w:pPr>
              <w:jc w:val="center"/>
              <w:rPr>
                <w:rFonts w:ascii="Arial" w:hAnsi="Arial" w:cs="Arial"/>
                <w:b/>
                <w:color w:val="000000"/>
              </w:rPr>
            </w:pPr>
            <w:r w:rsidRPr="002C1980">
              <w:rPr>
                <w:rFonts w:ascii="Arial" w:hAnsi="Arial" w:cs="Arial"/>
                <w:b/>
                <w:color w:val="000000"/>
              </w:rPr>
              <w:t>202</w:t>
            </w:r>
            <w:r w:rsidR="009B0530">
              <w:rPr>
                <w:rFonts w:ascii="Arial" w:hAnsi="Arial" w:cs="Arial"/>
                <w:b/>
                <w:color w:val="000000"/>
              </w:rPr>
              <w:t>1</w:t>
            </w:r>
          </w:p>
        </w:tc>
      </w:tr>
      <w:tr w:rsidR="008D7A04" w14:paraId="49C68848" w14:textId="77777777" w:rsidTr="004A370C">
        <w:tc>
          <w:tcPr>
            <w:tcW w:w="2262" w:type="dxa"/>
          </w:tcPr>
          <w:p w14:paraId="2F2A61B0" w14:textId="4D2C224D" w:rsidR="008D7A04" w:rsidRPr="002C1980" w:rsidRDefault="008D7A04" w:rsidP="008D7A04">
            <w:pPr>
              <w:pStyle w:val="NormalnyWeb"/>
              <w:tabs>
                <w:tab w:val="left" w:pos="284"/>
              </w:tabs>
              <w:spacing w:after="120" w:line="360" w:lineRule="auto"/>
              <w:jc w:val="both"/>
              <w:rPr>
                <w:rFonts w:ascii="Arial" w:hAnsi="Arial" w:cs="Arial"/>
                <w:sz w:val="22"/>
                <w:szCs w:val="22"/>
              </w:rPr>
            </w:pPr>
            <w:r w:rsidRPr="002C1980">
              <w:rPr>
                <w:rFonts w:ascii="Arial" w:hAnsi="Arial" w:cs="Arial"/>
                <w:sz w:val="22"/>
                <w:szCs w:val="22"/>
              </w:rPr>
              <w:t>powierzchnia zabiegów agrolotniczych w ha</w:t>
            </w:r>
          </w:p>
        </w:tc>
        <w:tc>
          <w:tcPr>
            <w:tcW w:w="1698" w:type="dxa"/>
          </w:tcPr>
          <w:p w14:paraId="07F26A6B" w14:textId="6DECEFDA" w:rsidR="008D7A04" w:rsidRPr="002C1980" w:rsidRDefault="008D7A04"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218 799,51</w:t>
            </w:r>
          </w:p>
        </w:tc>
        <w:tc>
          <w:tcPr>
            <w:tcW w:w="1702" w:type="dxa"/>
          </w:tcPr>
          <w:p w14:paraId="79E9374D" w14:textId="57901ACB" w:rsidR="008D7A04" w:rsidRPr="002C1980" w:rsidRDefault="00A81516" w:rsidP="005D3D7C">
            <w:pPr>
              <w:pStyle w:val="NormalnyWeb"/>
              <w:tabs>
                <w:tab w:val="left" w:pos="284"/>
              </w:tabs>
              <w:spacing w:after="120" w:line="360" w:lineRule="auto"/>
              <w:jc w:val="right"/>
              <w:rPr>
                <w:rFonts w:ascii="Arial" w:hAnsi="Arial" w:cs="Arial"/>
                <w:sz w:val="22"/>
                <w:szCs w:val="22"/>
              </w:rPr>
            </w:pPr>
            <w:r>
              <w:rPr>
                <w:rFonts w:ascii="Arial" w:hAnsi="Arial" w:cs="Arial"/>
                <w:sz w:val="22"/>
                <w:szCs w:val="22"/>
              </w:rPr>
              <w:t>237 876</w:t>
            </w:r>
            <w:r w:rsidR="00B40473" w:rsidRPr="002C1980">
              <w:rPr>
                <w:rFonts w:ascii="Arial" w:hAnsi="Arial" w:cs="Arial"/>
                <w:sz w:val="22"/>
                <w:szCs w:val="22"/>
              </w:rPr>
              <w:t>,</w:t>
            </w:r>
            <w:r>
              <w:rPr>
                <w:rFonts w:ascii="Arial" w:hAnsi="Arial" w:cs="Arial"/>
                <w:sz w:val="22"/>
                <w:szCs w:val="22"/>
              </w:rPr>
              <w:t>00</w:t>
            </w:r>
            <w:r w:rsidR="00B40473" w:rsidRPr="002C1980">
              <w:rPr>
                <w:rFonts w:ascii="Arial" w:hAnsi="Arial" w:cs="Arial"/>
                <w:sz w:val="22"/>
                <w:szCs w:val="22"/>
              </w:rPr>
              <w:t xml:space="preserve"> ha</w:t>
            </w:r>
          </w:p>
        </w:tc>
        <w:tc>
          <w:tcPr>
            <w:tcW w:w="1700" w:type="dxa"/>
          </w:tcPr>
          <w:p w14:paraId="02FB7A2A" w14:textId="2E90E669" w:rsidR="008D7A04" w:rsidRPr="002C1980" w:rsidRDefault="005300C2" w:rsidP="005D3D7C">
            <w:pPr>
              <w:pStyle w:val="NormalnyWeb"/>
              <w:tabs>
                <w:tab w:val="left" w:pos="284"/>
              </w:tabs>
              <w:spacing w:after="120" w:line="360" w:lineRule="auto"/>
              <w:jc w:val="right"/>
              <w:rPr>
                <w:rFonts w:ascii="Arial" w:hAnsi="Arial" w:cs="Arial"/>
                <w:sz w:val="22"/>
                <w:szCs w:val="22"/>
              </w:rPr>
            </w:pPr>
            <w:bookmarkStart w:id="21" w:name="_Hlk120005595"/>
            <w:r w:rsidRPr="002C1980">
              <w:rPr>
                <w:rFonts w:ascii="Arial" w:hAnsi="Arial" w:cs="Arial"/>
                <w:sz w:val="22"/>
                <w:szCs w:val="22"/>
              </w:rPr>
              <w:t>50 073,93</w:t>
            </w:r>
            <w:bookmarkEnd w:id="21"/>
          </w:p>
        </w:tc>
        <w:tc>
          <w:tcPr>
            <w:tcW w:w="1700" w:type="dxa"/>
          </w:tcPr>
          <w:p w14:paraId="048A5409" w14:textId="6732BD1E" w:rsidR="008D7A04" w:rsidRPr="002C1980" w:rsidRDefault="005300C2"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79 131,78</w:t>
            </w:r>
          </w:p>
        </w:tc>
      </w:tr>
      <w:tr w:rsidR="00AD2F63" w14:paraId="2C8A8061" w14:textId="77777777" w:rsidTr="006E3C73">
        <w:tc>
          <w:tcPr>
            <w:tcW w:w="9062" w:type="dxa"/>
            <w:gridSpan w:val="5"/>
          </w:tcPr>
          <w:p w14:paraId="0901FE6E" w14:textId="531154B9" w:rsidR="00AD2F63" w:rsidRPr="002C1980" w:rsidRDefault="00AD2F63" w:rsidP="005D3D7C">
            <w:pPr>
              <w:pStyle w:val="NormalnyWeb"/>
              <w:tabs>
                <w:tab w:val="left" w:pos="284"/>
              </w:tabs>
              <w:spacing w:after="120" w:line="360" w:lineRule="auto"/>
              <w:jc w:val="center"/>
              <w:rPr>
                <w:rFonts w:ascii="Arial" w:hAnsi="Arial" w:cs="Arial"/>
                <w:sz w:val="22"/>
                <w:szCs w:val="22"/>
              </w:rPr>
            </w:pPr>
            <w:r w:rsidRPr="002C1980">
              <w:rPr>
                <w:rFonts w:ascii="Arial" w:hAnsi="Arial" w:cs="Arial"/>
                <w:sz w:val="22"/>
                <w:szCs w:val="22"/>
              </w:rPr>
              <w:t>zużycie środków ochrony roś</w:t>
            </w:r>
            <w:r w:rsidR="00597E59" w:rsidRPr="002C1980">
              <w:rPr>
                <w:rFonts w:ascii="Arial" w:hAnsi="Arial" w:cs="Arial"/>
                <w:sz w:val="22"/>
                <w:szCs w:val="22"/>
              </w:rPr>
              <w:t>lin</w:t>
            </w:r>
          </w:p>
        </w:tc>
      </w:tr>
      <w:tr w:rsidR="008D7A04" w14:paraId="79C916BB" w14:textId="77777777" w:rsidTr="004A370C">
        <w:tc>
          <w:tcPr>
            <w:tcW w:w="2262" w:type="dxa"/>
          </w:tcPr>
          <w:p w14:paraId="586BC87A" w14:textId="69868F16" w:rsidR="008D7A04" w:rsidRPr="002C1980" w:rsidRDefault="00921241" w:rsidP="00D91036">
            <w:pPr>
              <w:pStyle w:val="NormalnyWeb"/>
              <w:tabs>
                <w:tab w:val="left" w:pos="284"/>
              </w:tabs>
              <w:spacing w:after="120" w:line="360" w:lineRule="auto"/>
              <w:jc w:val="both"/>
              <w:rPr>
                <w:rFonts w:ascii="Arial" w:hAnsi="Arial" w:cs="Arial"/>
                <w:sz w:val="22"/>
                <w:szCs w:val="22"/>
              </w:rPr>
            </w:pPr>
            <w:proofErr w:type="spellStart"/>
            <w:r w:rsidRPr="002C1980">
              <w:rPr>
                <w:rFonts w:ascii="Arial" w:hAnsi="Arial" w:cs="Arial"/>
                <w:sz w:val="22"/>
                <w:szCs w:val="22"/>
              </w:rPr>
              <w:t>Mospilan</w:t>
            </w:r>
            <w:proofErr w:type="spellEnd"/>
            <w:r w:rsidRPr="002C1980">
              <w:rPr>
                <w:rFonts w:ascii="Arial" w:hAnsi="Arial" w:cs="Arial"/>
                <w:sz w:val="22"/>
                <w:szCs w:val="22"/>
              </w:rPr>
              <w:t xml:space="preserve"> 20</w:t>
            </w:r>
            <w:r w:rsidR="006F5D57" w:rsidRPr="002C1980">
              <w:rPr>
                <w:rFonts w:ascii="Arial" w:hAnsi="Arial" w:cs="Arial"/>
                <w:sz w:val="22"/>
                <w:szCs w:val="22"/>
              </w:rPr>
              <w:t xml:space="preserve"> SP</w:t>
            </w:r>
          </w:p>
        </w:tc>
        <w:tc>
          <w:tcPr>
            <w:tcW w:w="1698" w:type="dxa"/>
          </w:tcPr>
          <w:p w14:paraId="39F6D5D9" w14:textId="1A27FDB3" w:rsidR="008D7A04" w:rsidRPr="002C1980" w:rsidRDefault="006F5D57"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1 411,24 kg</w:t>
            </w:r>
          </w:p>
        </w:tc>
        <w:tc>
          <w:tcPr>
            <w:tcW w:w="1702" w:type="dxa"/>
          </w:tcPr>
          <w:p w14:paraId="4D76C464" w14:textId="0594BA1C" w:rsidR="008D7A04" w:rsidRPr="002C1980" w:rsidRDefault="00BB2A5C"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60 149,48 kg</w:t>
            </w:r>
          </w:p>
        </w:tc>
        <w:tc>
          <w:tcPr>
            <w:tcW w:w="1700" w:type="dxa"/>
          </w:tcPr>
          <w:p w14:paraId="60591302" w14:textId="07243555" w:rsidR="008D7A04" w:rsidRPr="002C1980" w:rsidRDefault="00C54497"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12 024,97 kg</w:t>
            </w:r>
          </w:p>
        </w:tc>
        <w:tc>
          <w:tcPr>
            <w:tcW w:w="1700" w:type="dxa"/>
          </w:tcPr>
          <w:p w14:paraId="543B1608" w14:textId="5D4C9BFE" w:rsidR="008D7A04" w:rsidRPr="002C1980" w:rsidRDefault="00CC027E"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21 515,6 kg</w:t>
            </w:r>
          </w:p>
        </w:tc>
      </w:tr>
      <w:tr w:rsidR="008D7A04" w14:paraId="2CA50C5A" w14:textId="77777777" w:rsidTr="004A370C">
        <w:tc>
          <w:tcPr>
            <w:tcW w:w="2262" w:type="dxa"/>
          </w:tcPr>
          <w:p w14:paraId="3279FE5E" w14:textId="77FCCE0A" w:rsidR="008D7A04" w:rsidRPr="002C1980" w:rsidRDefault="006F5D57" w:rsidP="00D91036">
            <w:pPr>
              <w:pStyle w:val="NormalnyWeb"/>
              <w:tabs>
                <w:tab w:val="left" w:pos="284"/>
              </w:tabs>
              <w:spacing w:after="120" w:line="360" w:lineRule="auto"/>
              <w:jc w:val="both"/>
              <w:rPr>
                <w:rFonts w:ascii="Arial" w:hAnsi="Arial" w:cs="Arial"/>
                <w:sz w:val="22"/>
                <w:szCs w:val="22"/>
              </w:rPr>
            </w:pPr>
            <w:proofErr w:type="spellStart"/>
            <w:r w:rsidRPr="002C1980">
              <w:rPr>
                <w:rFonts w:ascii="Arial" w:hAnsi="Arial" w:cs="Arial"/>
                <w:sz w:val="22"/>
                <w:szCs w:val="22"/>
              </w:rPr>
              <w:t>Dimilin</w:t>
            </w:r>
            <w:proofErr w:type="spellEnd"/>
            <w:r w:rsidRPr="002C1980">
              <w:rPr>
                <w:rFonts w:ascii="Arial" w:hAnsi="Arial" w:cs="Arial"/>
                <w:sz w:val="22"/>
                <w:szCs w:val="22"/>
              </w:rPr>
              <w:t xml:space="preserve"> 480 SC</w:t>
            </w:r>
          </w:p>
        </w:tc>
        <w:tc>
          <w:tcPr>
            <w:tcW w:w="1698" w:type="dxa"/>
          </w:tcPr>
          <w:p w14:paraId="0D202E80" w14:textId="524D8695" w:rsidR="008D7A04" w:rsidRPr="002C1980" w:rsidRDefault="00597E59"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2 964,11 l</w:t>
            </w:r>
          </w:p>
        </w:tc>
        <w:tc>
          <w:tcPr>
            <w:tcW w:w="1702" w:type="dxa"/>
          </w:tcPr>
          <w:p w14:paraId="26A48984" w14:textId="0F4426F7" w:rsidR="008D7A04" w:rsidRPr="002C1980" w:rsidRDefault="00BB2A5C"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9 182,9 l</w:t>
            </w:r>
          </w:p>
        </w:tc>
        <w:tc>
          <w:tcPr>
            <w:tcW w:w="1700" w:type="dxa"/>
          </w:tcPr>
          <w:p w14:paraId="113C5C75" w14:textId="6D45D265" w:rsidR="008D7A04" w:rsidRPr="002C1980" w:rsidRDefault="0050225C"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337,96 l</w:t>
            </w:r>
          </w:p>
        </w:tc>
        <w:tc>
          <w:tcPr>
            <w:tcW w:w="1700" w:type="dxa"/>
          </w:tcPr>
          <w:p w14:paraId="53B39D44" w14:textId="4642D5D6" w:rsidR="008D7A04" w:rsidRPr="002C1980" w:rsidRDefault="00CC027E"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2 122,15 l</w:t>
            </w:r>
          </w:p>
        </w:tc>
      </w:tr>
      <w:tr w:rsidR="008D7A04" w14:paraId="6B41D1FD" w14:textId="77777777" w:rsidTr="004A370C">
        <w:tc>
          <w:tcPr>
            <w:tcW w:w="2262" w:type="dxa"/>
          </w:tcPr>
          <w:p w14:paraId="52D79995" w14:textId="59A6B602" w:rsidR="008D7A04" w:rsidRPr="002C1980" w:rsidRDefault="006F5D57" w:rsidP="00D91036">
            <w:pPr>
              <w:pStyle w:val="NormalnyWeb"/>
              <w:tabs>
                <w:tab w:val="left" w:pos="284"/>
              </w:tabs>
              <w:spacing w:after="120" w:line="360" w:lineRule="auto"/>
              <w:jc w:val="both"/>
              <w:rPr>
                <w:rFonts w:ascii="Arial" w:hAnsi="Arial" w:cs="Arial"/>
                <w:sz w:val="22"/>
                <w:szCs w:val="22"/>
              </w:rPr>
            </w:pPr>
            <w:proofErr w:type="spellStart"/>
            <w:r w:rsidRPr="002C1980">
              <w:rPr>
                <w:rFonts w:ascii="Arial" w:hAnsi="Arial" w:cs="Arial"/>
                <w:sz w:val="22"/>
                <w:szCs w:val="22"/>
              </w:rPr>
              <w:t>Foray</w:t>
            </w:r>
            <w:proofErr w:type="spellEnd"/>
            <w:r w:rsidRPr="002C1980">
              <w:rPr>
                <w:rFonts w:ascii="Arial" w:hAnsi="Arial" w:cs="Arial"/>
                <w:sz w:val="22"/>
                <w:szCs w:val="22"/>
              </w:rPr>
              <w:t xml:space="preserve"> 76 B</w:t>
            </w:r>
          </w:p>
        </w:tc>
        <w:tc>
          <w:tcPr>
            <w:tcW w:w="1700" w:type="dxa"/>
          </w:tcPr>
          <w:p w14:paraId="342BCE82" w14:textId="6858BB75" w:rsidR="008D7A04" w:rsidRPr="002C1980" w:rsidRDefault="00597E59"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30 830 l</w:t>
            </w:r>
          </w:p>
        </w:tc>
        <w:tc>
          <w:tcPr>
            <w:tcW w:w="1700" w:type="dxa"/>
          </w:tcPr>
          <w:p w14:paraId="0F9E21DA" w14:textId="522AE340" w:rsidR="008D7A04" w:rsidRPr="002C1980" w:rsidRDefault="00C714A5"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70 446,7 l</w:t>
            </w:r>
          </w:p>
        </w:tc>
        <w:tc>
          <w:tcPr>
            <w:tcW w:w="1700" w:type="dxa"/>
          </w:tcPr>
          <w:p w14:paraId="40856CC1" w14:textId="38BE01EC" w:rsidR="008D7A04" w:rsidRPr="002C1980" w:rsidRDefault="0050225C"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40 357,35 l</w:t>
            </w:r>
          </w:p>
        </w:tc>
        <w:tc>
          <w:tcPr>
            <w:tcW w:w="1700" w:type="dxa"/>
          </w:tcPr>
          <w:p w14:paraId="59AA09AB" w14:textId="541631CB" w:rsidR="008D7A04" w:rsidRPr="002C1980" w:rsidRDefault="00CC027E"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9 799,8 l</w:t>
            </w:r>
          </w:p>
        </w:tc>
      </w:tr>
      <w:tr w:rsidR="00410EB7" w14:paraId="293D4AA2" w14:textId="77777777" w:rsidTr="004A370C">
        <w:tc>
          <w:tcPr>
            <w:tcW w:w="2262" w:type="dxa"/>
          </w:tcPr>
          <w:p w14:paraId="2B8D16A4" w14:textId="1E24DEC1" w:rsidR="00410EB7" w:rsidRPr="002C1980" w:rsidRDefault="00AF5E8D" w:rsidP="00AF5E8D">
            <w:pPr>
              <w:pStyle w:val="NormalnyWeb"/>
              <w:tabs>
                <w:tab w:val="left" w:pos="284"/>
              </w:tabs>
              <w:spacing w:after="120" w:line="360" w:lineRule="auto"/>
              <w:rPr>
                <w:rFonts w:ascii="Arial" w:hAnsi="Arial" w:cs="Arial"/>
                <w:sz w:val="22"/>
                <w:szCs w:val="22"/>
              </w:rPr>
            </w:pPr>
            <w:r w:rsidRPr="002C1980">
              <w:rPr>
                <w:rFonts w:ascii="Arial" w:hAnsi="Arial" w:cs="Arial"/>
                <w:sz w:val="22"/>
                <w:szCs w:val="22"/>
              </w:rPr>
              <w:t>liczba kontroli planowanych produkcji leśnej</w:t>
            </w:r>
          </w:p>
        </w:tc>
        <w:tc>
          <w:tcPr>
            <w:tcW w:w="1700" w:type="dxa"/>
          </w:tcPr>
          <w:p w14:paraId="5EAA6439" w14:textId="205E0C7A" w:rsidR="00410EB7" w:rsidRPr="002C1980" w:rsidRDefault="005D3D7C"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95</w:t>
            </w:r>
          </w:p>
        </w:tc>
        <w:tc>
          <w:tcPr>
            <w:tcW w:w="1700" w:type="dxa"/>
          </w:tcPr>
          <w:p w14:paraId="49D3C5F5" w14:textId="687B868A" w:rsidR="00410EB7" w:rsidRPr="002C1980" w:rsidRDefault="006B5994"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113</w:t>
            </w:r>
          </w:p>
        </w:tc>
        <w:tc>
          <w:tcPr>
            <w:tcW w:w="1700" w:type="dxa"/>
          </w:tcPr>
          <w:p w14:paraId="5C5E2D61" w14:textId="6E5402A6" w:rsidR="00410EB7" w:rsidRPr="002C1980" w:rsidRDefault="0002775D"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27</w:t>
            </w:r>
          </w:p>
        </w:tc>
        <w:tc>
          <w:tcPr>
            <w:tcW w:w="1700" w:type="dxa"/>
          </w:tcPr>
          <w:p w14:paraId="23FFD93A" w14:textId="6B8A7C5D" w:rsidR="00410EB7" w:rsidRPr="002C1980" w:rsidRDefault="000331F6"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36</w:t>
            </w:r>
          </w:p>
        </w:tc>
      </w:tr>
      <w:tr w:rsidR="00410EB7" w14:paraId="3E7ABACF" w14:textId="77777777" w:rsidTr="004A370C">
        <w:tc>
          <w:tcPr>
            <w:tcW w:w="2262" w:type="dxa"/>
          </w:tcPr>
          <w:p w14:paraId="05C68A4A" w14:textId="52314C1C" w:rsidR="00410EB7" w:rsidRPr="002C1980" w:rsidRDefault="00083525" w:rsidP="00AF5E8D">
            <w:pPr>
              <w:pStyle w:val="NormalnyWeb"/>
              <w:tabs>
                <w:tab w:val="left" w:pos="284"/>
              </w:tabs>
              <w:spacing w:after="120" w:line="360" w:lineRule="auto"/>
              <w:rPr>
                <w:rFonts w:ascii="Arial" w:hAnsi="Arial" w:cs="Arial"/>
                <w:sz w:val="22"/>
                <w:szCs w:val="22"/>
              </w:rPr>
            </w:pPr>
            <w:r w:rsidRPr="002C1980">
              <w:rPr>
                <w:rFonts w:ascii="Arial" w:hAnsi="Arial" w:cs="Arial"/>
                <w:sz w:val="22"/>
                <w:szCs w:val="22"/>
              </w:rPr>
              <w:t>liczba kontroli interwencyjnych</w:t>
            </w:r>
          </w:p>
        </w:tc>
        <w:tc>
          <w:tcPr>
            <w:tcW w:w="1700" w:type="dxa"/>
          </w:tcPr>
          <w:p w14:paraId="2CB3DC1A" w14:textId="0BD24BDC" w:rsidR="00410EB7" w:rsidRPr="002C1980" w:rsidRDefault="00083525"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2</w:t>
            </w:r>
          </w:p>
        </w:tc>
        <w:tc>
          <w:tcPr>
            <w:tcW w:w="1700" w:type="dxa"/>
          </w:tcPr>
          <w:p w14:paraId="0B0F9329" w14:textId="65E5567D" w:rsidR="00410EB7" w:rsidRPr="002C1980" w:rsidRDefault="006B5994"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3</w:t>
            </w:r>
          </w:p>
        </w:tc>
        <w:tc>
          <w:tcPr>
            <w:tcW w:w="1700" w:type="dxa"/>
          </w:tcPr>
          <w:p w14:paraId="6F8D4AD5" w14:textId="27F69EB4" w:rsidR="00410EB7" w:rsidRPr="002C1980" w:rsidRDefault="0002775D"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1</w:t>
            </w:r>
          </w:p>
        </w:tc>
        <w:tc>
          <w:tcPr>
            <w:tcW w:w="1700" w:type="dxa"/>
          </w:tcPr>
          <w:p w14:paraId="1A7CBD66" w14:textId="3AD1D985" w:rsidR="00410EB7" w:rsidRPr="002C1980" w:rsidRDefault="000331F6" w:rsidP="005D3D7C">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1</w:t>
            </w:r>
          </w:p>
        </w:tc>
      </w:tr>
    </w:tbl>
    <w:p w14:paraId="752C1E5F" w14:textId="77777777" w:rsidR="00056846" w:rsidRPr="00925BCD" w:rsidRDefault="00E54725">
      <w:pPr>
        <w:pStyle w:val="Nagwek1"/>
        <w:numPr>
          <w:ilvl w:val="1"/>
          <w:numId w:val="9"/>
        </w:numPr>
        <w:tabs>
          <w:tab w:val="left" w:pos="284"/>
        </w:tabs>
        <w:ind w:left="426" w:hanging="426"/>
        <w:jc w:val="both"/>
        <w:rPr>
          <w:i w:val="0"/>
          <w:sz w:val="22"/>
          <w:szCs w:val="22"/>
        </w:rPr>
      </w:pPr>
      <w:bookmarkStart w:id="22" w:name="_Toc134099254"/>
      <w:r w:rsidRPr="00925BCD">
        <w:rPr>
          <w:i w:val="0"/>
          <w:sz w:val="22"/>
          <w:szCs w:val="22"/>
        </w:rPr>
        <w:t>Mierniki służące monitorowaniu</w:t>
      </w:r>
      <w:bookmarkEnd w:id="22"/>
    </w:p>
    <w:p w14:paraId="389609FD" w14:textId="77777777" w:rsidR="00056846" w:rsidRPr="00925BCD" w:rsidRDefault="00E54725" w:rsidP="00114D52">
      <w:pPr>
        <w:pStyle w:val="napakapit"/>
        <w:spacing w:before="0"/>
        <w:ind w:firstLine="357"/>
        <w:rPr>
          <w:rFonts w:cs="Arial"/>
        </w:rPr>
      </w:pPr>
      <w:r w:rsidRPr="00925BCD">
        <w:rPr>
          <w:rFonts w:cs="Arial"/>
        </w:rPr>
        <w:t>Efektywność działania będzie oceniana na podstawie liczby nieprawidłowości w zakresie wykonywania zabiegów ochrony roślin przy użyciu sprzętu agrolotniczego. W 2022 r. poziom nieprawidłowości w tym zakresie, stwierdzanych w ramach kontroli przeprowadzanej  przez Państwową Inspekcję Ochrony Roślin i Nasiennictwa, powinien wynosić poniżej 1%.</w:t>
      </w:r>
    </w:p>
    <w:p w14:paraId="6F0A02E7" w14:textId="2162AAE7" w:rsidR="00056846" w:rsidRPr="00925BCD" w:rsidRDefault="00E54725" w:rsidP="00114D52">
      <w:pPr>
        <w:pStyle w:val="napakapit"/>
        <w:spacing w:before="0"/>
        <w:ind w:firstLine="357"/>
        <w:rPr>
          <w:rFonts w:cs="Arial"/>
        </w:rPr>
      </w:pPr>
      <w:r w:rsidRPr="00481AB1">
        <w:rPr>
          <w:rFonts w:cs="Arial"/>
        </w:rPr>
        <w:t xml:space="preserve">W </w:t>
      </w:r>
      <w:r w:rsidR="001A314E" w:rsidRPr="00481AB1">
        <w:rPr>
          <w:rFonts w:cs="Arial"/>
        </w:rPr>
        <w:t>latach 2018</w:t>
      </w:r>
      <w:bookmarkStart w:id="23" w:name="_Hlk96083327"/>
      <w:r w:rsidR="001A314E" w:rsidRPr="00481AB1">
        <w:rPr>
          <w:rFonts w:cs="Arial"/>
        </w:rPr>
        <w:t>–</w:t>
      </w:r>
      <w:bookmarkEnd w:id="23"/>
      <w:r w:rsidR="001A314E" w:rsidRPr="00481AB1">
        <w:rPr>
          <w:rFonts w:cs="Arial"/>
        </w:rPr>
        <w:t xml:space="preserve">2020 </w:t>
      </w:r>
      <w:r w:rsidRPr="00481AB1">
        <w:rPr>
          <w:rFonts w:cs="Arial"/>
        </w:rPr>
        <w:t>nie było</w:t>
      </w:r>
      <w:r w:rsidRPr="00925BCD">
        <w:rPr>
          <w:rFonts w:cs="Arial"/>
        </w:rPr>
        <w:t xml:space="preserve"> żadnych nieprawidłowości w zakresie wykonywania zabiegów ochrony roślin przy użyciu sprzętu agrolotniczego</w:t>
      </w:r>
      <w:r w:rsidR="00481AB1">
        <w:rPr>
          <w:rFonts w:cs="Arial"/>
        </w:rPr>
        <w:t>, natomiast w 2021</w:t>
      </w:r>
      <w:r w:rsidR="002F5377">
        <w:rPr>
          <w:rFonts w:cs="Arial"/>
        </w:rPr>
        <w:t> </w:t>
      </w:r>
      <w:r w:rsidR="00481AB1">
        <w:rPr>
          <w:rFonts w:cs="Arial"/>
        </w:rPr>
        <w:t xml:space="preserve">r. </w:t>
      </w:r>
      <w:r w:rsidR="002F5377">
        <w:rPr>
          <w:rFonts w:cs="Arial"/>
        </w:rPr>
        <w:t xml:space="preserve">poziom nieprawidłowości wyniósł </w:t>
      </w:r>
      <w:r w:rsidR="008960F8">
        <w:rPr>
          <w:rFonts w:cs="Arial"/>
        </w:rPr>
        <w:t>5,41%.</w:t>
      </w:r>
    </w:p>
    <w:p w14:paraId="6E1E4982" w14:textId="77777777" w:rsidR="00056846" w:rsidRPr="00925BCD" w:rsidRDefault="00E54725">
      <w:pPr>
        <w:pStyle w:val="Nagwek1"/>
        <w:numPr>
          <w:ilvl w:val="0"/>
          <w:numId w:val="9"/>
        </w:numPr>
        <w:jc w:val="both"/>
        <w:rPr>
          <w:i w:val="0"/>
          <w:sz w:val="22"/>
          <w:szCs w:val="22"/>
        </w:rPr>
      </w:pPr>
      <w:bookmarkStart w:id="24" w:name="_Toc134099255"/>
      <w:r w:rsidRPr="00925BCD">
        <w:rPr>
          <w:i w:val="0"/>
          <w:sz w:val="22"/>
          <w:szCs w:val="22"/>
        </w:rPr>
        <w:t>Działanie 6. Ostrzeganie osób postronnych o zabiegach ochrony roślin</w:t>
      </w:r>
      <w:bookmarkEnd w:id="24"/>
    </w:p>
    <w:p w14:paraId="1AF6E828"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Ryzyko związane ze stosowaniem środków ochrony roślin dotyczy nie tylko operatorów sprzętu do aplikacji tych środków oraz konsumentów płodów rolnych, ale także osób postronnych, które przypadkowo mogą być narażone na kontakt ze środkami ochrony roślin, nieświadomie wkraczając na obszar objęty zabiegiem. </w:t>
      </w:r>
    </w:p>
    <w:p w14:paraId="0D34F79D"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przypadkowy kontakt ze środkami ochrony roślin mogą być także narażone zwierzęta gospodarskie, w tym pszczoły miodne. W związku z powyższym zostały przyjęte rozwiązania prawne, przewidujące ostrzeganie osób postronnych o wykonywanych zabiegach ochrony roślin. Działanie to służy osiągnięciu celów określonych w art. 10 dyrektywy 2009/128/WE. </w:t>
      </w:r>
    </w:p>
    <w:p w14:paraId="440BF489"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Szczegółowe rozwiązania w tym zakresie zostały przyjęte w odniesieniu do zabiegów agrolotniczych wykonywanych na dużych obszarach leśnych tj. w rozporządzeniu Ministra Rolnictwa i Rozwoju Wsi </w:t>
      </w:r>
      <w:r w:rsidRPr="00925BCD">
        <w:rPr>
          <w:rFonts w:ascii="Arial" w:hAnsi="Arial" w:cs="Arial"/>
        </w:rPr>
        <w:lastRenderedPageBreak/>
        <w:t xml:space="preserve">z dnia 22 maja 2013 r. w sprawie sposobu postępowania przy stosowaniu i przechowywaniu środków ochrony roślin. Ponadto wszystkie etykiety środków ochrony roślin zawierają wymóg informowania o zabiegach osób, które zwrócą się o taką informację. </w:t>
      </w:r>
    </w:p>
    <w:p w14:paraId="19B115F2"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iCs/>
        </w:rPr>
      </w:pPr>
      <w:r w:rsidRPr="00925BCD">
        <w:rPr>
          <w:rFonts w:ascii="Arial" w:hAnsi="Arial" w:cs="Arial"/>
        </w:rPr>
        <w:t>W ramach realizacji działania propagowana była</w:t>
      </w:r>
      <w:r w:rsidRPr="00925BCD">
        <w:rPr>
          <w:rFonts w:ascii="Arial" w:hAnsi="Arial" w:cs="Arial"/>
          <w:iCs/>
        </w:rPr>
        <w:t xml:space="preserve"> wiedzy o uprawnieniach dotyczących żądania informacji o planowanych zabiegach ochron roślin, w szczególności wśród pszczelarzy i rolników ekologicznych.</w:t>
      </w:r>
    </w:p>
    <w:p w14:paraId="39A3A727" w14:textId="509D7950"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Inspektorzy Ochrony Roślin i Nasiennictwa </w:t>
      </w:r>
      <w:r w:rsidRPr="00906EE4">
        <w:rPr>
          <w:rFonts w:ascii="Arial" w:hAnsi="Arial" w:cs="Arial"/>
        </w:rPr>
        <w:t xml:space="preserve">w </w:t>
      </w:r>
      <w:r w:rsidR="00007B31" w:rsidRPr="00906EE4">
        <w:rPr>
          <w:rFonts w:ascii="Arial" w:hAnsi="Arial" w:cs="Arial"/>
        </w:rPr>
        <w:t xml:space="preserve">latach </w:t>
      </w:r>
      <w:r w:rsidRPr="00906EE4">
        <w:rPr>
          <w:rFonts w:ascii="Arial" w:hAnsi="Arial" w:cs="Arial"/>
        </w:rPr>
        <w:t>2018</w:t>
      </w:r>
      <w:r w:rsidR="00007B31" w:rsidRPr="00906EE4">
        <w:rPr>
          <w:rFonts w:ascii="Arial" w:hAnsi="Arial" w:cs="Arial"/>
        </w:rPr>
        <w:t>–202</w:t>
      </w:r>
      <w:r w:rsidR="00A86B79" w:rsidRPr="00906EE4">
        <w:rPr>
          <w:rFonts w:ascii="Arial" w:hAnsi="Arial" w:cs="Arial"/>
        </w:rPr>
        <w:t>1</w:t>
      </w:r>
      <w:r w:rsidR="00007B31" w:rsidRPr="00906EE4">
        <w:rPr>
          <w:rFonts w:ascii="Arial" w:hAnsi="Arial" w:cs="Arial"/>
        </w:rPr>
        <w:t xml:space="preserve"> </w:t>
      </w:r>
      <w:r w:rsidRPr="00906EE4">
        <w:rPr>
          <w:rFonts w:ascii="Arial" w:hAnsi="Arial" w:cs="Arial"/>
        </w:rPr>
        <w:t>prowadzili kontrole</w:t>
      </w:r>
      <w:r w:rsidRPr="00925BCD">
        <w:rPr>
          <w:rFonts w:ascii="Arial" w:hAnsi="Arial" w:cs="Arial"/>
        </w:rPr>
        <w:t xml:space="preserve"> stosowania środków ochrony roślin, w zakresie informowania o planowanych zabiegach ochrony roślin. Nie odnotowano nieprawidłowości w tym </w:t>
      </w:r>
      <w:r w:rsidR="005909A6" w:rsidRPr="00925BCD">
        <w:rPr>
          <w:rFonts w:ascii="Arial" w:hAnsi="Arial" w:cs="Arial"/>
        </w:rPr>
        <w:t>obszarze</w:t>
      </w:r>
      <w:r w:rsidR="008510AB" w:rsidRPr="00925BCD">
        <w:rPr>
          <w:rFonts w:ascii="Arial" w:hAnsi="Arial" w:cs="Arial"/>
        </w:rPr>
        <w:t xml:space="preserve">. </w:t>
      </w:r>
    </w:p>
    <w:p w14:paraId="56504C86" w14:textId="77777777" w:rsidR="00056846" w:rsidRPr="00925BCD" w:rsidRDefault="00E54725">
      <w:pPr>
        <w:pStyle w:val="Nagwek1"/>
        <w:numPr>
          <w:ilvl w:val="1"/>
          <w:numId w:val="9"/>
        </w:numPr>
        <w:tabs>
          <w:tab w:val="left" w:pos="284"/>
        </w:tabs>
        <w:ind w:left="426" w:hanging="426"/>
        <w:jc w:val="both"/>
        <w:rPr>
          <w:i w:val="0"/>
          <w:sz w:val="22"/>
          <w:szCs w:val="22"/>
        </w:rPr>
      </w:pPr>
      <w:bookmarkStart w:id="25" w:name="_Toc134099256"/>
      <w:r w:rsidRPr="00925BCD">
        <w:rPr>
          <w:i w:val="0"/>
          <w:sz w:val="22"/>
          <w:szCs w:val="22"/>
        </w:rPr>
        <w:t>Mierniki służące monitorowaniu</w:t>
      </w:r>
      <w:bookmarkEnd w:id="25"/>
    </w:p>
    <w:p w14:paraId="619483D9"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będzie oceniana na podstawie liczby nieprawidłowości w zakresie </w:t>
      </w:r>
      <w:r w:rsidRPr="00925BCD">
        <w:rPr>
          <w:rFonts w:ascii="Arial" w:hAnsi="Arial" w:cs="Arial"/>
          <w:iCs/>
        </w:rPr>
        <w:t>informowania o planowanych zabiegach ochrony roślin</w:t>
      </w:r>
      <w:r w:rsidRPr="00925BCD">
        <w:rPr>
          <w:rFonts w:ascii="Arial" w:hAnsi="Arial" w:cs="Arial"/>
        </w:rPr>
        <w:t>. W 2022 r. poziom nieprawidłowości w tym zakresie, stwierdzanych w ramach kontroli przeprowadzanej przez Państwową Inspekcję Ochrony Roślin i Nasiennictwa, powinien wynosić poniżej 1%.</w:t>
      </w:r>
    </w:p>
    <w:p w14:paraId="19930D80" w14:textId="2088BC5B" w:rsidR="005D2453" w:rsidRPr="00925BCD" w:rsidRDefault="00E54725" w:rsidP="00410D56">
      <w:pPr>
        <w:pStyle w:val="NormalnyWeb"/>
        <w:tabs>
          <w:tab w:val="left" w:pos="284"/>
        </w:tabs>
        <w:spacing w:beforeAutospacing="0" w:after="120" w:afterAutospacing="0" w:line="360" w:lineRule="auto"/>
        <w:ind w:firstLine="284"/>
        <w:jc w:val="both"/>
        <w:rPr>
          <w:rFonts w:ascii="Arial" w:hAnsi="Arial" w:cs="Arial"/>
          <w:iCs/>
        </w:rPr>
      </w:pPr>
      <w:r w:rsidRPr="008F1FF4">
        <w:rPr>
          <w:rFonts w:ascii="Arial" w:hAnsi="Arial" w:cs="Arial"/>
        </w:rPr>
        <w:t xml:space="preserve">W </w:t>
      </w:r>
      <w:r w:rsidR="001A314E" w:rsidRPr="008F1FF4">
        <w:rPr>
          <w:rFonts w:ascii="Arial" w:hAnsi="Arial" w:cs="Arial"/>
        </w:rPr>
        <w:t xml:space="preserve">latach </w:t>
      </w:r>
      <w:r w:rsidRPr="008F1FF4">
        <w:rPr>
          <w:rFonts w:ascii="Arial" w:hAnsi="Arial" w:cs="Arial"/>
        </w:rPr>
        <w:t>2018</w:t>
      </w:r>
      <w:r w:rsidR="001A314E" w:rsidRPr="008F1FF4">
        <w:rPr>
          <w:rFonts w:ascii="Arial" w:hAnsi="Arial" w:cs="Arial"/>
        </w:rPr>
        <w:t>–202</w:t>
      </w:r>
      <w:r w:rsidR="00906EE4" w:rsidRPr="008F1FF4">
        <w:rPr>
          <w:rFonts w:ascii="Arial" w:hAnsi="Arial" w:cs="Arial"/>
        </w:rPr>
        <w:t>1</w:t>
      </w:r>
      <w:r w:rsidR="00410D56" w:rsidRPr="008F1FF4">
        <w:rPr>
          <w:rFonts w:ascii="Arial" w:hAnsi="Arial" w:cs="Arial"/>
        </w:rPr>
        <w:t xml:space="preserve"> </w:t>
      </w:r>
      <w:r w:rsidRPr="008F1FF4">
        <w:rPr>
          <w:rFonts w:ascii="Arial" w:hAnsi="Arial" w:cs="Arial"/>
        </w:rPr>
        <w:t xml:space="preserve">nie odnotowano nieprawidłowości w zakresie </w:t>
      </w:r>
      <w:r w:rsidRPr="008F1FF4">
        <w:rPr>
          <w:rFonts w:ascii="Arial" w:hAnsi="Arial" w:cs="Arial"/>
          <w:iCs/>
        </w:rPr>
        <w:t>informowania o planowanych zabiegach ochrony roślin</w:t>
      </w:r>
      <w:r w:rsidR="001A314E" w:rsidRPr="008F1FF4">
        <w:rPr>
          <w:rFonts w:ascii="Arial" w:hAnsi="Arial" w:cs="Arial"/>
          <w:iCs/>
        </w:rPr>
        <w:t>.</w:t>
      </w:r>
    </w:p>
    <w:p w14:paraId="3979B008" w14:textId="77777777" w:rsidR="00056846" w:rsidRPr="00925BCD" w:rsidRDefault="00E54725">
      <w:pPr>
        <w:pStyle w:val="Nagwek1"/>
        <w:numPr>
          <w:ilvl w:val="0"/>
          <w:numId w:val="9"/>
        </w:numPr>
        <w:ind w:left="284"/>
        <w:jc w:val="both"/>
        <w:rPr>
          <w:i w:val="0"/>
          <w:sz w:val="22"/>
          <w:szCs w:val="22"/>
        </w:rPr>
      </w:pPr>
      <w:bookmarkStart w:id="26" w:name="_Toc134099257"/>
      <w:r w:rsidRPr="00925BCD">
        <w:rPr>
          <w:i w:val="0"/>
          <w:sz w:val="22"/>
          <w:szCs w:val="22"/>
        </w:rPr>
        <w:t>Działanie 7. Środki ochrony środowiska wodnego i wody pitnej</w:t>
      </w:r>
      <w:bookmarkEnd w:id="26"/>
    </w:p>
    <w:p w14:paraId="0C62F628"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Niewłaściwie stosowane środki ochrony roślin, przenikając do naturalnych zbiorników i cieków wodnych, przyczyniają się do skażenia tego środowiska. Stanowi to zagrożenie zarówno dla organizmów wodnych, jak i dla człowieka, w różny sposób korzystającego z zasobów wodnych (do spożycia, w celach rekreacji). Niektóre z tych środków mogą także kumulować się w osadach dennych i być wykrywane w wodzie po długim czasie od ich zastosowania.</w:t>
      </w:r>
    </w:p>
    <w:p w14:paraId="4B8A0870" w14:textId="0BC84995"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związku z powyższym, mając na uwadze, że działanie to służy osiągnięciu celów art. 11 dyrektywy 2009/128/WE, zostały przyjęte regulacje mające na celu ochronę środowiska wodnego przed ewentualnymi negatywnymi skutkami niewłaściwego wykonywania zabiegów z użyciem środków ochrony roślin. Zagadnienia te zostały uregulowane w ustawie z dnia 8 marca 2013 r. o środkach ochrony roślin oraz w rozporządzeniu Ministra Rolnictwa i Rozwoju Wsi z dnia 22 maja 2013 r. w sprawie sposobu postępowania przy stosowaniu i przechowywaniu środków ochrony roślin i rozporządzeniu Ministra Rolnictwa i Rozwoju Wsi z dnia 31 marca 2014 r. w sprawie warunków stosowania środków ochrony roślin. Przepisy te regulują warunki </w:t>
      </w:r>
      <w:r w:rsidR="005909A6" w:rsidRPr="00925BCD">
        <w:rPr>
          <w:rFonts w:ascii="Arial" w:hAnsi="Arial" w:cs="Arial"/>
        </w:rPr>
        <w:t>aplikacji</w:t>
      </w:r>
      <w:r w:rsidRPr="00925BCD">
        <w:rPr>
          <w:rFonts w:ascii="Arial" w:hAnsi="Arial" w:cs="Arial"/>
        </w:rPr>
        <w:t xml:space="preserve"> środków ochrony roślin (np. maksymalną prędkość wiatru, przy jakiej można wykonać zabieg, tak aby wyeliminować ryzyko zniesienia cieczy użytkowej, szerokość stref buforowych wokół zbiorników i cieków wodnych, a także powierzchni nieprzepuszczalnych, stwarzających ryzyko skażeń punktowych w przypadku spłukania środków ochrony roślin), jak również określają minimalne odległości od zbiorników i cieków wodnych, w jakich można wykonywać czynności, z którymi wiąże się największe ryzyko skażenia środowiska wodnego (jak przechowywanie środków ochrony roślin, napełnianie i mycie sprzętu przeznaczonego do stosowania środków ochrony roślin). </w:t>
      </w:r>
    </w:p>
    <w:p w14:paraId="09729B77"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 xml:space="preserve">Regulacje dotyczące ochrony środowiska wodnego zawierają także przepisy ustawy z dnia 20 lipca 2017 r. – Prawo wodne (Dz. U. poz. 1566, z późn. zm.). </w:t>
      </w:r>
    </w:p>
    <w:p w14:paraId="0CC2D17E"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działania były prowadzone następujące zadania. </w:t>
      </w:r>
    </w:p>
    <w:p w14:paraId="28EB7729" w14:textId="77777777" w:rsidR="00056846" w:rsidRPr="00925BCD" w:rsidRDefault="00E54725">
      <w:pPr>
        <w:pStyle w:val="Nagwek2"/>
        <w:jc w:val="both"/>
        <w:rPr>
          <w:i w:val="0"/>
          <w:sz w:val="20"/>
          <w:szCs w:val="20"/>
        </w:rPr>
      </w:pPr>
      <w:bookmarkStart w:id="27" w:name="_Toc134099258"/>
      <w:r w:rsidRPr="00925BCD">
        <w:rPr>
          <w:i w:val="0"/>
          <w:sz w:val="20"/>
          <w:szCs w:val="20"/>
        </w:rPr>
        <w:t xml:space="preserve">Zadanie 1. </w:t>
      </w:r>
      <w:bookmarkStart w:id="28" w:name="_Toc341876091"/>
      <w:bookmarkStart w:id="29" w:name="_Toc301334612"/>
      <w:bookmarkStart w:id="30" w:name="_Toc300916224"/>
      <w:r w:rsidRPr="00925BCD">
        <w:rPr>
          <w:i w:val="0"/>
          <w:sz w:val="20"/>
          <w:szCs w:val="20"/>
        </w:rPr>
        <w:t>Prowadzenie monitoringu wód powierzchniowych, podziemnych i osadów dennych</w:t>
      </w:r>
      <w:bookmarkEnd w:id="28"/>
      <w:bookmarkEnd w:id="29"/>
      <w:bookmarkEnd w:id="30"/>
      <w:bookmarkEnd w:id="27"/>
      <w:r w:rsidRPr="00925BCD">
        <w:rPr>
          <w:i w:val="0"/>
          <w:sz w:val="20"/>
          <w:szCs w:val="20"/>
        </w:rPr>
        <w:t xml:space="preserve"> </w:t>
      </w:r>
    </w:p>
    <w:p w14:paraId="6C47360F" w14:textId="7B5EA514" w:rsidR="00056846" w:rsidRPr="00007B31"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Państwowy monitoring środowiska </w:t>
      </w:r>
      <w:r w:rsidR="00853E94" w:rsidRPr="00853E94">
        <w:rPr>
          <w:rFonts w:ascii="Arial" w:hAnsi="Arial" w:cs="Arial"/>
        </w:rPr>
        <w:t xml:space="preserve">(PMŚ) </w:t>
      </w:r>
      <w:r w:rsidR="00134609">
        <w:rPr>
          <w:rFonts w:ascii="Arial" w:hAnsi="Arial" w:cs="Arial"/>
        </w:rPr>
        <w:t xml:space="preserve">to system </w:t>
      </w:r>
      <w:r w:rsidR="00853E94" w:rsidRPr="00853E94">
        <w:rPr>
          <w:rFonts w:ascii="Arial" w:hAnsi="Arial" w:cs="Arial"/>
        </w:rPr>
        <w:t>utworzony ustawą z dnia 10 lipca 1991 r</w:t>
      </w:r>
      <w:r w:rsidR="000D3601">
        <w:rPr>
          <w:rFonts w:ascii="Arial" w:hAnsi="Arial" w:cs="Arial"/>
        </w:rPr>
        <w:t>.</w:t>
      </w:r>
      <w:r w:rsidR="00853E94" w:rsidRPr="00853E94">
        <w:rPr>
          <w:rFonts w:ascii="Arial" w:hAnsi="Arial" w:cs="Arial"/>
        </w:rPr>
        <w:t xml:space="preserve"> o</w:t>
      </w:r>
      <w:r w:rsidR="000F6AD2">
        <w:rPr>
          <w:rFonts w:ascii="Arial" w:hAnsi="Arial" w:cs="Arial"/>
        </w:rPr>
        <w:t> </w:t>
      </w:r>
      <w:r w:rsidR="00853E94" w:rsidRPr="00853E94">
        <w:rPr>
          <w:rFonts w:ascii="Arial" w:hAnsi="Arial" w:cs="Arial"/>
        </w:rPr>
        <w:t>Inspekcji Ochrony Środowiska (</w:t>
      </w:r>
      <w:proofErr w:type="spellStart"/>
      <w:r w:rsidR="00853E94" w:rsidRPr="00853E94">
        <w:rPr>
          <w:rFonts w:ascii="Arial" w:hAnsi="Arial" w:cs="Arial"/>
        </w:rPr>
        <w:t>t.j</w:t>
      </w:r>
      <w:proofErr w:type="spellEnd"/>
      <w:r w:rsidR="00853E94" w:rsidRPr="00853E94">
        <w:rPr>
          <w:rFonts w:ascii="Arial" w:hAnsi="Arial" w:cs="Arial"/>
        </w:rPr>
        <w:t>. Dz. U. z 2021</w:t>
      </w:r>
      <w:r w:rsidR="000F6AD2">
        <w:rPr>
          <w:rFonts w:ascii="Arial" w:hAnsi="Arial" w:cs="Arial"/>
        </w:rPr>
        <w:t> </w:t>
      </w:r>
      <w:r w:rsidR="00853E94" w:rsidRPr="00853E94">
        <w:rPr>
          <w:rFonts w:ascii="Arial" w:hAnsi="Arial" w:cs="Arial"/>
        </w:rPr>
        <w:t>r. poz. 1070) w celu zapewnienia wiarygodnych informacji o stanie środowiska. Państwowy Monitoring Środowiska jest realizowany poprzez systematyczne informowanie organów administracji i społeczeństwa o:</w:t>
      </w:r>
    </w:p>
    <w:p w14:paraId="02F1D94F" w14:textId="77777777" w:rsidR="00056846" w:rsidRPr="00007B31" w:rsidRDefault="00E54725" w:rsidP="00114D52">
      <w:pPr>
        <w:tabs>
          <w:tab w:val="center" w:pos="4536"/>
          <w:tab w:val="right" w:pos="9072"/>
        </w:tabs>
        <w:spacing w:after="120" w:line="360" w:lineRule="auto"/>
        <w:ind w:left="709" w:hanging="426"/>
        <w:jc w:val="both"/>
        <w:rPr>
          <w:rFonts w:ascii="Arial" w:hAnsi="Arial" w:cs="Arial"/>
          <w:sz w:val="20"/>
          <w:szCs w:val="20"/>
        </w:rPr>
      </w:pPr>
      <w:r w:rsidRPr="00007B31">
        <w:rPr>
          <w:rFonts w:ascii="Arial" w:hAnsi="Arial" w:cs="Arial"/>
          <w:sz w:val="20"/>
          <w:szCs w:val="20"/>
        </w:rPr>
        <w:t xml:space="preserve">1) </w:t>
      </w:r>
      <w:r w:rsidRPr="00007B31">
        <w:rPr>
          <w:rFonts w:ascii="Arial" w:hAnsi="Arial" w:cs="Arial"/>
          <w:sz w:val="20"/>
          <w:szCs w:val="20"/>
        </w:rPr>
        <w:tab/>
        <w:t>jakości elementów przyrodniczych, dotrzymywaniu standardów jakości środowiska lub innych poziomów określonych przepisami oraz obszarach występowania przekroczeń tych standardów lub innych wymagań;</w:t>
      </w:r>
    </w:p>
    <w:p w14:paraId="132A68EB" w14:textId="77777777" w:rsidR="00056846" w:rsidRPr="00007B31" w:rsidRDefault="00E54725" w:rsidP="00114D52">
      <w:pPr>
        <w:tabs>
          <w:tab w:val="center" w:pos="4536"/>
          <w:tab w:val="right" w:pos="9072"/>
        </w:tabs>
        <w:spacing w:after="120" w:line="360" w:lineRule="auto"/>
        <w:ind w:left="709" w:hanging="426"/>
        <w:jc w:val="both"/>
        <w:rPr>
          <w:rFonts w:ascii="Arial" w:hAnsi="Arial" w:cs="Arial"/>
          <w:sz w:val="20"/>
          <w:szCs w:val="20"/>
        </w:rPr>
      </w:pPr>
      <w:r w:rsidRPr="00007B31">
        <w:rPr>
          <w:rFonts w:ascii="Arial" w:hAnsi="Arial" w:cs="Arial"/>
          <w:sz w:val="20"/>
          <w:szCs w:val="20"/>
        </w:rPr>
        <w:t xml:space="preserve">2) </w:t>
      </w:r>
      <w:r w:rsidRPr="00007B31">
        <w:rPr>
          <w:rFonts w:ascii="Arial" w:hAnsi="Arial" w:cs="Arial"/>
          <w:sz w:val="20"/>
          <w:szCs w:val="20"/>
        </w:rPr>
        <w:tab/>
        <w:t xml:space="preserve">występujących zmianach jakości elementów przyrodniczych, przyczynach tych zmian, w tym powiązaniach </w:t>
      </w:r>
      <w:proofErr w:type="spellStart"/>
      <w:r w:rsidRPr="00007B31">
        <w:rPr>
          <w:rFonts w:ascii="Arial" w:hAnsi="Arial" w:cs="Arial"/>
          <w:sz w:val="20"/>
          <w:szCs w:val="20"/>
        </w:rPr>
        <w:t>przyczynowo-skutkowych</w:t>
      </w:r>
      <w:proofErr w:type="spellEnd"/>
      <w:r w:rsidRPr="00007B31">
        <w:rPr>
          <w:rFonts w:ascii="Arial" w:hAnsi="Arial" w:cs="Arial"/>
          <w:sz w:val="20"/>
          <w:szCs w:val="20"/>
        </w:rPr>
        <w:t xml:space="preserve"> występujących pomiędzy emisjami i stanem elementów przyrodniczych.</w:t>
      </w:r>
    </w:p>
    <w:p w14:paraId="5D07C235" w14:textId="40D17FAF"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Państwowy monitoring środowiska, zgodnie z ustawą z dnia 20 lipca 1991 r. o Inspekcji Ochrony Środowiska (Dz. U. z 201</w:t>
      </w:r>
      <w:r w:rsidR="001352DF">
        <w:rPr>
          <w:rFonts w:ascii="Arial" w:hAnsi="Arial" w:cs="Arial"/>
        </w:rPr>
        <w:t>8</w:t>
      </w:r>
      <w:r w:rsidRPr="00925BCD">
        <w:rPr>
          <w:rFonts w:ascii="Arial" w:hAnsi="Arial" w:cs="Arial"/>
        </w:rPr>
        <w:t xml:space="preserve"> r. poz. 1</w:t>
      </w:r>
      <w:r w:rsidR="005F5A20">
        <w:rPr>
          <w:rFonts w:ascii="Arial" w:hAnsi="Arial" w:cs="Arial"/>
        </w:rPr>
        <w:t>479</w:t>
      </w:r>
      <w:r w:rsidRPr="00925BCD">
        <w:rPr>
          <w:rFonts w:ascii="Arial" w:hAnsi="Arial" w:cs="Arial"/>
        </w:rPr>
        <w:t>, z późn. zm.) jest prowadzony przez Inspekcję Ochrony Środowiska</w:t>
      </w:r>
      <w:r w:rsidR="005F5A20">
        <w:rPr>
          <w:rFonts w:ascii="Arial" w:hAnsi="Arial" w:cs="Arial"/>
        </w:rPr>
        <w:t xml:space="preserve">, </w:t>
      </w:r>
      <w:r w:rsidR="002961B7" w:rsidRPr="002961B7">
        <w:rPr>
          <w:rFonts w:ascii="Arial" w:hAnsi="Arial" w:cs="Arial"/>
        </w:rPr>
        <w:t>a od 1 stycznia 2019 r. zadania PMŚ są realizowane wyłącznie przez Głównego Inspektora Ochrony Środowiska (GIOŚ).</w:t>
      </w:r>
    </w:p>
    <w:p w14:paraId="0DB25D00" w14:textId="6B1A3365"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tego systemu jest prowadzony monitoring wód powierzchniowych i podziemnych. Regulacje dotyczące badań monitoringowych są zawarte w rozporządzeniu</w:t>
      </w:r>
      <w:r w:rsidR="007A4EBD">
        <w:rPr>
          <w:rFonts w:ascii="Arial" w:hAnsi="Arial" w:cs="Arial"/>
        </w:rPr>
        <w:t xml:space="preserve"> </w:t>
      </w:r>
      <w:r w:rsidR="007A4EBD" w:rsidRPr="007A4EBD">
        <w:rPr>
          <w:rFonts w:ascii="Arial" w:hAnsi="Arial" w:cs="Arial"/>
        </w:rPr>
        <w:t>Ministra Infrastruktury z</w:t>
      </w:r>
      <w:r w:rsidR="008F1FF4">
        <w:rPr>
          <w:rFonts w:ascii="Arial" w:hAnsi="Arial" w:cs="Arial"/>
        </w:rPr>
        <w:t> </w:t>
      </w:r>
      <w:r w:rsidR="007A4EBD" w:rsidRPr="007A4EBD">
        <w:rPr>
          <w:rFonts w:ascii="Arial" w:hAnsi="Arial" w:cs="Arial"/>
        </w:rPr>
        <w:t>dnia 13 lipca 2021 r. w sprawie form i sposobu prowadzenia monitoringu jednolitych części wód powierzchniowych i jednolitych części wód podziemnych (Dz. U. poz. 1576).</w:t>
      </w:r>
      <w:r w:rsidRPr="00925BCD">
        <w:rPr>
          <w:rFonts w:ascii="Arial" w:hAnsi="Arial" w:cs="Arial"/>
        </w:rPr>
        <w:t xml:space="preserve"> Szczegółowe regulacje dotyczące oceny stanu wód podziemnych są zawarte w rozporządzeniu </w:t>
      </w:r>
      <w:r w:rsidR="00880439" w:rsidRPr="00880439">
        <w:rPr>
          <w:rFonts w:ascii="Arial" w:hAnsi="Arial" w:cs="Arial"/>
        </w:rPr>
        <w:t>Ministra Gospodarki Morskiej i</w:t>
      </w:r>
      <w:r w:rsidR="008F1FF4">
        <w:rPr>
          <w:rFonts w:ascii="Arial" w:hAnsi="Arial" w:cs="Arial"/>
        </w:rPr>
        <w:t> </w:t>
      </w:r>
      <w:r w:rsidR="00880439" w:rsidRPr="00880439">
        <w:rPr>
          <w:rFonts w:ascii="Arial" w:hAnsi="Arial" w:cs="Arial"/>
        </w:rPr>
        <w:t xml:space="preserve">Żeglugi Śródlądowej </w:t>
      </w:r>
      <w:r w:rsidR="00007B31" w:rsidRPr="00880439">
        <w:rPr>
          <w:rFonts w:ascii="Arial" w:hAnsi="Arial" w:cs="Arial"/>
        </w:rPr>
        <w:t>z</w:t>
      </w:r>
      <w:r w:rsidR="00007B31">
        <w:rPr>
          <w:rFonts w:ascii="Arial" w:hAnsi="Arial" w:cs="Arial"/>
        </w:rPr>
        <w:t> </w:t>
      </w:r>
      <w:r w:rsidR="00880439" w:rsidRPr="00880439">
        <w:rPr>
          <w:rFonts w:ascii="Arial" w:hAnsi="Arial" w:cs="Arial"/>
        </w:rPr>
        <w:t>dnia 11 października 2019 r. w sprawie kryteriów i sposobu oceny stanu jednolitych części wód podziemnych (Dz. U. poz. 2148)</w:t>
      </w:r>
      <w:r w:rsidRPr="00925BCD">
        <w:rPr>
          <w:rFonts w:ascii="Arial" w:hAnsi="Arial" w:cs="Arial"/>
        </w:rPr>
        <w:t>, natomiast szczegółowe regulacje dotyczące oceny stanu wód powierzchniowych są zawarte  w rozporządzeniu Ministra Środowiska z dnia 2</w:t>
      </w:r>
      <w:r w:rsidR="00AC0A96">
        <w:rPr>
          <w:rFonts w:ascii="Arial" w:hAnsi="Arial" w:cs="Arial"/>
        </w:rPr>
        <w:t>5</w:t>
      </w:r>
      <w:r w:rsidR="008F1FF4">
        <w:rPr>
          <w:rFonts w:ascii="Arial" w:hAnsi="Arial" w:cs="Arial"/>
        </w:rPr>
        <w:t> </w:t>
      </w:r>
      <w:r w:rsidR="00AC0A96">
        <w:rPr>
          <w:rFonts w:ascii="Arial" w:hAnsi="Arial" w:cs="Arial"/>
        </w:rPr>
        <w:t>czerwca</w:t>
      </w:r>
      <w:r w:rsidRPr="00925BCD">
        <w:rPr>
          <w:rFonts w:ascii="Arial" w:hAnsi="Arial" w:cs="Arial"/>
        </w:rPr>
        <w:t xml:space="preserve"> 20</w:t>
      </w:r>
      <w:r w:rsidR="000F76EF">
        <w:rPr>
          <w:rFonts w:ascii="Arial" w:hAnsi="Arial" w:cs="Arial"/>
        </w:rPr>
        <w:t>21</w:t>
      </w:r>
      <w:r w:rsidRPr="00925BCD">
        <w:rPr>
          <w:rFonts w:ascii="Arial" w:hAnsi="Arial" w:cs="Arial"/>
        </w:rPr>
        <w:t xml:space="preserve"> r. w sprawie </w:t>
      </w:r>
      <w:r w:rsidR="00CB6422" w:rsidRPr="00CB6422">
        <w:rPr>
          <w:rFonts w:ascii="Arial" w:hAnsi="Arial" w:cs="Arial"/>
        </w:rPr>
        <w:t>klasyfikacji stanu ekologicznego, potencjału ekologicznego i stanu chemicznego oraz sposobu klasyfikacji stanu jednolitych części wód powierzchniowych, a także środowiskowych norm jakości dla substancji priorytetowych (Dz. U. poz. 1475).</w:t>
      </w:r>
    </w:p>
    <w:p w14:paraId="0EA67224"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Monitoring jakości wód jest prowadzony z uwzględnieniem wymagań określonych w dyrektywie 2000/60/WE Parlamentu Europejskiego i Rady 2000/60/WE z dnia 23 października 2000 r. ustanawiającej ramy wspólnotowego działania w dziedzinie polityki wodnej (Dz. Urz. WE L 327 z 22.12.2000, str. 1, z późn. zm. – Dz. Urz. UE Polskie wydanie specjalne rozdz. 15, t. 5, str. 275), tzw. Ramowej Dyrektywie Wodnej oraz w przypadku wód podziemnych – w dyrektywie 2006/118/WE Parlamentu Europejskiego i Rady z dnia 12 grudnia 2006 r. w sprawie ochrony wód podziemnych przed zanieczyszczeniem i pogorszeniem ich stanu (Dz. Urz. UE L 372 z 27.12.2006, str. 19).</w:t>
      </w:r>
    </w:p>
    <w:p w14:paraId="227577D7" w14:textId="4FFB9B35" w:rsidR="00056846" w:rsidRPr="00007B31" w:rsidRDefault="00E54725" w:rsidP="00114D52">
      <w:pPr>
        <w:tabs>
          <w:tab w:val="center" w:pos="4536"/>
          <w:tab w:val="right" w:pos="9072"/>
        </w:tabs>
        <w:spacing w:after="120" w:line="360" w:lineRule="auto"/>
        <w:ind w:firstLine="357"/>
        <w:jc w:val="both"/>
        <w:rPr>
          <w:rFonts w:ascii="Arial" w:hAnsi="Arial" w:cs="Arial"/>
          <w:sz w:val="20"/>
          <w:szCs w:val="20"/>
        </w:rPr>
      </w:pPr>
      <w:r w:rsidRPr="00007B31">
        <w:rPr>
          <w:rFonts w:ascii="Arial" w:hAnsi="Arial" w:cs="Arial"/>
          <w:sz w:val="20"/>
          <w:szCs w:val="20"/>
        </w:rPr>
        <w:t>Program monitoringu wód powierzchniowych i podziemnych jest realizowany w ramach:</w:t>
      </w:r>
    </w:p>
    <w:p w14:paraId="0F8345C1"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 xml:space="preserve">monitoringu diagnostycznego; </w:t>
      </w:r>
    </w:p>
    <w:p w14:paraId="3A17BE00"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 xml:space="preserve">monitoringu operacyjnego; </w:t>
      </w:r>
    </w:p>
    <w:p w14:paraId="3BE0EB61"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monitoringu badawczego;</w:t>
      </w:r>
    </w:p>
    <w:p w14:paraId="3EB2B8DD"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monitoringu obszarów chronionych, który ma charakter uzupełniający do monitoringu stanu jednolitych części wód powierzchniowych (monitoringu diagnostycznego, monitoringu operacyjnego)</w:t>
      </w:r>
    </w:p>
    <w:p w14:paraId="696ABAD8" w14:textId="0098B637" w:rsidR="00056846" w:rsidRPr="00925BCD" w:rsidRDefault="00E54725" w:rsidP="00114D52">
      <w:pPr>
        <w:pStyle w:val="Akapitzlist"/>
        <w:numPr>
          <w:ilvl w:val="0"/>
          <w:numId w:val="12"/>
        </w:numPr>
        <w:tabs>
          <w:tab w:val="center" w:pos="4536"/>
          <w:tab w:val="right" w:pos="9072"/>
        </w:tabs>
        <w:spacing w:after="120" w:line="360" w:lineRule="auto"/>
        <w:ind w:left="709" w:hanging="283"/>
        <w:jc w:val="both"/>
        <w:rPr>
          <w:rFonts w:ascii="Arial" w:hAnsi="Arial" w:cs="Arial"/>
          <w:sz w:val="20"/>
          <w:szCs w:val="20"/>
        </w:rPr>
      </w:pPr>
      <w:r w:rsidRPr="00925BCD">
        <w:rPr>
          <w:rFonts w:ascii="Arial" w:hAnsi="Arial" w:cs="Arial"/>
          <w:sz w:val="20"/>
          <w:szCs w:val="20"/>
        </w:rPr>
        <w:t xml:space="preserve">zgodnie z wymaganiami zawartymi w rozporządzeniu </w:t>
      </w:r>
      <w:r w:rsidR="00803AA8" w:rsidRPr="00803AA8">
        <w:rPr>
          <w:rFonts w:ascii="Arial" w:hAnsi="Arial" w:cs="Arial"/>
          <w:sz w:val="20"/>
          <w:szCs w:val="20"/>
        </w:rPr>
        <w:t>Ministra Infrastruktury z dnia 13 lipca 2021 r. w sprawie form i sposobu prowadzenia monitoringu jednolitych części wód powierzchniowych i jednolitych części wód podziemnych lub jego aktualizacji</w:t>
      </w:r>
      <w:r w:rsidRPr="00925BCD">
        <w:rPr>
          <w:rFonts w:ascii="Arial" w:hAnsi="Arial" w:cs="Arial"/>
          <w:sz w:val="20"/>
          <w:szCs w:val="20"/>
        </w:rPr>
        <w:t>.</w:t>
      </w:r>
    </w:p>
    <w:p w14:paraId="3E8ED207" w14:textId="77777777" w:rsidR="00056846" w:rsidRPr="00007B31" w:rsidRDefault="00E54725" w:rsidP="00114D52">
      <w:pPr>
        <w:tabs>
          <w:tab w:val="center" w:pos="4536"/>
          <w:tab w:val="right" w:pos="9072"/>
        </w:tabs>
        <w:spacing w:after="120" w:line="360" w:lineRule="auto"/>
        <w:ind w:firstLine="357"/>
        <w:jc w:val="both"/>
        <w:rPr>
          <w:rFonts w:ascii="Arial" w:hAnsi="Arial" w:cs="Arial"/>
          <w:sz w:val="20"/>
          <w:szCs w:val="20"/>
        </w:rPr>
      </w:pPr>
      <w:r w:rsidRPr="00007B31">
        <w:rPr>
          <w:rFonts w:ascii="Arial" w:hAnsi="Arial" w:cs="Arial"/>
          <w:sz w:val="20"/>
          <w:szCs w:val="20"/>
        </w:rPr>
        <w:t xml:space="preserve">W ramach poszczególnych rodzajów monitoringu wód powierzchniowych są prowadzone badania wskaźników biologicznych, fizykochemicznych i chemicznych wykonywane przez wojewódzkie inspektoraty ochrony środowiska oraz wskaźników </w:t>
      </w:r>
      <w:proofErr w:type="spellStart"/>
      <w:r w:rsidRPr="00007B31">
        <w:rPr>
          <w:rFonts w:ascii="Arial" w:hAnsi="Arial" w:cs="Arial"/>
          <w:sz w:val="20"/>
          <w:szCs w:val="20"/>
        </w:rPr>
        <w:t>hydromorfologicznych</w:t>
      </w:r>
      <w:proofErr w:type="spellEnd"/>
      <w:r w:rsidR="005909A6" w:rsidRPr="00007B31">
        <w:rPr>
          <w:rFonts w:ascii="Arial" w:hAnsi="Arial" w:cs="Arial"/>
          <w:sz w:val="20"/>
          <w:szCs w:val="20"/>
        </w:rPr>
        <w:t>,</w:t>
      </w:r>
      <w:r w:rsidRPr="00007B31">
        <w:rPr>
          <w:rFonts w:ascii="Arial" w:hAnsi="Arial" w:cs="Arial"/>
          <w:sz w:val="20"/>
          <w:szCs w:val="20"/>
        </w:rPr>
        <w:t xml:space="preserve"> prowadzone przez służbę hydrologiczno-meteorologiczną. W ramach monitoringu wód podziemnych jest określany stan chemiczny i ilościowy jednolitych części wód podziemnych.</w:t>
      </w:r>
    </w:p>
    <w:p w14:paraId="081C1D0E" w14:textId="77777777" w:rsidR="00056846" w:rsidRPr="00007B31" w:rsidRDefault="00E54725" w:rsidP="00114D52">
      <w:pPr>
        <w:tabs>
          <w:tab w:val="center" w:pos="4536"/>
          <w:tab w:val="right" w:pos="9072"/>
        </w:tabs>
        <w:spacing w:after="120" w:line="360" w:lineRule="auto"/>
        <w:ind w:firstLine="357"/>
        <w:jc w:val="both"/>
        <w:rPr>
          <w:rFonts w:ascii="Arial" w:hAnsi="Arial" w:cs="Arial"/>
          <w:sz w:val="20"/>
          <w:szCs w:val="20"/>
        </w:rPr>
      </w:pPr>
      <w:r w:rsidRPr="00007B31">
        <w:rPr>
          <w:rFonts w:ascii="Arial" w:hAnsi="Arial" w:cs="Arial"/>
          <w:sz w:val="20"/>
          <w:szCs w:val="20"/>
        </w:rPr>
        <w:t>Badania osadów dennych rzek i jezior są wykonywane w ramach monitoringu wód powierzchniowych. Bezpośredni nadzór nad realizacją programu badań sprawuje Główny Inspektor Ochrony Środowiska.</w:t>
      </w:r>
    </w:p>
    <w:p w14:paraId="399352A4" w14:textId="77777777" w:rsidR="00056846" w:rsidRPr="00007B31" w:rsidRDefault="00E54725" w:rsidP="00114D52">
      <w:pPr>
        <w:tabs>
          <w:tab w:val="center" w:pos="4536"/>
          <w:tab w:val="right" w:pos="9072"/>
        </w:tabs>
        <w:spacing w:after="120" w:line="360" w:lineRule="auto"/>
        <w:ind w:firstLine="360"/>
        <w:jc w:val="both"/>
        <w:rPr>
          <w:rFonts w:ascii="Arial" w:hAnsi="Arial" w:cs="Arial"/>
          <w:sz w:val="20"/>
          <w:szCs w:val="20"/>
        </w:rPr>
      </w:pPr>
      <w:r w:rsidRPr="00007B31">
        <w:rPr>
          <w:rFonts w:ascii="Arial" w:hAnsi="Arial" w:cs="Arial"/>
          <w:sz w:val="20"/>
          <w:szCs w:val="20"/>
        </w:rPr>
        <w:t xml:space="preserve">W ramach państwowego monitoringu środowiska są prowadzone badania substancji priorytetowych, wśród których są substancje lub grupy substancji, które występują bądź występowały w środkach ochrony roślin lub służą lub </w:t>
      </w:r>
      <w:r w:rsidRPr="00D261FC">
        <w:rPr>
          <w:rFonts w:ascii="Arial" w:hAnsi="Arial" w:cs="Arial"/>
          <w:sz w:val="20"/>
          <w:szCs w:val="20"/>
        </w:rPr>
        <w:t>służyły do ich produkcji.</w:t>
      </w:r>
      <w:r w:rsidRPr="00007B31">
        <w:rPr>
          <w:rFonts w:ascii="Arial" w:hAnsi="Arial" w:cs="Arial"/>
          <w:sz w:val="20"/>
          <w:szCs w:val="20"/>
        </w:rPr>
        <w:t xml:space="preserve"> </w:t>
      </w:r>
    </w:p>
    <w:p w14:paraId="63D62C07" w14:textId="77777777" w:rsidR="00056846" w:rsidRPr="00925BCD" w:rsidRDefault="00E54725">
      <w:pPr>
        <w:pStyle w:val="Nagwek3"/>
        <w:numPr>
          <w:ilvl w:val="0"/>
          <w:numId w:val="0"/>
        </w:numPr>
        <w:spacing w:after="120" w:line="360" w:lineRule="auto"/>
        <w:ind w:left="709"/>
        <w:rPr>
          <w:i w:val="0"/>
          <w:sz w:val="20"/>
          <w:szCs w:val="20"/>
        </w:rPr>
      </w:pPr>
      <w:bookmarkStart w:id="31" w:name="_Toc134099259"/>
      <w:r w:rsidRPr="00925BCD">
        <w:rPr>
          <w:i w:val="0"/>
          <w:sz w:val="20"/>
          <w:szCs w:val="20"/>
        </w:rPr>
        <w:t>Podzadanie 1. Wody powierzchniowe</w:t>
      </w:r>
      <w:bookmarkEnd w:id="31"/>
      <w:r w:rsidRPr="00925BCD">
        <w:rPr>
          <w:i w:val="0"/>
          <w:sz w:val="20"/>
          <w:szCs w:val="20"/>
        </w:rPr>
        <w:t xml:space="preserve"> </w:t>
      </w:r>
    </w:p>
    <w:p w14:paraId="2A63E934" w14:textId="4597AE6E"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monitoringu  diagnostycznego, operacyjnego, badawczego oraz monitoringu obszarów chronionych w jednolitych częściach wód rzek i jezior, wód przejściowych i przybrzeżnych, Inspekcja Ochrony Środowiska realizowała w </w:t>
      </w:r>
      <w:r w:rsidR="007222EB">
        <w:rPr>
          <w:rFonts w:ascii="Arial" w:hAnsi="Arial" w:cs="Arial"/>
        </w:rPr>
        <w:t xml:space="preserve">latach </w:t>
      </w:r>
      <w:r w:rsidRPr="00925BCD">
        <w:rPr>
          <w:rFonts w:ascii="Arial" w:hAnsi="Arial" w:cs="Arial"/>
        </w:rPr>
        <w:t xml:space="preserve">2018 </w:t>
      </w:r>
      <w:r w:rsidR="00802F14" w:rsidRPr="00925BCD">
        <w:rPr>
          <w:rFonts w:ascii="Arial" w:hAnsi="Arial" w:cs="Arial"/>
        </w:rPr>
        <w:t>–</w:t>
      </w:r>
      <w:r w:rsidR="00802F14">
        <w:rPr>
          <w:rFonts w:ascii="Arial" w:hAnsi="Arial" w:cs="Arial"/>
        </w:rPr>
        <w:t xml:space="preserve"> 202</w:t>
      </w:r>
      <w:r w:rsidR="00AA6CDB">
        <w:rPr>
          <w:rFonts w:ascii="Arial" w:hAnsi="Arial" w:cs="Arial"/>
        </w:rPr>
        <w:t>1</w:t>
      </w:r>
      <w:r w:rsidR="005D2453" w:rsidRPr="00925BCD">
        <w:rPr>
          <w:rFonts w:ascii="Arial" w:hAnsi="Arial" w:cs="Arial"/>
        </w:rPr>
        <w:t xml:space="preserve"> </w:t>
      </w:r>
      <w:r w:rsidRPr="00925BCD">
        <w:rPr>
          <w:rFonts w:ascii="Arial" w:hAnsi="Arial" w:cs="Arial"/>
        </w:rPr>
        <w:t xml:space="preserve">badania określone w programach państwowego monitoringu środowiska. </w:t>
      </w:r>
    </w:p>
    <w:p w14:paraId="55F62F81"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Spośród substancji zaliczanych do środków ochrony roślin lub ich półproduktów (zwanych dalej „pestycydami”), państwowy monitoring środowiska w 2018 r. i 2019 r. obejmował w wodach rzek i jezior:</w:t>
      </w:r>
    </w:p>
    <w:p w14:paraId="608949DE"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4"/>
        <w:jc w:val="both"/>
        <w:rPr>
          <w:rFonts w:ascii="Arial" w:hAnsi="Arial" w:cs="Arial"/>
        </w:rPr>
      </w:pPr>
      <w:r w:rsidRPr="00925BCD">
        <w:rPr>
          <w:rFonts w:ascii="Arial" w:hAnsi="Arial" w:cs="Arial"/>
        </w:rPr>
        <w:t xml:space="preserve">pestycydy </w:t>
      </w:r>
      <w:proofErr w:type="spellStart"/>
      <w:r w:rsidRPr="00925BCD">
        <w:rPr>
          <w:rFonts w:ascii="Arial" w:hAnsi="Arial" w:cs="Arial"/>
        </w:rPr>
        <w:t>chlorowcoorganiczne</w:t>
      </w:r>
      <w:proofErr w:type="spellEnd"/>
      <w:r w:rsidRPr="00925BCD">
        <w:rPr>
          <w:rFonts w:ascii="Arial" w:hAnsi="Arial" w:cs="Arial"/>
        </w:rPr>
        <w:t xml:space="preserve">: pestycydy </w:t>
      </w:r>
      <w:proofErr w:type="spellStart"/>
      <w:r w:rsidRPr="00925BCD">
        <w:rPr>
          <w:rFonts w:ascii="Arial" w:hAnsi="Arial" w:cs="Arial"/>
        </w:rPr>
        <w:t>cyklodienowe</w:t>
      </w:r>
      <w:proofErr w:type="spellEnd"/>
      <w:r w:rsidRPr="00925BCD">
        <w:rPr>
          <w:rFonts w:ascii="Arial" w:hAnsi="Arial" w:cs="Arial"/>
        </w:rPr>
        <w:t xml:space="preserve"> (</w:t>
      </w:r>
      <w:proofErr w:type="spellStart"/>
      <w:r w:rsidRPr="00925BCD">
        <w:rPr>
          <w:rFonts w:ascii="Arial" w:hAnsi="Arial" w:cs="Arial"/>
        </w:rPr>
        <w:t>aldrynę</w:t>
      </w:r>
      <w:proofErr w:type="spellEnd"/>
      <w:r w:rsidRPr="00925BCD">
        <w:rPr>
          <w:rFonts w:ascii="Arial" w:hAnsi="Arial" w:cs="Arial"/>
        </w:rPr>
        <w:t xml:space="preserve">, dieldrynę, </w:t>
      </w:r>
      <w:proofErr w:type="spellStart"/>
      <w:r w:rsidRPr="00925BCD">
        <w:rPr>
          <w:rFonts w:ascii="Arial" w:hAnsi="Arial" w:cs="Arial"/>
        </w:rPr>
        <w:t>endrynę</w:t>
      </w:r>
      <w:proofErr w:type="spellEnd"/>
      <w:r w:rsidRPr="00925BCD">
        <w:rPr>
          <w:rFonts w:ascii="Arial" w:hAnsi="Arial" w:cs="Arial"/>
        </w:rPr>
        <w:t xml:space="preserve">, </w:t>
      </w:r>
      <w:proofErr w:type="spellStart"/>
      <w:r w:rsidRPr="00925BCD">
        <w:rPr>
          <w:rFonts w:ascii="Arial" w:hAnsi="Arial" w:cs="Arial"/>
        </w:rPr>
        <w:t>izodrynę</w:t>
      </w:r>
      <w:proofErr w:type="spellEnd"/>
      <w:r w:rsidRPr="00925BCD">
        <w:rPr>
          <w:rFonts w:ascii="Arial" w:hAnsi="Arial" w:cs="Arial"/>
        </w:rPr>
        <w:t xml:space="preserve">), DDT całkowity, </w:t>
      </w:r>
      <w:proofErr w:type="spellStart"/>
      <w:r w:rsidRPr="00925BCD">
        <w:rPr>
          <w:rFonts w:ascii="Arial" w:hAnsi="Arial" w:cs="Arial"/>
        </w:rPr>
        <w:t>p,p</w:t>
      </w:r>
      <w:proofErr w:type="spellEnd"/>
      <w:r w:rsidRPr="00925BCD">
        <w:rPr>
          <w:rFonts w:ascii="Arial" w:hAnsi="Arial" w:cs="Arial"/>
        </w:rPr>
        <w:t xml:space="preserve">'-DDT, HCH całkowity, </w:t>
      </w:r>
      <w:proofErr w:type="spellStart"/>
      <w:r w:rsidRPr="00925BCD">
        <w:rPr>
          <w:rFonts w:ascii="Arial" w:hAnsi="Arial" w:cs="Arial"/>
        </w:rPr>
        <w:t>alachlor</w:t>
      </w:r>
      <w:proofErr w:type="spellEnd"/>
      <w:r w:rsidRPr="00925BCD">
        <w:rPr>
          <w:rFonts w:ascii="Arial" w:hAnsi="Arial" w:cs="Arial"/>
        </w:rPr>
        <w:t xml:space="preserve">, </w:t>
      </w:r>
      <w:proofErr w:type="spellStart"/>
      <w:r w:rsidRPr="00925BCD">
        <w:rPr>
          <w:rFonts w:ascii="Arial" w:hAnsi="Arial" w:cs="Arial"/>
        </w:rPr>
        <w:t>dikofol</w:t>
      </w:r>
      <w:proofErr w:type="spellEnd"/>
      <w:r w:rsidRPr="00925BCD">
        <w:rPr>
          <w:rFonts w:ascii="Arial" w:hAnsi="Arial" w:cs="Arial"/>
        </w:rPr>
        <w:t xml:space="preserve">, </w:t>
      </w:r>
      <w:proofErr w:type="spellStart"/>
      <w:r w:rsidRPr="00925BCD">
        <w:rPr>
          <w:rFonts w:ascii="Arial" w:hAnsi="Arial" w:cs="Arial"/>
        </w:rPr>
        <w:t>endosulfan</w:t>
      </w:r>
      <w:proofErr w:type="spellEnd"/>
      <w:r w:rsidRPr="00925BCD">
        <w:rPr>
          <w:rFonts w:ascii="Arial" w:hAnsi="Arial" w:cs="Arial"/>
        </w:rPr>
        <w:t xml:space="preserve"> całkowity, </w:t>
      </w:r>
      <w:proofErr w:type="spellStart"/>
      <w:r w:rsidRPr="00925BCD">
        <w:rPr>
          <w:rFonts w:ascii="Arial" w:hAnsi="Arial" w:cs="Arial"/>
        </w:rPr>
        <w:t>heptachlor</w:t>
      </w:r>
      <w:proofErr w:type="spellEnd"/>
      <w:r w:rsidRPr="00925BCD">
        <w:rPr>
          <w:rFonts w:ascii="Arial" w:hAnsi="Arial" w:cs="Arial"/>
        </w:rPr>
        <w:t xml:space="preserve"> i epoksyd </w:t>
      </w:r>
      <w:proofErr w:type="spellStart"/>
      <w:r w:rsidRPr="00925BCD">
        <w:rPr>
          <w:rFonts w:ascii="Arial" w:hAnsi="Arial" w:cs="Arial"/>
        </w:rPr>
        <w:t>heptachloru</w:t>
      </w:r>
      <w:proofErr w:type="spellEnd"/>
      <w:r w:rsidRPr="00925BCD">
        <w:rPr>
          <w:rFonts w:ascii="Arial" w:hAnsi="Arial" w:cs="Arial"/>
        </w:rPr>
        <w:t xml:space="preserve">, </w:t>
      </w:r>
      <w:proofErr w:type="spellStart"/>
      <w:r w:rsidRPr="00925BCD">
        <w:rPr>
          <w:rFonts w:ascii="Arial" w:hAnsi="Arial" w:cs="Arial"/>
        </w:rPr>
        <w:t>heksachlorobenzen</w:t>
      </w:r>
      <w:proofErr w:type="spellEnd"/>
      <w:r w:rsidRPr="00925BCD">
        <w:rPr>
          <w:rFonts w:ascii="Arial" w:hAnsi="Arial" w:cs="Arial"/>
        </w:rPr>
        <w:t xml:space="preserve">, </w:t>
      </w:r>
      <w:proofErr w:type="spellStart"/>
      <w:r w:rsidRPr="00925BCD">
        <w:rPr>
          <w:rFonts w:ascii="Arial" w:hAnsi="Arial" w:cs="Arial"/>
        </w:rPr>
        <w:t>pentachlorofenol</w:t>
      </w:r>
      <w:proofErr w:type="spellEnd"/>
      <w:r w:rsidRPr="00925BCD">
        <w:rPr>
          <w:rFonts w:ascii="Arial" w:hAnsi="Arial" w:cs="Arial"/>
        </w:rPr>
        <w:t>;</w:t>
      </w:r>
    </w:p>
    <w:p w14:paraId="0DE3B9F8"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3"/>
        <w:jc w:val="both"/>
        <w:rPr>
          <w:rFonts w:ascii="Arial" w:hAnsi="Arial" w:cs="Arial"/>
        </w:rPr>
      </w:pPr>
      <w:r w:rsidRPr="00925BCD">
        <w:rPr>
          <w:rFonts w:ascii="Arial" w:hAnsi="Arial" w:cs="Arial"/>
        </w:rPr>
        <w:t xml:space="preserve">pestycydy fosforoorganiczne: </w:t>
      </w:r>
      <w:proofErr w:type="spellStart"/>
      <w:r w:rsidRPr="00925BCD">
        <w:rPr>
          <w:rFonts w:ascii="Arial" w:hAnsi="Arial" w:cs="Arial"/>
        </w:rPr>
        <w:t>chlorfenwinfos</w:t>
      </w:r>
      <w:proofErr w:type="spellEnd"/>
      <w:r w:rsidRPr="00925BCD">
        <w:rPr>
          <w:rFonts w:ascii="Arial" w:hAnsi="Arial" w:cs="Arial"/>
        </w:rPr>
        <w:t xml:space="preserve">, </w:t>
      </w:r>
      <w:proofErr w:type="spellStart"/>
      <w:r w:rsidRPr="00925BCD">
        <w:rPr>
          <w:rFonts w:ascii="Arial" w:hAnsi="Arial" w:cs="Arial"/>
        </w:rPr>
        <w:t>chloropyrifos</w:t>
      </w:r>
      <w:proofErr w:type="spellEnd"/>
      <w:r w:rsidRPr="00925BCD">
        <w:rPr>
          <w:rFonts w:ascii="Arial" w:hAnsi="Arial" w:cs="Arial"/>
        </w:rPr>
        <w:t xml:space="preserve">, </w:t>
      </w:r>
      <w:proofErr w:type="spellStart"/>
      <w:r w:rsidRPr="00925BCD">
        <w:rPr>
          <w:rFonts w:ascii="Arial" w:hAnsi="Arial" w:cs="Arial"/>
        </w:rPr>
        <w:t>dichlorfos</w:t>
      </w:r>
      <w:proofErr w:type="spellEnd"/>
      <w:r w:rsidRPr="00925BCD">
        <w:rPr>
          <w:rFonts w:ascii="Arial" w:hAnsi="Arial" w:cs="Arial"/>
        </w:rPr>
        <w:t>;</w:t>
      </w:r>
    </w:p>
    <w:p w14:paraId="74621D48"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3"/>
        <w:jc w:val="both"/>
        <w:rPr>
          <w:rFonts w:ascii="Arial" w:hAnsi="Arial" w:cs="Arial"/>
        </w:rPr>
      </w:pPr>
      <w:r w:rsidRPr="00925BCD">
        <w:rPr>
          <w:rFonts w:ascii="Arial" w:hAnsi="Arial" w:cs="Arial"/>
        </w:rPr>
        <w:t xml:space="preserve">pestycydy </w:t>
      </w:r>
      <w:proofErr w:type="spellStart"/>
      <w:r w:rsidRPr="00925BCD">
        <w:rPr>
          <w:rFonts w:ascii="Arial" w:hAnsi="Arial" w:cs="Arial"/>
        </w:rPr>
        <w:t>triazynowe</w:t>
      </w:r>
      <w:proofErr w:type="spellEnd"/>
      <w:r w:rsidRPr="00925BCD">
        <w:rPr>
          <w:rFonts w:ascii="Arial" w:hAnsi="Arial" w:cs="Arial"/>
        </w:rPr>
        <w:t xml:space="preserve">: </w:t>
      </w:r>
      <w:proofErr w:type="spellStart"/>
      <w:r w:rsidRPr="00925BCD">
        <w:rPr>
          <w:rFonts w:ascii="Arial" w:hAnsi="Arial" w:cs="Arial"/>
        </w:rPr>
        <w:t>atrazynę</w:t>
      </w:r>
      <w:proofErr w:type="spellEnd"/>
      <w:r w:rsidRPr="00925BCD">
        <w:rPr>
          <w:rFonts w:ascii="Arial" w:hAnsi="Arial" w:cs="Arial"/>
        </w:rPr>
        <w:t xml:space="preserve">, </w:t>
      </w:r>
      <w:proofErr w:type="spellStart"/>
      <w:r w:rsidRPr="00925BCD">
        <w:rPr>
          <w:rFonts w:ascii="Arial" w:hAnsi="Arial" w:cs="Arial"/>
        </w:rPr>
        <w:t>cybutrynę</w:t>
      </w:r>
      <w:proofErr w:type="spellEnd"/>
      <w:r w:rsidRPr="00925BCD">
        <w:rPr>
          <w:rFonts w:ascii="Arial" w:hAnsi="Arial" w:cs="Arial"/>
        </w:rPr>
        <w:t xml:space="preserve">, </w:t>
      </w:r>
      <w:proofErr w:type="spellStart"/>
      <w:r w:rsidRPr="00925BCD">
        <w:rPr>
          <w:rFonts w:ascii="Arial" w:hAnsi="Arial" w:cs="Arial"/>
        </w:rPr>
        <w:t>symazynę</w:t>
      </w:r>
      <w:proofErr w:type="spellEnd"/>
      <w:r w:rsidRPr="00925BCD">
        <w:rPr>
          <w:rFonts w:ascii="Arial" w:hAnsi="Arial" w:cs="Arial"/>
        </w:rPr>
        <w:t xml:space="preserve">, </w:t>
      </w:r>
      <w:proofErr w:type="spellStart"/>
      <w:r w:rsidRPr="00925BCD">
        <w:rPr>
          <w:rFonts w:ascii="Arial" w:hAnsi="Arial" w:cs="Arial"/>
        </w:rPr>
        <w:t>terbutrynę</w:t>
      </w:r>
      <w:proofErr w:type="spellEnd"/>
      <w:r w:rsidRPr="00925BCD">
        <w:rPr>
          <w:rFonts w:ascii="Arial" w:hAnsi="Arial" w:cs="Arial"/>
        </w:rPr>
        <w:t>;</w:t>
      </w:r>
    </w:p>
    <w:p w14:paraId="730A4A37"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4"/>
        <w:jc w:val="both"/>
        <w:rPr>
          <w:rFonts w:ascii="Arial" w:hAnsi="Arial" w:cs="Arial"/>
        </w:rPr>
      </w:pPr>
      <w:r w:rsidRPr="00925BCD">
        <w:rPr>
          <w:rFonts w:ascii="Arial" w:hAnsi="Arial" w:cs="Arial"/>
        </w:rPr>
        <w:t xml:space="preserve">inne pestycydy: </w:t>
      </w:r>
      <w:proofErr w:type="spellStart"/>
      <w:r w:rsidRPr="00925BCD">
        <w:rPr>
          <w:rFonts w:ascii="Arial" w:hAnsi="Arial" w:cs="Arial"/>
        </w:rPr>
        <w:t>aklonifen</w:t>
      </w:r>
      <w:proofErr w:type="spellEnd"/>
      <w:r w:rsidRPr="00925BCD">
        <w:rPr>
          <w:rFonts w:ascii="Arial" w:hAnsi="Arial" w:cs="Arial"/>
        </w:rPr>
        <w:t xml:space="preserve">, </w:t>
      </w:r>
      <w:proofErr w:type="spellStart"/>
      <w:r w:rsidRPr="00925BCD">
        <w:rPr>
          <w:rFonts w:ascii="Arial" w:hAnsi="Arial" w:cs="Arial"/>
        </w:rPr>
        <w:t>bifenoks</w:t>
      </w:r>
      <w:proofErr w:type="spellEnd"/>
      <w:r w:rsidRPr="00925BCD">
        <w:rPr>
          <w:rFonts w:ascii="Arial" w:hAnsi="Arial" w:cs="Arial"/>
        </w:rPr>
        <w:t xml:space="preserve">, </w:t>
      </w:r>
      <w:proofErr w:type="spellStart"/>
      <w:r w:rsidRPr="00925BCD">
        <w:rPr>
          <w:rFonts w:ascii="Arial" w:hAnsi="Arial" w:cs="Arial"/>
        </w:rPr>
        <w:t>chinoksyfen</w:t>
      </w:r>
      <w:proofErr w:type="spellEnd"/>
      <w:r w:rsidRPr="00925BCD">
        <w:rPr>
          <w:rFonts w:ascii="Arial" w:hAnsi="Arial" w:cs="Arial"/>
        </w:rPr>
        <w:t xml:space="preserve">, </w:t>
      </w:r>
      <w:proofErr w:type="spellStart"/>
      <w:r w:rsidRPr="00925BCD">
        <w:rPr>
          <w:rFonts w:ascii="Arial" w:hAnsi="Arial" w:cs="Arial"/>
        </w:rPr>
        <w:t>cypermetrynę</w:t>
      </w:r>
      <w:proofErr w:type="spellEnd"/>
      <w:r w:rsidRPr="00925BCD">
        <w:rPr>
          <w:rFonts w:ascii="Arial" w:hAnsi="Arial" w:cs="Arial"/>
        </w:rPr>
        <w:t xml:space="preserve">, </w:t>
      </w:r>
      <w:proofErr w:type="spellStart"/>
      <w:r w:rsidRPr="00925BCD">
        <w:rPr>
          <w:rFonts w:ascii="Arial" w:hAnsi="Arial" w:cs="Arial"/>
        </w:rPr>
        <w:t>diuron</w:t>
      </w:r>
      <w:proofErr w:type="spellEnd"/>
      <w:r w:rsidRPr="00925BCD">
        <w:rPr>
          <w:rFonts w:ascii="Arial" w:hAnsi="Arial" w:cs="Arial"/>
        </w:rPr>
        <w:t xml:space="preserve">, </w:t>
      </w:r>
      <w:proofErr w:type="spellStart"/>
      <w:r w:rsidRPr="00925BCD">
        <w:rPr>
          <w:rFonts w:ascii="Arial" w:hAnsi="Arial" w:cs="Arial"/>
        </w:rPr>
        <w:t>izoproturon</w:t>
      </w:r>
      <w:proofErr w:type="spellEnd"/>
      <w:r w:rsidRPr="00925BCD">
        <w:rPr>
          <w:rFonts w:ascii="Arial" w:hAnsi="Arial" w:cs="Arial"/>
        </w:rPr>
        <w:t xml:space="preserve">, </w:t>
      </w:r>
      <w:proofErr w:type="spellStart"/>
      <w:r w:rsidRPr="00925BCD">
        <w:rPr>
          <w:rFonts w:ascii="Arial" w:hAnsi="Arial" w:cs="Arial"/>
        </w:rPr>
        <w:t>trifluralinę</w:t>
      </w:r>
      <w:proofErr w:type="spellEnd"/>
      <w:r w:rsidRPr="00925BCD">
        <w:rPr>
          <w:rFonts w:ascii="Arial" w:hAnsi="Arial" w:cs="Arial"/>
        </w:rPr>
        <w:t xml:space="preserve">, związki </w:t>
      </w:r>
      <w:proofErr w:type="spellStart"/>
      <w:r w:rsidRPr="00925BCD">
        <w:rPr>
          <w:rFonts w:ascii="Arial" w:hAnsi="Arial" w:cs="Arial"/>
        </w:rPr>
        <w:t>tributylocyny</w:t>
      </w:r>
      <w:proofErr w:type="spellEnd"/>
      <w:r w:rsidRPr="00925BCD">
        <w:rPr>
          <w:rFonts w:ascii="Arial" w:hAnsi="Arial" w:cs="Arial"/>
        </w:rPr>
        <w:t>.</w:t>
      </w:r>
    </w:p>
    <w:p w14:paraId="6CCE11F2"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lastRenderedPageBreak/>
        <w:t>Monitoring wód rzecznych</w:t>
      </w:r>
      <w:r w:rsidRPr="00925BCD">
        <w:rPr>
          <w:rFonts w:ascii="Arial" w:hAnsi="Arial" w:cs="Arial"/>
        </w:rPr>
        <w:t xml:space="preserve"> (w tym zbiorników zaporowych) </w:t>
      </w:r>
      <w:r w:rsidRPr="00925BCD">
        <w:rPr>
          <w:rFonts w:ascii="Arial" w:hAnsi="Arial" w:cs="Arial"/>
          <w:b/>
          <w:bCs/>
        </w:rPr>
        <w:t>w 2018 r.</w:t>
      </w:r>
      <w:r w:rsidRPr="00925BCD">
        <w:rPr>
          <w:rFonts w:ascii="Arial" w:hAnsi="Arial" w:cs="Arial"/>
        </w:rPr>
        <w:t xml:space="preserve"> był prowadzony w 1 844 punktach pomiarowo-kontrolnych położonych na 1 773 jednolitych częściach wód powierzchniowych rzecznych. Spośród badanych pestycydów, w stężeniach powyżej granicy oznaczalności odnotowano następujące substancje: </w:t>
      </w:r>
      <w:proofErr w:type="spellStart"/>
      <w:r w:rsidRPr="00925BCD">
        <w:rPr>
          <w:rFonts w:ascii="Arial" w:hAnsi="Arial" w:cs="Arial"/>
        </w:rPr>
        <w:t>alachlor</w:t>
      </w:r>
      <w:proofErr w:type="spellEnd"/>
      <w:r w:rsidRPr="00925BCD">
        <w:rPr>
          <w:rFonts w:ascii="Arial" w:hAnsi="Arial" w:cs="Arial"/>
        </w:rPr>
        <w:t xml:space="preserve"> (0,002-0,05 µg/l; m. in. Bzura, Świder, Wilga), </w:t>
      </w:r>
      <w:proofErr w:type="spellStart"/>
      <w:r w:rsidRPr="00925BCD">
        <w:rPr>
          <w:rFonts w:ascii="Arial" w:hAnsi="Arial" w:cs="Arial"/>
        </w:rPr>
        <w:t>diuron</w:t>
      </w:r>
      <w:proofErr w:type="spellEnd"/>
      <w:r w:rsidRPr="00925BCD">
        <w:rPr>
          <w:rFonts w:ascii="Arial" w:hAnsi="Arial" w:cs="Arial"/>
        </w:rPr>
        <w:t xml:space="preserve"> (0,005-0,47 µg/l), HCH całkowity (0,008-108,4 µg/l; m. in. Wisła, Bzura, Nysa Kłodzka – Zbiornik Nysa, Przemsza), </w:t>
      </w:r>
      <w:proofErr w:type="spellStart"/>
      <w:r w:rsidRPr="00925BCD">
        <w:rPr>
          <w:rFonts w:ascii="Arial" w:hAnsi="Arial" w:cs="Arial"/>
        </w:rPr>
        <w:t>izoproturon</w:t>
      </w:r>
      <w:proofErr w:type="spellEnd"/>
      <w:r w:rsidRPr="00925BCD">
        <w:rPr>
          <w:rFonts w:ascii="Arial" w:hAnsi="Arial" w:cs="Arial"/>
        </w:rPr>
        <w:t xml:space="preserve"> (0,052-1,1 µg/l; najwyższa zawartość – Skawinka od </w:t>
      </w:r>
      <w:proofErr w:type="spellStart"/>
      <w:r w:rsidRPr="00925BCD">
        <w:rPr>
          <w:rFonts w:ascii="Arial" w:hAnsi="Arial" w:cs="Arial"/>
        </w:rPr>
        <w:t>Głogoczówki</w:t>
      </w:r>
      <w:proofErr w:type="spellEnd"/>
      <w:r w:rsidRPr="00925BCD">
        <w:rPr>
          <w:rFonts w:ascii="Arial" w:hAnsi="Arial" w:cs="Arial"/>
        </w:rPr>
        <w:t xml:space="preserve">  do ujścia), </w:t>
      </w:r>
      <w:proofErr w:type="spellStart"/>
      <w:r w:rsidRPr="00925BCD">
        <w:rPr>
          <w:rFonts w:ascii="Arial" w:hAnsi="Arial" w:cs="Arial"/>
        </w:rPr>
        <w:t>symazynę</w:t>
      </w:r>
      <w:proofErr w:type="spellEnd"/>
      <w:r w:rsidRPr="00925BCD">
        <w:rPr>
          <w:rFonts w:ascii="Arial" w:hAnsi="Arial" w:cs="Arial"/>
        </w:rPr>
        <w:t xml:space="preserve"> (0,001-1,7 µg/l; m. in. Wisła, Bug, San, Bzura, Nysa Kłodzka), </w:t>
      </w:r>
      <w:proofErr w:type="spellStart"/>
      <w:r w:rsidRPr="00925BCD">
        <w:rPr>
          <w:rFonts w:ascii="Arial" w:hAnsi="Arial" w:cs="Arial"/>
        </w:rPr>
        <w:t>atrazynę</w:t>
      </w:r>
      <w:proofErr w:type="spellEnd"/>
      <w:r w:rsidRPr="00925BCD">
        <w:rPr>
          <w:rFonts w:ascii="Arial" w:hAnsi="Arial" w:cs="Arial"/>
        </w:rPr>
        <w:t xml:space="preserve"> (0,001-1 µg/l; m. in. Wisła, Bug; największa zawartość – Wisła od Sanu do Sanny), związki </w:t>
      </w:r>
      <w:proofErr w:type="spellStart"/>
      <w:r w:rsidRPr="00925BCD">
        <w:rPr>
          <w:rFonts w:ascii="Arial" w:hAnsi="Arial" w:cs="Arial"/>
        </w:rPr>
        <w:t>tributylocyny</w:t>
      </w:r>
      <w:proofErr w:type="spellEnd"/>
      <w:r w:rsidRPr="00925BCD">
        <w:rPr>
          <w:rFonts w:ascii="Arial" w:hAnsi="Arial" w:cs="Arial"/>
        </w:rPr>
        <w:t xml:space="preserve"> (0,00008-2,13 µg/l; największa zawartość – Narew powyżej Zalewu Zegrzyńskiego), </w:t>
      </w:r>
      <w:proofErr w:type="spellStart"/>
      <w:r w:rsidRPr="00925BCD">
        <w:rPr>
          <w:rFonts w:ascii="Arial" w:hAnsi="Arial" w:cs="Arial"/>
        </w:rPr>
        <w:t>trifluralinę</w:t>
      </w:r>
      <w:proofErr w:type="spellEnd"/>
      <w:r w:rsidRPr="00925BCD">
        <w:rPr>
          <w:rFonts w:ascii="Arial" w:hAnsi="Arial" w:cs="Arial"/>
        </w:rPr>
        <w:t xml:space="preserve"> (0,0052-0,011 µg/l), DDT całkowity (0,001-0,0574 µg/l; m. in. Bzura, Przemsza), </w:t>
      </w:r>
      <w:proofErr w:type="spellStart"/>
      <w:r w:rsidRPr="00925BCD">
        <w:rPr>
          <w:rFonts w:ascii="Arial" w:hAnsi="Arial" w:cs="Arial"/>
        </w:rPr>
        <w:t>p,p</w:t>
      </w:r>
      <w:proofErr w:type="spellEnd"/>
      <w:r w:rsidRPr="00925BCD">
        <w:rPr>
          <w:rFonts w:ascii="Arial" w:hAnsi="Arial" w:cs="Arial"/>
        </w:rPr>
        <w:t xml:space="preserve">'-DDT  (0,002-0,0555 µg/l; m. in. Bzura, Przemsza, Nysa Łużycka), </w:t>
      </w:r>
      <w:proofErr w:type="spellStart"/>
      <w:r w:rsidRPr="00925BCD">
        <w:rPr>
          <w:rFonts w:ascii="Arial" w:hAnsi="Arial" w:cs="Arial"/>
        </w:rPr>
        <w:t>endosulfan</w:t>
      </w:r>
      <w:proofErr w:type="spellEnd"/>
      <w:r w:rsidRPr="00925BCD">
        <w:rPr>
          <w:rFonts w:ascii="Arial" w:hAnsi="Arial" w:cs="Arial"/>
        </w:rPr>
        <w:t xml:space="preserve"> całkowity (0,001-0,0071 µg/l), </w:t>
      </w:r>
      <w:proofErr w:type="spellStart"/>
      <w:r w:rsidRPr="00925BCD">
        <w:rPr>
          <w:rFonts w:ascii="Arial" w:hAnsi="Arial" w:cs="Arial"/>
        </w:rPr>
        <w:t>pentachlorofenol</w:t>
      </w:r>
      <w:proofErr w:type="spellEnd"/>
      <w:r w:rsidRPr="00925BCD">
        <w:rPr>
          <w:rFonts w:ascii="Arial" w:hAnsi="Arial" w:cs="Arial"/>
        </w:rPr>
        <w:t xml:space="preserve"> (0,01-0,11 µg/l), pestycydy </w:t>
      </w:r>
      <w:proofErr w:type="spellStart"/>
      <w:r w:rsidRPr="00925BCD">
        <w:rPr>
          <w:rFonts w:ascii="Arial" w:hAnsi="Arial" w:cs="Arial"/>
        </w:rPr>
        <w:t>cyklodienowe</w:t>
      </w:r>
      <w:proofErr w:type="spellEnd"/>
      <w:r w:rsidRPr="00925BCD">
        <w:rPr>
          <w:rFonts w:ascii="Arial" w:hAnsi="Arial" w:cs="Arial"/>
        </w:rPr>
        <w:t xml:space="preserve"> (0,00075-0,0016 µg/l; m.in. Przemsza), </w:t>
      </w:r>
      <w:proofErr w:type="spellStart"/>
      <w:r w:rsidRPr="00925BCD">
        <w:rPr>
          <w:rFonts w:ascii="Arial" w:hAnsi="Arial" w:cs="Arial"/>
        </w:rPr>
        <w:t>heptachlor</w:t>
      </w:r>
      <w:proofErr w:type="spellEnd"/>
      <w:r w:rsidRPr="00925BCD">
        <w:rPr>
          <w:rFonts w:ascii="Arial" w:hAnsi="Arial" w:cs="Arial"/>
        </w:rPr>
        <w:t xml:space="preserve"> i jego epoksyd (0,0000002-0,000000403 µg/l), </w:t>
      </w:r>
      <w:proofErr w:type="spellStart"/>
      <w:r w:rsidRPr="00925BCD">
        <w:rPr>
          <w:rFonts w:ascii="Arial" w:hAnsi="Arial" w:cs="Arial"/>
        </w:rPr>
        <w:t>chlorfenwinfos</w:t>
      </w:r>
      <w:proofErr w:type="spellEnd"/>
      <w:r w:rsidRPr="00925BCD">
        <w:rPr>
          <w:rFonts w:ascii="Arial" w:hAnsi="Arial" w:cs="Arial"/>
        </w:rPr>
        <w:t xml:space="preserve"> (0,001-9,45 µg/l) i </w:t>
      </w:r>
      <w:proofErr w:type="spellStart"/>
      <w:r w:rsidRPr="00925BCD">
        <w:rPr>
          <w:rFonts w:ascii="Arial" w:hAnsi="Arial" w:cs="Arial"/>
        </w:rPr>
        <w:t>chloropyrifos</w:t>
      </w:r>
      <w:proofErr w:type="spellEnd"/>
      <w:r w:rsidRPr="00925BCD">
        <w:rPr>
          <w:rFonts w:ascii="Arial" w:hAnsi="Arial" w:cs="Arial"/>
        </w:rPr>
        <w:t xml:space="preserve"> (0,001-0,222 µg/l; m. in. Wisła, Bug, Nysa Kłodzka – Zbiornik Nysa). Na ogół stężenia te nie przekraczały wartości środowiskowych norm jakości dla dobrego stanu chemicznego jednolitych części wód powierzchniowych wg rozporządzenia Ministra Środowiska z dnia 21 lipca 2016 r. w sprawie sposobu klasyfikacji stanu jednolitych części wód powierzchniowych oraz środowiskowych norm jakości dla substancji priorytetowych. Sporadyczne przekroczenia dotyczyły głównie DDT, HCH i </w:t>
      </w:r>
      <w:proofErr w:type="spellStart"/>
      <w:r w:rsidRPr="00925BCD">
        <w:rPr>
          <w:rFonts w:ascii="Arial" w:hAnsi="Arial" w:cs="Arial"/>
        </w:rPr>
        <w:t>chlorfenwinfosu</w:t>
      </w:r>
      <w:proofErr w:type="spellEnd"/>
      <w:r w:rsidRPr="00925BCD">
        <w:rPr>
          <w:rFonts w:ascii="Arial" w:hAnsi="Arial" w:cs="Arial"/>
        </w:rPr>
        <w:t>.</w:t>
      </w:r>
    </w:p>
    <w:p w14:paraId="38935565"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Dodatkowo, w listopadzie 2018 r. rozpoczęto w 20 punktach pomiarowo-kontrolnych rzecznych monitoring substancji z drugiej listy obserwacyjnej, ustanowionej decyzją wykonawcza Komisji (UE) 2018/840 z dnia 5 czerwca 2018 r., obejmującej m. in. pestycydy </w:t>
      </w:r>
      <w:proofErr w:type="spellStart"/>
      <w:r w:rsidRPr="00925BCD">
        <w:rPr>
          <w:rFonts w:ascii="Arial" w:hAnsi="Arial" w:cs="Arial"/>
        </w:rPr>
        <w:t>neonikotynoidowe</w:t>
      </w:r>
      <w:proofErr w:type="spellEnd"/>
      <w:r w:rsidRPr="00925BCD">
        <w:rPr>
          <w:rFonts w:ascii="Arial" w:hAnsi="Arial" w:cs="Arial"/>
        </w:rPr>
        <w:t xml:space="preserve"> (</w:t>
      </w:r>
      <w:proofErr w:type="spellStart"/>
      <w:r w:rsidRPr="00925BCD">
        <w:rPr>
          <w:rFonts w:ascii="Arial" w:hAnsi="Arial" w:cs="Arial"/>
        </w:rPr>
        <w:t>acetamipryd</w:t>
      </w:r>
      <w:proofErr w:type="spellEnd"/>
      <w:r w:rsidRPr="00925BCD">
        <w:rPr>
          <w:rFonts w:ascii="Arial" w:hAnsi="Arial" w:cs="Arial"/>
        </w:rPr>
        <w:t xml:space="preserve">, </w:t>
      </w:r>
      <w:proofErr w:type="spellStart"/>
      <w:r w:rsidRPr="00925BCD">
        <w:rPr>
          <w:rFonts w:ascii="Arial" w:hAnsi="Arial" w:cs="Arial"/>
        </w:rPr>
        <w:t>chlotianidynę</w:t>
      </w:r>
      <w:proofErr w:type="spellEnd"/>
      <w:r w:rsidRPr="00925BCD">
        <w:rPr>
          <w:rFonts w:ascii="Arial" w:hAnsi="Arial" w:cs="Arial"/>
        </w:rPr>
        <w:t xml:space="preserve">, </w:t>
      </w:r>
      <w:proofErr w:type="spellStart"/>
      <w:r w:rsidRPr="00925BCD">
        <w:rPr>
          <w:rFonts w:ascii="Arial" w:hAnsi="Arial" w:cs="Arial"/>
        </w:rPr>
        <w:t>imidachlopryd</w:t>
      </w:r>
      <w:proofErr w:type="spellEnd"/>
      <w:r w:rsidRPr="00925BCD">
        <w:rPr>
          <w:rFonts w:ascii="Arial" w:hAnsi="Arial" w:cs="Arial"/>
        </w:rPr>
        <w:t xml:space="preserve">, </w:t>
      </w:r>
      <w:proofErr w:type="spellStart"/>
      <w:r w:rsidRPr="00925BCD">
        <w:rPr>
          <w:rFonts w:ascii="Arial" w:hAnsi="Arial" w:cs="Arial"/>
        </w:rPr>
        <w:t>tiaklopryd</w:t>
      </w:r>
      <w:proofErr w:type="spellEnd"/>
      <w:r w:rsidRPr="00925BCD">
        <w:rPr>
          <w:rFonts w:ascii="Arial" w:hAnsi="Arial" w:cs="Arial"/>
        </w:rPr>
        <w:t xml:space="preserve">, </w:t>
      </w:r>
      <w:proofErr w:type="spellStart"/>
      <w:r w:rsidRPr="00925BCD">
        <w:rPr>
          <w:rFonts w:ascii="Arial" w:hAnsi="Arial" w:cs="Arial"/>
        </w:rPr>
        <w:t>tiametoksam</w:t>
      </w:r>
      <w:proofErr w:type="spellEnd"/>
      <w:r w:rsidRPr="00925BCD">
        <w:rPr>
          <w:rFonts w:ascii="Arial" w:hAnsi="Arial" w:cs="Arial"/>
        </w:rPr>
        <w:t xml:space="preserve">), </w:t>
      </w:r>
      <w:proofErr w:type="spellStart"/>
      <w:r w:rsidRPr="00925BCD">
        <w:rPr>
          <w:rFonts w:ascii="Arial" w:hAnsi="Arial" w:cs="Arial"/>
        </w:rPr>
        <w:t>metaflumizon</w:t>
      </w:r>
      <w:proofErr w:type="spellEnd"/>
      <w:r w:rsidRPr="00925BCD">
        <w:rPr>
          <w:rFonts w:ascii="Arial" w:hAnsi="Arial" w:cs="Arial"/>
        </w:rPr>
        <w:t xml:space="preserve"> i </w:t>
      </w:r>
      <w:proofErr w:type="spellStart"/>
      <w:r w:rsidRPr="00925BCD">
        <w:rPr>
          <w:rFonts w:ascii="Arial" w:hAnsi="Arial" w:cs="Arial"/>
        </w:rPr>
        <w:t>metiokarb</w:t>
      </w:r>
      <w:proofErr w:type="spellEnd"/>
      <w:r w:rsidRPr="00925BCD">
        <w:rPr>
          <w:rFonts w:ascii="Arial" w:hAnsi="Arial" w:cs="Arial"/>
        </w:rPr>
        <w:t>. Żaden z tych pestycydów nie został jednak w 2018 r. stwierdzony w stężeniach powyżej granicy oznaczalności.</w:t>
      </w:r>
    </w:p>
    <w:p w14:paraId="073FCD80"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Monitoring wód rzecznych</w:t>
      </w:r>
      <w:r w:rsidRPr="00925BCD">
        <w:rPr>
          <w:rFonts w:ascii="Arial" w:hAnsi="Arial" w:cs="Arial"/>
        </w:rPr>
        <w:t xml:space="preserve"> (w tym zbiorników zaporowych) </w:t>
      </w:r>
      <w:r w:rsidRPr="00925BCD">
        <w:rPr>
          <w:rFonts w:ascii="Arial" w:hAnsi="Arial" w:cs="Arial"/>
          <w:b/>
          <w:bCs/>
        </w:rPr>
        <w:t>w 2019 r.</w:t>
      </w:r>
      <w:r w:rsidRPr="00925BCD">
        <w:rPr>
          <w:rFonts w:ascii="Arial" w:hAnsi="Arial" w:cs="Arial"/>
        </w:rPr>
        <w:t xml:space="preserve"> był prowadzony w 1820</w:t>
      </w:r>
      <w:r w:rsidR="005D2453" w:rsidRPr="00925BCD">
        <w:rPr>
          <w:rFonts w:ascii="Arial" w:hAnsi="Arial" w:cs="Arial"/>
        </w:rPr>
        <w:t xml:space="preserve">, czyli zaledwie 24 mniej, </w:t>
      </w:r>
      <w:r w:rsidRPr="00925BCD">
        <w:rPr>
          <w:rFonts w:ascii="Arial" w:hAnsi="Arial" w:cs="Arial"/>
        </w:rPr>
        <w:t xml:space="preserve">punktach pomiarowo-kontrolnych położonych na jednolitych częściach wód powierzchniowych rzecznych. Spośród badanych pestycydów, w stężeniach powyżej granicy oznaczalności odnotowano następujące substancje: </w:t>
      </w:r>
      <w:proofErr w:type="spellStart"/>
      <w:r w:rsidRPr="00925BCD">
        <w:rPr>
          <w:rFonts w:ascii="Arial" w:hAnsi="Arial" w:cs="Arial"/>
        </w:rPr>
        <w:t>alachlor</w:t>
      </w:r>
      <w:proofErr w:type="spellEnd"/>
      <w:r w:rsidRPr="00925BCD">
        <w:rPr>
          <w:rFonts w:ascii="Arial" w:hAnsi="Arial" w:cs="Arial"/>
        </w:rPr>
        <w:t xml:space="preserve"> (0,002-0,0849 µg/l; m. in. Wkra, Stara Pilica), </w:t>
      </w:r>
      <w:proofErr w:type="spellStart"/>
      <w:r w:rsidRPr="00925BCD">
        <w:rPr>
          <w:rFonts w:ascii="Arial" w:hAnsi="Arial" w:cs="Arial"/>
        </w:rPr>
        <w:t>diuron</w:t>
      </w:r>
      <w:proofErr w:type="spellEnd"/>
      <w:r w:rsidRPr="00925BCD">
        <w:rPr>
          <w:rFonts w:ascii="Arial" w:hAnsi="Arial" w:cs="Arial"/>
        </w:rPr>
        <w:t xml:space="preserve"> (0,058-0,32 µg/l), HCH całkowity (0,002-84,89 µg/l; m. in. Wisła, Wąwolnica, Przemsza; największa zawartość – Wąwolnica – ujście do Przemszy), </w:t>
      </w:r>
      <w:proofErr w:type="spellStart"/>
      <w:r w:rsidRPr="00925BCD">
        <w:rPr>
          <w:rFonts w:ascii="Arial" w:hAnsi="Arial" w:cs="Arial"/>
        </w:rPr>
        <w:t>izoproturon</w:t>
      </w:r>
      <w:proofErr w:type="spellEnd"/>
      <w:r w:rsidRPr="00925BCD">
        <w:rPr>
          <w:rFonts w:ascii="Arial" w:hAnsi="Arial" w:cs="Arial"/>
        </w:rPr>
        <w:t xml:space="preserve"> (0,014-0,124 µg/l), </w:t>
      </w:r>
      <w:proofErr w:type="spellStart"/>
      <w:r w:rsidRPr="00925BCD">
        <w:rPr>
          <w:rFonts w:ascii="Arial" w:hAnsi="Arial" w:cs="Arial"/>
        </w:rPr>
        <w:t>symazynę</w:t>
      </w:r>
      <w:proofErr w:type="spellEnd"/>
      <w:r w:rsidRPr="00925BCD">
        <w:rPr>
          <w:rFonts w:ascii="Arial" w:hAnsi="Arial" w:cs="Arial"/>
        </w:rPr>
        <w:t xml:space="preserve"> (0,002-0,9 µg/l; m. in. Wieprz), </w:t>
      </w:r>
      <w:proofErr w:type="spellStart"/>
      <w:r w:rsidRPr="00925BCD">
        <w:rPr>
          <w:rFonts w:ascii="Arial" w:hAnsi="Arial" w:cs="Arial"/>
        </w:rPr>
        <w:t>atrazynę</w:t>
      </w:r>
      <w:proofErr w:type="spellEnd"/>
      <w:r w:rsidRPr="00925BCD">
        <w:rPr>
          <w:rFonts w:ascii="Arial" w:hAnsi="Arial" w:cs="Arial"/>
        </w:rPr>
        <w:t xml:space="preserve"> (0,002-2,29 µg/l; największa zawartość – Kanał Młyński – ujście do Płoni), </w:t>
      </w:r>
      <w:proofErr w:type="spellStart"/>
      <w:r w:rsidRPr="00925BCD">
        <w:rPr>
          <w:rFonts w:ascii="Arial" w:hAnsi="Arial" w:cs="Arial"/>
        </w:rPr>
        <w:t>aklonifen</w:t>
      </w:r>
      <w:proofErr w:type="spellEnd"/>
      <w:r w:rsidRPr="00925BCD">
        <w:rPr>
          <w:rFonts w:ascii="Arial" w:hAnsi="Arial" w:cs="Arial"/>
        </w:rPr>
        <w:t xml:space="preserve"> (0,0012-0,3006 µg/l), </w:t>
      </w:r>
      <w:proofErr w:type="spellStart"/>
      <w:r w:rsidRPr="00925BCD">
        <w:rPr>
          <w:rFonts w:ascii="Arial" w:hAnsi="Arial" w:cs="Arial"/>
        </w:rPr>
        <w:t>chinoksyfen</w:t>
      </w:r>
      <w:proofErr w:type="spellEnd"/>
      <w:r w:rsidRPr="00925BCD">
        <w:rPr>
          <w:rFonts w:ascii="Arial" w:hAnsi="Arial" w:cs="Arial"/>
        </w:rPr>
        <w:t xml:space="preserve"> (0,0026 µg/l), </w:t>
      </w:r>
      <w:proofErr w:type="spellStart"/>
      <w:r w:rsidRPr="00925BCD">
        <w:rPr>
          <w:rFonts w:ascii="Arial" w:hAnsi="Arial" w:cs="Arial"/>
        </w:rPr>
        <w:t>cybutrynę</w:t>
      </w:r>
      <w:proofErr w:type="spellEnd"/>
      <w:r w:rsidRPr="00925BCD">
        <w:rPr>
          <w:rFonts w:ascii="Arial" w:hAnsi="Arial" w:cs="Arial"/>
        </w:rPr>
        <w:t xml:space="preserve"> (0,00012-0,00256 µg/l), </w:t>
      </w:r>
      <w:proofErr w:type="spellStart"/>
      <w:r w:rsidRPr="00925BCD">
        <w:rPr>
          <w:rFonts w:ascii="Arial" w:hAnsi="Arial" w:cs="Arial"/>
        </w:rPr>
        <w:t>cypermetrynę</w:t>
      </w:r>
      <w:proofErr w:type="spellEnd"/>
      <w:r w:rsidRPr="00925BCD">
        <w:rPr>
          <w:rFonts w:ascii="Arial" w:hAnsi="Arial" w:cs="Arial"/>
        </w:rPr>
        <w:t xml:space="preserve"> (0,000025-0,00298 µg/l; m. in. Wisła, Biały Dunajec, Zb. Czorsztyn), </w:t>
      </w:r>
      <w:proofErr w:type="spellStart"/>
      <w:r w:rsidRPr="00925BCD">
        <w:rPr>
          <w:rFonts w:ascii="Arial" w:hAnsi="Arial" w:cs="Arial"/>
        </w:rPr>
        <w:t>terbutrynę</w:t>
      </w:r>
      <w:proofErr w:type="spellEnd"/>
      <w:r w:rsidRPr="00925BCD">
        <w:rPr>
          <w:rFonts w:ascii="Arial" w:hAnsi="Arial" w:cs="Arial"/>
        </w:rPr>
        <w:t xml:space="preserve"> (0,0011-0,3789 µg/l; m. in. </w:t>
      </w:r>
      <w:proofErr w:type="spellStart"/>
      <w:r w:rsidRPr="00925BCD">
        <w:rPr>
          <w:rFonts w:ascii="Arial" w:hAnsi="Arial" w:cs="Arial"/>
        </w:rPr>
        <w:t>Prosna</w:t>
      </w:r>
      <w:proofErr w:type="spellEnd"/>
      <w:r w:rsidRPr="00925BCD">
        <w:rPr>
          <w:rFonts w:ascii="Arial" w:hAnsi="Arial" w:cs="Arial"/>
        </w:rPr>
        <w:t xml:space="preserve">, Tanew, Wieprz), związki </w:t>
      </w:r>
      <w:proofErr w:type="spellStart"/>
      <w:r w:rsidRPr="00925BCD">
        <w:rPr>
          <w:rFonts w:ascii="Arial" w:hAnsi="Arial" w:cs="Arial"/>
        </w:rPr>
        <w:t>tributylocyny</w:t>
      </w:r>
      <w:proofErr w:type="spellEnd"/>
      <w:r w:rsidRPr="00925BCD">
        <w:rPr>
          <w:rFonts w:ascii="Arial" w:hAnsi="Arial" w:cs="Arial"/>
        </w:rPr>
        <w:t xml:space="preserve"> (0,000056-0,0012 µg/l; m. in. Odra, Wkra, Martwa Wisła), </w:t>
      </w:r>
      <w:proofErr w:type="spellStart"/>
      <w:r w:rsidRPr="00925BCD">
        <w:rPr>
          <w:rFonts w:ascii="Arial" w:hAnsi="Arial" w:cs="Arial"/>
        </w:rPr>
        <w:t>trifluralinę</w:t>
      </w:r>
      <w:proofErr w:type="spellEnd"/>
      <w:r w:rsidRPr="00925BCD">
        <w:rPr>
          <w:rFonts w:ascii="Arial" w:hAnsi="Arial" w:cs="Arial"/>
        </w:rPr>
        <w:t xml:space="preserve"> (0,005-0,015 µg/l), DDT całkowity (0,002-66,8 µg/l; największa zawartość – Wąwolnica – ujście do Przemszy), </w:t>
      </w:r>
      <w:proofErr w:type="spellStart"/>
      <w:r w:rsidRPr="00925BCD">
        <w:rPr>
          <w:rFonts w:ascii="Arial" w:hAnsi="Arial" w:cs="Arial"/>
        </w:rPr>
        <w:t>p,p</w:t>
      </w:r>
      <w:proofErr w:type="spellEnd"/>
      <w:r w:rsidRPr="00925BCD">
        <w:rPr>
          <w:rFonts w:ascii="Arial" w:hAnsi="Arial" w:cs="Arial"/>
        </w:rPr>
        <w:t xml:space="preserve">'-DDT  (0,002-0,7727 µg/l; m. in. Wąwolnica, Przemsza), </w:t>
      </w:r>
      <w:proofErr w:type="spellStart"/>
      <w:r w:rsidRPr="00925BCD">
        <w:rPr>
          <w:rFonts w:ascii="Arial" w:hAnsi="Arial" w:cs="Arial"/>
        </w:rPr>
        <w:t>endosulfan</w:t>
      </w:r>
      <w:proofErr w:type="spellEnd"/>
      <w:r w:rsidRPr="00925BCD">
        <w:rPr>
          <w:rFonts w:ascii="Arial" w:hAnsi="Arial" w:cs="Arial"/>
        </w:rPr>
        <w:t xml:space="preserve"> całkowity (0,0026-0,0198 µg/l; m. in. Bobrek), pestycydy </w:t>
      </w:r>
      <w:proofErr w:type="spellStart"/>
      <w:r w:rsidRPr="00925BCD">
        <w:rPr>
          <w:rFonts w:ascii="Arial" w:hAnsi="Arial" w:cs="Arial"/>
        </w:rPr>
        <w:t>cyklodienowe</w:t>
      </w:r>
      <w:proofErr w:type="spellEnd"/>
      <w:r w:rsidRPr="00925BCD">
        <w:rPr>
          <w:rFonts w:ascii="Arial" w:hAnsi="Arial" w:cs="Arial"/>
        </w:rPr>
        <w:t xml:space="preserve"> (0,0013-0,018 µg/l; m.in. Przemsza), </w:t>
      </w:r>
      <w:proofErr w:type="spellStart"/>
      <w:r w:rsidRPr="00925BCD">
        <w:rPr>
          <w:rFonts w:ascii="Arial" w:hAnsi="Arial" w:cs="Arial"/>
        </w:rPr>
        <w:t>heptachlor</w:t>
      </w:r>
      <w:proofErr w:type="spellEnd"/>
      <w:r w:rsidRPr="00925BCD">
        <w:rPr>
          <w:rFonts w:ascii="Arial" w:hAnsi="Arial" w:cs="Arial"/>
        </w:rPr>
        <w:t xml:space="preserve"> i jego epoksyd (0,00031-0,0299 µg/l; m. in. Wisła, Odra, Warta, Soła, Olza, Zb. Goczałkowice), </w:t>
      </w:r>
      <w:proofErr w:type="spellStart"/>
      <w:r w:rsidRPr="00925BCD">
        <w:rPr>
          <w:rFonts w:ascii="Arial" w:hAnsi="Arial" w:cs="Arial"/>
        </w:rPr>
        <w:t>chlorfenwinfos</w:t>
      </w:r>
      <w:proofErr w:type="spellEnd"/>
      <w:r w:rsidRPr="00925BCD">
        <w:rPr>
          <w:rFonts w:ascii="Arial" w:hAnsi="Arial" w:cs="Arial"/>
        </w:rPr>
        <w:t xml:space="preserve"> (0,003-16,06 µg/l), </w:t>
      </w:r>
      <w:proofErr w:type="spellStart"/>
      <w:r w:rsidRPr="00925BCD">
        <w:rPr>
          <w:rFonts w:ascii="Arial" w:hAnsi="Arial" w:cs="Arial"/>
        </w:rPr>
        <w:t>chloropyrifos</w:t>
      </w:r>
      <w:proofErr w:type="spellEnd"/>
      <w:r w:rsidRPr="00925BCD">
        <w:rPr>
          <w:rFonts w:ascii="Arial" w:hAnsi="Arial" w:cs="Arial"/>
        </w:rPr>
        <w:t xml:space="preserve"> (0,002-0,32 µg/l) i</w:t>
      </w:r>
      <w:r w:rsidR="00D63714" w:rsidRPr="00925BCD">
        <w:rPr>
          <w:rFonts w:ascii="Arial" w:hAnsi="Arial" w:cs="Arial"/>
        </w:rPr>
        <w:t> </w:t>
      </w:r>
      <w:proofErr w:type="spellStart"/>
      <w:r w:rsidRPr="00925BCD">
        <w:rPr>
          <w:rFonts w:ascii="Arial" w:hAnsi="Arial" w:cs="Arial"/>
        </w:rPr>
        <w:t>dichlorfos</w:t>
      </w:r>
      <w:proofErr w:type="spellEnd"/>
      <w:r w:rsidRPr="00925BCD">
        <w:rPr>
          <w:rFonts w:ascii="Arial" w:hAnsi="Arial" w:cs="Arial"/>
        </w:rPr>
        <w:t xml:space="preserve"> (0,000181-0,015 µg/l). Na ogół stężenia te nie przekraczały wartości środowiskowych norm jakości dla dobrego stanu chemicznego jednolitych części wód powierzchniowych wg rozporządzenia </w:t>
      </w:r>
      <w:r w:rsidRPr="00925BCD">
        <w:rPr>
          <w:rFonts w:ascii="Arial" w:hAnsi="Arial" w:cs="Arial"/>
        </w:rPr>
        <w:lastRenderedPageBreak/>
        <w:t xml:space="preserve">Ministra Gospodarki Morskiej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 (Dz. U. poz. 2149). Przekroczenia dotyczyły DDT </w:t>
      </w:r>
      <w:proofErr w:type="spellStart"/>
      <w:r w:rsidRPr="00925BCD">
        <w:rPr>
          <w:rFonts w:ascii="Arial" w:hAnsi="Arial" w:cs="Arial"/>
        </w:rPr>
        <w:t>calkowitego</w:t>
      </w:r>
      <w:proofErr w:type="spellEnd"/>
      <w:r w:rsidRPr="00925BCD">
        <w:rPr>
          <w:rFonts w:ascii="Arial" w:hAnsi="Arial" w:cs="Arial"/>
        </w:rPr>
        <w:t xml:space="preserve">, </w:t>
      </w:r>
      <w:proofErr w:type="spellStart"/>
      <w:r w:rsidRPr="00925BCD">
        <w:rPr>
          <w:rFonts w:ascii="Arial" w:hAnsi="Arial" w:cs="Arial"/>
        </w:rPr>
        <w:t>p,p</w:t>
      </w:r>
      <w:proofErr w:type="spellEnd"/>
      <w:r w:rsidRPr="00925BCD">
        <w:rPr>
          <w:rFonts w:ascii="Arial" w:hAnsi="Arial" w:cs="Arial"/>
        </w:rPr>
        <w:t xml:space="preserve">'-DDT, HCH, </w:t>
      </w:r>
      <w:proofErr w:type="spellStart"/>
      <w:r w:rsidRPr="00925BCD">
        <w:rPr>
          <w:rFonts w:ascii="Arial" w:hAnsi="Arial" w:cs="Arial"/>
        </w:rPr>
        <w:t>atrazyny</w:t>
      </w:r>
      <w:proofErr w:type="spellEnd"/>
      <w:r w:rsidRPr="00925BCD">
        <w:rPr>
          <w:rFonts w:ascii="Arial" w:hAnsi="Arial" w:cs="Arial"/>
        </w:rPr>
        <w:t xml:space="preserve">, </w:t>
      </w:r>
      <w:proofErr w:type="spellStart"/>
      <w:r w:rsidRPr="00925BCD">
        <w:rPr>
          <w:rFonts w:ascii="Arial" w:hAnsi="Arial" w:cs="Arial"/>
        </w:rPr>
        <w:t>aklonifenu</w:t>
      </w:r>
      <w:proofErr w:type="spellEnd"/>
      <w:r w:rsidRPr="00925BCD">
        <w:rPr>
          <w:rFonts w:ascii="Arial" w:hAnsi="Arial" w:cs="Arial"/>
        </w:rPr>
        <w:t xml:space="preserve">, </w:t>
      </w:r>
      <w:proofErr w:type="spellStart"/>
      <w:r w:rsidRPr="00925BCD">
        <w:rPr>
          <w:rFonts w:ascii="Arial" w:hAnsi="Arial" w:cs="Arial"/>
        </w:rPr>
        <w:t>cypermetryny</w:t>
      </w:r>
      <w:proofErr w:type="spellEnd"/>
      <w:r w:rsidRPr="00925BCD">
        <w:rPr>
          <w:rFonts w:ascii="Arial" w:hAnsi="Arial" w:cs="Arial"/>
        </w:rPr>
        <w:t xml:space="preserve">, </w:t>
      </w:r>
      <w:proofErr w:type="spellStart"/>
      <w:r w:rsidRPr="00925BCD">
        <w:rPr>
          <w:rFonts w:ascii="Arial" w:hAnsi="Arial" w:cs="Arial"/>
        </w:rPr>
        <w:t>terbutryny</w:t>
      </w:r>
      <w:proofErr w:type="spellEnd"/>
      <w:r w:rsidRPr="00925BCD">
        <w:rPr>
          <w:rFonts w:ascii="Arial" w:hAnsi="Arial" w:cs="Arial"/>
        </w:rPr>
        <w:t xml:space="preserve">, </w:t>
      </w:r>
      <w:proofErr w:type="spellStart"/>
      <w:r w:rsidRPr="00925BCD">
        <w:rPr>
          <w:rFonts w:ascii="Arial" w:hAnsi="Arial" w:cs="Arial"/>
        </w:rPr>
        <w:t>endosulfanu</w:t>
      </w:r>
      <w:proofErr w:type="spellEnd"/>
      <w:r w:rsidRPr="00925BCD">
        <w:rPr>
          <w:rFonts w:ascii="Arial" w:hAnsi="Arial" w:cs="Arial"/>
        </w:rPr>
        <w:t xml:space="preserve">, </w:t>
      </w:r>
      <w:proofErr w:type="spellStart"/>
      <w:r w:rsidRPr="00925BCD">
        <w:rPr>
          <w:rFonts w:ascii="Arial" w:hAnsi="Arial" w:cs="Arial"/>
        </w:rPr>
        <w:t>heptachloru</w:t>
      </w:r>
      <w:proofErr w:type="spellEnd"/>
      <w:r w:rsidRPr="00925BCD">
        <w:rPr>
          <w:rFonts w:ascii="Arial" w:hAnsi="Arial" w:cs="Arial"/>
        </w:rPr>
        <w:t xml:space="preserve"> i jego epoksydu, </w:t>
      </w:r>
      <w:proofErr w:type="spellStart"/>
      <w:r w:rsidRPr="00925BCD">
        <w:rPr>
          <w:rFonts w:ascii="Arial" w:hAnsi="Arial" w:cs="Arial"/>
        </w:rPr>
        <w:t>chlorfenwinfosu</w:t>
      </w:r>
      <w:proofErr w:type="spellEnd"/>
      <w:r w:rsidRPr="00925BCD">
        <w:rPr>
          <w:rFonts w:ascii="Arial" w:hAnsi="Arial" w:cs="Arial"/>
        </w:rPr>
        <w:t xml:space="preserve">, chloropyrifosu oraz </w:t>
      </w:r>
      <w:proofErr w:type="spellStart"/>
      <w:r w:rsidRPr="00925BCD">
        <w:rPr>
          <w:rFonts w:ascii="Arial" w:hAnsi="Arial" w:cs="Arial"/>
        </w:rPr>
        <w:t>dichlorfosu</w:t>
      </w:r>
      <w:proofErr w:type="spellEnd"/>
      <w:r w:rsidRPr="00925BCD">
        <w:rPr>
          <w:rFonts w:ascii="Arial" w:hAnsi="Arial" w:cs="Arial"/>
        </w:rPr>
        <w:t>.</w:t>
      </w:r>
    </w:p>
    <w:p w14:paraId="35BB57C1" w14:textId="77777777" w:rsidR="00056846"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2019 r. kontynuowano monitoring substancji z drugiej listy obserwacyjnej, ustanowionej decyzją wykonawczą Komisji (UE) 2018/840 z dnia 5 czerwca 2018 r., obejmującej m. in. pestycydy </w:t>
      </w:r>
      <w:proofErr w:type="spellStart"/>
      <w:r w:rsidRPr="00925BCD">
        <w:rPr>
          <w:rFonts w:ascii="Arial" w:hAnsi="Arial" w:cs="Arial"/>
        </w:rPr>
        <w:t>neonikotynoidowe</w:t>
      </w:r>
      <w:proofErr w:type="spellEnd"/>
      <w:r w:rsidRPr="00925BCD">
        <w:rPr>
          <w:rFonts w:ascii="Arial" w:hAnsi="Arial" w:cs="Arial"/>
        </w:rPr>
        <w:t xml:space="preserve"> (</w:t>
      </w:r>
      <w:proofErr w:type="spellStart"/>
      <w:r w:rsidRPr="00925BCD">
        <w:rPr>
          <w:rFonts w:ascii="Arial" w:hAnsi="Arial" w:cs="Arial"/>
        </w:rPr>
        <w:t>acetamipryd</w:t>
      </w:r>
      <w:proofErr w:type="spellEnd"/>
      <w:r w:rsidRPr="00925BCD">
        <w:rPr>
          <w:rFonts w:ascii="Arial" w:hAnsi="Arial" w:cs="Arial"/>
        </w:rPr>
        <w:t xml:space="preserve">, </w:t>
      </w:r>
      <w:proofErr w:type="spellStart"/>
      <w:r w:rsidRPr="00925BCD">
        <w:rPr>
          <w:rFonts w:ascii="Arial" w:hAnsi="Arial" w:cs="Arial"/>
        </w:rPr>
        <w:t>chlotianidynę</w:t>
      </w:r>
      <w:proofErr w:type="spellEnd"/>
      <w:r w:rsidRPr="00925BCD">
        <w:rPr>
          <w:rFonts w:ascii="Arial" w:hAnsi="Arial" w:cs="Arial"/>
        </w:rPr>
        <w:t xml:space="preserve">, </w:t>
      </w:r>
      <w:proofErr w:type="spellStart"/>
      <w:r w:rsidRPr="00925BCD">
        <w:rPr>
          <w:rFonts w:ascii="Arial" w:hAnsi="Arial" w:cs="Arial"/>
        </w:rPr>
        <w:t>imidachlopryd</w:t>
      </w:r>
      <w:proofErr w:type="spellEnd"/>
      <w:r w:rsidRPr="00925BCD">
        <w:rPr>
          <w:rFonts w:ascii="Arial" w:hAnsi="Arial" w:cs="Arial"/>
        </w:rPr>
        <w:t xml:space="preserve">, </w:t>
      </w:r>
      <w:proofErr w:type="spellStart"/>
      <w:r w:rsidRPr="00925BCD">
        <w:rPr>
          <w:rFonts w:ascii="Arial" w:hAnsi="Arial" w:cs="Arial"/>
        </w:rPr>
        <w:t>tiaklopryd</w:t>
      </w:r>
      <w:proofErr w:type="spellEnd"/>
      <w:r w:rsidRPr="00925BCD">
        <w:rPr>
          <w:rFonts w:ascii="Arial" w:hAnsi="Arial" w:cs="Arial"/>
        </w:rPr>
        <w:t xml:space="preserve">, </w:t>
      </w:r>
      <w:proofErr w:type="spellStart"/>
      <w:r w:rsidRPr="00925BCD">
        <w:rPr>
          <w:rFonts w:ascii="Arial" w:hAnsi="Arial" w:cs="Arial"/>
        </w:rPr>
        <w:t>tiametoksam</w:t>
      </w:r>
      <w:proofErr w:type="spellEnd"/>
      <w:r w:rsidRPr="00925BCD">
        <w:rPr>
          <w:rFonts w:ascii="Arial" w:hAnsi="Arial" w:cs="Arial"/>
        </w:rPr>
        <w:t xml:space="preserve">), </w:t>
      </w:r>
      <w:proofErr w:type="spellStart"/>
      <w:r w:rsidRPr="00925BCD">
        <w:rPr>
          <w:rFonts w:ascii="Arial" w:hAnsi="Arial" w:cs="Arial"/>
        </w:rPr>
        <w:t>metaflumizon</w:t>
      </w:r>
      <w:proofErr w:type="spellEnd"/>
      <w:r w:rsidRPr="00925BCD">
        <w:rPr>
          <w:rFonts w:ascii="Arial" w:hAnsi="Arial" w:cs="Arial"/>
        </w:rPr>
        <w:t xml:space="preserve"> i </w:t>
      </w:r>
      <w:proofErr w:type="spellStart"/>
      <w:r w:rsidRPr="00925BCD">
        <w:rPr>
          <w:rFonts w:ascii="Arial" w:hAnsi="Arial" w:cs="Arial"/>
        </w:rPr>
        <w:t>metiokarb</w:t>
      </w:r>
      <w:proofErr w:type="spellEnd"/>
      <w:r w:rsidRPr="00925BCD">
        <w:rPr>
          <w:rFonts w:ascii="Arial" w:hAnsi="Arial" w:cs="Arial"/>
        </w:rPr>
        <w:t>. Żaden z tych pestycydów nie został jednak w 2019 r. stwierdzony w stężeniach powyżej granicy oznaczalności.</w:t>
      </w:r>
    </w:p>
    <w:p w14:paraId="7304AC13" w14:textId="77777777" w:rsidR="00443E8A" w:rsidRPr="00CB73E8" w:rsidRDefault="00443E8A" w:rsidP="00443E8A">
      <w:pPr>
        <w:spacing w:after="120" w:line="360" w:lineRule="auto"/>
        <w:ind w:firstLine="284"/>
        <w:jc w:val="both"/>
        <w:rPr>
          <w:rFonts w:ascii="Arial" w:eastAsiaTheme="majorEastAsia" w:hAnsi="Arial" w:cs="Arial"/>
          <w:sz w:val="20"/>
          <w:szCs w:val="20"/>
        </w:rPr>
      </w:pPr>
      <w:r w:rsidRPr="00CB73E8">
        <w:rPr>
          <w:rFonts w:ascii="Arial" w:hAnsi="Arial" w:cs="Arial"/>
          <w:b/>
          <w:sz w:val="20"/>
          <w:szCs w:val="20"/>
        </w:rPr>
        <w:t>Monitoring wód rzecznych</w:t>
      </w:r>
      <w:r w:rsidRPr="00CB73E8">
        <w:rPr>
          <w:rFonts w:ascii="Arial" w:hAnsi="Arial" w:cs="Arial"/>
          <w:sz w:val="20"/>
          <w:szCs w:val="20"/>
        </w:rPr>
        <w:t xml:space="preserve"> (w tym zbiorników zaporowych) </w:t>
      </w:r>
      <w:r w:rsidRPr="00CB73E8">
        <w:rPr>
          <w:rFonts w:ascii="Arial" w:hAnsi="Arial" w:cs="Arial"/>
          <w:b/>
          <w:bCs/>
          <w:sz w:val="20"/>
          <w:szCs w:val="20"/>
        </w:rPr>
        <w:t>w 2020 r.</w:t>
      </w:r>
      <w:r w:rsidRPr="00CB73E8">
        <w:rPr>
          <w:rFonts w:ascii="Arial" w:hAnsi="Arial" w:cs="Arial"/>
          <w:sz w:val="20"/>
          <w:szCs w:val="20"/>
        </w:rPr>
        <w:t xml:space="preserve"> był prowadzony w 2125 punktach pomiarowo-kontrolnych położonych na jednolitych częściach wód powierzchniowych rzecznych. Spośród badanych pestycydów, w stężeniach powyżej granicy oznaczalności odnotowano następujące substancje: </w:t>
      </w:r>
      <w:proofErr w:type="spellStart"/>
      <w:r w:rsidRPr="00CB73E8">
        <w:rPr>
          <w:rFonts w:ascii="Arial" w:hAnsi="Arial" w:cs="Arial"/>
          <w:sz w:val="20"/>
          <w:szCs w:val="20"/>
        </w:rPr>
        <w:t>aklonifen</w:t>
      </w:r>
      <w:proofErr w:type="spellEnd"/>
      <w:r w:rsidRPr="00CB73E8">
        <w:rPr>
          <w:rFonts w:ascii="Arial" w:hAnsi="Arial" w:cs="Arial"/>
          <w:sz w:val="20"/>
          <w:szCs w:val="20"/>
        </w:rPr>
        <w:t xml:space="preserve"> (0,0011-0,62 µg/l), </w:t>
      </w:r>
      <w:proofErr w:type="spellStart"/>
      <w:r w:rsidRPr="00CB73E8">
        <w:rPr>
          <w:rFonts w:ascii="Arial" w:hAnsi="Arial" w:cs="Arial"/>
          <w:sz w:val="20"/>
          <w:szCs w:val="20"/>
        </w:rPr>
        <w:t>alachlor</w:t>
      </w:r>
      <w:proofErr w:type="spellEnd"/>
      <w:r w:rsidRPr="00CB73E8">
        <w:rPr>
          <w:rFonts w:ascii="Arial" w:hAnsi="Arial" w:cs="Arial"/>
          <w:sz w:val="20"/>
          <w:szCs w:val="20"/>
        </w:rPr>
        <w:t xml:space="preserve"> (0,001-0,081 µg/l; m. in. Bug), </w:t>
      </w:r>
      <w:proofErr w:type="spellStart"/>
      <w:r w:rsidRPr="00CB73E8">
        <w:rPr>
          <w:rFonts w:ascii="Arial" w:hAnsi="Arial" w:cs="Arial"/>
          <w:sz w:val="20"/>
          <w:szCs w:val="20"/>
        </w:rPr>
        <w:t>atrazynę</w:t>
      </w:r>
      <w:proofErr w:type="spellEnd"/>
      <w:r w:rsidRPr="00CB73E8">
        <w:rPr>
          <w:rFonts w:ascii="Arial" w:hAnsi="Arial" w:cs="Arial"/>
          <w:sz w:val="20"/>
          <w:szCs w:val="20"/>
        </w:rPr>
        <w:t xml:space="preserve"> (0,001-0,33 µg/l), </w:t>
      </w:r>
      <w:proofErr w:type="spellStart"/>
      <w:r w:rsidRPr="00CB73E8">
        <w:rPr>
          <w:rFonts w:ascii="Arial" w:hAnsi="Arial" w:cs="Arial"/>
          <w:sz w:val="20"/>
          <w:szCs w:val="20"/>
        </w:rPr>
        <w:t>bifenoks</w:t>
      </w:r>
      <w:proofErr w:type="spellEnd"/>
      <w:r w:rsidRPr="00CB73E8">
        <w:rPr>
          <w:rFonts w:ascii="Arial" w:hAnsi="Arial" w:cs="Arial"/>
          <w:sz w:val="20"/>
          <w:szCs w:val="20"/>
        </w:rPr>
        <w:t xml:space="preserve"> (0,0011-0,0018 µg/l), </w:t>
      </w:r>
      <w:proofErr w:type="spellStart"/>
      <w:r w:rsidRPr="00CB73E8">
        <w:rPr>
          <w:rFonts w:ascii="Arial" w:hAnsi="Arial" w:cs="Arial"/>
          <w:sz w:val="20"/>
          <w:szCs w:val="20"/>
        </w:rPr>
        <w:t>chinoksyfen</w:t>
      </w:r>
      <w:proofErr w:type="spellEnd"/>
      <w:r w:rsidRPr="00CB73E8">
        <w:rPr>
          <w:rFonts w:ascii="Arial" w:hAnsi="Arial" w:cs="Arial"/>
          <w:sz w:val="20"/>
          <w:szCs w:val="20"/>
        </w:rPr>
        <w:t xml:space="preserve"> (0,0022-0,0096 µg/l), </w:t>
      </w:r>
      <w:proofErr w:type="spellStart"/>
      <w:r w:rsidRPr="00CB73E8">
        <w:rPr>
          <w:rFonts w:ascii="Arial" w:hAnsi="Arial" w:cs="Arial"/>
          <w:sz w:val="20"/>
          <w:szCs w:val="20"/>
        </w:rPr>
        <w:t>chlorfenwinfos</w:t>
      </w:r>
      <w:proofErr w:type="spellEnd"/>
      <w:r w:rsidRPr="00CB73E8">
        <w:rPr>
          <w:rFonts w:ascii="Arial" w:hAnsi="Arial" w:cs="Arial"/>
          <w:sz w:val="20"/>
          <w:szCs w:val="20"/>
        </w:rPr>
        <w:t xml:space="preserve"> (0,003-4,67 µg/l; m. in. Wisła), </w:t>
      </w:r>
      <w:proofErr w:type="spellStart"/>
      <w:r w:rsidRPr="00CB73E8">
        <w:rPr>
          <w:rFonts w:ascii="Arial" w:hAnsi="Arial" w:cs="Arial"/>
          <w:sz w:val="20"/>
          <w:szCs w:val="20"/>
        </w:rPr>
        <w:t>chloropyrifos</w:t>
      </w:r>
      <w:proofErr w:type="spellEnd"/>
      <w:r w:rsidRPr="00CB73E8">
        <w:rPr>
          <w:rFonts w:ascii="Arial" w:hAnsi="Arial" w:cs="Arial"/>
          <w:sz w:val="20"/>
          <w:szCs w:val="20"/>
        </w:rPr>
        <w:t xml:space="preserve"> (0,001-0,434 µg/l), </w:t>
      </w:r>
      <w:proofErr w:type="spellStart"/>
      <w:r w:rsidRPr="00CB73E8">
        <w:rPr>
          <w:rFonts w:ascii="Arial" w:hAnsi="Arial" w:cs="Arial"/>
          <w:sz w:val="20"/>
          <w:szCs w:val="20"/>
        </w:rPr>
        <w:t>cybutrynę</w:t>
      </w:r>
      <w:proofErr w:type="spellEnd"/>
      <w:r w:rsidRPr="00CB73E8">
        <w:rPr>
          <w:rFonts w:ascii="Arial" w:hAnsi="Arial" w:cs="Arial"/>
          <w:sz w:val="20"/>
          <w:szCs w:val="20"/>
        </w:rPr>
        <w:t xml:space="preserve"> (0,00014 µg/l), </w:t>
      </w:r>
      <w:proofErr w:type="spellStart"/>
      <w:r w:rsidRPr="00CB73E8">
        <w:rPr>
          <w:rFonts w:ascii="Arial" w:hAnsi="Arial" w:cs="Arial"/>
          <w:sz w:val="20"/>
          <w:szCs w:val="20"/>
        </w:rPr>
        <w:t>cypermetrynę</w:t>
      </w:r>
      <w:proofErr w:type="spellEnd"/>
      <w:r w:rsidRPr="00CB73E8">
        <w:rPr>
          <w:rFonts w:ascii="Arial" w:hAnsi="Arial" w:cs="Arial"/>
          <w:sz w:val="20"/>
          <w:szCs w:val="20"/>
        </w:rPr>
        <w:t xml:space="preserve"> (0,00002-0,028 µg/l), DDT </w:t>
      </w:r>
      <w:proofErr w:type="spellStart"/>
      <w:r w:rsidRPr="00CB73E8">
        <w:rPr>
          <w:rFonts w:ascii="Arial" w:hAnsi="Arial" w:cs="Arial"/>
          <w:sz w:val="20"/>
          <w:szCs w:val="20"/>
        </w:rPr>
        <w:t>calkowity</w:t>
      </w:r>
      <w:proofErr w:type="spellEnd"/>
      <w:r w:rsidRPr="00CB73E8">
        <w:rPr>
          <w:rFonts w:ascii="Arial" w:hAnsi="Arial" w:cs="Arial"/>
          <w:sz w:val="20"/>
          <w:szCs w:val="20"/>
        </w:rPr>
        <w:t xml:space="preserve"> (0,001-37,5 µg/l; m. in. Wisła, Przemsza, Wąwolnica), </w:t>
      </w:r>
      <w:proofErr w:type="spellStart"/>
      <w:r w:rsidRPr="00CB73E8">
        <w:rPr>
          <w:rFonts w:ascii="Arial" w:hAnsi="Arial" w:cs="Arial"/>
          <w:sz w:val="20"/>
          <w:szCs w:val="20"/>
        </w:rPr>
        <w:t>p,p</w:t>
      </w:r>
      <w:proofErr w:type="spellEnd"/>
      <w:r w:rsidRPr="00CB73E8">
        <w:rPr>
          <w:rFonts w:ascii="Arial" w:hAnsi="Arial" w:cs="Arial"/>
          <w:sz w:val="20"/>
          <w:szCs w:val="20"/>
        </w:rPr>
        <w:t xml:space="preserve">'-DDT (0,001-0,396 µg/l; m. in. Wisła, Przemsza, Wąwolnica), </w:t>
      </w:r>
      <w:proofErr w:type="spellStart"/>
      <w:r w:rsidRPr="00CB73E8">
        <w:rPr>
          <w:rFonts w:ascii="Arial" w:hAnsi="Arial" w:cs="Arial"/>
          <w:sz w:val="20"/>
          <w:szCs w:val="20"/>
        </w:rPr>
        <w:t>dichlorfos</w:t>
      </w:r>
      <w:proofErr w:type="spellEnd"/>
      <w:r w:rsidRPr="00CB73E8">
        <w:rPr>
          <w:rFonts w:ascii="Arial" w:hAnsi="Arial" w:cs="Arial"/>
          <w:sz w:val="20"/>
          <w:szCs w:val="20"/>
        </w:rPr>
        <w:t xml:space="preserve"> (0,00016-0,0263 µg/l), </w:t>
      </w:r>
      <w:proofErr w:type="spellStart"/>
      <w:r w:rsidRPr="00CB73E8">
        <w:rPr>
          <w:rFonts w:ascii="Arial" w:hAnsi="Arial" w:cs="Arial"/>
          <w:sz w:val="20"/>
          <w:szCs w:val="20"/>
        </w:rPr>
        <w:t>diuron</w:t>
      </w:r>
      <w:proofErr w:type="spellEnd"/>
      <w:r w:rsidRPr="00CB73E8">
        <w:rPr>
          <w:rFonts w:ascii="Arial" w:hAnsi="Arial" w:cs="Arial"/>
          <w:sz w:val="20"/>
          <w:szCs w:val="20"/>
        </w:rPr>
        <w:t xml:space="preserve"> (0,06-0,2 µg/l; m. in. Wisła), </w:t>
      </w:r>
      <w:proofErr w:type="spellStart"/>
      <w:r w:rsidRPr="00CB73E8">
        <w:rPr>
          <w:rFonts w:ascii="Arial" w:hAnsi="Arial" w:cs="Arial"/>
          <w:sz w:val="20"/>
          <w:szCs w:val="20"/>
        </w:rPr>
        <w:t>endosulfan</w:t>
      </w:r>
      <w:proofErr w:type="spellEnd"/>
      <w:r w:rsidRPr="00CB73E8">
        <w:rPr>
          <w:rFonts w:ascii="Arial" w:hAnsi="Arial" w:cs="Arial"/>
          <w:sz w:val="20"/>
          <w:szCs w:val="20"/>
        </w:rPr>
        <w:t xml:space="preserve"> (0,002-0,015 µg/l), HCH (0,0041-87,5 µg/l; m. in. Wisła, Przemsza), </w:t>
      </w:r>
      <w:proofErr w:type="spellStart"/>
      <w:r w:rsidRPr="00CB73E8">
        <w:rPr>
          <w:rFonts w:ascii="Arial" w:hAnsi="Arial" w:cs="Arial"/>
          <w:sz w:val="20"/>
          <w:szCs w:val="20"/>
        </w:rPr>
        <w:t>heptachlor</w:t>
      </w:r>
      <w:proofErr w:type="spellEnd"/>
      <w:r w:rsidRPr="00CB73E8">
        <w:rPr>
          <w:rFonts w:ascii="Arial" w:hAnsi="Arial" w:cs="Arial"/>
          <w:sz w:val="20"/>
          <w:szCs w:val="20"/>
        </w:rPr>
        <w:t xml:space="preserve"> i jego epoksyd (0,000003-0,017 µg/l), </w:t>
      </w:r>
      <w:proofErr w:type="spellStart"/>
      <w:r w:rsidRPr="00CB73E8">
        <w:rPr>
          <w:rFonts w:ascii="Arial" w:hAnsi="Arial" w:cs="Arial"/>
          <w:sz w:val="20"/>
          <w:szCs w:val="20"/>
        </w:rPr>
        <w:t>izoproturon</w:t>
      </w:r>
      <w:proofErr w:type="spellEnd"/>
      <w:r w:rsidRPr="00CB73E8">
        <w:rPr>
          <w:rFonts w:ascii="Arial" w:hAnsi="Arial" w:cs="Arial"/>
          <w:sz w:val="20"/>
          <w:szCs w:val="20"/>
        </w:rPr>
        <w:t xml:space="preserve"> (0,006-0,74 µg/l), </w:t>
      </w:r>
      <w:proofErr w:type="spellStart"/>
      <w:r w:rsidRPr="00CB73E8">
        <w:rPr>
          <w:rFonts w:ascii="Arial" w:hAnsi="Arial" w:cs="Arial"/>
          <w:sz w:val="20"/>
          <w:szCs w:val="20"/>
        </w:rPr>
        <w:t>pentachlorofenol</w:t>
      </w:r>
      <w:proofErr w:type="spellEnd"/>
      <w:r w:rsidRPr="00CB73E8">
        <w:rPr>
          <w:rFonts w:ascii="Arial" w:hAnsi="Arial" w:cs="Arial"/>
          <w:sz w:val="20"/>
          <w:szCs w:val="20"/>
        </w:rPr>
        <w:t xml:space="preserve"> (0,1-0,35 µg/l), pestycydy </w:t>
      </w:r>
      <w:proofErr w:type="spellStart"/>
      <w:r w:rsidRPr="00CB73E8">
        <w:rPr>
          <w:rFonts w:ascii="Arial" w:hAnsi="Arial" w:cs="Arial"/>
          <w:sz w:val="20"/>
          <w:szCs w:val="20"/>
        </w:rPr>
        <w:t>cyklodienowe</w:t>
      </w:r>
      <w:proofErr w:type="spellEnd"/>
      <w:r w:rsidRPr="00CB73E8">
        <w:rPr>
          <w:rFonts w:ascii="Arial" w:hAnsi="Arial" w:cs="Arial"/>
          <w:sz w:val="20"/>
          <w:szCs w:val="20"/>
        </w:rPr>
        <w:t xml:space="preserve"> (0,002-0,575 µg/l; m. in. Przemsza, Wąwolnica), </w:t>
      </w:r>
      <w:proofErr w:type="spellStart"/>
      <w:r w:rsidRPr="00CB73E8">
        <w:rPr>
          <w:rFonts w:ascii="Arial" w:hAnsi="Arial" w:cs="Arial"/>
          <w:sz w:val="20"/>
          <w:szCs w:val="20"/>
        </w:rPr>
        <w:t>symazynę</w:t>
      </w:r>
      <w:proofErr w:type="spellEnd"/>
      <w:r w:rsidRPr="00CB73E8">
        <w:rPr>
          <w:rFonts w:ascii="Arial" w:hAnsi="Arial" w:cs="Arial"/>
          <w:sz w:val="20"/>
          <w:szCs w:val="20"/>
        </w:rPr>
        <w:t xml:space="preserve"> (0,001-0,4 µg/l), </w:t>
      </w:r>
      <w:proofErr w:type="spellStart"/>
      <w:r w:rsidRPr="00CB73E8">
        <w:rPr>
          <w:rFonts w:ascii="Arial" w:hAnsi="Arial" w:cs="Arial"/>
          <w:sz w:val="20"/>
          <w:szCs w:val="20"/>
        </w:rPr>
        <w:t>terbutrynę</w:t>
      </w:r>
      <w:proofErr w:type="spellEnd"/>
      <w:r w:rsidRPr="00CB73E8">
        <w:rPr>
          <w:rFonts w:ascii="Arial" w:hAnsi="Arial" w:cs="Arial"/>
          <w:sz w:val="20"/>
          <w:szCs w:val="20"/>
        </w:rPr>
        <w:t xml:space="preserve"> (0,001-2,519 µg/l; m. in. Wisła, Warta, Skrwa Lewa, Liwiec), </w:t>
      </w:r>
      <w:proofErr w:type="spellStart"/>
      <w:r w:rsidRPr="00CB73E8">
        <w:rPr>
          <w:rFonts w:ascii="Arial" w:hAnsi="Arial" w:cs="Arial"/>
          <w:sz w:val="20"/>
          <w:szCs w:val="20"/>
        </w:rPr>
        <w:t>trifluralinę</w:t>
      </w:r>
      <w:proofErr w:type="spellEnd"/>
      <w:r w:rsidRPr="00CB73E8">
        <w:rPr>
          <w:rFonts w:ascii="Arial" w:hAnsi="Arial" w:cs="Arial"/>
          <w:sz w:val="20"/>
          <w:szCs w:val="20"/>
        </w:rPr>
        <w:t xml:space="preserve"> (0,002-0,0195 µg/l) i związki </w:t>
      </w:r>
      <w:proofErr w:type="spellStart"/>
      <w:r w:rsidRPr="00CB73E8">
        <w:rPr>
          <w:rFonts w:ascii="Arial" w:hAnsi="Arial" w:cs="Arial"/>
          <w:sz w:val="20"/>
          <w:szCs w:val="20"/>
        </w:rPr>
        <w:t>tributylocyny</w:t>
      </w:r>
      <w:proofErr w:type="spellEnd"/>
      <w:r w:rsidRPr="00CB73E8">
        <w:rPr>
          <w:rFonts w:ascii="Arial" w:hAnsi="Arial" w:cs="Arial"/>
          <w:sz w:val="20"/>
          <w:szCs w:val="20"/>
        </w:rPr>
        <w:t xml:space="preserve"> (0,00005-0,0005 µg/l; m. in. Odra). Na ogół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Przekroczenia dotyczyły pestycydów </w:t>
      </w:r>
      <w:proofErr w:type="spellStart"/>
      <w:r w:rsidRPr="00CB73E8">
        <w:rPr>
          <w:rFonts w:ascii="Arial" w:hAnsi="Arial" w:cs="Arial"/>
          <w:sz w:val="20"/>
          <w:szCs w:val="20"/>
        </w:rPr>
        <w:t>cyklodienowych</w:t>
      </w:r>
      <w:proofErr w:type="spellEnd"/>
      <w:r w:rsidRPr="00CB73E8">
        <w:rPr>
          <w:rFonts w:ascii="Arial" w:hAnsi="Arial" w:cs="Arial"/>
          <w:sz w:val="20"/>
          <w:szCs w:val="20"/>
        </w:rPr>
        <w:t xml:space="preserve">, DDT </w:t>
      </w:r>
      <w:proofErr w:type="spellStart"/>
      <w:r w:rsidRPr="00CB73E8">
        <w:rPr>
          <w:rFonts w:ascii="Arial" w:hAnsi="Arial" w:cs="Arial"/>
          <w:sz w:val="20"/>
          <w:szCs w:val="20"/>
        </w:rPr>
        <w:t>calkowitego</w:t>
      </w:r>
      <w:proofErr w:type="spellEnd"/>
      <w:r w:rsidRPr="00CB73E8">
        <w:rPr>
          <w:rFonts w:ascii="Arial" w:hAnsi="Arial" w:cs="Arial"/>
          <w:sz w:val="20"/>
          <w:szCs w:val="20"/>
        </w:rPr>
        <w:t xml:space="preserve">, </w:t>
      </w:r>
      <w:proofErr w:type="spellStart"/>
      <w:r w:rsidRPr="00CB73E8">
        <w:rPr>
          <w:rFonts w:ascii="Arial" w:hAnsi="Arial" w:cs="Arial"/>
          <w:sz w:val="20"/>
          <w:szCs w:val="20"/>
        </w:rPr>
        <w:t>p,p</w:t>
      </w:r>
      <w:proofErr w:type="spellEnd"/>
      <w:r w:rsidRPr="00CB73E8">
        <w:rPr>
          <w:rFonts w:ascii="Arial" w:hAnsi="Arial" w:cs="Arial"/>
          <w:sz w:val="20"/>
          <w:szCs w:val="20"/>
        </w:rPr>
        <w:t xml:space="preserve">'-DDT, HCH, </w:t>
      </w:r>
      <w:proofErr w:type="spellStart"/>
      <w:r w:rsidRPr="00CB73E8">
        <w:rPr>
          <w:rFonts w:ascii="Arial" w:hAnsi="Arial" w:cs="Arial"/>
          <w:sz w:val="20"/>
          <w:szCs w:val="20"/>
        </w:rPr>
        <w:t>aklonifenu</w:t>
      </w:r>
      <w:proofErr w:type="spellEnd"/>
      <w:r w:rsidRPr="00CB73E8">
        <w:rPr>
          <w:rFonts w:ascii="Arial" w:hAnsi="Arial" w:cs="Arial"/>
          <w:sz w:val="20"/>
          <w:szCs w:val="20"/>
        </w:rPr>
        <w:t xml:space="preserve">, </w:t>
      </w:r>
      <w:proofErr w:type="spellStart"/>
      <w:r w:rsidRPr="00CB73E8">
        <w:rPr>
          <w:rFonts w:ascii="Arial" w:hAnsi="Arial" w:cs="Arial"/>
          <w:sz w:val="20"/>
          <w:szCs w:val="20"/>
        </w:rPr>
        <w:t>cypermetryny</w:t>
      </w:r>
      <w:proofErr w:type="spellEnd"/>
      <w:r w:rsidRPr="00CB73E8">
        <w:rPr>
          <w:rFonts w:ascii="Arial" w:hAnsi="Arial" w:cs="Arial"/>
          <w:sz w:val="20"/>
          <w:szCs w:val="20"/>
        </w:rPr>
        <w:t xml:space="preserve">, </w:t>
      </w:r>
      <w:proofErr w:type="spellStart"/>
      <w:r w:rsidRPr="00CB73E8">
        <w:rPr>
          <w:rFonts w:ascii="Arial" w:hAnsi="Arial" w:cs="Arial"/>
          <w:sz w:val="20"/>
          <w:szCs w:val="20"/>
        </w:rPr>
        <w:t>terbutryny</w:t>
      </w:r>
      <w:proofErr w:type="spellEnd"/>
      <w:r w:rsidRPr="00CB73E8">
        <w:rPr>
          <w:rFonts w:ascii="Arial" w:hAnsi="Arial" w:cs="Arial"/>
          <w:sz w:val="20"/>
          <w:szCs w:val="20"/>
        </w:rPr>
        <w:t xml:space="preserve">, </w:t>
      </w:r>
      <w:proofErr w:type="spellStart"/>
      <w:r w:rsidRPr="00CB73E8">
        <w:rPr>
          <w:rFonts w:ascii="Arial" w:hAnsi="Arial" w:cs="Arial"/>
          <w:sz w:val="20"/>
          <w:szCs w:val="20"/>
        </w:rPr>
        <w:t>endosulfanu</w:t>
      </w:r>
      <w:proofErr w:type="spellEnd"/>
      <w:r w:rsidRPr="00CB73E8">
        <w:rPr>
          <w:rFonts w:ascii="Arial" w:hAnsi="Arial" w:cs="Arial"/>
          <w:sz w:val="20"/>
          <w:szCs w:val="20"/>
        </w:rPr>
        <w:t xml:space="preserve">, </w:t>
      </w:r>
      <w:proofErr w:type="spellStart"/>
      <w:r w:rsidRPr="00CB73E8">
        <w:rPr>
          <w:rFonts w:ascii="Arial" w:hAnsi="Arial" w:cs="Arial"/>
          <w:sz w:val="20"/>
          <w:szCs w:val="20"/>
        </w:rPr>
        <w:t>heptachloru</w:t>
      </w:r>
      <w:proofErr w:type="spellEnd"/>
      <w:r w:rsidRPr="00CB73E8">
        <w:rPr>
          <w:rFonts w:ascii="Arial" w:hAnsi="Arial" w:cs="Arial"/>
          <w:sz w:val="20"/>
          <w:szCs w:val="20"/>
        </w:rPr>
        <w:t xml:space="preserve"> i jego epoksydu, </w:t>
      </w:r>
      <w:proofErr w:type="spellStart"/>
      <w:r w:rsidRPr="00CB73E8">
        <w:rPr>
          <w:rFonts w:ascii="Arial" w:hAnsi="Arial" w:cs="Arial"/>
          <w:sz w:val="20"/>
          <w:szCs w:val="20"/>
        </w:rPr>
        <w:t>chlorfenwinfosu</w:t>
      </w:r>
      <w:proofErr w:type="spellEnd"/>
      <w:r w:rsidRPr="00CB73E8">
        <w:rPr>
          <w:rFonts w:ascii="Arial" w:hAnsi="Arial" w:cs="Arial"/>
          <w:sz w:val="20"/>
          <w:szCs w:val="20"/>
        </w:rPr>
        <w:t xml:space="preserve">, chloropyrifosu oraz </w:t>
      </w:r>
      <w:proofErr w:type="spellStart"/>
      <w:r w:rsidRPr="00CB73E8">
        <w:rPr>
          <w:rFonts w:ascii="Arial" w:hAnsi="Arial" w:cs="Arial"/>
          <w:sz w:val="20"/>
          <w:szCs w:val="20"/>
        </w:rPr>
        <w:t>dichlorfosu</w:t>
      </w:r>
      <w:proofErr w:type="spellEnd"/>
      <w:r w:rsidRPr="00CB73E8">
        <w:rPr>
          <w:rFonts w:ascii="Arial" w:hAnsi="Arial" w:cs="Arial"/>
          <w:sz w:val="20"/>
          <w:szCs w:val="20"/>
        </w:rPr>
        <w:t>.</w:t>
      </w:r>
    </w:p>
    <w:p w14:paraId="10FA9386" w14:textId="0B6B777E" w:rsidR="00CB73E8" w:rsidRDefault="00443E8A" w:rsidP="00114D52">
      <w:pPr>
        <w:pStyle w:val="NormalnyWeb"/>
        <w:tabs>
          <w:tab w:val="left" w:pos="284"/>
        </w:tabs>
        <w:spacing w:beforeAutospacing="0" w:after="120" w:afterAutospacing="0" w:line="360" w:lineRule="auto"/>
        <w:ind w:firstLine="284"/>
        <w:jc w:val="both"/>
        <w:rPr>
          <w:rStyle w:val="h11"/>
          <w:rFonts w:ascii="Arial" w:hAnsi="Arial" w:cs="Arial"/>
          <w:b w:val="0"/>
          <w:sz w:val="20"/>
          <w:szCs w:val="20"/>
        </w:rPr>
      </w:pPr>
      <w:r w:rsidRPr="00CB73E8">
        <w:rPr>
          <w:rFonts w:ascii="Arial" w:eastAsiaTheme="majorEastAsia" w:hAnsi="Arial" w:cs="Arial"/>
        </w:rPr>
        <w:t xml:space="preserve">W 2020 r. rozpoczęto monitoring substancji z trzeciej listy obserwacyjnej, ustanowionej decyzją wykonawczą Komisji (UE) </w:t>
      </w:r>
      <w:r w:rsidRPr="00CB73E8">
        <w:rPr>
          <w:rFonts w:ascii="Arial" w:hAnsi="Arial" w:cs="Arial"/>
        </w:rPr>
        <w:t xml:space="preserve">2020/1161 </w:t>
      </w:r>
      <w:r w:rsidRPr="00CB73E8">
        <w:rPr>
          <w:rStyle w:val="h11"/>
          <w:rFonts w:ascii="Arial" w:hAnsi="Arial" w:cs="Arial"/>
          <w:b w:val="0"/>
          <w:sz w:val="20"/>
          <w:szCs w:val="20"/>
        </w:rPr>
        <w:t>z dnia 4 sierpnia 2020 r., obejmującej m. in. fungicydy (</w:t>
      </w:r>
      <w:proofErr w:type="spellStart"/>
      <w:r w:rsidRPr="00CB73E8">
        <w:rPr>
          <w:rStyle w:val="h11"/>
          <w:rFonts w:ascii="Arial" w:hAnsi="Arial" w:cs="Arial"/>
          <w:b w:val="0"/>
          <w:sz w:val="20"/>
          <w:szCs w:val="20"/>
        </w:rPr>
        <w:t>dimoksystrobina</w:t>
      </w:r>
      <w:proofErr w:type="spellEnd"/>
      <w:r w:rsidRPr="00CB73E8">
        <w:rPr>
          <w:rStyle w:val="h11"/>
          <w:rFonts w:ascii="Arial" w:hAnsi="Arial" w:cs="Arial"/>
          <w:b w:val="0"/>
          <w:sz w:val="20"/>
          <w:szCs w:val="20"/>
        </w:rPr>
        <w:t xml:space="preserve">, </w:t>
      </w:r>
      <w:proofErr w:type="spellStart"/>
      <w:r w:rsidRPr="00CB73E8">
        <w:rPr>
          <w:rStyle w:val="h11"/>
          <w:rFonts w:ascii="Arial" w:hAnsi="Arial" w:cs="Arial"/>
          <w:b w:val="0"/>
          <w:sz w:val="20"/>
          <w:szCs w:val="20"/>
        </w:rPr>
        <w:t>famoksadon</w:t>
      </w:r>
      <w:proofErr w:type="spellEnd"/>
      <w:r w:rsidRPr="00CB73E8">
        <w:rPr>
          <w:rStyle w:val="h11"/>
          <w:rFonts w:ascii="Arial" w:hAnsi="Arial" w:cs="Arial"/>
          <w:b w:val="0"/>
          <w:sz w:val="20"/>
          <w:szCs w:val="20"/>
        </w:rPr>
        <w:t>). Żaden z ty</w:t>
      </w:r>
      <w:r w:rsidRPr="00802F50">
        <w:rPr>
          <w:rStyle w:val="h11"/>
          <w:rFonts w:ascii="Arial" w:hAnsi="Arial" w:cs="Arial"/>
          <w:b w:val="0"/>
          <w:sz w:val="20"/>
          <w:szCs w:val="20"/>
        </w:rPr>
        <w:t>ch środków grzybobójczych nie został jednak w 2020 r. stwierdzony w stężeniach powyżej granicy oznaczalności.</w:t>
      </w:r>
    </w:p>
    <w:p w14:paraId="24315BF8" w14:textId="77777777" w:rsidR="00FF38A8" w:rsidRPr="00FF38A8" w:rsidRDefault="00FF38A8" w:rsidP="00FF38A8">
      <w:pPr>
        <w:pStyle w:val="NormalnyWeb"/>
        <w:tabs>
          <w:tab w:val="left" w:pos="284"/>
        </w:tabs>
        <w:spacing w:after="120" w:line="360" w:lineRule="auto"/>
        <w:ind w:firstLine="284"/>
        <w:jc w:val="both"/>
        <w:rPr>
          <w:rStyle w:val="h11"/>
          <w:rFonts w:ascii="Arial" w:hAnsi="Arial" w:cs="Arial"/>
          <w:b w:val="0"/>
          <w:sz w:val="20"/>
          <w:szCs w:val="20"/>
        </w:rPr>
      </w:pPr>
      <w:r w:rsidRPr="00152B42">
        <w:rPr>
          <w:rStyle w:val="h11"/>
          <w:rFonts w:ascii="Arial" w:hAnsi="Arial" w:cs="Arial"/>
          <w:bCs w:val="0"/>
          <w:sz w:val="20"/>
          <w:szCs w:val="20"/>
        </w:rPr>
        <w:t>Monitoring wód rzecznych</w:t>
      </w:r>
      <w:r w:rsidRPr="00FF38A8">
        <w:rPr>
          <w:rStyle w:val="h11"/>
          <w:rFonts w:ascii="Arial" w:hAnsi="Arial" w:cs="Arial"/>
          <w:b w:val="0"/>
          <w:sz w:val="20"/>
          <w:szCs w:val="20"/>
        </w:rPr>
        <w:t xml:space="preserve"> (w tym zbiorników zaporowych) </w:t>
      </w:r>
      <w:r w:rsidRPr="00152B42">
        <w:rPr>
          <w:rStyle w:val="h11"/>
          <w:rFonts w:ascii="Arial" w:hAnsi="Arial" w:cs="Arial"/>
          <w:bCs w:val="0"/>
          <w:sz w:val="20"/>
          <w:szCs w:val="20"/>
        </w:rPr>
        <w:t>w 2021 r.</w:t>
      </w:r>
      <w:r w:rsidRPr="00FF38A8">
        <w:rPr>
          <w:rStyle w:val="h11"/>
          <w:rFonts w:ascii="Arial" w:hAnsi="Arial" w:cs="Arial"/>
          <w:b w:val="0"/>
          <w:sz w:val="20"/>
          <w:szCs w:val="20"/>
        </w:rPr>
        <w:t xml:space="preserve"> był prowadzony w 2462 punktach pomiarowo-kontrolnych położonych na jednolitych częściach wód powierzchniowych rzecznych. Spośród badanych pestycydów, w stężeniach powyżej granicy oznaczalności odnotowano następujące substancje: </w:t>
      </w:r>
      <w:proofErr w:type="spellStart"/>
      <w:r w:rsidRPr="00FF38A8">
        <w:rPr>
          <w:rStyle w:val="h11"/>
          <w:rFonts w:ascii="Arial" w:hAnsi="Arial" w:cs="Arial"/>
          <w:b w:val="0"/>
          <w:sz w:val="20"/>
          <w:szCs w:val="20"/>
        </w:rPr>
        <w:t>chlorfenwinfos</w:t>
      </w:r>
      <w:proofErr w:type="spellEnd"/>
      <w:r w:rsidRPr="00FF38A8">
        <w:rPr>
          <w:rStyle w:val="h11"/>
          <w:rFonts w:ascii="Arial" w:hAnsi="Arial" w:cs="Arial"/>
          <w:b w:val="0"/>
          <w:sz w:val="20"/>
          <w:szCs w:val="20"/>
        </w:rPr>
        <w:t xml:space="preserve"> (pojedynczy 1,72 µg/l), </w:t>
      </w:r>
      <w:proofErr w:type="spellStart"/>
      <w:r w:rsidRPr="00FF38A8">
        <w:rPr>
          <w:rStyle w:val="h11"/>
          <w:rFonts w:ascii="Arial" w:hAnsi="Arial" w:cs="Arial"/>
          <w:b w:val="0"/>
          <w:sz w:val="20"/>
          <w:szCs w:val="20"/>
        </w:rPr>
        <w:t>chloropyrifos</w:t>
      </w:r>
      <w:proofErr w:type="spellEnd"/>
      <w:r w:rsidRPr="00FF38A8">
        <w:rPr>
          <w:rStyle w:val="h11"/>
          <w:rFonts w:ascii="Arial" w:hAnsi="Arial" w:cs="Arial"/>
          <w:b w:val="0"/>
          <w:sz w:val="20"/>
          <w:szCs w:val="20"/>
        </w:rPr>
        <w:t xml:space="preserve"> (0,011-0,086 µg/l), </w:t>
      </w:r>
      <w:proofErr w:type="spellStart"/>
      <w:r w:rsidRPr="00FF38A8">
        <w:rPr>
          <w:rStyle w:val="h11"/>
          <w:rFonts w:ascii="Arial" w:hAnsi="Arial" w:cs="Arial"/>
          <w:b w:val="0"/>
          <w:sz w:val="20"/>
          <w:szCs w:val="20"/>
        </w:rPr>
        <w:lastRenderedPageBreak/>
        <w:t>cybutrynę</w:t>
      </w:r>
      <w:proofErr w:type="spellEnd"/>
      <w:r w:rsidRPr="00FF38A8">
        <w:rPr>
          <w:rStyle w:val="h11"/>
          <w:rFonts w:ascii="Arial" w:hAnsi="Arial" w:cs="Arial"/>
          <w:b w:val="0"/>
          <w:sz w:val="20"/>
          <w:szCs w:val="20"/>
        </w:rPr>
        <w:t xml:space="preserve"> (0,00086-0,00101 µg/l), </w:t>
      </w:r>
      <w:proofErr w:type="spellStart"/>
      <w:r w:rsidRPr="00FF38A8">
        <w:rPr>
          <w:rStyle w:val="h11"/>
          <w:rFonts w:ascii="Arial" w:hAnsi="Arial" w:cs="Arial"/>
          <w:b w:val="0"/>
          <w:sz w:val="20"/>
          <w:szCs w:val="20"/>
        </w:rPr>
        <w:t>cypermetrynę</w:t>
      </w:r>
      <w:proofErr w:type="spellEnd"/>
      <w:r w:rsidRPr="00FF38A8">
        <w:rPr>
          <w:rStyle w:val="h11"/>
          <w:rFonts w:ascii="Arial" w:hAnsi="Arial" w:cs="Arial"/>
          <w:b w:val="0"/>
          <w:sz w:val="20"/>
          <w:szCs w:val="20"/>
        </w:rPr>
        <w:t xml:space="preserve"> (0,000024-0,003002 µg/l), DDT </w:t>
      </w:r>
      <w:proofErr w:type="spellStart"/>
      <w:r w:rsidRPr="00FF38A8">
        <w:rPr>
          <w:rStyle w:val="h11"/>
          <w:rFonts w:ascii="Arial" w:hAnsi="Arial" w:cs="Arial"/>
          <w:b w:val="0"/>
          <w:sz w:val="20"/>
          <w:szCs w:val="20"/>
        </w:rPr>
        <w:t>calkowity</w:t>
      </w:r>
      <w:proofErr w:type="spellEnd"/>
      <w:r w:rsidRPr="00FF38A8">
        <w:rPr>
          <w:rStyle w:val="h11"/>
          <w:rFonts w:ascii="Arial" w:hAnsi="Arial" w:cs="Arial"/>
          <w:b w:val="0"/>
          <w:sz w:val="20"/>
          <w:szCs w:val="20"/>
        </w:rPr>
        <w:t xml:space="preserve"> (pojedynczy 0,0243 µg/l), </w:t>
      </w:r>
      <w:proofErr w:type="spellStart"/>
      <w:r w:rsidRPr="00FF38A8">
        <w:rPr>
          <w:rStyle w:val="h11"/>
          <w:rFonts w:ascii="Arial" w:hAnsi="Arial" w:cs="Arial"/>
          <w:b w:val="0"/>
          <w:sz w:val="20"/>
          <w:szCs w:val="20"/>
        </w:rPr>
        <w:t>p,p</w:t>
      </w:r>
      <w:proofErr w:type="spellEnd"/>
      <w:r w:rsidRPr="00FF38A8">
        <w:rPr>
          <w:rStyle w:val="h11"/>
          <w:rFonts w:ascii="Arial" w:hAnsi="Arial" w:cs="Arial"/>
          <w:b w:val="0"/>
          <w:sz w:val="20"/>
          <w:szCs w:val="20"/>
        </w:rPr>
        <w:t xml:space="preserve">'-DDT (pojedynczy 0,023 µg/l), </w:t>
      </w:r>
      <w:proofErr w:type="spellStart"/>
      <w:r w:rsidRPr="00FF38A8">
        <w:rPr>
          <w:rStyle w:val="h11"/>
          <w:rFonts w:ascii="Arial" w:hAnsi="Arial" w:cs="Arial"/>
          <w:b w:val="0"/>
          <w:sz w:val="20"/>
          <w:szCs w:val="20"/>
        </w:rPr>
        <w:t>dichlorfos</w:t>
      </w:r>
      <w:proofErr w:type="spellEnd"/>
      <w:r w:rsidRPr="00FF38A8">
        <w:rPr>
          <w:rStyle w:val="h11"/>
          <w:rFonts w:ascii="Arial" w:hAnsi="Arial" w:cs="Arial"/>
          <w:b w:val="0"/>
          <w:sz w:val="20"/>
          <w:szCs w:val="20"/>
        </w:rPr>
        <w:t xml:space="preserve"> (0,00018-0,00114 µg/l), </w:t>
      </w:r>
      <w:proofErr w:type="spellStart"/>
      <w:r w:rsidRPr="00FF38A8">
        <w:rPr>
          <w:rStyle w:val="h11"/>
          <w:rFonts w:ascii="Arial" w:hAnsi="Arial" w:cs="Arial"/>
          <w:b w:val="0"/>
          <w:sz w:val="20"/>
          <w:szCs w:val="20"/>
        </w:rPr>
        <w:t>diuron</w:t>
      </w:r>
      <w:proofErr w:type="spellEnd"/>
      <w:r w:rsidRPr="00FF38A8">
        <w:rPr>
          <w:rStyle w:val="h11"/>
          <w:rFonts w:ascii="Arial" w:hAnsi="Arial" w:cs="Arial"/>
          <w:b w:val="0"/>
          <w:sz w:val="20"/>
          <w:szCs w:val="20"/>
        </w:rPr>
        <w:t xml:space="preserve"> (pojedynczy 0,2 µg/l), HCH (0,015-21,26 µg/l), </w:t>
      </w:r>
      <w:proofErr w:type="spellStart"/>
      <w:r w:rsidRPr="00FF38A8">
        <w:rPr>
          <w:rStyle w:val="h11"/>
          <w:rFonts w:ascii="Arial" w:hAnsi="Arial" w:cs="Arial"/>
          <w:b w:val="0"/>
          <w:sz w:val="20"/>
          <w:szCs w:val="20"/>
        </w:rPr>
        <w:t>heptachlor</w:t>
      </w:r>
      <w:proofErr w:type="spellEnd"/>
      <w:r w:rsidRPr="00FF38A8">
        <w:rPr>
          <w:rStyle w:val="h11"/>
          <w:rFonts w:ascii="Arial" w:hAnsi="Arial" w:cs="Arial"/>
          <w:b w:val="0"/>
          <w:sz w:val="20"/>
          <w:szCs w:val="20"/>
        </w:rPr>
        <w:t xml:space="preserve"> i jego epoksyd (0,0002-0,009 µg/l), </w:t>
      </w:r>
      <w:proofErr w:type="spellStart"/>
      <w:r w:rsidRPr="00FF38A8">
        <w:rPr>
          <w:rStyle w:val="h11"/>
          <w:rFonts w:ascii="Arial" w:hAnsi="Arial" w:cs="Arial"/>
          <w:b w:val="0"/>
          <w:sz w:val="20"/>
          <w:szCs w:val="20"/>
        </w:rPr>
        <w:t>izoproturon</w:t>
      </w:r>
      <w:proofErr w:type="spellEnd"/>
      <w:r w:rsidRPr="00FF38A8">
        <w:rPr>
          <w:rStyle w:val="h11"/>
          <w:rFonts w:ascii="Arial" w:hAnsi="Arial" w:cs="Arial"/>
          <w:b w:val="0"/>
          <w:sz w:val="20"/>
          <w:szCs w:val="20"/>
        </w:rPr>
        <w:t xml:space="preserve"> (pojedynczy 0,14 µg/l), pestycydy </w:t>
      </w:r>
      <w:proofErr w:type="spellStart"/>
      <w:r w:rsidRPr="00FF38A8">
        <w:rPr>
          <w:rStyle w:val="h11"/>
          <w:rFonts w:ascii="Arial" w:hAnsi="Arial" w:cs="Arial"/>
          <w:b w:val="0"/>
          <w:sz w:val="20"/>
          <w:szCs w:val="20"/>
        </w:rPr>
        <w:t>cyklodienowe</w:t>
      </w:r>
      <w:proofErr w:type="spellEnd"/>
      <w:r w:rsidRPr="00FF38A8">
        <w:rPr>
          <w:rStyle w:val="h11"/>
          <w:rFonts w:ascii="Arial" w:hAnsi="Arial" w:cs="Arial"/>
          <w:b w:val="0"/>
          <w:sz w:val="20"/>
          <w:szCs w:val="20"/>
        </w:rPr>
        <w:t xml:space="preserve"> (0,001-0,0014 µg/l), </w:t>
      </w:r>
      <w:proofErr w:type="spellStart"/>
      <w:r w:rsidRPr="00FF38A8">
        <w:rPr>
          <w:rStyle w:val="h11"/>
          <w:rFonts w:ascii="Arial" w:hAnsi="Arial" w:cs="Arial"/>
          <w:b w:val="0"/>
          <w:sz w:val="20"/>
          <w:szCs w:val="20"/>
        </w:rPr>
        <w:t>terbutrynę</w:t>
      </w:r>
      <w:proofErr w:type="spellEnd"/>
      <w:r w:rsidRPr="00FF38A8">
        <w:rPr>
          <w:rStyle w:val="h11"/>
          <w:rFonts w:ascii="Arial" w:hAnsi="Arial" w:cs="Arial"/>
          <w:b w:val="0"/>
          <w:sz w:val="20"/>
          <w:szCs w:val="20"/>
        </w:rPr>
        <w:t xml:space="preserve"> (pojedynczy 0,404 µg/l) i związki </w:t>
      </w:r>
      <w:proofErr w:type="spellStart"/>
      <w:r w:rsidRPr="00FF38A8">
        <w:rPr>
          <w:rStyle w:val="h11"/>
          <w:rFonts w:ascii="Arial" w:hAnsi="Arial" w:cs="Arial"/>
          <w:b w:val="0"/>
          <w:sz w:val="20"/>
          <w:szCs w:val="20"/>
        </w:rPr>
        <w:t>tributylocyny</w:t>
      </w:r>
      <w:proofErr w:type="spellEnd"/>
      <w:r w:rsidRPr="00FF38A8">
        <w:rPr>
          <w:rStyle w:val="h11"/>
          <w:rFonts w:ascii="Arial" w:hAnsi="Arial" w:cs="Arial"/>
          <w:b w:val="0"/>
          <w:sz w:val="20"/>
          <w:szCs w:val="20"/>
        </w:rPr>
        <w:t xml:space="preserve"> (0,00012-0,00776 µg/l). Na ogół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Przekroczenia dotyczyły HCH, chloropyrifosu, </w:t>
      </w:r>
      <w:proofErr w:type="spellStart"/>
      <w:r w:rsidRPr="00FF38A8">
        <w:rPr>
          <w:rStyle w:val="h11"/>
          <w:rFonts w:ascii="Arial" w:hAnsi="Arial" w:cs="Arial"/>
          <w:b w:val="0"/>
          <w:sz w:val="20"/>
          <w:szCs w:val="20"/>
        </w:rPr>
        <w:t>cypermetryny</w:t>
      </w:r>
      <w:proofErr w:type="spellEnd"/>
      <w:r w:rsidRPr="00FF38A8">
        <w:rPr>
          <w:rStyle w:val="h11"/>
          <w:rFonts w:ascii="Arial" w:hAnsi="Arial" w:cs="Arial"/>
          <w:b w:val="0"/>
          <w:sz w:val="20"/>
          <w:szCs w:val="20"/>
        </w:rPr>
        <w:t xml:space="preserve">, </w:t>
      </w:r>
      <w:proofErr w:type="spellStart"/>
      <w:r w:rsidRPr="00FF38A8">
        <w:rPr>
          <w:rStyle w:val="h11"/>
          <w:rFonts w:ascii="Arial" w:hAnsi="Arial" w:cs="Arial"/>
          <w:b w:val="0"/>
          <w:sz w:val="20"/>
          <w:szCs w:val="20"/>
        </w:rPr>
        <w:t>heptachloru</w:t>
      </w:r>
      <w:proofErr w:type="spellEnd"/>
      <w:r w:rsidRPr="00FF38A8">
        <w:rPr>
          <w:rStyle w:val="h11"/>
          <w:rFonts w:ascii="Arial" w:hAnsi="Arial" w:cs="Arial"/>
          <w:b w:val="0"/>
          <w:sz w:val="20"/>
          <w:szCs w:val="20"/>
        </w:rPr>
        <w:t xml:space="preserve"> i jego epoksydu, , </w:t>
      </w:r>
      <w:proofErr w:type="spellStart"/>
      <w:r w:rsidRPr="00FF38A8">
        <w:rPr>
          <w:rStyle w:val="h11"/>
          <w:rFonts w:ascii="Arial" w:hAnsi="Arial" w:cs="Arial"/>
          <w:b w:val="0"/>
          <w:sz w:val="20"/>
          <w:szCs w:val="20"/>
        </w:rPr>
        <w:t>dichlorfosu</w:t>
      </w:r>
      <w:proofErr w:type="spellEnd"/>
      <w:r w:rsidRPr="00FF38A8">
        <w:rPr>
          <w:rStyle w:val="h11"/>
          <w:rFonts w:ascii="Arial" w:hAnsi="Arial" w:cs="Arial"/>
          <w:b w:val="0"/>
          <w:sz w:val="20"/>
          <w:szCs w:val="20"/>
        </w:rPr>
        <w:t xml:space="preserve"> i związków </w:t>
      </w:r>
      <w:proofErr w:type="spellStart"/>
      <w:r w:rsidRPr="00FF38A8">
        <w:rPr>
          <w:rStyle w:val="h11"/>
          <w:rFonts w:ascii="Arial" w:hAnsi="Arial" w:cs="Arial"/>
          <w:b w:val="0"/>
          <w:sz w:val="20"/>
          <w:szCs w:val="20"/>
        </w:rPr>
        <w:t>tributylocyny</w:t>
      </w:r>
      <w:proofErr w:type="spellEnd"/>
      <w:r w:rsidRPr="00FF38A8">
        <w:rPr>
          <w:rStyle w:val="h11"/>
          <w:rFonts w:ascii="Arial" w:hAnsi="Arial" w:cs="Arial"/>
          <w:b w:val="0"/>
          <w:sz w:val="20"/>
          <w:szCs w:val="20"/>
        </w:rPr>
        <w:t xml:space="preserve"> oraz dla pojedynczych wyników w przypadku  </w:t>
      </w:r>
      <w:proofErr w:type="spellStart"/>
      <w:r w:rsidRPr="00FF38A8">
        <w:rPr>
          <w:rStyle w:val="h11"/>
          <w:rFonts w:ascii="Arial" w:hAnsi="Arial" w:cs="Arial"/>
          <w:b w:val="0"/>
          <w:sz w:val="20"/>
          <w:szCs w:val="20"/>
        </w:rPr>
        <w:t>p,p</w:t>
      </w:r>
      <w:proofErr w:type="spellEnd"/>
      <w:r w:rsidRPr="00FF38A8">
        <w:rPr>
          <w:rStyle w:val="h11"/>
          <w:rFonts w:ascii="Arial" w:hAnsi="Arial" w:cs="Arial"/>
          <w:b w:val="0"/>
          <w:sz w:val="20"/>
          <w:szCs w:val="20"/>
        </w:rPr>
        <w:t xml:space="preserve">'-DDT, </w:t>
      </w:r>
      <w:proofErr w:type="spellStart"/>
      <w:r w:rsidRPr="00FF38A8">
        <w:rPr>
          <w:rStyle w:val="h11"/>
          <w:rFonts w:ascii="Arial" w:hAnsi="Arial" w:cs="Arial"/>
          <w:b w:val="0"/>
          <w:sz w:val="20"/>
          <w:szCs w:val="20"/>
        </w:rPr>
        <w:t>chlorfenwinfosu</w:t>
      </w:r>
      <w:proofErr w:type="spellEnd"/>
      <w:r w:rsidRPr="00FF38A8">
        <w:rPr>
          <w:rStyle w:val="h11"/>
          <w:rFonts w:ascii="Arial" w:hAnsi="Arial" w:cs="Arial"/>
          <w:b w:val="0"/>
          <w:sz w:val="20"/>
          <w:szCs w:val="20"/>
        </w:rPr>
        <w:t xml:space="preserve"> , </w:t>
      </w:r>
      <w:proofErr w:type="spellStart"/>
      <w:r w:rsidRPr="00FF38A8">
        <w:rPr>
          <w:rStyle w:val="h11"/>
          <w:rFonts w:ascii="Arial" w:hAnsi="Arial" w:cs="Arial"/>
          <w:b w:val="0"/>
          <w:sz w:val="20"/>
          <w:szCs w:val="20"/>
        </w:rPr>
        <w:t>terbutryny</w:t>
      </w:r>
      <w:proofErr w:type="spellEnd"/>
      <w:r w:rsidRPr="00FF38A8">
        <w:rPr>
          <w:rStyle w:val="h11"/>
          <w:rFonts w:ascii="Arial" w:hAnsi="Arial" w:cs="Arial"/>
          <w:b w:val="0"/>
          <w:sz w:val="20"/>
          <w:szCs w:val="20"/>
        </w:rPr>
        <w:t>.</w:t>
      </w:r>
    </w:p>
    <w:p w14:paraId="34D3C550" w14:textId="14A1FEEE" w:rsidR="00FF38A8" w:rsidRDefault="00FF38A8" w:rsidP="00FF38A8">
      <w:pPr>
        <w:pStyle w:val="NormalnyWeb"/>
        <w:tabs>
          <w:tab w:val="left" w:pos="284"/>
        </w:tabs>
        <w:spacing w:beforeAutospacing="0" w:after="120" w:afterAutospacing="0" w:line="360" w:lineRule="auto"/>
        <w:ind w:firstLine="284"/>
        <w:jc w:val="both"/>
        <w:rPr>
          <w:rStyle w:val="h11"/>
          <w:rFonts w:ascii="Arial" w:hAnsi="Arial" w:cs="Arial"/>
          <w:b w:val="0"/>
          <w:sz w:val="20"/>
          <w:szCs w:val="20"/>
        </w:rPr>
      </w:pPr>
      <w:r w:rsidRPr="00FF38A8">
        <w:rPr>
          <w:rStyle w:val="h11"/>
          <w:rFonts w:ascii="Arial" w:hAnsi="Arial" w:cs="Arial"/>
          <w:b w:val="0"/>
          <w:sz w:val="20"/>
          <w:szCs w:val="20"/>
        </w:rPr>
        <w:t>W 2021 r. zakończono monitoring substancji z trzeciej listy obserwacyjnej, ustanowionej decyzją wykonawczą Komisji (UE) 2020/1161 z dnia 4 sierpnia 2020 r., obejmującej m. in. fungicydy (</w:t>
      </w:r>
      <w:proofErr w:type="spellStart"/>
      <w:r w:rsidRPr="00FF38A8">
        <w:rPr>
          <w:rStyle w:val="h11"/>
          <w:rFonts w:ascii="Arial" w:hAnsi="Arial" w:cs="Arial"/>
          <w:b w:val="0"/>
          <w:sz w:val="20"/>
          <w:szCs w:val="20"/>
        </w:rPr>
        <w:t>dimoksystrobina</w:t>
      </w:r>
      <w:proofErr w:type="spellEnd"/>
      <w:r w:rsidRPr="00FF38A8">
        <w:rPr>
          <w:rStyle w:val="h11"/>
          <w:rFonts w:ascii="Arial" w:hAnsi="Arial" w:cs="Arial"/>
          <w:b w:val="0"/>
          <w:sz w:val="20"/>
          <w:szCs w:val="20"/>
        </w:rPr>
        <w:t xml:space="preserve">, </w:t>
      </w:r>
      <w:proofErr w:type="spellStart"/>
      <w:r w:rsidRPr="00FF38A8">
        <w:rPr>
          <w:rStyle w:val="h11"/>
          <w:rFonts w:ascii="Arial" w:hAnsi="Arial" w:cs="Arial"/>
          <w:b w:val="0"/>
          <w:sz w:val="20"/>
          <w:szCs w:val="20"/>
        </w:rPr>
        <w:t>famoksadon</w:t>
      </w:r>
      <w:proofErr w:type="spellEnd"/>
      <w:r w:rsidRPr="00FF38A8">
        <w:rPr>
          <w:rStyle w:val="h11"/>
          <w:rFonts w:ascii="Arial" w:hAnsi="Arial" w:cs="Arial"/>
          <w:b w:val="0"/>
          <w:sz w:val="20"/>
          <w:szCs w:val="20"/>
        </w:rPr>
        <w:t>). Żaden z tych środków grzybobójczych nie został jednak w 2021 r. stwierdzony w stężeniach powyżej granicy oznaczalności.</w:t>
      </w:r>
    </w:p>
    <w:p w14:paraId="6F22600D" w14:textId="7EA81355"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t>
      </w:r>
      <w:r w:rsidRPr="00925BCD">
        <w:rPr>
          <w:rFonts w:ascii="Arial" w:hAnsi="Arial" w:cs="Arial"/>
          <w:b/>
          <w:bCs/>
        </w:rPr>
        <w:t>monitoringu jezior</w:t>
      </w:r>
      <w:r w:rsidRPr="00925BCD">
        <w:rPr>
          <w:rFonts w:ascii="Arial" w:hAnsi="Arial" w:cs="Arial"/>
        </w:rPr>
        <w:t xml:space="preserve"> </w:t>
      </w:r>
      <w:r w:rsidRPr="00925BCD">
        <w:rPr>
          <w:rFonts w:ascii="Arial" w:hAnsi="Arial" w:cs="Arial"/>
          <w:b/>
          <w:bCs/>
        </w:rPr>
        <w:t>w 2018 r.</w:t>
      </w:r>
      <w:r w:rsidRPr="00925BCD">
        <w:rPr>
          <w:rFonts w:ascii="Arial" w:hAnsi="Arial" w:cs="Arial"/>
        </w:rPr>
        <w:t xml:space="preserve"> badania wykonano w 283 jednolitych częściach wód powierzchniowych jeziornych, w jednym reprezentatywnym punkcie pomiarowo-kontrolnym dla każdego jeziora. Spośród badanych pestycydów, w stężeniach powyżej granicy oznaczalności odnotowano następujące substancje: </w:t>
      </w:r>
      <w:proofErr w:type="spellStart"/>
      <w:r w:rsidRPr="00925BCD">
        <w:rPr>
          <w:rFonts w:ascii="Arial" w:hAnsi="Arial" w:cs="Arial"/>
        </w:rPr>
        <w:t>alachlor</w:t>
      </w:r>
      <w:proofErr w:type="spellEnd"/>
      <w:r w:rsidRPr="00925BCD">
        <w:rPr>
          <w:rFonts w:ascii="Arial" w:hAnsi="Arial" w:cs="Arial"/>
        </w:rPr>
        <w:t xml:space="preserve"> (0,0089 µg/l – Jez. Łąckie Duże), </w:t>
      </w:r>
      <w:proofErr w:type="spellStart"/>
      <w:r w:rsidRPr="00925BCD">
        <w:rPr>
          <w:rFonts w:ascii="Arial" w:hAnsi="Arial" w:cs="Arial"/>
        </w:rPr>
        <w:t>atrazynę</w:t>
      </w:r>
      <w:proofErr w:type="spellEnd"/>
      <w:r w:rsidRPr="00925BCD">
        <w:rPr>
          <w:rFonts w:ascii="Arial" w:hAnsi="Arial" w:cs="Arial"/>
        </w:rPr>
        <w:t xml:space="preserve"> (2,2 µg/l – Jez. </w:t>
      </w:r>
      <w:proofErr w:type="spellStart"/>
      <w:r w:rsidRPr="00925BCD">
        <w:rPr>
          <w:rFonts w:ascii="Arial" w:hAnsi="Arial" w:cs="Arial"/>
        </w:rPr>
        <w:t>Stubnica</w:t>
      </w:r>
      <w:proofErr w:type="spellEnd"/>
      <w:r w:rsidRPr="00925BCD">
        <w:rPr>
          <w:rFonts w:ascii="Arial" w:hAnsi="Arial" w:cs="Arial"/>
        </w:rPr>
        <w:t xml:space="preserve">), </w:t>
      </w:r>
      <w:proofErr w:type="spellStart"/>
      <w:r w:rsidRPr="00925BCD">
        <w:rPr>
          <w:rFonts w:ascii="Arial" w:hAnsi="Arial" w:cs="Arial"/>
        </w:rPr>
        <w:t>chloropyrifos</w:t>
      </w:r>
      <w:proofErr w:type="spellEnd"/>
      <w:r w:rsidRPr="00925BCD">
        <w:rPr>
          <w:rFonts w:ascii="Arial" w:hAnsi="Arial" w:cs="Arial"/>
        </w:rPr>
        <w:t xml:space="preserve"> (0,002 µg/l – jeziora: Firlej i Kunów), </w:t>
      </w:r>
      <w:proofErr w:type="spellStart"/>
      <w:r w:rsidRPr="00925BCD">
        <w:rPr>
          <w:rFonts w:ascii="Arial" w:hAnsi="Arial" w:cs="Arial"/>
        </w:rPr>
        <w:t>diuron</w:t>
      </w:r>
      <w:proofErr w:type="spellEnd"/>
      <w:r w:rsidRPr="00925BCD">
        <w:rPr>
          <w:rFonts w:ascii="Arial" w:hAnsi="Arial" w:cs="Arial"/>
        </w:rPr>
        <w:t xml:space="preserve"> (0,06 µg/l – Jez. </w:t>
      </w:r>
      <w:proofErr w:type="spellStart"/>
      <w:r w:rsidRPr="00925BCD">
        <w:rPr>
          <w:rFonts w:ascii="Arial" w:hAnsi="Arial" w:cs="Arial"/>
        </w:rPr>
        <w:t>Rakutowskie</w:t>
      </w:r>
      <w:proofErr w:type="spellEnd"/>
      <w:r w:rsidRPr="00925BCD">
        <w:rPr>
          <w:rFonts w:ascii="Arial" w:hAnsi="Arial" w:cs="Arial"/>
        </w:rPr>
        <w:t xml:space="preserve">), DDT całkowity (0,0012-0,005 µg/l; największa zawartość – Jez. </w:t>
      </w:r>
      <w:proofErr w:type="spellStart"/>
      <w:r w:rsidRPr="00925BCD">
        <w:rPr>
          <w:rFonts w:ascii="Arial" w:hAnsi="Arial" w:cs="Arial"/>
        </w:rPr>
        <w:t>Strzeszyno</w:t>
      </w:r>
      <w:proofErr w:type="spellEnd"/>
      <w:r w:rsidRPr="00925BCD">
        <w:rPr>
          <w:rFonts w:ascii="Arial" w:hAnsi="Arial" w:cs="Arial"/>
        </w:rPr>
        <w:t xml:space="preserve">), </w:t>
      </w:r>
      <w:proofErr w:type="spellStart"/>
      <w:r w:rsidRPr="00925BCD">
        <w:rPr>
          <w:rFonts w:ascii="Arial" w:hAnsi="Arial" w:cs="Arial"/>
        </w:rPr>
        <w:t>p,p</w:t>
      </w:r>
      <w:proofErr w:type="spellEnd"/>
      <w:r w:rsidRPr="00925BCD">
        <w:rPr>
          <w:rFonts w:ascii="Arial" w:hAnsi="Arial" w:cs="Arial"/>
        </w:rPr>
        <w:t xml:space="preserve">'-DDT (0,0018-0,003 µg/l; największa zawartość – Jez. </w:t>
      </w:r>
      <w:proofErr w:type="spellStart"/>
      <w:r w:rsidRPr="00925BCD">
        <w:rPr>
          <w:rFonts w:ascii="Arial" w:hAnsi="Arial" w:cs="Arial"/>
        </w:rPr>
        <w:t>Stubnica</w:t>
      </w:r>
      <w:proofErr w:type="spellEnd"/>
      <w:r w:rsidRPr="00925BCD">
        <w:rPr>
          <w:rFonts w:ascii="Arial" w:hAnsi="Arial" w:cs="Arial"/>
        </w:rPr>
        <w:t xml:space="preserve">), </w:t>
      </w:r>
      <w:proofErr w:type="spellStart"/>
      <w:r w:rsidRPr="00925BCD">
        <w:rPr>
          <w:rFonts w:ascii="Arial" w:hAnsi="Arial" w:cs="Arial"/>
        </w:rPr>
        <w:t>pentachlorofenol</w:t>
      </w:r>
      <w:proofErr w:type="spellEnd"/>
      <w:r w:rsidRPr="00925BCD">
        <w:rPr>
          <w:rFonts w:ascii="Arial" w:hAnsi="Arial" w:cs="Arial"/>
        </w:rPr>
        <w:t xml:space="preserve"> (0,011-0,016 µg/l; największa zawartość – Jez. Rydzówka) oraz </w:t>
      </w:r>
      <w:proofErr w:type="spellStart"/>
      <w:r w:rsidRPr="00925BCD">
        <w:rPr>
          <w:rFonts w:ascii="Arial" w:hAnsi="Arial" w:cs="Arial"/>
        </w:rPr>
        <w:t>heptachlor</w:t>
      </w:r>
      <w:proofErr w:type="spellEnd"/>
      <w:r w:rsidRPr="00925BCD">
        <w:rPr>
          <w:rFonts w:ascii="Arial" w:hAnsi="Arial" w:cs="Arial"/>
        </w:rPr>
        <w:t xml:space="preserve"> i epoksyd </w:t>
      </w:r>
      <w:proofErr w:type="spellStart"/>
      <w:r w:rsidRPr="00925BCD">
        <w:rPr>
          <w:rFonts w:ascii="Arial" w:hAnsi="Arial" w:cs="Arial"/>
        </w:rPr>
        <w:t>heptachloru</w:t>
      </w:r>
      <w:proofErr w:type="spellEnd"/>
      <w:r w:rsidRPr="00925BCD">
        <w:rPr>
          <w:rFonts w:ascii="Arial" w:hAnsi="Arial" w:cs="Arial"/>
        </w:rPr>
        <w:t xml:space="preserve"> (0,000000011-0,000000037 µg/l; największa zawartość – Jez. Ryńskie). Generalnie stężenia te nie przekraczały wartości środowiskowych norm jakości dla dobrego stanu chemicznego jednolitych części wód powierzchniowych wg rozporządzenia Ministra Środowiska z dnia 21 lipca 2016 r. w sprawie sposobu klasyfikacji stanu jednolitych części wód powierzchniowych oraz środowiskowych norm jakości dla substancji priorytetowych.</w:t>
      </w:r>
    </w:p>
    <w:p w14:paraId="14CBC3DE"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Oprócz monitoringu w matrycy wodnej, badania pestycydów w 2018 r. obejmowały również pomiary ich stężeń w biocie (tkankach ryb), w 325 punktach pomiarowo-kontrolnych rzecznych i 60 punktach pomiarowo-kontrolnych jeziornych. Oznaczono następujące związki: </w:t>
      </w:r>
      <w:proofErr w:type="spellStart"/>
      <w:r w:rsidRPr="00925BCD">
        <w:rPr>
          <w:rFonts w:ascii="Arial" w:hAnsi="Arial" w:cs="Arial"/>
        </w:rPr>
        <w:t>heksachlorobenzen</w:t>
      </w:r>
      <w:proofErr w:type="spellEnd"/>
      <w:r w:rsidRPr="00925BCD">
        <w:rPr>
          <w:rFonts w:ascii="Arial" w:hAnsi="Arial" w:cs="Arial"/>
        </w:rPr>
        <w:t xml:space="preserve">, </w:t>
      </w:r>
      <w:proofErr w:type="spellStart"/>
      <w:r w:rsidRPr="00925BCD">
        <w:rPr>
          <w:rFonts w:ascii="Arial" w:hAnsi="Arial" w:cs="Arial"/>
        </w:rPr>
        <w:t>dikofol</w:t>
      </w:r>
      <w:proofErr w:type="spellEnd"/>
      <w:r w:rsidRPr="00925BCD">
        <w:rPr>
          <w:rFonts w:ascii="Arial" w:hAnsi="Arial" w:cs="Arial"/>
        </w:rPr>
        <w:t xml:space="preserve"> oraz </w:t>
      </w:r>
      <w:proofErr w:type="spellStart"/>
      <w:r w:rsidRPr="00925BCD">
        <w:rPr>
          <w:rFonts w:ascii="Arial" w:hAnsi="Arial" w:cs="Arial"/>
        </w:rPr>
        <w:t>heptachlor</w:t>
      </w:r>
      <w:proofErr w:type="spellEnd"/>
      <w:r w:rsidRPr="00925BCD">
        <w:rPr>
          <w:rFonts w:ascii="Arial" w:hAnsi="Arial" w:cs="Arial"/>
        </w:rPr>
        <w:t xml:space="preserve"> i jego epoksyd. W przypadku </w:t>
      </w:r>
      <w:proofErr w:type="spellStart"/>
      <w:r w:rsidRPr="00925BCD">
        <w:rPr>
          <w:rFonts w:ascii="Arial" w:hAnsi="Arial" w:cs="Arial"/>
        </w:rPr>
        <w:t>heksachlorobenzenu</w:t>
      </w:r>
      <w:proofErr w:type="spellEnd"/>
      <w:r w:rsidRPr="00925BCD">
        <w:rPr>
          <w:rFonts w:ascii="Arial" w:hAnsi="Arial" w:cs="Arial"/>
        </w:rPr>
        <w:t xml:space="preserve"> i </w:t>
      </w:r>
      <w:proofErr w:type="spellStart"/>
      <w:r w:rsidRPr="00925BCD">
        <w:rPr>
          <w:rFonts w:ascii="Arial" w:hAnsi="Arial" w:cs="Arial"/>
        </w:rPr>
        <w:t>dikofolu</w:t>
      </w:r>
      <w:proofErr w:type="spellEnd"/>
      <w:r w:rsidRPr="00925BCD">
        <w:rPr>
          <w:rFonts w:ascii="Arial" w:hAnsi="Arial" w:cs="Arial"/>
        </w:rPr>
        <w:t xml:space="preserve"> nie stwierdzono stężeń przekraczających granicę oznaczalności. Natomiast w przypadku </w:t>
      </w:r>
      <w:proofErr w:type="spellStart"/>
      <w:r w:rsidRPr="00925BCD">
        <w:rPr>
          <w:rFonts w:ascii="Arial" w:hAnsi="Arial" w:cs="Arial"/>
        </w:rPr>
        <w:t>heptachloru</w:t>
      </w:r>
      <w:proofErr w:type="spellEnd"/>
      <w:r w:rsidRPr="00925BCD">
        <w:rPr>
          <w:rFonts w:ascii="Arial" w:hAnsi="Arial" w:cs="Arial"/>
        </w:rPr>
        <w:t xml:space="preserve"> i jego epoksydu odnotowano stężenia powyżej granicy oznaczalności: 0,0006-0,9885 µg/kg dla ryb pozyskanych z rzek i 0,0008-0,0885 µg/kg dla ryb pozyskanych z jezior. W wielu wypadkach stężenia </w:t>
      </w:r>
      <w:proofErr w:type="spellStart"/>
      <w:r w:rsidRPr="00925BCD">
        <w:rPr>
          <w:rFonts w:ascii="Arial" w:hAnsi="Arial" w:cs="Arial"/>
        </w:rPr>
        <w:t>heptachloru</w:t>
      </w:r>
      <w:proofErr w:type="spellEnd"/>
      <w:r w:rsidRPr="00925BCD">
        <w:rPr>
          <w:rFonts w:ascii="Arial" w:hAnsi="Arial" w:cs="Arial"/>
        </w:rPr>
        <w:t xml:space="preserve"> i jego epoksydu przekraczały wartości środowiskowych norm jakości dla dobrego stanu chemicznego jednolitych części wód powierzchniowych wg rozporządzenia Ministra Środowiska z dnia 21 lipca 2016 r. w sprawie sposobu klasyfikacji stanu jednolitych części wód powierzchniowych oraz środowiskowych norm jakości dla substancji priorytetowych.</w:t>
      </w:r>
    </w:p>
    <w:p w14:paraId="6825D9E9"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 xml:space="preserve">W ramach </w:t>
      </w:r>
      <w:r w:rsidRPr="00925BCD">
        <w:rPr>
          <w:rFonts w:ascii="Arial" w:hAnsi="Arial" w:cs="Arial"/>
          <w:b/>
          <w:bCs/>
        </w:rPr>
        <w:t>monitoringu jezior</w:t>
      </w:r>
      <w:r w:rsidRPr="00925BCD">
        <w:rPr>
          <w:rFonts w:ascii="Arial" w:hAnsi="Arial" w:cs="Arial"/>
        </w:rPr>
        <w:t xml:space="preserve"> </w:t>
      </w:r>
      <w:r w:rsidRPr="00925BCD">
        <w:rPr>
          <w:rFonts w:ascii="Arial" w:hAnsi="Arial" w:cs="Arial"/>
          <w:b/>
          <w:bCs/>
        </w:rPr>
        <w:t>w 2019 r.</w:t>
      </w:r>
      <w:r w:rsidRPr="00925BCD">
        <w:rPr>
          <w:rFonts w:ascii="Arial" w:hAnsi="Arial" w:cs="Arial"/>
        </w:rPr>
        <w:t xml:space="preserve"> badania wykonano w 364 jednolitych częściach wód powierzchniowych jeziornych. Spośród badanych pestycydów, w stężeniach powyżej granicy oznaczalności odnotowano następujące substancje: </w:t>
      </w:r>
      <w:proofErr w:type="spellStart"/>
      <w:r w:rsidRPr="00925BCD">
        <w:rPr>
          <w:rFonts w:ascii="Arial" w:hAnsi="Arial" w:cs="Arial"/>
        </w:rPr>
        <w:t>alachlor</w:t>
      </w:r>
      <w:proofErr w:type="spellEnd"/>
      <w:r w:rsidRPr="00925BCD">
        <w:rPr>
          <w:rFonts w:ascii="Arial" w:hAnsi="Arial" w:cs="Arial"/>
        </w:rPr>
        <w:t xml:space="preserve"> (0,002 µg/l – Jez. </w:t>
      </w:r>
      <w:proofErr w:type="spellStart"/>
      <w:r w:rsidRPr="00925BCD">
        <w:rPr>
          <w:rFonts w:ascii="Arial" w:hAnsi="Arial" w:cs="Arial"/>
        </w:rPr>
        <w:t>Bleszno</w:t>
      </w:r>
      <w:proofErr w:type="spellEnd"/>
      <w:r w:rsidRPr="00925BCD">
        <w:rPr>
          <w:rFonts w:ascii="Arial" w:hAnsi="Arial" w:cs="Arial"/>
        </w:rPr>
        <w:t xml:space="preserve">), </w:t>
      </w:r>
      <w:proofErr w:type="spellStart"/>
      <w:r w:rsidRPr="00925BCD">
        <w:rPr>
          <w:rFonts w:ascii="Arial" w:hAnsi="Arial" w:cs="Arial"/>
        </w:rPr>
        <w:t>atrazynę</w:t>
      </w:r>
      <w:proofErr w:type="spellEnd"/>
      <w:r w:rsidRPr="00925BCD">
        <w:rPr>
          <w:rFonts w:ascii="Arial" w:hAnsi="Arial" w:cs="Arial"/>
        </w:rPr>
        <w:t xml:space="preserve"> (0,35-0,41 µg/l – jeziora: Węgorzyno i Piaseczno w zlewni Drawy), </w:t>
      </w:r>
      <w:proofErr w:type="spellStart"/>
      <w:r w:rsidRPr="00925BCD">
        <w:rPr>
          <w:rFonts w:ascii="Arial" w:hAnsi="Arial" w:cs="Arial"/>
        </w:rPr>
        <w:t>cybutrynę</w:t>
      </w:r>
      <w:proofErr w:type="spellEnd"/>
      <w:r w:rsidRPr="00925BCD">
        <w:rPr>
          <w:rFonts w:ascii="Arial" w:hAnsi="Arial" w:cs="Arial"/>
        </w:rPr>
        <w:t xml:space="preserve"> (0,0006-0,0011 µg/l), </w:t>
      </w:r>
      <w:proofErr w:type="spellStart"/>
      <w:r w:rsidRPr="00925BCD">
        <w:rPr>
          <w:rFonts w:ascii="Arial" w:hAnsi="Arial" w:cs="Arial"/>
        </w:rPr>
        <w:t>symazynę</w:t>
      </w:r>
      <w:proofErr w:type="spellEnd"/>
      <w:r w:rsidRPr="00925BCD">
        <w:rPr>
          <w:rFonts w:ascii="Arial" w:hAnsi="Arial" w:cs="Arial"/>
        </w:rPr>
        <w:t xml:space="preserve"> (0,9 µg/l – Jez. Węgorzyno), </w:t>
      </w:r>
      <w:proofErr w:type="spellStart"/>
      <w:r w:rsidRPr="00925BCD">
        <w:rPr>
          <w:rFonts w:ascii="Arial" w:hAnsi="Arial" w:cs="Arial"/>
        </w:rPr>
        <w:t>terbutrynę</w:t>
      </w:r>
      <w:proofErr w:type="spellEnd"/>
      <w:r w:rsidRPr="00925BCD">
        <w:rPr>
          <w:rFonts w:ascii="Arial" w:hAnsi="Arial" w:cs="Arial"/>
        </w:rPr>
        <w:t xml:space="preserve"> (0,0019-0,0181 µg/l – jeziora: Węgorzyno i</w:t>
      </w:r>
      <w:r w:rsidR="009C7B7A" w:rsidRPr="00925BCD">
        <w:rPr>
          <w:rFonts w:ascii="Arial" w:hAnsi="Arial" w:cs="Arial"/>
        </w:rPr>
        <w:t> </w:t>
      </w:r>
      <w:proofErr w:type="spellStart"/>
      <w:r w:rsidRPr="00925BCD">
        <w:rPr>
          <w:rFonts w:ascii="Arial" w:hAnsi="Arial" w:cs="Arial"/>
        </w:rPr>
        <w:t>Wierzysko</w:t>
      </w:r>
      <w:proofErr w:type="spellEnd"/>
      <w:r w:rsidRPr="00925BCD">
        <w:rPr>
          <w:rFonts w:ascii="Arial" w:hAnsi="Arial" w:cs="Arial"/>
        </w:rPr>
        <w:t xml:space="preserve">), </w:t>
      </w:r>
      <w:proofErr w:type="spellStart"/>
      <w:r w:rsidRPr="00925BCD">
        <w:rPr>
          <w:rFonts w:ascii="Arial" w:hAnsi="Arial" w:cs="Arial"/>
        </w:rPr>
        <w:t>chloropyrifos</w:t>
      </w:r>
      <w:proofErr w:type="spellEnd"/>
      <w:r w:rsidRPr="00925BCD">
        <w:rPr>
          <w:rFonts w:ascii="Arial" w:hAnsi="Arial" w:cs="Arial"/>
        </w:rPr>
        <w:t xml:space="preserve"> (0,002-0,006 µg/l – jeziora: Kleszczów, </w:t>
      </w:r>
      <w:proofErr w:type="spellStart"/>
      <w:r w:rsidRPr="00925BCD">
        <w:rPr>
          <w:rFonts w:ascii="Arial" w:hAnsi="Arial" w:cs="Arial"/>
        </w:rPr>
        <w:t>Remierzewo</w:t>
      </w:r>
      <w:proofErr w:type="spellEnd"/>
      <w:r w:rsidRPr="00925BCD">
        <w:rPr>
          <w:rFonts w:ascii="Arial" w:hAnsi="Arial" w:cs="Arial"/>
        </w:rPr>
        <w:t xml:space="preserve"> i Uścimowskie), </w:t>
      </w:r>
      <w:proofErr w:type="spellStart"/>
      <w:r w:rsidRPr="00925BCD">
        <w:rPr>
          <w:rFonts w:ascii="Arial" w:hAnsi="Arial" w:cs="Arial"/>
        </w:rPr>
        <w:t>diuron</w:t>
      </w:r>
      <w:proofErr w:type="spellEnd"/>
      <w:r w:rsidRPr="00925BCD">
        <w:rPr>
          <w:rFonts w:ascii="Arial" w:hAnsi="Arial" w:cs="Arial"/>
        </w:rPr>
        <w:t xml:space="preserve"> (1,76 µg/l – Jez. Piaseczno w zlewni Drawy), DDT całkowity (0,003 µg/l – Jez. Piaseczno w zlewni Drawy) i związki </w:t>
      </w:r>
      <w:proofErr w:type="spellStart"/>
      <w:r w:rsidRPr="00925BCD">
        <w:rPr>
          <w:rFonts w:ascii="Arial" w:hAnsi="Arial" w:cs="Arial"/>
        </w:rPr>
        <w:t>tributylocyny</w:t>
      </w:r>
      <w:proofErr w:type="spellEnd"/>
      <w:r w:rsidRPr="00925BCD">
        <w:rPr>
          <w:rFonts w:ascii="Arial" w:hAnsi="Arial" w:cs="Arial"/>
        </w:rPr>
        <w:t xml:space="preserve"> (0,000059-0,000068 µg/l – jeziora: Dąbrowa Wielka, </w:t>
      </w:r>
      <w:proofErr w:type="spellStart"/>
      <w:r w:rsidRPr="00925BCD">
        <w:rPr>
          <w:rFonts w:ascii="Arial" w:hAnsi="Arial" w:cs="Arial"/>
        </w:rPr>
        <w:t>Hartowieckie</w:t>
      </w:r>
      <w:proofErr w:type="spellEnd"/>
      <w:r w:rsidRPr="00925BCD">
        <w:rPr>
          <w:rFonts w:ascii="Arial" w:hAnsi="Arial" w:cs="Arial"/>
        </w:rPr>
        <w:t xml:space="preserve"> i</w:t>
      </w:r>
      <w:r w:rsidR="009C7B7A" w:rsidRPr="00925BCD">
        <w:rPr>
          <w:rFonts w:ascii="Arial" w:hAnsi="Arial" w:cs="Arial"/>
        </w:rPr>
        <w:t> </w:t>
      </w:r>
      <w:proofErr w:type="spellStart"/>
      <w:r w:rsidRPr="00925BCD">
        <w:rPr>
          <w:rFonts w:ascii="Arial" w:hAnsi="Arial" w:cs="Arial"/>
        </w:rPr>
        <w:t>Lampackie</w:t>
      </w:r>
      <w:proofErr w:type="spellEnd"/>
      <w:r w:rsidRPr="00925BCD">
        <w:rPr>
          <w:rFonts w:ascii="Arial" w:hAnsi="Arial" w:cs="Arial"/>
        </w:rPr>
        <w:t>). Stężenia te nie przekraczały wartości środowiskowych norm jakości dla dobrego stanu chemicznego jednolitych części wód powierzchniowych wg rozporządzenia Ministra Gospodarki Morskiej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w:t>
      </w:r>
    </w:p>
    <w:p w14:paraId="0F25BDAD" w14:textId="77777777" w:rsidR="00056846"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Oprócz monitoringu w matrycy wodnej, badania  pestycydów w 2019 r. obejmowały również pomiary ich stężeń w biocie (tkankach ryb). W 2019 r</w:t>
      </w:r>
      <w:r w:rsidR="009C7B7A" w:rsidRPr="00925BCD">
        <w:rPr>
          <w:rFonts w:ascii="Arial" w:hAnsi="Arial" w:cs="Arial"/>
        </w:rPr>
        <w:t>.</w:t>
      </w:r>
      <w:r w:rsidRPr="00925BCD">
        <w:rPr>
          <w:rFonts w:ascii="Arial" w:hAnsi="Arial" w:cs="Arial"/>
        </w:rPr>
        <w:t xml:space="preserve"> badania wykonano w 256 punktach pomiarowo-kontrolnych rzecznych i 194 punktach pomiarowo-kontrolnych jeziornych. Oznaczono następujące związki: </w:t>
      </w:r>
      <w:proofErr w:type="spellStart"/>
      <w:r w:rsidRPr="00925BCD">
        <w:rPr>
          <w:rFonts w:ascii="Arial" w:hAnsi="Arial" w:cs="Arial"/>
        </w:rPr>
        <w:t>heksachlorobenzen</w:t>
      </w:r>
      <w:proofErr w:type="spellEnd"/>
      <w:r w:rsidRPr="00925BCD">
        <w:rPr>
          <w:rFonts w:ascii="Arial" w:hAnsi="Arial" w:cs="Arial"/>
        </w:rPr>
        <w:t xml:space="preserve">, </w:t>
      </w:r>
      <w:proofErr w:type="spellStart"/>
      <w:r w:rsidRPr="00925BCD">
        <w:rPr>
          <w:rFonts w:ascii="Arial" w:hAnsi="Arial" w:cs="Arial"/>
        </w:rPr>
        <w:t>dikofol</w:t>
      </w:r>
      <w:proofErr w:type="spellEnd"/>
      <w:r w:rsidRPr="00925BCD">
        <w:rPr>
          <w:rFonts w:ascii="Arial" w:hAnsi="Arial" w:cs="Arial"/>
        </w:rPr>
        <w:t xml:space="preserve"> oraz </w:t>
      </w:r>
      <w:proofErr w:type="spellStart"/>
      <w:r w:rsidRPr="00925BCD">
        <w:rPr>
          <w:rFonts w:ascii="Arial" w:hAnsi="Arial" w:cs="Arial"/>
        </w:rPr>
        <w:t>heptachlor</w:t>
      </w:r>
      <w:proofErr w:type="spellEnd"/>
      <w:r w:rsidRPr="00925BCD">
        <w:rPr>
          <w:rFonts w:ascii="Arial" w:hAnsi="Arial" w:cs="Arial"/>
        </w:rPr>
        <w:t xml:space="preserve"> i jego epoksyd. W przypadku </w:t>
      </w:r>
      <w:proofErr w:type="spellStart"/>
      <w:r w:rsidRPr="00925BCD">
        <w:rPr>
          <w:rFonts w:ascii="Arial" w:hAnsi="Arial" w:cs="Arial"/>
        </w:rPr>
        <w:t>heksachlorobenzenu</w:t>
      </w:r>
      <w:proofErr w:type="spellEnd"/>
      <w:r w:rsidRPr="00925BCD">
        <w:rPr>
          <w:rFonts w:ascii="Arial" w:hAnsi="Arial" w:cs="Arial"/>
        </w:rPr>
        <w:t xml:space="preserve"> i </w:t>
      </w:r>
      <w:proofErr w:type="spellStart"/>
      <w:r w:rsidRPr="00925BCD">
        <w:rPr>
          <w:rFonts w:ascii="Arial" w:hAnsi="Arial" w:cs="Arial"/>
        </w:rPr>
        <w:t>dikofolu</w:t>
      </w:r>
      <w:proofErr w:type="spellEnd"/>
      <w:r w:rsidRPr="00925BCD">
        <w:rPr>
          <w:rFonts w:ascii="Arial" w:hAnsi="Arial" w:cs="Arial"/>
        </w:rPr>
        <w:t xml:space="preserve"> nie stwierdzono stężeń przekraczających granicę oznaczalności. W ponad 60% przypadków, zarówno dla rzek, jak i jezior, stężenia </w:t>
      </w:r>
      <w:proofErr w:type="spellStart"/>
      <w:r w:rsidRPr="00925BCD">
        <w:rPr>
          <w:rFonts w:ascii="Arial" w:hAnsi="Arial" w:cs="Arial"/>
        </w:rPr>
        <w:t>heptachloru</w:t>
      </w:r>
      <w:proofErr w:type="spellEnd"/>
      <w:r w:rsidRPr="00925BCD">
        <w:rPr>
          <w:rFonts w:ascii="Arial" w:hAnsi="Arial" w:cs="Arial"/>
        </w:rPr>
        <w:t xml:space="preserve"> i jego epoksydu przekraczały wartości środowiskowych norm jakości dla dobrego stanu chemicznego jednolitych części wód powierzchniowych wg rozporządzenia Ministra Gospodarki Morskiej i Żeglugi Śródlądowej z dnia 11</w:t>
      </w:r>
      <w:r w:rsidR="009C7B7A" w:rsidRPr="00925BCD">
        <w:rPr>
          <w:rFonts w:ascii="Arial" w:hAnsi="Arial" w:cs="Arial"/>
        </w:rPr>
        <w:t> </w:t>
      </w:r>
      <w:r w:rsidRPr="00925BCD">
        <w:rPr>
          <w:rFonts w:ascii="Arial" w:hAnsi="Arial" w:cs="Arial"/>
        </w:rPr>
        <w:t>października 2019 r. w sprawie klasyfikacji stanu ekologicznego, potencjału ekologicznego i stanu chemicznego oraz sposobu klasyfikacji stanu jednolitych części wód powierzchniowych, a także środowiskowych norm jakości dla substancji priorytetowych (Dz. U. 2019 poz. 2149).</w:t>
      </w:r>
    </w:p>
    <w:p w14:paraId="7098E2F9" w14:textId="77777777" w:rsidR="00443E8A" w:rsidRPr="00CB73E8" w:rsidRDefault="00443E8A" w:rsidP="00443E8A">
      <w:pPr>
        <w:pStyle w:val="NormalnyWeb"/>
        <w:tabs>
          <w:tab w:val="left" w:pos="284"/>
        </w:tabs>
        <w:spacing w:beforeAutospacing="0" w:after="120" w:afterAutospacing="0" w:line="360" w:lineRule="auto"/>
        <w:ind w:firstLine="284"/>
        <w:jc w:val="both"/>
        <w:rPr>
          <w:rStyle w:val="h11"/>
          <w:rFonts w:ascii="Arial" w:hAnsi="Arial" w:cs="Arial"/>
          <w:b w:val="0"/>
          <w:sz w:val="20"/>
          <w:szCs w:val="20"/>
        </w:rPr>
      </w:pPr>
      <w:r w:rsidRPr="00CB73E8">
        <w:rPr>
          <w:rFonts w:ascii="Arial" w:hAnsi="Arial" w:cs="Arial"/>
        </w:rPr>
        <w:t xml:space="preserve">W ramach </w:t>
      </w:r>
      <w:r w:rsidRPr="00CB73E8">
        <w:rPr>
          <w:rFonts w:ascii="Arial" w:hAnsi="Arial" w:cs="Arial"/>
          <w:b/>
          <w:bCs/>
        </w:rPr>
        <w:t>monitoringu jezior</w:t>
      </w:r>
      <w:r w:rsidRPr="00CB73E8">
        <w:rPr>
          <w:rFonts w:ascii="Arial" w:hAnsi="Arial" w:cs="Arial"/>
        </w:rPr>
        <w:t xml:space="preserve"> </w:t>
      </w:r>
      <w:r w:rsidRPr="00CB73E8">
        <w:rPr>
          <w:rFonts w:ascii="Arial" w:hAnsi="Arial" w:cs="Arial"/>
          <w:b/>
          <w:bCs/>
        </w:rPr>
        <w:t xml:space="preserve">w 2020 r. </w:t>
      </w:r>
      <w:r w:rsidRPr="00CB73E8">
        <w:rPr>
          <w:rFonts w:ascii="Arial" w:hAnsi="Arial" w:cs="Arial"/>
        </w:rPr>
        <w:t xml:space="preserve">badania wykonano w 359 jednolitych częściach wód powierzchniowych jeziornych. Spośród badanych pestycydów, w stężeniach powyżej granicy oznaczalności odnotowano następujące substancje: </w:t>
      </w:r>
      <w:proofErr w:type="spellStart"/>
      <w:r w:rsidRPr="00CB73E8">
        <w:rPr>
          <w:rFonts w:ascii="Arial" w:hAnsi="Arial" w:cs="Arial"/>
        </w:rPr>
        <w:t>alachlor</w:t>
      </w:r>
      <w:proofErr w:type="spellEnd"/>
      <w:r w:rsidRPr="00CB73E8">
        <w:rPr>
          <w:rFonts w:ascii="Arial" w:hAnsi="Arial" w:cs="Arial"/>
        </w:rPr>
        <w:t xml:space="preserve"> (0,001-0,005 µg/l), </w:t>
      </w:r>
      <w:proofErr w:type="spellStart"/>
      <w:r w:rsidRPr="00CB73E8">
        <w:rPr>
          <w:rFonts w:ascii="Arial" w:hAnsi="Arial" w:cs="Arial"/>
        </w:rPr>
        <w:t>atrazynę</w:t>
      </w:r>
      <w:proofErr w:type="spellEnd"/>
      <w:r w:rsidRPr="00CB73E8">
        <w:rPr>
          <w:rFonts w:ascii="Arial" w:hAnsi="Arial" w:cs="Arial"/>
        </w:rPr>
        <w:t xml:space="preserve"> (0,001-0,003 µg/l), </w:t>
      </w:r>
      <w:proofErr w:type="spellStart"/>
      <w:r w:rsidRPr="00CB73E8">
        <w:rPr>
          <w:rFonts w:ascii="Arial" w:hAnsi="Arial" w:cs="Arial"/>
        </w:rPr>
        <w:t>chloropyrifos</w:t>
      </w:r>
      <w:proofErr w:type="spellEnd"/>
      <w:r w:rsidRPr="00CB73E8">
        <w:rPr>
          <w:rFonts w:ascii="Arial" w:hAnsi="Arial" w:cs="Arial"/>
        </w:rPr>
        <w:t xml:space="preserve"> (0,001-0,006 µg/l), </w:t>
      </w:r>
      <w:proofErr w:type="spellStart"/>
      <w:r w:rsidRPr="00CB73E8">
        <w:rPr>
          <w:rFonts w:ascii="Arial" w:hAnsi="Arial" w:cs="Arial"/>
        </w:rPr>
        <w:t>cypermetrynę</w:t>
      </w:r>
      <w:proofErr w:type="spellEnd"/>
      <w:r w:rsidRPr="00CB73E8">
        <w:rPr>
          <w:rFonts w:ascii="Arial" w:hAnsi="Arial" w:cs="Arial"/>
        </w:rPr>
        <w:t xml:space="preserve"> (0,00003-0,00052 µg/l), </w:t>
      </w:r>
      <w:proofErr w:type="spellStart"/>
      <w:r w:rsidRPr="00CB73E8">
        <w:rPr>
          <w:rFonts w:ascii="Arial" w:hAnsi="Arial" w:cs="Arial"/>
        </w:rPr>
        <w:t>cybutrynę</w:t>
      </w:r>
      <w:proofErr w:type="spellEnd"/>
      <w:r w:rsidRPr="00CB73E8">
        <w:rPr>
          <w:rFonts w:ascii="Arial" w:hAnsi="Arial" w:cs="Arial"/>
        </w:rPr>
        <w:t xml:space="preserve"> (0,0056-0,0067 µg/l), </w:t>
      </w:r>
      <w:proofErr w:type="spellStart"/>
      <w:r w:rsidRPr="00CB73E8">
        <w:rPr>
          <w:rFonts w:ascii="Arial" w:hAnsi="Arial" w:cs="Arial"/>
        </w:rPr>
        <w:t>dichlorfos</w:t>
      </w:r>
      <w:proofErr w:type="spellEnd"/>
      <w:r w:rsidRPr="00CB73E8">
        <w:rPr>
          <w:rFonts w:ascii="Arial" w:hAnsi="Arial" w:cs="Arial"/>
        </w:rPr>
        <w:t xml:space="preserve"> (0,00021-0,00038 µg/l), </w:t>
      </w:r>
      <w:proofErr w:type="spellStart"/>
      <w:r w:rsidRPr="00CB73E8">
        <w:rPr>
          <w:rFonts w:ascii="Arial" w:hAnsi="Arial" w:cs="Arial"/>
        </w:rPr>
        <w:t>heptachlor</w:t>
      </w:r>
      <w:proofErr w:type="spellEnd"/>
      <w:r w:rsidRPr="00CB73E8">
        <w:rPr>
          <w:rFonts w:ascii="Arial" w:hAnsi="Arial" w:cs="Arial"/>
        </w:rPr>
        <w:t xml:space="preserve"> i jego epoksyd (0,000002-0,000023 µg/l) oraz </w:t>
      </w:r>
      <w:proofErr w:type="spellStart"/>
      <w:r w:rsidRPr="00CB73E8">
        <w:rPr>
          <w:rFonts w:ascii="Arial" w:hAnsi="Arial" w:cs="Arial"/>
        </w:rPr>
        <w:t>terbutrynę</w:t>
      </w:r>
      <w:proofErr w:type="spellEnd"/>
      <w:r w:rsidRPr="00CB73E8">
        <w:rPr>
          <w:rFonts w:ascii="Arial" w:hAnsi="Arial" w:cs="Arial"/>
        </w:rPr>
        <w:t xml:space="preserve"> (0,001-0,007 µg/l). W niemal wszystkich przypadkach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Sporadyczne przekroczenia dotyczyły </w:t>
      </w:r>
      <w:proofErr w:type="spellStart"/>
      <w:r w:rsidRPr="00CB73E8">
        <w:rPr>
          <w:rFonts w:ascii="Arial" w:hAnsi="Arial" w:cs="Arial"/>
        </w:rPr>
        <w:t>heptachloru</w:t>
      </w:r>
      <w:proofErr w:type="spellEnd"/>
      <w:r w:rsidRPr="00CB73E8">
        <w:rPr>
          <w:rFonts w:ascii="Arial" w:hAnsi="Arial" w:cs="Arial"/>
        </w:rPr>
        <w:t xml:space="preserve"> i jego epoksydu.</w:t>
      </w:r>
    </w:p>
    <w:p w14:paraId="65E38E0F" w14:textId="191ABE69" w:rsidR="00443E8A" w:rsidRDefault="00443E8A" w:rsidP="00CB73E8">
      <w:pPr>
        <w:spacing w:after="120" w:line="360" w:lineRule="auto"/>
        <w:ind w:firstLine="284"/>
        <w:jc w:val="both"/>
        <w:rPr>
          <w:rFonts w:ascii="Arial" w:hAnsi="Arial" w:cs="Arial"/>
          <w:sz w:val="20"/>
          <w:szCs w:val="20"/>
        </w:rPr>
      </w:pPr>
      <w:r w:rsidRPr="00CB73E8">
        <w:rPr>
          <w:rStyle w:val="h11"/>
          <w:rFonts w:ascii="Arial" w:hAnsi="Arial" w:cs="Arial"/>
          <w:b w:val="0"/>
          <w:sz w:val="20"/>
          <w:szCs w:val="20"/>
        </w:rPr>
        <w:t>Podobnie jak w latach poprzednich, oprócz monitoringu w matrycy wodnej, badania pestycydów obejmowały również pomiary ich stężeń w biocie (tkankach ryb). W 2020 r</w:t>
      </w:r>
      <w:r w:rsidR="000D3601">
        <w:rPr>
          <w:rStyle w:val="h11"/>
          <w:rFonts w:ascii="Arial" w:hAnsi="Arial" w:cs="Arial"/>
          <w:b w:val="0"/>
          <w:sz w:val="20"/>
          <w:szCs w:val="20"/>
        </w:rPr>
        <w:t>.</w:t>
      </w:r>
      <w:r w:rsidRPr="00CB73E8">
        <w:rPr>
          <w:rStyle w:val="h11"/>
          <w:rFonts w:ascii="Arial" w:hAnsi="Arial" w:cs="Arial"/>
          <w:b w:val="0"/>
          <w:sz w:val="20"/>
          <w:szCs w:val="20"/>
        </w:rPr>
        <w:t xml:space="preserve"> badania wykonano w 421 </w:t>
      </w:r>
      <w:r w:rsidRPr="00CB73E8">
        <w:rPr>
          <w:rStyle w:val="h11"/>
          <w:rFonts w:ascii="Arial" w:hAnsi="Arial" w:cs="Arial"/>
          <w:b w:val="0"/>
          <w:sz w:val="20"/>
          <w:szCs w:val="20"/>
        </w:rPr>
        <w:lastRenderedPageBreak/>
        <w:t xml:space="preserve">punktach pomiarowo-kontrolnych rzecznych i 112 punktach pomiarowo-kontrolnych jeziornych. Oznaczono następujące związki: </w:t>
      </w:r>
      <w:proofErr w:type="spellStart"/>
      <w:r w:rsidRPr="00CB73E8">
        <w:rPr>
          <w:rStyle w:val="h11"/>
          <w:rFonts w:ascii="Arial" w:hAnsi="Arial" w:cs="Arial"/>
          <w:b w:val="0"/>
          <w:sz w:val="20"/>
          <w:szCs w:val="20"/>
        </w:rPr>
        <w:t>heksachlorobenzen</w:t>
      </w:r>
      <w:proofErr w:type="spellEnd"/>
      <w:r w:rsidRPr="00CB73E8">
        <w:rPr>
          <w:rStyle w:val="h11"/>
          <w:rFonts w:ascii="Arial" w:hAnsi="Arial" w:cs="Arial"/>
          <w:b w:val="0"/>
          <w:sz w:val="20"/>
          <w:szCs w:val="20"/>
        </w:rPr>
        <w:t xml:space="preserve">, </w:t>
      </w:r>
      <w:proofErr w:type="spellStart"/>
      <w:r w:rsidRPr="00CB73E8">
        <w:rPr>
          <w:rStyle w:val="h11"/>
          <w:rFonts w:ascii="Arial" w:hAnsi="Arial" w:cs="Arial"/>
          <w:b w:val="0"/>
          <w:sz w:val="20"/>
          <w:szCs w:val="20"/>
        </w:rPr>
        <w:t>dikofol</w:t>
      </w:r>
      <w:proofErr w:type="spellEnd"/>
      <w:r w:rsidRPr="00CB73E8">
        <w:rPr>
          <w:rStyle w:val="h11"/>
          <w:rFonts w:ascii="Arial" w:hAnsi="Arial" w:cs="Arial"/>
          <w:b w:val="0"/>
          <w:sz w:val="20"/>
          <w:szCs w:val="20"/>
        </w:rPr>
        <w:t xml:space="preserve"> oraz </w:t>
      </w:r>
      <w:proofErr w:type="spellStart"/>
      <w:r w:rsidRPr="00CB73E8">
        <w:rPr>
          <w:rStyle w:val="h11"/>
          <w:rFonts w:ascii="Arial" w:hAnsi="Arial" w:cs="Arial"/>
          <w:b w:val="0"/>
          <w:sz w:val="20"/>
          <w:szCs w:val="20"/>
        </w:rPr>
        <w:t>heptachlor</w:t>
      </w:r>
      <w:proofErr w:type="spellEnd"/>
      <w:r w:rsidRPr="00CB73E8">
        <w:rPr>
          <w:rStyle w:val="h11"/>
          <w:rFonts w:ascii="Arial" w:hAnsi="Arial" w:cs="Arial"/>
          <w:b w:val="0"/>
          <w:sz w:val="20"/>
          <w:szCs w:val="20"/>
        </w:rPr>
        <w:t xml:space="preserve"> i jego epoksyd. W</w:t>
      </w:r>
      <w:r w:rsidR="0085358E">
        <w:rPr>
          <w:rStyle w:val="h11"/>
          <w:rFonts w:ascii="Arial" w:hAnsi="Arial" w:cs="Arial"/>
          <w:b w:val="0"/>
          <w:sz w:val="20"/>
          <w:szCs w:val="20"/>
        </w:rPr>
        <w:t> </w:t>
      </w:r>
      <w:r w:rsidRPr="00CB73E8">
        <w:rPr>
          <w:rStyle w:val="h11"/>
          <w:rFonts w:ascii="Arial" w:hAnsi="Arial" w:cs="Arial"/>
          <w:b w:val="0"/>
          <w:sz w:val="20"/>
          <w:szCs w:val="20"/>
        </w:rPr>
        <w:t xml:space="preserve">przypadku </w:t>
      </w:r>
      <w:proofErr w:type="spellStart"/>
      <w:r w:rsidRPr="00CB73E8">
        <w:rPr>
          <w:rStyle w:val="h11"/>
          <w:rFonts w:ascii="Arial" w:hAnsi="Arial" w:cs="Arial"/>
          <w:b w:val="0"/>
          <w:sz w:val="20"/>
          <w:szCs w:val="20"/>
        </w:rPr>
        <w:t>heksachlorobenzenu</w:t>
      </w:r>
      <w:proofErr w:type="spellEnd"/>
      <w:r w:rsidRPr="00CB73E8">
        <w:rPr>
          <w:rStyle w:val="h11"/>
          <w:rFonts w:ascii="Arial" w:hAnsi="Arial" w:cs="Arial"/>
          <w:b w:val="0"/>
          <w:sz w:val="20"/>
          <w:szCs w:val="20"/>
        </w:rPr>
        <w:t xml:space="preserve"> i </w:t>
      </w:r>
      <w:proofErr w:type="spellStart"/>
      <w:r w:rsidRPr="00CB73E8">
        <w:rPr>
          <w:rStyle w:val="h11"/>
          <w:rFonts w:ascii="Arial" w:hAnsi="Arial" w:cs="Arial"/>
          <w:b w:val="0"/>
          <w:sz w:val="20"/>
          <w:szCs w:val="20"/>
        </w:rPr>
        <w:t>dikofolu</w:t>
      </w:r>
      <w:proofErr w:type="spellEnd"/>
      <w:r w:rsidRPr="00CB73E8">
        <w:rPr>
          <w:rStyle w:val="h11"/>
          <w:rFonts w:ascii="Arial" w:hAnsi="Arial" w:cs="Arial"/>
          <w:b w:val="0"/>
          <w:sz w:val="20"/>
          <w:szCs w:val="20"/>
        </w:rPr>
        <w:t xml:space="preserve"> nie stwierdzono stężeń przekraczających granicę oznaczalności. W </w:t>
      </w:r>
      <w:r w:rsidRPr="00CB73E8">
        <w:rPr>
          <w:rStyle w:val="h11"/>
          <w:rFonts w:ascii="Arial" w:hAnsi="Arial" w:cs="Arial"/>
          <w:b w:val="0"/>
          <w:color w:val="000000" w:themeColor="text1"/>
          <w:sz w:val="20"/>
          <w:szCs w:val="20"/>
        </w:rPr>
        <w:t>około 58 % przypadków</w:t>
      </w:r>
      <w:r w:rsidRPr="00CB73E8">
        <w:rPr>
          <w:rStyle w:val="h11"/>
          <w:rFonts w:ascii="Arial" w:hAnsi="Arial" w:cs="Arial"/>
          <w:b w:val="0"/>
          <w:sz w:val="20"/>
          <w:szCs w:val="20"/>
        </w:rPr>
        <w:t xml:space="preserve"> dla rzek oraz w około 62 % dla jezior, stężenia </w:t>
      </w:r>
      <w:proofErr w:type="spellStart"/>
      <w:r w:rsidRPr="00CB73E8">
        <w:rPr>
          <w:rStyle w:val="h11"/>
          <w:rFonts w:ascii="Arial" w:hAnsi="Arial" w:cs="Arial"/>
          <w:b w:val="0"/>
          <w:sz w:val="20"/>
          <w:szCs w:val="20"/>
        </w:rPr>
        <w:t>heptachloru</w:t>
      </w:r>
      <w:proofErr w:type="spellEnd"/>
      <w:r w:rsidRPr="00CB73E8">
        <w:rPr>
          <w:rStyle w:val="h11"/>
          <w:rFonts w:ascii="Arial" w:hAnsi="Arial" w:cs="Arial"/>
          <w:b w:val="0"/>
          <w:sz w:val="20"/>
          <w:szCs w:val="20"/>
        </w:rPr>
        <w:t xml:space="preserve"> i</w:t>
      </w:r>
      <w:r w:rsidR="00164F4D">
        <w:rPr>
          <w:rStyle w:val="h11"/>
          <w:rFonts w:ascii="Arial" w:hAnsi="Arial" w:cs="Arial"/>
          <w:b w:val="0"/>
          <w:sz w:val="20"/>
          <w:szCs w:val="20"/>
        </w:rPr>
        <w:t> </w:t>
      </w:r>
      <w:r w:rsidRPr="00CB73E8">
        <w:rPr>
          <w:rStyle w:val="h11"/>
          <w:rFonts w:ascii="Arial" w:hAnsi="Arial" w:cs="Arial"/>
          <w:b w:val="0"/>
          <w:sz w:val="20"/>
          <w:szCs w:val="20"/>
        </w:rPr>
        <w:t xml:space="preserve">jego epoksydu przekraczały wartości środowiskowych norm jakości dla dobrego stanu chemicznego jednolitych części wód powierzchniowych wg rozporządzenia </w:t>
      </w:r>
      <w:r w:rsidRPr="00CB73E8">
        <w:rPr>
          <w:rFonts w:ascii="Arial" w:hAnsi="Arial" w:cs="Arial"/>
          <w:sz w:val="20"/>
          <w:szCs w:val="20"/>
        </w:rPr>
        <w:t>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2021 poz. 1475).</w:t>
      </w:r>
    </w:p>
    <w:p w14:paraId="7D49685E" w14:textId="5BAB94BA" w:rsidR="0037569C" w:rsidRPr="0037569C" w:rsidRDefault="0037569C" w:rsidP="0037569C">
      <w:pPr>
        <w:spacing w:after="120" w:line="360" w:lineRule="auto"/>
        <w:ind w:firstLine="284"/>
        <w:jc w:val="both"/>
        <w:rPr>
          <w:rFonts w:ascii="Arial" w:hAnsi="Arial" w:cs="Arial"/>
          <w:sz w:val="20"/>
          <w:szCs w:val="20"/>
        </w:rPr>
      </w:pPr>
      <w:r w:rsidRPr="0037569C">
        <w:rPr>
          <w:rFonts w:ascii="Arial" w:hAnsi="Arial" w:cs="Arial"/>
          <w:b/>
          <w:bCs/>
          <w:sz w:val="20"/>
          <w:szCs w:val="20"/>
        </w:rPr>
        <w:t>W ramach monitoringu jezior w 2021 r.</w:t>
      </w:r>
      <w:r w:rsidRPr="0037569C">
        <w:rPr>
          <w:rFonts w:ascii="Arial" w:hAnsi="Arial" w:cs="Arial"/>
          <w:sz w:val="20"/>
          <w:szCs w:val="20"/>
        </w:rPr>
        <w:t xml:space="preserve"> badania wykonano w 490 jednolitych częściach wód powierzchniowych jeziornych. Spośród badanych pestycydów, w stężeniach powyżej granicy oznaczalności odnotowano jedynie następujące substancje: </w:t>
      </w:r>
      <w:proofErr w:type="spellStart"/>
      <w:r w:rsidRPr="0037569C">
        <w:rPr>
          <w:rFonts w:ascii="Arial" w:hAnsi="Arial" w:cs="Arial"/>
          <w:sz w:val="20"/>
          <w:szCs w:val="20"/>
        </w:rPr>
        <w:t>cypermetrynę</w:t>
      </w:r>
      <w:proofErr w:type="spellEnd"/>
      <w:r w:rsidRPr="0037569C">
        <w:rPr>
          <w:rFonts w:ascii="Arial" w:hAnsi="Arial" w:cs="Arial"/>
          <w:sz w:val="20"/>
          <w:szCs w:val="20"/>
        </w:rPr>
        <w:t xml:space="preserve"> (0,000026-0,000045 µg/l), </w:t>
      </w:r>
      <w:proofErr w:type="spellStart"/>
      <w:r w:rsidRPr="0037569C">
        <w:rPr>
          <w:rFonts w:ascii="Arial" w:hAnsi="Arial" w:cs="Arial"/>
          <w:sz w:val="20"/>
          <w:szCs w:val="20"/>
        </w:rPr>
        <w:t>dichlorfos</w:t>
      </w:r>
      <w:proofErr w:type="spellEnd"/>
      <w:r w:rsidRPr="0037569C">
        <w:rPr>
          <w:rFonts w:ascii="Arial" w:hAnsi="Arial" w:cs="Arial"/>
          <w:sz w:val="20"/>
          <w:szCs w:val="20"/>
        </w:rPr>
        <w:t xml:space="preserve"> (pojedynczy 0,000557 µg/l) oraz </w:t>
      </w:r>
      <w:proofErr w:type="spellStart"/>
      <w:r w:rsidRPr="0037569C">
        <w:rPr>
          <w:rFonts w:ascii="Arial" w:hAnsi="Arial" w:cs="Arial"/>
          <w:sz w:val="20"/>
          <w:szCs w:val="20"/>
        </w:rPr>
        <w:t>heptachlor</w:t>
      </w:r>
      <w:proofErr w:type="spellEnd"/>
      <w:r w:rsidRPr="0037569C">
        <w:rPr>
          <w:rFonts w:ascii="Arial" w:hAnsi="Arial" w:cs="Arial"/>
          <w:sz w:val="20"/>
          <w:szCs w:val="20"/>
        </w:rPr>
        <w:t xml:space="preserve"> i jego epoksyd (0,002-0,009 µg/l). W niemal wszystkich przypadkach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w:t>
      </w:r>
      <w:r w:rsidR="00E97C86">
        <w:rPr>
          <w:rFonts w:ascii="Arial" w:hAnsi="Arial" w:cs="Arial"/>
          <w:sz w:val="20"/>
          <w:szCs w:val="20"/>
        </w:rPr>
        <w:t> </w:t>
      </w:r>
      <w:r w:rsidRPr="0037569C">
        <w:rPr>
          <w:rFonts w:ascii="Arial" w:hAnsi="Arial" w:cs="Arial"/>
          <w:sz w:val="20"/>
          <w:szCs w:val="20"/>
        </w:rPr>
        <w:t xml:space="preserve">1475). Sporadyczne przekroczenia dotyczyły </w:t>
      </w:r>
      <w:proofErr w:type="spellStart"/>
      <w:r w:rsidRPr="0037569C">
        <w:rPr>
          <w:rFonts w:ascii="Arial" w:hAnsi="Arial" w:cs="Arial"/>
          <w:sz w:val="20"/>
          <w:szCs w:val="20"/>
        </w:rPr>
        <w:t>heptachloru</w:t>
      </w:r>
      <w:proofErr w:type="spellEnd"/>
      <w:r w:rsidRPr="0037569C">
        <w:rPr>
          <w:rFonts w:ascii="Arial" w:hAnsi="Arial" w:cs="Arial"/>
          <w:sz w:val="20"/>
          <w:szCs w:val="20"/>
        </w:rPr>
        <w:t xml:space="preserve"> i jego epoksydu.</w:t>
      </w:r>
    </w:p>
    <w:p w14:paraId="6AA4A224" w14:textId="7DD086A9" w:rsidR="007B6A2F" w:rsidRDefault="0037569C" w:rsidP="0037569C">
      <w:pPr>
        <w:spacing w:after="120" w:line="360" w:lineRule="auto"/>
        <w:ind w:firstLine="284"/>
        <w:jc w:val="both"/>
        <w:rPr>
          <w:rFonts w:ascii="Arial" w:hAnsi="Arial" w:cs="Arial"/>
          <w:sz w:val="20"/>
          <w:szCs w:val="20"/>
        </w:rPr>
      </w:pPr>
      <w:r w:rsidRPr="0037569C">
        <w:rPr>
          <w:rFonts w:ascii="Arial" w:hAnsi="Arial" w:cs="Arial"/>
          <w:sz w:val="20"/>
          <w:szCs w:val="20"/>
        </w:rPr>
        <w:t>Podobnie jak w latach poprzednich, oprócz monitoringu w matrycy wodnej, badania pestycydów obejmowały również pomiary ich stężeń w biocie (tkankach ryb). W 2021 r</w:t>
      </w:r>
      <w:r w:rsidR="000D3601">
        <w:rPr>
          <w:rFonts w:ascii="Arial" w:hAnsi="Arial" w:cs="Arial"/>
          <w:sz w:val="20"/>
          <w:szCs w:val="20"/>
        </w:rPr>
        <w:t>.</w:t>
      </w:r>
      <w:r w:rsidRPr="0037569C">
        <w:rPr>
          <w:rFonts w:ascii="Arial" w:hAnsi="Arial" w:cs="Arial"/>
          <w:sz w:val="20"/>
          <w:szCs w:val="20"/>
        </w:rPr>
        <w:t xml:space="preserve"> badania wykonano w 203 punktach pomiarowo-kontrolnych rzecznych i 160 punktach pomiarowo-kontrolnych jeziornych. Oznaczono następujące związki: </w:t>
      </w:r>
      <w:proofErr w:type="spellStart"/>
      <w:r w:rsidRPr="0037569C">
        <w:rPr>
          <w:rFonts w:ascii="Arial" w:hAnsi="Arial" w:cs="Arial"/>
          <w:sz w:val="20"/>
          <w:szCs w:val="20"/>
        </w:rPr>
        <w:t>heksachlorobenzen</w:t>
      </w:r>
      <w:proofErr w:type="spellEnd"/>
      <w:r w:rsidRPr="0037569C">
        <w:rPr>
          <w:rFonts w:ascii="Arial" w:hAnsi="Arial" w:cs="Arial"/>
          <w:sz w:val="20"/>
          <w:szCs w:val="20"/>
        </w:rPr>
        <w:t xml:space="preserve">, </w:t>
      </w:r>
      <w:proofErr w:type="spellStart"/>
      <w:r w:rsidRPr="0037569C">
        <w:rPr>
          <w:rFonts w:ascii="Arial" w:hAnsi="Arial" w:cs="Arial"/>
          <w:sz w:val="20"/>
          <w:szCs w:val="20"/>
        </w:rPr>
        <w:t>dikofol</w:t>
      </w:r>
      <w:proofErr w:type="spellEnd"/>
      <w:r w:rsidRPr="0037569C">
        <w:rPr>
          <w:rFonts w:ascii="Arial" w:hAnsi="Arial" w:cs="Arial"/>
          <w:sz w:val="20"/>
          <w:szCs w:val="20"/>
        </w:rPr>
        <w:t xml:space="preserve"> oraz </w:t>
      </w:r>
      <w:proofErr w:type="spellStart"/>
      <w:r w:rsidRPr="0037569C">
        <w:rPr>
          <w:rFonts w:ascii="Arial" w:hAnsi="Arial" w:cs="Arial"/>
          <w:sz w:val="20"/>
          <w:szCs w:val="20"/>
        </w:rPr>
        <w:t>heptachlor</w:t>
      </w:r>
      <w:proofErr w:type="spellEnd"/>
      <w:r w:rsidRPr="0037569C">
        <w:rPr>
          <w:rFonts w:ascii="Arial" w:hAnsi="Arial" w:cs="Arial"/>
          <w:sz w:val="20"/>
          <w:szCs w:val="20"/>
        </w:rPr>
        <w:t xml:space="preserve"> i jego epoksyd. W</w:t>
      </w:r>
      <w:r w:rsidR="00E97C86">
        <w:rPr>
          <w:rFonts w:ascii="Arial" w:hAnsi="Arial" w:cs="Arial"/>
          <w:sz w:val="20"/>
          <w:szCs w:val="20"/>
        </w:rPr>
        <w:t> </w:t>
      </w:r>
      <w:r w:rsidRPr="0037569C">
        <w:rPr>
          <w:rFonts w:ascii="Arial" w:hAnsi="Arial" w:cs="Arial"/>
          <w:sz w:val="20"/>
          <w:szCs w:val="20"/>
        </w:rPr>
        <w:t xml:space="preserve">przypadku </w:t>
      </w:r>
      <w:proofErr w:type="spellStart"/>
      <w:r w:rsidRPr="0037569C">
        <w:rPr>
          <w:rFonts w:ascii="Arial" w:hAnsi="Arial" w:cs="Arial"/>
          <w:sz w:val="20"/>
          <w:szCs w:val="20"/>
        </w:rPr>
        <w:t>heksachlorobenzenu</w:t>
      </w:r>
      <w:proofErr w:type="spellEnd"/>
      <w:r w:rsidRPr="0037569C">
        <w:rPr>
          <w:rFonts w:ascii="Arial" w:hAnsi="Arial" w:cs="Arial"/>
          <w:sz w:val="20"/>
          <w:szCs w:val="20"/>
        </w:rPr>
        <w:t xml:space="preserve"> i </w:t>
      </w:r>
      <w:proofErr w:type="spellStart"/>
      <w:r w:rsidRPr="0037569C">
        <w:rPr>
          <w:rFonts w:ascii="Arial" w:hAnsi="Arial" w:cs="Arial"/>
          <w:sz w:val="20"/>
          <w:szCs w:val="20"/>
        </w:rPr>
        <w:t>dikofolu</w:t>
      </w:r>
      <w:proofErr w:type="spellEnd"/>
      <w:r w:rsidRPr="0037569C">
        <w:rPr>
          <w:rFonts w:ascii="Arial" w:hAnsi="Arial" w:cs="Arial"/>
          <w:sz w:val="20"/>
          <w:szCs w:val="20"/>
        </w:rPr>
        <w:t xml:space="preserve"> nie stwierdzono stężeń przekraczających granicę oznaczalności. W około 50,3 % przypadków dla rzek oraz w około 47,2 % dla jezior, stężenia </w:t>
      </w:r>
      <w:proofErr w:type="spellStart"/>
      <w:r w:rsidRPr="0037569C">
        <w:rPr>
          <w:rFonts w:ascii="Arial" w:hAnsi="Arial" w:cs="Arial"/>
          <w:sz w:val="20"/>
          <w:szCs w:val="20"/>
        </w:rPr>
        <w:t>heptachloru</w:t>
      </w:r>
      <w:proofErr w:type="spellEnd"/>
      <w:r w:rsidRPr="0037569C">
        <w:rPr>
          <w:rFonts w:ascii="Arial" w:hAnsi="Arial" w:cs="Arial"/>
          <w:sz w:val="20"/>
          <w:szCs w:val="20"/>
        </w:rPr>
        <w:t xml:space="preserve"> i jego epoksydu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2021 poz. 1475).</w:t>
      </w:r>
    </w:p>
    <w:p w14:paraId="35EA5D41" w14:textId="77777777" w:rsidR="00056846" w:rsidRPr="00925BCD" w:rsidRDefault="00E54725">
      <w:pPr>
        <w:pStyle w:val="Nagwek3"/>
        <w:numPr>
          <w:ilvl w:val="0"/>
          <w:numId w:val="0"/>
        </w:numPr>
        <w:spacing w:after="120" w:line="360" w:lineRule="auto"/>
        <w:ind w:left="709"/>
        <w:rPr>
          <w:i w:val="0"/>
          <w:sz w:val="20"/>
          <w:szCs w:val="20"/>
        </w:rPr>
      </w:pPr>
      <w:bookmarkStart w:id="32" w:name="_Toc134099260"/>
      <w:r w:rsidRPr="00925BCD">
        <w:rPr>
          <w:i w:val="0"/>
          <w:sz w:val="20"/>
          <w:szCs w:val="20"/>
        </w:rPr>
        <w:t>Podzadanie 2. Wody podziemne</w:t>
      </w:r>
      <w:bookmarkEnd w:id="32"/>
    </w:p>
    <w:p w14:paraId="7B08646C"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krajowego monitoringu jakości wód podziemnych były prowadzone badania zawartości związków organicznych, w tym pestycydów. </w:t>
      </w:r>
    </w:p>
    <w:p w14:paraId="0C016CF6" w14:textId="29EF7ED9"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384394">
        <w:rPr>
          <w:rFonts w:ascii="Arial" w:hAnsi="Arial" w:cs="Arial"/>
        </w:rPr>
        <w:t xml:space="preserve">latach </w:t>
      </w:r>
      <w:r w:rsidRPr="00925BCD">
        <w:rPr>
          <w:rFonts w:ascii="Arial" w:hAnsi="Arial" w:cs="Arial"/>
        </w:rPr>
        <w:t>2018</w:t>
      </w:r>
      <w:r w:rsidR="00384394">
        <w:rPr>
          <w:rFonts w:ascii="Arial" w:hAnsi="Arial" w:cs="Arial"/>
        </w:rPr>
        <w:t>–2020</w:t>
      </w:r>
      <w:r w:rsidR="00CB73E8">
        <w:rPr>
          <w:rFonts w:ascii="Arial" w:hAnsi="Arial" w:cs="Arial"/>
        </w:rPr>
        <w:t>,</w:t>
      </w:r>
      <w:r w:rsidR="00384394">
        <w:rPr>
          <w:rFonts w:ascii="Arial" w:hAnsi="Arial" w:cs="Arial"/>
        </w:rPr>
        <w:t xml:space="preserve"> kolejno </w:t>
      </w:r>
      <w:r w:rsidRPr="00925BCD">
        <w:rPr>
          <w:rFonts w:ascii="Arial" w:hAnsi="Arial" w:cs="Arial"/>
        </w:rPr>
        <w:t>w 154</w:t>
      </w:r>
      <w:r w:rsidR="00384394">
        <w:rPr>
          <w:rFonts w:ascii="Arial" w:hAnsi="Arial" w:cs="Arial"/>
        </w:rPr>
        <w:t>, 153 i 99</w:t>
      </w:r>
      <w:r w:rsidRPr="00925BCD">
        <w:rPr>
          <w:rFonts w:ascii="Arial" w:hAnsi="Arial" w:cs="Arial"/>
        </w:rPr>
        <w:t xml:space="preserve"> punktach pomiarowych zostały przeprowadzone </w:t>
      </w:r>
      <w:bookmarkStart w:id="33" w:name="_Hlk119483124"/>
      <w:r w:rsidRPr="00925BCD">
        <w:rPr>
          <w:rFonts w:ascii="Arial" w:hAnsi="Arial" w:cs="Arial"/>
        </w:rPr>
        <w:t>badania zawartości związków organicznych, w tym pestycydów</w:t>
      </w:r>
      <w:bookmarkEnd w:id="33"/>
      <w:r w:rsidRPr="00925BCD">
        <w:rPr>
          <w:rFonts w:ascii="Arial" w:hAnsi="Arial" w:cs="Arial"/>
        </w:rPr>
        <w:t>. W ramach prac analitycznych  wykonano odpowiednio 5</w:t>
      </w:r>
      <w:r w:rsidR="00384394">
        <w:rPr>
          <w:rFonts w:ascii="Arial" w:hAnsi="Arial" w:cs="Arial"/>
        </w:rPr>
        <w:t> </w:t>
      </w:r>
      <w:r w:rsidRPr="00925BCD">
        <w:rPr>
          <w:rFonts w:ascii="Arial" w:hAnsi="Arial" w:cs="Arial"/>
        </w:rPr>
        <w:t>288</w:t>
      </w:r>
      <w:r w:rsidR="00384394">
        <w:rPr>
          <w:rFonts w:ascii="Arial" w:hAnsi="Arial" w:cs="Arial"/>
        </w:rPr>
        <w:t>,</w:t>
      </w:r>
      <w:r w:rsidRPr="00925BCD">
        <w:rPr>
          <w:rFonts w:ascii="Arial" w:hAnsi="Arial" w:cs="Arial"/>
        </w:rPr>
        <w:t xml:space="preserve"> 5 202 </w:t>
      </w:r>
      <w:r w:rsidR="00384394">
        <w:rPr>
          <w:rFonts w:ascii="Arial" w:hAnsi="Arial" w:cs="Arial"/>
        </w:rPr>
        <w:t xml:space="preserve">i 3 366 </w:t>
      </w:r>
      <w:r w:rsidRPr="00925BCD">
        <w:rPr>
          <w:rFonts w:ascii="Arial" w:hAnsi="Arial" w:cs="Arial"/>
        </w:rPr>
        <w:t>oznacze</w:t>
      </w:r>
      <w:r w:rsidR="00384394">
        <w:rPr>
          <w:rFonts w:ascii="Arial" w:hAnsi="Arial" w:cs="Arial"/>
        </w:rPr>
        <w:t>ń</w:t>
      </w:r>
      <w:r w:rsidRPr="00925BCD">
        <w:rPr>
          <w:rFonts w:ascii="Arial" w:hAnsi="Arial" w:cs="Arial"/>
        </w:rPr>
        <w:t xml:space="preserve"> następujących związków z grupy pestycydów:</w:t>
      </w:r>
    </w:p>
    <w:p w14:paraId="2DBDD83C"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pestycydy </w:t>
      </w:r>
      <w:proofErr w:type="spellStart"/>
      <w:r w:rsidRPr="00925BCD">
        <w:rPr>
          <w:rFonts w:ascii="Arial" w:hAnsi="Arial" w:cs="Arial"/>
        </w:rPr>
        <w:t>chloroorganiczne</w:t>
      </w:r>
      <w:proofErr w:type="spellEnd"/>
      <w:r w:rsidRPr="00925BCD">
        <w:rPr>
          <w:rFonts w:ascii="Arial" w:hAnsi="Arial" w:cs="Arial"/>
        </w:rPr>
        <w:t xml:space="preserve">: a-chlordan, a-HCH, b-HCH, g-HCH, d-HCH, aldehyd </w:t>
      </w:r>
      <w:proofErr w:type="spellStart"/>
      <w:r w:rsidRPr="00925BCD">
        <w:rPr>
          <w:rFonts w:ascii="Arial" w:hAnsi="Arial" w:cs="Arial"/>
        </w:rPr>
        <w:t>endryny</w:t>
      </w:r>
      <w:proofErr w:type="spellEnd"/>
      <w:r w:rsidRPr="00925BCD">
        <w:rPr>
          <w:rFonts w:ascii="Arial" w:hAnsi="Arial" w:cs="Arial"/>
        </w:rPr>
        <w:t xml:space="preserve">, </w:t>
      </w:r>
      <w:proofErr w:type="spellStart"/>
      <w:r w:rsidRPr="00925BCD">
        <w:rPr>
          <w:rFonts w:ascii="Arial" w:hAnsi="Arial" w:cs="Arial"/>
        </w:rPr>
        <w:t>aldryna</w:t>
      </w:r>
      <w:proofErr w:type="spellEnd"/>
      <w:r w:rsidRPr="00925BCD">
        <w:rPr>
          <w:rFonts w:ascii="Arial" w:hAnsi="Arial" w:cs="Arial"/>
        </w:rPr>
        <w:t xml:space="preserve">, dieldryna, </w:t>
      </w:r>
      <w:proofErr w:type="spellStart"/>
      <w:r w:rsidRPr="00925BCD">
        <w:rPr>
          <w:rFonts w:ascii="Arial" w:hAnsi="Arial" w:cs="Arial"/>
        </w:rPr>
        <w:t>endosulfan</w:t>
      </w:r>
      <w:proofErr w:type="spellEnd"/>
      <w:r w:rsidRPr="00925BCD">
        <w:rPr>
          <w:rFonts w:ascii="Arial" w:hAnsi="Arial" w:cs="Arial"/>
        </w:rPr>
        <w:t xml:space="preserve"> I, </w:t>
      </w:r>
      <w:proofErr w:type="spellStart"/>
      <w:r w:rsidRPr="00925BCD">
        <w:rPr>
          <w:rFonts w:ascii="Arial" w:hAnsi="Arial" w:cs="Arial"/>
        </w:rPr>
        <w:t>endosulfan</w:t>
      </w:r>
      <w:proofErr w:type="spellEnd"/>
      <w:r w:rsidRPr="00925BCD">
        <w:rPr>
          <w:rFonts w:ascii="Arial" w:hAnsi="Arial" w:cs="Arial"/>
        </w:rPr>
        <w:t xml:space="preserve"> II, </w:t>
      </w:r>
      <w:proofErr w:type="spellStart"/>
      <w:r w:rsidRPr="00925BCD">
        <w:rPr>
          <w:rFonts w:ascii="Arial" w:hAnsi="Arial" w:cs="Arial"/>
        </w:rPr>
        <w:t>endryna</w:t>
      </w:r>
      <w:proofErr w:type="spellEnd"/>
      <w:r w:rsidRPr="00925BCD">
        <w:rPr>
          <w:rFonts w:ascii="Arial" w:hAnsi="Arial" w:cs="Arial"/>
        </w:rPr>
        <w:t xml:space="preserve">, epoksyd </w:t>
      </w:r>
      <w:proofErr w:type="spellStart"/>
      <w:r w:rsidRPr="00925BCD">
        <w:rPr>
          <w:rFonts w:ascii="Arial" w:hAnsi="Arial" w:cs="Arial"/>
        </w:rPr>
        <w:t>heptachloru</w:t>
      </w:r>
      <w:proofErr w:type="spellEnd"/>
      <w:r w:rsidRPr="00925BCD">
        <w:rPr>
          <w:rFonts w:ascii="Arial" w:hAnsi="Arial" w:cs="Arial"/>
        </w:rPr>
        <w:t xml:space="preserve">, g-chlordan, </w:t>
      </w:r>
      <w:proofErr w:type="spellStart"/>
      <w:r w:rsidRPr="00925BCD">
        <w:rPr>
          <w:rFonts w:ascii="Arial" w:hAnsi="Arial" w:cs="Arial"/>
        </w:rPr>
        <w:lastRenderedPageBreak/>
        <w:t>heptachlor</w:t>
      </w:r>
      <w:proofErr w:type="spellEnd"/>
      <w:r w:rsidRPr="00925BCD">
        <w:rPr>
          <w:rFonts w:ascii="Arial" w:hAnsi="Arial" w:cs="Arial"/>
        </w:rPr>
        <w:t xml:space="preserve">, keton </w:t>
      </w:r>
      <w:proofErr w:type="spellStart"/>
      <w:r w:rsidRPr="00925BCD">
        <w:rPr>
          <w:rFonts w:ascii="Arial" w:hAnsi="Arial" w:cs="Arial"/>
        </w:rPr>
        <w:t>endryny</w:t>
      </w:r>
      <w:proofErr w:type="spellEnd"/>
      <w:r w:rsidRPr="00925BCD">
        <w:rPr>
          <w:rFonts w:ascii="Arial" w:hAnsi="Arial" w:cs="Arial"/>
        </w:rPr>
        <w:t xml:space="preserve">, </w:t>
      </w:r>
      <w:proofErr w:type="spellStart"/>
      <w:r w:rsidRPr="00925BCD">
        <w:rPr>
          <w:rFonts w:ascii="Arial" w:hAnsi="Arial" w:cs="Arial"/>
        </w:rPr>
        <w:t>metoksychlor</w:t>
      </w:r>
      <w:proofErr w:type="spellEnd"/>
      <w:r w:rsidRPr="00925BCD">
        <w:rPr>
          <w:rFonts w:ascii="Arial" w:hAnsi="Arial" w:cs="Arial"/>
        </w:rPr>
        <w:t xml:space="preserve">, siarczan </w:t>
      </w:r>
      <w:proofErr w:type="spellStart"/>
      <w:r w:rsidRPr="00925BCD">
        <w:rPr>
          <w:rFonts w:ascii="Arial" w:hAnsi="Arial" w:cs="Arial"/>
        </w:rPr>
        <w:t>endosulfanu</w:t>
      </w:r>
      <w:proofErr w:type="spellEnd"/>
      <w:r w:rsidRPr="00925BCD">
        <w:rPr>
          <w:rFonts w:ascii="Arial" w:hAnsi="Arial" w:cs="Arial"/>
        </w:rPr>
        <w:t xml:space="preserve">, </w:t>
      </w:r>
      <w:proofErr w:type="spellStart"/>
      <w:r w:rsidRPr="00925BCD">
        <w:rPr>
          <w:rFonts w:ascii="Arial" w:hAnsi="Arial" w:cs="Arial"/>
        </w:rPr>
        <w:t>p,p</w:t>
      </w:r>
      <w:proofErr w:type="spellEnd"/>
      <w:r w:rsidRPr="00925BCD">
        <w:rPr>
          <w:rFonts w:ascii="Arial" w:hAnsi="Arial" w:cs="Arial"/>
        </w:rPr>
        <w:t xml:space="preserve">'-DDD, </w:t>
      </w:r>
      <w:proofErr w:type="spellStart"/>
      <w:r w:rsidRPr="00925BCD">
        <w:rPr>
          <w:rFonts w:ascii="Arial" w:hAnsi="Arial" w:cs="Arial"/>
        </w:rPr>
        <w:t>p,p</w:t>
      </w:r>
      <w:proofErr w:type="spellEnd"/>
      <w:r w:rsidRPr="00925BCD">
        <w:rPr>
          <w:rFonts w:ascii="Arial" w:hAnsi="Arial" w:cs="Arial"/>
        </w:rPr>
        <w:t xml:space="preserve">'-DDE, </w:t>
      </w:r>
      <w:proofErr w:type="spellStart"/>
      <w:r w:rsidRPr="00925BCD">
        <w:rPr>
          <w:rFonts w:ascii="Arial" w:hAnsi="Arial" w:cs="Arial"/>
        </w:rPr>
        <w:t>p,p</w:t>
      </w:r>
      <w:proofErr w:type="spellEnd"/>
      <w:r w:rsidRPr="00925BCD">
        <w:rPr>
          <w:rFonts w:ascii="Arial" w:hAnsi="Arial" w:cs="Arial"/>
        </w:rPr>
        <w:t>'-DDT;</w:t>
      </w:r>
    </w:p>
    <w:p w14:paraId="671D387B"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lang w:val="en-GB"/>
        </w:rPr>
      </w:pPr>
      <w:proofErr w:type="spellStart"/>
      <w:r w:rsidRPr="00925BCD">
        <w:rPr>
          <w:rFonts w:ascii="Arial" w:hAnsi="Arial" w:cs="Arial"/>
          <w:lang w:val="en-GB"/>
        </w:rPr>
        <w:t>pestycydy</w:t>
      </w:r>
      <w:proofErr w:type="spellEnd"/>
      <w:r w:rsidRPr="00925BCD">
        <w:rPr>
          <w:rFonts w:ascii="Arial" w:hAnsi="Arial" w:cs="Arial"/>
          <w:lang w:val="en-GB"/>
        </w:rPr>
        <w:t xml:space="preserve"> </w:t>
      </w:r>
      <w:proofErr w:type="spellStart"/>
      <w:r w:rsidRPr="00925BCD">
        <w:rPr>
          <w:rFonts w:ascii="Arial" w:hAnsi="Arial" w:cs="Arial"/>
          <w:lang w:val="en-GB"/>
        </w:rPr>
        <w:t>fosforoorganiczne</w:t>
      </w:r>
      <w:proofErr w:type="spellEnd"/>
      <w:r w:rsidRPr="00925BCD">
        <w:rPr>
          <w:rFonts w:ascii="Arial" w:hAnsi="Arial" w:cs="Arial"/>
          <w:lang w:val="en-GB"/>
        </w:rPr>
        <w:t xml:space="preserve">: </w:t>
      </w:r>
      <w:proofErr w:type="spellStart"/>
      <w:r w:rsidRPr="00925BCD">
        <w:rPr>
          <w:rFonts w:ascii="Arial" w:hAnsi="Arial" w:cs="Arial"/>
          <w:lang w:val="en-GB"/>
        </w:rPr>
        <w:t>chlorfenwinfos</w:t>
      </w:r>
      <w:proofErr w:type="spellEnd"/>
      <w:r w:rsidRPr="00925BCD">
        <w:rPr>
          <w:rFonts w:ascii="Arial" w:hAnsi="Arial" w:cs="Arial"/>
          <w:lang w:val="en-GB"/>
        </w:rPr>
        <w:t xml:space="preserve">, </w:t>
      </w:r>
      <w:proofErr w:type="spellStart"/>
      <w:r w:rsidRPr="00925BCD">
        <w:rPr>
          <w:rFonts w:ascii="Arial" w:hAnsi="Arial" w:cs="Arial"/>
          <w:lang w:val="en-GB"/>
        </w:rPr>
        <w:t>diazynon</w:t>
      </w:r>
      <w:proofErr w:type="spellEnd"/>
      <w:r w:rsidRPr="00925BCD">
        <w:rPr>
          <w:rFonts w:ascii="Arial" w:hAnsi="Arial" w:cs="Arial"/>
          <w:lang w:val="en-GB"/>
        </w:rPr>
        <w:t xml:space="preserve">, </w:t>
      </w:r>
      <w:proofErr w:type="spellStart"/>
      <w:r w:rsidRPr="00925BCD">
        <w:rPr>
          <w:rFonts w:ascii="Arial" w:hAnsi="Arial" w:cs="Arial"/>
          <w:lang w:val="en-GB"/>
        </w:rPr>
        <w:t>dichlorfos</w:t>
      </w:r>
      <w:proofErr w:type="spellEnd"/>
      <w:r w:rsidRPr="00925BCD">
        <w:rPr>
          <w:rFonts w:ascii="Arial" w:hAnsi="Arial" w:cs="Arial"/>
          <w:lang w:val="en-GB"/>
        </w:rPr>
        <w:t xml:space="preserve">, </w:t>
      </w:r>
      <w:proofErr w:type="spellStart"/>
      <w:r w:rsidRPr="00925BCD">
        <w:rPr>
          <w:rFonts w:ascii="Arial" w:hAnsi="Arial" w:cs="Arial"/>
          <w:lang w:val="en-GB"/>
        </w:rPr>
        <w:t>fenitrotion</w:t>
      </w:r>
      <w:proofErr w:type="spellEnd"/>
      <w:r w:rsidRPr="00925BCD">
        <w:rPr>
          <w:rFonts w:ascii="Arial" w:hAnsi="Arial" w:cs="Arial"/>
          <w:lang w:val="en-GB"/>
        </w:rPr>
        <w:t xml:space="preserve">, </w:t>
      </w:r>
      <w:proofErr w:type="spellStart"/>
      <w:r w:rsidRPr="00925BCD">
        <w:rPr>
          <w:rFonts w:ascii="Arial" w:hAnsi="Arial" w:cs="Arial"/>
          <w:lang w:val="en-GB"/>
        </w:rPr>
        <w:t>fention</w:t>
      </w:r>
      <w:proofErr w:type="spellEnd"/>
      <w:r w:rsidRPr="00925BCD">
        <w:rPr>
          <w:rFonts w:ascii="Arial" w:hAnsi="Arial" w:cs="Arial"/>
          <w:lang w:val="en-GB"/>
        </w:rPr>
        <w:t xml:space="preserve">, </w:t>
      </w:r>
      <w:proofErr w:type="spellStart"/>
      <w:r w:rsidRPr="00925BCD">
        <w:rPr>
          <w:rFonts w:ascii="Arial" w:hAnsi="Arial" w:cs="Arial"/>
          <w:lang w:val="en-GB"/>
        </w:rPr>
        <w:t>malation</w:t>
      </w:r>
      <w:proofErr w:type="spellEnd"/>
      <w:r w:rsidRPr="00925BCD">
        <w:rPr>
          <w:rFonts w:ascii="Arial" w:hAnsi="Arial" w:cs="Arial"/>
          <w:lang w:val="en-GB"/>
        </w:rPr>
        <w:t xml:space="preserve">, </w:t>
      </w:r>
      <w:proofErr w:type="spellStart"/>
      <w:r w:rsidRPr="00925BCD">
        <w:rPr>
          <w:rFonts w:ascii="Arial" w:hAnsi="Arial" w:cs="Arial"/>
          <w:lang w:val="en-GB"/>
        </w:rPr>
        <w:t>mewinfos</w:t>
      </w:r>
      <w:proofErr w:type="spellEnd"/>
      <w:r w:rsidRPr="00925BCD">
        <w:rPr>
          <w:rFonts w:ascii="Arial" w:hAnsi="Arial" w:cs="Arial"/>
          <w:lang w:val="en-GB"/>
        </w:rPr>
        <w:t xml:space="preserve">, </w:t>
      </w:r>
      <w:proofErr w:type="spellStart"/>
      <w:r w:rsidRPr="00925BCD">
        <w:rPr>
          <w:rFonts w:ascii="Arial" w:hAnsi="Arial" w:cs="Arial"/>
          <w:lang w:val="en-GB"/>
        </w:rPr>
        <w:t>paration</w:t>
      </w:r>
      <w:proofErr w:type="spellEnd"/>
      <w:r w:rsidRPr="00925BCD">
        <w:rPr>
          <w:rFonts w:ascii="Arial" w:hAnsi="Arial" w:cs="Arial"/>
          <w:lang w:val="en-GB"/>
        </w:rPr>
        <w:t xml:space="preserve"> </w:t>
      </w:r>
      <w:proofErr w:type="spellStart"/>
      <w:r w:rsidRPr="00925BCD">
        <w:rPr>
          <w:rFonts w:ascii="Arial" w:hAnsi="Arial" w:cs="Arial"/>
          <w:lang w:val="en-GB"/>
        </w:rPr>
        <w:t>etylowy</w:t>
      </w:r>
      <w:proofErr w:type="spellEnd"/>
      <w:r w:rsidRPr="00925BCD">
        <w:rPr>
          <w:rFonts w:ascii="Arial" w:hAnsi="Arial" w:cs="Arial"/>
          <w:lang w:val="en-GB"/>
        </w:rPr>
        <w:t xml:space="preserve">, </w:t>
      </w:r>
      <w:proofErr w:type="spellStart"/>
      <w:r w:rsidRPr="00925BCD">
        <w:rPr>
          <w:rFonts w:ascii="Arial" w:hAnsi="Arial" w:cs="Arial"/>
          <w:lang w:val="en-GB"/>
        </w:rPr>
        <w:t>paration</w:t>
      </w:r>
      <w:proofErr w:type="spellEnd"/>
      <w:r w:rsidRPr="00925BCD">
        <w:rPr>
          <w:rFonts w:ascii="Arial" w:hAnsi="Arial" w:cs="Arial"/>
          <w:lang w:val="en-GB"/>
        </w:rPr>
        <w:t xml:space="preserve"> </w:t>
      </w:r>
      <w:proofErr w:type="spellStart"/>
      <w:r w:rsidRPr="00925BCD">
        <w:rPr>
          <w:rFonts w:ascii="Arial" w:hAnsi="Arial" w:cs="Arial"/>
          <w:lang w:val="en-GB"/>
        </w:rPr>
        <w:t>metylowy</w:t>
      </w:r>
      <w:proofErr w:type="spellEnd"/>
      <w:r w:rsidRPr="00925BCD">
        <w:rPr>
          <w:rFonts w:ascii="Arial" w:hAnsi="Arial" w:cs="Arial"/>
          <w:lang w:val="en-GB"/>
        </w:rPr>
        <w:t xml:space="preserve">, </w:t>
      </w:r>
      <w:proofErr w:type="spellStart"/>
      <w:r w:rsidRPr="00925BCD">
        <w:rPr>
          <w:rFonts w:ascii="Arial" w:hAnsi="Arial" w:cs="Arial"/>
          <w:lang w:val="en-GB"/>
        </w:rPr>
        <w:t>tiometon</w:t>
      </w:r>
      <w:proofErr w:type="spellEnd"/>
      <w:r w:rsidRPr="00925BCD">
        <w:rPr>
          <w:rFonts w:ascii="Arial" w:hAnsi="Arial" w:cs="Arial"/>
          <w:lang w:val="en-GB"/>
        </w:rPr>
        <w:t>;</w:t>
      </w:r>
    </w:p>
    <w:p w14:paraId="670CB9D9"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pestycydy </w:t>
      </w:r>
      <w:proofErr w:type="spellStart"/>
      <w:r w:rsidRPr="00925BCD">
        <w:rPr>
          <w:rFonts w:ascii="Arial" w:hAnsi="Arial" w:cs="Arial"/>
        </w:rPr>
        <w:t>triazynowe</w:t>
      </w:r>
      <w:proofErr w:type="spellEnd"/>
      <w:r w:rsidRPr="00925BCD">
        <w:rPr>
          <w:rFonts w:ascii="Arial" w:hAnsi="Arial" w:cs="Arial"/>
        </w:rPr>
        <w:t xml:space="preserve">: </w:t>
      </w:r>
      <w:proofErr w:type="spellStart"/>
      <w:r w:rsidRPr="00925BCD">
        <w:rPr>
          <w:rFonts w:ascii="Arial" w:hAnsi="Arial" w:cs="Arial"/>
        </w:rPr>
        <w:t>symazyna</w:t>
      </w:r>
      <w:proofErr w:type="spellEnd"/>
      <w:r w:rsidRPr="00925BCD">
        <w:rPr>
          <w:rFonts w:ascii="Arial" w:hAnsi="Arial" w:cs="Arial"/>
        </w:rPr>
        <w:t xml:space="preserve">, </w:t>
      </w:r>
      <w:proofErr w:type="spellStart"/>
      <w:r w:rsidRPr="00925BCD">
        <w:rPr>
          <w:rFonts w:ascii="Arial" w:hAnsi="Arial" w:cs="Arial"/>
        </w:rPr>
        <w:t>atrazyna</w:t>
      </w:r>
      <w:proofErr w:type="spellEnd"/>
      <w:r w:rsidRPr="00925BCD">
        <w:rPr>
          <w:rFonts w:ascii="Arial" w:hAnsi="Arial" w:cs="Arial"/>
        </w:rPr>
        <w:t xml:space="preserve">, </w:t>
      </w:r>
      <w:proofErr w:type="spellStart"/>
      <w:r w:rsidRPr="00925BCD">
        <w:rPr>
          <w:rFonts w:ascii="Arial" w:hAnsi="Arial" w:cs="Arial"/>
        </w:rPr>
        <w:t>propazyna</w:t>
      </w:r>
      <w:proofErr w:type="spellEnd"/>
      <w:r w:rsidRPr="00925BCD">
        <w:rPr>
          <w:rFonts w:ascii="Arial" w:hAnsi="Arial" w:cs="Arial"/>
        </w:rPr>
        <w:t xml:space="preserve">, </w:t>
      </w:r>
      <w:proofErr w:type="spellStart"/>
      <w:r w:rsidRPr="00925BCD">
        <w:rPr>
          <w:rFonts w:ascii="Arial" w:hAnsi="Arial" w:cs="Arial"/>
        </w:rPr>
        <w:t>prometryna</w:t>
      </w:r>
      <w:proofErr w:type="spellEnd"/>
      <w:r w:rsidRPr="00925BCD">
        <w:rPr>
          <w:rFonts w:ascii="Arial" w:hAnsi="Arial" w:cs="Arial"/>
        </w:rPr>
        <w:t xml:space="preserve"> i </w:t>
      </w:r>
      <w:proofErr w:type="spellStart"/>
      <w:r w:rsidRPr="00925BCD">
        <w:rPr>
          <w:rFonts w:ascii="Arial" w:hAnsi="Arial" w:cs="Arial"/>
        </w:rPr>
        <w:t>terbutryna</w:t>
      </w:r>
      <w:proofErr w:type="spellEnd"/>
      <w:r w:rsidRPr="00925BCD">
        <w:rPr>
          <w:rFonts w:ascii="Arial" w:hAnsi="Arial" w:cs="Arial"/>
        </w:rPr>
        <w:t>.</w:t>
      </w:r>
    </w:p>
    <w:p w14:paraId="6E429AA3"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przeprowadzonych w 2018 r.</w:t>
      </w:r>
      <w:r w:rsidRPr="00925BCD">
        <w:rPr>
          <w:rFonts w:ascii="Arial" w:hAnsi="Arial" w:cs="Arial"/>
        </w:rPr>
        <w:t xml:space="preserve"> wykazały, że w odniesieniu do poszczególnych pestycydów i sumy pestycydów w żadnym punkcie pomiarowym nie zostały przekroczone wartości progowe dobrego stanu chemicznego wód podziemnych (wg rozporządzenia Ministra Środowiska z dnia 21 grudnia 2015 r. w sprawie kryteriów i sposobu oceny stanu jednolitych części wód podziemnych). W 136 punktach pomiarowych (spośród 154 punktów objętych badaniami) zawartość pestycydów była poniżej granicy oznaczalności, w 11 punktach odnotowano wartości równe granicy oznaczalności, a w 7 punktach wartości powyżej granicy oznaczalności, ale osiągające maksymalnie wartość 0,012 µg/l.</w:t>
      </w:r>
    </w:p>
    <w:p w14:paraId="0C335322"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Związki z grupy pestycydów, dla których odnotowano wartości równe lub powyżej granicy oznaczalności to: </w:t>
      </w:r>
      <w:proofErr w:type="spellStart"/>
      <w:r w:rsidRPr="00925BCD">
        <w:rPr>
          <w:rFonts w:ascii="Arial" w:hAnsi="Arial" w:cs="Arial"/>
        </w:rPr>
        <w:t>p,p</w:t>
      </w:r>
      <w:proofErr w:type="spellEnd"/>
      <w:r w:rsidRPr="00925BCD">
        <w:rPr>
          <w:rFonts w:ascii="Arial" w:hAnsi="Arial" w:cs="Arial"/>
        </w:rPr>
        <w:t xml:space="preserve">'-DDE,  </w:t>
      </w:r>
      <w:proofErr w:type="spellStart"/>
      <w:r w:rsidRPr="00925BCD">
        <w:rPr>
          <w:rFonts w:ascii="Arial" w:hAnsi="Arial" w:cs="Arial"/>
        </w:rPr>
        <w:t>p,p</w:t>
      </w:r>
      <w:proofErr w:type="spellEnd"/>
      <w:r w:rsidRPr="00925BCD">
        <w:rPr>
          <w:rFonts w:ascii="Arial" w:hAnsi="Arial" w:cs="Arial"/>
        </w:rPr>
        <w:t xml:space="preserve">'-DDD, aldehyd </w:t>
      </w:r>
      <w:proofErr w:type="spellStart"/>
      <w:r w:rsidRPr="00925BCD">
        <w:rPr>
          <w:rFonts w:ascii="Arial" w:hAnsi="Arial" w:cs="Arial"/>
        </w:rPr>
        <w:t>endryny</w:t>
      </w:r>
      <w:proofErr w:type="spellEnd"/>
      <w:r w:rsidRPr="00925BCD">
        <w:rPr>
          <w:rFonts w:ascii="Arial" w:hAnsi="Arial" w:cs="Arial"/>
        </w:rPr>
        <w:t xml:space="preserve">, </w:t>
      </w:r>
      <w:proofErr w:type="spellStart"/>
      <w:r w:rsidRPr="00925BCD">
        <w:rPr>
          <w:rFonts w:ascii="Arial" w:hAnsi="Arial" w:cs="Arial"/>
        </w:rPr>
        <w:t>symazyna</w:t>
      </w:r>
      <w:proofErr w:type="spellEnd"/>
      <w:r w:rsidRPr="00925BCD">
        <w:rPr>
          <w:rFonts w:ascii="Arial" w:hAnsi="Arial" w:cs="Arial"/>
        </w:rPr>
        <w:t xml:space="preserve"> i </w:t>
      </w:r>
      <w:proofErr w:type="spellStart"/>
      <w:r w:rsidRPr="00925BCD">
        <w:rPr>
          <w:rFonts w:ascii="Arial" w:hAnsi="Arial" w:cs="Arial"/>
        </w:rPr>
        <w:t>atrazyna</w:t>
      </w:r>
      <w:proofErr w:type="spellEnd"/>
      <w:r w:rsidRPr="00925BCD">
        <w:rPr>
          <w:rFonts w:ascii="Arial" w:hAnsi="Arial" w:cs="Arial"/>
        </w:rPr>
        <w:t>.</w:t>
      </w:r>
    </w:p>
    <w:p w14:paraId="2808F2D4"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przeprowadzonych w 2019 r.</w:t>
      </w:r>
      <w:r w:rsidRPr="00925BCD">
        <w:rPr>
          <w:rFonts w:ascii="Arial" w:hAnsi="Arial" w:cs="Arial"/>
        </w:rPr>
        <w:t xml:space="preserve"> podobnie jak w 2018 r. wykazały, że w odniesieniu do poszczególnych pestycydów i sumy pestycydów w żadnym punkcie pomiarowym nie zostały przekroczone wartości progowe dobrego stanu chemicznego wód podziemnych (wg Rozporządzenia Ministra Gospodarki Morskiej i Żeglugi Śródlądowej z dnia 11 października 2019 r. w sprawie kryteriów i sposobu oceny stanu jednolitych części wód podziemnych). W 125 punktach pomiarowych (spośród 153 punktów objętych badaniami) zawartość pestycydów była poniżej granicy oznaczalności (LOQ), w</w:t>
      </w:r>
      <w:r w:rsidR="009C7B7A" w:rsidRPr="00925BCD">
        <w:rPr>
          <w:rFonts w:ascii="Arial" w:hAnsi="Arial" w:cs="Arial"/>
        </w:rPr>
        <w:t> </w:t>
      </w:r>
      <w:r w:rsidRPr="00925BCD">
        <w:rPr>
          <w:rFonts w:ascii="Arial" w:hAnsi="Arial" w:cs="Arial"/>
        </w:rPr>
        <w:t>21 punktach odnotowano wartości równe LOQ, a w 7 punktach wartości powyżej LOQ, ale osiągające maksymalnie wartość 0,1 µg/l (0,0001 mg/l).</w:t>
      </w:r>
    </w:p>
    <w:p w14:paraId="7A5880AF" w14:textId="77777777" w:rsidR="00056846"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Związki z grupy pestycydów, dla których odnotowano wartości równe lub powyżej LOQ to: d-HCH, </w:t>
      </w:r>
      <w:proofErr w:type="spellStart"/>
      <w:r w:rsidRPr="00925BCD">
        <w:rPr>
          <w:rFonts w:ascii="Arial" w:hAnsi="Arial" w:cs="Arial"/>
        </w:rPr>
        <w:t>endosulfan</w:t>
      </w:r>
      <w:proofErr w:type="spellEnd"/>
      <w:r w:rsidRPr="00925BCD">
        <w:rPr>
          <w:rFonts w:ascii="Arial" w:hAnsi="Arial" w:cs="Arial"/>
        </w:rPr>
        <w:t xml:space="preserve"> I, </w:t>
      </w:r>
      <w:proofErr w:type="spellStart"/>
      <w:r w:rsidRPr="00925BCD">
        <w:rPr>
          <w:rFonts w:ascii="Arial" w:hAnsi="Arial" w:cs="Arial"/>
        </w:rPr>
        <w:t>dieldryna,p,p</w:t>
      </w:r>
      <w:proofErr w:type="spellEnd"/>
      <w:r w:rsidRPr="00925BCD">
        <w:rPr>
          <w:rFonts w:ascii="Arial" w:hAnsi="Arial" w:cs="Arial"/>
        </w:rPr>
        <w:t>'-</w:t>
      </w:r>
      <w:proofErr w:type="spellStart"/>
      <w:r w:rsidRPr="00925BCD">
        <w:rPr>
          <w:rFonts w:ascii="Arial" w:hAnsi="Arial" w:cs="Arial"/>
        </w:rPr>
        <w:t>DDE,p,p</w:t>
      </w:r>
      <w:proofErr w:type="spellEnd"/>
      <w:r w:rsidRPr="00925BCD">
        <w:rPr>
          <w:rFonts w:ascii="Arial" w:hAnsi="Arial" w:cs="Arial"/>
        </w:rPr>
        <w:t xml:space="preserve">'-DDD, </w:t>
      </w:r>
      <w:proofErr w:type="spellStart"/>
      <w:r w:rsidRPr="00925BCD">
        <w:rPr>
          <w:rFonts w:ascii="Arial" w:hAnsi="Arial" w:cs="Arial"/>
        </w:rPr>
        <w:t>ketonendryny</w:t>
      </w:r>
      <w:proofErr w:type="spellEnd"/>
      <w:r w:rsidRPr="00925BCD">
        <w:rPr>
          <w:rFonts w:ascii="Arial" w:hAnsi="Arial" w:cs="Arial"/>
        </w:rPr>
        <w:t xml:space="preserve">, </w:t>
      </w:r>
      <w:proofErr w:type="spellStart"/>
      <w:r w:rsidRPr="00925BCD">
        <w:rPr>
          <w:rFonts w:ascii="Arial" w:hAnsi="Arial" w:cs="Arial"/>
        </w:rPr>
        <w:t>symazyna</w:t>
      </w:r>
      <w:proofErr w:type="spellEnd"/>
      <w:r w:rsidRPr="00925BCD">
        <w:rPr>
          <w:rFonts w:ascii="Arial" w:hAnsi="Arial" w:cs="Arial"/>
        </w:rPr>
        <w:t xml:space="preserve"> i </w:t>
      </w:r>
      <w:proofErr w:type="spellStart"/>
      <w:r w:rsidRPr="00925BCD">
        <w:rPr>
          <w:rFonts w:ascii="Arial" w:hAnsi="Arial" w:cs="Arial"/>
        </w:rPr>
        <w:t>atrazyna</w:t>
      </w:r>
      <w:proofErr w:type="spellEnd"/>
      <w:r w:rsidRPr="00925BCD">
        <w:rPr>
          <w:rFonts w:ascii="Arial" w:hAnsi="Arial" w:cs="Arial"/>
        </w:rPr>
        <w:t>.</w:t>
      </w:r>
    </w:p>
    <w:p w14:paraId="439CCA84" w14:textId="6556E55C" w:rsidR="00384394" w:rsidRPr="00925BCD" w:rsidRDefault="00384394" w:rsidP="0038439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w:t>
      </w:r>
      <w:r>
        <w:rPr>
          <w:rFonts w:ascii="Arial" w:hAnsi="Arial" w:cs="Arial"/>
          <w:b/>
          <w:bCs/>
        </w:rPr>
        <w:t>ki badań przeprowadzonych w 2020</w:t>
      </w:r>
      <w:r w:rsidRPr="00925BCD">
        <w:rPr>
          <w:rFonts w:ascii="Arial" w:hAnsi="Arial" w:cs="Arial"/>
          <w:b/>
          <w:bCs/>
        </w:rPr>
        <w:t xml:space="preserve"> r.</w:t>
      </w:r>
      <w:r w:rsidRPr="00925BCD">
        <w:rPr>
          <w:rFonts w:ascii="Arial" w:hAnsi="Arial" w:cs="Arial"/>
        </w:rPr>
        <w:t xml:space="preserve"> wykazały, że w odniesieniu do poszczególnych pestycydów i sumy pestycydów w żadnym punkcie pomiarowym nie zostały przekroczone wartości progowe dobrego stanu chemicznego wód podziemnych (wg rozporządzenia Ministra </w:t>
      </w:r>
      <w:r w:rsidRPr="006D6C68">
        <w:rPr>
          <w:rFonts w:ascii="Arial" w:hAnsi="Arial" w:cs="Arial"/>
        </w:rPr>
        <w:t>Gospodarki Morskiej i Żeglugi Śródlądowej z dnia 11 października 2019 r. w sprawie kryteriów i sposobu oceny stanu jednolitych części wód podziemnych</w:t>
      </w:r>
      <w:r w:rsidRPr="00925BCD">
        <w:rPr>
          <w:rFonts w:ascii="Arial" w:hAnsi="Arial" w:cs="Arial"/>
        </w:rPr>
        <w:t xml:space="preserve">). W </w:t>
      </w:r>
      <w:r>
        <w:rPr>
          <w:rFonts w:ascii="Arial" w:hAnsi="Arial" w:cs="Arial"/>
        </w:rPr>
        <w:t>77</w:t>
      </w:r>
      <w:r w:rsidRPr="00925BCD">
        <w:rPr>
          <w:rFonts w:ascii="Arial" w:hAnsi="Arial" w:cs="Arial"/>
        </w:rPr>
        <w:t xml:space="preserve"> punktach pomiarowych (spośród </w:t>
      </w:r>
      <w:r>
        <w:rPr>
          <w:rFonts w:ascii="Arial" w:hAnsi="Arial" w:cs="Arial"/>
        </w:rPr>
        <w:t>99</w:t>
      </w:r>
      <w:r w:rsidRPr="00925BCD">
        <w:rPr>
          <w:rFonts w:ascii="Arial" w:hAnsi="Arial" w:cs="Arial"/>
        </w:rPr>
        <w:t xml:space="preserve"> punktów objętych badaniami) zawartość pestycydów była poniżej granicy oznaczalności, w </w:t>
      </w:r>
      <w:r>
        <w:rPr>
          <w:rFonts w:ascii="Arial" w:hAnsi="Arial" w:cs="Arial"/>
        </w:rPr>
        <w:t>19</w:t>
      </w:r>
      <w:r w:rsidRPr="00925BCD">
        <w:rPr>
          <w:rFonts w:ascii="Arial" w:hAnsi="Arial" w:cs="Arial"/>
        </w:rPr>
        <w:t xml:space="preserve"> punktach odnotowano wartości równe granicy oznaczalności, a w </w:t>
      </w:r>
      <w:r>
        <w:rPr>
          <w:rFonts w:ascii="Arial" w:hAnsi="Arial" w:cs="Arial"/>
        </w:rPr>
        <w:t>3</w:t>
      </w:r>
      <w:r w:rsidRPr="00925BCD">
        <w:rPr>
          <w:rFonts w:ascii="Arial" w:hAnsi="Arial" w:cs="Arial"/>
        </w:rPr>
        <w:t xml:space="preserve"> punktach wartości powyżej granicy oznaczalności, ale</w:t>
      </w:r>
      <w:r w:rsidR="001E5D83">
        <w:rPr>
          <w:rFonts w:ascii="Arial" w:hAnsi="Arial" w:cs="Arial"/>
        </w:rPr>
        <w:t> </w:t>
      </w:r>
      <w:r w:rsidRPr="00925BCD">
        <w:rPr>
          <w:rFonts w:ascii="Arial" w:hAnsi="Arial" w:cs="Arial"/>
        </w:rPr>
        <w:t>osią</w:t>
      </w:r>
      <w:r>
        <w:rPr>
          <w:rFonts w:ascii="Arial" w:hAnsi="Arial" w:cs="Arial"/>
        </w:rPr>
        <w:t>gające maksymalnie wartość 0,08</w:t>
      </w:r>
      <w:r w:rsidRPr="00925BCD">
        <w:rPr>
          <w:rFonts w:ascii="Arial" w:hAnsi="Arial" w:cs="Arial"/>
        </w:rPr>
        <w:t xml:space="preserve"> µg/l.</w:t>
      </w:r>
    </w:p>
    <w:p w14:paraId="59B7C123" w14:textId="3C55CF08" w:rsidR="00443E8A" w:rsidRDefault="00384394"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Związki z </w:t>
      </w:r>
      <w:r w:rsidRPr="008E0537">
        <w:rPr>
          <w:rFonts w:ascii="Arial" w:hAnsi="Arial" w:cs="Arial"/>
        </w:rPr>
        <w:t xml:space="preserve">grupy pestycydów, dla których odnotowano wartości równe lub powyżej granicy oznaczalności to: </w:t>
      </w:r>
      <w:proofErr w:type="spellStart"/>
      <w:r w:rsidRPr="008E0537">
        <w:rPr>
          <w:rFonts w:ascii="Arial" w:hAnsi="Arial" w:cs="Arial"/>
        </w:rPr>
        <w:t>p,p</w:t>
      </w:r>
      <w:proofErr w:type="spellEnd"/>
      <w:r w:rsidRPr="008E0537">
        <w:rPr>
          <w:rFonts w:ascii="Arial" w:hAnsi="Arial" w:cs="Arial"/>
        </w:rPr>
        <w:t xml:space="preserve">'-DDE,  </w:t>
      </w:r>
      <w:proofErr w:type="spellStart"/>
      <w:r w:rsidRPr="008E0537">
        <w:rPr>
          <w:rFonts w:ascii="Arial" w:hAnsi="Arial" w:cs="Arial"/>
        </w:rPr>
        <w:t>p,p</w:t>
      </w:r>
      <w:proofErr w:type="spellEnd"/>
      <w:r w:rsidRPr="008E0537">
        <w:rPr>
          <w:rFonts w:ascii="Arial" w:hAnsi="Arial" w:cs="Arial"/>
        </w:rPr>
        <w:t xml:space="preserve">'-DDD, dieldryna, keton </w:t>
      </w:r>
      <w:proofErr w:type="spellStart"/>
      <w:r w:rsidRPr="008E0537">
        <w:rPr>
          <w:rFonts w:ascii="Arial" w:hAnsi="Arial" w:cs="Arial"/>
        </w:rPr>
        <w:t>endryny</w:t>
      </w:r>
      <w:proofErr w:type="spellEnd"/>
      <w:r w:rsidRPr="008E0537">
        <w:rPr>
          <w:rFonts w:ascii="Arial" w:hAnsi="Arial" w:cs="Arial"/>
        </w:rPr>
        <w:t xml:space="preserve">, </w:t>
      </w:r>
      <w:proofErr w:type="spellStart"/>
      <w:r w:rsidRPr="008E0537">
        <w:rPr>
          <w:rFonts w:ascii="Arial" w:hAnsi="Arial" w:cs="Arial"/>
        </w:rPr>
        <w:t>symazyna</w:t>
      </w:r>
      <w:proofErr w:type="spellEnd"/>
      <w:r w:rsidRPr="008E0537">
        <w:rPr>
          <w:rFonts w:ascii="Arial" w:hAnsi="Arial" w:cs="Arial"/>
        </w:rPr>
        <w:t xml:space="preserve"> i </w:t>
      </w:r>
      <w:proofErr w:type="spellStart"/>
      <w:r w:rsidRPr="008E0537">
        <w:rPr>
          <w:rFonts w:ascii="Arial" w:hAnsi="Arial" w:cs="Arial"/>
        </w:rPr>
        <w:t>atrazyna</w:t>
      </w:r>
      <w:proofErr w:type="spellEnd"/>
      <w:r w:rsidRPr="008E0537">
        <w:rPr>
          <w:rFonts w:ascii="Arial" w:hAnsi="Arial" w:cs="Arial"/>
        </w:rPr>
        <w:t>.</w:t>
      </w:r>
    </w:p>
    <w:p w14:paraId="61309F83" w14:textId="7E20BEE7" w:rsidR="00C14BE8" w:rsidRPr="00E45F3E" w:rsidRDefault="00C14BE8" w:rsidP="00C14BE8">
      <w:pPr>
        <w:pStyle w:val="NormalnyWeb"/>
        <w:tabs>
          <w:tab w:val="left" w:pos="284"/>
        </w:tabs>
        <w:spacing w:after="120" w:line="360" w:lineRule="auto"/>
        <w:ind w:firstLine="284"/>
        <w:jc w:val="both"/>
        <w:rPr>
          <w:rFonts w:ascii="Arial" w:hAnsi="Arial" w:cs="Arial"/>
        </w:rPr>
      </w:pPr>
      <w:r w:rsidRPr="006340CA">
        <w:rPr>
          <w:rFonts w:ascii="Arial" w:hAnsi="Arial" w:cs="Arial"/>
          <w:b/>
          <w:bCs/>
        </w:rPr>
        <w:t>W 2021 r.</w:t>
      </w:r>
      <w:r w:rsidR="00F852FB">
        <w:rPr>
          <w:rFonts w:ascii="Arial" w:hAnsi="Arial" w:cs="Arial"/>
          <w:b/>
          <w:bCs/>
        </w:rPr>
        <w:t xml:space="preserve"> </w:t>
      </w:r>
      <w:r w:rsidR="00F852FB" w:rsidRPr="00C126AE">
        <w:rPr>
          <w:rFonts w:ascii="Arial" w:hAnsi="Arial" w:cs="Arial"/>
        </w:rPr>
        <w:t>kontynuowano badania</w:t>
      </w:r>
      <w:r w:rsidR="008026BD" w:rsidRPr="008026BD">
        <w:rPr>
          <w:rFonts w:ascii="Arial" w:hAnsi="Arial" w:cs="Arial"/>
        </w:rPr>
        <w:t xml:space="preserve"> </w:t>
      </w:r>
      <w:r w:rsidR="008026BD" w:rsidRPr="00925BCD">
        <w:rPr>
          <w:rFonts w:ascii="Arial" w:hAnsi="Arial" w:cs="Arial"/>
        </w:rPr>
        <w:t>zawartości związków organicznych, w tym pestycydów</w:t>
      </w:r>
      <w:r w:rsidR="003F5C1D">
        <w:rPr>
          <w:rFonts w:ascii="Arial" w:hAnsi="Arial" w:cs="Arial"/>
        </w:rPr>
        <w:t xml:space="preserve">. W 2021 r. </w:t>
      </w:r>
      <w:r w:rsidR="003F5C1D" w:rsidRPr="00E45F3E">
        <w:rPr>
          <w:rFonts w:ascii="Arial" w:hAnsi="Arial" w:cs="Arial"/>
        </w:rPr>
        <w:t>badania zawartości związków organicznych</w:t>
      </w:r>
      <w:r w:rsidR="003F5C1D">
        <w:rPr>
          <w:rFonts w:ascii="Arial" w:hAnsi="Arial" w:cs="Arial"/>
        </w:rPr>
        <w:t xml:space="preserve"> </w:t>
      </w:r>
      <w:r w:rsidR="003F5C1D" w:rsidRPr="00E45F3E">
        <w:rPr>
          <w:rFonts w:ascii="Arial" w:hAnsi="Arial" w:cs="Arial"/>
        </w:rPr>
        <w:t>zostały przeprowadzone</w:t>
      </w:r>
      <w:r w:rsidR="003F5C1D">
        <w:rPr>
          <w:rFonts w:ascii="Arial" w:hAnsi="Arial" w:cs="Arial"/>
        </w:rPr>
        <w:t xml:space="preserve"> w</w:t>
      </w:r>
      <w:r w:rsidRPr="00E45F3E">
        <w:rPr>
          <w:rFonts w:ascii="Arial" w:hAnsi="Arial" w:cs="Arial"/>
        </w:rPr>
        <w:t xml:space="preserve"> 101 punktach pomiarowych, w</w:t>
      </w:r>
      <w:r w:rsidR="001E5D83">
        <w:rPr>
          <w:rFonts w:ascii="Arial" w:hAnsi="Arial" w:cs="Arial"/>
        </w:rPr>
        <w:t> </w:t>
      </w:r>
      <w:r w:rsidRPr="00E45F3E">
        <w:rPr>
          <w:rFonts w:ascii="Arial" w:hAnsi="Arial" w:cs="Arial"/>
        </w:rPr>
        <w:t>tym 263 pestycy</w:t>
      </w:r>
      <w:r w:rsidR="00C6716C">
        <w:rPr>
          <w:rFonts w:ascii="Arial" w:hAnsi="Arial" w:cs="Arial"/>
        </w:rPr>
        <w:t>d</w:t>
      </w:r>
      <w:r w:rsidR="000907AA">
        <w:rPr>
          <w:rFonts w:ascii="Arial" w:hAnsi="Arial" w:cs="Arial"/>
        </w:rPr>
        <w:t>y</w:t>
      </w:r>
      <w:r w:rsidRPr="00E45F3E">
        <w:rPr>
          <w:rFonts w:ascii="Arial" w:hAnsi="Arial" w:cs="Arial"/>
        </w:rPr>
        <w:t xml:space="preserve">. W ramach prac analitycznych wykonano oznaczenia następujących związków </w:t>
      </w:r>
      <w:r w:rsidRPr="00E45F3E">
        <w:rPr>
          <w:rFonts w:ascii="Arial" w:hAnsi="Arial" w:cs="Arial"/>
        </w:rPr>
        <w:lastRenderedPageBreak/>
        <w:t>z</w:t>
      </w:r>
      <w:r w:rsidR="001E5D83">
        <w:rPr>
          <w:rFonts w:ascii="Arial" w:hAnsi="Arial" w:cs="Arial"/>
        </w:rPr>
        <w:t> </w:t>
      </w:r>
      <w:r w:rsidRPr="00E45F3E">
        <w:rPr>
          <w:rFonts w:ascii="Arial" w:hAnsi="Arial" w:cs="Arial"/>
        </w:rPr>
        <w:t>grupy pestycydów:</w:t>
      </w:r>
    </w:p>
    <w:p w14:paraId="2164440D" w14:textId="4D8B4D96"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 xml:space="preserve">pochodne </w:t>
      </w:r>
      <w:proofErr w:type="spellStart"/>
      <w:r w:rsidRPr="00E45F3E">
        <w:rPr>
          <w:rFonts w:ascii="Arial" w:hAnsi="Arial" w:cs="Arial"/>
        </w:rPr>
        <w:t>triazyny</w:t>
      </w:r>
      <w:proofErr w:type="spellEnd"/>
      <w:r w:rsidRPr="00E45F3E">
        <w:rPr>
          <w:rFonts w:ascii="Arial" w:hAnsi="Arial" w:cs="Arial"/>
        </w:rPr>
        <w:t xml:space="preserve">: </w:t>
      </w:r>
      <w:proofErr w:type="spellStart"/>
      <w:r w:rsidRPr="00E45F3E">
        <w:rPr>
          <w:rFonts w:ascii="Arial" w:hAnsi="Arial" w:cs="Arial"/>
        </w:rPr>
        <w:t>atrazyna</w:t>
      </w:r>
      <w:proofErr w:type="spellEnd"/>
      <w:r w:rsidRPr="00E45F3E">
        <w:rPr>
          <w:rFonts w:ascii="Arial" w:hAnsi="Arial" w:cs="Arial"/>
        </w:rPr>
        <w:t xml:space="preserve">, </w:t>
      </w:r>
      <w:proofErr w:type="spellStart"/>
      <w:r w:rsidRPr="00E45F3E">
        <w:rPr>
          <w:rFonts w:ascii="Arial" w:hAnsi="Arial" w:cs="Arial"/>
        </w:rPr>
        <w:t>cyjanazyna</w:t>
      </w:r>
      <w:proofErr w:type="spellEnd"/>
      <w:r w:rsidRPr="00E45F3E">
        <w:rPr>
          <w:rFonts w:ascii="Arial" w:hAnsi="Arial" w:cs="Arial"/>
        </w:rPr>
        <w:t xml:space="preserve">, </w:t>
      </w:r>
      <w:proofErr w:type="spellStart"/>
      <w:r w:rsidRPr="00E45F3E">
        <w:rPr>
          <w:rFonts w:ascii="Arial" w:hAnsi="Arial" w:cs="Arial"/>
        </w:rPr>
        <w:t>prometryna</w:t>
      </w:r>
      <w:proofErr w:type="spellEnd"/>
      <w:r w:rsidRPr="00E45F3E">
        <w:rPr>
          <w:rFonts w:ascii="Arial" w:hAnsi="Arial" w:cs="Arial"/>
        </w:rPr>
        <w:t xml:space="preserve">, </w:t>
      </w:r>
      <w:proofErr w:type="spellStart"/>
      <w:r w:rsidRPr="00E45F3E">
        <w:rPr>
          <w:rFonts w:ascii="Arial" w:hAnsi="Arial" w:cs="Arial"/>
        </w:rPr>
        <w:t>symazyna</w:t>
      </w:r>
      <w:proofErr w:type="spellEnd"/>
      <w:r w:rsidRPr="00E45F3E">
        <w:rPr>
          <w:rFonts w:ascii="Arial" w:hAnsi="Arial" w:cs="Arial"/>
        </w:rPr>
        <w:t xml:space="preserve">, </w:t>
      </w:r>
      <w:proofErr w:type="spellStart"/>
      <w:r w:rsidRPr="00E45F3E">
        <w:rPr>
          <w:rFonts w:ascii="Arial" w:hAnsi="Arial" w:cs="Arial"/>
        </w:rPr>
        <w:t>terbutylazyna</w:t>
      </w:r>
      <w:proofErr w:type="spellEnd"/>
      <w:r w:rsidRPr="00E45F3E">
        <w:rPr>
          <w:rFonts w:ascii="Arial" w:hAnsi="Arial" w:cs="Arial"/>
        </w:rPr>
        <w:t xml:space="preserve">, </w:t>
      </w:r>
      <w:proofErr w:type="spellStart"/>
      <w:r w:rsidRPr="00E45F3E">
        <w:rPr>
          <w:rFonts w:ascii="Arial" w:hAnsi="Arial" w:cs="Arial"/>
        </w:rPr>
        <w:t>terbutryna</w:t>
      </w:r>
      <w:proofErr w:type="spellEnd"/>
      <w:r w:rsidRPr="00E45F3E">
        <w:rPr>
          <w:rFonts w:ascii="Arial" w:hAnsi="Arial" w:cs="Arial"/>
        </w:rPr>
        <w:t>;</w:t>
      </w:r>
    </w:p>
    <w:p w14:paraId="1E9369F0" w14:textId="648DF14E"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proofErr w:type="spellStart"/>
      <w:r w:rsidRPr="00E45F3E">
        <w:rPr>
          <w:rFonts w:ascii="Arial" w:hAnsi="Arial" w:cs="Arial"/>
        </w:rPr>
        <w:t>pestycdydy</w:t>
      </w:r>
      <w:proofErr w:type="spellEnd"/>
      <w:r w:rsidRPr="00E45F3E">
        <w:rPr>
          <w:rFonts w:ascii="Arial" w:hAnsi="Arial" w:cs="Arial"/>
        </w:rPr>
        <w:t xml:space="preserve"> </w:t>
      </w:r>
      <w:proofErr w:type="spellStart"/>
      <w:r w:rsidRPr="00E45F3E">
        <w:rPr>
          <w:rFonts w:ascii="Arial" w:hAnsi="Arial" w:cs="Arial"/>
        </w:rPr>
        <w:t>chloroorganiczne</w:t>
      </w:r>
      <w:proofErr w:type="spellEnd"/>
      <w:r w:rsidRPr="00E45F3E">
        <w:rPr>
          <w:rFonts w:ascii="Arial" w:hAnsi="Arial" w:cs="Arial"/>
        </w:rPr>
        <w:t xml:space="preserve">: </w:t>
      </w:r>
      <w:proofErr w:type="spellStart"/>
      <w:r w:rsidRPr="00E45F3E">
        <w:rPr>
          <w:rFonts w:ascii="Arial" w:hAnsi="Arial" w:cs="Arial"/>
        </w:rPr>
        <w:t>aldryna</w:t>
      </w:r>
      <w:proofErr w:type="spellEnd"/>
      <w:r w:rsidRPr="00E45F3E">
        <w:rPr>
          <w:rFonts w:ascii="Arial" w:hAnsi="Arial" w:cs="Arial"/>
        </w:rPr>
        <w:t>, DDD-</w:t>
      </w:r>
      <w:proofErr w:type="spellStart"/>
      <w:r w:rsidRPr="00E45F3E">
        <w:rPr>
          <w:rFonts w:ascii="Arial" w:hAnsi="Arial" w:cs="Arial"/>
        </w:rPr>
        <w:t>p.p</w:t>
      </w:r>
      <w:proofErr w:type="spellEnd"/>
      <w:r w:rsidRPr="00E45F3E">
        <w:rPr>
          <w:rFonts w:ascii="Arial" w:hAnsi="Arial" w:cs="Arial"/>
        </w:rPr>
        <w:t>, DDE-</w:t>
      </w:r>
      <w:proofErr w:type="spellStart"/>
      <w:r w:rsidRPr="00E45F3E">
        <w:rPr>
          <w:rFonts w:ascii="Arial" w:hAnsi="Arial" w:cs="Arial"/>
        </w:rPr>
        <w:t>p.p</w:t>
      </w:r>
      <w:proofErr w:type="spellEnd"/>
      <w:r w:rsidRPr="00E45F3E">
        <w:rPr>
          <w:rFonts w:ascii="Arial" w:hAnsi="Arial" w:cs="Arial"/>
        </w:rPr>
        <w:t>, DDT-</w:t>
      </w:r>
      <w:proofErr w:type="spellStart"/>
      <w:r w:rsidRPr="00E45F3E">
        <w:rPr>
          <w:rFonts w:ascii="Arial" w:hAnsi="Arial" w:cs="Arial"/>
        </w:rPr>
        <w:t>o.p</w:t>
      </w:r>
      <w:proofErr w:type="spellEnd"/>
      <w:r w:rsidRPr="00E45F3E">
        <w:rPr>
          <w:rFonts w:ascii="Arial" w:hAnsi="Arial" w:cs="Arial"/>
        </w:rPr>
        <w:t>, DDT-</w:t>
      </w:r>
      <w:proofErr w:type="spellStart"/>
      <w:r w:rsidRPr="00E45F3E">
        <w:rPr>
          <w:rFonts w:ascii="Arial" w:hAnsi="Arial" w:cs="Arial"/>
        </w:rPr>
        <w:t>p.p</w:t>
      </w:r>
      <w:proofErr w:type="spellEnd"/>
      <w:r w:rsidRPr="00E45F3E">
        <w:rPr>
          <w:rFonts w:ascii="Arial" w:hAnsi="Arial" w:cs="Arial"/>
        </w:rPr>
        <w:t xml:space="preserve">, dieldryna, </w:t>
      </w:r>
      <w:proofErr w:type="spellStart"/>
      <w:r w:rsidRPr="00E45F3E">
        <w:rPr>
          <w:rFonts w:ascii="Arial" w:hAnsi="Arial" w:cs="Arial"/>
        </w:rPr>
        <w:t>endosulfan</w:t>
      </w:r>
      <w:proofErr w:type="spellEnd"/>
      <w:r w:rsidRPr="00E45F3E">
        <w:rPr>
          <w:rFonts w:ascii="Arial" w:hAnsi="Arial" w:cs="Arial"/>
        </w:rPr>
        <w:t xml:space="preserve"> I, </w:t>
      </w:r>
      <w:proofErr w:type="spellStart"/>
      <w:r w:rsidRPr="00E45F3E">
        <w:rPr>
          <w:rFonts w:ascii="Arial" w:hAnsi="Arial" w:cs="Arial"/>
        </w:rPr>
        <w:t>endosulfan</w:t>
      </w:r>
      <w:proofErr w:type="spellEnd"/>
      <w:r w:rsidRPr="00E45F3E">
        <w:rPr>
          <w:rFonts w:ascii="Arial" w:hAnsi="Arial" w:cs="Arial"/>
        </w:rPr>
        <w:t xml:space="preserve"> II, alfa -HCH, beta- HCH, delta - HCH, </w:t>
      </w:r>
      <w:proofErr w:type="spellStart"/>
      <w:r w:rsidRPr="00E45F3E">
        <w:rPr>
          <w:rFonts w:ascii="Arial" w:hAnsi="Arial" w:cs="Arial"/>
        </w:rPr>
        <w:t>heptachlor</w:t>
      </w:r>
      <w:proofErr w:type="spellEnd"/>
      <w:r w:rsidRPr="00E45F3E">
        <w:rPr>
          <w:rFonts w:ascii="Arial" w:hAnsi="Arial" w:cs="Arial"/>
        </w:rPr>
        <w:t xml:space="preserve">, epoksyd </w:t>
      </w:r>
      <w:proofErr w:type="spellStart"/>
      <w:r w:rsidRPr="00E45F3E">
        <w:rPr>
          <w:rFonts w:ascii="Arial" w:hAnsi="Arial" w:cs="Arial"/>
        </w:rPr>
        <w:t>heptachloru</w:t>
      </w:r>
      <w:proofErr w:type="spellEnd"/>
      <w:r w:rsidRPr="00E45F3E">
        <w:rPr>
          <w:rFonts w:ascii="Arial" w:hAnsi="Arial" w:cs="Arial"/>
        </w:rPr>
        <w:t xml:space="preserve">, </w:t>
      </w:r>
      <w:proofErr w:type="spellStart"/>
      <w:r w:rsidRPr="00E45F3E">
        <w:rPr>
          <w:rFonts w:ascii="Arial" w:hAnsi="Arial" w:cs="Arial"/>
        </w:rPr>
        <w:t>heksachlorobenzen</w:t>
      </w:r>
      <w:proofErr w:type="spellEnd"/>
      <w:r w:rsidRPr="00E45F3E">
        <w:rPr>
          <w:rFonts w:ascii="Arial" w:hAnsi="Arial" w:cs="Arial"/>
        </w:rPr>
        <w:t xml:space="preserve">, lindan (gamma-HCH), </w:t>
      </w:r>
      <w:proofErr w:type="spellStart"/>
      <w:r w:rsidRPr="00E45F3E">
        <w:rPr>
          <w:rFonts w:ascii="Arial" w:hAnsi="Arial" w:cs="Arial"/>
        </w:rPr>
        <w:t>metoksychlor</w:t>
      </w:r>
      <w:proofErr w:type="spellEnd"/>
      <w:r w:rsidRPr="00E45F3E">
        <w:rPr>
          <w:rFonts w:ascii="Arial" w:hAnsi="Arial" w:cs="Arial"/>
        </w:rPr>
        <w:t>;</w:t>
      </w:r>
    </w:p>
    <w:p w14:paraId="1853CD0B" w14:textId="08149DB4"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proofErr w:type="spellStart"/>
      <w:r w:rsidRPr="00E45F3E">
        <w:rPr>
          <w:rFonts w:ascii="Arial" w:hAnsi="Arial" w:cs="Arial"/>
        </w:rPr>
        <w:t>pyretroidy</w:t>
      </w:r>
      <w:proofErr w:type="spellEnd"/>
      <w:r w:rsidRPr="00E45F3E">
        <w:rPr>
          <w:rFonts w:ascii="Arial" w:hAnsi="Arial" w:cs="Arial"/>
        </w:rPr>
        <w:t xml:space="preserve">: </w:t>
      </w:r>
      <w:proofErr w:type="spellStart"/>
      <w:r w:rsidRPr="00E45F3E">
        <w:rPr>
          <w:rFonts w:ascii="Arial" w:hAnsi="Arial" w:cs="Arial"/>
        </w:rPr>
        <w:t>bifentryna</w:t>
      </w:r>
      <w:proofErr w:type="spellEnd"/>
      <w:r w:rsidRPr="00E45F3E">
        <w:rPr>
          <w:rFonts w:ascii="Arial" w:hAnsi="Arial" w:cs="Arial"/>
        </w:rPr>
        <w:t xml:space="preserve">, </w:t>
      </w:r>
      <w:proofErr w:type="spellStart"/>
      <w:r w:rsidRPr="00E45F3E">
        <w:rPr>
          <w:rFonts w:ascii="Arial" w:hAnsi="Arial" w:cs="Arial"/>
        </w:rPr>
        <w:t>cypermetryna</w:t>
      </w:r>
      <w:proofErr w:type="spellEnd"/>
      <w:r w:rsidRPr="00E45F3E">
        <w:rPr>
          <w:rFonts w:ascii="Arial" w:hAnsi="Arial" w:cs="Arial"/>
        </w:rPr>
        <w:t xml:space="preserve">, </w:t>
      </w:r>
      <w:proofErr w:type="spellStart"/>
      <w:r w:rsidRPr="00E45F3E">
        <w:rPr>
          <w:rFonts w:ascii="Arial" w:hAnsi="Arial" w:cs="Arial"/>
        </w:rPr>
        <w:t>deltametryna</w:t>
      </w:r>
      <w:proofErr w:type="spellEnd"/>
      <w:r w:rsidRPr="00E45F3E">
        <w:rPr>
          <w:rFonts w:ascii="Arial" w:hAnsi="Arial" w:cs="Arial"/>
        </w:rPr>
        <w:t xml:space="preserve">, </w:t>
      </w:r>
      <w:proofErr w:type="spellStart"/>
      <w:r w:rsidRPr="00E45F3E">
        <w:rPr>
          <w:rFonts w:ascii="Arial" w:hAnsi="Arial" w:cs="Arial"/>
        </w:rPr>
        <w:t>fenpropatryna</w:t>
      </w:r>
      <w:proofErr w:type="spellEnd"/>
      <w:r w:rsidRPr="00E45F3E">
        <w:rPr>
          <w:rFonts w:ascii="Arial" w:hAnsi="Arial" w:cs="Arial"/>
        </w:rPr>
        <w:t xml:space="preserve">, </w:t>
      </w:r>
      <w:proofErr w:type="spellStart"/>
      <w:r w:rsidRPr="00E45F3E">
        <w:rPr>
          <w:rFonts w:ascii="Arial" w:hAnsi="Arial" w:cs="Arial"/>
        </w:rPr>
        <w:t>esfenwalerat</w:t>
      </w:r>
      <w:proofErr w:type="spellEnd"/>
      <w:r w:rsidRPr="00E45F3E">
        <w:rPr>
          <w:rFonts w:ascii="Arial" w:hAnsi="Arial" w:cs="Arial"/>
        </w:rPr>
        <w:t xml:space="preserve">, </w:t>
      </w:r>
      <w:proofErr w:type="spellStart"/>
      <w:r w:rsidRPr="00E45F3E">
        <w:rPr>
          <w:rFonts w:ascii="Arial" w:hAnsi="Arial" w:cs="Arial"/>
        </w:rPr>
        <w:t>fenwalerat</w:t>
      </w:r>
      <w:proofErr w:type="spellEnd"/>
      <w:r w:rsidRPr="00E45F3E">
        <w:rPr>
          <w:rFonts w:ascii="Arial" w:hAnsi="Arial" w:cs="Arial"/>
        </w:rPr>
        <w:t xml:space="preserve">, </w:t>
      </w:r>
      <w:proofErr w:type="spellStart"/>
      <w:r w:rsidRPr="00E45F3E">
        <w:rPr>
          <w:rFonts w:ascii="Arial" w:hAnsi="Arial" w:cs="Arial"/>
        </w:rPr>
        <w:t>permetryna</w:t>
      </w:r>
      <w:proofErr w:type="spellEnd"/>
      <w:r w:rsidRPr="00E45F3E">
        <w:rPr>
          <w:rFonts w:ascii="Arial" w:hAnsi="Arial" w:cs="Arial"/>
        </w:rPr>
        <w:t xml:space="preserve">, </w:t>
      </w:r>
      <w:proofErr w:type="spellStart"/>
      <w:r w:rsidRPr="00E45F3E">
        <w:rPr>
          <w:rFonts w:ascii="Arial" w:hAnsi="Arial" w:cs="Arial"/>
        </w:rPr>
        <w:t>tetrametryna</w:t>
      </w:r>
      <w:proofErr w:type="spellEnd"/>
      <w:r w:rsidRPr="00E45F3E">
        <w:rPr>
          <w:rFonts w:ascii="Arial" w:hAnsi="Arial" w:cs="Arial"/>
        </w:rPr>
        <w:t>;</w:t>
      </w:r>
    </w:p>
    <w:p w14:paraId="61EDE2F4" w14:textId="1C665DC7"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w:t>
      </w:r>
      <w:proofErr w:type="spellStart"/>
      <w:r w:rsidRPr="00E45F3E">
        <w:rPr>
          <w:rFonts w:ascii="Arial" w:hAnsi="Arial" w:cs="Arial"/>
        </w:rPr>
        <w:t>tiokarbaminiany</w:t>
      </w:r>
      <w:proofErr w:type="spellEnd"/>
      <w:r w:rsidRPr="00E45F3E">
        <w:rPr>
          <w:rFonts w:ascii="Arial" w:hAnsi="Arial" w:cs="Arial"/>
        </w:rPr>
        <w:t xml:space="preserve">: </w:t>
      </w:r>
      <w:proofErr w:type="spellStart"/>
      <w:r w:rsidRPr="00E45F3E">
        <w:rPr>
          <w:rFonts w:ascii="Arial" w:hAnsi="Arial" w:cs="Arial"/>
        </w:rPr>
        <w:t>cykloat</w:t>
      </w:r>
      <w:proofErr w:type="spellEnd"/>
      <w:r w:rsidRPr="00E45F3E">
        <w:rPr>
          <w:rFonts w:ascii="Arial" w:hAnsi="Arial" w:cs="Arial"/>
        </w:rPr>
        <w:t xml:space="preserve">, </w:t>
      </w:r>
      <w:proofErr w:type="spellStart"/>
      <w:r w:rsidRPr="00E45F3E">
        <w:rPr>
          <w:rFonts w:ascii="Arial" w:hAnsi="Arial" w:cs="Arial"/>
        </w:rPr>
        <w:t>prosulfokarb</w:t>
      </w:r>
      <w:proofErr w:type="spellEnd"/>
      <w:r w:rsidRPr="00E45F3E">
        <w:rPr>
          <w:rFonts w:ascii="Arial" w:hAnsi="Arial" w:cs="Arial"/>
        </w:rPr>
        <w:t>, tri-</w:t>
      </w:r>
      <w:proofErr w:type="spellStart"/>
      <w:r w:rsidRPr="00E45F3E">
        <w:rPr>
          <w:rFonts w:ascii="Arial" w:hAnsi="Arial" w:cs="Arial"/>
        </w:rPr>
        <w:t>allat</w:t>
      </w:r>
      <w:proofErr w:type="spellEnd"/>
      <w:r w:rsidRPr="00E45F3E">
        <w:rPr>
          <w:rFonts w:ascii="Arial" w:hAnsi="Arial" w:cs="Arial"/>
        </w:rPr>
        <w:t>;</w:t>
      </w:r>
    </w:p>
    <w:p w14:paraId="7E28A12C" w14:textId="0CF51B23"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 xml:space="preserve">pestycydy fosforoorganiczne: </w:t>
      </w:r>
      <w:proofErr w:type="spellStart"/>
      <w:r w:rsidRPr="00E45F3E">
        <w:rPr>
          <w:rFonts w:ascii="Arial" w:hAnsi="Arial" w:cs="Arial"/>
        </w:rPr>
        <w:t>acefat</w:t>
      </w:r>
      <w:proofErr w:type="spellEnd"/>
      <w:r w:rsidRPr="00E45F3E">
        <w:rPr>
          <w:rFonts w:ascii="Arial" w:hAnsi="Arial" w:cs="Arial"/>
        </w:rPr>
        <w:t xml:space="preserve">, </w:t>
      </w:r>
      <w:proofErr w:type="spellStart"/>
      <w:r w:rsidRPr="00E45F3E">
        <w:rPr>
          <w:rFonts w:ascii="Arial" w:hAnsi="Arial" w:cs="Arial"/>
        </w:rPr>
        <w:t>azynofos</w:t>
      </w:r>
      <w:proofErr w:type="spellEnd"/>
      <w:r w:rsidRPr="00E45F3E">
        <w:rPr>
          <w:rFonts w:ascii="Arial" w:hAnsi="Arial" w:cs="Arial"/>
        </w:rPr>
        <w:t xml:space="preserve"> metylowy, </w:t>
      </w:r>
      <w:proofErr w:type="spellStart"/>
      <w:r w:rsidRPr="00E45F3E">
        <w:rPr>
          <w:rFonts w:ascii="Arial" w:hAnsi="Arial" w:cs="Arial"/>
        </w:rPr>
        <w:t>bromofos</w:t>
      </w:r>
      <w:proofErr w:type="spellEnd"/>
      <w:r w:rsidRPr="00E45F3E">
        <w:rPr>
          <w:rFonts w:ascii="Arial" w:hAnsi="Arial" w:cs="Arial"/>
        </w:rPr>
        <w:t xml:space="preserve"> etylowy, </w:t>
      </w:r>
      <w:proofErr w:type="spellStart"/>
      <w:r w:rsidRPr="00E45F3E">
        <w:rPr>
          <w:rFonts w:ascii="Arial" w:hAnsi="Arial" w:cs="Arial"/>
        </w:rPr>
        <w:t>chlorfenwinfos</w:t>
      </w:r>
      <w:proofErr w:type="spellEnd"/>
      <w:r w:rsidRPr="00E45F3E">
        <w:rPr>
          <w:rFonts w:ascii="Arial" w:hAnsi="Arial" w:cs="Arial"/>
        </w:rPr>
        <w:t xml:space="preserve">, </w:t>
      </w:r>
      <w:proofErr w:type="spellStart"/>
      <w:r w:rsidRPr="00E45F3E">
        <w:rPr>
          <w:rFonts w:ascii="Arial" w:hAnsi="Arial" w:cs="Arial"/>
        </w:rPr>
        <w:t>chloropiryfos</w:t>
      </w:r>
      <w:proofErr w:type="spellEnd"/>
      <w:r w:rsidRPr="00E45F3E">
        <w:rPr>
          <w:rFonts w:ascii="Arial" w:hAnsi="Arial" w:cs="Arial"/>
        </w:rPr>
        <w:t xml:space="preserve">, </w:t>
      </w:r>
      <w:proofErr w:type="spellStart"/>
      <w:r w:rsidRPr="00E45F3E">
        <w:rPr>
          <w:rFonts w:ascii="Arial" w:hAnsi="Arial" w:cs="Arial"/>
        </w:rPr>
        <w:t>chloropiryfos</w:t>
      </w:r>
      <w:proofErr w:type="spellEnd"/>
      <w:r w:rsidRPr="00E45F3E">
        <w:rPr>
          <w:rFonts w:ascii="Arial" w:hAnsi="Arial" w:cs="Arial"/>
        </w:rPr>
        <w:t xml:space="preserve"> metylowy, </w:t>
      </w:r>
      <w:proofErr w:type="spellStart"/>
      <w:r w:rsidRPr="00E45F3E">
        <w:rPr>
          <w:rFonts w:ascii="Arial" w:hAnsi="Arial" w:cs="Arial"/>
        </w:rPr>
        <w:t>diazynon</w:t>
      </w:r>
      <w:proofErr w:type="spellEnd"/>
      <w:r w:rsidRPr="00E45F3E">
        <w:rPr>
          <w:rFonts w:ascii="Arial" w:hAnsi="Arial" w:cs="Arial"/>
        </w:rPr>
        <w:t xml:space="preserve">, </w:t>
      </w:r>
      <w:proofErr w:type="spellStart"/>
      <w:r w:rsidRPr="00E45F3E">
        <w:rPr>
          <w:rFonts w:ascii="Arial" w:hAnsi="Arial" w:cs="Arial"/>
        </w:rPr>
        <w:t>dichlorfos</w:t>
      </w:r>
      <w:proofErr w:type="spellEnd"/>
      <w:r w:rsidRPr="00E45F3E">
        <w:rPr>
          <w:rFonts w:ascii="Arial" w:hAnsi="Arial" w:cs="Arial"/>
        </w:rPr>
        <w:t xml:space="preserve">, </w:t>
      </w:r>
      <w:proofErr w:type="spellStart"/>
      <w:r w:rsidRPr="00E45F3E">
        <w:rPr>
          <w:rFonts w:ascii="Arial" w:hAnsi="Arial" w:cs="Arial"/>
        </w:rPr>
        <w:t>dikrotofos</w:t>
      </w:r>
      <w:proofErr w:type="spellEnd"/>
      <w:r w:rsidRPr="00E45F3E">
        <w:rPr>
          <w:rFonts w:ascii="Arial" w:hAnsi="Arial" w:cs="Arial"/>
        </w:rPr>
        <w:t xml:space="preserve">, </w:t>
      </w:r>
      <w:proofErr w:type="spellStart"/>
      <w:r w:rsidRPr="00E45F3E">
        <w:rPr>
          <w:rFonts w:ascii="Arial" w:hAnsi="Arial" w:cs="Arial"/>
        </w:rPr>
        <w:t>dimetoat</w:t>
      </w:r>
      <w:proofErr w:type="spellEnd"/>
      <w:r w:rsidRPr="00E45F3E">
        <w:rPr>
          <w:rFonts w:ascii="Arial" w:hAnsi="Arial" w:cs="Arial"/>
        </w:rPr>
        <w:t xml:space="preserve">, EPN, </w:t>
      </w:r>
      <w:proofErr w:type="spellStart"/>
      <w:r w:rsidRPr="00E45F3E">
        <w:rPr>
          <w:rFonts w:ascii="Arial" w:hAnsi="Arial" w:cs="Arial"/>
        </w:rPr>
        <w:t>etion</w:t>
      </w:r>
      <w:proofErr w:type="spellEnd"/>
      <w:r w:rsidRPr="00E45F3E">
        <w:rPr>
          <w:rFonts w:ascii="Arial" w:hAnsi="Arial" w:cs="Arial"/>
        </w:rPr>
        <w:t xml:space="preserve">, </w:t>
      </w:r>
      <w:proofErr w:type="spellStart"/>
      <w:r w:rsidRPr="00E45F3E">
        <w:rPr>
          <w:rFonts w:ascii="Arial" w:hAnsi="Arial" w:cs="Arial"/>
        </w:rPr>
        <w:t>fenamifos</w:t>
      </w:r>
      <w:proofErr w:type="spellEnd"/>
      <w:r w:rsidRPr="00E45F3E">
        <w:rPr>
          <w:rFonts w:ascii="Arial" w:hAnsi="Arial" w:cs="Arial"/>
        </w:rPr>
        <w:t xml:space="preserve">, </w:t>
      </w:r>
      <w:proofErr w:type="spellStart"/>
      <w:r w:rsidRPr="00E45F3E">
        <w:rPr>
          <w:rFonts w:ascii="Arial" w:hAnsi="Arial" w:cs="Arial"/>
        </w:rPr>
        <w:t>fenitrotion</w:t>
      </w:r>
      <w:proofErr w:type="spellEnd"/>
      <w:r w:rsidRPr="00E45F3E">
        <w:rPr>
          <w:rFonts w:ascii="Arial" w:hAnsi="Arial" w:cs="Arial"/>
        </w:rPr>
        <w:t xml:space="preserve">, </w:t>
      </w:r>
      <w:proofErr w:type="spellStart"/>
      <w:r w:rsidRPr="00E45F3E">
        <w:rPr>
          <w:rFonts w:ascii="Arial" w:hAnsi="Arial" w:cs="Arial"/>
        </w:rPr>
        <w:t>fention</w:t>
      </w:r>
      <w:proofErr w:type="spellEnd"/>
      <w:r w:rsidRPr="00E45F3E">
        <w:rPr>
          <w:rFonts w:ascii="Arial" w:hAnsi="Arial" w:cs="Arial"/>
        </w:rPr>
        <w:t xml:space="preserve">, glifosat, </w:t>
      </w:r>
      <w:proofErr w:type="spellStart"/>
      <w:r w:rsidRPr="00E45F3E">
        <w:rPr>
          <w:rFonts w:ascii="Arial" w:hAnsi="Arial" w:cs="Arial"/>
        </w:rPr>
        <w:t>malation</w:t>
      </w:r>
      <w:proofErr w:type="spellEnd"/>
      <w:r w:rsidRPr="00E45F3E">
        <w:rPr>
          <w:rFonts w:ascii="Arial" w:hAnsi="Arial" w:cs="Arial"/>
        </w:rPr>
        <w:t xml:space="preserve">, </w:t>
      </w:r>
      <w:proofErr w:type="spellStart"/>
      <w:r w:rsidRPr="00E45F3E">
        <w:rPr>
          <w:rFonts w:ascii="Arial" w:hAnsi="Arial" w:cs="Arial"/>
        </w:rPr>
        <w:t>metamidofos</w:t>
      </w:r>
      <w:proofErr w:type="spellEnd"/>
      <w:r w:rsidRPr="00E45F3E">
        <w:rPr>
          <w:rFonts w:ascii="Arial" w:hAnsi="Arial" w:cs="Arial"/>
        </w:rPr>
        <w:t xml:space="preserve">, </w:t>
      </w:r>
      <w:proofErr w:type="spellStart"/>
      <w:r w:rsidRPr="00E45F3E">
        <w:rPr>
          <w:rFonts w:ascii="Arial" w:hAnsi="Arial" w:cs="Arial"/>
        </w:rPr>
        <w:t>mewinfos</w:t>
      </w:r>
      <w:proofErr w:type="spellEnd"/>
      <w:r w:rsidRPr="00E45F3E">
        <w:rPr>
          <w:rFonts w:ascii="Arial" w:hAnsi="Arial" w:cs="Arial"/>
        </w:rPr>
        <w:t xml:space="preserve">, </w:t>
      </w:r>
      <w:proofErr w:type="spellStart"/>
      <w:r w:rsidRPr="00E45F3E">
        <w:rPr>
          <w:rFonts w:ascii="Arial" w:hAnsi="Arial" w:cs="Arial"/>
        </w:rPr>
        <w:t>monokrotofos</w:t>
      </w:r>
      <w:proofErr w:type="spellEnd"/>
      <w:r w:rsidRPr="00E45F3E">
        <w:rPr>
          <w:rFonts w:ascii="Arial" w:hAnsi="Arial" w:cs="Arial"/>
        </w:rPr>
        <w:t xml:space="preserve">, </w:t>
      </w:r>
      <w:proofErr w:type="spellStart"/>
      <w:r w:rsidRPr="00E45F3E">
        <w:rPr>
          <w:rFonts w:ascii="Arial" w:hAnsi="Arial" w:cs="Arial"/>
        </w:rPr>
        <w:t>paration</w:t>
      </w:r>
      <w:proofErr w:type="spellEnd"/>
      <w:r w:rsidRPr="00E45F3E">
        <w:rPr>
          <w:rFonts w:ascii="Arial" w:hAnsi="Arial" w:cs="Arial"/>
        </w:rPr>
        <w:t xml:space="preserve">, </w:t>
      </w:r>
      <w:proofErr w:type="spellStart"/>
      <w:r w:rsidRPr="00E45F3E">
        <w:rPr>
          <w:rFonts w:ascii="Arial" w:hAnsi="Arial" w:cs="Arial"/>
        </w:rPr>
        <w:t>paration</w:t>
      </w:r>
      <w:proofErr w:type="spellEnd"/>
      <w:r w:rsidRPr="00E45F3E">
        <w:rPr>
          <w:rFonts w:ascii="Arial" w:hAnsi="Arial" w:cs="Arial"/>
        </w:rPr>
        <w:t xml:space="preserve"> metylowy, </w:t>
      </w:r>
      <w:proofErr w:type="spellStart"/>
      <w:r w:rsidRPr="00E45F3E">
        <w:rPr>
          <w:rFonts w:ascii="Arial" w:hAnsi="Arial" w:cs="Arial"/>
        </w:rPr>
        <w:t>fosalon</w:t>
      </w:r>
      <w:proofErr w:type="spellEnd"/>
      <w:r w:rsidRPr="00E45F3E">
        <w:rPr>
          <w:rFonts w:ascii="Arial" w:hAnsi="Arial" w:cs="Arial"/>
        </w:rPr>
        <w:t xml:space="preserve">, </w:t>
      </w:r>
      <w:proofErr w:type="spellStart"/>
      <w:r w:rsidRPr="00E45F3E">
        <w:rPr>
          <w:rFonts w:ascii="Arial" w:hAnsi="Arial" w:cs="Arial"/>
        </w:rPr>
        <w:t>fosmet</w:t>
      </w:r>
      <w:proofErr w:type="spellEnd"/>
      <w:r w:rsidRPr="00E45F3E">
        <w:rPr>
          <w:rFonts w:ascii="Arial" w:hAnsi="Arial" w:cs="Arial"/>
        </w:rPr>
        <w:t xml:space="preserve">, </w:t>
      </w:r>
      <w:proofErr w:type="spellStart"/>
      <w:r w:rsidRPr="00E45F3E">
        <w:rPr>
          <w:rFonts w:ascii="Arial" w:hAnsi="Arial" w:cs="Arial"/>
        </w:rPr>
        <w:t>pirymifos</w:t>
      </w:r>
      <w:proofErr w:type="spellEnd"/>
      <w:r w:rsidRPr="00E45F3E">
        <w:rPr>
          <w:rFonts w:ascii="Arial" w:hAnsi="Arial" w:cs="Arial"/>
        </w:rPr>
        <w:t xml:space="preserve"> metylowy, </w:t>
      </w:r>
      <w:proofErr w:type="spellStart"/>
      <w:r w:rsidRPr="00E45F3E">
        <w:rPr>
          <w:rFonts w:ascii="Arial" w:hAnsi="Arial" w:cs="Arial"/>
        </w:rPr>
        <w:t>profenofos</w:t>
      </w:r>
      <w:proofErr w:type="spellEnd"/>
      <w:r w:rsidRPr="00E45F3E">
        <w:rPr>
          <w:rFonts w:ascii="Arial" w:hAnsi="Arial" w:cs="Arial"/>
        </w:rPr>
        <w:t xml:space="preserve">, </w:t>
      </w:r>
      <w:proofErr w:type="spellStart"/>
      <w:r w:rsidRPr="00E45F3E">
        <w:rPr>
          <w:rFonts w:ascii="Arial" w:hAnsi="Arial" w:cs="Arial"/>
        </w:rPr>
        <w:t>protiofos</w:t>
      </w:r>
      <w:proofErr w:type="spellEnd"/>
      <w:r w:rsidRPr="00E45F3E">
        <w:rPr>
          <w:rFonts w:ascii="Arial" w:hAnsi="Arial" w:cs="Arial"/>
        </w:rPr>
        <w:t xml:space="preserve">, </w:t>
      </w:r>
      <w:proofErr w:type="spellStart"/>
      <w:r w:rsidRPr="00E45F3E">
        <w:rPr>
          <w:rFonts w:ascii="Arial" w:hAnsi="Arial" w:cs="Arial"/>
        </w:rPr>
        <w:t>tetrachlorwinfos</w:t>
      </w:r>
      <w:proofErr w:type="spellEnd"/>
      <w:r w:rsidRPr="00E45F3E">
        <w:rPr>
          <w:rFonts w:ascii="Arial" w:hAnsi="Arial" w:cs="Arial"/>
        </w:rPr>
        <w:t xml:space="preserve">, </w:t>
      </w:r>
      <w:proofErr w:type="spellStart"/>
      <w:r w:rsidRPr="00E45F3E">
        <w:rPr>
          <w:rFonts w:ascii="Arial" w:hAnsi="Arial" w:cs="Arial"/>
        </w:rPr>
        <w:t>trichlorfon</w:t>
      </w:r>
      <w:proofErr w:type="spellEnd"/>
      <w:r w:rsidRPr="00E45F3E">
        <w:rPr>
          <w:rFonts w:ascii="Arial" w:hAnsi="Arial" w:cs="Arial"/>
        </w:rPr>
        <w:t>;</w:t>
      </w:r>
    </w:p>
    <w:p w14:paraId="77BC22D2" w14:textId="609B89D5"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 xml:space="preserve">karbaminiany: </w:t>
      </w:r>
      <w:proofErr w:type="spellStart"/>
      <w:r w:rsidRPr="00E45F3E">
        <w:rPr>
          <w:rFonts w:ascii="Arial" w:hAnsi="Arial" w:cs="Arial"/>
        </w:rPr>
        <w:t>aldikarb</w:t>
      </w:r>
      <w:proofErr w:type="spellEnd"/>
      <w:r w:rsidRPr="00E45F3E">
        <w:rPr>
          <w:rFonts w:ascii="Arial" w:hAnsi="Arial" w:cs="Arial"/>
        </w:rPr>
        <w:t xml:space="preserve">, </w:t>
      </w:r>
      <w:proofErr w:type="spellStart"/>
      <w:r w:rsidRPr="00E45F3E">
        <w:rPr>
          <w:rFonts w:ascii="Arial" w:hAnsi="Arial" w:cs="Arial"/>
        </w:rPr>
        <w:t>bendiokarb</w:t>
      </w:r>
      <w:proofErr w:type="spellEnd"/>
      <w:r w:rsidRPr="00E45F3E">
        <w:rPr>
          <w:rFonts w:ascii="Arial" w:hAnsi="Arial" w:cs="Arial"/>
        </w:rPr>
        <w:t xml:space="preserve">, </w:t>
      </w:r>
      <w:proofErr w:type="spellStart"/>
      <w:r w:rsidRPr="00E45F3E">
        <w:rPr>
          <w:rFonts w:ascii="Arial" w:hAnsi="Arial" w:cs="Arial"/>
        </w:rPr>
        <w:t>karbaryl</w:t>
      </w:r>
      <w:proofErr w:type="spellEnd"/>
      <w:r w:rsidRPr="00E45F3E">
        <w:rPr>
          <w:rFonts w:ascii="Arial" w:hAnsi="Arial" w:cs="Arial"/>
        </w:rPr>
        <w:t xml:space="preserve">, </w:t>
      </w:r>
      <w:proofErr w:type="spellStart"/>
      <w:r w:rsidRPr="00E45F3E">
        <w:rPr>
          <w:rFonts w:ascii="Arial" w:hAnsi="Arial" w:cs="Arial"/>
        </w:rPr>
        <w:t>karbofuran</w:t>
      </w:r>
      <w:proofErr w:type="spellEnd"/>
      <w:r w:rsidRPr="00E45F3E">
        <w:rPr>
          <w:rFonts w:ascii="Arial" w:hAnsi="Arial" w:cs="Arial"/>
        </w:rPr>
        <w:t xml:space="preserve">, </w:t>
      </w:r>
      <w:proofErr w:type="spellStart"/>
      <w:r w:rsidRPr="00E45F3E">
        <w:rPr>
          <w:rFonts w:ascii="Arial" w:hAnsi="Arial" w:cs="Arial"/>
        </w:rPr>
        <w:t>chloroprofam</w:t>
      </w:r>
      <w:proofErr w:type="spellEnd"/>
      <w:r w:rsidRPr="00E45F3E">
        <w:rPr>
          <w:rFonts w:ascii="Arial" w:hAnsi="Arial" w:cs="Arial"/>
        </w:rPr>
        <w:t xml:space="preserve">, </w:t>
      </w:r>
      <w:proofErr w:type="spellStart"/>
      <w:r w:rsidRPr="00E45F3E">
        <w:rPr>
          <w:rFonts w:ascii="Arial" w:hAnsi="Arial" w:cs="Arial"/>
        </w:rPr>
        <w:t>fenoksykarb</w:t>
      </w:r>
      <w:proofErr w:type="spellEnd"/>
      <w:r w:rsidRPr="00E45F3E">
        <w:rPr>
          <w:rFonts w:ascii="Arial" w:hAnsi="Arial" w:cs="Arial"/>
        </w:rPr>
        <w:t xml:space="preserve">, </w:t>
      </w:r>
      <w:proofErr w:type="spellStart"/>
      <w:r w:rsidRPr="00E45F3E">
        <w:rPr>
          <w:rFonts w:ascii="Arial" w:hAnsi="Arial" w:cs="Arial"/>
        </w:rPr>
        <w:t>formetanat</w:t>
      </w:r>
      <w:proofErr w:type="spellEnd"/>
      <w:r w:rsidRPr="00E45F3E">
        <w:rPr>
          <w:rFonts w:ascii="Arial" w:hAnsi="Arial" w:cs="Arial"/>
        </w:rPr>
        <w:t xml:space="preserve">, </w:t>
      </w:r>
      <w:proofErr w:type="spellStart"/>
      <w:r w:rsidRPr="00E45F3E">
        <w:rPr>
          <w:rFonts w:ascii="Arial" w:hAnsi="Arial" w:cs="Arial"/>
        </w:rPr>
        <w:t>furatiokarb</w:t>
      </w:r>
      <w:proofErr w:type="spellEnd"/>
      <w:r w:rsidRPr="00E45F3E">
        <w:rPr>
          <w:rFonts w:ascii="Arial" w:hAnsi="Arial" w:cs="Arial"/>
        </w:rPr>
        <w:t xml:space="preserve">, </w:t>
      </w:r>
      <w:proofErr w:type="spellStart"/>
      <w:r w:rsidRPr="00E45F3E">
        <w:rPr>
          <w:rFonts w:ascii="Arial" w:hAnsi="Arial" w:cs="Arial"/>
        </w:rPr>
        <w:t>izoprokarb</w:t>
      </w:r>
      <w:proofErr w:type="spellEnd"/>
      <w:r w:rsidRPr="00E45F3E">
        <w:rPr>
          <w:rFonts w:ascii="Arial" w:hAnsi="Arial" w:cs="Arial"/>
        </w:rPr>
        <w:t xml:space="preserve">, </w:t>
      </w:r>
      <w:proofErr w:type="spellStart"/>
      <w:r w:rsidRPr="00E45F3E">
        <w:rPr>
          <w:rFonts w:ascii="Arial" w:hAnsi="Arial" w:cs="Arial"/>
        </w:rPr>
        <w:t>metiokarb</w:t>
      </w:r>
      <w:proofErr w:type="spellEnd"/>
      <w:r w:rsidRPr="00E45F3E">
        <w:rPr>
          <w:rFonts w:ascii="Arial" w:hAnsi="Arial" w:cs="Arial"/>
        </w:rPr>
        <w:t xml:space="preserve">, </w:t>
      </w:r>
      <w:proofErr w:type="spellStart"/>
      <w:r w:rsidRPr="00E45F3E">
        <w:rPr>
          <w:rFonts w:ascii="Arial" w:hAnsi="Arial" w:cs="Arial"/>
        </w:rPr>
        <w:t>metomyl</w:t>
      </w:r>
      <w:proofErr w:type="spellEnd"/>
      <w:r w:rsidRPr="00E45F3E">
        <w:rPr>
          <w:rFonts w:ascii="Arial" w:hAnsi="Arial" w:cs="Arial"/>
        </w:rPr>
        <w:t xml:space="preserve"> i </w:t>
      </w:r>
      <w:proofErr w:type="spellStart"/>
      <w:r w:rsidRPr="00E45F3E">
        <w:rPr>
          <w:rFonts w:ascii="Arial" w:hAnsi="Arial" w:cs="Arial"/>
        </w:rPr>
        <w:t>triodikarb</w:t>
      </w:r>
      <w:proofErr w:type="spellEnd"/>
      <w:r w:rsidRPr="00E45F3E">
        <w:rPr>
          <w:rFonts w:ascii="Arial" w:hAnsi="Arial" w:cs="Arial"/>
        </w:rPr>
        <w:t xml:space="preserve">, </w:t>
      </w:r>
      <w:proofErr w:type="spellStart"/>
      <w:r w:rsidRPr="00E45F3E">
        <w:rPr>
          <w:rFonts w:ascii="Arial" w:hAnsi="Arial" w:cs="Arial"/>
        </w:rPr>
        <w:t>oksamyl</w:t>
      </w:r>
      <w:proofErr w:type="spellEnd"/>
      <w:r w:rsidRPr="00E45F3E">
        <w:rPr>
          <w:rFonts w:ascii="Arial" w:hAnsi="Arial" w:cs="Arial"/>
        </w:rPr>
        <w:t xml:space="preserve">, </w:t>
      </w:r>
      <w:proofErr w:type="spellStart"/>
      <w:r w:rsidRPr="00E45F3E">
        <w:rPr>
          <w:rFonts w:ascii="Arial" w:hAnsi="Arial" w:cs="Arial"/>
        </w:rPr>
        <w:t>pirymikarb</w:t>
      </w:r>
      <w:proofErr w:type="spellEnd"/>
      <w:r w:rsidRPr="00E45F3E">
        <w:rPr>
          <w:rFonts w:ascii="Arial" w:hAnsi="Arial" w:cs="Arial"/>
        </w:rPr>
        <w:t xml:space="preserve">, </w:t>
      </w:r>
      <w:proofErr w:type="spellStart"/>
      <w:r w:rsidRPr="00E45F3E">
        <w:rPr>
          <w:rFonts w:ascii="Arial" w:hAnsi="Arial" w:cs="Arial"/>
        </w:rPr>
        <w:t>propoksur</w:t>
      </w:r>
      <w:proofErr w:type="spellEnd"/>
      <w:r w:rsidRPr="00E45F3E">
        <w:rPr>
          <w:rFonts w:ascii="Arial" w:hAnsi="Arial" w:cs="Arial"/>
        </w:rPr>
        <w:t>;</w:t>
      </w:r>
    </w:p>
    <w:p w14:paraId="0790CCA7" w14:textId="0958244A"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proofErr w:type="spellStart"/>
      <w:r w:rsidRPr="00E45F3E">
        <w:rPr>
          <w:rFonts w:ascii="Arial" w:hAnsi="Arial" w:cs="Arial"/>
        </w:rPr>
        <w:t>pirazole</w:t>
      </w:r>
      <w:proofErr w:type="spellEnd"/>
      <w:r w:rsidRPr="00E45F3E">
        <w:rPr>
          <w:rFonts w:ascii="Arial" w:hAnsi="Arial" w:cs="Arial"/>
        </w:rPr>
        <w:t xml:space="preserve">: </w:t>
      </w:r>
      <w:proofErr w:type="spellStart"/>
      <w:r w:rsidRPr="00E45F3E">
        <w:rPr>
          <w:rFonts w:ascii="Arial" w:hAnsi="Arial" w:cs="Arial"/>
        </w:rPr>
        <w:t>fluksapiroksad</w:t>
      </w:r>
      <w:proofErr w:type="spellEnd"/>
      <w:r w:rsidRPr="00E45F3E">
        <w:rPr>
          <w:rFonts w:ascii="Arial" w:hAnsi="Arial" w:cs="Arial"/>
        </w:rPr>
        <w:t xml:space="preserve">, </w:t>
      </w:r>
      <w:proofErr w:type="spellStart"/>
      <w:r w:rsidRPr="00E45F3E">
        <w:rPr>
          <w:rFonts w:ascii="Arial" w:hAnsi="Arial" w:cs="Arial"/>
        </w:rPr>
        <w:t>pentiopyrad</w:t>
      </w:r>
      <w:proofErr w:type="spellEnd"/>
      <w:r w:rsidRPr="00E45F3E">
        <w:rPr>
          <w:rFonts w:ascii="Arial" w:hAnsi="Arial" w:cs="Arial"/>
        </w:rPr>
        <w:t>;</w:t>
      </w:r>
    </w:p>
    <w:p w14:paraId="5907C79B" w14:textId="3F9FFFCD"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 xml:space="preserve">pochodne kwasu </w:t>
      </w:r>
      <w:proofErr w:type="spellStart"/>
      <w:r w:rsidRPr="00E45F3E">
        <w:rPr>
          <w:rFonts w:ascii="Arial" w:hAnsi="Arial" w:cs="Arial"/>
        </w:rPr>
        <w:t>fenoksyoctowego</w:t>
      </w:r>
      <w:proofErr w:type="spellEnd"/>
      <w:r w:rsidRPr="00E45F3E">
        <w:rPr>
          <w:rFonts w:ascii="Arial" w:hAnsi="Arial" w:cs="Arial"/>
        </w:rPr>
        <w:t>: 2,4-D, MCPA;</w:t>
      </w:r>
    </w:p>
    <w:p w14:paraId="1A817434" w14:textId="45FC956D"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 xml:space="preserve">pozostałe pestycydy: 2,4-DB, </w:t>
      </w:r>
      <w:proofErr w:type="spellStart"/>
      <w:r w:rsidRPr="00E45F3E">
        <w:rPr>
          <w:rFonts w:ascii="Arial" w:hAnsi="Arial" w:cs="Arial"/>
        </w:rPr>
        <w:t>abamektyna</w:t>
      </w:r>
      <w:proofErr w:type="spellEnd"/>
      <w:r w:rsidRPr="00E45F3E">
        <w:rPr>
          <w:rFonts w:ascii="Arial" w:hAnsi="Arial" w:cs="Arial"/>
        </w:rPr>
        <w:t xml:space="preserve">, </w:t>
      </w:r>
      <w:proofErr w:type="spellStart"/>
      <w:r w:rsidRPr="00E45F3E">
        <w:rPr>
          <w:rFonts w:ascii="Arial" w:hAnsi="Arial" w:cs="Arial"/>
        </w:rPr>
        <w:t>acetamipryd</w:t>
      </w:r>
      <w:proofErr w:type="spellEnd"/>
      <w:r w:rsidRPr="00E45F3E">
        <w:rPr>
          <w:rFonts w:ascii="Arial" w:hAnsi="Arial" w:cs="Arial"/>
        </w:rPr>
        <w:t xml:space="preserve">, </w:t>
      </w:r>
      <w:proofErr w:type="spellStart"/>
      <w:r w:rsidRPr="00E45F3E">
        <w:rPr>
          <w:rFonts w:ascii="Arial" w:hAnsi="Arial" w:cs="Arial"/>
        </w:rPr>
        <w:t>acetochlor</w:t>
      </w:r>
      <w:proofErr w:type="spellEnd"/>
      <w:r w:rsidRPr="00E45F3E">
        <w:rPr>
          <w:rFonts w:ascii="Arial" w:hAnsi="Arial" w:cs="Arial"/>
        </w:rPr>
        <w:t xml:space="preserve">, </w:t>
      </w:r>
      <w:proofErr w:type="spellStart"/>
      <w:r w:rsidRPr="00E45F3E">
        <w:rPr>
          <w:rFonts w:ascii="Arial" w:hAnsi="Arial" w:cs="Arial"/>
        </w:rPr>
        <w:t>acibenzolar</w:t>
      </w:r>
      <w:proofErr w:type="spellEnd"/>
      <w:r w:rsidRPr="00E45F3E">
        <w:rPr>
          <w:rFonts w:ascii="Arial" w:hAnsi="Arial" w:cs="Arial"/>
        </w:rPr>
        <w:t xml:space="preserve">-S-metylowy, </w:t>
      </w:r>
      <w:proofErr w:type="spellStart"/>
      <w:r w:rsidRPr="00E45F3E">
        <w:rPr>
          <w:rFonts w:ascii="Arial" w:hAnsi="Arial" w:cs="Arial"/>
        </w:rPr>
        <w:t>aklonifen</w:t>
      </w:r>
      <w:proofErr w:type="spellEnd"/>
      <w:r w:rsidRPr="00E45F3E">
        <w:rPr>
          <w:rFonts w:ascii="Arial" w:hAnsi="Arial" w:cs="Arial"/>
        </w:rPr>
        <w:t xml:space="preserve">, </w:t>
      </w:r>
      <w:proofErr w:type="spellStart"/>
      <w:r w:rsidRPr="00E45F3E">
        <w:rPr>
          <w:rFonts w:ascii="Arial" w:hAnsi="Arial" w:cs="Arial"/>
        </w:rPr>
        <w:t>alachlor</w:t>
      </w:r>
      <w:proofErr w:type="spellEnd"/>
      <w:r w:rsidRPr="00E45F3E">
        <w:rPr>
          <w:rFonts w:ascii="Arial" w:hAnsi="Arial" w:cs="Arial"/>
        </w:rPr>
        <w:t>, alfa-</w:t>
      </w:r>
      <w:proofErr w:type="spellStart"/>
      <w:r w:rsidRPr="00E45F3E">
        <w:rPr>
          <w:rFonts w:ascii="Arial" w:hAnsi="Arial" w:cs="Arial"/>
        </w:rPr>
        <w:t>cypermetryna</w:t>
      </w:r>
      <w:proofErr w:type="spellEnd"/>
      <w:r w:rsidRPr="00E45F3E">
        <w:rPr>
          <w:rFonts w:ascii="Arial" w:hAnsi="Arial" w:cs="Arial"/>
        </w:rPr>
        <w:t xml:space="preserve">, </w:t>
      </w:r>
      <w:proofErr w:type="spellStart"/>
      <w:r w:rsidRPr="00E45F3E">
        <w:rPr>
          <w:rFonts w:ascii="Arial" w:hAnsi="Arial" w:cs="Arial"/>
        </w:rPr>
        <w:t>aminopyralid</w:t>
      </w:r>
      <w:proofErr w:type="spellEnd"/>
      <w:r w:rsidRPr="00E45F3E">
        <w:rPr>
          <w:rFonts w:ascii="Arial" w:hAnsi="Arial" w:cs="Arial"/>
        </w:rPr>
        <w:t xml:space="preserve">, </w:t>
      </w:r>
      <w:proofErr w:type="spellStart"/>
      <w:r w:rsidRPr="00E45F3E">
        <w:rPr>
          <w:rFonts w:ascii="Arial" w:hAnsi="Arial" w:cs="Arial"/>
        </w:rPr>
        <w:t>amitraza</w:t>
      </w:r>
      <w:proofErr w:type="spellEnd"/>
      <w:r w:rsidRPr="00E45F3E">
        <w:rPr>
          <w:rFonts w:ascii="Arial" w:hAnsi="Arial" w:cs="Arial"/>
        </w:rPr>
        <w:t xml:space="preserve">, </w:t>
      </w:r>
      <w:proofErr w:type="spellStart"/>
      <w:r w:rsidRPr="00E45F3E">
        <w:rPr>
          <w:rFonts w:ascii="Arial" w:hAnsi="Arial" w:cs="Arial"/>
        </w:rPr>
        <w:t>azakonazol</w:t>
      </w:r>
      <w:proofErr w:type="spellEnd"/>
      <w:r w:rsidRPr="00E45F3E">
        <w:rPr>
          <w:rFonts w:ascii="Arial" w:hAnsi="Arial" w:cs="Arial"/>
        </w:rPr>
        <w:t xml:space="preserve">, </w:t>
      </w:r>
      <w:proofErr w:type="spellStart"/>
      <w:r w:rsidRPr="00E45F3E">
        <w:rPr>
          <w:rFonts w:ascii="Arial" w:hAnsi="Arial" w:cs="Arial"/>
        </w:rPr>
        <w:t>azoksystrobina</w:t>
      </w:r>
      <w:proofErr w:type="spellEnd"/>
      <w:r w:rsidRPr="00E45F3E">
        <w:rPr>
          <w:rFonts w:ascii="Arial" w:hAnsi="Arial" w:cs="Arial"/>
        </w:rPr>
        <w:t xml:space="preserve">, </w:t>
      </w:r>
      <w:proofErr w:type="spellStart"/>
      <w:r w:rsidRPr="00E45F3E">
        <w:rPr>
          <w:rFonts w:ascii="Arial" w:hAnsi="Arial" w:cs="Arial"/>
        </w:rPr>
        <w:t>benalaksyl</w:t>
      </w:r>
      <w:proofErr w:type="spellEnd"/>
      <w:r w:rsidRPr="00E45F3E">
        <w:rPr>
          <w:rFonts w:ascii="Arial" w:hAnsi="Arial" w:cs="Arial"/>
        </w:rPr>
        <w:t xml:space="preserve">, </w:t>
      </w:r>
      <w:proofErr w:type="spellStart"/>
      <w:r w:rsidRPr="00E45F3E">
        <w:rPr>
          <w:rFonts w:ascii="Arial" w:hAnsi="Arial" w:cs="Arial"/>
        </w:rPr>
        <w:t>benomyl</w:t>
      </w:r>
      <w:proofErr w:type="spellEnd"/>
      <w:r w:rsidRPr="00E45F3E">
        <w:rPr>
          <w:rFonts w:ascii="Arial" w:hAnsi="Arial" w:cs="Arial"/>
        </w:rPr>
        <w:t xml:space="preserve">, </w:t>
      </w:r>
      <w:proofErr w:type="spellStart"/>
      <w:r w:rsidRPr="00E45F3E">
        <w:rPr>
          <w:rFonts w:ascii="Arial" w:hAnsi="Arial" w:cs="Arial"/>
        </w:rPr>
        <w:t>bentazon</w:t>
      </w:r>
      <w:proofErr w:type="spellEnd"/>
      <w:r w:rsidRPr="00E45F3E">
        <w:rPr>
          <w:rFonts w:ascii="Arial" w:hAnsi="Arial" w:cs="Arial"/>
        </w:rPr>
        <w:t xml:space="preserve">, </w:t>
      </w:r>
      <w:proofErr w:type="spellStart"/>
      <w:r w:rsidRPr="00E45F3E">
        <w:rPr>
          <w:rFonts w:ascii="Arial" w:hAnsi="Arial" w:cs="Arial"/>
        </w:rPr>
        <w:t>bifenazat</w:t>
      </w:r>
      <w:proofErr w:type="spellEnd"/>
      <w:r w:rsidRPr="00E45F3E">
        <w:rPr>
          <w:rFonts w:ascii="Arial" w:hAnsi="Arial" w:cs="Arial"/>
        </w:rPr>
        <w:t xml:space="preserve">, </w:t>
      </w:r>
      <w:proofErr w:type="spellStart"/>
      <w:r w:rsidRPr="00E45F3E">
        <w:rPr>
          <w:rFonts w:ascii="Arial" w:hAnsi="Arial" w:cs="Arial"/>
        </w:rPr>
        <w:t>bifenoks</w:t>
      </w:r>
      <w:proofErr w:type="spellEnd"/>
      <w:r w:rsidRPr="00E45F3E">
        <w:rPr>
          <w:rFonts w:ascii="Arial" w:hAnsi="Arial" w:cs="Arial"/>
        </w:rPr>
        <w:t xml:space="preserve">, </w:t>
      </w:r>
      <w:proofErr w:type="spellStart"/>
      <w:r w:rsidRPr="00E45F3E">
        <w:rPr>
          <w:rFonts w:ascii="Arial" w:hAnsi="Arial" w:cs="Arial"/>
        </w:rPr>
        <w:t>bitertanol</w:t>
      </w:r>
      <w:proofErr w:type="spellEnd"/>
      <w:r w:rsidRPr="00E45F3E">
        <w:rPr>
          <w:rFonts w:ascii="Arial" w:hAnsi="Arial" w:cs="Arial"/>
        </w:rPr>
        <w:t xml:space="preserve">, </w:t>
      </w:r>
      <w:proofErr w:type="spellStart"/>
      <w:r w:rsidRPr="00E45F3E">
        <w:rPr>
          <w:rFonts w:ascii="Arial" w:hAnsi="Arial" w:cs="Arial"/>
        </w:rPr>
        <w:t>boskalid</w:t>
      </w:r>
      <w:proofErr w:type="spellEnd"/>
      <w:r w:rsidRPr="00E45F3E">
        <w:rPr>
          <w:rFonts w:ascii="Arial" w:hAnsi="Arial" w:cs="Arial"/>
        </w:rPr>
        <w:t xml:space="preserve">, </w:t>
      </w:r>
      <w:proofErr w:type="spellStart"/>
      <w:r w:rsidRPr="00E45F3E">
        <w:rPr>
          <w:rFonts w:ascii="Arial" w:hAnsi="Arial" w:cs="Arial"/>
        </w:rPr>
        <w:t>bromacyl</w:t>
      </w:r>
      <w:proofErr w:type="spellEnd"/>
      <w:r w:rsidRPr="00E45F3E">
        <w:rPr>
          <w:rFonts w:ascii="Arial" w:hAnsi="Arial" w:cs="Arial"/>
        </w:rPr>
        <w:t xml:space="preserve">, </w:t>
      </w:r>
      <w:proofErr w:type="spellStart"/>
      <w:r w:rsidRPr="00E45F3E">
        <w:rPr>
          <w:rFonts w:ascii="Arial" w:hAnsi="Arial" w:cs="Arial"/>
        </w:rPr>
        <w:t>bromukonazol</w:t>
      </w:r>
      <w:proofErr w:type="spellEnd"/>
      <w:r w:rsidRPr="00E45F3E">
        <w:rPr>
          <w:rFonts w:ascii="Arial" w:hAnsi="Arial" w:cs="Arial"/>
        </w:rPr>
        <w:t xml:space="preserve">, </w:t>
      </w:r>
      <w:proofErr w:type="spellStart"/>
      <w:r w:rsidRPr="00E45F3E">
        <w:rPr>
          <w:rFonts w:ascii="Arial" w:hAnsi="Arial" w:cs="Arial"/>
        </w:rPr>
        <w:t>bupirymat</w:t>
      </w:r>
      <w:proofErr w:type="spellEnd"/>
      <w:r w:rsidRPr="00E45F3E">
        <w:rPr>
          <w:rFonts w:ascii="Arial" w:hAnsi="Arial" w:cs="Arial"/>
        </w:rPr>
        <w:t xml:space="preserve">, </w:t>
      </w:r>
      <w:proofErr w:type="spellStart"/>
      <w:r w:rsidRPr="00E45F3E">
        <w:rPr>
          <w:rFonts w:ascii="Arial" w:hAnsi="Arial" w:cs="Arial"/>
        </w:rPr>
        <w:t>buprofezyna</w:t>
      </w:r>
      <w:proofErr w:type="spellEnd"/>
      <w:r w:rsidRPr="00E45F3E">
        <w:rPr>
          <w:rFonts w:ascii="Arial" w:hAnsi="Arial" w:cs="Arial"/>
        </w:rPr>
        <w:t xml:space="preserve">, </w:t>
      </w:r>
      <w:proofErr w:type="spellStart"/>
      <w:r w:rsidRPr="00E45F3E">
        <w:rPr>
          <w:rFonts w:ascii="Arial" w:hAnsi="Arial" w:cs="Arial"/>
        </w:rPr>
        <w:t>karbendazym</w:t>
      </w:r>
      <w:proofErr w:type="spellEnd"/>
      <w:r w:rsidRPr="00E45F3E">
        <w:rPr>
          <w:rFonts w:ascii="Arial" w:hAnsi="Arial" w:cs="Arial"/>
        </w:rPr>
        <w:t xml:space="preserve">, </w:t>
      </w:r>
      <w:proofErr w:type="spellStart"/>
      <w:r w:rsidRPr="00E45F3E">
        <w:rPr>
          <w:rFonts w:ascii="Arial" w:hAnsi="Arial" w:cs="Arial"/>
        </w:rPr>
        <w:t>karboksyna</w:t>
      </w:r>
      <w:proofErr w:type="spellEnd"/>
      <w:r w:rsidRPr="00E45F3E">
        <w:rPr>
          <w:rFonts w:ascii="Arial" w:hAnsi="Arial" w:cs="Arial"/>
        </w:rPr>
        <w:t xml:space="preserve">, </w:t>
      </w:r>
      <w:proofErr w:type="spellStart"/>
      <w:r w:rsidRPr="00E45F3E">
        <w:rPr>
          <w:rFonts w:ascii="Arial" w:hAnsi="Arial" w:cs="Arial"/>
        </w:rPr>
        <w:t>karfentrazon</w:t>
      </w:r>
      <w:proofErr w:type="spellEnd"/>
      <w:r w:rsidRPr="00E45F3E">
        <w:rPr>
          <w:rFonts w:ascii="Arial" w:hAnsi="Arial" w:cs="Arial"/>
        </w:rPr>
        <w:t xml:space="preserve"> etylowy, </w:t>
      </w:r>
      <w:proofErr w:type="spellStart"/>
      <w:r w:rsidRPr="00E45F3E">
        <w:rPr>
          <w:rFonts w:ascii="Arial" w:hAnsi="Arial" w:cs="Arial"/>
        </w:rPr>
        <w:t>chlorantraniliprol</w:t>
      </w:r>
      <w:proofErr w:type="spellEnd"/>
      <w:r w:rsidRPr="00E45F3E">
        <w:rPr>
          <w:rFonts w:ascii="Arial" w:hAnsi="Arial" w:cs="Arial"/>
        </w:rPr>
        <w:t xml:space="preserve">, </w:t>
      </w:r>
      <w:proofErr w:type="spellStart"/>
      <w:r w:rsidRPr="00E45F3E">
        <w:rPr>
          <w:rFonts w:ascii="Arial" w:hAnsi="Arial" w:cs="Arial"/>
        </w:rPr>
        <w:t>chlorydazon</w:t>
      </w:r>
      <w:proofErr w:type="spellEnd"/>
      <w:r w:rsidRPr="00E45F3E">
        <w:rPr>
          <w:rFonts w:ascii="Arial" w:hAnsi="Arial" w:cs="Arial"/>
        </w:rPr>
        <w:t xml:space="preserve">, </w:t>
      </w:r>
      <w:proofErr w:type="spellStart"/>
      <w:r w:rsidRPr="00E45F3E">
        <w:rPr>
          <w:rFonts w:ascii="Arial" w:hAnsi="Arial" w:cs="Arial"/>
        </w:rPr>
        <w:t>chlorotoluron</w:t>
      </w:r>
      <w:proofErr w:type="spellEnd"/>
      <w:r w:rsidRPr="00E45F3E">
        <w:rPr>
          <w:rFonts w:ascii="Arial" w:hAnsi="Arial" w:cs="Arial"/>
        </w:rPr>
        <w:t xml:space="preserve">, </w:t>
      </w:r>
      <w:proofErr w:type="spellStart"/>
      <w:r w:rsidRPr="00E45F3E">
        <w:rPr>
          <w:rFonts w:ascii="Arial" w:hAnsi="Arial" w:cs="Arial"/>
        </w:rPr>
        <w:t>chlorosulfuron</w:t>
      </w:r>
      <w:proofErr w:type="spellEnd"/>
      <w:r w:rsidRPr="00E45F3E">
        <w:rPr>
          <w:rFonts w:ascii="Arial" w:hAnsi="Arial" w:cs="Arial"/>
        </w:rPr>
        <w:t xml:space="preserve">, </w:t>
      </w:r>
      <w:proofErr w:type="spellStart"/>
      <w:r w:rsidRPr="00E45F3E">
        <w:rPr>
          <w:rFonts w:ascii="Arial" w:hAnsi="Arial" w:cs="Arial"/>
        </w:rPr>
        <w:t>kletodym</w:t>
      </w:r>
      <w:proofErr w:type="spellEnd"/>
      <w:r w:rsidRPr="00E45F3E">
        <w:rPr>
          <w:rFonts w:ascii="Arial" w:hAnsi="Arial" w:cs="Arial"/>
        </w:rPr>
        <w:t xml:space="preserve">, </w:t>
      </w:r>
      <w:proofErr w:type="spellStart"/>
      <w:r w:rsidRPr="00E45F3E">
        <w:rPr>
          <w:rFonts w:ascii="Arial" w:hAnsi="Arial" w:cs="Arial"/>
        </w:rPr>
        <w:t>chlofentezyna</w:t>
      </w:r>
      <w:proofErr w:type="spellEnd"/>
      <w:r w:rsidRPr="00E45F3E">
        <w:rPr>
          <w:rFonts w:ascii="Arial" w:hAnsi="Arial" w:cs="Arial"/>
        </w:rPr>
        <w:t xml:space="preserve">, </w:t>
      </w:r>
      <w:proofErr w:type="spellStart"/>
      <w:r w:rsidRPr="00E45F3E">
        <w:rPr>
          <w:rFonts w:ascii="Arial" w:hAnsi="Arial" w:cs="Arial"/>
        </w:rPr>
        <w:t>chlomazon</w:t>
      </w:r>
      <w:proofErr w:type="spellEnd"/>
      <w:r w:rsidRPr="00E45F3E">
        <w:rPr>
          <w:rFonts w:ascii="Arial" w:hAnsi="Arial" w:cs="Arial"/>
        </w:rPr>
        <w:t xml:space="preserve">, </w:t>
      </w:r>
      <w:proofErr w:type="spellStart"/>
      <w:r w:rsidRPr="00E45F3E">
        <w:rPr>
          <w:rFonts w:ascii="Arial" w:hAnsi="Arial" w:cs="Arial"/>
        </w:rPr>
        <w:t>chlopyralid</w:t>
      </w:r>
      <w:proofErr w:type="spellEnd"/>
      <w:r w:rsidRPr="00E45F3E">
        <w:rPr>
          <w:rFonts w:ascii="Arial" w:hAnsi="Arial" w:cs="Arial"/>
        </w:rPr>
        <w:t xml:space="preserve">, </w:t>
      </w:r>
      <w:proofErr w:type="spellStart"/>
      <w:r w:rsidRPr="00E45F3E">
        <w:rPr>
          <w:rFonts w:ascii="Arial" w:hAnsi="Arial" w:cs="Arial"/>
        </w:rPr>
        <w:t>klotianidyna</w:t>
      </w:r>
      <w:proofErr w:type="spellEnd"/>
      <w:r w:rsidRPr="00E45F3E">
        <w:rPr>
          <w:rFonts w:ascii="Arial" w:hAnsi="Arial" w:cs="Arial"/>
        </w:rPr>
        <w:t xml:space="preserve">, </w:t>
      </w:r>
      <w:proofErr w:type="spellStart"/>
      <w:r w:rsidRPr="00E45F3E">
        <w:rPr>
          <w:rFonts w:ascii="Arial" w:hAnsi="Arial" w:cs="Arial"/>
        </w:rPr>
        <w:t>cyjazofamid</w:t>
      </w:r>
      <w:proofErr w:type="spellEnd"/>
      <w:r w:rsidRPr="00E45F3E">
        <w:rPr>
          <w:rFonts w:ascii="Arial" w:hAnsi="Arial" w:cs="Arial"/>
        </w:rPr>
        <w:t xml:space="preserve">, </w:t>
      </w:r>
      <w:proofErr w:type="spellStart"/>
      <w:r w:rsidRPr="00E45F3E">
        <w:rPr>
          <w:rFonts w:ascii="Arial" w:hAnsi="Arial" w:cs="Arial"/>
        </w:rPr>
        <w:t>cymoksanil</w:t>
      </w:r>
      <w:proofErr w:type="spellEnd"/>
      <w:r w:rsidRPr="00E45F3E">
        <w:rPr>
          <w:rFonts w:ascii="Arial" w:hAnsi="Arial" w:cs="Arial"/>
        </w:rPr>
        <w:t xml:space="preserve">, </w:t>
      </w:r>
      <w:proofErr w:type="spellStart"/>
      <w:r w:rsidRPr="00E45F3E">
        <w:rPr>
          <w:rFonts w:ascii="Arial" w:hAnsi="Arial" w:cs="Arial"/>
        </w:rPr>
        <w:t>cyprokonazol</w:t>
      </w:r>
      <w:proofErr w:type="spellEnd"/>
      <w:r w:rsidRPr="00E45F3E">
        <w:rPr>
          <w:rFonts w:ascii="Arial" w:hAnsi="Arial" w:cs="Arial"/>
        </w:rPr>
        <w:t xml:space="preserve">, </w:t>
      </w:r>
      <w:proofErr w:type="spellStart"/>
      <w:r w:rsidRPr="00E45F3E">
        <w:rPr>
          <w:rFonts w:ascii="Arial" w:hAnsi="Arial" w:cs="Arial"/>
        </w:rPr>
        <w:t>cyprodynil</w:t>
      </w:r>
      <w:proofErr w:type="spellEnd"/>
      <w:r w:rsidRPr="00E45F3E">
        <w:rPr>
          <w:rFonts w:ascii="Arial" w:hAnsi="Arial" w:cs="Arial"/>
        </w:rPr>
        <w:t xml:space="preserve">, </w:t>
      </w:r>
      <w:proofErr w:type="spellStart"/>
      <w:r w:rsidRPr="00E45F3E">
        <w:rPr>
          <w:rFonts w:ascii="Arial" w:hAnsi="Arial" w:cs="Arial"/>
        </w:rPr>
        <w:t>cyromazyna</w:t>
      </w:r>
      <w:proofErr w:type="spellEnd"/>
      <w:r w:rsidRPr="00E45F3E">
        <w:rPr>
          <w:rFonts w:ascii="Arial" w:hAnsi="Arial" w:cs="Arial"/>
        </w:rPr>
        <w:t xml:space="preserve">, DEET, </w:t>
      </w:r>
      <w:proofErr w:type="spellStart"/>
      <w:r w:rsidRPr="00E45F3E">
        <w:rPr>
          <w:rFonts w:ascii="Arial" w:hAnsi="Arial" w:cs="Arial"/>
        </w:rPr>
        <w:t>desmedifam</w:t>
      </w:r>
      <w:proofErr w:type="spellEnd"/>
      <w:r w:rsidRPr="00E45F3E">
        <w:rPr>
          <w:rFonts w:ascii="Arial" w:hAnsi="Arial" w:cs="Arial"/>
        </w:rPr>
        <w:t xml:space="preserve">, </w:t>
      </w:r>
      <w:proofErr w:type="spellStart"/>
      <w:r w:rsidRPr="00E45F3E">
        <w:rPr>
          <w:rFonts w:ascii="Arial" w:hAnsi="Arial" w:cs="Arial"/>
        </w:rPr>
        <w:t>dikamba</w:t>
      </w:r>
      <w:proofErr w:type="spellEnd"/>
      <w:r w:rsidRPr="00E45F3E">
        <w:rPr>
          <w:rFonts w:ascii="Arial" w:hAnsi="Arial" w:cs="Arial"/>
        </w:rPr>
        <w:t xml:space="preserve">, </w:t>
      </w:r>
      <w:proofErr w:type="spellStart"/>
      <w:r w:rsidRPr="00E45F3E">
        <w:rPr>
          <w:rFonts w:ascii="Arial" w:hAnsi="Arial" w:cs="Arial"/>
        </w:rPr>
        <w:t>dichlofluanid</w:t>
      </w:r>
      <w:proofErr w:type="spellEnd"/>
      <w:r w:rsidRPr="00E45F3E">
        <w:rPr>
          <w:rFonts w:ascii="Arial" w:hAnsi="Arial" w:cs="Arial"/>
        </w:rPr>
        <w:t xml:space="preserve">, </w:t>
      </w:r>
      <w:proofErr w:type="spellStart"/>
      <w:r w:rsidRPr="00E45F3E">
        <w:rPr>
          <w:rFonts w:ascii="Arial" w:hAnsi="Arial" w:cs="Arial"/>
        </w:rPr>
        <w:t>dichlorprop</w:t>
      </w:r>
      <w:proofErr w:type="spellEnd"/>
      <w:r w:rsidRPr="00E45F3E">
        <w:rPr>
          <w:rFonts w:ascii="Arial" w:hAnsi="Arial" w:cs="Arial"/>
        </w:rPr>
        <w:t xml:space="preserve">-P, </w:t>
      </w:r>
      <w:proofErr w:type="spellStart"/>
      <w:r w:rsidRPr="00E45F3E">
        <w:rPr>
          <w:rFonts w:ascii="Arial" w:hAnsi="Arial" w:cs="Arial"/>
        </w:rPr>
        <w:t>dietofenkarb</w:t>
      </w:r>
      <w:proofErr w:type="spellEnd"/>
      <w:r w:rsidRPr="00E45F3E">
        <w:rPr>
          <w:rFonts w:ascii="Arial" w:hAnsi="Arial" w:cs="Arial"/>
        </w:rPr>
        <w:t xml:space="preserve">, </w:t>
      </w:r>
      <w:proofErr w:type="spellStart"/>
      <w:r w:rsidRPr="00E45F3E">
        <w:rPr>
          <w:rFonts w:ascii="Arial" w:hAnsi="Arial" w:cs="Arial"/>
        </w:rPr>
        <w:t>difenokonazol</w:t>
      </w:r>
      <w:proofErr w:type="spellEnd"/>
      <w:r w:rsidRPr="00E45F3E">
        <w:rPr>
          <w:rFonts w:ascii="Arial" w:hAnsi="Arial" w:cs="Arial"/>
        </w:rPr>
        <w:t xml:space="preserve">, </w:t>
      </w:r>
      <w:proofErr w:type="spellStart"/>
      <w:r w:rsidRPr="00E45F3E">
        <w:rPr>
          <w:rFonts w:ascii="Arial" w:hAnsi="Arial" w:cs="Arial"/>
        </w:rPr>
        <w:t>diflubenzuron</w:t>
      </w:r>
      <w:proofErr w:type="spellEnd"/>
      <w:r w:rsidRPr="00E45F3E">
        <w:rPr>
          <w:rFonts w:ascii="Arial" w:hAnsi="Arial" w:cs="Arial"/>
        </w:rPr>
        <w:t xml:space="preserve">, </w:t>
      </w:r>
      <w:proofErr w:type="spellStart"/>
      <w:r w:rsidRPr="00E45F3E">
        <w:rPr>
          <w:rFonts w:ascii="Arial" w:hAnsi="Arial" w:cs="Arial"/>
        </w:rPr>
        <w:t>diflufenikan</w:t>
      </w:r>
      <w:proofErr w:type="spellEnd"/>
      <w:r w:rsidRPr="00E45F3E">
        <w:rPr>
          <w:rFonts w:ascii="Arial" w:hAnsi="Arial" w:cs="Arial"/>
        </w:rPr>
        <w:t xml:space="preserve">, </w:t>
      </w:r>
      <w:proofErr w:type="spellStart"/>
      <w:r w:rsidRPr="00E45F3E">
        <w:rPr>
          <w:rFonts w:ascii="Arial" w:hAnsi="Arial" w:cs="Arial"/>
        </w:rPr>
        <w:t>dimetachlor</w:t>
      </w:r>
      <w:proofErr w:type="spellEnd"/>
      <w:r w:rsidRPr="00E45F3E">
        <w:rPr>
          <w:rFonts w:ascii="Arial" w:hAnsi="Arial" w:cs="Arial"/>
        </w:rPr>
        <w:t xml:space="preserve">, </w:t>
      </w:r>
      <w:proofErr w:type="spellStart"/>
      <w:r w:rsidRPr="00E45F3E">
        <w:rPr>
          <w:rFonts w:ascii="Arial" w:hAnsi="Arial" w:cs="Arial"/>
        </w:rPr>
        <w:t>dimetamid</w:t>
      </w:r>
      <w:proofErr w:type="spellEnd"/>
      <w:r w:rsidRPr="00E45F3E">
        <w:rPr>
          <w:rFonts w:ascii="Arial" w:hAnsi="Arial" w:cs="Arial"/>
        </w:rPr>
        <w:t xml:space="preserve">, </w:t>
      </w:r>
      <w:proofErr w:type="spellStart"/>
      <w:r w:rsidRPr="00E45F3E">
        <w:rPr>
          <w:rFonts w:ascii="Arial" w:hAnsi="Arial" w:cs="Arial"/>
        </w:rPr>
        <w:t>dimetomorf</w:t>
      </w:r>
      <w:proofErr w:type="spellEnd"/>
      <w:r w:rsidRPr="00E45F3E">
        <w:rPr>
          <w:rFonts w:ascii="Arial" w:hAnsi="Arial" w:cs="Arial"/>
        </w:rPr>
        <w:t xml:space="preserve">, </w:t>
      </w:r>
      <w:proofErr w:type="spellStart"/>
      <w:r w:rsidRPr="00E45F3E">
        <w:rPr>
          <w:rFonts w:ascii="Arial" w:hAnsi="Arial" w:cs="Arial"/>
        </w:rPr>
        <w:t>dimoksystrobina</w:t>
      </w:r>
      <w:proofErr w:type="spellEnd"/>
      <w:r w:rsidRPr="00E45F3E">
        <w:rPr>
          <w:rFonts w:ascii="Arial" w:hAnsi="Arial" w:cs="Arial"/>
        </w:rPr>
        <w:t xml:space="preserve">, </w:t>
      </w:r>
      <w:proofErr w:type="spellStart"/>
      <w:r w:rsidRPr="00E45F3E">
        <w:rPr>
          <w:rFonts w:ascii="Arial" w:hAnsi="Arial" w:cs="Arial"/>
        </w:rPr>
        <w:t>dinikonazol</w:t>
      </w:r>
      <w:proofErr w:type="spellEnd"/>
      <w:r w:rsidRPr="00E45F3E">
        <w:rPr>
          <w:rFonts w:ascii="Arial" w:hAnsi="Arial" w:cs="Arial"/>
        </w:rPr>
        <w:t xml:space="preserve">, </w:t>
      </w:r>
      <w:proofErr w:type="spellStart"/>
      <w:r w:rsidRPr="00E45F3E">
        <w:rPr>
          <w:rFonts w:ascii="Arial" w:hAnsi="Arial" w:cs="Arial"/>
        </w:rPr>
        <w:t>diuron</w:t>
      </w:r>
      <w:proofErr w:type="spellEnd"/>
      <w:r w:rsidRPr="00E45F3E">
        <w:rPr>
          <w:rFonts w:ascii="Arial" w:hAnsi="Arial" w:cs="Arial"/>
        </w:rPr>
        <w:t xml:space="preserve">, </w:t>
      </w:r>
      <w:proofErr w:type="spellStart"/>
      <w:r w:rsidRPr="00E45F3E">
        <w:rPr>
          <w:rFonts w:ascii="Arial" w:hAnsi="Arial" w:cs="Arial"/>
        </w:rPr>
        <w:t>dodyna</w:t>
      </w:r>
      <w:proofErr w:type="spellEnd"/>
      <w:r w:rsidRPr="00E45F3E">
        <w:rPr>
          <w:rFonts w:ascii="Arial" w:hAnsi="Arial" w:cs="Arial"/>
        </w:rPr>
        <w:t xml:space="preserve">, </w:t>
      </w:r>
      <w:proofErr w:type="spellStart"/>
      <w:r w:rsidRPr="00E45F3E">
        <w:rPr>
          <w:rFonts w:ascii="Arial" w:hAnsi="Arial" w:cs="Arial"/>
        </w:rPr>
        <w:t>epoksykonazol</w:t>
      </w:r>
      <w:proofErr w:type="spellEnd"/>
      <w:r w:rsidRPr="00E45F3E">
        <w:rPr>
          <w:rFonts w:ascii="Arial" w:hAnsi="Arial" w:cs="Arial"/>
        </w:rPr>
        <w:t xml:space="preserve">, </w:t>
      </w:r>
      <w:proofErr w:type="spellStart"/>
      <w:r w:rsidRPr="00E45F3E">
        <w:rPr>
          <w:rFonts w:ascii="Arial" w:hAnsi="Arial" w:cs="Arial"/>
        </w:rPr>
        <w:t>etyrymol</w:t>
      </w:r>
      <w:proofErr w:type="spellEnd"/>
      <w:r w:rsidRPr="00E45F3E">
        <w:rPr>
          <w:rFonts w:ascii="Arial" w:hAnsi="Arial" w:cs="Arial"/>
        </w:rPr>
        <w:t xml:space="preserve">, </w:t>
      </w:r>
      <w:proofErr w:type="spellStart"/>
      <w:r w:rsidRPr="00E45F3E">
        <w:rPr>
          <w:rFonts w:ascii="Arial" w:hAnsi="Arial" w:cs="Arial"/>
        </w:rPr>
        <w:t>etfumesat</w:t>
      </w:r>
      <w:proofErr w:type="spellEnd"/>
      <w:r w:rsidRPr="00E45F3E">
        <w:rPr>
          <w:rFonts w:ascii="Arial" w:hAnsi="Arial" w:cs="Arial"/>
        </w:rPr>
        <w:t xml:space="preserve">, </w:t>
      </w:r>
      <w:proofErr w:type="spellStart"/>
      <w:r w:rsidRPr="00E45F3E">
        <w:rPr>
          <w:rFonts w:ascii="Arial" w:hAnsi="Arial" w:cs="Arial"/>
        </w:rPr>
        <w:t>etoksazol</w:t>
      </w:r>
      <w:proofErr w:type="spellEnd"/>
      <w:r w:rsidRPr="00E45F3E">
        <w:rPr>
          <w:rFonts w:ascii="Arial" w:hAnsi="Arial" w:cs="Arial"/>
        </w:rPr>
        <w:t xml:space="preserve">, </w:t>
      </w:r>
      <w:proofErr w:type="spellStart"/>
      <w:r w:rsidRPr="00E45F3E">
        <w:rPr>
          <w:rFonts w:ascii="Arial" w:hAnsi="Arial" w:cs="Arial"/>
        </w:rPr>
        <w:t>famoksadon</w:t>
      </w:r>
      <w:proofErr w:type="spellEnd"/>
      <w:r w:rsidRPr="00E45F3E">
        <w:rPr>
          <w:rFonts w:ascii="Arial" w:hAnsi="Arial" w:cs="Arial"/>
        </w:rPr>
        <w:t xml:space="preserve">, </w:t>
      </w:r>
      <w:proofErr w:type="spellStart"/>
      <w:r w:rsidRPr="00E45F3E">
        <w:rPr>
          <w:rFonts w:ascii="Arial" w:hAnsi="Arial" w:cs="Arial"/>
        </w:rPr>
        <w:t>fenamidon</w:t>
      </w:r>
      <w:proofErr w:type="spellEnd"/>
      <w:r w:rsidRPr="00E45F3E">
        <w:rPr>
          <w:rFonts w:ascii="Arial" w:hAnsi="Arial" w:cs="Arial"/>
        </w:rPr>
        <w:t xml:space="preserve">, </w:t>
      </w:r>
      <w:proofErr w:type="spellStart"/>
      <w:r w:rsidRPr="00E45F3E">
        <w:rPr>
          <w:rFonts w:ascii="Arial" w:hAnsi="Arial" w:cs="Arial"/>
        </w:rPr>
        <w:t>fenarymol</w:t>
      </w:r>
      <w:proofErr w:type="spellEnd"/>
      <w:r w:rsidRPr="00E45F3E">
        <w:rPr>
          <w:rFonts w:ascii="Arial" w:hAnsi="Arial" w:cs="Arial"/>
        </w:rPr>
        <w:t xml:space="preserve">, </w:t>
      </w:r>
      <w:proofErr w:type="spellStart"/>
      <w:r w:rsidRPr="00E45F3E">
        <w:rPr>
          <w:rFonts w:ascii="Arial" w:hAnsi="Arial" w:cs="Arial"/>
        </w:rPr>
        <w:t>fenazachin</w:t>
      </w:r>
      <w:proofErr w:type="spellEnd"/>
      <w:r w:rsidRPr="00E45F3E">
        <w:rPr>
          <w:rFonts w:ascii="Arial" w:hAnsi="Arial" w:cs="Arial"/>
        </w:rPr>
        <w:t xml:space="preserve">, </w:t>
      </w:r>
      <w:proofErr w:type="spellStart"/>
      <w:r w:rsidRPr="00E45F3E">
        <w:rPr>
          <w:rFonts w:ascii="Arial" w:hAnsi="Arial" w:cs="Arial"/>
        </w:rPr>
        <w:t>fenbukonazol</w:t>
      </w:r>
      <w:proofErr w:type="spellEnd"/>
      <w:r w:rsidRPr="00E45F3E">
        <w:rPr>
          <w:rFonts w:ascii="Arial" w:hAnsi="Arial" w:cs="Arial"/>
        </w:rPr>
        <w:t xml:space="preserve">, </w:t>
      </w:r>
      <w:proofErr w:type="spellStart"/>
      <w:r w:rsidRPr="00E45F3E">
        <w:rPr>
          <w:rFonts w:ascii="Arial" w:hAnsi="Arial" w:cs="Arial"/>
        </w:rPr>
        <w:t>fenheksamid</w:t>
      </w:r>
      <w:proofErr w:type="spellEnd"/>
      <w:r w:rsidRPr="00E45F3E">
        <w:rPr>
          <w:rFonts w:ascii="Arial" w:hAnsi="Arial" w:cs="Arial"/>
        </w:rPr>
        <w:t xml:space="preserve">, </w:t>
      </w:r>
      <w:proofErr w:type="spellStart"/>
      <w:r w:rsidRPr="00E45F3E">
        <w:rPr>
          <w:rFonts w:ascii="Arial" w:hAnsi="Arial" w:cs="Arial"/>
        </w:rPr>
        <w:t>fenpropidyna</w:t>
      </w:r>
      <w:proofErr w:type="spellEnd"/>
      <w:r w:rsidRPr="00E45F3E">
        <w:rPr>
          <w:rFonts w:ascii="Arial" w:hAnsi="Arial" w:cs="Arial"/>
        </w:rPr>
        <w:t xml:space="preserve">, </w:t>
      </w:r>
      <w:proofErr w:type="spellStart"/>
      <w:r w:rsidRPr="00E45F3E">
        <w:rPr>
          <w:rFonts w:ascii="Arial" w:hAnsi="Arial" w:cs="Arial"/>
        </w:rPr>
        <w:t>fenpropimorf</w:t>
      </w:r>
      <w:proofErr w:type="spellEnd"/>
      <w:r w:rsidRPr="00E45F3E">
        <w:rPr>
          <w:rFonts w:ascii="Arial" w:hAnsi="Arial" w:cs="Arial"/>
        </w:rPr>
        <w:t xml:space="preserve">, </w:t>
      </w:r>
      <w:proofErr w:type="spellStart"/>
      <w:r w:rsidRPr="00E45F3E">
        <w:rPr>
          <w:rFonts w:ascii="Arial" w:hAnsi="Arial" w:cs="Arial"/>
        </w:rPr>
        <w:t>fenpirazamina</w:t>
      </w:r>
      <w:proofErr w:type="spellEnd"/>
      <w:r w:rsidRPr="00E45F3E">
        <w:rPr>
          <w:rFonts w:ascii="Arial" w:hAnsi="Arial" w:cs="Arial"/>
        </w:rPr>
        <w:t xml:space="preserve">, </w:t>
      </w:r>
      <w:proofErr w:type="spellStart"/>
      <w:r w:rsidRPr="00E45F3E">
        <w:rPr>
          <w:rFonts w:ascii="Arial" w:hAnsi="Arial" w:cs="Arial"/>
        </w:rPr>
        <w:t>fenpiroksymat</w:t>
      </w:r>
      <w:proofErr w:type="spellEnd"/>
      <w:r w:rsidRPr="00E45F3E">
        <w:rPr>
          <w:rFonts w:ascii="Arial" w:hAnsi="Arial" w:cs="Arial"/>
        </w:rPr>
        <w:t xml:space="preserve">, </w:t>
      </w:r>
      <w:proofErr w:type="spellStart"/>
      <w:r w:rsidRPr="00E45F3E">
        <w:rPr>
          <w:rFonts w:ascii="Arial" w:hAnsi="Arial" w:cs="Arial"/>
        </w:rPr>
        <w:t>fipronil</w:t>
      </w:r>
      <w:proofErr w:type="spellEnd"/>
      <w:r w:rsidRPr="00E45F3E">
        <w:rPr>
          <w:rFonts w:ascii="Arial" w:hAnsi="Arial" w:cs="Arial"/>
        </w:rPr>
        <w:t xml:space="preserve">, </w:t>
      </w:r>
      <w:proofErr w:type="spellStart"/>
      <w:r w:rsidRPr="00E45F3E">
        <w:rPr>
          <w:rFonts w:ascii="Arial" w:hAnsi="Arial" w:cs="Arial"/>
        </w:rPr>
        <w:t>flonikamid</w:t>
      </w:r>
      <w:proofErr w:type="spellEnd"/>
      <w:r w:rsidRPr="00E45F3E">
        <w:rPr>
          <w:rFonts w:ascii="Arial" w:hAnsi="Arial" w:cs="Arial"/>
        </w:rPr>
        <w:t xml:space="preserve"> (IKI-220), </w:t>
      </w:r>
      <w:proofErr w:type="spellStart"/>
      <w:r w:rsidRPr="00E45F3E">
        <w:rPr>
          <w:rFonts w:ascii="Arial" w:hAnsi="Arial" w:cs="Arial"/>
        </w:rPr>
        <w:t>fluazyfop</w:t>
      </w:r>
      <w:proofErr w:type="spellEnd"/>
      <w:r w:rsidRPr="00E45F3E">
        <w:rPr>
          <w:rFonts w:ascii="Arial" w:hAnsi="Arial" w:cs="Arial"/>
        </w:rPr>
        <w:t xml:space="preserve">-P, </w:t>
      </w:r>
      <w:proofErr w:type="spellStart"/>
      <w:r w:rsidRPr="00E45F3E">
        <w:rPr>
          <w:rFonts w:ascii="Arial" w:hAnsi="Arial" w:cs="Arial"/>
        </w:rPr>
        <w:t>fluazynam</w:t>
      </w:r>
      <w:proofErr w:type="spellEnd"/>
      <w:r w:rsidRPr="00E45F3E">
        <w:rPr>
          <w:rFonts w:ascii="Arial" w:hAnsi="Arial" w:cs="Arial"/>
        </w:rPr>
        <w:t xml:space="preserve">, </w:t>
      </w:r>
      <w:proofErr w:type="spellStart"/>
      <w:r w:rsidRPr="00E45F3E">
        <w:rPr>
          <w:rFonts w:ascii="Arial" w:hAnsi="Arial" w:cs="Arial"/>
        </w:rPr>
        <w:t>flubendiamina</w:t>
      </w:r>
      <w:proofErr w:type="spellEnd"/>
      <w:r w:rsidRPr="00E45F3E">
        <w:rPr>
          <w:rFonts w:ascii="Arial" w:hAnsi="Arial" w:cs="Arial"/>
        </w:rPr>
        <w:t xml:space="preserve">, </w:t>
      </w:r>
      <w:proofErr w:type="spellStart"/>
      <w:r w:rsidRPr="00E45F3E">
        <w:rPr>
          <w:rFonts w:ascii="Arial" w:hAnsi="Arial" w:cs="Arial"/>
        </w:rPr>
        <w:t>fludioksonil</w:t>
      </w:r>
      <w:proofErr w:type="spellEnd"/>
      <w:r w:rsidRPr="00E45F3E">
        <w:rPr>
          <w:rFonts w:ascii="Arial" w:hAnsi="Arial" w:cs="Arial"/>
        </w:rPr>
        <w:t xml:space="preserve">, </w:t>
      </w:r>
      <w:proofErr w:type="spellStart"/>
      <w:r w:rsidRPr="00E45F3E">
        <w:rPr>
          <w:rFonts w:ascii="Arial" w:hAnsi="Arial" w:cs="Arial"/>
        </w:rPr>
        <w:t>flufenacet</w:t>
      </w:r>
      <w:proofErr w:type="spellEnd"/>
      <w:r w:rsidRPr="00E45F3E">
        <w:rPr>
          <w:rFonts w:ascii="Arial" w:hAnsi="Arial" w:cs="Arial"/>
        </w:rPr>
        <w:t xml:space="preserve">, </w:t>
      </w:r>
      <w:proofErr w:type="spellStart"/>
      <w:r w:rsidRPr="00E45F3E">
        <w:rPr>
          <w:rFonts w:ascii="Arial" w:hAnsi="Arial" w:cs="Arial"/>
        </w:rPr>
        <w:t>flufenoksuron</w:t>
      </w:r>
      <w:proofErr w:type="spellEnd"/>
      <w:r w:rsidRPr="00E45F3E">
        <w:rPr>
          <w:rFonts w:ascii="Arial" w:hAnsi="Arial" w:cs="Arial"/>
        </w:rPr>
        <w:t xml:space="preserve">, </w:t>
      </w:r>
      <w:proofErr w:type="spellStart"/>
      <w:r w:rsidRPr="00E45F3E">
        <w:rPr>
          <w:rFonts w:ascii="Arial" w:hAnsi="Arial" w:cs="Arial"/>
        </w:rPr>
        <w:t>fluometuron</w:t>
      </w:r>
      <w:proofErr w:type="spellEnd"/>
      <w:r w:rsidRPr="00E45F3E">
        <w:rPr>
          <w:rFonts w:ascii="Arial" w:hAnsi="Arial" w:cs="Arial"/>
        </w:rPr>
        <w:t xml:space="preserve">, </w:t>
      </w:r>
      <w:proofErr w:type="spellStart"/>
      <w:r w:rsidRPr="00E45F3E">
        <w:rPr>
          <w:rFonts w:ascii="Arial" w:hAnsi="Arial" w:cs="Arial"/>
        </w:rPr>
        <w:t>fluopikolid</w:t>
      </w:r>
      <w:proofErr w:type="spellEnd"/>
      <w:r w:rsidRPr="00E45F3E">
        <w:rPr>
          <w:rFonts w:ascii="Arial" w:hAnsi="Arial" w:cs="Arial"/>
        </w:rPr>
        <w:t xml:space="preserve">, </w:t>
      </w:r>
      <w:proofErr w:type="spellStart"/>
      <w:r w:rsidRPr="00E45F3E">
        <w:rPr>
          <w:rFonts w:ascii="Arial" w:hAnsi="Arial" w:cs="Arial"/>
        </w:rPr>
        <w:t>fluopyram</w:t>
      </w:r>
      <w:proofErr w:type="spellEnd"/>
      <w:r w:rsidRPr="00E45F3E">
        <w:rPr>
          <w:rFonts w:ascii="Arial" w:hAnsi="Arial" w:cs="Arial"/>
        </w:rPr>
        <w:t xml:space="preserve">, </w:t>
      </w:r>
      <w:proofErr w:type="spellStart"/>
      <w:r w:rsidRPr="00E45F3E">
        <w:rPr>
          <w:rFonts w:ascii="Arial" w:hAnsi="Arial" w:cs="Arial"/>
        </w:rPr>
        <w:t>fluoksastrobina</w:t>
      </w:r>
      <w:proofErr w:type="spellEnd"/>
      <w:r w:rsidRPr="00E45F3E">
        <w:rPr>
          <w:rFonts w:ascii="Arial" w:hAnsi="Arial" w:cs="Arial"/>
        </w:rPr>
        <w:t xml:space="preserve">, </w:t>
      </w:r>
      <w:proofErr w:type="spellStart"/>
      <w:r w:rsidRPr="00E45F3E">
        <w:rPr>
          <w:rFonts w:ascii="Arial" w:hAnsi="Arial" w:cs="Arial"/>
        </w:rPr>
        <w:t>fluchinkonazol</w:t>
      </w:r>
      <w:proofErr w:type="spellEnd"/>
      <w:r w:rsidRPr="00E45F3E">
        <w:rPr>
          <w:rFonts w:ascii="Arial" w:hAnsi="Arial" w:cs="Arial"/>
        </w:rPr>
        <w:t xml:space="preserve">, </w:t>
      </w:r>
      <w:proofErr w:type="spellStart"/>
      <w:r w:rsidRPr="00E45F3E">
        <w:rPr>
          <w:rFonts w:ascii="Arial" w:hAnsi="Arial" w:cs="Arial"/>
        </w:rPr>
        <w:t>fluroksypyr</w:t>
      </w:r>
      <w:proofErr w:type="spellEnd"/>
      <w:r w:rsidRPr="00E45F3E">
        <w:rPr>
          <w:rFonts w:ascii="Arial" w:hAnsi="Arial" w:cs="Arial"/>
        </w:rPr>
        <w:t xml:space="preserve">, </w:t>
      </w:r>
      <w:proofErr w:type="spellStart"/>
      <w:r w:rsidRPr="00E45F3E">
        <w:rPr>
          <w:rFonts w:ascii="Arial" w:hAnsi="Arial" w:cs="Arial"/>
        </w:rPr>
        <w:t>flusilazol</w:t>
      </w:r>
      <w:proofErr w:type="spellEnd"/>
      <w:r w:rsidRPr="00E45F3E">
        <w:rPr>
          <w:rFonts w:ascii="Arial" w:hAnsi="Arial" w:cs="Arial"/>
        </w:rPr>
        <w:t xml:space="preserve">, </w:t>
      </w:r>
      <w:proofErr w:type="spellStart"/>
      <w:r w:rsidRPr="00E45F3E">
        <w:rPr>
          <w:rFonts w:ascii="Arial" w:hAnsi="Arial" w:cs="Arial"/>
        </w:rPr>
        <w:t>flutolanil</w:t>
      </w:r>
      <w:proofErr w:type="spellEnd"/>
      <w:r w:rsidRPr="00E45F3E">
        <w:rPr>
          <w:rFonts w:ascii="Arial" w:hAnsi="Arial" w:cs="Arial"/>
        </w:rPr>
        <w:t xml:space="preserve">, </w:t>
      </w:r>
      <w:proofErr w:type="spellStart"/>
      <w:r w:rsidRPr="00E45F3E">
        <w:rPr>
          <w:rFonts w:ascii="Arial" w:hAnsi="Arial" w:cs="Arial"/>
        </w:rPr>
        <w:t>flutriafol</w:t>
      </w:r>
      <w:proofErr w:type="spellEnd"/>
      <w:r w:rsidRPr="00E45F3E">
        <w:rPr>
          <w:rFonts w:ascii="Arial" w:hAnsi="Arial" w:cs="Arial"/>
        </w:rPr>
        <w:t xml:space="preserve">, </w:t>
      </w:r>
      <w:proofErr w:type="spellStart"/>
      <w:r w:rsidRPr="00E45F3E">
        <w:rPr>
          <w:rFonts w:ascii="Arial" w:hAnsi="Arial" w:cs="Arial"/>
        </w:rPr>
        <w:t>forchlorofenuron</w:t>
      </w:r>
      <w:proofErr w:type="spellEnd"/>
      <w:r w:rsidRPr="00E45F3E">
        <w:rPr>
          <w:rFonts w:ascii="Arial" w:hAnsi="Arial" w:cs="Arial"/>
        </w:rPr>
        <w:t xml:space="preserve">, </w:t>
      </w:r>
      <w:proofErr w:type="spellStart"/>
      <w:r w:rsidRPr="00E45F3E">
        <w:rPr>
          <w:rFonts w:ascii="Arial" w:hAnsi="Arial" w:cs="Arial"/>
        </w:rPr>
        <w:t>fuberidazol</w:t>
      </w:r>
      <w:proofErr w:type="spellEnd"/>
      <w:r w:rsidRPr="00E45F3E">
        <w:rPr>
          <w:rFonts w:ascii="Arial" w:hAnsi="Arial" w:cs="Arial"/>
        </w:rPr>
        <w:t xml:space="preserve">, </w:t>
      </w:r>
      <w:proofErr w:type="spellStart"/>
      <w:r w:rsidRPr="00E45F3E">
        <w:rPr>
          <w:rFonts w:ascii="Arial" w:hAnsi="Arial" w:cs="Arial"/>
        </w:rPr>
        <w:t>furalaksyl</w:t>
      </w:r>
      <w:proofErr w:type="spellEnd"/>
      <w:r w:rsidRPr="00E45F3E">
        <w:rPr>
          <w:rFonts w:ascii="Arial" w:hAnsi="Arial" w:cs="Arial"/>
        </w:rPr>
        <w:t xml:space="preserve">, </w:t>
      </w:r>
      <w:proofErr w:type="spellStart"/>
      <w:r w:rsidRPr="00E45F3E">
        <w:rPr>
          <w:rFonts w:ascii="Arial" w:hAnsi="Arial" w:cs="Arial"/>
        </w:rPr>
        <w:t>glufosynat</w:t>
      </w:r>
      <w:proofErr w:type="spellEnd"/>
      <w:r w:rsidRPr="00E45F3E">
        <w:rPr>
          <w:rFonts w:ascii="Arial" w:hAnsi="Arial" w:cs="Arial"/>
        </w:rPr>
        <w:t xml:space="preserve"> amonowy, </w:t>
      </w:r>
      <w:proofErr w:type="spellStart"/>
      <w:r w:rsidRPr="00E45F3E">
        <w:rPr>
          <w:rFonts w:ascii="Arial" w:hAnsi="Arial" w:cs="Arial"/>
        </w:rPr>
        <w:t>haloksyfop</w:t>
      </w:r>
      <w:proofErr w:type="spellEnd"/>
      <w:r w:rsidRPr="00E45F3E">
        <w:rPr>
          <w:rFonts w:ascii="Arial" w:hAnsi="Arial" w:cs="Arial"/>
        </w:rPr>
        <w:t xml:space="preserve">-p, </w:t>
      </w:r>
      <w:proofErr w:type="spellStart"/>
      <w:r w:rsidRPr="00E45F3E">
        <w:rPr>
          <w:rFonts w:ascii="Arial" w:hAnsi="Arial" w:cs="Arial"/>
        </w:rPr>
        <w:t>heksakonazol</w:t>
      </w:r>
      <w:proofErr w:type="spellEnd"/>
      <w:r w:rsidRPr="00E45F3E">
        <w:rPr>
          <w:rFonts w:ascii="Arial" w:hAnsi="Arial" w:cs="Arial"/>
        </w:rPr>
        <w:t xml:space="preserve">, </w:t>
      </w:r>
      <w:proofErr w:type="spellStart"/>
      <w:r w:rsidRPr="00E45F3E">
        <w:rPr>
          <w:rFonts w:ascii="Arial" w:hAnsi="Arial" w:cs="Arial"/>
        </w:rPr>
        <w:t>heksaflumuron</w:t>
      </w:r>
      <w:proofErr w:type="spellEnd"/>
      <w:r w:rsidRPr="00E45F3E">
        <w:rPr>
          <w:rFonts w:ascii="Arial" w:hAnsi="Arial" w:cs="Arial"/>
        </w:rPr>
        <w:t xml:space="preserve">, </w:t>
      </w:r>
      <w:proofErr w:type="spellStart"/>
      <w:r w:rsidRPr="00E45F3E">
        <w:rPr>
          <w:rFonts w:ascii="Arial" w:hAnsi="Arial" w:cs="Arial"/>
        </w:rPr>
        <w:t>heksytiazoks</w:t>
      </w:r>
      <w:proofErr w:type="spellEnd"/>
      <w:r w:rsidRPr="00E45F3E">
        <w:rPr>
          <w:rFonts w:ascii="Arial" w:hAnsi="Arial" w:cs="Arial"/>
        </w:rPr>
        <w:t xml:space="preserve">, </w:t>
      </w:r>
      <w:proofErr w:type="spellStart"/>
      <w:r w:rsidRPr="00E45F3E">
        <w:rPr>
          <w:rFonts w:ascii="Arial" w:hAnsi="Arial" w:cs="Arial"/>
        </w:rPr>
        <w:t>imazalil</w:t>
      </w:r>
      <w:proofErr w:type="spellEnd"/>
      <w:r w:rsidRPr="00E45F3E">
        <w:rPr>
          <w:rFonts w:ascii="Arial" w:hAnsi="Arial" w:cs="Arial"/>
        </w:rPr>
        <w:t xml:space="preserve">, </w:t>
      </w:r>
      <w:proofErr w:type="spellStart"/>
      <w:r w:rsidRPr="00E45F3E">
        <w:rPr>
          <w:rFonts w:ascii="Arial" w:hAnsi="Arial" w:cs="Arial"/>
        </w:rPr>
        <w:t>imazamoks</w:t>
      </w:r>
      <w:proofErr w:type="spellEnd"/>
      <w:r w:rsidRPr="00E45F3E">
        <w:rPr>
          <w:rFonts w:ascii="Arial" w:hAnsi="Arial" w:cs="Arial"/>
        </w:rPr>
        <w:t xml:space="preserve">, </w:t>
      </w:r>
      <w:proofErr w:type="spellStart"/>
      <w:r w:rsidRPr="00E45F3E">
        <w:rPr>
          <w:rFonts w:ascii="Arial" w:hAnsi="Arial" w:cs="Arial"/>
        </w:rPr>
        <w:t>imidaklopryd</w:t>
      </w:r>
      <w:proofErr w:type="spellEnd"/>
      <w:r w:rsidRPr="00E45F3E">
        <w:rPr>
          <w:rFonts w:ascii="Arial" w:hAnsi="Arial" w:cs="Arial"/>
        </w:rPr>
        <w:t xml:space="preserve">, </w:t>
      </w:r>
      <w:proofErr w:type="spellStart"/>
      <w:r w:rsidRPr="00E45F3E">
        <w:rPr>
          <w:rFonts w:ascii="Arial" w:hAnsi="Arial" w:cs="Arial"/>
        </w:rPr>
        <w:t>indoksakarb</w:t>
      </w:r>
      <w:proofErr w:type="spellEnd"/>
      <w:r w:rsidRPr="00E45F3E">
        <w:rPr>
          <w:rFonts w:ascii="Arial" w:hAnsi="Arial" w:cs="Arial"/>
        </w:rPr>
        <w:t xml:space="preserve">, </w:t>
      </w:r>
      <w:proofErr w:type="spellStart"/>
      <w:r w:rsidRPr="00E45F3E">
        <w:rPr>
          <w:rFonts w:ascii="Arial" w:hAnsi="Arial" w:cs="Arial"/>
        </w:rPr>
        <w:t>ipkonazol</w:t>
      </w:r>
      <w:proofErr w:type="spellEnd"/>
      <w:r w:rsidRPr="00E45F3E">
        <w:rPr>
          <w:rFonts w:ascii="Arial" w:hAnsi="Arial" w:cs="Arial"/>
        </w:rPr>
        <w:t xml:space="preserve">, </w:t>
      </w:r>
      <w:proofErr w:type="spellStart"/>
      <w:r w:rsidRPr="00E45F3E">
        <w:rPr>
          <w:rFonts w:ascii="Arial" w:hAnsi="Arial" w:cs="Arial"/>
        </w:rPr>
        <w:t>iprodion</w:t>
      </w:r>
      <w:proofErr w:type="spellEnd"/>
      <w:r w:rsidRPr="00E45F3E">
        <w:rPr>
          <w:rFonts w:ascii="Arial" w:hAnsi="Arial" w:cs="Arial"/>
        </w:rPr>
        <w:t xml:space="preserve">, </w:t>
      </w:r>
      <w:proofErr w:type="spellStart"/>
      <w:r w:rsidRPr="00E45F3E">
        <w:rPr>
          <w:rFonts w:ascii="Arial" w:hAnsi="Arial" w:cs="Arial"/>
        </w:rPr>
        <w:t>iprowalikarb</w:t>
      </w:r>
      <w:proofErr w:type="spellEnd"/>
      <w:r w:rsidRPr="00E45F3E">
        <w:rPr>
          <w:rFonts w:ascii="Arial" w:hAnsi="Arial" w:cs="Arial"/>
        </w:rPr>
        <w:t xml:space="preserve">, </w:t>
      </w:r>
      <w:proofErr w:type="spellStart"/>
      <w:r w:rsidRPr="00E45F3E">
        <w:rPr>
          <w:rFonts w:ascii="Arial" w:hAnsi="Arial" w:cs="Arial"/>
        </w:rPr>
        <w:t>izokarbofos</w:t>
      </w:r>
      <w:proofErr w:type="spellEnd"/>
      <w:r w:rsidRPr="00E45F3E">
        <w:rPr>
          <w:rFonts w:ascii="Arial" w:hAnsi="Arial" w:cs="Arial"/>
        </w:rPr>
        <w:t xml:space="preserve">, </w:t>
      </w:r>
      <w:proofErr w:type="spellStart"/>
      <w:r w:rsidRPr="00E45F3E">
        <w:rPr>
          <w:rFonts w:ascii="Arial" w:hAnsi="Arial" w:cs="Arial"/>
        </w:rPr>
        <w:t>izofenfos</w:t>
      </w:r>
      <w:proofErr w:type="spellEnd"/>
      <w:r w:rsidRPr="00E45F3E">
        <w:rPr>
          <w:rFonts w:ascii="Arial" w:hAnsi="Arial" w:cs="Arial"/>
        </w:rPr>
        <w:t xml:space="preserve"> metylowy, </w:t>
      </w:r>
      <w:proofErr w:type="spellStart"/>
      <w:r w:rsidRPr="00E45F3E">
        <w:rPr>
          <w:rFonts w:ascii="Arial" w:hAnsi="Arial" w:cs="Arial"/>
        </w:rPr>
        <w:t>izoproturon</w:t>
      </w:r>
      <w:proofErr w:type="spellEnd"/>
      <w:r w:rsidRPr="00E45F3E">
        <w:rPr>
          <w:rFonts w:ascii="Arial" w:hAnsi="Arial" w:cs="Arial"/>
        </w:rPr>
        <w:t xml:space="preserve">, </w:t>
      </w:r>
      <w:proofErr w:type="spellStart"/>
      <w:r w:rsidRPr="00E45F3E">
        <w:rPr>
          <w:rFonts w:ascii="Arial" w:hAnsi="Arial" w:cs="Arial"/>
        </w:rPr>
        <w:t>izoksaben</w:t>
      </w:r>
      <w:proofErr w:type="spellEnd"/>
      <w:r w:rsidRPr="00E45F3E">
        <w:rPr>
          <w:rFonts w:ascii="Arial" w:hAnsi="Arial" w:cs="Arial"/>
        </w:rPr>
        <w:t xml:space="preserve">, </w:t>
      </w:r>
      <w:proofErr w:type="spellStart"/>
      <w:r w:rsidRPr="00E45F3E">
        <w:rPr>
          <w:rFonts w:ascii="Arial" w:hAnsi="Arial" w:cs="Arial"/>
        </w:rPr>
        <w:t>izoksaflutol</w:t>
      </w:r>
      <w:proofErr w:type="spellEnd"/>
      <w:r w:rsidRPr="00E45F3E">
        <w:rPr>
          <w:rFonts w:ascii="Arial" w:hAnsi="Arial" w:cs="Arial"/>
        </w:rPr>
        <w:t xml:space="preserve">, </w:t>
      </w:r>
      <w:proofErr w:type="spellStart"/>
      <w:r w:rsidRPr="00E45F3E">
        <w:rPr>
          <w:rFonts w:ascii="Arial" w:hAnsi="Arial" w:cs="Arial"/>
        </w:rPr>
        <w:t>krezoksym</w:t>
      </w:r>
      <w:proofErr w:type="spellEnd"/>
      <w:r w:rsidRPr="00E45F3E">
        <w:rPr>
          <w:rFonts w:ascii="Arial" w:hAnsi="Arial" w:cs="Arial"/>
        </w:rPr>
        <w:t xml:space="preserve"> metylowy, </w:t>
      </w:r>
      <w:proofErr w:type="spellStart"/>
      <w:r w:rsidRPr="00E45F3E">
        <w:rPr>
          <w:rFonts w:ascii="Arial" w:hAnsi="Arial" w:cs="Arial"/>
        </w:rPr>
        <w:t>lenacyl</w:t>
      </w:r>
      <w:proofErr w:type="spellEnd"/>
      <w:r w:rsidRPr="00E45F3E">
        <w:rPr>
          <w:rFonts w:ascii="Arial" w:hAnsi="Arial" w:cs="Arial"/>
        </w:rPr>
        <w:t xml:space="preserve">, </w:t>
      </w:r>
      <w:proofErr w:type="spellStart"/>
      <w:r w:rsidRPr="00E45F3E">
        <w:rPr>
          <w:rFonts w:ascii="Arial" w:hAnsi="Arial" w:cs="Arial"/>
        </w:rPr>
        <w:t>linuron</w:t>
      </w:r>
      <w:proofErr w:type="spellEnd"/>
      <w:r w:rsidRPr="00E45F3E">
        <w:rPr>
          <w:rFonts w:ascii="Arial" w:hAnsi="Arial" w:cs="Arial"/>
        </w:rPr>
        <w:t xml:space="preserve">, </w:t>
      </w:r>
      <w:proofErr w:type="spellStart"/>
      <w:r w:rsidRPr="00E45F3E">
        <w:rPr>
          <w:rFonts w:ascii="Arial" w:hAnsi="Arial" w:cs="Arial"/>
        </w:rPr>
        <w:t>lufenuron</w:t>
      </w:r>
      <w:proofErr w:type="spellEnd"/>
      <w:r w:rsidRPr="00E45F3E">
        <w:rPr>
          <w:rFonts w:ascii="Arial" w:hAnsi="Arial" w:cs="Arial"/>
        </w:rPr>
        <w:t xml:space="preserve">, </w:t>
      </w:r>
      <w:proofErr w:type="spellStart"/>
      <w:r w:rsidRPr="00E45F3E">
        <w:rPr>
          <w:rFonts w:ascii="Arial" w:hAnsi="Arial" w:cs="Arial"/>
        </w:rPr>
        <w:t>mandipropamid</w:t>
      </w:r>
      <w:proofErr w:type="spellEnd"/>
      <w:r w:rsidRPr="00E45F3E">
        <w:rPr>
          <w:rFonts w:ascii="Arial" w:hAnsi="Arial" w:cs="Arial"/>
        </w:rPr>
        <w:t xml:space="preserve">, MCPB, </w:t>
      </w:r>
      <w:proofErr w:type="spellStart"/>
      <w:r w:rsidRPr="00E45F3E">
        <w:rPr>
          <w:rFonts w:ascii="Arial" w:hAnsi="Arial" w:cs="Arial"/>
        </w:rPr>
        <w:t>mekoprop</w:t>
      </w:r>
      <w:proofErr w:type="spellEnd"/>
      <w:r w:rsidRPr="00E45F3E">
        <w:rPr>
          <w:rFonts w:ascii="Arial" w:hAnsi="Arial" w:cs="Arial"/>
        </w:rPr>
        <w:t xml:space="preserve">, </w:t>
      </w:r>
      <w:proofErr w:type="spellStart"/>
      <w:r w:rsidRPr="00E45F3E">
        <w:rPr>
          <w:rFonts w:ascii="Arial" w:hAnsi="Arial" w:cs="Arial"/>
        </w:rPr>
        <w:t>mepanipirym</w:t>
      </w:r>
      <w:proofErr w:type="spellEnd"/>
      <w:r w:rsidRPr="00E45F3E">
        <w:rPr>
          <w:rFonts w:ascii="Arial" w:hAnsi="Arial" w:cs="Arial"/>
        </w:rPr>
        <w:t xml:space="preserve">, </w:t>
      </w:r>
      <w:proofErr w:type="spellStart"/>
      <w:r w:rsidRPr="00E45F3E">
        <w:rPr>
          <w:rFonts w:ascii="Arial" w:hAnsi="Arial" w:cs="Arial"/>
        </w:rPr>
        <w:t>mezotrion</w:t>
      </w:r>
      <w:proofErr w:type="spellEnd"/>
      <w:r w:rsidRPr="00E45F3E">
        <w:rPr>
          <w:rFonts w:ascii="Arial" w:hAnsi="Arial" w:cs="Arial"/>
        </w:rPr>
        <w:t xml:space="preserve">, </w:t>
      </w:r>
      <w:proofErr w:type="spellStart"/>
      <w:r w:rsidRPr="00E45F3E">
        <w:rPr>
          <w:rFonts w:ascii="Arial" w:hAnsi="Arial" w:cs="Arial"/>
        </w:rPr>
        <w:t>metaflumizon</w:t>
      </w:r>
      <w:proofErr w:type="spellEnd"/>
      <w:r w:rsidRPr="00E45F3E">
        <w:rPr>
          <w:rFonts w:ascii="Arial" w:hAnsi="Arial" w:cs="Arial"/>
        </w:rPr>
        <w:t xml:space="preserve">, </w:t>
      </w:r>
      <w:proofErr w:type="spellStart"/>
      <w:r w:rsidRPr="00E45F3E">
        <w:rPr>
          <w:rFonts w:ascii="Arial" w:hAnsi="Arial" w:cs="Arial"/>
        </w:rPr>
        <w:t>metalaksyl</w:t>
      </w:r>
      <w:proofErr w:type="spellEnd"/>
      <w:r w:rsidRPr="00E45F3E">
        <w:rPr>
          <w:rFonts w:ascii="Arial" w:hAnsi="Arial" w:cs="Arial"/>
        </w:rPr>
        <w:t xml:space="preserve">, </w:t>
      </w:r>
      <w:proofErr w:type="spellStart"/>
      <w:r w:rsidRPr="00E45F3E">
        <w:rPr>
          <w:rFonts w:ascii="Arial" w:hAnsi="Arial" w:cs="Arial"/>
        </w:rPr>
        <w:t>metamitron</w:t>
      </w:r>
      <w:proofErr w:type="spellEnd"/>
      <w:r w:rsidRPr="00E45F3E">
        <w:rPr>
          <w:rFonts w:ascii="Arial" w:hAnsi="Arial" w:cs="Arial"/>
        </w:rPr>
        <w:t xml:space="preserve">, </w:t>
      </w:r>
      <w:proofErr w:type="spellStart"/>
      <w:r w:rsidRPr="00E45F3E">
        <w:rPr>
          <w:rFonts w:ascii="Arial" w:hAnsi="Arial" w:cs="Arial"/>
        </w:rPr>
        <w:t>metazachlor</w:t>
      </w:r>
      <w:proofErr w:type="spellEnd"/>
      <w:r w:rsidRPr="00E45F3E">
        <w:rPr>
          <w:rFonts w:ascii="Arial" w:hAnsi="Arial" w:cs="Arial"/>
        </w:rPr>
        <w:t xml:space="preserve">, </w:t>
      </w:r>
      <w:proofErr w:type="spellStart"/>
      <w:r w:rsidRPr="00E45F3E">
        <w:rPr>
          <w:rFonts w:ascii="Arial" w:hAnsi="Arial" w:cs="Arial"/>
        </w:rPr>
        <w:t>metkonazol</w:t>
      </w:r>
      <w:proofErr w:type="spellEnd"/>
      <w:r w:rsidRPr="00E45F3E">
        <w:rPr>
          <w:rFonts w:ascii="Arial" w:hAnsi="Arial" w:cs="Arial"/>
        </w:rPr>
        <w:t xml:space="preserve">, </w:t>
      </w:r>
      <w:proofErr w:type="spellStart"/>
      <w:r w:rsidRPr="00E45F3E">
        <w:rPr>
          <w:rFonts w:ascii="Arial" w:hAnsi="Arial" w:cs="Arial"/>
        </w:rPr>
        <w:lastRenderedPageBreak/>
        <w:t>metoksyfenozyd</w:t>
      </w:r>
      <w:proofErr w:type="spellEnd"/>
      <w:r w:rsidRPr="00E45F3E">
        <w:rPr>
          <w:rFonts w:ascii="Arial" w:hAnsi="Arial" w:cs="Arial"/>
        </w:rPr>
        <w:t xml:space="preserve">, </w:t>
      </w:r>
      <w:proofErr w:type="spellStart"/>
      <w:r w:rsidRPr="00E45F3E">
        <w:rPr>
          <w:rFonts w:ascii="Arial" w:hAnsi="Arial" w:cs="Arial"/>
        </w:rPr>
        <w:t>metobromuron</w:t>
      </w:r>
      <w:proofErr w:type="spellEnd"/>
      <w:r w:rsidRPr="00E45F3E">
        <w:rPr>
          <w:rFonts w:ascii="Arial" w:hAnsi="Arial" w:cs="Arial"/>
        </w:rPr>
        <w:t xml:space="preserve">, </w:t>
      </w:r>
      <w:proofErr w:type="spellStart"/>
      <w:r w:rsidRPr="00E45F3E">
        <w:rPr>
          <w:rFonts w:ascii="Arial" w:hAnsi="Arial" w:cs="Arial"/>
        </w:rPr>
        <w:t>metolachlor</w:t>
      </w:r>
      <w:proofErr w:type="spellEnd"/>
      <w:r w:rsidRPr="00E45F3E">
        <w:rPr>
          <w:rFonts w:ascii="Arial" w:hAnsi="Arial" w:cs="Arial"/>
        </w:rPr>
        <w:t xml:space="preserve">, </w:t>
      </w:r>
      <w:proofErr w:type="spellStart"/>
      <w:r w:rsidRPr="00E45F3E">
        <w:rPr>
          <w:rFonts w:ascii="Arial" w:hAnsi="Arial" w:cs="Arial"/>
        </w:rPr>
        <w:t>metrybuzyna</w:t>
      </w:r>
      <w:proofErr w:type="spellEnd"/>
      <w:r w:rsidRPr="00E45F3E">
        <w:rPr>
          <w:rFonts w:ascii="Arial" w:hAnsi="Arial" w:cs="Arial"/>
        </w:rPr>
        <w:t xml:space="preserve">, </w:t>
      </w:r>
      <w:proofErr w:type="spellStart"/>
      <w:r w:rsidRPr="00E45F3E">
        <w:rPr>
          <w:rFonts w:ascii="Arial" w:hAnsi="Arial" w:cs="Arial"/>
        </w:rPr>
        <w:t>mychlobutanil</w:t>
      </w:r>
      <w:proofErr w:type="spellEnd"/>
      <w:r w:rsidRPr="00E45F3E">
        <w:rPr>
          <w:rFonts w:ascii="Arial" w:hAnsi="Arial" w:cs="Arial"/>
        </w:rPr>
        <w:t xml:space="preserve">, </w:t>
      </w:r>
      <w:proofErr w:type="spellStart"/>
      <w:r w:rsidRPr="00E45F3E">
        <w:rPr>
          <w:rFonts w:ascii="Arial" w:hAnsi="Arial" w:cs="Arial"/>
        </w:rPr>
        <w:t>napropamid</w:t>
      </w:r>
      <w:proofErr w:type="spellEnd"/>
      <w:r w:rsidRPr="00E45F3E">
        <w:rPr>
          <w:rFonts w:ascii="Arial" w:hAnsi="Arial" w:cs="Arial"/>
        </w:rPr>
        <w:t xml:space="preserve">, </w:t>
      </w:r>
      <w:proofErr w:type="spellStart"/>
      <w:r w:rsidRPr="00E45F3E">
        <w:rPr>
          <w:rFonts w:ascii="Arial" w:hAnsi="Arial" w:cs="Arial"/>
        </w:rPr>
        <w:t>nikosulfuron</w:t>
      </w:r>
      <w:proofErr w:type="spellEnd"/>
      <w:r w:rsidRPr="00E45F3E">
        <w:rPr>
          <w:rFonts w:ascii="Arial" w:hAnsi="Arial" w:cs="Arial"/>
        </w:rPr>
        <w:t xml:space="preserve">, </w:t>
      </w:r>
      <w:proofErr w:type="spellStart"/>
      <w:r w:rsidRPr="00E45F3E">
        <w:rPr>
          <w:rFonts w:ascii="Arial" w:hAnsi="Arial" w:cs="Arial"/>
        </w:rPr>
        <w:t>nitenpyram</w:t>
      </w:r>
      <w:proofErr w:type="spellEnd"/>
      <w:r w:rsidRPr="00E45F3E">
        <w:rPr>
          <w:rFonts w:ascii="Arial" w:hAnsi="Arial" w:cs="Arial"/>
        </w:rPr>
        <w:t xml:space="preserve">, </w:t>
      </w:r>
      <w:proofErr w:type="spellStart"/>
      <w:r w:rsidRPr="00E45F3E">
        <w:rPr>
          <w:rFonts w:ascii="Arial" w:hAnsi="Arial" w:cs="Arial"/>
        </w:rPr>
        <w:t>nowaluron</w:t>
      </w:r>
      <w:proofErr w:type="spellEnd"/>
      <w:r w:rsidRPr="00E45F3E">
        <w:rPr>
          <w:rFonts w:ascii="Arial" w:hAnsi="Arial" w:cs="Arial"/>
        </w:rPr>
        <w:t xml:space="preserve">, </w:t>
      </w:r>
      <w:proofErr w:type="spellStart"/>
      <w:r w:rsidRPr="00E45F3E">
        <w:rPr>
          <w:rFonts w:ascii="Arial" w:hAnsi="Arial" w:cs="Arial"/>
        </w:rPr>
        <w:t>oksadiksyl</w:t>
      </w:r>
      <w:proofErr w:type="spellEnd"/>
      <w:r w:rsidRPr="00E45F3E">
        <w:rPr>
          <w:rFonts w:ascii="Arial" w:hAnsi="Arial" w:cs="Arial"/>
        </w:rPr>
        <w:t xml:space="preserve">, </w:t>
      </w:r>
      <w:proofErr w:type="spellStart"/>
      <w:r w:rsidRPr="00E45F3E">
        <w:rPr>
          <w:rFonts w:ascii="Arial" w:hAnsi="Arial" w:cs="Arial"/>
        </w:rPr>
        <w:t>oksyfluorofen</w:t>
      </w:r>
      <w:proofErr w:type="spellEnd"/>
      <w:r w:rsidRPr="00E45F3E">
        <w:rPr>
          <w:rFonts w:ascii="Arial" w:hAnsi="Arial" w:cs="Arial"/>
        </w:rPr>
        <w:t xml:space="preserve">, </w:t>
      </w:r>
      <w:proofErr w:type="spellStart"/>
      <w:r w:rsidRPr="00E45F3E">
        <w:rPr>
          <w:rFonts w:ascii="Arial" w:hAnsi="Arial" w:cs="Arial"/>
        </w:rPr>
        <w:t>paklobutrazol</w:t>
      </w:r>
      <w:proofErr w:type="spellEnd"/>
      <w:r w:rsidRPr="00E45F3E">
        <w:rPr>
          <w:rFonts w:ascii="Arial" w:hAnsi="Arial" w:cs="Arial"/>
        </w:rPr>
        <w:t xml:space="preserve">, </w:t>
      </w:r>
      <w:proofErr w:type="spellStart"/>
      <w:r w:rsidRPr="00E45F3E">
        <w:rPr>
          <w:rFonts w:ascii="Arial" w:hAnsi="Arial" w:cs="Arial"/>
        </w:rPr>
        <w:t>penkonazol</w:t>
      </w:r>
      <w:proofErr w:type="spellEnd"/>
      <w:r w:rsidRPr="00E45F3E">
        <w:rPr>
          <w:rFonts w:ascii="Arial" w:hAnsi="Arial" w:cs="Arial"/>
        </w:rPr>
        <w:t xml:space="preserve">, </w:t>
      </w:r>
      <w:proofErr w:type="spellStart"/>
      <w:r w:rsidRPr="00E45F3E">
        <w:rPr>
          <w:rFonts w:ascii="Arial" w:hAnsi="Arial" w:cs="Arial"/>
        </w:rPr>
        <w:t>pencykuron</w:t>
      </w:r>
      <w:proofErr w:type="spellEnd"/>
      <w:r w:rsidRPr="00E45F3E">
        <w:rPr>
          <w:rFonts w:ascii="Arial" w:hAnsi="Arial" w:cs="Arial"/>
        </w:rPr>
        <w:t xml:space="preserve">, </w:t>
      </w:r>
      <w:proofErr w:type="spellStart"/>
      <w:r w:rsidRPr="00E45F3E">
        <w:rPr>
          <w:rFonts w:ascii="Arial" w:hAnsi="Arial" w:cs="Arial"/>
        </w:rPr>
        <w:t>pendimetalina</w:t>
      </w:r>
      <w:proofErr w:type="spellEnd"/>
      <w:r w:rsidRPr="00E45F3E">
        <w:rPr>
          <w:rFonts w:ascii="Arial" w:hAnsi="Arial" w:cs="Arial"/>
        </w:rPr>
        <w:t xml:space="preserve">, </w:t>
      </w:r>
      <w:proofErr w:type="spellStart"/>
      <w:r w:rsidRPr="00E45F3E">
        <w:rPr>
          <w:rFonts w:ascii="Arial" w:hAnsi="Arial" w:cs="Arial"/>
        </w:rPr>
        <w:t>pentachlorobenzen</w:t>
      </w:r>
      <w:proofErr w:type="spellEnd"/>
      <w:r w:rsidRPr="00E45F3E">
        <w:rPr>
          <w:rFonts w:ascii="Arial" w:hAnsi="Arial" w:cs="Arial"/>
        </w:rPr>
        <w:t xml:space="preserve">, </w:t>
      </w:r>
      <w:proofErr w:type="spellStart"/>
      <w:r w:rsidRPr="00E45F3E">
        <w:rPr>
          <w:rFonts w:ascii="Arial" w:hAnsi="Arial" w:cs="Arial"/>
        </w:rPr>
        <w:t>petoksamid</w:t>
      </w:r>
      <w:proofErr w:type="spellEnd"/>
      <w:r w:rsidRPr="00E45F3E">
        <w:rPr>
          <w:rFonts w:ascii="Arial" w:hAnsi="Arial" w:cs="Arial"/>
        </w:rPr>
        <w:t xml:space="preserve">, </w:t>
      </w:r>
      <w:proofErr w:type="spellStart"/>
      <w:r w:rsidRPr="00E45F3E">
        <w:rPr>
          <w:rFonts w:ascii="Arial" w:hAnsi="Arial" w:cs="Arial"/>
        </w:rPr>
        <w:t>fenmedifam</w:t>
      </w:r>
      <w:proofErr w:type="spellEnd"/>
      <w:r w:rsidRPr="00E45F3E">
        <w:rPr>
          <w:rFonts w:ascii="Arial" w:hAnsi="Arial" w:cs="Arial"/>
        </w:rPr>
        <w:t xml:space="preserve">, </w:t>
      </w:r>
      <w:proofErr w:type="spellStart"/>
      <w:r w:rsidRPr="00E45F3E">
        <w:rPr>
          <w:rFonts w:ascii="Arial" w:hAnsi="Arial" w:cs="Arial"/>
        </w:rPr>
        <w:t>pikloram</w:t>
      </w:r>
      <w:proofErr w:type="spellEnd"/>
      <w:r w:rsidRPr="00E45F3E">
        <w:rPr>
          <w:rFonts w:ascii="Arial" w:hAnsi="Arial" w:cs="Arial"/>
        </w:rPr>
        <w:t xml:space="preserve">, </w:t>
      </w:r>
      <w:proofErr w:type="spellStart"/>
      <w:r w:rsidRPr="00E45F3E">
        <w:rPr>
          <w:rFonts w:ascii="Arial" w:hAnsi="Arial" w:cs="Arial"/>
        </w:rPr>
        <w:t>pikoksystrobina</w:t>
      </w:r>
      <w:proofErr w:type="spellEnd"/>
      <w:r w:rsidRPr="00E45F3E">
        <w:rPr>
          <w:rFonts w:ascii="Arial" w:hAnsi="Arial" w:cs="Arial"/>
        </w:rPr>
        <w:t xml:space="preserve">, </w:t>
      </w:r>
      <w:proofErr w:type="spellStart"/>
      <w:r w:rsidRPr="00E45F3E">
        <w:rPr>
          <w:rFonts w:ascii="Arial" w:hAnsi="Arial" w:cs="Arial"/>
        </w:rPr>
        <w:t>prochloraz</w:t>
      </w:r>
      <w:proofErr w:type="spellEnd"/>
      <w:r w:rsidRPr="00E45F3E">
        <w:rPr>
          <w:rFonts w:ascii="Arial" w:hAnsi="Arial" w:cs="Arial"/>
        </w:rPr>
        <w:t xml:space="preserve">, </w:t>
      </w:r>
      <w:proofErr w:type="spellStart"/>
      <w:r w:rsidRPr="00E45F3E">
        <w:rPr>
          <w:rFonts w:ascii="Arial" w:hAnsi="Arial" w:cs="Arial"/>
        </w:rPr>
        <w:t>procymidon</w:t>
      </w:r>
      <w:proofErr w:type="spellEnd"/>
      <w:r w:rsidRPr="00E45F3E">
        <w:rPr>
          <w:rFonts w:ascii="Arial" w:hAnsi="Arial" w:cs="Arial"/>
        </w:rPr>
        <w:t xml:space="preserve">, </w:t>
      </w:r>
      <w:proofErr w:type="spellStart"/>
      <w:r w:rsidRPr="00E45F3E">
        <w:rPr>
          <w:rFonts w:ascii="Arial" w:hAnsi="Arial" w:cs="Arial"/>
        </w:rPr>
        <w:t>propachlor</w:t>
      </w:r>
      <w:proofErr w:type="spellEnd"/>
      <w:r w:rsidRPr="00E45F3E">
        <w:rPr>
          <w:rFonts w:ascii="Arial" w:hAnsi="Arial" w:cs="Arial"/>
        </w:rPr>
        <w:t xml:space="preserve">, </w:t>
      </w:r>
      <w:proofErr w:type="spellStart"/>
      <w:r w:rsidRPr="00E45F3E">
        <w:rPr>
          <w:rFonts w:ascii="Arial" w:hAnsi="Arial" w:cs="Arial"/>
        </w:rPr>
        <w:t>propamokarb</w:t>
      </w:r>
      <w:proofErr w:type="spellEnd"/>
      <w:r w:rsidRPr="00E45F3E">
        <w:rPr>
          <w:rFonts w:ascii="Arial" w:hAnsi="Arial" w:cs="Arial"/>
        </w:rPr>
        <w:t xml:space="preserve">, </w:t>
      </w:r>
      <w:proofErr w:type="spellStart"/>
      <w:r w:rsidRPr="00E45F3E">
        <w:rPr>
          <w:rFonts w:ascii="Arial" w:hAnsi="Arial" w:cs="Arial"/>
        </w:rPr>
        <w:t>propargit</w:t>
      </w:r>
      <w:proofErr w:type="spellEnd"/>
      <w:r w:rsidRPr="00E45F3E">
        <w:rPr>
          <w:rFonts w:ascii="Arial" w:hAnsi="Arial" w:cs="Arial"/>
        </w:rPr>
        <w:t xml:space="preserve">, </w:t>
      </w:r>
      <w:proofErr w:type="spellStart"/>
      <w:r w:rsidRPr="00E45F3E">
        <w:rPr>
          <w:rFonts w:ascii="Arial" w:hAnsi="Arial" w:cs="Arial"/>
        </w:rPr>
        <w:t>propikonazol</w:t>
      </w:r>
      <w:proofErr w:type="spellEnd"/>
      <w:r w:rsidRPr="00E45F3E">
        <w:rPr>
          <w:rFonts w:ascii="Arial" w:hAnsi="Arial" w:cs="Arial"/>
        </w:rPr>
        <w:t xml:space="preserve">, </w:t>
      </w:r>
      <w:proofErr w:type="spellStart"/>
      <w:r w:rsidRPr="00E45F3E">
        <w:rPr>
          <w:rFonts w:ascii="Arial" w:hAnsi="Arial" w:cs="Arial"/>
        </w:rPr>
        <w:t>propyzamid</w:t>
      </w:r>
      <w:proofErr w:type="spellEnd"/>
      <w:r w:rsidRPr="00E45F3E">
        <w:rPr>
          <w:rFonts w:ascii="Arial" w:hAnsi="Arial" w:cs="Arial"/>
        </w:rPr>
        <w:t xml:space="preserve">, </w:t>
      </w:r>
      <w:proofErr w:type="spellStart"/>
      <w:r w:rsidRPr="00E45F3E">
        <w:rPr>
          <w:rFonts w:ascii="Arial" w:hAnsi="Arial" w:cs="Arial"/>
        </w:rPr>
        <w:t>protiokonazol</w:t>
      </w:r>
      <w:proofErr w:type="spellEnd"/>
      <w:r w:rsidRPr="00E45F3E">
        <w:rPr>
          <w:rFonts w:ascii="Arial" w:hAnsi="Arial" w:cs="Arial"/>
        </w:rPr>
        <w:t xml:space="preserve">, </w:t>
      </w:r>
      <w:proofErr w:type="spellStart"/>
      <w:r w:rsidRPr="00E45F3E">
        <w:rPr>
          <w:rFonts w:ascii="Arial" w:hAnsi="Arial" w:cs="Arial"/>
        </w:rPr>
        <w:t>pimetrozyna</w:t>
      </w:r>
      <w:proofErr w:type="spellEnd"/>
      <w:r w:rsidRPr="00E45F3E">
        <w:rPr>
          <w:rFonts w:ascii="Arial" w:hAnsi="Arial" w:cs="Arial"/>
        </w:rPr>
        <w:t xml:space="preserve">, </w:t>
      </w:r>
      <w:proofErr w:type="spellStart"/>
      <w:r w:rsidRPr="00E45F3E">
        <w:rPr>
          <w:rFonts w:ascii="Arial" w:hAnsi="Arial" w:cs="Arial"/>
        </w:rPr>
        <w:t>piraklostrobina</w:t>
      </w:r>
      <w:proofErr w:type="spellEnd"/>
      <w:r w:rsidRPr="00E45F3E">
        <w:rPr>
          <w:rFonts w:ascii="Arial" w:hAnsi="Arial" w:cs="Arial"/>
        </w:rPr>
        <w:t xml:space="preserve">, </w:t>
      </w:r>
      <w:proofErr w:type="spellStart"/>
      <w:r w:rsidRPr="00E45F3E">
        <w:rPr>
          <w:rFonts w:ascii="Arial" w:hAnsi="Arial" w:cs="Arial"/>
        </w:rPr>
        <w:t>pyrazofos</w:t>
      </w:r>
      <w:proofErr w:type="spellEnd"/>
      <w:r w:rsidRPr="00E45F3E">
        <w:rPr>
          <w:rFonts w:ascii="Arial" w:hAnsi="Arial" w:cs="Arial"/>
        </w:rPr>
        <w:t xml:space="preserve">, </w:t>
      </w:r>
      <w:proofErr w:type="spellStart"/>
      <w:r w:rsidRPr="00E45F3E">
        <w:rPr>
          <w:rFonts w:ascii="Arial" w:hAnsi="Arial" w:cs="Arial"/>
        </w:rPr>
        <w:t>pirydaben</w:t>
      </w:r>
      <w:proofErr w:type="spellEnd"/>
      <w:r w:rsidRPr="00E45F3E">
        <w:rPr>
          <w:rFonts w:ascii="Arial" w:hAnsi="Arial" w:cs="Arial"/>
        </w:rPr>
        <w:t xml:space="preserve">, </w:t>
      </w:r>
      <w:proofErr w:type="spellStart"/>
      <w:r w:rsidRPr="00E45F3E">
        <w:rPr>
          <w:rFonts w:ascii="Arial" w:hAnsi="Arial" w:cs="Arial"/>
        </w:rPr>
        <w:t>pirymetanil</w:t>
      </w:r>
      <w:proofErr w:type="spellEnd"/>
      <w:r w:rsidRPr="00E45F3E">
        <w:rPr>
          <w:rFonts w:ascii="Arial" w:hAnsi="Arial" w:cs="Arial"/>
        </w:rPr>
        <w:t xml:space="preserve">, </w:t>
      </w:r>
      <w:proofErr w:type="spellStart"/>
      <w:r w:rsidRPr="00E45F3E">
        <w:rPr>
          <w:rFonts w:ascii="Arial" w:hAnsi="Arial" w:cs="Arial"/>
        </w:rPr>
        <w:t>pyriproksyfen</w:t>
      </w:r>
      <w:proofErr w:type="spellEnd"/>
      <w:r w:rsidRPr="00E45F3E">
        <w:rPr>
          <w:rFonts w:ascii="Arial" w:hAnsi="Arial" w:cs="Arial"/>
        </w:rPr>
        <w:t xml:space="preserve">, </w:t>
      </w:r>
      <w:proofErr w:type="spellStart"/>
      <w:r w:rsidRPr="00E45F3E">
        <w:rPr>
          <w:rFonts w:ascii="Arial" w:hAnsi="Arial" w:cs="Arial"/>
        </w:rPr>
        <w:t>chinomerak</w:t>
      </w:r>
      <w:proofErr w:type="spellEnd"/>
      <w:r w:rsidRPr="00E45F3E">
        <w:rPr>
          <w:rFonts w:ascii="Arial" w:hAnsi="Arial" w:cs="Arial"/>
        </w:rPr>
        <w:t xml:space="preserve">, </w:t>
      </w:r>
      <w:proofErr w:type="spellStart"/>
      <w:r w:rsidRPr="00E45F3E">
        <w:rPr>
          <w:rFonts w:ascii="Arial" w:hAnsi="Arial" w:cs="Arial"/>
        </w:rPr>
        <w:t>chinoksyfen</w:t>
      </w:r>
      <w:proofErr w:type="spellEnd"/>
      <w:r w:rsidRPr="00E45F3E">
        <w:rPr>
          <w:rFonts w:ascii="Arial" w:hAnsi="Arial" w:cs="Arial"/>
        </w:rPr>
        <w:t>, S-</w:t>
      </w:r>
      <w:proofErr w:type="spellStart"/>
      <w:r w:rsidRPr="00E45F3E">
        <w:rPr>
          <w:rFonts w:ascii="Arial" w:hAnsi="Arial" w:cs="Arial"/>
        </w:rPr>
        <w:t>Metolachlor</w:t>
      </w:r>
      <w:proofErr w:type="spellEnd"/>
      <w:r w:rsidRPr="00E45F3E">
        <w:rPr>
          <w:rFonts w:ascii="Arial" w:hAnsi="Arial" w:cs="Arial"/>
        </w:rPr>
        <w:t xml:space="preserve">, </w:t>
      </w:r>
      <w:proofErr w:type="spellStart"/>
      <w:r w:rsidRPr="00E45F3E">
        <w:rPr>
          <w:rFonts w:ascii="Arial" w:hAnsi="Arial" w:cs="Arial"/>
        </w:rPr>
        <w:t>spinosad</w:t>
      </w:r>
      <w:proofErr w:type="spellEnd"/>
      <w:r w:rsidRPr="00E45F3E">
        <w:rPr>
          <w:rFonts w:ascii="Arial" w:hAnsi="Arial" w:cs="Arial"/>
        </w:rPr>
        <w:t xml:space="preserve">, </w:t>
      </w:r>
      <w:proofErr w:type="spellStart"/>
      <w:r w:rsidRPr="00E45F3E">
        <w:rPr>
          <w:rFonts w:ascii="Arial" w:hAnsi="Arial" w:cs="Arial"/>
        </w:rPr>
        <w:t>spirodiklofen</w:t>
      </w:r>
      <w:proofErr w:type="spellEnd"/>
      <w:r w:rsidRPr="00E45F3E">
        <w:rPr>
          <w:rFonts w:ascii="Arial" w:hAnsi="Arial" w:cs="Arial"/>
        </w:rPr>
        <w:t xml:space="preserve">, </w:t>
      </w:r>
      <w:proofErr w:type="spellStart"/>
      <w:r w:rsidRPr="00E45F3E">
        <w:rPr>
          <w:rFonts w:ascii="Arial" w:hAnsi="Arial" w:cs="Arial"/>
        </w:rPr>
        <w:t>spiromesifen</w:t>
      </w:r>
      <w:proofErr w:type="spellEnd"/>
      <w:r w:rsidRPr="00E45F3E">
        <w:rPr>
          <w:rFonts w:ascii="Arial" w:hAnsi="Arial" w:cs="Arial"/>
        </w:rPr>
        <w:t xml:space="preserve">, </w:t>
      </w:r>
      <w:proofErr w:type="spellStart"/>
      <w:r w:rsidRPr="00E45F3E">
        <w:rPr>
          <w:rFonts w:ascii="Arial" w:hAnsi="Arial" w:cs="Arial"/>
        </w:rPr>
        <w:t>spirotetramat</w:t>
      </w:r>
      <w:proofErr w:type="spellEnd"/>
      <w:r w:rsidRPr="00E45F3E">
        <w:rPr>
          <w:rFonts w:ascii="Arial" w:hAnsi="Arial" w:cs="Arial"/>
        </w:rPr>
        <w:t xml:space="preserve">, </w:t>
      </w:r>
      <w:proofErr w:type="spellStart"/>
      <w:r w:rsidRPr="00E45F3E">
        <w:rPr>
          <w:rFonts w:ascii="Arial" w:hAnsi="Arial" w:cs="Arial"/>
        </w:rPr>
        <w:t>spiroksamina</w:t>
      </w:r>
      <w:proofErr w:type="spellEnd"/>
      <w:r w:rsidRPr="00E45F3E">
        <w:rPr>
          <w:rFonts w:ascii="Arial" w:hAnsi="Arial" w:cs="Arial"/>
        </w:rPr>
        <w:t xml:space="preserve">, </w:t>
      </w:r>
      <w:proofErr w:type="spellStart"/>
      <w:r w:rsidRPr="00E45F3E">
        <w:rPr>
          <w:rFonts w:ascii="Arial" w:hAnsi="Arial" w:cs="Arial"/>
        </w:rPr>
        <w:t>tebukonazol</w:t>
      </w:r>
      <w:proofErr w:type="spellEnd"/>
      <w:r w:rsidRPr="00E45F3E">
        <w:rPr>
          <w:rFonts w:ascii="Arial" w:hAnsi="Arial" w:cs="Arial"/>
        </w:rPr>
        <w:t xml:space="preserve">, </w:t>
      </w:r>
      <w:proofErr w:type="spellStart"/>
      <w:r w:rsidRPr="00E45F3E">
        <w:rPr>
          <w:rFonts w:ascii="Arial" w:hAnsi="Arial" w:cs="Arial"/>
        </w:rPr>
        <w:t>tebufenozyd</w:t>
      </w:r>
      <w:proofErr w:type="spellEnd"/>
      <w:r w:rsidRPr="00E45F3E">
        <w:rPr>
          <w:rFonts w:ascii="Arial" w:hAnsi="Arial" w:cs="Arial"/>
        </w:rPr>
        <w:t xml:space="preserve">, </w:t>
      </w:r>
      <w:proofErr w:type="spellStart"/>
      <w:r w:rsidRPr="00E45F3E">
        <w:rPr>
          <w:rFonts w:ascii="Arial" w:hAnsi="Arial" w:cs="Arial"/>
        </w:rPr>
        <w:t>tebufenpirad</w:t>
      </w:r>
      <w:proofErr w:type="spellEnd"/>
      <w:r w:rsidRPr="00E45F3E">
        <w:rPr>
          <w:rFonts w:ascii="Arial" w:hAnsi="Arial" w:cs="Arial"/>
        </w:rPr>
        <w:t xml:space="preserve">, </w:t>
      </w:r>
      <w:proofErr w:type="spellStart"/>
      <w:r w:rsidRPr="00E45F3E">
        <w:rPr>
          <w:rFonts w:ascii="Arial" w:hAnsi="Arial" w:cs="Arial"/>
        </w:rPr>
        <w:t>teflubenzuron</w:t>
      </w:r>
      <w:proofErr w:type="spellEnd"/>
      <w:r w:rsidRPr="00E45F3E">
        <w:rPr>
          <w:rFonts w:ascii="Arial" w:hAnsi="Arial" w:cs="Arial"/>
        </w:rPr>
        <w:t xml:space="preserve">, </w:t>
      </w:r>
      <w:proofErr w:type="spellStart"/>
      <w:r w:rsidRPr="00E45F3E">
        <w:rPr>
          <w:rFonts w:ascii="Arial" w:hAnsi="Arial" w:cs="Arial"/>
        </w:rPr>
        <w:t>tetrakonazol</w:t>
      </w:r>
      <w:proofErr w:type="spellEnd"/>
      <w:r w:rsidRPr="00E45F3E">
        <w:rPr>
          <w:rFonts w:ascii="Arial" w:hAnsi="Arial" w:cs="Arial"/>
        </w:rPr>
        <w:t xml:space="preserve">, </w:t>
      </w:r>
      <w:proofErr w:type="spellStart"/>
      <w:r w:rsidRPr="00E45F3E">
        <w:rPr>
          <w:rFonts w:ascii="Arial" w:hAnsi="Arial" w:cs="Arial"/>
        </w:rPr>
        <w:t>tiabendazol</w:t>
      </w:r>
      <w:proofErr w:type="spellEnd"/>
      <w:r w:rsidRPr="00E45F3E">
        <w:rPr>
          <w:rFonts w:ascii="Arial" w:hAnsi="Arial" w:cs="Arial"/>
        </w:rPr>
        <w:t xml:space="preserve">, </w:t>
      </w:r>
      <w:proofErr w:type="spellStart"/>
      <w:r w:rsidRPr="00E45F3E">
        <w:rPr>
          <w:rFonts w:ascii="Arial" w:hAnsi="Arial" w:cs="Arial"/>
        </w:rPr>
        <w:t>tiachlopryd</w:t>
      </w:r>
      <w:proofErr w:type="spellEnd"/>
      <w:r w:rsidRPr="00E45F3E">
        <w:rPr>
          <w:rFonts w:ascii="Arial" w:hAnsi="Arial" w:cs="Arial"/>
        </w:rPr>
        <w:t xml:space="preserve">, </w:t>
      </w:r>
      <w:proofErr w:type="spellStart"/>
      <w:r w:rsidRPr="00E45F3E">
        <w:rPr>
          <w:rFonts w:ascii="Arial" w:hAnsi="Arial" w:cs="Arial"/>
        </w:rPr>
        <w:t>tiametoksam</w:t>
      </w:r>
      <w:proofErr w:type="spellEnd"/>
      <w:r w:rsidRPr="00E45F3E">
        <w:rPr>
          <w:rFonts w:ascii="Arial" w:hAnsi="Arial" w:cs="Arial"/>
        </w:rPr>
        <w:t xml:space="preserve">, </w:t>
      </w:r>
      <w:proofErr w:type="spellStart"/>
      <w:r w:rsidRPr="00E45F3E">
        <w:rPr>
          <w:rFonts w:ascii="Arial" w:hAnsi="Arial" w:cs="Arial"/>
        </w:rPr>
        <w:t>tiofanat</w:t>
      </w:r>
      <w:proofErr w:type="spellEnd"/>
      <w:r w:rsidRPr="00E45F3E">
        <w:rPr>
          <w:rFonts w:ascii="Arial" w:hAnsi="Arial" w:cs="Arial"/>
        </w:rPr>
        <w:t xml:space="preserve"> metylowy, </w:t>
      </w:r>
      <w:proofErr w:type="spellStart"/>
      <w:r w:rsidRPr="00E45F3E">
        <w:rPr>
          <w:rFonts w:ascii="Arial" w:hAnsi="Arial" w:cs="Arial"/>
        </w:rPr>
        <w:t>tiuram</w:t>
      </w:r>
      <w:proofErr w:type="spellEnd"/>
      <w:r w:rsidRPr="00E45F3E">
        <w:rPr>
          <w:rFonts w:ascii="Arial" w:hAnsi="Arial" w:cs="Arial"/>
        </w:rPr>
        <w:t xml:space="preserve">, </w:t>
      </w:r>
      <w:proofErr w:type="spellStart"/>
      <w:r w:rsidRPr="00E45F3E">
        <w:rPr>
          <w:rFonts w:ascii="Arial" w:hAnsi="Arial" w:cs="Arial"/>
        </w:rPr>
        <w:t>tolchlofos</w:t>
      </w:r>
      <w:proofErr w:type="spellEnd"/>
      <w:r w:rsidRPr="00E45F3E">
        <w:rPr>
          <w:rFonts w:ascii="Arial" w:hAnsi="Arial" w:cs="Arial"/>
        </w:rPr>
        <w:t xml:space="preserve"> metylowy, </w:t>
      </w:r>
      <w:proofErr w:type="spellStart"/>
      <w:r w:rsidRPr="00E45F3E">
        <w:rPr>
          <w:rFonts w:ascii="Arial" w:hAnsi="Arial" w:cs="Arial"/>
        </w:rPr>
        <w:t>tolilofluanid</w:t>
      </w:r>
      <w:proofErr w:type="spellEnd"/>
      <w:r w:rsidRPr="00E45F3E">
        <w:rPr>
          <w:rFonts w:ascii="Arial" w:hAnsi="Arial" w:cs="Arial"/>
        </w:rPr>
        <w:t xml:space="preserve">, </w:t>
      </w:r>
      <w:proofErr w:type="spellStart"/>
      <w:r w:rsidRPr="00E45F3E">
        <w:rPr>
          <w:rFonts w:ascii="Arial" w:hAnsi="Arial" w:cs="Arial"/>
        </w:rPr>
        <w:t>triadimefon</w:t>
      </w:r>
      <w:proofErr w:type="spellEnd"/>
      <w:r w:rsidRPr="00E45F3E">
        <w:rPr>
          <w:rFonts w:ascii="Arial" w:hAnsi="Arial" w:cs="Arial"/>
        </w:rPr>
        <w:t xml:space="preserve">, </w:t>
      </w:r>
      <w:proofErr w:type="spellStart"/>
      <w:r w:rsidRPr="00E45F3E">
        <w:rPr>
          <w:rFonts w:ascii="Arial" w:hAnsi="Arial" w:cs="Arial"/>
        </w:rPr>
        <w:t>triadimenol</w:t>
      </w:r>
      <w:proofErr w:type="spellEnd"/>
      <w:r w:rsidRPr="00E45F3E">
        <w:rPr>
          <w:rFonts w:ascii="Arial" w:hAnsi="Arial" w:cs="Arial"/>
        </w:rPr>
        <w:t xml:space="preserve">, </w:t>
      </w:r>
      <w:proofErr w:type="spellStart"/>
      <w:r w:rsidRPr="00E45F3E">
        <w:rPr>
          <w:rFonts w:ascii="Arial" w:hAnsi="Arial" w:cs="Arial"/>
        </w:rPr>
        <w:t>trifloksystrobina</w:t>
      </w:r>
      <w:proofErr w:type="spellEnd"/>
      <w:r w:rsidRPr="00E45F3E">
        <w:rPr>
          <w:rFonts w:ascii="Arial" w:hAnsi="Arial" w:cs="Arial"/>
        </w:rPr>
        <w:t xml:space="preserve">, </w:t>
      </w:r>
      <w:proofErr w:type="spellStart"/>
      <w:r w:rsidRPr="00E45F3E">
        <w:rPr>
          <w:rFonts w:ascii="Arial" w:hAnsi="Arial" w:cs="Arial"/>
        </w:rPr>
        <w:t>triflumizol</w:t>
      </w:r>
      <w:proofErr w:type="spellEnd"/>
      <w:r w:rsidRPr="00E45F3E">
        <w:rPr>
          <w:rFonts w:ascii="Arial" w:hAnsi="Arial" w:cs="Arial"/>
        </w:rPr>
        <w:t xml:space="preserve">, </w:t>
      </w:r>
      <w:proofErr w:type="spellStart"/>
      <w:r w:rsidRPr="00E45F3E">
        <w:rPr>
          <w:rFonts w:ascii="Arial" w:hAnsi="Arial" w:cs="Arial"/>
        </w:rPr>
        <w:t>triflumuron</w:t>
      </w:r>
      <w:proofErr w:type="spellEnd"/>
      <w:r w:rsidRPr="00E45F3E">
        <w:rPr>
          <w:rFonts w:ascii="Arial" w:hAnsi="Arial" w:cs="Arial"/>
        </w:rPr>
        <w:t xml:space="preserve">, </w:t>
      </w:r>
      <w:proofErr w:type="spellStart"/>
      <w:r w:rsidRPr="00E45F3E">
        <w:rPr>
          <w:rFonts w:ascii="Arial" w:hAnsi="Arial" w:cs="Arial"/>
        </w:rPr>
        <w:t>trifluralina</w:t>
      </w:r>
      <w:proofErr w:type="spellEnd"/>
      <w:r w:rsidRPr="00E45F3E">
        <w:rPr>
          <w:rFonts w:ascii="Arial" w:hAnsi="Arial" w:cs="Arial"/>
        </w:rPr>
        <w:t xml:space="preserve">, </w:t>
      </w:r>
      <w:proofErr w:type="spellStart"/>
      <w:r w:rsidRPr="00E45F3E">
        <w:rPr>
          <w:rFonts w:ascii="Arial" w:hAnsi="Arial" w:cs="Arial"/>
        </w:rPr>
        <w:t>tritikonazol</w:t>
      </w:r>
      <w:proofErr w:type="spellEnd"/>
      <w:r w:rsidRPr="00E45F3E">
        <w:rPr>
          <w:rFonts w:ascii="Arial" w:hAnsi="Arial" w:cs="Arial"/>
        </w:rPr>
        <w:t xml:space="preserve">, </w:t>
      </w:r>
      <w:proofErr w:type="spellStart"/>
      <w:r w:rsidRPr="00E45F3E">
        <w:rPr>
          <w:rFonts w:ascii="Arial" w:hAnsi="Arial" w:cs="Arial"/>
        </w:rPr>
        <w:t>zoksamid</w:t>
      </w:r>
      <w:proofErr w:type="spellEnd"/>
      <w:r w:rsidRPr="00E45F3E">
        <w:rPr>
          <w:rFonts w:ascii="Arial" w:hAnsi="Arial" w:cs="Arial"/>
        </w:rPr>
        <w:t>.</w:t>
      </w:r>
    </w:p>
    <w:p w14:paraId="7353C222" w14:textId="06F8F972" w:rsidR="00C14BE8" w:rsidRPr="00813E3C" w:rsidRDefault="00C14BE8" w:rsidP="00C14BE8">
      <w:pPr>
        <w:pStyle w:val="NormalnyWeb"/>
        <w:tabs>
          <w:tab w:val="left" w:pos="284"/>
        </w:tabs>
        <w:spacing w:beforeAutospacing="0" w:after="120" w:afterAutospacing="0" w:line="360" w:lineRule="auto"/>
        <w:ind w:firstLine="284"/>
        <w:jc w:val="both"/>
        <w:rPr>
          <w:rFonts w:ascii="Arial" w:hAnsi="Arial" w:cs="Arial"/>
        </w:rPr>
      </w:pPr>
      <w:r w:rsidRPr="00813E3C">
        <w:rPr>
          <w:rFonts w:ascii="Arial" w:hAnsi="Arial" w:cs="Arial"/>
          <w:b/>
          <w:bCs/>
        </w:rPr>
        <w:t>Wyniki badań przeprowadzonych w 2021 r.</w:t>
      </w:r>
      <w:r w:rsidRPr="00813E3C">
        <w:rPr>
          <w:rFonts w:ascii="Arial" w:hAnsi="Arial" w:cs="Arial"/>
        </w:rPr>
        <w:t xml:space="preserve"> wykazały, że w 45 punktach pomiarowych (spośród 101 punktów objętych badaniami) zawartość pestycydów była poniżej granicy oznaczalności, w</w:t>
      </w:r>
      <w:r w:rsidR="002C7FDF">
        <w:rPr>
          <w:rFonts w:ascii="Arial" w:hAnsi="Arial" w:cs="Arial"/>
        </w:rPr>
        <w:t> </w:t>
      </w:r>
      <w:r w:rsidRPr="00813E3C">
        <w:rPr>
          <w:rFonts w:ascii="Arial" w:hAnsi="Arial" w:cs="Arial"/>
        </w:rPr>
        <w:t>2</w:t>
      </w:r>
      <w:r w:rsidR="002C7FDF">
        <w:rPr>
          <w:rFonts w:ascii="Arial" w:hAnsi="Arial" w:cs="Arial"/>
        </w:rPr>
        <w:t> </w:t>
      </w:r>
      <w:r w:rsidRPr="00813E3C">
        <w:rPr>
          <w:rFonts w:ascii="Arial" w:hAnsi="Arial" w:cs="Arial"/>
        </w:rPr>
        <w:t xml:space="preserve">punktach odnotowano wartości równe granicy oznaczalności, a w 54 punktach wartości powyżej granicy oznaczalności. Związki z grupy pestycydów, dla których odnotowano wartości równe lub powyżej granicy oznaczalności to: beta-HCH, delta-HCH, </w:t>
      </w:r>
      <w:proofErr w:type="spellStart"/>
      <w:r w:rsidRPr="00813E3C">
        <w:rPr>
          <w:rFonts w:ascii="Arial" w:hAnsi="Arial" w:cs="Arial"/>
        </w:rPr>
        <w:t>atrazyna</w:t>
      </w:r>
      <w:proofErr w:type="spellEnd"/>
      <w:r w:rsidRPr="00813E3C">
        <w:rPr>
          <w:rFonts w:ascii="Arial" w:hAnsi="Arial" w:cs="Arial"/>
        </w:rPr>
        <w:t xml:space="preserve">, </w:t>
      </w:r>
      <w:proofErr w:type="spellStart"/>
      <w:r w:rsidRPr="00813E3C">
        <w:rPr>
          <w:rFonts w:ascii="Arial" w:hAnsi="Arial" w:cs="Arial"/>
        </w:rPr>
        <w:t>bentazon</w:t>
      </w:r>
      <w:proofErr w:type="spellEnd"/>
      <w:r w:rsidRPr="00813E3C">
        <w:rPr>
          <w:rFonts w:ascii="Arial" w:hAnsi="Arial" w:cs="Arial"/>
        </w:rPr>
        <w:t xml:space="preserve">, </w:t>
      </w:r>
      <w:proofErr w:type="spellStart"/>
      <w:r w:rsidRPr="00813E3C">
        <w:rPr>
          <w:rFonts w:ascii="Arial" w:hAnsi="Arial" w:cs="Arial"/>
        </w:rPr>
        <w:t>chlomazon</w:t>
      </w:r>
      <w:proofErr w:type="spellEnd"/>
      <w:r w:rsidRPr="00813E3C">
        <w:rPr>
          <w:rFonts w:ascii="Arial" w:hAnsi="Arial" w:cs="Arial"/>
        </w:rPr>
        <w:t xml:space="preserve">, </w:t>
      </w:r>
      <w:proofErr w:type="spellStart"/>
      <w:r w:rsidRPr="00813E3C">
        <w:rPr>
          <w:rFonts w:ascii="Arial" w:hAnsi="Arial" w:cs="Arial"/>
        </w:rPr>
        <w:t>chlopyralid</w:t>
      </w:r>
      <w:proofErr w:type="spellEnd"/>
      <w:r w:rsidRPr="00813E3C">
        <w:rPr>
          <w:rFonts w:ascii="Arial" w:hAnsi="Arial" w:cs="Arial"/>
        </w:rPr>
        <w:t>, DDE-</w:t>
      </w:r>
      <w:proofErr w:type="spellStart"/>
      <w:r w:rsidRPr="00813E3C">
        <w:rPr>
          <w:rFonts w:ascii="Arial" w:hAnsi="Arial" w:cs="Arial"/>
        </w:rPr>
        <w:t>p,p</w:t>
      </w:r>
      <w:proofErr w:type="spellEnd"/>
      <w:r w:rsidRPr="00813E3C">
        <w:rPr>
          <w:rFonts w:ascii="Arial" w:hAnsi="Arial" w:cs="Arial"/>
        </w:rPr>
        <w:t>, DDT-</w:t>
      </w:r>
      <w:proofErr w:type="spellStart"/>
      <w:r w:rsidRPr="00813E3C">
        <w:rPr>
          <w:rFonts w:ascii="Arial" w:hAnsi="Arial" w:cs="Arial"/>
        </w:rPr>
        <w:t>p,p</w:t>
      </w:r>
      <w:proofErr w:type="spellEnd"/>
      <w:r w:rsidRPr="00813E3C">
        <w:rPr>
          <w:rFonts w:ascii="Arial" w:hAnsi="Arial" w:cs="Arial"/>
        </w:rPr>
        <w:t xml:space="preserve">, DEET, </w:t>
      </w:r>
      <w:proofErr w:type="spellStart"/>
      <w:r w:rsidRPr="00813E3C">
        <w:rPr>
          <w:rFonts w:ascii="Arial" w:hAnsi="Arial" w:cs="Arial"/>
        </w:rPr>
        <w:t>diuron</w:t>
      </w:r>
      <w:proofErr w:type="spellEnd"/>
      <w:r w:rsidRPr="00813E3C">
        <w:rPr>
          <w:rFonts w:ascii="Arial" w:hAnsi="Arial" w:cs="Arial"/>
        </w:rPr>
        <w:t xml:space="preserve">, </w:t>
      </w:r>
      <w:proofErr w:type="spellStart"/>
      <w:r w:rsidRPr="00813E3C">
        <w:rPr>
          <w:rFonts w:ascii="Arial" w:hAnsi="Arial" w:cs="Arial"/>
        </w:rPr>
        <w:t>fluopyram</w:t>
      </w:r>
      <w:proofErr w:type="spellEnd"/>
      <w:r w:rsidRPr="00813E3C">
        <w:rPr>
          <w:rFonts w:ascii="Arial" w:hAnsi="Arial" w:cs="Arial"/>
        </w:rPr>
        <w:t xml:space="preserve">, epoksyd </w:t>
      </w:r>
      <w:proofErr w:type="spellStart"/>
      <w:r w:rsidRPr="00813E3C">
        <w:rPr>
          <w:rFonts w:ascii="Arial" w:hAnsi="Arial" w:cs="Arial"/>
        </w:rPr>
        <w:t>heptachloru</w:t>
      </w:r>
      <w:proofErr w:type="spellEnd"/>
      <w:r w:rsidRPr="00813E3C">
        <w:rPr>
          <w:rFonts w:ascii="Arial" w:hAnsi="Arial" w:cs="Arial"/>
        </w:rPr>
        <w:t xml:space="preserve">, </w:t>
      </w:r>
      <w:proofErr w:type="spellStart"/>
      <w:r w:rsidRPr="00813E3C">
        <w:rPr>
          <w:rFonts w:ascii="Arial" w:hAnsi="Arial" w:cs="Arial"/>
        </w:rPr>
        <w:t>izoproturon</w:t>
      </w:r>
      <w:proofErr w:type="spellEnd"/>
      <w:r w:rsidRPr="00813E3C">
        <w:rPr>
          <w:rFonts w:ascii="Arial" w:hAnsi="Arial" w:cs="Arial"/>
        </w:rPr>
        <w:t xml:space="preserve">, </w:t>
      </w:r>
      <w:proofErr w:type="spellStart"/>
      <w:r w:rsidRPr="00813E3C">
        <w:rPr>
          <w:rFonts w:ascii="Arial" w:hAnsi="Arial" w:cs="Arial"/>
        </w:rPr>
        <w:t>klotianidyna</w:t>
      </w:r>
      <w:proofErr w:type="spellEnd"/>
      <w:r w:rsidRPr="00813E3C">
        <w:rPr>
          <w:rFonts w:ascii="Arial" w:hAnsi="Arial" w:cs="Arial"/>
        </w:rPr>
        <w:t xml:space="preserve">, </w:t>
      </w:r>
      <w:proofErr w:type="spellStart"/>
      <w:r w:rsidRPr="00813E3C">
        <w:rPr>
          <w:rFonts w:ascii="Arial" w:hAnsi="Arial" w:cs="Arial"/>
        </w:rPr>
        <w:t>lenacyl</w:t>
      </w:r>
      <w:proofErr w:type="spellEnd"/>
      <w:r w:rsidRPr="00813E3C">
        <w:rPr>
          <w:rFonts w:ascii="Arial" w:hAnsi="Arial" w:cs="Arial"/>
        </w:rPr>
        <w:t xml:space="preserve">, </w:t>
      </w:r>
      <w:proofErr w:type="spellStart"/>
      <w:r w:rsidRPr="00813E3C">
        <w:rPr>
          <w:rFonts w:ascii="Arial" w:hAnsi="Arial" w:cs="Arial"/>
        </w:rPr>
        <w:t>metazachlor</w:t>
      </w:r>
      <w:proofErr w:type="spellEnd"/>
      <w:r w:rsidRPr="00813E3C">
        <w:rPr>
          <w:rFonts w:ascii="Arial" w:hAnsi="Arial" w:cs="Arial"/>
        </w:rPr>
        <w:t xml:space="preserve">, </w:t>
      </w:r>
      <w:proofErr w:type="spellStart"/>
      <w:r w:rsidRPr="00813E3C">
        <w:rPr>
          <w:rFonts w:ascii="Arial" w:hAnsi="Arial" w:cs="Arial"/>
        </w:rPr>
        <w:t>oksadiksyl</w:t>
      </w:r>
      <w:proofErr w:type="spellEnd"/>
      <w:r w:rsidRPr="00813E3C">
        <w:rPr>
          <w:rFonts w:ascii="Arial" w:hAnsi="Arial" w:cs="Arial"/>
        </w:rPr>
        <w:t xml:space="preserve">, </w:t>
      </w:r>
      <w:proofErr w:type="spellStart"/>
      <w:r w:rsidRPr="00813E3C">
        <w:rPr>
          <w:rFonts w:ascii="Arial" w:hAnsi="Arial" w:cs="Arial"/>
        </w:rPr>
        <w:t>pentachlorobenzen</w:t>
      </w:r>
      <w:proofErr w:type="spellEnd"/>
      <w:r w:rsidRPr="00813E3C">
        <w:rPr>
          <w:rFonts w:ascii="Arial" w:hAnsi="Arial" w:cs="Arial"/>
        </w:rPr>
        <w:t xml:space="preserve">, </w:t>
      </w:r>
      <w:proofErr w:type="spellStart"/>
      <w:r w:rsidRPr="00813E3C">
        <w:rPr>
          <w:rFonts w:ascii="Arial" w:hAnsi="Arial" w:cs="Arial"/>
        </w:rPr>
        <w:t>pikloram</w:t>
      </w:r>
      <w:proofErr w:type="spellEnd"/>
      <w:r w:rsidRPr="00813E3C">
        <w:rPr>
          <w:rFonts w:ascii="Arial" w:hAnsi="Arial" w:cs="Arial"/>
        </w:rPr>
        <w:t xml:space="preserve">, </w:t>
      </w:r>
      <w:proofErr w:type="spellStart"/>
      <w:r w:rsidRPr="00813E3C">
        <w:rPr>
          <w:rFonts w:ascii="Arial" w:hAnsi="Arial" w:cs="Arial"/>
        </w:rPr>
        <w:t>tiametoksam</w:t>
      </w:r>
      <w:proofErr w:type="spellEnd"/>
      <w:r w:rsidRPr="00813E3C">
        <w:rPr>
          <w:rFonts w:ascii="Arial" w:hAnsi="Arial" w:cs="Arial"/>
        </w:rPr>
        <w:t xml:space="preserve">, </w:t>
      </w:r>
      <w:proofErr w:type="spellStart"/>
      <w:r w:rsidRPr="00813E3C">
        <w:rPr>
          <w:rFonts w:ascii="Arial" w:hAnsi="Arial" w:cs="Arial"/>
        </w:rPr>
        <w:t>trifluralina</w:t>
      </w:r>
      <w:proofErr w:type="spellEnd"/>
      <w:r w:rsidRPr="00813E3C">
        <w:rPr>
          <w:rFonts w:ascii="Arial" w:hAnsi="Arial" w:cs="Arial"/>
        </w:rPr>
        <w:t>.</w:t>
      </w:r>
    </w:p>
    <w:p w14:paraId="6F4B8AFC" w14:textId="1E34F42B" w:rsidR="00C14BE8" w:rsidRPr="00813E3C" w:rsidRDefault="00C14BE8" w:rsidP="00C14BE8">
      <w:pPr>
        <w:pStyle w:val="NormalnyWeb"/>
        <w:tabs>
          <w:tab w:val="left" w:pos="284"/>
        </w:tabs>
        <w:spacing w:beforeAutospacing="0" w:after="120" w:afterAutospacing="0" w:line="360" w:lineRule="auto"/>
        <w:ind w:firstLine="284"/>
        <w:jc w:val="both"/>
        <w:rPr>
          <w:rFonts w:ascii="Arial" w:hAnsi="Arial" w:cs="Arial"/>
        </w:rPr>
      </w:pPr>
      <w:r w:rsidRPr="00813E3C">
        <w:rPr>
          <w:rFonts w:ascii="Arial" w:hAnsi="Arial" w:cs="Arial"/>
        </w:rPr>
        <w:t>W 10 punktach pomiarowych zostały przekroczone wartości progowe dobrego stanu chemicznego wód podziemnych w odniesieniu do poszczególnych pestycydów i sumy pestycydów (wg</w:t>
      </w:r>
      <w:r w:rsidR="002C7FDF">
        <w:rPr>
          <w:rFonts w:ascii="Arial" w:hAnsi="Arial" w:cs="Arial"/>
        </w:rPr>
        <w:t> </w:t>
      </w:r>
      <w:r w:rsidRPr="00813E3C">
        <w:rPr>
          <w:rFonts w:ascii="Arial" w:hAnsi="Arial" w:cs="Arial"/>
        </w:rPr>
        <w:t>rozporządzenia Ministra Gospodarki Morskiej i  Żeglugi Śródlądowej z dnia 11 października 2019 r. w sprawie kryteriów i sposobu oceny stanu jednolitych części wód podziemnych):</w:t>
      </w:r>
    </w:p>
    <w:p w14:paraId="401FD078" w14:textId="67373429" w:rsidR="00C14BE8" w:rsidRPr="00E45F3E" w:rsidRDefault="00C14BE8" w:rsidP="00DC441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w 8 punktach wartości stężeń pojedynczych pestycydów (DEET</w:t>
      </w:r>
      <w:r w:rsidR="006763DD">
        <w:rPr>
          <w:rStyle w:val="Odwoanieprzypisudolnego"/>
          <w:rFonts w:ascii="Arial" w:hAnsi="Arial" w:cs="Arial"/>
        </w:rPr>
        <w:footnoteReference w:id="1"/>
      </w:r>
      <w:r w:rsidRPr="00E45F3E">
        <w:rPr>
          <w:rFonts w:ascii="Arial" w:hAnsi="Arial" w:cs="Arial"/>
        </w:rPr>
        <w:t xml:space="preserve">, </w:t>
      </w:r>
      <w:proofErr w:type="spellStart"/>
      <w:r w:rsidRPr="00E45F3E">
        <w:rPr>
          <w:rFonts w:ascii="Arial" w:hAnsi="Arial" w:cs="Arial"/>
        </w:rPr>
        <w:t>bentazon</w:t>
      </w:r>
      <w:proofErr w:type="spellEnd"/>
      <w:r w:rsidRPr="00E45F3E">
        <w:rPr>
          <w:rFonts w:ascii="Arial" w:hAnsi="Arial" w:cs="Arial"/>
        </w:rPr>
        <w:t xml:space="preserve">, </w:t>
      </w:r>
      <w:proofErr w:type="spellStart"/>
      <w:r w:rsidRPr="00E45F3E">
        <w:rPr>
          <w:rFonts w:ascii="Arial" w:hAnsi="Arial" w:cs="Arial"/>
        </w:rPr>
        <w:t>chlopyralid</w:t>
      </w:r>
      <w:proofErr w:type="spellEnd"/>
      <w:r w:rsidRPr="00E45F3E">
        <w:rPr>
          <w:rFonts w:ascii="Arial" w:hAnsi="Arial" w:cs="Arial"/>
        </w:rPr>
        <w:t xml:space="preserve">, </w:t>
      </w:r>
      <w:proofErr w:type="spellStart"/>
      <w:r w:rsidRPr="00E45F3E">
        <w:rPr>
          <w:rFonts w:ascii="Arial" w:hAnsi="Arial" w:cs="Arial"/>
        </w:rPr>
        <w:t>tiametoksam</w:t>
      </w:r>
      <w:proofErr w:type="spellEnd"/>
      <w:r w:rsidRPr="00E45F3E">
        <w:rPr>
          <w:rFonts w:ascii="Arial" w:hAnsi="Arial" w:cs="Arial"/>
        </w:rPr>
        <w:t>), osiągnęły wartości w zakresie IV klasy jakości;</w:t>
      </w:r>
    </w:p>
    <w:p w14:paraId="1F8D6D3A" w14:textId="2437B5E3" w:rsidR="00C14BE8" w:rsidRPr="00E45F3E" w:rsidRDefault="00C14BE8" w:rsidP="00DC441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w 1 punkcie zarówno wartość stężenia DEET jak i suma pestycydów osiągnęły wartości w</w:t>
      </w:r>
      <w:r w:rsidR="002C7FDF">
        <w:rPr>
          <w:rFonts w:ascii="Arial" w:hAnsi="Arial" w:cs="Arial"/>
        </w:rPr>
        <w:t> </w:t>
      </w:r>
      <w:r w:rsidRPr="00E45F3E">
        <w:rPr>
          <w:rFonts w:ascii="Arial" w:hAnsi="Arial" w:cs="Arial"/>
        </w:rPr>
        <w:t>zakresie IV klasy jakości;</w:t>
      </w:r>
    </w:p>
    <w:p w14:paraId="0FA4178D" w14:textId="064140C3" w:rsidR="00C14BE8" w:rsidRPr="00E45F3E" w:rsidRDefault="00C14BE8" w:rsidP="00DC441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 xml:space="preserve">w 1 punkcie zarówno wartość stężenia </w:t>
      </w:r>
      <w:proofErr w:type="spellStart"/>
      <w:r w:rsidRPr="00E45F3E">
        <w:rPr>
          <w:rFonts w:ascii="Arial" w:hAnsi="Arial" w:cs="Arial"/>
        </w:rPr>
        <w:t>bentazonu</w:t>
      </w:r>
      <w:proofErr w:type="spellEnd"/>
      <w:r w:rsidRPr="00E45F3E">
        <w:rPr>
          <w:rFonts w:ascii="Arial" w:hAnsi="Arial" w:cs="Arial"/>
        </w:rPr>
        <w:t xml:space="preserve"> jak i suma pestycydów osiągnęły wartości w</w:t>
      </w:r>
      <w:r w:rsidR="002C7FDF">
        <w:rPr>
          <w:rFonts w:ascii="Arial" w:hAnsi="Arial" w:cs="Arial"/>
        </w:rPr>
        <w:t> </w:t>
      </w:r>
      <w:r w:rsidRPr="00E45F3E">
        <w:rPr>
          <w:rFonts w:ascii="Arial" w:hAnsi="Arial" w:cs="Arial"/>
        </w:rPr>
        <w:t xml:space="preserve">zakresie V klasy jakości. </w:t>
      </w:r>
    </w:p>
    <w:p w14:paraId="252828A8" w14:textId="77777777" w:rsidR="00C14BE8" w:rsidRDefault="00C14BE8" w:rsidP="00C14BE8">
      <w:pPr>
        <w:pStyle w:val="NormalnyWeb"/>
        <w:tabs>
          <w:tab w:val="left" w:pos="284"/>
        </w:tabs>
        <w:spacing w:beforeAutospacing="0" w:after="120" w:afterAutospacing="0" w:line="360" w:lineRule="auto"/>
        <w:ind w:firstLine="284"/>
        <w:jc w:val="both"/>
        <w:rPr>
          <w:rFonts w:ascii="Arial" w:hAnsi="Arial" w:cs="Arial"/>
        </w:rPr>
      </w:pPr>
      <w:r w:rsidRPr="00E45F3E">
        <w:rPr>
          <w:rFonts w:ascii="Arial" w:hAnsi="Arial" w:cs="Arial"/>
        </w:rPr>
        <w:t xml:space="preserve">Maksymalna oznaczona wartość stężenia wyniosła 15,1 µg/l i dotyczyła wyżej wspomnianego </w:t>
      </w:r>
      <w:proofErr w:type="spellStart"/>
      <w:r w:rsidRPr="00E45F3E">
        <w:rPr>
          <w:rFonts w:ascii="Arial" w:hAnsi="Arial" w:cs="Arial"/>
        </w:rPr>
        <w:t>bentazonu</w:t>
      </w:r>
      <w:proofErr w:type="spellEnd"/>
      <w:r w:rsidRPr="00E45F3E">
        <w:rPr>
          <w:rFonts w:ascii="Arial" w:hAnsi="Arial" w:cs="Arial"/>
        </w:rPr>
        <w:t>.</w:t>
      </w:r>
    </w:p>
    <w:p w14:paraId="304DB954" w14:textId="77777777" w:rsidR="00056846" w:rsidRPr="00925BCD" w:rsidRDefault="00E54725">
      <w:pPr>
        <w:pStyle w:val="Nagwek3"/>
        <w:numPr>
          <w:ilvl w:val="0"/>
          <w:numId w:val="0"/>
        </w:numPr>
        <w:tabs>
          <w:tab w:val="left" w:pos="2410"/>
        </w:tabs>
        <w:spacing w:after="120" w:line="360" w:lineRule="auto"/>
        <w:ind w:left="709"/>
        <w:rPr>
          <w:i w:val="0"/>
          <w:sz w:val="20"/>
          <w:szCs w:val="20"/>
        </w:rPr>
      </w:pPr>
      <w:bookmarkStart w:id="34" w:name="_Toc134099261"/>
      <w:r w:rsidRPr="00925BCD">
        <w:rPr>
          <w:i w:val="0"/>
          <w:sz w:val="20"/>
          <w:szCs w:val="20"/>
        </w:rPr>
        <w:t>Podzadanie 3. Osady denne</w:t>
      </w:r>
      <w:bookmarkEnd w:id="34"/>
    </w:p>
    <w:p w14:paraId="30CB99D1"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Monitoring osadów dennych rzek i jezior prowadzony był w reprezentatywnych punktach pomiarowo-kontrolnych monitoringu jednolitych części wód powierzchniowych. </w:t>
      </w:r>
      <w:r w:rsidRPr="00925BCD">
        <w:rPr>
          <w:rFonts w:ascii="Arial" w:hAnsi="Arial" w:cs="Arial"/>
          <w:b/>
        </w:rPr>
        <w:t>W 2018 r.</w:t>
      </w:r>
      <w:r w:rsidRPr="00925BCD">
        <w:rPr>
          <w:rFonts w:ascii="Arial" w:hAnsi="Arial" w:cs="Arial"/>
        </w:rPr>
        <w:t xml:space="preserve"> prowadzony był w 422 punktach pomiarowo-kontrolnych, w tym 193 zlokalizowanych na rzekach, 13 na kanałach, 9 na zbiornikach zaporowych i 207 na jeziorach, natomiast </w:t>
      </w:r>
      <w:r w:rsidRPr="00925BCD">
        <w:rPr>
          <w:rFonts w:ascii="Arial" w:hAnsi="Arial" w:cs="Arial"/>
          <w:b/>
        </w:rPr>
        <w:t>w 2019 r.</w:t>
      </w:r>
      <w:r w:rsidRPr="00925BCD">
        <w:rPr>
          <w:rFonts w:ascii="Arial" w:hAnsi="Arial" w:cs="Arial"/>
        </w:rPr>
        <w:t xml:space="preserve"> w 423 punktach pomiarowo-</w:t>
      </w:r>
      <w:r w:rsidRPr="00925BCD">
        <w:rPr>
          <w:rFonts w:ascii="Arial" w:hAnsi="Arial" w:cs="Arial"/>
        </w:rPr>
        <w:lastRenderedPageBreak/>
        <w:t>kontrolnych, w tym 247 zlokalizowanych na rzekach oraz kanałach rzecznych i 176 na jeziorach. Zbadano między innymi zawartość związków organicznych będących składnikami środków ochrony roślin, takich jak:</w:t>
      </w:r>
    </w:p>
    <w:p w14:paraId="0DD8B9A6"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pestycydy </w:t>
      </w:r>
      <w:proofErr w:type="spellStart"/>
      <w:r w:rsidRPr="00925BCD">
        <w:rPr>
          <w:rFonts w:ascii="Arial" w:hAnsi="Arial" w:cs="Arial"/>
        </w:rPr>
        <w:t>chlorowcoorganiczne</w:t>
      </w:r>
      <w:proofErr w:type="spellEnd"/>
      <w:r w:rsidRPr="00925BCD">
        <w:rPr>
          <w:rFonts w:ascii="Arial" w:hAnsi="Arial" w:cs="Arial"/>
        </w:rPr>
        <w:t xml:space="preserve"> i polichlorowane </w:t>
      </w:r>
      <w:proofErr w:type="spellStart"/>
      <w:r w:rsidRPr="00925BCD">
        <w:rPr>
          <w:rFonts w:ascii="Arial" w:hAnsi="Arial" w:cs="Arial"/>
        </w:rPr>
        <w:t>bifenyle</w:t>
      </w:r>
      <w:proofErr w:type="spellEnd"/>
      <w:r w:rsidRPr="00925BCD">
        <w:rPr>
          <w:rFonts w:ascii="Arial" w:hAnsi="Arial" w:cs="Arial"/>
        </w:rPr>
        <w:t xml:space="preserve">: pestycydy </w:t>
      </w:r>
      <w:proofErr w:type="spellStart"/>
      <w:r w:rsidRPr="00925BCD">
        <w:rPr>
          <w:rFonts w:ascii="Arial" w:hAnsi="Arial" w:cs="Arial"/>
        </w:rPr>
        <w:t>cyklodienowe</w:t>
      </w:r>
      <w:proofErr w:type="spellEnd"/>
      <w:r w:rsidRPr="00925BCD">
        <w:rPr>
          <w:rFonts w:ascii="Arial" w:hAnsi="Arial" w:cs="Arial"/>
        </w:rPr>
        <w:t xml:space="preserve"> (</w:t>
      </w:r>
      <w:proofErr w:type="spellStart"/>
      <w:r w:rsidRPr="00925BCD">
        <w:rPr>
          <w:rFonts w:ascii="Arial" w:hAnsi="Arial" w:cs="Arial"/>
        </w:rPr>
        <w:t>aldryna</w:t>
      </w:r>
      <w:proofErr w:type="spellEnd"/>
      <w:r w:rsidRPr="00925BCD">
        <w:rPr>
          <w:rFonts w:ascii="Arial" w:hAnsi="Arial" w:cs="Arial"/>
        </w:rPr>
        <w:t xml:space="preserve">, dieldryna, </w:t>
      </w:r>
      <w:proofErr w:type="spellStart"/>
      <w:r w:rsidRPr="00925BCD">
        <w:rPr>
          <w:rFonts w:ascii="Arial" w:hAnsi="Arial" w:cs="Arial"/>
        </w:rPr>
        <w:t>endryna</w:t>
      </w:r>
      <w:proofErr w:type="spellEnd"/>
      <w:r w:rsidRPr="00925BCD">
        <w:rPr>
          <w:rFonts w:ascii="Arial" w:hAnsi="Arial" w:cs="Arial"/>
        </w:rPr>
        <w:t xml:space="preserve">, </w:t>
      </w:r>
      <w:proofErr w:type="spellStart"/>
      <w:r w:rsidRPr="00925BCD">
        <w:rPr>
          <w:rFonts w:ascii="Arial" w:hAnsi="Arial" w:cs="Arial"/>
        </w:rPr>
        <w:t>izodryna</w:t>
      </w:r>
      <w:proofErr w:type="spellEnd"/>
      <w:r w:rsidRPr="00925BCD">
        <w:rPr>
          <w:rFonts w:ascii="Arial" w:hAnsi="Arial" w:cs="Arial"/>
        </w:rPr>
        <w:t xml:space="preserve">), </w:t>
      </w:r>
      <w:proofErr w:type="spellStart"/>
      <w:r w:rsidRPr="00925BCD">
        <w:rPr>
          <w:rFonts w:ascii="Arial" w:hAnsi="Arial" w:cs="Arial"/>
        </w:rPr>
        <w:t>chlordekon</w:t>
      </w:r>
      <w:proofErr w:type="spellEnd"/>
      <w:r w:rsidRPr="00925BCD">
        <w:rPr>
          <w:rFonts w:ascii="Arial" w:hAnsi="Arial" w:cs="Arial"/>
        </w:rPr>
        <w:t xml:space="preserve">, DDT całkowity, </w:t>
      </w:r>
      <w:proofErr w:type="spellStart"/>
      <w:r w:rsidRPr="00925BCD">
        <w:rPr>
          <w:rFonts w:ascii="Arial" w:hAnsi="Arial" w:cs="Arial"/>
        </w:rPr>
        <w:t>p,p</w:t>
      </w:r>
      <w:proofErr w:type="spellEnd"/>
      <w:r w:rsidRPr="00925BCD">
        <w:rPr>
          <w:rFonts w:ascii="Arial" w:hAnsi="Arial" w:cs="Arial"/>
        </w:rPr>
        <w:t xml:space="preserve">'-DDT, </w:t>
      </w:r>
      <w:proofErr w:type="spellStart"/>
      <w:r w:rsidRPr="00925BCD">
        <w:rPr>
          <w:rFonts w:ascii="Arial" w:hAnsi="Arial" w:cs="Arial"/>
        </w:rPr>
        <w:t>p,p</w:t>
      </w:r>
      <w:proofErr w:type="spellEnd"/>
      <w:r w:rsidRPr="00925BCD">
        <w:rPr>
          <w:rFonts w:ascii="Arial" w:hAnsi="Arial" w:cs="Arial"/>
        </w:rPr>
        <w:t xml:space="preserve">'-DDD, </w:t>
      </w:r>
      <w:proofErr w:type="spellStart"/>
      <w:r w:rsidRPr="00925BCD">
        <w:rPr>
          <w:rFonts w:ascii="Arial" w:hAnsi="Arial" w:cs="Arial"/>
        </w:rPr>
        <w:t>p,p</w:t>
      </w:r>
      <w:proofErr w:type="spellEnd"/>
      <w:r w:rsidRPr="00925BCD">
        <w:rPr>
          <w:rFonts w:ascii="Arial" w:hAnsi="Arial" w:cs="Arial"/>
        </w:rPr>
        <w:t xml:space="preserve">'-DDE, a-HCH, b-HCH, g-HCH, d-HCH, </w:t>
      </w:r>
      <w:proofErr w:type="spellStart"/>
      <w:r w:rsidRPr="00925BCD">
        <w:rPr>
          <w:rFonts w:ascii="Arial" w:hAnsi="Arial" w:cs="Arial"/>
        </w:rPr>
        <w:t>alachlor</w:t>
      </w:r>
      <w:proofErr w:type="spellEnd"/>
      <w:r w:rsidRPr="00925BCD">
        <w:rPr>
          <w:rFonts w:ascii="Arial" w:hAnsi="Arial" w:cs="Arial"/>
        </w:rPr>
        <w:t xml:space="preserve">, </w:t>
      </w:r>
      <w:proofErr w:type="spellStart"/>
      <w:r w:rsidRPr="00925BCD">
        <w:rPr>
          <w:rFonts w:ascii="Arial" w:hAnsi="Arial" w:cs="Arial"/>
        </w:rPr>
        <w:t>dikofol</w:t>
      </w:r>
      <w:proofErr w:type="spellEnd"/>
      <w:r w:rsidRPr="00925BCD">
        <w:rPr>
          <w:rFonts w:ascii="Arial" w:hAnsi="Arial" w:cs="Arial"/>
        </w:rPr>
        <w:t xml:space="preserve">, </w:t>
      </w:r>
      <w:proofErr w:type="spellStart"/>
      <w:r w:rsidRPr="00925BCD">
        <w:rPr>
          <w:rFonts w:ascii="Arial" w:hAnsi="Arial" w:cs="Arial"/>
        </w:rPr>
        <w:t>endosulfan</w:t>
      </w:r>
      <w:proofErr w:type="spellEnd"/>
      <w:r w:rsidRPr="00925BCD">
        <w:rPr>
          <w:rFonts w:ascii="Arial" w:hAnsi="Arial" w:cs="Arial"/>
        </w:rPr>
        <w:t xml:space="preserve"> całkowity, </w:t>
      </w:r>
      <w:proofErr w:type="spellStart"/>
      <w:r w:rsidRPr="00925BCD">
        <w:rPr>
          <w:rFonts w:ascii="Arial" w:hAnsi="Arial" w:cs="Arial"/>
        </w:rPr>
        <w:t>heptachlor</w:t>
      </w:r>
      <w:proofErr w:type="spellEnd"/>
      <w:r w:rsidRPr="00925BCD">
        <w:rPr>
          <w:rFonts w:ascii="Arial" w:hAnsi="Arial" w:cs="Arial"/>
        </w:rPr>
        <w:t xml:space="preserve"> i epoksyd </w:t>
      </w:r>
      <w:proofErr w:type="spellStart"/>
      <w:r w:rsidRPr="00925BCD">
        <w:rPr>
          <w:rFonts w:ascii="Arial" w:hAnsi="Arial" w:cs="Arial"/>
        </w:rPr>
        <w:t>heptachloru</w:t>
      </w:r>
      <w:proofErr w:type="spellEnd"/>
      <w:r w:rsidRPr="00925BCD">
        <w:rPr>
          <w:rFonts w:ascii="Arial" w:hAnsi="Arial" w:cs="Arial"/>
        </w:rPr>
        <w:t xml:space="preserve">, </w:t>
      </w:r>
      <w:proofErr w:type="spellStart"/>
      <w:r w:rsidRPr="00925BCD">
        <w:rPr>
          <w:rFonts w:ascii="Arial" w:hAnsi="Arial" w:cs="Arial"/>
        </w:rPr>
        <w:t>heksabromodifenol</w:t>
      </w:r>
      <w:proofErr w:type="spellEnd"/>
      <w:r w:rsidRPr="00925BCD">
        <w:rPr>
          <w:rFonts w:ascii="Arial" w:hAnsi="Arial" w:cs="Arial"/>
        </w:rPr>
        <w:t xml:space="preserve">, </w:t>
      </w:r>
      <w:proofErr w:type="spellStart"/>
      <w:r w:rsidRPr="00925BCD">
        <w:rPr>
          <w:rFonts w:ascii="Arial" w:hAnsi="Arial" w:cs="Arial"/>
        </w:rPr>
        <w:t>heksachlorobenzen</w:t>
      </w:r>
      <w:proofErr w:type="spellEnd"/>
      <w:r w:rsidRPr="00925BCD">
        <w:rPr>
          <w:rFonts w:ascii="Arial" w:hAnsi="Arial" w:cs="Arial"/>
        </w:rPr>
        <w:t>, PCB (</w:t>
      </w:r>
      <w:proofErr w:type="spellStart"/>
      <w:r w:rsidRPr="00925BCD">
        <w:rPr>
          <w:rFonts w:ascii="Arial" w:hAnsi="Arial" w:cs="Arial"/>
        </w:rPr>
        <w:t>kongenery</w:t>
      </w:r>
      <w:proofErr w:type="spellEnd"/>
      <w:r w:rsidRPr="00925BCD">
        <w:rPr>
          <w:rFonts w:ascii="Arial" w:hAnsi="Arial" w:cs="Arial"/>
        </w:rPr>
        <w:t xml:space="preserve"> nr 28, 52, 101, 118, 138, 153 i 180), </w:t>
      </w:r>
      <w:proofErr w:type="spellStart"/>
      <w:r w:rsidRPr="00925BCD">
        <w:rPr>
          <w:rFonts w:ascii="Arial" w:hAnsi="Arial" w:cs="Arial"/>
        </w:rPr>
        <w:t>pentachlorofenol</w:t>
      </w:r>
      <w:proofErr w:type="spellEnd"/>
      <w:r w:rsidRPr="00925BCD">
        <w:rPr>
          <w:rFonts w:ascii="Arial" w:hAnsi="Arial" w:cs="Arial"/>
        </w:rPr>
        <w:t>, toksafen;</w:t>
      </w:r>
    </w:p>
    <w:p w14:paraId="4E56DD29"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pestycydy fosforoorganiczne: </w:t>
      </w:r>
      <w:proofErr w:type="spellStart"/>
      <w:r w:rsidRPr="00925BCD">
        <w:rPr>
          <w:rFonts w:ascii="Arial" w:hAnsi="Arial" w:cs="Arial"/>
        </w:rPr>
        <w:t>chlorfenwinfos</w:t>
      </w:r>
      <w:proofErr w:type="spellEnd"/>
      <w:r w:rsidRPr="00925BCD">
        <w:rPr>
          <w:rFonts w:ascii="Arial" w:hAnsi="Arial" w:cs="Arial"/>
        </w:rPr>
        <w:t xml:space="preserve">, </w:t>
      </w:r>
      <w:proofErr w:type="spellStart"/>
      <w:r w:rsidRPr="00925BCD">
        <w:rPr>
          <w:rFonts w:ascii="Arial" w:hAnsi="Arial" w:cs="Arial"/>
        </w:rPr>
        <w:t>chloropyrifos</w:t>
      </w:r>
      <w:proofErr w:type="spellEnd"/>
      <w:r w:rsidRPr="00925BCD">
        <w:rPr>
          <w:rFonts w:ascii="Arial" w:hAnsi="Arial" w:cs="Arial"/>
        </w:rPr>
        <w:t>;</w:t>
      </w:r>
    </w:p>
    <w:p w14:paraId="756F4F26"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pestycydy </w:t>
      </w:r>
      <w:proofErr w:type="spellStart"/>
      <w:r w:rsidRPr="00925BCD">
        <w:rPr>
          <w:rFonts w:ascii="Arial" w:hAnsi="Arial" w:cs="Arial"/>
        </w:rPr>
        <w:t>triazynowe</w:t>
      </w:r>
      <w:proofErr w:type="spellEnd"/>
      <w:r w:rsidRPr="00925BCD">
        <w:rPr>
          <w:rFonts w:ascii="Arial" w:hAnsi="Arial" w:cs="Arial"/>
        </w:rPr>
        <w:t xml:space="preserve">: </w:t>
      </w:r>
      <w:proofErr w:type="spellStart"/>
      <w:r w:rsidRPr="00925BCD">
        <w:rPr>
          <w:rFonts w:ascii="Arial" w:hAnsi="Arial" w:cs="Arial"/>
        </w:rPr>
        <w:t>cybutryna</w:t>
      </w:r>
      <w:proofErr w:type="spellEnd"/>
      <w:r w:rsidRPr="00925BCD">
        <w:rPr>
          <w:rFonts w:ascii="Arial" w:hAnsi="Arial" w:cs="Arial"/>
        </w:rPr>
        <w:t>;</w:t>
      </w:r>
    </w:p>
    <w:p w14:paraId="4A3C5C2A"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inne pestycydy: </w:t>
      </w:r>
      <w:proofErr w:type="spellStart"/>
      <w:r w:rsidRPr="00925BCD">
        <w:rPr>
          <w:rFonts w:ascii="Arial" w:hAnsi="Arial" w:cs="Arial"/>
        </w:rPr>
        <w:t>aklonifen</w:t>
      </w:r>
      <w:proofErr w:type="spellEnd"/>
      <w:r w:rsidRPr="00925BCD">
        <w:rPr>
          <w:rFonts w:ascii="Arial" w:hAnsi="Arial" w:cs="Arial"/>
        </w:rPr>
        <w:t xml:space="preserve">, </w:t>
      </w:r>
      <w:proofErr w:type="spellStart"/>
      <w:r w:rsidRPr="00925BCD">
        <w:rPr>
          <w:rFonts w:ascii="Arial" w:hAnsi="Arial" w:cs="Arial"/>
        </w:rPr>
        <w:t>bifenoks</w:t>
      </w:r>
      <w:proofErr w:type="spellEnd"/>
      <w:r w:rsidRPr="00925BCD">
        <w:rPr>
          <w:rFonts w:ascii="Arial" w:hAnsi="Arial" w:cs="Arial"/>
        </w:rPr>
        <w:t xml:space="preserve">, </w:t>
      </w:r>
      <w:proofErr w:type="spellStart"/>
      <w:r w:rsidRPr="00925BCD">
        <w:rPr>
          <w:rFonts w:ascii="Arial" w:hAnsi="Arial" w:cs="Arial"/>
        </w:rPr>
        <w:t>chinoksyfen</w:t>
      </w:r>
      <w:proofErr w:type="spellEnd"/>
      <w:r w:rsidRPr="00925BCD">
        <w:rPr>
          <w:rFonts w:ascii="Arial" w:hAnsi="Arial" w:cs="Arial"/>
        </w:rPr>
        <w:t xml:space="preserve">, </w:t>
      </w:r>
      <w:proofErr w:type="spellStart"/>
      <w:r w:rsidRPr="00925BCD">
        <w:rPr>
          <w:rFonts w:ascii="Arial" w:hAnsi="Arial" w:cs="Arial"/>
        </w:rPr>
        <w:t>cypermetryna</w:t>
      </w:r>
      <w:proofErr w:type="spellEnd"/>
      <w:r w:rsidRPr="00925BCD">
        <w:rPr>
          <w:rFonts w:ascii="Arial" w:hAnsi="Arial" w:cs="Arial"/>
        </w:rPr>
        <w:t xml:space="preserve">, </w:t>
      </w:r>
      <w:proofErr w:type="spellStart"/>
      <w:r w:rsidRPr="00925BCD">
        <w:rPr>
          <w:rFonts w:ascii="Arial" w:hAnsi="Arial" w:cs="Arial"/>
        </w:rPr>
        <w:t>trifluralina</w:t>
      </w:r>
      <w:proofErr w:type="spellEnd"/>
      <w:r w:rsidRPr="00925BCD">
        <w:rPr>
          <w:rFonts w:ascii="Arial" w:hAnsi="Arial" w:cs="Arial"/>
        </w:rPr>
        <w:t xml:space="preserve">, związki </w:t>
      </w:r>
      <w:proofErr w:type="spellStart"/>
      <w:r w:rsidRPr="00925BCD">
        <w:rPr>
          <w:rFonts w:ascii="Arial" w:hAnsi="Arial" w:cs="Arial"/>
        </w:rPr>
        <w:t>tributylocyny</w:t>
      </w:r>
      <w:proofErr w:type="spellEnd"/>
      <w:r w:rsidRPr="00925BCD">
        <w:rPr>
          <w:rFonts w:ascii="Arial" w:hAnsi="Arial" w:cs="Arial"/>
        </w:rPr>
        <w:t xml:space="preserve">. </w:t>
      </w:r>
    </w:p>
    <w:p w14:paraId="08A89EBD"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osadów rzek, kanałów i zbiorników zaporowych w 2018 r.</w:t>
      </w:r>
      <w:r w:rsidRPr="00925BCD">
        <w:rPr>
          <w:rFonts w:ascii="Arial" w:hAnsi="Arial" w:cs="Arial"/>
        </w:rPr>
        <w:t xml:space="preserve"> wykazały występowanie większości tych związków w stężeniach poniżej granicy oznaczalności. Wyjątek stanowiły: PCB, a-HCH, g-HCH, </w:t>
      </w:r>
      <w:proofErr w:type="spellStart"/>
      <w:r w:rsidRPr="00925BCD">
        <w:rPr>
          <w:rFonts w:ascii="Arial" w:hAnsi="Arial" w:cs="Arial"/>
        </w:rPr>
        <w:t>endosulfan</w:t>
      </w:r>
      <w:proofErr w:type="spellEnd"/>
      <w:r w:rsidRPr="00925BCD">
        <w:rPr>
          <w:rFonts w:ascii="Arial" w:hAnsi="Arial" w:cs="Arial"/>
        </w:rPr>
        <w:t xml:space="preserve">, </w:t>
      </w:r>
      <w:proofErr w:type="spellStart"/>
      <w:r w:rsidRPr="00925BCD">
        <w:rPr>
          <w:rFonts w:ascii="Arial" w:hAnsi="Arial" w:cs="Arial"/>
        </w:rPr>
        <w:t>chinoksyfen</w:t>
      </w:r>
      <w:proofErr w:type="spellEnd"/>
      <w:r w:rsidRPr="00925BCD">
        <w:rPr>
          <w:rFonts w:ascii="Arial" w:hAnsi="Arial" w:cs="Arial"/>
        </w:rPr>
        <w:t xml:space="preserve"> i związki </w:t>
      </w:r>
      <w:proofErr w:type="spellStart"/>
      <w:r w:rsidRPr="00925BCD">
        <w:rPr>
          <w:rFonts w:ascii="Arial" w:hAnsi="Arial" w:cs="Arial"/>
        </w:rPr>
        <w:t>tributylocyny</w:t>
      </w:r>
      <w:proofErr w:type="spellEnd"/>
      <w:r w:rsidRPr="00925BCD">
        <w:rPr>
          <w:rFonts w:ascii="Arial" w:hAnsi="Arial" w:cs="Arial"/>
        </w:rPr>
        <w:t xml:space="preserve">. Największe sumaryczne stężenie PCB stwierdzono w punkcie San – Rajskie (0,36 mg/kg), stosunkowo dużą zawartością tych związków charakteryzowały się również: Kanał Gliwicki i Kanał </w:t>
      </w:r>
      <w:proofErr w:type="spellStart"/>
      <w:r w:rsidRPr="00925BCD">
        <w:rPr>
          <w:rFonts w:ascii="Arial" w:hAnsi="Arial" w:cs="Arial"/>
        </w:rPr>
        <w:t>Bucowski</w:t>
      </w:r>
      <w:proofErr w:type="spellEnd"/>
      <w:r w:rsidRPr="00925BCD">
        <w:rPr>
          <w:rFonts w:ascii="Arial" w:hAnsi="Arial" w:cs="Arial"/>
        </w:rPr>
        <w:t xml:space="preserve"> oraz Wisłok w Zwięczycy (0,0633-0,0705 mg/kg). Stężenia HCH powyżej granicy oznaczalności odnotowano w osadach Kanału Bydgoskiego przy ujściu do Brdy (a-HCH: 0,0004 mg/kg, g-HCH: 0,0018 mg/kg) oraz w punkcie Odra – Obrowiec (g-HCH: 0,0016 mg/kg). Zawartość </w:t>
      </w:r>
      <w:proofErr w:type="spellStart"/>
      <w:r w:rsidRPr="00925BCD">
        <w:rPr>
          <w:rFonts w:ascii="Arial" w:hAnsi="Arial" w:cs="Arial"/>
        </w:rPr>
        <w:t>endosulfanu</w:t>
      </w:r>
      <w:proofErr w:type="spellEnd"/>
      <w:r w:rsidRPr="00925BCD">
        <w:rPr>
          <w:rFonts w:ascii="Arial" w:hAnsi="Arial" w:cs="Arial"/>
        </w:rPr>
        <w:t xml:space="preserve"> powyżej granicy oznaczalności stwierdzono w osadach Odry w Chałupkach (0,0193 mg/kg) i Kaczawy przy ujściu do Odry (0,0004 mg/kg), zaś najwyższe stężenie </w:t>
      </w:r>
      <w:proofErr w:type="spellStart"/>
      <w:r w:rsidRPr="00925BCD">
        <w:rPr>
          <w:rFonts w:ascii="Arial" w:hAnsi="Arial" w:cs="Arial"/>
        </w:rPr>
        <w:t>chinoksyfenu</w:t>
      </w:r>
      <w:proofErr w:type="spellEnd"/>
      <w:r w:rsidRPr="00925BCD">
        <w:rPr>
          <w:rFonts w:ascii="Arial" w:hAnsi="Arial" w:cs="Arial"/>
        </w:rPr>
        <w:t xml:space="preserve"> zmierzono w punkcie Warta – Wiórek (0,0015 mg/kg). Natomiast największą zawartość związków </w:t>
      </w:r>
      <w:proofErr w:type="spellStart"/>
      <w:r w:rsidRPr="00925BCD">
        <w:rPr>
          <w:rFonts w:ascii="Arial" w:hAnsi="Arial" w:cs="Arial"/>
        </w:rPr>
        <w:t>tributylocyny</w:t>
      </w:r>
      <w:proofErr w:type="spellEnd"/>
      <w:r w:rsidRPr="00925BCD">
        <w:rPr>
          <w:rFonts w:ascii="Arial" w:hAnsi="Arial" w:cs="Arial"/>
        </w:rPr>
        <w:t xml:space="preserve"> odnotowano w osadach Wisły w Warszawie (0,0002 mg/kg) oraz – na granicy oznaczalności (0,0001 mg/kg) – w osadach Redy koło Mrzezina.</w:t>
      </w:r>
    </w:p>
    <w:p w14:paraId="47DE6637"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osadów jeziornych również wykazały stężenia większości pestycydów poniżej granicy oznaczalności. Wyższe zawartości zaobserwowano dla: PCB (0,0023-0,456 mg/kg; największe stężenie – w Jez. </w:t>
      </w:r>
      <w:proofErr w:type="spellStart"/>
      <w:r w:rsidRPr="00925BCD">
        <w:rPr>
          <w:rFonts w:ascii="Arial" w:hAnsi="Arial" w:cs="Arial"/>
        </w:rPr>
        <w:t>Niesłysz</w:t>
      </w:r>
      <w:proofErr w:type="spellEnd"/>
      <w:r w:rsidRPr="00925BCD">
        <w:rPr>
          <w:rFonts w:ascii="Arial" w:hAnsi="Arial" w:cs="Arial"/>
        </w:rPr>
        <w:t xml:space="preserve">), a-HCH (0,0007 mg/kg w Jez. </w:t>
      </w:r>
      <w:proofErr w:type="spellStart"/>
      <w:r w:rsidRPr="00925BCD">
        <w:rPr>
          <w:rFonts w:ascii="Arial" w:hAnsi="Arial" w:cs="Arial"/>
        </w:rPr>
        <w:t>Lubikowskim</w:t>
      </w:r>
      <w:proofErr w:type="spellEnd"/>
      <w:r w:rsidRPr="00925BCD">
        <w:rPr>
          <w:rFonts w:ascii="Arial" w:hAnsi="Arial" w:cs="Arial"/>
        </w:rPr>
        <w:t xml:space="preserve">, 0,0012 mg/kg w Jez. Gwiazda), g-HCH (0,0011 mg/kg w Jez. </w:t>
      </w:r>
      <w:proofErr w:type="spellStart"/>
      <w:r w:rsidRPr="00925BCD">
        <w:rPr>
          <w:rFonts w:ascii="Arial" w:hAnsi="Arial" w:cs="Arial"/>
        </w:rPr>
        <w:t>Lubikowskim</w:t>
      </w:r>
      <w:proofErr w:type="spellEnd"/>
      <w:r w:rsidRPr="00925BCD">
        <w:rPr>
          <w:rFonts w:ascii="Arial" w:hAnsi="Arial" w:cs="Arial"/>
        </w:rPr>
        <w:t xml:space="preserve">, 0,0009 mg/kg w Jez. Gwiazda), DDT całkowitego (0,056 mg/kg w Jez. Wojnowskim Wschodnim, 0,063 mg/kg w Jez. Wojnowskim Zachodnim), </w:t>
      </w:r>
      <w:proofErr w:type="spellStart"/>
      <w:r w:rsidRPr="00925BCD">
        <w:rPr>
          <w:rFonts w:ascii="Arial" w:hAnsi="Arial" w:cs="Arial"/>
        </w:rPr>
        <w:t>p,p</w:t>
      </w:r>
      <w:proofErr w:type="spellEnd"/>
      <w:r w:rsidRPr="00925BCD">
        <w:rPr>
          <w:rFonts w:ascii="Arial" w:hAnsi="Arial" w:cs="Arial"/>
        </w:rPr>
        <w:t xml:space="preserve">'-DDT (0,0555 mg/kg w Jez. Wojnowskim Wschodnim, 0,0627 mg/kg w Jez. Wojnowskim Zachodnim) oraz </w:t>
      </w:r>
      <w:proofErr w:type="spellStart"/>
      <w:r w:rsidRPr="00925BCD">
        <w:rPr>
          <w:rFonts w:ascii="Arial" w:hAnsi="Arial" w:cs="Arial"/>
        </w:rPr>
        <w:t>endosulfanu</w:t>
      </w:r>
      <w:proofErr w:type="spellEnd"/>
      <w:r w:rsidRPr="00925BCD">
        <w:rPr>
          <w:rFonts w:ascii="Arial" w:hAnsi="Arial" w:cs="Arial"/>
        </w:rPr>
        <w:t xml:space="preserve"> (0,0004 mg/kg w Jez. Zelwa).</w:t>
      </w:r>
    </w:p>
    <w:p w14:paraId="3A04369B"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osadów rzek i kanałów rzecznych w 2019 r.</w:t>
      </w:r>
      <w:r w:rsidRPr="00925BCD">
        <w:rPr>
          <w:rFonts w:ascii="Arial" w:hAnsi="Arial" w:cs="Arial"/>
        </w:rPr>
        <w:t xml:space="preserve"> wykazały występowanie większości tych związków w stężeniach poniżej granicy oznaczalności. Wyjątek stanowiły polichlorowane </w:t>
      </w:r>
      <w:proofErr w:type="spellStart"/>
      <w:r w:rsidRPr="00925BCD">
        <w:rPr>
          <w:rFonts w:ascii="Arial" w:hAnsi="Arial" w:cs="Arial"/>
        </w:rPr>
        <w:t>bifenyle</w:t>
      </w:r>
      <w:proofErr w:type="spellEnd"/>
      <w:r w:rsidRPr="00925BCD">
        <w:rPr>
          <w:rFonts w:ascii="Arial" w:hAnsi="Arial" w:cs="Arial"/>
        </w:rPr>
        <w:t>, których zawartość w kilku próbkach znajdowała się w przedziale 0,001 do 0,480 mg/kg, natomiast w</w:t>
      </w:r>
      <w:r w:rsidR="009C7B7A" w:rsidRPr="00925BCD">
        <w:rPr>
          <w:rFonts w:ascii="Arial" w:hAnsi="Arial" w:cs="Arial"/>
        </w:rPr>
        <w:t> </w:t>
      </w:r>
      <w:r w:rsidRPr="00925BCD">
        <w:rPr>
          <w:rFonts w:ascii="Arial" w:hAnsi="Arial" w:cs="Arial"/>
        </w:rPr>
        <w:t xml:space="preserve">pozostałych 225 punktach ich stężenie w osadach kształtowało się poniżej granicy oznaczalności (&lt;0,001 mg/kg). </w:t>
      </w:r>
    </w:p>
    <w:p w14:paraId="4EAF9DFE" w14:textId="77777777" w:rsidR="00056846"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osadów jeziornych również wykazały stężenia większości pestycydów poniżej granicy </w:t>
      </w:r>
      <w:r w:rsidRPr="00925BCD">
        <w:rPr>
          <w:rFonts w:ascii="Arial" w:hAnsi="Arial" w:cs="Arial"/>
        </w:rPr>
        <w:lastRenderedPageBreak/>
        <w:t xml:space="preserve">oznaczalności. Wyższe zawartości zaobserwowano jedynie dla </w:t>
      </w:r>
      <w:proofErr w:type="spellStart"/>
      <w:r w:rsidRPr="00925BCD">
        <w:rPr>
          <w:rFonts w:ascii="Arial" w:hAnsi="Arial" w:cs="Arial"/>
        </w:rPr>
        <w:t>pentachlorobenzenu</w:t>
      </w:r>
      <w:proofErr w:type="spellEnd"/>
      <w:r w:rsidRPr="00925BCD">
        <w:rPr>
          <w:rFonts w:ascii="Arial" w:hAnsi="Arial" w:cs="Arial"/>
        </w:rPr>
        <w:t xml:space="preserve"> w 17 jeziorach na poziomie 0,0005 mg/kg, natomiast w pozostałych 159 jeziorach stężenia w zbadanych próbkach osadów kształtowały się poniżej granicy oznaczalności, tj. &lt;0,00001 mg/kg. </w:t>
      </w:r>
    </w:p>
    <w:p w14:paraId="06D949EA" w14:textId="32102C39" w:rsidR="00C70252" w:rsidRPr="00A533BA" w:rsidRDefault="00C70252" w:rsidP="00C70252">
      <w:pPr>
        <w:spacing w:after="120" w:line="360" w:lineRule="auto"/>
        <w:ind w:firstLine="357"/>
        <w:jc w:val="both"/>
        <w:rPr>
          <w:rFonts w:ascii="Arial" w:eastAsia="Calibri" w:hAnsi="Arial" w:cs="Arial"/>
          <w:sz w:val="20"/>
          <w:szCs w:val="20"/>
        </w:rPr>
      </w:pPr>
      <w:r w:rsidRPr="00A533BA">
        <w:rPr>
          <w:rFonts w:ascii="Arial" w:eastAsia="Calibri" w:hAnsi="Arial" w:cs="Arial"/>
          <w:b/>
          <w:sz w:val="20"/>
          <w:szCs w:val="20"/>
        </w:rPr>
        <w:t xml:space="preserve">W 2020 r. </w:t>
      </w:r>
      <w:r w:rsidR="00FC104C">
        <w:rPr>
          <w:rFonts w:ascii="Arial" w:eastAsia="Calibri" w:hAnsi="Arial" w:cs="Arial"/>
          <w:b/>
          <w:sz w:val="20"/>
          <w:szCs w:val="20"/>
        </w:rPr>
        <w:t xml:space="preserve">i 2021 </w:t>
      </w:r>
      <w:r w:rsidR="00B73B85">
        <w:rPr>
          <w:rFonts w:ascii="Arial" w:eastAsia="Calibri" w:hAnsi="Arial" w:cs="Arial"/>
          <w:b/>
          <w:sz w:val="20"/>
          <w:szCs w:val="20"/>
        </w:rPr>
        <w:t xml:space="preserve">r. </w:t>
      </w:r>
      <w:r w:rsidRPr="00A533BA">
        <w:rPr>
          <w:rFonts w:ascii="Arial" w:eastAsia="Calibri" w:hAnsi="Arial" w:cs="Arial"/>
          <w:b/>
          <w:sz w:val="20"/>
          <w:szCs w:val="20"/>
        </w:rPr>
        <w:t>monitoring osadów dennych rzek i jezior</w:t>
      </w:r>
      <w:r w:rsidRPr="00A533BA">
        <w:rPr>
          <w:rFonts w:ascii="Arial" w:eastAsia="Calibri" w:hAnsi="Arial" w:cs="Arial"/>
          <w:sz w:val="20"/>
          <w:szCs w:val="20"/>
        </w:rPr>
        <w:t xml:space="preserve"> przeprowadzono </w:t>
      </w:r>
      <w:r w:rsidR="00B73B85">
        <w:rPr>
          <w:rFonts w:ascii="Arial" w:eastAsia="Calibri" w:hAnsi="Arial" w:cs="Arial"/>
          <w:sz w:val="20"/>
          <w:szCs w:val="20"/>
        </w:rPr>
        <w:t xml:space="preserve">odpowiednio </w:t>
      </w:r>
      <w:r w:rsidRPr="00A533BA">
        <w:rPr>
          <w:rFonts w:ascii="Arial" w:eastAsia="Calibri" w:hAnsi="Arial" w:cs="Arial"/>
          <w:sz w:val="20"/>
          <w:szCs w:val="20"/>
        </w:rPr>
        <w:t>w</w:t>
      </w:r>
      <w:r w:rsidR="004E28AC">
        <w:rPr>
          <w:rFonts w:ascii="Arial" w:eastAsia="Calibri" w:hAnsi="Arial" w:cs="Arial"/>
          <w:sz w:val="20"/>
          <w:szCs w:val="20"/>
        </w:rPr>
        <w:t> </w:t>
      </w:r>
      <w:r w:rsidRPr="00A533BA">
        <w:rPr>
          <w:rFonts w:ascii="Arial" w:eastAsia="Calibri" w:hAnsi="Arial" w:cs="Arial"/>
          <w:sz w:val="20"/>
          <w:szCs w:val="20"/>
        </w:rPr>
        <w:t xml:space="preserve">422 </w:t>
      </w:r>
      <w:r w:rsidR="00B73B85">
        <w:rPr>
          <w:rFonts w:ascii="Arial" w:eastAsia="Calibri" w:hAnsi="Arial" w:cs="Arial"/>
          <w:sz w:val="20"/>
          <w:szCs w:val="20"/>
        </w:rPr>
        <w:t xml:space="preserve">i 423 </w:t>
      </w:r>
      <w:r w:rsidRPr="00A533BA">
        <w:rPr>
          <w:rFonts w:ascii="Arial" w:eastAsia="Calibri" w:hAnsi="Arial" w:cs="Arial"/>
          <w:sz w:val="20"/>
          <w:szCs w:val="20"/>
        </w:rPr>
        <w:t xml:space="preserve">punktach pomiarowo-kontrolnych, w tym 262 </w:t>
      </w:r>
      <w:r w:rsidR="00A55537">
        <w:rPr>
          <w:rFonts w:ascii="Arial" w:eastAsia="Calibri" w:hAnsi="Arial" w:cs="Arial"/>
          <w:sz w:val="20"/>
          <w:szCs w:val="20"/>
        </w:rPr>
        <w:t xml:space="preserve">i 223 </w:t>
      </w:r>
      <w:r w:rsidRPr="00A533BA">
        <w:rPr>
          <w:rFonts w:ascii="Arial" w:eastAsia="Calibri" w:hAnsi="Arial" w:cs="Arial"/>
          <w:sz w:val="20"/>
          <w:szCs w:val="20"/>
        </w:rPr>
        <w:t xml:space="preserve">zlokalizowanych na rzekach oraz kanałach rzecznych i 160 </w:t>
      </w:r>
      <w:r w:rsidR="007F5D0D">
        <w:rPr>
          <w:rFonts w:ascii="Arial" w:eastAsia="Calibri" w:hAnsi="Arial" w:cs="Arial"/>
          <w:sz w:val="20"/>
          <w:szCs w:val="20"/>
        </w:rPr>
        <w:t xml:space="preserve">oraz 200 </w:t>
      </w:r>
      <w:r w:rsidRPr="00A533BA">
        <w:rPr>
          <w:rFonts w:ascii="Arial" w:eastAsia="Calibri" w:hAnsi="Arial" w:cs="Arial"/>
          <w:sz w:val="20"/>
          <w:szCs w:val="20"/>
        </w:rPr>
        <w:t>na jeziorach. Zbadano między innymi zawartość związków organicznych będących składnikami środków ochrony roślin, takich jak:</w:t>
      </w:r>
    </w:p>
    <w:p w14:paraId="58F55446" w14:textId="77777777" w:rsidR="00C70252" w:rsidRPr="00A533BA" w:rsidRDefault="00C70252" w:rsidP="00C70252">
      <w:pPr>
        <w:spacing w:after="120" w:line="360" w:lineRule="auto"/>
        <w:ind w:firstLine="357"/>
        <w:jc w:val="both"/>
        <w:rPr>
          <w:rFonts w:ascii="Arial" w:hAnsi="Arial" w:cs="Arial"/>
          <w:sz w:val="20"/>
          <w:szCs w:val="20"/>
        </w:rPr>
      </w:pPr>
      <w:r w:rsidRPr="00A533BA">
        <w:rPr>
          <w:rFonts w:ascii="Arial" w:hAnsi="Arial" w:cs="Arial"/>
          <w:sz w:val="20"/>
          <w:szCs w:val="20"/>
        </w:rPr>
        <w:t>─</w:t>
      </w:r>
      <w:r w:rsidRPr="00A533BA">
        <w:rPr>
          <w:rFonts w:ascii="Arial" w:hAnsi="Arial" w:cs="Arial"/>
          <w:sz w:val="20"/>
          <w:szCs w:val="20"/>
        </w:rPr>
        <w:tab/>
        <w:t xml:space="preserve">polichlorowane </w:t>
      </w:r>
      <w:proofErr w:type="spellStart"/>
      <w:r w:rsidRPr="00A533BA">
        <w:rPr>
          <w:rFonts w:ascii="Arial" w:hAnsi="Arial" w:cs="Arial"/>
          <w:sz w:val="20"/>
          <w:szCs w:val="20"/>
        </w:rPr>
        <w:t>bifenyle</w:t>
      </w:r>
      <w:proofErr w:type="spellEnd"/>
      <w:r w:rsidRPr="00A533BA">
        <w:rPr>
          <w:rFonts w:ascii="Arial" w:hAnsi="Arial" w:cs="Arial"/>
          <w:sz w:val="20"/>
          <w:szCs w:val="20"/>
        </w:rPr>
        <w:t xml:space="preserve"> (</w:t>
      </w:r>
      <w:proofErr w:type="spellStart"/>
      <w:r w:rsidRPr="00A533BA">
        <w:rPr>
          <w:rFonts w:ascii="Arial" w:hAnsi="Arial" w:cs="Arial"/>
          <w:sz w:val="20"/>
          <w:szCs w:val="20"/>
        </w:rPr>
        <w:t>kongenery</w:t>
      </w:r>
      <w:proofErr w:type="spellEnd"/>
      <w:r w:rsidRPr="00A533BA">
        <w:rPr>
          <w:rFonts w:ascii="Arial" w:hAnsi="Arial" w:cs="Arial"/>
          <w:sz w:val="20"/>
          <w:szCs w:val="20"/>
        </w:rPr>
        <w:t xml:space="preserve"> o nr 28, 52, 101, 118, 138, 153, 180), </w:t>
      </w:r>
      <w:proofErr w:type="spellStart"/>
      <w:r w:rsidRPr="00A533BA">
        <w:rPr>
          <w:rFonts w:ascii="Arial" w:hAnsi="Arial" w:cs="Arial"/>
          <w:sz w:val="20"/>
          <w:szCs w:val="20"/>
        </w:rPr>
        <w:t>heksachlorobenzen</w:t>
      </w:r>
      <w:proofErr w:type="spellEnd"/>
      <w:r w:rsidRPr="00A533BA">
        <w:rPr>
          <w:rFonts w:ascii="Arial" w:hAnsi="Arial" w:cs="Arial"/>
          <w:sz w:val="20"/>
          <w:szCs w:val="20"/>
        </w:rPr>
        <w:t xml:space="preserve">, α-HCH, β-HCH, γ-HCH, δ-HCH, </w:t>
      </w:r>
      <w:proofErr w:type="spellStart"/>
      <w:r w:rsidRPr="00A533BA">
        <w:rPr>
          <w:rFonts w:ascii="Arial" w:hAnsi="Arial" w:cs="Arial"/>
          <w:sz w:val="20"/>
          <w:szCs w:val="20"/>
        </w:rPr>
        <w:t>pentachlorobenzen</w:t>
      </w:r>
      <w:proofErr w:type="spellEnd"/>
      <w:r w:rsidRPr="00A533BA">
        <w:rPr>
          <w:rFonts w:ascii="Arial" w:hAnsi="Arial" w:cs="Arial"/>
          <w:sz w:val="20"/>
          <w:szCs w:val="20"/>
        </w:rPr>
        <w:t xml:space="preserve">, </w:t>
      </w:r>
      <w:proofErr w:type="spellStart"/>
      <w:r w:rsidRPr="00A533BA">
        <w:rPr>
          <w:rFonts w:ascii="Arial" w:hAnsi="Arial" w:cs="Arial"/>
          <w:sz w:val="20"/>
          <w:szCs w:val="20"/>
        </w:rPr>
        <w:t>heptachlor</w:t>
      </w:r>
      <w:proofErr w:type="spellEnd"/>
      <w:r w:rsidRPr="00A533BA">
        <w:rPr>
          <w:rFonts w:ascii="Arial" w:hAnsi="Arial" w:cs="Arial"/>
          <w:sz w:val="20"/>
          <w:szCs w:val="20"/>
        </w:rPr>
        <w:t xml:space="preserve"> i epoksyd </w:t>
      </w:r>
      <w:proofErr w:type="spellStart"/>
      <w:r w:rsidRPr="00A533BA">
        <w:rPr>
          <w:rFonts w:ascii="Arial" w:hAnsi="Arial" w:cs="Arial"/>
          <w:sz w:val="20"/>
          <w:szCs w:val="20"/>
        </w:rPr>
        <w:t>heptachloru</w:t>
      </w:r>
      <w:proofErr w:type="spellEnd"/>
      <w:r w:rsidRPr="00A533BA">
        <w:rPr>
          <w:rFonts w:ascii="Arial" w:hAnsi="Arial" w:cs="Arial"/>
          <w:sz w:val="20"/>
          <w:szCs w:val="20"/>
        </w:rPr>
        <w:t xml:space="preserve">, </w:t>
      </w:r>
      <w:proofErr w:type="spellStart"/>
      <w:r w:rsidRPr="00A533BA">
        <w:rPr>
          <w:rFonts w:ascii="Arial" w:hAnsi="Arial" w:cs="Arial"/>
          <w:sz w:val="20"/>
          <w:szCs w:val="20"/>
        </w:rPr>
        <w:t>aldryna</w:t>
      </w:r>
      <w:proofErr w:type="spellEnd"/>
      <w:r w:rsidRPr="00A533BA">
        <w:rPr>
          <w:rFonts w:ascii="Arial" w:hAnsi="Arial" w:cs="Arial"/>
          <w:sz w:val="20"/>
          <w:szCs w:val="20"/>
        </w:rPr>
        <w:t xml:space="preserve">, </w:t>
      </w:r>
      <w:proofErr w:type="spellStart"/>
      <w:r w:rsidRPr="00A533BA">
        <w:rPr>
          <w:rFonts w:ascii="Arial" w:hAnsi="Arial" w:cs="Arial"/>
          <w:sz w:val="20"/>
          <w:szCs w:val="20"/>
        </w:rPr>
        <w:t>endryna</w:t>
      </w:r>
      <w:proofErr w:type="spellEnd"/>
      <w:r w:rsidRPr="00A533BA">
        <w:rPr>
          <w:rFonts w:ascii="Arial" w:hAnsi="Arial" w:cs="Arial"/>
          <w:sz w:val="20"/>
          <w:szCs w:val="20"/>
        </w:rPr>
        <w:t xml:space="preserve">, dieldryna, </w:t>
      </w:r>
      <w:proofErr w:type="spellStart"/>
      <w:r w:rsidRPr="00A533BA">
        <w:rPr>
          <w:rFonts w:ascii="Arial" w:hAnsi="Arial" w:cs="Arial"/>
          <w:sz w:val="20"/>
          <w:szCs w:val="20"/>
        </w:rPr>
        <w:t>izodryna</w:t>
      </w:r>
      <w:proofErr w:type="spellEnd"/>
      <w:r w:rsidRPr="00A533BA">
        <w:rPr>
          <w:rFonts w:ascii="Arial" w:hAnsi="Arial" w:cs="Arial"/>
          <w:sz w:val="20"/>
          <w:szCs w:val="20"/>
        </w:rPr>
        <w:t xml:space="preserve">, </w:t>
      </w:r>
      <w:proofErr w:type="spellStart"/>
      <w:r w:rsidRPr="00A533BA">
        <w:rPr>
          <w:rFonts w:ascii="Arial" w:hAnsi="Arial" w:cs="Arial"/>
          <w:sz w:val="20"/>
          <w:szCs w:val="20"/>
        </w:rPr>
        <w:t>endosulfan</w:t>
      </w:r>
      <w:proofErr w:type="spellEnd"/>
      <w:r w:rsidRPr="00A533BA">
        <w:rPr>
          <w:rFonts w:ascii="Arial" w:hAnsi="Arial" w:cs="Arial"/>
          <w:sz w:val="20"/>
          <w:szCs w:val="20"/>
        </w:rPr>
        <w:t xml:space="preserve">, DDT (w tym izomer para-para), </w:t>
      </w:r>
      <w:proofErr w:type="spellStart"/>
      <w:r w:rsidRPr="00A533BA">
        <w:rPr>
          <w:rFonts w:ascii="Arial" w:hAnsi="Arial" w:cs="Arial"/>
          <w:sz w:val="20"/>
          <w:szCs w:val="20"/>
        </w:rPr>
        <w:t>p,p</w:t>
      </w:r>
      <w:proofErr w:type="spellEnd"/>
      <w:r w:rsidRPr="00A533BA">
        <w:rPr>
          <w:rFonts w:ascii="Arial" w:hAnsi="Arial" w:cs="Arial"/>
          <w:sz w:val="20"/>
          <w:szCs w:val="20"/>
        </w:rPr>
        <w:t xml:space="preserve">’-DDE, </w:t>
      </w:r>
      <w:proofErr w:type="spellStart"/>
      <w:r w:rsidRPr="00A533BA">
        <w:rPr>
          <w:rFonts w:ascii="Arial" w:hAnsi="Arial" w:cs="Arial"/>
          <w:sz w:val="20"/>
          <w:szCs w:val="20"/>
        </w:rPr>
        <w:t>p,p</w:t>
      </w:r>
      <w:proofErr w:type="spellEnd"/>
      <w:r w:rsidRPr="00A533BA">
        <w:rPr>
          <w:rFonts w:ascii="Arial" w:hAnsi="Arial" w:cs="Arial"/>
          <w:sz w:val="20"/>
          <w:szCs w:val="20"/>
        </w:rPr>
        <w:t>’-DDD – we wszystkich 262 punktach pomiarowo-kontrolnych,</w:t>
      </w:r>
    </w:p>
    <w:p w14:paraId="56AED918" w14:textId="648BDD16" w:rsidR="00C70252" w:rsidRPr="00A533BA" w:rsidRDefault="00C70252" w:rsidP="00C70252">
      <w:pPr>
        <w:spacing w:after="120" w:line="360" w:lineRule="auto"/>
        <w:ind w:firstLine="357"/>
        <w:jc w:val="both"/>
        <w:rPr>
          <w:rFonts w:ascii="Arial" w:hAnsi="Arial" w:cs="Arial"/>
          <w:sz w:val="20"/>
          <w:szCs w:val="20"/>
        </w:rPr>
      </w:pPr>
      <w:r w:rsidRPr="00A533BA">
        <w:rPr>
          <w:rFonts w:ascii="Arial" w:hAnsi="Arial" w:cs="Arial"/>
          <w:sz w:val="20"/>
          <w:szCs w:val="20"/>
        </w:rPr>
        <w:t>─</w:t>
      </w:r>
      <w:r w:rsidRPr="00A533BA">
        <w:rPr>
          <w:rFonts w:ascii="Arial" w:hAnsi="Arial" w:cs="Arial"/>
          <w:sz w:val="20"/>
          <w:szCs w:val="20"/>
        </w:rPr>
        <w:tab/>
      </w:r>
      <w:proofErr w:type="spellStart"/>
      <w:r w:rsidRPr="00A533BA">
        <w:rPr>
          <w:rFonts w:ascii="Arial" w:hAnsi="Arial" w:cs="Arial"/>
          <w:sz w:val="20"/>
          <w:szCs w:val="20"/>
        </w:rPr>
        <w:t>alachlor</w:t>
      </w:r>
      <w:proofErr w:type="spellEnd"/>
      <w:r w:rsidRPr="00A533BA">
        <w:rPr>
          <w:rFonts w:ascii="Arial" w:hAnsi="Arial" w:cs="Arial"/>
          <w:sz w:val="20"/>
          <w:szCs w:val="20"/>
        </w:rPr>
        <w:t xml:space="preserve">, </w:t>
      </w:r>
      <w:proofErr w:type="spellStart"/>
      <w:r w:rsidRPr="00A533BA">
        <w:rPr>
          <w:rFonts w:ascii="Arial" w:hAnsi="Arial" w:cs="Arial"/>
          <w:sz w:val="20"/>
          <w:szCs w:val="20"/>
        </w:rPr>
        <w:t>chlorfenwinfos</w:t>
      </w:r>
      <w:proofErr w:type="spellEnd"/>
      <w:r w:rsidRPr="00A533BA">
        <w:rPr>
          <w:rFonts w:ascii="Arial" w:hAnsi="Arial" w:cs="Arial"/>
          <w:sz w:val="20"/>
          <w:szCs w:val="20"/>
        </w:rPr>
        <w:t xml:space="preserve">, </w:t>
      </w:r>
      <w:proofErr w:type="spellStart"/>
      <w:r w:rsidRPr="00A533BA">
        <w:rPr>
          <w:rFonts w:ascii="Arial" w:hAnsi="Arial" w:cs="Arial"/>
          <w:sz w:val="20"/>
          <w:szCs w:val="20"/>
        </w:rPr>
        <w:t>chlorpiryfos</w:t>
      </w:r>
      <w:proofErr w:type="spellEnd"/>
      <w:r w:rsidRPr="00A533BA">
        <w:rPr>
          <w:rFonts w:ascii="Arial" w:hAnsi="Arial" w:cs="Arial"/>
          <w:sz w:val="20"/>
          <w:szCs w:val="20"/>
        </w:rPr>
        <w:t xml:space="preserve">, </w:t>
      </w:r>
      <w:proofErr w:type="spellStart"/>
      <w:r w:rsidRPr="00A533BA">
        <w:rPr>
          <w:rFonts w:ascii="Arial" w:hAnsi="Arial" w:cs="Arial"/>
          <w:sz w:val="20"/>
          <w:szCs w:val="20"/>
        </w:rPr>
        <w:t>pentachlorofenol</w:t>
      </w:r>
      <w:proofErr w:type="spellEnd"/>
      <w:r w:rsidRPr="00A533BA">
        <w:rPr>
          <w:rFonts w:ascii="Arial" w:hAnsi="Arial" w:cs="Arial"/>
          <w:sz w:val="20"/>
          <w:szCs w:val="20"/>
        </w:rPr>
        <w:t xml:space="preserve">, </w:t>
      </w:r>
      <w:bookmarkStart w:id="35" w:name="_Hlk72999161"/>
      <w:r w:rsidRPr="00A533BA">
        <w:rPr>
          <w:rFonts w:ascii="Arial" w:hAnsi="Arial" w:cs="Arial"/>
          <w:sz w:val="20"/>
          <w:szCs w:val="20"/>
        </w:rPr>
        <w:t xml:space="preserve">związki </w:t>
      </w:r>
      <w:proofErr w:type="spellStart"/>
      <w:r w:rsidRPr="00A533BA">
        <w:rPr>
          <w:rFonts w:ascii="Arial" w:hAnsi="Arial" w:cs="Arial"/>
          <w:sz w:val="20"/>
          <w:szCs w:val="20"/>
        </w:rPr>
        <w:t>tributylocyny</w:t>
      </w:r>
      <w:proofErr w:type="spellEnd"/>
      <w:r w:rsidRPr="00A533BA">
        <w:rPr>
          <w:rFonts w:ascii="Arial" w:hAnsi="Arial" w:cs="Arial"/>
          <w:sz w:val="20"/>
          <w:szCs w:val="20"/>
        </w:rPr>
        <w:t xml:space="preserve"> </w:t>
      </w:r>
      <w:bookmarkEnd w:id="35"/>
      <w:r w:rsidRPr="00A533BA">
        <w:rPr>
          <w:rFonts w:ascii="Arial" w:hAnsi="Arial" w:cs="Arial"/>
          <w:sz w:val="20"/>
          <w:szCs w:val="20"/>
        </w:rPr>
        <w:t xml:space="preserve">(kation </w:t>
      </w:r>
      <w:proofErr w:type="spellStart"/>
      <w:r w:rsidRPr="00A533BA">
        <w:rPr>
          <w:rFonts w:ascii="Arial" w:hAnsi="Arial" w:cs="Arial"/>
          <w:sz w:val="20"/>
          <w:szCs w:val="20"/>
        </w:rPr>
        <w:t>tributylocyny</w:t>
      </w:r>
      <w:proofErr w:type="spellEnd"/>
      <w:r w:rsidRPr="00A533BA">
        <w:rPr>
          <w:rFonts w:ascii="Arial" w:hAnsi="Arial" w:cs="Arial"/>
          <w:sz w:val="20"/>
          <w:szCs w:val="20"/>
        </w:rPr>
        <w:t xml:space="preserve">), </w:t>
      </w:r>
      <w:proofErr w:type="spellStart"/>
      <w:r w:rsidRPr="00A533BA">
        <w:rPr>
          <w:rFonts w:ascii="Arial" w:hAnsi="Arial" w:cs="Arial"/>
          <w:sz w:val="20"/>
          <w:szCs w:val="20"/>
        </w:rPr>
        <w:t>trifluralina</w:t>
      </w:r>
      <w:proofErr w:type="spellEnd"/>
      <w:r w:rsidRPr="00A533BA">
        <w:rPr>
          <w:rFonts w:ascii="Arial" w:hAnsi="Arial" w:cs="Arial"/>
          <w:sz w:val="20"/>
          <w:szCs w:val="20"/>
        </w:rPr>
        <w:t xml:space="preserve">, </w:t>
      </w:r>
      <w:proofErr w:type="spellStart"/>
      <w:r w:rsidRPr="00A533BA">
        <w:rPr>
          <w:rFonts w:ascii="Arial" w:hAnsi="Arial" w:cs="Arial"/>
          <w:sz w:val="20"/>
          <w:szCs w:val="20"/>
        </w:rPr>
        <w:t>dikofol</w:t>
      </w:r>
      <w:proofErr w:type="spellEnd"/>
      <w:r w:rsidRPr="00A533BA">
        <w:rPr>
          <w:rFonts w:ascii="Arial" w:hAnsi="Arial" w:cs="Arial"/>
          <w:sz w:val="20"/>
          <w:szCs w:val="20"/>
        </w:rPr>
        <w:t xml:space="preserve">, </w:t>
      </w:r>
      <w:proofErr w:type="spellStart"/>
      <w:r w:rsidRPr="00A533BA">
        <w:rPr>
          <w:rFonts w:ascii="Arial" w:hAnsi="Arial" w:cs="Arial"/>
          <w:sz w:val="20"/>
          <w:szCs w:val="20"/>
        </w:rPr>
        <w:t>chinoksyfen</w:t>
      </w:r>
      <w:proofErr w:type="spellEnd"/>
      <w:r w:rsidRPr="00A533BA">
        <w:rPr>
          <w:rFonts w:ascii="Arial" w:hAnsi="Arial" w:cs="Arial"/>
          <w:sz w:val="20"/>
          <w:szCs w:val="20"/>
        </w:rPr>
        <w:t xml:space="preserve">, </w:t>
      </w:r>
      <w:proofErr w:type="spellStart"/>
      <w:r w:rsidRPr="00A533BA">
        <w:rPr>
          <w:rFonts w:ascii="Arial" w:hAnsi="Arial" w:cs="Arial"/>
          <w:sz w:val="20"/>
          <w:szCs w:val="20"/>
        </w:rPr>
        <w:t>aklonifen</w:t>
      </w:r>
      <w:proofErr w:type="spellEnd"/>
      <w:r w:rsidRPr="00A533BA">
        <w:rPr>
          <w:rFonts w:ascii="Arial" w:hAnsi="Arial" w:cs="Arial"/>
          <w:sz w:val="20"/>
          <w:szCs w:val="20"/>
        </w:rPr>
        <w:t xml:space="preserve">, </w:t>
      </w:r>
      <w:proofErr w:type="spellStart"/>
      <w:r w:rsidRPr="00A533BA">
        <w:rPr>
          <w:rFonts w:ascii="Arial" w:hAnsi="Arial" w:cs="Arial"/>
          <w:sz w:val="20"/>
          <w:szCs w:val="20"/>
        </w:rPr>
        <w:t>bifenoks</w:t>
      </w:r>
      <w:proofErr w:type="spellEnd"/>
      <w:r w:rsidRPr="00A533BA">
        <w:rPr>
          <w:rFonts w:ascii="Arial" w:hAnsi="Arial" w:cs="Arial"/>
          <w:sz w:val="20"/>
          <w:szCs w:val="20"/>
        </w:rPr>
        <w:t xml:space="preserve">, </w:t>
      </w:r>
      <w:proofErr w:type="spellStart"/>
      <w:r w:rsidRPr="00A533BA">
        <w:rPr>
          <w:rFonts w:ascii="Arial" w:hAnsi="Arial" w:cs="Arial"/>
          <w:sz w:val="20"/>
          <w:szCs w:val="20"/>
        </w:rPr>
        <w:t>cybutryna</w:t>
      </w:r>
      <w:proofErr w:type="spellEnd"/>
      <w:r w:rsidRPr="00A533BA">
        <w:rPr>
          <w:rFonts w:ascii="Arial" w:hAnsi="Arial" w:cs="Arial"/>
          <w:sz w:val="20"/>
          <w:szCs w:val="20"/>
        </w:rPr>
        <w:t xml:space="preserve">, </w:t>
      </w:r>
      <w:proofErr w:type="spellStart"/>
      <w:r w:rsidRPr="00A533BA">
        <w:rPr>
          <w:rFonts w:ascii="Arial" w:hAnsi="Arial" w:cs="Arial"/>
          <w:sz w:val="20"/>
          <w:szCs w:val="20"/>
        </w:rPr>
        <w:t>cypermetryna</w:t>
      </w:r>
      <w:proofErr w:type="spellEnd"/>
      <w:r w:rsidRPr="00A533BA">
        <w:rPr>
          <w:rFonts w:ascii="Arial" w:hAnsi="Arial" w:cs="Arial"/>
          <w:sz w:val="20"/>
          <w:szCs w:val="20"/>
        </w:rPr>
        <w:t xml:space="preserve">, </w:t>
      </w:r>
      <w:proofErr w:type="spellStart"/>
      <w:r w:rsidRPr="00A533BA">
        <w:rPr>
          <w:rFonts w:ascii="Arial" w:hAnsi="Arial" w:cs="Arial"/>
          <w:sz w:val="20"/>
          <w:szCs w:val="20"/>
        </w:rPr>
        <w:t>chlordekon</w:t>
      </w:r>
      <w:proofErr w:type="spellEnd"/>
      <w:r w:rsidRPr="00A533BA">
        <w:rPr>
          <w:rFonts w:ascii="Arial" w:hAnsi="Arial" w:cs="Arial"/>
          <w:sz w:val="20"/>
          <w:szCs w:val="20"/>
        </w:rPr>
        <w:t xml:space="preserve">, </w:t>
      </w:r>
      <w:proofErr w:type="spellStart"/>
      <w:r w:rsidRPr="00A533BA">
        <w:rPr>
          <w:rFonts w:ascii="Arial" w:hAnsi="Arial" w:cs="Arial"/>
          <w:sz w:val="20"/>
          <w:szCs w:val="20"/>
        </w:rPr>
        <w:t>heksabromodifenol</w:t>
      </w:r>
      <w:proofErr w:type="spellEnd"/>
      <w:r w:rsidRPr="00A533BA">
        <w:rPr>
          <w:rFonts w:ascii="Arial" w:hAnsi="Arial" w:cs="Arial"/>
          <w:sz w:val="20"/>
          <w:szCs w:val="20"/>
        </w:rPr>
        <w:t xml:space="preserve">, toksafen – w wybranych </w:t>
      </w:r>
      <w:r w:rsidR="007003AB">
        <w:rPr>
          <w:rFonts w:ascii="Arial" w:hAnsi="Arial" w:cs="Arial"/>
          <w:sz w:val="20"/>
          <w:szCs w:val="20"/>
        </w:rPr>
        <w:t xml:space="preserve">odpowiednio </w:t>
      </w:r>
      <w:r w:rsidRPr="00A533BA">
        <w:rPr>
          <w:rFonts w:ascii="Arial" w:hAnsi="Arial" w:cs="Arial"/>
          <w:sz w:val="20"/>
          <w:szCs w:val="20"/>
        </w:rPr>
        <w:t xml:space="preserve">64 </w:t>
      </w:r>
      <w:r w:rsidR="00C566E1">
        <w:rPr>
          <w:rFonts w:ascii="Arial" w:hAnsi="Arial" w:cs="Arial"/>
          <w:sz w:val="20"/>
          <w:szCs w:val="20"/>
        </w:rPr>
        <w:t xml:space="preserve">i 133 </w:t>
      </w:r>
      <w:r w:rsidRPr="00A533BA">
        <w:rPr>
          <w:rFonts w:ascii="Arial" w:hAnsi="Arial" w:cs="Arial"/>
          <w:sz w:val="20"/>
          <w:szCs w:val="20"/>
        </w:rPr>
        <w:t>punktach pomiarowo-kontrolnych.</w:t>
      </w:r>
    </w:p>
    <w:p w14:paraId="0CCB5B7E" w14:textId="32439B6D" w:rsidR="00C70252" w:rsidRPr="00A533BA" w:rsidRDefault="002669F0" w:rsidP="00C70252">
      <w:pPr>
        <w:spacing w:after="120" w:line="360" w:lineRule="auto"/>
        <w:ind w:firstLine="357"/>
        <w:jc w:val="both"/>
        <w:rPr>
          <w:rFonts w:ascii="Arial" w:hAnsi="Arial" w:cs="Arial"/>
          <w:sz w:val="20"/>
          <w:szCs w:val="20"/>
        </w:rPr>
      </w:pPr>
      <w:r w:rsidRPr="002669F0">
        <w:rPr>
          <w:rFonts w:ascii="Arial" w:hAnsi="Arial" w:cs="Arial"/>
          <w:b/>
          <w:bCs/>
          <w:sz w:val="20"/>
          <w:szCs w:val="20"/>
        </w:rPr>
        <w:t>W 2020 r.</w:t>
      </w:r>
      <w:r>
        <w:rPr>
          <w:rFonts w:ascii="Arial" w:hAnsi="Arial" w:cs="Arial"/>
          <w:sz w:val="20"/>
          <w:szCs w:val="20"/>
        </w:rPr>
        <w:t xml:space="preserve"> w</w:t>
      </w:r>
      <w:r w:rsidR="00C70252" w:rsidRPr="00A533BA">
        <w:rPr>
          <w:rFonts w:ascii="Arial" w:hAnsi="Arial" w:cs="Arial"/>
          <w:sz w:val="20"/>
          <w:szCs w:val="20"/>
        </w:rPr>
        <w:t xml:space="preserve">yniki badań osadów rzek i kanałów rzecznych wykazały występowanie większości tych związków w stężeniach poniżej granicy oznaczalności. Wyjątek stanowiły związki </w:t>
      </w:r>
      <w:proofErr w:type="spellStart"/>
      <w:r w:rsidR="00C70252" w:rsidRPr="00A533BA">
        <w:rPr>
          <w:rFonts w:ascii="Arial" w:hAnsi="Arial" w:cs="Arial"/>
          <w:sz w:val="20"/>
          <w:szCs w:val="20"/>
        </w:rPr>
        <w:t>tributylocyny</w:t>
      </w:r>
      <w:proofErr w:type="spellEnd"/>
      <w:r w:rsidR="00C70252" w:rsidRPr="00A533BA">
        <w:rPr>
          <w:rFonts w:ascii="Arial" w:hAnsi="Arial" w:cs="Arial"/>
          <w:sz w:val="20"/>
          <w:szCs w:val="20"/>
        </w:rPr>
        <w:t xml:space="preserve">, </w:t>
      </w:r>
      <w:r w:rsidR="00C70252" w:rsidRPr="00A533BA">
        <w:rPr>
          <w:rFonts w:ascii="Arial" w:hAnsi="Arial" w:cs="Arial"/>
          <w:color w:val="000000" w:themeColor="text1"/>
          <w:sz w:val="20"/>
          <w:szCs w:val="20"/>
        </w:rPr>
        <w:t>których zawartość w 9 próbkach znajdowała się w przedziale od 0,00004 mg/kg do 0,00014 mg/kg, natomiast w</w:t>
      </w:r>
      <w:r w:rsidR="00446ED2">
        <w:rPr>
          <w:rFonts w:ascii="Arial" w:hAnsi="Arial" w:cs="Arial"/>
          <w:color w:val="000000" w:themeColor="text1"/>
          <w:sz w:val="20"/>
          <w:szCs w:val="20"/>
        </w:rPr>
        <w:t> </w:t>
      </w:r>
      <w:r w:rsidR="00C70252" w:rsidRPr="00A533BA">
        <w:rPr>
          <w:rFonts w:ascii="Arial" w:hAnsi="Arial" w:cs="Arial"/>
          <w:color w:val="000000" w:themeColor="text1"/>
          <w:sz w:val="20"/>
          <w:szCs w:val="20"/>
        </w:rPr>
        <w:t>pozostałych 28 punktach ich stężenie w osadach kształtowało się poniżej granicy oznaczalności tj.</w:t>
      </w:r>
      <w:r w:rsidR="00446ED2">
        <w:rPr>
          <w:rFonts w:ascii="Arial" w:hAnsi="Arial" w:cs="Arial"/>
          <w:color w:val="000000" w:themeColor="text1"/>
          <w:sz w:val="20"/>
          <w:szCs w:val="20"/>
        </w:rPr>
        <w:t> </w:t>
      </w:r>
      <w:r w:rsidR="00C70252" w:rsidRPr="00A533BA">
        <w:rPr>
          <w:rFonts w:ascii="Arial" w:hAnsi="Arial" w:cs="Arial"/>
          <w:color w:val="000000" w:themeColor="text1"/>
          <w:sz w:val="20"/>
          <w:szCs w:val="20"/>
        </w:rPr>
        <w:t xml:space="preserve">&lt;0,00001 mg/kg.  Pojedyncze wyniki oznaczeń zanotowano dla </w:t>
      </w:r>
      <w:r w:rsidR="00C70252" w:rsidRPr="00A533BA">
        <w:rPr>
          <w:rFonts w:ascii="Arial" w:hAnsi="Arial" w:cs="Arial"/>
          <w:sz w:val="20"/>
          <w:szCs w:val="20"/>
        </w:rPr>
        <w:t xml:space="preserve">polichlorowanych </w:t>
      </w:r>
      <w:proofErr w:type="spellStart"/>
      <w:r w:rsidR="00C70252" w:rsidRPr="00A533BA">
        <w:rPr>
          <w:rFonts w:ascii="Arial" w:hAnsi="Arial" w:cs="Arial"/>
          <w:sz w:val="20"/>
          <w:szCs w:val="20"/>
        </w:rPr>
        <w:t>bifenyli</w:t>
      </w:r>
      <w:proofErr w:type="spellEnd"/>
      <w:r w:rsidR="00C70252" w:rsidRPr="00A533BA">
        <w:rPr>
          <w:rFonts w:ascii="Arial" w:hAnsi="Arial" w:cs="Arial"/>
          <w:sz w:val="20"/>
          <w:szCs w:val="20"/>
        </w:rPr>
        <w:t xml:space="preserve"> </w:t>
      </w:r>
      <w:r w:rsidR="00A533BA" w:rsidRPr="00A533BA">
        <w:rPr>
          <w:rFonts w:ascii="Arial" w:hAnsi="Arial" w:cs="Arial"/>
          <w:sz w:val="20"/>
          <w:szCs w:val="20"/>
        </w:rPr>
        <w:t>i</w:t>
      </w:r>
      <w:r w:rsidR="00A533BA">
        <w:rPr>
          <w:rFonts w:ascii="Arial" w:hAnsi="Arial" w:cs="Arial"/>
          <w:sz w:val="20"/>
          <w:szCs w:val="20"/>
        </w:rPr>
        <w:t> </w:t>
      </w:r>
      <w:proofErr w:type="spellStart"/>
      <w:r w:rsidR="00C70252" w:rsidRPr="00A533BA">
        <w:rPr>
          <w:rFonts w:ascii="Arial" w:hAnsi="Arial" w:cs="Arial"/>
          <w:sz w:val="20"/>
          <w:szCs w:val="20"/>
        </w:rPr>
        <w:t>pentachlorobenzenu</w:t>
      </w:r>
      <w:proofErr w:type="spellEnd"/>
      <w:r w:rsidR="00C70252" w:rsidRPr="00A533BA">
        <w:rPr>
          <w:rFonts w:ascii="Arial" w:hAnsi="Arial" w:cs="Arial"/>
          <w:sz w:val="20"/>
          <w:szCs w:val="20"/>
        </w:rPr>
        <w:t>.</w:t>
      </w:r>
    </w:p>
    <w:p w14:paraId="0B9D96E1" w14:textId="74D5B658" w:rsidR="00C70252" w:rsidRDefault="00C70252" w:rsidP="00C70252">
      <w:pPr>
        <w:pStyle w:val="NormalnyWeb"/>
        <w:tabs>
          <w:tab w:val="left" w:pos="284"/>
        </w:tabs>
        <w:spacing w:beforeAutospacing="0" w:after="120" w:afterAutospacing="0" w:line="360" w:lineRule="auto"/>
        <w:ind w:firstLine="284"/>
        <w:jc w:val="both"/>
        <w:rPr>
          <w:rFonts w:ascii="Arial" w:hAnsi="Arial" w:cs="Arial"/>
        </w:rPr>
      </w:pPr>
      <w:r w:rsidRPr="00A533BA">
        <w:rPr>
          <w:rFonts w:ascii="Arial" w:eastAsia="Calibri" w:hAnsi="Arial" w:cs="Arial"/>
        </w:rPr>
        <w:t>Badania osadów jeziornych również wykazały stężenia prawie wszystkich pestycydów poniżej granicy oznaczalności. Wyższe zawartości zaobserwowano jedynie dla</w:t>
      </w:r>
      <w:r w:rsidRPr="00A533BA">
        <w:rPr>
          <w:rFonts w:ascii="Arial" w:hAnsi="Arial" w:cs="Arial"/>
          <w:b/>
        </w:rPr>
        <w:t xml:space="preserve"> </w:t>
      </w:r>
      <w:r w:rsidRPr="00A533BA">
        <w:rPr>
          <w:rFonts w:ascii="Arial" w:hAnsi="Arial" w:cs="Arial"/>
        </w:rPr>
        <w:t xml:space="preserve">związków </w:t>
      </w:r>
      <w:proofErr w:type="spellStart"/>
      <w:r w:rsidRPr="00A533BA">
        <w:rPr>
          <w:rFonts w:ascii="Arial" w:hAnsi="Arial" w:cs="Arial"/>
        </w:rPr>
        <w:t>tributylocyny</w:t>
      </w:r>
      <w:proofErr w:type="spellEnd"/>
      <w:r w:rsidRPr="00A533BA">
        <w:rPr>
          <w:rFonts w:ascii="Arial" w:hAnsi="Arial" w:cs="Arial"/>
        </w:rPr>
        <w:t>, których zawartość w 10 próbkach znajdowała się w przedziale od 0,00004 mg/kg do 0,00011 mg/kg, natomiast w pozostałych 17 punktach ich stężenie w osadach kształtowało się poniżej granicy oznaczalności tj.</w:t>
      </w:r>
      <w:r w:rsidR="00446ED2">
        <w:rPr>
          <w:rFonts w:ascii="Arial" w:hAnsi="Arial" w:cs="Arial"/>
        </w:rPr>
        <w:t> </w:t>
      </w:r>
      <w:r w:rsidRPr="00A533BA">
        <w:rPr>
          <w:rFonts w:ascii="Arial" w:hAnsi="Arial" w:cs="Arial"/>
        </w:rPr>
        <w:t>&lt;0,00001 mg/kg.</w:t>
      </w:r>
    </w:p>
    <w:p w14:paraId="78B896B2" w14:textId="7BA6BFEE" w:rsidR="00AE76C0" w:rsidRPr="00AE76C0" w:rsidRDefault="00AE76C0" w:rsidP="00AE76C0">
      <w:pPr>
        <w:pStyle w:val="NormalnyWeb"/>
        <w:tabs>
          <w:tab w:val="left" w:pos="284"/>
        </w:tabs>
        <w:spacing w:after="120" w:line="360" w:lineRule="auto"/>
        <w:ind w:firstLine="284"/>
        <w:jc w:val="both"/>
        <w:rPr>
          <w:rFonts w:ascii="Arial" w:hAnsi="Arial" w:cs="Arial"/>
        </w:rPr>
      </w:pPr>
      <w:r w:rsidRPr="00150B5A">
        <w:rPr>
          <w:rFonts w:ascii="Arial" w:hAnsi="Arial" w:cs="Arial"/>
          <w:b/>
          <w:bCs/>
        </w:rPr>
        <w:t>W 2021 r.</w:t>
      </w:r>
      <w:r>
        <w:rPr>
          <w:rFonts w:ascii="Arial" w:hAnsi="Arial" w:cs="Arial"/>
        </w:rPr>
        <w:t xml:space="preserve"> w</w:t>
      </w:r>
      <w:r w:rsidRPr="00AE76C0">
        <w:rPr>
          <w:rFonts w:ascii="Arial" w:hAnsi="Arial" w:cs="Arial"/>
        </w:rPr>
        <w:t xml:space="preserve">yniki badań osadów rzek i kanałów rzecznych wykazały występowanie większości tych związków w stężeniach poniżej granicy oznaczalności. Wyjątek stanowiły jedynie związki </w:t>
      </w:r>
      <w:proofErr w:type="spellStart"/>
      <w:r w:rsidRPr="00AE76C0">
        <w:rPr>
          <w:rFonts w:ascii="Arial" w:hAnsi="Arial" w:cs="Arial"/>
        </w:rPr>
        <w:t>tributylocyny</w:t>
      </w:r>
      <w:proofErr w:type="spellEnd"/>
      <w:r w:rsidRPr="00AE76C0">
        <w:rPr>
          <w:rFonts w:ascii="Arial" w:hAnsi="Arial" w:cs="Arial"/>
        </w:rPr>
        <w:t xml:space="preserve">, których zawartość w 50 próbkach znajdowała się w przedziale od 0,00002 mg/kg do 0,00023 mg/kg, natomiast w pozostałych 83 punktach ich stężenie w osadach kształtowało się poniżej granicy oznaczalności tj. &lt;0,00001 mg/kg.  </w:t>
      </w:r>
    </w:p>
    <w:p w14:paraId="45C150A5" w14:textId="5C7A2E76" w:rsidR="002D491C" w:rsidRDefault="00AE76C0" w:rsidP="00AE76C0">
      <w:pPr>
        <w:pStyle w:val="NormalnyWeb"/>
        <w:tabs>
          <w:tab w:val="left" w:pos="284"/>
        </w:tabs>
        <w:spacing w:beforeAutospacing="0" w:after="120" w:afterAutospacing="0" w:line="360" w:lineRule="auto"/>
        <w:ind w:firstLine="284"/>
        <w:jc w:val="both"/>
        <w:rPr>
          <w:rFonts w:ascii="Arial" w:hAnsi="Arial" w:cs="Arial"/>
        </w:rPr>
      </w:pPr>
      <w:r w:rsidRPr="00AE76C0">
        <w:rPr>
          <w:rFonts w:ascii="Arial" w:hAnsi="Arial" w:cs="Arial"/>
        </w:rPr>
        <w:t xml:space="preserve">Badania osadów jeziornych również wykazały stężenia prawie wszystkich pestycydów poniżej granicy oznaczalności. Wyższe zawartości zaobserwowano jedynie dla </w:t>
      </w:r>
      <w:proofErr w:type="spellStart"/>
      <w:r w:rsidRPr="00AE76C0">
        <w:rPr>
          <w:rFonts w:ascii="Arial" w:hAnsi="Arial" w:cs="Arial"/>
        </w:rPr>
        <w:t>związkiów</w:t>
      </w:r>
      <w:proofErr w:type="spellEnd"/>
      <w:r w:rsidRPr="00AE76C0">
        <w:rPr>
          <w:rFonts w:ascii="Arial" w:hAnsi="Arial" w:cs="Arial"/>
        </w:rPr>
        <w:t xml:space="preserve"> </w:t>
      </w:r>
      <w:proofErr w:type="spellStart"/>
      <w:r w:rsidRPr="00AE76C0">
        <w:rPr>
          <w:rFonts w:ascii="Arial" w:hAnsi="Arial" w:cs="Arial"/>
        </w:rPr>
        <w:t>tributylocyny</w:t>
      </w:r>
      <w:proofErr w:type="spellEnd"/>
      <w:r w:rsidRPr="00AE76C0">
        <w:rPr>
          <w:rFonts w:ascii="Arial" w:hAnsi="Arial" w:cs="Arial"/>
        </w:rPr>
        <w:t xml:space="preserve">, których zawartość w 8 próbkach znajdowała się w przedziale od 0,00002 mg/kg do 0,00012 mg/kg, natomiast w pozostałych badanych 9 punktach ich stężenie w osadach kształtowało się poniżej granicy oznaczalności tj. &lt;0,00001 mg/kg. Związki </w:t>
      </w:r>
      <w:proofErr w:type="spellStart"/>
      <w:r w:rsidRPr="00AE76C0">
        <w:rPr>
          <w:rFonts w:ascii="Arial" w:hAnsi="Arial" w:cs="Arial"/>
        </w:rPr>
        <w:t>tributylocyny</w:t>
      </w:r>
      <w:proofErr w:type="spellEnd"/>
      <w:r w:rsidRPr="00AE76C0">
        <w:rPr>
          <w:rFonts w:ascii="Arial" w:hAnsi="Arial" w:cs="Arial"/>
        </w:rPr>
        <w:t xml:space="preserve"> oznaczane były w osadach jeziornych pochodzących z 17 stanowisk pomiarowych.</w:t>
      </w:r>
    </w:p>
    <w:p w14:paraId="424CF044" w14:textId="77777777" w:rsidR="00056846" w:rsidRPr="00925BCD" w:rsidRDefault="00E54725">
      <w:pPr>
        <w:pStyle w:val="Nagwek2"/>
        <w:rPr>
          <w:i w:val="0"/>
          <w:sz w:val="20"/>
          <w:szCs w:val="20"/>
        </w:rPr>
      </w:pPr>
      <w:bookmarkStart w:id="36" w:name="_Toc134099262"/>
      <w:r w:rsidRPr="00925BCD">
        <w:rPr>
          <w:i w:val="0"/>
          <w:sz w:val="20"/>
          <w:szCs w:val="20"/>
        </w:rPr>
        <w:lastRenderedPageBreak/>
        <w:t xml:space="preserve">Zadanie 2. Prowadzenie monitoringu </w:t>
      </w:r>
      <w:bookmarkStart w:id="37" w:name="_Toc341876090"/>
      <w:bookmarkStart w:id="38" w:name="_Toc301334611"/>
      <w:bookmarkStart w:id="39" w:name="_Toc300916223"/>
      <w:r w:rsidRPr="00925BCD">
        <w:rPr>
          <w:i w:val="0"/>
          <w:sz w:val="20"/>
          <w:szCs w:val="20"/>
        </w:rPr>
        <w:t>wody przeznaczonej do spożycia przez ludzi</w:t>
      </w:r>
      <w:bookmarkEnd w:id="37"/>
      <w:bookmarkEnd w:id="38"/>
      <w:bookmarkEnd w:id="39"/>
      <w:bookmarkEnd w:id="36"/>
    </w:p>
    <w:p w14:paraId="0A443E99" w14:textId="77777777" w:rsidR="00A905AB" w:rsidRPr="00925BCD" w:rsidRDefault="00A905AB" w:rsidP="00A905AB">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Kwestię bezpieczeństwa zdrowotnego wody przeznaczonej do spożycia przez ludzi reguluje ustawa z dnia 7 czerwca 2001 r. o zbiorowym zaopatrzeniu w wodę i zbiorowym odprowadzaniu ścieków (Dz. U. z </w:t>
      </w:r>
      <w:r>
        <w:rPr>
          <w:rFonts w:ascii="Arial" w:hAnsi="Arial" w:cs="Arial"/>
        </w:rPr>
        <w:t>2020</w:t>
      </w:r>
      <w:r w:rsidRPr="00925BCD">
        <w:rPr>
          <w:rFonts w:ascii="Arial" w:hAnsi="Arial" w:cs="Arial"/>
        </w:rPr>
        <w:t xml:space="preserve"> r. poz. </w:t>
      </w:r>
      <w:r>
        <w:rPr>
          <w:rFonts w:ascii="Arial" w:hAnsi="Arial" w:cs="Arial"/>
        </w:rPr>
        <w:t>2028</w:t>
      </w:r>
      <w:r w:rsidRPr="00925BCD">
        <w:rPr>
          <w:rFonts w:ascii="Arial" w:hAnsi="Arial" w:cs="Arial"/>
        </w:rPr>
        <w:t>) oraz wydane na jej podstawie rozporządzenie Ministra Zdrowia z dnia 7 grudnia 2017 r. w sprawie jakości wody przeznaczonej do spożycia przez ludzi (Dz. U. poz. 2294), które jest zgodne z zaleceniami dyrektywy Parlamentu Europejskiego i Rady 98/83/WE z dnia 3 listopada 1998 r. w sprawie jakości wody przeznaczonej do spożycia przez ludzi. Jakość wody przeznaczonej do spożycia powinna odpowiadać wymaganiom określonym w rozporządzeniu Ministra Zdrowia w sprawie jakości wody przeznaczonej do spożycia przez ludzi. Woda jest w pełni bezpieczna dla zdrowia, jeśli spełnia określone w rozporządzeniu wymagania m.in. w zakresie pestycydów i sumy pestycydów.</w:t>
      </w:r>
    </w:p>
    <w:p w14:paraId="77223299" w14:textId="77777777" w:rsidR="00A905AB" w:rsidRPr="00925BCD" w:rsidRDefault="00A905AB" w:rsidP="00A905AB">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Monitoring jakości wody do spożycia prowadzony jest przez organy Państwowej Inspekcji Sanitarnej w ramach bieżącego nadzoru nad jakością wody jak i przez producentów wody w ramach kontroli wewnętrznej. Podstawą nadzoru nad jakością wody przeznaczonej do spożycia przez ludzi jest ocena zgodności z wymaganiami określonymi w rozporządzeniu Ministra Zdrowia z dnia 7 grudnia 2017 r. w aspekcie zagrożeń zdrowotnych w celu określenia czy spożywana woda jest czysta i bezpieczna dla zdrowia ludzkiego. Realizowany w latach 2018</w:t>
      </w:r>
      <w:r w:rsidRPr="00080FA9">
        <w:rPr>
          <w:rFonts w:ascii="Arial" w:hAnsi="Arial" w:cs="Arial"/>
        </w:rPr>
        <w:t>–</w:t>
      </w:r>
      <w:r w:rsidRPr="00925BCD">
        <w:rPr>
          <w:rFonts w:ascii="Arial" w:hAnsi="Arial" w:cs="Arial"/>
        </w:rPr>
        <w:t>20</w:t>
      </w:r>
      <w:r>
        <w:rPr>
          <w:rFonts w:ascii="Arial" w:hAnsi="Arial" w:cs="Arial"/>
        </w:rPr>
        <w:t>21</w:t>
      </w:r>
      <w:r w:rsidRPr="00925BCD">
        <w:rPr>
          <w:rFonts w:ascii="Arial" w:hAnsi="Arial" w:cs="Arial"/>
        </w:rPr>
        <w:t xml:space="preserve"> monitoring odbywał się poprzez regularne badanie wody i dostarczanie informacji niezbędnych do jej oceny. Organy Państwowej Inspekcji Sanitarnej prowadziły badania jakości wody zgodnie z ustalonym planem działania na dany rok. Producenci wody prowadzili natomiast badania na podstawie uzgodnionych z organami Państwowej Inspekcji Sanitarnej harmonogramów pobierania próbek wody, zgodnie z częstotliwością i zakresem określonymi w prawie krajowym. Badania pestycydów w wodzie do spożycia, które </w:t>
      </w:r>
      <w:r w:rsidRPr="00C63166">
        <w:rPr>
          <w:rFonts w:ascii="Arial" w:hAnsi="Arial" w:cs="Arial"/>
        </w:rPr>
        <w:t xml:space="preserve">obejmują m.in. insektycydy, herbicydy, fungicydy, nematocydy, akarycydy, </w:t>
      </w:r>
      <w:proofErr w:type="spellStart"/>
      <w:r w:rsidRPr="00C63166">
        <w:rPr>
          <w:rFonts w:ascii="Arial" w:hAnsi="Arial" w:cs="Arial"/>
        </w:rPr>
        <w:t>algicydy</w:t>
      </w:r>
      <w:proofErr w:type="spellEnd"/>
      <w:r w:rsidRPr="00C63166">
        <w:rPr>
          <w:rFonts w:ascii="Arial" w:hAnsi="Arial" w:cs="Arial"/>
        </w:rPr>
        <w:t xml:space="preserve">, rodentycydy, </w:t>
      </w:r>
      <w:proofErr w:type="spellStart"/>
      <w:r w:rsidRPr="00C63166">
        <w:rPr>
          <w:rFonts w:ascii="Arial" w:hAnsi="Arial" w:cs="Arial"/>
        </w:rPr>
        <w:t>slimicydy</w:t>
      </w:r>
      <w:proofErr w:type="spellEnd"/>
      <w:r w:rsidRPr="00C63166">
        <w:rPr>
          <w:rFonts w:ascii="Arial" w:hAnsi="Arial" w:cs="Arial"/>
        </w:rPr>
        <w:t>, a także produkty pochodne (m.in. regulatory wzrostu oraz ich pochodne metabolity, a także produkty ich rozkładu i reakcji), są wykonywane jedynie dla pestycydów, których występowania w wodzie</w:t>
      </w:r>
      <w:r w:rsidRPr="00925BCD">
        <w:rPr>
          <w:rFonts w:ascii="Arial" w:hAnsi="Arial" w:cs="Arial"/>
        </w:rPr>
        <w:t xml:space="preserve"> można oczekiwać. Zakres oznaczanych pestycydów w wodzie ustala właściwy państwowy inspektor sanitarny po uwzględnieniu szeregu czynników, w tym stosowanych lokalnie środków ochrony roślin oraz na podstawie prewencyjnej oceny zagrożeń dokonywanej poprzez analizę zanieczyszczeń przenikających do</w:t>
      </w:r>
      <w:r>
        <w:rPr>
          <w:rFonts w:ascii="Arial" w:hAnsi="Arial" w:cs="Arial"/>
        </w:rPr>
        <w:t> </w:t>
      </w:r>
      <w:r w:rsidRPr="00925BCD">
        <w:rPr>
          <w:rFonts w:ascii="Arial" w:hAnsi="Arial" w:cs="Arial"/>
        </w:rPr>
        <w:t>poszczególnych ujęć wodnych, ustalonych na podstawie lokalnych danych o sprzedaży lub stosowaniu środków ochrony roślin. Dane te są pozyskiwane od dystrybutorów, firm lub ośrodków doradztwa rolniczego w zakresie sprzedaży pestycydów. Sprawozdania z badań jakości wody były na bieżąco przekazywane organom Państwowej Inspekcji Sanitarnej, które weryfikowały terminowość ich przekazywania, analizowały wyniki badań jakości wody oraz określały przydatność wody do spożycia.</w:t>
      </w:r>
    </w:p>
    <w:p w14:paraId="75FBFF32" w14:textId="77777777" w:rsidR="00A905AB" w:rsidRDefault="00A905AB" w:rsidP="00A905AB">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latach 2018</w:t>
      </w:r>
      <w:r w:rsidRPr="00080FA9">
        <w:rPr>
          <w:rFonts w:ascii="Arial" w:hAnsi="Arial" w:cs="Arial"/>
        </w:rPr>
        <w:t>–</w:t>
      </w:r>
      <w:r w:rsidRPr="00925BCD">
        <w:rPr>
          <w:rFonts w:ascii="Arial" w:hAnsi="Arial" w:cs="Arial"/>
        </w:rPr>
        <w:t xml:space="preserve">2019 organy Państwowej Inspekcji Sanitarnej oraz podmioty zaopatrzenia w wodę przeprowadziły badania jakości wody przeznaczonej do spożycia w kierunku oznaczenia pestycydów. W ramach prowadzonego monitoringu jakości wody przeznaczonej do spożycia przez ludzi nie wystąpiły przypadki stwierdzenia przez organy Państwowej Inspekcji Sanitarnej niezgodności normatywów jakości wody w zakresie pestycydów stwarzającej zagrożenie dla zdrowia, które skutkowałyby wydaniem przez organy Państwowej Inspekcji Sanitarnej zgody na odstępstwo od dopuszczalnej wartości pestycydów lub sumy pestycydów w wodzie przeznaczonej do spożycia przez ludzi pobieranej </w:t>
      </w:r>
      <w:r w:rsidRPr="00925BCD">
        <w:rPr>
          <w:rFonts w:ascii="Arial" w:hAnsi="Arial" w:cs="Arial"/>
        </w:rPr>
        <w:lastRenderedPageBreak/>
        <w:t>z ujęć podziemnych, czy też ujęć powierzchniowych.</w:t>
      </w:r>
    </w:p>
    <w:p w14:paraId="5F7A1A2C" w14:textId="2FC714C1" w:rsidR="00A905AB" w:rsidRDefault="00A905AB" w:rsidP="00A905AB">
      <w:pPr>
        <w:pStyle w:val="NormalnyWeb"/>
        <w:tabs>
          <w:tab w:val="left" w:pos="284"/>
        </w:tabs>
        <w:spacing w:beforeAutospacing="0" w:after="120" w:afterAutospacing="0" w:line="360" w:lineRule="auto"/>
        <w:ind w:firstLine="284"/>
        <w:jc w:val="both"/>
        <w:rPr>
          <w:rFonts w:ascii="Arial" w:hAnsi="Arial" w:cs="Arial"/>
        </w:rPr>
      </w:pPr>
      <w:r w:rsidRPr="004C17BA">
        <w:rPr>
          <w:rFonts w:ascii="Arial" w:hAnsi="Arial" w:cs="Arial"/>
          <w:b/>
          <w:bCs/>
        </w:rPr>
        <w:t>W 2020 r.</w:t>
      </w:r>
      <w:r>
        <w:rPr>
          <w:rFonts w:ascii="Arial" w:hAnsi="Arial" w:cs="Arial"/>
        </w:rPr>
        <w:t xml:space="preserve"> w wodzie przeznaczonej do spożycia przez ludzi dostarczanej przez dwa wodociągi sieciowe zlokalizowane w gminie Długołęka, powiat wrocławski stwierdzono przekroczenia wartości parametrycznej metabolitu </w:t>
      </w:r>
      <w:proofErr w:type="spellStart"/>
      <w:r>
        <w:rPr>
          <w:rFonts w:ascii="Arial" w:hAnsi="Arial" w:cs="Arial"/>
        </w:rPr>
        <w:t>chloridazon-desfenyl</w:t>
      </w:r>
      <w:proofErr w:type="spellEnd"/>
      <w:r>
        <w:rPr>
          <w:rFonts w:ascii="Arial" w:hAnsi="Arial" w:cs="Arial"/>
        </w:rPr>
        <w:t xml:space="preserve"> (wartość parametryczna z </w:t>
      </w:r>
      <w:r w:rsidRPr="00925BCD">
        <w:rPr>
          <w:rFonts w:ascii="Arial" w:hAnsi="Arial" w:cs="Arial"/>
        </w:rPr>
        <w:t>rozporządzeni</w:t>
      </w:r>
      <w:r>
        <w:rPr>
          <w:rFonts w:ascii="Arial" w:hAnsi="Arial" w:cs="Arial"/>
        </w:rPr>
        <w:t>a</w:t>
      </w:r>
      <w:r w:rsidRPr="00925BCD">
        <w:rPr>
          <w:rFonts w:ascii="Arial" w:hAnsi="Arial" w:cs="Arial"/>
        </w:rPr>
        <w:t xml:space="preserve"> Ministra Zdrowia z dnia 7 grudnia 2017 r.</w:t>
      </w:r>
      <w:r>
        <w:rPr>
          <w:rFonts w:ascii="Arial" w:hAnsi="Arial" w:cs="Arial"/>
        </w:rPr>
        <w:t xml:space="preserve"> wynosi 0,10 µg/l). Związek ten powstaje na drodze zachodzących w roślinach uprawnych oraz w środowisku przemian substancji macierzystej – </w:t>
      </w:r>
      <w:proofErr w:type="spellStart"/>
      <w:r>
        <w:rPr>
          <w:rFonts w:ascii="Arial" w:hAnsi="Arial" w:cs="Arial"/>
        </w:rPr>
        <w:t>chloridazonu</w:t>
      </w:r>
      <w:proofErr w:type="spellEnd"/>
      <w:r>
        <w:rPr>
          <w:rFonts w:ascii="Arial" w:hAnsi="Arial" w:cs="Arial"/>
        </w:rPr>
        <w:t xml:space="preserve">, herbicydu z grupy </w:t>
      </w:r>
      <w:proofErr w:type="spellStart"/>
      <w:r>
        <w:rPr>
          <w:rFonts w:ascii="Arial" w:hAnsi="Arial" w:cs="Arial"/>
        </w:rPr>
        <w:t>pirydazonów</w:t>
      </w:r>
      <w:proofErr w:type="spellEnd"/>
      <w:r>
        <w:rPr>
          <w:rFonts w:ascii="Arial" w:hAnsi="Arial" w:cs="Arial"/>
        </w:rPr>
        <w:t>. Badania metabolitu były powtarzane i wykonywane do końca 2020</w:t>
      </w:r>
      <w:r w:rsidR="00A05AB0">
        <w:rPr>
          <w:rFonts w:ascii="Arial" w:hAnsi="Arial" w:cs="Arial"/>
        </w:rPr>
        <w:t> </w:t>
      </w:r>
      <w:r>
        <w:rPr>
          <w:rFonts w:ascii="Arial" w:hAnsi="Arial" w:cs="Arial"/>
        </w:rPr>
        <w:t xml:space="preserve">r., potwierdzając utrzymywanie się podwyższonych wartości stężeń metabolitu </w:t>
      </w:r>
      <w:proofErr w:type="spellStart"/>
      <w:r>
        <w:rPr>
          <w:rFonts w:ascii="Arial" w:hAnsi="Arial" w:cs="Arial"/>
        </w:rPr>
        <w:t>chloridazon-desfenyl</w:t>
      </w:r>
      <w:proofErr w:type="spellEnd"/>
      <w:r>
        <w:rPr>
          <w:rFonts w:ascii="Arial" w:hAnsi="Arial" w:cs="Arial"/>
        </w:rPr>
        <w:t xml:space="preserve"> na mniej więcej stabilnym poziomie tj. 0,111-0,157</w:t>
      </w:r>
      <w:r w:rsidRPr="0048351F">
        <w:rPr>
          <w:rFonts w:ascii="Arial" w:hAnsi="Arial" w:cs="Arial"/>
        </w:rPr>
        <w:t xml:space="preserve"> </w:t>
      </w:r>
      <w:r>
        <w:rPr>
          <w:rFonts w:ascii="Arial" w:hAnsi="Arial" w:cs="Arial"/>
        </w:rPr>
        <w:t>µg/l w przypadku jednego wodociągu oraz 0,8-1,2 µg/l w wodzie dostarczanej przez drugi wodociąg.</w:t>
      </w:r>
      <w:r w:rsidRPr="00C10D9F">
        <w:rPr>
          <w:rFonts w:ascii="Arial" w:hAnsi="Arial" w:cs="Arial"/>
        </w:rPr>
        <w:t xml:space="preserve"> </w:t>
      </w:r>
      <w:r>
        <w:rPr>
          <w:rFonts w:ascii="Arial" w:hAnsi="Arial" w:cs="Arial"/>
        </w:rPr>
        <w:t>Wyniki badań przeprowadzonych w 2021 r. potwierdziły utrzymywanie się przekroczeń zarówno dla ww. metabolitu w zakresie 0,150-0,159</w:t>
      </w:r>
      <w:r w:rsidRPr="00A33936">
        <w:rPr>
          <w:rFonts w:ascii="Arial" w:hAnsi="Arial" w:cs="Arial"/>
        </w:rPr>
        <w:t xml:space="preserve"> </w:t>
      </w:r>
      <w:r>
        <w:rPr>
          <w:rFonts w:ascii="Arial" w:hAnsi="Arial" w:cs="Arial"/>
        </w:rPr>
        <w:t>µg/l w przypadku jednego wodociągu oraz 0,714-1,26</w:t>
      </w:r>
      <w:r w:rsidRPr="00A33936">
        <w:rPr>
          <w:rFonts w:ascii="Arial" w:hAnsi="Arial" w:cs="Arial"/>
        </w:rPr>
        <w:t xml:space="preserve"> </w:t>
      </w:r>
      <w:r>
        <w:rPr>
          <w:rFonts w:ascii="Arial" w:hAnsi="Arial" w:cs="Arial"/>
        </w:rPr>
        <w:t>µg/l i sumy pestycydów w zakresie 1,01-1,38</w:t>
      </w:r>
      <w:r w:rsidRPr="00A33936">
        <w:rPr>
          <w:rFonts w:ascii="Arial" w:hAnsi="Arial" w:cs="Arial"/>
        </w:rPr>
        <w:t xml:space="preserve"> </w:t>
      </w:r>
      <w:r>
        <w:rPr>
          <w:rFonts w:ascii="Arial" w:hAnsi="Arial" w:cs="Arial"/>
        </w:rPr>
        <w:t>µg/l</w:t>
      </w:r>
      <w:r w:rsidRPr="00A33936">
        <w:rPr>
          <w:rFonts w:ascii="Arial" w:hAnsi="Arial" w:cs="Arial"/>
        </w:rPr>
        <w:t xml:space="preserve"> </w:t>
      </w:r>
      <w:r>
        <w:rPr>
          <w:rFonts w:ascii="Arial" w:hAnsi="Arial" w:cs="Arial"/>
        </w:rPr>
        <w:t xml:space="preserve">w wodzie dostarczanej przez drugi wodociąg. W badanych próbkach wody nie wykryto jednocześnie substancji macierzystej powyższego metabolitu – </w:t>
      </w:r>
      <w:proofErr w:type="spellStart"/>
      <w:r>
        <w:rPr>
          <w:rFonts w:ascii="Arial" w:hAnsi="Arial" w:cs="Arial"/>
        </w:rPr>
        <w:t>chloridazonu</w:t>
      </w:r>
      <w:proofErr w:type="spellEnd"/>
      <w:r>
        <w:rPr>
          <w:rFonts w:ascii="Arial" w:hAnsi="Arial" w:cs="Arial"/>
        </w:rPr>
        <w:t xml:space="preserve">. Podwyższone poziomy </w:t>
      </w:r>
      <w:proofErr w:type="spellStart"/>
      <w:r>
        <w:rPr>
          <w:rFonts w:ascii="Arial" w:hAnsi="Arial" w:cs="Arial"/>
        </w:rPr>
        <w:t>chloridazon-desfenylu</w:t>
      </w:r>
      <w:proofErr w:type="spellEnd"/>
      <w:r>
        <w:rPr>
          <w:rFonts w:ascii="Arial" w:hAnsi="Arial" w:cs="Arial"/>
        </w:rPr>
        <w:t xml:space="preserve"> stwierdzano także w wodzie surowej pobranej z poszczególnych studni na obu ujęciach. Wyniki badań wody poza metabolitem </w:t>
      </w:r>
      <w:proofErr w:type="spellStart"/>
      <w:r>
        <w:rPr>
          <w:rFonts w:ascii="Arial" w:hAnsi="Arial" w:cs="Arial"/>
        </w:rPr>
        <w:t>chloridazon-desfenyl</w:t>
      </w:r>
      <w:proofErr w:type="spellEnd"/>
      <w:r>
        <w:rPr>
          <w:rFonts w:ascii="Arial" w:hAnsi="Arial" w:cs="Arial"/>
        </w:rPr>
        <w:t xml:space="preserve"> nie budziły zastrzeżeń w przypadku obu wodociągów.</w:t>
      </w:r>
    </w:p>
    <w:p w14:paraId="6A4AF14F" w14:textId="77777777" w:rsidR="00A905AB" w:rsidRDefault="00A905AB" w:rsidP="00A905A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otoczeniu obydwu ujęć znajdują się tereny użytkowane rolniczo. W</w:t>
      </w:r>
      <w:r w:rsidRPr="00D81EFF">
        <w:rPr>
          <w:rFonts w:ascii="Arial" w:hAnsi="Arial" w:cs="Arial"/>
        </w:rPr>
        <w:t>ystępowani</w:t>
      </w:r>
      <w:r>
        <w:rPr>
          <w:rFonts w:ascii="Arial" w:hAnsi="Arial" w:cs="Arial"/>
        </w:rPr>
        <w:t>e</w:t>
      </w:r>
      <w:r w:rsidRPr="00D81EFF">
        <w:rPr>
          <w:rFonts w:ascii="Arial" w:hAnsi="Arial" w:cs="Arial"/>
        </w:rPr>
        <w:t xml:space="preserve"> ponadnormatywnych stężeń pestycydów i ich metabolitów w wodzie ujmowanej przez wodociągi </w:t>
      </w:r>
      <w:r>
        <w:rPr>
          <w:rFonts w:ascii="Arial" w:hAnsi="Arial" w:cs="Arial"/>
        </w:rPr>
        <w:t xml:space="preserve">zostało </w:t>
      </w:r>
      <w:r w:rsidRPr="00D81EFF">
        <w:rPr>
          <w:rFonts w:ascii="Arial" w:hAnsi="Arial" w:cs="Arial"/>
        </w:rPr>
        <w:t>ujawnion</w:t>
      </w:r>
      <w:r>
        <w:rPr>
          <w:rFonts w:ascii="Arial" w:hAnsi="Arial" w:cs="Arial"/>
        </w:rPr>
        <w:t>e</w:t>
      </w:r>
      <w:r w:rsidRPr="00D81EFF">
        <w:rPr>
          <w:rFonts w:ascii="Arial" w:hAnsi="Arial" w:cs="Arial"/>
        </w:rPr>
        <w:t xml:space="preserve"> w sposób przypadkowy</w:t>
      </w:r>
      <w:r>
        <w:rPr>
          <w:rFonts w:ascii="Arial" w:hAnsi="Arial" w:cs="Arial"/>
        </w:rPr>
        <w:t xml:space="preserve">. Zarządcy wodociągów nie udało się jednak ustalić źródła występowania metabolitu pestycydu, tym bardziej iż </w:t>
      </w:r>
      <w:proofErr w:type="spellStart"/>
      <w:r>
        <w:rPr>
          <w:rFonts w:ascii="Arial" w:hAnsi="Arial" w:cs="Arial"/>
        </w:rPr>
        <w:t>chloridazon</w:t>
      </w:r>
      <w:proofErr w:type="spellEnd"/>
      <w:r>
        <w:rPr>
          <w:rFonts w:ascii="Arial" w:hAnsi="Arial" w:cs="Arial"/>
        </w:rPr>
        <w:t xml:space="preserve"> nie był stosowany na obszarze powiatu wrocławskiego. Zgodnie bowiem z wykazem sporządzonym przez Wojewódzki Inspektorat Ochrony Roślin i Nasiennictwa we Wrocławiu, </w:t>
      </w:r>
      <w:proofErr w:type="spellStart"/>
      <w:r>
        <w:rPr>
          <w:rFonts w:ascii="Arial" w:hAnsi="Arial" w:cs="Arial"/>
        </w:rPr>
        <w:t>chloridazon</w:t>
      </w:r>
      <w:proofErr w:type="spellEnd"/>
      <w:r>
        <w:rPr>
          <w:rFonts w:ascii="Arial" w:hAnsi="Arial" w:cs="Arial"/>
        </w:rPr>
        <w:t xml:space="preserve"> – substancja macierzysta metabolitu </w:t>
      </w:r>
      <w:proofErr w:type="spellStart"/>
      <w:r>
        <w:rPr>
          <w:rFonts w:ascii="Arial" w:hAnsi="Arial" w:cs="Arial"/>
        </w:rPr>
        <w:t>chloridazon-desfenyl</w:t>
      </w:r>
      <w:proofErr w:type="spellEnd"/>
      <w:r>
        <w:rPr>
          <w:rFonts w:ascii="Arial" w:hAnsi="Arial" w:cs="Arial"/>
        </w:rPr>
        <w:t xml:space="preserve"> – nie figurowała wśród wykazu środków ochrony roślin, stosowanych na obszarze powiatu wrocławskiego.</w:t>
      </w:r>
    </w:p>
    <w:p w14:paraId="5818500B" w14:textId="77777777" w:rsidR="00A905AB" w:rsidRDefault="00A905AB" w:rsidP="00A905A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Powyższe wskazuje na trudności</w:t>
      </w:r>
      <w:r w:rsidRPr="00D81EFF">
        <w:rPr>
          <w:rFonts w:ascii="Arial" w:hAnsi="Arial" w:cs="Arial"/>
        </w:rPr>
        <w:t xml:space="preserve"> w ustaleniu jakie parametry powinny być włączane do monitoringu jakości wody przeznaczonej do spożycia przez ludzi, wobec faktycznie stosowanych środków ochrony roślin na danym terenie lub obszarze oraz rozbieżności mi</w:t>
      </w:r>
      <w:r>
        <w:rPr>
          <w:rFonts w:ascii="Arial" w:hAnsi="Arial" w:cs="Arial"/>
        </w:rPr>
        <w:t>ę</w:t>
      </w:r>
      <w:r w:rsidRPr="00D81EFF">
        <w:rPr>
          <w:rFonts w:ascii="Arial" w:hAnsi="Arial" w:cs="Arial"/>
        </w:rPr>
        <w:t>dzy tym co jest deklarowane, a tym co jest stosowane.</w:t>
      </w:r>
    </w:p>
    <w:p w14:paraId="37C3A8DD" w14:textId="77777777" w:rsidR="00A905AB" w:rsidRDefault="00A905AB" w:rsidP="00080FA9">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Wobec stwierdzonych podwyższonych przekroczeń metabolitu </w:t>
      </w:r>
      <w:proofErr w:type="spellStart"/>
      <w:r>
        <w:rPr>
          <w:rFonts w:ascii="Arial" w:hAnsi="Arial" w:cs="Arial"/>
        </w:rPr>
        <w:t>chloridazon-desfenyl</w:t>
      </w:r>
      <w:proofErr w:type="spellEnd"/>
      <w:r>
        <w:rPr>
          <w:rFonts w:ascii="Arial" w:hAnsi="Arial" w:cs="Arial"/>
        </w:rPr>
        <w:t xml:space="preserve"> w wodzie przeznaczonej do spożycia przez ludzi, w 2020 r. wszczęte zostało przez terenowo właściwego państwowego powiatowego inspektora sanitarnego postępowanie administracyjne dotyczące udzielenia zgody na odstępstwo od wartości parametrycznej metabolitu </w:t>
      </w:r>
      <w:proofErr w:type="spellStart"/>
      <w:r>
        <w:rPr>
          <w:rFonts w:ascii="Arial" w:hAnsi="Arial" w:cs="Arial"/>
        </w:rPr>
        <w:t>chloridazon-desfenyl</w:t>
      </w:r>
      <w:proofErr w:type="spellEnd"/>
      <w:r>
        <w:rPr>
          <w:rFonts w:ascii="Arial" w:hAnsi="Arial" w:cs="Arial"/>
        </w:rPr>
        <w:t xml:space="preserve"> oraz sumy pestycydów dla obu wodociągów zgodnie z § 28 rozporządzenia Ministra Zdrowia z dnia 7 grudnia 2017 r.</w:t>
      </w:r>
      <w:r w:rsidRPr="0024094D">
        <w:rPr>
          <w:rFonts w:ascii="Arial" w:hAnsi="Arial" w:cs="Arial"/>
        </w:rPr>
        <w:t xml:space="preserve"> </w:t>
      </w:r>
      <w:r w:rsidRPr="00925BCD">
        <w:rPr>
          <w:rFonts w:ascii="Arial" w:hAnsi="Arial" w:cs="Arial"/>
        </w:rPr>
        <w:t>w sprawie jakości wody przeznaczonej do spożycia przez ludzi</w:t>
      </w:r>
      <w:r>
        <w:rPr>
          <w:rFonts w:ascii="Arial" w:hAnsi="Arial" w:cs="Arial"/>
        </w:rPr>
        <w:t xml:space="preserve"> w celu zapewnienia bezpieczeństwa wody dostarczanej konsumentom (tj. m.in. zapewnienia ewentualnie alternatywnych dostaw wody, określenia grup wrażliwych konsumentów). Pozyskana została również wykonana przez </w:t>
      </w:r>
      <w:r w:rsidRPr="002C28BE">
        <w:rPr>
          <w:rFonts w:ascii="Arial" w:hAnsi="Arial" w:cs="Arial"/>
        </w:rPr>
        <w:t>krajow</w:t>
      </w:r>
      <w:r>
        <w:rPr>
          <w:rFonts w:ascii="Arial" w:hAnsi="Arial" w:cs="Arial"/>
        </w:rPr>
        <w:t>y</w:t>
      </w:r>
      <w:r w:rsidRPr="002C28BE">
        <w:rPr>
          <w:rFonts w:ascii="Arial" w:hAnsi="Arial" w:cs="Arial"/>
        </w:rPr>
        <w:t xml:space="preserve"> instytut badawcz</w:t>
      </w:r>
      <w:r>
        <w:rPr>
          <w:rFonts w:ascii="Arial" w:hAnsi="Arial" w:cs="Arial"/>
        </w:rPr>
        <w:t>y:</w:t>
      </w:r>
      <w:r w:rsidRPr="002C28BE">
        <w:rPr>
          <w:rFonts w:ascii="Arial" w:hAnsi="Arial" w:cs="Arial"/>
        </w:rPr>
        <w:t xml:space="preserve"> Narodow</w:t>
      </w:r>
      <w:r>
        <w:rPr>
          <w:rFonts w:ascii="Arial" w:hAnsi="Arial" w:cs="Arial"/>
        </w:rPr>
        <w:t>y</w:t>
      </w:r>
      <w:r w:rsidRPr="002C28BE">
        <w:rPr>
          <w:rFonts w:ascii="Arial" w:hAnsi="Arial" w:cs="Arial"/>
        </w:rPr>
        <w:t xml:space="preserve"> Instytut Zdrowia Publicznego Państwow</w:t>
      </w:r>
      <w:r>
        <w:rPr>
          <w:rFonts w:ascii="Arial" w:hAnsi="Arial" w:cs="Arial"/>
        </w:rPr>
        <w:t>y</w:t>
      </w:r>
      <w:r w:rsidRPr="002C28BE">
        <w:rPr>
          <w:rFonts w:ascii="Arial" w:hAnsi="Arial" w:cs="Arial"/>
        </w:rPr>
        <w:t xml:space="preserve"> Zakład Higieny</w:t>
      </w:r>
      <w:r>
        <w:rPr>
          <w:rFonts w:ascii="Arial" w:hAnsi="Arial" w:cs="Arial"/>
        </w:rPr>
        <w:t xml:space="preserve"> – Państwowy Instytut Badawczy,</w:t>
      </w:r>
      <w:r w:rsidRPr="002C28BE">
        <w:rPr>
          <w:rFonts w:ascii="Arial" w:hAnsi="Arial" w:cs="Arial"/>
        </w:rPr>
        <w:t xml:space="preserve"> </w:t>
      </w:r>
      <w:r>
        <w:rPr>
          <w:rFonts w:ascii="Arial" w:hAnsi="Arial" w:cs="Arial"/>
        </w:rPr>
        <w:t>o</w:t>
      </w:r>
      <w:r w:rsidRPr="002C28BE">
        <w:rPr>
          <w:rFonts w:ascii="Arial" w:hAnsi="Arial" w:cs="Arial"/>
        </w:rPr>
        <w:t xml:space="preserve">cena wpływu na zdrowie ludzi wartości stężeń metabolitu </w:t>
      </w:r>
      <w:proofErr w:type="spellStart"/>
      <w:r w:rsidRPr="002C28BE">
        <w:rPr>
          <w:rFonts w:ascii="Arial" w:hAnsi="Arial" w:cs="Arial"/>
        </w:rPr>
        <w:t>chloridazon-desfenyl</w:t>
      </w:r>
      <w:proofErr w:type="spellEnd"/>
      <w:r w:rsidRPr="002C28BE">
        <w:rPr>
          <w:rFonts w:ascii="Arial" w:hAnsi="Arial" w:cs="Arial"/>
        </w:rPr>
        <w:t xml:space="preserve"> stwierdzanych w</w:t>
      </w:r>
      <w:r>
        <w:rPr>
          <w:rFonts w:ascii="Arial" w:hAnsi="Arial" w:cs="Arial"/>
        </w:rPr>
        <w:t> </w:t>
      </w:r>
      <w:r w:rsidRPr="002C28BE">
        <w:rPr>
          <w:rFonts w:ascii="Arial" w:hAnsi="Arial" w:cs="Arial"/>
        </w:rPr>
        <w:t xml:space="preserve">wodzie do spożycia dostarczanej przez </w:t>
      </w:r>
      <w:r>
        <w:rPr>
          <w:rFonts w:ascii="Arial" w:hAnsi="Arial" w:cs="Arial"/>
        </w:rPr>
        <w:t xml:space="preserve">oba wodociągi. W ekspertyzie Instytutu </w:t>
      </w:r>
      <w:r>
        <w:rPr>
          <w:rFonts w:ascii="Arial" w:hAnsi="Arial" w:cs="Arial"/>
        </w:rPr>
        <w:lastRenderedPageBreak/>
        <w:t xml:space="preserve">stwierdzono, iż wartości stężeń metabolitu </w:t>
      </w:r>
      <w:proofErr w:type="spellStart"/>
      <w:r>
        <w:rPr>
          <w:rFonts w:ascii="Arial" w:hAnsi="Arial" w:cs="Arial"/>
        </w:rPr>
        <w:t>chloridazonu-desfenyl</w:t>
      </w:r>
      <w:proofErr w:type="spellEnd"/>
      <w:r>
        <w:rPr>
          <w:rFonts w:ascii="Arial" w:hAnsi="Arial" w:cs="Arial"/>
        </w:rPr>
        <w:t xml:space="preserve"> w </w:t>
      </w:r>
      <w:r w:rsidRPr="002C28BE">
        <w:rPr>
          <w:rFonts w:ascii="Arial" w:hAnsi="Arial" w:cs="Arial"/>
        </w:rPr>
        <w:t>wod</w:t>
      </w:r>
      <w:r>
        <w:rPr>
          <w:rFonts w:ascii="Arial" w:hAnsi="Arial" w:cs="Arial"/>
        </w:rPr>
        <w:t>zie z obu wodociągów nie stwarzają zagrożenia dla zdrowia ludzi</w:t>
      </w:r>
      <w:r w:rsidRPr="002C28BE">
        <w:rPr>
          <w:rFonts w:ascii="Arial" w:hAnsi="Arial" w:cs="Arial"/>
        </w:rPr>
        <w:t xml:space="preserve"> i zaopatrzenie w wodę może być kontynuowane na dotychczasowych zasadach</w:t>
      </w:r>
      <w:r>
        <w:rPr>
          <w:rFonts w:ascii="Arial" w:hAnsi="Arial" w:cs="Arial"/>
        </w:rPr>
        <w:t>.</w:t>
      </w:r>
    </w:p>
    <w:p w14:paraId="6831EB38" w14:textId="77777777" w:rsidR="00A905AB" w:rsidRPr="00080FA9" w:rsidRDefault="00A905AB" w:rsidP="00080FA9">
      <w:pPr>
        <w:pStyle w:val="NormalnyWeb"/>
        <w:tabs>
          <w:tab w:val="left" w:pos="284"/>
        </w:tabs>
        <w:spacing w:beforeAutospacing="0" w:after="120" w:afterAutospacing="0" w:line="360" w:lineRule="auto"/>
        <w:ind w:firstLine="284"/>
        <w:jc w:val="both"/>
        <w:rPr>
          <w:rFonts w:ascii="Arial" w:hAnsi="Arial" w:cs="Arial"/>
        </w:rPr>
      </w:pPr>
      <w:r w:rsidRPr="004C17BA">
        <w:rPr>
          <w:rFonts w:ascii="Arial" w:hAnsi="Arial" w:cs="Arial"/>
          <w:b/>
          <w:bCs/>
        </w:rPr>
        <w:t>W 2021 r.</w:t>
      </w:r>
      <w:r>
        <w:rPr>
          <w:rFonts w:ascii="Arial" w:hAnsi="Arial" w:cs="Arial"/>
        </w:rPr>
        <w:t xml:space="preserve"> w wodzie przeznaczonej do spożycia przez ludzi dostarczanej przez wodociąg publiczny zlokalizowany </w:t>
      </w:r>
      <w:r w:rsidRPr="006E616A">
        <w:rPr>
          <w:rFonts w:ascii="Arial" w:hAnsi="Arial" w:cs="Arial"/>
        </w:rPr>
        <w:t>w województwie dolnośląskim</w:t>
      </w:r>
      <w:r>
        <w:rPr>
          <w:rFonts w:ascii="Arial" w:hAnsi="Arial" w:cs="Arial"/>
        </w:rPr>
        <w:t xml:space="preserve">, w </w:t>
      </w:r>
      <w:r w:rsidRPr="006E616A">
        <w:rPr>
          <w:rFonts w:ascii="Arial" w:hAnsi="Arial" w:cs="Arial"/>
        </w:rPr>
        <w:t>gmin</w:t>
      </w:r>
      <w:r>
        <w:rPr>
          <w:rFonts w:ascii="Arial" w:hAnsi="Arial" w:cs="Arial"/>
        </w:rPr>
        <w:t>ie</w:t>
      </w:r>
      <w:r w:rsidRPr="006E616A">
        <w:rPr>
          <w:rFonts w:ascii="Arial" w:hAnsi="Arial" w:cs="Arial"/>
        </w:rPr>
        <w:t xml:space="preserve"> </w:t>
      </w:r>
      <w:r>
        <w:rPr>
          <w:rFonts w:ascii="Arial" w:hAnsi="Arial" w:cs="Arial"/>
        </w:rPr>
        <w:t>Wińsko</w:t>
      </w:r>
      <w:r w:rsidRPr="006E616A">
        <w:rPr>
          <w:rFonts w:ascii="Arial" w:hAnsi="Arial" w:cs="Arial"/>
        </w:rPr>
        <w:t>, w powiecie wołowskim</w:t>
      </w:r>
      <w:r>
        <w:rPr>
          <w:rFonts w:ascii="Arial" w:hAnsi="Arial" w:cs="Arial"/>
        </w:rPr>
        <w:t xml:space="preserve"> stwierdzono również przekroczenia wartości parametrycznej metabolitu </w:t>
      </w:r>
      <w:proofErr w:type="spellStart"/>
      <w:r>
        <w:rPr>
          <w:rFonts w:ascii="Arial" w:hAnsi="Arial" w:cs="Arial"/>
        </w:rPr>
        <w:t>chloridazon-desfenyl</w:t>
      </w:r>
      <w:proofErr w:type="spellEnd"/>
      <w:r w:rsidRPr="006E616A">
        <w:rPr>
          <w:rFonts w:ascii="Arial" w:hAnsi="Arial" w:cs="Arial"/>
        </w:rPr>
        <w:t xml:space="preserve"> </w:t>
      </w:r>
      <w:r>
        <w:rPr>
          <w:rFonts w:ascii="Arial" w:hAnsi="Arial" w:cs="Arial"/>
        </w:rPr>
        <w:t>w zakresie 0,473-1,71</w:t>
      </w:r>
      <w:r w:rsidRPr="00A33936">
        <w:rPr>
          <w:rFonts w:ascii="Arial" w:hAnsi="Arial" w:cs="Arial"/>
        </w:rPr>
        <w:t xml:space="preserve"> </w:t>
      </w:r>
      <w:r>
        <w:rPr>
          <w:rFonts w:ascii="Arial" w:hAnsi="Arial" w:cs="Arial"/>
        </w:rPr>
        <w:t xml:space="preserve">µg/l. W związku z przekroczeniem dostawca wody wystąpił do terenowo właściwego państwowego powiatowego inspektora sanitarnego o  udzielenie zgody na odstępstwo od wartości parametrycznej dla metabolitu </w:t>
      </w:r>
      <w:proofErr w:type="spellStart"/>
      <w:r w:rsidRPr="006E616A">
        <w:rPr>
          <w:rFonts w:ascii="Arial" w:hAnsi="Arial" w:cs="Arial"/>
        </w:rPr>
        <w:t>chloridazon-desfenyl</w:t>
      </w:r>
      <w:proofErr w:type="spellEnd"/>
      <w:r w:rsidRPr="006E616A">
        <w:rPr>
          <w:rFonts w:ascii="Arial" w:hAnsi="Arial" w:cs="Arial"/>
        </w:rPr>
        <w:t xml:space="preserve"> i sum</w:t>
      </w:r>
      <w:r>
        <w:rPr>
          <w:rFonts w:ascii="Arial" w:hAnsi="Arial" w:cs="Arial"/>
        </w:rPr>
        <w:t>y</w:t>
      </w:r>
      <w:r w:rsidRPr="006E616A">
        <w:rPr>
          <w:rFonts w:ascii="Arial" w:hAnsi="Arial" w:cs="Arial"/>
        </w:rPr>
        <w:t xml:space="preserve"> pestycydów</w:t>
      </w:r>
      <w:r>
        <w:rPr>
          <w:rFonts w:ascii="Arial" w:hAnsi="Arial" w:cs="Arial"/>
        </w:rPr>
        <w:t xml:space="preserve"> dla wodociągu zbiorowego zaopatrzenia.</w:t>
      </w:r>
    </w:p>
    <w:p w14:paraId="1CAA647C" w14:textId="77777777" w:rsidR="00056846" w:rsidRPr="00925BCD" w:rsidRDefault="00E54725">
      <w:pPr>
        <w:pStyle w:val="Nagwek2"/>
        <w:jc w:val="both"/>
        <w:rPr>
          <w:i w:val="0"/>
          <w:sz w:val="20"/>
          <w:szCs w:val="20"/>
        </w:rPr>
      </w:pPr>
      <w:bookmarkStart w:id="40" w:name="_Toc134099263"/>
      <w:r w:rsidRPr="00925BCD">
        <w:rPr>
          <w:i w:val="0"/>
          <w:sz w:val="20"/>
          <w:szCs w:val="20"/>
        </w:rPr>
        <w:t>Zadanie 3. Badanie wpływu chemicznej ochrony roślin na stan wód powierzchniowych</w:t>
      </w:r>
      <w:bookmarkEnd w:id="40"/>
      <w:r w:rsidRPr="00925BCD">
        <w:rPr>
          <w:i w:val="0"/>
          <w:sz w:val="20"/>
          <w:szCs w:val="20"/>
        </w:rPr>
        <w:t xml:space="preserve"> </w:t>
      </w:r>
    </w:p>
    <w:p w14:paraId="4FDDB014" w14:textId="506D7388"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Państwowy monitoring wód powierzchniowych, podziemnych i osadów dennych koncentruje się na zbieraniu danych o stanie jednolitych części wód powierzchniowych w celu wydawania wieloaspektowych i kompleksowych ocen między innymi na potrzeby wypełnienia celów planistycznych w gospodarowaniu wodami. Monitoring ten, ze względu na ograniczone spektrum badanych substancji wynikające z uwarunkowań prawnych, nie obejmuje stosowanych </w:t>
      </w:r>
      <w:r w:rsidR="006763DD">
        <w:rPr>
          <w:rFonts w:ascii="Arial" w:hAnsi="Arial" w:cs="Arial"/>
        </w:rPr>
        <w:t xml:space="preserve">obecnie </w:t>
      </w:r>
      <w:r w:rsidRPr="00925BCD">
        <w:rPr>
          <w:rFonts w:ascii="Arial" w:hAnsi="Arial" w:cs="Arial"/>
        </w:rPr>
        <w:t xml:space="preserve">środków ochrony roślin. </w:t>
      </w:r>
    </w:p>
    <w:p w14:paraId="06B8D09A"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 tego powodu monitoring ten został uzupełniany przez monitoring obejmujący jak największą liczbę substancji czynnych, występujących obecnie w środkach ochrony roślin. </w:t>
      </w:r>
    </w:p>
    <w:p w14:paraId="7B27558B" w14:textId="403EEAF1"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tym celu prowadzony był w ramach programów wieloletnich monitoring pozostałości środków ochrony roślin w wodach powierzchniowych przez Instytut Ochrony Roślin – PIB oraz Instytut Ogrodnictwa </w:t>
      </w:r>
      <w:r w:rsidR="0046312A" w:rsidRPr="00925BCD">
        <w:rPr>
          <w:rFonts w:ascii="Arial" w:hAnsi="Arial" w:cs="Arial"/>
        </w:rPr>
        <w:t xml:space="preserve">– </w:t>
      </w:r>
      <w:r w:rsidR="0046312A">
        <w:rPr>
          <w:rFonts w:ascii="Arial" w:hAnsi="Arial" w:cs="Arial"/>
        </w:rPr>
        <w:t xml:space="preserve">PIB </w:t>
      </w:r>
      <w:r w:rsidRPr="00925BCD">
        <w:rPr>
          <w:rFonts w:ascii="Arial" w:hAnsi="Arial" w:cs="Arial"/>
        </w:rPr>
        <w:t>we współpracy z wojewódzkimi inspektoratami ochrony środowiska.</w:t>
      </w:r>
    </w:p>
    <w:p w14:paraId="2F09BF24" w14:textId="77777777" w:rsidR="00056846" w:rsidRPr="00925BCD" w:rsidRDefault="00E54725">
      <w:pPr>
        <w:pStyle w:val="NormalnyWeb"/>
        <w:tabs>
          <w:tab w:val="left" w:pos="284"/>
        </w:tabs>
        <w:spacing w:before="120" w:beforeAutospacing="0" w:after="120" w:afterAutospacing="0" w:line="360" w:lineRule="auto"/>
        <w:ind w:firstLine="284"/>
        <w:jc w:val="both"/>
        <w:rPr>
          <w:rFonts w:ascii="Arial" w:hAnsi="Arial" w:cs="Arial"/>
          <w:b/>
          <w:bCs/>
          <w:i/>
        </w:rPr>
      </w:pPr>
      <w:bookmarkStart w:id="41" w:name="_Toc3465052"/>
      <w:bookmarkStart w:id="42" w:name="_Toc3465051"/>
      <w:r w:rsidRPr="00925BCD">
        <w:rPr>
          <w:rFonts w:ascii="Arial" w:hAnsi="Arial" w:cs="Arial"/>
          <w:b/>
          <w:bCs/>
          <w:i/>
        </w:rPr>
        <w:t>Badania prowadzone w ramach programu wieloletniego Instytutu Ochrony Roślin – PIB pn. Ochrona roślin uprawnych z uwzględnieniem bezpieczeństwa żywności oraz ograniczenia strat w plonach i zagrożeń dla zdrowia ludzi, zwierząt domowych i środowiska”.</w:t>
      </w:r>
      <w:bookmarkEnd w:id="41"/>
      <w:r w:rsidRPr="00925BCD">
        <w:rPr>
          <w:rFonts w:ascii="Arial" w:hAnsi="Arial" w:cs="Arial"/>
          <w:b/>
          <w:bCs/>
          <w:i/>
        </w:rPr>
        <w:t xml:space="preserve">  </w:t>
      </w:r>
    </w:p>
    <w:p w14:paraId="23F6957B"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badano pozostałości środków ochrony roślin w próbkach wód powierzchniowych pobieranych w trzech punktach pomiarowo-kontrolnych (</w:t>
      </w:r>
      <w:proofErr w:type="spellStart"/>
      <w:r w:rsidRPr="00925BCD">
        <w:rPr>
          <w:rFonts w:ascii="Arial" w:hAnsi="Arial" w:cs="Arial"/>
        </w:rPr>
        <w:t>ppk</w:t>
      </w:r>
      <w:proofErr w:type="spellEnd"/>
      <w:r w:rsidRPr="00925BCD">
        <w:rPr>
          <w:rFonts w:ascii="Arial" w:hAnsi="Arial" w:cs="Arial"/>
        </w:rPr>
        <w:t xml:space="preserve">) zlokalizowanych na rzece Warcie oraz w próbkach z rzek wchodzących w skład jej zlewni. Na rzece Warcie wyznaczono następujące </w:t>
      </w:r>
      <w:proofErr w:type="spellStart"/>
      <w:r w:rsidRPr="00925BCD">
        <w:rPr>
          <w:rFonts w:ascii="Arial" w:hAnsi="Arial" w:cs="Arial"/>
        </w:rPr>
        <w:t>ppk</w:t>
      </w:r>
      <w:proofErr w:type="spellEnd"/>
      <w:r w:rsidRPr="00925BCD">
        <w:rPr>
          <w:rFonts w:ascii="Arial" w:hAnsi="Arial" w:cs="Arial"/>
        </w:rPr>
        <w:t xml:space="preserve">, licząc z biegiem rzeki, lokalizacje w Biechowach, Kawczach i Mściszewie. W przypadku zlewni Warty wytypowano siedem </w:t>
      </w:r>
      <w:proofErr w:type="spellStart"/>
      <w:r w:rsidRPr="00925BCD">
        <w:rPr>
          <w:rFonts w:ascii="Arial" w:hAnsi="Arial" w:cs="Arial"/>
        </w:rPr>
        <w:t>ppk</w:t>
      </w:r>
      <w:proofErr w:type="spellEnd"/>
      <w:r w:rsidRPr="00925BCD">
        <w:rPr>
          <w:rFonts w:ascii="Arial" w:hAnsi="Arial" w:cs="Arial"/>
        </w:rPr>
        <w:t xml:space="preserve"> tj. lewobrzeżne dopływy Warty: </w:t>
      </w:r>
      <w:proofErr w:type="spellStart"/>
      <w:r w:rsidRPr="00925BCD">
        <w:rPr>
          <w:rFonts w:ascii="Arial" w:hAnsi="Arial" w:cs="Arial"/>
        </w:rPr>
        <w:t>Prosna</w:t>
      </w:r>
      <w:proofErr w:type="spellEnd"/>
      <w:r w:rsidRPr="00925BCD">
        <w:rPr>
          <w:rFonts w:ascii="Arial" w:hAnsi="Arial" w:cs="Arial"/>
        </w:rPr>
        <w:t xml:space="preserve">, Lutynia i Mogielnica, prawobrzeżne dopływy Warty: </w:t>
      </w:r>
      <w:proofErr w:type="spellStart"/>
      <w:r w:rsidRPr="00925BCD">
        <w:rPr>
          <w:rFonts w:ascii="Arial" w:hAnsi="Arial" w:cs="Arial"/>
        </w:rPr>
        <w:t>Moskawa</w:t>
      </w:r>
      <w:proofErr w:type="spellEnd"/>
      <w:r w:rsidRPr="00925BCD">
        <w:rPr>
          <w:rFonts w:ascii="Arial" w:hAnsi="Arial" w:cs="Arial"/>
        </w:rPr>
        <w:t xml:space="preserve"> i Trojanka oraz dopływ Noteci – Gwda i dopływ Obry – </w:t>
      </w:r>
      <w:proofErr w:type="spellStart"/>
      <w:r w:rsidRPr="00925BCD">
        <w:rPr>
          <w:rFonts w:ascii="Arial" w:hAnsi="Arial" w:cs="Arial"/>
        </w:rPr>
        <w:t>Dojca</w:t>
      </w:r>
      <w:proofErr w:type="spellEnd"/>
      <w:r w:rsidRPr="00925BCD">
        <w:rPr>
          <w:rFonts w:ascii="Arial" w:hAnsi="Arial" w:cs="Arial"/>
        </w:rPr>
        <w:t xml:space="preserve">. </w:t>
      </w:r>
    </w:p>
    <w:p w14:paraId="45D15B83" w14:textId="77777777" w:rsidR="00056846" w:rsidRPr="00925BCD" w:rsidRDefault="00E54725">
      <w:pPr>
        <w:pStyle w:val="NormalnyWeb"/>
        <w:tabs>
          <w:tab w:val="left" w:pos="284"/>
        </w:tabs>
        <w:spacing w:before="280" w:after="120"/>
        <w:ind w:firstLine="284"/>
        <w:jc w:val="center"/>
        <w:rPr>
          <w:rFonts w:ascii="Arial" w:hAnsi="Arial" w:cs="Arial"/>
        </w:rPr>
      </w:pPr>
      <w:r w:rsidRPr="00925BCD">
        <w:rPr>
          <w:noProof/>
        </w:rPr>
        <w:drawing>
          <wp:inline distT="0" distB="0" distL="0" distR="0" wp14:anchorId="1B62392E" wp14:editId="64FDEE4D">
            <wp:extent cx="1759352" cy="1661111"/>
            <wp:effectExtent l="0" t="0" r="9525"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6"/>
                    <pic:cNvPicPr>
                      <a:picLocks noChangeAspect="1" noChangeArrowheads="1"/>
                    </pic:cNvPicPr>
                  </pic:nvPicPr>
                  <pic:blipFill>
                    <a:blip r:embed="rId12"/>
                    <a:stretch>
                      <a:fillRect/>
                    </a:stretch>
                  </pic:blipFill>
                  <pic:spPr bwMode="auto">
                    <a:xfrm>
                      <a:off x="0" y="0"/>
                      <a:ext cx="1759352" cy="1661111"/>
                    </a:xfrm>
                    <a:prstGeom prst="rect">
                      <a:avLst/>
                    </a:prstGeom>
                  </pic:spPr>
                </pic:pic>
              </a:graphicData>
            </a:graphic>
          </wp:inline>
        </w:drawing>
      </w:r>
    </w:p>
    <w:p w14:paraId="0BB0838A"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W 2018 r. na obecność pozostałości środków ochrony roślin przebadano łącznie 91 próbek wód, w tym 85 próbek wód powierzchniowych pobranych z wielkopolskich rzek oraz 6 próbek wód podziemnych.</w:t>
      </w:r>
    </w:p>
    <w:p w14:paraId="0DB2FB89"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Próbki wód do badań pozostałości środków ochrony roślin z wszystkich wyznaczonych punktów pomiarowo-kontrolnych pobierano raz w miesiącu, od kwietnia do listopada (w niektórych </w:t>
      </w:r>
      <w:proofErr w:type="spellStart"/>
      <w:r w:rsidRPr="00925BCD">
        <w:rPr>
          <w:rFonts w:ascii="Arial" w:hAnsi="Arial" w:cs="Arial"/>
        </w:rPr>
        <w:t>ppk</w:t>
      </w:r>
      <w:proofErr w:type="spellEnd"/>
      <w:r w:rsidRPr="00925BCD">
        <w:rPr>
          <w:rFonts w:ascii="Arial" w:hAnsi="Arial" w:cs="Arial"/>
        </w:rPr>
        <w:t xml:space="preserve"> do grudnia). Ogółem wykryto 42 substancje z 139 poszukiwanych, w tym 17 herbicydów, 14 fungicydów, 9 insektycydów, 1 regulator wzrostu roślin i 1 metabolit. Maksymalna liczba substancji wykryta w pojedynczej próbce została odnotowana dla rzeki Lutyni w maju i było ich w sumie 26. W odniesieniu do rozporządzenia Ministra Zdrowia z dnia 7 grudnia 2017 r. w sprawie jakości wody przeznaczonej do spożycia przez ludzi (Dz.U. poz. 2294), dwudziestosześciokrotnie wykryto pozostałości środków ochrony roślin powyżej dopuszczalnej wartości 0,1 µg/L dla pojedynczego związku, lecz dotyczyły one 8 próbek wód pobranych z dopływów oraz jednej z rzeki Warty. W przypadku 4 próbek (1×Lutynia, 1×Moskawa, 1×Mogielnica i 1×Warta) suma wszystkich pozostałości znalezionych w pojedynczej próbce była wyższa od dopuszczalnej wynoszącej 0,5 µg/L. W pozostałych przypadkach wody rzeki Warty oraz zlewni pozostałych rzek spełniały bardzo rygorystyczne wymagania dla wody pitnej w zakresie pozostałości środków ochrony roślin. Zestawiając wyniki badań w odniesieniu do rozporządzenia Ministra Środowiska z dnia 27 listopada 2002 r. w sprawie wymagań, jakim powinny odpowiadać wody powierzchniowe wykorzystywane do zaopatrzenia ludności w wodę przeznaczoną do spożycia (Dz. U. poz. 1728) zaledwie 3 próbki z wszystkich pobranych nie mieściły się w najwyższej klasie A1 dla wód surowych zdatnych do uzdatnienia dla celów gospodarczych, co oznacza, że 96,5 % przeanalizowanych próbek wielkopolskich wód spełniało wymagania klasy A1. W żadnej z próbek wód podziemnych nie znaleziono pozostałości środków ochrony roślin powyżej dolnej granicy oznaczalności.</w:t>
      </w:r>
    </w:p>
    <w:p w14:paraId="2668654D" w14:textId="77777777" w:rsidR="00056846" w:rsidRPr="00925BCD" w:rsidRDefault="00AA0BA3"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Uchwałą nr 155/2018 Rady Ministrów z dnia 16 października 2018 r. zmieniającą uchwałę w sprawie ustanowienia programu wieloletniego pod nazwą „Ochrona roślin uprawnych z</w:t>
      </w:r>
      <w:r w:rsidR="009C7B7A" w:rsidRPr="00925BCD">
        <w:rPr>
          <w:rFonts w:ascii="Arial" w:hAnsi="Arial" w:cs="Arial"/>
        </w:rPr>
        <w:t> </w:t>
      </w:r>
      <w:r w:rsidRPr="00925BCD">
        <w:rPr>
          <w:rFonts w:ascii="Arial" w:hAnsi="Arial" w:cs="Arial"/>
        </w:rPr>
        <w:t>uwzględnieniem bezpieczeństwa żywności oraz ograniczenia strat w plonach i zagrożeń dla zdrowia ludzi, zwierząt domowych i środowiska” zwiększono od 2019 r., do 450 liczbę próbek pobieranych do analiz w ramach monitoringu wód.</w:t>
      </w:r>
    </w:p>
    <w:p w14:paraId="0E030D19" w14:textId="77777777" w:rsidR="00000CDD" w:rsidRPr="00A533BA" w:rsidRDefault="00000CDD" w:rsidP="009C7B7A">
      <w:pPr>
        <w:tabs>
          <w:tab w:val="left" w:pos="284"/>
        </w:tabs>
        <w:suppressAutoHyphens/>
        <w:autoSpaceDN w:val="0"/>
        <w:spacing w:after="120" w:line="360" w:lineRule="auto"/>
        <w:ind w:firstLine="284"/>
        <w:jc w:val="both"/>
        <w:textAlignment w:val="baseline"/>
        <w:rPr>
          <w:sz w:val="20"/>
          <w:szCs w:val="20"/>
        </w:rPr>
      </w:pPr>
      <w:r w:rsidRPr="00A533BA">
        <w:rPr>
          <w:rFonts w:ascii="Arial" w:hAnsi="Arial" w:cs="Arial"/>
          <w:b/>
          <w:sz w:val="20"/>
          <w:szCs w:val="20"/>
        </w:rPr>
        <w:t>W 2019 r.</w:t>
      </w:r>
      <w:r w:rsidRPr="00A533BA">
        <w:rPr>
          <w:rFonts w:ascii="Arial" w:hAnsi="Arial" w:cs="Arial"/>
          <w:sz w:val="20"/>
          <w:szCs w:val="20"/>
        </w:rPr>
        <w:t xml:space="preserve"> badaniami na obecność pozostałości środków ochrony roślin w wodach powierzchniowych i podziemnych został objęty cały obszar Polski. We współpracy z Głównym Inspektoratem Ochrony Środowiska oraz wojewódzkimi inspektoratami ochrony środowiska, wytypowano w 13 województwach tj. dolnośląskim, kujawsko-pomorskim, lubelskim, lubuskim, małopolskim, opolskim, podkarpackim, podlaskim, pomorskim, śląskim, świętokrzyskim, warmińsko-mazurskim i zachodnio-pomorskim po 5</w:t>
      </w:r>
      <w:r w:rsidR="009C7B7A" w:rsidRPr="00A533BA">
        <w:rPr>
          <w:rFonts w:ascii="Arial" w:hAnsi="Arial" w:cs="Arial"/>
          <w:sz w:val="20"/>
          <w:szCs w:val="20"/>
        </w:rPr>
        <w:t> </w:t>
      </w:r>
      <w:r w:rsidRPr="00A533BA">
        <w:rPr>
          <w:rFonts w:ascii="Arial" w:hAnsi="Arial" w:cs="Arial"/>
          <w:sz w:val="20"/>
          <w:szCs w:val="20"/>
        </w:rPr>
        <w:t>punktów pomiarowo-kontrolnych (</w:t>
      </w:r>
      <w:proofErr w:type="spellStart"/>
      <w:r w:rsidRPr="00A533BA">
        <w:rPr>
          <w:rFonts w:ascii="Arial" w:hAnsi="Arial" w:cs="Arial"/>
          <w:sz w:val="20"/>
          <w:szCs w:val="20"/>
        </w:rPr>
        <w:t>ppk</w:t>
      </w:r>
      <w:proofErr w:type="spellEnd"/>
      <w:r w:rsidRPr="00A533BA">
        <w:rPr>
          <w:rFonts w:ascii="Arial" w:hAnsi="Arial" w:cs="Arial"/>
          <w:sz w:val="20"/>
          <w:szCs w:val="20"/>
        </w:rPr>
        <w:t xml:space="preserve">) zlokalizowanych w zlewniach rzek na obszarze tych województw, z których w jednomiesięcznych odstępach czasu, od maja do października, pobierano próbki do badań. W województwie wielkopolskim wybrano 11 </w:t>
      </w:r>
      <w:proofErr w:type="spellStart"/>
      <w:r w:rsidRPr="00A533BA">
        <w:rPr>
          <w:rFonts w:ascii="Arial" w:hAnsi="Arial" w:cs="Arial"/>
          <w:sz w:val="20"/>
          <w:szCs w:val="20"/>
        </w:rPr>
        <w:t>ppk</w:t>
      </w:r>
      <w:proofErr w:type="spellEnd"/>
      <w:r w:rsidRPr="00A533BA">
        <w:rPr>
          <w:rFonts w:ascii="Arial" w:hAnsi="Arial" w:cs="Arial"/>
          <w:sz w:val="20"/>
          <w:szCs w:val="20"/>
        </w:rPr>
        <w:t xml:space="preserve">, z czego część z nich była objęta kontynuacją badań z lat ubiegłych (5 </w:t>
      </w:r>
      <w:proofErr w:type="spellStart"/>
      <w:r w:rsidRPr="00A533BA">
        <w:rPr>
          <w:rFonts w:ascii="Arial" w:hAnsi="Arial" w:cs="Arial"/>
          <w:sz w:val="20"/>
          <w:szCs w:val="20"/>
        </w:rPr>
        <w:t>ppk</w:t>
      </w:r>
      <w:proofErr w:type="spellEnd"/>
      <w:r w:rsidRPr="00A533BA">
        <w:rPr>
          <w:rFonts w:ascii="Arial" w:hAnsi="Arial" w:cs="Arial"/>
          <w:sz w:val="20"/>
          <w:szCs w:val="20"/>
        </w:rPr>
        <w:t xml:space="preserve">) i uzupełniono je punktami dodatkowymi (6 </w:t>
      </w:r>
      <w:proofErr w:type="spellStart"/>
      <w:r w:rsidRPr="00A533BA">
        <w:rPr>
          <w:rFonts w:ascii="Arial" w:hAnsi="Arial" w:cs="Arial"/>
          <w:sz w:val="20"/>
          <w:szCs w:val="20"/>
        </w:rPr>
        <w:t>ppk</w:t>
      </w:r>
      <w:proofErr w:type="spellEnd"/>
      <w:r w:rsidRPr="00A533BA">
        <w:rPr>
          <w:rFonts w:ascii="Arial" w:hAnsi="Arial" w:cs="Arial"/>
          <w:sz w:val="20"/>
          <w:szCs w:val="20"/>
        </w:rPr>
        <w:t xml:space="preserve">). Łącznie do badań monitoringowych wód powierzchniowych wytypowano 76 </w:t>
      </w:r>
      <w:proofErr w:type="spellStart"/>
      <w:r w:rsidRPr="00A533BA">
        <w:rPr>
          <w:rFonts w:ascii="Arial" w:hAnsi="Arial" w:cs="Arial"/>
          <w:sz w:val="20"/>
          <w:szCs w:val="20"/>
        </w:rPr>
        <w:t>ppk</w:t>
      </w:r>
      <w:proofErr w:type="spellEnd"/>
      <w:r w:rsidRPr="00A533BA">
        <w:rPr>
          <w:rFonts w:ascii="Arial" w:hAnsi="Arial" w:cs="Arial"/>
          <w:sz w:val="20"/>
          <w:szCs w:val="20"/>
        </w:rPr>
        <w:t xml:space="preserve"> z terenu całej Polski.</w:t>
      </w:r>
    </w:p>
    <w:p w14:paraId="261A2E8F" w14:textId="77777777" w:rsidR="00000CDD" w:rsidRPr="00A533BA" w:rsidRDefault="00000CDD" w:rsidP="009C7B7A">
      <w:pPr>
        <w:tabs>
          <w:tab w:val="left" w:pos="284"/>
        </w:tabs>
        <w:suppressAutoHyphens/>
        <w:autoSpaceDN w:val="0"/>
        <w:spacing w:after="120" w:line="360" w:lineRule="auto"/>
        <w:ind w:firstLine="284"/>
        <w:jc w:val="both"/>
        <w:textAlignment w:val="baseline"/>
        <w:rPr>
          <w:rFonts w:ascii="Arial" w:hAnsi="Arial" w:cs="Arial"/>
          <w:sz w:val="20"/>
          <w:szCs w:val="20"/>
        </w:rPr>
      </w:pPr>
      <w:r w:rsidRPr="00A533BA">
        <w:rPr>
          <w:rFonts w:ascii="Arial" w:hAnsi="Arial" w:cs="Arial"/>
          <w:sz w:val="20"/>
          <w:szCs w:val="20"/>
        </w:rPr>
        <w:lastRenderedPageBreak/>
        <w:t>W 2019 r. przebadano 452 próbki wód powierzchniowych oraz 9 próbek wód podziemnych. Ogółem wykryto 71 substancji z 270 poszukiwanych, w tym 31 herbicydów, 26 fungicydów, 12 insektycydów i</w:t>
      </w:r>
      <w:r w:rsidR="009C7B7A" w:rsidRPr="00A533BA">
        <w:rPr>
          <w:rFonts w:ascii="Arial" w:hAnsi="Arial" w:cs="Arial"/>
          <w:sz w:val="20"/>
          <w:szCs w:val="20"/>
        </w:rPr>
        <w:t> </w:t>
      </w:r>
      <w:r w:rsidRPr="00A533BA">
        <w:rPr>
          <w:rFonts w:ascii="Arial" w:hAnsi="Arial" w:cs="Arial"/>
          <w:sz w:val="20"/>
          <w:szCs w:val="20"/>
        </w:rPr>
        <w:t>2</w:t>
      </w:r>
      <w:r w:rsidR="009C7B7A" w:rsidRPr="00A533BA">
        <w:rPr>
          <w:rFonts w:ascii="Arial" w:hAnsi="Arial" w:cs="Arial"/>
          <w:sz w:val="20"/>
          <w:szCs w:val="20"/>
        </w:rPr>
        <w:t> </w:t>
      </w:r>
      <w:r w:rsidRPr="00A533BA">
        <w:rPr>
          <w:rFonts w:ascii="Arial" w:hAnsi="Arial" w:cs="Arial"/>
          <w:sz w:val="20"/>
          <w:szCs w:val="20"/>
        </w:rPr>
        <w:t>metabolity.</w:t>
      </w:r>
    </w:p>
    <w:p w14:paraId="5578D972" w14:textId="77777777" w:rsidR="00000CDD" w:rsidRPr="00925BCD" w:rsidRDefault="00000CDD" w:rsidP="009C7B7A">
      <w:pPr>
        <w:tabs>
          <w:tab w:val="left" w:pos="284"/>
        </w:tabs>
        <w:suppressAutoHyphens/>
        <w:autoSpaceDN w:val="0"/>
        <w:spacing w:before="120" w:after="120" w:line="360" w:lineRule="auto"/>
        <w:ind w:firstLine="284"/>
        <w:jc w:val="center"/>
        <w:textAlignment w:val="baseline"/>
      </w:pPr>
      <w:r w:rsidRPr="00925BCD">
        <w:rPr>
          <w:noProof/>
          <w:lang w:eastAsia="pl-PL"/>
        </w:rPr>
        <w:drawing>
          <wp:inline distT="0" distB="0" distL="0" distR="0" wp14:anchorId="6571968C" wp14:editId="51A960DC">
            <wp:extent cx="4635611" cy="312368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stretch>
                      <a:fillRect/>
                    </a:stretch>
                  </pic:blipFill>
                  <pic:spPr bwMode="auto">
                    <a:xfrm>
                      <a:off x="0" y="0"/>
                      <a:ext cx="4646501" cy="3131019"/>
                    </a:xfrm>
                    <a:prstGeom prst="rect">
                      <a:avLst/>
                    </a:prstGeom>
                  </pic:spPr>
                </pic:pic>
              </a:graphicData>
            </a:graphic>
          </wp:inline>
        </w:drawing>
      </w:r>
    </w:p>
    <w:p w14:paraId="183ADEC8" w14:textId="77777777" w:rsidR="00000CDD" w:rsidRPr="00925BCD" w:rsidRDefault="00000CDD" w:rsidP="00000CDD">
      <w:pPr>
        <w:tabs>
          <w:tab w:val="left" w:pos="284"/>
        </w:tabs>
        <w:suppressAutoHyphens/>
        <w:autoSpaceDN w:val="0"/>
        <w:spacing w:before="120" w:after="120" w:line="360" w:lineRule="auto"/>
        <w:ind w:firstLine="284"/>
        <w:jc w:val="center"/>
        <w:textAlignment w:val="baseline"/>
      </w:pPr>
      <w:r w:rsidRPr="00925BCD">
        <w:rPr>
          <w:rFonts w:ascii="Arial" w:hAnsi="Arial" w:cs="Arial"/>
          <w:i/>
          <w:iCs/>
          <w:sz w:val="18"/>
          <w:szCs w:val="18"/>
        </w:rPr>
        <w:t>Lokalizacja punktów pomiarowo-kontrolnych w 2019 r. na mapie Polski</w:t>
      </w:r>
    </w:p>
    <w:p w14:paraId="25815581" w14:textId="77777777" w:rsidR="00000CDD" w:rsidRPr="00A533BA" w:rsidRDefault="00000CDD" w:rsidP="009C7B7A">
      <w:pPr>
        <w:tabs>
          <w:tab w:val="left" w:pos="284"/>
        </w:tabs>
        <w:suppressAutoHyphens/>
        <w:autoSpaceDN w:val="0"/>
        <w:spacing w:after="120" w:line="360" w:lineRule="auto"/>
        <w:ind w:firstLine="284"/>
        <w:jc w:val="both"/>
        <w:textAlignment w:val="baseline"/>
        <w:rPr>
          <w:sz w:val="20"/>
          <w:szCs w:val="20"/>
        </w:rPr>
      </w:pPr>
      <w:r w:rsidRPr="00A533BA">
        <w:rPr>
          <w:rFonts w:ascii="Arial" w:hAnsi="Arial" w:cs="Arial"/>
          <w:sz w:val="20"/>
          <w:szCs w:val="20"/>
        </w:rPr>
        <w:t xml:space="preserve">Maksymalna liczba substancji wykryta w 2019 r. w pojedynczej próbce została odnotowana dla rzeki Mogielnicy </w:t>
      </w:r>
      <w:proofErr w:type="spellStart"/>
      <w:r w:rsidRPr="00A533BA">
        <w:rPr>
          <w:rFonts w:ascii="Arial" w:hAnsi="Arial" w:cs="Arial"/>
          <w:sz w:val="20"/>
          <w:szCs w:val="20"/>
        </w:rPr>
        <w:t>ppk</w:t>
      </w:r>
      <w:proofErr w:type="spellEnd"/>
      <w:r w:rsidRPr="00A533BA">
        <w:rPr>
          <w:rFonts w:ascii="Arial" w:hAnsi="Arial" w:cs="Arial"/>
          <w:sz w:val="20"/>
          <w:szCs w:val="20"/>
        </w:rPr>
        <w:t xml:space="preserve"> Wojnowice, woj. wielkopolskie w maju i było ich 20 na łączną sumę stężeń 11,628 µg/L. Spośród dużych rzek najwięcej substancji czynnych oznaczono w Wiśle </w:t>
      </w:r>
      <w:proofErr w:type="spellStart"/>
      <w:r w:rsidRPr="00A533BA">
        <w:rPr>
          <w:rFonts w:ascii="Arial" w:hAnsi="Arial" w:cs="Arial"/>
          <w:sz w:val="20"/>
          <w:szCs w:val="20"/>
        </w:rPr>
        <w:t>ppk</w:t>
      </w:r>
      <w:proofErr w:type="spellEnd"/>
      <w:r w:rsidRPr="00A533BA">
        <w:rPr>
          <w:rFonts w:ascii="Arial" w:hAnsi="Arial" w:cs="Arial"/>
          <w:sz w:val="20"/>
          <w:szCs w:val="20"/>
        </w:rPr>
        <w:t xml:space="preserve"> Jankowice w sierpniu, woj. małopolskie – 16 związków, w tym 7 w stężeniu powyżej 0,1 µg/L, a suma wszystkich wykrytych pozostałości w tej próbce wyniosła 2,077 µg/L. Należy zaznaczyć, że w 2019 r. zaobserwowano stosunkowo wysokie poziomy pozostałości pestycydów we wszystkich największych rzekach Polski.</w:t>
      </w:r>
    </w:p>
    <w:p w14:paraId="6DBA0E34" w14:textId="3C78E594" w:rsidR="00000CDD" w:rsidRPr="00A533BA" w:rsidRDefault="00000CDD" w:rsidP="009C7B7A">
      <w:pPr>
        <w:tabs>
          <w:tab w:val="left" w:pos="284"/>
        </w:tabs>
        <w:suppressAutoHyphens/>
        <w:autoSpaceDN w:val="0"/>
        <w:spacing w:after="120" w:line="360" w:lineRule="auto"/>
        <w:ind w:firstLine="284"/>
        <w:jc w:val="both"/>
        <w:textAlignment w:val="baseline"/>
        <w:rPr>
          <w:sz w:val="20"/>
          <w:szCs w:val="20"/>
        </w:rPr>
      </w:pPr>
      <w:r w:rsidRPr="00A533BA">
        <w:rPr>
          <w:rFonts w:ascii="Arial" w:hAnsi="Arial" w:cs="Arial"/>
          <w:sz w:val="20"/>
          <w:szCs w:val="20"/>
        </w:rPr>
        <w:t>W odniesieniu do Rozporządzenia Ministra Zdrowia z dnia 7 grudnia 2017 r. w sprawie jakości wody przeznaczonej do spożycia przez ludzi (Dz. U. poz. 2294) 185 oznaczeń pojedynczej substancji z</w:t>
      </w:r>
      <w:r w:rsidR="009C7B7A" w:rsidRPr="00A533BA">
        <w:rPr>
          <w:rFonts w:ascii="Arial" w:hAnsi="Arial" w:cs="Arial"/>
          <w:sz w:val="20"/>
          <w:szCs w:val="20"/>
        </w:rPr>
        <w:t> </w:t>
      </w:r>
      <w:r w:rsidRPr="00A533BA">
        <w:rPr>
          <w:rFonts w:ascii="Arial" w:hAnsi="Arial" w:cs="Arial"/>
          <w:sz w:val="20"/>
          <w:szCs w:val="20"/>
        </w:rPr>
        <w:t>wszystkich 768 potwierdzonych oznaczeń tj. 24,1% przekraczało graniczną wartość 0,1 µg/L. Natomiast w przypadku drugiej części wymagań dotyczących sumy wszystkich wykrytych substancji w</w:t>
      </w:r>
      <w:r w:rsidR="009C7B7A" w:rsidRPr="00A533BA">
        <w:rPr>
          <w:rFonts w:ascii="Arial" w:hAnsi="Arial" w:cs="Arial"/>
          <w:sz w:val="20"/>
          <w:szCs w:val="20"/>
        </w:rPr>
        <w:t> </w:t>
      </w:r>
      <w:r w:rsidRPr="00A533BA">
        <w:rPr>
          <w:rFonts w:ascii="Arial" w:hAnsi="Arial" w:cs="Arial"/>
          <w:sz w:val="20"/>
          <w:szCs w:val="20"/>
        </w:rPr>
        <w:t xml:space="preserve">pojedynczej próbce wody 38 próbek wód z pozyskanych 452 czyli 8,4% wszystkich było wyższe od dopuszczalnej wynoszącej 0,5 µg/L. Ze względu na bardzo małe opady w różnych rejonach kraju i brak przepływu w ciekach, w niektórych terminach, niemożliwe było pozyskanie próbek do badań. Najmniej substancji czynnych środków ochrony roślin </w:t>
      </w:r>
      <w:r w:rsidR="0018569E" w:rsidRPr="00A533BA">
        <w:rPr>
          <w:rFonts w:ascii="Arial" w:hAnsi="Arial" w:cs="Arial"/>
          <w:sz w:val="20"/>
          <w:szCs w:val="20"/>
        </w:rPr>
        <w:t xml:space="preserve">stwierdzono </w:t>
      </w:r>
      <w:r w:rsidRPr="00A533BA">
        <w:rPr>
          <w:rFonts w:ascii="Arial" w:hAnsi="Arial" w:cs="Arial"/>
          <w:sz w:val="20"/>
          <w:szCs w:val="20"/>
        </w:rPr>
        <w:t xml:space="preserve">w </w:t>
      </w:r>
      <w:r w:rsidR="0018569E" w:rsidRPr="00A533BA">
        <w:rPr>
          <w:rFonts w:ascii="Arial" w:hAnsi="Arial" w:cs="Arial"/>
          <w:sz w:val="20"/>
          <w:szCs w:val="20"/>
        </w:rPr>
        <w:t xml:space="preserve">wyniku </w:t>
      </w:r>
      <w:r w:rsidRPr="00A533BA">
        <w:rPr>
          <w:rFonts w:ascii="Arial" w:hAnsi="Arial" w:cs="Arial"/>
          <w:sz w:val="20"/>
          <w:szCs w:val="20"/>
        </w:rPr>
        <w:t>analiz próbek wód z woj. pomorskiego, następnie lubuskiego i lubelskiego, z kolei najwięcej różnych substancji czynnych wykryto w</w:t>
      </w:r>
      <w:r w:rsidR="009C7B7A" w:rsidRPr="00A533BA">
        <w:rPr>
          <w:rFonts w:ascii="Arial" w:hAnsi="Arial" w:cs="Arial"/>
          <w:sz w:val="20"/>
          <w:szCs w:val="20"/>
        </w:rPr>
        <w:t> </w:t>
      </w:r>
      <w:r w:rsidRPr="00A533BA">
        <w:rPr>
          <w:rFonts w:ascii="Arial" w:hAnsi="Arial" w:cs="Arial"/>
          <w:sz w:val="20"/>
          <w:szCs w:val="20"/>
        </w:rPr>
        <w:t>wytypowanych do badań zlewniach rzek województw wielkopolskiego, dolnośląskiego i</w:t>
      </w:r>
      <w:r w:rsidR="009C7B7A" w:rsidRPr="00A533BA">
        <w:rPr>
          <w:rFonts w:ascii="Arial" w:hAnsi="Arial" w:cs="Arial"/>
          <w:sz w:val="20"/>
          <w:szCs w:val="20"/>
        </w:rPr>
        <w:t> </w:t>
      </w:r>
      <w:r w:rsidRPr="00A533BA">
        <w:rPr>
          <w:rFonts w:ascii="Arial" w:hAnsi="Arial" w:cs="Arial"/>
          <w:sz w:val="20"/>
          <w:szCs w:val="20"/>
        </w:rPr>
        <w:t xml:space="preserve">małopolskiego. W trzech punktach pomiarowo-kontrolnych tj. rzeka Wieprz </w:t>
      </w:r>
      <w:proofErr w:type="spellStart"/>
      <w:r w:rsidRPr="00A533BA">
        <w:rPr>
          <w:rFonts w:ascii="Arial" w:hAnsi="Arial" w:cs="Arial"/>
          <w:sz w:val="20"/>
          <w:szCs w:val="20"/>
        </w:rPr>
        <w:t>ppk</w:t>
      </w:r>
      <w:proofErr w:type="spellEnd"/>
      <w:r w:rsidRPr="00A533BA">
        <w:rPr>
          <w:rFonts w:ascii="Arial" w:hAnsi="Arial" w:cs="Arial"/>
          <w:sz w:val="20"/>
          <w:szCs w:val="20"/>
        </w:rPr>
        <w:t xml:space="preserve"> Dworzyska województwo lubelskie, rzeka Biała Przemsza </w:t>
      </w:r>
      <w:proofErr w:type="spellStart"/>
      <w:r w:rsidRPr="00A533BA">
        <w:rPr>
          <w:rFonts w:ascii="Arial" w:hAnsi="Arial" w:cs="Arial"/>
          <w:sz w:val="20"/>
          <w:szCs w:val="20"/>
        </w:rPr>
        <w:t>ppk</w:t>
      </w:r>
      <w:proofErr w:type="spellEnd"/>
      <w:r w:rsidRPr="00A533BA">
        <w:rPr>
          <w:rFonts w:ascii="Arial" w:hAnsi="Arial" w:cs="Arial"/>
          <w:sz w:val="20"/>
          <w:szCs w:val="20"/>
        </w:rPr>
        <w:t xml:space="preserve"> Klucze województwo małopolskie oraz w rzece </w:t>
      </w:r>
      <w:proofErr w:type="spellStart"/>
      <w:r w:rsidRPr="00A533BA">
        <w:rPr>
          <w:rFonts w:ascii="Arial" w:hAnsi="Arial" w:cs="Arial"/>
          <w:sz w:val="20"/>
          <w:szCs w:val="20"/>
        </w:rPr>
        <w:t>Czadeczce</w:t>
      </w:r>
      <w:proofErr w:type="spellEnd"/>
      <w:r w:rsidRPr="00A533BA">
        <w:rPr>
          <w:rFonts w:ascii="Arial" w:hAnsi="Arial" w:cs="Arial"/>
          <w:sz w:val="20"/>
          <w:szCs w:val="20"/>
        </w:rPr>
        <w:t xml:space="preserve"> </w:t>
      </w:r>
      <w:proofErr w:type="spellStart"/>
      <w:r w:rsidRPr="00A533BA">
        <w:rPr>
          <w:rFonts w:ascii="Arial" w:hAnsi="Arial" w:cs="Arial"/>
          <w:sz w:val="20"/>
          <w:szCs w:val="20"/>
        </w:rPr>
        <w:t>ppk</w:t>
      </w:r>
      <w:proofErr w:type="spellEnd"/>
      <w:r w:rsidRPr="00A533BA">
        <w:rPr>
          <w:rFonts w:ascii="Arial" w:hAnsi="Arial" w:cs="Arial"/>
          <w:sz w:val="20"/>
          <w:szCs w:val="20"/>
        </w:rPr>
        <w:t xml:space="preserve"> Istebna Jaworzynka województwo śląskie w żadnym z terminów poboru próbek nie wykryto pozostałości poszukiwanych środków ochrony roślin na poziomie wyższym od dolnej granicy </w:t>
      </w:r>
      <w:r w:rsidRPr="00A533BA">
        <w:rPr>
          <w:rFonts w:ascii="Arial" w:hAnsi="Arial" w:cs="Arial"/>
          <w:sz w:val="20"/>
          <w:szCs w:val="20"/>
        </w:rPr>
        <w:lastRenderedPageBreak/>
        <w:t>oznaczalności. W żadnej z próbek wód podziemnych nie znaleziono pozostałości środków ochrony roślin powyżej dolnej granicy oznaczalności.</w:t>
      </w:r>
    </w:p>
    <w:p w14:paraId="4D956966" w14:textId="7C77B3FC" w:rsidR="00E760CA" w:rsidRDefault="00000CDD" w:rsidP="009C7B7A">
      <w:pPr>
        <w:tabs>
          <w:tab w:val="left" w:pos="284"/>
        </w:tabs>
        <w:suppressAutoHyphens/>
        <w:autoSpaceDN w:val="0"/>
        <w:spacing w:after="120" w:line="360" w:lineRule="auto"/>
        <w:ind w:firstLine="284"/>
        <w:jc w:val="both"/>
        <w:textAlignment w:val="baseline"/>
        <w:rPr>
          <w:rFonts w:ascii="Arial" w:hAnsi="Arial" w:cs="Arial"/>
        </w:rPr>
      </w:pPr>
      <w:r w:rsidRPr="00A533BA">
        <w:rPr>
          <w:rFonts w:ascii="Arial" w:hAnsi="Arial" w:cs="Arial"/>
          <w:sz w:val="20"/>
          <w:szCs w:val="20"/>
        </w:rPr>
        <w:t xml:space="preserve">Zestawiając wyniki badań w odniesieniu do rozporządzenia </w:t>
      </w:r>
      <w:bookmarkStart w:id="43" w:name="_Hlk93308603"/>
      <w:r w:rsidRPr="00A533BA">
        <w:rPr>
          <w:rFonts w:ascii="Arial" w:hAnsi="Arial" w:cs="Arial"/>
          <w:sz w:val="20"/>
          <w:szCs w:val="20"/>
        </w:rPr>
        <w:t>Ministra Gospodarki Morskiej i Żeglugi Śródlądowej z dnia 29 sierpnia 2019 r. w sprawie wymagań, jakim powinny odpowiadać wody powierzchniowe wykorzystywane do zaopatrzenia ludności w wodę przeznaczoną do spożycia przez ludzi (Dz. U. poz. 1747)</w:t>
      </w:r>
      <w:bookmarkEnd w:id="43"/>
      <w:r w:rsidRPr="00A533BA">
        <w:rPr>
          <w:rFonts w:ascii="Arial" w:hAnsi="Arial" w:cs="Arial"/>
          <w:sz w:val="20"/>
          <w:szCs w:val="20"/>
        </w:rPr>
        <w:t xml:space="preserve"> 429 próbek (94,9% wszystkich) spełniało wymagania dla najwyższej kategorii czystości wód powierzchniowych, 17 próbek (3,8%) klasyfikowało się w kategorii A2, 2 próbki (0,4%) w</w:t>
      </w:r>
      <w:r w:rsidR="00F64BB0">
        <w:rPr>
          <w:rFonts w:ascii="Arial" w:hAnsi="Arial" w:cs="Arial"/>
          <w:sz w:val="20"/>
          <w:szCs w:val="20"/>
        </w:rPr>
        <w:t> </w:t>
      </w:r>
      <w:r w:rsidRPr="00A533BA">
        <w:rPr>
          <w:rFonts w:ascii="Arial" w:hAnsi="Arial" w:cs="Arial"/>
          <w:sz w:val="20"/>
          <w:szCs w:val="20"/>
        </w:rPr>
        <w:t>kategorii A3 oraz 4 próbki (0,9%) wykraczało poza wymagania kwalifikacji (suma pozostałości powyżej 5 µg/L).</w:t>
      </w:r>
    </w:p>
    <w:p w14:paraId="644980A3" w14:textId="1FF10ECF" w:rsidR="00E760CA" w:rsidRPr="00125F0E" w:rsidRDefault="00E760CA" w:rsidP="00E760CA">
      <w:pPr>
        <w:tabs>
          <w:tab w:val="left" w:pos="284"/>
        </w:tabs>
        <w:suppressAutoHyphens/>
        <w:autoSpaceDN w:val="0"/>
        <w:spacing w:after="120" w:line="360" w:lineRule="auto"/>
        <w:ind w:firstLine="284"/>
        <w:jc w:val="both"/>
        <w:textAlignment w:val="baseline"/>
        <w:rPr>
          <w:rFonts w:ascii="Arial" w:hAnsi="Arial" w:cs="Arial"/>
          <w:sz w:val="20"/>
          <w:szCs w:val="20"/>
        </w:rPr>
      </w:pPr>
      <w:r w:rsidRPr="00AD3D8F">
        <w:rPr>
          <w:rFonts w:ascii="Arial" w:hAnsi="Arial" w:cs="Arial"/>
          <w:b/>
          <w:bCs/>
          <w:sz w:val="20"/>
          <w:szCs w:val="20"/>
        </w:rPr>
        <w:t>W 2020 r</w:t>
      </w:r>
      <w:r w:rsidR="00A533BA" w:rsidRPr="00AD3D8F">
        <w:rPr>
          <w:rFonts w:ascii="Arial" w:hAnsi="Arial" w:cs="Arial"/>
          <w:b/>
          <w:bCs/>
          <w:sz w:val="20"/>
          <w:szCs w:val="20"/>
        </w:rPr>
        <w:t>.</w:t>
      </w:r>
      <w:r w:rsidR="00A533BA">
        <w:rPr>
          <w:rFonts w:ascii="Arial" w:hAnsi="Arial" w:cs="Arial"/>
          <w:sz w:val="20"/>
          <w:szCs w:val="20"/>
        </w:rPr>
        <w:t xml:space="preserve"> kontynuowan</w:t>
      </w:r>
      <w:r w:rsidR="00BF6133">
        <w:rPr>
          <w:rFonts w:ascii="Arial" w:hAnsi="Arial" w:cs="Arial"/>
          <w:sz w:val="20"/>
          <w:szCs w:val="20"/>
        </w:rPr>
        <w:t>o</w:t>
      </w:r>
      <w:r w:rsidR="00A533BA">
        <w:rPr>
          <w:rFonts w:ascii="Arial" w:hAnsi="Arial" w:cs="Arial"/>
          <w:sz w:val="20"/>
          <w:szCs w:val="20"/>
        </w:rPr>
        <w:t xml:space="preserve"> bad</w:t>
      </w:r>
      <w:r w:rsidR="00AD3D8F">
        <w:rPr>
          <w:rFonts w:ascii="Arial" w:hAnsi="Arial" w:cs="Arial"/>
          <w:sz w:val="20"/>
          <w:szCs w:val="20"/>
        </w:rPr>
        <w:t>a</w:t>
      </w:r>
      <w:r w:rsidR="00A533BA">
        <w:rPr>
          <w:rFonts w:ascii="Arial" w:hAnsi="Arial" w:cs="Arial"/>
          <w:sz w:val="20"/>
          <w:szCs w:val="20"/>
        </w:rPr>
        <w:t xml:space="preserve">nia </w:t>
      </w:r>
      <w:r w:rsidRPr="00125F0E">
        <w:rPr>
          <w:rFonts w:ascii="Arial" w:hAnsi="Arial" w:cs="Arial"/>
          <w:sz w:val="20"/>
          <w:szCs w:val="20"/>
        </w:rPr>
        <w:t>na obecność pozostałości środków ochrony roślin w wodach powierzchniowych i podziemnych</w:t>
      </w:r>
      <w:r w:rsidR="00AD3D8F">
        <w:rPr>
          <w:rFonts w:ascii="Arial" w:hAnsi="Arial" w:cs="Arial"/>
          <w:sz w:val="20"/>
          <w:szCs w:val="20"/>
        </w:rPr>
        <w:t>. Podobnie</w:t>
      </w:r>
      <w:r w:rsidRPr="00125F0E">
        <w:rPr>
          <w:rFonts w:ascii="Arial" w:hAnsi="Arial" w:cs="Arial"/>
          <w:sz w:val="20"/>
          <w:szCs w:val="20"/>
        </w:rPr>
        <w:t xml:space="preserve"> wytypowano w 13 województwach po 5 punktów pomiarowo-kontrolnych (</w:t>
      </w:r>
      <w:proofErr w:type="spellStart"/>
      <w:r w:rsidRPr="00125F0E">
        <w:rPr>
          <w:rFonts w:ascii="Arial" w:hAnsi="Arial" w:cs="Arial"/>
          <w:sz w:val="20"/>
          <w:szCs w:val="20"/>
        </w:rPr>
        <w:t>ppk</w:t>
      </w:r>
      <w:proofErr w:type="spellEnd"/>
      <w:r w:rsidRPr="00125F0E">
        <w:rPr>
          <w:rFonts w:ascii="Arial" w:hAnsi="Arial" w:cs="Arial"/>
          <w:sz w:val="20"/>
          <w:szCs w:val="20"/>
        </w:rPr>
        <w:t>) zlokalizowanych w zlewniach rzek na obszarze tych województw, z</w:t>
      </w:r>
      <w:r w:rsidR="00F64BB0">
        <w:rPr>
          <w:rFonts w:ascii="Arial" w:hAnsi="Arial" w:cs="Arial"/>
          <w:sz w:val="20"/>
          <w:szCs w:val="20"/>
        </w:rPr>
        <w:t> </w:t>
      </w:r>
      <w:r w:rsidRPr="00125F0E">
        <w:rPr>
          <w:rFonts w:ascii="Arial" w:hAnsi="Arial" w:cs="Arial"/>
          <w:sz w:val="20"/>
          <w:szCs w:val="20"/>
        </w:rPr>
        <w:t xml:space="preserve">których w jednomiesięcznych odstępach czasu, od kwietnia do października, pobierano próbki do badań. W województwie wielkopolskim wybrano 8 </w:t>
      </w:r>
      <w:proofErr w:type="spellStart"/>
      <w:r w:rsidRPr="00125F0E">
        <w:rPr>
          <w:rFonts w:ascii="Arial" w:hAnsi="Arial" w:cs="Arial"/>
          <w:sz w:val="20"/>
          <w:szCs w:val="20"/>
        </w:rPr>
        <w:t>ppk</w:t>
      </w:r>
      <w:proofErr w:type="spellEnd"/>
      <w:r w:rsidRPr="00125F0E">
        <w:rPr>
          <w:rFonts w:ascii="Arial" w:hAnsi="Arial" w:cs="Arial"/>
          <w:sz w:val="20"/>
          <w:szCs w:val="20"/>
        </w:rPr>
        <w:t>, które były monitorowane również w latach ubiegłych. Ponadto wytypowano, pobrano i przeanalizowano na obecność pestycydów próbki wód podziemnych w trzech terminach – wiosennym, letnim i jesiennym. Objęto badaniami trzy punkty o</w:t>
      </w:r>
      <w:r w:rsidR="00F64BB0">
        <w:rPr>
          <w:rFonts w:ascii="Arial" w:hAnsi="Arial" w:cs="Arial"/>
          <w:sz w:val="20"/>
          <w:szCs w:val="20"/>
        </w:rPr>
        <w:t> </w:t>
      </w:r>
      <w:r w:rsidRPr="00125F0E">
        <w:rPr>
          <w:rFonts w:ascii="Arial" w:hAnsi="Arial" w:cs="Arial"/>
          <w:sz w:val="20"/>
          <w:szCs w:val="20"/>
        </w:rPr>
        <w:t>różnej charakterystyce: naturalne źródło w Łopiennie (powiat gnieźnieński, gmina Mieleszyn), studnię hydroforową o głębokości 55 m w Buku (powiat nowotomyski, gmina Buk) oraz studnię gospodarczą o</w:t>
      </w:r>
      <w:r w:rsidR="00F64BB0">
        <w:rPr>
          <w:rFonts w:ascii="Arial" w:hAnsi="Arial" w:cs="Arial"/>
          <w:sz w:val="20"/>
          <w:szCs w:val="20"/>
        </w:rPr>
        <w:t> </w:t>
      </w:r>
      <w:r w:rsidRPr="00125F0E">
        <w:rPr>
          <w:rFonts w:ascii="Arial" w:hAnsi="Arial" w:cs="Arial"/>
          <w:sz w:val="20"/>
          <w:szCs w:val="20"/>
        </w:rPr>
        <w:t xml:space="preserve">głębokości 12 m w miejscowości Witkowo (powiat gnieźnieński, gmina Witkowo). W sumie do badań monitoringowych wód powierzchniowych wytypowano 73 </w:t>
      </w:r>
      <w:proofErr w:type="spellStart"/>
      <w:r w:rsidRPr="00125F0E">
        <w:rPr>
          <w:rFonts w:ascii="Arial" w:hAnsi="Arial" w:cs="Arial"/>
          <w:sz w:val="20"/>
          <w:szCs w:val="20"/>
        </w:rPr>
        <w:t>ppk</w:t>
      </w:r>
      <w:proofErr w:type="spellEnd"/>
      <w:r w:rsidRPr="00125F0E">
        <w:rPr>
          <w:rFonts w:ascii="Arial" w:hAnsi="Arial" w:cs="Arial"/>
          <w:sz w:val="20"/>
          <w:szCs w:val="20"/>
        </w:rPr>
        <w:t xml:space="preserve"> z terenu całej Polski oraz 3 punkty wód podziemnych. Łącznie w 2020 r. przebadano 483 próbki wód powierzchniowych oraz 9 próbek wód podziemnych. Próbki do badań pobierali pracownicy wojewódzkich inspektoratów ochrony środowiska oraz ich delegatur w ramach planowego monitoringu wód powierzchniowych poszczególnych województw.</w:t>
      </w:r>
    </w:p>
    <w:p w14:paraId="72D8E95E" w14:textId="77777777" w:rsidR="00E760CA" w:rsidRPr="00125F0E" w:rsidRDefault="00E760CA" w:rsidP="00E760CA">
      <w:pPr>
        <w:tabs>
          <w:tab w:val="left" w:pos="284"/>
        </w:tabs>
        <w:suppressAutoHyphens/>
        <w:autoSpaceDN w:val="0"/>
        <w:spacing w:before="120" w:after="120" w:line="360" w:lineRule="auto"/>
        <w:ind w:firstLine="284"/>
        <w:jc w:val="center"/>
        <w:textAlignment w:val="baseline"/>
        <w:rPr>
          <w:rFonts w:ascii="Arial" w:hAnsi="Arial" w:cs="Arial"/>
          <w:sz w:val="20"/>
          <w:szCs w:val="20"/>
        </w:rPr>
      </w:pPr>
      <w:r w:rsidRPr="00125F0E">
        <w:rPr>
          <w:rFonts w:ascii="Arial" w:hAnsi="Arial" w:cs="Arial"/>
          <w:noProof/>
          <w:sz w:val="20"/>
          <w:szCs w:val="20"/>
          <w:lang w:eastAsia="pl-PL"/>
        </w:rPr>
        <w:drawing>
          <wp:inline distT="0" distB="0" distL="0" distR="0" wp14:anchorId="42B2381E" wp14:editId="7C9AEBEC">
            <wp:extent cx="4001415" cy="3084494"/>
            <wp:effectExtent l="0" t="0" r="0" b="190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5441" cy="3095306"/>
                    </a:xfrm>
                    <a:prstGeom prst="rect">
                      <a:avLst/>
                    </a:prstGeom>
                    <a:noFill/>
                    <a:ln>
                      <a:noFill/>
                    </a:ln>
                  </pic:spPr>
                </pic:pic>
              </a:graphicData>
            </a:graphic>
          </wp:inline>
        </w:drawing>
      </w:r>
    </w:p>
    <w:p w14:paraId="067DBA88" w14:textId="77777777" w:rsidR="00E760CA" w:rsidRPr="00125F0E" w:rsidRDefault="00E760CA" w:rsidP="00E760CA">
      <w:pPr>
        <w:tabs>
          <w:tab w:val="left" w:pos="284"/>
        </w:tabs>
        <w:suppressAutoHyphens/>
        <w:autoSpaceDN w:val="0"/>
        <w:spacing w:before="120" w:after="120" w:line="360" w:lineRule="auto"/>
        <w:ind w:firstLine="284"/>
        <w:jc w:val="center"/>
        <w:textAlignment w:val="baseline"/>
        <w:rPr>
          <w:rFonts w:ascii="Arial" w:hAnsi="Arial" w:cs="Arial"/>
          <w:sz w:val="20"/>
          <w:szCs w:val="20"/>
        </w:rPr>
      </w:pPr>
      <w:r w:rsidRPr="00125F0E">
        <w:rPr>
          <w:rFonts w:ascii="Arial" w:hAnsi="Arial" w:cs="Arial"/>
          <w:i/>
          <w:iCs/>
          <w:sz w:val="20"/>
          <w:szCs w:val="20"/>
        </w:rPr>
        <w:t>Lokalizacja punktów pomiarowo-kontrolnych w 2020 r. na mapie Polski</w:t>
      </w:r>
    </w:p>
    <w:p w14:paraId="20699ECB" w14:textId="7ECAF91B" w:rsidR="00E760CA" w:rsidRPr="00125F0E" w:rsidRDefault="00E760CA" w:rsidP="00E760CA">
      <w:pPr>
        <w:tabs>
          <w:tab w:val="left" w:pos="284"/>
        </w:tabs>
        <w:suppressAutoHyphens/>
        <w:autoSpaceDN w:val="0"/>
        <w:spacing w:after="120" w:line="360" w:lineRule="auto"/>
        <w:ind w:firstLine="284"/>
        <w:jc w:val="both"/>
        <w:textAlignment w:val="baseline"/>
        <w:rPr>
          <w:rFonts w:ascii="Arial" w:hAnsi="Arial" w:cs="Arial"/>
          <w:sz w:val="20"/>
          <w:szCs w:val="20"/>
        </w:rPr>
      </w:pPr>
      <w:r w:rsidRPr="00125F0E">
        <w:rPr>
          <w:rFonts w:ascii="Arial" w:hAnsi="Arial" w:cs="Arial"/>
          <w:sz w:val="20"/>
          <w:szCs w:val="20"/>
        </w:rPr>
        <w:lastRenderedPageBreak/>
        <w:t xml:space="preserve">W </w:t>
      </w:r>
      <w:r w:rsidR="00AD3D8F">
        <w:rPr>
          <w:rFonts w:ascii="Arial" w:hAnsi="Arial" w:cs="Arial"/>
          <w:sz w:val="20"/>
          <w:szCs w:val="20"/>
        </w:rPr>
        <w:t xml:space="preserve">2020 r. </w:t>
      </w:r>
      <w:r w:rsidRPr="00125F0E">
        <w:rPr>
          <w:rFonts w:ascii="Arial" w:hAnsi="Arial" w:cs="Arial"/>
          <w:sz w:val="20"/>
          <w:szCs w:val="20"/>
        </w:rPr>
        <w:t xml:space="preserve">wykryto 55 substancji czynnych </w:t>
      </w:r>
      <w:proofErr w:type="spellStart"/>
      <w:r w:rsidRPr="00125F0E">
        <w:rPr>
          <w:rFonts w:ascii="Arial" w:hAnsi="Arial" w:cs="Arial"/>
          <w:sz w:val="20"/>
          <w:szCs w:val="20"/>
        </w:rPr>
        <w:t>śor</w:t>
      </w:r>
      <w:proofErr w:type="spellEnd"/>
      <w:r w:rsidRPr="00125F0E">
        <w:rPr>
          <w:rFonts w:ascii="Arial" w:hAnsi="Arial" w:cs="Arial"/>
          <w:sz w:val="20"/>
          <w:szCs w:val="20"/>
        </w:rPr>
        <w:t xml:space="preserve">, w tym 26 herbicydów, 22 fungicydy, 6 insektycydów i 1 metabolit, spośród 270 związków objętych badaniami. Ilość wykrytych substancji chwastobójczych </w:t>
      </w:r>
      <w:r w:rsidR="006363D6" w:rsidRPr="00125F0E">
        <w:rPr>
          <w:rFonts w:ascii="Arial" w:hAnsi="Arial" w:cs="Arial"/>
          <w:sz w:val="20"/>
          <w:szCs w:val="20"/>
        </w:rPr>
        <w:t>i</w:t>
      </w:r>
      <w:r w:rsidR="006363D6">
        <w:rPr>
          <w:rFonts w:ascii="Arial" w:hAnsi="Arial" w:cs="Arial"/>
          <w:sz w:val="20"/>
          <w:szCs w:val="20"/>
        </w:rPr>
        <w:t> </w:t>
      </w:r>
      <w:r w:rsidRPr="00125F0E">
        <w:rPr>
          <w:rFonts w:ascii="Arial" w:hAnsi="Arial" w:cs="Arial"/>
          <w:sz w:val="20"/>
          <w:szCs w:val="20"/>
        </w:rPr>
        <w:t>grzybobójczych była zbliżona, lecz w odniesieniu do wszystkich oznaczeń pozostałości w 2020 r. jednoznacznie należy podkreślić największy w nich udział pozostałości substancji chwastobójczych. We wszystkich próbkach pozyskanych w 2020 r</w:t>
      </w:r>
      <w:r w:rsidR="00AD3D8F">
        <w:rPr>
          <w:rFonts w:ascii="Arial" w:hAnsi="Arial" w:cs="Arial"/>
          <w:sz w:val="20"/>
          <w:szCs w:val="20"/>
        </w:rPr>
        <w:t>.</w:t>
      </w:r>
      <w:r w:rsidRPr="00125F0E">
        <w:rPr>
          <w:rFonts w:ascii="Arial" w:hAnsi="Arial" w:cs="Arial"/>
          <w:sz w:val="20"/>
          <w:szCs w:val="20"/>
        </w:rPr>
        <w:t xml:space="preserve"> poszukiwane substancje czynne (s.cz.) zostały wykryte w</w:t>
      </w:r>
      <w:r w:rsidR="00021416">
        <w:rPr>
          <w:rFonts w:ascii="Arial" w:hAnsi="Arial" w:cs="Arial"/>
          <w:sz w:val="20"/>
          <w:szCs w:val="20"/>
        </w:rPr>
        <w:t> </w:t>
      </w:r>
      <w:r w:rsidRPr="00125F0E">
        <w:rPr>
          <w:rFonts w:ascii="Arial" w:hAnsi="Arial" w:cs="Arial"/>
          <w:sz w:val="20"/>
          <w:szCs w:val="20"/>
        </w:rPr>
        <w:t xml:space="preserve">sumie 691 razy, z czego 392 oznaczenia przypadały na herbicydy (56,7 %), następnie 255 na fungicydy (36,9 %) oraz 43 na insektycydy (6,3 %) i tylko raz oznaczono produkt przemian pestycydów. Najczęściej oznaczane były pozostałości herbicydów: </w:t>
      </w:r>
      <w:proofErr w:type="spellStart"/>
      <w:r w:rsidRPr="00125F0E">
        <w:rPr>
          <w:rFonts w:ascii="Arial" w:hAnsi="Arial" w:cs="Arial"/>
          <w:sz w:val="20"/>
          <w:szCs w:val="20"/>
        </w:rPr>
        <w:t>metazachloru</w:t>
      </w:r>
      <w:proofErr w:type="spellEnd"/>
      <w:r w:rsidRPr="00125F0E">
        <w:rPr>
          <w:rFonts w:ascii="Arial" w:hAnsi="Arial" w:cs="Arial"/>
          <w:sz w:val="20"/>
          <w:szCs w:val="20"/>
        </w:rPr>
        <w:t xml:space="preserve">, </w:t>
      </w:r>
      <w:proofErr w:type="spellStart"/>
      <w:r w:rsidRPr="00125F0E">
        <w:rPr>
          <w:rFonts w:ascii="Arial" w:hAnsi="Arial" w:cs="Arial"/>
          <w:sz w:val="20"/>
          <w:szCs w:val="20"/>
        </w:rPr>
        <w:t>nikosulfuronu</w:t>
      </w:r>
      <w:proofErr w:type="spellEnd"/>
      <w:r w:rsidRPr="00125F0E">
        <w:rPr>
          <w:rFonts w:ascii="Arial" w:hAnsi="Arial" w:cs="Arial"/>
          <w:sz w:val="20"/>
          <w:szCs w:val="20"/>
        </w:rPr>
        <w:t xml:space="preserve">, </w:t>
      </w:r>
      <w:proofErr w:type="spellStart"/>
      <w:r w:rsidRPr="00125F0E">
        <w:rPr>
          <w:rFonts w:ascii="Arial" w:hAnsi="Arial" w:cs="Arial"/>
          <w:sz w:val="20"/>
          <w:szCs w:val="20"/>
        </w:rPr>
        <w:t>terbutylazyny</w:t>
      </w:r>
      <w:proofErr w:type="spellEnd"/>
      <w:r w:rsidRPr="00125F0E">
        <w:rPr>
          <w:rFonts w:ascii="Arial" w:hAnsi="Arial" w:cs="Arial"/>
          <w:sz w:val="20"/>
          <w:szCs w:val="20"/>
        </w:rPr>
        <w:t xml:space="preserve">, </w:t>
      </w:r>
      <w:proofErr w:type="spellStart"/>
      <w:r w:rsidRPr="00125F0E">
        <w:rPr>
          <w:rFonts w:ascii="Arial" w:hAnsi="Arial" w:cs="Arial"/>
          <w:sz w:val="20"/>
          <w:szCs w:val="20"/>
        </w:rPr>
        <w:t>metolachloru</w:t>
      </w:r>
      <w:proofErr w:type="spellEnd"/>
      <w:r w:rsidRPr="00125F0E">
        <w:rPr>
          <w:rFonts w:ascii="Arial" w:hAnsi="Arial" w:cs="Arial"/>
          <w:sz w:val="20"/>
          <w:szCs w:val="20"/>
        </w:rPr>
        <w:t xml:space="preserve">-S i </w:t>
      </w:r>
      <w:proofErr w:type="spellStart"/>
      <w:r w:rsidRPr="00125F0E">
        <w:rPr>
          <w:rFonts w:ascii="Arial" w:hAnsi="Arial" w:cs="Arial"/>
          <w:sz w:val="20"/>
          <w:szCs w:val="20"/>
        </w:rPr>
        <w:t>bentazonu</w:t>
      </w:r>
      <w:proofErr w:type="spellEnd"/>
      <w:r w:rsidRPr="00125F0E">
        <w:rPr>
          <w:rFonts w:ascii="Arial" w:hAnsi="Arial" w:cs="Arial"/>
          <w:sz w:val="20"/>
          <w:szCs w:val="20"/>
        </w:rPr>
        <w:t xml:space="preserve"> oraz fungicydu </w:t>
      </w:r>
      <w:proofErr w:type="spellStart"/>
      <w:r w:rsidRPr="00125F0E">
        <w:rPr>
          <w:rFonts w:ascii="Arial" w:hAnsi="Arial" w:cs="Arial"/>
          <w:sz w:val="20"/>
          <w:szCs w:val="20"/>
        </w:rPr>
        <w:t>tebukonazolu</w:t>
      </w:r>
      <w:proofErr w:type="spellEnd"/>
      <w:r w:rsidRPr="00125F0E">
        <w:rPr>
          <w:rFonts w:ascii="Arial" w:hAnsi="Arial" w:cs="Arial"/>
          <w:sz w:val="20"/>
          <w:szCs w:val="20"/>
        </w:rPr>
        <w:t>. Biorąc pod uwagę próbki wód bez pozostałości to odnotowano ich 273, czyli ponad połowę pobranych (55,5%).</w:t>
      </w:r>
    </w:p>
    <w:p w14:paraId="0EFD8BBE" w14:textId="58646535" w:rsidR="00E760CA" w:rsidRDefault="00E760CA" w:rsidP="00E760CA">
      <w:pPr>
        <w:tabs>
          <w:tab w:val="left" w:pos="284"/>
        </w:tabs>
        <w:suppressAutoHyphens/>
        <w:autoSpaceDN w:val="0"/>
        <w:spacing w:after="120" w:line="360" w:lineRule="auto"/>
        <w:ind w:firstLine="284"/>
        <w:jc w:val="both"/>
        <w:textAlignment w:val="baseline"/>
        <w:rPr>
          <w:rFonts w:ascii="Arial" w:hAnsi="Arial" w:cs="Arial"/>
          <w:sz w:val="20"/>
          <w:szCs w:val="20"/>
        </w:rPr>
      </w:pPr>
      <w:r w:rsidRPr="00125F0E">
        <w:rPr>
          <w:rFonts w:ascii="Arial" w:hAnsi="Arial" w:cs="Arial"/>
          <w:sz w:val="20"/>
          <w:szCs w:val="20"/>
        </w:rPr>
        <w:t>W 2020 r</w:t>
      </w:r>
      <w:r w:rsidR="00AD3D8F">
        <w:rPr>
          <w:rFonts w:ascii="Arial" w:hAnsi="Arial" w:cs="Arial"/>
          <w:sz w:val="20"/>
          <w:szCs w:val="20"/>
        </w:rPr>
        <w:t>.</w:t>
      </w:r>
      <w:r w:rsidRPr="00125F0E">
        <w:rPr>
          <w:rFonts w:ascii="Arial" w:hAnsi="Arial" w:cs="Arial"/>
          <w:sz w:val="20"/>
          <w:szCs w:val="20"/>
        </w:rPr>
        <w:t xml:space="preserve"> maksymalna liczba substancji wykryta jednocześnie w pojedynczej próbce została odnotowana w Strudze Toruńskiej (Bacha) w czerwcu i lipcu po 24 s.cz. oraz w próbce ze Szreniawy </w:t>
      </w:r>
      <w:r w:rsidR="00B44447" w:rsidRPr="00125F0E">
        <w:rPr>
          <w:rFonts w:ascii="Arial" w:hAnsi="Arial" w:cs="Arial"/>
          <w:sz w:val="20"/>
          <w:szCs w:val="20"/>
        </w:rPr>
        <w:t>w</w:t>
      </w:r>
      <w:r w:rsidR="00B44447">
        <w:rPr>
          <w:rFonts w:ascii="Arial" w:hAnsi="Arial" w:cs="Arial"/>
          <w:sz w:val="20"/>
          <w:szCs w:val="20"/>
        </w:rPr>
        <w:t> </w:t>
      </w:r>
      <w:r w:rsidRPr="00125F0E">
        <w:rPr>
          <w:rFonts w:ascii="Arial" w:hAnsi="Arial" w:cs="Arial"/>
          <w:sz w:val="20"/>
          <w:szCs w:val="20"/>
        </w:rPr>
        <w:t xml:space="preserve">czerwcu – 23 związki. Z kolei najwyższe stężenia pozostałości środków ochrony roślin, zarówno dla pojedynczych substancji jak i sum ich stężeń wykryto w Strudze Toruńskiej (Bacha) płynącej przez kompleksy pól uprawnych zlewni Koniczynka, województwo kujawsko-pomorskie. Najwyższe stężenie w </w:t>
      </w:r>
      <w:proofErr w:type="spellStart"/>
      <w:r w:rsidRPr="00125F0E">
        <w:rPr>
          <w:rFonts w:ascii="Arial" w:hAnsi="Arial" w:cs="Arial"/>
          <w:sz w:val="20"/>
          <w:szCs w:val="20"/>
        </w:rPr>
        <w:t>ppk</w:t>
      </w:r>
      <w:proofErr w:type="spellEnd"/>
      <w:r w:rsidRPr="00125F0E">
        <w:rPr>
          <w:rFonts w:ascii="Arial" w:hAnsi="Arial" w:cs="Arial"/>
          <w:sz w:val="20"/>
          <w:szCs w:val="20"/>
        </w:rPr>
        <w:t xml:space="preserve"> Koniczynka odnotowano w czerwcu dla herbicydu </w:t>
      </w:r>
      <w:proofErr w:type="spellStart"/>
      <w:r w:rsidRPr="00125F0E">
        <w:rPr>
          <w:rFonts w:ascii="Arial" w:hAnsi="Arial" w:cs="Arial"/>
          <w:sz w:val="20"/>
          <w:szCs w:val="20"/>
        </w:rPr>
        <w:t>fluazyfopu</w:t>
      </w:r>
      <w:proofErr w:type="spellEnd"/>
      <w:r w:rsidRPr="00125F0E">
        <w:rPr>
          <w:rFonts w:ascii="Arial" w:hAnsi="Arial" w:cs="Arial"/>
          <w:sz w:val="20"/>
          <w:szCs w:val="20"/>
        </w:rPr>
        <w:t xml:space="preserve">, które wyniosło 18,551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tej samej próbce oznaczono również fungicyd </w:t>
      </w:r>
      <w:proofErr w:type="spellStart"/>
      <w:r w:rsidRPr="00125F0E">
        <w:rPr>
          <w:rFonts w:ascii="Arial" w:hAnsi="Arial" w:cs="Arial"/>
          <w:sz w:val="20"/>
          <w:szCs w:val="20"/>
        </w:rPr>
        <w:t>tebukonazol</w:t>
      </w:r>
      <w:proofErr w:type="spellEnd"/>
      <w:r w:rsidRPr="00125F0E">
        <w:rPr>
          <w:rFonts w:ascii="Arial" w:hAnsi="Arial" w:cs="Arial"/>
          <w:sz w:val="20"/>
          <w:szCs w:val="20"/>
        </w:rPr>
        <w:t xml:space="preserve"> o stężeniu 16,432 </w:t>
      </w:r>
      <w:proofErr w:type="spellStart"/>
      <w:r w:rsidRPr="00125F0E">
        <w:rPr>
          <w:rFonts w:ascii="Arial" w:hAnsi="Arial" w:cs="Arial"/>
          <w:sz w:val="20"/>
          <w:szCs w:val="20"/>
        </w:rPr>
        <w:t>μg</w:t>
      </w:r>
      <w:proofErr w:type="spellEnd"/>
      <w:r w:rsidRPr="00125F0E">
        <w:rPr>
          <w:rFonts w:ascii="Arial" w:hAnsi="Arial" w:cs="Arial"/>
          <w:sz w:val="20"/>
          <w:szCs w:val="20"/>
        </w:rPr>
        <w:t>/L. Najwyższe sumy wykrytych pozostałości w pojedynczej próbce wody w 2020 r</w:t>
      </w:r>
      <w:r w:rsidR="000D3601">
        <w:rPr>
          <w:rFonts w:ascii="Arial" w:hAnsi="Arial" w:cs="Arial"/>
          <w:sz w:val="20"/>
          <w:szCs w:val="20"/>
        </w:rPr>
        <w:t>.</w:t>
      </w:r>
      <w:r w:rsidRPr="00125F0E">
        <w:rPr>
          <w:rFonts w:ascii="Arial" w:hAnsi="Arial" w:cs="Arial"/>
          <w:sz w:val="20"/>
          <w:szCs w:val="20"/>
        </w:rPr>
        <w:t xml:space="preserve"> oznaczano ponownie w Strudze Toruńskiej (Bacha) w miesiącach letnich i wyniosły one odpowiednio 59,652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czerwcu, 43,227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lipcu oraz 23,560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sierpniu. Dla innych województw wysokie sumy stężeń odnotowano m.in. w rz. Mogielnicy </w:t>
      </w:r>
      <w:proofErr w:type="spellStart"/>
      <w:r w:rsidRPr="00125F0E">
        <w:rPr>
          <w:rFonts w:ascii="Arial" w:hAnsi="Arial" w:cs="Arial"/>
          <w:sz w:val="20"/>
          <w:szCs w:val="20"/>
        </w:rPr>
        <w:t>ppk</w:t>
      </w:r>
      <w:proofErr w:type="spellEnd"/>
      <w:r w:rsidRPr="00125F0E">
        <w:rPr>
          <w:rFonts w:ascii="Arial" w:hAnsi="Arial" w:cs="Arial"/>
          <w:sz w:val="20"/>
          <w:szCs w:val="20"/>
        </w:rPr>
        <w:t xml:space="preserve"> Wojnowice woj. wielkopolskie w maju – 8,446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rz. Krzywuli </w:t>
      </w:r>
      <w:proofErr w:type="spellStart"/>
      <w:r w:rsidRPr="00125F0E">
        <w:rPr>
          <w:rFonts w:ascii="Arial" w:hAnsi="Arial" w:cs="Arial"/>
          <w:sz w:val="20"/>
          <w:szCs w:val="20"/>
        </w:rPr>
        <w:t>ppk</w:t>
      </w:r>
      <w:proofErr w:type="spellEnd"/>
      <w:r w:rsidRPr="00125F0E">
        <w:rPr>
          <w:rFonts w:ascii="Arial" w:hAnsi="Arial" w:cs="Arial"/>
          <w:sz w:val="20"/>
          <w:szCs w:val="20"/>
        </w:rPr>
        <w:t xml:space="preserve"> Golczowice woj. opolskie – 3,660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czerwcu oraz również w czerwcu w rz. Szreniawie </w:t>
      </w:r>
      <w:proofErr w:type="spellStart"/>
      <w:r w:rsidRPr="00125F0E">
        <w:rPr>
          <w:rFonts w:ascii="Arial" w:hAnsi="Arial" w:cs="Arial"/>
          <w:sz w:val="20"/>
          <w:szCs w:val="20"/>
        </w:rPr>
        <w:t>ppk</w:t>
      </w:r>
      <w:proofErr w:type="spellEnd"/>
      <w:r w:rsidRPr="00125F0E">
        <w:rPr>
          <w:rFonts w:ascii="Arial" w:hAnsi="Arial" w:cs="Arial"/>
          <w:sz w:val="20"/>
          <w:szCs w:val="20"/>
        </w:rPr>
        <w:t xml:space="preserve"> Koszyce, woj. małopolskie – 3,042 </w:t>
      </w:r>
      <w:proofErr w:type="spellStart"/>
      <w:r w:rsidRPr="00125F0E">
        <w:rPr>
          <w:rFonts w:ascii="Arial" w:hAnsi="Arial" w:cs="Arial"/>
          <w:sz w:val="20"/>
          <w:szCs w:val="20"/>
        </w:rPr>
        <w:t>μg</w:t>
      </w:r>
      <w:proofErr w:type="spellEnd"/>
      <w:r w:rsidRPr="00125F0E">
        <w:rPr>
          <w:rFonts w:ascii="Arial" w:hAnsi="Arial" w:cs="Arial"/>
          <w:sz w:val="20"/>
          <w:szCs w:val="20"/>
        </w:rPr>
        <w:t>/L.</w:t>
      </w:r>
    </w:p>
    <w:p w14:paraId="32A2463E" w14:textId="16B977EA" w:rsidR="002E51A8" w:rsidRPr="00125F0E" w:rsidRDefault="002E51A8" w:rsidP="002E51A8">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t>W odniesieniu do</w:t>
      </w:r>
      <w:r w:rsidRPr="00125F0E">
        <w:rPr>
          <w:rFonts w:ascii="Arial" w:hAnsi="Arial" w:cs="Arial"/>
          <w:sz w:val="20"/>
          <w:szCs w:val="20"/>
        </w:rPr>
        <w:t xml:space="preserve"> rozporządzenia Ministra Zdrowia z dnia 7 grudnia 2017 r. w sprawie jakości wody przeznaczonej do spożycia przez ludzi (Dz.U. poz. 2294), 202 oznaczenia pojedynczej substancji z</w:t>
      </w:r>
      <w:r w:rsidR="00021416">
        <w:rPr>
          <w:rFonts w:ascii="Arial" w:hAnsi="Arial" w:cs="Arial"/>
          <w:sz w:val="20"/>
          <w:szCs w:val="20"/>
        </w:rPr>
        <w:t> </w:t>
      </w:r>
      <w:r w:rsidRPr="00125F0E">
        <w:rPr>
          <w:rFonts w:ascii="Arial" w:hAnsi="Arial" w:cs="Arial"/>
          <w:sz w:val="20"/>
          <w:szCs w:val="20"/>
        </w:rPr>
        <w:t xml:space="preserve">wszystkich 691 potwierdzonych oznaczeń, tj. 29,2%, przekraczało graniczną wartość 0,1 </w:t>
      </w:r>
      <w:proofErr w:type="spellStart"/>
      <w:r w:rsidRPr="00125F0E">
        <w:rPr>
          <w:rFonts w:ascii="Arial" w:hAnsi="Arial" w:cs="Arial"/>
          <w:sz w:val="20"/>
          <w:szCs w:val="20"/>
        </w:rPr>
        <w:t>μg</w:t>
      </w:r>
      <w:proofErr w:type="spellEnd"/>
      <w:r w:rsidRPr="00125F0E">
        <w:rPr>
          <w:rFonts w:ascii="Arial" w:hAnsi="Arial" w:cs="Arial"/>
          <w:sz w:val="20"/>
          <w:szCs w:val="20"/>
        </w:rPr>
        <w:t xml:space="preserve">/L. Natomiast w przypadku drugiej części wymagań rozporządzenia dotyczących sumy wszystkich wykrytych substancji w pojedynczej próbce wody 38 próbek wód z pozyskanych 492, czyli 7,7% wszystkich, było wyższe od dopuszczalnej sumy wynoszącej 0,5 </w:t>
      </w:r>
      <w:proofErr w:type="spellStart"/>
      <w:r w:rsidRPr="00125F0E">
        <w:rPr>
          <w:rFonts w:ascii="Arial" w:hAnsi="Arial" w:cs="Arial"/>
          <w:sz w:val="20"/>
          <w:szCs w:val="20"/>
        </w:rPr>
        <w:t>μg</w:t>
      </w:r>
      <w:proofErr w:type="spellEnd"/>
      <w:r w:rsidRPr="00125F0E">
        <w:rPr>
          <w:rFonts w:ascii="Arial" w:hAnsi="Arial" w:cs="Arial"/>
          <w:sz w:val="20"/>
          <w:szCs w:val="20"/>
        </w:rPr>
        <w:t>/L.</w:t>
      </w:r>
    </w:p>
    <w:p w14:paraId="166D95F6" w14:textId="59D35E88" w:rsidR="002E51A8" w:rsidRPr="00125F0E" w:rsidRDefault="002E51A8" w:rsidP="002E51A8">
      <w:pPr>
        <w:tabs>
          <w:tab w:val="left" w:pos="284"/>
        </w:tabs>
        <w:suppressAutoHyphens/>
        <w:autoSpaceDN w:val="0"/>
        <w:spacing w:after="120" w:line="360" w:lineRule="auto"/>
        <w:ind w:firstLine="284"/>
        <w:jc w:val="both"/>
        <w:textAlignment w:val="baseline"/>
        <w:rPr>
          <w:rFonts w:ascii="Arial" w:hAnsi="Arial" w:cs="Arial"/>
          <w:sz w:val="20"/>
          <w:szCs w:val="20"/>
        </w:rPr>
      </w:pPr>
      <w:r w:rsidRPr="00125F0E">
        <w:rPr>
          <w:rFonts w:ascii="Arial" w:hAnsi="Arial" w:cs="Arial"/>
          <w:sz w:val="20"/>
          <w:szCs w:val="20"/>
        </w:rPr>
        <w:t>Najmniej s.cz. znaleziono w trakcie analiz próbek wód z województw lubuskiego i podlaskiego, z</w:t>
      </w:r>
      <w:r w:rsidR="00021416">
        <w:rPr>
          <w:rFonts w:ascii="Arial" w:hAnsi="Arial" w:cs="Arial"/>
          <w:sz w:val="20"/>
          <w:szCs w:val="20"/>
        </w:rPr>
        <w:t> </w:t>
      </w:r>
      <w:r w:rsidRPr="00125F0E">
        <w:rPr>
          <w:rFonts w:ascii="Arial" w:hAnsi="Arial" w:cs="Arial"/>
          <w:sz w:val="20"/>
          <w:szCs w:val="20"/>
        </w:rPr>
        <w:t xml:space="preserve">kolei najwięcej s.cz. wykryto w wytypowanych do badań zlewniach rzek województw wielkopolskiego, kujawsko-pomorskiego i dolnośląskiego. W dziesięciu </w:t>
      </w:r>
      <w:proofErr w:type="spellStart"/>
      <w:r w:rsidRPr="00125F0E">
        <w:rPr>
          <w:rFonts w:ascii="Arial" w:hAnsi="Arial" w:cs="Arial"/>
          <w:sz w:val="20"/>
          <w:szCs w:val="20"/>
        </w:rPr>
        <w:t>ppk</w:t>
      </w:r>
      <w:proofErr w:type="spellEnd"/>
      <w:r w:rsidRPr="00125F0E">
        <w:rPr>
          <w:rFonts w:ascii="Arial" w:hAnsi="Arial" w:cs="Arial"/>
          <w:sz w:val="20"/>
          <w:szCs w:val="20"/>
        </w:rPr>
        <w:t xml:space="preserve">, tj. rz. Jezierzyca województwo dolnośląskie, kanał Wieprz-Krzna województwo lubelskie, rzeki Ilanka i Noteć w województwie lubuskim, rz. Skawa województwo małopolskie, rz. </w:t>
      </w:r>
      <w:proofErr w:type="spellStart"/>
      <w:r w:rsidRPr="00125F0E">
        <w:rPr>
          <w:rFonts w:ascii="Arial" w:hAnsi="Arial" w:cs="Arial"/>
          <w:sz w:val="20"/>
          <w:szCs w:val="20"/>
        </w:rPr>
        <w:t>Kosódka</w:t>
      </w:r>
      <w:proofErr w:type="spellEnd"/>
      <w:r w:rsidRPr="00125F0E">
        <w:rPr>
          <w:rFonts w:ascii="Arial" w:hAnsi="Arial" w:cs="Arial"/>
          <w:sz w:val="20"/>
          <w:szCs w:val="20"/>
        </w:rPr>
        <w:t xml:space="preserve"> województwo podlaskie, rz. Brda województwo pomorskie, rz.</w:t>
      </w:r>
      <w:r w:rsidR="00021416">
        <w:rPr>
          <w:rFonts w:ascii="Arial" w:hAnsi="Arial" w:cs="Arial"/>
          <w:sz w:val="20"/>
          <w:szCs w:val="20"/>
        </w:rPr>
        <w:t> </w:t>
      </w:r>
      <w:proofErr w:type="spellStart"/>
      <w:r w:rsidRPr="00125F0E">
        <w:rPr>
          <w:rFonts w:ascii="Arial" w:hAnsi="Arial" w:cs="Arial"/>
          <w:sz w:val="20"/>
          <w:szCs w:val="20"/>
        </w:rPr>
        <w:t>Czadeczka</w:t>
      </w:r>
      <w:proofErr w:type="spellEnd"/>
      <w:r w:rsidRPr="00125F0E">
        <w:rPr>
          <w:rFonts w:ascii="Arial" w:hAnsi="Arial" w:cs="Arial"/>
          <w:sz w:val="20"/>
          <w:szCs w:val="20"/>
        </w:rPr>
        <w:t xml:space="preserve"> województwo śląskie oraz w rzekach Krępa i Parsęta w województwie zachodniopomorskim, w żadnym z terminów poboru próbek nie wykryto pozostałości poszukiwanych substancji na poziomie wyższym od DGO. W żadnej z próbek wód podziemnych pobranych do badań w 2020</w:t>
      </w:r>
      <w:r w:rsidR="000D3601">
        <w:rPr>
          <w:rFonts w:ascii="Arial" w:hAnsi="Arial" w:cs="Arial"/>
          <w:sz w:val="20"/>
          <w:szCs w:val="20"/>
        </w:rPr>
        <w:t> </w:t>
      </w:r>
      <w:r w:rsidRPr="00125F0E">
        <w:rPr>
          <w:rFonts w:ascii="Arial" w:hAnsi="Arial" w:cs="Arial"/>
          <w:sz w:val="20"/>
          <w:szCs w:val="20"/>
        </w:rPr>
        <w:t>r</w:t>
      </w:r>
      <w:r w:rsidR="000D3601">
        <w:rPr>
          <w:rFonts w:ascii="Arial" w:hAnsi="Arial" w:cs="Arial"/>
          <w:sz w:val="20"/>
          <w:szCs w:val="20"/>
        </w:rPr>
        <w:t>.</w:t>
      </w:r>
      <w:r w:rsidRPr="00125F0E">
        <w:rPr>
          <w:rFonts w:ascii="Arial" w:hAnsi="Arial" w:cs="Arial"/>
          <w:sz w:val="20"/>
          <w:szCs w:val="20"/>
        </w:rPr>
        <w:t xml:space="preserve"> nie znaleziono pozostałości s.cz. środków ochrony roślin powyżej dolnej granicy oznaczalności.</w:t>
      </w:r>
    </w:p>
    <w:p w14:paraId="2FE6C221" w14:textId="4BEA9B35" w:rsidR="00E760CA" w:rsidRPr="00125F0E" w:rsidRDefault="002E51A8" w:rsidP="002E51A8">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lastRenderedPageBreak/>
        <w:t>Zestawiając wyniki badań w odniesieniu do r</w:t>
      </w:r>
      <w:r w:rsidR="00E760CA" w:rsidRPr="00125F0E">
        <w:rPr>
          <w:rFonts w:ascii="Arial" w:hAnsi="Arial" w:cs="Arial"/>
          <w:sz w:val="20"/>
          <w:szCs w:val="20"/>
        </w:rPr>
        <w:t>ozporządzeni</w:t>
      </w:r>
      <w:r>
        <w:rPr>
          <w:rFonts w:ascii="Arial" w:hAnsi="Arial" w:cs="Arial"/>
          <w:sz w:val="20"/>
          <w:szCs w:val="20"/>
        </w:rPr>
        <w:t xml:space="preserve">a </w:t>
      </w:r>
      <w:r w:rsidR="00E760CA" w:rsidRPr="00125F0E">
        <w:rPr>
          <w:rFonts w:ascii="Arial" w:hAnsi="Arial" w:cs="Arial"/>
          <w:sz w:val="20"/>
          <w:szCs w:val="20"/>
        </w:rPr>
        <w:t>Ministra Gospodarki Morskiej i Żeglugi Śródlądowej z dnia 29 sierpnia 2019 r. w sprawie wymagań, jakim powinny odpowiadać wody powierzchniowe wykorzystywane do zaopatrzenia ludności w wodę przeznaczoną do spożycia przez ludzi (Dz.U. poz. 1747), 472 próbki, tj. 95,9% wszystkich pobranych, spełniło wymagania dla najwyższej kategorii czystości wód powierzchniowych A1 (suma pozostałości s.cz. poniżej 1 µg/L), 10 próbek (2%) klasyfikowało się w kategorii A2 (suma od 1 do 2,5 µg/L) oraz, odpowiednio, po 5 próbek (1%) znalazło się w kategorii A3 (suma od 2,5 do 5 µg/L) lub nie spełniało wymagań kwalifikacji (suma wykrytych pozostałości powyżej 5 µg/L).</w:t>
      </w:r>
    </w:p>
    <w:p w14:paraId="52479DD2" w14:textId="77777777" w:rsidR="00E760CA" w:rsidRPr="00125F0E" w:rsidRDefault="00E760CA" w:rsidP="00E760CA">
      <w:pPr>
        <w:tabs>
          <w:tab w:val="left" w:pos="284"/>
        </w:tabs>
        <w:suppressAutoHyphens/>
        <w:autoSpaceDN w:val="0"/>
        <w:spacing w:after="120" w:line="360" w:lineRule="auto"/>
        <w:ind w:firstLine="284"/>
        <w:jc w:val="center"/>
        <w:textAlignment w:val="baseline"/>
        <w:rPr>
          <w:rFonts w:ascii="Arial" w:hAnsi="Arial" w:cs="Arial"/>
          <w:sz w:val="20"/>
          <w:szCs w:val="20"/>
        </w:rPr>
      </w:pPr>
      <w:r w:rsidRPr="00125F0E">
        <w:rPr>
          <w:rFonts w:ascii="Arial" w:hAnsi="Arial" w:cs="Arial"/>
          <w:noProof/>
          <w:sz w:val="20"/>
          <w:szCs w:val="20"/>
          <w:lang w:eastAsia="pl-PL"/>
        </w:rPr>
        <w:drawing>
          <wp:inline distT="0" distB="0" distL="0" distR="0" wp14:anchorId="0C2E9696" wp14:editId="3B3643E8">
            <wp:extent cx="4345229" cy="2340864"/>
            <wp:effectExtent l="0" t="0" r="17780" b="254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7E5968" w14:textId="78D3128C" w:rsidR="00E760CA" w:rsidRDefault="00E760CA" w:rsidP="00E760CA">
      <w:pPr>
        <w:tabs>
          <w:tab w:val="left" w:pos="284"/>
        </w:tabs>
        <w:suppressAutoHyphens/>
        <w:autoSpaceDN w:val="0"/>
        <w:spacing w:after="120" w:line="360" w:lineRule="auto"/>
        <w:ind w:firstLine="284"/>
        <w:jc w:val="center"/>
        <w:textAlignment w:val="baseline"/>
        <w:rPr>
          <w:rFonts w:ascii="Arial" w:hAnsi="Arial" w:cs="Arial"/>
          <w:i/>
          <w:sz w:val="20"/>
          <w:szCs w:val="20"/>
        </w:rPr>
      </w:pPr>
      <w:r w:rsidRPr="00125F0E">
        <w:rPr>
          <w:rFonts w:ascii="Arial" w:hAnsi="Arial" w:cs="Arial"/>
          <w:i/>
          <w:sz w:val="20"/>
          <w:szCs w:val="20"/>
        </w:rPr>
        <w:t>Wyniki badań w 2020 r</w:t>
      </w:r>
      <w:r w:rsidR="002E51A8">
        <w:rPr>
          <w:rFonts w:ascii="Arial" w:hAnsi="Arial" w:cs="Arial"/>
          <w:i/>
          <w:sz w:val="20"/>
          <w:szCs w:val="20"/>
        </w:rPr>
        <w:t>.</w:t>
      </w:r>
      <w:r w:rsidRPr="00125F0E">
        <w:rPr>
          <w:rFonts w:ascii="Arial" w:hAnsi="Arial" w:cs="Arial"/>
          <w:i/>
          <w:sz w:val="20"/>
          <w:szCs w:val="20"/>
        </w:rPr>
        <w:t xml:space="preserve"> w odniesieniu do rozporządzenia Ministra Gospodarki Morskiej i Żeglugi Śródlądowej </w:t>
      </w:r>
    </w:p>
    <w:p w14:paraId="07C8F7A6" w14:textId="16362AEE" w:rsidR="007769B4" w:rsidRPr="00271C1A" w:rsidRDefault="007769B4" w:rsidP="007769B4">
      <w:pPr>
        <w:tabs>
          <w:tab w:val="left" w:pos="284"/>
        </w:tabs>
        <w:suppressAutoHyphens/>
        <w:autoSpaceDN w:val="0"/>
        <w:spacing w:after="120" w:line="360" w:lineRule="auto"/>
        <w:ind w:firstLine="284"/>
        <w:jc w:val="both"/>
        <w:textAlignment w:val="baseline"/>
        <w:rPr>
          <w:rFonts w:ascii="Arial" w:hAnsi="Arial" w:cs="Arial"/>
          <w:sz w:val="20"/>
          <w:szCs w:val="20"/>
        </w:rPr>
      </w:pPr>
      <w:r w:rsidRPr="00271C1A">
        <w:rPr>
          <w:rFonts w:ascii="Arial" w:hAnsi="Arial" w:cs="Arial"/>
          <w:b/>
          <w:sz w:val="20"/>
          <w:szCs w:val="20"/>
        </w:rPr>
        <w:t>W</w:t>
      </w:r>
      <w:r w:rsidRPr="00271C1A">
        <w:rPr>
          <w:rFonts w:ascii="Arial" w:hAnsi="Arial" w:cs="Arial"/>
          <w:sz w:val="20"/>
          <w:szCs w:val="20"/>
        </w:rPr>
        <w:t xml:space="preserve"> </w:t>
      </w:r>
      <w:r w:rsidRPr="00271C1A">
        <w:rPr>
          <w:rFonts w:ascii="Arial" w:hAnsi="Arial" w:cs="Arial"/>
          <w:b/>
          <w:sz w:val="20"/>
          <w:szCs w:val="20"/>
        </w:rPr>
        <w:t xml:space="preserve">2021 </w:t>
      </w:r>
      <w:r w:rsidRPr="00271C1A">
        <w:rPr>
          <w:rFonts w:ascii="Arial" w:hAnsi="Arial" w:cs="Arial"/>
          <w:sz w:val="20"/>
          <w:szCs w:val="20"/>
        </w:rPr>
        <w:t>r</w:t>
      </w:r>
      <w:r w:rsidR="00D94159">
        <w:rPr>
          <w:rFonts w:ascii="Arial" w:hAnsi="Arial" w:cs="Arial"/>
          <w:sz w:val="20"/>
          <w:szCs w:val="20"/>
        </w:rPr>
        <w:t>.</w:t>
      </w:r>
      <w:r w:rsidRPr="00271C1A">
        <w:rPr>
          <w:rFonts w:ascii="Arial" w:hAnsi="Arial" w:cs="Arial"/>
          <w:sz w:val="20"/>
          <w:szCs w:val="20"/>
        </w:rPr>
        <w:t xml:space="preserve"> badaniami na obecność pozostałości środków ochrony roślin w wodach powierzchniowych i podziemnych został objęty cały obszar Polski. We współpracy z Głównym Inspektoratem Ochrony Środowiska oraz </w:t>
      </w:r>
      <w:r w:rsidR="00B97D14" w:rsidRPr="00271C1A">
        <w:rPr>
          <w:rFonts w:ascii="Arial" w:hAnsi="Arial" w:cs="Arial"/>
          <w:sz w:val="20"/>
          <w:szCs w:val="20"/>
        </w:rPr>
        <w:t>wojewódzkim</w:t>
      </w:r>
      <w:r w:rsidR="000C10C6">
        <w:rPr>
          <w:rFonts w:ascii="Arial" w:hAnsi="Arial" w:cs="Arial"/>
          <w:sz w:val="20"/>
          <w:szCs w:val="20"/>
        </w:rPr>
        <w:t>i i</w:t>
      </w:r>
      <w:r w:rsidRPr="00271C1A">
        <w:rPr>
          <w:rFonts w:ascii="Arial" w:hAnsi="Arial" w:cs="Arial"/>
          <w:sz w:val="20"/>
          <w:szCs w:val="20"/>
        </w:rPr>
        <w:t>nspektoratami</w:t>
      </w:r>
      <w:r w:rsidR="00794F78">
        <w:rPr>
          <w:rFonts w:ascii="Arial" w:hAnsi="Arial" w:cs="Arial"/>
          <w:sz w:val="20"/>
          <w:szCs w:val="20"/>
        </w:rPr>
        <w:t xml:space="preserve"> ochrony środowiska</w:t>
      </w:r>
      <w:r w:rsidRPr="00271C1A">
        <w:rPr>
          <w:rFonts w:ascii="Arial" w:hAnsi="Arial" w:cs="Arial"/>
          <w:sz w:val="20"/>
          <w:szCs w:val="20"/>
        </w:rPr>
        <w:t>, wytypowano w 12 województwach tj. dolnośląskim, kujawsko-pomorskim, lubelskim, lubuskim, małopolskim, opolskim, podlaskim, pomorskim, śląskim, świętokrzyskim, warmińsko-mazurskim i zachodnio-pomorskim po 5 punktów pomiarowo-kontrolnych (</w:t>
      </w:r>
      <w:proofErr w:type="spellStart"/>
      <w:r w:rsidRPr="00271C1A">
        <w:rPr>
          <w:rFonts w:ascii="Arial" w:hAnsi="Arial" w:cs="Arial"/>
          <w:sz w:val="20"/>
          <w:szCs w:val="20"/>
        </w:rPr>
        <w:t>ppk</w:t>
      </w:r>
      <w:proofErr w:type="spellEnd"/>
      <w:r w:rsidRPr="00271C1A">
        <w:rPr>
          <w:rFonts w:ascii="Arial" w:hAnsi="Arial" w:cs="Arial"/>
          <w:sz w:val="20"/>
          <w:szCs w:val="20"/>
        </w:rPr>
        <w:t>) zlokalizowanych w zlewniach rzek na obszarze tych województw. W</w:t>
      </w:r>
      <w:r w:rsidR="00337682">
        <w:rPr>
          <w:rFonts w:ascii="Arial" w:hAnsi="Arial" w:cs="Arial"/>
          <w:sz w:val="20"/>
          <w:szCs w:val="20"/>
        </w:rPr>
        <w:t> </w:t>
      </w:r>
      <w:r w:rsidRPr="00271C1A">
        <w:rPr>
          <w:rFonts w:ascii="Arial" w:hAnsi="Arial" w:cs="Arial"/>
          <w:sz w:val="20"/>
          <w:szCs w:val="20"/>
        </w:rPr>
        <w:t xml:space="preserve">województwie podkarpackim próbki pobierano z 7 </w:t>
      </w:r>
      <w:proofErr w:type="spellStart"/>
      <w:r w:rsidRPr="00271C1A">
        <w:rPr>
          <w:rFonts w:ascii="Arial" w:hAnsi="Arial" w:cs="Arial"/>
          <w:sz w:val="20"/>
          <w:szCs w:val="20"/>
        </w:rPr>
        <w:t>ppk</w:t>
      </w:r>
      <w:proofErr w:type="spellEnd"/>
      <w:r w:rsidRPr="00271C1A">
        <w:rPr>
          <w:rFonts w:ascii="Arial" w:hAnsi="Arial" w:cs="Arial"/>
          <w:sz w:val="20"/>
          <w:szCs w:val="20"/>
        </w:rPr>
        <w:t xml:space="preserve">, które były monitorowane również w latach 2019-2020 oraz w województwie wielkopolskim kontynuowano pobór w 8 </w:t>
      </w:r>
      <w:proofErr w:type="spellStart"/>
      <w:r w:rsidRPr="00271C1A">
        <w:rPr>
          <w:rFonts w:ascii="Arial" w:hAnsi="Arial" w:cs="Arial"/>
          <w:sz w:val="20"/>
          <w:szCs w:val="20"/>
        </w:rPr>
        <w:t>ppk</w:t>
      </w:r>
      <w:proofErr w:type="spellEnd"/>
      <w:r w:rsidRPr="00271C1A">
        <w:rPr>
          <w:rFonts w:ascii="Arial" w:hAnsi="Arial" w:cs="Arial"/>
          <w:sz w:val="20"/>
          <w:szCs w:val="20"/>
        </w:rPr>
        <w:t xml:space="preserve"> podobnie jak w latach ubiegłych. Pobór próbek wód z</w:t>
      </w:r>
      <w:r w:rsidR="00660BD5">
        <w:rPr>
          <w:rFonts w:ascii="Arial" w:hAnsi="Arial" w:cs="Arial"/>
          <w:sz w:val="20"/>
          <w:szCs w:val="20"/>
        </w:rPr>
        <w:t> </w:t>
      </w:r>
      <w:r w:rsidRPr="00271C1A">
        <w:rPr>
          <w:rFonts w:ascii="Arial" w:hAnsi="Arial" w:cs="Arial"/>
          <w:sz w:val="20"/>
          <w:szCs w:val="20"/>
        </w:rPr>
        <w:t>wyznaczonych lokalizacji zaplanowano w jednomiesięcznych odstępach czasu od kwietnia do października 2021 r</w:t>
      </w:r>
      <w:r w:rsidR="00660BD5">
        <w:rPr>
          <w:rFonts w:ascii="Arial" w:hAnsi="Arial" w:cs="Arial"/>
          <w:sz w:val="20"/>
          <w:szCs w:val="20"/>
        </w:rPr>
        <w:t>.</w:t>
      </w:r>
      <w:r w:rsidRPr="00271C1A">
        <w:rPr>
          <w:rFonts w:ascii="Arial" w:hAnsi="Arial" w:cs="Arial"/>
          <w:sz w:val="20"/>
          <w:szCs w:val="20"/>
        </w:rPr>
        <w:t xml:space="preserve">, za wyjątkiem województwa wielkopolskiego gdzie pobór przeprowadzono również w listopadzie 2021 r. Ponadto wytypowano, pobrano i przeanalizowano na obecność pestycydów próbki wód podziemnych w trzech terminach – wiosennym, letnim i jesiennym. Objęto badaniami trzy punkty o różnej charakterystyce tj. naturalne źródło w Łopiennie (powiat gnieźnieński, gmina Mieleszyn), studnię hydroforową o głębokości 55 m w Buku (powiat nowotomyski, gmina Buk) oraz studnię gospodarczą o głębokości 12 m w miejscowości Witkowo (powiat gnieźnieński, gmina Witkowo). W sumie do badań monitoringowych wód powierzchniowych wytypowano 78 </w:t>
      </w:r>
      <w:proofErr w:type="spellStart"/>
      <w:r w:rsidRPr="00271C1A">
        <w:rPr>
          <w:rFonts w:ascii="Arial" w:hAnsi="Arial" w:cs="Arial"/>
          <w:sz w:val="20"/>
          <w:szCs w:val="20"/>
        </w:rPr>
        <w:t>ppk</w:t>
      </w:r>
      <w:proofErr w:type="spellEnd"/>
      <w:r w:rsidRPr="00271C1A">
        <w:rPr>
          <w:rFonts w:ascii="Arial" w:hAnsi="Arial" w:cs="Arial"/>
          <w:sz w:val="20"/>
          <w:szCs w:val="20"/>
        </w:rPr>
        <w:t xml:space="preserve"> z</w:t>
      </w:r>
      <w:r w:rsidR="00337682">
        <w:rPr>
          <w:rFonts w:ascii="Arial" w:hAnsi="Arial" w:cs="Arial"/>
          <w:sz w:val="20"/>
          <w:szCs w:val="20"/>
        </w:rPr>
        <w:t> </w:t>
      </w:r>
      <w:r w:rsidRPr="00271C1A">
        <w:rPr>
          <w:rFonts w:ascii="Arial" w:hAnsi="Arial" w:cs="Arial"/>
          <w:sz w:val="20"/>
          <w:szCs w:val="20"/>
        </w:rPr>
        <w:t xml:space="preserve">terenu całej Polski oraz 3 punkty wód podziemnych. Łącznie w 2021 r. przebadano 531 próbki wód powierzchniowych oraz 9 próbek wód podziemnych. Próbki do badań pobierali pracownicy </w:t>
      </w:r>
      <w:r w:rsidRPr="00271C1A">
        <w:rPr>
          <w:rFonts w:ascii="Arial" w:hAnsi="Arial" w:cs="Arial"/>
          <w:sz w:val="20"/>
          <w:szCs w:val="20"/>
        </w:rPr>
        <w:lastRenderedPageBreak/>
        <w:t>wojewódzkich inspektoratów ochrony środowiska oraz ich delegatur w ramach planowego monitoringu wód powierzchniowych poszczególnych województw.</w:t>
      </w:r>
    </w:p>
    <w:p w14:paraId="43D14497" w14:textId="492157B7" w:rsidR="007769B4" w:rsidRPr="00271C1A" w:rsidRDefault="007769B4" w:rsidP="007769B4">
      <w:pPr>
        <w:tabs>
          <w:tab w:val="left" w:pos="284"/>
        </w:tabs>
        <w:suppressAutoHyphens/>
        <w:autoSpaceDN w:val="0"/>
        <w:spacing w:after="120" w:line="360" w:lineRule="auto"/>
        <w:ind w:firstLine="284"/>
        <w:jc w:val="both"/>
        <w:textAlignment w:val="baseline"/>
        <w:rPr>
          <w:rFonts w:ascii="Arial" w:hAnsi="Arial" w:cs="Arial"/>
          <w:sz w:val="20"/>
          <w:szCs w:val="20"/>
        </w:rPr>
      </w:pPr>
      <w:r w:rsidRPr="00271C1A">
        <w:rPr>
          <w:rFonts w:ascii="Arial" w:hAnsi="Arial" w:cs="Arial"/>
          <w:sz w:val="20"/>
          <w:szCs w:val="20"/>
        </w:rPr>
        <w:t>Badaniami objęto 317 substancji czynnych środków ochrony roślin. Ogółem wykryto 56 substancji czynnych w tym 30 herbicydów, 18 fungicydów, 6 insektycydów i 2 metabolity. W odniesieniu do wszystkich oznaczeń pozostałości w 2021 r</w:t>
      </w:r>
      <w:r w:rsidR="0095392C">
        <w:rPr>
          <w:rFonts w:ascii="Arial" w:hAnsi="Arial" w:cs="Arial"/>
          <w:sz w:val="20"/>
          <w:szCs w:val="20"/>
        </w:rPr>
        <w:t>.</w:t>
      </w:r>
      <w:r w:rsidRPr="00271C1A">
        <w:rPr>
          <w:rFonts w:ascii="Arial" w:hAnsi="Arial" w:cs="Arial"/>
          <w:sz w:val="20"/>
          <w:szCs w:val="20"/>
        </w:rPr>
        <w:t xml:space="preserve">, jednoznacznie należy podkreślić największy udział w nich pozostałości substancji chwastobójczych. We wszystkich próbkach pozyskanych poszukiwane substancje czynne zostały wykryte w sumie 698 razy, z czego 467 oznaczenia przypadały na herbicydy (66,9 %), następnie 204 na fungicydy (29,2 %) oraz 25 na insektycydy (3,6 %) i tylko dwukrotnie oznaczono produkty przemiany pestycydów. </w:t>
      </w:r>
    </w:p>
    <w:p w14:paraId="4E4131EA" w14:textId="6D0F329E" w:rsidR="007769B4" w:rsidRPr="00271C1A" w:rsidRDefault="007769B4" w:rsidP="007769B4">
      <w:pPr>
        <w:tabs>
          <w:tab w:val="left" w:pos="284"/>
        </w:tabs>
        <w:suppressAutoHyphens/>
        <w:autoSpaceDN w:val="0"/>
        <w:spacing w:after="120" w:line="360" w:lineRule="auto"/>
        <w:ind w:firstLine="284"/>
        <w:jc w:val="both"/>
        <w:textAlignment w:val="baseline"/>
        <w:rPr>
          <w:rFonts w:ascii="Arial" w:hAnsi="Arial" w:cs="Arial"/>
          <w:sz w:val="20"/>
          <w:szCs w:val="20"/>
        </w:rPr>
      </w:pPr>
      <w:r w:rsidRPr="00271C1A">
        <w:rPr>
          <w:rFonts w:ascii="Arial" w:hAnsi="Arial" w:cs="Arial"/>
          <w:sz w:val="20"/>
          <w:szCs w:val="20"/>
        </w:rPr>
        <w:t xml:space="preserve">Najczęściej wykrywano herbicydy: </w:t>
      </w:r>
      <w:proofErr w:type="spellStart"/>
      <w:r w:rsidRPr="00271C1A">
        <w:rPr>
          <w:rFonts w:ascii="Arial" w:hAnsi="Arial" w:cs="Arial"/>
          <w:sz w:val="20"/>
          <w:szCs w:val="20"/>
        </w:rPr>
        <w:t>terbutylazyna</w:t>
      </w:r>
      <w:proofErr w:type="spellEnd"/>
      <w:r w:rsidRPr="00271C1A">
        <w:rPr>
          <w:rFonts w:ascii="Arial" w:hAnsi="Arial" w:cs="Arial"/>
          <w:sz w:val="20"/>
          <w:szCs w:val="20"/>
        </w:rPr>
        <w:t xml:space="preserve"> wykryta w 14,4% próbek powierzchniowych, </w:t>
      </w:r>
      <w:proofErr w:type="spellStart"/>
      <w:r w:rsidRPr="00271C1A">
        <w:rPr>
          <w:rFonts w:ascii="Arial" w:hAnsi="Arial" w:cs="Arial"/>
          <w:sz w:val="20"/>
          <w:szCs w:val="20"/>
        </w:rPr>
        <w:t>bentazon</w:t>
      </w:r>
      <w:proofErr w:type="spellEnd"/>
      <w:r w:rsidRPr="00271C1A">
        <w:rPr>
          <w:rFonts w:ascii="Arial" w:hAnsi="Arial" w:cs="Arial"/>
          <w:sz w:val="20"/>
          <w:szCs w:val="20"/>
        </w:rPr>
        <w:t xml:space="preserve"> 11,7% próbek, </w:t>
      </w:r>
      <w:proofErr w:type="spellStart"/>
      <w:r w:rsidRPr="00271C1A">
        <w:rPr>
          <w:rFonts w:ascii="Arial" w:hAnsi="Arial" w:cs="Arial"/>
          <w:sz w:val="20"/>
          <w:szCs w:val="20"/>
        </w:rPr>
        <w:t>chlorotoluron</w:t>
      </w:r>
      <w:proofErr w:type="spellEnd"/>
      <w:r w:rsidRPr="00271C1A">
        <w:rPr>
          <w:rFonts w:ascii="Arial" w:hAnsi="Arial" w:cs="Arial"/>
          <w:sz w:val="20"/>
          <w:szCs w:val="20"/>
        </w:rPr>
        <w:t xml:space="preserve"> 11,1% i </w:t>
      </w:r>
      <w:proofErr w:type="spellStart"/>
      <w:r w:rsidRPr="00271C1A">
        <w:rPr>
          <w:rFonts w:ascii="Arial" w:hAnsi="Arial" w:cs="Arial"/>
          <w:sz w:val="20"/>
          <w:szCs w:val="20"/>
        </w:rPr>
        <w:t>nikosulfuron</w:t>
      </w:r>
      <w:proofErr w:type="spellEnd"/>
      <w:r w:rsidRPr="00271C1A">
        <w:rPr>
          <w:rFonts w:ascii="Arial" w:hAnsi="Arial" w:cs="Arial"/>
          <w:sz w:val="20"/>
          <w:szCs w:val="20"/>
        </w:rPr>
        <w:t xml:space="preserve"> w 10,9% oraz fungicyd – </w:t>
      </w:r>
      <w:proofErr w:type="spellStart"/>
      <w:r w:rsidRPr="00271C1A">
        <w:rPr>
          <w:rFonts w:ascii="Arial" w:hAnsi="Arial" w:cs="Arial"/>
          <w:sz w:val="20"/>
          <w:szCs w:val="20"/>
        </w:rPr>
        <w:t>tebukonazol</w:t>
      </w:r>
      <w:proofErr w:type="spellEnd"/>
      <w:r w:rsidRPr="00271C1A">
        <w:rPr>
          <w:rFonts w:ascii="Arial" w:hAnsi="Arial" w:cs="Arial"/>
          <w:sz w:val="20"/>
          <w:szCs w:val="20"/>
        </w:rPr>
        <w:t xml:space="preserve"> w</w:t>
      </w:r>
      <w:r w:rsidR="00D63AAB">
        <w:rPr>
          <w:rFonts w:ascii="Arial" w:hAnsi="Arial" w:cs="Arial"/>
          <w:sz w:val="20"/>
          <w:szCs w:val="20"/>
        </w:rPr>
        <w:t> </w:t>
      </w:r>
      <w:r w:rsidRPr="00271C1A">
        <w:rPr>
          <w:rFonts w:ascii="Arial" w:hAnsi="Arial" w:cs="Arial"/>
          <w:sz w:val="20"/>
          <w:szCs w:val="20"/>
        </w:rPr>
        <w:t>10,3% próbek. Najwyższe pozostałości środków ochrony roślin w 2021 r</w:t>
      </w:r>
      <w:r w:rsidR="00D63AAB">
        <w:rPr>
          <w:rFonts w:ascii="Arial" w:hAnsi="Arial" w:cs="Arial"/>
          <w:sz w:val="20"/>
          <w:szCs w:val="20"/>
        </w:rPr>
        <w:t>.</w:t>
      </w:r>
      <w:r w:rsidRPr="00271C1A">
        <w:rPr>
          <w:rFonts w:ascii="Arial" w:hAnsi="Arial" w:cs="Arial"/>
          <w:sz w:val="20"/>
          <w:szCs w:val="20"/>
        </w:rPr>
        <w:t xml:space="preserve">, zarówno dla pojedynczych substancji jak i sum ich stężeń wykryto w rzece Mogielnicy płynącej przez kompleksy pól uprawnych, około 40 km na zachód od Poznania, województwo wielkopolskie. Najwyższe stężenie w </w:t>
      </w:r>
      <w:proofErr w:type="spellStart"/>
      <w:r w:rsidRPr="00271C1A">
        <w:rPr>
          <w:rFonts w:ascii="Arial" w:hAnsi="Arial" w:cs="Arial"/>
          <w:sz w:val="20"/>
          <w:szCs w:val="20"/>
        </w:rPr>
        <w:t>ppk</w:t>
      </w:r>
      <w:proofErr w:type="spellEnd"/>
      <w:r w:rsidRPr="00271C1A">
        <w:rPr>
          <w:rFonts w:ascii="Arial" w:hAnsi="Arial" w:cs="Arial"/>
          <w:sz w:val="20"/>
          <w:szCs w:val="20"/>
        </w:rPr>
        <w:t xml:space="preserve"> Wojnowice odnotowano w czerwcu dla herbicydu </w:t>
      </w:r>
      <w:proofErr w:type="spellStart"/>
      <w:r w:rsidRPr="00271C1A">
        <w:rPr>
          <w:rFonts w:ascii="Arial" w:hAnsi="Arial" w:cs="Arial"/>
          <w:sz w:val="20"/>
          <w:szCs w:val="20"/>
        </w:rPr>
        <w:t>metolachloru</w:t>
      </w:r>
      <w:proofErr w:type="spellEnd"/>
      <w:r w:rsidRPr="00271C1A">
        <w:rPr>
          <w:rFonts w:ascii="Arial" w:hAnsi="Arial" w:cs="Arial"/>
          <w:sz w:val="20"/>
          <w:szCs w:val="20"/>
        </w:rPr>
        <w:t xml:space="preserve">, które wyniosło 31,432 µg/l. Najwyższą sumę wykrytych pozostałości w pojedynczej próbce wody powierzchniowej również oznaczono w tej samej czerwcowej próbce z Mogielnicy – 36,351 µg/l. Dla innych województw stosunkowo wysokie sumy stężeń odnotowano, m.in.  na małopolskim odcinku Wisły w maju 3,942 µg/l, w rzece Łynie we wrześniu 3,461 µg/l w województwie warmińsko-mazurskim, w woj. opolskim w Odrze w czerwcu 2,392 µg/l oraz Strudze </w:t>
      </w:r>
      <w:proofErr w:type="spellStart"/>
      <w:r w:rsidRPr="00271C1A">
        <w:rPr>
          <w:rFonts w:ascii="Arial" w:hAnsi="Arial" w:cs="Arial"/>
          <w:sz w:val="20"/>
          <w:szCs w:val="20"/>
        </w:rPr>
        <w:t>Rychanowskiej</w:t>
      </w:r>
      <w:proofErr w:type="spellEnd"/>
      <w:r w:rsidRPr="00271C1A">
        <w:rPr>
          <w:rFonts w:ascii="Arial" w:hAnsi="Arial" w:cs="Arial"/>
          <w:sz w:val="20"/>
          <w:szCs w:val="20"/>
        </w:rPr>
        <w:t xml:space="preserve"> 2,369 µg/l, województwo kujawsko-pomorskie, również w czerwcu. </w:t>
      </w:r>
    </w:p>
    <w:p w14:paraId="3624CEC7" w14:textId="77777777" w:rsidR="007769B4" w:rsidRPr="00F6171C" w:rsidRDefault="007769B4" w:rsidP="007769B4">
      <w:pPr>
        <w:tabs>
          <w:tab w:val="left" w:pos="284"/>
        </w:tabs>
        <w:suppressAutoHyphens/>
        <w:autoSpaceDN w:val="0"/>
        <w:spacing w:before="120" w:after="120" w:line="360" w:lineRule="auto"/>
        <w:jc w:val="center"/>
        <w:textAlignment w:val="baseline"/>
        <w:rPr>
          <w:rFonts w:ascii="Arial" w:hAnsi="Arial" w:cs="Arial"/>
        </w:rPr>
      </w:pPr>
      <w:r w:rsidRPr="00F6171C">
        <w:rPr>
          <w:rFonts w:ascii="Calibri" w:hAnsi="Calibri"/>
          <w:noProof/>
          <w:color w:val="000000"/>
          <w:lang w:eastAsia="pl-PL"/>
        </w:rPr>
        <w:drawing>
          <wp:inline distT="0" distB="0" distL="0" distR="0" wp14:anchorId="05EBEBAE" wp14:editId="6D3128E5">
            <wp:extent cx="4178596" cy="3808077"/>
            <wp:effectExtent l="0" t="0" r="0" b="2540"/>
            <wp:docPr id="19" name="Obraz 1" descr="pp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k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34453" cy="3858981"/>
                    </a:xfrm>
                    <a:prstGeom prst="rect">
                      <a:avLst/>
                    </a:prstGeom>
                    <a:noFill/>
                    <a:ln>
                      <a:noFill/>
                    </a:ln>
                  </pic:spPr>
                </pic:pic>
              </a:graphicData>
            </a:graphic>
          </wp:inline>
        </w:drawing>
      </w:r>
    </w:p>
    <w:p w14:paraId="3D1D69EE" w14:textId="77777777" w:rsidR="007769B4" w:rsidRPr="00271C1A" w:rsidRDefault="007769B4" w:rsidP="007769B4">
      <w:pPr>
        <w:tabs>
          <w:tab w:val="left" w:pos="284"/>
        </w:tabs>
        <w:suppressAutoHyphens/>
        <w:autoSpaceDN w:val="0"/>
        <w:spacing w:before="120" w:after="120" w:line="360" w:lineRule="auto"/>
        <w:ind w:firstLine="284"/>
        <w:jc w:val="center"/>
        <w:textAlignment w:val="baseline"/>
        <w:rPr>
          <w:rFonts w:ascii="Arial" w:hAnsi="Arial" w:cs="Arial"/>
          <w:sz w:val="20"/>
          <w:szCs w:val="20"/>
        </w:rPr>
      </w:pPr>
      <w:r w:rsidRPr="00271C1A">
        <w:rPr>
          <w:rFonts w:ascii="Arial" w:hAnsi="Arial" w:cs="Arial"/>
          <w:i/>
          <w:iCs/>
          <w:sz w:val="20"/>
          <w:szCs w:val="20"/>
        </w:rPr>
        <w:t>Lokalizacja punktów pomiarowo-kontrolnych w 2021 r. na mapie Polski</w:t>
      </w:r>
    </w:p>
    <w:p w14:paraId="7711A4A8" w14:textId="13C3DC40" w:rsidR="004D5F7F" w:rsidRPr="00271C1A" w:rsidRDefault="004D5F7F" w:rsidP="004D5F7F">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lastRenderedPageBreak/>
        <w:t>O</w:t>
      </w:r>
      <w:r w:rsidRPr="00271C1A">
        <w:rPr>
          <w:rFonts w:ascii="Arial" w:hAnsi="Arial" w:cs="Arial"/>
          <w:sz w:val="20"/>
          <w:szCs w:val="20"/>
        </w:rPr>
        <w:t>dnosząc się do rozporządzenia Ministra Zdrowia z dnia 7 grudnia 2017 r. w sprawie jakości wody przeznaczonej do spożycia przez ludzi (Dz.U. poz. 2294), 190 oznaczeń pojedynczej substancji z</w:t>
      </w:r>
      <w:r w:rsidR="0073348A">
        <w:rPr>
          <w:rFonts w:ascii="Arial" w:hAnsi="Arial" w:cs="Arial"/>
          <w:sz w:val="20"/>
          <w:szCs w:val="20"/>
        </w:rPr>
        <w:t> </w:t>
      </w:r>
      <w:r w:rsidRPr="00271C1A">
        <w:rPr>
          <w:rFonts w:ascii="Arial" w:hAnsi="Arial" w:cs="Arial"/>
          <w:sz w:val="20"/>
          <w:szCs w:val="20"/>
        </w:rPr>
        <w:t>wszystkich 698 potwierdzonych tj. 27,2% przekraczało graniczną wartość 0,1 µg/l. Natomiast w</w:t>
      </w:r>
      <w:r w:rsidR="0073348A">
        <w:rPr>
          <w:rFonts w:ascii="Arial" w:hAnsi="Arial" w:cs="Arial"/>
          <w:sz w:val="20"/>
          <w:szCs w:val="20"/>
        </w:rPr>
        <w:t> </w:t>
      </w:r>
      <w:r w:rsidRPr="00271C1A">
        <w:rPr>
          <w:rFonts w:ascii="Arial" w:hAnsi="Arial" w:cs="Arial"/>
          <w:sz w:val="20"/>
          <w:szCs w:val="20"/>
        </w:rPr>
        <w:t>przypadku drugiej części wymagań, dotyczącej sumy stężeń pozostałości wykrytych s.cz. w</w:t>
      </w:r>
      <w:r w:rsidR="00FC5F42">
        <w:rPr>
          <w:rFonts w:ascii="Arial" w:hAnsi="Arial" w:cs="Arial"/>
          <w:sz w:val="20"/>
          <w:szCs w:val="20"/>
        </w:rPr>
        <w:t> </w:t>
      </w:r>
      <w:r w:rsidRPr="00271C1A">
        <w:rPr>
          <w:rFonts w:ascii="Arial" w:hAnsi="Arial" w:cs="Arial"/>
          <w:sz w:val="20"/>
          <w:szCs w:val="20"/>
        </w:rPr>
        <w:t>pojedynczej próbce, 40 próbek wód z pozyskanych 540 czyli 7,4% wszystkich było wyższe od dopuszczalnej sumy wynoszącej 0,5 µg/l.</w:t>
      </w:r>
    </w:p>
    <w:p w14:paraId="7AE6B791" w14:textId="42BD5371" w:rsidR="004D5F7F" w:rsidRPr="00271C1A" w:rsidRDefault="004D5F7F" w:rsidP="004D5F7F">
      <w:pPr>
        <w:tabs>
          <w:tab w:val="left" w:pos="284"/>
        </w:tabs>
        <w:suppressAutoHyphens/>
        <w:autoSpaceDN w:val="0"/>
        <w:spacing w:after="120" w:line="360" w:lineRule="auto"/>
        <w:ind w:firstLine="284"/>
        <w:jc w:val="both"/>
        <w:textAlignment w:val="baseline"/>
        <w:rPr>
          <w:rFonts w:ascii="Arial" w:hAnsi="Arial" w:cs="Arial"/>
          <w:sz w:val="20"/>
          <w:szCs w:val="20"/>
        </w:rPr>
      </w:pPr>
      <w:r w:rsidRPr="00271C1A">
        <w:rPr>
          <w:rFonts w:ascii="Arial" w:hAnsi="Arial" w:cs="Arial"/>
          <w:sz w:val="20"/>
          <w:szCs w:val="20"/>
        </w:rPr>
        <w:t xml:space="preserve">Najmniej substancji czynnych środków ochrony roślin znaleziono w próbkach wód z województw podlaskiego, pomorskiego i lubuskiego, z kolei najwięcej s.cz. wykryto w wytypowanych do badań zlewniach rzek województw wielkopolskiego, dolnośląskiego i kujawsko-pomorskiego. W czternastu punktach pomiarowo-kontrolnych tj. rzeka Krówka </w:t>
      </w:r>
      <w:proofErr w:type="spellStart"/>
      <w:r w:rsidRPr="00271C1A">
        <w:rPr>
          <w:rFonts w:ascii="Arial" w:hAnsi="Arial" w:cs="Arial"/>
          <w:sz w:val="20"/>
          <w:szCs w:val="20"/>
        </w:rPr>
        <w:t>ppk</w:t>
      </w:r>
      <w:proofErr w:type="spellEnd"/>
      <w:r w:rsidRPr="00271C1A">
        <w:rPr>
          <w:rFonts w:ascii="Arial" w:hAnsi="Arial" w:cs="Arial"/>
          <w:sz w:val="20"/>
          <w:szCs w:val="20"/>
        </w:rPr>
        <w:t xml:space="preserve"> Buszewo woj. kujawsko-pomorskie, rzeka Wieprz </w:t>
      </w:r>
      <w:proofErr w:type="spellStart"/>
      <w:r w:rsidRPr="00271C1A">
        <w:rPr>
          <w:rFonts w:ascii="Arial" w:hAnsi="Arial" w:cs="Arial"/>
          <w:sz w:val="20"/>
          <w:szCs w:val="20"/>
        </w:rPr>
        <w:t>ppk</w:t>
      </w:r>
      <w:proofErr w:type="spellEnd"/>
      <w:r w:rsidRPr="00271C1A">
        <w:rPr>
          <w:rFonts w:ascii="Arial" w:hAnsi="Arial" w:cs="Arial"/>
          <w:sz w:val="20"/>
          <w:szCs w:val="20"/>
        </w:rPr>
        <w:t xml:space="preserve"> Dworzyska woj. lubelskie, rzeka Bóbr </w:t>
      </w:r>
      <w:proofErr w:type="spellStart"/>
      <w:r w:rsidRPr="00271C1A">
        <w:rPr>
          <w:rFonts w:ascii="Arial" w:hAnsi="Arial" w:cs="Arial"/>
          <w:sz w:val="20"/>
          <w:szCs w:val="20"/>
        </w:rPr>
        <w:t>ppk</w:t>
      </w:r>
      <w:proofErr w:type="spellEnd"/>
      <w:r w:rsidRPr="00271C1A">
        <w:rPr>
          <w:rFonts w:ascii="Arial" w:hAnsi="Arial" w:cs="Arial"/>
          <w:sz w:val="20"/>
          <w:szCs w:val="20"/>
        </w:rPr>
        <w:t xml:space="preserve"> Nowogród Bobrzański w woj. lubuskim, rzeki Biała Przemsza </w:t>
      </w:r>
      <w:proofErr w:type="spellStart"/>
      <w:r w:rsidRPr="00271C1A">
        <w:rPr>
          <w:rFonts w:ascii="Arial" w:hAnsi="Arial" w:cs="Arial"/>
          <w:sz w:val="20"/>
          <w:szCs w:val="20"/>
        </w:rPr>
        <w:t>ppk</w:t>
      </w:r>
      <w:proofErr w:type="spellEnd"/>
      <w:r w:rsidRPr="00271C1A">
        <w:rPr>
          <w:rFonts w:ascii="Arial" w:hAnsi="Arial" w:cs="Arial"/>
          <w:sz w:val="20"/>
          <w:szCs w:val="20"/>
        </w:rPr>
        <w:t xml:space="preserve"> Klucze i Skawa </w:t>
      </w:r>
      <w:proofErr w:type="spellStart"/>
      <w:r w:rsidRPr="00271C1A">
        <w:rPr>
          <w:rFonts w:ascii="Arial" w:hAnsi="Arial" w:cs="Arial"/>
          <w:sz w:val="20"/>
          <w:szCs w:val="20"/>
        </w:rPr>
        <w:t>ppk</w:t>
      </w:r>
      <w:proofErr w:type="spellEnd"/>
      <w:r w:rsidRPr="00271C1A">
        <w:rPr>
          <w:rFonts w:ascii="Arial" w:hAnsi="Arial" w:cs="Arial"/>
          <w:sz w:val="20"/>
          <w:szCs w:val="20"/>
        </w:rPr>
        <w:t xml:space="preserve"> Zator w woj. małopolskim, rzeki Łukawica </w:t>
      </w:r>
      <w:proofErr w:type="spellStart"/>
      <w:r w:rsidRPr="00271C1A">
        <w:rPr>
          <w:rFonts w:ascii="Arial" w:hAnsi="Arial" w:cs="Arial"/>
          <w:sz w:val="20"/>
          <w:szCs w:val="20"/>
        </w:rPr>
        <w:t>ppk</w:t>
      </w:r>
      <w:proofErr w:type="spellEnd"/>
      <w:r w:rsidRPr="00271C1A">
        <w:rPr>
          <w:rFonts w:ascii="Arial" w:hAnsi="Arial" w:cs="Arial"/>
          <w:sz w:val="20"/>
          <w:szCs w:val="20"/>
        </w:rPr>
        <w:t xml:space="preserve"> Kępa </w:t>
      </w:r>
      <w:proofErr w:type="spellStart"/>
      <w:r w:rsidRPr="00271C1A">
        <w:rPr>
          <w:rFonts w:ascii="Arial" w:hAnsi="Arial" w:cs="Arial"/>
          <w:sz w:val="20"/>
          <w:szCs w:val="20"/>
        </w:rPr>
        <w:t>Rzerzycka</w:t>
      </w:r>
      <w:proofErr w:type="spellEnd"/>
      <w:r w:rsidRPr="00271C1A">
        <w:rPr>
          <w:rFonts w:ascii="Arial" w:hAnsi="Arial" w:cs="Arial"/>
          <w:sz w:val="20"/>
          <w:szCs w:val="20"/>
        </w:rPr>
        <w:t xml:space="preserve"> i Wisłoka </w:t>
      </w:r>
      <w:proofErr w:type="spellStart"/>
      <w:r w:rsidRPr="00271C1A">
        <w:rPr>
          <w:rFonts w:ascii="Arial" w:hAnsi="Arial" w:cs="Arial"/>
          <w:sz w:val="20"/>
          <w:szCs w:val="20"/>
        </w:rPr>
        <w:t>ppk</w:t>
      </w:r>
      <w:proofErr w:type="spellEnd"/>
      <w:r w:rsidRPr="00271C1A">
        <w:rPr>
          <w:rFonts w:ascii="Arial" w:hAnsi="Arial" w:cs="Arial"/>
          <w:sz w:val="20"/>
          <w:szCs w:val="20"/>
        </w:rPr>
        <w:t xml:space="preserve"> </w:t>
      </w:r>
      <w:proofErr w:type="spellStart"/>
      <w:r w:rsidRPr="00271C1A">
        <w:rPr>
          <w:rFonts w:ascii="Arial" w:hAnsi="Arial" w:cs="Arial"/>
          <w:sz w:val="20"/>
          <w:szCs w:val="20"/>
        </w:rPr>
        <w:t>Gawłuszewice</w:t>
      </w:r>
      <w:proofErr w:type="spellEnd"/>
      <w:r w:rsidRPr="00271C1A">
        <w:rPr>
          <w:rFonts w:ascii="Arial" w:hAnsi="Arial" w:cs="Arial"/>
          <w:sz w:val="20"/>
          <w:szCs w:val="20"/>
        </w:rPr>
        <w:t xml:space="preserve"> w woj. podkarpackim, rzeki </w:t>
      </w:r>
      <w:proofErr w:type="spellStart"/>
      <w:r w:rsidRPr="00271C1A">
        <w:rPr>
          <w:rFonts w:ascii="Arial" w:hAnsi="Arial" w:cs="Arial"/>
          <w:sz w:val="20"/>
          <w:szCs w:val="20"/>
        </w:rPr>
        <w:t>Kosódka</w:t>
      </w:r>
      <w:proofErr w:type="spellEnd"/>
      <w:r w:rsidRPr="00271C1A">
        <w:rPr>
          <w:rFonts w:ascii="Arial" w:hAnsi="Arial" w:cs="Arial"/>
          <w:sz w:val="20"/>
          <w:szCs w:val="20"/>
        </w:rPr>
        <w:t xml:space="preserve"> </w:t>
      </w:r>
      <w:proofErr w:type="spellStart"/>
      <w:r w:rsidRPr="00271C1A">
        <w:rPr>
          <w:rFonts w:ascii="Arial" w:hAnsi="Arial" w:cs="Arial"/>
          <w:sz w:val="20"/>
          <w:szCs w:val="20"/>
        </w:rPr>
        <w:t>ppk</w:t>
      </w:r>
      <w:proofErr w:type="spellEnd"/>
      <w:r w:rsidRPr="00271C1A">
        <w:rPr>
          <w:rFonts w:ascii="Arial" w:hAnsi="Arial" w:cs="Arial"/>
          <w:sz w:val="20"/>
          <w:szCs w:val="20"/>
        </w:rPr>
        <w:t xml:space="preserve"> </w:t>
      </w:r>
      <w:proofErr w:type="spellStart"/>
      <w:r w:rsidRPr="00271C1A">
        <w:rPr>
          <w:rFonts w:ascii="Arial" w:hAnsi="Arial" w:cs="Arial"/>
          <w:sz w:val="20"/>
          <w:szCs w:val="20"/>
        </w:rPr>
        <w:t>Dobarz</w:t>
      </w:r>
      <w:proofErr w:type="spellEnd"/>
      <w:r w:rsidRPr="00271C1A">
        <w:rPr>
          <w:rFonts w:ascii="Arial" w:hAnsi="Arial" w:cs="Arial"/>
          <w:sz w:val="20"/>
          <w:szCs w:val="20"/>
        </w:rPr>
        <w:t xml:space="preserve"> i Narewka </w:t>
      </w:r>
      <w:proofErr w:type="spellStart"/>
      <w:r w:rsidRPr="00271C1A">
        <w:rPr>
          <w:rFonts w:ascii="Arial" w:hAnsi="Arial" w:cs="Arial"/>
          <w:sz w:val="20"/>
          <w:szCs w:val="20"/>
        </w:rPr>
        <w:t>ppk</w:t>
      </w:r>
      <w:proofErr w:type="spellEnd"/>
      <w:r w:rsidRPr="00271C1A">
        <w:rPr>
          <w:rFonts w:ascii="Arial" w:hAnsi="Arial" w:cs="Arial"/>
          <w:sz w:val="20"/>
          <w:szCs w:val="20"/>
        </w:rPr>
        <w:t xml:space="preserve"> ujście do Narwi woj. podlaskie, rzeki Brda </w:t>
      </w:r>
      <w:proofErr w:type="spellStart"/>
      <w:r w:rsidRPr="00271C1A">
        <w:rPr>
          <w:rFonts w:ascii="Arial" w:hAnsi="Arial" w:cs="Arial"/>
          <w:sz w:val="20"/>
          <w:szCs w:val="20"/>
        </w:rPr>
        <w:t>ppk</w:t>
      </w:r>
      <w:proofErr w:type="spellEnd"/>
      <w:r w:rsidRPr="00271C1A">
        <w:rPr>
          <w:rFonts w:ascii="Arial" w:hAnsi="Arial" w:cs="Arial"/>
          <w:sz w:val="20"/>
          <w:szCs w:val="20"/>
        </w:rPr>
        <w:t xml:space="preserve"> Pakotulsko i Pokrzywna </w:t>
      </w:r>
      <w:proofErr w:type="spellStart"/>
      <w:r w:rsidRPr="00271C1A">
        <w:rPr>
          <w:rFonts w:ascii="Arial" w:hAnsi="Arial" w:cs="Arial"/>
          <w:sz w:val="20"/>
          <w:szCs w:val="20"/>
        </w:rPr>
        <w:t>ppk</w:t>
      </w:r>
      <w:proofErr w:type="spellEnd"/>
      <w:r w:rsidRPr="00271C1A">
        <w:rPr>
          <w:rFonts w:ascii="Arial" w:hAnsi="Arial" w:cs="Arial"/>
          <w:sz w:val="20"/>
          <w:szCs w:val="20"/>
        </w:rPr>
        <w:t xml:space="preserve"> Osówka w woj. pomorskim, rzeka Trupień </w:t>
      </w:r>
      <w:proofErr w:type="spellStart"/>
      <w:r w:rsidRPr="00271C1A">
        <w:rPr>
          <w:rFonts w:ascii="Arial" w:hAnsi="Arial" w:cs="Arial"/>
          <w:sz w:val="20"/>
          <w:szCs w:val="20"/>
        </w:rPr>
        <w:t>ppk</w:t>
      </w:r>
      <w:proofErr w:type="spellEnd"/>
      <w:r w:rsidRPr="00271C1A">
        <w:rPr>
          <w:rFonts w:ascii="Arial" w:hAnsi="Arial" w:cs="Arial"/>
          <w:sz w:val="20"/>
          <w:szCs w:val="20"/>
        </w:rPr>
        <w:t xml:space="preserve"> </w:t>
      </w:r>
      <w:proofErr w:type="spellStart"/>
      <w:r w:rsidRPr="00271C1A">
        <w:rPr>
          <w:rFonts w:ascii="Arial" w:hAnsi="Arial" w:cs="Arial"/>
          <w:sz w:val="20"/>
          <w:szCs w:val="20"/>
        </w:rPr>
        <w:t>Słopiec</w:t>
      </w:r>
      <w:proofErr w:type="spellEnd"/>
      <w:r w:rsidRPr="00271C1A">
        <w:rPr>
          <w:rFonts w:ascii="Arial" w:hAnsi="Arial" w:cs="Arial"/>
          <w:sz w:val="20"/>
          <w:szCs w:val="20"/>
        </w:rPr>
        <w:t xml:space="preserve"> woj. świętokrzyskie oraz w rzekach Krępa </w:t>
      </w:r>
      <w:proofErr w:type="spellStart"/>
      <w:r w:rsidRPr="00271C1A">
        <w:rPr>
          <w:rFonts w:ascii="Arial" w:hAnsi="Arial" w:cs="Arial"/>
          <w:sz w:val="20"/>
          <w:szCs w:val="20"/>
        </w:rPr>
        <w:t>ppk</w:t>
      </w:r>
      <w:proofErr w:type="spellEnd"/>
      <w:r w:rsidRPr="00271C1A">
        <w:rPr>
          <w:rFonts w:ascii="Arial" w:hAnsi="Arial" w:cs="Arial"/>
          <w:sz w:val="20"/>
          <w:szCs w:val="20"/>
        </w:rPr>
        <w:t xml:space="preserve"> ujście do Odry i Parsęta </w:t>
      </w:r>
      <w:proofErr w:type="spellStart"/>
      <w:r w:rsidRPr="00271C1A">
        <w:rPr>
          <w:rFonts w:ascii="Arial" w:hAnsi="Arial" w:cs="Arial"/>
          <w:sz w:val="20"/>
          <w:szCs w:val="20"/>
        </w:rPr>
        <w:t>ppk</w:t>
      </w:r>
      <w:proofErr w:type="spellEnd"/>
      <w:r w:rsidRPr="00271C1A">
        <w:rPr>
          <w:rFonts w:ascii="Arial" w:hAnsi="Arial" w:cs="Arial"/>
          <w:sz w:val="20"/>
          <w:szCs w:val="20"/>
        </w:rPr>
        <w:t xml:space="preserve"> Bardy w woj. zachodniopomorskim w żadnym z terminów poboru próbek nie wykryto pozostałości poszukiwanych związków na poziomie wyższym od dolnej granicy oznaczalności.</w:t>
      </w:r>
    </w:p>
    <w:p w14:paraId="2C75ADCC" w14:textId="26FA14A6" w:rsidR="007769B4" w:rsidRPr="00271C1A" w:rsidRDefault="00364344" w:rsidP="007769B4">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t xml:space="preserve">Zestawiając wyniki w odniesieniu do </w:t>
      </w:r>
      <w:r w:rsidR="008248E1">
        <w:rPr>
          <w:rFonts w:ascii="Arial" w:hAnsi="Arial" w:cs="Arial"/>
          <w:sz w:val="20"/>
          <w:szCs w:val="20"/>
        </w:rPr>
        <w:t>r</w:t>
      </w:r>
      <w:r w:rsidR="007769B4" w:rsidRPr="00271C1A">
        <w:rPr>
          <w:rFonts w:ascii="Arial" w:hAnsi="Arial" w:cs="Arial"/>
          <w:sz w:val="20"/>
          <w:szCs w:val="20"/>
        </w:rPr>
        <w:t>ozporządzeni</w:t>
      </w:r>
      <w:r w:rsidR="008248E1">
        <w:rPr>
          <w:rFonts w:ascii="Arial" w:hAnsi="Arial" w:cs="Arial"/>
          <w:sz w:val="20"/>
          <w:szCs w:val="20"/>
        </w:rPr>
        <w:t>a</w:t>
      </w:r>
      <w:r w:rsidR="007769B4" w:rsidRPr="00271C1A">
        <w:rPr>
          <w:rFonts w:ascii="Arial" w:hAnsi="Arial" w:cs="Arial"/>
          <w:sz w:val="20"/>
          <w:szCs w:val="20"/>
        </w:rPr>
        <w:t xml:space="preserve"> Ministra Gospodarki Morskiej i Żeglugi Śródlądowej z dnia 29 sierpnia 2019 r. w sprawie wymagań, jakimi powinny odpowiadać wody powierzchniowe wykorzystywane do zaopatrzenia ludności w wodę przeznaczoną do spożycia przez ludzi (Dz.U. </w:t>
      </w:r>
      <w:r w:rsidR="008248E1">
        <w:rPr>
          <w:rFonts w:ascii="Arial" w:hAnsi="Arial" w:cs="Arial"/>
          <w:sz w:val="20"/>
          <w:szCs w:val="20"/>
        </w:rPr>
        <w:t>poz</w:t>
      </w:r>
      <w:r w:rsidR="007769B4" w:rsidRPr="00271C1A">
        <w:rPr>
          <w:rFonts w:ascii="Arial" w:hAnsi="Arial" w:cs="Arial"/>
          <w:sz w:val="20"/>
          <w:szCs w:val="20"/>
        </w:rPr>
        <w:t xml:space="preserve">. 1747) 516 próbki tj. 95,6% wszystkich pobranych spełniło wymagania dla najwyższej kategorii czystości wód powierzchniowych A1, 15 próbek (2,8%) klasyfikowało się w kategorii A2 oraz łącznie 8 próbek (1,5%) znalazło się w kategorii A3. Zaledwie jedna próbka, Mogielnica w czerwcu, wykraczała poza wymagania kwalifikacji (suma pozostałości powyżej 5 µg/l). </w:t>
      </w:r>
    </w:p>
    <w:p w14:paraId="399938E3" w14:textId="77777777" w:rsidR="007769B4" w:rsidRPr="00F6171C" w:rsidRDefault="007769B4" w:rsidP="007769B4">
      <w:pPr>
        <w:tabs>
          <w:tab w:val="left" w:pos="284"/>
        </w:tabs>
        <w:suppressAutoHyphens/>
        <w:autoSpaceDN w:val="0"/>
        <w:spacing w:after="120" w:line="360" w:lineRule="auto"/>
        <w:ind w:firstLine="284"/>
        <w:jc w:val="center"/>
        <w:textAlignment w:val="baseline"/>
        <w:rPr>
          <w:rFonts w:ascii="Arial" w:hAnsi="Arial" w:cs="Arial"/>
        </w:rPr>
      </w:pPr>
      <w:r w:rsidRPr="00F6171C">
        <w:rPr>
          <w:rFonts w:ascii="Arial" w:hAnsi="Arial" w:cs="Arial"/>
          <w:noProof/>
          <w:lang w:eastAsia="pl-PL"/>
        </w:rPr>
        <w:drawing>
          <wp:inline distT="0" distB="0" distL="0" distR="0" wp14:anchorId="62025B1B" wp14:editId="24C6A92F">
            <wp:extent cx="4723075" cy="2814762"/>
            <wp:effectExtent l="0" t="0" r="1905" b="508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2824C5" w14:textId="30FD935D" w:rsidR="007769B4" w:rsidRPr="00271C1A" w:rsidRDefault="007769B4" w:rsidP="007769B4">
      <w:pPr>
        <w:tabs>
          <w:tab w:val="left" w:pos="284"/>
        </w:tabs>
        <w:suppressAutoHyphens/>
        <w:autoSpaceDN w:val="0"/>
        <w:spacing w:after="120" w:line="360" w:lineRule="auto"/>
        <w:ind w:firstLine="284"/>
        <w:jc w:val="center"/>
        <w:textAlignment w:val="baseline"/>
        <w:rPr>
          <w:rFonts w:ascii="Arial" w:hAnsi="Arial" w:cs="Arial"/>
          <w:i/>
          <w:sz w:val="20"/>
          <w:szCs w:val="20"/>
        </w:rPr>
      </w:pPr>
      <w:r w:rsidRPr="00271C1A">
        <w:rPr>
          <w:rFonts w:ascii="Arial" w:hAnsi="Arial" w:cs="Arial"/>
          <w:i/>
          <w:sz w:val="20"/>
          <w:szCs w:val="20"/>
        </w:rPr>
        <w:t>Wyniki badań w 2021 r</w:t>
      </w:r>
      <w:r w:rsidR="00137331">
        <w:rPr>
          <w:rFonts w:ascii="Arial" w:hAnsi="Arial" w:cs="Arial"/>
          <w:i/>
          <w:sz w:val="20"/>
          <w:szCs w:val="20"/>
        </w:rPr>
        <w:t>.</w:t>
      </w:r>
      <w:r w:rsidRPr="00271C1A">
        <w:rPr>
          <w:rFonts w:ascii="Arial" w:hAnsi="Arial" w:cs="Arial"/>
          <w:i/>
          <w:sz w:val="20"/>
          <w:szCs w:val="20"/>
        </w:rPr>
        <w:t xml:space="preserve"> w odniesieniu do rozporządzenia Ministra Gospodarki Morskiej i Żeglugi Śródlądowej </w:t>
      </w:r>
    </w:p>
    <w:p w14:paraId="784E7F89" w14:textId="237AFE90" w:rsidR="00056846" w:rsidRPr="00925BCD" w:rsidRDefault="00E54725">
      <w:pPr>
        <w:pStyle w:val="NormalnyWeb"/>
        <w:tabs>
          <w:tab w:val="left" w:pos="284"/>
        </w:tabs>
        <w:spacing w:before="120" w:beforeAutospacing="0" w:after="120" w:afterAutospacing="0" w:line="360" w:lineRule="auto"/>
        <w:ind w:firstLine="284"/>
        <w:jc w:val="both"/>
        <w:rPr>
          <w:rFonts w:ascii="Arial" w:hAnsi="Arial" w:cs="Arial"/>
          <w:b/>
          <w:bCs/>
          <w:i/>
        </w:rPr>
      </w:pPr>
      <w:r w:rsidRPr="00925BCD">
        <w:rPr>
          <w:rFonts w:ascii="Arial" w:hAnsi="Arial" w:cs="Arial"/>
          <w:b/>
          <w:bCs/>
          <w:i/>
        </w:rPr>
        <w:lastRenderedPageBreak/>
        <w:t>Badania prowadzone w ramach programu wieloletniego Instytutu Ogrodnictwa</w:t>
      </w:r>
      <w:r w:rsidR="0046312A" w:rsidRPr="0046312A">
        <w:rPr>
          <w:rFonts w:ascii="Arial" w:hAnsi="Arial" w:cs="Arial"/>
          <w:b/>
          <w:bCs/>
          <w:i/>
        </w:rPr>
        <w:t>– PIB</w:t>
      </w:r>
      <w:r w:rsidRPr="00925BCD">
        <w:rPr>
          <w:rFonts w:ascii="Arial" w:hAnsi="Arial" w:cs="Arial"/>
          <w:b/>
          <w:bCs/>
          <w:i/>
        </w:rPr>
        <w:t xml:space="preserve"> pn. </w:t>
      </w:r>
      <w:r w:rsidRPr="00925BCD">
        <w:rPr>
          <w:rFonts w:ascii="Arial" w:hAnsi="Arial" w:cs="Arial"/>
          <w:b/>
          <w:bCs/>
          <w:i/>
          <w:iCs/>
        </w:rPr>
        <w:t>Działania na rzecz poprawy konkurencyjności i innowacyjności sektora ogrodniczego z uwzględnieniem jakości i bezpieczeństwa żywności oraz ochrony środowiska naturalnego</w:t>
      </w:r>
      <w:bookmarkEnd w:id="42"/>
    </w:p>
    <w:p w14:paraId="767FA5CC"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badania kontrolne prób wody przeprowadzone w Zakładzie Badania Bezpieczeństwa Żywności objęły 92 substancje czynne środków ochrony roślin, ich izomerów i metabolitów wykonanych w tzw. metodzie wielopozostałościowej. Próbki do badań, zgodnie z wcześniej ustalonym harmonogramem, pobierali pracownicy Wojewódzkiego Inspektoratu Ochrony Środowiska w Warszawie, a następnie dostarczali je do Zakładu Badania Bezpieczeństwa Żywności. Próby pobrane zostały z dwudziestu punktów poboru obejmujących dorzecze Wisły, z obszarów o intensywnej produkcji rolniczej i ogrodniczej, w okresie od końca maja do początku października.</w:t>
      </w:r>
    </w:p>
    <w:p w14:paraId="1A088D34"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Ogółem przebadano 100 próbek wody, wykonując łącznie 9 200 analiz pozostałości środków ochrony roślin. W 32 próbach, czyli w 32% ogółu analizowanych, nie stwierdzono obecności pozostałości środków ochrony roślin. W 29 próbach, czyli w 29% wykryto pozostałości, których suma wynosiła poniżej 0,1µg/L, w 28 próbach, czyli w 28% wykryto pozostałości, których suma wynosiła między 0,1 a 0,5µg/L. W 4 próbach, czyli w 4% wykryto pozostałości, których suma wynosiła między 0,5 a 1,0µg/L. Wyniki badań wskazują, że 96% prób można zakwalifikować do kategorii A1 jakości wody, wg rozporządzenia Ministra Środowiska z dnia 27 listopada 2002 r. w sprawie wymagań, jakim powinny odpowiadać wody powierzchniowe wykorzystywane do zaopatrzenia ludności w wodę przeznaczoną do spożycia (Dz. U. poz. 1728). W czterech próbach wody wykryto pozostałości, których suma wynosiła między 1,0 a 3,0 µg/L, co kwalifikowało te próby do kategorii A2 jakości wody. Najwyższa zawartość pozostałości  w badanych próbach wody wyniosła 2,94 µg/L pozostałości środków ochrony roślin, co</w:t>
      </w:r>
      <w:r w:rsidR="004219CD" w:rsidRPr="00925BCD">
        <w:rPr>
          <w:rFonts w:ascii="Arial" w:hAnsi="Arial" w:cs="Arial"/>
        </w:rPr>
        <w:t> </w:t>
      </w:r>
      <w:r w:rsidRPr="00925BCD">
        <w:rPr>
          <w:rFonts w:ascii="Arial" w:hAnsi="Arial" w:cs="Arial"/>
        </w:rPr>
        <w:t>kwalifikowało tą próbę do kategorii A2 jakości wody. Powyższe dane zostały przedstawione rysunku poniżej.</w:t>
      </w:r>
    </w:p>
    <w:p w14:paraId="551DD4BD" w14:textId="77777777" w:rsidR="004219CD" w:rsidRPr="00925BCD" w:rsidRDefault="00E54725">
      <w:pPr>
        <w:pStyle w:val="NormalnyWeb"/>
        <w:tabs>
          <w:tab w:val="left" w:pos="284"/>
        </w:tabs>
        <w:spacing w:before="280" w:after="120" w:afterAutospacing="0" w:line="360" w:lineRule="auto"/>
        <w:ind w:firstLine="284"/>
        <w:jc w:val="both"/>
        <w:rPr>
          <w:rFonts w:ascii="Arial" w:hAnsi="Arial" w:cs="Arial"/>
        </w:rPr>
      </w:pPr>
      <w:r w:rsidRPr="00925BCD">
        <w:rPr>
          <w:noProof/>
        </w:rPr>
        <w:drawing>
          <wp:inline distT="0" distB="0" distL="0" distR="0" wp14:anchorId="69F5B641" wp14:editId="49659CA8">
            <wp:extent cx="4959705" cy="2384756"/>
            <wp:effectExtent l="0" t="0" r="12700" b="15875"/>
            <wp:docPr id="6" name="Obiekt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77301F"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wykazały, że suma wykrywanych pozostałości środków ochrony roślin w analizowanych wodach powierzchniowych nie była duża i najczęściej (w 85% prób) wynosiła poniżej 0,5µg/L. W 22% badanych prób nie wykryto pozostałości środków ochrony roślin. W pozostałych 78% prób wykrywano 21 pojedynczych pozostałości po stosowaniu różnych herbicydów, insektycydów i fungicydów. </w:t>
      </w:r>
      <w:r w:rsidRPr="00925BCD">
        <w:rPr>
          <w:rFonts w:ascii="Arial" w:hAnsi="Arial" w:cs="Arial"/>
        </w:rPr>
        <w:lastRenderedPageBreak/>
        <w:t xml:space="preserve">Relatywnie, najwięcej pozostałości stwierdzono w czerwcu, w punkcie poboru: „Jeziorka – Skolimów ul. Dworska”. Badania tej próby wykazały wysokie stężenie repelentu DEET wynoszące 2.8 µg/L. Jedynym miejscem poboru, w którym nie wykryto żadnych pestycydów był punkt „Kanał Bielińskiego (Jagodzianka) – Łukowiec”. Najczęściej wykrywaną substancją był DEET, który ma zastosowanie jako środek odstraszający na owady. W 51 próbach, pochodzących ze wszystkich punktów poboru stwierdzono obecność tego związku w ilościach od 0,05 do 2,79 µg/L. W blisko 40% prób wykrywano MCPA, a w nieco ponad 10% prób - </w:t>
      </w:r>
      <w:proofErr w:type="spellStart"/>
      <w:r w:rsidRPr="00925BCD">
        <w:rPr>
          <w:rFonts w:ascii="Arial" w:hAnsi="Arial" w:cs="Arial"/>
        </w:rPr>
        <w:t>bentazon</w:t>
      </w:r>
      <w:proofErr w:type="spellEnd"/>
      <w:r w:rsidRPr="00925BCD">
        <w:rPr>
          <w:rFonts w:ascii="Arial" w:hAnsi="Arial" w:cs="Arial"/>
        </w:rPr>
        <w:t xml:space="preserve"> i 2,4-D (herbicydy).</w:t>
      </w:r>
    </w:p>
    <w:p w14:paraId="1B7E10D2" w14:textId="11F23E1F" w:rsidR="00000CDD" w:rsidRDefault="00000CDD" w:rsidP="00000CD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 ramach współpracy z Wojewódzkimi Inspektoratami Ochrony Środowiska w Warszawie i w Łodzi, w Zakładzie Badania Bezpieczeństwa Żywności zostały wykonane analizy prób wody powierzchniowej obejmujące Wisłę i jej dorzecza z obszaru od Wilgi do Warszawy. Próbki analizowano przy użyciu chromatografu cieczowego z podwójnym detektorem masowym (LC-MS/MS) i akredytowanej na tym sprzęcie metody PB-02 oraz nową, nieakredytowaną metodą PB-03: „Oznaczanie pestycydów w wodzie przy użyciu GC-MS/MS”. Analizy obejmowały możliwość detekcji 193 substancji biologicznie czynnych środków ochrony roślin, ich izomerów i metabolitów, z czułością co najmniej 0,1-0,05 µg/L.</w:t>
      </w:r>
    </w:p>
    <w:p w14:paraId="4E580FFF" w14:textId="5B391339" w:rsidR="00000CDD" w:rsidRDefault="00000CDD" w:rsidP="00000CD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Ogółem przebadano 100 prób pochodzących z 20 miejsc poboru. W 44 próbach, czyli w 44% ogółu analizowanych, nie stwierdzono obecności pozostałości środków ochrony roślin. W 21 próbach, czyli w</w:t>
      </w:r>
      <w:r w:rsidR="004219CD" w:rsidRPr="00925BCD">
        <w:rPr>
          <w:rFonts w:ascii="Arial" w:hAnsi="Arial" w:cs="Arial"/>
        </w:rPr>
        <w:t> </w:t>
      </w:r>
      <w:r w:rsidRPr="00925BCD">
        <w:rPr>
          <w:rFonts w:ascii="Arial" w:hAnsi="Arial" w:cs="Arial"/>
        </w:rPr>
        <w:t xml:space="preserve">21% wykryto pozostałości, których suma wynosiła poniżej 0,1 µg/L, w 27 próbach, czyli w 27% wykryto pozostałości, których suma wynosiła między 0,1 a 0,5 µg/L. W jednej próbie, czyli w 1% wykryto pozostałości, których suma wynosiła między 0,5 a 1,0 µg/L. Wyniki badań wskazują, że 93% prób można zakwalifikować do kategorii A1 jakości wody, wg rozporządzenia </w:t>
      </w:r>
      <w:r w:rsidR="00D60F59" w:rsidRPr="00A533BA">
        <w:rPr>
          <w:rFonts w:ascii="Arial" w:hAnsi="Arial" w:cs="Arial"/>
        </w:rPr>
        <w:t xml:space="preserve">Ministra Gospodarki Morskiej </w:t>
      </w:r>
      <w:r w:rsidR="003E2E33" w:rsidRPr="00A533BA">
        <w:rPr>
          <w:rFonts w:ascii="Arial" w:hAnsi="Arial" w:cs="Arial"/>
        </w:rPr>
        <w:t>i</w:t>
      </w:r>
      <w:r w:rsidR="003E2E33">
        <w:rPr>
          <w:rFonts w:ascii="Arial" w:hAnsi="Arial" w:cs="Arial"/>
        </w:rPr>
        <w:t> </w:t>
      </w:r>
      <w:r w:rsidR="00D60F59" w:rsidRPr="00A533BA">
        <w:rPr>
          <w:rFonts w:ascii="Arial" w:hAnsi="Arial" w:cs="Arial"/>
        </w:rPr>
        <w:t>Żeglugi Śródlądowej z dnia 29 sierpnia 2019 r. w sprawie wymagań, jakim powinny odpowiadać wody powierzchniowe wykorzystywane do zaopatrzenia ludności w wodę przeznaczoną do spożycia przez ludzi (Dz. U. poz. 1747)</w:t>
      </w:r>
      <w:r w:rsidRPr="00925BCD">
        <w:rPr>
          <w:rFonts w:ascii="Arial" w:hAnsi="Arial" w:cs="Arial"/>
        </w:rPr>
        <w:t>. W pozostałych siedmiu próbach wody wykryto pozostałości, których suma wynosiła między 1,0 a</w:t>
      </w:r>
      <w:r w:rsidR="004219CD" w:rsidRPr="00925BCD">
        <w:rPr>
          <w:rFonts w:ascii="Arial" w:hAnsi="Arial" w:cs="Arial"/>
        </w:rPr>
        <w:t> </w:t>
      </w:r>
      <w:r w:rsidRPr="00925BCD">
        <w:rPr>
          <w:rFonts w:ascii="Arial" w:hAnsi="Arial" w:cs="Arial"/>
        </w:rPr>
        <w:t>2,5 µg/L, co kwalifikowało te próby do kategorii A2 jakości wody. Najwyższa zawartość pozostałości w badanych próbach wody wyniosła 2,2 µg/L pozostałości środków ochrony roślin. Najczęściej wykrywaną substancją był MCPA, który ma zastosowanie jako herbicyd. Stwierdzono jego obecność w 39 próbach, pochodzących z różnych punktów i terminów poboru, w stężeniach: od</w:t>
      </w:r>
      <w:r w:rsidR="00D91B60">
        <w:rPr>
          <w:rFonts w:ascii="Arial" w:hAnsi="Arial" w:cs="Arial"/>
        </w:rPr>
        <w:t> </w:t>
      </w:r>
      <w:r w:rsidRPr="00925BCD">
        <w:rPr>
          <w:rFonts w:ascii="Arial" w:hAnsi="Arial" w:cs="Arial"/>
        </w:rPr>
        <w:t xml:space="preserve">0,016 do 1,12 µg/L. Najwięcej pozostałości w każdym miesiącu stwierdzano w punkcie poboru: nr PL01S0901_1411 „Moszczanka – Godaszewice”. W próbie tej pobranej w czerwcu zaobserwowano najwyższe sumaryczne stężenie badanych pestycydów wynoszące 2,2 µg/L, przy czym niemal połowę tej wartości stanowił </w:t>
      </w:r>
      <w:proofErr w:type="spellStart"/>
      <w:r w:rsidRPr="00925BCD">
        <w:rPr>
          <w:rFonts w:ascii="Arial" w:hAnsi="Arial" w:cs="Arial"/>
        </w:rPr>
        <w:t>Pirymetanil</w:t>
      </w:r>
      <w:proofErr w:type="spellEnd"/>
      <w:r w:rsidRPr="00925BCD">
        <w:rPr>
          <w:rFonts w:ascii="Arial" w:hAnsi="Arial" w:cs="Arial"/>
        </w:rPr>
        <w:t xml:space="preserve"> (fungicyd) występujący w stężeniu 1,04 µg/L. W dwóch punktach poboru nie wykryto żadnych z badanych pestycydów. Były to: punkt nr PL01S0901_1414 „Spała – Gać” oraz. punkt nr PL01S0901_1391 „Pilica – Sulejów”.</w:t>
      </w:r>
    </w:p>
    <w:p w14:paraId="1B1936E1" w14:textId="09F4DABE" w:rsidR="00B40925" w:rsidRDefault="00B40925" w:rsidP="00B40925">
      <w:pPr>
        <w:pStyle w:val="NormalnyWeb"/>
        <w:tabs>
          <w:tab w:val="left" w:pos="284"/>
        </w:tabs>
        <w:spacing w:beforeAutospacing="0" w:after="120" w:afterAutospacing="0" w:line="360" w:lineRule="auto"/>
        <w:ind w:firstLine="284"/>
        <w:jc w:val="both"/>
        <w:rPr>
          <w:rFonts w:ascii="Arial" w:hAnsi="Arial" w:cs="Arial"/>
        </w:rPr>
      </w:pPr>
      <w:r w:rsidRPr="002E51A8">
        <w:rPr>
          <w:rFonts w:ascii="Arial" w:hAnsi="Arial" w:cs="Arial"/>
          <w:b/>
        </w:rPr>
        <w:t>W 2020 r</w:t>
      </w:r>
      <w:r w:rsidR="0085251F">
        <w:rPr>
          <w:rFonts w:ascii="Arial" w:hAnsi="Arial" w:cs="Arial"/>
          <w:b/>
        </w:rPr>
        <w:t>.</w:t>
      </w:r>
      <w:r w:rsidRPr="002E51A8">
        <w:rPr>
          <w:rFonts w:ascii="Arial" w:hAnsi="Arial" w:cs="Arial"/>
        </w:rPr>
        <w:t xml:space="preserve"> kontynuowano współpracę z Wojewódzkimi Inspektoratami Ochrony Środowiska w</w:t>
      </w:r>
      <w:r w:rsidR="00DB398B">
        <w:rPr>
          <w:rFonts w:ascii="Arial" w:hAnsi="Arial" w:cs="Arial"/>
        </w:rPr>
        <w:t> </w:t>
      </w:r>
      <w:r w:rsidRPr="002E51A8">
        <w:rPr>
          <w:rFonts w:ascii="Arial" w:hAnsi="Arial" w:cs="Arial"/>
        </w:rPr>
        <w:t xml:space="preserve">Warszawie i w Łodzi Na ich zlecenie zostały wykonane analizy prób wody powierzchniowej obejmujące Wisłę i jej dorzecza z obszaru od Wilgi do Warszawy. Ogółem przebadano 100 prób pochodzących z 20 miejsc poboru. W 42 próbach, czyli w 42% ogółu analizowanych, nie stwierdzono obecności pozostałości środków ochrony roślin. W 16 próbach, czyli w 16% wykryto pozostałości, </w:t>
      </w:r>
      <w:r w:rsidRPr="002E51A8">
        <w:rPr>
          <w:rFonts w:ascii="Arial" w:hAnsi="Arial" w:cs="Arial"/>
        </w:rPr>
        <w:lastRenderedPageBreak/>
        <w:t xml:space="preserve">których suma wynosiła poniżej 0,1 µg/L, w 27 próbach, czyli w 27% wykryto pozostałości, których suma wynosiła między 0,1 a 0,5 µg/L. W 6 próbach, czyli w 6% wykryto pozostałości, których suma wynosiła między 0,5 a 1,0 µg/L, w 6 próbach (6%) między 1 a 5 µg/L, w 2 próbkach – między 5 a 10 µg/L i w jednej ponad 28 µg/L. Wyniki badań wskazują, że 91% prób można zakwalifikować do kategorii A1 jakości wody, wg rozporządzenia </w:t>
      </w:r>
      <w:r w:rsidR="00D60F59" w:rsidRPr="00A533BA">
        <w:rPr>
          <w:rFonts w:ascii="Arial" w:hAnsi="Arial" w:cs="Arial"/>
        </w:rPr>
        <w:t>Ministra Gospodarki Morskiej i Żeglugi Śródlądowej z dnia 29 sierpnia 2019 r. w sprawie wymagań, jakim powinny odpowiadać wody powierzchniowe wykorzystywane do zaopatrzenia ludności w wodę przeznaczoną do spożycia przez ludzi (Dz. U. poz. 1747)</w:t>
      </w:r>
      <w:r w:rsidRPr="002E51A8">
        <w:rPr>
          <w:rFonts w:ascii="Arial" w:hAnsi="Arial" w:cs="Arial"/>
        </w:rPr>
        <w:t>. W pięciu próbkach wody wykryto pozostałości, których suma wynosiła między 1,0 a 2,5 µg/L, co kwalifikowało te próby do kategorii A2 jakości wody, a w trzech – do kategorii A3. Najwyższa zawartość pozostałości środków ochrony roślin w badanych próbach wody wyniosła 28,5 µg/L, pobrana w lipcu z punktu PL01S0701_1095 – Pilica Ostrówek. Głównym komponentem tego zanieczyszczenia był repelent DEET. Najczęściej wykrywaną substancją był MCPA, który ma zastosowanie jako herbicyd. Stwierdzono jego obecność w 39 próbach, pochodzących z różnych punktów i terminów poboru, w</w:t>
      </w:r>
      <w:r w:rsidR="00DB398B">
        <w:rPr>
          <w:rFonts w:ascii="Arial" w:hAnsi="Arial" w:cs="Arial"/>
        </w:rPr>
        <w:t> </w:t>
      </w:r>
      <w:r w:rsidRPr="002E51A8">
        <w:rPr>
          <w:rFonts w:ascii="Arial" w:hAnsi="Arial" w:cs="Arial"/>
        </w:rPr>
        <w:t xml:space="preserve">stężeniach: od 0,02 do 0,52 µg/L. Pozostałe najczęściej wykrywane substancje to repelent DEET (25% próbek) i herbicyd </w:t>
      </w:r>
      <w:proofErr w:type="spellStart"/>
      <w:r w:rsidRPr="002E51A8">
        <w:rPr>
          <w:rFonts w:ascii="Arial" w:hAnsi="Arial" w:cs="Arial"/>
        </w:rPr>
        <w:t>bentazon</w:t>
      </w:r>
      <w:proofErr w:type="spellEnd"/>
      <w:r w:rsidRPr="002E51A8">
        <w:rPr>
          <w:rFonts w:ascii="Arial" w:hAnsi="Arial" w:cs="Arial"/>
        </w:rPr>
        <w:t xml:space="preserve"> (23% próbek).</w:t>
      </w:r>
    </w:p>
    <w:p w14:paraId="14EFB790" w14:textId="28EBD729" w:rsidR="00447DD4" w:rsidRPr="00AF4A02" w:rsidRDefault="00B543B3" w:rsidP="001065CB">
      <w:pPr>
        <w:pStyle w:val="NormalnyWeb"/>
        <w:tabs>
          <w:tab w:val="left" w:pos="284"/>
        </w:tabs>
        <w:spacing w:line="360" w:lineRule="auto"/>
        <w:ind w:firstLine="284"/>
        <w:jc w:val="both"/>
        <w:rPr>
          <w:rFonts w:ascii="Arial" w:hAnsi="Arial" w:cs="Arial"/>
        </w:rPr>
      </w:pPr>
      <w:r w:rsidRPr="00AF4A02">
        <w:rPr>
          <w:rFonts w:ascii="Arial" w:hAnsi="Arial" w:cs="Arial"/>
          <w:bCs/>
        </w:rPr>
        <w:t xml:space="preserve">Podobnie jak w </w:t>
      </w:r>
      <w:r w:rsidR="00694088" w:rsidRPr="00AF4A02">
        <w:rPr>
          <w:rFonts w:ascii="Arial" w:hAnsi="Arial" w:cs="Arial"/>
          <w:bCs/>
        </w:rPr>
        <w:t>202</w:t>
      </w:r>
      <w:r w:rsidR="009F0F8C" w:rsidRPr="00AF4A02">
        <w:rPr>
          <w:rFonts w:ascii="Arial" w:hAnsi="Arial" w:cs="Arial"/>
          <w:bCs/>
        </w:rPr>
        <w:t>0</w:t>
      </w:r>
      <w:r w:rsidR="00694088" w:rsidRPr="00AF4A02">
        <w:rPr>
          <w:rFonts w:ascii="Arial" w:hAnsi="Arial" w:cs="Arial"/>
          <w:bCs/>
        </w:rPr>
        <w:t xml:space="preserve"> r</w:t>
      </w:r>
      <w:r w:rsidR="009F0F8C" w:rsidRPr="00AF4A02">
        <w:rPr>
          <w:rFonts w:ascii="Arial" w:hAnsi="Arial" w:cs="Arial"/>
          <w:bCs/>
        </w:rPr>
        <w:t>.</w:t>
      </w:r>
      <w:r w:rsidR="00694088" w:rsidRPr="00AF4A02">
        <w:rPr>
          <w:rFonts w:ascii="Arial" w:hAnsi="Arial" w:cs="Arial"/>
          <w:bCs/>
        </w:rPr>
        <w:t xml:space="preserve"> również w </w:t>
      </w:r>
      <w:r w:rsidR="00B43490" w:rsidRPr="00AF4A02">
        <w:rPr>
          <w:rFonts w:ascii="Arial" w:hAnsi="Arial" w:cs="Arial"/>
          <w:b/>
        </w:rPr>
        <w:t>2021 r</w:t>
      </w:r>
      <w:r w:rsidR="009F0F8C" w:rsidRPr="00AF4A02">
        <w:rPr>
          <w:rFonts w:ascii="Arial" w:hAnsi="Arial" w:cs="Arial"/>
          <w:b/>
        </w:rPr>
        <w:t>.</w:t>
      </w:r>
      <w:r w:rsidR="00B43490" w:rsidRPr="00AF4A02">
        <w:rPr>
          <w:rFonts w:ascii="Arial" w:hAnsi="Arial" w:cs="Arial"/>
        </w:rPr>
        <w:t xml:space="preserve"> kontynuowano współpracę z Wojewódzkimi Inspektoratami Ochrony Środowiska w Warszawie i w Łodzi. W ramach dotacji celowej zostały wykonane analizy prób wody powierzchniowej obejmujące Wisłę i jej dorzecza z obszaru od Wilgi do Warszawy. Ogółem przebadano 200 prób pochodzących z 20 miejsc poboru z terenu województwa mazowieckiego i z 20 miejsc poboru z terenu województwa łódzkiego. Wyniki badań wykazały, że w 66 próbkach, czyli w 33% ogółu analizowanych, nie stwierdzono obecności analizowanych pozostałości środków ochrony roślin. W 52 próbkach, czyli w 26% wykryto pozostałości, których suma wynosiła poniżej 0,1 µg/L, w 64 próbkach, czyli w 32% wykryto pozostałości, których suma wynosiła między 0,1 a 0,5 µg/L. W 12 próbkach, czyli w 6% wykryto pozostałości, których suma wynosiła między 0,5 a 1,0 µg/L. Wyniki badań wskazują, że 97% prób można zakwalifikować do kategorii A1 jakości wody, wg </w:t>
      </w:r>
      <w:r w:rsidR="0004504F" w:rsidRPr="00AF4A02">
        <w:rPr>
          <w:rFonts w:ascii="Arial" w:hAnsi="Arial" w:cs="Arial"/>
        </w:rPr>
        <w:t xml:space="preserve">rozporządzenia Ministra Gospodarki Morskiej i Żeglugi Śródlądowej z dnia 29 sierpnia 2019 r. w sprawie wymagań, jakim powinny odpowiadać wody powierzchniowe wykorzystywane do zaopatrzenia ludności w wodę przeznaczoną do spożycia przez ludzi (Dz. U. poz. 1747). </w:t>
      </w:r>
      <w:r w:rsidR="00B43490" w:rsidRPr="00AF4A02">
        <w:rPr>
          <w:rFonts w:ascii="Arial" w:hAnsi="Arial" w:cs="Arial"/>
        </w:rPr>
        <w:t>W pozostałych 6 próbkach wody wykryto: w</w:t>
      </w:r>
      <w:r w:rsidR="00AF4A02">
        <w:rPr>
          <w:rFonts w:ascii="Arial" w:hAnsi="Arial" w:cs="Arial"/>
        </w:rPr>
        <w:t> </w:t>
      </w:r>
      <w:r w:rsidR="00B43490" w:rsidRPr="00AF4A02">
        <w:rPr>
          <w:rFonts w:ascii="Arial" w:hAnsi="Arial" w:cs="Arial"/>
        </w:rPr>
        <w:t xml:space="preserve">4 próbkach pozostałości, których suma wynosiła między 1,0 a 2,5 µg/L, co kwalifikowało te próbki wody do kategorii A2, w 1 próbce pozostałości, których suma wynosiła między 2,5 a 5 µg/L, co kwalifikowało te próbki do kategorii A3 jakości wody. W 1 próbce wykryto pozostałości powyżej 5 µg/L, najwyższa zawartość wyniosła 65,8 µg/L pozostałości środków ochrony roślin. Ogółem w 67% badanych próbek wody (134 próbki) stwierdzono obecność 25 różnych substancji aktywnych środków ochrony roślin. Najczęściej wykrywanymi substancjami były: MCPA (w 85 próbkach), DEET (w 67 próbkach) i </w:t>
      </w:r>
      <w:proofErr w:type="spellStart"/>
      <w:r w:rsidR="00B43490" w:rsidRPr="00AF4A02">
        <w:rPr>
          <w:rFonts w:ascii="Arial" w:hAnsi="Arial" w:cs="Arial"/>
        </w:rPr>
        <w:t>bentazon</w:t>
      </w:r>
      <w:proofErr w:type="spellEnd"/>
      <w:r w:rsidR="00B43490" w:rsidRPr="00AF4A02">
        <w:rPr>
          <w:rFonts w:ascii="Arial" w:hAnsi="Arial" w:cs="Arial"/>
        </w:rPr>
        <w:t xml:space="preserve"> (w 59 próbkach). Relatywnie najwięcej pozostałości w każdym miesiącu stwierdzano w punkcie poboru: nr PL01S0701_1141 „Utrata – </w:t>
      </w:r>
      <w:proofErr w:type="spellStart"/>
      <w:r w:rsidR="00B43490" w:rsidRPr="00AF4A02">
        <w:rPr>
          <w:rFonts w:ascii="Arial" w:hAnsi="Arial" w:cs="Arial"/>
        </w:rPr>
        <w:t>Wawrzyszew</w:t>
      </w:r>
      <w:proofErr w:type="spellEnd"/>
      <w:r w:rsidR="00B43490" w:rsidRPr="00AF4A02">
        <w:rPr>
          <w:rFonts w:ascii="Arial" w:hAnsi="Arial" w:cs="Arial"/>
        </w:rPr>
        <w:t>, powyżej Rokitnicy”, gdzie wykrywano 12 różnych pestycydów w ilości od 0,3 do 1,9 µg/L, oraz w punkcie nr PL01S0901_1411 „Moszczanka – Godaszewice”, gdzie wykrywano 10 różnych pestycydów w ilości od 0,1 do 0,8 µg/L. Najwyższe punktowe stężenie badanych pestycydów wynoszące 65,7 µg/L zaobserwowano w punkcie poboru nr</w:t>
      </w:r>
      <w:r w:rsidR="00AF4A02">
        <w:rPr>
          <w:rFonts w:ascii="Arial" w:hAnsi="Arial" w:cs="Arial"/>
        </w:rPr>
        <w:t> </w:t>
      </w:r>
      <w:r w:rsidR="00B43490" w:rsidRPr="00AF4A02">
        <w:rPr>
          <w:rFonts w:ascii="Arial" w:hAnsi="Arial" w:cs="Arial"/>
        </w:rPr>
        <w:t xml:space="preserve">PL01S0901_1442 „Mroga – Bielawy” pobranej w maju, przy czym niemal całość tej wartości stanowił </w:t>
      </w:r>
      <w:r w:rsidR="00B43490" w:rsidRPr="00AF4A02">
        <w:rPr>
          <w:rFonts w:ascii="Arial" w:hAnsi="Arial" w:cs="Arial"/>
        </w:rPr>
        <w:lastRenderedPageBreak/>
        <w:t>DEET (repelent). W sześciu punktach poboru nie wykryto żadnych z badanych pestycydów.</w:t>
      </w:r>
    </w:p>
    <w:p w14:paraId="47489C3E" w14:textId="3F0112B7" w:rsidR="00056846" w:rsidRPr="00925BCD" w:rsidRDefault="00E54725">
      <w:pPr>
        <w:pStyle w:val="Nagwek2"/>
        <w:jc w:val="both"/>
        <w:rPr>
          <w:i w:val="0"/>
          <w:sz w:val="20"/>
          <w:szCs w:val="20"/>
        </w:rPr>
      </w:pPr>
      <w:bookmarkStart w:id="44" w:name="_Toc341876117"/>
      <w:bookmarkStart w:id="45" w:name="_Toc134099264"/>
      <w:r w:rsidRPr="00925BCD">
        <w:rPr>
          <w:i w:val="0"/>
          <w:sz w:val="20"/>
          <w:szCs w:val="20"/>
        </w:rPr>
        <w:t>Zadanie 4. Nadzór nad środkami ochrony roślin zawierającymi substancje czynne, które powinny być objęte szczególnym monitoringiem</w:t>
      </w:r>
      <w:bookmarkEnd w:id="44"/>
      <w:bookmarkEnd w:id="45"/>
    </w:p>
    <w:p w14:paraId="479EDD2D"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Zgodnie z art. 1 rozporządzenia wykonawczego Komisji (UE) nr 540/2011 z dnia 25 maja 2011 r. w sprawie wykonania rozporządzenia Parlamentu Europejskiego i Rady (WE) nr 1107/2009 w odniesieniu do wykazu zatwierdzonych substancji czynnych (Dz. Urz. UE L 153 z 11.06.2011, str. 1, z późn. zm.) substancje czynne wymienione w załączniku do tego rozporządzenia zostają zatwierdzone do stosowania w środkach ochrony roślin. W załączniku do rozporządzenia przedstawione zostały również szczególne wymagania dotyczące danej substancji czynnej oraz informacje czy dana substancja czynna powinna zostać objęta szczególnym programem monitorowania w związku z większym ryzykiem związanym ze stosowaniem środków ochrony roślin.</w:t>
      </w:r>
    </w:p>
    <w:p w14:paraId="3497DB58"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Ministerstwie Rolnictwa i Rozwoju Wsi w latach 2013–2014 prowadzone były prace mające na celu wyłonienie substancji czynnych, które powinny zostać objęte szczególnym programem monitorowania. Wyłoniono zestaw 24 substancji czynnych.</w:t>
      </w:r>
    </w:p>
    <w:p w14:paraId="17A0BE17" w14:textId="77777777" w:rsidR="006D456B"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latach 2015–2017 w ramach programu wieloletniego „Ochrona roślin uprawnych z uwzględnieniem bezpieczeństwa żywności oraz ograniczenia strat w plonach i zagrożeń dla zdrowia ludzi, zwierząt domowych i środowiska”, realizowanego przez Instytut Ochrony Roślin – PIB, opracowano zestaw wskaźników dla oceny sprzedaży środków ochrony roślin zawierających substancje czynne objęte obowiązkiem szczególnego monitorowania zgodnie z rozporządzeniem 540/2011. Wskaźnik wielkości sprzedaży </w:t>
      </w:r>
      <w:r w:rsidRPr="007110A5">
        <w:rPr>
          <w:rFonts w:ascii="Arial" w:eastAsia="Calibri" w:hAnsi="Arial" w:cs="Arial"/>
        </w:rPr>
        <w:t>(</w:t>
      </w:r>
      <w:proofErr w:type="spellStart"/>
      <w:r w:rsidRPr="007110A5">
        <w:rPr>
          <w:rFonts w:ascii="Arial" w:eastAsia="Calibri" w:hAnsi="Arial" w:cs="Arial"/>
        </w:rPr>
        <w:t>WS</w:t>
      </w:r>
      <w:r w:rsidRPr="007110A5">
        <w:rPr>
          <w:rFonts w:ascii="Arial" w:eastAsia="Calibri" w:hAnsi="Arial" w:cs="Arial"/>
          <w:vertAlign w:val="subscript"/>
        </w:rPr>
        <w:t>Monit</w:t>
      </w:r>
      <w:proofErr w:type="spellEnd"/>
      <w:r w:rsidRPr="007110A5">
        <w:rPr>
          <w:rFonts w:ascii="Arial" w:eastAsia="Calibri" w:hAnsi="Arial" w:cs="Arial"/>
          <w:vertAlign w:val="subscript"/>
        </w:rPr>
        <w:t>.</w:t>
      </w:r>
      <w:r w:rsidRPr="007110A5">
        <w:rPr>
          <w:rFonts w:ascii="Arial" w:eastAsia="Calibri" w:hAnsi="Arial" w:cs="Arial"/>
        </w:rPr>
        <w:t>)</w:t>
      </w:r>
      <w:r w:rsidRPr="007110A5">
        <w:rPr>
          <w:rFonts w:ascii="Arial" w:hAnsi="Arial" w:cs="Arial"/>
        </w:rPr>
        <w:t xml:space="preserve"> i wskaźnik struktury sprzedaży </w:t>
      </w:r>
      <w:r w:rsidRPr="007110A5">
        <w:rPr>
          <w:rFonts w:ascii="Arial" w:eastAsia="Calibri" w:hAnsi="Arial" w:cs="Arial"/>
        </w:rPr>
        <w:t>(</w:t>
      </w:r>
      <w:proofErr w:type="spellStart"/>
      <w:r w:rsidRPr="007110A5">
        <w:rPr>
          <w:rFonts w:ascii="Arial" w:eastAsia="Calibri" w:hAnsi="Arial" w:cs="Arial"/>
        </w:rPr>
        <w:t>WSS</w:t>
      </w:r>
      <w:r w:rsidRPr="007110A5">
        <w:rPr>
          <w:rFonts w:ascii="Arial" w:eastAsia="Calibri" w:hAnsi="Arial" w:cs="Arial"/>
          <w:vertAlign w:val="subscript"/>
        </w:rPr>
        <w:t>Monit</w:t>
      </w:r>
      <w:proofErr w:type="spellEnd"/>
      <w:r w:rsidRPr="007110A5">
        <w:rPr>
          <w:rFonts w:ascii="Arial" w:eastAsia="Calibri" w:hAnsi="Arial" w:cs="Arial"/>
          <w:vertAlign w:val="subscript"/>
        </w:rPr>
        <w:t>.</w:t>
      </w:r>
      <w:r w:rsidRPr="007110A5">
        <w:rPr>
          <w:rFonts w:ascii="Arial" w:hAnsi="Arial" w:cs="Arial"/>
        </w:rPr>
        <w:t>)</w:t>
      </w:r>
      <w:r w:rsidRPr="00925BCD">
        <w:rPr>
          <w:rFonts w:ascii="Arial" w:hAnsi="Arial" w:cs="Arial"/>
        </w:rPr>
        <w:t xml:space="preserve"> uwzględniający wielkość sprzedaży substancji wymagających monitorowania w stosunku do sumarycznej wielkości sprzedaży) obliczone zostały począwszy od 2013 r.</w:t>
      </w:r>
    </w:p>
    <w:p w14:paraId="3E2BD148" w14:textId="6B656256" w:rsidR="00A5279B" w:rsidRDefault="00A5279B" w:rsidP="0003253D">
      <w:pPr>
        <w:pStyle w:val="Standard"/>
        <w:spacing w:after="0" w:line="276" w:lineRule="auto"/>
        <w:jc w:val="center"/>
        <w:rPr>
          <w:rFonts w:ascii="Arial" w:hAnsi="Arial" w:cs="Arial"/>
          <w:sz w:val="20"/>
          <w:szCs w:val="20"/>
        </w:rPr>
      </w:pPr>
      <w:r w:rsidRPr="00271C1A">
        <w:rPr>
          <w:rFonts w:ascii="Arial" w:hAnsi="Arial" w:cs="Arial"/>
          <w:sz w:val="20"/>
          <w:szCs w:val="20"/>
        </w:rPr>
        <w:t xml:space="preserve">Wyniki obliczeń wskaźników sprzedaży substancji czynnych wymagających programów monitorowania (wskaźniki „F” – </w:t>
      </w:r>
      <w:proofErr w:type="spellStart"/>
      <w:r w:rsidRPr="00271C1A">
        <w:rPr>
          <w:rFonts w:ascii="Arial" w:hAnsi="Arial" w:cs="Arial"/>
          <w:sz w:val="20"/>
          <w:szCs w:val="20"/>
        </w:rPr>
        <w:t>WS</w:t>
      </w:r>
      <w:r w:rsidRPr="00271C1A">
        <w:rPr>
          <w:rFonts w:ascii="Arial" w:hAnsi="Arial" w:cs="Arial"/>
          <w:sz w:val="20"/>
          <w:szCs w:val="20"/>
          <w:vertAlign w:val="subscript"/>
        </w:rPr>
        <w:t>Monit</w:t>
      </w:r>
      <w:proofErr w:type="spellEnd"/>
      <w:r w:rsidRPr="00271C1A">
        <w:rPr>
          <w:rFonts w:ascii="Arial" w:hAnsi="Arial" w:cs="Arial"/>
          <w:sz w:val="20"/>
          <w:szCs w:val="20"/>
          <w:vertAlign w:val="subscript"/>
        </w:rPr>
        <w:t>.</w:t>
      </w:r>
      <w:r w:rsidRPr="00271C1A">
        <w:rPr>
          <w:rFonts w:ascii="Arial" w:hAnsi="Arial" w:cs="Arial"/>
          <w:sz w:val="20"/>
          <w:szCs w:val="20"/>
        </w:rPr>
        <w:t xml:space="preserve"> i </w:t>
      </w:r>
      <w:proofErr w:type="spellStart"/>
      <w:r w:rsidRPr="00271C1A">
        <w:rPr>
          <w:rFonts w:ascii="Arial" w:hAnsi="Arial" w:cs="Arial"/>
          <w:sz w:val="20"/>
          <w:szCs w:val="20"/>
        </w:rPr>
        <w:t>WSS</w:t>
      </w:r>
      <w:r w:rsidRPr="00271C1A">
        <w:rPr>
          <w:rFonts w:ascii="Arial" w:hAnsi="Arial" w:cs="Arial"/>
          <w:sz w:val="20"/>
          <w:szCs w:val="20"/>
          <w:vertAlign w:val="subscript"/>
        </w:rPr>
        <w:t>Monit</w:t>
      </w:r>
      <w:proofErr w:type="spellEnd"/>
      <w:r w:rsidRPr="00271C1A">
        <w:rPr>
          <w:rFonts w:ascii="Arial" w:hAnsi="Arial" w:cs="Arial"/>
          <w:sz w:val="20"/>
          <w:szCs w:val="20"/>
          <w:vertAlign w:val="subscript"/>
        </w:rPr>
        <w:t>.</w:t>
      </w:r>
      <w:r w:rsidRPr="00271C1A">
        <w:rPr>
          <w:rFonts w:ascii="Arial" w:hAnsi="Arial" w:cs="Arial"/>
          <w:sz w:val="20"/>
          <w:szCs w:val="20"/>
        </w:rPr>
        <w:t>) dla lat 201</w:t>
      </w:r>
      <w:r>
        <w:rPr>
          <w:rFonts w:ascii="Arial" w:hAnsi="Arial" w:cs="Arial"/>
          <w:sz w:val="20"/>
          <w:szCs w:val="20"/>
        </w:rPr>
        <w:t>3</w:t>
      </w:r>
      <w:r w:rsidRPr="00271C1A">
        <w:rPr>
          <w:rFonts w:ascii="Arial" w:hAnsi="Arial" w:cs="Arial"/>
          <w:sz w:val="20"/>
          <w:szCs w:val="20"/>
        </w:rPr>
        <w:t xml:space="preserve"> – 2021</w:t>
      </w:r>
    </w:p>
    <w:p w14:paraId="2B7A7E45" w14:textId="77777777" w:rsidR="00E146B9" w:rsidRPr="00601D37" w:rsidRDefault="00E146B9" w:rsidP="00A5279B">
      <w:pPr>
        <w:pStyle w:val="Standard"/>
        <w:spacing w:after="0" w:line="276" w:lineRule="auto"/>
        <w:jc w:val="both"/>
        <w:rPr>
          <w:rFonts w:ascii="Arial" w:eastAsia="Arial" w:hAnsi="Arial" w:cs="Arial"/>
          <w:color w:val="000000"/>
          <w:sz w:val="20"/>
          <w:szCs w:val="20"/>
          <w:lang w:eastAsia="pl-PL"/>
        </w:rPr>
      </w:pPr>
    </w:p>
    <w:tbl>
      <w:tblPr>
        <w:tblW w:w="9348" w:type="dxa"/>
        <w:tblLayout w:type="fixed"/>
        <w:tblLook w:val="0000" w:firstRow="0" w:lastRow="0" w:firstColumn="0" w:lastColumn="0" w:noHBand="0" w:noVBand="0"/>
      </w:tblPr>
      <w:tblGrid>
        <w:gridCol w:w="1027"/>
        <w:gridCol w:w="916"/>
        <w:gridCol w:w="916"/>
        <w:gridCol w:w="916"/>
        <w:gridCol w:w="916"/>
        <w:gridCol w:w="916"/>
        <w:gridCol w:w="916"/>
        <w:gridCol w:w="916"/>
        <w:gridCol w:w="916"/>
        <w:gridCol w:w="993"/>
      </w:tblGrid>
      <w:tr w:rsidR="00175A6C" w:rsidRPr="00601D37" w14:paraId="1118C9B6" w14:textId="77777777" w:rsidTr="00547BF7">
        <w:trPr>
          <w:trHeight w:val="657"/>
        </w:trPr>
        <w:tc>
          <w:tcPr>
            <w:tcW w:w="102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32089EC9" w14:textId="77777777" w:rsidR="00A5279B" w:rsidRPr="00DC148C" w:rsidRDefault="00A5279B" w:rsidP="00DC71EF">
            <w:pPr>
              <w:spacing w:after="0" w:line="240" w:lineRule="auto"/>
              <w:jc w:val="center"/>
              <w:rPr>
                <w:rFonts w:ascii="Arial" w:eastAsia="Arial" w:hAnsi="Arial" w:cs="Arial"/>
                <w:sz w:val="18"/>
                <w:szCs w:val="18"/>
                <w:lang w:eastAsia="pl-PL"/>
              </w:rPr>
            </w:pPr>
            <w:r w:rsidRPr="00DC148C">
              <w:rPr>
                <w:rFonts w:ascii="Arial" w:eastAsia="Arial" w:hAnsi="Arial" w:cs="Arial"/>
                <w:sz w:val="18"/>
                <w:szCs w:val="18"/>
                <w:lang w:eastAsia="pl-PL"/>
              </w:rPr>
              <w:t>Pozycja/ lata</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0FC04084" w14:textId="77777777" w:rsidR="00A5279B" w:rsidRPr="00DC148C" w:rsidRDefault="00A5279B" w:rsidP="00DC71EF">
            <w:pPr>
              <w:spacing w:after="0" w:line="240" w:lineRule="auto"/>
              <w:jc w:val="center"/>
              <w:rPr>
                <w:rFonts w:ascii="Arial" w:eastAsia="Arial" w:hAnsi="Arial" w:cs="Arial"/>
                <w:sz w:val="18"/>
                <w:szCs w:val="18"/>
                <w:lang w:eastAsia="pl-PL"/>
              </w:rPr>
            </w:pPr>
            <w:r w:rsidRPr="00DC148C">
              <w:rPr>
                <w:rFonts w:ascii="Arial" w:eastAsia="Arial" w:hAnsi="Arial" w:cs="Arial"/>
                <w:sz w:val="18"/>
                <w:szCs w:val="18"/>
                <w:lang w:eastAsia="pl-PL"/>
              </w:rPr>
              <w:t>2013</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D77C3F8" w14:textId="77777777" w:rsidR="00A5279B" w:rsidRPr="00DC148C" w:rsidRDefault="00A5279B" w:rsidP="00DC71EF">
            <w:pPr>
              <w:spacing w:after="0" w:line="240" w:lineRule="auto"/>
              <w:jc w:val="center"/>
              <w:rPr>
                <w:rFonts w:ascii="Arial" w:eastAsia="Arial" w:hAnsi="Arial" w:cs="Arial"/>
                <w:sz w:val="18"/>
                <w:szCs w:val="18"/>
                <w:lang w:eastAsia="pl-PL"/>
              </w:rPr>
            </w:pPr>
            <w:r w:rsidRPr="00DC148C">
              <w:rPr>
                <w:rFonts w:ascii="Arial" w:eastAsia="Arial" w:hAnsi="Arial" w:cs="Arial"/>
                <w:sz w:val="18"/>
                <w:szCs w:val="18"/>
                <w:lang w:eastAsia="pl-PL"/>
              </w:rPr>
              <w:t>2014</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6A5EDE3" w14:textId="77777777" w:rsidR="00A5279B" w:rsidRPr="00DC148C" w:rsidRDefault="00A5279B" w:rsidP="00DC71EF">
            <w:pPr>
              <w:spacing w:after="0" w:line="240" w:lineRule="auto"/>
              <w:jc w:val="center"/>
              <w:rPr>
                <w:rFonts w:ascii="Arial" w:eastAsia="Arial" w:hAnsi="Arial" w:cs="Arial"/>
                <w:sz w:val="18"/>
                <w:szCs w:val="18"/>
                <w:lang w:eastAsia="pl-PL"/>
              </w:rPr>
            </w:pPr>
            <w:r w:rsidRPr="00DC148C">
              <w:rPr>
                <w:rFonts w:ascii="Arial" w:eastAsia="Arial" w:hAnsi="Arial" w:cs="Arial"/>
                <w:sz w:val="18"/>
                <w:szCs w:val="18"/>
                <w:lang w:eastAsia="pl-PL"/>
              </w:rPr>
              <w:t>2015</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6A413C7" w14:textId="77777777" w:rsidR="00A5279B" w:rsidRPr="00DC148C" w:rsidRDefault="00A5279B" w:rsidP="00DC71EF">
            <w:pPr>
              <w:spacing w:after="0" w:line="240" w:lineRule="auto"/>
              <w:jc w:val="center"/>
              <w:rPr>
                <w:rFonts w:ascii="Arial" w:eastAsia="Arial" w:hAnsi="Arial" w:cs="Arial"/>
                <w:sz w:val="18"/>
                <w:szCs w:val="18"/>
                <w:lang w:eastAsia="pl-PL"/>
              </w:rPr>
            </w:pPr>
            <w:r w:rsidRPr="00DC148C">
              <w:rPr>
                <w:rFonts w:ascii="Arial" w:eastAsia="Arial" w:hAnsi="Arial" w:cs="Arial"/>
                <w:sz w:val="18"/>
                <w:szCs w:val="18"/>
                <w:lang w:eastAsia="pl-PL"/>
              </w:rPr>
              <w:t>2016</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F978BDD" w14:textId="77777777" w:rsidR="00A5279B" w:rsidRPr="00DC148C" w:rsidRDefault="00A5279B" w:rsidP="00DC71EF">
            <w:pPr>
              <w:spacing w:after="0" w:line="240" w:lineRule="auto"/>
              <w:jc w:val="center"/>
              <w:rPr>
                <w:rFonts w:ascii="Arial" w:eastAsia="Arial" w:hAnsi="Arial" w:cs="Arial"/>
                <w:sz w:val="18"/>
                <w:szCs w:val="18"/>
                <w:lang w:eastAsia="pl-PL"/>
              </w:rPr>
            </w:pPr>
            <w:r w:rsidRPr="00DC148C">
              <w:rPr>
                <w:rFonts w:ascii="Arial" w:eastAsia="Arial" w:hAnsi="Arial" w:cs="Arial"/>
                <w:sz w:val="18"/>
                <w:szCs w:val="18"/>
                <w:lang w:eastAsia="pl-PL"/>
              </w:rPr>
              <w:t>2017</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3DD7D92" w14:textId="77777777" w:rsidR="00A5279B" w:rsidRPr="00DC148C" w:rsidRDefault="00A5279B" w:rsidP="00DC71EF">
            <w:pPr>
              <w:spacing w:after="0" w:line="240" w:lineRule="auto"/>
              <w:jc w:val="center"/>
              <w:rPr>
                <w:rFonts w:ascii="Arial" w:eastAsia="Arial" w:hAnsi="Arial" w:cs="Arial"/>
                <w:sz w:val="18"/>
                <w:szCs w:val="18"/>
                <w:lang w:eastAsia="pl-PL"/>
              </w:rPr>
            </w:pPr>
            <w:r w:rsidRPr="00DC148C">
              <w:rPr>
                <w:rFonts w:ascii="Arial" w:eastAsia="Arial" w:hAnsi="Arial" w:cs="Arial"/>
                <w:sz w:val="18"/>
                <w:szCs w:val="18"/>
                <w:lang w:eastAsia="pl-PL"/>
              </w:rPr>
              <w:t>2018</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3270D2C" w14:textId="77777777" w:rsidR="00A5279B" w:rsidRPr="00DC148C" w:rsidRDefault="00A5279B" w:rsidP="00DC71EF">
            <w:pPr>
              <w:spacing w:after="0" w:line="240" w:lineRule="auto"/>
              <w:jc w:val="center"/>
              <w:rPr>
                <w:rFonts w:ascii="Arial" w:eastAsia="Arial" w:hAnsi="Arial" w:cs="Arial"/>
                <w:sz w:val="18"/>
                <w:szCs w:val="18"/>
                <w:lang w:eastAsia="pl-PL"/>
              </w:rPr>
            </w:pPr>
            <w:r w:rsidRPr="00DC148C">
              <w:rPr>
                <w:rFonts w:ascii="Arial" w:eastAsia="Arial" w:hAnsi="Arial" w:cs="Arial"/>
                <w:sz w:val="18"/>
                <w:szCs w:val="18"/>
                <w:lang w:eastAsia="pl-PL"/>
              </w:rPr>
              <w:t>2019</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C314798" w14:textId="77777777" w:rsidR="00A5279B" w:rsidRPr="00DC148C" w:rsidRDefault="00A5279B" w:rsidP="00DC71EF">
            <w:pPr>
              <w:spacing w:after="0" w:line="240" w:lineRule="auto"/>
              <w:jc w:val="center"/>
              <w:rPr>
                <w:rFonts w:ascii="Arial" w:eastAsia="Arial" w:hAnsi="Arial" w:cs="Arial"/>
                <w:sz w:val="18"/>
                <w:szCs w:val="18"/>
                <w:lang w:eastAsia="pl-PL"/>
              </w:rPr>
            </w:pPr>
            <w:r w:rsidRPr="00DC148C">
              <w:rPr>
                <w:rFonts w:ascii="Arial" w:eastAsia="Arial" w:hAnsi="Arial" w:cs="Arial"/>
                <w:sz w:val="18"/>
                <w:szCs w:val="18"/>
                <w:lang w:eastAsia="pl-PL"/>
              </w:rPr>
              <w:t>2020</w:t>
            </w:r>
          </w:p>
        </w:tc>
        <w:tc>
          <w:tcPr>
            <w:tcW w:w="993" w:type="dxa"/>
            <w:tcBorders>
              <w:top w:val="single" w:sz="6" w:space="0" w:color="000000"/>
              <w:left w:val="single" w:sz="6" w:space="0" w:color="000000"/>
              <w:bottom w:val="single" w:sz="6" w:space="0" w:color="000000"/>
              <w:right w:val="single" w:sz="6" w:space="0" w:color="000000"/>
            </w:tcBorders>
            <w:vAlign w:val="center"/>
          </w:tcPr>
          <w:p w14:paraId="399480AA" w14:textId="77777777" w:rsidR="00A5279B" w:rsidRPr="00DC148C" w:rsidRDefault="00A5279B" w:rsidP="00175A6C">
            <w:pPr>
              <w:spacing w:after="0" w:line="240" w:lineRule="auto"/>
              <w:jc w:val="center"/>
              <w:rPr>
                <w:rFonts w:ascii="Arial" w:eastAsia="Arial" w:hAnsi="Arial" w:cs="Arial"/>
                <w:sz w:val="18"/>
                <w:szCs w:val="18"/>
                <w:lang w:eastAsia="pl-PL"/>
              </w:rPr>
            </w:pPr>
            <w:r w:rsidRPr="00DC148C">
              <w:rPr>
                <w:rFonts w:ascii="Arial" w:eastAsia="Times New Roman" w:hAnsi="Arial" w:cs="Arial"/>
                <w:sz w:val="18"/>
                <w:szCs w:val="18"/>
                <w:lang w:eastAsia="pl-PL"/>
              </w:rPr>
              <w:t>2021</w:t>
            </w:r>
          </w:p>
        </w:tc>
      </w:tr>
      <w:tr w:rsidR="00175A6C" w:rsidRPr="00601D37" w14:paraId="0F0F0B42" w14:textId="77777777" w:rsidTr="00547BF7">
        <w:trPr>
          <w:trHeight w:val="657"/>
        </w:trPr>
        <w:tc>
          <w:tcPr>
            <w:tcW w:w="102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7EFEF752" w14:textId="77777777" w:rsidR="00A5279B" w:rsidRPr="00DC148C" w:rsidRDefault="00A5279B" w:rsidP="00DC71EF">
            <w:pPr>
              <w:spacing w:after="0" w:line="240" w:lineRule="auto"/>
              <w:rPr>
                <w:rFonts w:ascii="Arial" w:eastAsia="Arial" w:hAnsi="Arial" w:cs="Arial"/>
                <w:sz w:val="16"/>
                <w:szCs w:val="16"/>
                <w:lang w:eastAsia="pl-PL"/>
              </w:rPr>
            </w:pPr>
            <w:r w:rsidRPr="00DC148C">
              <w:rPr>
                <w:rFonts w:ascii="Arial" w:eastAsia="Arial" w:hAnsi="Arial" w:cs="Arial"/>
                <w:sz w:val="16"/>
                <w:szCs w:val="16"/>
                <w:lang w:eastAsia="pl-PL"/>
              </w:rPr>
              <w:t xml:space="preserve">Wskaźnik wielkości sprzedaży </w:t>
            </w:r>
            <w:proofErr w:type="spellStart"/>
            <w:r w:rsidRPr="00DC148C">
              <w:rPr>
                <w:rFonts w:ascii="Arial" w:eastAsia="Arial" w:hAnsi="Arial" w:cs="Arial"/>
                <w:sz w:val="16"/>
                <w:szCs w:val="16"/>
                <w:lang w:eastAsia="pl-PL"/>
              </w:rPr>
              <w:t>WS</w:t>
            </w:r>
            <w:r w:rsidRPr="00DC148C">
              <w:rPr>
                <w:rFonts w:ascii="Arial" w:eastAsia="Arial" w:hAnsi="Arial" w:cs="Arial"/>
                <w:sz w:val="16"/>
                <w:szCs w:val="16"/>
                <w:vertAlign w:val="subscript"/>
                <w:lang w:eastAsia="pl-PL"/>
              </w:rPr>
              <w:t>Monit</w:t>
            </w:r>
            <w:proofErr w:type="spellEnd"/>
            <w:r w:rsidRPr="00DC148C">
              <w:rPr>
                <w:rFonts w:ascii="Arial" w:eastAsia="Arial" w:hAnsi="Arial" w:cs="Arial"/>
                <w:sz w:val="16"/>
                <w:szCs w:val="16"/>
                <w:lang w:eastAsia="pl-PL"/>
              </w:rPr>
              <w:t>. [Mg]</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16630B70"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2030,30</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0BA8AE5"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2098,24</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F6F70C6"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2165,56</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1461FE4"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2002,95</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A423E00"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2184,74</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A516D7B"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2329,74</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0E1B53D"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2398,86</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F2CFC9"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Times New Roman" w:hAnsi="Arial" w:cs="Arial"/>
                <w:sz w:val="18"/>
                <w:szCs w:val="18"/>
                <w:lang w:eastAsia="pl-PL"/>
              </w:rPr>
              <w:t>2506,07</w:t>
            </w:r>
          </w:p>
        </w:tc>
        <w:tc>
          <w:tcPr>
            <w:tcW w:w="993" w:type="dxa"/>
            <w:tcBorders>
              <w:top w:val="single" w:sz="6" w:space="0" w:color="000000"/>
              <w:left w:val="single" w:sz="6" w:space="0" w:color="000000"/>
              <w:bottom w:val="single" w:sz="6" w:space="0" w:color="000000"/>
              <w:right w:val="single" w:sz="6" w:space="0" w:color="000000"/>
            </w:tcBorders>
            <w:vAlign w:val="center"/>
          </w:tcPr>
          <w:p w14:paraId="071A17C8" w14:textId="77777777" w:rsidR="00A5279B" w:rsidRPr="00B0453D" w:rsidRDefault="00A5279B" w:rsidP="00175A6C">
            <w:pPr>
              <w:spacing w:after="0" w:line="240" w:lineRule="auto"/>
              <w:jc w:val="center"/>
              <w:rPr>
                <w:rFonts w:ascii="Arial" w:eastAsia="Times New Roman" w:hAnsi="Arial" w:cs="Arial"/>
                <w:sz w:val="18"/>
                <w:szCs w:val="18"/>
                <w:lang w:eastAsia="pl-PL"/>
              </w:rPr>
            </w:pPr>
            <w:r w:rsidRPr="00B0453D">
              <w:rPr>
                <w:rFonts w:ascii="Arial" w:eastAsia="Times New Roman" w:hAnsi="Arial" w:cs="Arial"/>
                <w:sz w:val="18"/>
                <w:szCs w:val="18"/>
                <w:lang w:eastAsia="pl-PL"/>
              </w:rPr>
              <w:t>3141,12</w:t>
            </w:r>
          </w:p>
        </w:tc>
      </w:tr>
      <w:tr w:rsidR="00175A6C" w:rsidRPr="00601D37" w14:paraId="1A0FE662" w14:textId="77777777" w:rsidTr="00547BF7">
        <w:trPr>
          <w:trHeight w:val="657"/>
        </w:trPr>
        <w:tc>
          <w:tcPr>
            <w:tcW w:w="102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4F2F8DE9" w14:textId="77777777" w:rsidR="00A5279B" w:rsidRPr="00DC148C" w:rsidRDefault="00A5279B" w:rsidP="00DC71EF">
            <w:pPr>
              <w:spacing w:after="0" w:line="240" w:lineRule="auto"/>
              <w:rPr>
                <w:rFonts w:ascii="Arial" w:eastAsia="Arial" w:hAnsi="Arial" w:cs="Arial"/>
                <w:sz w:val="16"/>
                <w:szCs w:val="16"/>
                <w:lang w:eastAsia="pl-PL"/>
              </w:rPr>
            </w:pPr>
            <w:r w:rsidRPr="00DC148C">
              <w:rPr>
                <w:rFonts w:ascii="Arial" w:eastAsia="Arial" w:hAnsi="Arial" w:cs="Arial"/>
                <w:sz w:val="16"/>
                <w:szCs w:val="16"/>
                <w:lang w:eastAsia="pl-PL"/>
              </w:rPr>
              <w:t xml:space="preserve">Sumaryczna sprzedaż wszystkich </w:t>
            </w:r>
            <w:proofErr w:type="spellStart"/>
            <w:r w:rsidRPr="00DC148C">
              <w:rPr>
                <w:rFonts w:ascii="Arial" w:eastAsia="Arial" w:hAnsi="Arial" w:cs="Arial"/>
                <w:sz w:val="16"/>
                <w:szCs w:val="16"/>
                <w:lang w:eastAsia="pl-PL"/>
              </w:rPr>
              <w:t>subst</w:t>
            </w:r>
            <w:proofErr w:type="spellEnd"/>
            <w:r w:rsidRPr="00DC148C">
              <w:rPr>
                <w:rFonts w:ascii="Arial" w:eastAsia="Arial" w:hAnsi="Arial" w:cs="Arial"/>
                <w:sz w:val="16"/>
                <w:szCs w:val="16"/>
                <w:lang w:eastAsia="pl-PL"/>
              </w:rPr>
              <w:t>. czynnych S [Mg]</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6E64008E"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22204,41</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762A6B"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23556,66</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94614D4"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24006,14</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099C734"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24462,51</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67C0CF5"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25075,08</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009B82B"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23178,43</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FEB270E"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24280,66</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B463155"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Times New Roman" w:hAnsi="Arial" w:cs="Arial"/>
                <w:sz w:val="18"/>
                <w:szCs w:val="18"/>
                <w:lang w:eastAsia="pl-PL"/>
              </w:rPr>
              <w:t>24628,01</w:t>
            </w:r>
          </w:p>
        </w:tc>
        <w:tc>
          <w:tcPr>
            <w:tcW w:w="993" w:type="dxa"/>
            <w:tcBorders>
              <w:top w:val="single" w:sz="6" w:space="0" w:color="000000"/>
              <w:left w:val="single" w:sz="6" w:space="0" w:color="000000"/>
              <w:bottom w:val="single" w:sz="6" w:space="0" w:color="000000"/>
              <w:right w:val="single" w:sz="6" w:space="0" w:color="000000"/>
            </w:tcBorders>
            <w:vAlign w:val="center"/>
          </w:tcPr>
          <w:p w14:paraId="3EDF5D6D" w14:textId="77777777" w:rsidR="00A5279B" w:rsidRPr="00B0453D" w:rsidRDefault="00A5279B" w:rsidP="00175A6C">
            <w:pPr>
              <w:spacing w:after="0" w:line="240" w:lineRule="auto"/>
              <w:jc w:val="center"/>
              <w:rPr>
                <w:rFonts w:ascii="Arial" w:eastAsia="Times New Roman" w:hAnsi="Arial" w:cs="Arial"/>
                <w:sz w:val="18"/>
                <w:szCs w:val="18"/>
                <w:lang w:eastAsia="pl-PL"/>
              </w:rPr>
            </w:pPr>
            <w:r w:rsidRPr="00B0453D">
              <w:rPr>
                <w:rFonts w:ascii="Arial" w:eastAsia="Times New Roman" w:hAnsi="Arial" w:cs="Arial"/>
                <w:sz w:val="18"/>
                <w:szCs w:val="18"/>
                <w:lang w:eastAsia="pl-PL"/>
              </w:rPr>
              <w:t>26972,68</w:t>
            </w:r>
          </w:p>
        </w:tc>
      </w:tr>
      <w:tr w:rsidR="00175A6C" w:rsidRPr="00601D37" w14:paraId="64FD3E13" w14:textId="77777777" w:rsidTr="00547BF7">
        <w:trPr>
          <w:trHeight w:val="1157"/>
        </w:trPr>
        <w:tc>
          <w:tcPr>
            <w:tcW w:w="102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6F05F186" w14:textId="77777777" w:rsidR="00A5279B" w:rsidRPr="00DC148C" w:rsidRDefault="00A5279B" w:rsidP="00DC71EF">
            <w:pPr>
              <w:spacing w:after="0" w:line="240" w:lineRule="auto"/>
              <w:rPr>
                <w:rFonts w:ascii="Arial" w:eastAsia="Arial" w:hAnsi="Arial" w:cs="Arial"/>
                <w:sz w:val="16"/>
                <w:szCs w:val="16"/>
                <w:lang w:eastAsia="pl-PL"/>
              </w:rPr>
            </w:pPr>
            <w:r w:rsidRPr="00DC148C">
              <w:rPr>
                <w:rFonts w:ascii="Arial" w:eastAsia="Arial" w:hAnsi="Arial" w:cs="Arial"/>
                <w:sz w:val="16"/>
                <w:szCs w:val="16"/>
                <w:lang w:eastAsia="pl-PL"/>
              </w:rPr>
              <w:t xml:space="preserve">Wskaźnik struktury sprzedaży </w:t>
            </w:r>
            <w:proofErr w:type="spellStart"/>
            <w:r w:rsidRPr="00DC148C">
              <w:rPr>
                <w:rFonts w:ascii="Arial" w:eastAsia="Arial" w:hAnsi="Arial" w:cs="Arial"/>
                <w:sz w:val="16"/>
                <w:szCs w:val="16"/>
                <w:lang w:eastAsia="pl-PL"/>
              </w:rPr>
              <w:t>WSS</w:t>
            </w:r>
            <w:r w:rsidRPr="00DC148C">
              <w:rPr>
                <w:rFonts w:ascii="Arial" w:eastAsia="Arial" w:hAnsi="Arial" w:cs="Arial"/>
                <w:sz w:val="16"/>
                <w:szCs w:val="16"/>
                <w:vertAlign w:val="subscript"/>
                <w:lang w:eastAsia="pl-PL"/>
              </w:rPr>
              <w:t>Monit</w:t>
            </w:r>
            <w:proofErr w:type="spellEnd"/>
            <w:r w:rsidRPr="00DC148C">
              <w:rPr>
                <w:rFonts w:ascii="Arial" w:eastAsia="Arial" w:hAnsi="Arial" w:cs="Arial"/>
                <w:sz w:val="16"/>
                <w:szCs w:val="16"/>
                <w:lang w:eastAsia="pl-PL"/>
              </w:rPr>
              <w:t>. [%]</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520F9D29"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9,144</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C0D14EC"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8,907</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CE87235"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9,021</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C72383D"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8,188</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4E465F6"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8,713</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9285420"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10,05</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B302D96"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Arial" w:hAnsi="Arial" w:cs="Arial"/>
                <w:sz w:val="18"/>
                <w:szCs w:val="18"/>
                <w:lang w:eastAsia="pl-PL"/>
              </w:rPr>
              <w:t>9,88</w:t>
            </w:r>
          </w:p>
        </w:tc>
        <w:tc>
          <w:tcPr>
            <w:tcW w:w="91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251A4CB" w14:textId="77777777" w:rsidR="00A5279B" w:rsidRPr="00B0453D" w:rsidRDefault="00A5279B" w:rsidP="00DC71EF">
            <w:pPr>
              <w:spacing w:after="0" w:line="240" w:lineRule="auto"/>
              <w:jc w:val="center"/>
              <w:rPr>
                <w:rFonts w:ascii="Arial" w:eastAsia="Arial" w:hAnsi="Arial" w:cs="Arial"/>
                <w:sz w:val="18"/>
                <w:szCs w:val="18"/>
                <w:lang w:eastAsia="pl-PL"/>
              </w:rPr>
            </w:pPr>
            <w:r w:rsidRPr="00B0453D">
              <w:rPr>
                <w:rFonts w:ascii="Arial" w:eastAsia="Times New Roman" w:hAnsi="Arial" w:cs="Arial"/>
                <w:sz w:val="18"/>
                <w:szCs w:val="18"/>
                <w:lang w:eastAsia="pl-PL"/>
              </w:rPr>
              <w:t>10,18</w:t>
            </w:r>
          </w:p>
        </w:tc>
        <w:tc>
          <w:tcPr>
            <w:tcW w:w="993" w:type="dxa"/>
            <w:tcBorders>
              <w:top w:val="single" w:sz="6" w:space="0" w:color="000000"/>
              <w:left w:val="single" w:sz="6" w:space="0" w:color="000000"/>
              <w:bottom w:val="single" w:sz="6" w:space="0" w:color="000000"/>
              <w:right w:val="single" w:sz="6" w:space="0" w:color="000000"/>
            </w:tcBorders>
            <w:vAlign w:val="center"/>
          </w:tcPr>
          <w:p w14:paraId="612BB64B" w14:textId="77777777" w:rsidR="00A5279B" w:rsidRPr="00B0453D" w:rsidRDefault="00A5279B" w:rsidP="00175A6C">
            <w:pPr>
              <w:spacing w:after="0" w:line="240" w:lineRule="auto"/>
              <w:jc w:val="center"/>
              <w:rPr>
                <w:rFonts w:ascii="Arial" w:eastAsia="Times New Roman" w:hAnsi="Arial" w:cs="Arial"/>
                <w:sz w:val="18"/>
                <w:szCs w:val="18"/>
                <w:lang w:eastAsia="pl-PL"/>
              </w:rPr>
            </w:pPr>
            <w:r w:rsidRPr="00B0453D">
              <w:rPr>
                <w:rFonts w:ascii="Arial" w:eastAsia="Times New Roman" w:hAnsi="Arial" w:cs="Arial"/>
                <w:sz w:val="18"/>
                <w:szCs w:val="18"/>
                <w:lang w:eastAsia="pl-PL"/>
              </w:rPr>
              <w:t>11,65</w:t>
            </w:r>
          </w:p>
        </w:tc>
      </w:tr>
    </w:tbl>
    <w:p w14:paraId="618DE7AA" w14:textId="1BFD614B" w:rsidR="00A5279B" w:rsidRDefault="00A5279B" w:rsidP="00140D7F">
      <w:pPr>
        <w:pStyle w:val="NormalnyWeb"/>
        <w:tabs>
          <w:tab w:val="left" w:pos="284"/>
        </w:tabs>
        <w:spacing w:beforeAutospacing="0" w:after="120" w:afterAutospacing="0" w:line="360" w:lineRule="auto"/>
        <w:ind w:firstLine="284"/>
        <w:jc w:val="both"/>
        <w:rPr>
          <w:rFonts w:ascii="Arial" w:eastAsia="Arial" w:hAnsi="Arial" w:cs="Arial"/>
          <w:color w:val="000000" w:themeColor="text1"/>
        </w:rPr>
      </w:pPr>
    </w:p>
    <w:p w14:paraId="628A2960" w14:textId="69622B61" w:rsidR="00A5279B" w:rsidRDefault="00A5279B" w:rsidP="00140D7F">
      <w:pPr>
        <w:pStyle w:val="NormalnyWeb"/>
        <w:tabs>
          <w:tab w:val="left" w:pos="284"/>
        </w:tabs>
        <w:spacing w:beforeAutospacing="0" w:after="120" w:afterAutospacing="0" w:line="360" w:lineRule="auto"/>
        <w:ind w:firstLine="284"/>
        <w:jc w:val="both"/>
        <w:rPr>
          <w:rFonts w:ascii="Arial" w:eastAsia="Arial" w:hAnsi="Arial" w:cs="Arial"/>
          <w:color w:val="000000" w:themeColor="text1"/>
        </w:rPr>
      </w:pPr>
    </w:p>
    <w:p w14:paraId="76270A77" w14:textId="52C97C74" w:rsidR="00A5279B" w:rsidRDefault="00A5279B" w:rsidP="00140D7F">
      <w:pPr>
        <w:pStyle w:val="NormalnyWeb"/>
        <w:tabs>
          <w:tab w:val="left" w:pos="284"/>
        </w:tabs>
        <w:spacing w:beforeAutospacing="0" w:after="120" w:afterAutospacing="0" w:line="360" w:lineRule="auto"/>
        <w:ind w:firstLine="284"/>
        <w:jc w:val="both"/>
        <w:rPr>
          <w:rFonts w:ascii="Arial" w:eastAsia="Arial" w:hAnsi="Arial" w:cs="Arial"/>
          <w:color w:val="000000" w:themeColor="text1"/>
        </w:rPr>
      </w:pPr>
    </w:p>
    <w:p w14:paraId="46950DAB" w14:textId="6AD9F10F" w:rsidR="001D3A19" w:rsidRDefault="001D3A19" w:rsidP="001D3A19">
      <w:pPr>
        <w:pStyle w:val="NormalnyWeb"/>
        <w:tabs>
          <w:tab w:val="left" w:pos="284"/>
        </w:tabs>
        <w:spacing w:beforeAutospacing="0" w:afterAutospacing="0" w:line="360" w:lineRule="auto"/>
        <w:ind w:firstLine="284"/>
        <w:jc w:val="both"/>
        <w:rPr>
          <w:rFonts w:ascii="Arial" w:hAnsi="Arial" w:cs="Arial"/>
        </w:rPr>
      </w:pPr>
      <w:r w:rsidRPr="00A474E4">
        <w:rPr>
          <w:rFonts w:ascii="Arial" w:eastAsia="Arial" w:hAnsi="Arial" w:cs="Arial"/>
          <w:color w:val="000000" w:themeColor="text1"/>
        </w:rPr>
        <w:lastRenderedPageBreak/>
        <w:t xml:space="preserve">W ostatnich latach można odnotować wzrost sprzedaży substancji wymagających programów </w:t>
      </w:r>
      <w:r w:rsidRPr="00140D7F">
        <w:rPr>
          <w:rFonts w:ascii="Arial" w:hAnsi="Arial" w:cs="Arial"/>
        </w:rPr>
        <w:t>monitorowania przy niewielkich wahaniach wskaźnika struktury sprzedaży (udział w sprzedaży</w:t>
      </w:r>
      <w:r>
        <w:rPr>
          <w:rFonts w:ascii="Arial" w:hAnsi="Arial" w:cs="Arial"/>
        </w:rPr>
        <w:t xml:space="preserve"> </w:t>
      </w:r>
      <w:r w:rsidRPr="002A4110">
        <w:rPr>
          <w:rFonts w:ascii="Arial" w:hAnsi="Arial" w:cs="Arial"/>
        </w:rPr>
        <w:t>3141,12 Mg – 11,65% całości sprzedaży</w:t>
      </w:r>
      <w:r w:rsidRPr="00140D7F">
        <w:rPr>
          <w:rFonts w:ascii="Arial" w:hAnsi="Arial" w:cs="Arial"/>
        </w:rPr>
        <w:t xml:space="preserve">). Wpływ na wzrost w 2020 </w:t>
      </w:r>
      <w:r w:rsidR="000D3601">
        <w:rPr>
          <w:rFonts w:ascii="Arial" w:hAnsi="Arial" w:cs="Arial"/>
        </w:rPr>
        <w:t xml:space="preserve">r. </w:t>
      </w:r>
      <w:r w:rsidRPr="00140D7F">
        <w:rPr>
          <w:rFonts w:ascii="Arial" w:hAnsi="Arial" w:cs="Arial"/>
        </w:rPr>
        <w:t>miała zwiększona w stosunku do poprzedniego roku sprzedaż kaptanu.</w:t>
      </w:r>
    </w:p>
    <w:p w14:paraId="16B8467C" w14:textId="676B8B86" w:rsidR="00A5279B" w:rsidRDefault="001D3A19" w:rsidP="001D3A19">
      <w:pPr>
        <w:pStyle w:val="NormalnyWeb"/>
        <w:tabs>
          <w:tab w:val="left" w:pos="284"/>
        </w:tabs>
        <w:spacing w:beforeAutospacing="0" w:after="120" w:afterAutospacing="0" w:line="360" w:lineRule="auto"/>
        <w:ind w:firstLine="284"/>
        <w:jc w:val="both"/>
        <w:rPr>
          <w:rFonts w:ascii="Arial" w:eastAsia="Arial" w:hAnsi="Arial" w:cs="Arial"/>
          <w:color w:val="000000" w:themeColor="text1"/>
        </w:rPr>
      </w:pPr>
      <w:r w:rsidRPr="00F27140">
        <w:rPr>
          <w:rFonts w:ascii="Arial" w:hAnsi="Arial" w:cs="Arial"/>
        </w:rPr>
        <w:t xml:space="preserve">W sprzedaży w 2021 </w:t>
      </w:r>
      <w:r w:rsidR="00793962">
        <w:rPr>
          <w:rFonts w:ascii="Arial" w:hAnsi="Arial" w:cs="Arial"/>
        </w:rPr>
        <w:t xml:space="preserve">r. </w:t>
      </w:r>
      <w:r w:rsidRPr="00F27140">
        <w:rPr>
          <w:rFonts w:ascii="Arial" w:hAnsi="Arial" w:cs="Arial"/>
        </w:rPr>
        <w:t xml:space="preserve">znajdowało się 15 takich substancji. Wpływ na wzrost miała zwiększona w stosunku do poprzedniego roku sprzedaż kaptanu i </w:t>
      </w:r>
      <w:proofErr w:type="spellStart"/>
      <w:r w:rsidRPr="00F27140">
        <w:rPr>
          <w:rFonts w:ascii="Arial" w:hAnsi="Arial" w:cs="Arial"/>
        </w:rPr>
        <w:t>metazachloru</w:t>
      </w:r>
      <w:proofErr w:type="spellEnd"/>
      <w:r w:rsidRPr="00F27140">
        <w:rPr>
          <w:rFonts w:ascii="Arial" w:hAnsi="Arial" w:cs="Arial"/>
        </w:rPr>
        <w:t>.</w:t>
      </w:r>
    </w:p>
    <w:p w14:paraId="5F0B005A" w14:textId="15BB706C" w:rsidR="00C92B56" w:rsidRPr="00FB18E4" w:rsidRDefault="00E54725" w:rsidP="00901CF3">
      <w:pPr>
        <w:pStyle w:val="NormalnyWeb"/>
        <w:tabs>
          <w:tab w:val="left" w:pos="284"/>
        </w:tabs>
        <w:spacing w:beforeAutospacing="0" w:after="120" w:afterAutospacing="0" w:line="360" w:lineRule="auto"/>
        <w:ind w:firstLine="284"/>
        <w:jc w:val="both"/>
        <w:rPr>
          <w:rFonts w:ascii="Arial" w:eastAsia="Arial" w:hAnsi="Arial" w:cs="Arial"/>
          <w:color w:val="000000" w:themeColor="text1"/>
        </w:rPr>
      </w:pPr>
      <w:r w:rsidRPr="00925BCD">
        <w:rPr>
          <w:rFonts w:ascii="Arial" w:hAnsi="Arial" w:cs="Arial"/>
        </w:rPr>
        <w:t xml:space="preserve">Równolegle za pomocą dwóch analogicznych wskaźników monitoruje się sprzedaż środków ochrony roślin zawierających substancji czynne będące na liście substancji priorytetowych w dziedzinie polityki wodnej zdefiniowanej w załączniku nr 1 do Dyrektywy Parlamentu Europejskiego i Rady 2013/39/UE. W Polsce spośród 45 substancji wymienionych w dyrektywie w 2019 r. w sprzedaży znajdowały się cztery. Są to: </w:t>
      </w:r>
      <w:proofErr w:type="spellStart"/>
      <w:r w:rsidRPr="00925BCD">
        <w:rPr>
          <w:rFonts w:ascii="Arial" w:hAnsi="Arial" w:cs="Arial"/>
        </w:rPr>
        <w:t>bifenoks</w:t>
      </w:r>
      <w:proofErr w:type="spellEnd"/>
      <w:r w:rsidRPr="00925BCD">
        <w:rPr>
          <w:rFonts w:ascii="Arial" w:hAnsi="Arial" w:cs="Arial"/>
        </w:rPr>
        <w:t xml:space="preserve">, </w:t>
      </w:r>
      <w:proofErr w:type="spellStart"/>
      <w:r w:rsidRPr="00925BCD">
        <w:rPr>
          <w:rFonts w:ascii="Arial" w:hAnsi="Arial" w:cs="Arial"/>
        </w:rPr>
        <w:t>chloropiryfos</w:t>
      </w:r>
      <w:proofErr w:type="spellEnd"/>
      <w:r w:rsidRPr="00925BCD">
        <w:rPr>
          <w:rFonts w:ascii="Arial" w:hAnsi="Arial" w:cs="Arial"/>
        </w:rPr>
        <w:t xml:space="preserve">, </w:t>
      </w:r>
      <w:proofErr w:type="spellStart"/>
      <w:r w:rsidRPr="00925BCD">
        <w:rPr>
          <w:rFonts w:ascii="Arial" w:hAnsi="Arial" w:cs="Arial"/>
        </w:rPr>
        <w:t>cypermetryna</w:t>
      </w:r>
      <w:proofErr w:type="spellEnd"/>
      <w:r w:rsidRPr="00925BCD">
        <w:rPr>
          <w:rFonts w:ascii="Arial" w:hAnsi="Arial" w:cs="Arial"/>
        </w:rPr>
        <w:t xml:space="preserve"> (wraz z izomerami) i </w:t>
      </w:r>
      <w:proofErr w:type="spellStart"/>
      <w:r w:rsidRPr="00925BCD">
        <w:rPr>
          <w:rFonts w:ascii="Arial" w:hAnsi="Arial" w:cs="Arial"/>
        </w:rPr>
        <w:t>izoproturon</w:t>
      </w:r>
      <w:proofErr w:type="spellEnd"/>
      <w:r w:rsidR="00C92B56">
        <w:rPr>
          <w:rFonts w:ascii="Arial" w:hAnsi="Arial" w:cs="Arial"/>
        </w:rPr>
        <w:t xml:space="preserve">. </w:t>
      </w:r>
      <w:r w:rsidR="00C92B56">
        <w:rPr>
          <w:rFonts w:ascii="Arial" w:eastAsia="Arial" w:hAnsi="Arial" w:cs="Arial"/>
          <w:color w:val="000000" w:themeColor="text1"/>
        </w:rPr>
        <w:t>W</w:t>
      </w:r>
      <w:r w:rsidR="00C92B56" w:rsidRPr="00FB18E4">
        <w:rPr>
          <w:rFonts w:ascii="Arial" w:eastAsia="Arial" w:hAnsi="Arial" w:cs="Arial"/>
          <w:color w:val="000000" w:themeColor="text1"/>
        </w:rPr>
        <w:t xml:space="preserve"> </w:t>
      </w:r>
      <w:r w:rsidR="00F77AEF">
        <w:rPr>
          <w:rFonts w:ascii="Arial" w:eastAsia="Arial" w:hAnsi="Arial" w:cs="Arial"/>
          <w:color w:val="000000" w:themeColor="text1"/>
        </w:rPr>
        <w:t xml:space="preserve">latach </w:t>
      </w:r>
      <w:r w:rsidR="001F4DC2">
        <w:rPr>
          <w:rFonts w:ascii="Arial" w:eastAsia="Arial" w:hAnsi="Arial" w:cs="Arial"/>
          <w:color w:val="000000" w:themeColor="text1"/>
        </w:rPr>
        <w:t>2</w:t>
      </w:r>
      <w:r w:rsidR="00C92B56" w:rsidRPr="00FB18E4">
        <w:rPr>
          <w:rFonts w:ascii="Arial" w:eastAsia="Arial" w:hAnsi="Arial" w:cs="Arial"/>
          <w:color w:val="000000" w:themeColor="text1"/>
        </w:rPr>
        <w:t>020</w:t>
      </w:r>
      <w:r w:rsidR="00806977">
        <w:rPr>
          <w:rFonts w:ascii="Arial" w:eastAsia="Arial" w:hAnsi="Arial" w:cs="Arial"/>
          <w:color w:val="000000" w:themeColor="text1"/>
        </w:rPr>
        <w:t xml:space="preserve"> i 2021</w:t>
      </w:r>
      <w:r w:rsidR="001F4DC2">
        <w:rPr>
          <w:rFonts w:ascii="Arial" w:eastAsia="Arial" w:hAnsi="Arial" w:cs="Arial"/>
          <w:color w:val="000000" w:themeColor="text1"/>
        </w:rPr>
        <w:t>.</w:t>
      </w:r>
      <w:r w:rsidR="00C92B56" w:rsidRPr="00FB18E4">
        <w:rPr>
          <w:rFonts w:ascii="Arial" w:eastAsia="Arial" w:hAnsi="Arial" w:cs="Arial"/>
          <w:color w:val="000000" w:themeColor="text1"/>
        </w:rPr>
        <w:t xml:space="preserve"> </w:t>
      </w:r>
      <w:r w:rsidR="00C92B56">
        <w:rPr>
          <w:rFonts w:ascii="Arial" w:eastAsia="Arial" w:hAnsi="Arial" w:cs="Arial"/>
          <w:color w:val="000000" w:themeColor="text1"/>
        </w:rPr>
        <w:t>w</w:t>
      </w:r>
      <w:r w:rsidR="001F4DC2">
        <w:rPr>
          <w:rFonts w:ascii="Arial" w:eastAsia="Arial" w:hAnsi="Arial" w:cs="Arial"/>
          <w:color w:val="000000" w:themeColor="text1"/>
        </w:rPr>
        <w:t> </w:t>
      </w:r>
      <w:r w:rsidR="00C92B56">
        <w:rPr>
          <w:rFonts w:ascii="Arial" w:eastAsia="Arial" w:hAnsi="Arial" w:cs="Arial"/>
          <w:color w:val="000000" w:themeColor="text1"/>
        </w:rPr>
        <w:t xml:space="preserve">sprzedaży były </w:t>
      </w:r>
      <w:r w:rsidR="00C92B56" w:rsidRPr="00FB18E4">
        <w:rPr>
          <w:rFonts w:ascii="Arial" w:eastAsia="Arial" w:hAnsi="Arial" w:cs="Arial"/>
          <w:color w:val="000000" w:themeColor="text1"/>
        </w:rPr>
        <w:t xml:space="preserve">tylko </w:t>
      </w:r>
      <w:proofErr w:type="spellStart"/>
      <w:r w:rsidR="00C92B56" w:rsidRPr="00FB18E4">
        <w:rPr>
          <w:rFonts w:ascii="Arial" w:eastAsia="Arial" w:hAnsi="Arial" w:cs="Arial"/>
          <w:color w:val="000000" w:themeColor="text1"/>
        </w:rPr>
        <w:t>aklonifen</w:t>
      </w:r>
      <w:proofErr w:type="spellEnd"/>
      <w:r w:rsidR="00C92B56">
        <w:rPr>
          <w:rFonts w:ascii="Arial" w:eastAsia="Arial" w:hAnsi="Arial" w:cs="Arial"/>
          <w:color w:val="000000" w:themeColor="text1"/>
        </w:rPr>
        <w:t>,</w:t>
      </w:r>
      <w:r w:rsidR="00C92B56" w:rsidRPr="00FB18E4">
        <w:rPr>
          <w:rFonts w:ascii="Arial" w:eastAsia="Arial" w:hAnsi="Arial" w:cs="Arial"/>
          <w:color w:val="000000" w:themeColor="text1"/>
        </w:rPr>
        <w:t xml:space="preserve"> </w:t>
      </w:r>
      <w:proofErr w:type="spellStart"/>
      <w:r w:rsidR="00C92B56" w:rsidRPr="00FB18E4">
        <w:rPr>
          <w:rFonts w:ascii="Arial" w:eastAsia="Arial" w:hAnsi="Arial" w:cs="Arial"/>
          <w:color w:val="000000" w:themeColor="text1"/>
        </w:rPr>
        <w:t>cypermetryna</w:t>
      </w:r>
      <w:proofErr w:type="spellEnd"/>
      <w:r w:rsidR="00C92B56" w:rsidRPr="00FB18E4">
        <w:rPr>
          <w:rFonts w:ascii="Arial" w:eastAsia="Arial" w:hAnsi="Arial" w:cs="Arial"/>
          <w:color w:val="000000" w:themeColor="text1"/>
        </w:rPr>
        <w:t xml:space="preserve"> i</w:t>
      </w:r>
      <w:r w:rsidR="00C92B56">
        <w:rPr>
          <w:rFonts w:ascii="Arial" w:eastAsia="Arial" w:hAnsi="Arial" w:cs="Arial"/>
          <w:color w:val="000000" w:themeColor="text1"/>
        </w:rPr>
        <w:t xml:space="preserve"> alfa-</w:t>
      </w:r>
      <w:proofErr w:type="spellStart"/>
      <w:r w:rsidR="00C92B56">
        <w:rPr>
          <w:rFonts w:ascii="Arial" w:eastAsia="Arial" w:hAnsi="Arial" w:cs="Arial"/>
          <w:color w:val="000000" w:themeColor="text1"/>
        </w:rPr>
        <w:t>cypermetryna</w:t>
      </w:r>
      <w:proofErr w:type="spellEnd"/>
      <w:r w:rsidR="00C92B56">
        <w:rPr>
          <w:rFonts w:ascii="Arial" w:eastAsia="Arial" w:hAnsi="Arial" w:cs="Arial"/>
          <w:color w:val="000000" w:themeColor="text1"/>
        </w:rPr>
        <w:t>.</w:t>
      </w:r>
    </w:p>
    <w:p w14:paraId="4E4683AD" w14:textId="2158A41B" w:rsidR="003F1C6A" w:rsidRDefault="00297B50" w:rsidP="007C21A7">
      <w:pPr>
        <w:pStyle w:val="NormalnyWeb"/>
        <w:tabs>
          <w:tab w:val="left" w:pos="284"/>
        </w:tabs>
        <w:spacing w:beforeAutospacing="0" w:after="120" w:afterAutospacing="0" w:line="360" w:lineRule="auto"/>
        <w:ind w:firstLine="284"/>
        <w:jc w:val="center"/>
        <w:rPr>
          <w:rFonts w:ascii="Arial" w:hAnsi="Arial" w:cs="Arial"/>
        </w:rPr>
      </w:pPr>
      <w:r w:rsidRPr="00297B50">
        <w:rPr>
          <w:rFonts w:ascii="Arial" w:hAnsi="Arial" w:cs="Arial"/>
        </w:rPr>
        <w:t>Wartość wskaźników wielkości sprzedaży i struktury sprzedaży substancji priorytetowych w</w:t>
      </w:r>
      <w:r w:rsidR="007C21A7">
        <w:rPr>
          <w:rFonts w:ascii="Arial" w:hAnsi="Arial" w:cs="Arial"/>
        </w:rPr>
        <w:t> </w:t>
      </w:r>
      <w:r w:rsidRPr="00297B50">
        <w:rPr>
          <w:rFonts w:ascii="Arial" w:hAnsi="Arial" w:cs="Arial"/>
        </w:rPr>
        <w:t xml:space="preserve">dziedzinie polityki wodnej (wskaźniki „E” - WSPW i WSSPW) za lata 2013–2021 </w:t>
      </w:r>
    </w:p>
    <w:tbl>
      <w:tblPr>
        <w:tblW w:w="9206" w:type="dxa"/>
        <w:tblLayout w:type="fixed"/>
        <w:tblLook w:val="0000" w:firstRow="0" w:lastRow="0" w:firstColumn="0" w:lastColumn="0" w:noHBand="0" w:noVBand="0"/>
      </w:tblPr>
      <w:tblGrid>
        <w:gridCol w:w="1248"/>
        <w:gridCol w:w="872"/>
        <w:gridCol w:w="872"/>
        <w:gridCol w:w="873"/>
        <w:gridCol w:w="872"/>
        <w:gridCol w:w="872"/>
        <w:gridCol w:w="873"/>
        <w:gridCol w:w="872"/>
        <w:gridCol w:w="872"/>
        <w:gridCol w:w="980"/>
      </w:tblGrid>
      <w:tr w:rsidR="00C35D79" w:rsidRPr="005F0E4B" w14:paraId="41E28747" w14:textId="77777777" w:rsidTr="00C35D79">
        <w:trPr>
          <w:trHeight w:val="543"/>
        </w:trPr>
        <w:tc>
          <w:tcPr>
            <w:tcW w:w="12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9E4B1"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Pozycja/ lata</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78572FA4"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2013</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3CBA282"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2014</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6263FD9"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2015</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46C53E1"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2016</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ADAB5E1"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2017</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3805C17"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2018</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E59D904"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2019</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7E72F43"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2020</w:t>
            </w:r>
          </w:p>
        </w:tc>
        <w:tc>
          <w:tcPr>
            <w:tcW w:w="980" w:type="dxa"/>
            <w:tcBorders>
              <w:top w:val="single" w:sz="6" w:space="0" w:color="000000"/>
              <w:left w:val="single" w:sz="6" w:space="0" w:color="000000"/>
              <w:bottom w:val="single" w:sz="6" w:space="0" w:color="000000"/>
              <w:right w:val="single" w:sz="6" w:space="0" w:color="000000"/>
            </w:tcBorders>
            <w:vAlign w:val="center"/>
          </w:tcPr>
          <w:p w14:paraId="7B0D221C"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2021</w:t>
            </w:r>
          </w:p>
        </w:tc>
      </w:tr>
      <w:tr w:rsidR="00C35D79" w:rsidRPr="005F0E4B" w14:paraId="03F6FCA9" w14:textId="77777777" w:rsidTr="00C35D79">
        <w:trPr>
          <w:trHeight w:val="543"/>
        </w:trPr>
        <w:tc>
          <w:tcPr>
            <w:tcW w:w="12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6C996B" w14:textId="77777777" w:rsidR="00C35D79" w:rsidRPr="00C35D79" w:rsidRDefault="00C35D79" w:rsidP="00DC569F">
            <w:pPr>
              <w:spacing w:after="0" w:line="240" w:lineRule="auto"/>
              <w:rPr>
                <w:rFonts w:ascii="Arial" w:eastAsia="Arial" w:hAnsi="Arial" w:cs="Arial"/>
                <w:sz w:val="18"/>
                <w:szCs w:val="18"/>
                <w:lang w:eastAsia="pl-PL"/>
              </w:rPr>
            </w:pPr>
            <w:r w:rsidRPr="00C35D79">
              <w:rPr>
                <w:rFonts w:ascii="Arial" w:eastAsia="Arial" w:hAnsi="Arial" w:cs="Arial"/>
                <w:sz w:val="18"/>
                <w:szCs w:val="18"/>
                <w:lang w:eastAsia="pl-PL"/>
              </w:rPr>
              <w:t>Wskaźnik wielkości sprzedaży WS</w:t>
            </w:r>
            <w:r w:rsidRPr="00C35D79">
              <w:rPr>
                <w:rFonts w:ascii="Arial" w:eastAsia="Arial" w:hAnsi="Arial" w:cs="Arial"/>
                <w:sz w:val="18"/>
                <w:szCs w:val="18"/>
                <w:vertAlign w:val="subscript"/>
                <w:lang w:eastAsia="pl-PL"/>
              </w:rPr>
              <w:t>PW</w:t>
            </w:r>
            <w:r w:rsidRPr="00C35D79">
              <w:rPr>
                <w:rFonts w:ascii="Arial" w:eastAsia="Arial" w:hAnsi="Arial" w:cs="Arial"/>
                <w:sz w:val="18"/>
                <w:szCs w:val="18"/>
                <w:lang w:eastAsia="pl-PL"/>
              </w:rPr>
              <w:t xml:space="preserve"> [Mg]</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2346638E"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1386,70</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E661593"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1459,73</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56A430"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1552,85</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FE57B9C"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1228,44</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1C3F606"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1119,93</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5C222AA"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997,91</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3B8AF78"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1975,87</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F307506"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Times New Roman" w:hAnsi="Arial" w:cs="Arial"/>
                <w:sz w:val="18"/>
                <w:szCs w:val="18"/>
                <w:lang w:eastAsia="pl-PL"/>
              </w:rPr>
              <w:t>206,57</w:t>
            </w:r>
          </w:p>
        </w:tc>
        <w:tc>
          <w:tcPr>
            <w:tcW w:w="980" w:type="dxa"/>
            <w:tcBorders>
              <w:top w:val="single" w:sz="6" w:space="0" w:color="000000"/>
              <w:left w:val="single" w:sz="6" w:space="0" w:color="000000"/>
              <w:bottom w:val="single" w:sz="6" w:space="0" w:color="000000"/>
              <w:right w:val="single" w:sz="6" w:space="0" w:color="000000"/>
            </w:tcBorders>
            <w:vAlign w:val="center"/>
          </w:tcPr>
          <w:p w14:paraId="21062646" w14:textId="77777777" w:rsidR="00C35D79" w:rsidRPr="00C35D79" w:rsidRDefault="00C35D79" w:rsidP="00DC569F">
            <w:pPr>
              <w:spacing w:after="0" w:line="240" w:lineRule="auto"/>
              <w:jc w:val="center"/>
              <w:rPr>
                <w:rFonts w:ascii="Arial" w:eastAsia="Times New Roman" w:hAnsi="Arial" w:cs="Arial"/>
                <w:sz w:val="18"/>
                <w:szCs w:val="18"/>
                <w:lang w:eastAsia="pl-PL"/>
              </w:rPr>
            </w:pPr>
            <w:r w:rsidRPr="00C35D79">
              <w:rPr>
                <w:rFonts w:ascii="Arial" w:eastAsia="Times New Roman" w:hAnsi="Arial" w:cs="Arial"/>
                <w:sz w:val="18"/>
                <w:szCs w:val="18"/>
                <w:lang w:eastAsia="pl-PL"/>
              </w:rPr>
              <w:t>184,04</w:t>
            </w:r>
          </w:p>
        </w:tc>
      </w:tr>
      <w:tr w:rsidR="00C35D79" w:rsidRPr="005F0E4B" w14:paraId="3D981B85" w14:textId="77777777" w:rsidTr="00C35D79">
        <w:trPr>
          <w:trHeight w:val="543"/>
        </w:trPr>
        <w:tc>
          <w:tcPr>
            <w:tcW w:w="12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479FD5" w14:textId="77777777" w:rsidR="00C35D79" w:rsidRPr="00C35D79" w:rsidRDefault="00C35D79" w:rsidP="00DC569F">
            <w:pPr>
              <w:spacing w:after="0" w:line="240" w:lineRule="auto"/>
              <w:rPr>
                <w:rFonts w:ascii="Arial" w:eastAsia="Arial" w:hAnsi="Arial" w:cs="Arial"/>
                <w:sz w:val="18"/>
                <w:szCs w:val="18"/>
                <w:lang w:eastAsia="pl-PL"/>
              </w:rPr>
            </w:pPr>
            <w:r w:rsidRPr="00C35D79">
              <w:rPr>
                <w:rFonts w:ascii="Arial" w:eastAsia="Arial" w:hAnsi="Arial" w:cs="Arial"/>
                <w:sz w:val="18"/>
                <w:szCs w:val="18"/>
                <w:lang w:eastAsia="pl-PL"/>
              </w:rPr>
              <w:t xml:space="preserve">Sumaryczna sprzedaż wszystkich </w:t>
            </w:r>
            <w:proofErr w:type="spellStart"/>
            <w:r w:rsidRPr="00C35D79">
              <w:rPr>
                <w:rFonts w:ascii="Arial" w:eastAsia="Arial" w:hAnsi="Arial" w:cs="Arial"/>
                <w:sz w:val="18"/>
                <w:szCs w:val="18"/>
                <w:lang w:eastAsia="pl-PL"/>
              </w:rPr>
              <w:t>subst</w:t>
            </w:r>
            <w:proofErr w:type="spellEnd"/>
            <w:r w:rsidRPr="00C35D79">
              <w:rPr>
                <w:rFonts w:ascii="Arial" w:eastAsia="Arial" w:hAnsi="Arial" w:cs="Arial"/>
                <w:sz w:val="18"/>
                <w:szCs w:val="18"/>
                <w:lang w:eastAsia="pl-PL"/>
              </w:rPr>
              <w:t>. czynnych S [Mg]</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17CB9050"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22204,41</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76C100C"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23556,66</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7B0850A"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24006,14</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9EC7AAC"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24462,51</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02AC824"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25075,08</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44CD4A3"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23178,43</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2863699"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24280,66</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1E96D10"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Times New Roman" w:hAnsi="Arial" w:cs="Arial"/>
                <w:sz w:val="18"/>
                <w:szCs w:val="18"/>
                <w:lang w:eastAsia="pl-PL"/>
              </w:rPr>
              <w:t>24628,01</w:t>
            </w:r>
          </w:p>
        </w:tc>
        <w:tc>
          <w:tcPr>
            <w:tcW w:w="980" w:type="dxa"/>
            <w:tcBorders>
              <w:top w:val="single" w:sz="6" w:space="0" w:color="000000"/>
              <w:left w:val="single" w:sz="6" w:space="0" w:color="000000"/>
              <w:bottom w:val="single" w:sz="6" w:space="0" w:color="000000"/>
              <w:right w:val="single" w:sz="6" w:space="0" w:color="000000"/>
            </w:tcBorders>
            <w:vAlign w:val="center"/>
          </w:tcPr>
          <w:p w14:paraId="5309E4B7" w14:textId="77777777" w:rsidR="00C35D79" w:rsidRPr="00C35D79" w:rsidRDefault="00C35D79" w:rsidP="00DC569F">
            <w:pPr>
              <w:spacing w:after="0" w:line="240" w:lineRule="auto"/>
              <w:jc w:val="center"/>
              <w:rPr>
                <w:rFonts w:ascii="Arial" w:eastAsia="Times New Roman" w:hAnsi="Arial" w:cs="Arial"/>
                <w:sz w:val="18"/>
                <w:szCs w:val="18"/>
                <w:lang w:eastAsia="pl-PL"/>
              </w:rPr>
            </w:pPr>
            <w:r w:rsidRPr="00C35D79">
              <w:rPr>
                <w:rFonts w:ascii="Arial" w:eastAsia="Times New Roman" w:hAnsi="Arial" w:cs="Arial"/>
                <w:sz w:val="18"/>
                <w:szCs w:val="18"/>
                <w:lang w:eastAsia="pl-PL"/>
              </w:rPr>
              <w:t>26972,68</w:t>
            </w:r>
          </w:p>
        </w:tc>
      </w:tr>
      <w:tr w:rsidR="00C5767D" w:rsidRPr="005F0E4B" w14:paraId="75A2AC5A" w14:textId="77777777" w:rsidTr="00C35D79">
        <w:trPr>
          <w:trHeight w:val="543"/>
        </w:trPr>
        <w:tc>
          <w:tcPr>
            <w:tcW w:w="12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648B65" w14:textId="77777777" w:rsidR="00C35D79" w:rsidRPr="00C35D79" w:rsidRDefault="00C35D79" w:rsidP="00DC569F">
            <w:pPr>
              <w:spacing w:after="0" w:line="240" w:lineRule="auto"/>
              <w:rPr>
                <w:rFonts w:ascii="Arial" w:eastAsia="Arial" w:hAnsi="Arial" w:cs="Arial"/>
                <w:sz w:val="18"/>
                <w:szCs w:val="18"/>
                <w:lang w:eastAsia="pl-PL"/>
              </w:rPr>
            </w:pPr>
            <w:r w:rsidRPr="00C35D79">
              <w:rPr>
                <w:rFonts w:ascii="Arial" w:eastAsia="Arial" w:hAnsi="Arial" w:cs="Arial"/>
                <w:sz w:val="18"/>
                <w:szCs w:val="18"/>
                <w:lang w:eastAsia="pl-PL"/>
              </w:rPr>
              <w:t>Wskaźnik struktury sprzedaży WSS</w:t>
            </w:r>
            <w:r w:rsidRPr="00C35D79">
              <w:rPr>
                <w:rFonts w:ascii="Arial" w:eastAsia="Arial" w:hAnsi="Arial" w:cs="Arial"/>
                <w:sz w:val="18"/>
                <w:szCs w:val="18"/>
                <w:vertAlign w:val="subscript"/>
                <w:lang w:eastAsia="pl-PL"/>
              </w:rPr>
              <w:t>PW</w:t>
            </w:r>
            <w:r w:rsidRPr="00C35D79">
              <w:rPr>
                <w:rFonts w:ascii="Arial" w:eastAsia="Arial" w:hAnsi="Arial" w:cs="Arial"/>
                <w:sz w:val="18"/>
                <w:szCs w:val="18"/>
                <w:lang w:eastAsia="pl-PL"/>
              </w:rPr>
              <w:t xml:space="preserve"> [%]</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1F445F82"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6,25</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10D273"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6,20</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9663F8C"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6,47</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2A0B96C"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5,02</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AF63CB9"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4,47</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38472E7"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4,31</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B38DEC3"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Arial" w:hAnsi="Arial" w:cs="Arial"/>
                <w:sz w:val="18"/>
                <w:szCs w:val="18"/>
                <w:lang w:eastAsia="pl-PL"/>
              </w:rPr>
              <w:t>8,14</w:t>
            </w:r>
          </w:p>
        </w:tc>
        <w:tc>
          <w:tcPr>
            <w:tcW w:w="87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FC6A652" w14:textId="77777777" w:rsidR="00C35D79" w:rsidRPr="00C35D79" w:rsidRDefault="00C35D79" w:rsidP="00DC569F">
            <w:pPr>
              <w:spacing w:after="0" w:line="240" w:lineRule="auto"/>
              <w:jc w:val="center"/>
              <w:rPr>
                <w:rFonts w:ascii="Arial" w:eastAsia="Arial" w:hAnsi="Arial" w:cs="Arial"/>
                <w:sz w:val="18"/>
                <w:szCs w:val="18"/>
                <w:lang w:eastAsia="pl-PL"/>
              </w:rPr>
            </w:pPr>
            <w:r w:rsidRPr="00C35D79">
              <w:rPr>
                <w:rFonts w:ascii="Arial" w:eastAsia="Times New Roman" w:hAnsi="Arial" w:cs="Arial"/>
                <w:sz w:val="18"/>
                <w:szCs w:val="18"/>
                <w:lang w:eastAsia="pl-PL"/>
              </w:rPr>
              <w:t>0,84</w:t>
            </w:r>
          </w:p>
        </w:tc>
        <w:tc>
          <w:tcPr>
            <w:tcW w:w="980" w:type="dxa"/>
            <w:tcBorders>
              <w:top w:val="single" w:sz="6" w:space="0" w:color="000000"/>
              <w:left w:val="single" w:sz="6" w:space="0" w:color="000000"/>
              <w:bottom w:val="single" w:sz="6" w:space="0" w:color="000000"/>
              <w:right w:val="single" w:sz="6" w:space="0" w:color="000000"/>
            </w:tcBorders>
            <w:vAlign w:val="center"/>
          </w:tcPr>
          <w:p w14:paraId="32E77C92" w14:textId="77777777" w:rsidR="00C35D79" w:rsidRPr="00C35D79" w:rsidRDefault="00C35D79" w:rsidP="00DC569F">
            <w:pPr>
              <w:spacing w:after="0" w:line="240" w:lineRule="auto"/>
              <w:jc w:val="center"/>
              <w:rPr>
                <w:rFonts w:ascii="Arial" w:eastAsia="Times New Roman" w:hAnsi="Arial" w:cs="Arial"/>
                <w:sz w:val="18"/>
                <w:szCs w:val="18"/>
                <w:lang w:eastAsia="pl-PL"/>
              </w:rPr>
            </w:pPr>
            <w:r w:rsidRPr="00C35D79">
              <w:rPr>
                <w:rFonts w:ascii="Arial" w:eastAsia="Times New Roman" w:hAnsi="Arial" w:cs="Arial"/>
                <w:sz w:val="18"/>
                <w:szCs w:val="18"/>
                <w:lang w:eastAsia="pl-PL"/>
              </w:rPr>
              <w:t>0,68</w:t>
            </w:r>
          </w:p>
        </w:tc>
      </w:tr>
    </w:tbl>
    <w:p w14:paraId="2ED12AB0" w14:textId="3CEFF0C0" w:rsidR="00C5767D" w:rsidRPr="00C5767D" w:rsidRDefault="00C5767D" w:rsidP="00C5767D">
      <w:pPr>
        <w:widowControl w:val="0"/>
        <w:tabs>
          <w:tab w:val="left" w:pos="284"/>
        </w:tabs>
        <w:spacing w:beforeAutospacing="1" w:after="0" w:afterAutospacing="1" w:line="360" w:lineRule="auto"/>
        <w:ind w:firstLine="284"/>
        <w:jc w:val="both"/>
        <w:rPr>
          <w:rFonts w:ascii="Arial" w:eastAsia="Arial" w:hAnsi="Arial" w:cs="Arial"/>
          <w:color w:val="000000"/>
          <w:sz w:val="20"/>
          <w:szCs w:val="20"/>
          <w:lang w:eastAsia="pl-PL"/>
        </w:rPr>
      </w:pPr>
      <w:r w:rsidRPr="00C5767D">
        <w:rPr>
          <w:rFonts w:ascii="Arial" w:eastAsia="Arial" w:hAnsi="Arial" w:cs="Arial"/>
          <w:color w:val="000000"/>
          <w:sz w:val="20"/>
          <w:szCs w:val="20"/>
          <w:lang w:eastAsia="pl-PL"/>
        </w:rPr>
        <w:t>Wskaźniki z grupy „E” wykazywały stałą tendencję spadkową w latach 2015-2018, po czym w 2019</w:t>
      </w:r>
      <w:r w:rsidR="00FA6D28">
        <w:rPr>
          <w:rFonts w:ascii="Arial" w:eastAsia="Arial" w:hAnsi="Arial" w:cs="Arial"/>
          <w:color w:val="000000"/>
          <w:sz w:val="20"/>
          <w:szCs w:val="20"/>
          <w:lang w:eastAsia="pl-PL"/>
        </w:rPr>
        <w:t> r.</w:t>
      </w:r>
      <w:r w:rsidRPr="00C5767D">
        <w:rPr>
          <w:rFonts w:ascii="Arial" w:eastAsia="Arial" w:hAnsi="Arial" w:cs="Arial"/>
          <w:color w:val="000000"/>
          <w:sz w:val="20"/>
          <w:szCs w:val="20"/>
          <w:lang w:eastAsia="pl-PL"/>
        </w:rPr>
        <w:t xml:space="preserve"> nastąpił skokowy, około dwukrotny wzrost wskaźników struktury i</w:t>
      </w:r>
      <w:r w:rsidR="00A237D3">
        <w:rPr>
          <w:rFonts w:ascii="Arial" w:eastAsia="Arial" w:hAnsi="Arial" w:cs="Arial"/>
          <w:color w:val="000000"/>
          <w:sz w:val="20"/>
          <w:szCs w:val="20"/>
          <w:lang w:eastAsia="pl-PL"/>
        </w:rPr>
        <w:t xml:space="preserve"> </w:t>
      </w:r>
      <w:r w:rsidRPr="00C5767D">
        <w:rPr>
          <w:rFonts w:ascii="Arial" w:eastAsia="Arial" w:hAnsi="Arial" w:cs="Arial"/>
          <w:color w:val="000000"/>
          <w:sz w:val="20"/>
          <w:szCs w:val="20"/>
          <w:lang w:eastAsia="pl-PL"/>
        </w:rPr>
        <w:t xml:space="preserve">wielkości sprzedaży. Przyczyną wzrostu wskaźników </w:t>
      </w:r>
      <w:r w:rsidR="0043425E">
        <w:rPr>
          <w:rFonts w:ascii="Arial" w:eastAsia="Arial" w:hAnsi="Arial" w:cs="Arial"/>
          <w:color w:val="000000"/>
          <w:sz w:val="20"/>
          <w:szCs w:val="20"/>
          <w:lang w:eastAsia="pl-PL"/>
        </w:rPr>
        <w:t>był</w:t>
      </w:r>
      <w:r w:rsidRPr="00C5767D">
        <w:rPr>
          <w:rFonts w:ascii="Arial" w:eastAsia="Arial" w:hAnsi="Arial" w:cs="Arial"/>
          <w:color w:val="000000"/>
          <w:sz w:val="20"/>
          <w:szCs w:val="20"/>
          <w:lang w:eastAsia="pl-PL"/>
        </w:rPr>
        <w:t xml:space="preserve"> </w:t>
      </w:r>
      <w:r w:rsidR="00AA14B3">
        <w:rPr>
          <w:rFonts w:ascii="Arial" w:eastAsia="Arial" w:hAnsi="Arial" w:cs="Arial"/>
          <w:color w:val="000000"/>
          <w:sz w:val="20"/>
          <w:szCs w:val="20"/>
          <w:lang w:eastAsia="pl-PL"/>
        </w:rPr>
        <w:t xml:space="preserve">wzrost </w:t>
      </w:r>
      <w:r w:rsidRPr="00C5767D">
        <w:rPr>
          <w:rFonts w:ascii="Arial" w:eastAsia="Arial" w:hAnsi="Arial" w:cs="Arial"/>
          <w:color w:val="000000"/>
          <w:sz w:val="20"/>
          <w:szCs w:val="20"/>
          <w:lang w:eastAsia="pl-PL"/>
        </w:rPr>
        <w:t>sprzedaży w 2019</w:t>
      </w:r>
      <w:r w:rsidR="00AA14B3">
        <w:rPr>
          <w:rFonts w:ascii="Arial" w:eastAsia="Arial" w:hAnsi="Arial" w:cs="Arial"/>
          <w:color w:val="000000"/>
          <w:sz w:val="20"/>
          <w:szCs w:val="20"/>
          <w:lang w:eastAsia="pl-PL"/>
        </w:rPr>
        <w:t xml:space="preserve"> </w:t>
      </w:r>
      <w:r w:rsidRPr="00C5767D">
        <w:rPr>
          <w:rFonts w:ascii="Arial" w:eastAsia="Arial" w:hAnsi="Arial" w:cs="Arial"/>
          <w:color w:val="000000"/>
          <w:sz w:val="20"/>
          <w:szCs w:val="20"/>
          <w:lang w:eastAsia="pl-PL"/>
        </w:rPr>
        <w:t xml:space="preserve">r. </w:t>
      </w:r>
      <w:proofErr w:type="spellStart"/>
      <w:r w:rsidRPr="00C5767D">
        <w:rPr>
          <w:rFonts w:ascii="Arial" w:eastAsia="Arial" w:hAnsi="Arial" w:cs="Arial"/>
          <w:color w:val="000000"/>
          <w:sz w:val="20"/>
          <w:szCs w:val="20"/>
          <w:lang w:eastAsia="pl-PL"/>
        </w:rPr>
        <w:t>chloropiryfosu</w:t>
      </w:r>
      <w:proofErr w:type="spellEnd"/>
      <w:r w:rsidRPr="00C5767D">
        <w:rPr>
          <w:rFonts w:ascii="Arial" w:eastAsia="Arial" w:hAnsi="Arial" w:cs="Arial"/>
          <w:color w:val="000000"/>
          <w:sz w:val="20"/>
          <w:szCs w:val="20"/>
          <w:lang w:eastAsia="pl-PL"/>
        </w:rPr>
        <w:t xml:space="preserve"> będącego jedną z substancji priorytetowych w dziedzinie polityki wodnej. W</w:t>
      </w:r>
      <w:r w:rsidR="00AA14B3">
        <w:rPr>
          <w:rFonts w:ascii="Arial" w:eastAsia="Arial" w:hAnsi="Arial" w:cs="Arial"/>
          <w:color w:val="000000"/>
          <w:sz w:val="20"/>
          <w:szCs w:val="20"/>
          <w:lang w:eastAsia="pl-PL"/>
        </w:rPr>
        <w:t xml:space="preserve"> </w:t>
      </w:r>
      <w:r w:rsidRPr="00C5767D">
        <w:rPr>
          <w:rFonts w:ascii="Arial" w:eastAsia="Arial" w:hAnsi="Arial" w:cs="Arial"/>
          <w:color w:val="000000"/>
          <w:sz w:val="20"/>
          <w:szCs w:val="20"/>
          <w:lang w:eastAsia="pl-PL"/>
        </w:rPr>
        <w:t xml:space="preserve">2020 </w:t>
      </w:r>
      <w:r w:rsidR="00AA14B3">
        <w:rPr>
          <w:rFonts w:ascii="Arial" w:eastAsia="Arial" w:hAnsi="Arial" w:cs="Arial"/>
          <w:color w:val="000000"/>
          <w:sz w:val="20"/>
          <w:szCs w:val="20"/>
          <w:lang w:eastAsia="pl-PL"/>
        </w:rPr>
        <w:t xml:space="preserve">r. </w:t>
      </w:r>
      <w:r w:rsidRPr="00C5767D">
        <w:rPr>
          <w:rFonts w:ascii="Arial" w:eastAsia="Arial" w:hAnsi="Arial" w:cs="Arial"/>
          <w:color w:val="000000"/>
          <w:sz w:val="20"/>
          <w:szCs w:val="20"/>
          <w:lang w:eastAsia="pl-PL"/>
        </w:rPr>
        <w:t xml:space="preserve">po wycofaniu chloropyrifosu ze sprzedaży wartość wskaźnika spadła prawie 10-krotnie. W 2021 </w:t>
      </w:r>
      <w:r w:rsidR="009D065F">
        <w:rPr>
          <w:rFonts w:ascii="Arial" w:eastAsia="Arial" w:hAnsi="Arial" w:cs="Arial"/>
          <w:color w:val="000000"/>
          <w:sz w:val="20"/>
          <w:szCs w:val="20"/>
          <w:lang w:eastAsia="pl-PL"/>
        </w:rPr>
        <w:t xml:space="preserve">r. </w:t>
      </w:r>
      <w:r w:rsidRPr="00C5767D">
        <w:rPr>
          <w:rFonts w:ascii="Arial" w:eastAsia="Arial" w:hAnsi="Arial" w:cs="Arial"/>
          <w:color w:val="000000"/>
          <w:sz w:val="20"/>
          <w:szCs w:val="20"/>
          <w:lang w:eastAsia="pl-PL"/>
        </w:rPr>
        <w:t>sprzedaż substancji priorytetowych w dziedzinie polityki wodnej stanowiła 0,68% całości sprzedaży i była nieco niższa niż w 2020</w:t>
      </w:r>
      <w:r w:rsidR="00B5723A">
        <w:rPr>
          <w:rFonts w:ascii="Arial" w:eastAsia="Arial" w:hAnsi="Arial" w:cs="Arial"/>
          <w:color w:val="000000"/>
          <w:sz w:val="20"/>
          <w:szCs w:val="20"/>
          <w:lang w:eastAsia="pl-PL"/>
        </w:rPr>
        <w:t xml:space="preserve"> r</w:t>
      </w:r>
      <w:r w:rsidRPr="00C5767D">
        <w:rPr>
          <w:rFonts w:ascii="Arial" w:eastAsia="Arial" w:hAnsi="Arial" w:cs="Arial"/>
          <w:color w:val="000000"/>
          <w:sz w:val="20"/>
          <w:szCs w:val="20"/>
          <w:lang w:eastAsia="pl-PL"/>
        </w:rPr>
        <w:t>.</w:t>
      </w:r>
    </w:p>
    <w:p w14:paraId="10E5F000" w14:textId="77777777" w:rsidR="00056846" w:rsidRPr="00925BCD" w:rsidRDefault="00E54725">
      <w:pPr>
        <w:pStyle w:val="Nagwek1"/>
        <w:numPr>
          <w:ilvl w:val="1"/>
          <w:numId w:val="9"/>
        </w:numPr>
        <w:tabs>
          <w:tab w:val="left" w:pos="284"/>
        </w:tabs>
        <w:ind w:left="426" w:hanging="426"/>
        <w:jc w:val="both"/>
        <w:rPr>
          <w:i w:val="0"/>
          <w:sz w:val="22"/>
          <w:szCs w:val="22"/>
        </w:rPr>
      </w:pPr>
      <w:bookmarkStart w:id="46" w:name="_Toc134099265"/>
      <w:r w:rsidRPr="00925BCD">
        <w:rPr>
          <w:i w:val="0"/>
          <w:sz w:val="22"/>
          <w:szCs w:val="22"/>
        </w:rPr>
        <w:t>Mierniki służące monitorowaniu</w:t>
      </w:r>
      <w:bookmarkEnd w:id="46"/>
    </w:p>
    <w:p w14:paraId="6034E679" w14:textId="2C8E3C2C"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Efektywność działania będzie oceniana na podstawie wyników badania jakości wody. W 2022 r. jakość wody ustalana na podstawie badania wpływu chemicznej ochrony roślin na stan wód powierzchniowych, prowadzonego przez Instytut Ochrony Roślin – PIB oraz Instytut Ogrodnictwa</w:t>
      </w:r>
      <w:r w:rsidR="0048395C" w:rsidRPr="00925BCD">
        <w:rPr>
          <w:rFonts w:ascii="Arial" w:hAnsi="Arial" w:cs="Arial"/>
        </w:rPr>
        <w:t xml:space="preserve">– </w:t>
      </w:r>
      <w:r w:rsidR="0048395C">
        <w:rPr>
          <w:rFonts w:ascii="Arial" w:hAnsi="Arial" w:cs="Arial"/>
        </w:rPr>
        <w:t>PIB</w:t>
      </w:r>
      <w:r w:rsidRPr="00925BCD">
        <w:rPr>
          <w:rFonts w:ascii="Arial" w:hAnsi="Arial" w:cs="Arial"/>
        </w:rPr>
        <w:t xml:space="preserve"> we współpracy z wojewódzkimi inspektoratami ochrony środowiska, powinna klasyfikować powyżej 95% prób do kategorii A1, według normy rozporządzenia Ministra Środowiska z dnia 27 listopada 2002 r. w sprawie wymagań, jakim powinny odpowiadać wody powierzchniowe wykorzystywane do </w:t>
      </w:r>
      <w:r w:rsidRPr="00925BCD">
        <w:rPr>
          <w:rFonts w:ascii="Arial" w:hAnsi="Arial" w:cs="Arial"/>
        </w:rPr>
        <w:lastRenderedPageBreak/>
        <w:t>zaopatrzenia ludności w wodę przeznaczoną do spożycia.</w:t>
      </w:r>
    </w:p>
    <w:p w14:paraId="687A8BD1" w14:textId="1E83EE64"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jakość wody ustalana na podstawie badania wpływu chemicznej ochrony roślin na stan wód powierzchniowych, prowadzonego przez Instytut Ochrony Roślin – PIB wykazała</w:t>
      </w:r>
      <w:r w:rsidR="00990D8B" w:rsidRPr="00925BCD">
        <w:rPr>
          <w:rFonts w:ascii="Arial" w:hAnsi="Arial" w:cs="Arial"/>
        </w:rPr>
        <w:t>,</w:t>
      </w:r>
      <w:r w:rsidRPr="00925BCD">
        <w:rPr>
          <w:rFonts w:ascii="Arial" w:hAnsi="Arial" w:cs="Arial"/>
        </w:rPr>
        <w:t xml:space="preserve"> </w:t>
      </w:r>
      <w:r w:rsidR="00990D8B" w:rsidRPr="00925BCD">
        <w:rPr>
          <w:rFonts w:ascii="Arial" w:hAnsi="Arial" w:cs="Arial"/>
        </w:rPr>
        <w:t xml:space="preserve">że </w:t>
      </w:r>
      <w:r w:rsidRPr="00925BCD">
        <w:rPr>
          <w:rFonts w:ascii="Arial" w:hAnsi="Arial" w:cs="Arial"/>
          <w:b/>
        </w:rPr>
        <w:t>96,5%</w:t>
      </w:r>
      <w:r w:rsidRPr="00925BCD">
        <w:rPr>
          <w:rFonts w:ascii="Arial" w:hAnsi="Arial" w:cs="Arial"/>
        </w:rPr>
        <w:t xml:space="preserve"> przeanalizowanych próbek wód spełniało wymagania kategorii A1, natomiast w przypadku badania prowadzonego przez Instytut Ogrodnictwa</w:t>
      </w:r>
      <w:r w:rsidR="0048395C" w:rsidRPr="00925BCD">
        <w:rPr>
          <w:rFonts w:ascii="Arial" w:hAnsi="Arial" w:cs="Arial"/>
        </w:rPr>
        <w:t xml:space="preserve">– </w:t>
      </w:r>
      <w:r w:rsidR="0048395C">
        <w:rPr>
          <w:rFonts w:ascii="Arial" w:hAnsi="Arial" w:cs="Arial"/>
        </w:rPr>
        <w:t>PIB</w:t>
      </w:r>
      <w:r w:rsidRPr="00925BCD">
        <w:rPr>
          <w:rFonts w:ascii="Arial" w:hAnsi="Arial" w:cs="Arial"/>
        </w:rPr>
        <w:t xml:space="preserve"> </w:t>
      </w:r>
      <w:r w:rsidRPr="00925BCD">
        <w:rPr>
          <w:rFonts w:ascii="Arial" w:hAnsi="Arial" w:cs="Arial"/>
          <w:b/>
        </w:rPr>
        <w:t>96%</w:t>
      </w:r>
      <w:r w:rsidRPr="00925BCD">
        <w:rPr>
          <w:rFonts w:ascii="Arial" w:hAnsi="Arial" w:cs="Arial"/>
        </w:rPr>
        <w:t xml:space="preserve"> prób wód spełniało wymagania kategorii A1 jakości wody, wg normy rozporządzenia Ministra Środowiska z dnia 27 listopada 2002 r. w sprawie wymagań, jakim powinny odpowiadać wody powierzchniowe wykorzystywane do zaopatrzenia ludności w wodę przeznaczoną do spożycia</w:t>
      </w:r>
      <w:r w:rsidR="003F5AD9" w:rsidRPr="00925BCD">
        <w:rPr>
          <w:rFonts w:ascii="Arial" w:hAnsi="Arial" w:cs="Arial"/>
        </w:rPr>
        <w:t>.</w:t>
      </w:r>
    </w:p>
    <w:p w14:paraId="4052C54A" w14:textId="0AD2E007" w:rsidR="003F5AD9" w:rsidRDefault="003F5AD9"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jakość wody ustalana na podstawie badania wpływu chemicznej ochrony roślin na stan wód powierzchniowych, prowadzonego przez Instytut Ochrony Roślin – PIB wykazała</w:t>
      </w:r>
      <w:r w:rsidR="00990D8B" w:rsidRPr="00925BCD">
        <w:rPr>
          <w:rFonts w:ascii="Arial" w:hAnsi="Arial" w:cs="Arial"/>
        </w:rPr>
        <w:t xml:space="preserve">, że </w:t>
      </w:r>
      <w:r w:rsidRPr="00925BCD">
        <w:rPr>
          <w:rFonts w:ascii="Arial" w:hAnsi="Arial" w:cs="Arial"/>
          <w:b/>
        </w:rPr>
        <w:t>94,9%</w:t>
      </w:r>
      <w:r w:rsidRPr="00925BCD">
        <w:rPr>
          <w:rFonts w:ascii="Arial" w:hAnsi="Arial" w:cs="Arial"/>
        </w:rPr>
        <w:t xml:space="preserve"> przeanalizowanych próbek wód spełniało wymagania kategorii A1, natomiast w przypadku badania prowadzonego przez Instytut Ogrodnictwa</w:t>
      </w:r>
      <w:r w:rsidR="0048395C">
        <w:rPr>
          <w:rFonts w:ascii="Arial" w:hAnsi="Arial" w:cs="Arial"/>
        </w:rPr>
        <w:t xml:space="preserve"> </w:t>
      </w:r>
      <w:r w:rsidR="0048395C" w:rsidRPr="00925BCD">
        <w:rPr>
          <w:rFonts w:ascii="Arial" w:hAnsi="Arial" w:cs="Arial"/>
        </w:rPr>
        <w:t xml:space="preserve">– </w:t>
      </w:r>
      <w:r w:rsidR="0048395C">
        <w:rPr>
          <w:rFonts w:ascii="Arial" w:hAnsi="Arial" w:cs="Arial"/>
        </w:rPr>
        <w:t>PIB</w:t>
      </w:r>
      <w:r w:rsidRPr="00925BCD">
        <w:rPr>
          <w:rFonts w:ascii="Arial" w:hAnsi="Arial" w:cs="Arial"/>
        </w:rPr>
        <w:t xml:space="preserve"> </w:t>
      </w:r>
      <w:r w:rsidRPr="00925BCD">
        <w:rPr>
          <w:rFonts w:ascii="Arial" w:hAnsi="Arial" w:cs="Arial"/>
          <w:b/>
        </w:rPr>
        <w:t>93%</w:t>
      </w:r>
      <w:r w:rsidRPr="00925BCD">
        <w:rPr>
          <w:rFonts w:ascii="Arial" w:hAnsi="Arial" w:cs="Arial"/>
        </w:rPr>
        <w:t xml:space="preserve"> prób wód spełniało wymagania kategorii A1 jakości wody, wg normy </w:t>
      </w:r>
      <w:r w:rsidR="00BB5237" w:rsidRPr="002E51A8">
        <w:rPr>
          <w:rFonts w:ascii="Arial" w:hAnsi="Arial" w:cs="Arial"/>
        </w:rPr>
        <w:t xml:space="preserve">rozporządzenia </w:t>
      </w:r>
      <w:r w:rsidR="00BB5237" w:rsidRPr="00A533BA">
        <w:rPr>
          <w:rFonts w:ascii="Arial" w:hAnsi="Arial" w:cs="Arial"/>
        </w:rPr>
        <w:t>Ministra Gospodarki Morskiej i Żeglugi Śródlądowej z dnia 29</w:t>
      </w:r>
      <w:r w:rsidR="00BF7548">
        <w:rPr>
          <w:rFonts w:ascii="Arial" w:hAnsi="Arial" w:cs="Arial"/>
        </w:rPr>
        <w:t> </w:t>
      </w:r>
      <w:r w:rsidR="00BB5237" w:rsidRPr="00A533BA">
        <w:rPr>
          <w:rFonts w:ascii="Arial" w:hAnsi="Arial" w:cs="Arial"/>
        </w:rPr>
        <w:t>sierpnia 2019 r. w sprawie wymagań, jakim powinny odpowiadać wody powierzchniowe wykorzystywane do zaopatrzenia ludności w wodę przeznaczoną do spożycia przez ludzi (Dz. U. 2019</w:t>
      </w:r>
      <w:r w:rsidR="00DE26F9">
        <w:rPr>
          <w:rFonts w:ascii="Arial" w:hAnsi="Arial" w:cs="Arial"/>
        </w:rPr>
        <w:t> r.</w:t>
      </w:r>
      <w:r w:rsidR="00BB5237" w:rsidRPr="00A533BA">
        <w:rPr>
          <w:rFonts w:ascii="Arial" w:hAnsi="Arial" w:cs="Arial"/>
        </w:rPr>
        <w:t xml:space="preserve"> poz. 1747)</w:t>
      </w:r>
      <w:r w:rsidRPr="00925BCD">
        <w:rPr>
          <w:rFonts w:ascii="Arial" w:hAnsi="Arial" w:cs="Arial"/>
        </w:rPr>
        <w:t>.</w:t>
      </w:r>
    </w:p>
    <w:p w14:paraId="71876B12" w14:textId="15FD1EAA" w:rsidR="00BB5237" w:rsidRDefault="00BB5237" w:rsidP="00BB523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w:t>
      </w:r>
      <w:r>
        <w:rPr>
          <w:rFonts w:ascii="Arial" w:hAnsi="Arial" w:cs="Arial"/>
          <w:b/>
        </w:rPr>
        <w:t>20</w:t>
      </w:r>
      <w:r w:rsidRPr="00925BCD">
        <w:rPr>
          <w:rFonts w:ascii="Arial" w:hAnsi="Arial" w:cs="Arial"/>
          <w:b/>
        </w:rPr>
        <w:t xml:space="preserve"> r.</w:t>
      </w:r>
      <w:r w:rsidRPr="00925BCD">
        <w:rPr>
          <w:rFonts w:ascii="Arial" w:hAnsi="Arial" w:cs="Arial"/>
        </w:rPr>
        <w:t xml:space="preserve"> jakość wody ustalana na podstawie badania wpływu chemicznej ochrony roślin na stan wód powierzchniowych, prowadzonego przez Instytut Ochrony Roślin – PIB wykazała, że </w:t>
      </w:r>
      <w:r w:rsidRPr="00925BCD">
        <w:rPr>
          <w:rFonts w:ascii="Arial" w:hAnsi="Arial" w:cs="Arial"/>
          <w:b/>
        </w:rPr>
        <w:t>9</w:t>
      </w:r>
      <w:r>
        <w:rPr>
          <w:rFonts w:ascii="Arial" w:hAnsi="Arial" w:cs="Arial"/>
          <w:b/>
        </w:rPr>
        <w:t>5</w:t>
      </w:r>
      <w:r w:rsidRPr="00925BCD">
        <w:rPr>
          <w:rFonts w:ascii="Arial" w:hAnsi="Arial" w:cs="Arial"/>
          <w:b/>
        </w:rPr>
        <w:t>,9%</w:t>
      </w:r>
      <w:r w:rsidRPr="00925BCD">
        <w:rPr>
          <w:rFonts w:ascii="Arial" w:hAnsi="Arial" w:cs="Arial"/>
        </w:rPr>
        <w:t xml:space="preserve"> przeanalizowanych próbek wód spełniało wymagania kategorii A1, natomiast w przypadku badania prowadzonego przez Instytut Ogrodnictwa </w:t>
      </w:r>
      <w:r w:rsidR="0022277D" w:rsidRPr="00925BCD">
        <w:rPr>
          <w:rFonts w:ascii="Arial" w:hAnsi="Arial" w:cs="Arial"/>
        </w:rPr>
        <w:t xml:space="preserve">– </w:t>
      </w:r>
      <w:r w:rsidR="0022277D">
        <w:rPr>
          <w:rFonts w:ascii="Arial" w:hAnsi="Arial" w:cs="Arial"/>
        </w:rPr>
        <w:t xml:space="preserve">PIB </w:t>
      </w:r>
      <w:r w:rsidRPr="00925BCD">
        <w:rPr>
          <w:rFonts w:ascii="Arial" w:hAnsi="Arial" w:cs="Arial"/>
          <w:b/>
        </w:rPr>
        <w:t>9</w:t>
      </w:r>
      <w:r>
        <w:rPr>
          <w:rFonts w:ascii="Arial" w:hAnsi="Arial" w:cs="Arial"/>
          <w:b/>
        </w:rPr>
        <w:t>1</w:t>
      </w:r>
      <w:r w:rsidRPr="00925BCD">
        <w:rPr>
          <w:rFonts w:ascii="Arial" w:hAnsi="Arial" w:cs="Arial"/>
          <w:b/>
        </w:rPr>
        <w:t>%</w:t>
      </w:r>
      <w:r w:rsidRPr="00925BCD">
        <w:rPr>
          <w:rFonts w:ascii="Arial" w:hAnsi="Arial" w:cs="Arial"/>
        </w:rPr>
        <w:t xml:space="preserve"> prób wód spełniało wymagania kategorii A1 jakości wody, wg normy </w:t>
      </w:r>
      <w:r w:rsidRPr="002E51A8">
        <w:rPr>
          <w:rFonts w:ascii="Arial" w:hAnsi="Arial" w:cs="Arial"/>
        </w:rPr>
        <w:t xml:space="preserve">rozporządzenia </w:t>
      </w:r>
      <w:r w:rsidRPr="00A533BA">
        <w:rPr>
          <w:rFonts w:ascii="Arial" w:hAnsi="Arial" w:cs="Arial"/>
        </w:rPr>
        <w:t>Ministra Gospodarki Morskiej i Żeglugi Śródlądowej z dnia 29</w:t>
      </w:r>
      <w:r w:rsidR="00BF7548">
        <w:rPr>
          <w:rFonts w:ascii="Arial" w:hAnsi="Arial" w:cs="Arial"/>
        </w:rPr>
        <w:t> </w:t>
      </w:r>
      <w:r w:rsidRPr="00A533BA">
        <w:rPr>
          <w:rFonts w:ascii="Arial" w:hAnsi="Arial" w:cs="Arial"/>
        </w:rPr>
        <w:t>sierpnia 2019 r. w sprawie wymagań, jakim powinny odpowiadać wody powierzchniowe wykorzystywane do zaopatrzenia ludności w wodę przeznaczoną do spożycia przez ludzi</w:t>
      </w:r>
      <w:r w:rsidR="00C87F4E">
        <w:rPr>
          <w:rFonts w:ascii="Arial" w:hAnsi="Arial" w:cs="Arial"/>
        </w:rPr>
        <w:t>.</w:t>
      </w:r>
    </w:p>
    <w:p w14:paraId="5851B021" w14:textId="28831D8A" w:rsidR="001F0DB0" w:rsidRDefault="001F0DB0" w:rsidP="00BB5237">
      <w:pPr>
        <w:pStyle w:val="NormalnyWeb"/>
        <w:tabs>
          <w:tab w:val="left" w:pos="284"/>
        </w:tabs>
        <w:spacing w:beforeAutospacing="0" w:after="120" w:afterAutospacing="0" w:line="360" w:lineRule="auto"/>
        <w:ind w:firstLine="284"/>
        <w:jc w:val="both"/>
        <w:rPr>
          <w:rFonts w:ascii="Arial" w:hAnsi="Arial" w:cs="Arial"/>
        </w:rPr>
      </w:pPr>
      <w:r w:rsidRPr="00C97CC8">
        <w:rPr>
          <w:rFonts w:ascii="Arial" w:hAnsi="Arial" w:cs="Arial"/>
          <w:b/>
          <w:bCs/>
        </w:rPr>
        <w:t>W 20</w:t>
      </w:r>
      <w:r w:rsidR="00EE4516" w:rsidRPr="00C97CC8">
        <w:rPr>
          <w:rFonts w:ascii="Arial" w:hAnsi="Arial" w:cs="Arial"/>
          <w:b/>
          <w:bCs/>
        </w:rPr>
        <w:t>21 r.</w:t>
      </w:r>
      <w:r w:rsidR="009C34D8" w:rsidRPr="009C34D8">
        <w:t xml:space="preserve"> </w:t>
      </w:r>
      <w:r w:rsidR="009C34D8" w:rsidRPr="009C34D8">
        <w:rPr>
          <w:rFonts w:ascii="Arial" w:hAnsi="Arial" w:cs="Arial"/>
        </w:rPr>
        <w:t xml:space="preserve">jakość wody ustalana na podstawie badania wpływu chemicznej ochrony roślin na stan wód powierzchniowych, prowadzonego przez Instytut Ochrony Roślin – PIB wykazała, że </w:t>
      </w:r>
      <w:r w:rsidR="009C34D8" w:rsidRPr="00C97CC8">
        <w:rPr>
          <w:rFonts w:ascii="Arial" w:hAnsi="Arial" w:cs="Arial"/>
          <w:b/>
          <w:bCs/>
        </w:rPr>
        <w:t>95,</w:t>
      </w:r>
      <w:r w:rsidR="00C97CC8" w:rsidRPr="00C97CC8">
        <w:rPr>
          <w:rFonts w:ascii="Arial" w:hAnsi="Arial" w:cs="Arial"/>
          <w:b/>
          <w:bCs/>
        </w:rPr>
        <w:t>6</w:t>
      </w:r>
      <w:r w:rsidR="009C34D8" w:rsidRPr="00C97CC8">
        <w:rPr>
          <w:rFonts w:ascii="Arial" w:hAnsi="Arial" w:cs="Arial"/>
          <w:b/>
          <w:bCs/>
        </w:rPr>
        <w:t>%</w:t>
      </w:r>
      <w:r w:rsidR="009C34D8" w:rsidRPr="009C34D8">
        <w:rPr>
          <w:rFonts w:ascii="Arial" w:hAnsi="Arial" w:cs="Arial"/>
        </w:rPr>
        <w:t xml:space="preserve"> przeanalizowanych próbek wód spełniało wymagania kategorii A1, natomiast w przypadku badania prowadzonego przez Instytut Ogrodnictwa – PIB </w:t>
      </w:r>
      <w:r w:rsidR="009C34D8" w:rsidRPr="00AF13DC">
        <w:rPr>
          <w:rFonts w:ascii="Arial" w:hAnsi="Arial" w:cs="Arial"/>
          <w:b/>
          <w:bCs/>
        </w:rPr>
        <w:t>9</w:t>
      </w:r>
      <w:r w:rsidR="0010642B" w:rsidRPr="00AF13DC">
        <w:rPr>
          <w:rFonts w:ascii="Arial" w:hAnsi="Arial" w:cs="Arial"/>
          <w:b/>
          <w:bCs/>
        </w:rPr>
        <w:t>7</w:t>
      </w:r>
      <w:r w:rsidR="009C34D8" w:rsidRPr="00AF13DC">
        <w:rPr>
          <w:rFonts w:ascii="Arial" w:hAnsi="Arial" w:cs="Arial"/>
          <w:b/>
          <w:bCs/>
        </w:rPr>
        <w:t>%</w:t>
      </w:r>
      <w:r w:rsidR="009C34D8" w:rsidRPr="0010642B">
        <w:rPr>
          <w:rFonts w:ascii="Arial" w:hAnsi="Arial" w:cs="Arial"/>
        </w:rPr>
        <w:t xml:space="preserve"> prób</w:t>
      </w:r>
      <w:r w:rsidR="009C34D8" w:rsidRPr="009C34D8">
        <w:rPr>
          <w:rFonts w:ascii="Arial" w:hAnsi="Arial" w:cs="Arial"/>
        </w:rPr>
        <w:t xml:space="preserve"> wód spełniało wymagania kategorii A1 jakości wody, wg normy rozporządzenia Ministra Gospodarki Morskiej i Żeglugi Śródlądowej z dnia 29</w:t>
      </w:r>
      <w:r w:rsidR="006462C2">
        <w:rPr>
          <w:rFonts w:ascii="Arial" w:hAnsi="Arial" w:cs="Arial"/>
        </w:rPr>
        <w:t> </w:t>
      </w:r>
      <w:r w:rsidR="009C34D8" w:rsidRPr="009C34D8">
        <w:rPr>
          <w:rFonts w:ascii="Arial" w:hAnsi="Arial" w:cs="Arial"/>
        </w:rPr>
        <w:t>sierpnia 2019 r. w sprawie wymagań, jakim powinny odpowiadać wody powierzchniowe wykorzystywane do zaopatrzenia ludności w wodę przeznaczoną do spożycia przez ludzi.</w:t>
      </w:r>
    </w:p>
    <w:p w14:paraId="42678518" w14:textId="77777777" w:rsidR="00056846" w:rsidRPr="00925BCD" w:rsidRDefault="00E54725">
      <w:pPr>
        <w:pStyle w:val="Nagwek1"/>
        <w:numPr>
          <w:ilvl w:val="0"/>
          <w:numId w:val="9"/>
        </w:numPr>
        <w:spacing w:before="0"/>
        <w:jc w:val="both"/>
        <w:rPr>
          <w:i w:val="0"/>
          <w:sz w:val="22"/>
          <w:szCs w:val="22"/>
        </w:rPr>
      </w:pPr>
      <w:bookmarkStart w:id="47" w:name="_Toc134099266"/>
      <w:r w:rsidRPr="00925BCD">
        <w:rPr>
          <w:i w:val="0"/>
          <w:sz w:val="22"/>
          <w:szCs w:val="22"/>
        </w:rPr>
        <w:t>Działanie 8. Ograniczenie stosowania środków ochrony roślin na obszarach szczególnie wrażliwych</w:t>
      </w:r>
      <w:bookmarkEnd w:id="47"/>
    </w:p>
    <w:p w14:paraId="1869C210"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Polsce zostały przyjęte szczegółowe przepisy ograniczające stosowanie środków ochrony roślin na obszarach szczególnie wrażliwych – przede wszystkim na obszarach, na których mogą przebywać osoby szczególnie narażone na zagrożenia stwarzane przez te środki (dzieci, osoby starsze, osoby chore). Działanie to służy osiągnięciu celów określonych w art. 12 dyrektywy 2009/128/WE.</w:t>
      </w:r>
    </w:p>
    <w:p w14:paraId="2C469936" w14:textId="2F99D79F"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Stosownie do przepisów art. 36 ust. 1 ustawy z dnia 8 marca 2013 r. o środkach ochrony roślin, </w:t>
      </w:r>
      <w:r w:rsidR="00A405AE" w:rsidRPr="00925BCD">
        <w:rPr>
          <w:rFonts w:ascii="Arial" w:hAnsi="Arial" w:cs="Arial"/>
        </w:rPr>
        <w:t xml:space="preserve">zabronione </w:t>
      </w:r>
      <w:r w:rsidRPr="00925BCD">
        <w:rPr>
          <w:rFonts w:ascii="Arial" w:hAnsi="Arial" w:cs="Arial"/>
        </w:rPr>
        <w:t xml:space="preserve">jest stosowanie środków ochrony roślin, które zostały zgodnie z przepisami rozporządzenia </w:t>
      </w:r>
      <w:r w:rsidRPr="00925BCD">
        <w:rPr>
          <w:rFonts w:ascii="Arial" w:hAnsi="Arial" w:cs="Arial"/>
        </w:rPr>
        <w:lastRenderedPageBreak/>
        <w:t>Parlamentu Europejskiego i Rady (WE) nr 1272/2008 z dnia 16 grudnia 2008 r. w sprawie klasyfikacji, oznakowania i pakowania substancji i mieszanin, zmieniającego i uchylającego dyrektywy 67/548/EWG i 1999/45/WE oraz zmieniającego rozporządzenie (WE) nr 1907/2006 (Dz. Urz. UE L 353 z 31.12.2008, str. 1, z późn. zm.), zaklasyfikowane jako stwarzające zagrożenie dla zdrowia człowieka, na terenach placów zabaw, żłobków, przedszkoli, szkół podstawowych, szpitali, stref ochronnych „A” wydzielonych na obszarach uzdrowisk lub obszarach ochrony uzdrowiskowej w rozumieniu przepisów o lecznictwie uzdrowiskowym, uzdrowiskach i obszarach ochrony uzdrowiskowej oraz w gminach uzdrowiskowych. Odstępstwa od tej zasady mogą być stosowane jedynie w ściśle określonych przypadkach:</w:t>
      </w:r>
    </w:p>
    <w:p w14:paraId="2B706557" w14:textId="77777777" w:rsidR="00056846" w:rsidRPr="00925BCD" w:rsidRDefault="00E54725" w:rsidP="000463B0">
      <w:pPr>
        <w:pStyle w:val="napakapit"/>
        <w:numPr>
          <w:ilvl w:val="0"/>
          <w:numId w:val="10"/>
        </w:numPr>
        <w:tabs>
          <w:tab w:val="clear" w:pos="4536"/>
          <w:tab w:val="left" w:pos="851"/>
        </w:tabs>
        <w:spacing w:before="0"/>
        <w:ind w:hanging="651"/>
        <w:rPr>
          <w:rFonts w:cs="Arial"/>
        </w:rPr>
      </w:pPr>
      <w:r w:rsidRPr="00925BCD">
        <w:rPr>
          <w:rFonts w:cs="Arial"/>
        </w:rPr>
        <w:t xml:space="preserve">wystąpienia agrofagów kwarantannowych; </w:t>
      </w:r>
    </w:p>
    <w:p w14:paraId="11EC8157" w14:textId="77777777" w:rsidR="00056846" w:rsidRPr="00925BCD" w:rsidRDefault="00E54725" w:rsidP="000463B0">
      <w:pPr>
        <w:pStyle w:val="napakapit"/>
        <w:numPr>
          <w:ilvl w:val="0"/>
          <w:numId w:val="10"/>
        </w:numPr>
        <w:tabs>
          <w:tab w:val="clear" w:pos="4536"/>
          <w:tab w:val="left" w:pos="851"/>
        </w:tabs>
        <w:spacing w:before="0"/>
        <w:ind w:left="851" w:hanging="425"/>
        <w:rPr>
          <w:rFonts w:cs="Arial"/>
        </w:rPr>
      </w:pPr>
      <w:r w:rsidRPr="00925BCD">
        <w:rPr>
          <w:rFonts w:cs="Arial"/>
        </w:rPr>
        <w:t>zagrożenia przez agrofagi pomników przyrody lub zespołów przyrodniczo-krajobrazowych w rozumieniu przepisów o ochronie przyrody;</w:t>
      </w:r>
    </w:p>
    <w:p w14:paraId="392AAC11" w14:textId="77777777" w:rsidR="00056846" w:rsidRPr="00925BCD" w:rsidRDefault="00E54725" w:rsidP="000463B0">
      <w:pPr>
        <w:pStyle w:val="napakapit"/>
        <w:numPr>
          <w:ilvl w:val="0"/>
          <w:numId w:val="10"/>
        </w:numPr>
        <w:tabs>
          <w:tab w:val="clear" w:pos="4536"/>
          <w:tab w:val="left" w:pos="851"/>
        </w:tabs>
        <w:spacing w:before="0"/>
        <w:ind w:hanging="651"/>
        <w:rPr>
          <w:rFonts w:cs="Arial"/>
        </w:rPr>
      </w:pPr>
      <w:r w:rsidRPr="00925BCD">
        <w:rPr>
          <w:rFonts w:cs="Arial"/>
        </w:rPr>
        <w:t xml:space="preserve">wystąpienia roślin stwarzających zagrożenie dla zdrowia ludzi; </w:t>
      </w:r>
    </w:p>
    <w:p w14:paraId="3517CA43" w14:textId="77777777" w:rsidR="00056846" w:rsidRPr="00925BCD" w:rsidRDefault="00E54725" w:rsidP="000463B0">
      <w:pPr>
        <w:pStyle w:val="napakapit"/>
        <w:numPr>
          <w:ilvl w:val="0"/>
          <w:numId w:val="10"/>
        </w:numPr>
        <w:tabs>
          <w:tab w:val="clear" w:pos="4536"/>
          <w:tab w:val="left" w:pos="851"/>
        </w:tabs>
        <w:spacing w:before="0"/>
        <w:ind w:left="851" w:hanging="425"/>
        <w:rPr>
          <w:rFonts w:cs="Arial"/>
        </w:rPr>
      </w:pPr>
      <w:r w:rsidRPr="00925BCD">
        <w:rPr>
          <w:rFonts w:cs="Arial"/>
        </w:rPr>
        <w:t xml:space="preserve">wystąpienia organizmów szkodliwych dla roślin lub produktów roślinnych, których zwalczenie metodami </w:t>
      </w:r>
      <w:proofErr w:type="spellStart"/>
      <w:r w:rsidRPr="00925BCD">
        <w:rPr>
          <w:rFonts w:cs="Arial"/>
        </w:rPr>
        <w:t>niechemicznymi</w:t>
      </w:r>
      <w:proofErr w:type="spellEnd"/>
      <w:r w:rsidRPr="00925BCD">
        <w:rPr>
          <w:rFonts w:cs="Arial"/>
        </w:rPr>
        <w:t xml:space="preserve"> jest nieuzasadnione ekonomicznie lub nieskuteczne.</w:t>
      </w:r>
    </w:p>
    <w:p w14:paraId="6CB74E1E" w14:textId="77777777" w:rsidR="00056846" w:rsidRPr="00925BCD" w:rsidRDefault="00E54725" w:rsidP="000463B0">
      <w:pPr>
        <w:pStyle w:val="napakapit"/>
        <w:spacing w:before="0"/>
        <w:ind w:firstLine="426"/>
        <w:rPr>
          <w:rFonts w:cs="Arial"/>
        </w:rPr>
      </w:pPr>
      <w:r w:rsidRPr="00925BCD">
        <w:rPr>
          <w:rFonts w:cs="Arial"/>
        </w:rPr>
        <w:t xml:space="preserve">Decyzję w sprawie odstępstwa wydaje wojewódzki inspektor ochrony roślin i nasiennictwa. </w:t>
      </w:r>
    </w:p>
    <w:p w14:paraId="4F3CD6AC"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Ponadto, zgodnie z art. 35 ust. 1 ww. ustawy, środki ochrony roślin należy stosować w taki sposób, aby nie stwarzać zagrożenia dla zdrowia ludzi, zwierząt oraz dla środowiska, w tym przeciwdziałać zniesieniu środków ochrony roślin na obszary i obiekty niebędące celem zabiegu z zastosowaniem tych środków oraz planować stosowanie środków ochrony roślin z uwzględnieniem okresu, w którym ludzie będą przebywać na obszarze objętym zabiegiem</w:t>
      </w:r>
      <w:r w:rsidR="00A405AE" w:rsidRPr="00925BCD">
        <w:rPr>
          <w:rFonts w:ascii="Arial" w:hAnsi="Arial" w:cs="Arial"/>
        </w:rPr>
        <w:t>.</w:t>
      </w:r>
    </w:p>
    <w:p w14:paraId="6C047566"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Tym samym zostały przyjęte środki prawne do ograniczenia stosowania środków ochrony roślin na obszarach szczególnie wrażliwych i wyeliminowania ryzyka z tym związanego w odniesieniu do szczególnie narażonych grup ludności. </w:t>
      </w:r>
    </w:p>
    <w:p w14:paraId="0218BFFF" w14:textId="0966004C" w:rsidR="003F5AD9" w:rsidRDefault="003F5AD9"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działania w 2018 r. stosownie do przepisów art. 36 ust. 1 ustawy z dnia 8 marca 2013 r. o środkach ochrony roślin inspektorzy Państwowej Inspekcji Ochrony Roślin i Nasiennictwa w 2018 r.  przeprowadzili 1 280 kontroli, w tym 1 233 bez nieprawidłowości, natomiast w 2019 r. 1 084 kontrole, w</w:t>
      </w:r>
      <w:r w:rsidR="000463B0" w:rsidRPr="00925BCD">
        <w:rPr>
          <w:rFonts w:ascii="Arial" w:hAnsi="Arial" w:cs="Arial"/>
        </w:rPr>
        <w:t> </w:t>
      </w:r>
      <w:r w:rsidRPr="00925BCD">
        <w:rPr>
          <w:rFonts w:ascii="Arial" w:hAnsi="Arial" w:cs="Arial"/>
        </w:rPr>
        <w:t>tym 1 074 bez nieprawidłowości.</w:t>
      </w:r>
    </w:p>
    <w:p w14:paraId="13C6BC29" w14:textId="64C6087A" w:rsidR="00CD5EF9" w:rsidRPr="00925BCD" w:rsidRDefault="00BB5237" w:rsidP="000463B0">
      <w:pPr>
        <w:pStyle w:val="NormalnyWeb"/>
        <w:tabs>
          <w:tab w:val="left" w:pos="284"/>
        </w:tabs>
        <w:spacing w:beforeAutospacing="0" w:after="120" w:afterAutospacing="0" w:line="360" w:lineRule="auto"/>
        <w:ind w:firstLine="284"/>
        <w:jc w:val="both"/>
      </w:pPr>
      <w:r>
        <w:rPr>
          <w:rFonts w:ascii="Arial" w:hAnsi="Arial" w:cs="Arial"/>
        </w:rPr>
        <w:t>W 2020 r. ze względu na sytuacją związaną z SARS-</w:t>
      </w:r>
      <w:proofErr w:type="spellStart"/>
      <w:r>
        <w:rPr>
          <w:rFonts w:ascii="Arial" w:hAnsi="Arial" w:cs="Arial"/>
        </w:rPr>
        <w:t>CoV</w:t>
      </w:r>
      <w:proofErr w:type="spellEnd"/>
      <w:r>
        <w:rPr>
          <w:rFonts w:ascii="Arial" w:hAnsi="Arial" w:cs="Arial"/>
        </w:rPr>
        <w:t xml:space="preserve"> 2 takich kontroli inspektorzy przeprowadzili 245, w tym bez nieprawidłowości 211.</w:t>
      </w:r>
      <w:r w:rsidR="006A655E">
        <w:rPr>
          <w:rFonts w:ascii="Arial" w:hAnsi="Arial" w:cs="Arial"/>
        </w:rPr>
        <w:t xml:space="preserve"> </w:t>
      </w:r>
      <w:r w:rsidR="00730B21">
        <w:rPr>
          <w:rFonts w:ascii="Arial" w:hAnsi="Arial" w:cs="Arial"/>
        </w:rPr>
        <w:t xml:space="preserve">W 2021 r. liczba kontroli </w:t>
      </w:r>
      <w:r w:rsidR="009F6075">
        <w:rPr>
          <w:rFonts w:ascii="Arial" w:hAnsi="Arial" w:cs="Arial"/>
        </w:rPr>
        <w:t>wzrosła do 712</w:t>
      </w:r>
      <w:r w:rsidR="00E03AED">
        <w:rPr>
          <w:rFonts w:ascii="Arial" w:hAnsi="Arial" w:cs="Arial"/>
        </w:rPr>
        <w:t xml:space="preserve">, w tym bez </w:t>
      </w:r>
      <w:r w:rsidR="00A3375D">
        <w:rPr>
          <w:rFonts w:ascii="Arial" w:hAnsi="Arial" w:cs="Arial"/>
        </w:rPr>
        <w:t>nieprawidłowości 686.</w:t>
      </w:r>
    </w:p>
    <w:p w14:paraId="0A8A4985" w14:textId="604CFC78" w:rsidR="003F5AD9" w:rsidRPr="00925BCD" w:rsidRDefault="00A405AE" w:rsidP="000463B0">
      <w:pPr>
        <w:pStyle w:val="NormalnyWeb"/>
        <w:tabs>
          <w:tab w:val="left" w:pos="284"/>
        </w:tabs>
        <w:spacing w:beforeAutospacing="0" w:after="120" w:afterAutospacing="0" w:line="360" w:lineRule="auto"/>
        <w:ind w:firstLine="284"/>
        <w:jc w:val="both"/>
      </w:pPr>
      <w:r w:rsidRPr="00574930">
        <w:rPr>
          <w:rFonts w:ascii="Arial" w:hAnsi="Arial" w:cs="Arial"/>
        </w:rPr>
        <w:t xml:space="preserve">Jednocześnie </w:t>
      </w:r>
      <w:r w:rsidR="00E43D44" w:rsidRPr="00574930">
        <w:rPr>
          <w:rFonts w:ascii="Arial" w:hAnsi="Arial" w:cs="Arial"/>
        </w:rPr>
        <w:t>w</w:t>
      </w:r>
      <w:r w:rsidR="003F5AD9" w:rsidRPr="00574930">
        <w:rPr>
          <w:rFonts w:ascii="Arial" w:hAnsi="Arial" w:cs="Arial"/>
        </w:rPr>
        <w:t xml:space="preserve">ojewódzcy inspektorzy ochrony roślin i nasiennictwa w </w:t>
      </w:r>
      <w:r w:rsidR="00FA26B8" w:rsidRPr="00574930">
        <w:rPr>
          <w:rFonts w:ascii="Arial" w:hAnsi="Arial" w:cs="Arial"/>
        </w:rPr>
        <w:t xml:space="preserve">latach </w:t>
      </w:r>
      <w:r w:rsidR="003F5AD9" w:rsidRPr="00574930">
        <w:rPr>
          <w:rFonts w:ascii="Arial" w:hAnsi="Arial" w:cs="Arial"/>
        </w:rPr>
        <w:t>2018</w:t>
      </w:r>
      <w:r w:rsidR="00524598" w:rsidRPr="00574930">
        <w:rPr>
          <w:rFonts w:cs="Arial"/>
        </w:rPr>
        <w:t>–</w:t>
      </w:r>
      <w:r w:rsidR="00FA26B8" w:rsidRPr="00574930">
        <w:rPr>
          <w:rFonts w:ascii="Arial" w:hAnsi="Arial" w:cs="Arial"/>
        </w:rPr>
        <w:t>202</w:t>
      </w:r>
      <w:r w:rsidR="00574930" w:rsidRPr="00574930">
        <w:rPr>
          <w:rFonts w:ascii="Arial" w:hAnsi="Arial" w:cs="Arial"/>
        </w:rPr>
        <w:t>1</w:t>
      </w:r>
      <w:r w:rsidR="00410D56" w:rsidRPr="00574930">
        <w:rPr>
          <w:rFonts w:ascii="Arial" w:hAnsi="Arial" w:cs="Arial"/>
        </w:rPr>
        <w:t xml:space="preserve"> </w:t>
      </w:r>
      <w:r w:rsidR="003F5AD9" w:rsidRPr="00574930">
        <w:rPr>
          <w:rFonts w:ascii="Arial" w:hAnsi="Arial" w:cs="Arial"/>
        </w:rPr>
        <w:t>nie wydali żadnej decyzji w sprawie odstępstwa</w:t>
      </w:r>
      <w:r w:rsidR="00410D56" w:rsidRPr="00574930">
        <w:rPr>
          <w:rFonts w:ascii="Arial" w:hAnsi="Arial" w:cs="Arial"/>
        </w:rPr>
        <w:t>.</w:t>
      </w:r>
      <w:r w:rsidR="00BB5237">
        <w:rPr>
          <w:rFonts w:ascii="Arial" w:hAnsi="Arial" w:cs="Arial"/>
        </w:rPr>
        <w:t xml:space="preserve"> </w:t>
      </w:r>
    </w:p>
    <w:p w14:paraId="7633296A" w14:textId="44010A16" w:rsidR="003F5AD9" w:rsidRPr="00925BCD" w:rsidRDefault="003F5AD9" w:rsidP="000463B0">
      <w:pPr>
        <w:pStyle w:val="NormalnyWeb"/>
        <w:tabs>
          <w:tab w:val="left" w:pos="284"/>
        </w:tabs>
        <w:spacing w:beforeAutospacing="0" w:after="120" w:afterAutospacing="0" w:line="360" w:lineRule="auto"/>
        <w:ind w:firstLine="284"/>
        <w:jc w:val="both"/>
      </w:pPr>
      <w:r w:rsidRPr="00BF05E4">
        <w:rPr>
          <w:rFonts w:ascii="Arial" w:hAnsi="Arial" w:cs="Arial"/>
        </w:rPr>
        <w:t>Za naruszanie przepisów art. 35 ust. 1 ww. ustawy (</w:t>
      </w:r>
      <w:r w:rsidR="00A405AE" w:rsidRPr="00BF05E4">
        <w:rPr>
          <w:rFonts w:ascii="Arial" w:hAnsi="Arial" w:cs="Arial"/>
        </w:rPr>
        <w:t xml:space="preserve">stosownie do przepisów karnych </w:t>
      </w:r>
      <w:r w:rsidRPr="00BF05E4">
        <w:rPr>
          <w:rFonts w:ascii="Arial" w:hAnsi="Arial" w:cs="Arial"/>
        </w:rPr>
        <w:t>art. 76 ust. 1 pkt. 20</w:t>
      </w:r>
      <w:r w:rsidR="00A405AE" w:rsidRPr="00BF05E4">
        <w:rPr>
          <w:rFonts w:ascii="Arial" w:hAnsi="Arial" w:cs="Arial"/>
        </w:rPr>
        <w:t xml:space="preserve"> ww. ustawy</w:t>
      </w:r>
      <w:r w:rsidRPr="00BF05E4">
        <w:rPr>
          <w:rFonts w:ascii="Arial" w:hAnsi="Arial" w:cs="Arial"/>
        </w:rPr>
        <w:t xml:space="preserve">) w 2018 r. wydano 201 mandatów, </w:t>
      </w:r>
      <w:r w:rsidR="00410D56" w:rsidRPr="00BF05E4">
        <w:rPr>
          <w:rFonts w:ascii="Arial" w:hAnsi="Arial" w:cs="Arial"/>
        </w:rPr>
        <w:t>w 2019 r. – 129 mandatów</w:t>
      </w:r>
      <w:r w:rsidR="00BB5237" w:rsidRPr="00BF05E4">
        <w:rPr>
          <w:rFonts w:ascii="Arial" w:hAnsi="Arial" w:cs="Arial"/>
        </w:rPr>
        <w:t xml:space="preserve">, w 2020 r. </w:t>
      </w:r>
      <w:r w:rsidR="00BD1866" w:rsidRPr="00BF05E4">
        <w:rPr>
          <w:rFonts w:ascii="Arial" w:hAnsi="Arial" w:cs="Arial"/>
        </w:rPr>
        <w:t xml:space="preserve">– </w:t>
      </w:r>
      <w:r w:rsidR="00FA26B8" w:rsidRPr="00BF05E4">
        <w:rPr>
          <w:rFonts w:ascii="Arial" w:hAnsi="Arial" w:cs="Arial"/>
        </w:rPr>
        <w:t>24 mandaty</w:t>
      </w:r>
      <w:r w:rsidR="00BD1866" w:rsidRPr="00BF05E4">
        <w:rPr>
          <w:rFonts w:ascii="Arial" w:hAnsi="Arial" w:cs="Arial"/>
        </w:rPr>
        <w:t>,</w:t>
      </w:r>
      <w:r w:rsidR="00FA26B8" w:rsidRPr="00BF05E4">
        <w:rPr>
          <w:rFonts w:ascii="Arial" w:hAnsi="Arial" w:cs="Arial"/>
        </w:rPr>
        <w:t xml:space="preserve"> </w:t>
      </w:r>
      <w:r w:rsidR="00574930" w:rsidRPr="00BF05E4">
        <w:rPr>
          <w:rFonts w:ascii="Arial" w:hAnsi="Arial" w:cs="Arial"/>
        </w:rPr>
        <w:t xml:space="preserve">natomiast </w:t>
      </w:r>
      <w:r w:rsidR="00BD1866" w:rsidRPr="00BF05E4">
        <w:rPr>
          <w:rFonts w:ascii="Arial" w:hAnsi="Arial" w:cs="Arial"/>
        </w:rPr>
        <w:t xml:space="preserve">w 2021 r. </w:t>
      </w:r>
      <w:r w:rsidR="00BF05E4" w:rsidRPr="00BF05E4">
        <w:rPr>
          <w:rFonts w:ascii="Arial" w:hAnsi="Arial" w:cs="Arial"/>
        </w:rPr>
        <w:t>– 19</w:t>
      </w:r>
      <w:r w:rsidR="00FA26B8" w:rsidRPr="00BF05E4">
        <w:rPr>
          <w:rFonts w:ascii="Arial" w:hAnsi="Arial" w:cs="Arial"/>
        </w:rPr>
        <w:t>.</w:t>
      </w:r>
      <w:r w:rsidR="00BB5237">
        <w:rPr>
          <w:rFonts w:ascii="Arial" w:hAnsi="Arial" w:cs="Arial"/>
        </w:rPr>
        <w:t xml:space="preserve"> </w:t>
      </w:r>
    </w:p>
    <w:p w14:paraId="23C8BDE3" w14:textId="77777777" w:rsidR="00056846" w:rsidRPr="00925BCD" w:rsidRDefault="00E54725">
      <w:pPr>
        <w:pStyle w:val="Nagwek1"/>
        <w:numPr>
          <w:ilvl w:val="1"/>
          <w:numId w:val="9"/>
        </w:numPr>
        <w:tabs>
          <w:tab w:val="left" w:pos="284"/>
        </w:tabs>
        <w:ind w:left="426" w:hanging="426"/>
        <w:jc w:val="both"/>
        <w:rPr>
          <w:i w:val="0"/>
          <w:sz w:val="22"/>
          <w:szCs w:val="22"/>
        </w:rPr>
      </w:pPr>
      <w:bookmarkStart w:id="48" w:name="_Toc134099267"/>
      <w:r w:rsidRPr="00925BCD">
        <w:rPr>
          <w:i w:val="0"/>
          <w:sz w:val="22"/>
          <w:szCs w:val="22"/>
        </w:rPr>
        <w:lastRenderedPageBreak/>
        <w:t>Mierniki służące monitorowaniu</w:t>
      </w:r>
      <w:bookmarkEnd w:id="48"/>
    </w:p>
    <w:p w14:paraId="672977DE"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Efektywność działania będzie oceniana na podstawie poziomu nieprawidłowości w zakresie stosowania środków ochrony roślin na obszarach szczególnie wrażliwych. W 2022 r. poziom nieprawidłowości w tym zakresie, stwierdzanych w ramach kontroli przeprowadzanej  przez Państwową Inspekcję Ochrony Roślin i Nasiennictwa, powinien wynosić poniżej 1%.</w:t>
      </w:r>
    </w:p>
    <w:p w14:paraId="3CE867A6" w14:textId="3C33DDF4" w:rsidR="003F5AD9"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poziomu nieprawidłowości w zakresie stosowania środków ochrony roślin na obszarach szczególnie wrażliwych wyniósł 3,67%</w:t>
      </w:r>
      <w:r w:rsidR="003F5AD9" w:rsidRPr="00925BCD">
        <w:rPr>
          <w:rFonts w:ascii="Arial" w:hAnsi="Arial" w:cs="Arial"/>
        </w:rPr>
        <w:t>,</w:t>
      </w:r>
      <w:r w:rsidR="00410D56" w:rsidRPr="00925BCD">
        <w:rPr>
          <w:rFonts w:ascii="Arial" w:hAnsi="Arial" w:cs="Arial"/>
        </w:rPr>
        <w:t xml:space="preserve"> w 2019 r. wyniósł 1,46</w:t>
      </w:r>
      <w:r w:rsidR="00410D56" w:rsidRPr="00FA26B8">
        <w:rPr>
          <w:rFonts w:ascii="Arial" w:hAnsi="Arial" w:cs="Arial"/>
        </w:rPr>
        <w:t>%</w:t>
      </w:r>
      <w:r w:rsidR="00BB5237" w:rsidRPr="00FA26B8">
        <w:rPr>
          <w:rFonts w:ascii="Arial" w:hAnsi="Arial" w:cs="Arial"/>
        </w:rPr>
        <w:t xml:space="preserve">, w 2020 r. </w:t>
      </w:r>
      <w:r w:rsidR="00FA26B8" w:rsidRPr="00FA26B8">
        <w:rPr>
          <w:rFonts w:ascii="Arial" w:hAnsi="Arial" w:cs="Arial"/>
        </w:rPr>
        <w:t>wyniósł 1,83%</w:t>
      </w:r>
      <w:r w:rsidR="00D45943">
        <w:rPr>
          <w:rFonts w:ascii="Arial" w:hAnsi="Arial" w:cs="Arial"/>
        </w:rPr>
        <w:t xml:space="preserve">, a w 2021 r. wyniósł </w:t>
      </w:r>
      <w:r w:rsidR="00517482">
        <w:rPr>
          <w:rFonts w:ascii="Arial" w:hAnsi="Arial" w:cs="Arial"/>
        </w:rPr>
        <w:t>3,89%</w:t>
      </w:r>
    </w:p>
    <w:p w14:paraId="3ADD29A4" w14:textId="77777777" w:rsidR="00056846" w:rsidRPr="00925BCD" w:rsidRDefault="00E54725">
      <w:pPr>
        <w:pStyle w:val="Nagwek1"/>
        <w:numPr>
          <w:ilvl w:val="0"/>
          <w:numId w:val="9"/>
        </w:numPr>
        <w:jc w:val="both"/>
        <w:rPr>
          <w:i w:val="0"/>
          <w:sz w:val="22"/>
          <w:szCs w:val="22"/>
        </w:rPr>
      </w:pPr>
      <w:bookmarkStart w:id="49" w:name="_Toc134099268"/>
      <w:r w:rsidRPr="00925BCD">
        <w:rPr>
          <w:i w:val="0"/>
          <w:sz w:val="22"/>
          <w:szCs w:val="22"/>
        </w:rPr>
        <w:t>Działanie 9. Wyeliminowanie zagrożeń na poszczególnych etapach wykonywania zabiegów ochrony roślin</w:t>
      </w:r>
      <w:bookmarkEnd w:id="49"/>
      <w:r w:rsidRPr="00925BCD">
        <w:rPr>
          <w:i w:val="0"/>
          <w:sz w:val="22"/>
          <w:szCs w:val="22"/>
        </w:rPr>
        <w:t xml:space="preserve"> </w:t>
      </w:r>
    </w:p>
    <w:p w14:paraId="5193465A"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Zagrożenia związane ze stosowaniem środków ochrony roślin mogą wystąpić nie tylko podczas samego stosowania tych środków, ale również na innych etapach przygotowywania i wykonywania zabiegu. Szczególne znaczenie dla zapewnienia bezpieczeństwa ma właściwe przechowywanie środków ochrony roślin (w celu uniemożliwienia ich przeniknięcia do wód lub środowiska glebowego w razie przypadkowego wylania lub rozsypania środka, przypadkowego kontaktu ze środkiem osób nieuprawnionych lub zwierząt – szczególnie niebezpieczne jest spożycie środka ochrony roślin, co może się zdarzyć w przypadku przechowywania go w opakowaniach po żywności), sporządzanie cieczy użytkowej (istnieje duże ryzyko rozlana środka i powstania skażeń punktowych), a także zagospodarowywania pozostałości cieczy użytkowej i mycia sprzętu przeznaczonego do wykonywania zabiegu po jego przeprowadzeniu. Działanie to służy osiągnięciu celów określonych w art. 13 dyrektywy 2009/128/WE.</w:t>
      </w:r>
    </w:p>
    <w:p w14:paraId="19FED95E"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Ponieważ użytkownicy nieprofesjonalni środków ochrony roślin na ogół nie są w stanie spełnić wymogów dotyczących właściwego przechowywania środków ochrony roślin, mycia użytego sprzętu lub zagospodarowywania resztek po zabiegu (środki ochrony roślin są przechowywane i wykorzystywane przez amatorów m.in. w pomieszczeniach mieszkalnych), osoby takie nie powinny mieć swobodnego dostępu do środków szczególnie niebezpiecznych. </w:t>
      </w:r>
    </w:p>
    <w:p w14:paraId="60E5A97D"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związku z powyższym zostały przyjęte przepisy określające szczegółowo sposób wykonywania poszczególnych czynności związanych z ochroną roślin, w tym sposób:</w:t>
      </w:r>
    </w:p>
    <w:p w14:paraId="65A3FF0B" w14:textId="77777777" w:rsidR="00056846" w:rsidRPr="00925BCD" w:rsidRDefault="00E54725" w:rsidP="000463B0">
      <w:pPr>
        <w:pStyle w:val="napakapit"/>
        <w:numPr>
          <w:ilvl w:val="0"/>
          <w:numId w:val="6"/>
        </w:numPr>
        <w:tabs>
          <w:tab w:val="clear" w:pos="4536"/>
        </w:tabs>
        <w:spacing w:before="0"/>
        <w:ind w:left="709"/>
        <w:rPr>
          <w:rFonts w:cs="Arial"/>
        </w:rPr>
      </w:pPr>
      <w:r w:rsidRPr="00925BCD">
        <w:rPr>
          <w:rFonts w:cs="Arial"/>
        </w:rPr>
        <w:t>przechowywania środków ochrony roślin (obejmujący wymogi bezpieczeństwa i higieny pracy, wymagania dla obiektów, w jakich środki te są przechowywane);</w:t>
      </w:r>
    </w:p>
    <w:p w14:paraId="5F7C32A5"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sporządzania cieczy użytkowej (minimalna odległość wykonywania takich czynności od zbiorników i cieków wodnych);</w:t>
      </w:r>
    </w:p>
    <w:p w14:paraId="3AAFC220"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stosowania środków ochrony roślin (w tym wymogi dotyczące zachowania stref buforowych, warunków atmosferycznych, w jakich mogą być wykonywane zabiegi);</w:t>
      </w:r>
    </w:p>
    <w:p w14:paraId="03B72BD5"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czyszczenia sprzętu przeznaczonego do stosowania środków ochrony roślin (określający minimalną odległość, w jakiej te czynności mogą być wykonywane od zbiorników i cieków wodnych);</w:t>
      </w:r>
    </w:p>
    <w:p w14:paraId="25193491"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lastRenderedPageBreak/>
        <w:t>postępowania z pozostałościami cieczy użytkowej po zakończonych zabiegach;</w:t>
      </w:r>
    </w:p>
    <w:p w14:paraId="53025C44"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 xml:space="preserve">postępowania z pustymi opakowaniami po środkach ochrony roślin. </w:t>
      </w:r>
    </w:p>
    <w:p w14:paraId="1C9A8262"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Sposób postępowania, eliminujący ryzyko związane z wykonywaniem każdej z powyższych czynności został określony w rozporządzeniu Ministra Rolnictwa i Rozwoju Wsi z dnia 24 czerwca 2002 r. w sprawie bezpieczeństwa i higieny pracy przy stosowaniu i magazynowaniu środków ochrony roślin oraz nawozów mineralnych i organiczno-mineralnych (Dz. U. poz. 896, z późn. zm.), rozporządzeniu Ministra Rolnictwa i Rozwoju Wsi z dnia 22 maja 2013 r. w sprawie sposobu postępowania przy stosowaniu i przechowywaniu środków ochrony roślin, ustawie z dnia 13 czerwca 2013 r. o gospodarce opakowaniami i odpadami opakowaniowymi (Dz. U. z 2018 r. poz. 150, z późn. zm.) oraz rozporządzeniu Ministra Rolnictwa i Rozwoju Wsi z dnia 31 marca 2014 r. w sprawie warunków stosowania środków ochrony roślin.</w:t>
      </w:r>
    </w:p>
    <w:p w14:paraId="6E88AFBB"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Zostały przyjęte także rozwiązania ograniczające dostęp użytkowników nieprofesjonalnych do preparatów stwarzających największe zagrożenie. Osoby takie na ogół nie mają bowiem szczegółowej wiedzy dotyczącej bezpiecznego stosowania środków ochrony roślin, jak również wykorzystują te środki w miejscach, w których trudno jest zachować warunki bezpiecznego ich stosowania (w pomieszczeniach mieszkalnych, na balkonach i w ogrodach przydomowych). </w:t>
      </w:r>
    </w:p>
    <w:p w14:paraId="0CCA99BD"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art. 36 ust. 4 ustawy z dnia 8 marca 2013 r. o środkach ochrony roślin zostało zabronione stosowanie przez użytkowników nieprofesjonalnych, w formie oprysku lub fumigacji, a także wykorzystywanie do zaprawiania nasion, środków ochrony roślin zaklasyfikowanych, zgodnie z przepisami rozporządzenia Parlamentu Europejskiego i Rady (WE) nr 1272/2008 z dnia 16 grudnia 2008 r. w sprawie klasyfikacji, oznakowania i pakowania substancji i mieszanin, zmieniającego i uchylającego dyrektywy 67/548/EWG i 1999/45/WE oraz zmieniającego rozporządzenie (WE) nr 1907/2006, do co najmniej jednej z poniższych klas i kategorii zagrożenia: </w:t>
      </w:r>
    </w:p>
    <w:p w14:paraId="5378A46D" w14:textId="77777777" w:rsidR="00056846" w:rsidRPr="00925BCD" w:rsidRDefault="00E54725" w:rsidP="000463B0">
      <w:pPr>
        <w:pStyle w:val="napakapit"/>
        <w:numPr>
          <w:ilvl w:val="0"/>
          <w:numId w:val="11"/>
        </w:numPr>
        <w:spacing w:before="0"/>
        <w:ind w:left="709" w:hanging="425"/>
      </w:pPr>
      <w:r w:rsidRPr="00925BCD">
        <w:t>toksyczność ostra kategoria 1, 2 i 3;</w:t>
      </w:r>
    </w:p>
    <w:p w14:paraId="5648CF59" w14:textId="77777777" w:rsidR="00056846" w:rsidRPr="00925BCD" w:rsidRDefault="00E54725" w:rsidP="000463B0">
      <w:pPr>
        <w:pStyle w:val="napakapit"/>
        <w:numPr>
          <w:ilvl w:val="0"/>
          <w:numId w:val="11"/>
        </w:numPr>
        <w:spacing w:before="0"/>
        <w:ind w:left="709" w:hanging="425"/>
      </w:pPr>
      <w:r w:rsidRPr="00925BCD">
        <w:t>działanie rakotwórcze;</w:t>
      </w:r>
    </w:p>
    <w:p w14:paraId="42477CCC" w14:textId="77777777" w:rsidR="00056846" w:rsidRPr="00925BCD" w:rsidRDefault="00E54725" w:rsidP="000463B0">
      <w:pPr>
        <w:pStyle w:val="napakapit"/>
        <w:numPr>
          <w:ilvl w:val="0"/>
          <w:numId w:val="11"/>
        </w:numPr>
        <w:spacing w:before="0"/>
        <w:ind w:left="709" w:hanging="425"/>
      </w:pPr>
      <w:r w:rsidRPr="00925BCD">
        <w:t>działanie mutagenne;</w:t>
      </w:r>
    </w:p>
    <w:p w14:paraId="4B8B746D" w14:textId="77777777" w:rsidR="00056846" w:rsidRPr="00925BCD" w:rsidRDefault="00E54725" w:rsidP="000463B0">
      <w:pPr>
        <w:pStyle w:val="napakapit"/>
        <w:numPr>
          <w:ilvl w:val="0"/>
          <w:numId w:val="11"/>
        </w:numPr>
        <w:spacing w:before="0"/>
        <w:ind w:left="709" w:hanging="425"/>
      </w:pPr>
      <w:r w:rsidRPr="00925BCD">
        <w:t>działanie szkodliwe na rozrodczość;</w:t>
      </w:r>
    </w:p>
    <w:p w14:paraId="3FFE5D07" w14:textId="77777777" w:rsidR="00056846" w:rsidRPr="00925BCD" w:rsidRDefault="00E54725" w:rsidP="000463B0">
      <w:pPr>
        <w:pStyle w:val="napakapit"/>
        <w:numPr>
          <w:ilvl w:val="0"/>
          <w:numId w:val="11"/>
        </w:numPr>
        <w:spacing w:before="0"/>
        <w:ind w:left="709" w:hanging="425"/>
      </w:pPr>
      <w:r w:rsidRPr="00925BCD">
        <w:t>działanie toksyczne na narządy docelowe po narażeniu jednorazowym (STOT SE) kategoria 1;</w:t>
      </w:r>
    </w:p>
    <w:p w14:paraId="1C43B0CF" w14:textId="77777777" w:rsidR="00056846" w:rsidRPr="00925BCD" w:rsidRDefault="00E54725" w:rsidP="000463B0">
      <w:pPr>
        <w:pStyle w:val="napakapit"/>
        <w:numPr>
          <w:ilvl w:val="0"/>
          <w:numId w:val="11"/>
        </w:numPr>
        <w:spacing w:before="0"/>
        <w:ind w:left="709" w:hanging="425"/>
      </w:pPr>
      <w:r w:rsidRPr="00925BCD">
        <w:t>działanie toksyczne na narządy docelowe po narażeniu powtarzanym (STOT RE) kategoria 1.</w:t>
      </w:r>
    </w:p>
    <w:p w14:paraId="6BE2B1D0"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Wyeliminowanie zagrożeń na poszczególnych etapach wykonywania zabiegów ochrony roślin to także dbałość, aby środki ochrony były stosowane w sposób nie stwarzający zagrożenia dla zdrowia ludzi i zwierząt oraz dla środowiska (promowanie dobrych praktyk dotyczyć musi nie tylko wykonywania oprysków, ale i innych metod stosowania środków ochrony roślin, jak np. zaprawianie nasion), a także przeciwdziałanie zniesieniu środków ochrony roślin na obszary i obiekty niebędące celem zabiegu. Szczególną uwagę należy zwrócić przy tym na ochronę owadów zapylających.</w:t>
      </w:r>
    </w:p>
    <w:p w14:paraId="72CC76BD" w14:textId="5E03D0E6"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działania w </w:t>
      </w:r>
      <w:r w:rsidR="00FA26B8">
        <w:rPr>
          <w:rFonts w:ascii="Arial" w:hAnsi="Arial" w:cs="Arial"/>
        </w:rPr>
        <w:t xml:space="preserve">latach </w:t>
      </w:r>
      <w:r w:rsidRPr="00925BCD">
        <w:rPr>
          <w:rFonts w:ascii="Arial" w:hAnsi="Arial" w:cs="Arial"/>
        </w:rPr>
        <w:t>2018</w:t>
      </w:r>
      <w:r w:rsidR="00FA26B8">
        <w:rPr>
          <w:rFonts w:ascii="Arial" w:hAnsi="Arial" w:cs="Arial"/>
        </w:rPr>
        <w:t>–202</w:t>
      </w:r>
      <w:r w:rsidR="003D6052">
        <w:rPr>
          <w:rFonts w:ascii="Arial" w:hAnsi="Arial" w:cs="Arial"/>
        </w:rPr>
        <w:t>1</w:t>
      </w:r>
      <w:r w:rsidR="00FA26B8">
        <w:rPr>
          <w:rFonts w:ascii="Arial" w:hAnsi="Arial" w:cs="Arial"/>
        </w:rPr>
        <w:t xml:space="preserve"> </w:t>
      </w:r>
      <w:r w:rsidR="003F5AD9" w:rsidRPr="00925BCD">
        <w:rPr>
          <w:rFonts w:ascii="Arial" w:hAnsi="Arial" w:cs="Arial"/>
        </w:rPr>
        <w:t xml:space="preserve"> </w:t>
      </w:r>
      <w:r w:rsidRPr="00925BCD">
        <w:rPr>
          <w:rFonts w:ascii="Arial" w:hAnsi="Arial" w:cs="Arial"/>
        </w:rPr>
        <w:t xml:space="preserve">inspektorzy Państwowej Inspekcji Ochrony Roślin </w:t>
      </w:r>
      <w:r w:rsidRPr="00925BCD">
        <w:rPr>
          <w:rFonts w:ascii="Arial" w:hAnsi="Arial" w:cs="Arial"/>
        </w:rPr>
        <w:lastRenderedPageBreak/>
        <w:t>i</w:t>
      </w:r>
      <w:r w:rsidR="003F5AD9" w:rsidRPr="00925BCD">
        <w:rPr>
          <w:rFonts w:ascii="Arial" w:hAnsi="Arial" w:cs="Arial"/>
        </w:rPr>
        <w:t> </w:t>
      </w:r>
      <w:r w:rsidRPr="00925BCD">
        <w:rPr>
          <w:rFonts w:ascii="Arial" w:hAnsi="Arial" w:cs="Arial"/>
        </w:rPr>
        <w:t>Nasiennictwa prowadzili kontrole dotyczące bezpiecznego stosowania środków ochrony roślin i ich przechowywania.</w:t>
      </w:r>
    </w:p>
    <w:p w14:paraId="28F42C5E" w14:textId="3C0BC438" w:rsidR="003F5AD9" w:rsidRPr="00925BCD" w:rsidRDefault="003F5AD9"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Liczba stwierdzonych nieprawidłowości </w:t>
      </w:r>
      <w:r w:rsidR="006D456B">
        <w:rPr>
          <w:rFonts w:ascii="Arial" w:hAnsi="Arial" w:cs="Arial"/>
        </w:rPr>
        <w:t xml:space="preserve">w zakresie </w:t>
      </w:r>
      <w:r w:rsidR="006D456B" w:rsidRPr="00925BCD">
        <w:rPr>
          <w:rFonts w:ascii="Arial" w:hAnsi="Arial" w:cs="Arial"/>
        </w:rPr>
        <w:t xml:space="preserve">bezpiecznego stosowania środków ochrony roślin i ich przechowywania </w:t>
      </w:r>
      <w:r w:rsidRPr="00925BCD">
        <w:rPr>
          <w:rFonts w:ascii="Arial" w:hAnsi="Arial" w:cs="Arial"/>
        </w:rPr>
        <w:t xml:space="preserve">wyniosła </w:t>
      </w:r>
      <w:r w:rsidR="006D456B" w:rsidRPr="00925BCD">
        <w:rPr>
          <w:rFonts w:ascii="Arial" w:hAnsi="Arial" w:cs="Arial"/>
        </w:rPr>
        <w:t xml:space="preserve">odpowiednio </w:t>
      </w:r>
      <w:r w:rsidRPr="00925BCD">
        <w:rPr>
          <w:rFonts w:ascii="Arial" w:hAnsi="Arial" w:cs="Arial"/>
        </w:rPr>
        <w:t>w 2018 r. 53 i 6, w 2019 r. 308 i 29</w:t>
      </w:r>
      <w:r w:rsidR="00BB5237">
        <w:rPr>
          <w:rFonts w:ascii="Arial" w:hAnsi="Arial" w:cs="Arial"/>
        </w:rPr>
        <w:t>,</w:t>
      </w:r>
      <w:r w:rsidR="00BB5237" w:rsidRPr="00BB5237">
        <w:rPr>
          <w:rFonts w:ascii="Arial" w:hAnsi="Arial" w:cs="Arial"/>
        </w:rPr>
        <w:t xml:space="preserve"> </w:t>
      </w:r>
      <w:r w:rsidR="00EA5F44">
        <w:rPr>
          <w:rFonts w:ascii="Arial" w:hAnsi="Arial" w:cs="Arial"/>
        </w:rPr>
        <w:t>w</w:t>
      </w:r>
      <w:r w:rsidR="004B45E9">
        <w:rPr>
          <w:rFonts w:ascii="Arial" w:hAnsi="Arial" w:cs="Arial"/>
        </w:rPr>
        <w:t> </w:t>
      </w:r>
      <w:r w:rsidR="00C7299F">
        <w:rPr>
          <w:rFonts w:ascii="Arial" w:hAnsi="Arial" w:cs="Arial"/>
        </w:rPr>
        <w:t>2020 </w:t>
      </w:r>
      <w:r w:rsidR="00EA5F44">
        <w:rPr>
          <w:rFonts w:ascii="Arial" w:hAnsi="Arial" w:cs="Arial"/>
        </w:rPr>
        <w:t>r. 257 i</w:t>
      </w:r>
      <w:r w:rsidR="00DF7E3E">
        <w:rPr>
          <w:rFonts w:ascii="Arial" w:hAnsi="Arial" w:cs="Arial"/>
        </w:rPr>
        <w:t xml:space="preserve"> 11, </w:t>
      </w:r>
      <w:r w:rsidR="00B00991" w:rsidRPr="00925BCD">
        <w:rPr>
          <w:rFonts w:ascii="Arial" w:hAnsi="Arial" w:cs="Arial"/>
        </w:rPr>
        <w:t>natomiast</w:t>
      </w:r>
      <w:r w:rsidR="00DF7E3E">
        <w:rPr>
          <w:rFonts w:ascii="Arial" w:hAnsi="Arial" w:cs="Arial"/>
        </w:rPr>
        <w:t xml:space="preserve"> w 2021 r. 128 i 68.</w:t>
      </w:r>
    </w:p>
    <w:p w14:paraId="3A56E7CB" w14:textId="77777777" w:rsidR="00056846" w:rsidRPr="00925BCD" w:rsidRDefault="00E54725">
      <w:pPr>
        <w:pStyle w:val="Nagwek1"/>
        <w:numPr>
          <w:ilvl w:val="1"/>
          <w:numId w:val="9"/>
        </w:numPr>
        <w:tabs>
          <w:tab w:val="left" w:pos="284"/>
        </w:tabs>
        <w:ind w:left="426" w:hanging="426"/>
        <w:jc w:val="both"/>
        <w:rPr>
          <w:i w:val="0"/>
          <w:sz w:val="22"/>
          <w:szCs w:val="22"/>
        </w:rPr>
      </w:pPr>
      <w:bookmarkStart w:id="50" w:name="_Toc134099269"/>
      <w:r w:rsidRPr="00925BCD">
        <w:rPr>
          <w:i w:val="0"/>
          <w:sz w:val="22"/>
          <w:szCs w:val="22"/>
        </w:rPr>
        <w:t>Mierniki służące monitorowaniu</w:t>
      </w:r>
      <w:bookmarkEnd w:id="50"/>
    </w:p>
    <w:p w14:paraId="330721D3"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Efektywność działania będzie oceniana na podstawie liczby nieprawidłowości w zakresie wykonywania zabiegów ochrony roślin. W 2022 r. poziom nieprawidłowości w zakresie warunków bezpiecznego stosowania środków ochrony roślin, jak i warunków przechowywania środków ochrony roślin, stwierdzanych w ramach kontroli przeprowadzanej przez Państwową Inspekcję Ochrony Roślin i Nasiennictwa, powinien wynosić poniżej 1%.</w:t>
      </w:r>
    </w:p>
    <w:p w14:paraId="33A975A4" w14:textId="13106709"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 nieprawidłowości w zakresie warunków bezpiecznego stosowania środków ochrony roślin, jak i warunków przechowywania środków ochrony roślin, stwierdzanych w ramach kontroli przeprowadzanej przez Państwową Inspekcję Ochrony Roślin i Nasiennictwa wyniósł 0,95%</w:t>
      </w:r>
      <w:r w:rsidR="003F5AD9" w:rsidRPr="00925BCD">
        <w:rPr>
          <w:rFonts w:ascii="Arial" w:hAnsi="Arial" w:cs="Arial"/>
        </w:rPr>
        <w:t xml:space="preserve">, </w:t>
      </w:r>
      <w:r w:rsidR="00410D56" w:rsidRPr="00925BCD">
        <w:rPr>
          <w:rFonts w:ascii="Arial" w:hAnsi="Arial" w:cs="Arial"/>
        </w:rPr>
        <w:t> w</w:t>
      </w:r>
      <w:r w:rsidR="004B45E9">
        <w:rPr>
          <w:rFonts w:ascii="Arial" w:hAnsi="Arial" w:cs="Arial"/>
        </w:rPr>
        <w:t> </w:t>
      </w:r>
      <w:r w:rsidR="00410D56" w:rsidRPr="00925BCD">
        <w:rPr>
          <w:rFonts w:ascii="Arial" w:hAnsi="Arial" w:cs="Arial"/>
        </w:rPr>
        <w:t>2019 r. wyniósł 1,45</w:t>
      </w:r>
      <w:r w:rsidR="00410D56" w:rsidRPr="00FA26B8">
        <w:rPr>
          <w:rFonts w:ascii="Arial" w:hAnsi="Arial" w:cs="Arial"/>
        </w:rPr>
        <w:t>%</w:t>
      </w:r>
      <w:r w:rsidR="00EA5F44" w:rsidRPr="00FA26B8">
        <w:rPr>
          <w:rFonts w:ascii="Arial" w:hAnsi="Arial" w:cs="Arial"/>
        </w:rPr>
        <w:t>, w 2020 r.</w:t>
      </w:r>
      <w:r w:rsidR="00FA26B8" w:rsidRPr="00FA26B8">
        <w:rPr>
          <w:rFonts w:ascii="Arial" w:hAnsi="Arial" w:cs="Arial"/>
        </w:rPr>
        <w:t xml:space="preserve"> wyniósł 1,48%</w:t>
      </w:r>
      <w:r w:rsidR="00B3226E">
        <w:rPr>
          <w:rFonts w:ascii="Arial" w:hAnsi="Arial" w:cs="Arial"/>
        </w:rPr>
        <w:t xml:space="preserve">, </w:t>
      </w:r>
      <w:r w:rsidR="00CF054A" w:rsidRPr="002B6DFD">
        <w:rPr>
          <w:rFonts w:ascii="Arial" w:hAnsi="Arial" w:cs="Arial"/>
        </w:rPr>
        <w:t>n</w:t>
      </w:r>
      <w:r w:rsidR="00B3226E" w:rsidRPr="002B6DFD">
        <w:rPr>
          <w:rFonts w:ascii="Arial" w:hAnsi="Arial" w:cs="Arial"/>
        </w:rPr>
        <w:t>a</w:t>
      </w:r>
      <w:r w:rsidR="00CF054A" w:rsidRPr="002B6DFD">
        <w:rPr>
          <w:rFonts w:ascii="Arial" w:hAnsi="Arial" w:cs="Arial"/>
        </w:rPr>
        <w:t xml:space="preserve">tomiast </w:t>
      </w:r>
      <w:r w:rsidR="00B3226E" w:rsidRPr="002B6DFD">
        <w:rPr>
          <w:rFonts w:ascii="Arial" w:hAnsi="Arial" w:cs="Arial"/>
        </w:rPr>
        <w:t>w 2021 r</w:t>
      </w:r>
      <w:r w:rsidR="00CF054A" w:rsidRPr="002B6DFD">
        <w:rPr>
          <w:rFonts w:ascii="Arial" w:hAnsi="Arial" w:cs="Arial"/>
        </w:rPr>
        <w:t xml:space="preserve">. wyniósł </w:t>
      </w:r>
      <w:r w:rsidR="002B6DFD" w:rsidRPr="002B6DFD">
        <w:rPr>
          <w:rFonts w:ascii="Arial" w:hAnsi="Arial" w:cs="Arial"/>
        </w:rPr>
        <w:t>0,93%</w:t>
      </w:r>
      <w:r w:rsidR="00FA26B8" w:rsidRPr="002B6DFD">
        <w:rPr>
          <w:rFonts w:ascii="Arial" w:hAnsi="Arial" w:cs="Arial"/>
        </w:rPr>
        <w:t>.</w:t>
      </w:r>
      <w:r w:rsidRPr="00925BCD">
        <w:rPr>
          <w:rFonts w:ascii="Arial" w:hAnsi="Arial" w:cs="Arial"/>
        </w:rPr>
        <w:t xml:space="preserve"> </w:t>
      </w:r>
    </w:p>
    <w:p w14:paraId="0712F431" w14:textId="77777777" w:rsidR="00056846" w:rsidRPr="00925BCD" w:rsidRDefault="00E54725">
      <w:pPr>
        <w:pStyle w:val="Nagwek1"/>
        <w:numPr>
          <w:ilvl w:val="0"/>
          <w:numId w:val="9"/>
        </w:numPr>
        <w:jc w:val="both"/>
        <w:rPr>
          <w:i w:val="0"/>
          <w:sz w:val="22"/>
          <w:szCs w:val="22"/>
        </w:rPr>
      </w:pPr>
      <w:bookmarkStart w:id="51" w:name="_Toc134099270"/>
      <w:r w:rsidRPr="00925BCD">
        <w:rPr>
          <w:i w:val="0"/>
          <w:sz w:val="22"/>
          <w:szCs w:val="22"/>
        </w:rPr>
        <w:t>Działanie 10. Integrowana ochrona roślin</w:t>
      </w:r>
      <w:bookmarkEnd w:id="51"/>
    </w:p>
    <w:p w14:paraId="7D2EA695"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Podstawowym celem krajowego planu działania jest upowszechnianie zasad integrowanej ochrony roślin. Działanie to służy osiągnięciu celów określonych w art. 14 dyrektywy 2009/128/WE.</w:t>
      </w:r>
    </w:p>
    <w:p w14:paraId="01B99779"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Wdrożenie zasad integrowanej ochrony roślin, której głównym założeniem jest racjonalne stosowanie środków ochrony roślin, na podstawie faktycznej potrzeby wykonania zabiegu, z uwzględnieniem w pierwszej kolejności metod niechemicznych, w najbardziej efektywny sposób ogranicza zagrożenia związane ze stosowaniem środków ochrony roślin. </w:t>
      </w:r>
    </w:p>
    <w:p w14:paraId="47F49B74"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 to stanowi kontynuację działań realizowanych w ramach krajowego planu działania na lata 2013–2017, dzięki którym upowszechniono głównie wśród użytkowników profesjonalnych środków ochrony roślin zasady integrowanej ochrony roślin, ograniczając tym samym zagrożenia związane z wykorzystywaniem tych środków.  </w:t>
      </w:r>
    </w:p>
    <w:p w14:paraId="0DFC8837"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Promowanie zasad integrowanej ochrony roślin realizowane było w ramach następujących zadań szczegółowych.</w:t>
      </w:r>
    </w:p>
    <w:p w14:paraId="2C024CA5" w14:textId="77777777" w:rsidR="00056846" w:rsidRPr="00925BCD" w:rsidRDefault="00E54725">
      <w:pPr>
        <w:pStyle w:val="Nagwek2"/>
        <w:jc w:val="both"/>
        <w:rPr>
          <w:i w:val="0"/>
          <w:sz w:val="20"/>
          <w:szCs w:val="20"/>
        </w:rPr>
      </w:pPr>
      <w:bookmarkStart w:id="52" w:name="_Toc134099271"/>
      <w:r w:rsidRPr="00925BCD">
        <w:rPr>
          <w:i w:val="0"/>
          <w:sz w:val="20"/>
          <w:szCs w:val="20"/>
        </w:rPr>
        <w:t>Zadanie 1. Upowszechnianie wiedzy z zakresu integrowanej ochrony roślin</w:t>
      </w:r>
      <w:bookmarkEnd w:id="52"/>
    </w:p>
    <w:p w14:paraId="6F43254A"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Zadaniem priorytetowym drugiego krajowego planu działania jest dalsze upowszechnianie wiedzy na temat integrowanej ochrony roślin. </w:t>
      </w:r>
    </w:p>
    <w:p w14:paraId="7DFA6F6E"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Zadanie to realizowane jest przez:</w:t>
      </w:r>
    </w:p>
    <w:p w14:paraId="0B91D05E" w14:textId="77777777" w:rsidR="00056846" w:rsidRPr="00925BCD" w:rsidRDefault="00E54725" w:rsidP="004A1341">
      <w:pPr>
        <w:pStyle w:val="napakapit"/>
        <w:numPr>
          <w:ilvl w:val="0"/>
          <w:numId w:val="8"/>
        </w:numPr>
        <w:tabs>
          <w:tab w:val="clear" w:pos="4536"/>
        </w:tabs>
        <w:spacing w:before="0"/>
        <w:ind w:left="709"/>
        <w:rPr>
          <w:rFonts w:cs="Arial"/>
        </w:rPr>
      </w:pPr>
      <w:r w:rsidRPr="00925BCD">
        <w:rPr>
          <w:rFonts w:cs="Arial"/>
        </w:rPr>
        <w:t>prowadzenie specjalistycznych szkoleń, seminariów i konferencji, pokazów najlepszych praktyk i doświadczeń polowych oraz innych przedsięwzięć w zakresie ochrony roślin;</w:t>
      </w:r>
    </w:p>
    <w:p w14:paraId="73F34DEF" w14:textId="77777777" w:rsidR="00056846" w:rsidRPr="00925BCD" w:rsidRDefault="00E54725" w:rsidP="004A1341">
      <w:pPr>
        <w:pStyle w:val="napakapit"/>
        <w:numPr>
          <w:ilvl w:val="0"/>
          <w:numId w:val="8"/>
        </w:numPr>
        <w:tabs>
          <w:tab w:val="clear" w:pos="4536"/>
        </w:tabs>
        <w:spacing w:before="0"/>
        <w:ind w:left="709"/>
        <w:rPr>
          <w:rFonts w:cs="Arial"/>
        </w:rPr>
      </w:pPr>
      <w:r w:rsidRPr="00925BCD">
        <w:rPr>
          <w:rFonts w:cs="Arial"/>
        </w:rPr>
        <w:lastRenderedPageBreak/>
        <w:t>przygotowywanie i upowszechnianie wyników badań naukowych, materiałów informacyjnych, szkoleniowych oraz publikację informacji z zakresu ochrony roślin w prasie branżowej;</w:t>
      </w:r>
    </w:p>
    <w:p w14:paraId="5801B4F8" w14:textId="77777777" w:rsidR="00056846" w:rsidRPr="00925BCD" w:rsidRDefault="00E54725" w:rsidP="004A1341">
      <w:pPr>
        <w:pStyle w:val="napakapit"/>
        <w:numPr>
          <w:ilvl w:val="0"/>
          <w:numId w:val="8"/>
        </w:numPr>
        <w:tabs>
          <w:tab w:val="clear" w:pos="4536"/>
        </w:tabs>
        <w:spacing w:before="0"/>
        <w:ind w:left="709"/>
        <w:rPr>
          <w:rFonts w:cs="Arial"/>
        </w:rPr>
      </w:pPr>
      <w:r w:rsidRPr="00925BCD">
        <w:rPr>
          <w:rFonts w:cs="Arial"/>
        </w:rPr>
        <w:t>utrzymanie i rozwój Platformy Sygnalizacji Agrofagów, na której będą udostępniane metodyki integrowanej ochrony roślin, systemy wspomagania decyzji, programy ochrony roślin oraz opracowania naukowe dotyczące ochrony roślin.</w:t>
      </w:r>
    </w:p>
    <w:p w14:paraId="548884B4"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Sposobem promowania idei integrowanej ochrony roślin, a tym samym podnoszenia wiedzy o zrównoważonych metodach ochrony upraw, jest właściwa edukacja producentów rolnych oraz doradców, a także dostarczenie im niezbędnych narzędzi do stosowania zasad integrowanej ochrony roślin. Rozwój elektronicznej formy przekazu informacji stanowi płaszczyznę i narzędzie wymiany doświadczeń oraz transferu wiedzy pomiędzy nauką a praktyką przy wdrażaniu integrowanej ochrony roślin. </w:t>
      </w:r>
    </w:p>
    <w:p w14:paraId="1457DBD7"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Podstawowym źródłem wiedzy o integrowanej ochronie roślin dla osób związanych z ochroną roślin, są obowiązkowe szkolenia dla profesjonalnych użytkowników środków ochrony roślin, osób dokonujących sprzedaży tych środków oraz doradców świadczących usługi w zakresie ochrony roślin. Szczegóły dotyczące tego typu szkoleń zostały przedstawione w opisie realizacji Działania 1 KPD, natomiast poniżej zaprezentowane zostały dodatkowe działania uzupełniające wiedzę uzyskiwaną w ramach obowiązkowych szkoleń. </w:t>
      </w:r>
    </w:p>
    <w:p w14:paraId="0999708B" w14:textId="7CA9AA1E"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programu wieloletniego „Ochrona roślin uprawnych z uwzględnieniem bezpieczeństwa żywności oraz ograniczenia strat w plonach i zagrożeń dla zdrowia ludzi, zwierząt domowych i środowiska” przyjętego na lata 2016–2020, </w:t>
      </w:r>
      <w:r w:rsidRPr="00925BCD">
        <w:rPr>
          <w:rFonts w:ascii="Arial" w:hAnsi="Arial" w:cs="Arial"/>
          <w:b/>
        </w:rPr>
        <w:t>Instytut Ochrony Roślin – PIB</w:t>
      </w:r>
      <w:r w:rsidRPr="00925BCD">
        <w:rPr>
          <w:rFonts w:ascii="Arial" w:hAnsi="Arial" w:cs="Arial"/>
        </w:rPr>
        <w:t xml:space="preserve"> realizował zadanie „Upowszechnianie i wdrażanie wiedzy o integrowanej ochronie roślin”. W ramach tego zadania w 2018 r., na terenie województw: lubelskiego, mazowieckiego </w:t>
      </w:r>
      <w:r w:rsidR="00BA2BC9" w:rsidRPr="00925BCD">
        <w:rPr>
          <w:rFonts w:ascii="Arial" w:hAnsi="Arial" w:cs="Arial"/>
        </w:rPr>
        <w:t>(</w:t>
      </w:r>
      <w:r w:rsidRPr="00925BCD">
        <w:rPr>
          <w:rFonts w:ascii="Arial" w:hAnsi="Arial" w:cs="Arial"/>
        </w:rPr>
        <w:t>2</w:t>
      </w:r>
      <w:r w:rsidR="00BA2BC9" w:rsidRPr="00925BCD">
        <w:rPr>
          <w:rFonts w:ascii="Arial" w:hAnsi="Arial" w:cs="Arial"/>
        </w:rPr>
        <w:t xml:space="preserve"> razy)</w:t>
      </w:r>
      <w:r w:rsidRPr="00925BCD">
        <w:rPr>
          <w:rFonts w:ascii="Arial" w:hAnsi="Arial" w:cs="Arial"/>
        </w:rPr>
        <w:t>, oraz kujawsko-pomorskiego zorganizowane zostały 4 szkolenia z zakresu integrowanej ochrony roślin dla 313 osób. W 2019 r. odbyło się jedno szkolenie na terenie województwa małopolskiego</w:t>
      </w:r>
      <w:r w:rsidR="000F4B47" w:rsidRPr="00925BCD">
        <w:rPr>
          <w:rFonts w:ascii="Arial" w:hAnsi="Arial" w:cs="Arial"/>
        </w:rPr>
        <w:t>,</w:t>
      </w:r>
      <w:r w:rsidRPr="00925BCD">
        <w:rPr>
          <w:rFonts w:ascii="Arial" w:hAnsi="Arial" w:cs="Arial"/>
        </w:rPr>
        <w:t xml:space="preserve"> w którym uczestniczyło 85 osób</w:t>
      </w:r>
      <w:r w:rsidR="00EA5F44">
        <w:rPr>
          <w:rFonts w:ascii="Arial" w:hAnsi="Arial" w:cs="Arial"/>
        </w:rPr>
        <w:t>, natomiast w</w:t>
      </w:r>
      <w:r w:rsidR="000C04FF">
        <w:rPr>
          <w:rFonts w:ascii="Arial" w:hAnsi="Arial" w:cs="Arial"/>
        </w:rPr>
        <w:t xml:space="preserve"> 2020 r. </w:t>
      </w:r>
      <w:r w:rsidR="000C04FF" w:rsidRPr="00125F0E">
        <w:rPr>
          <w:rFonts w:ascii="Arial" w:hAnsi="Arial" w:cs="Arial"/>
        </w:rPr>
        <w:t>na terenie województw: świętokrzyskiego, pomorskiego, podlaskiego oraz warmińsko-mazurskiego zorganizowane zostały cztery szkolenia (dwa stacjonarnie i dwa w formie zdalnej) dla 481 osób.</w:t>
      </w:r>
      <w:r w:rsidRPr="00925BCD">
        <w:rPr>
          <w:rFonts w:ascii="Arial" w:hAnsi="Arial" w:cs="Arial"/>
        </w:rPr>
        <w:t xml:space="preserve"> Oprócz zagadnień prawnych om</w:t>
      </w:r>
      <w:r w:rsidR="000C04FF">
        <w:rPr>
          <w:rFonts w:ascii="Arial" w:hAnsi="Arial" w:cs="Arial"/>
        </w:rPr>
        <w:t>awiano</w:t>
      </w:r>
      <w:r w:rsidRPr="00925BCD">
        <w:rPr>
          <w:rFonts w:ascii="Arial" w:hAnsi="Arial" w:cs="Arial"/>
        </w:rPr>
        <w:t xml:space="preserve"> zasady prowadzenia integrowanej ochrony roślin. Uczestnicy podczas wykładów jak i zajęć praktycznych zapoznali się z ważnymi gospodarczo sprawcami chorób, szkodnikami i chwastami, zostali również przeszkoleni z obsługi Platformy Sygnalizacji Agrofagów (www.agrofagi.com.pl), którą mogą wykorzystywać do podejmowania decyzji o wykonywaniu zabiegów środkami ochrony roślin.</w:t>
      </w:r>
    </w:p>
    <w:p w14:paraId="5E7F4921"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Szkolenia kierowane były głównie do doradców rolnych, których zadaniem był następnie transfer zdobytej wiedzy do producentów. </w:t>
      </w:r>
    </w:p>
    <w:p w14:paraId="54255F83" w14:textId="28EB40EB" w:rsidR="007335D7"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bookmarkStart w:id="53" w:name="_Hlk90556575"/>
      <w:r w:rsidRPr="00925BCD">
        <w:rPr>
          <w:rFonts w:ascii="Arial" w:hAnsi="Arial" w:cs="Arial"/>
          <w:b/>
        </w:rPr>
        <w:t>Instytut Ochrony Roślin – PIB</w:t>
      </w:r>
      <w:r w:rsidRPr="00925BCD">
        <w:rPr>
          <w:rFonts w:ascii="Arial" w:hAnsi="Arial" w:cs="Arial"/>
        </w:rPr>
        <w:t xml:space="preserve"> </w:t>
      </w:r>
      <w:bookmarkEnd w:id="53"/>
      <w:r w:rsidRPr="00925BCD">
        <w:rPr>
          <w:rFonts w:ascii="Arial" w:hAnsi="Arial" w:cs="Arial"/>
          <w:color w:val="000000"/>
        </w:rPr>
        <w:t xml:space="preserve">upowszechniał wiedzę z zakresu </w:t>
      </w:r>
      <w:r w:rsidRPr="00925BCD">
        <w:rPr>
          <w:rFonts w:ascii="Arial" w:hAnsi="Arial" w:cs="Arial"/>
        </w:rPr>
        <w:t xml:space="preserve">integrowanej ochrony roślin również podczas spotkań i wydarzeń poświęconych rolnictwu, podczas których </w:t>
      </w:r>
      <w:r w:rsidR="00CE064D" w:rsidRPr="00925BCD">
        <w:rPr>
          <w:rFonts w:ascii="Arial" w:hAnsi="Arial" w:cs="Arial"/>
        </w:rPr>
        <w:t>przekazywał</w:t>
      </w:r>
      <w:r w:rsidRPr="00925BCD">
        <w:rPr>
          <w:rFonts w:ascii="Arial" w:hAnsi="Arial" w:cs="Arial"/>
        </w:rPr>
        <w:t xml:space="preserve"> zainteresowanym ulotki, plakaty jak również inne materiały informacyjne. </w:t>
      </w:r>
      <w:r w:rsidR="00E0318F" w:rsidRPr="00925BCD">
        <w:rPr>
          <w:rFonts w:ascii="Arial" w:hAnsi="Arial" w:cs="Arial"/>
          <w:b/>
        </w:rPr>
        <w:t>W 2018</w:t>
      </w:r>
      <w:r w:rsidR="00E0318F">
        <w:rPr>
          <w:rFonts w:ascii="Arial" w:hAnsi="Arial" w:cs="Arial"/>
          <w:b/>
        </w:rPr>
        <w:t xml:space="preserve"> </w:t>
      </w:r>
      <w:r w:rsidR="00E0318F" w:rsidRPr="00925BCD">
        <w:rPr>
          <w:rFonts w:ascii="Arial" w:hAnsi="Arial" w:cs="Arial"/>
          <w:b/>
        </w:rPr>
        <w:t xml:space="preserve">r. </w:t>
      </w:r>
      <w:r w:rsidR="00E0318F" w:rsidRPr="00E0318F">
        <w:rPr>
          <w:rFonts w:ascii="Arial" w:hAnsi="Arial" w:cs="Arial"/>
          <w:bCs/>
        </w:rPr>
        <w:t>d</w:t>
      </w:r>
      <w:r w:rsidRPr="00E0318F">
        <w:rPr>
          <w:rFonts w:ascii="Arial" w:hAnsi="Arial" w:cs="Arial"/>
          <w:bCs/>
        </w:rPr>
        <w:t>o</w:t>
      </w:r>
      <w:r w:rsidRPr="00925BCD">
        <w:rPr>
          <w:rFonts w:ascii="Arial" w:hAnsi="Arial" w:cs="Arial"/>
        </w:rPr>
        <w:t xml:space="preserve"> najważniejszych należały</w:t>
      </w:r>
      <w:r w:rsidR="00CE064D" w:rsidRPr="00925BCD">
        <w:rPr>
          <w:rFonts w:ascii="Arial" w:hAnsi="Arial" w:cs="Arial"/>
        </w:rPr>
        <w:t>:</w:t>
      </w:r>
      <w:r w:rsidR="007335D7" w:rsidRPr="00925BCD">
        <w:rPr>
          <w:rFonts w:ascii="Arial" w:hAnsi="Arial" w:cs="Arial"/>
        </w:rPr>
        <w:t xml:space="preserve"> „7 dni z IOR-em” – dni otwarte Instytutu Ochrony Roślin – PIB, Poznań, Sośnicowice, Białystok, Toruń 4–10 czerwca 2018 r.</w:t>
      </w:r>
      <w:r w:rsidR="000C3B88" w:rsidRPr="00925BCD">
        <w:rPr>
          <w:rFonts w:ascii="Arial" w:hAnsi="Arial" w:cs="Arial"/>
        </w:rPr>
        <w:t xml:space="preserve">, </w:t>
      </w:r>
      <w:r w:rsidR="007335D7" w:rsidRPr="00925BCD">
        <w:rPr>
          <w:rFonts w:ascii="Arial" w:hAnsi="Arial" w:cs="Arial"/>
        </w:rPr>
        <w:t xml:space="preserve">Dni Pola pt.: „Spotkanie z technologią uprawy pszenicy ozimej </w:t>
      </w:r>
      <w:r w:rsidR="007335D7" w:rsidRPr="00925BCD">
        <w:rPr>
          <w:rFonts w:ascii="Arial" w:hAnsi="Arial" w:cs="Arial"/>
        </w:rPr>
        <w:lastRenderedPageBreak/>
        <w:t>i rzepaku ozimego”, Winna Góra 8 czerwca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 xml:space="preserve">XXIV. Międzynarodowe Targi Techniki Rolnej </w:t>
      </w:r>
      <w:proofErr w:type="spellStart"/>
      <w:r w:rsidR="000C3B88" w:rsidRPr="00925BCD">
        <w:rPr>
          <w:rFonts w:ascii="Arial" w:hAnsi="Arial" w:cs="Arial"/>
        </w:rPr>
        <w:t>Agrotech</w:t>
      </w:r>
      <w:proofErr w:type="spellEnd"/>
      <w:r w:rsidR="000C3B88" w:rsidRPr="00925BCD">
        <w:rPr>
          <w:rFonts w:ascii="Arial" w:hAnsi="Arial" w:cs="Arial"/>
        </w:rPr>
        <w:t xml:space="preserve"> w Kielcach, </w:t>
      </w:r>
      <w:r w:rsidR="007335D7" w:rsidRPr="00925BCD">
        <w:rPr>
          <w:rFonts w:ascii="Arial" w:hAnsi="Arial" w:cs="Arial"/>
        </w:rPr>
        <w:t>16</w:t>
      </w:r>
      <w:r w:rsidR="000C3B88" w:rsidRPr="00925BCD">
        <w:rPr>
          <w:rFonts w:ascii="Arial" w:hAnsi="Arial" w:cs="Arial"/>
        </w:rPr>
        <w:t>-</w:t>
      </w:r>
      <w:r w:rsidR="007335D7" w:rsidRPr="00925BCD">
        <w:rPr>
          <w:rFonts w:ascii="Arial" w:hAnsi="Arial" w:cs="Arial"/>
        </w:rPr>
        <w:t>18 marca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XX Wojewódzko-Archidiecezjalnych Dożynkach Wielkopolskich w Poznaniu,</w:t>
      </w:r>
      <w:r w:rsidR="007335D7" w:rsidRPr="00925BCD">
        <w:rPr>
          <w:rFonts w:ascii="Arial" w:hAnsi="Arial" w:cs="Arial"/>
        </w:rPr>
        <w:t xml:space="preserve"> 26 sierpnia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XX Dni Ogrodnika – Targi Międzynarodowe w</w:t>
      </w:r>
      <w:r w:rsidR="0081721A">
        <w:rPr>
          <w:rFonts w:ascii="Arial" w:hAnsi="Arial" w:cs="Arial"/>
        </w:rPr>
        <w:t> </w:t>
      </w:r>
      <w:r w:rsidR="000C3B88" w:rsidRPr="00925BCD">
        <w:rPr>
          <w:rFonts w:ascii="Arial" w:hAnsi="Arial" w:cs="Arial"/>
        </w:rPr>
        <w:t>Gołuchowie koło Kalisza,</w:t>
      </w:r>
      <w:r w:rsidR="007335D7" w:rsidRPr="00925BCD">
        <w:rPr>
          <w:rFonts w:ascii="Arial" w:hAnsi="Arial" w:cs="Arial"/>
        </w:rPr>
        <w:t xml:space="preserve"> 14 i 15 września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 xml:space="preserve">Narodowa Wystawa Rolnicza na terenie Międzynarodowych Targów Poznańskich w Poznaniu, </w:t>
      </w:r>
      <w:r w:rsidR="007335D7" w:rsidRPr="00925BCD">
        <w:rPr>
          <w:rFonts w:ascii="Arial" w:hAnsi="Arial" w:cs="Arial"/>
        </w:rPr>
        <w:t xml:space="preserve">30 listopada ‒ 2 grudnia 2018 r. </w:t>
      </w:r>
    </w:p>
    <w:p w14:paraId="38CE0D57" w14:textId="33C152B8" w:rsidR="00056846" w:rsidRDefault="007335D7"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t>
      </w:r>
      <w:r w:rsidRPr="00D8548F">
        <w:rPr>
          <w:rFonts w:ascii="Arial" w:hAnsi="Arial" w:cs="Arial"/>
          <w:bCs/>
        </w:rPr>
        <w:t xml:space="preserve">Instytut </w:t>
      </w:r>
      <w:r w:rsidR="000C3B88" w:rsidRPr="00925BCD">
        <w:rPr>
          <w:rFonts w:ascii="Arial" w:hAnsi="Arial" w:cs="Arial"/>
        </w:rPr>
        <w:t xml:space="preserve">kontynuował zdanie i </w:t>
      </w:r>
      <w:r w:rsidRPr="00925BCD">
        <w:rPr>
          <w:rFonts w:ascii="Arial" w:hAnsi="Arial" w:cs="Arial"/>
        </w:rPr>
        <w:t xml:space="preserve">upowszechniał wiedzę z zakresu integrowanej ochrony roślin podczas spotkań i wydarzeń poświęconych rolnictwu, podczas których przekazywał zainteresowanym ulotki, plakaty jak również inne materiały informacyjne. Do najważniejszych należały: </w:t>
      </w:r>
      <w:r w:rsidR="00E54725" w:rsidRPr="00925BCD">
        <w:rPr>
          <w:rFonts w:ascii="Arial" w:hAnsi="Arial" w:cs="Arial"/>
        </w:rPr>
        <w:t>Centralne Targi Rolnicze w Nadarzynie, 1‒3 lutego 2019 r., Europejskie Forum Rolnicze w Jasionce, 1‒2 marca 2019</w:t>
      </w:r>
      <w:r w:rsidR="000F4B47" w:rsidRPr="00925BCD">
        <w:rPr>
          <w:rFonts w:ascii="Arial" w:hAnsi="Arial" w:cs="Arial"/>
        </w:rPr>
        <w:t> </w:t>
      </w:r>
      <w:r w:rsidR="00E54725" w:rsidRPr="00925BCD">
        <w:rPr>
          <w:rFonts w:ascii="Arial" w:hAnsi="Arial" w:cs="Arial"/>
        </w:rPr>
        <w:t xml:space="preserve">r., XXV Międzynarodowe Targi Techniki Rolnej </w:t>
      </w:r>
      <w:proofErr w:type="spellStart"/>
      <w:r w:rsidR="00E54725" w:rsidRPr="00925BCD">
        <w:rPr>
          <w:rFonts w:ascii="Arial" w:hAnsi="Arial" w:cs="Arial"/>
        </w:rPr>
        <w:t>Agrotech</w:t>
      </w:r>
      <w:proofErr w:type="spellEnd"/>
      <w:r w:rsidR="00E54725" w:rsidRPr="00925BCD">
        <w:rPr>
          <w:rFonts w:ascii="Arial" w:hAnsi="Arial" w:cs="Arial"/>
        </w:rPr>
        <w:t xml:space="preserve"> w Kielcach, 15‒17 marca 2019 r., XVII Dni Pola Krajowej Spółki Cukrowej S.A., 27 czerwca 2019 r.</w:t>
      </w:r>
      <w:r w:rsidR="000F4B47" w:rsidRPr="00925BCD">
        <w:rPr>
          <w:rFonts w:ascii="Arial" w:hAnsi="Arial" w:cs="Arial"/>
        </w:rPr>
        <w:t>,</w:t>
      </w:r>
      <w:r w:rsidR="00E54725" w:rsidRPr="00925BCD">
        <w:rPr>
          <w:rFonts w:ascii="Arial" w:hAnsi="Arial" w:cs="Arial"/>
        </w:rPr>
        <w:t xml:space="preserve"> Dni Otwartych Drzwi w PODR w Boguchwale, 29‒30 czerwca 2019 r.</w:t>
      </w:r>
      <w:r w:rsidR="000F4B47" w:rsidRPr="00925BCD">
        <w:rPr>
          <w:rFonts w:ascii="Arial" w:hAnsi="Arial" w:cs="Arial"/>
        </w:rPr>
        <w:t>,</w:t>
      </w:r>
      <w:r w:rsidR="00E54725" w:rsidRPr="00925BCD">
        <w:rPr>
          <w:rFonts w:ascii="Arial" w:hAnsi="Arial" w:cs="Arial"/>
        </w:rPr>
        <w:t xml:space="preserve"> XXI Wojewódzko-Archidiecezjalne Dożynki Wielkopolskie, 25</w:t>
      </w:r>
      <w:r w:rsidR="00CA7701" w:rsidRPr="00925BCD">
        <w:rPr>
          <w:rFonts w:ascii="Arial" w:hAnsi="Arial" w:cs="Arial"/>
        </w:rPr>
        <w:t> </w:t>
      </w:r>
      <w:r w:rsidR="00E54725" w:rsidRPr="00925BCD">
        <w:rPr>
          <w:rFonts w:ascii="Arial" w:hAnsi="Arial" w:cs="Arial"/>
        </w:rPr>
        <w:t>sierpnia 2019 r.</w:t>
      </w:r>
      <w:r w:rsidR="000F4B47" w:rsidRPr="00925BCD">
        <w:rPr>
          <w:rFonts w:ascii="Arial" w:hAnsi="Arial" w:cs="Arial"/>
        </w:rPr>
        <w:t xml:space="preserve">, </w:t>
      </w:r>
      <w:r w:rsidR="00E54725" w:rsidRPr="00925BCD">
        <w:rPr>
          <w:rFonts w:ascii="Arial" w:hAnsi="Arial" w:cs="Arial"/>
        </w:rPr>
        <w:t>XXVIII Krajowa Wystawa Rolnicza w Częstochowie ‒ Dożynki Ogólnopolskie, 31</w:t>
      </w:r>
      <w:r w:rsidR="00CA7701" w:rsidRPr="00925BCD">
        <w:rPr>
          <w:rFonts w:ascii="Arial" w:hAnsi="Arial" w:cs="Arial"/>
        </w:rPr>
        <w:t> </w:t>
      </w:r>
      <w:r w:rsidR="00E54725" w:rsidRPr="00925BCD">
        <w:rPr>
          <w:rFonts w:ascii="Arial" w:hAnsi="Arial" w:cs="Arial"/>
        </w:rPr>
        <w:t>sierpnia – 1 września 2019 r.</w:t>
      </w:r>
      <w:r w:rsidR="000F4B47" w:rsidRPr="00925BCD">
        <w:rPr>
          <w:rFonts w:ascii="Arial" w:hAnsi="Arial" w:cs="Arial"/>
        </w:rPr>
        <w:t>,</w:t>
      </w:r>
      <w:r w:rsidR="00E54725" w:rsidRPr="00925BCD">
        <w:rPr>
          <w:rFonts w:ascii="Arial" w:hAnsi="Arial" w:cs="Arial"/>
        </w:rPr>
        <w:t xml:space="preserve"> Targi </w:t>
      </w:r>
      <w:proofErr w:type="spellStart"/>
      <w:r w:rsidR="00E54725" w:rsidRPr="00925BCD">
        <w:rPr>
          <w:rFonts w:ascii="Arial" w:hAnsi="Arial" w:cs="Arial"/>
        </w:rPr>
        <w:t>Polagra</w:t>
      </w:r>
      <w:proofErr w:type="spellEnd"/>
      <w:r w:rsidR="00E54725" w:rsidRPr="00925BCD">
        <w:rPr>
          <w:rFonts w:ascii="Arial" w:hAnsi="Arial" w:cs="Arial"/>
        </w:rPr>
        <w:t xml:space="preserve"> Food, 31 września – 1 październik 2019 r.</w:t>
      </w:r>
    </w:p>
    <w:p w14:paraId="5F9FF6DE" w14:textId="3AE2F49F" w:rsidR="000C04FF" w:rsidRDefault="000C04FF" w:rsidP="009D21DC">
      <w:pPr>
        <w:pStyle w:val="NormalnyWeb"/>
        <w:tabs>
          <w:tab w:val="left" w:pos="284"/>
        </w:tabs>
        <w:spacing w:beforeAutospacing="0" w:after="120" w:afterAutospacing="0" w:line="360" w:lineRule="auto"/>
        <w:ind w:firstLine="284"/>
        <w:jc w:val="both"/>
        <w:rPr>
          <w:rFonts w:ascii="Arial" w:hAnsi="Arial" w:cs="Arial"/>
        </w:rPr>
      </w:pPr>
      <w:bookmarkStart w:id="54" w:name="_Hlk123034718"/>
      <w:r w:rsidRPr="009D21DC">
        <w:rPr>
          <w:rFonts w:ascii="Arial" w:hAnsi="Arial" w:cs="Arial"/>
          <w:b/>
          <w:bCs/>
        </w:rPr>
        <w:t>W 2020 r.</w:t>
      </w:r>
      <w:r w:rsidRPr="00E0318F">
        <w:rPr>
          <w:rFonts w:ascii="Arial" w:hAnsi="Arial" w:cs="Arial"/>
        </w:rPr>
        <w:t xml:space="preserve"> </w:t>
      </w:r>
      <w:bookmarkEnd w:id="54"/>
      <w:r w:rsidRPr="00E0318F">
        <w:rPr>
          <w:rFonts w:ascii="Arial" w:hAnsi="Arial" w:cs="Arial"/>
        </w:rPr>
        <w:t>były to m.in. XXIX Krajowa Wystawa Rolnicza w Częstochowie, Dni Pola w Boguchwale czy Wystawa Ogrodniczo-Pszczelarska w Barzkowicach. Ze względu na sytuację epidemiologiczną w</w:t>
      </w:r>
      <w:r w:rsidR="002F734A">
        <w:rPr>
          <w:rFonts w:ascii="Arial" w:hAnsi="Arial" w:cs="Arial"/>
        </w:rPr>
        <w:t> </w:t>
      </w:r>
      <w:r w:rsidRPr="00E0318F">
        <w:rPr>
          <w:rFonts w:ascii="Arial" w:hAnsi="Arial" w:cs="Arial"/>
        </w:rPr>
        <w:t xml:space="preserve">2020 r. zwiększono publikowanie i udostępnianie w prasie rolniczej, stacjach radiowych oraz mediach społecznościowych materiałów: ulotek, plakatów, treści broszur dotyczących ograniczania przekroczeń norm pozostałości środków ochrony roślin w żywności oraz ochrony zapylaczy. </w:t>
      </w:r>
    </w:p>
    <w:p w14:paraId="5811CE31" w14:textId="5996525F" w:rsidR="00EB0D9F" w:rsidRPr="00EB0D9F" w:rsidRDefault="00841163" w:rsidP="00EB0D9F">
      <w:pPr>
        <w:pStyle w:val="NormalnyWeb"/>
        <w:tabs>
          <w:tab w:val="left" w:pos="284"/>
        </w:tabs>
        <w:spacing w:after="120" w:line="360" w:lineRule="auto"/>
        <w:ind w:firstLine="284"/>
        <w:jc w:val="both"/>
        <w:rPr>
          <w:rFonts w:ascii="Arial" w:hAnsi="Arial" w:cs="Arial"/>
        </w:rPr>
      </w:pPr>
      <w:r w:rsidRPr="009D21DC">
        <w:rPr>
          <w:rFonts w:ascii="Arial" w:hAnsi="Arial" w:cs="Arial"/>
          <w:b/>
          <w:bCs/>
        </w:rPr>
        <w:t>W 2021 r.</w:t>
      </w:r>
      <w:r w:rsidR="009D21DC">
        <w:rPr>
          <w:rFonts w:ascii="Arial" w:hAnsi="Arial" w:cs="Arial"/>
          <w:b/>
          <w:bCs/>
        </w:rPr>
        <w:t xml:space="preserve"> </w:t>
      </w:r>
      <w:r w:rsidR="009D21DC">
        <w:rPr>
          <w:rFonts w:ascii="Arial" w:hAnsi="Arial" w:cs="Arial"/>
        </w:rPr>
        <w:t>w ramach</w:t>
      </w:r>
      <w:r w:rsidR="009D21DC" w:rsidRPr="00925BCD">
        <w:rPr>
          <w:rFonts w:ascii="Arial" w:hAnsi="Arial" w:cs="Arial"/>
        </w:rPr>
        <w:t xml:space="preserve"> upowszechnia</w:t>
      </w:r>
      <w:r w:rsidR="009D21DC">
        <w:rPr>
          <w:rFonts w:ascii="Arial" w:hAnsi="Arial" w:cs="Arial"/>
        </w:rPr>
        <w:t xml:space="preserve">nia </w:t>
      </w:r>
      <w:r w:rsidR="009D21DC" w:rsidRPr="00925BCD">
        <w:rPr>
          <w:rFonts w:ascii="Arial" w:hAnsi="Arial" w:cs="Arial"/>
        </w:rPr>
        <w:t>wiedz</w:t>
      </w:r>
      <w:r w:rsidR="009D21DC">
        <w:rPr>
          <w:rFonts w:ascii="Arial" w:hAnsi="Arial" w:cs="Arial"/>
        </w:rPr>
        <w:t>y</w:t>
      </w:r>
      <w:r w:rsidR="009D21DC" w:rsidRPr="00925BCD">
        <w:rPr>
          <w:rFonts w:ascii="Arial" w:hAnsi="Arial" w:cs="Arial"/>
        </w:rPr>
        <w:t xml:space="preserve"> z zakresu integrowanej ochrony roślin</w:t>
      </w:r>
      <w:r w:rsidR="00FD164C">
        <w:rPr>
          <w:rFonts w:ascii="Arial" w:hAnsi="Arial" w:cs="Arial"/>
        </w:rPr>
        <w:t xml:space="preserve"> </w:t>
      </w:r>
      <w:r w:rsidR="00FD164C" w:rsidRPr="00FD164C">
        <w:rPr>
          <w:rFonts w:ascii="Arial" w:hAnsi="Arial" w:cs="Arial"/>
        </w:rPr>
        <w:t>Instytut Ochrony Roślin – PIB</w:t>
      </w:r>
      <w:r w:rsidR="00EB0D9F">
        <w:rPr>
          <w:rFonts w:ascii="Arial" w:hAnsi="Arial" w:cs="Arial"/>
        </w:rPr>
        <w:t xml:space="preserve"> </w:t>
      </w:r>
      <w:r w:rsidR="007531CD">
        <w:rPr>
          <w:rFonts w:ascii="Arial" w:hAnsi="Arial" w:cs="Arial"/>
        </w:rPr>
        <w:t xml:space="preserve">udzielił </w:t>
      </w:r>
      <w:r w:rsidR="00EB0D9F" w:rsidRPr="00EB0D9F">
        <w:rPr>
          <w:rFonts w:ascii="Arial" w:hAnsi="Arial" w:cs="Arial"/>
        </w:rPr>
        <w:t xml:space="preserve">wywiadu radiowego „Innowacyjna Platforma Sygnalizacji Agrofagów”, Radio Poznań, 18.05.2021, </w:t>
      </w:r>
      <w:hyperlink r:id="rId19" w:history="1">
        <w:r w:rsidR="00C922F5" w:rsidRPr="00D62A13">
          <w:rPr>
            <w:rStyle w:val="Hipercze"/>
            <w:rFonts w:ascii="Arial" w:hAnsi="Arial" w:cs="Arial"/>
          </w:rPr>
          <w:t>https://radiopoznan.fm/audycja/berwinskiego-5/berwinskiego-5-profesor-dr-hab-anna-tratwal</w:t>
        </w:r>
      </w:hyperlink>
      <w:r w:rsidR="00EB0D9F" w:rsidRPr="00EB0D9F">
        <w:rPr>
          <w:rFonts w:ascii="Arial" w:hAnsi="Arial" w:cs="Arial"/>
        </w:rPr>
        <w:t>,</w:t>
      </w:r>
      <w:r w:rsidR="00C922F5">
        <w:rPr>
          <w:rFonts w:ascii="Arial" w:hAnsi="Arial" w:cs="Arial"/>
        </w:rPr>
        <w:t xml:space="preserve"> </w:t>
      </w:r>
      <w:r w:rsidR="00D97C44">
        <w:rPr>
          <w:rFonts w:ascii="Arial" w:hAnsi="Arial" w:cs="Arial"/>
        </w:rPr>
        <w:t xml:space="preserve">oraz </w:t>
      </w:r>
      <w:r w:rsidR="00ED17AC" w:rsidRPr="00ED17AC">
        <w:rPr>
          <w:rFonts w:ascii="Arial" w:hAnsi="Arial" w:cs="Arial"/>
        </w:rPr>
        <w:t xml:space="preserve">przekazywał zainteresowanym ulotki, plakaty jak również inne materiały informacyjne </w:t>
      </w:r>
      <w:r w:rsidR="00ED17AC">
        <w:rPr>
          <w:rFonts w:ascii="Arial" w:hAnsi="Arial" w:cs="Arial"/>
        </w:rPr>
        <w:t xml:space="preserve">podczas </w:t>
      </w:r>
      <w:r w:rsidR="00EB0D9F" w:rsidRPr="00EB0D9F">
        <w:rPr>
          <w:rFonts w:ascii="Arial" w:hAnsi="Arial" w:cs="Arial"/>
        </w:rPr>
        <w:t>Dnia Pola w Polowej Stacji Doświadczalnej IOR – PIB w Winnej Górze, 01.06.2021</w:t>
      </w:r>
      <w:r w:rsidR="00394EC7">
        <w:rPr>
          <w:rFonts w:ascii="Arial" w:hAnsi="Arial" w:cs="Arial"/>
        </w:rPr>
        <w:t xml:space="preserve"> oraz </w:t>
      </w:r>
      <w:r w:rsidR="00EB0D9F" w:rsidRPr="00EB0D9F">
        <w:rPr>
          <w:rFonts w:ascii="Arial" w:hAnsi="Arial" w:cs="Arial"/>
        </w:rPr>
        <w:t>Krajowych Dniach Pola w Minikowie, 19-29.-6.2021.</w:t>
      </w:r>
    </w:p>
    <w:p w14:paraId="53E299E5"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Szkolenia w zakresie upowszechniania wiedzy z zakresu integrowanej ochrony roślin prowadzone były również przez </w:t>
      </w:r>
      <w:r w:rsidRPr="00925BCD">
        <w:rPr>
          <w:rFonts w:ascii="Arial" w:hAnsi="Arial" w:cs="Arial"/>
          <w:b/>
        </w:rPr>
        <w:t>Centrum Doradztwa Rolniczego</w:t>
      </w:r>
      <w:r w:rsidRPr="00925BCD">
        <w:rPr>
          <w:rFonts w:ascii="Arial" w:hAnsi="Arial" w:cs="Arial"/>
        </w:rPr>
        <w:t xml:space="preserve">. </w:t>
      </w:r>
      <w:r w:rsidRPr="0069021B">
        <w:rPr>
          <w:rFonts w:ascii="Arial" w:hAnsi="Arial" w:cs="Arial"/>
          <w:b/>
          <w:bCs/>
        </w:rPr>
        <w:t>W 2018 r.</w:t>
      </w:r>
      <w:r w:rsidRPr="00925BCD">
        <w:rPr>
          <w:rFonts w:ascii="Arial" w:hAnsi="Arial" w:cs="Arial"/>
        </w:rPr>
        <w:t xml:space="preserve"> zorganizowano dla pracowników jednostek doradztwa rolniczego, izb rolniczych oraz nauczycieli szkól rolniczych szkolenia, w których uczestniczyły 193 osoby. Tematyka szkoleń obejmowała:</w:t>
      </w:r>
    </w:p>
    <w:p w14:paraId="3736D77C" w14:textId="77777777" w:rsidR="00056846" w:rsidRPr="00925BCD" w:rsidRDefault="00E54725" w:rsidP="004A1341">
      <w:pPr>
        <w:pStyle w:val="NormalnyWeb"/>
        <w:numPr>
          <w:ilvl w:val="0"/>
          <w:numId w:val="23"/>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Bezpieczne stosowanie środków ochrony roślin w celu ochrony wody przed zanieczyszczeniem w świetle obowiązujących przepisów i zgodnie z zasadami Dobrej Praktyki,</w:t>
      </w:r>
    </w:p>
    <w:p w14:paraId="4DF57C19" w14:textId="77777777" w:rsidR="00056846" w:rsidRPr="00925BCD" w:rsidRDefault="00E54725"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Rolnictwo precyzyjne w aspekcie stosowania zasad integrowanej ochrony i zrównoważonego nawożenia roślin,</w:t>
      </w:r>
    </w:p>
    <w:p w14:paraId="5DA6B2EE" w14:textId="77777777" w:rsidR="00056846" w:rsidRPr="00925BCD" w:rsidRDefault="00E54725" w:rsidP="004A1341">
      <w:pPr>
        <w:pStyle w:val="NormalnyWeb"/>
        <w:numPr>
          <w:ilvl w:val="0"/>
          <w:numId w:val="23"/>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Rozpoznawanie agrofagów w uprawach rolniczych.</w:t>
      </w:r>
    </w:p>
    <w:p w14:paraId="32C9726F" w14:textId="77777777" w:rsidR="00F27DD8" w:rsidRDefault="00F27DD8" w:rsidP="004A1341">
      <w:pPr>
        <w:pStyle w:val="NormalnyWeb"/>
        <w:tabs>
          <w:tab w:val="left" w:pos="284"/>
        </w:tabs>
        <w:spacing w:beforeAutospacing="0" w:after="120" w:afterAutospacing="0" w:line="360" w:lineRule="auto"/>
        <w:jc w:val="both"/>
        <w:rPr>
          <w:rFonts w:ascii="Arial" w:hAnsi="Arial" w:cs="Arial"/>
          <w:b/>
          <w:bCs/>
        </w:rPr>
      </w:pPr>
    </w:p>
    <w:p w14:paraId="5F2B4B38" w14:textId="296214EC" w:rsidR="004F4FF3" w:rsidRPr="00925BCD" w:rsidRDefault="004F4FF3" w:rsidP="004A1341">
      <w:pPr>
        <w:pStyle w:val="NormalnyWeb"/>
        <w:tabs>
          <w:tab w:val="left" w:pos="284"/>
        </w:tabs>
        <w:spacing w:beforeAutospacing="0" w:after="120" w:afterAutospacing="0" w:line="360" w:lineRule="auto"/>
        <w:jc w:val="both"/>
        <w:rPr>
          <w:rFonts w:ascii="Arial" w:hAnsi="Arial" w:cs="Arial"/>
        </w:rPr>
      </w:pPr>
      <w:r w:rsidRPr="005D5A17">
        <w:rPr>
          <w:rFonts w:ascii="Arial" w:hAnsi="Arial" w:cs="Arial"/>
          <w:b/>
          <w:bCs/>
        </w:rPr>
        <w:lastRenderedPageBreak/>
        <w:t>W 2019 r</w:t>
      </w:r>
      <w:r w:rsidR="005702B0" w:rsidRPr="005D5A17">
        <w:rPr>
          <w:rFonts w:ascii="Arial" w:hAnsi="Arial" w:cs="Arial"/>
          <w:b/>
          <w:bCs/>
        </w:rPr>
        <w:t>.</w:t>
      </w:r>
      <w:r w:rsidRPr="00B26309">
        <w:rPr>
          <w:rFonts w:ascii="Arial" w:hAnsi="Arial" w:cs="Arial"/>
        </w:rPr>
        <w:t xml:space="preserve"> Centrum Doradztwa Rolniczego w Brwinowie przeprowadziło cztery szkolenia:</w:t>
      </w:r>
    </w:p>
    <w:p w14:paraId="1AF19FBA" w14:textId="77777777" w:rsidR="004F4FF3" w:rsidRPr="00925BCD"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Rozpoznawanie chorób i szkodników w uprawach sadowniczych, w którym wzięło udział 25</w:t>
      </w:r>
      <w:r w:rsidR="00CA7701" w:rsidRPr="00925BCD">
        <w:rPr>
          <w:rFonts w:ascii="Arial" w:hAnsi="Arial" w:cs="Arial"/>
        </w:rPr>
        <w:t> </w:t>
      </w:r>
      <w:r w:rsidRPr="00925BCD">
        <w:rPr>
          <w:rFonts w:ascii="Arial" w:hAnsi="Arial" w:cs="Arial"/>
        </w:rPr>
        <w:t>osób</w:t>
      </w:r>
      <w:r w:rsidR="005702B0" w:rsidRPr="00925BCD">
        <w:rPr>
          <w:rFonts w:ascii="Arial" w:hAnsi="Arial" w:cs="Arial"/>
        </w:rPr>
        <w:t>,</w:t>
      </w:r>
    </w:p>
    <w:p w14:paraId="42896A21" w14:textId="77777777" w:rsidR="004F4FF3" w:rsidRPr="00925BCD"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Rozpoznawanie agrofagów w uprawach rolniczych, w którym wzięło udział 40 osób</w:t>
      </w:r>
      <w:r w:rsidR="005702B0" w:rsidRPr="00925BCD">
        <w:rPr>
          <w:rFonts w:ascii="Arial" w:hAnsi="Arial" w:cs="Arial"/>
        </w:rPr>
        <w:t>,</w:t>
      </w:r>
    </w:p>
    <w:p w14:paraId="2CB93960" w14:textId="77777777" w:rsidR="004F4FF3" w:rsidRPr="00925BCD"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Integrowana ochrona roślin - nowe rozwiązania, w którym wzięło udział 25 osób</w:t>
      </w:r>
      <w:r w:rsidR="005702B0" w:rsidRPr="00925BCD">
        <w:rPr>
          <w:rFonts w:ascii="Arial" w:hAnsi="Arial" w:cs="Arial"/>
        </w:rPr>
        <w:t>,</w:t>
      </w:r>
    </w:p>
    <w:p w14:paraId="3908855F" w14:textId="77777777" w:rsidR="000E5C3A"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Szkolenie dla specjalistów ds. ochrony roślin z wojewódzkich ośrodków doradztwa rolniczego, w którym wzięło udział 13 osób. Podczas szkolenia omawiano zagadnienia</w:t>
      </w:r>
      <w:r w:rsidR="005702B0" w:rsidRPr="00925BCD">
        <w:rPr>
          <w:rFonts w:ascii="Arial" w:hAnsi="Arial" w:cs="Arial"/>
        </w:rPr>
        <w:t xml:space="preserve"> </w:t>
      </w:r>
      <w:r w:rsidRPr="00925BCD">
        <w:rPr>
          <w:rFonts w:ascii="Arial" w:hAnsi="Arial" w:cs="Arial"/>
        </w:rPr>
        <w:t xml:space="preserve">dotyczące </w:t>
      </w:r>
      <w:r w:rsidR="005702B0" w:rsidRPr="00925BCD">
        <w:rPr>
          <w:rFonts w:ascii="Arial" w:hAnsi="Arial" w:cs="Arial"/>
        </w:rPr>
        <w:t>m. in. p</w:t>
      </w:r>
      <w:r w:rsidRPr="00925BCD">
        <w:rPr>
          <w:rFonts w:ascii="Arial" w:hAnsi="Arial" w:cs="Arial"/>
        </w:rPr>
        <w:t>rzyczyn</w:t>
      </w:r>
      <w:r w:rsidR="005702B0" w:rsidRPr="00925BCD">
        <w:rPr>
          <w:rFonts w:ascii="Arial" w:hAnsi="Arial" w:cs="Arial"/>
        </w:rPr>
        <w:t xml:space="preserve"> </w:t>
      </w:r>
      <w:r w:rsidRPr="00925BCD">
        <w:rPr>
          <w:rFonts w:ascii="Arial" w:hAnsi="Arial" w:cs="Arial"/>
        </w:rPr>
        <w:t>powstawania</w:t>
      </w:r>
      <w:r w:rsidR="005702B0" w:rsidRPr="00925BCD">
        <w:rPr>
          <w:rFonts w:ascii="Arial" w:hAnsi="Arial" w:cs="Arial"/>
        </w:rPr>
        <w:t xml:space="preserve"> </w:t>
      </w:r>
      <w:r w:rsidRPr="00925BCD">
        <w:rPr>
          <w:rFonts w:ascii="Arial" w:hAnsi="Arial" w:cs="Arial"/>
        </w:rPr>
        <w:t>odporności, oraz ogólne procedury przeciwdziałania chwastom odpornym na herbicydy</w:t>
      </w:r>
      <w:r w:rsidR="000E5C3A">
        <w:rPr>
          <w:rFonts w:ascii="Arial" w:hAnsi="Arial" w:cs="Arial"/>
        </w:rPr>
        <w:t>,</w:t>
      </w:r>
    </w:p>
    <w:p w14:paraId="16C6E2DD" w14:textId="321E58BC" w:rsidR="00E330CC" w:rsidRDefault="000E5C3A" w:rsidP="000E5C3A">
      <w:pPr>
        <w:pStyle w:val="NormalnyWeb"/>
        <w:tabs>
          <w:tab w:val="left" w:pos="284"/>
        </w:tabs>
        <w:spacing w:beforeAutospacing="0" w:after="120" w:afterAutospacing="0" w:line="360" w:lineRule="auto"/>
        <w:jc w:val="both"/>
        <w:rPr>
          <w:rFonts w:ascii="Arial" w:hAnsi="Arial" w:cs="Arial"/>
        </w:rPr>
      </w:pPr>
      <w:r>
        <w:rPr>
          <w:rFonts w:ascii="Arial" w:hAnsi="Arial" w:cs="Arial"/>
        </w:rPr>
        <w:t xml:space="preserve">natomiast </w:t>
      </w:r>
      <w:r w:rsidRPr="00A65410">
        <w:rPr>
          <w:rFonts w:ascii="Arial" w:hAnsi="Arial" w:cs="Arial"/>
          <w:b/>
          <w:bCs/>
        </w:rPr>
        <w:t>w 202</w:t>
      </w:r>
      <w:r w:rsidR="00C629A7">
        <w:rPr>
          <w:rFonts w:ascii="Arial" w:hAnsi="Arial" w:cs="Arial"/>
          <w:b/>
          <w:bCs/>
        </w:rPr>
        <w:t>0</w:t>
      </w:r>
      <w:r w:rsidR="00E330CC" w:rsidRPr="00A65410">
        <w:rPr>
          <w:rFonts w:ascii="Arial" w:hAnsi="Arial" w:cs="Arial"/>
          <w:b/>
          <w:bCs/>
        </w:rPr>
        <w:t xml:space="preserve"> r.</w:t>
      </w:r>
      <w:r w:rsidR="00E330CC">
        <w:rPr>
          <w:rFonts w:ascii="Arial" w:hAnsi="Arial" w:cs="Arial"/>
        </w:rPr>
        <w:t xml:space="preserve"> dwa:</w:t>
      </w:r>
    </w:p>
    <w:p w14:paraId="49F0D135" w14:textId="67CEA9FD" w:rsidR="00B91AA7" w:rsidRPr="00E83896" w:rsidRDefault="00B91AA7" w:rsidP="00F06EA2">
      <w:pPr>
        <w:pStyle w:val="NormalnyWeb"/>
        <w:numPr>
          <w:ilvl w:val="0"/>
          <w:numId w:val="23"/>
        </w:numPr>
        <w:tabs>
          <w:tab w:val="left" w:pos="284"/>
        </w:tabs>
        <w:spacing w:beforeAutospacing="0" w:after="120" w:afterAutospacing="0" w:line="360" w:lineRule="auto"/>
        <w:jc w:val="both"/>
        <w:rPr>
          <w:rFonts w:ascii="Arial" w:hAnsi="Arial" w:cs="Arial"/>
        </w:rPr>
      </w:pPr>
      <w:r w:rsidRPr="00E83896">
        <w:rPr>
          <w:rFonts w:ascii="Arial" w:hAnsi="Arial" w:cs="Arial"/>
        </w:rPr>
        <w:t xml:space="preserve">Ochrona roślin w gospodarstwie ekologicznym </w:t>
      </w:r>
      <w:r w:rsidR="00F06EA2" w:rsidRPr="00E83896">
        <w:rPr>
          <w:rFonts w:ascii="Arial" w:hAnsi="Arial" w:cs="Arial"/>
        </w:rPr>
        <w:t>(</w:t>
      </w:r>
      <w:r w:rsidRPr="00E83896">
        <w:rPr>
          <w:rFonts w:ascii="Arial" w:hAnsi="Arial" w:cs="Arial"/>
        </w:rPr>
        <w:t>dla 85 osób</w:t>
      </w:r>
      <w:r w:rsidR="00F06EA2" w:rsidRPr="00E83896">
        <w:rPr>
          <w:rFonts w:ascii="Arial" w:hAnsi="Arial" w:cs="Arial"/>
        </w:rPr>
        <w:t>),</w:t>
      </w:r>
      <w:r w:rsidRPr="00E83896">
        <w:rPr>
          <w:rFonts w:ascii="Arial" w:hAnsi="Arial" w:cs="Arial"/>
        </w:rPr>
        <w:t xml:space="preserve"> </w:t>
      </w:r>
    </w:p>
    <w:p w14:paraId="58DAD2FE" w14:textId="0BE9135E" w:rsidR="004F4FF3" w:rsidRPr="00E83896" w:rsidRDefault="00B91AA7" w:rsidP="00F06EA2">
      <w:pPr>
        <w:pStyle w:val="NormalnyWeb"/>
        <w:numPr>
          <w:ilvl w:val="0"/>
          <w:numId w:val="23"/>
        </w:numPr>
        <w:tabs>
          <w:tab w:val="left" w:pos="284"/>
        </w:tabs>
        <w:spacing w:beforeAutospacing="0" w:after="120" w:afterAutospacing="0" w:line="360" w:lineRule="auto"/>
        <w:jc w:val="both"/>
        <w:rPr>
          <w:rFonts w:ascii="Arial" w:hAnsi="Arial" w:cs="Arial"/>
        </w:rPr>
      </w:pPr>
      <w:r w:rsidRPr="00E83896">
        <w:rPr>
          <w:rFonts w:ascii="Arial" w:hAnsi="Arial" w:cs="Arial"/>
        </w:rPr>
        <w:t>Integrowana Ochrona Roślin (9 szkoleń dla 193 osób) realizowane w ramach projektu ARiMR</w:t>
      </w:r>
      <w:r w:rsidR="00181C94" w:rsidRPr="00E83896">
        <w:rPr>
          <w:rFonts w:ascii="Arial" w:hAnsi="Arial" w:cs="Arial"/>
        </w:rPr>
        <w:t>,</w:t>
      </w:r>
    </w:p>
    <w:p w14:paraId="07077D3B" w14:textId="22456C3B" w:rsidR="000E28C9" w:rsidRPr="00E83896" w:rsidRDefault="008F2AD9" w:rsidP="000E28C9">
      <w:pPr>
        <w:pStyle w:val="NormalnyWeb"/>
        <w:tabs>
          <w:tab w:val="left" w:pos="284"/>
        </w:tabs>
        <w:spacing w:beforeAutospacing="0" w:after="120" w:afterAutospacing="0" w:line="360" w:lineRule="auto"/>
        <w:jc w:val="both"/>
        <w:rPr>
          <w:rFonts w:ascii="Arial" w:hAnsi="Arial" w:cs="Arial"/>
        </w:rPr>
      </w:pPr>
      <w:r w:rsidRPr="00E83896">
        <w:rPr>
          <w:rFonts w:ascii="Arial" w:hAnsi="Arial" w:cs="Arial"/>
        </w:rPr>
        <w:t>i</w:t>
      </w:r>
      <w:r w:rsidR="000E28C9" w:rsidRPr="00E83896">
        <w:rPr>
          <w:rFonts w:ascii="Arial" w:hAnsi="Arial" w:cs="Arial"/>
        </w:rPr>
        <w:t xml:space="preserve"> </w:t>
      </w:r>
      <w:r w:rsidR="000E28C9" w:rsidRPr="00E83896">
        <w:rPr>
          <w:rFonts w:ascii="Arial" w:hAnsi="Arial" w:cs="Arial"/>
          <w:b/>
          <w:bCs/>
        </w:rPr>
        <w:t>w 2021 r.</w:t>
      </w:r>
      <w:r w:rsidR="000E28C9" w:rsidRPr="00E83896">
        <w:rPr>
          <w:rFonts w:ascii="Arial" w:hAnsi="Arial" w:cs="Arial"/>
        </w:rPr>
        <w:t xml:space="preserve"> </w:t>
      </w:r>
      <w:r w:rsidRPr="00E83896">
        <w:rPr>
          <w:rFonts w:ascii="Arial" w:hAnsi="Arial" w:cs="Arial"/>
        </w:rPr>
        <w:t>również dwa</w:t>
      </w:r>
      <w:r w:rsidR="000E28C9" w:rsidRPr="00E83896">
        <w:rPr>
          <w:rFonts w:ascii="Arial" w:hAnsi="Arial" w:cs="Arial"/>
        </w:rPr>
        <w:t>:</w:t>
      </w:r>
    </w:p>
    <w:p w14:paraId="6C124A2F" w14:textId="7543DF83" w:rsidR="000E28C9" w:rsidRPr="00E83896" w:rsidRDefault="000E28C9" w:rsidP="008F2AD9">
      <w:pPr>
        <w:pStyle w:val="NormalnyWeb"/>
        <w:numPr>
          <w:ilvl w:val="0"/>
          <w:numId w:val="23"/>
        </w:numPr>
        <w:tabs>
          <w:tab w:val="left" w:pos="284"/>
        </w:tabs>
        <w:spacing w:beforeAutospacing="0" w:after="120" w:afterAutospacing="0" w:line="360" w:lineRule="auto"/>
        <w:jc w:val="both"/>
        <w:rPr>
          <w:rFonts w:ascii="Arial" w:hAnsi="Arial" w:cs="Arial"/>
        </w:rPr>
      </w:pPr>
      <w:r w:rsidRPr="00E83896">
        <w:rPr>
          <w:rFonts w:ascii="Arial" w:hAnsi="Arial" w:cs="Arial"/>
        </w:rPr>
        <w:t>Integrowana Ochrona Roślin (13 szkoleń dla 290 osób) realizowane w ramach projektu ARiMR</w:t>
      </w:r>
      <w:r w:rsidR="00773E76" w:rsidRPr="00E83896">
        <w:rPr>
          <w:rFonts w:ascii="Arial" w:hAnsi="Arial" w:cs="Arial"/>
        </w:rPr>
        <w:t>,</w:t>
      </w:r>
    </w:p>
    <w:p w14:paraId="14B4E14A" w14:textId="59DCEAE6" w:rsidR="000E28C9" w:rsidRPr="00E83896" w:rsidRDefault="000E28C9" w:rsidP="00773E76">
      <w:pPr>
        <w:pStyle w:val="NormalnyWeb"/>
        <w:numPr>
          <w:ilvl w:val="0"/>
          <w:numId w:val="23"/>
        </w:numPr>
        <w:tabs>
          <w:tab w:val="left" w:pos="284"/>
        </w:tabs>
        <w:spacing w:beforeAutospacing="0" w:after="120" w:afterAutospacing="0" w:line="360" w:lineRule="auto"/>
        <w:jc w:val="both"/>
        <w:rPr>
          <w:rFonts w:ascii="Arial" w:hAnsi="Arial" w:cs="Arial"/>
        </w:rPr>
      </w:pPr>
      <w:r w:rsidRPr="00E83896">
        <w:rPr>
          <w:rFonts w:ascii="Arial" w:hAnsi="Arial" w:cs="Arial"/>
        </w:rPr>
        <w:t>Rozpoznawanie agrofagów w uprawach rolniczych (</w:t>
      </w:r>
      <w:r w:rsidR="00450399" w:rsidRPr="00E83896">
        <w:rPr>
          <w:rFonts w:ascii="Arial" w:hAnsi="Arial" w:cs="Arial"/>
        </w:rPr>
        <w:t xml:space="preserve">dla </w:t>
      </w:r>
      <w:r w:rsidRPr="00E83896">
        <w:rPr>
          <w:rFonts w:ascii="Arial" w:hAnsi="Arial" w:cs="Arial"/>
        </w:rPr>
        <w:t>16 osób).</w:t>
      </w:r>
    </w:p>
    <w:p w14:paraId="5DDD402D" w14:textId="3421B650"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A65410">
        <w:rPr>
          <w:rFonts w:ascii="Arial" w:hAnsi="Arial" w:cs="Arial"/>
        </w:rPr>
        <w:t>Szczegóły działalności prowadzonej przez</w:t>
      </w:r>
      <w:r w:rsidRPr="00A65410">
        <w:t xml:space="preserve"> </w:t>
      </w:r>
      <w:r w:rsidRPr="00A65410">
        <w:rPr>
          <w:rFonts w:ascii="Arial" w:hAnsi="Arial" w:cs="Arial"/>
        </w:rPr>
        <w:t xml:space="preserve">Centrum Doradztwa Rolniczego przedstawione zostały w opisie Działania 10, Zadania 9 KPD. </w:t>
      </w:r>
    </w:p>
    <w:p w14:paraId="0BF3D964" w14:textId="7703674A" w:rsidR="00056846" w:rsidRPr="00925BCD" w:rsidRDefault="00E83AAF" w:rsidP="004A1341">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K</w:t>
      </w:r>
      <w:r w:rsidRPr="00925BCD">
        <w:rPr>
          <w:rFonts w:ascii="Arial" w:hAnsi="Arial" w:cs="Arial"/>
        </w:rPr>
        <w:t xml:space="preserve">onferencje </w:t>
      </w:r>
      <w:r>
        <w:rPr>
          <w:rFonts w:ascii="Arial" w:hAnsi="Arial" w:cs="Arial"/>
        </w:rPr>
        <w:t>i s</w:t>
      </w:r>
      <w:r w:rsidR="00E54725" w:rsidRPr="00925BCD">
        <w:rPr>
          <w:rFonts w:ascii="Arial" w:hAnsi="Arial" w:cs="Arial"/>
        </w:rPr>
        <w:t xml:space="preserve">zkolenia promujące wiedzę z zakresu integrowanej ochrony roślin prowadził także </w:t>
      </w:r>
      <w:r w:rsidR="00E54725" w:rsidRPr="00925BCD">
        <w:rPr>
          <w:rFonts w:ascii="Arial" w:hAnsi="Arial" w:cs="Arial"/>
          <w:b/>
        </w:rPr>
        <w:t>Instytut Ogrodnictwa</w:t>
      </w:r>
      <w:r w:rsidRPr="00925BCD">
        <w:rPr>
          <w:rFonts w:ascii="Arial" w:hAnsi="Arial" w:cs="Arial"/>
          <w:b/>
        </w:rPr>
        <w:t xml:space="preserve"> – PIB</w:t>
      </w:r>
      <w:r w:rsidR="00E54725" w:rsidRPr="00925BCD">
        <w:rPr>
          <w:rFonts w:ascii="Arial" w:hAnsi="Arial" w:cs="Arial"/>
        </w:rPr>
        <w:t xml:space="preserve">. </w:t>
      </w:r>
      <w:r w:rsidR="000B7589" w:rsidRPr="005D5A17">
        <w:rPr>
          <w:rFonts w:ascii="Arial" w:hAnsi="Arial" w:cs="Arial"/>
          <w:b/>
          <w:bCs/>
        </w:rPr>
        <w:t>W 2</w:t>
      </w:r>
      <w:r w:rsidR="000B7589" w:rsidRPr="00925BCD">
        <w:rPr>
          <w:rFonts w:ascii="Arial" w:hAnsi="Arial" w:cs="Arial"/>
          <w:b/>
        </w:rPr>
        <w:t>018 r.</w:t>
      </w:r>
      <w:r w:rsidR="000B7589" w:rsidRPr="00925BCD">
        <w:rPr>
          <w:rFonts w:ascii="Arial" w:hAnsi="Arial" w:cs="Arial"/>
        </w:rPr>
        <w:t xml:space="preserve"> </w:t>
      </w:r>
      <w:r w:rsidR="005D5A17">
        <w:rPr>
          <w:rFonts w:ascii="Arial" w:hAnsi="Arial" w:cs="Arial"/>
        </w:rPr>
        <w:t xml:space="preserve">było to </w:t>
      </w:r>
      <w:r w:rsidR="00E54725" w:rsidRPr="00925BCD">
        <w:rPr>
          <w:rFonts w:ascii="Arial" w:hAnsi="Arial" w:cs="Arial"/>
        </w:rPr>
        <w:t xml:space="preserve">17 wydarzeń o zasięgu ogólnopolskim (w tym. Targi Sadownictwa i Warzywnictwa, Międzynarodowe Targi Agrotechniki Sadowniczej – </w:t>
      </w:r>
      <w:proofErr w:type="spellStart"/>
      <w:r w:rsidR="00E54725" w:rsidRPr="00925BCD">
        <w:rPr>
          <w:rFonts w:ascii="Arial" w:hAnsi="Arial" w:cs="Arial"/>
        </w:rPr>
        <w:t>FruitPro</w:t>
      </w:r>
      <w:proofErr w:type="spellEnd"/>
      <w:r w:rsidR="00E54725" w:rsidRPr="00925BCD">
        <w:rPr>
          <w:rFonts w:ascii="Arial" w:hAnsi="Arial" w:cs="Arial"/>
        </w:rPr>
        <w:t xml:space="preserve"> 2018, Targi Ogrodnictwa i Architektury Krajobrazu Green </w:t>
      </w:r>
      <w:proofErr w:type="spellStart"/>
      <w:r w:rsidR="00E54725" w:rsidRPr="00925BCD">
        <w:rPr>
          <w:rFonts w:ascii="Arial" w:hAnsi="Arial" w:cs="Arial"/>
        </w:rPr>
        <w:t>Days</w:t>
      </w:r>
      <w:proofErr w:type="spellEnd"/>
      <w:r w:rsidR="00E54725" w:rsidRPr="00925BCD">
        <w:rPr>
          <w:rFonts w:ascii="Arial" w:hAnsi="Arial" w:cs="Arial"/>
        </w:rPr>
        <w:t xml:space="preserve">, Dni Otwartych Drzwi Instytutu Ogrodnictwa, XLI Skierniewickie Święto Kwiatów, Owoców i Warzyw oraz XXI Targi Ogrodniczo-Rolne) odwiedziło </w:t>
      </w:r>
      <w:r w:rsidR="00CE064D" w:rsidRPr="00925BCD">
        <w:rPr>
          <w:rFonts w:ascii="Arial" w:hAnsi="Arial" w:cs="Arial"/>
        </w:rPr>
        <w:t xml:space="preserve">w 2018 r. </w:t>
      </w:r>
      <w:r w:rsidR="00E54725" w:rsidRPr="00925BCD">
        <w:rPr>
          <w:rFonts w:ascii="Arial" w:hAnsi="Arial" w:cs="Arial"/>
        </w:rPr>
        <w:t>ponad 257 tys. osób. Podczas 60. Ogólnopolskiej Konferencji Ochrony Roślin Sadowniczych „Racjonalna ochrona – minimum pozostałości pestycydów” w Skierniewicach (6 – 7.03.2018 r.) wygłoszono 23 referaty oraz przedstawiono 7 posterów tematycznie związanych z hasłem przewodnim konferencji. W spotkaniu tym wzięło udział ok. 600 osób, w tym: sadownicy i producenci roślin jagodowych, pracownicy nauki i doradztwa rolniczego, inspektorzy ochrony roślin oraz przedstawiciele firm pracujących na rzecz sadownictwa oraz studenci.</w:t>
      </w:r>
    </w:p>
    <w:p w14:paraId="24E7790B" w14:textId="7E5972CF" w:rsidR="00F5574F" w:rsidRPr="00925BCD" w:rsidRDefault="0013710C"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 xml:space="preserve">W 2019 r. </w:t>
      </w:r>
      <w:r w:rsidRPr="005D5A17">
        <w:rPr>
          <w:rFonts w:ascii="Arial" w:hAnsi="Arial" w:cs="Arial"/>
          <w:bCs/>
        </w:rPr>
        <w:t xml:space="preserve">Instytut </w:t>
      </w:r>
      <w:r w:rsidRPr="00925BCD">
        <w:rPr>
          <w:rFonts w:ascii="Arial" w:hAnsi="Arial" w:cs="Arial"/>
        </w:rPr>
        <w:t>kontynuował promowanie wiedzy i opracowanych materiałów z zakresu integrowanej ochrony roślin m.in. podczas wydarzeń o zasięgu ogólnopolskim (Targów Sadownictwa i</w:t>
      </w:r>
      <w:r w:rsidR="0081721A">
        <w:rPr>
          <w:rFonts w:ascii="Arial" w:hAnsi="Arial" w:cs="Arial"/>
        </w:rPr>
        <w:t> </w:t>
      </w:r>
      <w:r w:rsidRPr="00925BCD">
        <w:rPr>
          <w:rFonts w:ascii="Arial" w:hAnsi="Arial" w:cs="Arial"/>
        </w:rPr>
        <w:t>Warzywnictwa TSW, 9–10.01.2019 r. w Nadarzynie; Targów Technologii Sadowniczych i</w:t>
      </w:r>
      <w:r w:rsidR="0081721A">
        <w:rPr>
          <w:rFonts w:ascii="Arial" w:hAnsi="Arial" w:cs="Arial"/>
        </w:rPr>
        <w:t> </w:t>
      </w:r>
      <w:r w:rsidRPr="00925BCD">
        <w:rPr>
          <w:rFonts w:ascii="Arial" w:hAnsi="Arial" w:cs="Arial"/>
        </w:rPr>
        <w:t xml:space="preserve">Warzywniczych, Międzynarodowych Targów Agrotechniki Sadowniczej, Konferencji </w:t>
      </w:r>
      <w:proofErr w:type="spellStart"/>
      <w:r w:rsidRPr="00925BCD">
        <w:rPr>
          <w:rFonts w:ascii="Arial" w:hAnsi="Arial" w:cs="Arial"/>
        </w:rPr>
        <w:t>Fruitpro</w:t>
      </w:r>
      <w:proofErr w:type="spellEnd"/>
      <w:r w:rsidRPr="00925BCD">
        <w:rPr>
          <w:rFonts w:ascii="Arial" w:hAnsi="Arial" w:cs="Arial"/>
        </w:rPr>
        <w:t xml:space="preserve">, </w:t>
      </w:r>
      <w:r w:rsidR="00B27CD5">
        <w:rPr>
          <w:rFonts w:ascii="Arial" w:hAnsi="Arial" w:cs="Arial"/>
        </w:rPr>
        <w:br/>
      </w:r>
      <w:r w:rsidRPr="00925BCD">
        <w:rPr>
          <w:rFonts w:ascii="Arial" w:hAnsi="Arial" w:cs="Arial"/>
        </w:rPr>
        <w:t>13–14.02.2019 r. na terenie Targów Kielce; Europejskiego Forum Rolniczego, 1–2.03.2019 r. w</w:t>
      </w:r>
      <w:r w:rsidR="001F2797">
        <w:rPr>
          <w:rFonts w:ascii="Arial" w:hAnsi="Arial" w:cs="Arial"/>
        </w:rPr>
        <w:t> </w:t>
      </w:r>
      <w:r w:rsidRPr="00925BCD">
        <w:rPr>
          <w:rFonts w:ascii="Arial" w:hAnsi="Arial" w:cs="Arial"/>
        </w:rPr>
        <w:t>Jasionce</w:t>
      </w:r>
      <w:r w:rsidR="00710690" w:rsidRPr="00925BCD">
        <w:rPr>
          <w:rFonts w:ascii="Arial" w:hAnsi="Arial" w:cs="Arial"/>
        </w:rPr>
        <w:t> </w:t>
      </w:r>
      <w:r w:rsidRPr="00925BCD">
        <w:rPr>
          <w:rFonts w:ascii="Arial" w:hAnsi="Arial" w:cs="Arial"/>
        </w:rPr>
        <w:t xml:space="preserve">k. Rzeszowa; Międzynarodowych Targów Techniki Rolniczej AGROTECH, </w:t>
      </w:r>
      <w:r w:rsidR="001F2797">
        <w:rPr>
          <w:rFonts w:ascii="Arial" w:hAnsi="Arial" w:cs="Arial"/>
        </w:rPr>
        <w:br/>
      </w:r>
      <w:r w:rsidRPr="00925BCD">
        <w:rPr>
          <w:rFonts w:ascii="Arial" w:hAnsi="Arial" w:cs="Arial"/>
        </w:rPr>
        <w:lastRenderedPageBreak/>
        <w:t>15–17.03.2019</w:t>
      </w:r>
      <w:r w:rsidR="001F2797">
        <w:rPr>
          <w:rFonts w:ascii="Arial" w:hAnsi="Arial" w:cs="Arial"/>
        </w:rPr>
        <w:t> </w:t>
      </w:r>
      <w:r w:rsidRPr="00925BCD">
        <w:rPr>
          <w:rFonts w:ascii="Arial" w:hAnsi="Arial" w:cs="Arial"/>
        </w:rPr>
        <w:t>r. na terenie Targów Kielce; XXII Dnia Otwartych Drzwi Instytutu Ogrodnictwa, 26.06.2019 r. w Sadzie Doświadczalnym w Dąbrowicach oraz na Polach Doświadczalnych upraw warzywniczych w</w:t>
      </w:r>
      <w:r w:rsidR="00710690" w:rsidRPr="00925BCD">
        <w:rPr>
          <w:rFonts w:ascii="Arial" w:hAnsi="Arial" w:cs="Arial"/>
        </w:rPr>
        <w:t> </w:t>
      </w:r>
      <w:r w:rsidRPr="00925BCD">
        <w:rPr>
          <w:rFonts w:ascii="Arial" w:hAnsi="Arial" w:cs="Arial"/>
        </w:rPr>
        <w:t>Skierniewicach; XXVIII Krajowej Wystawy Rolniczej oraz XX Dni Europejskiej Kultury Ludowej, 31.08.-1.09.2019 r. w Częstochowie; XLII Skierniewickiego Święta Kwiatów, Owoców i</w:t>
      </w:r>
      <w:r w:rsidR="001F2797">
        <w:rPr>
          <w:rFonts w:ascii="Arial" w:hAnsi="Arial" w:cs="Arial"/>
        </w:rPr>
        <w:t> </w:t>
      </w:r>
      <w:r w:rsidRPr="00925BCD">
        <w:rPr>
          <w:rFonts w:ascii="Arial" w:hAnsi="Arial" w:cs="Arial"/>
        </w:rPr>
        <w:t>Warzyw,</w:t>
      </w:r>
      <w:r w:rsidR="00003711">
        <w:rPr>
          <w:rFonts w:ascii="Arial" w:hAnsi="Arial" w:cs="Arial"/>
        </w:rPr>
        <w:t xml:space="preserve"> </w:t>
      </w:r>
      <w:r w:rsidRPr="00925BCD">
        <w:rPr>
          <w:rFonts w:ascii="Arial" w:hAnsi="Arial" w:cs="Arial"/>
        </w:rPr>
        <w:t>14–15.09.2019 r.; Międzynarodowych Targów Wyrobów Spożywczych – POLAGRA FOOD, 30.09.</w:t>
      </w:r>
      <w:r w:rsidR="00710690" w:rsidRPr="00925BCD">
        <w:rPr>
          <w:rFonts w:ascii="Arial" w:hAnsi="Arial" w:cs="Arial"/>
        </w:rPr>
        <w:t>–</w:t>
      </w:r>
      <w:r w:rsidRPr="00925BCD">
        <w:rPr>
          <w:rFonts w:ascii="Arial" w:hAnsi="Arial" w:cs="Arial"/>
        </w:rPr>
        <w:t>1.10.2019 r. w Poznaniu)</w:t>
      </w:r>
      <w:r w:rsidR="00D5577E" w:rsidRPr="00925BCD">
        <w:rPr>
          <w:rFonts w:ascii="Arial" w:hAnsi="Arial" w:cs="Arial"/>
        </w:rPr>
        <w:t>, a także</w:t>
      </w:r>
      <w:r w:rsidRPr="00925BCD">
        <w:rPr>
          <w:rFonts w:ascii="Arial" w:hAnsi="Arial" w:cs="Arial"/>
        </w:rPr>
        <w:t xml:space="preserve"> podczas zorganizowanej przez Instytut Ogrodnictwa Konferencji Upowszechnieniowo-Wdrożeniowej Nauka–Praktyce w Skierniewicach, 10.12.2019 r. (141 osób)</w:t>
      </w:r>
      <w:r w:rsidR="00F5574F" w:rsidRPr="00925BCD">
        <w:rPr>
          <w:rFonts w:ascii="Arial" w:hAnsi="Arial" w:cs="Arial"/>
        </w:rPr>
        <w:t>.</w:t>
      </w:r>
    </w:p>
    <w:p w14:paraId="794C3BB4" w14:textId="2ECB95D5" w:rsidR="00E83AAF" w:rsidRDefault="00F5574F" w:rsidP="00E83AA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 xml:space="preserve">W 2019 r. </w:t>
      </w:r>
      <w:r w:rsidRPr="0021132C">
        <w:rPr>
          <w:rFonts w:ascii="Arial" w:hAnsi="Arial" w:cs="Arial"/>
          <w:bCs/>
        </w:rPr>
        <w:t>Instytut</w:t>
      </w:r>
      <w:r w:rsidRPr="00925BCD">
        <w:rPr>
          <w:rFonts w:ascii="Arial" w:hAnsi="Arial" w:cs="Arial"/>
          <w:b/>
        </w:rPr>
        <w:t xml:space="preserve"> </w:t>
      </w:r>
      <w:r w:rsidRPr="00925BCD">
        <w:rPr>
          <w:rFonts w:ascii="Arial" w:hAnsi="Arial" w:cs="Arial"/>
        </w:rPr>
        <w:t xml:space="preserve">zorganizował </w:t>
      </w:r>
      <w:r w:rsidR="0013710C" w:rsidRPr="00925BCD">
        <w:rPr>
          <w:rFonts w:ascii="Arial" w:hAnsi="Arial" w:cs="Arial"/>
        </w:rPr>
        <w:t xml:space="preserve">także dwa szkolenia dla pracowników </w:t>
      </w:r>
      <w:proofErr w:type="spellStart"/>
      <w:r w:rsidR="0013710C" w:rsidRPr="00925BCD">
        <w:rPr>
          <w:rFonts w:ascii="Arial" w:hAnsi="Arial" w:cs="Arial"/>
        </w:rPr>
        <w:t>PIORiN</w:t>
      </w:r>
      <w:proofErr w:type="spellEnd"/>
      <w:r w:rsidR="00D5577E" w:rsidRPr="00925BCD">
        <w:rPr>
          <w:rFonts w:ascii="Arial" w:hAnsi="Arial" w:cs="Arial"/>
        </w:rPr>
        <w:t>:</w:t>
      </w:r>
      <w:r w:rsidR="0013710C" w:rsidRPr="00925BCD">
        <w:rPr>
          <w:rFonts w:ascii="Arial" w:hAnsi="Arial" w:cs="Arial"/>
        </w:rPr>
        <w:t xml:space="preserve"> „Podstawy diagnostyki sprzętu do stosowania środków ochrony roślin”, 27 i 28.10.2019 r., (55 osób z</w:t>
      </w:r>
      <w:r w:rsidR="00CA7701" w:rsidRPr="00925BCD">
        <w:rPr>
          <w:rFonts w:ascii="Arial" w:hAnsi="Arial" w:cs="Arial"/>
        </w:rPr>
        <w:t> </w:t>
      </w:r>
      <w:r w:rsidR="0013710C" w:rsidRPr="00925BCD">
        <w:rPr>
          <w:rFonts w:ascii="Arial" w:hAnsi="Arial" w:cs="Arial"/>
        </w:rPr>
        <w:t xml:space="preserve">wojewódzkich inspektoratów </w:t>
      </w:r>
      <w:proofErr w:type="spellStart"/>
      <w:r w:rsidR="0013710C" w:rsidRPr="00925BCD">
        <w:rPr>
          <w:rFonts w:ascii="Arial" w:hAnsi="Arial" w:cs="Arial"/>
        </w:rPr>
        <w:t>PIORiN</w:t>
      </w:r>
      <w:proofErr w:type="spellEnd"/>
      <w:r w:rsidR="0013710C" w:rsidRPr="00925BCD">
        <w:rPr>
          <w:rFonts w:ascii="Arial" w:hAnsi="Arial" w:cs="Arial"/>
        </w:rPr>
        <w:t xml:space="preserve"> z 16 województw)</w:t>
      </w:r>
      <w:r w:rsidR="00D5577E" w:rsidRPr="00925BCD">
        <w:rPr>
          <w:rFonts w:ascii="Arial" w:hAnsi="Arial" w:cs="Arial"/>
        </w:rPr>
        <w:t xml:space="preserve"> oraz </w:t>
      </w:r>
      <w:r w:rsidR="0013710C" w:rsidRPr="00925BCD">
        <w:rPr>
          <w:rFonts w:ascii="Arial" w:hAnsi="Arial" w:cs="Arial"/>
        </w:rPr>
        <w:t>„Integrowana Ochrona Roślin Ogrodniczych”, 29.11.2019 r. (47</w:t>
      </w:r>
      <w:r w:rsidR="00710690" w:rsidRPr="00925BCD">
        <w:rPr>
          <w:rFonts w:ascii="Arial" w:hAnsi="Arial" w:cs="Arial"/>
        </w:rPr>
        <w:t> </w:t>
      </w:r>
      <w:r w:rsidR="0013710C" w:rsidRPr="00925BCD">
        <w:rPr>
          <w:rFonts w:ascii="Arial" w:hAnsi="Arial" w:cs="Arial"/>
        </w:rPr>
        <w:t xml:space="preserve">osób). W </w:t>
      </w:r>
      <w:r w:rsidR="00D5577E" w:rsidRPr="00925BCD">
        <w:rPr>
          <w:rFonts w:ascii="Arial" w:hAnsi="Arial" w:cs="Arial"/>
        </w:rPr>
        <w:t xml:space="preserve">wydarzeniach </w:t>
      </w:r>
      <w:r w:rsidR="0013710C" w:rsidRPr="00925BCD">
        <w:rPr>
          <w:rFonts w:ascii="Arial" w:hAnsi="Arial" w:cs="Arial"/>
        </w:rPr>
        <w:t>brali udział m.in. producenci roślin ogrodniczych, przedstawiciele Wojewódzkich Inspektoratów Ochrony Roślin i Nasiennictwa, Ośrodków Doradztwa Rolniczego, firm branżowych, prasy ogrodniczej, nauczyciele i uczniowie szkół rolniczych.</w:t>
      </w:r>
    </w:p>
    <w:p w14:paraId="4225F48C" w14:textId="72399D32" w:rsidR="00B40925" w:rsidRDefault="00B40925" w:rsidP="00E83AAF">
      <w:pPr>
        <w:pStyle w:val="NormalnyWeb"/>
        <w:tabs>
          <w:tab w:val="left" w:pos="284"/>
        </w:tabs>
        <w:spacing w:beforeAutospacing="0" w:after="120" w:afterAutospacing="0" w:line="360" w:lineRule="auto"/>
        <w:ind w:firstLine="284"/>
        <w:jc w:val="both"/>
        <w:rPr>
          <w:rFonts w:ascii="Arial" w:hAnsi="Arial" w:cs="Arial"/>
        </w:rPr>
      </w:pPr>
      <w:r w:rsidRPr="00E83AAF">
        <w:rPr>
          <w:rFonts w:ascii="Arial" w:hAnsi="Arial" w:cs="Arial"/>
          <w:b/>
          <w:bCs/>
        </w:rPr>
        <w:t>W 2020 r</w:t>
      </w:r>
      <w:r w:rsidR="00E83AAF" w:rsidRPr="00E83AAF">
        <w:rPr>
          <w:rFonts w:ascii="Arial" w:hAnsi="Arial" w:cs="Arial"/>
          <w:b/>
          <w:bCs/>
        </w:rPr>
        <w:t>.</w:t>
      </w:r>
      <w:r w:rsidRPr="00E83AAF">
        <w:rPr>
          <w:rFonts w:ascii="Arial" w:hAnsi="Arial" w:cs="Arial"/>
          <w:b/>
          <w:bCs/>
        </w:rPr>
        <w:t xml:space="preserve"> </w:t>
      </w:r>
      <w:r w:rsidRPr="00635475">
        <w:rPr>
          <w:rFonts w:ascii="Arial" w:hAnsi="Arial" w:cs="Arial"/>
        </w:rPr>
        <w:t xml:space="preserve">w Instytucie </w:t>
      </w:r>
      <w:r w:rsidRPr="00E83AAF">
        <w:rPr>
          <w:rFonts w:ascii="Arial" w:hAnsi="Arial" w:cs="Arial"/>
        </w:rPr>
        <w:t xml:space="preserve"> w dniu 4 lutego 2020 r. odbyła się Ogólnopolska 61. Konferencja Ochrony Roślin Sadowniczych „2020 – Międzynarodowym Rokiem Zdrowia Roślin” (Skierniewice), podczas której wygłoszono 15 referatów oraz przedstawiono 14 posterów. W spotkaniu wzięło udział 450 osób, w tym: sadownicy i producenci roślin jagodowych, pracownicy nauki i doradztwa rolniczego, inspektorzy ochrony roślin, przedstawiciele firm pracujących na rzecz sadownictwa, studenci. W czasie 57.</w:t>
      </w:r>
      <w:r w:rsidR="00003711">
        <w:rPr>
          <w:rFonts w:ascii="Arial" w:hAnsi="Arial" w:cs="Arial"/>
        </w:rPr>
        <w:t> </w:t>
      </w:r>
      <w:r w:rsidRPr="00E83AAF">
        <w:rPr>
          <w:rFonts w:ascii="Arial" w:hAnsi="Arial" w:cs="Arial"/>
        </w:rPr>
        <w:t>Naukowej Konferencji Pszczelarskiej (10−12 marca 2020 r., Cieszyn), zaprezentowano łącznie 74</w:t>
      </w:r>
      <w:r w:rsidR="00003711">
        <w:rPr>
          <w:rFonts w:ascii="Arial" w:hAnsi="Arial" w:cs="Arial"/>
        </w:rPr>
        <w:t> </w:t>
      </w:r>
      <w:r w:rsidRPr="00E83AAF">
        <w:rPr>
          <w:rFonts w:ascii="Arial" w:hAnsi="Arial" w:cs="Arial"/>
        </w:rPr>
        <w:t xml:space="preserve">doniesienia (36 na sesjach plenarnych i 38 na sesjach </w:t>
      </w:r>
      <w:proofErr w:type="spellStart"/>
      <w:r w:rsidRPr="00E83AAF">
        <w:rPr>
          <w:rFonts w:ascii="Arial" w:hAnsi="Arial" w:cs="Arial"/>
        </w:rPr>
        <w:t>posterowych</w:t>
      </w:r>
      <w:proofErr w:type="spellEnd"/>
      <w:r w:rsidRPr="00E83AAF">
        <w:rPr>
          <w:rFonts w:ascii="Arial" w:hAnsi="Arial" w:cs="Arial"/>
        </w:rPr>
        <w:t xml:space="preserve">) m.in. dotyczące chorób i zatruć pszczół. W konferencji udział wzięło ponad 300 osób. Przeprowadzono 12 szkoleń, zorganizowanych głównie w trybie online (11), których uczestnikami byli producenci indywidualni, pracownicy Ośrodków Doradztwa Rolniczego, Wojewódzkich Inspektoratów Ochrony Roślin i Nasiennictwa, przedstawiciele Inspektoratów Jakości Handlowej Artykułów Rolno-Spożywczych, jednostek certyfikujących, diagności Stacji Kontroli Opryskiwaczy, przedstawiciele Okręgowej Stacji Chemiczno-Rolniczej, prasy specjalistycznej oraz firm branżowych. Prowadzono również działalność popularyzatorską w czasie trwania Skierniewickiego Święta Kwiatów, Owoców i Warzyw (18 września 2020 r.). </w:t>
      </w:r>
    </w:p>
    <w:p w14:paraId="00038226" w14:textId="06A4B712" w:rsidR="00BF579B" w:rsidRDefault="005509EE" w:rsidP="00BF579B">
      <w:pPr>
        <w:pStyle w:val="NormalnyWeb"/>
        <w:tabs>
          <w:tab w:val="left" w:pos="284"/>
        </w:tabs>
        <w:spacing w:beforeAutospacing="0" w:after="120" w:afterAutospacing="0" w:line="360" w:lineRule="auto"/>
        <w:ind w:firstLine="284"/>
        <w:jc w:val="both"/>
        <w:rPr>
          <w:rFonts w:ascii="Arial" w:hAnsi="Arial" w:cs="Arial"/>
        </w:rPr>
      </w:pPr>
      <w:r w:rsidRPr="00CA2BDE">
        <w:rPr>
          <w:rFonts w:ascii="Arial" w:hAnsi="Arial" w:cs="Arial"/>
          <w:b/>
        </w:rPr>
        <w:t>W 2020 i 2021 r.</w:t>
      </w:r>
      <w:r w:rsidRPr="00CA2BDE">
        <w:rPr>
          <w:rFonts w:ascii="Arial" w:hAnsi="Arial" w:cs="Arial"/>
        </w:rPr>
        <w:t xml:space="preserve"> w</w:t>
      </w:r>
      <w:r w:rsidR="00BF579B" w:rsidRPr="00CA2BDE">
        <w:rPr>
          <w:rFonts w:ascii="Arial" w:hAnsi="Arial" w:cs="Arial"/>
        </w:rPr>
        <w:t xml:space="preserve"> ramach poddziałania 2.3 „Wsparcie dla szkolenia doradców” objętego Programem Rozwoju Obszarów Wiejskich na lata 2014-2020, w ramach umowy zawartej z Agencją Restrukturyzacji i Modernizacji Rolnictwa, Instytut Ogrodnictwa w Skierniewicach wraz z Centrum Doradztwa Rolniczego (CDR) w Brwinowie oddział w Radomiu (lider projektu) oraz partnerami konsorcjum, realizował projekt, którego celem było przeprowadzenie</w:t>
      </w:r>
      <w:r w:rsidR="00BF579B">
        <w:rPr>
          <w:rFonts w:ascii="Arial" w:hAnsi="Arial" w:cs="Arial"/>
        </w:rPr>
        <w:t xml:space="preserve"> szkoleń pt. „Integrowana Ochrona Roślin”. W szkoleniach uczestniczyło 96 doradców z Wojewódzkich Ośrodków Doradztwa Rolniczego, Izb Rolniczych, CDR oraz z prywatnych podmiotów świadczących usługi doradcze. Szkolenia teoretyczne i praktyczne odbywały się w okresie od maja do września 2020 r. i 2021 r. i były realizowane w trzech modułach: sadowniczym, warzywniczym i rolniczym. </w:t>
      </w:r>
    </w:p>
    <w:p w14:paraId="21A48F2C" w14:textId="1D24B563" w:rsidR="00BF579B" w:rsidRDefault="00BF579B" w:rsidP="00BF579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dniu 16.09.2021 r. w Instytucie Ogrodnictwa – PIB w Skierniewicach (część teoretyczna) oraz w</w:t>
      </w:r>
      <w:r w:rsidR="00CA2BDE">
        <w:rPr>
          <w:rFonts w:ascii="Arial" w:hAnsi="Arial" w:cs="Arial"/>
        </w:rPr>
        <w:t> </w:t>
      </w:r>
      <w:r>
        <w:rPr>
          <w:rFonts w:ascii="Arial" w:hAnsi="Arial" w:cs="Arial"/>
        </w:rPr>
        <w:t xml:space="preserve">Sadzie Doświadczalnym w Dąbrowicach (część praktyczna) odbyło się szkolenie inspektorów </w:t>
      </w:r>
      <w:proofErr w:type="spellStart"/>
      <w:r>
        <w:rPr>
          <w:rFonts w:ascii="Arial" w:hAnsi="Arial" w:cs="Arial"/>
        </w:rPr>
        <w:lastRenderedPageBreak/>
        <w:t>PIORiN</w:t>
      </w:r>
      <w:proofErr w:type="spellEnd"/>
      <w:r>
        <w:rPr>
          <w:rFonts w:ascii="Arial" w:hAnsi="Arial" w:cs="Arial"/>
        </w:rPr>
        <w:t xml:space="preserve"> pt. „Integrowana ochrona roślin sadowniczych”. Podczas szkolenia przedstawiono 5 wykładów:</w:t>
      </w:r>
    </w:p>
    <w:p w14:paraId="41155AA3" w14:textId="38DC15ED" w:rsidR="00BF579B" w:rsidRDefault="00BF579B" w:rsidP="00BF579B">
      <w:pPr>
        <w:pStyle w:val="NormalnyWeb"/>
        <w:numPr>
          <w:ilvl w:val="0"/>
          <w:numId w:val="23"/>
        </w:numPr>
        <w:tabs>
          <w:tab w:val="left" w:pos="284"/>
        </w:tabs>
        <w:spacing w:beforeAutospacing="0" w:after="120" w:afterAutospacing="0" w:line="360" w:lineRule="auto"/>
        <w:jc w:val="both"/>
        <w:rPr>
          <w:rFonts w:ascii="Arial" w:hAnsi="Arial" w:cs="Arial"/>
        </w:rPr>
      </w:pPr>
      <w:r>
        <w:rPr>
          <w:rFonts w:ascii="Arial" w:hAnsi="Arial" w:cs="Arial"/>
        </w:rPr>
        <w:t>Integrowana ochrona drzew pestkowych przed najważniejszymi chorobami.</w:t>
      </w:r>
    </w:p>
    <w:p w14:paraId="6B42E3BC" w14:textId="51DCA3B0" w:rsidR="00BF579B" w:rsidRDefault="00BF579B" w:rsidP="00BF579B">
      <w:pPr>
        <w:pStyle w:val="NormalnyWeb"/>
        <w:numPr>
          <w:ilvl w:val="0"/>
          <w:numId w:val="23"/>
        </w:numPr>
        <w:tabs>
          <w:tab w:val="left" w:pos="284"/>
        </w:tabs>
        <w:spacing w:beforeAutospacing="0" w:after="120" w:afterAutospacing="0" w:line="360" w:lineRule="auto"/>
        <w:jc w:val="both"/>
        <w:rPr>
          <w:rFonts w:ascii="Arial" w:hAnsi="Arial" w:cs="Arial"/>
        </w:rPr>
      </w:pPr>
      <w:r>
        <w:rPr>
          <w:rFonts w:ascii="Arial" w:hAnsi="Arial" w:cs="Arial"/>
        </w:rPr>
        <w:t>Ochrona drzew ziarnkowych przed chorobami zgodnie z zasadami IPO.</w:t>
      </w:r>
    </w:p>
    <w:p w14:paraId="00279498" w14:textId="5D33A1E4" w:rsidR="00BF579B" w:rsidRDefault="00BF579B" w:rsidP="00BF579B">
      <w:pPr>
        <w:pStyle w:val="NormalnyWeb"/>
        <w:numPr>
          <w:ilvl w:val="0"/>
          <w:numId w:val="23"/>
        </w:numPr>
        <w:tabs>
          <w:tab w:val="left" w:pos="284"/>
        </w:tabs>
        <w:spacing w:beforeAutospacing="0" w:after="120" w:afterAutospacing="0" w:line="360" w:lineRule="auto"/>
        <w:jc w:val="both"/>
        <w:rPr>
          <w:rFonts w:ascii="Arial" w:hAnsi="Arial" w:cs="Arial"/>
        </w:rPr>
      </w:pPr>
      <w:r>
        <w:rPr>
          <w:rFonts w:ascii="Arial" w:hAnsi="Arial" w:cs="Arial"/>
        </w:rPr>
        <w:t>Najgroźniejsze choroby wirusowe roślin sadowniczych.</w:t>
      </w:r>
    </w:p>
    <w:p w14:paraId="097C30E9" w14:textId="5D57C3AC" w:rsidR="00BF579B" w:rsidRDefault="00BF579B" w:rsidP="00BF579B">
      <w:pPr>
        <w:pStyle w:val="NormalnyWeb"/>
        <w:numPr>
          <w:ilvl w:val="0"/>
          <w:numId w:val="23"/>
        </w:numPr>
        <w:tabs>
          <w:tab w:val="left" w:pos="284"/>
        </w:tabs>
        <w:spacing w:beforeAutospacing="0" w:after="120" w:afterAutospacing="0" w:line="360" w:lineRule="auto"/>
        <w:jc w:val="both"/>
        <w:rPr>
          <w:rFonts w:ascii="Arial" w:hAnsi="Arial" w:cs="Arial"/>
        </w:rPr>
      </w:pPr>
      <w:r>
        <w:rPr>
          <w:rFonts w:ascii="Arial" w:hAnsi="Arial" w:cs="Arial"/>
        </w:rPr>
        <w:t xml:space="preserve">Szkodniki roślin sadowniczych – trudności w prawidłowej diagnostyce i ocenie zagrożenia. </w:t>
      </w:r>
    </w:p>
    <w:p w14:paraId="7C6D1C21" w14:textId="619A4A7F" w:rsidR="00BF579B" w:rsidRDefault="00BF579B" w:rsidP="00BF579B">
      <w:pPr>
        <w:pStyle w:val="NormalnyWeb"/>
        <w:numPr>
          <w:ilvl w:val="0"/>
          <w:numId w:val="23"/>
        </w:numPr>
        <w:tabs>
          <w:tab w:val="left" w:pos="284"/>
        </w:tabs>
        <w:spacing w:beforeAutospacing="0" w:after="120" w:afterAutospacing="0" w:line="360" w:lineRule="auto"/>
        <w:jc w:val="both"/>
        <w:rPr>
          <w:rFonts w:ascii="Arial" w:hAnsi="Arial" w:cs="Arial"/>
        </w:rPr>
      </w:pPr>
      <w:r>
        <w:rPr>
          <w:rFonts w:ascii="Arial" w:hAnsi="Arial" w:cs="Arial"/>
        </w:rPr>
        <w:t xml:space="preserve">Integrowana ochrona roślin sadowniczych przed chwastami. </w:t>
      </w:r>
    </w:p>
    <w:p w14:paraId="00DD2321" w14:textId="13008B1A" w:rsidR="00BF579B" w:rsidRDefault="00BF579B" w:rsidP="00BF579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szkoleniu wzięły udział 33 osoby z Wojewódzkich Inspektoratów Ochrony Roślin i Nasiennictwa.</w:t>
      </w:r>
    </w:p>
    <w:p w14:paraId="71A09AF1" w14:textId="4212CFB9" w:rsidR="0082798E" w:rsidRPr="0082798E" w:rsidRDefault="00E83AAF" w:rsidP="00E83AA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zadanie dotyczące upowszechniania wiedzy z zakresu integrowanej ochrony roślin włączył się także </w:t>
      </w:r>
      <w:r w:rsidRPr="00343C67">
        <w:rPr>
          <w:rFonts w:ascii="Arial" w:hAnsi="Arial" w:cs="Arial"/>
          <w:b/>
          <w:bCs/>
        </w:rPr>
        <w:t xml:space="preserve">Instytut Uprawy Nawożenia i Gleboznawstwa </w:t>
      </w:r>
      <w:bookmarkStart w:id="55" w:name="_Hlk93316166"/>
      <w:r w:rsidRPr="00343C67">
        <w:rPr>
          <w:rFonts w:ascii="Arial" w:hAnsi="Arial" w:cs="Arial"/>
          <w:b/>
          <w:bCs/>
        </w:rPr>
        <w:t xml:space="preserve">– </w:t>
      </w:r>
      <w:bookmarkEnd w:id="55"/>
      <w:r w:rsidRPr="00343C67">
        <w:rPr>
          <w:rFonts w:ascii="Arial" w:hAnsi="Arial" w:cs="Arial"/>
          <w:b/>
          <w:bCs/>
        </w:rPr>
        <w:t>PIB</w:t>
      </w:r>
      <w:r w:rsidRPr="00343C67">
        <w:rPr>
          <w:rFonts w:ascii="Arial" w:hAnsi="Arial" w:cs="Arial"/>
        </w:rPr>
        <w:t xml:space="preserve">, </w:t>
      </w:r>
      <w:r w:rsidR="0082798E" w:rsidRPr="0082798E">
        <w:rPr>
          <w:rFonts w:ascii="Arial" w:hAnsi="Arial" w:cs="Arial"/>
        </w:rPr>
        <w:t xml:space="preserve">organizując </w:t>
      </w:r>
      <w:r w:rsidR="00343C67">
        <w:rPr>
          <w:rFonts w:ascii="Arial" w:hAnsi="Arial" w:cs="Arial"/>
        </w:rPr>
        <w:t xml:space="preserve">miedzy innymi </w:t>
      </w:r>
      <w:r w:rsidR="0082798E" w:rsidRPr="0082798E">
        <w:rPr>
          <w:rFonts w:ascii="Arial" w:hAnsi="Arial" w:cs="Arial"/>
        </w:rPr>
        <w:t xml:space="preserve">9 marca </w:t>
      </w:r>
      <w:r w:rsidR="00343C67" w:rsidRPr="0082798E">
        <w:rPr>
          <w:rFonts w:ascii="Arial" w:hAnsi="Arial" w:cs="Arial"/>
        </w:rPr>
        <w:t>2018</w:t>
      </w:r>
      <w:r w:rsidR="00343C67">
        <w:rPr>
          <w:rFonts w:ascii="Arial" w:hAnsi="Arial" w:cs="Arial"/>
        </w:rPr>
        <w:t> </w:t>
      </w:r>
      <w:r w:rsidR="0082798E" w:rsidRPr="0082798E">
        <w:rPr>
          <w:rFonts w:ascii="Arial" w:hAnsi="Arial" w:cs="Arial"/>
        </w:rPr>
        <w:t>r. w Puławach konferencję naukową pt. „Innowacyjne rozwiązania wspierające produkcję chmielu zgodnie z zasadami integrowanej ochrony roślin”. W ramach wykładów omówiono najważniejsze choroby chmielu oraz zaprezentowano Platformę Sygnalizacji Agrofagów jako źródło informacji dotyczących integrowanej ochrony roślin. Opracowano i wydano drukiem materiały konferencyjne w</w:t>
      </w:r>
      <w:r w:rsidR="00003711">
        <w:rPr>
          <w:rFonts w:ascii="Arial" w:hAnsi="Arial" w:cs="Arial"/>
        </w:rPr>
        <w:t> </w:t>
      </w:r>
      <w:r w:rsidR="0082798E" w:rsidRPr="0082798E">
        <w:rPr>
          <w:rFonts w:ascii="Arial" w:hAnsi="Arial" w:cs="Arial"/>
        </w:rPr>
        <w:t xml:space="preserve">formie wydruku konspektów prezentacji, które otrzymali wszyscy uczestnicy konferencji (135 osób). Zagadnienia dotyczące stosowania zasad integrowanej ochrony roślin prezentowano również w ramach Tygodnia Otwartych Drzwi w IUNG-PIB w Puławach, który miał miejsce w dniach 21-25 maja 2018 r. </w:t>
      </w:r>
      <w:r w:rsidR="00B7178D" w:rsidRPr="0082798E">
        <w:rPr>
          <w:rFonts w:ascii="Arial" w:hAnsi="Arial" w:cs="Arial"/>
        </w:rPr>
        <w:t>W</w:t>
      </w:r>
      <w:r w:rsidR="00B7178D">
        <w:rPr>
          <w:rFonts w:ascii="Arial" w:hAnsi="Arial" w:cs="Arial"/>
        </w:rPr>
        <w:t> </w:t>
      </w:r>
      <w:r w:rsidR="0082798E" w:rsidRPr="0082798E">
        <w:rPr>
          <w:rFonts w:ascii="Arial" w:hAnsi="Arial" w:cs="Arial"/>
        </w:rPr>
        <w:t xml:space="preserve">prelekcjach i prezentacjach doświadczeń brali udział studenci SGGW oraz uczniowie Centrum Kształcenia Ustawicznego w Potoczku i </w:t>
      </w:r>
      <w:r w:rsidR="0082798E" w:rsidRPr="00343C67">
        <w:rPr>
          <w:rFonts w:ascii="Arial" w:hAnsi="Arial" w:cs="Arial"/>
        </w:rPr>
        <w:t>Szkoły Policealnej ŻAK w Puławach</w:t>
      </w:r>
      <w:r w:rsidR="0082798E" w:rsidRPr="0082798E">
        <w:rPr>
          <w:rFonts w:ascii="Arial" w:hAnsi="Arial" w:cs="Arial"/>
        </w:rPr>
        <w:t xml:space="preserve">. Tematykę integrowanej ochrony chmielu i tytoniu prezentowano również na innych konferencjach krajowych, np. ogólnopolskiej konferencji naukowej pt. „Regionalne zróżnicowanie uwarunkowań konkurencyjności rolnictwa. Konkurencyjność rolnictwa Lubelszczyzny”, 25.05.2018 w Lublinie oraz konferencji naukowej pt. „Praktyczne wykorzystanie i wdrażanie wyników badań naukowych oraz nowe osiągnięcia w hodowli odmianowej do zastosowania w produkcji roślinnej”, 24-25.10.2018 w Radomiu. </w:t>
      </w:r>
    </w:p>
    <w:p w14:paraId="3964FD06" w14:textId="13717FA5"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W ramach realizacji tego zadania wydano drukiem w nakładzie 300 egzemplarzy dwa opracowania dotyczące integrowanej ochrony chmielu i tytoniu, tj. „Poradnik sygnalizatora ochrony chmielu” </w:t>
      </w:r>
      <w:r w:rsidR="00B7178D" w:rsidRPr="0082798E">
        <w:rPr>
          <w:rFonts w:ascii="Arial" w:hAnsi="Arial" w:cs="Arial"/>
        </w:rPr>
        <w:t>i</w:t>
      </w:r>
      <w:r w:rsidR="00B7178D">
        <w:rPr>
          <w:rFonts w:ascii="Arial" w:hAnsi="Arial" w:cs="Arial"/>
        </w:rPr>
        <w:t> </w:t>
      </w:r>
      <w:r w:rsidRPr="0082798E">
        <w:rPr>
          <w:rFonts w:ascii="Arial" w:hAnsi="Arial" w:cs="Arial"/>
        </w:rPr>
        <w:t xml:space="preserve">„Poradnik sygnalizatora ochrony tytoniu”. Wydawnictwa te są opatrzone bogatą dokumentacją fotograficzną dotyczącą agrofagów chmielu i tytoniu, ponadto zawierają informacje nt. systematyki </w:t>
      </w:r>
      <w:r w:rsidR="00343C67" w:rsidRPr="0082798E">
        <w:rPr>
          <w:rFonts w:ascii="Arial" w:hAnsi="Arial" w:cs="Arial"/>
        </w:rPr>
        <w:t>i</w:t>
      </w:r>
      <w:r w:rsidR="00343C67">
        <w:rPr>
          <w:rFonts w:ascii="Arial" w:hAnsi="Arial" w:cs="Arial"/>
        </w:rPr>
        <w:t> </w:t>
      </w:r>
      <w:r w:rsidRPr="0082798E">
        <w:rPr>
          <w:rFonts w:ascii="Arial" w:hAnsi="Arial" w:cs="Arial"/>
        </w:rPr>
        <w:t>biologii organizmów szkodliwych, czynników atmosferycznych sprzyjających rozwojowi chorób, objawów chorobowych, terminów zwalczania i progów ekonomicznej szkodliwości. Opracowania te</w:t>
      </w:r>
      <w:r w:rsidR="002F734A">
        <w:rPr>
          <w:rFonts w:ascii="Arial" w:hAnsi="Arial" w:cs="Arial"/>
        </w:rPr>
        <w:t> </w:t>
      </w:r>
      <w:r w:rsidRPr="0082798E">
        <w:rPr>
          <w:rFonts w:ascii="Arial" w:hAnsi="Arial" w:cs="Arial"/>
        </w:rPr>
        <w:t>zostały przekazane producentom chmielu i tytoniu oraz w wersji elektronicznej zamieszczone na Platformie Sygnalizacji Agrofagów. Opublikowano również dwa artykuły popularno-naukowe dotyczące, m.in. ograniczania chorób zagrażających rozsadzie tytoniu oraz przeciwdziałania następstwom suszy w uprawie tytoniu.</w:t>
      </w:r>
    </w:p>
    <w:p w14:paraId="724B9130" w14:textId="339747A3"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343C67">
        <w:rPr>
          <w:rFonts w:ascii="Arial" w:hAnsi="Arial" w:cs="Arial"/>
          <w:b/>
          <w:bCs/>
        </w:rPr>
        <w:t xml:space="preserve">W 2019 r. </w:t>
      </w:r>
      <w:r w:rsidRPr="00332C6D">
        <w:rPr>
          <w:rFonts w:ascii="Arial" w:hAnsi="Arial" w:cs="Arial"/>
        </w:rPr>
        <w:t xml:space="preserve">Instytut </w:t>
      </w:r>
      <w:r w:rsidRPr="0082798E">
        <w:rPr>
          <w:rFonts w:ascii="Arial" w:hAnsi="Arial" w:cs="Arial"/>
        </w:rPr>
        <w:t xml:space="preserve"> upowszechniał wiedzę z zakresu integrowanej ochrony roślin poprzez organizację konferencji naukowej pt. ”Rola badań naukowych </w:t>
      </w:r>
      <w:r w:rsidR="00B7178D" w:rsidRPr="0082798E">
        <w:rPr>
          <w:rFonts w:ascii="Arial" w:hAnsi="Arial" w:cs="Arial"/>
        </w:rPr>
        <w:t>w</w:t>
      </w:r>
      <w:r w:rsidR="00B7178D">
        <w:rPr>
          <w:rFonts w:ascii="Arial" w:hAnsi="Arial" w:cs="Arial"/>
        </w:rPr>
        <w:t> </w:t>
      </w:r>
      <w:r w:rsidRPr="0082798E">
        <w:rPr>
          <w:rFonts w:ascii="Arial" w:hAnsi="Arial" w:cs="Arial"/>
        </w:rPr>
        <w:t xml:space="preserve">tworzeniu innowacyjnych rozwiązań w uprawie chmielu i tytoniu” w dniu 28 stycznia 2019 r. </w:t>
      </w:r>
      <w:r w:rsidR="00B7178D" w:rsidRPr="0082798E">
        <w:rPr>
          <w:rFonts w:ascii="Arial" w:hAnsi="Arial" w:cs="Arial"/>
        </w:rPr>
        <w:t>w</w:t>
      </w:r>
      <w:r w:rsidR="00B7178D">
        <w:rPr>
          <w:rFonts w:ascii="Arial" w:hAnsi="Arial" w:cs="Arial"/>
        </w:rPr>
        <w:t> </w:t>
      </w:r>
      <w:r w:rsidRPr="0082798E">
        <w:rPr>
          <w:rFonts w:ascii="Arial" w:hAnsi="Arial" w:cs="Arial"/>
        </w:rPr>
        <w:t xml:space="preserve">Puławach. W ramach wykładów omówiono zagadnienia związane z hodowlą oraz produkcją chmielu i tytoniu. Szczególną uwagę poświęcono chorobom </w:t>
      </w:r>
      <w:r w:rsidRPr="0082798E">
        <w:rPr>
          <w:rFonts w:ascii="Arial" w:hAnsi="Arial" w:cs="Arial"/>
        </w:rPr>
        <w:lastRenderedPageBreak/>
        <w:t>i</w:t>
      </w:r>
      <w:r w:rsidR="00003711">
        <w:rPr>
          <w:rFonts w:ascii="Arial" w:hAnsi="Arial" w:cs="Arial"/>
        </w:rPr>
        <w:t> </w:t>
      </w:r>
      <w:r w:rsidRPr="0082798E">
        <w:rPr>
          <w:rFonts w:ascii="Arial" w:hAnsi="Arial" w:cs="Arial"/>
        </w:rPr>
        <w:t xml:space="preserve">szkodnikom tych gatunków uprawnych oraz metodom ich ograniczania zgodnie z zasadami integrowanej ochrony roślin. Druga część konferencji miała charakter warsztatów, w czasie których uczestnicy mieli możliwość praktycznego zapoznania się z różnymi metodami identyfikacji patogenów. </w:t>
      </w:r>
    </w:p>
    <w:p w14:paraId="580DDF9D" w14:textId="06A4AE8F"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Ważnym działaniem upowszechnieniowym były też zajęcia dydaktyczne dla uczniów szkół </w:t>
      </w:r>
      <w:r w:rsidR="00343C67" w:rsidRPr="0082798E">
        <w:rPr>
          <w:rFonts w:ascii="Arial" w:hAnsi="Arial" w:cs="Arial"/>
        </w:rPr>
        <w:t>i</w:t>
      </w:r>
      <w:r w:rsidR="00343C67">
        <w:rPr>
          <w:rFonts w:ascii="Arial" w:hAnsi="Arial" w:cs="Arial"/>
        </w:rPr>
        <w:t> </w:t>
      </w:r>
      <w:r w:rsidRPr="0082798E">
        <w:rPr>
          <w:rFonts w:ascii="Arial" w:hAnsi="Arial" w:cs="Arial"/>
        </w:rPr>
        <w:t xml:space="preserve">studentów uczelni rolniczych. Tematyka ośmiu zajęć zorganizowanych w 2019 r. obejmowała: kierunki i metody wykorzystywane w hodowli chmielu i tytoniu ze szczególnym uwzględnieniem hodowli odpornościowej, choroby tych gatunków uprawnych i ich ograniczanie zgodnie z zasadami integrowanej ochrony, a także metody diagnozowania chorób roślin. </w:t>
      </w:r>
    </w:p>
    <w:p w14:paraId="27486992" w14:textId="0BE207A0"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W ramach upowszechniania wiedzy z zakresu integrowanej ochrony roślin opublikowano </w:t>
      </w:r>
      <w:r w:rsidR="00343C67" w:rsidRPr="0082798E">
        <w:rPr>
          <w:rFonts w:ascii="Arial" w:hAnsi="Arial" w:cs="Arial"/>
        </w:rPr>
        <w:t>w</w:t>
      </w:r>
      <w:r w:rsidR="00343C67">
        <w:rPr>
          <w:rFonts w:ascii="Arial" w:hAnsi="Arial" w:cs="Arial"/>
        </w:rPr>
        <w:t> </w:t>
      </w:r>
      <w:r w:rsidRPr="0082798E">
        <w:rPr>
          <w:rFonts w:ascii="Arial" w:hAnsi="Arial" w:cs="Arial"/>
        </w:rPr>
        <w:t>czasopiśmie branżowym „Przegląd Tytoniowy” dwa artykuły popularno-naukowe dotyczące chwastów jako rezerwuaru  patogenów wirusowych groźnych dla upraw tytoniu oraz przyczyn i sposobów ograniczania przedwczesnego zakwitania roślin tytoniu, które może być przyczyną znacznego obniżenia plonu.</w:t>
      </w:r>
    </w:p>
    <w:p w14:paraId="2006D038" w14:textId="6E2650B2"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343C67">
        <w:rPr>
          <w:rFonts w:ascii="Arial" w:hAnsi="Arial" w:cs="Arial"/>
          <w:b/>
          <w:bCs/>
        </w:rPr>
        <w:t xml:space="preserve">W 2020 r. </w:t>
      </w:r>
      <w:r w:rsidRPr="00362E8C">
        <w:rPr>
          <w:rFonts w:ascii="Arial" w:hAnsi="Arial" w:cs="Arial"/>
        </w:rPr>
        <w:t>w Instytucie</w:t>
      </w:r>
      <w:r w:rsidRPr="00343C67">
        <w:rPr>
          <w:rFonts w:ascii="Arial" w:hAnsi="Arial" w:cs="Arial"/>
          <w:b/>
          <w:bCs/>
        </w:rPr>
        <w:t xml:space="preserve"> </w:t>
      </w:r>
      <w:r w:rsidRPr="0082798E">
        <w:rPr>
          <w:rFonts w:ascii="Arial" w:hAnsi="Arial" w:cs="Arial"/>
        </w:rPr>
        <w:t>zorganizowano konferencję pt. „Nauka dla ochrony zdrowia roślin”. Uczestnikami spotkania byli studenci Wydziału Rolnego Państwowej Wyższej Szkoły Zawodowej w</w:t>
      </w:r>
      <w:r w:rsidR="00003711">
        <w:rPr>
          <w:rFonts w:ascii="Arial" w:hAnsi="Arial" w:cs="Arial"/>
        </w:rPr>
        <w:t> </w:t>
      </w:r>
      <w:r w:rsidRPr="0082798E">
        <w:rPr>
          <w:rFonts w:ascii="Arial" w:hAnsi="Arial" w:cs="Arial"/>
        </w:rPr>
        <w:t>Chełmie, producenci rolni, a także pracownicy IUNG-PIB zainteresowani tematyką uprawy chmielu i</w:t>
      </w:r>
      <w:r w:rsidR="00003711">
        <w:rPr>
          <w:rFonts w:ascii="Arial" w:hAnsi="Arial" w:cs="Arial"/>
        </w:rPr>
        <w:t> </w:t>
      </w:r>
      <w:r w:rsidRPr="0082798E">
        <w:rPr>
          <w:rFonts w:ascii="Arial" w:hAnsi="Arial" w:cs="Arial"/>
        </w:rPr>
        <w:t>tytoniu oraz kwestiami związanymi z diagnozowaniem chorób i ochroną tych gatunków. W ramach konferencji zaprezentowano wybrane aspekty produkcji chmielu i tytoniu oraz najważniejsze choroby tych dwóch gatunków uprawnych, wykorzystanie hodowli i biotechnologii dla poprawy zdrowia roślin, a</w:t>
      </w:r>
      <w:r w:rsidR="00003711">
        <w:rPr>
          <w:rFonts w:ascii="Arial" w:hAnsi="Arial" w:cs="Arial"/>
        </w:rPr>
        <w:t> </w:t>
      </w:r>
      <w:r w:rsidRPr="0082798E">
        <w:rPr>
          <w:rFonts w:ascii="Arial" w:hAnsi="Arial" w:cs="Arial"/>
        </w:rPr>
        <w:t>także znaczenie chwastów jako rezerwuaru organizmów szkodliwych dla roślin. Druga część konferencji miała charakter warsztatów, w czasie których odbyły się zajęcia praktyczne dotyczące metod diagnozowania chorób roślin oraz wykorzystania zaawansowanych technik biologii molekularnej w</w:t>
      </w:r>
      <w:r w:rsidR="00003711">
        <w:rPr>
          <w:rFonts w:ascii="Arial" w:hAnsi="Arial" w:cs="Arial"/>
        </w:rPr>
        <w:t> </w:t>
      </w:r>
      <w:r w:rsidRPr="0082798E">
        <w:rPr>
          <w:rFonts w:ascii="Arial" w:hAnsi="Arial" w:cs="Arial"/>
        </w:rPr>
        <w:t>fitopatologii. Konferencja była dla uczestników okazją do zapoznania się z potencjałem naukowym IUNG</w:t>
      </w:r>
      <w:r w:rsidR="00343C67">
        <w:rPr>
          <w:rFonts w:ascii="Arial" w:hAnsi="Arial" w:cs="Arial"/>
        </w:rPr>
        <w:t xml:space="preserve"> </w:t>
      </w:r>
      <w:r w:rsidR="00343C67" w:rsidRPr="00343C67">
        <w:rPr>
          <w:rFonts w:ascii="Arial" w:hAnsi="Arial" w:cs="Arial"/>
          <w:b/>
          <w:bCs/>
        </w:rPr>
        <w:t xml:space="preserve">– </w:t>
      </w:r>
      <w:r w:rsidRPr="0082798E">
        <w:rPr>
          <w:rFonts w:ascii="Arial" w:hAnsi="Arial" w:cs="Arial"/>
        </w:rPr>
        <w:t xml:space="preserve">PIB oraz z najważniejszymi badaniami nad chmielem i tytoniem </w:t>
      </w:r>
      <w:r w:rsidR="00B7178D" w:rsidRPr="0082798E">
        <w:rPr>
          <w:rFonts w:ascii="Arial" w:hAnsi="Arial" w:cs="Arial"/>
        </w:rPr>
        <w:t>w</w:t>
      </w:r>
      <w:r w:rsidR="00B7178D">
        <w:rPr>
          <w:rFonts w:ascii="Arial" w:hAnsi="Arial" w:cs="Arial"/>
        </w:rPr>
        <w:t> </w:t>
      </w:r>
      <w:r w:rsidRPr="0082798E">
        <w:rPr>
          <w:rFonts w:ascii="Arial" w:hAnsi="Arial" w:cs="Arial"/>
        </w:rPr>
        <w:t xml:space="preserve">aspekcie zdrowia roślin. </w:t>
      </w:r>
    </w:p>
    <w:p w14:paraId="406EC771" w14:textId="65E35DE0" w:rsid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Kolejnym działaniem upowszechnieniowym było opublikowanie dwóch artykułów popularno-naukowych w czasopiśmie branżowym „Przegląd Tytoniowy”, które dotyczyły </w:t>
      </w:r>
      <w:r w:rsidRPr="00343C67">
        <w:rPr>
          <w:rFonts w:ascii="Arial" w:hAnsi="Arial" w:cs="Arial"/>
        </w:rPr>
        <w:t xml:space="preserve">ochrony plantacji tytoniu w czasie suszy oraz w warunkach chłodnego i deszczowego lata. </w:t>
      </w:r>
    </w:p>
    <w:p w14:paraId="2D4623E6" w14:textId="0A1C3EEC" w:rsidR="009E5912" w:rsidRPr="00082331" w:rsidRDefault="009E5912" w:rsidP="0044685B">
      <w:pPr>
        <w:autoSpaceDE w:val="0"/>
        <w:autoSpaceDN w:val="0"/>
        <w:adjustRightInd w:val="0"/>
        <w:spacing w:after="120" w:line="360" w:lineRule="auto"/>
        <w:ind w:firstLine="142"/>
        <w:jc w:val="both"/>
        <w:rPr>
          <w:rFonts w:ascii="Arial" w:hAnsi="Arial" w:cs="Arial"/>
          <w:sz w:val="20"/>
          <w:szCs w:val="20"/>
        </w:rPr>
      </w:pPr>
      <w:r w:rsidRPr="00082331">
        <w:rPr>
          <w:rFonts w:ascii="Arial" w:hAnsi="Arial" w:cs="Arial"/>
          <w:b/>
          <w:sz w:val="20"/>
          <w:szCs w:val="20"/>
        </w:rPr>
        <w:t xml:space="preserve">W 2021 r. </w:t>
      </w:r>
      <w:r w:rsidRPr="00082331">
        <w:rPr>
          <w:rFonts w:ascii="Arial" w:hAnsi="Arial" w:cs="Arial"/>
          <w:sz w:val="20"/>
          <w:szCs w:val="20"/>
        </w:rPr>
        <w:t xml:space="preserve">Instytut kontynuował działania upowszechnieniowe z zakresu integrowanej ochrony roślin. </w:t>
      </w:r>
      <w:r w:rsidR="00B53E55">
        <w:rPr>
          <w:rFonts w:ascii="Arial" w:hAnsi="Arial" w:cs="Arial"/>
          <w:sz w:val="20"/>
          <w:szCs w:val="20"/>
        </w:rPr>
        <w:t xml:space="preserve">Do </w:t>
      </w:r>
      <w:r w:rsidR="0044685B">
        <w:rPr>
          <w:rFonts w:ascii="Arial" w:hAnsi="Arial" w:cs="Arial"/>
          <w:sz w:val="20"/>
          <w:szCs w:val="20"/>
        </w:rPr>
        <w:t xml:space="preserve">ważniejszych należy </w:t>
      </w:r>
      <w:r w:rsidRPr="00082331">
        <w:rPr>
          <w:rFonts w:ascii="Arial" w:hAnsi="Arial" w:cs="Arial"/>
          <w:sz w:val="20"/>
          <w:szCs w:val="20"/>
        </w:rPr>
        <w:t>publikacj</w:t>
      </w:r>
      <w:r w:rsidR="0044685B">
        <w:rPr>
          <w:rFonts w:ascii="Arial" w:hAnsi="Arial" w:cs="Arial"/>
          <w:sz w:val="20"/>
          <w:szCs w:val="20"/>
        </w:rPr>
        <w:t>a</w:t>
      </w:r>
      <w:r w:rsidRPr="00082331">
        <w:rPr>
          <w:rFonts w:ascii="Arial" w:hAnsi="Arial" w:cs="Arial"/>
          <w:sz w:val="20"/>
          <w:szCs w:val="20"/>
        </w:rPr>
        <w:t xml:space="preserve"> </w:t>
      </w:r>
      <w:r>
        <w:rPr>
          <w:rFonts w:ascii="Arial" w:hAnsi="Arial" w:cs="Arial"/>
          <w:sz w:val="20"/>
          <w:szCs w:val="20"/>
        </w:rPr>
        <w:t>trzech artykułów popularno-naukowych</w:t>
      </w:r>
      <w:r w:rsidRPr="00082331">
        <w:rPr>
          <w:rFonts w:ascii="Arial" w:hAnsi="Arial" w:cs="Arial"/>
          <w:sz w:val="20"/>
          <w:szCs w:val="20"/>
        </w:rPr>
        <w:t>. Opracowania w</w:t>
      </w:r>
      <w:r w:rsidR="002F734A">
        <w:rPr>
          <w:rFonts w:ascii="Arial" w:hAnsi="Arial" w:cs="Arial"/>
          <w:sz w:val="20"/>
          <w:szCs w:val="20"/>
        </w:rPr>
        <w:t> </w:t>
      </w:r>
      <w:r w:rsidRPr="00082331">
        <w:rPr>
          <w:rFonts w:ascii="Arial" w:hAnsi="Arial" w:cs="Arial"/>
          <w:sz w:val="20"/>
          <w:szCs w:val="20"/>
        </w:rPr>
        <w:t>czasopiśmie branżowym „Przegląd Tytoniowy” dotyczyły korzyści wynikających z hodowli odmian tytoniu odpornych na wirusową chorobę brunatnienia nerwów liści, a także</w:t>
      </w:r>
      <w:r>
        <w:rPr>
          <w:rFonts w:ascii="Arial" w:hAnsi="Arial" w:cs="Arial"/>
          <w:sz w:val="20"/>
          <w:szCs w:val="20"/>
        </w:rPr>
        <w:t xml:space="preserve"> ryzoktoniozy liści tytoniu. W</w:t>
      </w:r>
      <w:r w:rsidR="002F734A">
        <w:rPr>
          <w:rFonts w:ascii="Arial" w:hAnsi="Arial" w:cs="Arial"/>
          <w:sz w:val="20"/>
          <w:szCs w:val="20"/>
        </w:rPr>
        <w:t> </w:t>
      </w:r>
      <w:r w:rsidRPr="00082331">
        <w:rPr>
          <w:rFonts w:ascii="Arial" w:hAnsi="Arial" w:cs="Arial"/>
          <w:sz w:val="20"/>
          <w:szCs w:val="20"/>
        </w:rPr>
        <w:t xml:space="preserve">Biuletynie Lubelskiej Izby Rolniczej </w:t>
      </w:r>
      <w:r>
        <w:rPr>
          <w:rFonts w:ascii="Arial" w:hAnsi="Arial" w:cs="Arial"/>
          <w:sz w:val="20"/>
          <w:szCs w:val="20"/>
        </w:rPr>
        <w:t xml:space="preserve">przedstawiono </w:t>
      </w:r>
      <w:r w:rsidRPr="00082331">
        <w:rPr>
          <w:rFonts w:ascii="Arial" w:hAnsi="Arial" w:cs="Arial"/>
          <w:sz w:val="20"/>
          <w:szCs w:val="20"/>
        </w:rPr>
        <w:t>wymaga</w:t>
      </w:r>
      <w:r>
        <w:rPr>
          <w:rFonts w:ascii="Arial" w:hAnsi="Arial" w:cs="Arial"/>
          <w:sz w:val="20"/>
          <w:szCs w:val="20"/>
        </w:rPr>
        <w:t>nia</w:t>
      </w:r>
      <w:r w:rsidRPr="00082331">
        <w:rPr>
          <w:rFonts w:ascii="Arial" w:hAnsi="Arial" w:cs="Arial"/>
          <w:sz w:val="20"/>
          <w:szCs w:val="20"/>
        </w:rPr>
        <w:t xml:space="preserve"> siedliskow</w:t>
      </w:r>
      <w:r>
        <w:rPr>
          <w:rFonts w:ascii="Arial" w:hAnsi="Arial" w:cs="Arial"/>
          <w:sz w:val="20"/>
          <w:szCs w:val="20"/>
        </w:rPr>
        <w:t>e</w:t>
      </w:r>
      <w:r w:rsidRPr="00082331">
        <w:rPr>
          <w:rFonts w:ascii="Arial" w:hAnsi="Arial" w:cs="Arial"/>
          <w:sz w:val="20"/>
          <w:szCs w:val="20"/>
        </w:rPr>
        <w:t xml:space="preserve"> </w:t>
      </w:r>
      <w:r>
        <w:rPr>
          <w:rFonts w:ascii="Arial" w:hAnsi="Arial" w:cs="Arial"/>
          <w:sz w:val="20"/>
          <w:szCs w:val="20"/>
        </w:rPr>
        <w:t xml:space="preserve">chmielu </w:t>
      </w:r>
      <w:r w:rsidRPr="00082331">
        <w:rPr>
          <w:rFonts w:ascii="Arial" w:hAnsi="Arial" w:cs="Arial"/>
          <w:sz w:val="20"/>
          <w:szCs w:val="20"/>
        </w:rPr>
        <w:t>oraz najważniejsz</w:t>
      </w:r>
      <w:r>
        <w:rPr>
          <w:rFonts w:ascii="Arial" w:hAnsi="Arial" w:cs="Arial"/>
          <w:sz w:val="20"/>
          <w:szCs w:val="20"/>
        </w:rPr>
        <w:t>e</w:t>
      </w:r>
      <w:r w:rsidRPr="00082331">
        <w:rPr>
          <w:rFonts w:ascii="Arial" w:hAnsi="Arial" w:cs="Arial"/>
          <w:sz w:val="20"/>
          <w:szCs w:val="20"/>
        </w:rPr>
        <w:t xml:space="preserve"> chor</w:t>
      </w:r>
      <w:r>
        <w:rPr>
          <w:rFonts w:ascii="Arial" w:hAnsi="Arial" w:cs="Arial"/>
          <w:sz w:val="20"/>
          <w:szCs w:val="20"/>
        </w:rPr>
        <w:t>o</w:t>
      </w:r>
      <w:r w:rsidRPr="00082331">
        <w:rPr>
          <w:rFonts w:ascii="Arial" w:hAnsi="Arial" w:cs="Arial"/>
          <w:sz w:val="20"/>
          <w:szCs w:val="20"/>
        </w:rPr>
        <w:t>b</w:t>
      </w:r>
      <w:r>
        <w:rPr>
          <w:rFonts w:ascii="Arial" w:hAnsi="Arial" w:cs="Arial"/>
          <w:sz w:val="20"/>
          <w:szCs w:val="20"/>
        </w:rPr>
        <w:t>y</w:t>
      </w:r>
      <w:r w:rsidRPr="00082331">
        <w:rPr>
          <w:rFonts w:ascii="Arial" w:hAnsi="Arial" w:cs="Arial"/>
          <w:sz w:val="20"/>
          <w:szCs w:val="20"/>
        </w:rPr>
        <w:t xml:space="preserve"> i szkodnik</w:t>
      </w:r>
      <w:r>
        <w:rPr>
          <w:rFonts w:ascii="Arial" w:hAnsi="Arial" w:cs="Arial"/>
          <w:sz w:val="20"/>
          <w:szCs w:val="20"/>
        </w:rPr>
        <w:t>i</w:t>
      </w:r>
      <w:r w:rsidRPr="00082331">
        <w:rPr>
          <w:rFonts w:ascii="Arial" w:hAnsi="Arial" w:cs="Arial"/>
          <w:sz w:val="20"/>
          <w:szCs w:val="20"/>
        </w:rPr>
        <w:t xml:space="preserve"> </w:t>
      </w:r>
      <w:r>
        <w:rPr>
          <w:rFonts w:ascii="Arial" w:hAnsi="Arial" w:cs="Arial"/>
          <w:sz w:val="20"/>
          <w:szCs w:val="20"/>
        </w:rPr>
        <w:t>tej rośliny</w:t>
      </w:r>
      <w:r w:rsidRPr="00082331">
        <w:rPr>
          <w:rFonts w:ascii="Arial" w:hAnsi="Arial" w:cs="Arial"/>
          <w:sz w:val="20"/>
          <w:szCs w:val="20"/>
        </w:rPr>
        <w:t xml:space="preserve">. </w:t>
      </w:r>
    </w:p>
    <w:p w14:paraId="76DBF5E2" w14:textId="77777777" w:rsidR="009E5912" w:rsidRPr="0082798E" w:rsidRDefault="009E5912" w:rsidP="009E5912">
      <w:pPr>
        <w:pStyle w:val="NormalnyWeb"/>
        <w:tabs>
          <w:tab w:val="left" w:pos="284"/>
        </w:tabs>
        <w:spacing w:beforeAutospacing="0" w:after="120" w:afterAutospacing="0" w:line="360" w:lineRule="auto"/>
        <w:ind w:firstLine="284"/>
        <w:jc w:val="both"/>
        <w:rPr>
          <w:rFonts w:ascii="Arial" w:hAnsi="Arial" w:cs="Arial"/>
        </w:rPr>
      </w:pPr>
      <w:r w:rsidRPr="00082331">
        <w:rPr>
          <w:rFonts w:ascii="Arial" w:hAnsi="Arial" w:cs="Arial"/>
        </w:rPr>
        <w:t>Ponadto, zorganizowano zajęcia edukacyjne dla studentów kierunku Rolnictwa SGGW. W programie zajęć przedstawiono zagadnienia związane z uprawą tytoniu i chmielu, najważniejsze choroby tych roślin i metody ich ograniczania zgodnie z zasadami integrowanej ochrony.</w:t>
      </w:r>
    </w:p>
    <w:p w14:paraId="372AF7C8" w14:textId="3E86E345"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Przedstawiciele </w:t>
      </w:r>
      <w:r w:rsidRPr="00925BCD">
        <w:rPr>
          <w:rFonts w:ascii="Arial" w:hAnsi="Arial" w:cs="Arial"/>
          <w:b/>
        </w:rPr>
        <w:t>Ministerstwa Rolnictwa i Rozwoju Wsi</w:t>
      </w:r>
      <w:r w:rsidRPr="00925BCD">
        <w:rPr>
          <w:rFonts w:ascii="Arial" w:hAnsi="Arial" w:cs="Arial"/>
        </w:rPr>
        <w:t xml:space="preserve"> uczestniczyli także w licznych konferencjach, seminariach oraz imprezach targowo-wystawienniczych poświęconych rolnictwu, </w:t>
      </w:r>
      <w:r w:rsidRPr="00925BCD">
        <w:rPr>
          <w:rFonts w:ascii="Arial" w:hAnsi="Arial" w:cs="Arial"/>
        </w:rPr>
        <w:lastRenderedPageBreak/>
        <w:t xml:space="preserve">prezentując i wyjaśniając </w:t>
      </w:r>
      <w:r w:rsidR="00D5577E" w:rsidRPr="00925BCD">
        <w:rPr>
          <w:rFonts w:ascii="Arial" w:hAnsi="Arial" w:cs="Arial"/>
        </w:rPr>
        <w:t xml:space="preserve">wszystkim zainteresowanym </w:t>
      </w:r>
      <w:r w:rsidRPr="00925BCD">
        <w:rPr>
          <w:rFonts w:ascii="Arial" w:hAnsi="Arial" w:cs="Arial"/>
        </w:rPr>
        <w:t>zagadnienia z zakresu integrowanej ochrony roślin i integrowanej produkcji roślin. Tego typu spotkania wykorzystywane były także do dystrybucji materiałów informacyjnych poświęconych integrowanej ochronie roślin. Do najważniejszych tego typu wydarzeń w </w:t>
      </w:r>
      <w:r w:rsidR="00B7178D">
        <w:rPr>
          <w:rFonts w:ascii="Arial" w:hAnsi="Arial" w:cs="Arial"/>
        </w:rPr>
        <w:t xml:space="preserve">latach </w:t>
      </w:r>
      <w:r w:rsidRPr="00925BCD">
        <w:rPr>
          <w:rFonts w:ascii="Arial" w:hAnsi="Arial" w:cs="Arial"/>
        </w:rPr>
        <w:t>2018</w:t>
      </w:r>
      <w:r w:rsidR="00A20E17">
        <w:rPr>
          <w:rFonts w:cs="Arial"/>
        </w:rPr>
        <w:t>–</w:t>
      </w:r>
      <w:r w:rsidR="00B7178D">
        <w:rPr>
          <w:rFonts w:ascii="Arial" w:hAnsi="Arial" w:cs="Arial"/>
        </w:rPr>
        <w:t>202</w:t>
      </w:r>
      <w:r w:rsidR="009C10E9">
        <w:rPr>
          <w:rFonts w:ascii="Arial" w:hAnsi="Arial" w:cs="Arial"/>
        </w:rPr>
        <w:t>1</w:t>
      </w:r>
      <w:r w:rsidR="005702B0" w:rsidRPr="00925BCD">
        <w:rPr>
          <w:rFonts w:ascii="Arial" w:hAnsi="Arial" w:cs="Arial"/>
        </w:rPr>
        <w:t xml:space="preserve"> </w:t>
      </w:r>
      <w:r w:rsidRPr="00925BCD">
        <w:rPr>
          <w:rFonts w:ascii="Arial" w:hAnsi="Arial" w:cs="Arial"/>
        </w:rPr>
        <w:t>należały:</w:t>
      </w:r>
    </w:p>
    <w:p w14:paraId="067093CB"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Targi Rolnicze Agro-Park w Lublinie, </w:t>
      </w:r>
    </w:p>
    <w:p w14:paraId="27E287F2"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Targi Rolno-Przemysłowe AGRO-TECH, połączone z Regionalną Wystawą Zwierząt Hodowlanych w Minikowie, </w:t>
      </w:r>
    </w:p>
    <w:p w14:paraId="38862768"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Krajowa Wystawa Rolnicza oraz Dożynki Jasnogórskie w Częstochowie, </w:t>
      </w:r>
    </w:p>
    <w:p w14:paraId="0DA2881E"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Międzynarodowe Dni z Doradztwem Rolniczym, połączone z Regionalną Wystawą Zwierząt Hodowlanych w Siedlcach, </w:t>
      </w:r>
    </w:p>
    <w:p w14:paraId="2F4C9761"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Regionalna Wystawa Zwierząt Hodowlanych i Dni z Doradztwem Rolniczym w Szepietowie.</w:t>
      </w:r>
    </w:p>
    <w:p w14:paraId="28582BB9" w14:textId="1D15EFB3"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potrzeby realizacji zadania </w:t>
      </w:r>
      <w:r w:rsidR="00D5577E" w:rsidRPr="00925BCD">
        <w:rPr>
          <w:rFonts w:ascii="Arial" w:hAnsi="Arial" w:cs="Arial"/>
        </w:rPr>
        <w:t>m</w:t>
      </w:r>
      <w:r w:rsidRPr="00925BCD">
        <w:rPr>
          <w:rFonts w:ascii="Arial" w:hAnsi="Arial" w:cs="Arial"/>
        </w:rPr>
        <w:t>ateriały dotyczące przepisów, w tym w zakresie integrowanej ochrony roślin, były zamieszczone w publikacji Ministerstwa Rolnictwa i Rozwoju Wsi pt. „Rolnictwo i Gospodarka Żywnościowa w Polsce” oraz Biuletynie Informacyjnym Ministerstwa Rolnictwa i Rozwoju Wsi, jak również w różnego rodzaju materiałach szkoleniowych, targowych oraz programach ochrony roślin.</w:t>
      </w:r>
    </w:p>
    <w:p w14:paraId="5992169F"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wśród materiałów promocyjno-informacyjnych znalazły się także ulotki i plakaty popularyzujące integrowaną ochronę roślin. Ulotki były dystrybuowane wśród producentów rolnych, z kolei plakaty zostały dostarczone do punktów obrotu środkami ochrony roślin. W 2018 r. rozdystrybuowanych zostało 400 broszur pn. „Dobra praktyka ochrony roślin - Ochrona zapylaczy podczas stosowania środków ochrony roślin”, 100 egzemplarzy plakatów i 1300 egzemplarzy ulotek „Nie pozwól aby zabieg ochrony roślin zagrażał zapylaczom” oraz 350 plakatów „Ochrona zbóż przed chorobami grzybowymi to nie tylko dbałość o plon, ale także o zdrowie konsumenta”.</w:t>
      </w:r>
    </w:p>
    <w:p w14:paraId="547AB75D" w14:textId="77777777"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noProof/>
        </w:rPr>
        <w:drawing>
          <wp:inline distT="0" distB="0" distL="0" distR="0" wp14:anchorId="33F7E76C" wp14:editId="4875D893">
            <wp:extent cx="1729105" cy="2433320"/>
            <wp:effectExtent l="0" t="0" r="0" b="0"/>
            <wp:docPr id="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2"/>
                    <pic:cNvPicPr>
                      <a:picLocks noChangeAspect="1" noChangeArrowheads="1"/>
                    </pic:cNvPicPr>
                  </pic:nvPicPr>
                  <pic:blipFill>
                    <a:blip r:embed="rId20"/>
                    <a:stretch>
                      <a:fillRect/>
                    </a:stretch>
                  </pic:blipFill>
                  <pic:spPr bwMode="auto">
                    <a:xfrm>
                      <a:off x="0" y="0"/>
                      <a:ext cx="1729105" cy="2433320"/>
                    </a:xfrm>
                    <a:prstGeom prst="rect">
                      <a:avLst/>
                    </a:prstGeom>
                  </pic:spPr>
                </pic:pic>
              </a:graphicData>
            </a:graphic>
          </wp:inline>
        </w:drawing>
      </w:r>
      <w:r w:rsidRPr="00925BCD">
        <w:rPr>
          <w:noProof/>
        </w:rPr>
        <w:drawing>
          <wp:inline distT="0" distB="0" distL="0" distR="0" wp14:anchorId="6C025E09" wp14:editId="31DE68EB">
            <wp:extent cx="1709420" cy="2416175"/>
            <wp:effectExtent l="0" t="0" r="0" b="0"/>
            <wp:docPr id="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4"/>
                    <pic:cNvPicPr>
                      <a:picLocks noChangeAspect="1" noChangeArrowheads="1"/>
                    </pic:cNvPicPr>
                  </pic:nvPicPr>
                  <pic:blipFill>
                    <a:blip r:embed="rId21"/>
                    <a:stretch>
                      <a:fillRect/>
                    </a:stretch>
                  </pic:blipFill>
                  <pic:spPr bwMode="auto">
                    <a:xfrm>
                      <a:off x="0" y="0"/>
                      <a:ext cx="1709420" cy="2416175"/>
                    </a:xfrm>
                    <a:prstGeom prst="rect">
                      <a:avLst/>
                    </a:prstGeom>
                  </pic:spPr>
                </pic:pic>
              </a:graphicData>
            </a:graphic>
          </wp:inline>
        </w:drawing>
      </w:r>
      <w:r w:rsidRPr="00925BCD">
        <w:rPr>
          <w:noProof/>
        </w:rPr>
        <w:drawing>
          <wp:inline distT="0" distB="0" distL="0" distR="0" wp14:anchorId="3C6BDDB5" wp14:editId="11253688">
            <wp:extent cx="2122805" cy="1527175"/>
            <wp:effectExtent l="0" t="0" r="0" b="0"/>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5"/>
                    <pic:cNvPicPr>
                      <a:picLocks noChangeAspect="1" noChangeArrowheads="1"/>
                    </pic:cNvPicPr>
                  </pic:nvPicPr>
                  <pic:blipFill>
                    <a:blip r:embed="rId22"/>
                    <a:stretch>
                      <a:fillRect/>
                    </a:stretch>
                  </pic:blipFill>
                  <pic:spPr bwMode="auto">
                    <a:xfrm>
                      <a:off x="0" y="0"/>
                      <a:ext cx="2122805" cy="1527175"/>
                    </a:xfrm>
                    <a:prstGeom prst="rect">
                      <a:avLst/>
                    </a:prstGeom>
                  </pic:spPr>
                </pic:pic>
              </a:graphicData>
            </a:graphic>
          </wp:inline>
        </w:drawing>
      </w:r>
    </w:p>
    <w:p w14:paraId="02D95051" w14:textId="77777777" w:rsidR="000F4B47" w:rsidRPr="00925BCD" w:rsidRDefault="000F4B47" w:rsidP="000F4B47">
      <w:pPr>
        <w:spacing w:line="360" w:lineRule="auto"/>
        <w:jc w:val="both"/>
        <w:rPr>
          <w:rFonts w:ascii="Calibri" w:eastAsia="Calibri" w:hAnsi="Calibri"/>
        </w:rPr>
      </w:pPr>
      <w:r w:rsidRPr="00925BCD">
        <w:rPr>
          <w:rFonts w:ascii="Calibri" w:eastAsia="Calibri" w:hAnsi="Calibri"/>
          <w:noProof/>
          <w:lang w:eastAsia="pl-PL"/>
        </w:rPr>
        <w:lastRenderedPageBreak/>
        <w:drawing>
          <wp:inline distT="0" distB="0" distL="0" distR="0" wp14:anchorId="5BA9C7B6" wp14:editId="1B5F75D3">
            <wp:extent cx="1236269" cy="3485877"/>
            <wp:effectExtent l="19050" t="19050" r="21590" b="19685"/>
            <wp:docPr id="112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 name="Obraz 1"/>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02164" cy="3671679"/>
                    </a:xfrm>
                    <a:prstGeom prst="rect">
                      <a:avLst/>
                    </a:prstGeom>
                    <a:noFill/>
                    <a:ln w="15875">
                      <a:solidFill>
                        <a:srgbClr val="000000"/>
                      </a:solidFill>
                      <a:miter lim="800000"/>
                      <a:headEnd/>
                      <a:tailEnd/>
                    </a:ln>
                  </pic:spPr>
                </pic:pic>
              </a:graphicData>
            </a:graphic>
          </wp:inline>
        </w:drawing>
      </w:r>
      <w:r w:rsidRPr="00925BCD">
        <w:rPr>
          <w:rFonts w:ascii="Calibri" w:eastAsia="Calibri" w:hAnsi="Calibri"/>
          <w:noProof/>
        </w:rPr>
        <w:t xml:space="preserve">               </w:t>
      </w:r>
      <w:r w:rsidRPr="00925BCD">
        <w:rPr>
          <w:rFonts w:ascii="Calibri" w:eastAsia="Calibri" w:hAnsi="Calibri"/>
          <w:noProof/>
          <w:lang w:eastAsia="pl-PL"/>
        </w:rPr>
        <w:drawing>
          <wp:inline distT="0" distB="0" distL="0" distR="0" wp14:anchorId="3837D7ED" wp14:editId="51636262">
            <wp:extent cx="1259738" cy="3525926"/>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8935" cy="3579658"/>
                    </a:xfrm>
                    <a:prstGeom prst="rect">
                      <a:avLst/>
                    </a:prstGeom>
                    <a:noFill/>
                  </pic:spPr>
                </pic:pic>
              </a:graphicData>
            </a:graphic>
          </wp:inline>
        </w:drawing>
      </w:r>
    </w:p>
    <w:p w14:paraId="65EAEB9F" w14:textId="6D99631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realizacji zadania w 2018 r. opracowano także plakat i ulotkę dotyczącą ograniczania przekroczeń norm pozostałości środków ochrony roślin w żywności. Mają one zwrócić uwagę na sposoby zapobiegania wystąpieniu nadmiernej ilości pozostałości środków ochrony roślin w płodach rolnych, a tym samym prowadzić do wytwarzania wysokiej jakości żywności. Druk i ich dystrybucja przewidziany</w:t>
      </w:r>
      <w:r w:rsidR="00943551" w:rsidRPr="00925BCD">
        <w:rPr>
          <w:rFonts w:ascii="Arial" w:hAnsi="Arial" w:cs="Arial"/>
        </w:rPr>
        <w:t xml:space="preserve"> został jednak na </w:t>
      </w:r>
      <w:r w:rsidRPr="00925BCD">
        <w:rPr>
          <w:rFonts w:ascii="Arial" w:hAnsi="Arial" w:cs="Arial"/>
        </w:rPr>
        <w:t>2019 r.</w:t>
      </w:r>
    </w:p>
    <w:p w14:paraId="005E1573" w14:textId="71803EDD" w:rsidR="00414DDE" w:rsidRDefault="00E05076"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2019 r. wśród materiałów promocyjno-informacyjnych podobnie jak w 2018 r. </w:t>
      </w:r>
      <w:r w:rsidR="00943551" w:rsidRPr="00925BCD">
        <w:rPr>
          <w:rFonts w:ascii="Arial" w:hAnsi="Arial" w:cs="Arial"/>
        </w:rPr>
        <w:t>znalazły się broszury, ulotki i plakaty popularyzujące integrowaną ochronę roślin.</w:t>
      </w:r>
      <w:r w:rsidRPr="00925BCD">
        <w:rPr>
          <w:rFonts w:ascii="Arial" w:hAnsi="Arial" w:cs="Arial"/>
        </w:rPr>
        <w:t xml:space="preserve"> Rozdys</w:t>
      </w:r>
      <w:r w:rsidR="00943551" w:rsidRPr="00925BCD">
        <w:rPr>
          <w:rFonts w:ascii="Arial" w:hAnsi="Arial" w:cs="Arial"/>
        </w:rPr>
        <w:t xml:space="preserve">trybuowano </w:t>
      </w:r>
      <w:r w:rsidRPr="00925BCD">
        <w:rPr>
          <w:rFonts w:ascii="Arial" w:hAnsi="Arial" w:cs="Arial"/>
        </w:rPr>
        <w:t xml:space="preserve">2 000 broszur </w:t>
      </w:r>
      <w:r w:rsidR="00943551" w:rsidRPr="00925BCD">
        <w:rPr>
          <w:rFonts w:ascii="Arial" w:hAnsi="Arial" w:cs="Arial"/>
        </w:rPr>
        <w:t>„Dobra praktyka ochrony roślin - Ochrona zapylaczy podczas stosowania środków ochrony roślin”</w:t>
      </w:r>
      <w:r w:rsidRPr="00925BCD">
        <w:rPr>
          <w:rFonts w:ascii="Arial" w:hAnsi="Arial" w:cs="Arial"/>
        </w:rPr>
        <w:t>,</w:t>
      </w:r>
      <w:r w:rsidR="00414DDE" w:rsidRPr="00925BCD">
        <w:t xml:space="preserve"> </w:t>
      </w:r>
      <w:r w:rsidR="00414DDE" w:rsidRPr="00925BCD">
        <w:rPr>
          <w:rFonts w:ascii="Arial" w:hAnsi="Arial" w:cs="Arial"/>
        </w:rPr>
        <w:t>100 egzemplarzy plakatów i 2000 egzemplarzy ulotek „Nie pozwól aby zabieg ochrony roślin zagrażał zapylaczom”</w:t>
      </w:r>
      <w:r w:rsidR="00762709" w:rsidRPr="00925BCD">
        <w:rPr>
          <w:rFonts w:ascii="Arial" w:hAnsi="Arial" w:cs="Arial"/>
        </w:rPr>
        <w:t xml:space="preserve"> oraz </w:t>
      </w:r>
      <w:r w:rsidR="002520BA" w:rsidRPr="00925BCD">
        <w:rPr>
          <w:rFonts w:ascii="Arial" w:hAnsi="Arial" w:cs="Arial"/>
        </w:rPr>
        <w:t>600 egzemplarzy plakatów i 5 000 egzemplarzy ulotki dotyczącej ograniczania przekroczeń norm pozostałości środków ochrony roślin w żywności.</w:t>
      </w:r>
    </w:p>
    <w:p w14:paraId="7E4BF27F" w14:textId="5121E3F2" w:rsidR="008F383A" w:rsidRPr="000B4C2B" w:rsidRDefault="008F383A" w:rsidP="000B4C2B">
      <w:pPr>
        <w:pStyle w:val="NormalnyWeb"/>
        <w:tabs>
          <w:tab w:val="left" w:pos="284"/>
        </w:tabs>
        <w:spacing w:beforeAutospacing="0" w:after="120" w:afterAutospacing="0" w:line="360" w:lineRule="auto"/>
        <w:ind w:firstLine="284"/>
        <w:jc w:val="both"/>
        <w:rPr>
          <w:rFonts w:ascii="Arial" w:hAnsi="Arial" w:cs="Arial"/>
        </w:rPr>
      </w:pPr>
      <w:r w:rsidRPr="000B4C2B">
        <w:rPr>
          <w:rFonts w:ascii="Arial" w:hAnsi="Arial" w:cs="Arial"/>
        </w:rPr>
        <w:t>W</w:t>
      </w:r>
      <w:r w:rsidR="00980764" w:rsidRPr="000B4C2B">
        <w:rPr>
          <w:rFonts w:ascii="Arial" w:hAnsi="Arial" w:cs="Arial"/>
        </w:rPr>
        <w:t xml:space="preserve"> 2020 r. </w:t>
      </w:r>
      <w:r w:rsidR="008E5B6F" w:rsidRPr="000B4C2B">
        <w:rPr>
          <w:rFonts w:ascii="Arial" w:hAnsi="Arial" w:cs="Arial"/>
        </w:rPr>
        <w:t xml:space="preserve">w związku z </w:t>
      </w:r>
      <w:r w:rsidRPr="000B4C2B">
        <w:rPr>
          <w:rFonts w:ascii="Arial" w:hAnsi="Arial" w:cs="Arial"/>
        </w:rPr>
        <w:t>Międzynarodowym Rokiem Zdrowia Roślin</w:t>
      </w:r>
      <w:r w:rsidR="008E5B6F" w:rsidRPr="000B4C2B">
        <w:rPr>
          <w:rFonts w:ascii="Arial" w:hAnsi="Arial" w:cs="Arial"/>
        </w:rPr>
        <w:t xml:space="preserve"> zorganizowa</w:t>
      </w:r>
      <w:r w:rsidR="004F0DA3">
        <w:rPr>
          <w:rFonts w:ascii="Arial" w:hAnsi="Arial" w:cs="Arial"/>
        </w:rPr>
        <w:t>n</w:t>
      </w:r>
      <w:r w:rsidR="003C4929">
        <w:rPr>
          <w:rFonts w:ascii="Arial" w:hAnsi="Arial" w:cs="Arial"/>
        </w:rPr>
        <w:t>a została</w:t>
      </w:r>
      <w:r w:rsidR="008E5B6F" w:rsidRPr="000B4C2B">
        <w:rPr>
          <w:rFonts w:ascii="Arial" w:hAnsi="Arial" w:cs="Arial"/>
        </w:rPr>
        <w:t xml:space="preserve"> </w:t>
      </w:r>
      <w:r w:rsidR="003362B3" w:rsidRPr="000B4C2B">
        <w:rPr>
          <w:rFonts w:ascii="Arial" w:hAnsi="Arial" w:cs="Arial"/>
        </w:rPr>
        <w:t>k</w:t>
      </w:r>
      <w:r w:rsidRPr="000B4C2B">
        <w:rPr>
          <w:rFonts w:ascii="Arial" w:hAnsi="Arial" w:cs="Arial"/>
        </w:rPr>
        <w:t>onferencj</w:t>
      </w:r>
      <w:r w:rsidR="003C4929">
        <w:rPr>
          <w:rFonts w:ascii="Arial" w:hAnsi="Arial" w:cs="Arial"/>
        </w:rPr>
        <w:t>a</w:t>
      </w:r>
      <w:r w:rsidRPr="000B4C2B">
        <w:rPr>
          <w:rFonts w:ascii="Arial" w:hAnsi="Arial" w:cs="Arial"/>
        </w:rPr>
        <w:t xml:space="preserve"> pt. „Chroniąc rośliny – chronisz życie” (ok. 200 uczestników) – nt. znaczenia zdrowia roślin w rolnictwie i gospodarce żywnościowe</w:t>
      </w:r>
      <w:r w:rsidR="004F0DA3">
        <w:rPr>
          <w:rFonts w:ascii="Arial" w:hAnsi="Arial" w:cs="Arial"/>
        </w:rPr>
        <w:t>. W</w:t>
      </w:r>
      <w:r w:rsidRPr="000B4C2B">
        <w:rPr>
          <w:rFonts w:ascii="Arial" w:hAnsi="Arial" w:cs="Arial"/>
        </w:rPr>
        <w:t xml:space="preserve">ydano kalendarz pt. Międzynarodowy Rok Zdrowia Roślin </w:t>
      </w:r>
      <w:r w:rsidR="00A43699" w:rsidRPr="000B4C2B">
        <w:rPr>
          <w:rFonts w:ascii="Arial" w:hAnsi="Arial" w:cs="Arial"/>
        </w:rPr>
        <w:t>a</w:t>
      </w:r>
      <w:r w:rsidR="00003711">
        <w:rPr>
          <w:rFonts w:ascii="Arial" w:hAnsi="Arial" w:cs="Arial"/>
        </w:rPr>
        <w:t> </w:t>
      </w:r>
      <w:r w:rsidR="00A43699" w:rsidRPr="000B4C2B">
        <w:rPr>
          <w:rFonts w:ascii="Arial" w:hAnsi="Arial" w:cs="Arial"/>
        </w:rPr>
        <w:t xml:space="preserve">także </w:t>
      </w:r>
      <w:r w:rsidRPr="000B4C2B">
        <w:rPr>
          <w:rFonts w:ascii="Arial" w:hAnsi="Arial" w:cs="Arial"/>
        </w:rPr>
        <w:t>wprowadzono do obiegu kartkę pocztową pt. Międzynarodowy Rok Zdrowia Roślin</w:t>
      </w:r>
      <w:r w:rsidR="0058662B" w:rsidRPr="000B4C2B">
        <w:rPr>
          <w:rFonts w:ascii="Arial" w:hAnsi="Arial" w:cs="Arial"/>
        </w:rPr>
        <w:t>.</w:t>
      </w:r>
    </w:p>
    <w:p w14:paraId="7A594F3A" w14:textId="51248FDF" w:rsidR="00B7178D" w:rsidRPr="00925BCD" w:rsidRDefault="008F383A" w:rsidP="000B4C2B">
      <w:pPr>
        <w:pStyle w:val="NormalnyWeb"/>
        <w:tabs>
          <w:tab w:val="left" w:pos="284"/>
        </w:tabs>
        <w:spacing w:beforeAutospacing="0" w:after="120" w:afterAutospacing="0" w:line="360" w:lineRule="auto"/>
        <w:ind w:firstLine="284"/>
        <w:jc w:val="both"/>
        <w:rPr>
          <w:rFonts w:ascii="Arial" w:hAnsi="Arial" w:cs="Arial"/>
        </w:rPr>
      </w:pPr>
      <w:r w:rsidRPr="000B4C2B">
        <w:rPr>
          <w:rFonts w:ascii="Arial" w:hAnsi="Arial" w:cs="Arial"/>
        </w:rPr>
        <w:t xml:space="preserve">Wydano i rozdysponowano „Kodeks dobrej praktyki ochrony roślin” – 2350 szt. </w:t>
      </w:r>
    </w:p>
    <w:p w14:paraId="3469895C" w14:textId="79DD05B9" w:rsidR="00E05076" w:rsidRDefault="00E05076"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Wydanie ulotek oraz plakatów informacyjno-promocyjnych dotyczących ochrony roślin wpisuje się w</w:t>
      </w:r>
      <w:r w:rsidR="002520BA" w:rsidRPr="00925BCD">
        <w:rPr>
          <w:rFonts w:ascii="Arial" w:hAnsi="Arial" w:cs="Arial"/>
        </w:rPr>
        <w:t> </w:t>
      </w:r>
      <w:r w:rsidRPr="00925BCD">
        <w:rPr>
          <w:rFonts w:ascii="Arial" w:hAnsi="Arial" w:cs="Arial"/>
        </w:rPr>
        <w:t>szeroko</w:t>
      </w:r>
      <w:r w:rsidR="004A1341" w:rsidRPr="00925BCD">
        <w:rPr>
          <w:rFonts w:ascii="Arial" w:hAnsi="Arial" w:cs="Arial"/>
        </w:rPr>
        <w:t xml:space="preserve"> </w:t>
      </w:r>
      <w:r w:rsidRPr="00925BCD">
        <w:rPr>
          <w:rFonts w:ascii="Arial" w:hAnsi="Arial" w:cs="Arial"/>
        </w:rPr>
        <w:t xml:space="preserve">zakrojone działania Ministerstwa Rolnictwa i Rozwoju Wsi związane z bezpiecznym stosowaniem środków ochrony roślin. Przedmiotowe materiały stanowią jedną z form informowania rolników o obowiązkach wynikających z przepisów prawa w zakresie prawidłowego stosowania środków ochrony roślin, w szczególności ochrony owadów zapylających. Dystrybucja wyżej wymienionych materiałów odbyła się poprzez oddziały </w:t>
      </w:r>
      <w:proofErr w:type="spellStart"/>
      <w:r w:rsidRPr="00925BCD">
        <w:rPr>
          <w:rFonts w:ascii="Arial" w:hAnsi="Arial" w:cs="Arial"/>
        </w:rPr>
        <w:t>PIORiN</w:t>
      </w:r>
      <w:proofErr w:type="spellEnd"/>
      <w:r w:rsidRPr="00925BCD">
        <w:rPr>
          <w:rFonts w:ascii="Arial" w:hAnsi="Arial" w:cs="Arial"/>
        </w:rPr>
        <w:t xml:space="preserve">, CDR w Brwinowie, Związki Pszczelarskie oraz </w:t>
      </w:r>
      <w:r w:rsidRPr="00925BCD">
        <w:rPr>
          <w:rFonts w:ascii="Arial" w:hAnsi="Arial" w:cs="Arial"/>
        </w:rPr>
        <w:lastRenderedPageBreak/>
        <w:t>w</w:t>
      </w:r>
      <w:r w:rsidR="002520BA" w:rsidRPr="00925BCD">
        <w:rPr>
          <w:rFonts w:ascii="Arial" w:hAnsi="Arial" w:cs="Arial"/>
        </w:rPr>
        <w:t> </w:t>
      </w:r>
      <w:r w:rsidRPr="00925BCD">
        <w:rPr>
          <w:rFonts w:ascii="Arial" w:hAnsi="Arial" w:cs="Arial"/>
        </w:rPr>
        <w:t xml:space="preserve">trakcie licznych targów, szkoleń i konferencji związanych z tematem ochrony roślin. </w:t>
      </w:r>
    </w:p>
    <w:p w14:paraId="2D7FD4C6" w14:textId="11C20ECD" w:rsidR="00DC569F" w:rsidRPr="00DC569F" w:rsidRDefault="00DC569F" w:rsidP="00DC569F">
      <w:pPr>
        <w:pStyle w:val="NormalnyWeb"/>
        <w:tabs>
          <w:tab w:val="left" w:pos="284"/>
        </w:tabs>
        <w:spacing w:beforeAutospacing="0" w:after="120" w:afterAutospacing="0" w:line="360" w:lineRule="auto"/>
        <w:ind w:firstLine="284"/>
        <w:jc w:val="both"/>
        <w:rPr>
          <w:rFonts w:ascii="Arial" w:hAnsi="Arial" w:cs="Arial"/>
        </w:rPr>
      </w:pPr>
      <w:r w:rsidRPr="00DC569F">
        <w:rPr>
          <w:rFonts w:ascii="Arial" w:hAnsi="Arial" w:cs="Arial"/>
        </w:rPr>
        <w:t>W 2021 r. w ramach działań popularyzujących Ministerstwo Rolnictwa i Rozwoju Wsi wspólnie z</w:t>
      </w:r>
      <w:r w:rsidR="008C7B79">
        <w:rPr>
          <w:rFonts w:ascii="Arial" w:hAnsi="Arial" w:cs="Arial"/>
        </w:rPr>
        <w:t> </w:t>
      </w:r>
      <w:r w:rsidRPr="00DC569F">
        <w:rPr>
          <w:rFonts w:ascii="Arial" w:hAnsi="Arial" w:cs="Arial"/>
        </w:rPr>
        <w:t xml:space="preserve">Pocztą Polską przygotowało i wprowadziło do obiegu nową emisję filatelistyczną pt. „Owady pożyteczne”. Sześć wzorów wielobarwnych znaczków przedstawiających akwarele owadów zapylających – odgrywających ważną rolę w naturalnym ekosystemie Polski i Ziemi. Ponadto, wykonano i rozdysponowano 1000 folderów zawierających jeden znaczek pocztowy z emisji „Owady Pożyteczne” z arkusza Pszczoła Miodna wraz informacją (w języku polskim i angielskim) na temat znaczenia owadów zapylających. </w:t>
      </w:r>
    </w:p>
    <w:p w14:paraId="2F318072" w14:textId="1C126B33" w:rsidR="001B52B0" w:rsidRDefault="00DC569F" w:rsidP="00DC569F">
      <w:pPr>
        <w:pStyle w:val="NormalnyWeb"/>
        <w:tabs>
          <w:tab w:val="left" w:pos="284"/>
        </w:tabs>
        <w:spacing w:beforeAutospacing="0" w:after="120" w:afterAutospacing="0" w:line="360" w:lineRule="auto"/>
        <w:ind w:firstLine="284"/>
        <w:jc w:val="both"/>
        <w:rPr>
          <w:rFonts w:ascii="Arial" w:hAnsi="Arial" w:cs="Arial"/>
        </w:rPr>
      </w:pPr>
      <w:r w:rsidRPr="00DC569F">
        <w:rPr>
          <w:rFonts w:ascii="Arial" w:hAnsi="Arial" w:cs="Arial"/>
        </w:rPr>
        <w:t>W 2021 r. dodrukowano i rozdysponowano także 1000 sztuk „Kodeksu dobrej praktyki ochrony roślin”.</w:t>
      </w:r>
    </w:p>
    <w:p w14:paraId="4FC76B2F" w14:textId="13A6D483"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upowszechnianiu wiedzy z zakresu integrowanej ochrony roślin bierze czynny udział również </w:t>
      </w:r>
      <w:r w:rsidRPr="00925BCD">
        <w:rPr>
          <w:rFonts w:ascii="Arial" w:hAnsi="Arial" w:cs="Arial"/>
          <w:b/>
        </w:rPr>
        <w:t>Państwowa Inspekcja Ochrony Roślin i Nasiennictwa</w:t>
      </w:r>
      <w:r w:rsidRPr="00925BCD">
        <w:rPr>
          <w:rFonts w:ascii="Arial" w:hAnsi="Arial" w:cs="Arial"/>
        </w:rPr>
        <w:t xml:space="preserve">. W </w:t>
      </w:r>
      <w:r w:rsidR="00B7178D">
        <w:rPr>
          <w:rFonts w:ascii="Arial" w:hAnsi="Arial" w:cs="Arial"/>
        </w:rPr>
        <w:t xml:space="preserve">latach </w:t>
      </w:r>
      <w:r w:rsidR="00B7178D" w:rsidRPr="00925BCD">
        <w:rPr>
          <w:rFonts w:ascii="Arial" w:hAnsi="Arial" w:cs="Arial"/>
        </w:rPr>
        <w:t>2018</w:t>
      </w:r>
      <w:r w:rsidR="00A20E17">
        <w:rPr>
          <w:rFonts w:cs="Arial"/>
        </w:rPr>
        <w:t>–</w:t>
      </w:r>
      <w:r w:rsidR="00B7178D">
        <w:rPr>
          <w:rFonts w:ascii="Arial" w:hAnsi="Arial" w:cs="Arial"/>
        </w:rPr>
        <w:t>202</w:t>
      </w:r>
      <w:r w:rsidR="006A029D">
        <w:rPr>
          <w:rFonts w:ascii="Arial" w:hAnsi="Arial" w:cs="Arial"/>
        </w:rPr>
        <w:t>1</w:t>
      </w:r>
      <w:r w:rsidR="00B7178D" w:rsidRPr="00925BCD">
        <w:rPr>
          <w:rFonts w:ascii="Arial" w:hAnsi="Arial" w:cs="Arial"/>
        </w:rPr>
        <w:t xml:space="preserve"> </w:t>
      </w:r>
      <w:r w:rsidRPr="00925BCD">
        <w:rPr>
          <w:rFonts w:ascii="Arial" w:hAnsi="Arial" w:cs="Arial"/>
        </w:rPr>
        <w:t>pracownicy Inspekcji brali udział w szeregu konferencji, prowadzili szkolenia, dystrybuowali materiały informacyjne, publikowali artykuły w prasie, a także występowali w mediach.</w:t>
      </w:r>
    </w:p>
    <w:p w14:paraId="3067CD5B" w14:textId="77777777" w:rsidR="00056846" w:rsidRPr="00925BCD" w:rsidRDefault="00E54725">
      <w:pPr>
        <w:pStyle w:val="Nagwek2"/>
        <w:jc w:val="both"/>
        <w:rPr>
          <w:i w:val="0"/>
          <w:sz w:val="20"/>
          <w:szCs w:val="20"/>
        </w:rPr>
      </w:pPr>
      <w:bookmarkStart w:id="56" w:name="_Toc134099272"/>
      <w:r w:rsidRPr="00925BCD">
        <w:rPr>
          <w:i w:val="0"/>
          <w:sz w:val="20"/>
          <w:szCs w:val="20"/>
        </w:rPr>
        <w:t>Zadanie 2. Utrzymanie platformy internetowej poświęconej integrowanej ochronie roślin</w:t>
      </w:r>
      <w:bookmarkEnd w:id="56"/>
    </w:p>
    <w:p w14:paraId="193DE963" w14:textId="3086931A"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Utworzona w ramach krajowego planu działania realizowanego w latach 2013–2017 Platforma Sygnalizacji Agrofagów (</w:t>
      </w:r>
      <w:hyperlink r:id="rId25">
        <w:r w:rsidRPr="00925BCD">
          <w:rPr>
            <w:rFonts w:ascii="Arial" w:hAnsi="Arial" w:cs="Arial"/>
          </w:rPr>
          <w:t>www.agrofagi.com.pl</w:t>
        </w:r>
      </w:hyperlink>
      <w:r w:rsidRPr="00925BCD">
        <w:rPr>
          <w:rFonts w:ascii="Arial" w:hAnsi="Arial" w:cs="Arial"/>
        </w:rPr>
        <w:t xml:space="preserve">) stanowi płaszczyznę i narzędzie wymiany doświadczeń oraz transferu wiedzy pomiędzy nauką a praktyką przy realizacji wymagań integrowanej ochrony roślin. Platforma ta jest prowadzona przez Instytut Ochrony Roślin </w:t>
      </w:r>
      <w:bookmarkStart w:id="57" w:name="_Hlk90990307"/>
      <w:r w:rsidRPr="00925BCD">
        <w:rPr>
          <w:rFonts w:ascii="Arial" w:hAnsi="Arial" w:cs="Arial"/>
        </w:rPr>
        <w:t xml:space="preserve">– </w:t>
      </w:r>
      <w:bookmarkStart w:id="58" w:name="_Hlk90990291"/>
      <w:r w:rsidRPr="00925BCD">
        <w:rPr>
          <w:rFonts w:ascii="Arial" w:hAnsi="Arial" w:cs="Arial"/>
        </w:rPr>
        <w:t>PIB</w:t>
      </w:r>
      <w:bookmarkEnd w:id="58"/>
      <w:r w:rsidRPr="00925BCD">
        <w:rPr>
          <w:rFonts w:ascii="Arial" w:hAnsi="Arial" w:cs="Arial"/>
        </w:rPr>
        <w:t xml:space="preserve"> </w:t>
      </w:r>
      <w:bookmarkEnd w:id="57"/>
      <w:r w:rsidRPr="00925BCD">
        <w:rPr>
          <w:rFonts w:ascii="Arial" w:hAnsi="Arial" w:cs="Arial"/>
        </w:rPr>
        <w:t>w ścisłej współpracy z Instytutem Ogrodnictwa</w:t>
      </w:r>
      <w:r w:rsidR="00B40925">
        <w:rPr>
          <w:rFonts w:ascii="Arial" w:hAnsi="Arial" w:cs="Arial"/>
        </w:rPr>
        <w:t xml:space="preserve"> </w:t>
      </w:r>
      <w:r w:rsidR="00B7178D" w:rsidRPr="00925BCD">
        <w:rPr>
          <w:rFonts w:ascii="Arial" w:hAnsi="Arial" w:cs="Arial"/>
        </w:rPr>
        <w:t>–</w:t>
      </w:r>
      <w:r w:rsidRPr="00925BCD">
        <w:rPr>
          <w:rFonts w:ascii="Arial" w:hAnsi="Arial" w:cs="Arial"/>
        </w:rPr>
        <w:t xml:space="preserve"> </w:t>
      </w:r>
      <w:r w:rsidR="00B40925" w:rsidRPr="00925BCD">
        <w:rPr>
          <w:rFonts w:ascii="Arial" w:hAnsi="Arial" w:cs="Arial"/>
        </w:rPr>
        <w:t xml:space="preserve">PIB </w:t>
      </w:r>
      <w:r w:rsidRPr="00925BCD">
        <w:rPr>
          <w:rFonts w:ascii="Arial" w:hAnsi="Arial" w:cs="Arial"/>
        </w:rPr>
        <w:t>oraz Instytutem Uprawy Nawożenia i</w:t>
      </w:r>
      <w:r w:rsidR="0074114A" w:rsidRPr="00925BCD">
        <w:rPr>
          <w:rFonts w:ascii="Arial" w:hAnsi="Arial" w:cs="Arial"/>
        </w:rPr>
        <w:t xml:space="preserve"> </w:t>
      </w:r>
      <w:r w:rsidRPr="00925BCD">
        <w:rPr>
          <w:rFonts w:ascii="Arial" w:hAnsi="Arial" w:cs="Arial"/>
        </w:rPr>
        <w:t xml:space="preserve">Gleboznawstwa – </w:t>
      </w:r>
      <w:r w:rsidR="00B40925" w:rsidRPr="00925BCD">
        <w:rPr>
          <w:rFonts w:ascii="Arial" w:hAnsi="Arial" w:cs="Arial"/>
        </w:rPr>
        <w:t>PI</w:t>
      </w:r>
      <w:r w:rsidR="00B7178D">
        <w:rPr>
          <w:rFonts w:ascii="Arial" w:hAnsi="Arial" w:cs="Arial"/>
        </w:rPr>
        <w:t>B</w:t>
      </w:r>
      <w:r w:rsidRPr="00925BCD">
        <w:rPr>
          <w:rFonts w:ascii="Arial" w:hAnsi="Arial" w:cs="Arial"/>
        </w:rPr>
        <w:t>,</w:t>
      </w:r>
      <w:r w:rsidR="0074114A" w:rsidRPr="00925BCD">
        <w:rPr>
          <w:rFonts w:ascii="Arial" w:hAnsi="Arial" w:cs="Arial"/>
        </w:rPr>
        <w:t xml:space="preserve"> </w:t>
      </w:r>
      <w:r w:rsidRPr="00925BCD">
        <w:rPr>
          <w:rFonts w:ascii="Arial" w:hAnsi="Arial" w:cs="Arial"/>
        </w:rPr>
        <w:t>Centralnym Ośrodkiem Badania Odmian Roślin Uprawnych w Słupi Wielkiej oraz wojewódzkimi ośrodkami doradztwa rolniczego.</w:t>
      </w:r>
    </w:p>
    <w:p w14:paraId="772F3FD2" w14:textId="61B3F356"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Biorąc pod uwagę możliwość dostępu do Internetu w Polsce, a w szczególności jego rozwój na obszarach wiejskich, platforma umożliwia mieszkańcom tych obszarów dostęp do nowoczesnych technologii. Za pośrednictwem platformy internetowej poświęconej integrowanej ochronie roślin możliwe jest uzyskanie informacji na temat środków ochrony roślin i </w:t>
      </w:r>
      <w:r w:rsidR="001831F3">
        <w:rPr>
          <w:rFonts w:ascii="Arial" w:hAnsi="Arial" w:cs="Arial"/>
        </w:rPr>
        <w:t xml:space="preserve">o </w:t>
      </w:r>
      <w:r w:rsidRPr="00925BCD">
        <w:rPr>
          <w:rFonts w:ascii="Arial" w:hAnsi="Arial" w:cs="Arial"/>
        </w:rPr>
        <w:t>zasadach ich stosowania. Na stronie internetowej są udostępniane informacje dotyczące system</w:t>
      </w:r>
      <w:r w:rsidR="00E459BB" w:rsidRPr="00925BCD">
        <w:rPr>
          <w:rFonts w:ascii="Arial" w:hAnsi="Arial" w:cs="Arial"/>
        </w:rPr>
        <w:t>ów</w:t>
      </w:r>
      <w:r w:rsidRPr="00925BCD">
        <w:rPr>
          <w:rFonts w:ascii="Arial" w:hAnsi="Arial" w:cs="Arial"/>
        </w:rPr>
        <w:t xml:space="preserve"> wspomagania podejmowania decyzji w ochronie roślin, informacje na temat zwalczania agrofagów, a także metodyki integrowanej ochrony roślin</w:t>
      </w:r>
      <w:r w:rsidR="00E459BB" w:rsidRPr="00925BCD">
        <w:rPr>
          <w:rFonts w:ascii="Arial" w:hAnsi="Arial" w:cs="Arial"/>
        </w:rPr>
        <w:t xml:space="preserve"> i metodyki integrowanej produkcji roślin</w:t>
      </w:r>
      <w:r w:rsidRPr="00925BCD">
        <w:rPr>
          <w:rFonts w:ascii="Arial" w:hAnsi="Arial" w:cs="Arial"/>
        </w:rPr>
        <w:t>, programy ochrony roślin oraz poradniki</w:t>
      </w:r>
      <w:r w:rsidR="00E459BB" w:rsidRPr="00925BCD">
        <w:rPr>
          <w:rFonts w:ascii="Arial" w:hAnsi="Arial" w:cs="Arial"/>
        </w:rPr>
        <w:t xml:space="preserve"> sygnalizatora, a także różnego rodzaju ulotki i broszury.</w:t>
      </w:r>
    </w:p>
    <w:p w14:paraId="6AB058B7" w14:textId="68DC8C49"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iCs/>
        </w:rPr>
      </w:pPr>
      <w:r w:rsidRPr="00925BCD">
        <w:rPr>
          <w:rFonts w:ascii="Arial" w:hAnsi="Arial" w:cs="Arial"/>
        </w:rPr>
        <w:t xml:space="preserve">W ramach działania </w:t>
      </w:r>
      <w:r w:rsidRPr="00925BCD">
        <w:rPr>
          <w:rFonts w:ascii="Arial" w:hAnsi="Arial" w:cs="Arial"/>
          <w:iCs/>
        </w:rPr>
        <w:t xml:space="preserve">regularnie zamieszczane są informacje dotyczące integrowanej ochrony upraw, komunikaty sygnalizacji oraz zapewniona jest </w:t>
      </w:r>
      <w:r w:rsidR="006F1133" w:rsidRPr="00925BCD">
        <w:rPr>
          <w:rFonts w:ascii="Arial" w:hAnsi="Arial" w:cs="Arial"/>
          <w:iCs/>
        </w:rPr>
        <w:t>interaktywnoś</w:t>
      </w:r>
      <w:r w:rsidR="006F1133">
        <w:rPr>
          <w:rFonts w:ascii="Arial" w:hAnsi="Arial" w:cs="Arial"/>
          <w:iCs/>
        </w:rPr>
        <w:t>ć</w:t>
      </w:r>
      <w:r w:rsidR="006F1133" w:rsidRPr="00925BCD">
        <w:rPr>
          <w:rFonts w:ascii="Arial" w:hAnsi="Arial" w:cs="Arial"/>
          <w:iCs/>
        </w:rPr>
        <w:t xml:space="preserve"> </w:t>
      </w:r>
      <w:r w:rsidRPr="00925BCD">
        <w:rPr>
          <w:rFonts w:ascii="Arial" w:hAnsi="Arial" w:cs="Arial"/>
          <w:iCs/>
        </w:rPr>
        <w:t>przez możliwość zadawania pytań ekspertowi.</w:t>
      </w:r>
    </w:p>
    <w:p w14:paraId="0A486762" w14:textId="4EA99086"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74114A" w:rsidRPr="00925BCD">
        <w:rPr>
          <w:rFonts w:ascii="Arial" w:hAnsi="Arial" w:cs="Arial"/>
        </w:rPr>
        <w:t xml:space="preserve">latach </w:t>
      </w:r>
      <w:r w:rsidRPr="00925BCD">
        <w:rPr>
          <w:rFonts w:ascii="Arial" w:hAnsi="Arial" w:cs="Arial"/>
        </w:rPr>
        <w:t>2018</w:t>
      </w:r>
      <w:r w:rsidR="00E459BB" w:rsidRPr="00925BCD">
        <w:rPr>
          <w:rFonts w:ascii="Arial" w:hAnsi="Arial" w:cs="Arial"/>
        </w:rPr>
        <w:t>–</w:t>
      </w:r>
      <w:r w:rsidR="0074114A" w:rsidRPr="00925BCD">
        <w:rPr>
          <w:rFonts w:ascii="Arial" w:hAnsi="Arial" w:cs="Arial"/>
        </w:rPr>
        <w:t>20</w:t>
      </w:r>
      <w:r w:rsidR="003F5A29">
        <w:rPr>
          <w:rFonts w:ascii="Arial" w:hAnsi="Arial" w:cs="Arial"/>
        </w:rPr>
        <w:t>2</w:t>
      </w:r>
      <w:r w:rsidR="002149F4">
        <w:rPr>
          <w:rFonts w:ascii="Arial" w:hAnsi="Arial" w:cs="Arial"/>
        </w:rPr>
        <w:t>1</w:t>
      </w:r>
      <w:r w:rsidR="00B7178D">
        <w:rPr>
          <w:rFonts w:ascii="Arial" w:hAnsi="Arial" w:cs="Arial"/>
        </w:rPr>
        <w:t xml:space="preserve"> za</w:t>
      </w:r>
      <w:r w:rsidRPr="00925BCD">
        <w:rPr>
          <w:rFonts w:ascii="Arial" w:hAnsi="Arial" w:cs="Arial"/>
        </w:rPr>
        <w:t>ktualizowane zostały wykazy dostępnych środków ochrony roślin w</w:t>
      </w:r>
      <w:r w:rsidR="00E459BB" w:rsidRPr="00925BCD">
        <w:rPr>
          <w:rFonts w:ascii="Arial" w:hAnsi="Arial" w:cs="Arial"/>
        </w:rPr>
        <w:t> </w:t>
      </w:r>
      <w:r w:rsidRPr="00925BCD">
        <w:rPr>
          <w:rFonts w:ascii="Arial" w:hAnsi="Arial" w:cs="Arial"/>
        </w:rPr>
        <w:t xml:space="preserve">uprawach rolniczych, sadowniczych, warzywnych i przemysłowych. Zaktualizowano i wprowadzano nowe </w:t>
      </w:r>
      <w:r w:rsidR="00E459BB" w:rsidRPr="00925BCD">
        <w:rPr>
          <w:rFonts w:ascii="Arial" w:hAnsi="Arial" w:cs="Arial"/>
        </w:rPr>
        <w:t xml:space="preserve">metodyki integrowanej ochrony roślin i poradniki, </w:t>
      </w:r>
      <w:r w:rsidRPr="00925BCD">
        <w:rPr>
          <w:rFonts w:ascii="Arial" w:hAnsi="Arial" w:cs="Arial"/>
        </w:rPr>
        <w:t xml:space="preserve">informacje z zakresu ochrony roślin bezpiecznej dla zapylaczy (aktualizacja broszur upowszechnieniowych), programów zapobiegania </w:t>
      </w:r>
      <w:r w:rsidR="00D95B2B" w:rsidRPr="00925BCD">
        <w:rPr>
          <w:rFonts w:ascii="Arial" w:hAnsi="Arial" w:cs="Arial"/>
        </w:rPr>
        <w:t>powstawani</w:t>
      </w:r>
      <w:r w:rsidR="00D95B2B">
        <w:rPr>
          <w:rFonts w:ascii="Arial" w:hAnsi="Arial" w:cs="Arial"/>
        </w:rPr>
        <w:t>u</w:t>
      </w:r>
      <w:r w:rsidR="00D95B2B" w:rsidRPr="00925BCD">
        <w:rPr>
          <w:rFonts w:ascii="Arial" w:hAnsi="Arial" w:cs="Arial"/>
        </w:rPr>
        <w:t xml:space="preserve"> </w:t>
      </w:r>
      <w:r w:rsidRPr="00925BCD">
        <w:rPr>
          <w:rFonts w:ascii="Arial" w:hAnsi="Arial" w:cs="Arial"/>
        </w:rPr>
        <w:lastRenderedPageBreak/>
        <w:t xml:space="preserve">odporności organizmów szkodliwych (8 opracowań). Dodany został panel „Ocena zagrożenia </w:t>
      </w:r>
      <w:proofErr w:type="spellStart"/>
      <w:r w:rsidRPr="00925BCD">
        <w:rPr>
          <w:rFonts w:ascii="Arial" w:hAnsi="Arial" w:cs="Arial"/>
        </w:rPr>
        <w:t>agrofagiem</w:t>
      </w:r>
      <w:proofErr w:type="spellEnd"/>
      <w:r w:rsidRPr="00925BCD">
        <w:rPr>
          <w:rFonts w:ascii="Arial" w:hAnsi="Arial" w:cs="Arial"/>
        </w:rPr>
        <w:t>” (</w:t>
      </w:r>
      <w:proofErr w:type="spellStart"/>
      <w:r w:rsidRPr="00925BCD">
        <w:rPr>
          <w:rFonts w:ascii="Arial" w:hAnsi="Arial" w:cs="Arial"/>
        </w:rPr>
        <w:t>Pest</w:t>
      </w:r>
      <w:proofErr w:type="spellEnd"/>
      <w:r w:rsidRPr="00925BCD">
        <w:rPr>
          <w:rFonts w:ascii="Arial" w:hAnsi="Arial" w:cs="Arial"/>
        </w:rPr>
        <w:t xml:space="preserve"> </w:t>
      </w:r>
      <w:proofErr w:type="spellStart"/>
      <w:r w:rsidRPr="00925BCD">
        <w:rPr>
          <w:rFonts w:ascii="Arial" w:hAnsi="Arial" w:cs="Arial"/>
        </w:rPr>
        <w:t>Risk</w:t>
      </w:r>
      <w:proofErr w:type="spellEnd"/>
      <w:r w:rsidRPr="00925BCD">
        <w:rPr>
          <w:rFonts w:ascii="Arial" w:hAnsi="Arial" w:cs="Arial"/>
        </w:rPr>
        <w:t xml:space="preserve"> </w:t>
      </w:r>
      <w:proofErr w:type="spellStart"/>
      <w:r w:rsidRPr="00925BCD">
        <w:rPr>
          <w:rFonts w:ascii="Arial" w:hAnsi="Arial" w:cs="Arial"/>
        </w:rPr>
        <w:t>Assesment</w:t>
      </w:r>
      <w:proofErr w:type="spellEnd"/>
      <w:r w:rsidRPr="00925BCD">
        <w:rPr>
          <w:rFonts w:ascii="Arial" w:hAnsi="Arial" w:cs="Arial"/>
        </w:rPr>
        <w:t xml:space="preserve">). </w:t>
      </w:r>
    </w:p>
    <w:p w14:paraId="16B2DA98" w14:textId="53406E36" w:rsidR="00056846"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licznik odwiedzin wyniósł blisko 194 tysiące odwiedzających Platformę Sygnalizacji Agrofagów</w:t>
      </w:r>
      <w:r w:rsidR="0074114A" w:rsidRPr="00925BCD">
        <w:rPr>
          <w:rFonts w:ascii="Arial" w:hAnsi="Arial" w:cs="Arial"/>
        </w:rPr>
        <w:t>, natomiast w 2019 r. licznik odwiedzin wzrósł do 278 tysięcy odwiedzających.</w:t>
      </w:r>
    </w:p>
    <w:p w14:paraId="14EF26EF" w14:textId="3B77A760" w:rsidR="00663FF8" w:rsidRDefault="003F5A29" w:rsidP="00043919">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2020 r. s</w:t>
      </w:r>
      <w:r w:rsidRPr="00125F0E">
        <w:rPr>
          <w:rFonts w:ascii="Arial" w:hAnsi="Arial" w:cs="Arial"/>
        </w:rPr>
        <w:t xml:space="preserve">ukcesywnie zamieszczano </w:t>
      </w:r>
      <w:r>
        <w:rPr>
          <w:rFonts w:ascii="Arial" w:hAnsi="Arial" w:cs="Arial"/>
        </w:rPr>
        <w:t>k</w:t>
      </w:r>
      <w:r w:rsidRPr="00125F0E">
        <w:rPr>
          <w:rFonts w:ascii="Arial" w:hAnsi="Arial" w:cs="Arial"/>
        </w:rPr>
        <w:t>omunikaty o zagrożeniach roślin uprawnych ze strony agrofagów</w:t>
      </w:r>
      <w:r>
        <w:rPr>
          <w:rFonts w:ascii="Arial" w:hAnsi="Arial" w:cs="Arial"/>
        </w:rPr>
        <w:t xml:space="preserve">. To spowodowało, że </w:t>
      </w:r>
      <w:r w:rsidRPr="00125F0E">
        <w:rPr>
          <w:rFonts w:ascii="Arial" w:hAnsi="Arial" w:cs="Arial"/>
        </w:rPr>
        <w:t xml:space="preserve">licznik odwiedzin </w:t>
      </w:r>
      <w:r>
        <w:rPr>
          <w:rFonts w:ascii="Arial" w:hAnsi="Arial" w:cs="Arial"/>
        </w:rPr>
        <w:t xml:space="preserve">w 2020 r. </w:t>
      </w:r>
      <w:r w:rsidRPr="00125F0E">
        <w:rPr>
          <w:rFonts w:ascii="Arial" w:hAnsi="Arial" w:cs="Arial"/>
        </w:rPr>
        <w:t>wyniósł 1 027 523 odwiedzających</w:t>
      </w:r>
      <w:r>
        <w:rPr>
          <w:rFonts w:ascii="Arial" w:hAnsi="Arial" w:cs="Arial"/>
        </w:rPr>
        <w:t>.</w:t>
      </w:r>
    </w:p>
    <w:p w14:paraId="2CF676F3" w14:textId="0875DDE2" w:rsidR="00D34D37" w:rsidRDefault="00D34D37" w:rsidP="00D34D37">
      <w:pPr>
        <w:pStyle w:val="NormalnyWeb"/>
        <w:tabs>
          <w:tab w:val="left" w:pos="284"/>
        </w:tabs>
        <w:spacing w:beforeAutospacing="0" w:afterAutospacing="0" w:line="360" w:lineRule="auto"/>
        <w:ind w:firstLine="284"/>
        <w:jc w:val="both"/>
        <w:rPr>
          <w:rFonts w:ascii="Arial" w:hAnsi="Arial" w:cs="Arial"/>
        </w:rPr>
      </w:pPr>
      <w:r w:rsidRPr="00271C1A">
        <w:rPr>
          <w:rFonts w:ascii="Arial" w:hAnsi="Arial" w:cs="Arial"/>
        </w:rPr>
        <w:t xml:space="preserve">W 2021 r. </w:t>
      </w:r>
      <w:r w:rsidR="00043919">
        <w:rPr>
          <w:rFonts w:ascii="Arial" w:hAnsi="Arial" w:cs="Arial"/>
        </w:rPr>
        <w:t>ko</w:t>
      </w:r>
      <w:r w:rsidR="00B24E10">
        <w:rPr>
          <w:rFonts w:ascii="Arial" w:hAnsi="Arial" w:cs="Arial"/>
        </w:rPr>
        <w:t>ntynuowano</w:t>
      </w:r>
      <w:r w:rsidR="008604CC">
        <w:rPr>
          <w:rFonts w:ascii="Arial" w:hAnsi="Arial" w:cs="Arial"/>
        </w:rPr>
        <w:t xml:space="preserve"> zadanie, </w:t>
      </w:r>
      <w:r w:rsidR="00AE6895" w:rsidRPr="00271C1A">
        <w:rPr>
          <w:rFonts w:ascii="Arial" w:hAnsi="Arial" w:cs="Arial"/>
        </w:rPr>
        <w:t>aktualizuj</w:t>
      </w:r>
      <w:r w:rsidR="00AE6895">
        <w:rPr>
          <w:rFonts w:ascii="Arial" w:hAnsi="Arial" w:cs="Arial"/>
        </w:rPr>
        <w:t>ąc</w:t>
      </w:r>
      <w:r w:rsidRPr="00271C1A">
        <w:rPr>
          <w:rFonts w:ascii="Arial" w:hAnsi="Arial" w:cs="Arial"/>
        </w:rPr>
        <w:t xml:space="preserve"> wykazy dostępnych środków ochrony roślin w</w:t>
      </w:r>
      <w:r w:rsidR="00AE6895">
        <w:rPr>
          <w:rFonts w:ascii="Arial" w:hAnsi="Arial" w:cs="Arial"/>
        </w:rPr>
        <w:t> </w:t>
      </w:r>
      <w:r w:rsidRPr="00271C1A">
        <w:rPr>
          <w:rFonts w:ascii="Arial" w:hAnsi="Arial" w:cs="Arial"/>
        </w:rPr>
        <w:t xml:space="preserve">uprawach rolniczych, sadowniczych, warzywnych i przemysłowych. Dodano nowe </w:t>
      </w:r>
      <w:r w:rsidR="00A27C39">
        <w:rPr>
          <w:rFonts w:ascii="Arial" w:hAnsi="Arial" w:cs="Arial"/>
        </w:rPr>
        <w:t>m</w:t>
      </w:r>
      <w:r w:rsidRPr="00271C1A">
        <w:rPr>
          <w:rFonts w:ascii="Arial" w:hAnsi="Arial" w:cs="Arial"/>
        </w:rPr>
        <w:t>etodyki integrowanej ochrony roślin rolniczych, sadowniczych, warzywnych i przemysłowych</w:t>
      </w:r>
      <w:r w:rsidR="00A27C39">
        <w:rPr>
          <w:rFonts w:ascii="Arial" w:hAnsi="Arial" w:cs="Arial"/>
        </w:rPr>
        <w:t xml:space="preserve"> oraz</w:t>
      </w:r>
      <w:r w:rsidRPr="00271C1A">
        <w:rPr>
          <w:rFonts w:ascii="Arial" w:hAnsi="Arial" w:cs="Arial"/>
        </w:rPr>
        <w:t xml:space="preserve"> </w:t>
      </w:r>
      <w:r w:rsidR="00A27C39">
        <w:rPr>
          <w:rFonts w:ascii="Arial" w:hAnsi="Arial" w:cs="Arial"/>
        </w:rPr>
        <w:t>p</w:t>
      </w:r>
      <w:r w:rsidRPr="00271C1A">
        <w:rPr>
          <w:rFonts w:ascii="Arial" w:hAnsi="Arial" w:cs="Arial"/>
        </w:rPr>
        <w:t>oradniki Sygnalizatora. Dodano także podkategorię „Monitoring Ślimaków.” Sukcesywnie zamieszczano Komunikaty o zagrożeniach roślin uprawnych ze strony agrofagów.</w:t>
      </w:r>
    </w:p>
    <w:p w14:paraId="063E0A25" w14:textId="3DECEAB1" w:rsidR="00D34D37" w:rsidRDefault="00D34D37" w:rsidP="00D72D91">
      <w:pPr>
        <w:pStyle w:val="NormalnyWeb"/>
        <w:tabs>
          <w:tab w:val="left" w:pos="284"/>
        </w:tabs>
        <w:spacing w:beforeAutospacing="0" w:afterAutospacing="0" w:line="360" w:lineRule="auto"/>
        <w:ind w:firstLine="284"/>
        <w:jc w:val="both"/>
        <w:rPr>
          <w:rFonts w:ascii="Arial" w:hAnsi="Arial" w:cs="Arial"/>
        </w:rPr>
      </w:pPr>
      <w:r w:rsidRPr="00271C1A">
        <w:rPr>
          <w:rFonts w:ascii="Arial" w:hAnsi="Arial" w:cs="Arial"/>
        </w:rPr>
        <w:t xml:space="preserve">W bazie </w:t>
      </w:r>
      <w:r w:rsidRPr="00271C1A">
        <w:rPr>
          <w:rFonts w:ascii="Arial" w:hAnsi="Arial" w:cs="Arial"/>
          <w:i/>
          <w:iCs/>
        </w:rPr>
        <w:t>Platformy Sygnalizacji Agrofagów</w:t>
      </w:r>
      <w:r w:rsidRPr="00271C1A">
        <w:rPr>
          <w:rFonts w:ascii="Arial" w:hAnsi="Arial" w:cs="Arial"/>
        </w:rPr>
        <w:t xml:space="preserve">, w </w:t>
      </w:r>
      <w:r w:rsidRPr="00912435">
        <w:rPr>
          <w:rFonts w:ascii="Arial" w:hAnsi="Arial" w:cs="Arial"/>
        </w:rPr>
        <w:t>2021</w:t>
      </w:r>
      <w:r w:rsidR="00FC7CC2">
        <w:rPr>
          <w:rFonts w:ascii="Arial" w:hAnsi="Arial" w:cs="Arial"/>
        </w:rPr>
        <w:t xml:space="preserve"> r.</w:t>
      </w:r>
      <w:r w:rsidRPr="00912435">
        <w:rPr>
          <w:rFonts w:ascii="Arial" w:hAnsi="Arial" w:cs="Arial"/>
        </w:rPr>
        <w:t xml:space="preserve"> było 332 obserwatorów</w:t>
      </w:r>
      <w:r w:rsidRPr="00271C1A">
        <w:rPr>
          <w:rFonts w:ascii="Arial" w:hAnsi="Arial" w:cs="Arial"/>
        </w:rPr>
        <w:t xml:space="preserve"> prowadzących monitoring agrofagów oraz 779 miejsc prowadzenia sygnalizacj</w:t>
      </w:r>
      <w:r w:rsidRPr="00837CE7">
        <w:rPr>
          <w:rFonts w:ascii="Arial" w:hAnsi="Arial" w:cs="Arial"/>
        </w:rPr>
        <w:t>i.</w:t>
      </w:r>
    </w:p>
    <w:p w14:paraId="56FD9D83" w14:textId="77777777" w:rsidR="00FC7CC2" w:rsidRPr="00271C1A" w:rsidRDefault="00FC7CC2" w:rsidP="00FC7CC2">
      <w:pPr>
        <w:pStyle w:val="NormalnyWeb"/>
        <w:tabs>
          <w:tab w:val="left" w:pos="284"/>
        </w:tabs>
        <w:spacing w:line="360" w:lineRule="auto"/>
        <w:ind w:firstLine="284"/>
        <w:jc w:val="center"/>
        <w:rPr>
          <w:rFonts w:ascii="Arial" w:hAnsi="Arial" w:cs="Arial"/>
        </w:rPr>
      </w:pPr>
      <w:r w:rsidRPr="00271C1A">
        <w:rPr>
          <w:rFonts w:ascii="Arial" w:hAnsi="Arial" w:cs="Arial"/>
        </w:rPr>
        <w:t>Mapa Polski z punktami obserwacyjnymi, gdzie prowadzony jest monitoring agrofagów</w:t>
      </w:r>
    </w:p>
    <w:p w14:paraId="1517D3F5" w14:textId="77777777" w:rsidR="00D34D37" w:rsidRDefault="00D34D37" w:rsidP="00FC7CC2">
      <w:pPr>
        <w:pStyle w:val="NormalnyWeb"/>
        <w:tabs>
          <w:tab w:val="left" w:pos="284"/>
        </w:tabs>
        <w:spacing w:beforeAutospacing="0" w:afterAutospacing="0" w:line="360" w:lineRule="auto"/>
        <w:ind w:firstLine="284"/>
        <w:jc w:val="center"/>
        <w:rPr>
          <w:rFonts w:ascii="Arial" w:hAnsi="Arial" w:cs="Arial"/>
        </w:rPr>
      </w:pPr>
      <w:r w:rsidRPr="00C0345A">
        <w:rPr>
          <w:rFonts w:ascii="Arial" w:eastAsia="Calibri" w:hAnsi="Arial" w:cs="Arial"/>
          <w:noProof/>
          <w:sz w:val="22"/>
          <w:szCs w:val="22"/>
        </w:rPr>
        <w:drawing>
          <wp:inline distT="0" distB="0" distL="0" distR="0" wp14:anchorId="147FF0B8" wp14:editId="095DC33B">
            <wp:extent cx="3603794" cy="3257964"/>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8239" cy="3271023"/>
                    </a:xfrm>
                    <a:prstGeom prst="rect">
                      <a:avLst/>
                    </a:prstGeom>
                    <a:noFill/>
                    <a:ln>
                      <a:noFill/>
                    </a:ln>
                  </pic:spPr>
                </pic:pic>
              </a:graphicData>
            </a:graphic>
          </wp:inline>
        </w:drawing>
      </w:r>
    </w:p>
    <w:p w14:paraId="6761154C" w14:textId="77777777" w:rsidR="00D34D37" w:rsidRPr="00271C1A" w:rsidRDefault="00D34D37" w:rsidP="00D34D37">
      <w:pPr>
        <w:pStyle w:val="NormalnyWeb"/>
        <w:tabs>
          <w:tab w:val="left" w:pos="284"/>
        </w:tabs>
        <w:spacing w:beforeAutospacing="0" w:afterAutospacing="0" w:line="360" w:lineRule="auto"/>
        <w:ind w:firstLine="284"/>
        <w:jc w:val="both"/>
        <w:rPr>
          <w:rFonts w:ascii="Arial" w:hAnsi="Arial" w:cs="Arial"/>
        </w:rPr>
      </w:pPr>
    </w:p>
    <w:p w14:paraId="127B051D" w14:textId="77777777" w:rsidR="00D34D37" w:rsidRDefault="00D34D37" w:rsidP="00D34D37">
      <w:pPr>
        <w:pStyle w:val="NormalnyWeb"/>
        <w:tabs>
          <w:tab w:val="left" w:pos="284"/>
        </w:tabs>
        <w:spacing w:beforeAutospacing="0" w:afterAutospacing="0" w:line="360" w:lineRule="auto"/>
        <w:ind w:firstLine="284"/>
        <w:jc w:val="both"/>
        <w:rPr>
          <w:rFonts w:ascii="Arial" w:hAnsi="Arial" w:cs="Arial"/>
        </w:rPr>
      </w:pPr>
      <w:r w:rsidRPr="00271C1A">
        <w:rPr>
          <w:rFonts w:ascii="Arial" w:hAnsi="Arial" w:cs="Arial"/>
        </w:rPr>
        <w:t xml:space="preserve">W 2021 r. licznik odwiedzin wyniósł 786 251 odwiedzających </w:t>
      </w:r>
      <w:r w:rsidRPr="00271C1A">
        <w:rPr>
          <w:rFonts w:ascii="Arial" w:hAnsi="Arial" w:cs="Arial"/>
          <w:i/>
        </w:rPr>
        <w:t>Platformę Sygnalizacji Agrofagów</w:t>
      </w:r>
      <w:r w:rsidRPr="00271C1A">
        <w:rPr>
          <w:rFonts w:ascii="Arial" w:hAnsi="Arial" w:cs="Arial"/>
        </w:rPr>
        <w:t>.</w:t>
      </w:r>
    </w:p>
    <w:p w14:paraId="785CDE7F" w14:textId="1DD09910" w:rsidR="00D34D37" w:rsidRDefault="00D34D37" w:rsidP="00A87675">
      <w:pPr>
        <w:pStyle w:val="NormalnyWeb"/>
        <w:tabs>
          <w:tab w:val="left" w:pos="284"/>
        </w:tabs>
        <w:spacing w:beforeAutospacing="0" w:afterAutospacing="0" w:line="360" w:lineRule="auto"/>
        <w:ind w:firstLine="284"/>
        <w:jc w:val="both"/>
        <w:rPr>
          <w:rFonts w:ascii="Arial" w:hAnsi="Arial" w:cs="Arial"/>
        </w:rPr>
      </w:pPr>
    </w:p>
    <w:p w14:paraId="6678B157" w14:textId="77777777" w:rsidR="00056846" w:rsidRPr="00925BCD" w:rsidRDefault="00E54725">
      <w:pPr>
        <w:pStyle w:val="Nagwek2"/>
        <w:jc w:val="both"/>
        <w:rPr>
          <w:i w:val="0"/>
          <w:sz w:val="20"/>
          <w:szCs w:val="20"/>
        </w:rPr>
      </w:pPr>
      <w:bookmarkStart w:id="59" w:name="_Toc134099273"/>
      <w:r w:rsidRPr="00925BCD">
        <w:rPr>
          <w:i w:val="0"/>
          <w:sz w:val="20"/>
          <w:szCs w:val="20"/>
        </w:rPr>
        <w:t>Zadanie 3. Opracowanie, aktualizacja i udostępnienie metodyk integrowanej ochrony poszczególnych upraw</w:t>
      </w:r>
      <w:bookmarkStart w:id="60" w:name="_Toc301334616"/>
      <w:bookmarkStart w:id="61" w:name="_Toc300916282"/>
      <w:bookmarkStart w:id="62" w:name="_Toc341876101"/>
      <w:bookmarkStart w:id="63" w:name="_Toc341876100"/>
      <w:bookmarkEnd w:id="60"/>
      <w:bookmarkEnd w:id="61"/>
      <w:bookmarkEnd w:id="62"/>
      <w:bookmarkEnd w:id="63"/>
      <w:bookmarkEnd w:id="59"/>
    </w:p>
    <w:p w14:paraId="3F383251"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Jednym z działań </w:t>
      </w:r>
      <w:proofErr w:type="spellStart"/>
      <w:r w:rsidRPr="00925BCD">
        <w:rPr>
          <w:rFonts w:ascii="Arial" w:hAnsi="Arial" w:cs="Arial"/>
        </w:rPr>
        <w:t>pozalegislacyjnych</w:t>
      </w:r>
      <w:proofErr w:type="spellEnd"/>
      <w:r w:rsidRPr="00925BCD">
        <w:rPr>
          <w:rFonts w:ascii="Arial" w:hAnsi="Arial" w:cs="Arial"/>
        </w:rPr>
        <w:t xml:space="preserve">, służących wdrożeniu ogólnych zasad integrowanej ochrony roślin, jest aktualizacja oraz udostępnienie użytkownikom profesjonalnym środków ochrony roślin metodyk integrowanej ochrony roślin. Metodyki zawierają zalecenia dotyczące metod ochrony roślin dla </w:t>
      </w:r>
      <w:r w:rsidRPr="00925BCD">
        <w:rPr>
          <w:rFonts w:ascii="Arial" w:hAnsi="Arial" w:cs="Arial"/>
        </w:rPr>
        <w:lastRenderedPageBreak/>
        <w:t xml:space="preserve">poszczególnych upraw, obejmujące metody agrotechniczne, biologiczne i chemiczne, ze szczególnym uwzględnieniem wspomagania naturalnych procesów samoregulacji zachodzących w agrocenozach. Jednym z elementów wykorzystywanych w integrowanej ochronie roślin jest stosowanie prawidłowego płodozmianu. Istotna jest też uprawa odmian odpornych i tolerancyjnych oraz wprowadzanie do praktyki rolniczej alternatywnych form uprawy, takich jak siew mieszanek odmian i gatunków, pozwalających na lepsze wykorzystanie zasobów środowiska rolniczego, bez zakłócania jego równowagi biologicznej. </w:t>
      </w:r>
    </w:p>
    <w:p w14:paraId="69EF33DA" w14:textId="77777777" w:rsidR="00056846" w:rsidRPr="00925BCD" w:rsidRDefault="00E54725" w:rsidP="00407C5E">
      <w:pPr>
        <w:pStyle w:val="NormalnyWeb"/>
        <w:tabs>
          <w:tab w:val="left" w:pos="284"/>
        </w:tabs>
        <w:spacing w:beforeAutospacing="0" w:afterAutospacing="0" w:line="360" w:lineRule="auto"/>
        <w:ind w:firstLine="284"/>
        <w:jc w:val="both"/>
        <w:rPr>
          <w:rFonts w:ascii="Arial" w:hAnsi="Arial" w:cs="Arial"/>
        </w:rPr>
      </w:pPr>
      <w:r w:rsidRPr="00925BCD">
        <w:rPr>
          <w:rFonts w:ascii="Arial" w:hAnsi="Arial" w:cs="Arial"/>
        </w:rPr>
        <w:t>Metodyki integrowanej ochrony roślin zawierają wskazówki dotyczące doboru i stosowania środków ochrony roślin w taki sposób, aby minimalizować ryzyko powstawania zagrożeń dla zdrowia ludzi oraz dla środowiska naturalnego, w tym środowiska wodnego i owadów zapylających. Metodyki mają charakter dobrowolnych wytycznych.</w:t>
      </w:r>
    </w:p>
    <w:p w14:paraId="7009E587" w14:textId="4B4BA69C" w:rsidR="001570A5" w:rsidRPr="00925BCD" w:rsidRDefault="001570A5" w:rsidP="00407C5E">
      <w:pPr>
        <w:pStyle w:val="NormalnyWeb"/>
        <w:tabs>
          <w:tab w:val="left" w:pos="284"/>
        </w:tabs>
        <w:spacing w:beforeAutospacing="0" w:afterAutospacing="0" w:line="360" w:lineRule="auto"/>
        <w:ind w:firstLine="284"/>
        <w:jc w:val="both"/>
        <w:rPr>
          <w:rFonts w:ascii="Arial" w:hAnsi="Arial" w:cs="Arial"/>
        </w:rPr>
      </w:pPr>
      <w:r w:rsidRPr="00A87675">
        <w:rPr>
          <w:rFonts w:ascii="Arial" w:hAnsi="Arial" w:cs="Arial"/>
        </w:rPr>
        <w:t xml:space="preserve">W ramach zadania w 2018 r. zaktualizowano 8 metodyk dla roślin rolniczych, opracowano nową metodykę dla uprawy bobu oraz zaktualizowano 3 metodyki dla roślin sadowniczych (gruszy, śliwy </w:t>
      </w:r>
      <w:r w:rsidR="007856F3" w:rsidRPr="00A87675">
        <w:rPr>
          <w:rFonts w:ascii="Arial" w:hAnsi="Arial" w:cs="Arial"/>
        </w:rPr>
        <w:t>i</w:t>
      </w:r>
      <w:r w:rsidR="007856F3">
        <w:rPr>
          <w:rFonts w:ascii="Arial" w:hAnsi="Arial" w:cs="Arial"/>
        </w:rPr>
        <w:t> </w:t>
      </w:r>
      <w:r w:rsidRPr="00A87675">
        <w:rPr>
          <w:rFonts w:ascii="Arial" w:hAnsi="Arial" w:cs="Arial"/>
        </w:rPr>
        <w:t>wiśni), natomiast w 2019 r. zaktualizowano 2 metodyki dla roślin rolniczych oraz dwie dla roślin sadowniczych (czereśni i truskawki) i jedną dla roślin warzywnych (marchwi).</w:t>
      </w:r>
    </w:p>
    <w:p w14:paraId="46B74F66" w14:textId="610511DE" w:rsidR="001570A5" w:rsidRDefault="00D330CA" w:rsidP="00407C5E">
      <w:pPr>
        <w:pStyle w:val="NormalnyWeb"/>
        <w:tabs>
          <w:tab w:val="left" w:pos="284"/>
        </w:tabs>
        <w:spacing w:beforeAutospacing="0" w:afterAutospacing="0" w:line="360" w:lineRule="auto"/>
        <w:ind w:firstLine="284"/>
        <w:jc w:val="both"/>
        <w:rPr>
          <w:rFonts w:ascii="Arial" w:hAnsi="Arial" w:cs="Arial"/>
        </w:rPr>
      </w:pPr>
      <w:r w:rsidRPr="00D330CA">
        <w:rPr>
          <w:rFonts w:ascii="Arial" w:hAnsi="Arial" w:cs="Arial"/>
        </w:rPr>
        <w:t>W 2020 r. opracowano bądź zaktualizowano 8 metodyk integrowanej ochrony upraw rolniczych – dla: łubinów, żyta, owsa, soi, maku, słonecznika, lnianki siewnej i komonicy zwyczajnej. Z</w:t>
      </w:r>
      <w:r w:rsidR="001570A5" w:rsidRPr="00D330CA">
        <w:rPr>
          <w:rFonts w:ascii="Arial" w:hAnsi="Arial" w:cs="Arial"/>
        </w:rPr>
        <w:t xml:space="preserve">aktualizowano </w:t>
      </w:r>
      <w:r w:rsidRPr="00D330CA">
        <w:rPr>
          <w:rFonts w:ascii="Arial" w:hAnsi="Arial" w:cs="Arial"/>
        </w:rPr>
        <w:t xml:space="preserve">również </w:t>
      </w:r>
      <w:r w:rsidR="001570A5" w:rsidRPr="00D330CA">
        <w:rPr>
          <w:rFonts w:ascii="Arial" w:hAnsi="Arial" w:cs="Arial"/>
        </w:rPr>
        <w:t>5 metodyk integrowanej ochrony roślin</w:t>
      </w:r>
      <w:r w:rsidRPr="00D330CA">
        <w:rPr>
          <w:rFonts w:ascii="Arial" w:hAnsi="Arial" w:cs="Arial"/>
        </w:rPr>
        <w:t xml:space="preserve"> sadowniczych i warzywniczych</w:t>
      </w:r>
      <w:r w:rsidR="001570A5" w:rsidRPr="00D330CA">
        <w:rPr>
          <w:rFonts w:ascii="Arial" w:hAnsi="Arial" w:cs="Arial"/>
        </w:rPr>
        <w:t>, dla następujących gatunków: jabłoni, borówki wysokiej, maliny, kalafiora i pomidora pod osłonami, ze szczególnym uwzględnieniem stosowania metod nie chemicznych.</w:t>
      </w:r>
    </w:p>
    <w:p w14:paraId="2C829BFB" w14:textId="34EEB965" w:rsidR="00AB0EA3" w:rsidRDefault="00D32699" w:rsidP="00407C5E">
      <w:pPr>
        <w:pStyle w:val="NormalnyWeb"/>
        <w:tabs>
          <w:tab w:val="left" w:pos="284"/>
        </w:tabs>
        <w:spacing w:beforeAutospacing="0" w:afterAutospacing="0" w:line="360" w:lineRule="auto"/>
        <w:ind w:firstLine="284"/>
        <w:jc w:val="both"/>
        <w:rPr>
          <w:rFonts w:ascii="Arial" w:hAnsi="Arial" w:cs="Arial"/>
        </w:rPr>
      </w:pPr>
      <w:r w:rsidRPr="00EA0199">
        <w:rPr>
          <w:rFonts w:ascii="Arial" w:hAnsi="Arial" w:cs="Arial"/>
        </w:rPr>
        <w:t xml:space="preserve">W 2021 r. nie aktualizowano </w:t>
      </w:r>
      <w:r w:rsidR="001C5EFD" w:rsidRPr="00EA0199">
        <w:rPr>
          <w:rFonts w:ascii="Arial" w:hAnsi="Arial" w:cs="Arial"/>
        </w:rPr>
        <w:t>m</w:t>
      </w:r>
      <w:r w:rsidRPr="00EA0199">
        <w:rPr>
          <w:rFonts w:ascii="Arial" w:hAnsi="Arial" w:cs="Arial"/>
        </w:rPr>
        <w:t>etodyk integrowanej ochrony upraw rolniczych</w:t>
      </w:r>
      <w:r w:rsidR="00417A22">
        <w:rPr>
          <w:rFonts w:ascii="Arial" w:hAnsi="Arial" w:cs="Arial"/>
        </w:rPr>
        <w:t>,</w:t>
      </w:r>
      <w:r w:rsidR="001C5EFD">
        <w:rPr>
          <w:rFonts w:ascii="Arial" w:hAnsi="Arial" w:cs="Arial"/>
        </w:rPr>
        <w:t xml:space="preserve"> a jedynie</w:t>
      </w:r>
      <w:r w:rsidRPr="00D32699">
        <w:rPr>
          <w:rFonts w:ascii="Arial" w:hAnsi="Arial" w:cs="Arial"/>
        </w:rPr>
        <w:t xml:space="preserve"> </w:t>
      </w:r>
      <w:r w:rsidR="002453F9">
        <w:rPr>
          <w:rFonts w:ascii="Arial" w:hAnsi="Arial" w:cs="Arial"/>
        </w:rPr>
        <w:t>p</w:t>
      </w:r>
      <w:r w:rsidR="002453F9" w:rsidRPr="002453F9">
        <w:rPr>
          <w:rFonts w:ascii="Arial" w:hAnsi="Arial" w:cs="Arial"/>
        </w:rPr>
        <w:t xml:space="preserve">rzygotowano i zlecono </w:t>
      </w:r>
      <w:r w:rsidR="002453F9">
        <w:rPr>
          <w:rFonts w:ascii="Arial" w:hAnsi="Arial" w:cs="Arial"/>
        </w:rPr>
        <w:t xml:space="preserve">ich </w:t>
      </w:r>
      <w:r w:rsidR="002453F9" w:rsidRPr="002453F9">
        <w:rPr>
          <w:rFonts w:ascii="Arial" w:hAnsi="Arial" w:cs="Arial"/>
        </w:rPr>
        <w:t>druk</w:t>
      </w:r>
      <w:r w:rsidR="008468EA">
        <w:rPr>
          <w:rFonts w:ascii="Arial" w:hAnsi="Arial" w:cs="Arial"/>
        </w:rPr>
        <w:t xml:space="preserve">. </w:t>
      </w:r>
      <w:r w:rsidR="00CA283E">
        <w:rPr>
          <w:rFonts w:ascii="Arial" w:hAnsi="Arial" w:cs="Arial"/>
        </w:rPr>
        <w:t>O</w:t>
      </w:r>
      <w:r w:rsidR="00AB0EA3" w:rsidRPr="00407C5E">
        <w:rPr>
          <w:rFonts w:ascii="Arial" w:hAnsi="Arial" w:cs="Arial"/>
        </w:rPr>
        <w:t xml:space="preserve">pracowano </w:t>
      </w:r>
      <w:r w:rsidR="00CA283E" w:rsidRPr="00407C5E">
        <w:rPr>
          <w:rFonts w:ascii="Arial" w:hAnsi="Arial" w:cs="Arial"/>
        </w:rPr>
        <w:t>natomiast</w:t>
      </w:r>
      <w:r w:rsidR="00222502" w:rsidRPr="00407C5E">
        <w:rPr>
          <w:rFonts w:ascii="Arial" w:hAnsi="Arial" w:cs="Arial"/>
        </w:rPr>
        <w:t xml:space="preserve"> </w:t>
      </w:r>
      <w:r w:rsidR="00AB0EA3" w:rsidRPr="00407C5E">
        <w:rPr>
          <w:rFonts w:ascii="Arial" w:hAnsi="Arial" w:cs="Arial"/>
        </w:rPr>
        <w:t>3 metodyki integrowanej ochrony roślin w</w:t>
      </w:r>
      <w:r w:rsidR="004F7880" w:rsidRPr="00407C5E">
        <w:rPr>
          <w:rFonts w:ascii="Arial" w:hAnsi="Arial" w:cs="Arial"/>
        </w:rPr>
        <w:t> </w:t>
      </w:r>
      <w:r w:rsidR="00AB0EA3" w:rsidRPr="00407C5E">
        <w:rPr>
          <w:rFonts w:ascii="Arial" w:hAnsi="Arial" w:cs="Arial"/>
        </w:rPr>
        <w:t xml:space="preserve">wersjach dla producentów i doradców: 1 dla roślin sadowniczych: jeżyna </w:t>
      </w:r>
      <w:proofErr w:type="spellStart"/>
      <w:r w:rsidR="00AB0EA3" w:rsidRPr="00407C5E">
        <w:rPr>
          <w:rFonts w:ascii="Arial" w:hAnsi="Arial" w:cs="Arial"/>
        </w:rPr>
        <w:t>bezkolcowa</w:t>
      </w:r>
      <w:proofErr w:type="spellEnd"/>
      <w:r w:rsidR="00AB0EA3" w:rsidRPr="00407C5E">
        <w:rPr>
          <w:rFonts w:ascii="Arial" w:hAnsi="Arial" w:cs="Arial"/>
        </w:rPr>
        <w:t>; 2 dla roślin warzywnych: czosnek, brokuł</w:t>
      </w:r>
      <w:r w:rsidR="00222502" w:rsidRPr="00407C5E">
        <w:rPr>
          <w:rFonts w:ascii="Arial" w:hAnsi="Arial" w:cs="Arial"/>
        </w:rPr>
        <w:t xml:space="preserve"> a także</w:t>
      </w:r>
      <w:r w:rsidR="00AB0EA3" w:rsidRPr="00407C5E">
        <w:rPr>
          <w:rFonts w:ascii="Arial" w:hAnsi="Arial" w:cs="Arial"/>
        </w:rPr>
        <w:t xml:space="preserve"> zaktualizowano 2 metodyki integrowanej ochrony roślin w</w:t>
      </w:r>
      <w:r w:rsidR="004F7880" w:rsidRPr="00407C5E">
        <w:rPr>
          <w:rFonts w:ascii="Arial" w:hAnsi="Arial" w:cs="Arial"/>
        </w:rPr>
        <w:t> </w:t>
      </w:r>
      <w:r w:rsidR="00AB0EA3" w:rsidRPr="00407C5E">
        <w:rPr>
          <w:rFonts w:ascii="Arial" w:hAnsi="Arial" w:cs="Arial"/>
        </w:rPr>
        <w:t>wersjach dla doradców i producentów porzeczek oraz sałaty w uprawie polowej i pod osłonami,</w:t>
      </w:r>
    </w:p>
    <w:p w14:paraId="1D80C471" w14:textId="69B79368" w:rsidR="00D330CA" w:rsidRPr="00125F0E" w:rsidRDefault="00D330CA" w:rsidP="00D330CA">
      <w:pPr>
        <w:pStyle w:val="NormalnyWeb"/>
        <w:tabs>
          <w:tab w:val="left" w:pos="284"/>
        </w:tabs>
        <w:spacing w:beforeAutospacing="0" w:afterAutospacing="0" w:line="360" w:lineRule="auto"/>
        <w:ind w:firstLine="284"/>
        <w:jc w:val="both"/>
        <w:rPr>
          <w:rFonts w:ascii="Arial" w:hAnsi="Arial" w:cs="Arial"/>
        </w:rPr>
      </w:pPr>
      <w:r w:rsidRPr="00125F0E">
        <w:rPr>
          <w:rFonts w:ascii="Arial" w:hAnsi="Arial" w:cs="Arial"/>
        </w:rPr>
        <w:t xml:space="preserve">Opracowania dedykowane doradcom </w:t>
      </w:r>
      <w:r>
        <w:rPr>
          <w:rFonts w:ascii="Arial" w:hAnsi="Arial" w:cs="Arial"/>
        </w:rPr>
        <w:t xml:space="preserve">i producentom </w:t>
      </w:r>
      <w:r w:rsidRPr="00125F0E">
        <w:rPr>
          <w:rFonts w:ascii="Arial" w:hAnsi="Arial" w:cs="Arial"/>
        </w:rPr>
        <w:t xml:space="preserve">stanowią kompendium aktualnej wiedzy niezbędnej dla wdrażania i prowadzenia ochrony roślin zgodnie z zasadami integrowanej ochrony. </w:t>
      </w:r>
    </w:p>
    <w:p w14:paraId="6FFCE236" w14:textId="5E250364" w:rsidR="00D330CA" w:rsidRPr="00125F0E" w:rsidRDefault="00D330CA" w:rsidP="00D330CA">
      <w:pPr>
        <w:spacing w:after="0" w:line="360" w:lineRule="auto"/>
        <w:ind w:firstLine="284"/>
        <w:jc w:val="both"/>
        <w:rPr>
          <w:rFonts w:ascii="Arial" w:hAnsi="Arial" w:cs="Arial"/>
          <w:sz w:val="20"/>
          <w:szCs w:val="20"/>
        </w:rPr>
      </w:pPr>
      <w:r w:rsidRPr="00125F0E">
        <w:rPr>
          <w:rFonts w:ascii="Arial" w:hAnsi="Arial" w:cs="Arial"/>
          <w:sz w:val="20"/>
          <w:szCs w:val="20"/>
        </w:rPr>
        <w:t>Zakres merytoryczny metodyk obejmuje następujące rozdziały: wstęp, przepisy prawne, zasady agrotechniki (stanowisko i płodozmian, przygotowanie gleby, nawożenie, siew), dobór odmian, regulację zachwaszczenia, ograniczanie sprawców chorób, ograniczanie strat powodowanych przez szkodniki, odporność agrofagów na środki ochrony roślin, metody biologiczne w integrowanej ochronie roślin, ochronę organizmów pożytecznych, ochronę owadów zapylających, rolę doradztwa w zakresie wdrażania zaleceń integrowanej ochrony roślin, przygotowanie do zbioru, zbiór, transport i</w:t>
      </w:r>
      <w:r w:rsidR="00003711">
        <w:rPr>
          <w:rFonts w:ascii="Arial" w:hAnsi="Arial" w:cs="Arial"/>
          <w:sz w:val="20"/>
          <w:szCs w:val="20"/>
        </w:rPr>
        <w:t> </w:t>
      </w:r>
      <w:r w:rsidRPr="00125F0E">
        <w:rPr>
          <w:rFonts w:ascii="Arial" w:hAnsi="Arial" w:cs="Arial"/>
          <w:sz w:val="20"/>
          <w:szCs w:val="20"/>
        </w:rPr>
        <w:t xml:space="preserve">przechowywanie plonu, właściwy dobór techniki stosowania środków ochrony roślin, zasady prowadzenia dokumentacji w integrowanej ochronie roślin i listy kontrolne integrowanej ochrony, fazy rozwojowe w skali BBCH oraz spis literatury. </w:t>
      </w:r>
    </w:p>
    <w:p w14:paraId="2A1A5BAA" w14:textId="3B17B47E" w:rsidR="000A0EEF" w:rsidRPr="000A0EEF" w:rsidRDefault="00A87675" w:rsidP="000A0EE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M</w:t>
      </w:r>
      <w:r w:rsidR="000A0EEF" w:rsidRPr="000A0EEF">
        <w:rPr>
          <w:rFonts w:ascii="Arial" w:hAnsi="Arial" w:cs="Arial"/>
        </w:rPr>
        <w:t>etodyki zostały opracowane w wersjach dla producentów i doradców i udostępniane są na Platformie Sygnalizacji Agrofagów.</w:t>
      </w:r>
    </w:p>
    <w:p w14:paraId="28F69A36" w14:textId="5327FBD1" w:rsidR="000A0EEF" w:rsidRDefault="000A0EEF" w:rsidP="000A0EEF">
      <w:pPr>
        <w:pStyle w:val="NormalnyWeb"/>
        <w:tabs>
          <w:tab w:val="left" w:pos="284"/>
        </w:tabs>
        <w:spacing w:beforeAutospacing="0" w:after="120" w:afterAutospacing="0" w:line="360" w:lineRule="auto"/>
        <w:ind w:firstLine="284"/>
        <w:jc w:val="both"/>
        <w:rPr>
          <w:rFonts w:ascii="Arial" w:hAnsi="Arial" w:cs="Arial"/>
        </w:rPr>
      </w:pPr>
      <w:r w:rsidRPr="000A0EEF">
        <w:rPr>
          <w:rFonts w:ascii="Arial" w:hAnsi="Arial" w:cs="Arial"/>
        </w:rPr>
        <w:t xml:space="preserve">Łącznie opracowanych zostały metodyki integrowanej ochrony </w:t>
      </w:r>
      <w:r w:rsidRPr="00F5317D">
        <w:rPr>
          <w:rFonts w:ascii="Arial" w:hAnsi="Arial" w:cs="Arial"/>
        </w:rPr>
        <w:t>roślin dla 7</w:t>
      </w:r>
      <w:r w:rsidR="002D3CB1">
        <w:rPr>
          <w:rFonts w:ascii="Arial" w:hAnsi="Arial" w:cs="Arial"/>
        </w:rPr>
        <w:t>6</w:t>
      </w:r>
      <w:r w:rsidRPr="00F5317D">
        <w:rPr>
          <w:rFonts w:ascii="Arial" w:hAnsi="Arial" w:cs="Arial"/>
        </w:rPr>
        <w:t xml:space="preserve"> upraw.</w:t>
      </w:r>
      <w:r w:rsidRPr="00925BCD">
        <w:rPr>
          <w:rFonts w:ascii="Arial" w:hAnsi="Arial" w:cs="Arial"/>
        </w:rPr>
        <w:t xml:space="preserve"> </w:t>
      </w:r>
    </w:p>
    <w:p w14:paraId="196D0F35" w14:textId="77777777" w:rsidR="00056846" w:rsidRPr="00925BCD" w:rsidRDefault="00E54725">
      <w:pPr>
        <w:pStyle w:val="Nagwek2"/>
        <w:jc w:val="both"/>
        <w:rPr>
          <w:i w:val="0"/>
          <w:sz w:val="20"/>
          <w:szCs w:val="20"/>
        </w:rPr>
      </w:pPr>
      <w:bookmarkStart w:id="64" w:name="_Toc341876102"/>
      <w:bookmarkStart w:id="65" w:name="_Toc301334617"/>
      <w:bookmarkStart w:id="66" w:name="_Toc300916283"/>
      <w:bookmarkStart w:id="67" w:name="_Toc134099274"/>
      <w:r w:rsidRPr="00925BCD">
        <w:rPr>
          <w:i w:val="0"/>
          <w:sz w:val="20"/>
          <w:szCs w:val="20"/>
        </w:rPr>
        <w:lastRenderedPageBreak/>
        <w:t xml:space="preserve">Zadanie 4. </w:t>
      </w:r>
      <w:bookmarkEnd w:id="64"/>
      <w:bookmarkEnd w:id="65"/>
      <w:bookmarkEnd w:id="66"/>
      <w:r w:rsidRPr="00925BCD">
        <w:rPr>
          <w:i w:val="0"/>
          <w:sz w:val="20"/>
          <w:szCs w:val="20"/>
        </w:rPr>
        <w:t>Prowadzenie systemu sygnalizacji agrofagów</w:t>
      </w:r>
      <w:bookmarkEnd w:id="67"/>
    </w:p>
    <w:p w14:paraId="07ED2752" w14:textId="77777777" w:rsidR="00056846" w:rsidRPr="00925BCD" w:rsidRDefault="00E54725" w:rsidP="004A1341">
      <w:pPr>
        <w:pStyle w:val="NormalnyWeb"/>
        <w:tabs>
          <w:tab w:val="left" w:pos="284"/>
        </w:tabs>
        <w:spacing w:beforeAutospacing="0" w:afterAutospacing="0" w:line="360" w:lineRule="auto"/>
        <w:ind w:firstLine="284"/>
        <w:jc w:val="both"/>
        <w:rPr>
          <w:rFonts w:ascii="Arial" w:hAnsi="Arial" w:cs="Arial"/>
        </w:rPr>
      </w:pPr>
      <w:r w:rsidRPr="00925BCD">
        <w:rPr>
          <w:rFonts w:ascii="Arial" w:hAnsi="Arial" w:cs="Arial"/>
        </w:rPr>
        <w:t>Jednym z istotnych elementów integrowanej ochrony roślin jest ograniczenie wykonywania chemicznych zabiegów ochrony roślin do przypadków, gdy jest to uzasadnione występowaniem organizmów szkodliwych w natężeniu stwarzającym zagrożenie dla upraw oraz wybór optymalnego terminu wykonania zabiegu ochrony roślin. Pozwala to, przez podniesienie efektywności zabiegów ochrony roślin, na ograniczenie ilości stosowanych środków ochrony roślin czy też dobór najbardziej skutecznych preparatów.</w:t>
      </w:r>
    </w:p>
    <w:p w14:paraId="300A17B5" w14:textId="53E04748" w:rsidR="00056846" w:rsidRPr="00925BCD" w:rsidRDefault="00E54725" w:rsidP="004A1341">
      <w:pPr>
        <w:pStyle w:val="NormalnyWeb"/>
        <w:tabs>
          <w:tab w:val="left" w:pos="284"/>
        </w:tabs>
        <w:spacing w:beforeAutospacing="0" w:afterAutospacing="0" w:line="360" w:lineRule="auto"/>
        <w:ind w:firstLine="284"/>
        <w:jc w:val="both"/>
        <w:rPr>
          <w:rFonts w:ascii="Arial" w:hAnsi="Arial" w:cs="Arial"/>
        </w:rPr>
      </w:pPr>
      <w:r w:rsidRPr="00925BCD">
        <w:rPr>
          <w:rFonts w:ascii="Arial" w:hAnsi="Arial" w:cs="Arial"/>
        </w:rPr>
        <w:t xml:space="preserve">Mając na uwadze zapotrzebowanie producentów na dokładne informacje dotyczące określenia optymalnych terminów i ustalenia potrzeby wykonania zabiegów na Platformie Sygnalizacji Agrofagów udostępniona została aplikacja Sygnalizacja agrofagów. W wyniku obserwacji prowadzonych przez pracowników </w:t>
      </w:r>
      <w:r w:rsidRPr="0081600F">
        <w:rPr>
          <w:rFonts w:ascii="Arial" w:hAnsi="Arial" w:cs="Arial"/>
        </w:rPr>
        <w:t>Instytutu Ochrony Roślin – PIB, Instytutu</w:t>
      </w:r>
      <w:r w:rsidRPr="00925BCD">
        <w:rPr>
          <w:rFonts w:ascii="Arial" w:hAnsi="Arial" w:cs="Arial"/>
        </w:rPr>
        <w:t xml:space="preserve"> Hodowli i Aklimatyzacji Roślin – PIB, </w:t>
      </w:r>
      <w:r w:rsidR="00EE4054">
        <w:rPr>
          <w:rFonts w:ascii="Arial" w:hAnsi="Arial" w:cs="Arial"/>
        </w:rPr>
        <w:t>Instytutu</w:t>
      </w:r>
      <w:r w:rsidR="0082798E">
        <w:rPr>
          <w:rFonts w:ascii="Arial" w:hAnsi="Arial" w:cs="Arial"/>
        </w:rPr>
        <w:t xml:space="preserve"> Uprawy Nawożenia i Gleboznawstwa</w:t>
      </w:r>
      <w:r w:rsidR="00EE4054">
        <w:rPr>
          <w:rFonts w:ascii="Arial" w:hAnsi="Arial" w:cs="Arial"/>
        </w:rPr>
        <w:t xml:space="preserve"> </w:t>
      </w:r>
      <w:r w:rsidR="00413C81">
        <w:rPr>
          <w:rFonts w:ascii="Arial" w:hAnsi="Arial" w:cs="Arial"/>
        </w:rPr>
        <w:t xml:space="preserve">– PIB, </w:t>
      </w:r>
      <w:r w:rsidRPr="00925BCD">
        <w:rPr>
          <w:rFonts w:ascii="Arial" w:hAnsi="Arial" w:cs="Arial"/>
        </w:rPr>
        <w:t xml:space="preserve">COBORU, ośrodków doradztwa rolniczego oraz kilku firm prywatnych z  sektora rolnego, w 2018 r. </w:t>
      </w:r>
      <w:r w:rsidR="00690EFE" w:rsidRPr="00925BCD">
        <w:rPr>
          <w:rFonts w:ascii="Arial" w:hAnsi="Arial" w:cs="Arial"/>
        </w:rPr>
        <w:t>i 2019 r.</w:t>
      </w:r>
      <w:r w:rsidR="004A1341" w:rsidRPr="00925BCD">
        <w:rPr>
          <w:rFonts w:ascii="Arial" w:hAnsi="Arial" w:cs="Arial"/>
        </w:rPr>
        <w:t xml:space="preserve"> </w:t>
      </w:r>
      <w:r w:rsidRPr="00925BCD">
        <w:rPr>
          <w:rFonts w:ascii="Arial" w:hAnsi="Arial" w:cs="Arial"/>
        </w:rPr>
        <w:t>w ok. 300</w:t>
      </w:r>
      <w:r w:rsidR="00D330CA">
        <w:rPr>
          <w:rFonts w:ascii="Arial" w:hAnsi="Arial" w:cs="Arial"/>
        </w:rPr>
        <w:t>,</w:t>
      </w:r>
      <w:r w:rsidR="00F92F3E">
        <w:rPr>
          <w:rFonts w:ascii="Arial" w:hAnsi="Arial" w:cs="Arial"/>
        </w:rPr>
        <w:t xml:space="preserve"> </w:t>
      </w:r>
      <w:r w:rsidR="00D86C0C" w:rsidRPr="00D86C0C">
        <w:rPr>
          <w:rFonts w:ascii="Arial" w:hAnsi="Arial" w:cs="Arial"/>
        </w:rPr>
        <w:t xml:space="preserve">w 2020 r. w ok. 500, </w:t>
      </w:r>
      <w:r w:rsidR="003C4AFB">
        <w:rPr>
          <w:rFonts w:ascii="Arial" w:hAnsi="Arial" w:cs="Arial"/>
        </w:rPr>
        <w:t xml:space="preserve">a </w:t>
      </w:r>
      <w:r w:rsidR="00D86C0C" w:rsidRPr="00D86C0C">
        <w:rPr>
          <w:rFonts w:ascii="Arial" w:hAnsi="Arial" w:cs="Arial"/>
        </w:rPr>
        <w:t>w 2021 w ok. 800</w:t>
      </w:r>
      <w:r w:rsidR="003C4AFB">
        <w:rPr>
          <w:rFonts w:ascii="Arial" w:hAnsi="Arial" w:cs="Arial"/>
        </w:rPr>
        <w:t xml:space="preserve"> </w:t>
      </w:r>
      <w:r w:rsidRPr="00925BCD">
        <w:rPr>
          <w:rFonts w:ascii="Arial" w:hAnsi="Arial" w:cs="Arial"/>
        </w:rPr>
        <w:t xml:space="preserve">lokalizacjach prowadzona była sygnalizacja dla następujących upraw </w:t>
      </w:r>
    </w:p>
    <w:p w14:paraId="0E3C46F6" w14:textId="77777777" w:rsidR="00056846" w:rsidRPr="00925BCD" w:rsidRDefault="00E54725" w:rsidP="004A1341">
      <w:pPr>
        <w:pStyle w:val="Default"/>
        <w:numPr>
          <w:ilvl w:val="0"/>
          <w:numId w:val="18"/>
        </w:numPr>
        <w:spacing w:line="360" w:lineRule="auto"/>
        <w:ind w:left="1276"/>
        <w:jc w:val="both"/>
        <w:rPr>
          <w:rFonts w:ascii="Arial" w:hAnsi="Arial" w:cs="Arial"/>
          <w:sz w:val="20"/>
          <w:szCs w:val="20"/>
        </w:rPr>
      </w:pPr>
      <w:r w:rsidRPr="00925BCD">
        <w:rPr>
          <w:rFonts w:ascii="Arial" w:hAnsi="Arial" w:cs="Arial"/>
          <w:sz w:val="20"/>
          <w:szCs w:val="20"/>
        </w:rPr>
        <w:t xml:space="preserve">pszenica ozima: </w:t>
      </w:r>
    </w:p>
    <w:p w14:paraId="397AF46E" w14:textId="77777777" w:rsidR="00056846" w:rsidRPr="00925BCD" w:rsidRDefault="00E54725" w:rsidP="004A1341">
      <w:pPr>
        <w:pStyle w:val="Default"/>
        <w:numPr>
          <w:ilvl w:val="0"/>
          <w:numId w:val="19"/>
        </w:numPr>
        <w:spacing w:line="360" w:lineRule="auto"/>
        <w:ind w:left="1843"/>
        <w:jc w:val="both"/>
        <w:rPr>
          <w:rFonts w:ascii="Arial" w:hAnsi="Arial" w:cs="Arial"/>
          <w:sz w:val="20"/>
          <w:szCs w:val="20"/>
        </w:rPr>
      </w:pPr>
      <w:r w:rsidRPr="00925BCD">
        <w:rPr>
          <w:rFonts w:ascii="Arial" w:hAnsi="Arial" w:cs="Arial"/>
          <w:sz w:val="20"/>
          <w:szCs w:val="20"/>
        </w:rPr>
        <w:t>okres wiosenny/letni:</w:t>
      </w:r>
    </w:p>
    <w:p w14:paraId="3CFFE81E"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mączniak prawdziwy zbóż, septoriozy (bez podziału na gatunki), brunatna plamistość liści, skrzypionki, mszyca czeremchowo-zbożowa, mszyca zbożowa </w:t>
      </w:r>
    </w:p>
    <w:p w14:paraId="40789DAA" w14:textId="77777777" w:rsidR="00056846" w:rsidRPr="00925BCD" w:rsidRDefault="00E54725" w:rsidP="004A1341">
      <w:pPr>
        <w:pStyle w:val="Default"/>
        <w:numPr>
          <w:ilvl w:val="0"/>
          <w:numId w:val="19"/>
        </w:numPr>
        <w:spacing w:line="360" w:lineRule="auto"/>
        <w:ind w:left="1843"/>
        <w:jc w:val="both"/>
        <w:rPr>
          <w:rFonts w:ascii="Arial" w:hAnsi="Arial" w:cs="Arial"/>
          <w:sz w:val="20"/>
          <w:szCs w:val="20"/>
        </w:rPr>
      </w:pPr>
      <w:r w:rsidRPr="00925BCD">
        <w:rPr>
          <w:rFonts w:ascii="Arial" w:hAnsi="Arial" w:cs="Arial"/>
          <w:sz w:val="20"/>
          <w:szCs w:val="20"/>
        </w:rPr>
        <w:t>okres jesienny:</w:t>
      </w:r>
    </w:p>
    <w:p w14:paraId="6E4569A2"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mączniak prawdziwy zbóż, septorioza paskowana, mszyca czeremchowo-zbożowa, </w:t>
      </w:r>
    </w:p>
    <w:p w14:paraId="77F254C0"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 xml:space="preserve">kukurydza </w:t>
      </w:r>
    </w:p>
    <w:p w14:paraId="26AA2EFB" w14:textId="77777777" w:rsidR="00056846" w:rsidRPr="00925BCD" w:rsidRDefault="00E54725" w:rsidP="004A1341">
      <w:pPr>
        <w:pStyle w:val="Default"/>
        <w:spacing w:line="360" w:lineRule="auto"/>
        <w:ind w:left="2127" w:hanging="273"/>
        <w:jc w:val="both"/>
        <w:rPr>
          <w:rFonts w:ascii="Arial" w:hAnsi="Arial" w:cs="Arial"/>
          <w:sz w:val="20"/>
          <w:szCs w:val="20"/>
        </w:rPr>
      </w:pPr>
      <w:r w:rsidRPr="00925BCD">
        <w:rPr>
          <w:rFonts w:ascii="Arial" w:hAnsi="Arial" w:cs="Arial"/>
          <w:sz w:val="20"/>
          <w:szCs w:val="20"/>
        </w:rPr>
        <w:t>– ploniarka zbożówka, omacnica prosowianka, stonka kukurydziana,</w:t>
      </w:r>
    </w:p>
    <w:p w14:paraId="69D915F1"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 xml:space="preserve">rzepak ozimy </w:t>
      </w:r>
    </w:p>
    <w:p w14:paraId="482BB8AF" w14:textId="77777777" w:rsidR="00056846" w:rsidRPr="00925BCD" w:rsidRDefault="00E54725" w:rsidP="004A1341">
      <w:pPr>
        <w:pStyle w:val="Default"/>
        <w:numPr>
          <w:ilvl w:val="0"/>
          <w:numId w:val="19"/>
        </w:numPr>
        <w:spacing w:line="360" w:lineRule="auto"/>
        <w:ind w:left="1985"/>
        <w:jc w:val="both"/>
        <w:rPr>
          <w:rFonts w:ascii="Arial" w:hAnsi="Arial" w:cs="Arial"/>
          <w:sz w:val="20"/>
          <w:szCs w:val="20"/>
        </w:rPr>
      </w:pPr>
      <w:r w:rsidRPr="00925BCD">
        <w:rPr>
          <w:rFonts w:ascii="Arial" w:hAnsi="Arial" w:cs="Arial"/>
          <w:sz w:val="20"/>
          <w:szCs w:val="20"/>
        </w:rPr>
        <w:t>okres wiosenny/letni:</w:t>
      </w:r>
    </w:p>
    <w:p w14:paraId="5058EE43"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czerń krzyżowych, chowacz </w:t>
      </w:r>
      <w:proofErr w:type="spellStart"/>
      <w:r w:rsidRPr="00925BCD">
        <w:rPr>
          <w:rFonts w:ascii="Arial" w:hAnsi="Arial" w:cs="Arial"/>
          <w:sz w:val="20"/>
          <w:szCs w:val="20"/>
        </w:rPr>
        <w:t>brukwiaczek</w:t>
      </w:r>
      <w:proofErr w:type="spellEnd"/>
      <w:r w:rsidRPr="00925BCD">
        <w:rPr>
          <w:rFonts w:ascii="Arial" w:hAnsi="Arial" w:cs="Arial"/>
          <w:sz w:val="20"/>
          <w:szCs w:val="20"/>
        </w:rPr>
        <w:t xml:space="preserve">, chowacz czterozębny, chowacz </w:t>
      </w:r>
      <w:proofErr w:type="spellStart"/>
      <w:r w:rsidRPr="00925BCD">
        <w:rPr>
          <w:rFonts w:ascii="Arial" w:hAnsi="Arial" w:cs="Arial"/>
          <w:sz w:val="20"/>
          <w:szCs w:val="20"/>
        </w:rPr>
        <w:t>podobnik</w:t>
      </w:r>
      <w:proofErr w:type="spellEnd"/>
      <w:r w:rsidRPr="00925BCD">
        <w:rPr>
          <w:rFonts w:ascii="Arial" w:hAnsi="Arial" w:cs="Arial"/>
          <w:sz w:val="20"/>
          <w:szCs w:val="20"/>
        </w:rPr>
        <w:t xml:space="preserve">, słodyszek rzepakowy  </w:t>
      </w:r>
    </w:p>
    <w:p w14:paraId="7EB94E43" w14:textId="77777777" w:rsidR="00056846" w:rsidRPr="00925BCD" w:rsidRDefault="00E54725" w:rsidP="004A1341">
      <w:pPr>
        <w:pStyle w:val="Default"/>
        <w:numPr>
          <w:ilvl w:val="0"/>
          <w:numId w:val="19"/>
        </w:numPr>
        <w:spacing w:line="360" w:lineRule="auto"/>
        <w:jc w:val="both"/>
        <w:rPr>
          <w:rFonts w:ascii="Arial" w:hAnsi="Arial" w:cs="Arial"/>
          <w:sz w:val="20"/>
          <w:szCs w:val="20"/>
        </w:rPr>
      </w:pPr>
      <w:r w:rsidRPr="00925BCD">
        <w:rPr>
          <w:rFonts w:ascii="Arial" w:hAnsi="Arial" w:cs="Arial"/>
          <w:sz w:val="20"/>
          <w:szCs w:val="20"/>
        </w:rPr>
        <w:t>okres jesienny:</w:t>
      </w:r>
    </w:p>
    <w:p w14:paraId="25FC5CF3" w14:textId="77777777" w:rsidR="00056846" w:rsidRPr="00925BCD" w:rsidRDefault="00E54725" w:rsidP="004A1341">
      <w:pPr>
        <w:pStyle w:val="Default"/>
        <w:spacing w:line="360" w:lineRule="auto"/>
        <w:ind w:left="1134" w:firstLine="708"/>
        <w:jc w:val="both"/>
        <w:rPr>
          <w:rFonts w:ascii="Arial" w:hAnsi="Arial" w:cs="Arial"/>
          <w:sz w:val="20"/>
          <w:szCs w:val="20"/>
        </w:rPr>
      </w:pPr>
      <w:r w:rsidRPr="00925BCD">
        <w:rPr>
          <w:rFonts w:ascii="Arial" w:hAnsi="Arial" w:cs="Arial"/>
          <w:sz w:val="20"/>
          <w:szCs w:val="20"/>
        </w:rPr>
        <w:t xml:space="preserve">– sucha zgnilizna kapustnych, pchełki ziemne, śmietka kapuściana, </w:t>
      </w:r>
    </w:p>
    <w:p w14:paraId="5D868C73"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burak cukrowy</w:t>
      </w:r>
    </w:p>
    <w:p w14:paraId="0DC6FE22"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chwościk buraka, mszyca trzmielinowo - burakowa, rolnice, śmietka ćwiklanka,</w:t>
      </w:r>
    </w:p>
    <w:p w14:paraId="2610167A"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 xml:space="preserve">ziemniak </w:t>
      </w:r>
    </w:p>
    <w:p w14:paraId="523AFBAB"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zaraza ziemniaka, stonka ziemniaczana,</w:t>
      </w:r>
    </w:p>
    <w:p w14:paraId="3BD5B58C" w14:textId="77777777" w:rsidR="00056846" w:rsidRPr="00925BCD" w:rsidRDefault="00E54725" w:rsidP="004A1341">
      <w:pPr>
        <w:pStyle w:val="Default"/>
        <w:numPr>
          <w:ilvl w:val="0"/>
          <w:numId w:val="18"/>
        </w:numPr>
        <w:spacing w:line="360" w:lineRule="auto"/>
        <w:jc w:val="both"/>
        <w:rPr>
          <w:rFonts w:ascii="Arial" w:hAnsi="Arial" w:cs="Arial"/>
          <w:sz w:val="20"/>
          <w:szCs w:val="20"/>
        </w:rPr>
      </w:pPr>
      <w:proofErr w:type="spellStart"/>
      <w:r w:rsidRPr="00925BCD">
        <w:rPr>
          <w:rFonts w:ascii="Arial" w:hAnsi="Arial" w:cs="Arial"/>
          <w:sz w:val="20"/>
          <w:szCs w:val="20"/>
        </w:rPr>
        <w:t>bobowate</w:t>
      </w:r>
      <w:proofErr w:type="spellEnd"/>
      <w:r w:rsidRPr="00925BCD">
        <w:rPr>
          <w:rFonts w:ascii="Arial" w:hAnsi="Arial" w:cs="Arial"/>
          <w:sz w:val="20"/>
          <w:szCs w:val="20"/>
        </w:rPr>
        <w:t xml:space="preserve"> (łubin, groch, bobik, soja)</w:t>
      </w:r>
    </w:p>
    <w:p w14:paraId="10A2A151"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mszyce, oprzędziki.</w:t>
      </w:r>
    </w:p>
    <w:p w14:paraId="351DA383" w14:textId="6BE0DCD4" w:rsidR="00352091" w:rsidRDefault="00352091" w:rsidP="00991723">
      <w:pPr>
        <w:pStyle w:val="NormalnyWeb"/>
        <w:tabs>
          <w:tab w:val="left" w:pos="284"/>
        </w:tabs>
        <w:spacing w:beforeAutospacing="0" w:afterAutospacing="0" w:line="360" w:lineRule="auto"/>
        <w:ind w:firstLine="284"/>
        <w:jc w:val="both"/>
        <w:rPr>
          <w:rFonts w:ascii="Arial" w:hAnsi="Arial" w:cs="Arial"/>
        </w:rPr>
      </w:pPr>
      <w:r w:rsidRPr="00352091">
        <w:rPr>
          <w:rFonts w:ascii="Arial" w:hAnsi="Arial" w:cs="Arial"/>
        </w:rPr>
        <w:t xml:space="preserve">W 2021 </w:t>
      </w:r>
      <w:r w:rsidR="000D3601">
        <w:rPr>
          <w:rFonts w:ascii="Arial" w:hAnsi="Arial" w:cs="Arial"/>
        </w:rPr>
        <w:t xml:space="preserve">r. </w:t>
      </w:r>
      <w:r w:rsidRPr="00352091">
        <w:rPr>
          <w:rFonts w:ascii="Arial" w:hAnsi="Arial" w:cs="Arial"/>
        </w:rPr>
        <w:t xml:space="preserve">rozpoczęto zamieszczanie </w:t>
      </w:r>
      <w:r w:rsidR="00832058">
        <w:rPr>
          <w:rFonts w:ascii="Arial" w:hAnsi="Arial" w:cs="Arial"/>
        </w:rPr>
        <w:t>k</w:t>
      </w:r>
      <w:r w:rsidRPr="00352091">
        <w:rPr>
          <w:rFonts w:ascii="Arial" w:hAnsi="Arial" w:cs="Arial"/>
        </w:rPr>
        <w:t>omunikatów dotyczących zagrożeń ze strony ślimaków w</w:t>
      </w:r>
      <w:r>
        <w:rPr>
          <w:rFonts w:ascii="Arial" w:hAnsi="Arial" w:cs="Arial"/>
        </w:rPr>
        <w:t> </w:t>
      </w:r>
      <w:r w:rsidRPr="00352091">
        <w:rPr>
          <w:rFonts w:ascii="Arial" w:hAnsi="Arial" w:cs="Arial"/>
        </w:rPr>
        <w:t>uprawach roślin rolniczych.</w:t>
      </w:r>
    </w:p>
    <w:p w14:paraId="057E5DB9" w14:textId="1EAE8E7D" w:rsidR="00991723" w:rsidRDefault="00935947" w:rsidP="00991723">
      <w:pPr>
        <w:pStyle w:val="NormalnyWeb"/>
        <w:tabs>
          <w:tab w:val="left" w:pos="284"/>
        </w:tabs>
        <w:spacing w:beforeAutospacing="0" w:afterAutospacing="0" w:line="360" w:lineRule="auto"/>
        <w:ind w:firstLine="284"/>
        <w:jc w:val="both"/>
        <w:rPr>
          <w:rFonts w:ascii="Arial" w:hAnsi="Arial" w:cs="Arial"/>
        </w:rPr>
      </w:pPr>
      <w:r w:rsidRPr="00925BCD">
        <w:rPr>
          <w:rFonts w:ascii="Arial" w:hAnsi="Arial" w:cs="Arial"/>
        </w:rPr>
        <w:t>W 2018 r. opracowano także 8 poradników sygnalizatora do ochrony upraw przed chorobami i</w:t>
      </w:r>
      <w:r w:rsidR="004A1341" w:rsidRPr="00925BCD">
        <w:rPr>
          <w:rFonts w:ascii="Arial" w:hAnsi="Arial" w:cs="Arial"/>
        </w:rPr>
        <w:t> </w:t>
      </w:r>
      <w:r w:rsidRPr="00925BCD">
        <w:rPr>
          <w:rFonts w:ascii="Arial" w:hAnsi="Arial" w:cs="Arial"/>
        </w:rPr>
        <w:t xml:space="preserve">szkodnikami: 1 dla roślin sadowniczych (winorośl) i 7 dla roślin warzywnych (burak ćwikłowy, groch siewny - cukrowy i łuskowy, kalafior, kapusta pekińska, papryka w gruncie, pietruszka, sałata w gruncie). </w:t>
      </w:r>
      <w:r w:rsidR="005E336C" w:rsidRPr="005E336C">
        <w:rPr>
          <w:rFonts w:ascii="Arial" w:hAnsi="Arial" w:cs="Arial"/>
        </w:rPr>
        <w:lastRenderedPageBreak/>
        <w:t xml:space="preserve">W 2018 r. w IUNG-PIB opracowano również dwa poradniki sygnalizatora dla roślin przemysłowych (chmiel, tytoń). </w:t>
      </w:r>
      <w:r w:rsidRPr="00925BCD">
        <w:rPr>
          <w:rFonts w:ascii="Arial" w:hAnsi="Arial" w:cs="Arial"/>
        </w:rPr>
        <w:t xml:space="preserve">Z kolei w 2019 r. opracowano poradniki sygnalizatora: 4 dla roślin warzywnych (kapusta brukselska, kapusta włoska, endywia, </w:t>
      </w:r>
      <w:proofErr w:type="spellStart"/>
      <w:r w:rsidRPr="00925BCD">
        <w:rPr>
          <w:rFonts w:ascii="Arial" w:hAnsi="Arial" w:cs="Arial"/>
        </w:rPr>
        <w:t>rukola</w:t>
      </w:r>
      <w:proofErr w:type="spellEnd"/>
      <w:r w:rsidRPr="00925BCD">
        <w:rPr>
          <w:rFonts w:ascii="Arial" w:hAnsi="Arial" w:cs="Arial"/>
        </w:rPr>
        <w:t>) oraz 4 dla roślin ozdobnych (bratek ogrodowy, cyklamen, drzewa alejowe z rodziny różowatych, mieczyk).</w:t>
      </w:r>
      <w:r w:rsidR="0070402C">
        <w:rPr>
          <w:rFonts w:ascii="Arial" w:hAnsi="Arial" w:cs="Arial"/>
        </w:rPr>
        <w:t xml:space="preserve"> </w:t>
      </w:r>
      <w:r w:rsidR="005A3419" w:rsidRPr="005E336C">
        <w:rPr>
          <w:rFonts w:ascii="Arial" w:hAnsi="Arial" w:cs="Arial"/>
        </w:rPr>
        <w:t>W 2020 r</w:t>
      </w:r>
      <w:r w:rsidR="005E336C">
        <w:rPr>
          <w:rFonts w:ascii="Arial" w:hAnsi="Arial" w:cs="Arial"/>
        </w:rPr>
        <w:t>.</w:t>
      </w:r>
      <w:r w:rsidR="005A3419" w:rsidRPr="005E336C">
        <w:rPr>
          <w:rFonts w:ascii="Arial" w:hAnsi="Arial" w:cs="Arial"/>
        </w:rPr>
        <w:t xml:space="preserve"> opracowano </w:t>
      </w:r>
      <w:r w:rsidR="005E336C" w:rsidRPr="005E336C">
        <w:rPr>
          <w:rFonts w:ascii="Arial" w:hAnsi="Arial" w:cs="Arial"/>
        </w:rPr>
        <w:t xml:space="preserve">natomiast </w:t>
      </w:r>
      <w:r w:rsidR="005A3419" w:rsidRPr="005E336C">
        <w:rPr>
          <w:rFonts w:ascii="Arial" w:hAnsi="Arial" w:cs="Arial"/>
        </w:rPr>
        <w:t xml:space="preserve">3 poradniki sygnalizatora do prognozowania występowania agrofagów na jeżynie bezkolcowej, brokule </w:t>
      </w:r>
      <w:r w:rsidR="005E336C" w:rsidRPr="005E336C">
        <w:rPr>
          <w:rFonts w:ascii="Arial" w:hAnsi="Arial" w:cs="Arial"/>
        </w:rPr>
        <w:t>i</w:t>
      </w:r>
      <w:r w:rsidR="005E336C">
        <w:rPr>
          <w:rFonts w:ascii="Arial" w:hAnsi="Arial" w:cs="Arial"/>
        </w:rPr>
        <w:t> </w:t>
      </w:r>
      <w:r w:rsidR="005A3419" w:rsidRPr="005E336C">
        <w:rPr>
          <w:rFonts w:ascii="Arial" w:hAnsi="Arial" w:cs="Arial"/>
        </w:rPr>
        <w:t>chryzantemie</w:t>
      </w:r>
      <w:r w:rsidR="00BB2EA9">
        <w:rPr>
          <w:rFonts w:ascii="Arial" w:hAnsi="Arial" w:cs="Arial"/>
        </w:rPr>
        <w:t>.</w:t>
      </w:r>
      <w:r w:rsidR="00991723">
        <w:rPr>
          <w:rFonts w:ascii="Arial" w:hAnsi="Arial" w:cs="Arial"/>
        </w:rPr>
        <w:t xml:space="preserve"> </w:t>
      </w:r>
      <w:r w:rsidR="00BB2EA9" w:rsidRPr="00BB2EA9">
        <w:rPr>
          <w:rFonts w:ascii="Arial" w:hAnsi="Arial" w:cs="Arial"/>
        </w:rPr>
        <w:t xml:space="preserve">W 2021 </w:t>
      </w:r>
      <w:r w:rsidR="00BB2EA9">
        <w:rPr>
          <w:rFonts w:ascii="Arial" w:hAnsi="Arial" w:cs="Arial"/>
        </w:rPr>
        <w:t xml:space="preserve">r. </w:t>
      </w:r>
      <w:r w:rsidR="00BB2EA9" w:rsidRPr="00BB2EA9">
        <w:rPr>
          <w:rFonts w:ascii="Arial" w:hAnsi="Arial" w:cs="Arial"/>
        </w:rPr>
        <w:t>opracowano 2 poradniki sygnalizatora: „Poradnik sygnalizatora ochrony roślin energetycznych” i „Poradnik sygnalizatora ochrony magazynów zbożowych”</w:t>
      </w:r>
      <w:r w:rsidR="00BB2EA9">
        <w:rPr>
          <w:rFonts w:ascii="Arial" w:hAnsi="Arial" w:cs="Arial"/>
        </w:rPr>
        <w:t xml:space="preserve"> </w:t>
      </w:r>
      <w:r w:rsidR="00BB2EA9" w:rsidRPr="007B2CBF">
        <w:rPr>
          <w:rFonts w:ascii="Arial" w:hAnsi="Arial" w:cs="Arial"/>
        </w:rPr>
        <w:t>oraz</w:t>
      </w:r>
      <w:r w:rsidR="00991723" w:rsidRPr="007B2CBF">
        <w:rPr>
          <w:rFonts w:ascii="Arial" w:hAnsi="Arial" w:cs="Arial"/>
        </w:rPr>
        <w:t xml:space="preserve"> poradniki sygnalizatora dla aronii, czosnku i pieczarki.</w:t>
      </w:r>
    </w:p>
    <w:p w14:paraId="624C67FC" w14:textId="520F2E75" w:rsidR="005A3419" w:rsidRPr="005E336C" w:rsidRDefault="005A3419" w:rsidP="005E336C">
      <w:pPr>
        <w:pStyle w:val="NormalnyWeb"/>
        <w:tabs>
          <w:tab w:val="left" w:pos="284"/>
        </w:tabs>
        <w:spacing w:beforeAutospacing="0" w:afterAutospacing="0" w:line="360" w:lineRule="auto"/>
        <w:ind w:firstLine="284"/>
        <w:jc w:val="both"/>
        <w:rPr>
          <w:rFonts w:ascii="Arial" w:hAnsi="Arial" w:cs="Arial"/>
        </w:rPr>
      </w:pPr>
      <w:r w:rsidRPr="005E336C">
        <w:rPr>
          <w:rFonts w:ascii="Arial" w:hAnsi="Arial" w:cs="Arial"/>
        </w:rPr>
        <w:t>W poradnikach zamieszczono informacje dotyczące objawów wywoływanych przez patogeny i</w:t>
      </w:r>
      <w:r w:rsidR="00B230E9">
        <w:rPr>
          <w:rFonts w:ascii="Arial" w:hAnsi="Arial" w:cs="Arial"/>
        </w:rPr>
        <w:t> </w:t>
      </w:r>
      <w:r w:rsidRPr="005E336C">
        <w:rPr>
          <w:rFonts w:ascii="Arial" w:hAnsi="Arial" w:cs="Arial"/>
        </w:rPr>
        <w:t>szkodniki, monitoringu zagrożenia, zasad ochrony przed tymi agrofagami wraz z propozycją metod sygnalizowania optymalnych terminów ich zwalczania oraz dane o zaburzeniach fizjologicznych spowodowanych m.in. niedoborem składników pokarmowych.</w:t>
      </w:r>
    </w:p>
    <w:p w14:paraId="7C69259C" w14:textId="308DCFCD" w:rsidR="00BD630A" w:rsidRPr="00925BCD" w:rsidRDefault="00413C81" w:rsidP="00BD630A">
      <w:pPr>
        <w:pStyle w:val="NormalnyWeb"/>
        <w:tabs>
          <w:tab w:val="left" w:pos="284"/>
        </w:tabs>
        <w:spacing w:beforeAutospacing="0" w:afterAutospacing="0" w:line="360" w:lineRule="auto"/>
        <w:ind w:firstLine="284"/>
        <w:jc w:val="both"/>
      </w:pPr>
      <w:r w:rsidRPr="005E336C">
        <w:rPr>
          <w:rFonts w:ascii="Arial" w:hAnsi="Arial" w:cs="Arial"/>
        </w:rPr>
        <w:t xml:space="preserve">W ramach realizacji tego zadania w Instytucie Uprawy Nawożenia i Gleboznawstwa </w:t>
      </w:r>
      <w:r w:rsidR="0070402C" w:rsidRPr="00925BCD">
        <w:rPr>
          <w:rFonts w:ascii="Arial" w:hAnsi="Arial" w:cs="Arial"/>
        </w:rPr>
        <w:t>–</w:t>
      </w:r>
      <w:r w:rsidR="007B5611">
        <w:rPr>
          <w:rFonts w:ascii="Arial" w:hAnsi="Arial" w:cs="Arial"/>
        </w:rPr>
        <w:t xml:space="preserve"> </w:t>
      </w:r>
      <w:r w:rsidRPr="005E336C">
        <w:rPr>
          <w:rFonts w:ascii="Arial" w:hAnsi="Arial" w:cs="Arial"/>
        </w:rPr>
        <w:t xml:space="preserve">PIB prowadzony był monitoring organizmów szkodliwych dla chmielu i tytoniu. </w:t>
      </w:r>
      <w:r w:rsidR="00BD630A">
        <w:rPr>
          <w:rFonts w:ascii="Arial" w:hAnsi="Arial" w:cs="Arial"/>
        </w:rPr>
        <w:t xml:space="preserve">W przypadku występowania zagrożenia ze strony organizmów szkodliwych lub czynników abiotycznych (np. gradobicie, susza) na Platformie Sygnalizacji Agrofagów zamieszczane </w:t>
      </w:r>
      <w:r w:rsidR="00307DBA">
        <w:rPr>
          <w:rFonts w:ascii="Arial" w:hAnsi="Arial" w:cs="Arial"/>
        </w:rPr>
        <w:t>były</w:t>
      </w:r>
      <w:r w:rsidR="00BD630A">
        <w:rPr>
          <w:rFonts w:ascii="Arial" w:hAnsi="Arial" w:cs="Arial"/>
        </w:rPr>
        <w:t xml:space="preserve"> stosowne komunikaty. W 2021 r. ukazały się dwa takie komunikaty: pierwszy na temat zgnilizny </w:t>
      </w:r>
      <w:proofErr w:type="spellStart"/>
      <w:r w:rsidR="00BD630A">
        <w:rPr>
          <w:rFonts w:ascii="Arial" w:hAnsi="Arial" w:cs="Arial"/>
        </w:rPr>
        <w:t>twardzikowej</w:t>
      </w:r>
      <w:proofErr w:type="spellEnd"/>
      <w:r w:rsidR="00BD630A">
        <w:rPr>
          <w:rFonts w:ascii="Arial" w:hAnsi="Arial" w:cs="Arial"/>
        </w:rPr>
        <w:t xml:space="preserve"> chmielu oraz drugi dotyczący </w:t>
      </w:r>
      <w:r w:rsidR="00BD630A" w:rsidRPr="00052603">
        <w:rPr>
          <w:rFonts w:ascii="Arial" w:hAnsi="Arial" w:cs="Arial"/>
        </w:rPr>
        <w:t>zgnilizny podstawy łodyg tytoniu oraz ograniczania niekorzystnych skutków intensywnych opadów i gradobicia na plantacjach tytoniu</w:t>
      </w:r>
      <w:r w:rsidR="00BD630A">
        <w:rPr>
          <w:rFonts w:ascii="Arial" w:hAnsi="Arial" w:cs="Arial"/>
        </w:rPr>
        <w:t>.</w:t>
      </w:r>
    </w:p>
    <w:p w14:paraId="62305A78" w14:textId="77777777" w:rsidR="00056846" w:rsidRPr="00925BCD" w:rsidRDefault="00E54725">
      <w:pPr>
        <w:pStyle w:val="Nagwek2"/>
        <w:jc w:val="both"/>
        <w:rPr>
          <w:i w:val="0"/>
          <w:sz w:val="20"/>
          <w:szCs w:val="20"/>
        </w:rPr>
      </w:pPr>
      <w:bookmarkStart w:id="68" w:name="_Toc341876103"/>
      <w:bookmarkStart w:id="69" w:name="_Toc134099275"/>
      <w:r w:rsidRPr="00925BCD">
        <w:rPr>
          <w:i w:val="0"/>
          <w:sz w:val="20"/>
          <w:szCs w:val="20"/>
        </w:rPr>
        <w:t xml:space="preserve">Zadanie 5. </w:t>
      </w:r>
      <w:bookmarkEnd w:id="68"/>
      <w:r w:rsidRPr="00925BCD">
        <w:rPr>
          <w:i w:val="0"/>
          <w:sz w:val="20"/>
          <w:szCs w:val="20"/>
        </w:rPr>
        <w:t>Udostępnienie systemów wspomagania podejmowania decyzji w ochronie roślin</w:t>
      </w:r>
      <w:bookmarkEnd w:id="69"/>
    </w:p>
    <w:p w14:paraId="740B8F86"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Istotnym elementem monitorowania występowania organizmów szkodliwych i sygnalizacji ich występowania jest wykorzystanie zaawansowanych systemów wspomagania decyzji w ochronie roślin. Systemy takie umożliwiają ograniczenie liczby zabiegów przy jednoczesnym zabezpieczeniu skutecznej ochrony roślin uprawnych, co przyczynia się do zwiększenia bezpieczeństwa konsumentów płodów rolnych oraz środowiska naturalnego, a także ograniczenia kosztów produkcji. </w:t>
      </w:r>
    </w:p>
    <w:p w14:paraId="7A8DF107"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Wsparciem dla wdrożenia zasad integrowanej ochrony roślin poza systemem sygnalizacji agrofagów jest zatem udostępnienie wybranych systemów wspomagania podejmowania decyzji w ochronie roślin użytkownikom profesjonalnym środków ochrony roślin.</w:t>
      </w:r>
    </w:p>
    <w:p w14:paraId="3264825E"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realizowanego w latach 2011–2015 programu wieloletniego pt. „Ochrona roślin uprawnych z uwzględnieniem bezpieczeństwa żywności oraz ograniczenia strat w plonach i zagrożeń dla zdrowia ludzi, zwierząt domowych i środowiska” oraz realizowanego pod taką samą nazwą programu na lata 2016-2020, Instytut Ochrony Roślin – PIB prowadził prace nad adaptacją i udostępnieniem programów wspomagania podejmowania decyzji w ochronie ziemniaka przed zarazą, w ochronie pszenicy ozimej oraz jęczmienia ozimego przed chorobami grzybowymi, a także programów do prognozowania występowania rolnic i skrzypionek.</w:t>
      </w:r>
    </w:p>
    <w:p w14:paraId="54EA2E7B" w14:textId="24A3DB5A"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F92F3E">
        <w:rPr>
          <w:rFonts w:ascii="Arial" w:hAnsi="Arial" w:cs="Arial"/>
        </w:rPr>
        <w:t xml:space="preserve">latach </w:t>
      </w:r>
      <w:r w:rsidRPr="00925BCD">
        <w:rPr>
          <w:rFonts w:ascii="Arial" w:hAnsi="Arial" w:cs="Arial"/>
        </w:rPr>
        <w:t>2018</w:t>
      </w:r>
      <w:r w:rsidR="00453314">
        <w:rPr>
          <w:rFonts w:cs="Arial"/>
        </w:rPr>
        <w:t>–</w:t>
      </w:r>
      <w:r w:rsidR="00F92F3E">
        <w:rPr>
          <w:rFonts w:ascii="Arial" w:hAnsi="Arial" w:cs="Arial"/>
        </w:rPr>
        <w:t>202</w:t>
      </w:r>
      <w:r w:rsidR="00533C38">
        <w:rPr>
          <w:rFonts w:ascii="Arial" w:hAnsi="Arial" w:cs="Arial"/>
        </w:rPr>
        <w:t>1</w:t>
      </w:r>
      <w:r w:rsidR="00F92F3E">
        <w:rPr>
          <w:rFonts w:ascii="Arial" w:hAnsi="Arial" w:cs="Arial"/>
        </w:rPr>
        <w:t xml:space="preserve"> </w:t>
      </w:r>
      <w:r w:rsidRPr="00925BCD">
        <w:rPr>
          <w:rFonts w:ascii="Arial" w:hAnsi="Arial" w:cs="Arial"/>
        </w:rPr>
        <w:t>upowszechni</w:t>
      </w:r>
      <w:r w:rsidR="00F92F3E">
        <w:rPr>
          <w:rFonts w:ascii="Arial" w:hAnsi="Arial" w:cs="Arial"/>
        </w:rPr>
        <w:t>a</w:t>
      </w:r>
      <w:r w:rsidRPr="00925BCD">
        <w:rPr>
          <w:rFonts w:ascii="Arial" w:hAnsi="Arial" w:cs="Arial"/>
        </w:rPr>
        <w:t xml:space="preserve">no systemy doradcze wspomagające podjęcie decyzji (prognozowanie krótkoterminowe) </w:t>
      </w:r>
      <w:r w:rsidR="00C952C3" w:rsidRPr="00925BCD">
        <w:rPr>
          <w:rFonts w:ascii="Arial" w:hAnsi="Arial" w:cs="Arial"/>
        </w:rPr>
        <w:t>w</w:t>
      </w:r>
      <w:r w:rsidRPr="00925BCD">
        <w:rPr>
          <w:rFonts w:ascii="Arial" w:hAnsi="Arial" w:cs="Arial"/>
        </w:rPr>
        <w:t xml:space="preserve"> ochronie pszenicy ozimej przed rdzą brunatną oraz wdrażano system doradczy wspomagający podjęcie decyzji o ochronie ziemniaka przed stonką ziemniaczaną.</w:t>
      </w:r>
    </w:p>
    <w:p w14:paraId="370618D3" w14:textId="7BF82B0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 xml:space="preserve">Na Platformie Sygnalizacji Agrofagów </w:t>
      </w:r>
      <w:r w:rsidR="00C952C3" w:rsidRPr="00925BCD">
        <w:rPr>
          <w:rFonts w:ascii="Arial" w:hAnsi="Arial" w:cs="Arial"/>
        </w:rPr>
        <w:t>w 20</w:t>
      </w:r>
      <w:r w:rsidR="00F92F3E">
        <w:rPr>
          <w:rFonts w:ascii="Arial" w:hAnsi="Arial" w:cs="Arial"/>
        </w:rPr>
        <w:t>2</w:t>
      </w:r>
      <w:r w:rsidR="00533C38">
        <w:rPr>
          <w:rFonts w:ascii="Arial" w:hAnsi="Arial" w:cs="Arial"/>
        </w:rPr>
        <w:t>1</w:t>
      </w:r>
      <w:r w:rsidR="00C952C3" w:rsidRPr="00925BCD">
        <w:rPr>
          <w:rFonts w:ascii="Arial" w:hAnsi="Arial" w:cs="Arial"/>
        </w:rPr>
        <w:t xml:space="preserve"> r. </w:t>
      </w:r>
      <w:r w:rsidRPr="00925BCD">
        <w:rPr>
          <w:rFonts w:ascii="Arial" w:hAnsi="Arial" w:cs="Arial"/>
        </w:rPr>
        <w:t>znajdowały się systemy wspomagające podjęcie decyzji o ochronie:</w:t>
      </w:r>
    </w:p>
    <w:p w14:paraId="7FF31EF4"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pszenicy ozimej przed takimi chorobami jak: mączniak prawdziwy zbóż, rdza żółta, rdza brunatna, septoriozy, łamliwość podstawy źdźbła oraz przed skrzypionkami,</w:t>
      </w:r>
    </w:p>
    <w:p w14:paraId="2CF781B6"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jęczmienia ozimego przed mączniakiem prawdziwym, </w:t>
      </w:r>
    </w:p>
    <w:p w14:paraId="2E37DB64"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ziemniak przed zarazą ziemniaka, </w:t>
      </w:r>
    </w:p>
    <w:p w14:paraId="2FE84E9D"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buraka przed rolnicami, </w:t>
      </w:r>
    </w:p>
    <w:p w14:paraId="7E1CBB37"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internetowy system wspomagania decyzji w ochronie roślin ogrodniczych.</w:t>
      </w:r>
    </w:p>
    <w:p w14:paraId="2F47398C" w14:textId="1A6D184F" w:rsidR="00056846"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zadania „Opracowywanie systemów wspomagania decyzji w ochronie roślin ogrodniczych” realizowanego w ramach programu wieloletniego pod nazwą „Działania na rzecz poprawy konkurencyjności i innowacyjności sektora ogrodniczego z uwzględnieniem jakości i</w:t>
      </w:r>
      <w:r w:rsidR="00935947" w:rsidRPr="00925BCD">
        <w:rPr>
          <w:rFonts w:ascii="Arial" w:hAnsi="Arial" w:cs="Arial"/>
        </w:rPr>
        <w:t> </w:t>
      </w:r>
      <w:r w:rsidRPr="00925BCD">
        <w:rPr>
          <w:rFonts w:ascii="Arial" w:hAnsi="Arial" w:cs="Arial"/>
        </w:rPr>
        <w:t xml:space="preserve">bezpieczeństwa żywności oraz ochrony środowiska naturalnego” Instytut Ogrodnictwa w </w:t>
      </w:r>
      <w:r w:rsidR="00FB402B" w:rsidRPr="00925BCD">
        <w:rPr>
          <w:rFonts w:ascii="Arial" w:hAnsi="Arial" w:cs="Arial"/>
        </w:rPr>
        <w:t>latach 2018</w:t>
      </w:r>
      <w:r w:rsidR="00115335" w:rsidRPr="00772A61">
        <w:rPr>
          <w:rFonts w:ascii="Arial" w:hAnsi="Arial" w:cs="Arial"/>
        </w:rPr>
        <w:t>–</w:t>
      </w:r>
      <w:r w:rsidRPr="00925BCD">
        <w:rPr>
          <w:rFonts w:ascii="Arial" w:hAnsi="Arial" w:cs="Arial"/>
        </w:rPr>
        <w:t>2019 aktualizował internetowy system wspomagania decyzji „</w:t>
      </w:r>
      <w:proofErr w:type="spellStart"/>
      <w:r w:rsidRPr="00925BCD">
        <w:rPr>
          <w:rFonts w:ascii="Arial" w:hAnsi="Arial" w:cs="Arial"/>
        </w:rPr>
        <w:t>HortiOchrona</w:t>
      </w:r>
      <w:proofErr w:type="spellEnd"/>
      <w:r w:rsidRPr="00925BCD">
        <w:rPr>
          <w:rFonts w:ascii="Arial" w:hAnsi="Arial" w:cs="Arial"/>
        </w:rPr>
        <w:t>” w ochronie roślin ogrodniczych dla jabłoni, cebuli i róży szklarniowej oraz gromadził dane do opracowania system</w:t>
      </w:r>
      <w:r w:rsidR="00FB402B" w:rsidRPr="00925BCD">
        <w:rPr>
          <w:rFonts w:ascii="Arial" w:hAnsi="Arial" w:cs="Arial"/>
        </w:rPr>
        <w:t>ów</w:t>
      </w:r>
      <w:r w:rsidRPr="00925BCD">
        <w:rPr>
          <w:rFonts w:ascii="Arial" w:hAnsi="Arial" w:cs="Arial"/>
        </w:rPr>
        <w:t xml:space="preserve"> dla trzech kolejnych gatunków: truskawki, marchwi i żywotnika zachodniego. Informacje te dostępne są na stronie internetowej </w:t>
      </w:r>
      <w:hyperlink r:id="rId27">
        <w:r w:rsidRPr="00925BCD">
          <w:rPr>
            <w:rStyle w:val="czeinternetowe"/>
            <w:rFonts w:ascii="Arial" w:hAnsi="Arial" w:cs="Arial"/>
            <w:color w:val="auto"/>
          </w:rPr>
          <w:t>http://hortiochrona.inhort.pl/</w:t>
        </w:r>
      </w:hyperlink>
      <w:r w:rsidRPr="00925BCD">
        <w:rPr>
          <w:rFonts w:ascii="Arial" w:hAnsi="Arial" w:cs="Arial"/>
        </w:rPr>
        <w:t xml:space="preserve"> oraz poprzez Platformę Sygnalizacji Agrofagów: </w:t>
      </w:r>
      <w:hyperlink r:id="rId28">
        <w:r w:rsidRPr="00925BCD">
          <w:rPr>
            <w:rStyle w:val="czeinternetowe"/>
            <w:rFonts w:ascii="Arial" w:hAnsi="Arial" w:cs="Arial"/>
            <w:color w:val="auto"/>
          </w:rPr>
          <w:t>https://www.agrofagi.com.pl/</w:t>
        </w:r>
      </w:hyperlink>
      <w:r w:rsidRPr="00925BCD">
        <w:rPr>
          <w:rFonts w:ascii="Arial" w:hAnsi="Arial" w:cs="Arial"/>
        </w:rPr>
        <w:t>.</w:t>
      </w:r>
    </w:p>
    <w:p w14:paraId="4E63F16E" w14:textId="65FE6C72" w:rsidR="005A3419" w:rsidRDefault="005A3419" w:rsidP="004A1341">
      <w:pPr>
        <w:pStyle w:val="NormalnyWeb"/>
        <w:tabs>
          <w:tab w:val="left" w:pos="284"/>
        </w:tabs>
        <w:spacing w:beforeAutospacing="0" w:after="120" w:afterAutospacing="0" w:line="360" w:lineRule="auto"/>
        <w:ind w:firstLine="284"/>
        <w:jc w:val="both"/>
        <w:rPr>
          <w:rFonts w:ascii="Arial" w:hAnsi="Arial" w:cs="Arial"/>
        </w:rPr>
      </w:pPr>
      <w:r w:rsidRPr="000F44D8">
        <w:rPr>
          <w:rFonts w:ascii="Arial" w:hAnsi="Arial" w:cs="Arial"/>
        </w:rPr>
        <w:t>W 2020 r</w:t>
      </w:r>
      <w:r w:rsidR="006E048E">
        <w:rPr>
          <w:rFonts w:ascii="Arial" w:hAnsi="Arial" w:cs="Arial"/>
        </w:rPr>
        <w:t>.</w:t>
      </w:r>
      <w:r w:rsidRPr="000F44D8">
        <w:rPr>
          <w:rFonts w:ascii="Arial" w:hAnsi="Arial" w:cs="Arial"/>
        </w:rPr>
        <w:t xml:space="preserve"> zakończono prace nad wprowadzaniem do systemu </w:t>
      </w:r>
      <w:proofErr w:type="spellStart"/>
      <w:r w:rsidRPr="000F44D8">
        <w:rPr>
          <w:rFonts w:ascii="Arial" w:hAnsi="Arial" w:cs="Arial"/>
        </w:rPr>
        <w:t>HortiOchrona</w:t>
      </w:r>
      <w:proofErr w:type="spellEnd"/>
      <w:r w:rsidRPr="000F44D8">
        <w:rPr>
          <w:rFonts w:ascii="Arial" w:hAnsi="Arial" w:cs="Arial"/>
        </w:rPr>
        <w:t xml:space="preserve"> danych dla truskawki, marchwi i żywotnika zachodniego z zakresu diagnostyki agrofagów, metod lustracji, profilaktyki </w:t>
      </w:r>
      <w:r w:rsidR="006E048E" w:rsidRPr="000F44D8">
        <w:rPr>
          <w:rFonts w:ascii="Arial" w:hAnsi="Arial" w:cs="Arial"/>
        </w:rPr>
        <w:t>i</w:t>
      </w:r>
      <w:r w:rsidR="006E048E">
        <w:rPr>
          <w:rFonts w:ascii="Arial" w:hAnsi="Arial" w:cs="Arial"/>
        </w:rPr>
        <w:t> </w:t>
      </w:r>
      <w:r w:rsidRPr="000F44D8">
        <w:rPr>
          <w:rFonts w:ascii="Arial" w:hAnsi="Arial" w:cs="Arial"/>
        </w:rPr>
        <w:t>zwalczania, w tym informacji na temat zalecanych środków ochrony roślin. Zaktualizowano też dane dla wcześniej opracowanych upraw: jabłoni, cebuli i róży szklarniowej.</w:t>
      </w:r>
    </w:p>
    <w:p w14:paraId="2C7F8BE2" w14:textId="0ECFAB06" w:rsidR="00991723" w:rsidRDefault="00991723" w:rsidP="00B7781F">
      <w:pPr>
        <w:pStyle w:val="NormalnyWeb"/>
        <w:tabs>
          <w:tab w:val="left" w:pos="284"/>
        </w:tabs>
        <w:spacing w:beforeAutospacing="0" w:after="120" w:afterAutospacing="0" w:line="360" w:lineRule="auto"/>
        <w:ind w:firstLine="284"/>
        <w:jc w:val="both"/>
        <w:rPr>
          <w:rFonts w:ascii="Arial" w:hAnsi="Arial" w:cs="Arial"/>
        </w:rPr>
      </w:pPr>
      <w:r w:rsidRPr="00B7781F">
        <w:rPr>
          <w:rFonts w:ascii="Arial" w:hAnsi="Arial" w:cs="Arial"/>
        </w:rPr>
        <w:t xml:space="preserve">W 2021 </w:t>
      </w:r>
      <w:r w:rsidR="00117951" w:rsidRPr="00B7781F">
        <w:rPr>
          <w:rFonts w:ascii="Arial" w:hAnsi="Arial" w:cs="Arial"/>
        </w:rPr>
        <w:t xml:space="preserve">r. </w:t>
      </w:r>
      <w:r w:rsidRPr="00B7781F">
        <w:rPr>
          <w:rFonts w:ascii="Arial" w:hAnsi="Arial" w:cs="Arial"/>
        </w:rPr>
        <w:t xml:space="preserve">opracowano materiały dotyczące ważnych gospodarczo agrofagów dla trzech nowych gatunków roślin ogrodniczych: czereśni, kapusty głowiastej i bukszpanu i wprowadzano je do systemu </w:t>
      </w:r>
      <w:proofErr w:type="spellStart"/>
      <w:r w:rsidRPr="00B7781F">
        <w:rPr>
          <w:rFonts w:ascii="Arial" w:hAnsi="Arial" w:cs="Arial"/>
        </w:rPr>
        <w:t>HortiOchrona</w:t>
      </w:r>
      <w:proofErr w:type="spellEnd"/>
      <w:r w:rsidRPr="00B7781F">
        <w:rPr>
          <w:rFonts w:ascii="Arial" w:hAnsi="Arial" w:cs="Arial"/>
        </w:rPr>
        <w:t>. Materiały obejmowały charakterystyki agrofagów, w tym ich biologię, występowanie i</w:t>
      </w:r>
      <w:r w:rsidR="002F734A">
        <w:rPr>
          <w:rFonts w:ascii="Arial" w:hAnsi="Arial" w:cs="Arial"/>
        </w:rPr>
        <w:t> </w:t>
      </w:r>
      <w:r w:rsidRPr="00B7781F">
        <w:rPr>
          <w:rFonts w:ascii="Arial" w:hAnsi="Arial" w:cs="Arial"/>
        </w:rPr>
        <w:t xml:space="preserve">szkodliwość, a także metody lustracji i monitorowania, zasady profilaktyki i zwalczania oraz materiały graficzne i ilustracyjne, służące do diagnostyki i opisów objawów uszkodzeń. Zaktualizowano też dane dla wcześniej opracowanych upraw: jabłoni, truskawki, cebuli, marchwi, róży szklarniowej i żywotnika zachodniego. </w:t>
      </w:r>
      <w:r w:rsidR="0062732E" w:rsidRPr="00B7781F">
        <w:rPr>
          <w:rFonts w:ascii="Arial" w:hAnsi="Arial" w:cs="Arial"/>
        </w:rPr>
        <w:t>Z</w:t>
      </w:r>
      <w:r w:rsidRPr="00B7781F">
        <w:rPr>
          <w:rFonts w:ascii="Arial" w:hAnsi="Arial" w:cs="Arial"/>
        </w:rPr>
        <w:t xml:space="preserve">aprojektowano i zaimplementowano </w:t>
      </w:r>
      <w:r w:rsidR="0062732E" w:rsidRPr="00B7781F">
        <w:rPr>
          <w:rFonts w:ascii="Arial" w:hAnsi="Arial" w:cs="Arial"/>
        </w:rPr>
        <w:t xml:space="preserve">również </w:t>
      </w:r>
      <w:r w:rsidRPr="00B7781F">
        <w:rPr>
          <w:rFonts w:ascii="Arial" w:hAnsi="Arial" w:cs="Arial"/>
        </w:rPr>
        <w:t>moduł z zakresu produkcji ekologicznej oraz moduł dotyczący odporności agrofagów na środki ochrony roślin. Prowadzono też ograniczony monitoring i sygnalizację pojawu chorób i szkodników na roślinach objętych systemem, a także badania uzupełniające nad zwalczaniem wybranych agrofagów dla wprowadzanych gatunków.</w:t>
      </w:r>
    </w:p>
    <w:p w14:paraId="5A778068" w14:textId="77777777" w:rsidR="00056846" w:rsidRPr="00925BCD" w:rsidRDefault="00E54725">
      <w:pPr>
        <w:pStyle w:val="Nagwek2"/>
        <w:jc w:val="both"/>
        <w:rPr>
          <w:i w:val="0"/>
          <w:sz w:val="20"/>
          <w:szCs w:val="20"/>
        </w:rPr>
      </w:pPr>
      <w:bookmarkStart w:id="70" w:name="_Toc134099276"/>
      <w:r w:rsidRPr="00925BCD">
        <w:rPr>
          <w:i w:val="0"/>
          <w:sz w:val="20"/>
          <w:szCs w:val="20"/>
        </w:rPr>
        <w:t>Zadanie 6. Udostępnienie programów integrowanej ochrony roślin</w:t>
      </w:r>
      <w:bookmarkEnd w:id="70"/>
    </w:p>
    <w:p w14:paraId="3585F9BD"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Narzędziem niezbędnym dla prawidłowego planowania i wykonywania zabiegów ochrony roślin są programy integrowanej ochrony opracowywane dla poszczególnych upraw. Programy te są także uzupełnieniem wiedzy przekazywanej za pośrednictwem metodyk integrowanej ochrony roślin, ponieważ zawierają informacje o aktualnie dostępnych środkach ochrony roślin. </w:t>
      </w:r>
    </w:p>
    <w:p w14:paraId="6FCA86F9"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 xml:space="preserve">Programy ochrony roślin, aby pomagały we wdrażaniu zasad integrowanej ochrony roślin, obok informacji o chemicznych metodach ochrony roślin, zawierają wytyczne dotyczące działań prewencyjnych i zapobiegających wystąpieniu agrofagów oraz informacje o niechemicznych metodach ich zwalczania. Programy wskazują także preparaty zawierające substancje czynne niskiego ryzyka, preparaty biologiczne oraz substancje podstawowe, którym należy przyznać pierwszeństwo przed zastosowaniem chemicznych środków ochrony roślin. </w:t>
      </w:r>
    </w:p>
    <w:p w14:paraId="47A8EAF4"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Programy ochrony roślin uwzględniają także specyficzne wymagania systemów jakości żywności, nakierowane na ograniczanie zagrożeń dla środowiska naturalnego oraz dla zdrowia ludzi, czyli rolnictwa ekologicznego oraz integrowanej produkcji roślin. </w:t>
      </w:r>
    </w:p>
    <w:p w14:paraId="364A6D14"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Programy ochrony roślin wskazują jakie zagrożenia mogą wiązać się ze stosowaniem poszczególnych preparatów, zawierają zalecenia w jaki sposób zagrożenia te można eliminować a także inne niezbędne informacje dla prawidłowego planowania zabiegów ochrony roślin, jak np. wskazówki dotyczące łącznego stosowania agrochemikaliów czy zapobiegania powstawaniu odporności u organizmów szkodliwych czy też minimalizowania obecności pozostałości substancji czynnych.</w:t>
      </w:r>
    </w:p>
    <w:p w14:paraId="60477B52"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zadania w 2018 r. opracowywane zostały programy dla upraw rolniczych (program ochrony pszenicy ozimej i jarej, rzepaku ozimego i jarego, jęczmienia ozimego i jarego, pszenżyta ozimego i jarego, ziemniaka, buraka cukrowego i pastewnego, kukurydzy, soi, gorczycy, bobiku, grochu, łubinu, żyta, owsa). Z kolei w przypadku roślin ogrodniczych opracowano 11 nowych oraz zaktualizowano 19 programów ochrony przed agrofagami: </w:t>
      </w:r>
    </w:p>
    <w:p w14:paraId="3152D793"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rośliny sadownicze: opracowano nowe programy ochrony dla czereśni, porzeczki czarnej; zaktualizowano programy dla truskawki, maliny, borówki wysokiej, śliwy, wiśni;</w:t>
      </w:r>
    </w:p>
    <w:p w14:paraId="5224F3A0"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rośliny warzywne: opracowano nowe programy ochrony dla bobu, buraka ćwikłowego, ogórka gruntowego, pomidora szklarniowego; zaktualizowano programy dla cebuli, fasoli, grochu, kapusty głowiastej, kapusty pekińskiej, marchwi, pietruszki korzeniowej/naciowej, selera/selera naciowego, pomidora gruntowego;</w:t>
      </w:r>
    </w:p>
    <w:p w14:paraId="6EA31711"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rośliny ozdobne: opracowano nowe programy ochrony dla chryzantemy szklarniowej, goździka szklarniowego, </w:t>
      </w:r>
      <w:proofErr w:type="spellStart"/>
      <w:r w:rsidRPr="00925BCD">
        <w:rPr>
          <w:rFonts w:ascii="Arial" w:hAnsi="Arial" w:cs="Arial"/>
        </w:rPr>
        <w:t>cyklamena</w:t>
      </w:r>
      <w:proofErr w:type="spellEnd"/>
      <w:r w:rsidRPr="00925BCD">
        <w:rPr>
          <w:rFonts w:ascii="Arial" w:hAnsi="Arial" w:cs="Arial"/>
        </w:rPr>
        <w:t>, żywotnika, astra jesiennego; zaktualizowano programy dla bratka ogrodowego, lilii, różanecznika, mieczyka, traw ozdobnych.</w:t>
      </w:r>
    </w:p>
    <w:p w14:paraId="01B8CE22" w14:textId="77777777" w:rsidR="00056846" w:rsidRPr="00925BCD" w:rsidRDefault="004F3CB3" w:rsidP="004A1341">
      <w:pPr>
        <w:pStyle w:val="NormalnyWeb"/>
        <w:tabs>
          <w:tab w:val="left" w:pos="284"/>
        </w:tabs>
        <w:spacing w:beforeAutospacing="0" w:after="120" w:afterAutospacing="0" w:line="360" w:lineRule="auto"/>
        <w:ind w:firstLine="284"/>
        <w:jc w:val="both"/>
        <w:rPr>
          <w:rFonts w:ascii="Arial" w:hAnsi="Arial" w:cs="Arial"/>
        </w:rPr>
      </w:pPr>
      <w:bookmarkStart w:id="71" w:name="_Hlk92711585"/>
      <w:r w:rsidRPr="00925BCD">
        <w:rPr>
          <w:rFonts w:ascii="Arial" w:hAnsi="Arial" w:cs="Arial"/>
        </w:rPr>
        <w:t>W 2019 r. zaktualizowane zostały programy dla ochrony pszenicy ozimej, rzepaku ozimego i rzepaku jarego, jęczmienia ozimego, soi, bobiku, grochu i łubinu, kukurydzy i buraka cukrowego.</w:t>
      </w:r>
      <w:r w:rsidR="00281A9F" w:rsidRPr="00925BCD">
        <w:rPr>
          <w:rFonts w:ascii="Arial" w:hAnsi="Arial" w:cs="Arial"/>
        </w:rPr>
        <w:t xml:space="preserve"> </w:t>
      </w:r>
      <w:r w:rsidR="00E54725" w:rsidRPr="00925BCD">
        <w:rPr>
          <w:rFonts w:ascii="Arial" w:hAnsi="Arial" w:cs="Arial"/>
        </w:rPr>
        <w:t>Z kolei w</w:t>
      </w:r>
      <w:r w:rsidR="00281A9F" w:rsidRPr="00925BCD">
        <w:rPr>
          <w:rFonts w:ascii="Arial" w:hAnsi="Arial" w:cs="Arial"/>
        </w:rPr>
        <w:t> </w:t>
      </w:r>
      <w:r w:rsidR="00E54725" w:rsidRPr="00925BCD">
        <w:rPr>
          <w:rFonts w:ascii="Arial" w:hAnsi="Arial" w:cs="Arial"/>
        </w:rPr>
        <w:t xml:space="preserve"> przypadku roślin ogrodniczych opracowano 11 nowych oraz zaktualizowano 30 programów ochrony przed agrofagami: </w:t>
      </w:r>
    </w:p>
    <w:bookmarkEnd w:id="71"/>
    <w:p w14:paraId="29C891A5" w14:textId="77777777" w:rsidR="00281A9F" w:rsidRPr="00925BCD" w:rsidRDefault="00281A9F"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rośliny sadownicze: opracowano nowe programy ochrony dla agrestu i gruszy oraz zaktualizowano programy dla: truskawki, maliny, borówki wysokiej, śliwy, wiśni; czereśni, i porzeczki czarnej; </w:t>
      </w:r>
    </w:p>
    <w:p w14:paraId="0E882FA1" w14:textId="77777777" w:rsidR="00281A9F" w:rsidRPr="00925BCD" w:rsidRDefault="00281A9F"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rośliny warzywne: opracowano nowe programy ochrony dla czosnku, kalafiora, pora, i sałaty </w:t>
      </w:r>
      <w:r w:rsidRPr="00925BCD">
        <w:rPr>
          <w:rFonts w:ascii="Arial" w:hAnsi="Arial" w:cs="Arial"/>
        </w:rPr>
        <w:lastRenderedPageBreak/>
        <w:t>oraz zaktualizowano programy ochrony dla cebuli, fasoli, grochu, kapusty głowiastej, kapusty pekińskiej, marchwi, pietruszki korzeniowej/naciowej, selera/selera naciowego, pomidora gruntowego, bobu, buraka ćwikłowego, ogórka gruntowego, pomidora szklarniowego,</w:t>
      </w:r>
    </w:p>
    <w:p w14:paraId="1997DEF3" w14:textId="14E5C893" w:rsidR="00281A9F" w:rsidRDefault="00281A9F"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rośliny ozdobne: opracowano nowe programy ochrony dla cyprysika </w:t>
      </w:r>
      <w:proofErr w:type="spellStart"/>
      <w:r w:rsidRPr="00925BCD">
        <w:rPr>
          <w:rFonts w:ascii="Arial" w:hAnsi="Arial" w:cs="Arial"/>
        </w:rPr>
        <w:t>Lawsona</w:t>
      </w:r>
      <w:proofErr w:type="spellEnd"/>
      <w:r w:rsidRPr="00925BCD">
        <w:rPr>
          <w:rFonts w:ascii="Arial" w:hAnsi="Arial" w:cs="Arial"/>
        </w:rPr>
        <w:t xml:space="preserve">, gerbery, pelargonii, róży gruntowej, </w:t>
      </w:r>
      <w:proofErr w:type="spellStart"/>
      <w:r w:rsidRPr="00925BCD">
        <w:rPr>
          <w:rFonts w:ascii="Arial" w:hAnsi="Arial" w:cs="Arial"/>
        </w:rPr>
        <w:t>surfinii</w:t>
      </w:r>
      <w:proofErr w:type="spellEnd"/>
      <w:r w:rsidRPr="00925BCD">
        <w:rPr>
          <w:rFonts w:ascii="Arial" w:hAnsi="Arial" w:cs="Arial"/>
        </w:rPr>
        <w:t xml:space="preserve"> oraz zaktualizowano programy dla astra jesiennego, bratka ogrodowego, chryzantemy szklarniowej, </w:t>
      </w:r>
      <w:proofErr w:type="spellStart"/>
      <w:r w:rsidRPr="00925BCD">
        <w:rPr>
          <w:rFonts w:ascii="Arial" w:hAnsi="Arial" w:cs="Arial"/>
        </w:rPr>
        <w:t>cyklamena</w:t>
      </w:r>
      <w:proofErr w:type="spellEnd"/>
      <w:r w:rsidRPr="00925BCD">
        <w:rPr>
          <w:rFonts w:ascii="Arial" w:hAnsi="Arial" w:cs="Arial"/>
        </w:rPr>
        <w:t>, goździka szklarniowego, lilii, mieczyka, różanecznika, traw ozdobnych, żywotnika.</w:t>
      </w:r>
    </w:p>
    <w:p w14:paraId="474BDDF2" w14:textId="5B50B846" w:rsidR="006E048E" w:rsidRDefault="00A61439" w:rsidP="006E048E">
      <w:pPr>
        <w:pStyle w:val="NormalnyWeb"/>
        <w:tabs>
          <w:tab w:val="left" w:pos="284"/>
        </w:tabs>
        <w:spacing w:beforeAutospacing="0" w:after="120" w:afterAutospacing="0" w:line="360" w:lineRule="auto"/>
        <w:ind w:firstLine="284"/>
        <w:jc w:val="both"/>
        <w:rPr>
          <w:rFonts w:ascii="Arial" w:hAnsi="Arial" w:cs="Arial"/>
        </w:rPr>
      </w:pPr>
      <w:r w:rsidRPr="006E048E">
        <w:rPr>
          <w:rFonts w:ascii="Arial" w:hAnsi="Arial" w:cs="Arial"/>
        </w:rPr>
        <w:t>W 2020 r. zaktualizowane zostały programy dla ochrony</w:t>
      </w:r>
      <w:r w:rsidR="003B2B48" w:rsidRPr="006E048E">
        <w:rPr>
          <w:rFonts w:ascii="Arial" w:hAnsi="Arial" w:cs="Arial"/>
        </w:rPr>
        <w:t xml:space="preserve"> pszenicy ozimej i jarej, jęczmienia ozimego i jarego, pszenżyta ozimego i jarego, żyta, owsa, rzepaku ozimego i rzepaku jarego, oraz ziemniaka, buraka cukrowego i pastewnego, kukurydzy, soi, gorczycy, bobiku, grochu i łubinu. </w:t>
      </w:r>
      <w:r w:rsidRPr="006E048E">
        <w:rPr>
          <w:rFonts w:ascii="Arial" w:hAnsi="Arial" w:cs="Arial"/>
        </w:rPr>
        <w:t xml:space="preserve">Z kolei w  przypadku roślin ogrodniczych </w:t>
      </w:r>
      <w:r w:rsidR="00CD1242" w:rsidRPr="006E048E">
        <w:rPr>
          <w:rFonts w:ascii="Arial" w:hAnsi="Arial" w:cs="Arial"/>
        </w:rPr>
        <w:t xml:space="preserve">opracowano 11 nowych programów ochrony roślin ogrodniczych: 2 dla roślin sadowniczych (porzeczka czerwona i biała oraz winorośl), 4 dla roślin warzywnych (brokuł, ogórek szklarniowy, chrzan i szpinak) i 5 dla roślin ozdobnych (poinsecja, </w:t>
      </w:r>
      <w:proofErr w:type="spellStart"/>
      <w:r w:rsidR="00CD1242" w:rsidRPr="006E048E">
        <w:rPr>
          <w:rFonts w:ascii="Arial" w:hAnsi="Arial" w:cs="Arial"/>
        </w:rPr>
        <w:t>eustoma</w:t>
      </w:r>
      <w:proofErr w:type="spellEnd"/>
      <w:r w:rsidR="00CD1242" w:rsidRPr="006E048E">
        <w:rPr>
          <w:rFonts w:ascii="Arial" w:hAnsi="Arial" w:cs="Arial"/>
        </w:rPr>
        <w:t>, róża pod osłonami, tawuła i begonia) oraz zaktualizowano 42 programy ochrony opracowane w latach poprzednich: 10 dla roślin sadowniczych, 17 dla roślin warzywnych i 15 dla roślin ozdobnych.</w:t>
      </w:r>
    </w:p>
    <w:p w14:paraId="2AA1594C" w14:textId="6A021183" w:rsidR="00991723" w:rsidRDefault="00F6788E" w:rsidP="006E048E">
      <w:pPr>
        <w:pStyle w:val="NormalnyWeb"/>
        <w:tabs>
          <w:tab w:val="left" w:pos="284"/>
        </w:tabs>
        <w:spacing w:beforeAutospacing="0" w:after="120" w:afterAutospacing="0" w:line="360" w:lineRule="auto"/>
        <w:ind w:firstLine="284"/>
        <w:jc w:val="both"/>
        <w:rPr>
          <w:rFonts w:ascii="Arial" w:hAnsi="Arial" w:cs="Arial"/>
        </w:rPr>
      </w:pPr>
      <w:r w:rsidRPr="00F6788E">
        <w:rPr>
          <w:rFonts w:ascii="Arial" w:hAnsi="Arial" w:cs="Arial"/>
        </w:rPr>
        <w:t>W 2021 r. opracowane zostały nowe programy</w:t>
      </w:r>
      <w:r w:rsidR="00744B52">
        <w:rPr>
          <w:rFonts w:ascii="Arial" w:hAnsi="Arial" w:cs="Arial"/>
        </w:rPr>
        <w:t xml:space="preserve"> (21)</w:t>
      </w:r>
      <w:r w:rsidRPr="00F6788E">
        <w:rPr>
          <w:rFonts w:ascii="Arial" w:hAnsi="Arial" w:cs="Arial"/>
        </w:rPr>
        <w:t xml:space="preserve"> dla ochrony upraw rolniczych: pszenica ozima, rzepak ozimy, rzepak jary</w:t>
      </w:r>
      <w:r w:rsidR="00FE694D">
        <w:rPr>
          <w:rFonts w:ascii="Arial" w:hAnsi="Arial" w:cs="Arial"/>
        </w:rPr>
        <w:t>,</w:t>
      </w:r>
      <w:r w:rsidRPr="00F6788E">
        <w:rPr>
          <w:rFonts w:ascii="Arial" w:hAnsi="Arial" w:cs="Arial"/>
        </w:rPr>
        <w:t xml:space="preserve"> jęczmień ozimy, jęczmień jary, pszenżyto ozime</w:t>
      </w:r>
      <w:r w:rsidR="00905AB4">
        <w:rPr>
          <w:rFonts w:ascii="Arial" w:hAnsi="Arial" w:cs="Arial"/>
        </w:rPr>
        <w:t>,</w:t>
      </w:r>
      <w:r w:rsidRPr="00F6788E">
        <w:rPr>
          <w:rFonts w:ascii="Arial" w:hAnsi="Arial" w:cs="Arial"/>
        </w:rPr>
        <w:t xml:space="preserve"> pszenica jara, ziemniak, żyto ozime, żyto jare, słonecznik</w:t>
      </w:r>
      <w:r w:rsidR="00905AB4">
        <w:rPr>
          <w:rFonts w:ascii="Arial" w:hAnsi="Arial" w:cs="Arial"/>
        </w:rPr>
        <w:t>,</w:t>
      </w:r>
      <w:r w:rsidRPr="00F6788E">
        <w:rPr>
          <w:rFonts w:ascii="Arial" w:hAnsi="Arial" w:cs="Arial"/>
        </w:rPr>
        <w:t xml:space="preserve"> kukurydza, gorczyca, soja, bobik, groch i łubin, burak cukrowy, burak pastewny, owies, pszenżyto jare</w:t>
      </w:r>
      <w:r w:rsidR="002B3EF9">
        <w:rPr>
          <w:rFonts w:ascii="Arial" w:hAnsi="Arial" w:cs="Arial"/>
        </w:rPr>
        <w:t xml:space="preserve"> oraz</w:t>
      </w:r>
      <w:r w:rsidRPr="00F6788E">
        <w:rPr>
          <w:rFonts w:ascii="Arial" w:hAnsi="Arial" w:cs="Arial"/>
        </w:rPr>
        <w:t xml:space="preserve"> zaktualizowano programy dla ochrony rzepaku ozimego, pszenicy ozimej.</w:t>
      </w:r>
      <w:r w:rsidR="00803056">
        <w:rPr>
          <w:rFonts w:ascii="Arial" w:hAnsi="Arial" w:cs="Arial"/>
        </w:rPr>
        <w:t xml:space="preserve"> W tym też roku </w:t>
      </w:r>
      <w:r w:rsidR="00991723" w:rsidRPr="00155FB6">
        <w:rPr>
          <w:rFonts w:ascii="Arial" w:hAnsi="Arial" w:cs="Arial"/>
        </w:rPr>
        <w:t>opracowywano nowe programy ochrony przed agrofagami dla 2 gatunków roślin sadowniczych (brzoskwinia, leszczyna), 2 gatunków roślin warzywnych (kapusta brukselska, papryka pod osłonami) i 2 gatunków roślin ozdobnych (rojnik, modrzew) oraz zaktualizowano 53 programy ochrony opracowane w latach poprzednich: 12 dla roślin sadowniczych, 21 dla roślin warzywnych i 20 dla roślin ozdobnych</w:t>
      </w:r>
    </w:p>
    <w:p w14:paraId="287DA041" w14:textId="43BE44B6" w:rsidR="003E0CEB" w:rsidRPr="006E048E" w:rsidRDefault="00413C81" w:rsidP="003E0CEB">
      <w:pPr>
        <w:pStyle w:val="NormalnyWeb"/>
        <w:tabs>
          <w:tab w:val="left" w:pos="284"/>
        </w:tabs>
        <w:spacing w:beforeAutospacing="0" w:after="120" w:afterAutospacing="0" w:line="360" w:lineRule="auto"/>
        <w:ind w:firstLine="284"/>
        <w:jc w:val="both"/>
        <w:rPr>
          <w:rFonts w:ascii="Arial" w:hAnsi="Arial" w:cs="Arial"/>
        </w:rPr>
      </w:pPr>
      <w:r w:rsidRPr="006E048E">
        <w:rPr>
          <w:rFonts w:ascii="Arial" w:hAnsi="Arial" w:cs="Arial"/>
        </w:rPr>
        <w:t xml:space="preserve">W ramach realizacji zadania w Instytucie Uprawy Nawożenia i Gleboznawstwa PIB opracowano programy ochrony dla chmielu i tytoniu. Są one systematycznie aktualizowane. </w:t>
      </w:r>
      <w:r w:rsidR="003E0CEB">
        <w:rPr>
          <w:rFonts w:ascii="Arial" w:hAnsi="Arial" w:cs="Arial"/>
        </w:rPr>
        <w:t xml:space="preserve">W 2021 r. opracowano po cztery aktualizacje każdego z programów (w odstępach kwartalnych). </w:t>
      </w:r>
    </w:p>
    <w:p w14:paraId="2177FD82" w14:textId="48414D65"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Powyższe programy zostały upowszechnione za pośrednictwem Platformy Sygnalizacji Agrofagów.</w:t>
      </w:r>
    </w:p>
    <w:p w14:paraId="134530E2" w14:textId="77777777"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noProof/>
        </w:rPr>
        <w:drawing>
          <wp:inline distT="0" distB="0" distL="0" distR="0" wp14:anchorId="6CC227C9" wp14:editId="7A22E7CA">
            <wp:extent cx="1304925" cy="1852672"/>
            <wp:effectExtent l="0" t="0" r="0" b="0"/>
            <wp:docPr id="1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7"/>
                    <pic:cNvPicPr>
                      <a:picLocks noChangeAspect="1" noChangeArrowheads="1"/>
                    </pic:cNvPicPr>
                  </pic:nvPicPr>
                  <pic:blipFill>
                    <a:blip r:embed="rId29"/>
                    <a:stretch>
                      <a:fillRect/>
                    </a:stretch>
                  </pic:blipFill>
                  <pic:spPr bwMode="auto">
                    <a:xfrm>
                      <a:off x="0" y="0"/>
                      <a:ext cx="1311020" cy="1861325"/>
                    </a:xfrm>
                    <a:prstGeom prst="rect">
                      <a:avLst/>
                    </a:prstGeom>
                  </pic:spPr>
                </pic:pic>
              </a:graphicData>
            </a:graphic>
          </wp:inline>
        </w:drawing>
      </w:r>
      <w:r w:rsidRPr="00925BCD">
        <w:rPr>
          <w:noProof/>
        </w:rPr>
        <w:drawing>
          <wp:inline distT="0" distB="0" distL="0" distR="0" wp14:anchorId="30AFCB42" wp14:editId="6478AABC">
            <wp:extent cx="1291839" cy="1828800"/>
            <wp:effectExtent l="0" t="0" r="3810" b="0"/>
            <wp:docPr id="1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8"/>
                    <pic:cNvPicPr>
                      <a:picLocks noChangeAspect="1" noChangeArrowheads="1"/>
                    </pic:cNvPicPr>
                  </pic:nvPicPr>
                  <pic:blipFill>
                    <a:blip r:embed="rId30"/>
                    <a:stretch>
                      <a:fillRect/>
                    </a:stretch>
                  </pic:blipFill>
                  <pic:spPr bwMode="auto">
                    <a:xfrm>
                      <a:off x="0" y="0"/>
                      <a:ext cx="1300049" cy="1840422"/>
                    </a:xfrm>
                    <a:prstGeom prst="rect">
                      <a:avLst/>
                    </a:prstGeom>
                  </pic:spPr>
                </pic:pic>
              </a:graphicData>
            </a:graphic>
          </wp:inline>
        </w:drawing>
      </w:r>
    </w:p>
    <w:p w14:paraId="6070FA9B" w14:textId="77777777" w:rsidR="00056846" w:rsidRPr="00925BCD" w:rsidRDefault="00E54725">
      <w:pPr>
        <w:pStyle w:val="Nagwek2"/>
        <w:jc w:val="both"/>
        <w:rPr>
          <w:i w:val="0"/>
          <w:sz w:val="20"/>
          <w:szCs w:val="20"/>
        </w:rPr>
      </w:pPr>
      <w:bookmarkStart w:id="72" w:name="_Toc341876104"/>
      <w:bookmarkStart w:id="73" w:name="_Toc134099277"/>
      <w:r w:rsidRPr="00925BCD">
        <w:rPr>
          <w:i w:val="0"/>
          <w:sz w:val="20"/>
          <w:szCs w:val="20"/>
        </w:rPr>
        <w:lastRenderedPageBreak/>
        <w:t>Zadanie 7. Upowszechnianie wyników oceny prowadzonej w ramach Porejestrowego Doświadczalnictwa Odmianowego</w:t>
      </w:r>
      <w:bookmarkEnd w:id="72"/>
      <w:bookmarkEnd w:id="73"/>
    </w:p>
    <w:p w14:paraId="694B0876"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Wykorzystywanie odmian roślin uprawnych wykazujących odporność lub tolerancję na organizmy szkodliwe jest jednym z czynników sprzyjających ograniczeniu stosowania środków ochrony roślin. </w:t>
      </w:r>
    </w:p>
    <w:p w14:paraId="0BE0C0A3" w14:textId="3E41A252" w:rsidR="00056846"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 realizowane jest przez Centralny Ośrodek Badania Odmian Roślin Uprawnych, z wykorzystaniem oceny odporności odmian roślin uprawnych na agrofagi prowadzonej w ramach Porejestrowego Doświadczalnictwa Odmianowego (PDO), na podstawie którego tworzone są „Listy odmian zalecanych do uprawy na obszarze województw” (LOZ). LOZ stanowią jeden z elementów systemów wspomagania podejmowania decyzji w ochronie roślin udostępnianych m.in. na Platformie Sygnalizacji Agrofagów w ramach doradztwa rolniczego.  </w:t>
      </w:r>
    </w:p>
    <w:p w14:paraId="13EF8CE8" w14:textId="320E61F0"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C07E81">
        <w:rPr>
          <w:rFonts w:ascii="Arial" w:hAnsi="Arial" w:cs="Arial"/>
        </w:rPr>
        <w:t xml:space="preserve">Centralny Ośrodek Badania Odmian Roślin Uprawnych w </w:t>
      </w:r>
      <w:r w:rsidRPr="00725FA4">
        <w:rPr>
          <w:rFonts w:ascii="Arial" w:hAnsi="Arial" w:cs="Arial"/>
        </w:rPr>
        <w:t xml:space="preserve">latach </w:t>
      </w:r>
      <w:r w:rsidRPr="00C07E81">
        <w:rPr>
          <w:rFonts w:ascii="Arial" w:hAnsi="Arial" w:cs="Arial"/>
        </w:rPr>
        <w:t>2018</w:t>
      </w:r>
      <w:r w:rsidR="00453314">
        <w:rPr>
          <w:rFonts w:cs="Arial"/>
        </w:rPr>
        <w:t>–</w:t>
      </w:r>
      <w:r w:rsidRPr="00725FA4">
        <w:rPr>
          <w:rFonts w:ascii="Arial" w:hAnsi="Arial" w:cs="Arial"/>
        </w:rPr>
        <w:t>202</w:t>
      </w:r>
      <w:r w:rsidR="00833B20">
        <w:rPr>
          <w:rFonts w:ascii="Arial" w:hAnsi="Arial" w:cs="Arial"/>
        </w:rPr>
        <w:t>0</w:t>
      </w:r>
      <w:r w:rsidRPr="00C07E81">
        <w:rPr>
          <w:rFonts w:ascii="Arial" w:hAnsi="Arial" w:cs="Arial"/>
        </w:rPr>
        <w:t xml:space="preserve"> w ramach PDO prowadził badania wartości gospodarczej odmian 3</w:t>
      </w:r>
      <w:r w:rsidRPr="00725FA4">
        <w:rPr>
          <w:rFonts w:ascii="Arial" w:hAnsi="Arial" w:cs="Arial"/>
        </w:rPr>
        <w:t>1</w:t>
      </w:r>
      <w:r w:rsidRPr="00C07E81">
        <w:rPr>
          <w:rFonts w:ascii="Arial" w:hAnsi="Arial" w:cs="Arial"/>
        </w:rPr>
        <w:t xml:space="preserve"> najważniejszych gospodarczo roślin rolniczych oraz dodatkowo 9 gatunków roślin warzywnych i winorośli</w:t>
      </w:r>
      <w:r w:rsidR="002E7FFA">
        <w:rPr>
          <w:rFonts w:ascii="Arial" w:hAnsi="Arial" w:cs="Arial"/>
        </w:rPr>
        <w:t xml:space="preserve">, natomiast w 2021 r. </w:t>
      </w:r>
      <w:r w:rsidR="00523902" w:rsidRPr="00523902">
        <w:rPr>
          <w:rFonts w:ascii="Arial" w:hAnsi="Arial" w:cs="Arial"/>
        </w:rPr>
        <w:t>prowadz</w:t>
      </w:r>
      <w:r w:rsidR="000B68CF">
        <w:rPr>
          <w:rFonts w:ascii="Arial" w:hAnsi="Arial" w:cs="Arial"/>
        </w:rPr>
        <w:t>ił</w:t>
      </w:r>
      <w:r w:rsidR="00523902" w:rsidRPr="00523902">
        <w:rPr>
          <w:rFonts w:ascii="Arial" w:hAnsi="Arial" w:cs="Arial"/>
        </w:rPr>
        <w:t xml:space="preserve"> badania odmian 20 ważnych gospodarczo gatunków roślin rolniczych jednorocznych oraz 9 gatunków wieloletnich (wiechlinowate i </w:t>
      </w:r>
      <w:proofErr w:type="spellStart"/>
      <w:r w:rsidR="00523902" w:rsidRPr="00523902">
        <w:rPr>
          <w:rFonts w:ascii="Arial" w:hAnsi="Arial" w:cs="Arial"/>
        </w:rPr>
        <w:t>bobowate</w:t>
      </w:r>
      <w:proofErr w:type="spellEnd"/>
      <w:r w:rsidR="00523902" w:rsidRPr="00523902">
        <w:rPr>
          <w:rFonts w:ascii="Arial" w:hAnsi="Arial" w:cs="Arial"/>
        </w:rPr>
        <w:t xml:space="preserve"> drobnonasienne), a także 3 gatunków roślin warzywnych i</w:t>
      </w:r>
      <w:r w:rsidR="000B68CF">
        <w:rPr>
          <w:rFonts w:ascii="Arial" w:hAnsi="Arial" w:cs="Arial"/>
        </w:rPr>
        <w:t> </w:t>
      </w:r>
      <w:r w:rsidR="00523902" w:rsidRPr="00523902">
        <w:rPr>
          <w:rFonts w:ascii="Arial" w:hAnsi="Arial" w:cs="Arial"/>
        </w:rPr>
        <w:t>winorośli</w:t>
      </w:r>
      <w:r w:rsidR="00557F07">
        <w:rPr>
          <w:rFonts w:ascii="Arial" w:hAnsi="Arial" w:cs="Arial"/>
        </w:rPr>
        <w:t>.</w:t>
      </w:r>
      <w:r w:rsidRPr="00C07E81">
        <w:rPr>
          <w:rFonts w:ascii="Arial" w:hAnsi="Arial" w:cs="Arial"/>
        </w:rPr>
        <w:t xml:space="preserve"> Jednym z kluczowych elementów tych badań była ocena podatności poszczególnych odmian na porażenie przez agrofagi uzyskana </w:t>
      </w:r>
      <w:r w:rsidR="00557F07" w:rsidRPr="00C07E81">
        <w:rPr>
          <w:rFonts w:ascii="Arial" w:hAnsi="Arial" w:cs="Arial"/>
        </w:rPr>
        <w:t>w</w:t>
      </w:r>
      <w:r w:rsidR="00557F07">
        <w:rPr>
          <w:rFonts w:ascii="Arial" w:hAnsi="Arial" w:cs="Arial"/>
        </w:rPr>
        <w:t> </w:t>
      </w:r>
      <w:r w:rsidRPr="00C07E81">
        <w:rPr>
          <w:rFonts w:ascii="Arial" w:hAnsi="Arial" w:cs="Arial"/>
        </w:rPr>
        <w:t>warunkach naturalnej polowej infekcji.</w:t>
      </w:r>
      <w:r w:rsidRPr="00925BCD">
        <w:rPr>
          <w:rFonts w:ascii="Arial" w:hAnsi="Arial" w:cs="Arial"/>
        </w:rPr>
        <w:t xml:space="preserve"> </w:t>
      </w:r>
    </w:p>
    <w:p w14:paraId="14C29187" w14:textId="5FE4EF74"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B83476">
        <w:rPr>
          <w:rFonts w:ascii="Arial" w:hAnsi="Arial" w:cs="Arial"/>
        </w:rPr>
        <w:t xml:space="preserve">Łącznie </w:t>
      </w:r>
      <w:r w:rsidRPr="00725FA4">
        <w:rPr>
          <w:rFonts w:ascii="Arial" w:hAnsi="Arial" w:cs="Arial"/>
        </w:rPr>
        <w:t>w latach 2018-202</w:t>
      </w:r>
      <w:r w:rsidR="00B37F50">
        <w:rPr>
          <w:rFonts w:ascii="Arial" w:hAnsi="Arial" w:cs="Arial"/>
        </w:rPr>
        <w:t>1</w:t>
      </w:r>
      <w:r w:rsidRPr="00B83476">
        <w:rPr>
          <w:rFonts w:ascii="Arial" w:hAnsi="Arial" w:cs="Arial"/>
        </w:rPr>
        <w:t xml:space="preserve"> założono lub kontynuowano </w:t>
      </w:r>
      <w:r w:rsidR="00EB67D1" w:rsidRPr="00FA2048">
        <w:rPr>
          <w:rFonts w:ascii="Arial" w:hAnsi="Arial" w:cs="Arial"/>
          <w:b/>
          <w:bCs/>
        </w:rPr>
        <w:t>4</w:t>
      </w:r>
      <w:r w:rsidR="00FA2048">
        <w:rPr>
          <w:rFonts w:ascii="Arial" w:hAnsi="Arial" w:cs="Arial"/>
          <w:b/>
          <w:bCs/>
        </w:rPr>
        <w:t> </w:t>
      </w:r>
      <w:r w:rsidR="00EB67D1" w:rsidRPr="00FA2048">
        <w:rPr>
          <w:rFonts w:ascii="Arial" w:hAnsi="Arial" w:cs="Arial"/>
          <w:b/>
          <w:bCs/>
        </w:rPr>
        <w:t>010</w:t>
      </w:r>
      <w:r w:rsidRPr="00725FA4">
        <w:rPr>
          <w:rFonts w:ascii="Arial" w:hAnsi="Arial" w:cs="Arial"/>
        </w:rPr>
        <w:t xml:space="preserve"> </w:t>
      </w:r>
      <w:r w:rsidRPr="00B83476">
        <w:rPr>
          <w:rFonts w:ascii="Arial" w:hAnsi="Arial" w:cs="Arial"/>
          <w:b/>
        </w:rPr>
        <w:t xml:space="preserve">doświadczeń polowych </w:t>
      </w:r>
      <w:r w:rsidRPr="00725FA4">
        <w:rPr>
          <w:rFonts w:ascii="Arial" w:hAnsi="Arial" w:cs="Arial"/>
          <w:i/>
        </w:rPr>
        <w:t xml:space="preserve">(odpowiednio: </w:t>
      </w:r>
      <w:r>
        <w:rPr>
          <w:rFonts w:ascii="Arial" w:hAnsi="Arial" w:cs="Arial"/>
          <w:i/>
        </w:rPr>
        <w:t xml:space="preserve">w </w:t>
      </w:r>
      <w:r w:rsidRPr="00725FA4">
        <w:rPr>
          <w:rFonts w:ascii="Arial" w:hAnsi="Arial" w:cs="Arial"/>
          <w:i/>
        </w:rPr>
        <w:t>2018</w:t>
      </w:r>
      <w:r>
        <w:rPr>
          <w:rFonts w:ascii="Arial" w:hAnsi="Arial" w:cs="Arial"/>
          <w:i/>
        </w:rPr>
        <w:t xml:space="preserve"> r.</w:t>
      </w:r>
      <w:r w:rsidRPr="00725FA4">
        <w:rPr>
          <w:rFonts w:ascii="Arial" w:hAnsi="Arial" w:cs="Arial"/>
          <w:i/>
        </w:rPr>
        <w:t xml:space="preserve"> – 969; </w:t>
      </w:r>
      <w:r>
        <w:rPr>
          <w:rFonts w:ascii="Arial" w:hAnsi="Arial" w:cs="Arial"/>
          <w:i/>
        </w:rPr>
        <w:t xml:space="preserve">w </w:t>
      </w:r>
      <w:r w:rsidRPr="00725FA4">
        <w:rPr>
          <w:rFonts w:ascii="Arial" w:hAnsi="Arial" w:cs="Arial"/>
          <w:i/>
        </w:rPr>
        <w:t>2019</w:t>
      </w:r>
      <w:r>
        <w:rPr>
          <w:rFonts w:ascii="Arial" w:hAnsi="Arial" w:cs="Arial"/>
          <w:i/>
        </w:rPr>
        <w:t xml:space="preserve"> r.</w:t>
      </w:r>
      <w:r w:rsidRPr="00725FA4">
        <w:rPr>
          <w:rFonts w:ascii="Arial" w:hAnsi="Arial" w:cs="Arial"/>
          <w:i/>
        </w:rPr>
        <w:t xml:space="preserve"> – 1012; </w:t>
      </w:r>
      <w:r>
        <w:rPr>
          <w:rFonts w:ascii="Arial" w:hAnsi="Arial" w:cs="Arial"/>
          <w:i/>
        </w:rPr>
        <w:t xml:space="preserve">w </w:t>
      </w:r>
      <w:r w:rsidRPr="00725FA4">
        <w:rPr>
          <w:rFonts w:ascii="Arial" w:hAnsi="Arial" w:cs="Arial"/>
          <w:i/>
        </w:rPr>
        <w:t>2020</w:t>
      </w:r>
      <w:r>
        <w:rPr>
          <w:rFonts w:ascii="Arial" w:hAnsi="Arial" w:cs="Arial"/>
          <w:i/>
        </w:rPr>
        <w:t xml:space="preserve"> r</w:t>
      </w:r>
      <w:bookmarkStart w:id="74" w:name="_Hlk119412540"/>
      <w:r>
        <w:rPr>
          <w:rFonts w:ascii="Arial" w:hAnsi="Arial" w:cs="Arial"/>
          <w:i/>
        </w:rPr>
        <w:t>.</w:t>
      </w:r>
      <w:r w:rsidRPr="00725FA4">
        <w:rPr>
          <w:rFonts w:ascii="Arial" w:hAnsi="Arial" w:cs="Arial"/>
          <w:i/>
        </w:rPr>
        <w:t xml:space="preserve"> –</w:t>
      </w:r>
      <w:bookmarkEnd w:id="74"/>
      <w:r w:rsidRPr="00725FA4">
        <w:rPr>
          <w:rFonts w:ascii="Arial" w:hAnsi="Arial" w:cs="Arial"/>
          <w:i/>
        </w:rPr>
        <w:t xml:space="preserve"> 1005</w:t>
      </w:r>
      <w:r w:rsidR="005A4E1F">
        <w:rPr>
          <w:rFonts w:ascii="Arial" w:hAnsi="Arial" w:cs="Arial"/>
          <w:i/>
        </w:rPr>
        <w:t>, w 2021</w:t>
      </w:r>
      <w:r w:rsidR="000D465C">
        <w:rPr>
          <w:rFonts w:ascii="Arial" w:hAnsi="Arial" w:cs="Arial"/>
          <w:i/>
        </w:rPr>
        <w:t xml:space="preserve"> r.</w:t>
      </w:r>
      <w:r w:rsidR="000D465C" w:rsidRPr="00725FA4">
        <w:rPr>
          <w:rFonts w:ascii="Arial" w:hAnsi="Arial" w:cs="Arial"/>
          <w:i/>
        </w:rPr>
        <w:t xml:space="preserve"> –</w:t>
      </w:r>
      <w:r w:rsidR="000D465C">
        <w:rPr>
          <w:rFonts w:ascii="Arial" w:hAnsi="Arial" w:cs="Arial"/>
          <w:i/>
        </w:rPr>
        <w:t xml:space="preserve"> </w:t>
      </w:r>
      <w:r w:rsidR="002A0788">
        <w:rPr>
          <w:rFonts w:ascii="Arial" w:hAnsi="Arial" w:cs="Arial"/>
          <w:i/>
        </w:rPr>
        <w:t>1 024</w:t>
      </w:r>
      <w:r w:rsidRPr="00725FA4">
        <w:rPr>
          <w:rFonts w:ascii="Arial" w:hAnsi="Arial" w:cs="Arial"/>
          <w:i/>
        </w:rPr>
        <w:t>)</w:t>
      </w:r>
      <w:r w:rsidRPr="00B83476">
        <w:rPr>
          <w:rFonts w:ascii="Arial" w:hAnsi="Arial" w:cs="Arial"/>
        </w:rPr>
        <w:t xml:space="preserve">, w których </w:t>
      </w:r>
      <w:r w:rsidRPr="00725FA4">
        <w:rPr>
          <w:rFonts w:ascii="Arial" w:hAnsi="Arial" w:cs="Arial"/>
        </w:rPr>
        <w:t xml:space="preserve">corocznie </w:t>
      </w:r>
      <w:r w:rsidRPr="00B83476">
        <w:rPr>
          <w:rFonts w:ascii="Arial" w:hAnsi="Arial" w:cs="Arial"/>
        </w:rPr>
        <w:t xml:space="preserve">sprawdzano wartość gospodarczą </w:t>
      </w:r>
      <w:r w:rsidRPr="00725FA4">
        <w:rPr>
          <w:rFonts w:ascii="Arial" w:hAnsi="Arial" w:cs="Arial"/>
          <w:b/>
        </w:rPr>
        <w:t>około 700</w:t>
      </w:r>
      <w:r w:rsidRPr="00B83476">
        <w:rPr>
          <w:rFonts w:ascii="Arial" w:hAnsi="Arial" w:cs="Arial"/>
          <w:b/>
        </w:rPr>
        <w:t xml:space="preserve"> odmian</w:t>
      </w:r>
      <w:r w:rsidRPr="00725FA4">
        <w:rPr>
          <w:rFonts w:ascii="Arial" w:hAnsi="Arial" w:cs="Arial"/>
          <w:b/>
        </w:rPr>
        <w:t xml:space="preserve"> </w:t>
      </w:r>
      <w:r w:rsidRPr="00725FA4">
        <w:rPr>
          <w:rFonts w:ascii="Arial" w:hAnsi="Arial" w:cs="Arial"/>
          <w:i/>
        </w:rPr>
        <w:t xml:space="preserve">(odpowiednio: </w:t>
      </w:r>
      <w:r>
        <w:rPr>
          <w:rFonts w:ascii="Arial" w:hAnsi="Arial" w:cs="Arial"/>
          <w:i/>
        </w:rPr>
        <w:t xml:space="preserve">w </w:t>
      </w:r>
      <w:r w:rsidRPr="00725FA4">
        <w:rPr>
          <w:rFonts w:ascii="Arial" w:hAnsi="Arial" w:cs="Arial"/>
          <w:i/>
        </w:rPr>
        <w:t>2018</w:t>
      </w:r>
      <w:r>
        <w:rPr>
          <w:rFonts w:ascii="Arial" w:hAnsi="Arial" w:cs="Arial"/>
          <w:i/>
        </w:rPr>
        <w:t xml:space="preserve"> r.</w:t>
      </w:r>
      <w:r w:rsidRPr="00725FA4">
        <w:rPr>
          <w:rFonts w:ascii="Arial" w:hAnsi="Arial" w:cs="Arial"/>
          <w:i/>
        </w:rPr>
        <w:t xml:space="preserve"> – 792; </w:t>
      </w:r>
      <w:r>
        <w:rPr>
          <w:rFonts w:ascii="Arial" w:hAnsi="Arial" w:cs="Arial"/>
          <w:i/>
        </w:rPr>
        <w:t>w</w:t>
      </w:r>
      <w:r w:rsidR="006722E3">
        <w:rPr>
          <w:rFonts w:ascii="Arial" w:hAnsi="Arial" w:cs="Arial"/>
          <w:i/>
        </w:rPr>
        <w:t> </w:t>
      </w:r>
      <w:r w:rsidRPr="00725FA4">
        <w:rPr>
          <w:rFonts w:ascii="Arial" w:hAnsi="Arial" w:cs="Arial"/>
          <w:i/>
        </w:rPr>
        <w:t>2019</w:t>
      </w:r>
      <w:r w:rsidR="006722E3">
        <w:rPr>
          <w:rFonts w:ascii="Arial" w:hAnsi="Arial" w:cs="Arial"/>
          <w:i/>
        </w:rPr>
        <w:t> </w:t>
      </w:r>
      <w:r>
        <w:rPr>
          <w:rFonts w:ascii="Arial" w:hAnsi="Arial" w:cs="Arial"/>
          <w:i/>
        </w:rPr>
        <w:t>r.</w:t>
      </w:r>
      <w:r w:rsidRPr="00725FA4">
        <w:rPr>
          <w:rFonts w:ascii="Arial" w:hAnsi="Arial" w:cs="Arial"/>
          <w:i/>
        </w:rPr>
        <w:t xml:space="preserve"> – 733; </w:t>
      </w:r>
      <w:r>
        <w:rPr>
          <w:rFonts w:ascii="Arial" w:hAnsi="Arial" w:cs="Arial"/>
          <w:i/>
        </w:rPr>
        <w:t xml:space="preserve">w </w:t>
      </w:r>
      <w:r w:rsidRPr="00725FA4">
        <w:rPr>
          <w:rFonts w:ascii="Arial" w:hAnsi="Arial" w:cs="Arial"/>
          <w:i/>
        </w:rPr>
        <w:t>2020</w:t>
      </w:r>
      <w:r>
        <w:rPr>
          <w:rFonts w:ascii="Arial" w:hAnsi="Arial" w:cs="Arial"/>
          <w:i/>
        </w:rPr>
        <w:t xml:space="preserve"> r.</w:t>
      </w:r>
      <w:r w:rsidRPr="00725FA4">
        <w:rPr>
          <w:rFonts w:ascii="Arial" w:hAnsi="Arial" w:cs="Arial"/>
          <w:i/>
        </w:rPr>
        <w:t xml:space="preserve"> – 662</w:t>
      </w:r>
      <w:r w:rsidR="006722E3">
        <w:rPr>
          <w:rFonts w:ascii="Arial" w:hAnsi="Arial" w:cs="Arial"/>
          <w:i/>
        </w:rPr>
        <w:t>, w 2021 r.</w:t>
      </w:r>
      <w:r w:rsidR="006722E3" w:rsidRPr="00725FA4">
        <w:rPr>
          <w:rFonts w:ascii="Arial" w:hAnsi="Arial" w:cs="Arial"/>
          <w:i/>
        </w:rPr>
        <w:t xml:space="preserve"> –</w:t>
      </w:r>
      <w:r w:rsidR="006722E3">
        <w:rPr>
          <w:rFonts w:ascii="Arial" w:hAnsi="Arial" w:cs="Arial"/>
          <w:i/>
        </w:rPr>
        <w:t xml:space="preserve"> </w:t>
      </w:r>
      <w:r w:rsidR="006D7150">
        <w:rPr>
          <w:rFonts w:ascii="Arial" w:hAnsi="Arial" w:cs="Arial"/>
          <w:i/>
        </w:rPr>
        <w:t>732</w:t>
      </w:r>
      <w:r w:rsidRPr="00725FA4">
        <w:rPr>
          <w:rFonts w:ascii="Arial" w:hAnsi="Arial" w:cs="Arial"/>
          <w:i/>
        </w:rPr>
        <w:t>)</w:t>
      </w:r>
      <w:r w:rsidRPr="00B83476">
        <w:rPr>
          <w:rFonts w:ascii="Arial" w:hAnsi="Arial" w:cs="Arial"/>
        </w:rPr>
        <w:t>. W zdecydowanej</w:t>
      </w:r>
      <w:r w:rsidRPr="00925BCD">
        <w:rPr>
          <w:rFonts w:ascii="Arial" w:hAnsi="Arial" w:cs="Arial"/>
        </w:rPr>
        <w:t xml:space="preserve"> większości były to odmiany roślin rolniczych wpisane do Krajowego rejestru odmian. W kilkunastu gatunkach badania polowe poszerzone zostały o analizy chemiczne </w:t>
      </w:r>
      <w:r w:rsidR="00557F07" w:rsidRPr="00925BCD">
        <w:rPr>
          <w:rFonts w:ascii="Arial" w:hAnsi="Arial" w:cs="Arial"/>
        </w:rPr>
        <w:t>i</w:t>
      </w:r>
      <w:r w:rsidR="00557F07">
        <w:rPr>
          <w:rFonts w:ascii="Arial" w:hAnsi="Arial" w:cs="Arial"/>
        </w:rPr>
        <w:t> </w:t>
      </w:r>
      <w:r w:rsidRPr="00925BCD">
        <w:rPr>
          <w:rFonts w:ascii="Arial" w:hAnsi="Arial" w:cs="Arial"/>
        </w:rPr>
        <w:t xml:space="preserve">technologiczne materiału ze zbioru doświadczeń. </w:t>
      </w:r>
    </w:p>
    <w:p w14:paraId="7C97AC97"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Wyniki powyższych badań i doświadczeń PDO oraz LOZ publikowane były zarówno na poziomie centralnym jak i regionalnym (w poszczególnych województwach). Materiały te dostępne są zarówno w wersji papierowej jak i w formie elektronicznej. Publikacje papierowe centralne ukazują się w ramach trzech serii wydawniczych: </w:t>
      </w:r>
    </w:p>
    <w:p w14:paraId="61C50B39"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Wstępne wyniki plonowania odmian w doświadczeniach porejestrowych - wydawane są w krótkim terminie po zbiorach poszczególnych grup roślin i zawierają najczęściej jedynie wyniki plonowania odmian, </w:t>
      </w:r>
    </w:p>
    <w:p w14:paraId="5F4C78F9" w14:textId="77777777" w:rsidR="00056846" w:rsidRPr="00925BCD" w:rsidRDefault="00E54725" w:rsidP="004A1341">
      <w:pPr>
        <w:pStyle w:val="NormalnyWeb"/>
        <w:numPr>
          <w:ilvl w:val="0"/>
          <w:numId w:val="22"/>
        </w:numPr>
        <w:tabs>
          <w:tab w:val="left" w:pos="284"/>
        </w:tabs>
        <w:spacing w:beforeAutospacing="0" w:after="120" w:afterAutospacing="0" w:line="360" w:lineRule="auto"/>
        <w:jc w:val="both"/>
        <w:rPr>
          <w:rFonts w:ascii="Arial" w:hAnsi="Arial" w:cs="Arial"/>
        </w:rPr>
      </w:pPr>
      <w:r w:rsidRPr="00925BCD">
        <w:rPr>
          <w:rFonts w:ascii="Arial" w:hAnsi="Arial" w:cs="Arial"/>
        </w:rPr>
        <w:t>Wyniki porejestrowych doświadczeń odmianowych - wydawane w późniejszym terminie i zawierają wyniki z dwóch ostatnich sezonów wegetacyjnych wszystkich ważniejszych cech wartości gospodarczej odmian, w tym porażenie odmian przez ważniejsze patogeny.</w:t>
      </w:r>
    </w:p>
    <w:p w14:paraId="13C9DE8C" w14:textId="77777777" w:rsidR="00056846" w:rsidRPr="00925BCD" w:rsidRDefault="00E54725" w:rsidP="004A1341">
      <w:pPr>
        <w:pStyle w:val="NormalnyWeb"/>
        <w:numPr>
          <w:ilvl w:val="0"/>
          <w:numId w:val="22"/>
        </w:numPr>
        <w:tabs>
          <w:tab w:val="left" w:pos="284"/>
        </w:tabs>
        <w:spacing w:beforeAutospacing="0" w:after="120" w:afterAutospacing="0" w:line="360" w:lineRule="auto"/>
        <w:jc w:val="both"/>
        <w:rPr>
          <w:rFonts w:ascii="Arial" w:hAnsi="Arial" w:cs="Arial"/>
        </w:rPr>
      </w:pPr>
      <w:r w:rsidRPr="00925BCD">
        <w:rPr>
          <w:rFonts w:ascii="Arial" w:hAnsi="Arial" w:cs="Arial"/>
        </w:rPr>
        <w:t xml:space="preserve">Listy opisowe odmian – zawierające </w:t>
      </w:r>
      <w:r w:rsidRPr="00925BCD">
        <w:rPr>
          <w:rFonts w:ascii="Arial" w:hAnsi="Arial" w:cs="Arial"/>
          <w:color w:val="000000"/>
          <w:shd w:val="clear" w:color="auto" w:fill="FFFFFF"/>
        </w:rPr>
        <w:t>ogólne informacje o znaczeniu gospodarczym danej rośliny uprawnej oraz bardziej szczegółowe o odmianach wpisanych do krajowego rejestru, w tym charakterystyki liczbowe cech gospodarczych i użytkowych, a dla odmian nowo zarejestrowanych - dodatkowo opis słowny.</w:t>
      </w:r>
    </w:p>
    <w:p w14:paraId="1879CD5B" w14:textId="025332E4" w:rsidR="009837B4" w:rsidRDefault="00E54725" w:rsidP="009837B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Dodatkowo w 2018 r. z okazji przypadającego jubileuszu 20-lecia realizacji programu PDO opracowano „Wydawnictwo jubileuszowe z okazji XX-</w:t>
      </w:r>
      <w:proofErr w:type="spellStart"/>
      <w:r w:rsidRPr="00925BCD">
        <w:rPr>
          <w:rFonts w:ascii="Arial" w:hAnsi="Arial" w:cs="Arial"/>
        </w:rPr>
        <w:t>lecia</w:t>
      </w:r>
      <w:proofErr w:type="spellEnd"/>
      <w:r w:rsidRPr="00925BCD">
        <w:rPr>
          <w:rFonts w:ascii="Arial" w:hAnsi="Arial" w:cs="Arial"/>
        </w:rPr>
        <w:t xml:space="preserve"> Porejestrowego doświadczalnictwa (PDO) i rekomendacji odmian w Polsce (1998-2010)” oraz wydano znowelizowany „Informator Porejestrowe doświadczalnictwo odmianowe oraz rekomendacja odmian w Polsce”. W 2019 r., opublikowano „Listę odmian zalecanych do uprawy na obszarze województw</w:t>
      </w:r>
      <w:r w:rsidR="009837B4">
        <w:rPr>
          <w:rFonts w:ascii="Arial" w:hAnsi="Arial" w:cs="Arial"/>
        </w:rPr>
        <w:t>”</w:t>
      </w:r>
      <w:r w:rsidRPr="00925BCD">
        <w:rPr>
          <w:rFonts w:ascii="Arial" w:hAnsi="Arial" w:cs="Arial"/>
        </w:rPr>
        <w:t xml:space="preserve"> oraz w ramach tzw. „Inicjatywy białkowej COBORU”, której celem jest poszerzenie zakresu badań odmian roślin </w:t>
      </w:r>
      <w:proofErr w:type="spellStart"/>
      <w:r w:rsidRPr="00925BCD">
        <w:rPr>
          <w:rFonts w:ascii="Arial" w:hAnsi="Arial" w:cs="Arial"/>
        </w:rPr>
        <w:t>bobowatych</w:t>
      </w:r>
      <w:proofErr w:type="spellEnd"/>
      <w:r w:rsidRPr="00925BCD">
        <w:rPr>
          <w:rFonts w:ascii="Arial" w:hAnsi="Arial" w:cs="Arial"/>
        </w:rPr>
        <w:t xml:space="preserve"> grubonasiennych i</w:t>
      </w:r>
      <w:r w:rsidR="008752B6" w:rsidRPr="00925BCD">
        <w:rPr>
          <w:rFonts w:ascii="Arial" w:hAnsi="Arial" w:cs="Arial"/>
        </w:rPr>
        <w:t> </w:t>
      </w:r>
      <w:r w:rsidRPr="00925BCD">
        <w:rPr>
          <w:rFonts w:ascii="Arial" w:hAnsi="Arial" w:cs="Arial"/>
        </w:rPr>
        <w:t xml:space="preserve">soi, wydano: „Informator - Inicjatywa białkowa COBORU” oraz ulotkę „Wyniki doświadczeń odmianowych PDO. Rośliny </w:t>
      </w:r>
      <w:proofErr w:type="spellStart"/>
      <w:r w:rsidRPr="00925BCD">
        <w:rPr>
          <w:rFonts w:ascii="Arial" w:hAnsi="Arial" w:cs="Arial"/>
        </w:rPr>
        <w:t>bobowate</w:t>
      </w:r>
      <w:proofErr w:type="spellEnd"/>
      <w:r w:rsidRPr="00925BCD">
        <w:rPr>
          <w:rFonts w:ascii="Arial" w:hAnsi="Arial" w:cs="Arial"/>
        </w:rPr>
        <w:t xml:space="preserve"> grubonasienne i soja. 2017-2018”.</w:t>
      </w:r>
      <w:r w:rsidR="009837B4">
        <w:rPr>
          <w:rFonts w:ascii="Arial" w:hAnsi="Arial" w:cs="Arial"/>
        </w:rPr>
        <w:t xml:space="preserve"> </w:t>
      </w:r>
      <w:r w:rsidR="009837B4" w:rsidRPr="001371FC">
        <w:rPr>
          <w:rFonts w:ascii="Arial" w:hAnsi="Arial" w:cs="Arial"/>
        </w:rPr>
        <w:t xml:space="preserve">W 2020 r. wydano dla każdego województwa odrębnie ulotkę </w:t>
      </w:r>
      <w:r w:rsidR="009837B4" w:rsidRPr="00725FA4">
        <w:rPr>
          <w:rFonts w:ascii="Arial" w:hAnsi="Arial" w:cs="Arial"/>
        </w:rPr>
        <w:t>„Listy odmian zalecanych do uprawy na obszarze województw, którą</w:t>
      </w:r>
      <w:r w:rsidR="009837B4" w:rsidRPr="001371FC">
        <w:rPr>
          <w:rFonts w:ascii="Arial" w:hAnsi="Arial" w:cs="Arial"/>
        </w:rPr>
        <w:t xml:space="preserve"> we współpracy z </w:t>
      </w:r>
      <w:proofErr w:type="spellStart"/>
      <w:r w:rsidR="009837B4" w:rsidRPr="001371FC">
        <w:rPr>
          <w:rFonts w:ascii="Arial" w:hAnsi="Arial" w:cs="Arial"/>
        </w:rPr>
        <w:t>MRiRW</w:t>
      </w:r>
      <w:proofErr w:type="spellEnd"/>
      <w:r w:rsidR="009837B4" w:rsidRPr="001371FC">
        <w:rPr>
          <w:rFonts w:ascii="Arial" w:hAnsi="Arial" w:cs="Arial"/>
        </w:rPr>
        <w:t xml:space="preserve"> poprzez KRUS dostarczono wszystkim rolnikom zarejestrowanym w tej instytucji. Ponadto podobnie jak w </w:t>
      </w:r>
      <w:r w:rsidR="00EA109D">
        <w:rPr>
          <w:rFonts w:ascii="Arial" w:hAnsi="Arial" w:cs="Arial"/>
        </w:rPr>
        <w:t xml:space="preserve">roku </w:t>
      </w:r>
      <w:r w:rsidR="009837B4" w:rsidRPr="001371FC">
        <w:rPr>
          <w:rFonts w:ascii="Arial" w:hAnsi="Arial" w:cs="Arial"/>
        </w:rPr>
        <w:t xml:space="preserve">poprzednim w kilkutysięcznym nakładzie wydano broszurę </w:t>
      </w:r>
      <w:r w:rsidR="009837B4" w:rsidRPr="00725FA4">
        <w:rPr>
          <w:rFonts w:ascii="Arial" w:hAnsi="Arial" w:cs="Arial"/>
        </w:rPr>
        <w:t>„Listę odmian zalecanych do uprawy na obszarze województw. 2020”, ulotkę „Listę odmian zalecanych do</w:t>
      </w:r>
      <w:r w:rsidR="00DC7E4D">
        <w:rPr>
          <w:rFonts w:ascii="Arial" w:hAnsi="Arial" w:cs="Arial"/>
        </w:rPr>
        <w:t> </w:t>
      </w:r>
      <w:r w:rsidR="009837B4" w:rsidRPr="00725FA4">
        <w:rPr>
          <w:rFonts w:ascii="Arial" w:hAnsi="Arial" w:cs="Arial"/>
        </w:rPr>
        <w:t xml:space="preserve">uprawy na obszarze województw roślin </w:t>
      </w:r>
      <w:proofErr w:type="spellStart"/>
      <w:r w:rsidR="009837B4" w:rsidRPr="00725FA4">
        <w:rPr>
          <w:rFonts w:ascii="Arial" w:hAnsi="Arial" w:cs="Arial"/>
        </w:rPr>
        <w:t>bobowatych</w:t>
      </w:r>
      <w:proofErr w:type="spellEnd"/>
      <w:r w:rsidR="009837B4" w:rsidRPr="00725FA4">
        <w:rPr>
          <w:rFonts w:ascii="Arial" w:hAnsi="Arial" w:cs="Arial"/>
        </w:rPr>
        <w:t xml:space="preserve"> grubonasiennych i soi. 2020”, „Informator - Inicjatywa białkowa COBORU”, ulotkę „Wyniki doświadczeń odmianowych PDO. Rośliny </w:t>
      </w:r>
      <w:proofErr w:type="spellStart"/>
      <w:r w:rsidR="009837B4" w:rsidRPr="00725FA4">
        <w:rPr>
          <w:rFonts w:ascii="Arial" w:hAnsi="Arial" w:cs="Arial"/>
        </w:rPr>
        <w:t>bobowate</w:t>
      </w:r>
      <w:proofErr w:type="spellEnd"/>
      <w:r w:rsidR="009837B4" w:rsidRPr="00725FA4">
        <w:rPr>
          <w:rFonts w:ascii="Arial" w:hAnsi="Arial" w:cs="Arial"/>
        </w:rPr>
        <w:t xml:space="preserve"> grubonasienne i soja. 2017-2019”, ulotkę „Międzynarodowy Rok Zdrowia Roślin” oraz ulotkę opracowaną przez </w:t>
      </w:r>
      <w:proofErr w:type="spellStart"/>
      <w:r w:rsidR="009837B4" w:rsidRPr="00725FA4">
        <w:rPr>
          <w:rFonts w:ascii="Arial" w:hAnsi="Arial" w:cs="Arial"/>
        </w:rPr>
        <w:t>MRiRW</w:t>
      </w:r>
      <w:proofErr w:type="spellEnd"/>
      <w:r w:rsidR="009837B4" w:rsidRPr="00725FA4">
        <w:rPr>
          <w:rFonts w:ascii="Arial" w:hAnsi="Arial" w:cs="Arial"/>
        </w:rPr>
        <w:t xml:space="preserve">  „Zacznij od nasion! To się opłaca”</w:t>
      </w:r>
      <w:r w:rsidR="009837B4" w:rsidRPr="000C6BBB">
        <w:rPr>
          <w:rFonts w:ascii="Arial" w:hAnsi="Arial" w:cs="Arial"/>
        </w:rPr>
        <w:t>.</w:t>
      </w:r>
    </w:p>
    <w:p w14:paraId="4CD40FA5" w14:textId="58C9AC94" w:rsidR="009727A8" w:rsidRPr="00725FA4" w:rsidRDefault="00D20C4D" w:rsidP="009837B4">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Pr="00D20C4D">
        <w:rPr>
          <w:rFonts w:ascii="Arial" w:hAnsi="Arial" w:cs="Arial"/>
        </w:rPr>
        <w:t xml:space="preserve"> 2021 r., dzięki inicjatywie </w:t>
      </w:r>
      <w:proofErr w:type="spellStart"/>
      <w:r w:rsidRPr="00D20C4D">
        <w:rPr>
          <w:rFonts w:ascii="Arial" w:hAnsi="Arial" w:cs="Arial"/>
        </w:rPr>
        <w:t>MRiRW</w:t>
      </w:r>
      <w:proofErr w:type="spellEnd"/>
      <w:r w:rsidRPr="00D20C4D">
        <w:rPr>
          <w:rFonts w:ascii="Arial" w:hAnsi="Arial" w:cs="Arial"/>
        </w:rPr>
        <w:t xml:space="preserve">, Kasa Rolniczego Ubezpieczenia Społecznego (KRUS) dołączyła do cokwartalnej pocztowej korespondencji z rolnikami opracowane dla każdego województwa jednokartkowe ulotki zawierające „Listę odmian zalecanych do uprawy na obszarze województwa”. Łącznie do rolników wysłano blisko 900 tys. ulotek. W ramach „Inicjatywy białkowej COBORU” i promocji uprawy w naszym kraju roślin </w:t>
      </w:r>
      <w:proofErr w:type="spellStart"/>
      <w:r w:rsidRPr="00D20C4D">
        <w:rPr>
          <w:rFonts w:ascii="Arial" w:hAnsi="Arial" w:cs="Arial"/>
        </w:rPr>
        <w:t>bobowatych</w:t>
      </w:r>
      <w:proofErr w:type="spellEnd"/>
      <w:r w:rsidRPr="00D20C4D">
        <w:rPr>
          <w:rFonts w:ascii="Arial" w:hAnsi="Arial" w:cs="Arial"/>
        </w:rPr>
        <w:t xml:space="preserve"> grubonasiennych i soi, wydano też trzy ulotki w nakładzie po 1000 szt. Były to ulotki: „Inicjatywa Białkowa COBORU”, „Listy odmian zalecanych do uprawy na obszarze województw. Rośliny </w:t>
      </w:r>
      <w:proofErr w:type="spellStart"/>
      <w:r w:rsidRPr="00D20C4D">
        <w:rPr>
          <w:rFonts w:ascii="Arial" w:hAnsi="Arial" w:cs="Arial"/>
        </w:rPr>
        <w:t>bobowate</w:t>
      </w:r>
      <w:proofErr w:type="spellEnd"/>
      <w:r w:rsidRPr="00D20C4D">
        <w:rPr>
          <w:rFonts w:ascii="Arial" w:hAnsi="Arial" w:cs="Arial"/>
        </w:rPr>
        <w:t xml:space="preserve"> grubonasienne i soja. 2021”, „Wyniki doświadczeń odmianowych. Soja i rośliny </w:t>
      </w:r>
      <w:proofErr w:type="spellStart"/>
      <w:r w:rsidRPr="00D20C4D">
        <w:rPr>
          <w:rFonts w:ascii="Arial" w:hAnsi="Arial" w:cs="Arial"/>
        </w:rPr>
        <w:t>bobowate</w:t>
      </w:r>
      <w:proofErr w:type="spellEnd"/>
      <w:r w:rsidRPr="00D20C4D">
        <w:rPr>
          <w:rFonts w:ascii="Arial" w:hAnsi="Arial" w:cs="Arial"/>
        </w:rPr>
        <w:t xml:space="preserve"> grubonasienne 2018-2020”. Dodatkowo opracowano i wydano w takim samym nakładzie ulotkę „Zaufaj odmianom z LOZ” oraz dodrukowano ulotkę z roku poprzedniego: „Zacznij od nasion. To się opłaca”.</w:t>
      </w:r>
      <w:r w:rsidR="00E1574C">
        <w:rPr>
          <w:rFonts w:ascii="Arial" w:hAnsi="Arial" w:cs="Arial"/>
        </w:rPr>
        <w:t xml:space="preserve"> </w:t>
      </w:r>
      <w:r w:rsidR="003179CD">
        <w:rPr>
          <w:rFonts w:ascii="Arial" w:hAnsi="Arial" w:cs="Arial"/>
        </w:rPr>
        <w:t>P</w:t>
      </w:r>
      <w:r w:rsidR="003179CD" w:rsidRPr="003179CD">
        <w:rPr>
          <w:rFonts w:ascii="Arial" w:hAnsi="Arial" w:cs="Arial"/>
        </w:rPr>
        <w:t>odobnie jak w latach poprzednich, opracowano i</w:t>
      </w:r>
      <w:r w:rsidR="00625E40">
        <w:rPr>
          <w:rFonts w:ascii="Arial" w:hAnsi="Arial" w:cs="Arial"/>
        </w:rPr>
        <w:t> </w:t>
      </w:r>
      <w:r w:rsidR="003179CD" w:rsidRPr="003179CD">
        <w:rPr>
          <w:rFonts w:ascii="Arial" w:hAnsi="Arial" w:cs="Arial"/>
        </w:rPr>
        <w:t>opublikowano również w nakładzie 1500 szt. broszurę „Listy odmian zalecanych do uprawy na obszarze województw. 2021”, zawierającą kompilację wykazów odmian rekomendowanych na 2021 r</w:t>
      </w:r>
      <w:r w:rsidR="00625E40">
        <w:rPr>
          <w:rFonts w:ascii="Arial" w:hAnsi="Arial" w:cs="Arial"/>
        </w:rPr>
        <w:t>.</w:t>
      </w:r>
      <w:r w:rsidR="003179CD" w:rsidRPr="003179CD">
        <w:rPr>
          <w:rFonts w:ascii="Arial" w:hAnsi="Arial" w:cs="Arial"/>
        </w:rPr>
        <w:t xml:space="preserve"> w poszczególnych województwach.</w:t>
      </w:r>
    </w:p>
    <w:p w14:paraId="1D129488" w14:textId="194F23ED"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0C6BBB">
        <w:rPr>
          <w:rFonts w:ascii="Arial" w:hAnsi="Arial" w:cs="Arial"/>
        </w:rPr>
        <w:t xml:space="preserve">W </w:t>
      </w:r>
      <w:r w:rsidRPr="00725FA4">
        <w:rPr>
          <w:rFonts w:ascii="Arial" w:hAnsi="Arial" w:cs="Arial"/>
        </w:rPr>
        <w:t xml:space="preserve">latach </w:t>
      </w:r>
      <w:r w:rsidRPr="000C6BBB">
        <w:rPr>
          <w:rFonts w:ascii="Arial" w:hAnsi="Arial" w:cs="Arial"/>
        </w:rPr>
        <w:t>2018</w:t>
      </w:r>
      <w:r w:rsidR="00481DDD" w:rsidRPr="00772A61">
        <w:rPr>
          <w:rFonts w:ascii="Arial" w:hAnsi="Arial" w:cs="Arial"/>
        </w:rPr>
        <w:t>–</w:t>
      </w:r>
      <w:r w:rsidRPr="00725FA4">
        <w:rPr>
          <w:rFonts w:ascii="Arial" w:hAnsi="Arial" w:cs="Arial"/>
        </w:rPr>
        <w:t>202</w:t>
      </w:r>
      <w:r w:rsidR="0002472D">
        <w:rPr>
          <w:rFonts w:ascii="Arial" w:hAnsi="Arial" w:cs="Arial"/>
        </w:rPr>
        <w:t>1</w:t>
      </w:r>
      <w:r w:rsidRPr="00725FA4">
        <w:rPr>
          <w:rFonts w:ascii="Arial" w:hAnsi="Arial" w:cs="Arial"/>
        </w:rPr>
        <w:t xml:space="preserve">, corocznie, </w:t>
      </w:r>
      <w:r w:rsidRPr="000C6BBB">
        <w:rPr>
          <w:rFonts w:ascii="Arial" w:hAnsi="Arial" w:cs="Arial"/>
        </w:rPr>
        <w:t>ukaz</w:t>
      </w:r>
      <w:r w:rsidRPr="00725FA4">
        <w:rPr>
          <w:rFonts w:ascii="Arial" w:hAnsi="Arial" w:cs="Arial"/>
        </w:rPr>
        <w:t>ywało</w:t>
      </w:r>
      <w:r w:rsidRPr="000C6BBB">
        <w:rPr>
          <w:rFonts w:ascii="Arial" w:hAnsi="Arial" w:cs="Arial"/>
        </w:rPr>
        <w:t xml:space="preserve"> się ponad 30 centralnych publikacji </w:t>
      </w:r>
      <w:r w:rsidRPr="00725FA4">
        <w:rPr>
          <w:rFonts w:ascii="Arial" w:hAnsi="Arial" w:cs="Arial"/>
        </w:rPr>
        <w:t xml:space="preserve">zawierających wyniki doświadczeń prowadzonych w ramach </w:t>
      </w:r>
      <w:r w:rsidRPr="000C6BBB">
        <w:rPr>
          <w:rFonts w:ascii="Arial" w:hAnsi="Arial" w:cs="Arial"/>
        </w:rPr>
        <w:t>PDO</w:t>
      </w:r>
      <w:r w:rsidRPr="00725FA4">
        <w:rPr>
          <w:rFonts w:ascii="Arial" w:hAnsi="Arial" w:cs="Arial"/>
        </w:rPr>
        <w:t>,</w:t>
      </w:r>
      <w:r w:rsidRPr="000C6BBB">
        <w:rPr>
          <w:rFonts w:ascii="Arial" w:hAnsi="Arial" w:cs="Arial"/>
        </w:rPr>
        <w:t xml:space="preserve"> wydawanych w nakładzie około </w:t>
      </w:r>
      <w:r w:rsidRPr="00725FA4">
        <w:rPr>
          <w:rFonts w:ascii="Arial" w:hAnsi="Arial" w:cs="Arial"/>
        </w:rPr>
        <w:t>300-</w:t>
      </w:r>
      <w:r w:rsidRPr="000C6BBB">
        <w:rPr>
          <w:rFonts w:ascii="Arial" w:hAnsi="Arial" w:cs="Arial"/>
        </w:rPr>
        <w:t>500 szt. Pracownicy COBORU upowszechniali wyniki doświadczeń także na łamach ogólnokrajowej prasy rolniczej</w:t>
      </w:r>
      <w:r w:rsidRPr="00725FA4">
        <w:rPr>
          <w:rFonts w:ascii="Arial" w:hAnsi="Arial" w:cs="Arial"/>
        </w:rPr>
        <w:t xml:space="preserve"> </w:t>
      </w:r>
      <w:r w:rsidRPr="000C6BBB">
        <w:rPr>
          <w:rFonts w:ascii="Arial" w:hAnsi="Arial" w:cs="Arial"/>
        </w:rPr>
        <w:t xml:space="preserve"> (m.in. „Agrotechnika”, „Nowoczesna Uprawa”, „Top </w:t>
      </w:r>
      <w:proofErr w:type="spellStart"/>
      <w:r w:rsidRPr="000C6BBB">
        <w:rPr>
          <w:rFonts w:ascii="Arial" w:hAnsi="Arial" w:cs="Arial"/>
        </w:rPr>
        <w:t>Agrar</w:t>
      </w:r>
      <w:proofErr w:type="spellEnd"/>
      <w:r w:rsidRPr="000C6BBB">
        <w:rPr>
          <w:rFonts w:ascii="Arial" w:hAnsi="Arial" w:cs="Arial"/>
        </w:rPr>
        <w:t xml:space="preserve"> Polska”, „Raport Rolny”, „</w:t>
      </w:r>
      <w:proofErr w:type="spellStart"/>
      <w:r w:rsidRPr="000C6BBB">
        <w:rPr>
          <w:rFonts w:ascii="Arial" w:hAnsi="Arial" w:cs="Arial"/>
        </w:rPr>
        <w:t>AgroProfil</w:t>
      </w:r>
      <w:proofErr w:type="spellEnd"/>
      <w:r w:rsidRPr="000C6BBB">
        <w:rPr>
          <w:rFonts w:ascii="Arial" w:hAnsi="Arial" w:cs="Arial"/>
        </w:rPr>
        <w:t>”, „</w:t>
      </w:r>
      <w:proofErr w:type="spellStart"/>
      <w:r w:rsidRPr="000C6BBB">
        <w:rPr>
          <w:rFonts w:ascii="Arial" w:hAnsi="Arial" w:cs="Arial"/>
        </w:rPr>
        <w:t>AgroSerwis</w:t>
      </w:r>
      <w:proofErr w:type="spellEnd"/>
      <w:r w:rsidRPr="000C6BBB">
        <w:rPr>
          <w:rFonts w:ascii="Arial" w:hAnsi="Arial" w:cs="Arial"/>
        </w:rPr>
        <w:t xml:space="preserve">”, „Przedsiębiorca Rolny”, „Ziemniak Polski”, „Zagroda”, „Nasz rzepak”, „Poradnik plantatora buraka cukrowego”, „Burak cukrowy”, „Warzywa i owoce miękkie”, „Warzywa” itp.) oraz w wydawnictwach naukowych. </w:t>
      </w:r>
      <w:r w:rsidRPr="00725FA4">
        <w:rPr>
          <w:rFonts w:ascii="Arial" w:hAnsi="Arial" w:cs="Arial"/>
        </w:rPr>
        <w:t>C</w:t>
      </w:r>
      <w:r w:rsidRPr="000C6BBB">
        <w:rPr>
          <w:rFonts w:ascii="Arial" w:hAnsi="Arial" w:cs="Arial"/>
        </w:rPr>
        <w:t>o</w:t>
      </w:r>
      <w:r w:rsidRPr="00725FA4">
        <w:rPr>
          <w:rFonts w:ascii="Arial" w:hAnsi="Arial" w:cs="Arial"/>
        </w:rPr>
        <w:t>ro</w:t>
      </w:r>
      <w:r w:rsidRPr="000C6BBB">
        <w:rPr>
          <w:rFonts w:ascii="Arial" w:hAnsi="Arial" w:cs="Arial"/>
        </w:rPr>
        <w:t>cznie ukaz</w:t>
      </w:r>
      <w:r w:rsidRPr="00725FA4">
        <w:rPr>
          <w:rFonts w:ascii="Arial" w:hAnsi="Arial" w:cs="Arial"/>
        </w:rPr>
        <w:t>uje</w:t>
      </w:r>
      <w:r w:rsidRPr="000C6BBB">
        <w:rPr>
          <w:rFonts w:ascii="Arial" w:hAnsi="Arial" w:cs="Arial"/>
        </w:rPr>
        <w:t xml:space="preserve"> się </w:t>
      </w:r>
      <w:r w:rsidRPr="00725FA4">
        <w:rPr>
          <w:rFonts w:ascii="Arial" w:hAnsi="Arial" w:cs="Arial"/>
        </w:rPr>
        <w:t>ponad</w:t>
      </w:r>
      <w:r w:rsidRPr="000C6BBB">
        <w:rPr>
          <w:rFonts w:ascii="Arial" w:hAnsi="Arial" w:cs="Arial"/>
        </w:rPr>
        <w:t xml:space="preserve"> 1</w:t>
      </w:r>
      <w:r w:rsidRPr="00725FA4">
        <w:rPr>
          <w:rFonts w:ascii="Arial" w:hAnsi="Arial" w:cs="Arial"/>
        </w:rPr>
        <w:t>0</w:t>
      </w:r>
      <w:r w:rsidRPr="000C6BBB">
        <w:rPr>
          <w:rFonts w:ascii="Arial" w:hAnsi="Arial" w:cs="Arial"/>
        </w:rPr>
        <w:t xml:space="preserve">0 </w:t>
      </w:r>
      <w:r w:rsidRPr="00725FA4">
        <w:rPr>
          <w:rFonts w:ascii="Arial" w:hAnsi="Arial" w:cs="Arial"/>
        </w:rPr>
        <w:t xml:space="preserve">tego typu </w:t>
      </w:r>
      <w:r w:rsidRPr="000C6BBB">
        <w:rPr>
          <w:rFonts w:ascii="Arial" w:hAnsi="Arial" w:cs="Arial"/>
        </w:rPr>
        <w:t>artykułów i opracowań.</w:t>
      </w:r>
      <w:r w:rsidRPr="00925BCD">
        <w:rPr>
          <w:rFonts w:ascii="Arial" w:hAnsi="Arial" w:cs="Arial"/>
        </w:rPr>
        <w:t xml:space="preserve"> </w:t>
      </w:r>
    </w:p>
    <w:p w14:paraId="2B6182EC" w14:textId="1B3A58E6" w:rsidR="009837B4"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Ponadto we wszystkich województwach, </w:t>
      </w:r>
      <w:r>
        <w:rPr>
          <w:rFonts w:ascii="Arial" w:hAnsi="Arial" w:cs="Arial"/>
        </w:rPr>
        <w:t xml:space="preserve">corocznie, </w:t>
      </w:r>
      <w:r w:rsidRPr="00925BCD">
        <w:rPr>
          <w:rFonts w:ascii="Arial" w:hAnsi="Arial" w:cs="Arial"/>
        </w:rPr>
        <w:t>w pierwszy</w:t>
      </w:r>
      <w:r>
        <w:rPr>
          <w:rFonts w:ascii="Arial" w:hAnsi="Arial" w:cs="Arial"/>
        </w:rPr>
        <w:t>m kwartale</w:t>
      </w:r>
      <w:r w:rsidRPr="00925BCD">
        <w:rPr>
          <w:rFonts w:ascii="Arial" w:hAnsi="Arial" w:cs="Arial"/>
        </w:rPr>
        <w:t xml:space="preserve"> opracow</w:t>
      </w:r>
      <w:r>
        <w:rPr>
          <w:rFonts w:ascii="Arial" w:hAnsi="Arial" w:cs="Arial"/>
        </w:rPr>
        <w:t>ywane</w:t>
      </w:r>
      <w:r w:rsidRPr="00925BCD">
        <w:rPr>
          <w:rFonts w:ascii="Arial" w:hAnsi="Arial" w:cs="Arial"/>
        </w:rPr>
        <w:t xml:space="preserve"> </w:t>
      </w:r>
      <w:r w:rsidR="00557F07" w:rsidRPr="00925BCD">
        <w:rPr>
          <w:rFonts w:ascii="Arial" w:hAnsi="Arial" w:cs="Arial"/>
        </w:rPr>
        <w:t>i</w:t>
      </w:r>
      <w:r w:rsidR="00557F07">
        <w:rPr>
          <w:rFonts w:ascii="Arial" w:hAnsi="Arial" w:cs="Arial"/>
        </w:rPr>
        <w:t> </w:t>
      </w:r>
      <w:r w:rsidRPr="00925BCD">
        <w:rPr>
          <w:rFonts w:ascii="Arial" w:hAnsi="Arial" w:cs="Arial"/>
        </w:rPr>
        <w:t>publikowan</w:t>
      </w:r>
      <w:r>
        <w:rPr>
          <w:rFonts w:ascii="Arial" w:hAnsi="Arial" w:cs="Arial"/>
        </w:rPr>
        <w:t>e</w:t>
      </w:r>
      <w:r w:rsidRPr="00925BCD">
        <w:rPr>
          <w:rFonts w:ascii="Arial" w:hAnsi="Arial" w:cs="Arial"/>
        </w:rPr>
        <w:t xml:space="preserve"> </w:t>
      </w:r>
      <w:r>
        <w:rPr>
          <w:rFonts w:ascii="Arial" w:hAnsi="Arial" w:cs="Arial"/>
        </w:rPr>
        <w:t xml:space="preserve">są </w:t>
      </w:r>
      <w:r w:rsidRPr="00925BCD">
        <w:rPr>
          <w:rFonts w:ascii="Arial" w:hAnsi="Arial" w:cs="Arial"/>
        </w:rPr>
        <w:t>biuletyny zawierające wyniki doświadczeń przeprowadzonych w poprzednim sezonie doświadczalnym oraz ulotki zawierające listy odmian zalecanych na obszarze województw</w:t>
      </w:r>
      <w:r>
        <w:rPr>
          <w:rFonts w:ascii="Arial" w:hAnsi="Arial" w:cs="Arial"/>
        </w:rPr>
        <w:t xml:space="preserve"> na dany rok</w:t>
      </w:r>
      <w:r w:rsidRPr="00925BCD">
        <w:rPr>
          <w:rFonts w:ascii="Arial" w:hAnsi="Arial" w:cs="Arial"/>
        </w:rPr>
        <w:t xml:space="preserve">, </w:t>
      </w:r>
      <w:r w:rsidRPr="00925BCD">
        <w:rPr>
          <w:rFonts w:ascii="Arial" w:hAnsi="Arial" w:cs="Arial"/>
        </w:rPr>
        <w:lastRenderedPageBreak/>
        <w:t>natomiast jesienią</w:t>
      </w:r>
      <w:r>
        <w:rPr>
          <w:rFonts w:ascii="Arial" w:hAnsi="Arial" w:cs="Arial"/>
        </w:rPr>
        <w:t>,</w:t>
      </w:r>
      <w:r w:rsidRPr="00925BCD">
        <w:rPr>
          <w:rFonts w:ascii="Arial" w:hAnsi="Arial" w:cs="Arial"/>
        </w:rPr>
        <w:t xml:space="preserve"> </w:t>
      </w:r>
      <w:r>
        <w:rPr>
          <w:rFonts w:ascii="Arial" w:hAnsi="Arial" w:cs="Arial"/>
        </w:rPr>
        <w:t xml:space="preserve">po zbiorze doświadczeń, </w:t>
      </w:r>
      <w:r w:rsidRPr="00925BCD">
        <w:rPr>
          <w:rFonts w:ascii="Arial" w:hAnsi="Arial" w:cs="Arial"/>
        </w:rPr>
        <w:t>w części województw wyda</w:t>
      </w:r>
      <w:r>
        <w:rPr>
          <w:rFonts w:ascii="Arial" w:hAnsi="Arial" w:cs="Arial"/>
        </w:rPr>
        <w:t>wane są</w:t>
      </w:r>
      <w:r w:rsidRPr="00925BCD">
        <w:rPr>
          <w:rFonts w:ascii="Arial" w:hAnsi="Arial" w:cs="Arial"/>
        </w:rPr>
        <w:t xml:space="preserve"> broszury lub ulotki zawierające </w:t>
      </w:r>
      <w:r>
        <w:rPr>
          <w:rFonts w:ascii="Arial" w:hAnsi="Arial" w:cs="Arial"/>
        </w:rPr>
        <w:t xml:space="preserve">aktualne </w:t>
      </w:r>
      <w:r w:rsidRPr="00925BCD">
        <w:rPr>
          <w:rFonts w:ascii="Arial" w:hAnsi="Arial" w:cs="Arial"/>
        </w:rPr>
        <w:t xml:space="preserve">wyniki doświadczeń. Powyższe publikacje wydane były najczęściej samodzielnie przez stacje doświadczalne oceny odmian, a w przypadku wyników doświadczeń PDO lub list odmian zalecanych do uprawy - we współpracy z innymi jednostkami, głównie partnerami ustawowymi </w:t>
      </w:r>
      <w:r w:rsidR="00557F07" w:rsidRPr="00925BCD">
        <w:rPr>
          <w:rFonts w:ascii="Arial" w:hAnsi="Arial" w:cs="Arial"/>
        </w:rPr>
        <w:t>w</w:t>
      </w:r>
      <w:r w:rsidR="00557F07">
        <w:rPr>
          <w:rFonts w:ascii="Arial" w:hAnsi="Arial" w:cs="Arial"/>
        </w:rPr>
        <w:t> </w:t>
      </w:r>
      <w:r w:rsidRPr="00925BCD">
        <w:rPr>
          <w:rFonts w:ascii="Arial" w:hAnsi="Arial" w:cs="Arial"/>
        </w:rPr>
        <w:t xml:space="preserve">zakresie PDO. Te ostatnie publikacje ukazały się </w:t>
      </w:r>
      <w:r>
        <w:rPr>
          <w:rFonts w:ascii="Arial" w:hAnsi="Arial" w:cs="Arial"/>
        </w:rPr>
        <w:t xml:space="preserve">corocznie </w:t>
      </w:r>
      <w:r w:rsidRPr="00925BCD">
        <w:rPr>
          <w:rFonts w:ascii="Arial" w:hAnsi="Arial" w:cs="Arial"/>
        </w:rPr>
        <w:t xml:space="preserve">najczęściej w nakładzie 500-1000 egzemplarzy. </w:t>
      </w:r>
    </w:p>
    <w:p w14:paraId="4795ACDB"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Od sierpnia 2012 r. na stronie internetowej COBORU </w:t>
      </w:r>
      <w:hyperlink r:id="rId31">
        <w:r w:rsidRPr="00925BCD">
          <w:rPr>
            <w:rStyle w:val="czeinternetowe"/>
            <w:rFonts w:ascii="Arial" w:hAnsi="Arial" w:cs="Arial"/>
          </w:rPr>
          <w:t>www.coboru.pl</w:t>
        </w:r>
      </w:hyperlink>
      <w:r w:rsidRPr="00925BCD">
        <w:rPr>
          <w:rFonts w:ascii="Arial" w:hAnsi="Arial" w:cs="Arial"/>
        </w:rPr>
        <w:t xml:space="preserve"> dostępna aplikacja „PDO. Rekomendacja odmian”. </w:t>
      </w:r>
    </w:p>
    <w:p w14:paraId="54152D17" w14:textId="77777777" w:rsidR="00056846" w:rsidRPr="00925BCD" w:rsidRDefault="00E54725" w:rsidP="004A1341">
      <w:pPr>
        <w:pStyle w:val="NormalnyWeb"/>
        <w:tabs>
          <w:tab w:val="left" w:pos="284"/>
        </w:tabs>
        <w:spacing w:beforeAutospacing="0" w:after="120" w:afterAutospacing="0" w:line="360" w:lineRule="auto"/>
        <w:ind w:firstLine="284"/>
        <w:jc w:val="center"/>
        <w:rPr>
          <w:rFonts w:ascii="Arial" w:hAnsi="Arial" w:cs="Arial"/>
        </w:rPr>
      </w:pPr>
      <w:r w:rsidRPr="00925BCD">
        <w:rPr>
          <w:noProof/>
        </w:rPr>
        <w:drawing>
          <wp:inline distT="0" distB="0" distL="0" distR="0" wp14:anchorId="46296039" wp14:editId="05E7EA9C">
            <wp:extent cx="3718752" cy="1141841"/>
            <wp:effectExtent l="19050" t="19050" r="15240" b="20320"/>
            <wp:docPr id="12" name="Obraz 9" descr="Rekomendacja odm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9" descr="Rekomendacja odmian"/>
                    <pic:cNvPicPr>
                      <a:picLocks noChangeAspect="1" noChangeArrowheads="1"/>
                    </pic:cNvPicPr>
                  </pic:nvPicPr>
                  <pic:blipFill>
                    <a:blip r:embed="rId32"/>
                    <a:stretch>
                      <a:fillRect/>
                    </a:stretch>
                  </pic:blipFill>
                  <pic:spPr bwMode="auto">
                    <a:xfrm>
                      <a:off x="0" y="0"/>
                      <a:ext cx="3777843" cy="1159985"/>
                    </a:xfrm>
                    <a:prstGeom prst="rect">
                      <a:avLst/>
                    </a:prstGeom>
                    <a:ln w="6350">
                      <a:solidFill>
                        <a:srgbClr val="000000"/>
                      </a:solidFill>
                    </a:ln>
                  </pic:spPr>
                </pic:pic>
              </a:graphicData>
            </a:graphic>
          </wp:inline>
        </w:drawing>
      </w:r>
    </w:p>
    <w:p w14:paraId="4B6FBBE6"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Aplikacja ta została zaprojektowana dla rolników, jako system wspomagania decyzji przy doborze odmian do uprawy. Aplikacja „PDO. Rekomendacja odmian” umożliwia dostęp do:</w:t>
      </w:r>
    </w:p>
    <w:p w14:paraId="188839A7"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informacji dotyczących funkcjonowania systemu porejestrowego doświadczalnictwa odmianowego w Polsce,</w:t>
      </w:r>
    </w:p>
    <w:p w14:paraId="3D188001"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„List odmian zalecanych do uprawy na obszarze województwa” w poszczególnych gatunkach i w każdym z województw,</w:t>
      </w:r>
    </w:p>
    <w:p w14:paraId="6FF37303"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wyników doświadczeń PDO (wszystkie publikacje centralne i regionalne),</w:t>
      </w:r>
    </w:p>
    <w:p w14:paraId="69903352"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aplikacji „Charakterystyka odmian” – która umożliwia wybranie charakterystyki wartości gospodarczej danej odmiany, sporządzonej w oparciu o ogólnokrajowe wyniki badań oraz wyszukanie danych dotyczących roku jej wpisania do Krajowego rejestru, nazwy hodowcy, pełnomocnika i zachowującego odmianę, a także w jakich województwach jest ona rekomendowana,</w:t>
      </w:r>
    </w:p>
    <w:p w14:paraId="5C0DCD18"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aplikacji „Porównanie odmian pod względem wybranych cech”, pomocnej przy dokonywaniu wyboru odmian do uprawy,</w:t>
      </w:r>
    </w:p>
    <w:p w14:paraId="1881F8AC"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wyników doświadczeń z odmianami roślin ogrodniczych prowadzonych przez COBORU w ramach systemem PDO. </w:t>
      </w:r>
    </w:p>
    <w:p w14:paraId="4D2DA7FD"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Dostęp do aplikacji możliwy jest również ze stron internetowych izb rolniczych i ośrodków doradztwa rolniczego oraz niektórych urzędów marszałkowskich, a od 2016 r. także z Platformy Sygnalizacji Agrofagów.</w:t>
      </w:r>
    </w:p>
    <w:p w14:paraId="0F19A2EA" w14:textId="4AB3FD4A"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Działalność związana z realizacją systemu PDO, wyniki doświadczeń oraz integrowana ochrona roślin była szeroko prezentowana </w:t>
      </w:r>
      <w:r w:rsidRPr="005773A2">
        <w:rPr>
          <w:rFonts w:ascii="Arial" w:hAnsi="Arial" w:cs="Arial"/>
        </w:rPr>
        <w:t xml:space="preserve">na wielu imprezach organizowanych przez centralę COBORU i stacje doświadczalne oceny odmian. Przedstawiciele centrali COBORU jak i stacji doświadczalnych oceny </w:t>
      </w:r>
      <w:r w:rsidRPr="009D025A">
        <w:rPr>
          <w:rFonts w:ascii="Arial" w:hAnsi="Arial" w:cs="Arial"/>
        </w:rPr>
        <w:t xml:space="preserve">odmian na różnego rodzaju szkoleniach wygłosili </w:t>
      </w:r>
      <w:r w:rsidRPr="00725FA4">
        <w:rPr>
          <w:rFonts w:ascii="Arial" w:hAnsi="Arial" w:cs="Arial"/>
        </w:rPr>
        <w:t xml:space="preserve">w </w:t>
      </w:r>
      <w:r w:rsidR="0003479C">
        <w:rPr>
          <w:rFonts w:ascii="Arial" w:hAnsi="Arial" w:cs="Arial"/>
        </w:rPr>
        <w:t>czteroleciu</w:t>
      </w:r>
      <w:r w:rsidRPr="00725FA4">
        <w:rPr>
          <w:rFonts w:ascii="Arial" w:hAnsi="Arial" w:cs="Arial"/>
        </w:rPr>
        <w:t xml:space="preserve"> sprawozdawczym łącznie </w:t>
      </w:r>
      <w:r w:rsidR="00AD5D1A">
        <w:rPr>
          <w:rFonts w:ascii="Arial" w:hAnsi="Arial" w:cs="Arial"/>
        </w:rPr>
        <w:t>543</w:t>
      </w:r>
      <w:r w:rsidRPr="00725FA4">
        <w:rPr>
          <w:rFonts w:ascii="Arial" w:hAnsi="Arial" w:cs="Arial"/>
        </w:rPr>
        <w:t xml:space="preserve"> prelekcj</w:t>
      </w:r>
      <w:r w:rsidR="00AD5D1A">
        <w:rPr>
          <w:rFonts w:ascii="Arial" w:hAnsi="Arial" w:cs="Arial"/>
        </w:rPr>
        <w:t>e</w:t>
      </w:r>
      <w:r w:rsidRPr="00725FA4">
        <w:rPr>
          <w:rFonts w:ascii="Arial" w:hAnsi="Arial" w:cs="Arial"/>
        </w:rPr>
        <w:t xml:space="preserve"> </w:t>
      </w:r>
      <w:r w:rsidR="00557F07" w:rsidRPr="00725FA4">
        <w:rPr>
          <w:rFonts w:ascii="Arial" w:hAnsi="Arial" w:cs="Arial"/>
        </w:rPr>
        <w:lastRenderedPageBreak/>
        <w:t>i</w:t>
      </w:r>
      <w:r w:rsidR="00557F07">
        <w:rPr>
          <w:rFonts w:ascii="Arial" w:hAnsi="Arial" w:cs="Arial"/>
        </w:rPr>
        <w:t> </w:t>
      </w:r>
      <w:r w:rsidRPr="00725FA4">
        <w:rPr>
          <w:rFonts w:ascii="Arial" w:hAnsi="Arial" w:cs="Arial"/>
        </w:rPr>
        <w:t>wykład</w:t>
      </w:r>
      <w:r w:rsidR="00AD5D1A">
        <w:rPr>
          <w:rFonts w:ascii="Arial" w:hAnsi="Arial" w:cs="Arial"/>
        </w:rPr>
        <w:t>y</w:t>
      </w:r>
      <w:r w:rsidRPr="00725FA4">
        <w:rPr>
          <w:rFonts w:ascii="Arial" w:hAnsi="Arial" w:cs="Arial"/>
        </w:rPr>
        <w:t xml:space="preserve"> (</w:t>
      </w:r>
      <w:r w:rsidRPr="00725FA4">
        <w:rPr>
          <w:rFonts w:ascii="Arial" w:hAnsi="Arial" w:cs="Arial"/>
          <w:i/>
        </w:rPr>
        <w:t xml:space="preserve">w tym: w 2018 r. – 139; w 2019 r. – 214; w 2020 r. </w:t>
      </w:r>
      <w:bookmarkStart w:id="75" w:name="_Hlk119413775"/>
      <w:r w:rsidRPr="00725FA4">
        <w:rPr>
          <w:rFonts w:ascii="Arial" w:hAnsi="Arial" w:cs="Arial"/>
          <w:i/>
        </w:rPr>
        <w:t xml:space="preserve">– </w:t>
      </w:r>
      <w:bookmarkEnd w:id="75"/>
      <w:r w:rsidRPr="00725FA4">
        <w:rPr>
          <w:rFonts w:ascii="Arial" w:hAnsi="Arial" w:cs="Arial"/>
          <w:i/>
        </w:rPr>
        <w:t>70</w:t>
      </w:r>
      <w:r w:rsidR="001055D9">
        <w:rPr>
          <w:rFonts w:ascii="Arial" w:hAnsi="Arial" w:cs="Arial"/>
          <w:i/>
        </w:rPr>
        <w:t>, w 2021 r</w:t>
      </w:r>
      <w:r w:rsidR="00492800">
        <w:rPr>
          <w:rFonts w:ascii="Arial" w:hAnsi="Arial" w:cs="Arial"/>
          <w:i/>
        </w:rPr>
        <w:t xml:space="preserve">. </w:t>
      </w:r>
      <w:r w:rsidR="00492800" w:rsidRPr="00725FA4">
        <w:rPr>
          <w:rFonts w:ascii="Arial" w:hAnsi="Arial" w:cs="Arial"/>
          <w:i/>
        </w:rPr>
        <w:t>–</w:t>
      </w:r>
      <w:r w:rsidR="00492800">
        <w:rPr>
          <w:rFonts w:ascii="Arial" w:hAnsi="Arial" w:cs="Arial"/>
          <w:i/>
        </w:rPr>
        <w:t xml:space="preserve"> </w:t>
      </w:r>
      <w:r w:rsidR="00070C65">
        <w:rPr>
          <w:rFonts w:ascii="Arial" w:hAnsi="Arial" w:cs="Arial"/>
          <w:i/>
        </w:rPr>
        <w:t>120</w:t>
      </w:r>
      <w:r w:rsidRPr="00725FA4">
        <w:rPr>
          <w:rFonts w:ascii="Arial" w:hAnsi="Arial" w:cs="Arial"/>
        </w:rPr>
        <w:t>), w 2020 w dużej części on-line</w:t>
      </w:r>
      <w:r w:rsidRPr="009D025A">
        <w:rPr>
          <w:rFonts w:ascii="Arial" w:hAnsi="Arial" w:cs="Arial"/>
        </w:rPr>
        <w:t>. Słuchaczami szkoleń byli hodowcy odmian, przedstawiciele służb doradczych w</w:t>
      </w:r>
      <w:r w:rsidR="00AB45DC">
        <w:rPr>
          <w:rFonts w:ascii="Arial" w:hAnsi="Arial" w:cs="Arial"/>
        </w:rPr>
        <w:t> </w:t>
      </w:r>
      <w:r w:rsidRPr="009D025A">
        <w:rPr>
          <w:rFonts w:ascii="Arial" w:hAnsi="Arial" w:cs="Arial"/>
        </w:rPr>
        <w:t xml:space="preserve">rolnictwie, pracownicy służb nasiennych i firm hodowlano-nasiennych, rolnicy, przetwórcy, uczniowie i studenci szkół rolniczych. </w:t>
      </w:r>
      <w:r w:rsidRPr="00725FA4">
        <w:rPr>
          <w:rFonts w:ascii="Arial" w:hAnsi="Arial" w:cs="Arial"/>
        </w:rPr>
        <w:t>N</w:t>
      </w:r>
      <w:r w:rsidRPr="009D025A">
        <w:rPr>
          <w:rFonts w:ascii="Arial" w:hAnsi="Arial" w:cs="Arial"/>
        </w:rPr>
        <w:t xml:space="preserve">a terenie stacji doświadczalnych oceny odmian zorganizowano również </w:t>
      </w:r>
      <w:r w:rsidR="00505924" w:rsidRPr="00FE0C1F">
        <w:rPr>
          <w:rFonts w:ascii="Arial" w:hAnsi="Arial" w:cs="Arial"/>
        </w:rPr>
        <w:t>544</w:t>
      </w:r>
      <w:r w:rsidRPr="00FE0C1F">
        <w:rPr>
          <w:rFonts w:ascii="Arial" w:hAnsi="Arial" w:cs="Arial"/>
        </w:rPr>
        <w:t xml:space="preserve"> różnego rodzaju szkole</w:t>
      </w:r>
      <w:r w:rsidR="0094778A" w:rsidRPr="00FE0C1F">
        <w:rPr>
          <w:rFonts w:ascii="Arial" w:hAnsi="Arial" w:cs="Arial"/>
        </w:rPr>
        <w:t>nia</w:t>
      </w:r>
      <w:r w:rsidR="007141D9" w:rsidRPr="00FE0C1F">
        <w:rPr>
          <w:rFonts w:ascii="Arial" w:hAnsi="Arial" w:cs="Arial"/>
        </w:rPr>
        <w:t xml:space="preserve"> </w:t>
      </w:r>
      <w:r w:rsidRPr="00FE0C1F">
        <w:rPr>
          <w:rFonts w:ascii="Arial" w:hAnsi="Arial" w:cs="Arial"/>
        </w:rPr>
        <w:t>i spotka</w:t>
      </w:r>
      <w:r w:rsidR="00C73D18" w:rsidRPr="00FE0C1F">
        <w:rPr>
          <w:rFonts w:ascii="Arial" w:hAnsi="Arial" w:cs="Arial"/>
        </w:rPr>
        <w:t xml:space="preserve">nia </w:t>
      </w:r>
      <w:r w:rsidRPr="00FE0C1F">
        <w:rPr>
          <w:rFonts w:ascii="Arial" w:hAnsi="Arial" w:cs="Arial"/>
        </w:rPr>
        <w:t>z rolnikami i innymi użytkownikami odmian (</w:t>
      </w:r>
      <w:r w:rsidRPr="00FE0C1F">
        <w:rPr>
          <w:rFonts w:ascii="Arial" w:hAnsi="Arial" w:cs="Arial"/>
          <w:i/>
        </w:rPr>
        <w:t>w</w:t>
      </w:r>
      <w:r w:rsidR="00C33A4D" w:rsidRPr="00FE0C1F">
        <w:rPr>
          <w:rFonts w:ascii="Arial" w:hAnsi="Arial" w:cs="Arial"/>
          <w:i/>
        </w:rPr>
        <w:t> </w:t>
      </w:r>
      <w:r w:rsidRPr="00FE0C1F">
        <w:rPr>
          <w:rFonts w:ascii="Arial" w:hAnsi="Arial" w:cs="Arial"/>
          <w:i/>
        </w:rPr>
        <w:t>tym:</w:t>
      </w:r>
      <w:r w:rsidRPr="00725FA4">
        <w:rPr>
          <w:rFonts w:ascii="Arial" w:hAnsi="Arial" w:cs="Arial"/>
          <w:i/>
        </w:rPr>
        <w:t xml:space="preserve"> w 2018 r. – 184; w 2019 r. – 164; w 2020 r. – 86</w:t>
      </w:r>
      <w:r w:rsidR="001D78EA">
        <w:rPr>
          <w:rFonts w:ascii="Arial" w:hAnsi="Arial" w:cs="Arial"/>
          <w:i/>
        </w:rPr>
        <w:t xml:space="preserve">, w 2021 r. </w:t>
      </w:r>
      <w:r w:rsidR="006763DD" w:rsidRPr="00725FA4">
        <w:rPr>
          <w:rFonts w:ascii="Arial" w:hAnsi="Arial" w:cs="Arial"/>
          <w:i/>
        </w:rPr>
        <w:t>–</w:t>
      </w:r>
      <w:r w:rsidR="006763DD">
        <w:rPr>
          <w:rFonts w:ascii="Arial" w:hAnsi="Arial" w:cs="Arial"/>
          <w:i/>
        </w:rPr>
        <w:t xml:space="preserve"> </w:t>
      </w:r>
      <w:r w:rsidR="00B067EC">
        <w:rPr>
          <w:rFonts w:ascii="Arial" w:hAnsi="Arial" w:cs="Arial"/>
          <w:i/>
        </w:rPr>
        <w:t>110</w:t>
      </w:r>
      <w:r w:rsidRPr="009D025A">
        <w:rPr>
          <w:rFonts w:ascii="Arial" w:hAnsi="Arial" w:cs="Arial"/>
        </w:rPr>
        <w:t xml:space="preserve">) , w których wzięło udział ponad </w:t>
      </w:r>
      <w:r w:rsidR="00245E4A">
        <w:rPr>
          <w:rFonts w:ascii="Arial" w:hAnsi="Arial" w:cs="Arial"/>
        </w:rPr>
        <w:t>13</w:t>
      </w:r>
      <w:r w:rsidRPr="009D025A">
        <w:rPr>
          <w:rFonts w:ascii="Arial" w:hAnsi="Arial" w:cs="Arial"/>
        </w:rPr>
        <w:t xml:space="preserve"> tysięcy osób.</w:t>
      </w:r>
      <w:r>
        <w:rPr>
          <w:rFonts w:ascii="Arial" w:hAnsi="Arial" w:cs="Arial"/>
        </w:rPr>
        <w:t xml:space="preserve"> </w:t>
      </w:r>
    </w:p>
    <w:p w14:paraId="32CB4D4E" w14:textId="62266DD8" w:rsidR="009837B4" w:rsidRPr="00925BCD" w:rsidRDefault="009837B4"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Działalność stacji związana z rejestracją odmian, ochroną prawną odmian oraz programem </w:t>
      </w:r>
      <w:r w:rsidRPr="009D025A">
        <w:rPr>
          <w:rFonts w:ascii="Arial" w:hAnsi="Arial" w:cs="Arial"/>
        </w:rPr>
        <w:t>porejestrowego doświadczalnictwa odmianowego i rekomendacji odmian do praktyki rolniczej, w tym publikacje wyników oraz wystawy eksponatów pochodzących z doświadczeń były również prezentowane corocznie na 2</w:t>
      </w:r>
      <w:r w:rsidR="00A13755">
        <w:rPr>
          <w:rFonts w:ascii="Arial" w:hAnsi="Arial" w:cs="Arial"/>
        </w:rPr>
        <w:t>8</w:t>
      </w:r>
      <w:r w:rsidRPr="009D025A">
        <w:rPr>
          <w:rFonts w:ascii="Arial" w:hAnsi="Arial" w:cs="Arial"/>
        </w:rPr>
        <w:t>8 różnego rodzaju spotkaniach organizowanych poza terenem stacji (w</w:t>
      </w:r>
      <w:r w:rsidR="00DC7E4D">
        <w:rPr>
          <w:rFonts w:ascii="Arial" w:hAnsi="Arial" w:cs="Arial"/>
        </w:rPr>
        <w:t> </w:t>
      </w:r>
      <w:r w:rsidRPr="009D025A">
        <w:rPr>
          <w:rFonts w:ascii="Arial" w:hAnsi="Arial" w:cs="Arial"/>
        </w:rPr>
        <w:t>tym: w 2018 r. – 106; w 2019 r. – 113; w 2020 r. – 39</w:t>
      </w:r>
      <w:r w:rsidR="000F363A" w:rsidRPr="00C102A5">
        <w:rPr>
          <w:rFonts w:ascii="Arial" w:hAnsi="Arial" w:cs="Arial"/>
        </w:rPr>
        <w:t xml:space="preserve">, w 2021 r. </w:t>
      </w:r>
      <w:r w:rsidR="000F363A" w:rsidRPr="006763DD">
        <w:rPr>
          <w:rFonts w:ascii="Arial" w:hAnsi="Arial" w:cs="Arial"/>
        </w:rPr>
        <w:t>–</w:t>
      </w:r>
      <w:r w:rsidR="00424DCA" w:rsidRPr="006763DD">
        <w:rPr>
          <w:rFonts w:ascii="Arial" w:hAnsi="Arial" w:cs="Arial"/>
        </w:rPr>
        <w:t xml:space="preserve"> 30</w:t>
      </w:r>
      <w:r w:rsidRPr="00C102A5">
        <w:rPr>
          <w:rFonts w:ascii="Arial" w:hAnsi="Arial" w:cs="Arial"/>
        </w:rPr>
        <w:t>)</w:t>
      </w:r>
      <w:r w:rsidR="002A5DD1" w:rsidRPr="00C102A5">
        <w:rPr>
          <w:rFonts w:ascii="Arial" w:hAnsi="Arial" w:cs="Arial"/>
        </w:rPr>
        <w:t>.</w:t>
      </w:r>
      <w:r w:rsidRPr="00C102A5">
        <w:rPr>
          <w:rFonts w:ascii="Arial" w:hAnsi="Arial" w:cs="Arial"/>
        </w:rPr>
        <w:t xml:space="preserve"> Były</w:t>
      </w:r>
      <w:r w:rsidRPr="009D025A">
        <w:rPr>
          <w:rFonts w:ascii="Arial" w:hAnsi="Arial" w:cs="Arial"/>
        </w:rPr>
        <w:t xml:space="preserve"> to: targi, wystawy, dożynki, dni pola, dni otwarte itp. Do największych należy zaliczyć: </w:t>
      </w:r>
      <w:r w:rsidRPr="009D025A">
        <w:rPr>
          <w:rFonts w:ascii="Arial" w:hAnsi="Arial" w:cs="Arial"/>
          <w:szCs w:val="24"/>
        </w:rPr>
        <w:t>Międzynarodowa Wystawa Rolnicza AGRO-SHOW (Bednary), Targi Rolnicze AGRO-TARG (Kalsk), Mazowieckie Dni Rolnictwa (Poświętne),</w:t>
      </w:r>
      <w:r w:rsidRPr="009D025A">
        <w:rPr>
          <w:rFonts w:ascii="Arial" w:hAnsi="Arial" w:cs="Arial"/>
        </w:rPr>
        <w:t xml:space="preserve"> </w:t>
      </w:r>
      <w:r w:rsidRPr="009D025A">
        <w:rPr>
          <w:rFonts w:ascii="Arial" w:hAnsi="Arial" w:cs="Arial"/>
          <w:szCs w:val="24"/>
        </w:rPr>
        <w:t xml:space="preserve">Międzynarodowe Dni z Doradztwem Rolniczym (Siedlce), </w:t>
      </w:r>
      <w:proofErr w:type="spellStart"/>
      <w:r w:rsidRPr="009D025A">
        <w:rPr>
          <w:rFonts w:ascii="Arial" w:hAnsi="Arial" w:cs="Arial"/>
          <w:szCs w:val="24"/>
        </w:rPr>
        <w:t>Barzkowickie</w:t>
      </w:r>
      <w:proofErr w:type="spellEnd"/>
      <w:r w:rsidRPr="009D025A">
        <w:rPr>
          <w:rFonts w:ascii="Arial" w:hAnsi="Arial" w:cs="Arial"/>
          <w:szCs w:val="24"/>
        </w:rPr>
        <w:t xml:space="preserve"> Targi Rolne „AGRO POMERANIA”</w:t>
      </w:r>
      <w:r w:rsidRPr="009D025A">
        <w:rPr>
          <w:rFonts w:ascii="Arial" w:hAnsi="Arial" w:cs="Arial"/>
        </w:rPr>
        <w:t xml:space="preserve"> itd. oraz dożynki wojewódzkie w kilku województwach.</w:t>
      </w:r>
      <w:r w:rsidRPr="00925BCD">
        <w:rPr>
          <w:rFonts w:ascii="Arial" w:hAnsi="Arial" w:cs="Arial"/>
        </w:rPr>
        <w:t xml:space="preserve"> </w:t>
      </w:r>
    </w:p>
    <w:p w14:paraId="117F6119" w14:textId="77777777" w:rsidR="00056846" w:rsidRPr="00925BCD" w:rsidRDefault="00E54725">
      <w:pPr>
        <w:pStyle w:val="Nagwek2"/>
        <w:jc w:val="both"/>
        <w:rPr>
          <w:i w:val="0"/>
          <w:sz w:val="20"/>
          <w:szCs w:val="20"/>
        </w:rPr>
      </w:pPr>
      <w:bookmarkStart w:id="76" w:name="_Toc341876105"/>
      <w:bookmarkStart w:id="77" w:name="_Toc134099278"/>
      <w:r w:rsidRPr="00925BCD">
        <w:rPr>
          <w:i w:val="0"/>
          <w:sz w:val="20"/>
          <w:szCs w:val="20"/>
        </w:rPr>
        <w:t>Zadanie 8. Upowszechnianie systemu integrowanej produkcji roślin</w:t>
      </w:r>
      <w:bookmarkEnd w:id="76"/>
      <w:bookmarkEnd w:id="77"/>
    </w:p>
    <w:p w14:paraId="5EBCA8F6"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Integrowana produkcja roślin jest krajowym systemem jakości żywności, wykorzystującym w sposób zrównoważony postęp techniczny i biologiczny w uprawie, ochronie roślin i nawożeniu, której zasadniczym celem jest dbałość o zdrowie ludzi i o środowisko. Zgodnie z przepisami ustawy z dnia 8 marca 2013 r. o środkach ochrony roślin, nadzór nad gospodarstwami uczestniczącymi w systemie i wydawanie certyfikatów poświadczających jej stosowanie należą do podmiotów certyfikujących, upoważnianych przez wojewódzkich inspektorów ochrony roślin i nasiennictwa. Wykaz upoważnionych, przez wojewódzkich inspektorów ochrony roślin i nasiennictwa, podmiotów certyfikujących zamieszczony jest na stronie Państwowej Inspekcji Ochrony Roślin i Nasiennictwa pod adresem: </w:t>
      </w:r>
      <w:hyperlink r:id="rId33">
        <w:r w:rsidRPr="00925BCD">
          <w:rPr>
            <w:rStyle w:val="czeinternetowe"/>
            <w:rFonts w:ascii="Arial" w:hAnsi="Arial" w:cs="Arial"/>
          </w:rPr>
          <w:t>http://piorin.gov.pl/integrowana-produkcja</w:t>
        </w:r>
      </w:hyperlink>
      <w:r w:rsidRPr="00925BCD">
        <w:rPr>
          <w:rFonts w:ascii="Arial" w:hAnsi="Arial" w:cs="Arial"/>
        </w:rPr>
        <w:t xml:space="preserve"> </w:t>
      </w:r>
    </w:p>
    <w:p w14:paraId="06AADE01"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Uczestnictwo w systemie pozwala na uzyskanie wysokiej jakości płodów rolnych, które można wprowadzać do obrotu ze znakiem integrowanej produkcji roślin.</w:t>
      </w:r>
      <w:r w:rsidR="00A921E2" w:rsidRPr="00925BCD">
        <w:rPr>
          <w:rFonts w:ascii="Arial" w:hAnsi="Arial" w:cs="Arial"/>
        </w:rPr>
        <w:t xml:space="preserve">  </w:t>
      </w:r>
    </w:p>
    <w:p w14:paraId="641390C5" w14:textId="77777777" w:rsidR="00056846" w:rsidRPr="00925BCD" w:rsidRDefault="00E54725">
      <w:pPr>
        <w:tabs>
          <w:tab w:val="center" w:pos="4536"/>
          <w:tab w:val="right" w:pos="9072"/>
        </w:tabs>
        <w:spacing w:before="120" w:after="120" w:line="360" w:lineRule="auto"/>
        <w:ind w:firstLine="357"/>
        <w:jc w:val="center"/>
        <w:rPr>
          <w:rFonts w:ascii="Arial" w:hAnsi="Arial" w:cs="Arial"/>
        </w:rPr>
      </w:pPr>
      <w:r w:rsidRPr="00925BCD">
        <w:rPr>
          <w:noProof/>
          <w:lang w:eastAsia="pl-PL"/>
        </w:rPr>
        <w:drawing>
          <wp:inline distT="0" distB="0" distL="0" distR="0" wp14:anchorId="63492771" wp14:editId="5564E318">
            <wp:extent cx="3079750" cy="1185358"/>
            <wp:effectExtent l="0" t="0" r="6350" b="0"/>
            <wp:docPr id="13" name="Obraz3" descr="Now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3" descr="Nowy obraz"/>
                    <pic:cNvPicPr>
                      <a:picLocks noChangeAspect="1" noChangeArrowheads="1"/>
                    </pic:cNvPicPr>
                  </pic:nvPicPr>
                  <pic:blipFill>
                    <a:blip r:embed="rId34"/>
                    <a:stretch>
                      <a:fillRect/>
                    </a:stretch>
                  </pic:blipFill>
                  <pic:spPr bwMode="auto">
                    <a:xfrm>
                      <a:off x="0" y="0"/>
                      <a:ext cx="3169407" cy="1219866"/>
                    </a:xfrm>
                    <a:prstGeom prst="rect">
                      <a:avLst/>
                    </a:prstGeom>
                  </pic:spPr>
                </pic:pic>
              </a:graphicData>
            </a:graphic>
          </wp:inline>
        </w:drawing>
      </w:r>
    </w:p>
    <w:p w14:paraId="5DA5CF8C"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Elementem wdrożenia w gospodarstwie systemu integrowanej produkcji roślin jest ukończenie specjalistycznego szkolenia oraz prowadzenie produkcji według szczegółowych metodyk zatwierdzonych przez Głównego Inspektora Ochrony Roślin i Nasiennictwa. Każda metodyka zawiera praktyczne informacje na temat sadzenia, pielęgnacji, ochrony i zbioru danej uprawy. Aktualne wykazy środków ochrony roślin dopuszczonych do stosowania w integrowanej produkcji roślin dla roślin </w:t>
      </w:r>
      <w:r w:rsidRPr="00925BCD">
        <w:rPr>
          <w:rFonts w:ascii="Arial" w:hAnsi="Arial" w:cs="Arial"/>
        </w:rPr>
        <w:lastRenderedPageBreak/>
        <w:t xml:space="preserve">rolniczych, warzywnych i sadowniczych zamieszczane są na Platformie Sygnalizacji Agrofagów. </w:t>
      </w:r>
    </w:p>
    <w:p w14:paraId="3D1822F9"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liczba producentów rolnych zgłaszających zamiar uczestnictwa w systemie integrowanej produkcji roślin wynosiła 4 072 producentów, uprawiających 31 gatunków roślin, na powierzchni 24 385 ha, natomiast w 2019 r. zamiar uczestnictwa w systemie integrowanej produkcji roślin wynosiło 3 255 producentów. Zgłoszenia obejmowały powierzchnię 21 301 ha.</w:t>
      </w:r>
    </w:p>
    <w:p w14:paraId="6202809F" w14:textId="77777777" w:rsidR="00935947" w:rsidRPr="0081600F" w:rsidRDefault="00935947" w:rsidP="0081600F">
      <w:pPr>
        <w:pStyle w:val="NormalnyWeb"/>
        <w:tabs>
          <w:tab w:val="left" w:pos="284"/>
        </w:tabs>
        <w:spacing w:beforeAutospacing="0" w:after="120" w:afterAutospacing="0" w:line="360" w:lineRule="auto"/>
        <w:ind w:firstLine="284"/>
        <w:jc w:val="both"/>
        <w:rPr>
          <w:rFonts w:ascii="Arial" w:hAnsi="Arial" w:cs="Arial"/>
        </w:rPr>
      </w:pPr>
      <w:r w:rsidRPr="00E02B0D">
        <w:rPr>
          <w:rFonts w:ascii="Arial" w:hAnsi="Arial" w:cs="Arial"/>
          <w:b/>
          <w:bCs/>
        </w:rPr>
        <w:t>W 2018 r.</w:t>
      </w:r>
      <w:r w:rsidRPr="00925BCD">
        <w:rPr>
          <w:rFonts w:ascii="Arial" w:hAnsi="Arial" w:cs="Arial"/>
        </w:rPr>
        <w:t xml:space="preserve"> 9 podmiotów upoważnionych do wykonywania działalności w zakresie certyfikacji integrowanej produkcji roślin wydało 3 876 certyfikatów poświadczających stosowanie integrowanej produkcji roślin, przy czym najwięcej certyfikatów (2 387) wydano dla producentów jabłek. Certyfikowano łącznie produkcję 792 425 ton płodów rolnych z 22 119 ha upraw. Powierzchnie upraw sadowniczych i warzywniczych stanowiły odpowiednio 20 383 ha i 396 ha.</w:t>
      </w:r>
    </w:p>
    <w:p w14:paraId="150D4F9F" w14:textId="77777777" w:rsidR="00935947" w:rsidRPr="0081600F" w:rsidRDefault="00A921E2" w:rsidP="0081600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w:t>
      </w:r>
      <w:r w:rsidR="00935947" w:rsidRPr="00925BCD">
        <w:rPr>
          <w:rFonts w:ascii="Arial" w:hAnsi="Arial" w:cs="Arial"/>
        </w:rPr>
        <w:t>ojewódzcy inspektorzy przeprowadzili kontrole we wszystkich jednostkach certyfikujących oraz 125 kontroli u producentów IP, mających na celu sprawdzenie prawidłowości przeprowadzania certyfikacji przez upoważnione podmioty.</w:t>
      </w:r>
    </w:p>
    <w:p w14:paraId="3AB443E7" w14:textId="77777777" w:rsidR="00935947" w:rsidRPr="0081600F" w:rsidRDefault="00935947" w:rsidP="0081600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wyniku kontroli jednostek stwierdzono w jednym przypadku przyjmowanie wniosków po ustawowym terminie oraz w jednym wydanie certyfikatu niezgodnie z art. 57 ust. 1-3 ustawy o środkach ochrony roślin.</w:t>
      </w:r>
    </w:p>
    <w:p w14:paraId="309DD726" w14:textId="77777777" w:rsidR="00935947" w:rsidRPr="0081600F" w:rsidRDefault="00935947" w:rsidP="002F734A">
      <w:pPr>
        <w:pStyle w:val="NormalnyWeb"/>
        <w:tabs>
          <w:tab w:val="left" w:pos="284"/>
        </w:tabs>
        <w:spacing w:beforeAutospacing="0" w:after="120" w:afterAutospacing="0" w:line="360" w:lineRule="auto"/>
        <w:ind w:firstLine="284"/>
        <w:jc w:val="both"/>
      </w:pPr>
      <w:r w:rsidRPr="0081600F">
        <w:rPr>
          <w:rFonts w:ascii="Arial" w:hAnsi="Arial" w:cs="Arial"/>
        </w:rPr>
        <w:t>Kontrola u producentów IP wykazała jeden przypadek zastosowania środków ochrony roślin niezgodnie z etykietą.</w:t>
      </w:r>
    </w:p>
    <w:p w14:paraId="3253ABAA"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podobnie jak rok wcześniej, 9 podmiotów upoważnionych do wykonywania działalności w</w:t>
      </w:r>
      <w:r w:rsidR="00A921E2" w:rsidRPr="00925BCD">
        <w:rPr>
          <w:rFonts w:ascii="Arial" w:hAnsi="Arial" w:cs="Arial"/>
        </w:rPr>
        <w:t> </w:t>
      </w:r>
      <w:r w:rsidRPr="00925BCD">
        <w:rPr>
          <w:rFonts w:ascii="Arial" w:hAnsi="Arial" w:cs="Arial"/>
        </w:rPr>
        <w:t xml:space="preserve">zakresie certyfikacji integrowanej produkcji roślin wydało 3 325 certyfikatów poświadczających stosowanie integrowanej produkcji roślin, przy czym najwięcej certyfikatów (2 020) wydano dla producentów jabłek. Certyfikowano łącznie produkcję 525 324 ton płodów rolnych z 18 710 ha upraw. Powierzchnie upraw sadowniczych i warzywniczych stanowiły odpowiednio 17 008 ha i 352 ha. Tym samym liczba wydanych certyfikatów spadła w porównaniu do 2018 r. o 551, produkcja o 267 101 ton </w:t>
      </w:r>
      <w:r w:rsidR="00A921E2" w:rsidRPr="00925BCD">
        <w:rPr>
          <w:rFonts w:ascii="Arial" w:hAnsi="Arial" w:cs="Arial"/>
        </w:rPr>
        <w:t>a </w:t>
      </w:r>
      <w:r w:rsidRPr="00925BCD">
        <w:rPr>
          <w:rFonts w:ascii="Arial" w:hAnsi="Arial" w:cs="Arial"/>
        </w:rPr>
        <w:t>powierzchnia o 3 409 ha.</w:t>
      </w:r>
    </w:p>
    <w:p w14:paraId="4EED70F3" w14:textId="77777777" w:rsidR="00935947" w:rsidRPr="00925BCD" w:rsidRDefault="00A921E2"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w:t>
      </w:r>
      <w:r w:rsidR="00935947" w:rsidRPr="00925BCD">
        <w:rPr>
          <w:rFonts w:ascii="Arial" w:hAnsi="Arial" w:cs="Arial"/>
        </w:rPr>
        <w:t>ojewódzcy inspektorzy przeprowadzili kontrole w 8 jednostkach certyfikujących. W</w:t>
      </w:r>
      <w:r w:rsidRPr="00925BCD">
        <w:rPr>
          <w:rFonts w:ascii="Arial" w:hAnsi="Arial" w:cs="Arial"/>
        </w:rPr>
        <w:t> </w:t>
      </w:r>
      <w:r w:rsidR="00935947" w:rsidRPr="00925BCD">
        <w:rPr>
          <w:rFonts w:ascii="Arial" w:hAnsi="Arial" w:cs="Arial"/>
        </w:rPr>
        <w:t>trakcie kontroli jednostek certyfikujących nie stwierdzono nieprawidłowości.</w:t>
      </w:r>
    </w:p>
    <w:p w14:paraId="0612EC1A"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Państwowa Inspekcja Ochrony Roślin i Nasiennictwa przeprowadziła również 158 kontroli u</w:t>
      </w:r>
      <w:r w:rsidR="00A921E2" w:rsidRPr="00925BCD">
        <w:rPr>
          <w:rFonts w:ascii="Arial" w:hAnsi="Arial" w:cs="Arial"/>
        </w:rPr>
        <w:t> </w:t>
      </w:r>
      <w:r w:rsidRPr="00925BCD">
        <w:rPr>
          <w:rFonts w:ascii="Arial" w:hAnsi="Arial" w:cs="Arial"/>
        </w:rPr>
        <w:t>producentów IP. W trakcie dziesięciu kontroli u producentów IP, stwierdzono nieprawidłowości tj.:</w:t>
      </w:r>
    </w:p>
    <w:p w14:paraId="1EF86269" w14:textId="3233EEBB" w:rsidR="00935947" w:rsidRPr="00925BCD" w:rsidRDefault="00935947" w:rsidP="00F27DD8">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zastosowanie niedozwolonych środków ochrony roślin,</w:t>
      </w:r>
    </w:p>
    <w:p w14:paraId="39E41C21" w14:textId="56B9B9F5" w:rsidR="00935947" w:rsidRPr="00925BCD" w:rsidRDefault="00935947" w:rsidP="00F27DD8">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zastosowanie niedopuszczonego środka ochrony roślin dla danej uprawy,</w:t>
      </w:r>
    </w:p>
    <w:p w14:paraId="7F17EA7D" w14:textId="1FD34F60" w:rsidR="00935947" w:rsidRPr="00925BCD" w:rsidRDefault="00935947" w:rsidP="00F27DD8">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nieprawidłowo prowadzenie dokumentacji dotyczącej stosowania środków ochrony roślin</w:t>
      </w:r>
      <w:r w:rsidR="002C2375">
        <w:rPr>
          <w:rFonts w:ascii="Arial" w:hAnsi="Arial" w:cs="Arial"/>
        </w:rPr>
        <w:t>,</w:t>
      </w:r>
    </w:p>
    <w:p w14:paraId="538BA8B5" w14:textId="6D7359AF" w:rsidR="00935947" w:rsidRPr="00925BCD" w:rsidRDefault="00935947" w:rsidP="00F27DD8">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stosowanie środków ochrony roślin niezgodnie z informacjami zawartymi w etykiecie</w:t>
      </w:r>
      <w:r w:rsidR="002C2375">
        <w:rPr>
          <w:rFonts w:ascii="Arial" w:hAnsi="Arial" w:cs="Arial"/>
        </w:rPr>
        <w:t>,</w:t>
      </w:r>
    </w:p>
    <w:p w14:paraId="2FD405CA" w14:textId="77954B32" w:rsidR="00935947" w:rsidRPr="00925BCD" w:rsidRDefault="00935947" w:rsidP="00F27DD8">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stosowanie środków ochrony roślin nierekomendowanych do IP.</w:t>
      </w:r>
    </w:p>
    <w:p w14:paraId="0AE883EC" w14:textId="77777777" w:rsidR="002C2375" w:rsidRDefault="002C2375" w:rsidP="006C1155">
      <w:pPr>
        <w:pStyle w:val="NormalnyWeb"/>
        <w:tabs>
          <w:tab w:val="left" w:pos="284"/>
        </w:tabs>
        <w:spacing w:beforeAutospacing="0" w:after="120" w:afterAutospacing="0" w:line="360" w:lineRule="auto"/>
        <w:ind w:firstLine="284"/>
        <w:jc w:val="both"/>
        <w:rPr>
          <w:rFonts w:ascii="Arial" w:hAnsi="Arial" w:cs="Arial"/>
          <w:b/>
        </w:rPr>
      </w:pPr>
      <w:bookmarkStart w:id="78" w:name="_Hlk124948689"/>
    </w:p>
    <w:p w14:paraId="4663FA43" w14:textId="062D176E" w:rsidR="006C1155" w:rsidRDefault="006C1155" w:rsidP="006C1155">
      <w:pPr>
        <w:pStyle w:val="NormalnyWeb"/>
        <w:tabs>
          <w:tab w:val="left" w:pos="284"/>
        </w:tabs>
        <w:spacing w:beforeAutospacing="0" w:after="120" w:afterAutospacing="0" w:line="360" w:lineRule="auto"/>
        <w:ind w:firstLine="284"/>
        <w:jc w:val="both"/>
        <w:rPr>
          <w:rFonts w:ascii="Arial" w:hAnsi="Arial" w:cs="Arial"/>
        </w:rPr>
      </w:pPr>
      <w:r w:rsidRPr="0081600F">
        <w:rPr>
          <w:rFonts w:ascii="Arial" w:hAnsi="Arial" w:cs="Arial"/>
          <w:b/>
        </w:rPr>
        <w:lastRenderedPageBreak/>
        <w:t xml:space="preserve">W </w:t>
      </w:r>
      <w:r w:rsidR="00F87514" w:rsidRPr="0081600F">
        <w:rPr>
          <w:rFonts w:ascii="Arial" w:hAnsi="Arial" w:cs="Arial"/>
          <w:b/>
        </w:rPr>
        <w:t>2020</w:t>
      </w:r>
      <w:r w:rsidR="00F87514">
        <w:rPr>
          <w:rFonts w:ascii="Arial" w:hAnsi="Arial" w:cs="Arial"/>
          <w:b/>
        </w:rPr>
        <w:t> </w:t>
      </w:r>
      <w:r w:rsidRPr="0081600F">
        <w:rPr>
          <w:rFonts w:ascii="Arial" w:hAnsi="Arial" w:cs="Arial"/>
          <w:b/>
        </w:rPr>
        <w:t>r.</w:t>
      </w:r>
      <w:r w:rsidRPr="0081600F">
        <w:rPr>
          <w:rFonts w:ascii="Arial" w:hAnsi="Arial" w:cs="Arial"/>
        </w:rPr>
        <w:t xml:space="preserve"> 8 podmiotów upoważnionych do wykonywania działalności w zakresie certyfikacji integrowanej produkcji roślin wydało 3 027 certyfikatów poświadczających stosowanie integrowanej produkcji roślin, przy czym najwięcej certyfikatów (</w:t>
      </w:r>
      <w:r w:rsidR="00F4225A" w:rsidRPr="0081600F">
        <w:rPr>
          <w:rFonts w:ascii="Arial" w:hAnsi="Arial" w:cs="Arial"/>
        </w:rPr>
        <w:t>1</w:t>
      </w:r>
      <w:r w:rsidR="00F4225A">
        <w:rPr>
          <w:rFonts w:ascii="Arial" w:hAnsi="Arial" w:cs="Arial"/>
        </w:rPr>
        <w:t> </w:t>
      </w:r>
      <w:r w:rsidRPr="0081600F">
        <w:rPr>
          <w:rFonts w:ascii="Arial" w:hAnsi="Arial" w:cs="Arial"/>
        </w:rPr>
        <w:t>817) wydano dla producentów jabłek. Certyfikowano łącznie produkcję 595 269 ton płodów rolnych z 17 320,3 ha upraw. Powierzchnie upraw sadowniczych i warzywniczych stanowiły odpowiednio 15 766,1 ha i 318,9 ha. Tym samym liczba wydanych certyfikatów spadła w porównaniu do 2019 r. o 298, jednak produkcja wzrosła o 69 945 ton a powierzchnia zmalała o 1 390 ha.</w:t>
      </w:r>
    </w:p>
    <w:bookmarkEnd w:id="78"/>
    <w:p w14:paraId="2A284905" w14:textId="3878D37F" w:rsidR="00C72E7B" w:rsidRPr="00C72E7B" w:rsidRDefault="00C72E7B" w:rsidP="00C72E7B">
      <w:pPr>
        <w:pStyle w:val="NormalnyWeb"/>
        <w:tabs>
          <w:tab w:val="left" w:pos="284"/>
        </w:tabs>
        <w:spacing w:beforeAutospacing="0" w:after="120" w:afterAutospacing="0" w:line="360" w:lineRule="auto"/>
        <w:ind w:firstLine="284"/>
        <w:jc w:val="both"/>
        <w:rPr>
          <w:rFonts w:ascii="Arial" w:hAnsi="Arial" w:cs="Arial"/>
          <w:bCs/>
        </w:rPr>
      </w:pPr>
      <w:r w:rsidRPr="00C72E7B">
        <w:rPr>
          <w:rFonts w:ascii="Arial" w:hAnsi="Arial" w:cs="Arial"/>
          <w:bCs/>
        </w:rPr>
        <w:t>Wojewódzcy inspektorzy przeprowadzili kontrole w 8 jednostkach certyfikujących. W trakcie kontroli w jednej jednostce stwierdzono nieprawidłowości w zakresie wydawania certyfikatów oraz prowadzenia ich rejestru.</w:t>
      </w:r>
    </w:p>
    <w:p w14:paraId="422F35EB" w14:textId="6C853FB7" w:rsidR="00C72E7B" w:rsidRPr="00C72E7B" w:rsidRDefault="00C72E7B" w:rsidP="00C72E7B">
      <w:pPr>
        <w:pStyle w:val="NormalnyWeb"/>
        <w:tabs>
          <w:tab w:val="left" w:pos="284"/>
        </w:tabs>
        <w:spacing w:beforeAutospacing="0" w:after="120" w:afterAutospacing="0" w:line="360" w:lineRule="auto"/>
        <w:ind w:firstLine="284"/>
        <w:jc w:val="both"/>
        <w:rPr>
          <w:rFonts w:ascii="Arial" w:hAnsi="Arial" w:cs="Arial"/>
          <w:bCs/>
        </w:rPr>
      </w:pPr>
      <w:r w:rsidRPr="00C72E7B">
        <w:rPr>
          <w:rFonts w:ascii="Arial" w:hAnsi="Arial" w:cs="Arial"/>
          <w:bCs/>
        </w:rPr>
        <w:t>Państwowa Inspekcja Ochrony Roślin i Nasiennictwa przeprowadziła również 184 kontrole u</w:t>
      </w:r>
      <w:r>
        <w:rPr>
          <w:rFonts w:ascii="Arial" w:hAnsi="Arial" w:cs="Arial"/>
          <w:bCs/>
        </w:rPr>
        <w:t> </w:t>
      </w:r>
      <w:r w:rsidRPr="00C72E7B">
        <w:rPr>
          <w:rFonts w:ascii="Arial" w:hAnsi="Arial" w:cs="Arial"/>
          <w:bCs/>
        </w:rPr>
        <w:t>producentów IP, mających na celu sprawdzenie prawidłowości przeprowadzania certyfikacji przez upoważnione podmioty. W trakcie 14 kontroli producentów IP stwierdzono nieprawidłowości, tj.:</w:t>
      </w:r>
    </w:p>
    <w:p w14:paraId="28345B5A" w14:textId="44293BB2" w:rsidR="00C72E7B" w:rsidRPr="00C72E7B" w:rsidRDefault="00C72E7B" w:rsidP="002C2375">
      <w:pPr>
        <w:pStyle w:val="NormalnyWeb"/>
        <w:numPr>
          <w:ilvl w:val="0"/>
          <w:numId w:val="20"/>
        </w:numPr>
        <w:tabs>
          <w:tab w:val="left" w:pos="284"/>
        </w:tabs>
        <w:spacing w:beforeAutospacing="0" w:after="120" w:afterAutospacing="0" w:line="360" w:lineRule="auto"/>
        <w:ind w:left="1003" w:hanging="357"/>
        <w:jc w:val="both"/>
        <w:rPr>
          <w:rFonts w:ascii="Arial" w:hAnsi="Arial" w:cs="Arial"/>
          <w:bCs/>
        </w:rPr>
      </w:pPr>
      <w:r w:rsidRPr="00C72E7B">
        <w:rPr>
          <w:rFonts w:ascii="Arial" w:hAnsi="Arial" w:cs="Arial"/>
          <w:bCs/>
        </w:rPr>
        <w:t>zastosowanie niedopuszczonego środka ochrony roślin dla danej uprawy</w:t>
      </w:r>
      <w:r>
        <w:rPr>
          <w:rFonts w:ascii="Arial" w:hAnsi="Arial" w:cs="Arial"/>
          <w:bCs/>
        </w:rPr>
        <w:t>,</w:t>
      </w:r>
    </w:p>
    <w:p w14:paraId="79736DEE" w14:textId="54AED8B0" w:rsidR="00C72E7B" w:rsidRPr="00C72E7B" w:rsidRDefault="00C72E7B" w:rsidP="002C2375">
      <w:pPr>
        <w:pStyle w:val="NormalnyWeb"/>
        <w:numPr>
          <w:ilvl w:val="0"/>
          <w:numId w:val="20"/>
        </w:numPr>
        <w:tabs>
          <w:tab w:val="left" w:pos="284"/>
        </w:tabs>
        <w:spacing w:beforeAutospacing="0" w:after="120" w:afterAutospacing="0" w:line="360" w:lineRule="auto"/>
        <w:ind w:left="1003" w:hanging="357"/>
        <w:jc w:val="both"/>
        <w:rPr>
          <w:rFonts w:ascii="Arial" w:hAnsi="Arial" w:cs="Arial"/>
          <w:bCs/>
        </w:rPr>
      </w:pPr>
      <w:r w:rsidRPr="00C72E7B">
        <w:rPr>
          <w:rFonts w:ascii="Arial" w:hAnsi="Arial" w:cs="Arial"/>
          <w:bCs/>
        </w:rPr>
        <w:t>nieprawidłowe prowadzenie dokumentacji dotyczącej stosowania środków</w:t>
      </w:r>
      <w:r>
        <w:rPr>
          <w:rFonts w:ascii="Arial" w:hAnsi="Arial" w:cs="Arial"/>
          <w:bCs/>
        </w:rPr>
        <w:t xml:space="preserve"> </w:t>
      </w:r>
      <w:r w:rsidRPr="00C72E7B">
        <w:rPr>
          <w:rFonts w:ascii="Arial" w:hAnsi="Arial" w:cs="Arial"/>
          <w:bCs/>
        </w:rPr>
        <w:t>ochrony roślin</w:t>
      </w:r>
      <w:r>
        <w:rPr>
          <w:rFonts w:ascii="Arial" w:hAnsi="Arial" w:cs="Arial"/>
          <w:bCs/>
        </w:rPr>
        <w:t>,</w:t>
      </w:r>
    </w:p>
    <w:p w14:paraId="14212583" w14:textId="10541C9C" w:rsidR="00C72E7B" w:rsidRPr="00C72E7B" w:rsidRDefault="00C72E7B" w:rsidP="002C2375">
      <w:pPr>
        <w:pStyle w:val="NormalnyWeb"/>
        <w:numPr>
          <w:ilvl w:val="0"/>
          <w:numId w:val="20"/>
        </w:numPr>
        <w:tabs>
          <w:tab w:val="left" w:pos="284"/>
        </w:tabs>
        <w:spacing w:beforeAutospacing="0" w:after="120" w:afterAutospacing="0" w:line="360" w:lineRule="auto"/>
        <w:ind w:left="1003" w:hanging="357"/>
        <w:jc w:val="both"/>
        <w:rPr>
          <w:rFonts w:ascii="Arial" w:hAnsi="Arial" w:cs="Arial"/>
          <w:bCs/>
        </w:rPr>
      </w:pPr>
      <w:r w:rsidRPr="00C72E7B">
        <w:rPr>
          <w:rFonts w:ascii="Arial" w:hAnsi="Arial" w:cs="Arial"/>
          <w:bCs/>
        </w:rPr>
        <w:t>stosowanie środków ochrony roślin niezgodnie z informacjami zawartymi</w:t>
      </w:r>
      <w:r>
        <w:rPr>
          <w:rFonts w:ascii="Arial" w:hAnsi="Arial" w:cs="Arial"/>
          <w:bCs/>
        </w:rPr>
        <w:t xml:space="preserve"> </w:t>
      </w:r>
      <w:r w:rsidRPr="00C72E7B">
        <w:rPr>
          <w:rFonts w:ascii="Arial" w:hAnsi="Arial" w:cs="Arial"/>
          <w:bCs/>
        </w:rPr>
        <w:t>w etykiecie.</w:t>
      </w:r>
    </w:p>
    <w:p w14:paraId="1158CE57" w14:textId="23422E03" w:rsidR="00B465E6" w:rsidRDefault="006763DD" w:rsidP="00B465E6">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bCs/>
        </w:rPr>
        <w:t>Podobnie jak w 2020</w:t>
      </w:r>
      <w:r w:rsidR="000A0EA1">
        <w:rPr>
          <w:rFonts w:ascii="Arial" w:hAnsi="Arial" w:cs="Arial"/>
          <w:bCs/>
        </w:rPr>
        <w:t xml:space="preserve"> r.</w:t>
      </w:r>
      <w:r w:rsidR="00532351">
        <w:rPr>
          <w:rFonts w:ascii="Arial" w:hAnsi="Arial" w:cs="Arial"/>
          <w:bCs/>
        </w:rPr>
        <w:t xml:space="preserve"> - </w:t>
      </w:r>
      <w:r w:rsidR="000A0EA1">
        <w:rPr>
          <w:rFonts w:ascii="Arial" w:hAnsi="Arial" w:cs="Arial"/>
          <w:bCs/>
        </w:rPr>
        <w:t xml:space="preserve">w </w:t>
      </w:r>
      <w:r w:rsidR="00B465E6" w:rsidRPr="0081600F">
        <w:rPr>
          <w:rFonts w:ascii="Arial" w:hAnsi="Arial" w:cs="Arial"/>
          <w:b/>
        </w:rPr>
        <w:t>202</w:t>
      </w:r>
      <w:r w:rsidR="000A0EA1">
        <w:rPr>
          <w:rFonts w:ascii="Arial" w:hAnsi="Arial" w:cs="Arial"/>
          <w:b/>
        </w:rPr>
        <w:t>1</w:t>
      </w:r>
      <w:r w:rsidR="00B465E6">
        <w:rPr>
          <w:rFonts w:ascii="Arial" w:hAnsi="Arial" w:cs="Arial"/>
          <w:b/>
        </w:rPr>
        <w:t> </w:t>
      </w:r>
      <w:r w:rsidR="00B465E6" w:rsidRPr="0081600F">
        <w:rPr>
          <w:rFonts w:ascii="Arial" w:hAnsi="Arial" w:cs="Arial"/>
          <w:b/>
        </w:rPr>
        <w:t>r.</w:t>
      </w:r>
      <w:r w:rsidR="00B465E6" w:rsidRPr="0081600F">
        <w:rPr>
          <w:rFonts w:ascii="Arial" w:hAnsi="Arial" w:cs="Arial"/>
        </w:rPr>
        <w:t xml:space="preserve"> 8 podmiotów upoważnionych do wykonywania działalności w zakresie certyfikacji integrowanej produkcji roślin wydało </w:t>
      </w:r>
      <w:r w:rsidR="00586144">
        <w:rPr>
          <w:rFonts w:ascii="Arial" w:hAnsi="Arial" w:cs="Arial"/>
        </w:rPr>
        <w:t xml:space="preserve">1 418 </w:t>
      </w:r>
      <w:r w:rsidR="00B465E6" w:rsidRPr="0081600F">
        <w:rPr>
          <w:rFonts w:ascii="Arial" w:hAnsi="Arial" w:cs="Arial"/>
        </w:rPr>
        <w:t>certyfikatów poświadczających stosowanie integrowanej produkcji roślin, przy czym najwięcej certyfikatów (</w:t>
      </w:r>
      <w:r w:rsidR="00586144">
        <w:rPr>
          <w:rFonts w:ascii="Arial" w:hAnsi="Arial" w:cs="Arial"/>
        </w:rPr>
        <w:t>439</w:t>
      </w:r>
      <w:r w:rsidR="00B465E6" w:rsidRPr="0081600F">
        <w:rPr>
          <w:rFonts w:ascii="Arial" w:hAnsi="Arial" w:cs="Arial"/>
        </w:rPr>
        <w:t xml:space="preserve">) wydano dla producentów jabłek. Certyfikowano łącznie produkcję </w:t>
      </w:r>
      <w:r w:rsidR="00A5703B">
        <w:rPr>
          <w:rFonts w:ascii="Arial" w:hAnsi="Arial" w:cs="Arial"/>
        </w:rPr>
        <w:t>150 306</w:t>
      </w:r>
      <w:r w:rsidR="00B465E6" w:rsidRPr="0081600F">
        <w:rPr>
          <w:rFonts w:ascii="Arial" w:hAnsi="Arial" w:cs="Arial"/>
        </w:rPr>
        <w:t xml:space="preserve"> ton płodów rolnych z </w:t>
      </w:r>
      <w:r w:rsidR="008A1F3A">
        <w:rPr>
          <w:rFonts w:ascii="Arial" w:hAnsi="Arial" w:cs="Arial"/>
        </w:rPr>
        <w:t>5</w:t>
      </w:r>
      <w:r w:rsidR="00B465E6" w:rsidRPr="0081600F">
        <w:rPr>
          <w:rFonts w:ascii="Arial" w:hAnsi="Arial" w:cs="Arial"/>
        </w:rPr>
        <w:t> </w:t>
      </w:r>
      <w:r w:rsidR="008A1F3A">
        <w:rPr>
          <w:rFonts w:ascii="Arial" w:hAnsi="Arial" w:cs="Arial"/>
        </w:rPr>
        <w:t>228</w:t>
      </w:r>
      <w:r w:rsidR="00B465E6" w:rsidRPr="0081600F">
        <w:rPr>
          <w:rFonts w:ascii="Arial" w:hAnsi="Arial" w:cs="Arial"/>
        </w:rPr>
        <w:t>,</w:t>
      </w:r>
      <w:r w:rsidR="008A1F3A">
        <w:rPr>
          <w:rFonts w:ascii="Arial" w:hAnsi="Arial" w:cs="Arial"/>
        </w:rPr>
        <w:t>2</w:t>
      </w:r>
      <w:r w:rsidR="00B465E6" w:rsidRPr="0081600F">
        <w:rPr>
          <w:rFonts w:ascii="Arial" w:hAnsi="Arial" w:cs="Arial"/>
        </w:rPr>
        <w:t xml:space="preserve"> ha upraw. Tym samym liczba wydanych certyfikatów spadła w porównaniu do 20</w:t>
      </w:r>
      <w:r w:rsidR="00EC379A">
        <w:rPr>
          <w:rFonts w:ascii="Arial" w:hAnsi="Arial" w:cs="Arial"/>
        </w:rPr>
        <w:t>20</w:t>
      </w:r>
      <w:r w:rsidR="00B465E6" w:rsidRPr="0081600F">
        <w:rPr>
          <w:rFonts w:ascii="Arial" w:hAnsi="Arial" w:cs="Arial"/>
        </w:rPr>
        <w:t xml:space="preserve"> r. o </w:t>
      </w:r>
      <w:r w:rsidR="001E75A3">
        <w:rPr>
          <w:rFonts w:ascii="Arial" w:hAnsi="Arial" w:cs="Arial"/>
        </w:rPr>
        <w:t>1609</w:t>
      </w:r>
      <w:r w:rsidR="00B465E6" w:rsidRPr="0081600F">
        <w:rPr>
          <w:rFonts w:ascii="Arial" w:hAnsi="Arial" w:cs="Arial"/>
        </w:rPr>
        <w:t xml:space="preserve">, produkcja </w:t>
      </w:r>
      <w:r w:rsidR="00587AAE">
        <w:rPr>
          <w:rFonts w:ascii="Arial" w:hAnsi="Arial" w:cs="Arial"/>
        </w:rPr>
        <w:t xml:space="preserve">spadła </w:t>
      </w:r>
      <w:r w:rsidR="00B465E6" w:rsidRPr="0081600F">
        <w:rPr>
          <w:rFonts w:ascii="Arial" w:hAnsi="Arial" w:cs="Arial"/>
        </w:rPr>
        <w:t>o</w:t>
      </w:r>
      <w:r w:rsidR="00CB5E2E">
        <w:rPr>
          <w:rFonts w:ascii="Arial" w:hAnsi="Arial" w:cs="Arial"/>
        </w:rPr>
        <w:t> </w:t>
      </w:r>
      <w:r w:rsidR="004E4817">
        <w:rPr>
          <w:rFonts w:ascii="Arial" w:hAnsi="Arial" w:cs="Arial"/>
        </w:rPr>
        <w:t>444</w:t>
      </w:r>
      <w:r w:rsidR="00B7751B">
        <w:rPr>
          <w:rFonts w:ascii="Arial" w:hAnsi="Arial" w:cs="Arial"/>
        </w:rPr>
        <w:t> </w:t>
      </w:r>
      <w:r w:rsidR="004E4817">
        <w:rPr>
          <w:rFonts w:ascii="Arial" w:hAnsi="Arial" w:cs="Arial"/>
        </w:rPr>
        <w:t>963</w:t>
      </w:r>
      <w:r w:rsidR="00B465E6" w:rsidRPr="0081600F">
        <w:rPr>
          <w:rFonts w:ascii="Arial" w:hAnsi="Arial" w:cs="Arial"/>
        </w:rPr>
        <w:t xml:space="preserve"> ton</w:t>
      </w:r>
      <w:r w:rsidR="00B7751B">
        <w:rPr>
          <w:rFonts w:ascii="Arial" w:hAnsi="Arial" w:cs="Arial"/>
        </w:rPr>
        <w:t>y</w:t>
      </w:r>
      <w:r w:rsidR="00B465E6" w:rsidRPr="0081600F">
        <w:rPr>
          <w:rFonts w:ascii="Arial" w:hAnsi="Arial" w:cs="Arial"/>
        </w:rPr>
        <w:t xml:space="preserve"> a powierzchnia zmalała o 1</w:t>
      </w:r>
      <w:r w:rsidR="00030896">
        <w:rPr>
          <w:rFonts w:ascii="Arial" w:hAnsi="Arial" w:cs="Arial"/>
        </w:rPr>
        <w:t>2</w:t>
      </w:r>
      <w:r w:rsidR="008E4B31">
        <w:rPr>
          <w:rFonts w:ascii="Arial" w:hAnsi="Arial" w:cs="Arial"/>
        </w:rPr>
        <w:t> 092,1</w:t>
      </w:r>
      <w:r w:rsidR="00B465E6" w:rsidRPr="0081600F">
        <w:rPr>
          <w:rFonts w:ascii="Arial" w:hAnsi="Arial" w:cs="Arial"/>
        </w:rPr>
        <w:t xml:space="preserve"> ha.</w:t>
      </w:r>
    </w:p>
    <w:p w14:paraId="45A02D87" w14:textId="02CC36FB" w:rsidR="006E154F" w:rsidRPr="00925BCD" w:rsidRDefault="006E154F" w:rsidP="006E15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Wojewódzcy inspektorzy przeprowadzili</w:t>
      </w:r>
      <w:r w:rsidR="00956159">
        <w:rPr>
          <w:rFonts w:ascii="Arial" w:hAnsi="Arial" w:cs="Arial"/>
        </w:rPr>
        <w:t xml:space="preserve"> w 2021 r. </w:t>
      </w:r>
      <w:r w:rsidRPr="00925BCD">
        <w:rPr>
          <w:rFonts w:ascii="Arial" w:hAnsi="Arial" w:cs="Arial"/>
        </w:rPr>
        <w:t>kontrole w 8 jednostkach certyfikujących. W trakcie kontroli jednostek certyfikujących nie stwierdzono nieprawidłowości.</w:t>
      </w:r>
    </w:p>
    <w:p w14:paraId="2AA748F8" w14:textId="2B967D98" w:rsidR="00CD1242"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Na stronie Państwowej Inspekcji Ochrony Roślin i Nasiennictwa zamieszczon</w:t>
      </w:r>
      <w:r w:rsidR="00C72E7B">
        <w:rPr>
          <w:rFonts w:ascii="Arial" w:hAnsi="Arial" w:cs="Arial"/>
        </w:rPr>
        <w:t>o</w:t>
      </w:r>
      <w:r w:rsidRPr="00925BCD">
        <w:rPr>
          <w:rFonts w:ascii="Arial" w:hAnsi="Arial" w:cs="Arial"/>
        </w:rPr>
        <w:t xml:space="preserve"> (grudzień 20</w:t>
      </w:r>
      <w:r w:rsidR="006C1155">
        <w:rPr>
          <w:rFonts w:ascii="Arial" w:hAnsi="Arial" w:cs="Arial"/>
        </w:rPr>
        <w:t>2</w:t>
      </w:r>
      <w:r w:rsidR="00CB5E2E">
        <w:rPr>
          <w:rFonts w:ascii="Arial" w:hAnsi="Arial" w:cs="Arial"/>
        </w:rPr>
        <w:t>1</w:t>
      </w:r>
      <w:r w:rsidRPr="00925BCD">
        <w:rPr>
          <w:rFonts w:ascii="Arial" w:hAnsi="Arial" w:cs="Arial"/>
        </w:rPr>
        <w:t xml:space="preserve"> r.) </w:t>
      </w:r>
      <w:r w:rsidR="00C72E7B" w:rsidRPr="00C72E7B">
        <w:rPr>
          <w:rFonts w:ascii="Arial" w:hAnsi="Arial" w:cs="Arial"/>
        </w:rPr>
        <w:t>3</w:t>
      </w:r>
      <w:r w:rsidR="005E34CC">
        <w:rPr>
          <w:rFonts w:ascii="Arial" w:hAnsi="Arial" w:cs="Arial"/>
        </w:rPr>
        <w:t>9</w:t>
      </w:r>
      <w:r w:rsidR="00C72E7B">
        <w:rPr>
          <w:rFonts w:ascii="Arial" w:hAnsi="Arial" w:cs="Arial"/>
        </w:rPr>
        <w:t> </w:t>
      </w:r>
      <w:r w:rsidRPr="00C72E7B">
        <w:rPr>
          <w:rFonts w:ascii="Arial" w:hAnsi="Arial" w:cs="Arial"/>
        </w:rPr>
        <w:t>metodyk integrowanej produkcji roślin.</w:t>
      </w:r>
    </w:p>
    <w:p w14:paraId="30462F19" w14:textId="77777777" w:rsidR="00056846" w:rsidRPr="005E4627" w:rsidRDefault="00E54725">
      <w:pPr>
        <w:pStyle w:val="Nagwek2"/>
        <w:jc w:val="both"/>
        <w:rPr>
          <w:i w:val="0"/>
          <w:sz w:val="20"/>
          <w:szCs w:val="20"/>
        </w:rPr>
      </w:pPr>
      <w:bookmarkStart w:id="79" w:name="_Toc341876078"/>
      <w:bookmarkStart w:id="80" w:name="_Toc134099279"/>
      <w:r w:rsidRPr="005E4627">
        <w:rPr>
          <w:i w:val="0"/>
          <w:sz w:val="20"/>
          <w:szCs w:val="20"/>
        </w:rPr>
        <w:t>Zadanie 9. Prowadzenie doradztwa w ochronie roślin</w:t>
      </w:r>
      <w:bookmarkEnd w:id="79"/>
      <w:bookmarkEnd w:id="80"/>
    </w:p>
    <w:p w14:paraId="0F898F01"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5E4627">
        <w:rPr>
          <w:rFonts w:ascii="Arial" w:hAnsi="Arial" w:cs="Arial"/>
        </w:rPr>
        <w:t xml:space="preserve">Zadaniem Centrum Doradztwa Rolniczego w Brwinowie i </w:t>
      </w:r>
      <w:bookmarkStart w:id="81" w:name="_Hlk94542928"/>
      <w:r w:rsidRPr="005E4627">
        <w:rPr>
          <w:rFonts w:ascii="Arial" w:hAnsi="Arial" w:cs="Arial"/>
        </w:rPr>
        <w:t xml:space="preserve">wojewódzkich ośrodków doradztwa rolniczego </w:t>
      </w:r>
      <w:bookmarkEnd w:id="81"/>
      <w:r w:rsidRPr="005E4627">
        <w:rPr>
          <w:rFonts w:ascii="Arial" w:hAnsi="Arial" w:cs="Arial"/>
        </w:rPr>
        <w:t>jest prowadzenie doradztwa w zakresie rolnictwa. Wojewódzkie ośrodki doradztwa rolniczego w ramach zadań z zakresu doradztwa rolniczego prowadzą szkolenia dla rolników i innych mieszkańców</w:t>
      </w:r>
      <w:r w:rsidRPr="005F7930">
        <w:rPr>
          <w:rFonts w:ascii="Arial" w:hAnsi="Arial" w:cs="Arial"/>
        </w:rPr>
        <w:t xml:space="preserve"> obszarów wiejskich, w szczególności w zakresie stosowania nowoczesnych metod agrotechnicznych i rolnictwa ekologicznego</w:t>
      </w:r>
      <w:r w:rsidRPr="00925BCD">
        <w:rPr>
          <w:rFonts w:ascii="Arial" w:hAnsi="Arial" w:cs="Arial"/>
        </w:rPr>
        <w:t xml:space="preserve">. Ponadto wojewódzkie ośrodki doradztwa rolniczego prowadzą działalność informacyjną wspierającą rozwój produkcji rolniczej, działalność w zakresie podnoszenia kwalifikacji zawodowych rolników i innych mieszkańców obszarów wiejskich oraz upowszechniają metody produkcji rolniczej. Zadania te obejmują także upowszechnianie wiedzy i przekazywanie użytkownikom środków ochrony roślin najnowszych informacji związanych z ochroną </w:t>
      </w:r>
      <w:r w:rsidRPr="00925BCD">
        <w:rPr>
          <w:rFonts w:ascii="Arial" w:hAnsi="Arial" w:cs="Arial"/>
        </w:rPr>
        <w:lastRenderedPageBreak/>
        <w:t xml:space="preserve">roślin. Właściwy sposób postępowania producentów rolnych stosujących środki ochrony roślin w największym stopniu ogranicza ryzyko związane z ich użyciem. Dlatego jest konieczne wykorzystanie profesjonalnego i niezależnego doradztwa w tym zakresie. </w:t>
      </w:r>
    </w:p>
    <w:p w14:paraId="2B3FC054"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Centrum Doradztwa Rolniczego w Brwinowie oraz wojewódzkie ośrodki doradztwa rolniczego współpracują z instytucjami administracji rządowej i samorządowej działającymi m.in. na rzecz ochrony roślin, w szczególności z instytutami badawczymi, uczelniami rolniczymi, Państwową Inspekcją Ochrony Roślin i</w:t>
      </w:r>
      <w:r w:rsidR="00A921E2" w:rsidRPr="00925BCD">
        <w:rPr>
          <w:rFonts w:ascii="Arial" w:hAnsi="Arial" w:cs="Arial"/>
        </w:rPr>
        <w:t xml:space="preserve"> </w:t>
      </w:r>
      <w:r w:rsidRPr="00925BCD">
        <w:rPr>
          <w:rFonts w:ascii="Arial" w:hAnsi="Arial" w:cs="Arial"/>
        </w:rPr>
        <w:t>Nasiennictwa oraz izbami rolniczymi, branżowymi organizacjami rolników i innymi podmiotami gospodarczymi dostarczającymi środki do produkcji rolnej.</w:t>
      </w:r>
    </w:p>
    <w:p w14:paraId="47C21B60"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Centrum Doradztwa Rolniczego w Brwinowie wraz z wojewódzkimi ośrodkami doradztwa rolniczego są podstawowymi jednostkami, które zajmują się kształceniem ustawicznym rolników i mieszkańców obszarów wiejskich. Doskonalenie kadry doradczej z ośrodków wojewódzkich jest realizowane przez system specjalistycznych szkoleń oraz organizowanie seminariów, konferencji i pokazów najlepszych praktyk rolniczych, stanowiąc ważny element gwarancji świadczenia wysokiej jakości usług doradczych.</w:t>
      </w:r>
    </w:p>
    <w:p w14:paraId="4073E670" w14:textId="6CE1BA5B" w:rsidR="003A0BD7" w:rsidRDefault="003A0BD7" w:rsidP="00A921E2">
      <w:pPr>
        <w:pStyle w:val="NormalnyWeb"/>
        <w:tabs>
          <w:tab w:val="left" w:pos="284"/>
        </w:tabs>
        <w:spacing w:beforeAutospacing="0" w:after="120" w:afterAutospacing="0" w:line="360" w:lineRule="auto"/>
        <w:ind w:firstLine="284"/>
        <w:jc w:val="both"/>
        <w:rPr>
          <w:rFonts w:ascii="Arial" w:hAnsi="Arial" w:cs="Arial"/>
          <w:b/>
        </w:rPr>
      </w:pPr>
      <w:r>
        <w:rPr>
          <w:rFonts w:ascii="Arial" w:hAnsi="Arial" w:cs="Arial"/>
          <w:lang w:bidi="pl-PL"/>
        </w:rPr>
        <w:t>W latach 2018</w:t>
      </w:r>
      <w:bookmarkStart w:id="82" w:name="_Hlk94542588"/>
      <w:r>
        <w:rPr>
          <w:rFonts w:ascii="Arial" w:hAnsi="Arial" w:cs="Arial"/>
          <w:lang w:bidi="pl-PL"/>
        </w:rPr>
        <w:t>–</w:t>
      </w:r>
      <w:bookmarkEnd w:id="82"/>
      <w:r>
        <w:rPr>
          <w:rFonts w:ascii="Arial" w:hAnsi="Arial" w:cs="Arial"/>
          <w:lang w:bidi="pl-PL"/>
        </w:rPr>
        <w:t>202</w:t>
      </w:r>
      <w:r w:rsidR="008B2ADD">
        <w:rPr>
          <w:rFonts w:ascii="Arial" w:hAnsi="Arial" w:cs="Arial"/>
          <w:lang w:bidi="pl-PL"/>
        </w:rPr>
        <w:t>1</w:t>
      </w:r>
      <w:r>
        <w:rPr>
          <w:rFonts w:ascii="Arial" w:hAnsi="Arial" w:cs="Arial"/>
          <w:lang w:bidi="pl-PL"/>
        </w:rPr>
        <w:t xml:space="preserve"> </w:t>
      </w:r>
      <w:r w:rsidRPr="00925BCD">
        <w:rPr>
          <w:rFonts w:ascii="Arial" w:hAnsi="Arial" w:cs="Arial"/>
          <w:lang w:bidi="pl-PL"/>
        </w:rPr>
        <w:t>Centrum Doradztwa Rolniczego organizowało szkolenia</w:t>
      </w:r>
      <w:r w:rsidR="0038098C">
        <w:rPr>
          <w:rFonts w:ascii="Arial" w:hAnsi="Arial" w:cs="Arial"/>
          <w:lang w:bidi="pl-PL"/>
        </w:rPr>
        <w:t xml:space="preserve"> i konferencje</w:t>
      </w:r>
      <w:r>
        <w:rPr>
          <w:rFonts w:ascii="Arial" w:hAnsi="Arial" w:cs="Arial"/>
          <w:lang w:bidi="pl-PL"/>
        </w:rPr>
        <w:t>:</w:t>
      </w:r>
    </w:p>
    <w:p w14:paraId="7CA108F0" w14:textId="7E2522BA"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w:t>
      </w:r>
      <w:bookmarkStart w:id="83" w:name="_Hlk94542639"/>
      <w:r w:rsidR="003A0BD7">
        <w:rPr>
          <w:rFonts w:ascii="Arial" w:hAnsi="Arial" w:cs="Arial"/>
          <w:lang w:bidi="pl-PL"/>
        </w:rPr>
        <w:t>–</w:t>
      </w:r>
      <w:r w:rsidRPr="00925BCD">
        <w:rPr>
          <w:rFonts w:ascii="Arial" w:hAnsi="Arial" w:cs="Arial"/>
          <w:lang w:bidi="pl-PL"/>
        </w:rPr>
        <w:t xml:space="preserve"> </w:t>
      </w:r>
      <w:bookmarkEnd w:id="83"/>
      <w:r w:rsidRPr="00925BCD">
        <w:rPr>
          <w:rFonts w:ascii="Arial" w:hAnsi="Arial" w:cs="Arial"/>
          <w:lang w:bidi="pl-PL"/>
        </w:rPr>
        <w:t>„Racjonalne stosowanie środków ochrony roślin w uprawach ogrodniczych”, „Rozpoznawanie chorób i szkodników w uprawach sadowniczych” oraz „Doradztwo w zakresie środków ochrony roślin”. W szkoleniach uczestniczyło 255 osób, mieszkańców obszarów wiejskich.</w:t>
      </w:r>
    </w:p>
    <w:p w14:paraId="48E0E1F0" w14:textId="49BC8183" w:rsidR="00056846" w:rsidRPr="00925BCD" w:rsidRDefault="008152FF" w:rsidP="00A921E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Zo</w:t>
      </w:r>
      <w:r w:rsidR="00E54725" w:rsidRPr="00925BCD">
        <w:rPr>
          <w:rFonts w:ascii="Arial" w:hAnsi="Arial" w:cs="Arial"/>
        </w:rPr>
        <w:t>rganizowa</w:t>
      </w:r>
      <w:r>
        <w:rPr>
          <w:rFonts w:ascii="Arial" w:hAnsi="Arial" w:cs="Arial"/>
        </w:rPr>
        <w:t>no</w:t>
      </w:r>
      <w:r w:rsidR="00E54725" w:rsidRPr="00925BCD">
        <w:rPr>
          <w:rFonts w:ascii="Arial" w:hAnsi="Arial" w:cs="Arial"/>
        </w:rPr>
        <w:t xml:space="preserve"> również trzy konferencje dla pracowników jednostek doradztwa rolniczego, przedstawicieli instytucji pracujących na rzecz rolnictwa oraz rolników:</w:t>
      </w:r>
    </w:p>
    <w:p w14:paraId="76488CAD" w14:textId="77777777" w:rsidR="00056846" w:rsidRPr="00925BCD" w:rsidRDefault="00E54725" w:rsidP="002C2375">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III Forum Wiedzy i Innowacji,</w:t>
      </w:r>
    </w:p>
    <w:p w14:paraId="5849B68B" w14:textId="77777777" w:rsidR="00056846" w:rsidRPr="00925BCD" w:rsidRDefault="00E54725" w:rsidP="00A921E2">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Nauka doradztwu rolniczemu,</w:t>
      </w:r>
    </w:p>
    <w:p w14:paraId="1EECC957" w14:textId="77777777" w:rsidR="00056846" w:rsidRPr="00925BCD" w:rsidRDefault="00E54725" w:rsidP="00A921E2">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Praktyczne wykorzystanie i wdrażanie wyników badań naukowych oraz nowe osiągnięcia w hodowli odmianowej do zastosowania w produkcji roślinnej.</w:t>
      </w:r>
    </w:p>
    <w:p w14:paraId="7CF4D615" w14:textId="77777777" w:rsidR="00056846" w:rsidRPr="00925BCD" w:rsidRDefault="00E54725" w:rsidP="005B257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konferencjach uczestniczyło 265 osób.</w:t>
      </w:r>
    </w:p>
    <w:p w14:paraId="57C5EEC5" w14:textId="7A1D43AA" w:rsidR="00164E4D" w:rsidRPr="00925BCD" w:rsidRDefault="00164E4D"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t>
      </w:r>
      <w:r w:rsidR="003A0BD7">
        <w:rPr>
          <w:rFonts w:ascii="Arial" w:hAnsi="Arial" w:cs="Arial"/>
          <w:lang w:bidi="pl-PL"/>
        </w:rPr>
        <w:t>–</w:t>
      </w:r>
      <w:r w:rsidR="003A0BD7" w:rsidRPr="00925BCD">
        <w:rPr>
          <w:rFonts w:ascii="Arial" w:hAnsi="Arial" w:cs="Arial"/>
          <w:lang w:bidi="pl-PL"/>
        </w:rPr>
        <w:t xml:space="preserve"> </w:t>
      </w:r>
      <w:r w:rsidRPr="00925BCD">
        <w:rPr>
          <w:rFonts w:ascii="Arial" w:hAnsi="Arial" w:cs="Arial"/>
        </w:rPr>
        <w:t>„Racjonalne stosowanie środków ochrony roślin w uprawach ogrodniczych”</w:t>
      </w:r>
      <w:r w:rsidR="00233466" w:rsidRPr="00925BCD">
        <w:rPr>
          <w:rFonts w:ascii="Arial" w:hAnsi="Arial" w:cs="Arial"/>
        </w:rPr>
        <w:t xml:space="preserve"> oraz</w:t>
      </w:r>
      <w:r w:rsidRPr="00925BCD">
        <w:rPr>
          <w:rFonts w:ascii="Arial" w:hAnsi="Arial" w:cs="Arial"/>
        </w:rPr>
        <w:t xml:space="preserve"> „Przepisy ochrony środowiska w gospodarstwie rolnym” W szkoleniach uczestniczyły 44 osoby.</w:t>
      </w:r>
    </w:p>
    <w:p w14:paraId="627EF405" w14:textId="4815FF02" w:rsidR="00233466" w:rsidRPr="00925BCD" w:rsidRDefault="008152FF" w:rsidP="00233466">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w:t>
      </w:r>
      <w:r w:rsidR="005B257C" w:rsidRPr="00925BCD">
        <w:rPr>
          <w:rFonts w:ascii="Arial" w:hAnsi="Arial" w:cs="Arial"/>
        </w:rPr>
        <w:t>organizowano również konferencj</w:t>
      </w:r>
      <w:r w:rsidR="00233466" w:rsidRPr="00925BCD">
        <w:rPr>
          <w:rFonts w:ascii="Arial" w:hAnsi="Arial" w:cs="Arial"/>
        </w:rPr>
        <w:t>e:</w:t>
      </w:r>
    </w:p>
    <w:p w14:paraId="3B643E41" w14:textId="77777777" w:rsidR="00233466" w:rsidRPr="00925BCD" w:rsidRDefault="005B257C" w:rsidP="00233466">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 Dni Przedsiębiorcy Rolnego nt. “Organizacji gospodarstwa rolnego przyjaznego dla środowiska’',</w:t>
      </w:r>
    </w:p>
    <w:p w14:paraId="0FB526AC" w14:textId="77777777" w:rsidR="00233466" w:rsidRPr="00925BCD" w:rsidRDefault="00233466" w:rsidP="00233466">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„Praktyczne wykorzystanie osiągnięć naukowych w produkcji rolniczej” </w:t>
      </w:r>
    </w:p>
    <w:p w14:paraId="33994CE8" w14:textId="4FB9DD19" w:rsidR="005B257C" w:rsidRDefault="00233466"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konferencjach </w:t>
      </w:r>
      <w:r w:rsidR="005B257C" w:rsidRPr="00925BCD">
        <w:rPr>
          <w:rFonts w:ascii="Arial" w:hAnsi="Arial" w:cs="Arial"/>
        </w:rPr>
        <w:t xml:space="preserve"> uczestniczył</w:t>
      </w:r>
      <w:r w:rsidRPr="00925BCD">
        <w:rPr>
          <w:rFonts w:ascii="Arial" w:hAnsi="Arial" w:cs="Arial"/>
        </w:rPr>
        <w:t>y</w:t>
      </w:r>
      <w:r w:rsidR="005B257C" w:rsidRPr="00925BCD">
        <w:rPr>
          <w:rFonts w:ascii="Arial" w:hAnsi="Arial" w:cs="Arial"/>
        </w:rPr>
        <w:t xml:space="preserve"> 2</w:t>
      </w:r>
      <w:r w:rsidRPr="00925BCD">
        <w:rPr>
          <w:rFonts w:ascii="Arial" w:hAnsi="Arial" w:cs="Arial"/>
        </w:rPr>
        <w:t>43 osoby</w:t>
      </w:r>
      <w:r w:rsidR="005B257C" w:rsidRPr="00925BCD">
        <w:rPr>
          <w:rFonts w:ascii="Arial" w:hAnsi="Arial" w:cs="Arial"/>
        </w:rPr>
        <w:t xml:space="preserve">. </w:t>
      </w:r>
    </w:p>
    <w:p w14:paraId="2863EA2A" w14:textId="22604134" w:rsidR="003A0BD7" w:rsidRDefault="003A0BD7" w:rsidP="003A0BD7">
      <w:pPr>
        <w:pStyle w:val="NormalnyWeb"/>
        <w:tabs>
          <w:tab w:val="left" w:pos="284"/>
        </w:tabs>
        <w:spacing w:beforeAutospacing="0" w:after="120" w:afterAutospacing="0" w:line="360" w:lineRule="auto"/>
        <w:ind w:firstLine="284"/>
        <w:jc w:val="both"/>
        <w:rPr>
          <w:rFonts w:ascii="Arial" w:hAnsi="Arial" w:cs="Arial"/>
        </w:rPr>
      </w:pPr>
      <w:r w:rsidRPr="008152FF">
        <w:rPr>
          <w:rFonts w:ascii="Arial" w:hAnsi="Arial" w:cs="Arial"/>
          <w:b/>
          <w:bCs/>
        </w:rPr>
        <w:t>W 2020 r.</w:t>
      </w:r>
      <w:r>
        <w:rPr>
          <w:rFonts w:ascii="Arial" w:hAnsi="Arial" w:cs="Arial"/>
        </w:rPr>
        <w:t xml:space="preserve"> – </w:t>
      </w:r>
      <w:r w:rsidRPr="003A0BD7">
        <w:rPr>
          <w:rFonts w:ascii="Arial" w:hAnsi="Arial" w:cs="Arial"/>
        </w:rPr>
        <w:t>„Ochrona roślin w gospodarstwie ekologicznym</w:t>
      </w:r>
      <w:r>
        <w:rPr>
          <w:rFonts w:ascii="Arial" w:hAnsi="Arial" w:cs="Arial"/>
        </w:rPr>
        <w:t>”</w:t>
      </w:r>
      <w:r w:rsidRPr="003A0BD7">
        <w:rPr>
          <w:rFonts w:ascii="Arial" w:hAnsi="Arial" w:cs="Arial"/>
        </w:rPr>
        <w:t xml:space="preserve"> dla 85 osób </w:t>
      </w:r>
      <w:r>
        <w:rPr>
          <w:rFonts w:ascii="Arial" w:hAnsi="Arial" w:cs="Arial"/>
        </w:rPr>
        <w:t>oraz „</w:t>
      </w:r>
      <w:r w:rsidRPr="003A0BD7">
        <w:rPr>
          <w:rFonts w:ascii="Arial" w:hAnsi="Arial" w:cs="Arial"/>
        </w:rPr>
        <w:t>Integrowana Ochrona Roślin</w:t>
      </w:r>
      <w:r>
        <w:rPr>
          <w:rFonts w:ascii="Arial" w:hAnsi="Arial" w:cs="Arial"/>
        </w:rPr>
        <w:t>”</w:t>
      </w:r>
      <w:r w:rsidRPr="003A0BD7">
        <w:rPr>
          <w:rFonts w:ascii="Arial" w:hAnsi="Arial" w:cs="Arial"/>
        </w:rPr>
        <w:t xml:space="preserve"> (9 szkoleń dla 193 osób)</w:t>
      </w:r>
      <w:r>
        <w:rPr>
          <w:rFonts w:ascii="Arial" w:hAnsi="Arial" w:cs="Arial"/>
        </w:rPr>
        <w:t>.</w:t>
      </w:r>
    </w:p>
    <w:p w14:paraId="61B2294D" w14:textId="322D8CB7" w:rsidR="004D343C" w:rsidRDefault="009D3353" w:rsidP="00741CD7">
      <w:pPr>
        <w:pStyle w:val="NormalnyWeb"/>
        <w:tabs>
          <w:tab w:val="left" w:pos="284"/>
        </w:tabs>
        <w:spacing w:beforeAutospacing="0" w:after="120" w:afterAutospacing="0" w:line="360" w:lineRule="auto"/>
        <w:ind w:firstLine="284"/>
        <w:jc w:val="both"/>
        <w:rPr>
          <w:rFonts w:ascii="Arial" w:hAnsi="Arial" w:cs="Arial"/>
        </w:rPr>
      </w:pPr>
      <w:r w:rsidRPr="009D3353">
        <w:rPr>
          <w:rFonts w:ascii="Arial" w:hAnsi="Arial" w:cs="Arial"/>
          <w:b/>
          <w:bCs/>
        </w:rPr>
        <w:t>W 2021 r.</w:t>
      </w:r>
      <w:r w:rsidRPr="009D3353">
        <w:rPr>
          <w:rFonts w:ascii="Arial" w:hAnsi="Arial" w:cs="Arial"/>
        </w:rPr>
        <w:t xml:space="preserve"> </w:t>
      </w:r>
      <w:r w:rsidR="00741CD7">
        <w:rPr>
          <w:rFonts w:ascii="Arial" w:hAnsi="Arial" w:cs="Arial"/>
          <w:lang w:bidi="pl-PL"/>
        </w:rPr>
        <w:t xml:space="preserve">– </w:t>
      </w:r>
      <w:r w:rsidRPr="009D3353">
        <w:rPr>
          <w:rFonts w:ascii="Arial" w:hAnsi="Arial" w:cs="Arial"/>
        </w:rPr>
        <w:t>Innowacyjne rozwiązania oraz dobre praktyki w zakresie ograniczenia stosowania środków</w:t>
      </w:r>
      <w:r w:rsidR="00BB2F27">
        <w:rPr>
          <w:rFonts w:ascii="Arial" w:hAnsi="Arial" w:cs="Arial"/>
        </w:rPr>
        <w:t xml:space="preserve"> </w:t>
      </w:r>
      <w:r w:rsidRPr="009D3353">
        <w:rPr>
          <w:rFonts w:ascii="Arial" w:hAnsi="Arial" w:cs="Arial"/>
        </w:rPr>
        <w:t xml:space="preserve">ochrony roślin </w:t>
      </w:r>
      <w:r w:rsidR="00153BED">
        <w:rPr>
          <w:rFonts w:ascii="Arial" w:hAnsi="Arial" w:cs="Arial"/>
        </w:rPr>
        <w:t xml:space="preserve">dla </w:t>
      </w:r>
      <w:r w:rsidRPr="009D3353">
        <w:rPr>
          <w:rFonts w:ascii="Arial" w:hAnsi="Arial" w:cs="Arial"/>
        </w:rPr>
        <w:t>115 osób</w:t>
      </w:r>
      <w:r w:rsidR="00741CD7">
        <w:rPr>
          <w:rFonts w:ascii="Arial" w:hAnsi="Arial" w:cs="Arial"/>
        </w:rPr>
        <w:t xml:space="preserve"> i </w:t>
      </w:r>
      <w:r w:rsidRPr="009D3353">
        <w:rPr>
          <w:rFonts w:ascii="Arial" w:hAnsi="Arial" w:cs="Arial"/>
        </w:rPr>
        <w:t xml:space="preserve">Ochrona upraw rolniczych – wyzwania i zagrożenia w kontekście </w:t>
      </w:r>
      <w:r w:rsidRPr="009D3353">
        <w:rPr>
          <w:rFonts w:ascii="Arial" w:hAnsi="Arial" w:cs="Arial"/>
        </w:rPr>
        <w:lastRenderedPageBreak/>
        <w:t xml:space="preserve">zmian klimatu </w:t>
      </w:r>
      <w:r w:rsidR="00FA7521">
        <w:rPr>
          <w:rFonts w:ascii="Arial" w:hAnsi="Arial" w:cs="Arial"/>
        </w:rPr>
        <w:t xml:space="preserve">dla </w:t>
      </w:r>
      <w:r w:rsidRPr="009D3353">
        <w:rPr>
          <w:rFonts w:ascii="Arial" w:hAnsi="Arial" w:cs="Arial"/>
        </w:rPr>
        <w:t>50 osób.</w:t>
      </w:r>
    </w:p>
    <w:p w14:paraId="2DF5AA62" w14:textId="16785258" w:rsidR="003A0BD7" w:rsidRDefault="003A0BD7" w:rsidP="0072348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latach 2018–202</w:t>
      </w:r>
      <w:r w:rsidR="00BB2F27">
        <w:rPr>
          <w:rFonts w:ascii="Arial" w:hAnsi="Arial" w:cs="Arial"/>
        </w:rPr>
        <w:t>1</w:t>
      </w:r>
      <w:r>
        <w:rPr>
          <w:rFonts w:ascii="Arial" w:hAnsi="Arial" w:cs="Arial"/>
        </w:rPr>
        <w:t xml:space="preserve"> swoją działalność szkoleniową</w:t>
      </w:r>
      <w:r w:rsidR="0072348B">
        <w:rPr>
          <w:rFonts w:ascii="Arial" w:hAnsi="Arial" w:cs="Arial"/>
        </w:rPr>
        <w:t>,</w:t>
      </w:r>
      <w:r>
        <w:rPr>
          <w:rFonts w:ascii="Arial" w:hAnsi="Arial" w:cs="Arial"/>
        </w:rPr>
        <w:t xml:space="preserve"> </w:t>
      </w:r>
      <w:r w:rsidRPr="0072348B">
        <w:rPr>
          <w:rFonts w:ascii="Arial" w:hAnsi="Arial" w:cs="Arial"/>
        </w:rPr>
        <w:t xml:space="preserve">doradczą, informacyjną oraz upowszechnieniową </w:t>
      </w:r>
      <w:r>
        <w:rPr>
          <w:rFonts w:ascii="Arial" w:hAnsi="Arial" w:cs="Arial"/>
        </w:rPr>
        <w:t xml:space="preserve">prowadziły również </w:t>
      </w:r>
      <w:r w:rsidRPr="005E4627">
        <w:rPr>
          <w:rFonts w:ascii="Arial" w:hAnsi="Arial" w:cs="Arial"/>
        </w:rPr>
        <w:t>wojewódzki</w:t>
      </w:r>
      <w:r>
        <w:rPr>
          <w:rFonts w:ascii="Arial" w:hAnsi="Arial" w:cs="Arial"/>
        </w:rPr>
        <w:t>e</w:t>
      </w:r>
      <w:r w:rsidRPr="005E4627">
        <w:rPr>
          <w:rFonts w:ascii="Arial" w:hAnsi="Arial" w:cs="Arial"/>
        </w:rPr>
        <w:t xml:space="preserve"> ośrodk</w:t>
      </w:r>
      <w:r>
        <w:rPr>
          <w:rFonts w:ascii="Arial" w:hAnsi="Arial" w:cs="Arial"/>
        </w:rPr>
        <w:t>i</w:t>
      </w:r>
      <w:r w:rsidRPr="005E4627">
        <w:rPr>
          <w:rFonts w:ascii="Arial" w:hAnsi="Arial" w:cs="Arial"/>
        </w:rPr>
        <w:t xml:space="preserve"> doradztwa rolniczego</w:t>
      </w:r>
      <w:r>
        <w:rPr>
          <w:rFonts w:ascii="Arial" w:hAnsi="Arial" w:cs="Arial"/>
        </w:rPr>
        <w:t xml:space="preserve">. </w:t>
      </w:r>
      <w:r w:rsidRPr="0072348B">
        <w:rPr>
          <w:rFonts w:ascii="Arial" w:hAnsi="Arial" w:cs="Arial"/>
        </w:rPr>
        <w:t xml:space="preserve">W tym czasie zrealizowano: </w:t>
      </w:r>
    </w:p>
    <w:tbl>
      <w:tblPr>
        <w:tblStyle w:val="Tabela-Siatka"/>
        <w:tblW w:w="9451" w:type="dxa"/>
        <w:tblLayout w:type="fixed"/>
        <w:tblLook w:val="04A0" w:firstRow="1" w:lastRow="0" w:firstColumn="1" w:lastColumn="0" w:noHBand="0" w:noVBand="1"/>
      </w:tblPr>
      <w:tblGrid>
        <w:gridCol w:w="846"/>
        <w:gridCol w:w="992"/>
        <w:gridCol w:w="1470"/>
        <w:gridCol w:w="1976"/>
        <w:gridCol w:w="1649"/>
        <w:gridCol w:w="8"/>
        <w:gridCol w:w="1038"/>
        <w:gridCol w:w="1472"/>
      </w:tblGrid>
      <w:tr w:rsidR="003A0BD7" w:rsidRPr="00A64A84" w14:paraId="6ABCFA2A" w14:textId="77777777" w:rsidTr="00C2109B">
        <w:tc>
          <w:tcPr>
            <w:tcW w:w="846" w:type="dxa"/>
            <w:vMerge w:val="restart"/>
            <w:vAlign w:val="center"/>
          </w:tcPr>
          <w:p w14:paraId="5371AFE3" w14:textId="77777777" w:rsidR="003A0BD7" w:rsidRPr="008C6249" w:rsidRDefault="003A0BD7" w:rsidP="00315404">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Rok</w:t>
            </w:r>
          </w:p>
        </w:tc>
        <w:tc>
          <w:tcPr>
            <w:tcW w:w="2462" w:type="dxa"/>
            <w:gridSpan w:val="2"/>
            <w:vAlign w:val="center"/>
          </w:tcPr>
          <w:p w14:paraId="4B758143"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Działalność szkoleniowa</w:t>
            </w:r>
          </w:p>
        </w:tc>
        <w:tc>
          <w:tcPr>
            <w:tcW w:w="1976" w:type="dxa"/>
            <w:vMerge w:val="restart"/>
            <w:vAlign w:val="center"/>
          </w:tcPr>
          <w:p w14:paraId="75ECD375"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Porady/doradztwo grupowe</w:t>
            </w:r>
          </w:p>
          <w:p w14:paraId="197933D4"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odbiorców</w:t>
            </w:r>
          </w:p>
        </w:tc>
        <w:tc>
          <w:tcPr>
            <w:tcW w:w="1657" w:type="dxa"/>
            <w:gridSpan w:val="2"/>
            <w:vMerge w:val="restart"/>
            <w:vAlign w:val="center"/>
          </w:tcPr>
          <w:p w14:paraId="59C61D76"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Informacje</w:t>
            </w:r>
          </w:p>
          <w:p w14:paraId="206522B8"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odbiorców</w:t>
            </w:r>
          </w:p>
        </w:tc>
        <w:tc>
          <w:tcPr>
            <w:tcW w:w="2510" w:type="dxa"/>
            <w:gridSpan w:val="2"/>
            <w:vAlign w:val="center"/>
          </w:tcPr>
          <w:p w14:paraId="62F1A111"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Działalność upowszechnieniowa</w:t>
            </w:r>
          </w:p>
        </w:tc>
      </w:tr>
      <w:tr w:rsidR="003A0BD7" w:rsidRPr="00A64A84" w14:paraId="4FB2CF48" w14:textId="77777777" w:rsidTr="00C2109B">
        <w:trPr>
          <w:trHeight w:val="899"/>
        </w:trPr>
        <w:tc>
          <w:tcPr>
            <w:tcW w:w="846" w:type="dxa"/>
            <w:vMerge/>
            <w:vAlign w:val="center"/>
          </w:tcPr>
          <w:p w14:paraId="6ED61A29"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p>
        </w:tc>
        <w:tc>
          <w:tcPr>
            <w:tcW w:w="992" w:type="dxa"/>
            <w:vAlign w:val="center"/>
          </w:tcPr>
          <w:p w14:paraId="26B68F3B"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form</w:t>
            </w:r>
          </w:p>
        </w:tc>
        <w:tc>
          <w:tcPr>
            <w:tcW w:w="1470" w:type="dxa"/>
            <w:vAlign w:val="center"/>
          </w:tcPr>
          <w:p w14:paraId="44A1997C"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r w:rsidRPr="008C6249">
              <w:rPr>
                <w:rFonts w:ascii="Arial" w:hAnsi="Arial" w:cs="Arial"/>
                <w:b/>
              </w:rPr>
              <w:t>Liczba uczestników</w:t>
            </w:r>
          </w:p>
        </w:tc>
        <w:tc>
          <w:tcPr>
            <w:tcW w:w="1976" w:type="dxa"/>
            <w:vMerge/>
            <w:vAlign w:val="center"/>
          </w:tcPr>
          <w:p w14:paraId="0689F5BA"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p>
        </w:tc>
        <w:tc>
          <w:tcPr>
            <w:tcW w:w="1657" w:type="dxa"/>
            <w:gridSpan w:val="2"/>
            <w:vMerge/>
            <w:vAlign w:val="center"/>
          </w:tcPr>
          <w:p w14:paraId="75A4A594"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p>
        </w:tc>
        <w:tc>
          <w:tcPr>
            <w:tcW w:w="1038" w:type="dxa"/>
            <w:vAlign w:val="center"/>
          </w:tcPr>
          <w:p w14:paraId="487103C5"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form</w:t>
            </w:r>
          </w:p>
        </w:tc>
        <w:tc>
          <w:tcPr>
            <w:tcW w:w="1472" w:type="dxa"/>
            <w:vAlign w:val="center"/>
          </w:tcPr>
          <w:p w14:paraId="32AA70B6"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r w:rsidRPr="008C6249">
              <w:rPr>
                <w:rFonts w:ascii="Arial" w:hAnsi="Arial" w:cs="Arial"/>
                <w:b/>
              </w:rPr>
              <w:t>Liczba uczestników</w:t>
            </w:r>
          </w:p>
        </w:tc>
      </w:tr>
      <w:tr w:rsidR="003A0BD7" w:rsidRPr="00A64A84" w14:paraId="0F82E892" w14:textId="77777777" w:rsidTr="00BA2DCD">
        <w:tc>
          <w:tcPr>
            <w:tcW w:w="846" w:type="dxa"/>
            <w:vAlign w:val="center"/>
          </w:tcPr>
          <w:p w14:paraId="19C6DCD8" w14:textId="77777777" w:rsidR="003A0BD7" w:rsidRPr="008C6249" w:rsidRDefault="003A0BD7" w:rsidP="00DA4C6A">
            <w:pPr>
              <w:pStyle w:val="NormalnyWeb"/>
              <w:tabs>
                <w:tab w:val="left" w:pos="284"/>
              </w:tabs>
              <w:spacing w:beforeAutospacing="0" w:afterAutospacing="0" w:line="276" w:lineRule="auto"/>
              <w:jc w:val="center"/>
              <w:rPr>
                <w:rFonts w:ascii="Arial" w:hAnsi="Arial" w:cs="Arial"/>
              </w:rPr>
            </w:pPr>
            <w:r w:rsidRPr="008C6249">
              <w:rPr>
                <w:rFonts w:ascii="Arial" w:hAnsi="Arial" w:cs="Arial"/>
              </w:rPr>
              <w:t>2018</w:t>
            </w:r>
          </w:p>
        </w:tc>
        <w:tc>
          <w:tcPr>
            <w:tcW w:w="992" w:type="dxa"/>
            <w:vAlign w:val="center"/>
          </w:tcPr>
          <w:p w14:paraId="7D12FC38" w14:textId="77777777" w:rsidR="003A0BD7" w:rsidRPr="008C6249" w:rsidRDefault="003A0BD7" w:rsidP="00BA2DCD">
            <w:pPr>
              <w:pStyle w:val="NormalnyWeb"/>
              <w:tabs>
                <w:tab w:val="left" w:pos="284"/>
              </w:tabs>
              <w:spacing w:beforeAutospacing="0" w:afterAutospacing="0" w:line="276" w:lineRule="auto"/>
              <w:jc w:val="center"/>
              <w:rPr>
                <w:rFonts w:ascii="Arial" w:hAnsi="Arial" w:cs="Arial"/>
              </w:rPr>
            </w:pPr>
            <w:r w:rsidRPr="008C6249">
              <w:rPr>
                <w:rFonts w:ascii="Arial" w:hAnsi="Arial" w:cs="Arial"/>
              </w:rPr>
              <w:t>472</w:t>
            </w:r>
          </w:p>
        </w:tc>
        <w:tc>
          <w:tcPr>
            <w:tcW w:w="1470" w:type="dxa"/>
            <w:vAlign w:val="center"/>
          </w:tcPr>
          <w:p w14:paraId="5C62E18F" w14:textId="77777777" w:rsidR="003A0BD7" w:rsidRPr="008C6249" w:rsidRDefault="003A0BD7" w:rsidP="00BA2DCD">
            <w:pPr>
              <w:pStyle w:val="NormalnyWeb"/>
              <w:tabs>
                <w:tab w:val="left" w:pos="284"/>
              </w:tabs>
              <w:spacing w:beforeAutospacing="0" w:afterAutospacing="0" w:line="276" w:lineRule="auto"/>
              <w:jc w:val="center"/>
              <w:rPr>
                <w:rFonts w:ascii="Arial" w:hAnsi="Arial" w:cs="Arial"/>
              </w:rPr>
            </w:pPr>
            <w:r w:rsidRPr="008C6249">
              <w:rPr>
                <w:rFonts w:ascii="Arial" w:hAnsi="Arial" w:cs="Arial"/>
              </w:rPr>
              <w:t>9 363</w:t>
            </w:r>
          </w:p>
        </w:tc>
        <w:tc>
          <w:tcPr>
            <w:tcW w:w="1976" w:type="dxa"/>
            <w:vAlign w:val="center"/>
          </w:tcPr>
          <w:p w14:paraId="58741678"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19 071</w:t>
            </w:r>
          </w:p>
        </w:tc>
        <w:tc>
          <w:tcPr>
            <w:tcW w:w="1649" w:type="dxa"/>
            <w:vAlign w:val="center"/>
          </w:tcPr>
          <w:p w14:paraId="788EEC88"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17 081</w:t>
            </w:r>
          </w:p>
        </w:tc>
        <w:tc>
          <w:tcPr>
            <w:tcW w:w="1046" w:type="dxa"/>
            <w:gridSpan w:val="2"/>
            <w:vAlign w:val="center"/>
          </w:tcPr>
          <w:p w14:paraId="1E150FAD"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261</w:t>
            </w:r>
          </w:p>
        </w:tc>
        <w:tc>
          <w:tcPr>
            <w:tcW w:w="1472" w:type="dxa"/>
            <w:vAlign w:val="center"/>
          </w:tcPr>
          <w:p w14:paraId="2907137A"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2139</w:t>
            </w:r>
          </w:p>
        </w:tc>
      </w:tr>
      <w:tr w:rsidR="003A0BD7" w:rsidRPr="00A64A84" w14:paraId="7418D367" w14:textId="77777777" w:rsidTr="00BA2DCD">
        <w:tc>
          <w:tcPr>
            <w:tcW w:w="846" w:type="dxa"/>
            <w:vAlign w:val="center"/>
          </w:tcPr>
          <w:p w14:paraId="2C20D3D3" w14:textId="77777777" w:rsidR="003A0BD7" w:rsidRPr="008C6249" w:rsidRDefault="003A0BD7" w:rsidP="00DA4C6A">
            <w:pPr>
              <w:pStyle w:val="NormalnyWeb"/>
              <w:tabs>
                <w:tab w:val="left" w:pos="284"/>
              </w:tabs>
              <w:spacing w:beforeAutospacing="0" w:afterAutospacing="0" w:line="276" w:lineRule="auto"/>
              <w:jc w:val="center"/>
              <w:rPr>
                <w:rFonts w:ascii="Arial" w:hAnsi="Arial" w:cs="Arial"/>
              </w:rPr>
            </w:pPr>
            <w:r w:rsidRPr="008C6249">
              <w:rPr>
                <w:rFonts w:ascii="Arial" w:hAnsi="Arial" w:cs="Arial"/>
              </w:rPr>
              <w:t>2019</w:t>
            </w:r>
          </w:p>
        </w:tc>
        <w:tc>
          <w:tcPr>
            <w:tcW w:w="992" w:type="dxa"/>
            <w:vAlign w:val="center"/>
          </w:tcPr>
          <w:p w14:paraId="026B14A1"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480</w:t>
            </w:r>
          </w:p>
        </w:tc>
        <w:tc>
          <w:tcPr>
            <w:tcW w:w="1470" w:type="dxa"/>
            <w:vAlign w:val="center"/>
          </w:tcPr>
          <w:p w14:paraId="61032932"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9295</w:t>
            </w:r>
          </w:p>
        </w:tc>
        <w:tc>
          <w:tcPr>
            <w:tcW w:w="1976" w:type="dxa"/>
            <w:vAlign w:val="center"/>
          </w:tcPr>
          <w:p w14:paraId="515052A9"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18 032</w:t>
            </w:r>
          </w:p>
        </w:tc>
        <w:tc>
          <w:tcPr>
            <w:tcW w:w="1649" w:type="dxa"/>
            <w:vAlign w:val="center"/>
          </w:tcPr>
          <w:p w14:paraId="117FF2AB"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16 640</w:t>
            </w:r>
          </w:p>
        </w:tc>
        <w:tc>
          <w:tcPr>
            <w:tcW w:w="1046" w:type="dxa"/>
            <w:gridSpan w:val="2"/>
            <w:vAlign w:val="center"/>
          </w:tcPr>
          <w:p w14:paraId="748D325B"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121</w:t>
            </w:r>
          </w:p>
        </w:tc>
        <w:tc>
          <w:tcPr>
            <w:tcW w:w="1472" w:type="dxa"/>
            <w:vAlign w:val="center"/>
          </w:tcPr>
          <w:p w14:paraId="67D1BBA7"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720</w:t>
            </w:r>
          </w:p>
        </w:tc>
      </w:tr>
      <w:tr w:rsidR="003A0BD7" w:rsidRPr="00A64A84" w14:paraId="62A1CFC6" w14:textId="77777777" w:rsidTr="00BA2DCD">
        <w:tc>
          <w:tcPr>
            <w:tcW w:w="846" w:type="dxa"/>
            <w:vAlign w:val="center"/>
          </w:tcPr>
          <w:p w14:paraId="7772F92C" w14:textId="77777777" w:rsidR="003A0BD7" w:rsidRPr="008C6249" w:rsidRDefault="003A0BD7" w:rsidP="00DA4C6A">
            <w:pPr>
              <w:pStyle w:val="NormalnyWeb"/>
              <w:tabs>
                <w:tab w:val="left" w:pos="284"/>
              </w:tabs>
              <w:spacing w:beforeAutospacing="0" w:afterAutospacing="0" w:line="276" w:lineRule="auto"/>
              <w:jc w:val="center"/>
              <w:rPr>
                <w:rFonts w:ascii="Arial" w:hAnsi="Arial" w:cs="Arial"/>
              </w:rPr>
            </w:pPr>
            <w:r w:rsidRPr="008C6249">
              <w:rPr>
                <w:rFonts w:ascii="Arial" w:hAnsi="Arial" w:cs="Arial"/>
              </w:rPr>
              <w:t>2020</w:t>
            </w:r>
          </w:p>
        </w:tc>
        <w:tc>
          <w:tcPr>
            <w:tcW w:w="992" w:type="dxa"/>
            <w:vAlign w:val="center"/>
          </w:tcPr>
          <w:p w14:paraId="10CDF669"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391</w:t>
            </w:r>
          </w:p>
        </w:tc>
        <w:tc>
          <w:tcPr>
            <w:tcW w:w="1470" w:type="dxa"/>
            <w:vAlign w:val="center"/>
          </w:tcPr>
          <w:p w14:paraId="4872E380"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7058</w:t>
            </w:r>
          </w:p>
        </w:tc>
        <w:tc>
          <w:tcPr>
            <w:tcW w:w="1976" w:type="dxa"/>
            <w:vAlign w:val="center"/>
          </w:tcPr>
          <w:p w14:paraId="7A8E78AB"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17 715</w:t>
            </w:r>
          </w:p>
        </w:tc>
        <w:tc>
          <w:tcPr>
            <w:tcW w:w="1649" w:type="dxa"/>
            <w:vAlign w:val="center"/>
          </w:tcPr>
          <w:p w14:paraId="46B829CA"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16 685</w:t>
            </w:r>
          </w:p>
        </w:tc>
        <w:tc>
          <w:tcPr>
            <w:tcW w:w="1046" w:type="dxa"/>
            <w:gridSpan w:val="2"/>
            <w:vAlign w:val="center"/>
          </w:tcPr>
          <w:p w14:paraId="2227F2FE"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101</w:t>
            </w:r>
          </w:p>
        </w:tc>
        <w:tc>
          <w:tcPr>
            <w:tcW w:w="1472" w:type="dxa"/>
            <w:vAlign w:val="center"/>
          </w:tcPr>
          <w:p w14:paraId="71A1AE1F" w14:textId="77777777" w:rsidR="003A0BD7" w:rsidRPr="008C6249" w:rsidRDefault="003A0BD7" w:rsidP="00BA2DCD">
            <w:pPr>
              <w:jc w:val="center"/>
              <w:rPr>
                <w:rFonts w:ascii="Arial" w:hAnsi="Arial" w:cs="Arial"/>
                <w:color w:val="000000"/>
                <w:sz w:val="20"/>
                <w:szCs w:val="20"/>
              </w:rPr>
            </w:pPr>
            <w:r w:rsidRPr="008C6249">
              <w:rPr>
                <w:rFonts w:ascii="Arial" w:hAnsi="Arial" w:cs="Arial"/>
                <w:color w:val="000000"/>
                <w:sz w:val="20"/>
                <w:szCs w:val="20"/>
              </w:rPr>
              <w:t>323</w:t>
            </w:r>
          </w:p>
        </w:tc>
      </w:tr>
      <w:tr w:rsidR="003E6F9B" w:rsidRPr="00A64A84" w14:paraId="3DA369C7" w14:textId="77777777" w:rsidTr="00BA2DCD">
        <w:tc>
          <w:tcPr>
            <w:tcW w:w="846" w:type="dxa"/>
            <w:vAlign w:val="center"/>
          </w:tcPr>
          <w:p w14:paraId="7CCB8083" w14:textId="0691D6C7" w:rsidR="003E6F9B" w:rsidRPr="008C6249" w:rsidRDefault="003E6F9B" w:rsidP="00DA4C6A">
            <w:pPr>
              <w:pStyle w:val="NormalnyWeb"/>
              <w:tabs>
                <w:tab w:val="left" w:pos="284"/>
              </w:tabs>
              <w:spacing w:beforeAutospacing="0" w:afterAutospacing="0" w:line="276" w:lineRule="auto"/>
              <w:jc w:val="center"/>
              <w:rPr>
                <w:rFonts w:ascii="Arial" w:hAnsi="Arial" w:cs="Arial"/>
              </w:rPr>
            </w:pPr>
            <w:r w:rsidRPr="00C04AF3">
              <w:rPr>
                <w:rFonts w:ascii="Arial" w:hAnsi="Arial" w:cs="Arial"/>
              </w:rPr>
              <w:t>2021</w:t>
            </w:r>
          </w:p>
        </w:tc>
        <w:tc>
          <w:tcPr>
            <w:tcW w:w="992" w:type="dxa"/>
            <w:vAlign w:val="center"/>
          </w:tcPr>
          <w:p w14:paraId="260E131C" w14:textId="5C2464E3" w:rsidR="003E6F9B" w:rsidRPr="00C04AF3" w:rsidRDefault="00DA4C6A" w:rsidP="00BA2DCD">
            <w:pPr>
              <w:jc w:val="center"/>
              <w:rPr>
                <w:rFonts w:ascii="Arial" w:eastAsia="Times New Roman" w:hAnsi="Arial" w:cs="Arial"/>
                <w:sz w:val="20"/>
                <w:szCs w:val="20"/>
                <w:lang w:eastAsia="pl-PL"/>
              </w:rPr>
            </w:pPr>
            <w:r w:rsidRPr="00C04AF3">
              <w:rPr>
                <w:rFonts w:ascii="Arial" w:eastAsia="Times New Roman" w:hAnsi="Arial" w:cs="Arial"/>
                <w:sz w:val="20"/>
                <w:szCs w:val="20"/>
                <w:lang w:eastAsia="pl-PL"/>
              </w:rPr>
              <w:t>719</w:t>
            </w:r>
          </w:p>
        </w:tc>
        <w:tc>
          <w:tcPr>
            <w:tcW w:w="1470" w:type="dxa"/>
            <w:vAlign w:val="center"/>
          </w:tcPr>
          <w:p w14:paraId="04FFD3D8" w14:textId="110744D0" w:rsidR="003E6F9B" w:rsidRPr="00C04AF3" w:rsidRDefault="00DA4C6A" w:rsidP="00BA2DCD">
            <w:pPr>
              <w:jc w:val="center"/>
              <w:rPr>
                <w:rFonts w:ascii="Arial" w:eastAsia="Times New Roman" w:hAnsi="Arial" w:cs="Arial"/>
                <w:sz w:val="20"/>
                <w:szCs w:val="20"/>
                <w:lang w:eastAsia="pl-PL"/>
              </w:rPr>
            </w:pPr>
            <w:r w:rsidRPr="00C04AF3">
              <w:rPr>
                <w:rFonts w:ascii="Arial" w:eastAsia="Times New Roman" w:hAnsi="Arial" w:cs="Arial"/>
                <w:sz w:val="20"/>
                <w:szCs w:val="20"/>
                <w:lang w:eastAsia="pl-PL"/>
              </w:rPr>
              <w:t>15 456</w:t>
            </w:r>
          </w:p>
        </w:tc>
        <w:tc>
          <w:tcPr>
            <w:tcW w:w="1976" w:type="dxa"/>
            <w:vAlign w:val="center"/>
          </w:tcPr>
          <w:p w14:paraId="656EC18F" w14:textId="313EE88A" w:rsidR="003E6F9B" w:rsidRPr="00C04AF3" w:rsidRDefault="00DA4C6A" w:rsidP="00BA2DCD">
            <w:pPr>
              <w:jc w:val="center"/>
              <w:rPr>
                <w:rFonts w:ascii="Arial" w:eastAsia="Times New Roman" w:hAnsi="Arial" w:cs="Arial"/>
                <w:sz w:val="20"/>
                <w:szCs w:val="20"/>
                <w:lang w:eastAsia="pl-PL"/>
              </w:rPr>
            </w:pPr>
            <w:r w:rsidRPr="00C04AF3">
              <w:rPr>
                <w:rFonts w:ascii="Arial" w:eastAsia="Times New Roman" w:hAnsi="Arial" w:cs="Arial"/>
                <w:sz w:val="20"/>
                <w:szCs w:val="20"/>
                <w:lang w:eastAsia="pl-PL"/>
              </w:rPr>
              <w:t>19 220</w:t>
            </w:r>
          </w:p>
        </w:tc>
        <w:tc>
          <w:tcPr>
            <w:tcW w:w="1649" w:type="dxa"/>
            <w:vAlign w:val="center"/>
          </w:tcPr>
          <w:p w14:paraId="65047EB6" w14:textId="0D1006C1" w:rsidR="003E6F9B" w:rsidRPr="00C04AF3" w:rsidRDefault="00DA4C6A" w:rsidP="00BA2DCD">
            <w:pPr>
              <w:jc w:val="center"/>
              <w:rPr>
                <w:rFonts w:ascii="Arial" w:eastAsia="Times New Roman" w:hAnsi="Arial" w:cs="Arial"/>
                <w:sz w:val="20"/>
                <w:szCs w:val="20"/>
                <w:lang w:eastAsia="pl-PL"/>
              </w:rPr>
            </w:pPr>
            <w:r w:rsidRPr="00C04AF3">
              <w:rPr>
                <w:rFonts w:ascii="Arial" w:eastAsia="Times New Roman" w:hAnsi="Arial" w:cs="Arial"/>
                <w:sz w:val="20"/>
                <w:szCs w:val="20"/>
                <w:lang w:eastAsia="pl-PL"/>
              </w:rPr>
              <w:t>19 005</w:t>
            </w:r>
          </w:p>
        </w:tc>
        <w:tc>
          <w:tcPr>
            <w:tcW w:w="1046" w:type="dxa"/>
            <w:gridSpan w:val="2"/>
            <w:vAlign w:val="center"/>
          </w:tcPr>
          <w:p w14:paraId="787DFE4E" w14:textId="5EB6CF99" w:rsidR="003E6F9B" w:rsidRPr="00C04AF3" w:rsidRDefault="00DA4C6A" w:rsidP="00BA2DCD">
            <w:pPr>
              <w:jc w:val="center"/>
              <w:rPr>
                <w:rFonts w:ascii="Arial" w:eastAsia="Times New Roman" w:hAnsi="Arial" w:cs="Arial"/>
                <w:sz w:val="20"/>
                <w:szCs w:val="20"/>
                <w:lang w:eastAsia="pl-PL"/>
              </w:rPr>
            </w:pPr>
            <w:r w:rsidRPr="00C04AF3">
              <w:rPr>
                <w:rFonts w:ascii="Arial" w:eastAsia="Times New Roman" w:hAnsi="Arial" w:cs="Arial"/>
                <w:sz w:val="20"/>
                <w:szCs w:val="20"/>
                <w:lang w:eastAsia="pl-PL"/>
              </w:rPr>
              <w:t>123</w:t>
            </w:r>
          </w:p>
        </w:tc>
        <w:tc>
          <w:tcPr>
            <w:tcW w:w="1472" w:type="dxa"/>
            <w:vAlign w:val="center"/>
          </w:tcPr>
          <w:p w14:paraId="1491EFA6" w14:textId="5CB2248C" w:rsidR="003E6F9B" w:rsidRPr="00C04AF3" w:rsidRDefault="00DA4C6A" w:rsidP="00BA2DCD">
            <w:pPr>
              <w:pStyle w:val="NormalnyWeb"/>
              <w:tabs>
                <w:tab w:val="left" w:pos="284"/>
              </w:tabs>
              <w:spacing w:beforeAutospacing="0" w:afterAutospacing="0" w:line="276" w:lineRule="auto"/>
              <w:jc w:val="center"/>
              <w:rPr>
                <w:rFonts w:ascii="Arial" w:hAnsi="Arial" w:cs="Arial"/>
              </w:rPr>
            </w:pPr>
            <w:r w:rsidRPr="00C04AF3">
              <w:rPr>
                <w:rFonts w:ascii="Arial" w:hAnsi="Arial" w:cs="Arial"/>
              </w:rPr>
              <w:t>18 642</w:t>
            </w:r>
          </w:p>
        </w:tc>
      </w:tr>
    </w:tbl>
    <w:p w14:paraId="74ACCA26" w14:textId="4BE93CFD" w:rsidR="003A0BD7" w:rsidRDefault="003A0BD7" w:rsidP="003A0BD7">
      <w:pPr>
        <w:pStyle w:val="NormalnyWeb"/>
        <w:tabs>
          <w:tab w:val="left" w:pos="284"/>
        </w:tabs>
        <w:spacing w:beforeAutospacing="0" w:afterAutospacing="0" w:line="276" w:lineRule="auto"/>
        <w:jc w:val="both"/>
        <w:rPr>
          <w:rFonts w:asciiTheme="minorHAnsi" w:hAnsiTheme="minorHAnsi" w:cstheme="minorHAnsi"/>
          <w:sz w:val="22"/>
          <w:szCs w:val="22"/>
        </w:rPr>
      </w:pPr>
    </w:p>
    <w:p w14:paraId="0FF22A73" w14:textId="0626BB79" w:rsidR="0072348B" w:rsidRPr="0072348B" w:rsidRDefault="008152FF" w:rsidP="008152F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J</w:t>
      </w:r>
      <w:r w:rsidR="0072348B" w:rsidRPr="0072348B">
        <w:rPr>
          <w:rFonts w:ascii="Arial" w:hAnsi="Arial" w:cs="Arial"/>
        </w:rPr>
        <w:t xml:space="preserve">ednostki doradztwa rolniczego (CDR oraz WODR) prowadziły działalność szkoleniową na podstawie uprawnień nadanych przez Wojewódzkie Inspektoraty Ochrony Roślin i Nasiennictwa. Były to m.in. szkolenia w zakresie </w:t>
      </w:r>
      <w:r>
        <w:rPr>
          <w:rFonts w:ascii="Arial" w:hAnsi="Arial" w:cs="Arial"/>
        </w:rPr>
        <w:t>d</w:t>
      </w:r>
      <w:r w:rsidR="0072348B" w:rsidRPr="0072348B">
        <w:rPr>
          <w:rFonts w:ascii="Arial" w:hAnsi="Arial" w:cs="Arial"/>
        </w:rPr>
        <w:t>oradztwa w zakresie stosowania środków ochrony roślin przedstawione w Działaniu 1 niniejszego sprawozdania</w:t>
      </w:r>
      <w:r w:rsidR="00420A8B">
        <w:rPr>
          <w:rFonts w:ascii="Arial" w:hAnsi="Arial" w:cs="Arial"/>
        </w:rPr>
        <w:t>.</w:t>
      </w:r>
    </w:p>
    <w:p w14:paraId="585343E9" w14:textId="1B048A72"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Dodatkowo wojewódzkie ODR upowszechniały wiedzę i informacje dotyczącą zagadnień prawidłowego stosowania środków ochrony roślin  w ramach publikowanych przez nich wydawnictw (drukowanych i elektronicznych)</w:t>
      </w:r>
      <w:r w:rsidR="00620461">
        <w:rPr>
          <w:rFonts w:ascii="Arial" w:hAnsi="Arial" w:cs="Arial"/>
        </w:rPr>
        <w:t>.</w:t>
      </w:r>
      <w:r w:rsidRPr="0072348B">
        <w:rPr>
          <w:rFonts w:ascii="Arial" w:hAnsi="Arial" w:cs="Arial"/>
        </w:rPr>
        <w:t xml:space="preserve"> </w:t>
      </w:r>
    </w:p>
    <w:p w14:paraId="0D611C16" w14:textId="223B1C42"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Były to: </w:t>
      </w:r>
    </w:p>
    <w:p w14:paraId="617F34AF" w14:textId="15EA530E"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2018 rok </w:t>
      </w:r>
      <w:r w:rsidR="00505D15">
        <w:rPr>
          <w:rFonts w:ascii="Arial" w:hAnsi="Arial" w:cs="Arial"/>
        </w:rPr>
        <w:t>–</w:t>
      </w:r>
      <w:r w:rsidRPr="0072348B">
        <w:rPr>
          <w:rFonts w:ascii="Arial" w:hAnsi="Arial" w:cs="Arial"/>
        </w:rPr>
        <w:t xml:space="preserve"> 46 publikacji w nakładzie 62 900 egz</w:t>
      </w:r>
      <w:r w:rsidR="00420A8B">
        <w:rPr>
          <w:rFonts w:ascii="Arial" w:hAnsi="Arial" w:cs="Arial"/>
        </w:rPr>
        <w:t>.</w:t>
      </w:r>
      <w:r w:rsidRPr="0072348B">
        <w:rPr>
          <w:rFonts w:ascii="Arial" w:hAnsi="Arial" w:cs="Arial"/>
        </w:rPr>
        <w:t xml:space="preserve"> oraz 30 newsletterów (forma elektroniczna) dotyczących sygnalizacji agrofagów </w:t>
      </w:r>
      <w:r w:rsidR="008152FF">
        <w:rPr>
          <w:rFonts w:ascii="Arial" w:hAnsi="Arial" w:cs="Arial"/>
        </w:rPr>
        <w:t>,</w:t>
      </w:r>
    </w:p>
    <w:p w14:paraId="6814FC5B" w14:textId="1446E051"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2019 rok </w:t>
      </w:r>
      <w:r w:rsidR="00505D15">
        <w:rPr>
          <w:rFonts w:ascii="Arial" w:hAnsi="Arial" w:cs="Arial"/>
        </w:rPr>
        <w:t>–</w:t>
      </w:r>
      <w:r w:rsidRPr="0072348B">
        <w:rPr>
          <w:rFonts w:ascii="Arial" w:hAnsi="Arial" w:cs="Arial"/>
        </w:rPr>
        <w:t xml:space="preserve"> 29 publikacji w nakładzie 35 710 egz</w:t>
      </w:r>
      <w:r w:rsidR="00420A8B">
        <w:rPr>
          <w:rFonts w:ascii="Arial" w:hAnsi="Arial" w:cs="Arial"/>
        </w:rPr>
        <w:t>.</w:t>
      </w:r>
      <w:r w:rsidRPr="0072348B">
        <w:rPr>
          <w:rFonts w:ascii="Arial" w:hAnsi="Arial" w:cs="Arial"/>
        </w:rPr>
        <w:t xml:space="preserve"> oraz 17 newsletterów (forma elektroniczna) dotyczących agrofagów</w:t>
      </w:r>
      <w:r w:rsidR="008152FF">
        <w:rPr>
          <w:rFonts w:ascii="Arial" w:hAnsi="Arial" w:cs="Arial"/>
        </w:rPr>
        <w:t>,</w:t>
      </w:r>
      <w:r w:rsidRPr="0072348B">
        <w:rPr>
          <w:rFonts w:ascii="Arial" w:hAnsi="Arial" w:cs="Arial"/>
        </w:rPr>
        <w:t xml:space="preserve"> </w:t>
      </w:r>
    </w:p>
    <w:p w14:paraId="082226A6" w14:textId="257D25EA" w:rsid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2020 rok </w:t>
      </w:r>
      <w:r w:rsidR="00505D15">
        <w:rPr>
          <w:rFonts w:ascii="Arial" w:hAnsi="Arial" w:cs="Arial"/>
        </w:rPr>
        <w:t>–</w:t>
      </w:r>
      <w:r w:rsidRPr="0072348B">
        <w:rPr>
          <w:rFonts w:ascii="Arial" w:hAnsi="Arial" w:cs="Arial"/>
        </w:rPr>
        <w:t xml:space="preserve"> 31 publikacji w nakładzie 41 600 </w:t>
      </w:r>
      <w:r w:rsidR="00420A8B">
        <w:rPr>
          <w:rFonts w:ascii="Arial" w:hAnsi="Arial" w:cs="Arial"/>
        </w:rPr>
        <w:t xml:space="preserve">egz. </w:t>
      </w:r>
      <w:r w:rsidRPr="0072348B">
        <w:rPr>
          <w:rFonts w:ascii="Arial" w:hAnsi="Arial" w:cs="Arial"/>
        </w:rPr>
        <w:t>oraz 8 publikacji elektronicznych i 23 newslettery dotyczące agrofagów</w:t>
      </w:r>
      <w:r w:rsidR="002E12BC">
        <w:rPr>
          <w:rFonts w:ascii="Arial" w:hAnsi="Arial" w:cs="Arial"/>
        </w:rPr>
        <w:t>,</w:t>
      </w:r>
    </w:p>
    <w:p w14:paraId="5831695D" w14:textId="517A98C4" w:rsidR="009B7208" w:rsidRPr="0072348B" w:rsidRDefault="009B7208" w:rsidP="009B7208">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2021 rok </w:t>
      </w:r>
      <w:bookmarkStart w:id="84" w:name="_Hlk123212918"/>
      <w:r>
        <w:rPr>
          <w:rFonts w:ascii="Arial" w:hAnsi="Arial" w:cs="Arial"/>
        </w:rPr>
        <w:t>–</w:t>
      </w:r>
      <w:bookmarkEnd w:id="84"/>
      <w:r>
        <w:rPr>
          <w:rFonts w:ascii="Arial" w:hAnsi="Arial" w:cs="Arial"/>
        </w:rPr>
        <w:t xml:space="preserve"> 28 publikacji (w tym publikacji elektronicznych) oraz 19 newsletterów dotycząc</w:t>
      </w:r>
      <w:r w:rsidR="00373590">
        <w:rPr>
          <w:rFonts w:ascii="Arial" w:hAnsi="Arial" w:cs="Arial"/>
        </w:rPr>
        <w:t>ych</w:t>
      </w:r>
      <w:r>
        <w:rPr>
          <w:rFonts w:ascii="Arial" w:hAnsi="Arial" w:cs="Arial"/>
        </w:rPr>
        <w:t xml:space="preserve"> agrofagów. </w:t>
      </w:r>
    </w:p>
    <w:p w14:paraId="3590601C" w14:textId="4570B0ED" w:rsidR="00E52C61" w:rsidRPr="0072348B" w:rsidRDefault="0072348B" w:rsidP="00E52C61">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Przykładowe tytuły publikacji: Integrowana ochrona zbóż – pszenica; Integrowana ochrona kukurydzy; Technika ochrony upraw polowych; Integrowana ochrona rzepaku; Integrowana ochrona jęczmienia jarego Integrowana ochrona rabarbaru; Bezpieczne stosowanie środków ochrony roślin; Mała stacja meteorologiczna – duże możliwości w integrowanej ochronie roślin; Systemy wspomagania decyzji w ochronie roślin; Ochrona roślin w ogrodach; Bezpieczne stosowanie środków ochrony roślin-ABC sporządzanie cieczy użytkowej; Metody ograniczenia stosowania środków ochrony roślin w rolnictwie; Integrowana ochrona ziemniaka; Integrowana ochrona buraka cukrowego; </w:t>
      </w:r>
      <w:r w:rsidR="00B54CB3">
        <w:rPr>
          <w:rFonts w:ascii="Arial" w:hAnsi="Arial" w:cs="Arial"/>
        </w:rPr>
        <w:t xml:space="preserve">Integrowana </w:t>
      </w:r>
      <w:r w:rsidR="00B54CB3">
        <w:rPr>
          <w:rFonts w:ascii="Arial" w:hAnsi="Arial" w:cs="Arial"/>
        </w:rPr>
        <w:lastRenderedPageBreak/>
        <w:t xml:space="preserve">ochrona fasoli; Integrowana ochrona marchwi; </w:t>
      </w:r>
      <w:r w:rsidRPr="0072348B">
        <w:rPr>
          <w:rFonts w:ascii="Arial" w:hAnsi="Arial" w:cs="Arial"/>
        </w:rPr>
        <w:t xml:space="preserve">Agrotechniczne metody zwalczania chorób zbóż; Stosowanie pestycydów - za i przeciw; Zwalczanie chwastów </w:t>
      </w:r>
      <w:r w:rsidR="008E02C4" w:rsidRPr="0072348B">
        <w:rPr>
          <w:rFonts w:ascii="Arial" w:hAnsi="Arial" w:cs="Arial"/>
        </w:rPr>
        <w:t>w</w:t>
      </w:r>
      <w:r w:rsidR="008E02C4">
        <w:rPr>
          <w:rFonts w:ascii="Arial" w:hAnsi="Arial" w:cs="Arial"/>
        </w:rPr>
        <w:t> </w:t>
      </w:r>
      <w:r w:rsidRPr="0072348B">
        <w:rPr>
          <w:rFonts w:ascii="Arial" w:hAnsi="Arial" w:cs="Arial"/>
        </w:rPr>
        <w:t>kukurydzy; Nowoczesna uprawa pszenicy jarej z wykorzystaniem integrowanej ochrony</w:t>
      </w:r>
      <w:r w:rsidR="00E52C61">
        <w:rPr>
          <w:rFonts w:ascii="Arial" w:hAnsi="Arial" w:cs="Arial"/>
        </w:rPr>
        <w:t>; Zasady prawidłowego stosowania środków ochrony roślin.</w:t>
      </w:r>
    </w:p>
    <w:p w14:paraId="3A8DFE56" w14:textId="1E2AB4D6" w:rsidR="0072348B" w:rsidRPr="0072348B" w:rsidRDefault="005B257C" w:rsidP="000F231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rozpoczęła się również realizacja projektu Internetowa Platforma Doradztwa i</w:t>
      </w:r>
      <w:r w:rsidR="00233466" w:rsidRPr="00925BCD">
        <w:rPr>
          <w:rFonts w:ascii="Arial" w:hAnsi="Arial" w:cs="Arial"/>
        </w:rPr>
        <w:t> </w:t>
      </w:r>
      <w:r w:rsidRPr="00925BCD">
        <w:rPr>
          <w:rFonts w:ascii="Arial" w:hAnsi="Arial" w:cs="Arial"/>
        </w:rPr>
        <w:t>Wspomagania Decyzji w Integrowanej Ochronie Roślin (</w:t>
      </w:r>
      <w:proofErr w:type="spellStart"/>
      <w:r w:rsidRPr="00925BCD">
        <w:rPr>
          <w:rFonts w:ascii="Arial" w:hAnsi="Arial" w:cs="Arial"/>
        </w:rPr>
        <w:t>eDWIN</w:t>
      </w:r>
      <w:proofErr w:type="spellEnd"/>
      <w:r w:rsidRPr="00925BCD">
        <w:rPr>
          <w:rFonts w:ascii="Arial" w:hAnsi="Arial" w:cs="Arial"/>
        </w:rPr>
        <w:t xml:space="preserve">). Wielkopolski Ośrodek Doradztwa Rolniczego w Poznaniu jest liderem projektu, a konsorcjantami są CDR w Brwinowie, Instytut Ochrony Roślin w Poznaniu i 15 ośrodków doradztwa rolniczego. </w:t>
      </w:r>
      <w:r w:rsidR="0072348B" w:rsidRPr="0072348B">
        <w:rPr>
          <w:rFonts w:ascii="Arial" w:hAnsi="Arial" w:cs="Arial"/>
        </w:rPr>
        <w:t>W wyniku realizacji projektu planowane jest stworzenie e - usług publicznych w sektorze produkcji rolnej, przetwórstwa rolnego i żywności, skierowanych do użytkowników środków ochrony roślin, doradców z ośrodków doradztwa rolniczego, konsumentów żywności przedsiębiorstw rolno-przetwórczych, jednostek samorządu terytorialnego, instytucji publicznych prowadzących działalność w zakresie ochrony roślin na szczeblu centralnym oraz uczelni wyższych, jednostek naukowych, instytutów badawczych i pozostałych instytucji publicznych.</w:t>
      </w:r>
    </w:p>
    <w:p w14:paraId="1B283182" w14:textId="4DB02B12" w:rsidR="005B257C" w:rsidRDefault="005B257C" w:rsidP="005B257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Głównym celem strategicznym projektu jest stworzenie krajowego systemu informatycznego na rzecz ochrony roślin, który w znaczący sposób wpłynie na jakość i ilość produkowanej w Polsce żywności. System ma ułatwić monitorowanie występowania agrofagów i ocenę ryzyka dla upraw, </w:t>
      </w:r>
      <w:r w:rsidR="001F597C" w:rsidRPr="00925BCD">
        <w:rPr>
          <w:rFonts w:ascii="Arial" w:hAnsi="Arial" w:cs="Arial"/>
        </w:rPr>
        <w:t>w</w:t>
      </w:r>
      <w:r w:rsidR="001F597C">
        <w:rPr>
          <w:rFonts w:ascii="Arial" w:hAnsi="Arial" w:cs="Arial"/>
        </w:rPr>
        <w:t> </w:t>
      </w:r>
      <w:r w:rsidRPr="00925BCD">
        <w:rPr>
          <w:rFonts w:ascii="Arial" w:hAnsi="Arial" w:cs="Arial"/>
        </w:rPr>
        <w:t xml:space="preserve">konsekwencji ma służyć do racjonalizacji stosowania środków ochrony roślin. Projekt finansowany jest </w:t>
      </w:r>
      <w:r w:rsidR="008E02C4">
        <w:rPr>
          <w:rFonts w:ascii="Arial" w:hAnsi="Arial" w:cs="Arial"/>
        </w:rPr>
        <w:t xml:space="preserve">w ramach Programu </w:t>
      </w:r>
      <w:r w:rsidRPr="00925BCD">
        <w:rPr>
          <w:rFonts w:ascii="Arial" w:hAnsi="Arial" w:cs="Arial"/>
        </w:rPr>
        <w:t>Polski Cyfrowej.</w:t>
      </w:r>
    </w:p>
    <w:p w14:paraId="095A662F" w14:textId="6BC25A5B" w:rsidR="00ED19A8" w:rsidRPr="00925BCD" w:rsidRDefault="00ED19A8" w:rsidP="00ED19A8">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latach 2020 – 2021 w ramach projektu przygotowano aplikację służącą do wpierania decyzji w</w:t>
      </w:r>
      <w:r w:rsidR="00D7167A">
        <w:rPr>
          <w:rFonts w:ascii="Arial" w:hAnsi="Arial" w:cs="Arial"/>
        </w:rPr>
        <w:t> </w:t>
      </w:r>
      <w:r>
        <w:rPr>
          <w:rFonts w:ascii="Arial" w:hAnsi="Arial" w:cs="Arial"/>
        </w:rPr>
        <w:t xml:space="preserve">integrowanej ochronie roślin, zakupiono i rozlokowano w gospodarstwach w całej Polce stacje meteorologiczne, które uzupełnią sieć stacji meteorologicznych. Ponadto przygotowano ramy szkoleń powszechnych dla doradców rolniczych z obsługi i wdrażania systemu </w:t>
      </w:r>
      <w:proofErr w:type="spellStart"/>
      <w:r>
        <w:rPr>
          <w:rFonts w:ascii="Arial" w:hAnsi="Arial" w:cs="Arial"/>
        </w:rPr>
        <w:t>eDWIN</w:t>
      </w:r>
      <w:proofErr w:type="spellEnd"/>
      <w:r>
        <w:rPr>
          <w:rFonts w:ascii="Arial" w:hAnsi="Arial" w:cs="Arial"/>
        </w:rPr>
        <w:t>, do realizacji w 2022 r.</w:t>
      </w:r>
    </w:p>
    <w:p w14:paraId="1E7CF41E" w14:textId="23E28697" w:rsidR="005E4627" w:rsidRPr="00925BCD" w:rsidRDefault="005B257C" w:rsidP="005B257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Kontynuowano </w:t>
      </w:r>
      <w:r w:rsidR="00233466" w:rsidRPr="00925BCD">
        <w:rPr>
          <w:rFonts w:ascii="Arial" w:hAnsi="Arial" w:cs="Arial"/>
        </w:rPr>
        <w:t xml:space="preserve">także </w:t>
      </w:r>
      <w:r w:rsidRPr="00925BCD">
        <w:rPr>
          <w:rFonts w:ascii="Arial" w:hAnsi="Arial" w:cs="Arial"/>
        </w:rPr>
        <w:t xml:space="preserve">realizację projektu Strategia przeciwdziałania uodparnianiu się chwastów na herbicydy jako istotny czynnik zapewnienia zrównoważonego rozwoju </w:t>
      </w:r>
      <w:proofErr w:type="spellStart"/>
      <w:r w:rsidRPr="00925BCD">
        <w:rPr>
          <w:rFonts w:ascii="Arial" w:hAnsi="Arial" w:cs="Arial"/>
        </w:rPr>
        <w:t>agroekosystemu</w:t>
      </w:r>
      <w:proofErr w:type="spellEnd"/>
      <w:r w:rsidRPr="00925BCD">
        <w:rPr>
          <w:rFonts w:ascii="Arial" w:hAnsi="Arial" w:cs="Arial"/>
        </w:rPr>
        <w:t xml:space="preserve"> - </w:t>
      </w:r>
      <w:proofErr w:type="spellStart"/>
      <w:r w:rsidRPr="00925BCD">
        <w:rPr>
          <w:rFonts w:ascii="Arial" w:hAnsi="Arial" w:cs="Arial"/>
        </w:rPr>
        <w:t>BioHerOd</w:t>
      </w:r>
      <w:proofErr w:type="spellEnd"/>
      <w:r w:rsidRPr="00925BCD">
        <w:rPr>
          <w:rFonts w:ascii="Arial" w:hAnsi="Arial" w:cs="Arial"/>
        </w:rPr>
        <w:t>, finansowanego z  Narodowego Centrum Badań i Rozwoju w ramach III konkursu strategicznego Programu „Środowisko naturalne, rolnictwo i leśnictwo” – BIOSTRATEG. Centrum Doradztwa Rolniczego jest jednym z 14 partnerów. Celem projektu jest opracowanie i przygotowanie do wdrożenia strategii mającej na celu zmniejszenie ryzyka rozprzestrzeniania się biotypów chwastów odpornych na herbicydy oraz sposobów ich zwalczania (jeśli wystąpiły). Przedmiotem badań będą 4 gatunki chwastów występujących głównie w uprawie zbóż, a mianowicie: miotła zbożowa, wyczyniec polny, mak polny i</w:t>
      </w:r>
      <w:r w:rsidR="00233466" w:rsidRPr="00925BCD">
        <w:rPr>
          <w:rFonts w:ascii="Arial" w:hAnsi="Arial" w:cs="Arial"/>
        </w:rPr>
        <w:t> </w:t>
      </w:r>
      <w:r w:rsidRPr="00925BCD">
        <w:rPr>
          <w:rFonts w:ascii="Arial" w:hAnsi="Arial" w:cs="Arial"/>
        </w:rPr>
        <w:t>chaber bławatek.</w:t>
      </w:r>
      <w:r w:rsidR="00486EEA" w:rsidRPr="00486EEA">
        <w:t xml:space="preserve"> </w:t>
      </w:r>
      <w:r w:rsidR="00486EEA" w:rsidRPr="00486EEA">
        <w:rPr>
          <w:rFonts w:ascii="Arial" w:hAnsi="Arial" w:cs="Arial"/>
        </w:rPr>
        <w:t>Projekt zakończono w 2020 r.</w:t>
      </w:r>
    </w:p>
    <w:p w14:paraId="49D280CA" w14:textId="77777777" w:rsidR="00056846" w:rsidRPr="00925BCD" w:rsidRDefault="00E54725">
      <w:pPr>
        <w:pStyle w:val="Nagwek2"/>
        <w:jc w:val="both"/>
        <w:rPr>
          <w:i w:val="0"/>
          <w:sz w:val="20"/>
          <w:szCs w:val="20"/>
        </w:rPr>
      </w:pPr>
      <w:bookmarkStart w:id="85" w:name="_Toc134099280"/>
      <w:r w:rsidRPr="00925BCD">
        <w:rPr>
          <w:i w:val="0"/>
          <w:sz w:val="20"/>
          <w:szCs w:val="20"/>
        </w:rPr>
        <w:t>Zadanie 10. Zapewnienie bezpieczeństwa owadów zapylających podczas wykonywania zabiegów ochrony roślin</w:t>
      </w:r>
      <w:bookmarkEnd w:id="85"/>
    </w:p>
    <w:p w14:paraId="2BA38F0A"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Jednym z podstawowych celów integrowanej ochrony roślin jest ograniczenie wpływu zabiegów ochrony roślin na organizmy niebędące celem ich działania, w szczególności zaś na faunę pożyteczną, w tym na owady zapylające. </w:t>
      </w:r>
    </w:p>
    <w:p w14:paraId="3CB33B50"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Owady zapylające, a przede wszystkim pszczoły miodne, spełniają niezwykle istotną rolę w rolnictwie, a także w naturalnych ekosystemach. Według danych Organizacji Narodów </w:t>
      </w:r>
      <w:r w:rsidRPr="00925BCD">
        <w:rPr>
          <w:rFonts w:ascii="Arial" w:hAnsi="Arial" w:cs="Arial"/>
        </w:rPr>
        <w:lastRenderedPageBreak/>
        <w:t xml:space="preserve">Zjednoczonych do spraw Wyżywienia i Rolnictwa FAO, spośród 100 głównych gatunków roślin uprawnych, stanowiących 90% produkowanej na świecie żywności, aż 71 jest zapylanych przez pszczoły. Owady te pełnią szczególnie istotną rolę w produkcji owoców (jabłek, wiśni), warzyw (ogórków, dyni, cukinii) oraz roślin przemysłowych (rzepaku). </w:t>
      </w:r>
    </w:p>
    <w:p w14:paraId="42F74D3F"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Jednocześnie środki ochrony roślin są wskazywane jako jedna z przyczyn upadków owadów zapylających obok chorób wirusowych, pasożytniczych oraz zmian środowiskowych. Środki ochrony roślin przy niewłaściwym ich stosowaniu mogą powodować ostre zatrucia pszczół, powodując ich nagłe upadki, oraz zatrucia chroniczne, osłabiające organizm owadów i zwiększające narażenie ich na inne czynniki szkodliwe.</w:t>
      </w:r>
    </w:p>
    <w:p w14:paraId="245B33EB"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związku z powyższym, przyjęto rozwiązania mające na celu ograniczenie ryzyka, jakie dla owadów zapylających mogą stwarzać środki ochrony roślin. Zagadnienia ochrony zapylaczy są jednym z wymagań integrowanej ochrony roślin, określonych w przepisach rozporządzenia Ministra Rolnictwa i Rozwoju Wsi z dnia 18 kwietnia 2013 r. w sprawie wymagań integrowanej ochrony roślin (Dz. U. poz. 505), a także obligatoryjnych szkoleń dla osób stosujących środki ochrony roślin, których programy określa rozporządzenie Ministra Rolnictwa i Rozwoju Wsi z dnia 8 maja 2013 r. w sprawie szkoleń w zakresie środków ochrony roślin. Przepisy rozporządzenia Ministra Rolnictwa i Rozwoju Wsi z dnia z dnia 31 marca 2014 r. w sprawie warunków stosowania środków ochrony roślin określają także minimalne odległości od pasiek, w jakich można stosować te środki.</w:t>
      </w:r>
    </w:p>
    <w:p w14:paraId="566CA3F5" w14:textId="00047DF6" w:rsidR="00DC569F" w:rsidRDefault="00E54725"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Gromadzenie informacji o zatruciach pszczół od 2013 r. opiera się na danych pochodzących z Państwowej Inspekcji Ochrony Roślin i Nasiennictwa. </w:t>
      </w:r>
      <w:r w:rsidR="00DC569F">
        <w:rPr>
          <w:rFonts w:ascii="Arial" w:hAnsi="Arial" w:cs="Arial"/>
        </w:rPr>
        <w:t>L</w:t>
      </w:r>
      <w:r w:rsidRPr="00925BCD">
        <w:rPr>
          <w:rFonts w:ascii="Arial" w:hAnsi="Arial" w:cs="Arial"/>
        </w:rPr>
        <w:t>iczb</w:t>
      </w:r>
      <w:r w:rsidR="00DC569F">
        <w:rPr>
          <w:rFonts w:ascii="Arial" w:hAnsi="Arial" w:cs="Arial"/>
        </w:rPr>
        <w:t>ę</w:t>
      </w:r>
      <w:r w:rsidRPr="00925BCD">
        <w:rPr>
          <w:rFonts w:ascii="Arial" w:hAnsi="Arial" w:cs="Arial"/>
        </w:rPr>
        <w:t xml:space="preserve"> </w:t>
      </w:r>
      <w:bookmarkStart w:id="86" w:name="_Hlk99360155"/>
      <w:r w:rsidR="006D5497" w:rsidRPr="00925BCD">
        <w:rPr>
          <w:rFonts w:ascii="Arial" w:hAnsi="Arial" w:cs="Arial"/>
        </w:rPr>
        <w:t xml:space="preserve">zgłoszonych </w:t>
      </w:r>
      <w:r w:rsidR="00DC569F">
        <w:rPr>
          <w:rFonts w:ascii="Arial" w:hAnsi="Arial" w:cs="Arial"/>
        </w:rPr>
        <w:t xml:space="preserve">w latach 2018-2021 </w:t>
      </w:r>
      <w:r w:rsidRPr="00925BCD">
        <w:rPr>
          <w:rFonts w:ascii="Arial" w:hAnsi="Arial" w:cs="Arial"/>
        </w:rPr>
        <w:t>przypadków zatrucia pszczół środkami ochrony roślin</w:t>
      </w:r>
      <w:bookmarkEnd w:id="86"/>
      <w:r w:rsidR="00DC569F">
        <w:rPr>
          <w:rFonts w:ascii="Arial" w:hAnsi="Arial" w:cs="Arial"/>
        </w:rPr>
        <w:t xml:space="preserve"> </w:t>
      </w:r>
      <w:r w:rsidRPr="00925BCD">
        <w:rPr>
          <w:rFonts w:ascii="Arial" w:hAnsi="Arial" w:cs="Arial"/>
        </w:rPr>
        <w:t xml:space="preserve"> w tym potwierdzonych</w:t>
      </w:r>
      <w:r w:rsidR="00DC569F">
        <w:rPr>
          <w:rFonts w:ascii="Arial" w:hAnsi="Arial" w:cs="Arial"/>
        </w:rPr>
        <w:t xml:space="preserve"> w toku postępowania przedstawia poniższa tabela.</w:t>
      </w:r>
    </w:p>
    <w:tbl>
      <w:tblPr>
        <w:tblStyle w:val="Tabela-Siatka"/>
        <w:tblW w:w="0" w:type="auto"/>
        <w:tblLook w:val="04A0" w:firstRow="1" w:lastRow="0" w:firstColumn="1" w:lastColumn="0" w:noHBand="0" w:noVBand="1"/>
      </w:tblPr>
      <w:tblGrid>
        <w:gridCol w:w="2972"/>
        <w:gridCol w:w="1522"/>
        <w:gridCol w:w="1523"/>
        <w:gridCol w:w="1522"/>
        <w:gridCol w:w="1523"/>
      </w:tblGrid>
      <w:tr w:rsidR="00DC569F" w14:paraId="51DF2F22" w14:textId="77777777" w:rsidTr="00DC569F">
        <w:tc>
          <w:tcPr>
            <w:tcW w:w="2972" w:type="dxa"/>
            <w:vAlign w:val="center"/>
          </w:tcPr>
          <w:p w14:paraId="7C15B906" w14:textId="4C763134" w:rsidR="00DC569F" w:rsidRPr="00BD23CE" w:rsidRDefault="00DC569F" w:rsidP="00DC569F">
            <w:pPr>
              <w:pStyle w:val="NormalnyWeb"/>
              <w:tabs>
                <w:tab w:val="left" w:pos="284"/>
              </w:tabs>
              <w:spacing w:beforeAutospacing="0" w:after="120" w:afterAutospacing="0" w:line="360" w:lineRule="auto"/>
              <w:jc w:val="center"/>
              <w:rPr>
                <w:rFonts w:ascii="Arial" w:hAnsi="Arial" w:cs="Arial"/>
                <w:b/>
                <w:bCs/>
              </w:rPr>
            </w:pPr>
            <w:r w:rsidRPr="00BD23CE">
              <w:rPr>
                <w:rFonts w:ascii="Arial" w:hAnsi="Arial" w:cs="Arial"/>
                <w:b/>
                <w:bCs/>
              </w:rPr>
              <w:t>Rok</w:t>
            </w:r>
          </w:p>
        </w:tc>
        <w:tc>
          <w:tcPr>
            <w:tcW w:w="1522" w:type="dxa"/>
            <w:vAlign w:val="center"/>
          </w:tcPr>
          <w:p w14:paraId="68680F17" w14:textId="593F3620" w:rsidR="00DC569F" w:rsidRPr="00BD23CE" w:rsidRDefault="00DC569F" w:rsidP="00DC569F">
            <w:pPr>
              <w:pStyle w:val="NormalnyWeb"/>
              <w:tabs>
                <w:tab w:val="left" w:pos="284"/>
              </w:tabs>
              <w:spacing w:beforeAutospacing="0" w:after="120" w:afterAutospacing="0" w:line="360" w:lineRule="auto"/>
              <w:jc w:val="center"/>
              <w:rPr>
                <w:rFonts w:ascii="Arial" w:hAnsi="Arial" w:cs="Arial"/>
                <w:b/>
                <w:bCs/>
              </w:rPr>
            </w:pPr>
            <w:r w:rsidRPr="00BD23CE">
              <w:rPr>
                <w:rFonts w:ascii="Arial" w:hAnsi="Arial" w:cs="Arial"/>
                <w:b/>
                <w:bCs/>
              </w:rPr>
              <w:t>2018</w:t>
            </w:r>
          </w:p>
        </w:tc>
        <w:tc>
          <w:tcPr>
            <w:tcW w:w="1523" w:type="dxa"/>
            <w:vAlign w:val="center"/>
          </w:tcPr>
          <w:p w14:paraId="7B17E58E" w14:textId="6071BFDF" w:rsidR="00DC569F" w:rsidRPr="00BD23CE" w:rsidRDefault="00DC569F" w:rsidP="00DC569F">
            <w:pPr>
              <w:pStyle w:val="NormalnyWeb"/>
              <w:tabs>
                <w:tab w:val="left" w:pos="284"/>
              </w:tabs>
              <w:spacing w:beforeAutospacing="0" w:after="120" w:afterAutospacing="0" w:line="360" w:lineRule="auto"/>
              <w:jc w:val="center"/>
              <w:rPr>
                <w:rFonts w:ascii="Arial" w:hAnsi="Arial" w:cs="Arial"/>
                <w:b/>
                <w:bCs/>
              </w:rPr>
            </w:pPr>
            <w:r w:rsidRPr="00BD23CE">
              <w:rPr>
                <w:rFonts w:ascii="Arial" w:hAnsi="Arial" w:cs="Arial"/>
                <w:b/>
                <w:bCs/>
              </w:rPr>
              <w:t>2019</w:t>
            </w:r>
          </w:p>
        </w:tc>
        <w:tc>
          <w:tcPr>
            <w:tcW w:w="1522" w:type="dxa"/>
            <w:vAlign w:val="center"/>
          </w:tcPr>
          <w:p w14:paraId="5ECE709F" w14:textId="7DC05965" w:rsidR="00DC569F" w:rsidRPr="00BD23CE" w:rsidRDefault="00DC569F" w:rsidP="00DC569F">
            <w:pPr>
              <w:pStyle w:val="NormalnyWeb"/>
              <w:tabs>
                <w:tab w:val="left" w:pos="284"/>
              </w:tabs>
              <w:spacing w:beforeAutospacing="0" w:after="120" w:afterAutospacing="0" w:line="360" w:lineRule="auto"/>
              <w:jc w:val="center"/>
              <w:rPr>
                <w:rFonts w:ascii="Arial" w:hAnsi="Arial" w:cs="Arial"/>
                <w:b/>
                <w:bCs/>
              </w:rPr>
            </w:pPr>
            <w:r w:rsidRPr="00BD23CE">
              <w:rPr>
                <w:rFonts w:ascii="Arial" w:hAnsi="Arial" w:cs="Arial"/>
                <w:b/>
                <w:bCs/>
              </w:rPr>
              <w:t>2020</w:t>
            </w:r>
          </w:p>
        </w:tc>
        <w:tc>
          <w:tcPr>
            <w:tcW w:w="1523" w:type="dxa"/>
            <w:vAlign w:val="center"/>
          </w:tcPr>
          <w:p w14:paraId="30C35D4D" w14:textId="1DC142A8" w:rsidR="00DC569F" w:rsidRPr="00BD23CE" w:rsidRDefault="00DC569F" w:rsidP="00DC569F">
            <w:pPr>
              <w:pStyle w:val="NormalnyWeb"/>
              <w:tabs>
                <w:tab w:val="left" w:pos="284"/>
              </w:tabs>
              <w:spacing w:beforeAutospacing="0" w:after="120" w:afterAutospacing="0" w:line="360" w:lineRule="auto"/>
              <w:jc w:val="center"/>
              <w:rPr>
                <w:rFonts w:ascii="Arial" w:hAnsi="Arial" w:cs="Arial"/>
                <w:b/>
                <w:bCs/>
              </w:rPr>
            </w:pPr>
            <w:r w:rsidRPr="00BD23CE">
              <w:rPr>
                <w:rFonts w:ascii="Arial" w:hAnsi="Arial" w:cs="Arial"/>
                <w:b/>
                <w:bCs/>
              </w:rPr>
              <w:t>2021</w:t>
            </w:r>
          </w:p>
        </w:tc>
      </w:tr>
      <w:tr w:rsidR="00DC569F" w14:paraId="6E9AAD58" w14:textId="77777777" w:rsidTr="00DC569F">
        <w:tc>
          <w:tcPr>
            <w:tcW w:w="2972" w:type="dxa"/>
          </w:tcPr>
          <w:p w14:paraId="7A201539" w14:textId="1BEABB60" w:rsidR="00DC569F" w:rsidRDefault="00DC569F" w:rsidP="00DC569F">
            <w:pPr>
              <w:pStyle w:val="NormalnyWeb"/>
              <w:tabs>
                <w:tab w:val="left" w:pos="284"/>
              </w:tabs>
              <w:spacing w:beforeAutospacing="0" w:after="120" w:afterAutospacing="0" w:line="360" w:lineRule="auto"/>
              <w:rPr>
                <w:rFonts w:ascii="Arial" w:hAnsi="Arial" w:cs="Arial"/>
              </w:rPr>
            </w:pPr>
            <w:r w:rsidRPr="00925BCD">
              <w:rPr>
                <w:rFonts w:ascii="Arial" w:hAnsi="Arial" w:cs="Arial"/>
              </w:rPr>
              <w:t>liczba zgłoszonych przypadków zatrucia pszczół środkami ochrony roślin</w:t>
            </w:r>
          </w:p>
        </w:tc>
        <w:tc>
          <w:tcPr>
            <w:tcW w:w="1522" w:type="dxa"/>
            <w:vAlign w:val="center"/>
          </w:tcPr>
          <w:p w14:paraId="3BDB1ECC" w14:textId="25EA43DE" w:rsidR="00DC569F" w:rsidRDefault="00DC569F"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82</w:t>
            </w:r>
          </w:p>
        </w:tc>
        <w:tc>
          <w:tcPr>
            <w:tcW w:w="1523" w:type="dxa"/>
            <w:vAlign w:val="center"/>
          </w:tcPr>
          <w:p w14:paraId="603951F2" w14:textId="6F20EC85" w:rsidR="00DC569F" w:rsidRDefault="00DC569F"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117</w:t>
            </w:r>
          </w:p>
        </w:tc>
        <w:tc>
          <w:tcPr>
            <w:tcW w:w="1522" w:type="dxa"/>
            <w:vAlign w:val="center"/>
          </w:tcPr>
          <w:p w14:paraId="1209A8F4" w14:textId="2385FF88" w:rsidR="00DC569F" w:rsidRDefault="00DC569F"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137</w:t>
            </w:r>
          </w:p>
        </w:tc>
        <w:tc>
          <w:tcPr>
            <w:tcW w:w="1523" w:type="dxa"/>
            <w:vAlign w:val="center"/>
          </w:tcPr>
          <w:p w14:paraId="17A34BAB" w14:textId="3F643D65" w:rsidR="00DC569F" w:rsidRDefault="00DC569F"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28</w:t>
            </w:r>
          </w:p>
        </w:tc>
      </w:tr>
      <w:tr w:rsidR="00DC569F" w14:paraId="2CA24B7B" w14:textId="77777777" w:rsidTr="00DC569F">
        <w:tc>
          <w:tcPr>
            <w:tcW w:w="2972" w:type="dxa"/>
          </w:tcPr>
          <w:p w14:paraId="3EF8FB16" w14:textId="017E628C" w:rsidR="00DC569F" w:rsidRDefault="00DC569F" w:rsidP="00DC569F">
            <w:pPr>
              <w:pStyle w:val="NormalnyWeb"/>
              <w:tabs>
                <w:tab w:val="left" w:pos="284"/>
              </w:tabs>
              <w:spacing w:beforeAutospacing="0" w:after="120" w:afterAutospacing="0" w:line="360" w:lineRule="auto"/>
              <w:rPr>
                <w:rFonts w:ascii="Arial" w:hAnsi="Arial" w:cs="Arial"/>
              </w:rPr>
            </w:pPr>
            <w:r>
              <w:rPr>
                <w:rFonts w:ascii="Arial" w:hAnsi="Arial" w:cs="Arial"/>
              </w:rPr>
              <w:t xml:space="preserve">- </w:t>
            </w:r>
            <w:r w:rsidRPr="00925BCD">
              <w:rPr>
                <w:rFonts w:ascii="Arial" w:hAnsi="Arial" w:cs="Arial"/>
              </w:rPr>
              <w:t>w tym potwierdzonych</w:t>
            </w:r>
          </w:p>
        </w:tc>
        <w:tc>
          <w:tcPr>
            <w:tcW w:w="1522" w:type="dxa"/>
            <w:vAlign w:val="center"/>
          </w:tcPr>
          <w:p w14:paraId="70C5470B" w14:textId="6E6FCD3E" w:rsidR="00DC569F" w:rsidRDefault="00DC569F"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19</w:t>
            </w:r>
          </w:p>
        </w:tc>
        <w:tc>
          <w:tcPr>
            <w:tcW w:w="1523" w:type="dxa"/>
            <w:vAlign w:val="center"/>
          </w:tcPr>
          <w:p w14:paraId="5B4358D8" w14:textId="348D5420" w:rsidR="00DC569F" w:rsidRDefault="00DC569F"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29</w:t>
            </w:r>
          </w:p>
        </w:tc>
        <w:tc>
          <w:tcPr>
            <w:tcW w:w="1522" w:type="dxa"/>
            <w:vAlign w:val="center"/>
          </w:tcPr>
          <w:p w14:paraId="41B44D61" w14:textId="1041FFC3" w:rsidR="00DC569F" w:rsidRDefault="00DC569F"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17</w:t>
            </w:r>
          </w:p>
        </w:tc>
        <w:tc>
          <w:tcPr>
            <w:tcW w:w="1523" w:type="dxa"/>
            <w:vAlign w:val="center"/>
          </w:tcPr>
          <w:p w14:paraId="3D096631" w14:textId="0BC9102B" w:rsidR="00DC569F" w:rsidRDefault="00DC569F"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7</w:t>
            </w:r>
          </w:p>
        </w:tc>
      </w:tr>
    </w:tbl>
    <w:p w14:paraId="731E5A1D" w14:textId="77777777" w:rsidR="00DC569F" w:rsidRPr="00925BCD" w:rsidRDefault="00DC569F" w:rsidP="00D25C07">
      <w:pPr>
        <w:pStyle w:val="NormalnyWeb"/>
        <w:tabs>
          <w:tab w:val="left" w:pos="284"/>
        </w:tabs>
        <w:spacing w:beforeAutospacing="0" w:after="120" w:afterAutospacing="0" w:line="360" w:lineRule="auto"/>
        <w:ind w:firstLine="284"/>
        <w:jc w:val="both"/>
        <w:rPr>
          <w:rFonts w:ascii="Arial" w:hAnsi="Arial" w:cs="Arial"/>
        </w:rPr>
      </w:pPr>
    </w:p>
    <w:p w14:paraId="0839C4FD" w14:textId="77777777" w:rsidR="00056846" w:rsidRPr="00925BCD" w:rsidRDefault="00E54725"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2014 r. opracowano i wdrożono procedurę postępowania organów administracji w przypadku zgłoszenia podejrzenia zatrucia pszczół. W ramach ww. procedury Państwowy Instytut Weterynaryjny – PIB w Puławach w programie wieloletnim „Ochrona zdrowia zwierząt i zdrowia publicznego” rozpoczął wykonywanie zadania pn. „Monitorowanie stanu zdrowotnego i strat rodzin pszczelich w krajowych pasiekach”. Program przewidziany został do realizacji na lata 2014–2018.</w:t>
      </w:r>
    </w:p>
    <w:p w14:paraId="2B46C373"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przebadany został materiał rodzin pszczelich pobrany z 49 pasiek, w których wystąpiło podejrzenie zatrucia pszczół na skutek zabiegów środkami ochrony roślin. Liczba przebadanych próbek była mniejsza niż w 2017 r. (59 próbek). Jak wynika z informacji zawartych w protokołach dołączanych do przekazanego do badań materiału, upadki pszczół mogły być związane ze stosowaniem środków </w:t>
      </w:r>
      <w:r w:rsidRPr="00925BCD">
        <w:rPr>
          <w:rFonts w:ascii="Arial" w:hAnsi="Arial" w:cs="Arial"/>
        </w:rPr>
        <w:lastRenderedPageBreak/>
        <w:t xml:space="preserve">ochrony roślin w uprawach rzepaku i w uprawach roślin sadowniczych. </w:t>
      </w:r>
    </w:p>
    <w:p w14:paraId="54C4ECB1" w14:textId="0A341F43"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wyniku przeprowadzonych analiz w 2018 r. wykazano, że najczęściej wykrywanymi substancjami czynnymi wchodzącymi w skład środków ochrony roślin były: </w:t>
      </w:r>
      <w:proofErr w:type="spellStart"/>
      <w:r w:rsidRPr="00925BCD">
        <w:rPr>
          <w:rFonts w:ascii="Arial" w:hAnsi="Arial" w:cs="Arial"/>
        </w:rPr>
        <w:t>chloropiryfos</w:t>
      </w:r>
      <w:proofErr w:type="spellEnd"/>
      <w:r w:rsidRPr="00925BCD">
        <w:rPr>
          <w:rFonts w:ascii="Arial" w:hAnsi="Arial" w:cs="Arial"/>
        </w:rPr>
        <w:t xml:space="preserve"> (24 próbki), </w:t>
      </w:r>
      <w:proofErr w:type="spellStart"/>
      <w:r w:rsidRPr="00925BCD">
        <w:rPr>
          <w:rFonts w:ascii="Arial" w:hAnsi="Arial" w:cs="Arial"/>
        </w:rPr>
        <w:t>dimetoat</w:t>
      </w:r>
      <w:proofErr w:type="spellEnd"/>
      <w:r w:rsidRPr="00925BCD">
        <w:rPr>
          <w:rFonts w:ascii="Arial" w:hAnsi="Arial" w:cs="Arial"/>
        </w:rPr>
        <w:t xml:space="preserve"> (17) i </w:t>
      </w:r>
      <w:proofErr w:type="spellStart"/>
      <w:r w:rsidR="00177FBF">
        <w:rPr>
          <w:rFonts w:ascii="Arial" w:hAnsi="Arial" w:cs="Arial"/>
        </w:rPr>
        <w:t>ch</w:t>
      </w:r>
      <w:r w:rsidRPr="00177FBF">
        <w:rPr>
          <w:rFonts w:ascii="Arial" w:hAnsi="Arial" w:cs="Arial"/>
        </w:rPr>
        <w:t>lotianidyna</w:t>
      </w:r>
      <w:proofErr w:type="spellEnd"/>
      <w:r w:rsidRPr="00925BCD">
        <w:rPr>
          <w:rFonts w:ascii="Arial" w:hAnsi="Arial" w:cs="Arial"/>
        </w:rPr>
        <w:t xml:space="preserve"> (13) wchodzące w skład środków fosforoorganicznych. W próbkach zatrutych pszczół stwierdzono także </w:t>
      </w:r>
      <w:proofErr w:type="spellStart"/>
      <w:r w:rsidRPr="00925BCD">
        <w:rPr>
          <w:rFonts w:ascii="Arial" w:hAnsi="Arial" w:cs="Arial"/>
        </w:rPr>
        <w:t>neonikotynoidy</w:t>
      </w:r>
      <w:proofErr w:type="spellEnd"/>
      <w:r w:rsidRPr="00925BCD">
        <w:rPr>
          <w:rFonts w:ascii="Arial" w:hAnsi="Arial" w:cs="Arial"/>
        </w:rPr>
        <w:t xml:space="preserve"> tj. </w:t>
      </w:r>
      <w:proofErr w:type="spellStart"/>
      <w:r w:rsidRPr="00925BCD">
        <w:rPr>
          <w:rFonts w:ascii="Arial" w:hAnsi="Arial" w:cs="Arial"/>
        </w:rPr>
        <w:t>tiaklopryd</w:t>
      </w:r>
      <w:proofErr w:type="spellEnd"/>
      <w:r w:rsidRPr="00925BCD">
        <w:rPr>
          <w:rFonts w:ascii="Arial" w:hAnsi="Arial" w:cs="Arial"/>
        </w:rPr>
        <w:t xml:space="preserve"> (6), </w:t>
      </w:r>
      <w:proofErr w:type="spellStart"/>
      <w:r w:rsidRPr="00925BCD">
        <w:rPr>
          <w:rFonts w:ascii="Arial" w:hAnsi="Arial" w:cs="Arial"/>
        </w:rPr>
        <w:t>tiametoksam</w:t>
      </w:r>
      <w:proofErr w:type="spellEnd"/>
      <w:r w:rsidRPr="00925BCD">
        <w:rPr>
          <w:rFonts w:ascii="Arial" w:hAnsi="Arial" w:cs="Arial"/>
        </w:rPr>
        <w:t xml:space="preserve"> (5), </w:t>
      </w:r>
      <w:proofErr w:type="spellStart"/>
      <w:r w:rsidRPr="00925BCD">
        <w:rPr>
          <w:rFonts w:ascii="Arial" w:hAnsi="Arial" w:cs="Arial"/>
        </w:rPr>
        <w:t>acetamipryd</w:t>
      </w:r>
      <w:proofErr w:type="spellEnd"/>
      <w:r w:rsidRPr="00925BCD">
        <w:rPr>
          <w:rFonts w:ascii="Arial" w:hAnsi="Arial" w:cs="Arial"/>
        </w:rPr>
        <w:t xml:space="preserve"> (2) i </w:t>
      </w:r>
      <w:proofErr w:type="spellStart"/>
      <w:r w:rsidRPr="00925BCD">
        <w:rPr>
          <w:rFonts w:ascii="Arial" w:hAnsi="Arial" w:cs="Arial"/>
        </w:rPr>
        <w:t>imidaklopryd</w:t>
      </w:r>
      <w:proofErr w:type="spellEnd"/>
      <w:r w:rsidRPr="00925BCD">
        <w:rPr>
          <w:rFonts w:ascii="Arial" w:hAnsi="Arial" w:cs="Arial"/>
        </w:rPr>
        <w:t xml:space="preserve"> (1). Spośród 249 analizowanych pestycydów obejmujących substancje czynne środków ochrony roślin (insektycydy, fungicydy, herbicydy, akarycydy, regulatory wzrostu) oraz substancje aktywne leków </w:t>
      </w:r>
      <w:proofErr w:type="spellStart"/>
      <w:r w:rsidRPr="00925BCD">
        <w:rPr>
          <w:rFonts w:ascii="Arial" w:hAnsi="Arial" w:cs="Arial"/>
        </w:rPr>
        <w:t>warrozobójczych</w:t>
      </w:r>
      <w:proofErr w:type="spellEnd"/>
      <w:r w:rsidRPr="00925BCD">
        <w:rPr>
          <w:rFonts w:ascii="Arial" w:hAnsi="Arial" w:cs="Arial"/>
        </w:rPr>
        <w:t xml:space="preserve">, wykryto obecność 56. W analizowanych próbkach pszczół wykryto również obecność produktów rozkładu </w:t>
      </w:r>
      <w:proofErr w:type="spellStart"/>
      <w:r w:rsidRPr="00925BCD">
        <w:rPr>
          <w:rFonts w:ascii="Arial" w:hAnsi="Arial" w:cs="Arial"/>
        </w:rPr>
        <w:t>amitrazu</w:t>
      </w:r>
      <w:proofErr w:type="spellEnd"/>
      <w:r w:rsidRPr="00925BCD">
        <w:rPr>
          <w:rFonts w:ascii="Arial" w:hAnsi="Arial" w:cs="Arial"/>
        </w:rPr>
        <w:t xml:space="preserve"> – leku </w:t>
      </w:r>
      <w:proofErr w:type="spellStart"/>
      <w:r w:rsidRPr="00925BCD">
        <w:rPr>
          <w:rFonts w:ascii="Arial" w:hAnsi="Arial" w:cs="Arial"/>
        </w:rPr>
        <w:t>warrozobójczego</w:t>
      </w:r>
      <w:proofErr w:type="spellEnd"/>
      <w:r w:rsidRPr="00925BCD">
        <w:rPr>
          <w:rFonts w:ascii="Arial" w:hAnsi="Arial" w:cs="Arial"/>
        </w:rPr>
        <w:t>: DMF, DMPF i DMA.</w:t>
      </w:r>
    </w:p>
    <w:p w14:paraId="21B91AF1"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monitoringowych badań toksykologicznych, z wytypowanych pasiek pobierane były do badań na zawartość środków ochrony roślin próbki pszczół i pyłku (pierzgi). Ogółem badaniu poddawano 95 próbek pszczół, 143 próbki pierzgi (pyłku) oraz 13 próbek osypu zimowego na zawartość 249 pestycydów obejmujących substancje czynne środków ochrony roślin (insektycydy, fungicydy, herbicydy, akarycydy, regulatory wzrostu) oraz substancje aktywne leków </w:t>
      </w:r>
      <w:proofErr w:type="spellStart"/>
      <w:r w:rsidRPr="00925BCD">
        <w:rPr>
          <w:rFonts w:ascii="Arial" w:hAnsi="Arial" w:cs="Arial"/>
        </w:rPr>
        <w:t>warrozobójczych</w:t>
      </w:r>
      <w:proofErr w:type="spellEnd"/>
      <w:r w:rsidRPr="00925BCD">
        <w:rPr>
          <w:rFonts w:ascii="Arial" w:hAnsi="Arial" w:cs="Arial"/>
        </w:rPr>
        <w:t xml:space="preserve">. </w:t>
      </w:r>
    </w:p>
    <w:p w14:paraId="554B64D1"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próbkach pszczół wykryto obecność 25 różnych substancji czynnych oraz produktów ich rozkładu lub metabolizmu, w próbkach pierzgi (pyłku) 58 różnych substancji, natomiast w próbkach osypu zimowego 8.</w:t>
      </w:r>
    </w:p>
    <w:p w14:paraId="48679AE3" w14:textId="77777777" w:rsidR="00995C95" w:rsidRPr="00925BCD" w:rsidRDefault="00D4448C"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 koniec 2018 r. Rada Ministrów przyjęła uchwałę w sprawie ustanowienia </w:t>
      </w:r>
      <w:r w:rsidR="00CF124E" w:rsidRPr="00925BCD">
        <w:rPr>
          <w:rFonts w:ascii="Arial" w:hAnsi="Arial" w:cs="Arial"/>
        </w:rPr>
        <w:t>p</w:t>
      </w:r>
      <w:r w:rsidRPr="00925BCD">
        <w:rPr>
          <w:rFonts w:ascii="Arial" w:hAnsi="Arial" w:cs="Arial"/>
        </w:rPr>
        <w:t xml:space="preserve">rogramu </w:t>
      </w:r>
      <w:r w:rsidR="00CF124E" w:rsidRPr="00925BCD">
        <w:rPr>
          <w:rFonts w:ascii="Arial" w:hAnsi="Arial" w:cs="Arial"/>
        </w:rPr>
        <w:t>w</w:t>
      </w:r>
      <w:r w:rsidRPr="00925BCD">
        <w:rPr>
          <w:rFonts w:ascii="Arial" w:hAnsi="Arial" w:cs="Arial"/>
        </w:rPr>
        <w:t>ieloletniego „Ochrona zdrowia zwierząt i zdrowia publicznego” na lata 2019-2023 r. Jest ona kontynuacją trzech dotychczasowych edycji Programu realizowanych nieprzerwanie od 2003 r. W czwartej edycji, na lata 2019-2023, zaplanowano realizację 45 zadań badawczych, w śród których znalazło się zadanie pn. „Monitorowanie stanu zdrowotnego i strat rodzin pszczelich w krajowych pasiekach”.</w:t>
      </w:r>
    </w:p>
    <w:p w14:paraId="49ADE50F" w14:textId="77777777"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przebadano 118 próbek martwych pszczół w ramach diagnostyki i rejestracji przypadków ostrych zatruć pszczół środkami ochrony roślin. Próbki pochodziły z pasiek, w których istniało podejrzenie, że przyczyną zatrucia mogły być nieprawidłowości w zakresie stosowania środków ochrony roślin w sąsiadujących uprawach. Incydenty zatruć pszczół wystąpiły na terenie piętnastu województw. Próbki pszczół do badań pobierali lekarze weterynarii, w zdecydowanej większości pracownicy Powiatowych Inspektoratów Weterynarii lub lekarze urzędowi. </w:t>
      </w:r>
    </w:p>
    <w:p w14:paraId="2F394E30" w14:textId="77777777"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Próbki pszczół reprezentowały pasieki liczące w sumie 4600 rodzin pszczelich, w tym na dzień pobierania próbek objawy zatrucia wykazywało 3</w:t>
      </w:r>
      <w:r w:rsidR="003973B1" w:rsidRPr="00925BCD">
        <w:rPr>
          <w:rFonts w:ascii="Arial" w:hAnsi="Arial" w:cs="Arial"/>
        </w:rPr>
        <w:t xml:space="preserve"> </w:t>
      </w:r>
      <w:r w:rsidRPr="00925BCD">
        <w:rPr>
          <w:rFonts w:ascii="Arial" w:hAnsi="Arial" w:cs="Arial"/>
        </w:rPr>
        <w:t>312 rodzin pszczelich a 277 rodzin było całkowicie wymarłych. W większości przypadków w wyniku zatrucia doszło do osypu znacznej części rodzin, w tym zwłaszcza pszczoły lotnej.</w:t>
      </w:r>
    </w:p>
    <w:p w14:paraId="447943D4" w14:textId="77777777"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Podejrzane uprawy mogące być miejscem narażenia pszczół wskazano w 60 przypadkach, w konsekwencji wskazania właścicieli plantacji. Wśród podejrzanych upraw dominował rzepak, w tym głównie rzepak ozimy, który wskazano w 31 przypadkach. Uprawy sadownicze, które w poprzednich latach również stanowiły miejsce narażenia pszczół na zatrucia, wskazano w 9 przypadkach</w:t>
      </w:r>
      <w:r w:rsidR="003973B1" w:rsidRPr="00925BCD">
        <w:rPr>
          <w:rFonts w:ascii="Arial" w:hAnsi="Arial" w:cs="Arial"/>
        </w:rPr>
        <w:t xml:space="preserve"> i f</w:t>
      </w:r>
      <w:r w:rsidRPr="00925BCD">
        <w:rPr>
          <w:rFonts w:ascii="Arial" w:hAnsi="Arial" w:cs="Arial"/>
        </w:rPr>
        <w:t xml:space="preserve">asolę, jako podejrzaną uprawę, wskazano </w:t>
      </w:r>
      <w:r w:rsidR="003973B1" w:rsidRPr="00925BCD">
        <w:rPr>
          <w:rFonts w:ascii="Arial" w:hAnsi="Arial" w:cs="Arial"/>
        </w:rPr>
        <w:t xml:space="preserve">również </w:t>
      </w:r>
      <w:r w:rsidRPr="00925BCD">
        <w:rPr>
          <w:rFonts w:ascii="Arial" w:hAnsi="Arial" w:cs="Arial"/>
        </w:rPr>
        <w:t xml:space="preserve">w 9 przypadkach. Zboża, jako miejsce narażenia wskazano w 6 przypadkach. W protokołach dotyczących próbek, dla których nie wskazano podejrzanej plantacji </w:t>
      </w:r>
      <w:r w:rsidRPr="00925BCD">
        <w:rPr>
          <w:rFonts w:ascii="Arial" w:hAnsi="Arial" w:cs="Arial"/>
        </w:rPr>
        <w:lastRenderedPageBreak/>
        <w:t>(właściciela plantacji) mogącej być źródłem zatrucia, wskazywano okoliczne uprawy mogące być również źródłem narażenia pszczół na środki ochrony roślin.</w:t>
      </w:r>
    </w:p>
    <w:p w14:paraId="7B2C0549" w14:textId="5436731B"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Wszystkie próbki martwych pszczół poddano analizie toksykologicznej w kierunku oznaczania pozostałości co najmniej 249 pestycydów stosowanych w chemicznej ochronie roślin obejmujących substancje aktywne środków ochrony roślin tj. insektycydy, fungicydy, herbicydy, akarycydy, regulatory wzrostu oraz substancje aktywne leków </w:t>
      </w:r>
      <w:proofErr w:type="spellStart"/>
      <w:r w:rsidRPr="00925BCD">
        <w:rPr>
          <w:rFonts w:ascii="Arial" w:hAnsi="Arial" w:cs="Arial"/>
        </w:rPr>
        <w:t>warro</w:t>
      </w:r>
      <w:r w:rsidR="003973B1" w:rsidRPr="00925BCD">
        <w:rPr>
          <w:rFonts w:ascii="Arial" w:hAnsi="Arial" w:cs="Arial"/>
        </w:rPr>
        <w:t>zo</w:t>
      </w:r>
      <w:r w:rsidRPr="00925BCD">
        <w:rPr>
          <w:rFonts w:ascii="Arial" w:hAnsi="Arial" w:cs="Arial"/>
        </w:rPr>
        <w:t>bójczych</w:t>
      </w:r>
      <w:proofErr w:type="spellEnd"/>
      <w:r w:rsidRPr="00925BCD">
        <w:rPr>
          <w:rFonts w:ascii="Arial" w:hAnsi="Arial" w:cs="Arial"/>
        </w:rPr>
        <w:t>. W wyniku przeprowadzonych analiz ustalono, że 100% próbek martwych pszczół zawierało pozostałości pestycydów w stężeniach powyżej granic oznaczalności metody badawczej. W próbkach martwych pszczół oznaczono łącznie pozostałości 96</w:t>
      </w:r>
      <w:r w:rsidR="00DC7E4D">
        <w:rPr>
          <w:rFonts w:ascii="Arial" w:hAnsi="Arial" w:cs="Arial"/>
        </w:rPr>
        <w:t> </w:t>
      </w:r>
      <w:r w:rsidRPr="00925BCD">
        <w:rPr>
          <w:rFonts w:ascii="Arial" w:hAnsi="Arial" w:cs="Arial"/>
        </w:rPr>
        <w:t xml:space="preserve">pestycydów. Zdecydowana większość oznaczonych pestycydów to substancje czynne środków ochrony roślin. W próbkach oznaczono również pozostałości leków </w:t>
      </w:r>
      <w:proofErr w:type="spellStart"/>
      <w:r w:rsidRPr="00925BCD">
        <w:rPr>
          <w:rFonts w:ascii="Arial" w:hAnsi="Arial" w:cs="Arial"/>
        </w:rPr>
        <w:t>warro</w:t>
      </w:r>
      <w:r w:rsidR="003973B1" w:rsidRPr="00925BCD">
        <w:rPr>
          <w:rFonts w:ascii="Arial" w:hAnsi="Arial" w:cs="Arial"/>
        </w:rPr>
        <w:t>z</w:t>
      </w:r>
      <w:r w:rsidRPr="00925BCD">
        <w:rPr>
          <w:rFonts w:ascii="Arial" w:hAnsi="Arial" w:cs="Arial"/>
        </w:rPr>
        <w:t>obójczych</w:t>
      </w:r>
      <w:proofErr w:type="spellEnd"/>
      <w:r w:rsidRPr="00925BCD">
        <w:rPr>
          <w:rFonts w:ascii="Arial" w:hAnsi="Arial" w:cs="Arial"/>
        </w:rPr>
        <w:t xml:space="preserve"> oraz produktów biobójczych. W połowie badanych próbek wykrywano pozostałości co najmniej 7 pestycydów, więcej niż w ubiegłych latach. Maksymalna liczba pestycydów, których pozostałości oznaczono jednocześnie w próbce martwych pszczół wyniosła 22 substancje (uprawa sadownicza).</w:t>
      </w:r>
    </w:p>
    <w:p w14:paraId="62D3C996" w14:textId="357163CA"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proofErr w:type="spellStart"/>
      <w:r w:rsidRPr="00925BCD">
        <w:rPr>
          <w:rFonts w:ascii="Arial" w:hAnsi="Arial" w:cs="Arial"/>
        </w:rPr>
        <w:t>Chloropiryfos</w:t>
      </w:r>
      <w:proofErr w:type="spellEnd"/>
      <w:r w:rsidRPr="00C01E81">
        <w:rPr>
          <w:rFonts w:ascii="Arial" w:hAnsi="Arial" w:cs="Arial"/>
        </w:rPr>
        <w:t xml:space="preserve">, </w:t>
      </w:r>
      <w:proofErr w:type="spellStart"/>
      <w:r w:rsidRPr="00C01E81">
        <w:rPr>
          <w:rFonts w:ascii="Arial" w:hAnsi="Arial" w:cs="Arial"/>
        </w:rPr>
        <w:t>chlotianidyna</w:t>
      </w:r>
      <w:proofErr w:type="spellEnd"/>
      <w:r w:rsidRPr="00C01E81">
        <w:rPr>
          <w:rFonts w:ascii="Arial" w:hAnsi="Arial" w:cs="Arial"/>
        </w:rPr>
        <w:t xml:space="preserve"> i</w:t>
      </w:r>
      <w:r w:rsidRPr="00925BCD">
        <w:rPr>
          <w:rFonts w:ascii="Arial" w:hAnsi="Arial" w:cs="Arial"/>
        </w:rPr>
        <w:t xml:space="preserve"> </w:t>
      </w:r>
      <w:proofErr w:type="spellStart"/>
      <w:r w:rsidRPr="00925BCD">
        <w:rPr>
          <w:rFonts w:ascii="Arial" w:hAnsi="Arial" w:cs="Arial"/>
        </w:rPr>
        <w:t>dimetoat</w:t>
      </w:r>
      <w:proofErr w:type="spellEnd"/>
      <w:r w:rsidRPr="00925BCD">
        <w:rPr>
          <w:rFonts w:ascii="Arial" w:hAnsi="Arial" w:cs="Arial"/>
        </w:rPr>
        <w:t xml:space="preserve"> to trzy pestycydy będące najczęstszą przyczyną zatruć pszczół w Polsce w 2019 r. </w:t>
      </w:r>
      <w:proofErr w:type="spellStart"/>
      <w:r w:rsidRPr="00925BCD">
        <w:rPr>
          <w:rFonts w:ascii="Arial" w:hAnsi="Arial" w:cs="Arial"/>
        </w:rPr>
        <w:t>Chloropiryfos</w:t>
      </w:r>
      <w:proofErr w:type="spellEnd"/>
      <w:r w:rsidRPr="00925BCD">
        <w:rPr>
          <w:rFonts w:ascii="Arial" w:hAnsi="Arial" w:cs="Arial"/>
        </w:rPr>
        <w:t xml:space="preserve"> oznaczono w 54 próbkach zatrutych pszczół, </w:t>
      </w:r>
      <w:proofErr w:type="spellStart"/>
      <w:r w:rsidRPr="00925BCD">
        <w:rPr>
          <w:rFonts w:ascii="Arial" w:hAnsi="Arial" w:cs="Arial"/>
        </w:rPr>
        <w:t>chlotianidynę</w:t>
      </w:r>
      <w:proofErr w:type="spellEnd"/>
      <w:r w:rsidRPr="00925BCD">
        <w:rPr>
          <w:rFonts w:ascii="Arial" w:hAnsi="Arial" w:cs="Arial"/>
        </w:rPr>
        <w:t xml:space="preserve"> w</w:t>
      </w:r>
      <w:r w:rsidR="00763E6D">
        <w:rPr>
          <w:rFonts w:ascii="Arial" w:hAnsi="Arial" w:cs="Arial"/>
        </w:rPr>
        <w:t> </w:t>
      </w:r>
      <w:r w:rsidRPr="00925BCD">
        <w:rPr>
          <w:rFonts w:ascii="Arial" w:hAnsi="Arial" w:cs="Arial"/>
        </w:rPr>
        <w:t xml:space="preserve">42 oraz </w:t>
      </w:r>
      <w:proofErr w:type="spellStart"/>
      <w:r w:rsidRPr="00925BCD">
        <w:rPr>
          <w:rFonts w:ascii="Arial" w:hAnsi="Arial" w:cs="Arial"/>
        </w:rPr>
        <w:t>dimetoat</w:t>
      </w:r>
      <w:proofErr w:type="spellEnd"/>
      <w:r w:rsidRPr="00925BCD">
        <w:rPr>
          <w:rFonts w:ascii="Arial" w:hAnsi="Arial" w:cs="Arial"/>
        </w:rPr>
        <w:t xml:space="preserve"> w 42 próbkach. W porównaniu do analogicznego okresu poprzedniego roku ponad trzykrotnie wzrosła liczba zatruć pszczół </w:t>
      </w:r>
      <w:proofErr w:type="spellStart"/>
      <w:r w:rsidRPr="00925BCD">
        <w:rPr>
          <w:rFonts w:ascii="Arial" w:hAnsi="Arial" w:cs="Arial"/>
        </w:rPr>
        <w:t>chlotianidyną</w:t>
      </w:r>
      <w:proofErr w:type="spellEnd"/>
      <w:r w:rsidRPr="00925BCD">
        <w:rPr>
          <w:rFonts w:ascii="Arial" w:hAnsi="Arial" w:cs="Arial"/>
        </w:rPr>
        <w:t>, 13 próbek w 2018 r</w:t>
      </w:r>
      <w:r w:rsidR="003973B1" w:rsidRPr="00925BCD">
        <w:rPr>
          <w:rFonts w:ascii="Arial" w:hAnsi="Arial" w:cs="Arial"/>
        </w:rPr>
        <w:t>.</w:t>
      </w:r>
    </w:p>
    <w:p w14:paraId="71E97A4C" w14:textId="77777777" w:rsidR="003973B1" w:rsidRPr="00925BCD" w:rsidRDefault="003973B1" w:rsidP="003973B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2019 r. przebadano również łącznie 82 próbki materiału pobranego z nadzorowanych pasiek podczas planowych wizyt kontrolnych, w tym 43 próbki pszczół oraz 39 próbek pyłku (pierzgi). Próbki poddano analizie toksykologicznej w kierunku oznaczania pozostałości co najmniej 249 pestycydów stosowanych w chemicznej ochronie roślin obejmujących substancje aktywne środków ochrony roślin tj. insektycydy, fungicydy, herbicydy, akarycydy, regulatory wzrostu oraz substancje aktywne leków </w:t>
      </w:r>
      <w:proofErr w:type="spellStart"/>
      <w:r w:rsidRPr="00925BCD">
        <w:rPr>
          <w:rFonts w:ascii="Arial" w:hAnsi="Arial" w:cs="Arial"/>
        </w:rPr>
        <w:t>warro</w:t>
      </w:r>
      <w:r w:rsidR="00C77C0E" w:rsidRPr="00925BCD">
        <w:rPr>
          <w:rFonts w:ascii="Arial" w:hAnsi="Arial" w:cs="Arial"/>
        </w:rPr>
        <w:t>zo</w:t>
      </w:r>
      <w:r w:rsidRPr="00925BCD">
        <w:rPr>
          <w:rFonts w:ascii="Arial" w:hAnsi="Arial" w:cs="Arial"/>
        </w:rPr>
        <w:t>bójczych</w:t>
      </w:r>
      <w:proofErr w:type="spellEnd"/>
      <w:r w:rsidRPr="00925BCD">
        <w:rPr>
          <w:rFonts w:ascii="Arial" w:hAnsi="Arial" w:cs="Arial"/>
        </w:rPr>
        <w:t>.</w:t>
      </w:r>
    </w:p>
    <w:p w14:paraId="2505AAA6" w14:textId="77777777" w:rsidR="00995C95" w:rsidRDefault="003973B1" w:rsidP="00877025">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wyniku przeprowadzonych analiz ustalono, że 58% próbek pszczół z nadzorowanych pasiek zawierało pozostałości pestycydów w stężeniach powyżej granic oznaczalności metody badawczej. </w:t>
      </w:r>
      <w:r w:rsidR="00877025" w:rsidRPr="00925BCD">
        <w:rPr>
          <w:rFonts w:ascii="Arial" w:hAnsi="Arial" w:cs="Arial"/>
        </w:rPr>
        <w:t>(w</w:t>
      </w:r>
      <w:r w:rsidR="00C77C0E" w:rsidRPr="00925BCD">
        <w:rPr>
          <w:rFonts w:ascii="Arial" w:hAnsi="Arial" w:cs="Arial"/>
        </w:rPr>
        <w:t> </w:t>
      </w:r>
      <w:r w:rsidRPr="00925BCD">
        <w:rPr>
          <w:rFonts w:ascii="Arial" w:hAnsi="Arial" w:cs="Arial"/>
        </w:rPr>
        <w:t>próbkach pszczół oznaczono łącznie pozostałości 25 pestycydów</w:t>
      </w:r>
      <w:r w:rsidR="00877025" w:rsidRPr="00925BCD">
        <w:rPr>
          <w:rFonts w:ascii="Arial" w:hAnsi="Arial" w:cs="Arial"/>
        </w:rPr>
        <w:t xml:space="preserve">) oraz </w:t>
      </w:r>
      <w:r w:rsidRPr="00925BCD">
        <w:rPr>
          <w:rFonts w:ascii="Arial" w:hAnsi="Arial" w:cs="Arial"/>
        </w:rPr>
        <w:t>75% próbek pierzgi z</w:t>
      </w:r>
      <w:r w:rsidR="00877025" w:rsidRPr="00925BCD">
        <w:rPr>
          <w:rFonts w:ascii="Arial" w:hAnsi="Arial" w:cs="Arial"/>
        </w:rPr>
        <w:t> </w:t>
      </w:r>
      <w:r w:rsidRPr="00925BCD">
        <w:rPr>
          <w:rFonts w:ascii="Arial" w:hAnsi="Arial" w:cs="Arial"/>
        </w:rPr>
        <w:t>nadzorowanych pasiek zawierało pozostałości pestycydów w stężeniach powyżej granic oznaczalności metody badawczej</w:t>
      </w:r>
      <w:r w:rsidR="00877025" w:rsidRPr="00925BCD">
        <w:rPr>
          <w:rFonts w:ascii="Arial" w:hAnsi="Arial" w:cs="Arial"/>
        </w:rPr>
        <w:t xml:space="preserve"> (w</w:t>
      </w:r>
      <w:r w:rsidRPr="00925BCD">
        <w:rPr>
          <w:rFonts w:ascii="Arial" w:hAnsi="Arial" w:cs="Arial"/>
        </w:rPr>
        <w:t xml:space="preserve"> próbkach pierzgi oznaczono łącznie pozostałości 38 pestycydów</w:t>
      </w:r>
      <w:r w:rsidR="00877025" w:rsidRPr="00925BCD">
        <w:rPr>
          <w:rFonts w:ascii="Arial" w:hAnsi="Arial" w:cs="Arial"/>
        </w:rPr>
        <w:t xml:space="preserve">). </w:t>
      </w:r>
    </w:p>
    <w:p w14:paraId="444D368A" w14:textId="067C4B62" w:rsidR="00AB534B" w:rsidRPr="005F7930" w:rsidRDefault="00AB534B"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 xml:space="preserve">W ramach diagnostyki i rejestracji przypadków ostrych zatruć pszczół środkami ochrony roślin </w:t>
      </w:r>
      <w:r w:rsidR="005F7930" w:rsidRPr="005F7930">
        <w:rPr>
          <w:rFonts w:ascii="Arial" w:hAnsi="Arial" w:cs="Arial"/>
          <w:b/>
          <w:bCs/>
        </w:rPr>
        <w:t>w</w:t>
      </w:r>
      <w:r w:rsidR="005F7930">
        <w:rPr>
          <w:rFonts w:ascii="Arial" w:hAnsi="Arial" w:cs="Arial"/>
          <w:b/>
          <w:bCs/>
        </w:rPr>
        <w:t> </w:t>
      </w:r>
      <w:r w:rsidRPr="005F7930">
        <w:rPr>
          <w:rFonts w:ascii="Arial" w:hAnsi="Arial" w:cs="Arial"/>
          <w:b/>
          <w:bCs/>
        </w:rPr>
        <w:t>2020 r.</w:t>
      </w:r>
      <w:r w:rsidRPr="00E43A58">
        <w:rPr>
          <w:rFonts w:ascii="Arial" w:hAnsi="Arial" w:cs="Arial"/>
          <w:b/>
          <w:bCs/>
        </w:rPr>
        <w:t xml:space="preserve"> </w:t>
      </w:r>
      <w:r w:rsidRPr="005F7930">
        <w:rPr>
          <w:rFonts w:ascii="Arial" w:hAnsi="Arial" w:cs="Arial"/>
        </w:rPr>
        <w:t>przebadano 82 próbki martwych pszczół, czyli o 36 próbek mniej niż w 2019 r. Próbki pochodziły z pasiek, w których istniało podejrzenie, że przyczyną zatrucia mogły być nieprawidłowości w zakresie stosowania środków ochrony roślin w sąsiadujących uprawach. Incydenty zatruć pszczół wystąpiły tak jak w roku poprzednim na terenie piętnastu województw.</w:t>
      </w:r>
    </w:p>
    <w:p w14:paraId="1B9B8667" w14:textId="26833A4A" w:rsidR="00AB534B" w:rsidRPr="005F7930" w:rsidRDefault="00AB534B"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Próbki pszczół reprezentowały pasieki liczące w sumie 2825 rodzin pszczelich, w tym na dzień pobierania próbek objawy zatrucia wykazywało 2237 rodzin pszczelich a 137 rodzin było całkowicie wymarłych. W większości przypadków w wyniku zatrucia doszło do osypu znacznej części rodzin, w tym zwłaszcza pszczoły lotnej.</w:t>
      </w:r>
    </w:p>
    <w:p w14:paraId="135FE4FA" w14:textId="120DA10C" w:rsidR="00AB534B" w:rsidRPr="005F7930" w:rsidRDefault="00AB534B"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 xml:space="preserve">Podejrzane uprawy mogące być miejscem narażenia pszczół wskazano w 53 przypadkach, </w:t>
      </w:r>
      <w:r w:rsidRPr="005F7930">
        <w:rPr>
          <w:rFonts w:ascii="Arial" w:hAnsi="Arial" w:cs="Arial"/>
        </w:rPr>
        <w:lastRenderedPageBreak/>
        <w:t>w</w:t>
      </w:r>
      <w:r w:rsidR="00DC7E4D">
        <w:rPr>
          <w:rFonts w:ascii="Arial" w:hAnsi="Arial" w:cs="Arial"/>
        </w:rPr>
        <w:t> </w:t>
      </w:r>
      <w:r w:rsidRPr="005F7930">
        <w:rPr>
          <w:rFonts w:ascii="Arial" w:hAnsi="Arial" w:cs="Arial"/>
        </w:rPr>
        <w:t xml:space="preserve">konsekwencji wskazania </w:t>
      </w:r>
      <w:r w:rsidR="00871B35" w:rsidRPr="005F7930">
        <w:rPr>
          <w:rFonts w:ascii="Arial" w:hAnsi="Arial" w:cs="Arial"/>
        </w:rPr>
        <w:t>właścicieli</w:t>
      </w:r>
      <w:r w:rsidRPr="005F7930">
        <w:rPr>
          <w:rFonts w:ascii="Arial" w:hAnsi="Arial" w:cs="Arial"/>
        </w:rPr>
        <w:t xml:space="preserve"> plantacji. Wśród podejrzanych upraw dominował rzepak, w tym głównie rzepak ozimy, który wskazano w 35 przypadkach. Uprawy sadownicze, które w poprzednich latach również stanowiły miejsce narażenia pszczół na zatrucia, wskazano w tym roku w 8 przypadkach. Jako podejrzaną uprawę wskazywano jednostkowo również uprawy pszenicy, kukurydzy, jęczmienia, bobu, łubinu, ziemniaków, winorośli oraz ogródki przydomowe.</w:t>
      </w:r>
    </w:p>
    <w:p w14:paraId="7D60505B" w14:textId="73459F1E" w:rsidR="00871B35" w:rsidRPr="005F7930" w:rsidRDefault="00871B35"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Tak jak w 2019 r. również w 2020 r. wszystkie próbki martwych pszczół poddano analizie toksykologicznej w kierunku oznaczania pozostałości co najmniej 249 pestycydów stosowanych w</w:t>
      </w:r>
      <w:r w:rsidR="00DC7E4D">
        <w:rPr>
          <w:rFonts w:ascii="Arial" w:hAnsi="Arial" w:cs="Arial"/>
        </w:rPr>
        <w:t> </w:t>
      </w:r>
      <w:r w:rsidRPr="005F7930">
        <w:rPr>
          <w:rFonts w:ascii="Arial" w:hAnsi="Arial" w:cs="Arial"/>
        </w:rPr>
        <w:t xml:space="preserve">chemicznej ochronie roślin obejmujących substancje czynne środków ochrony roślin tj. insektycydy, fungicydy, herbicydy, akarycydy, regulatory wzrostu oraz substancje aktywne leków </w:t>
      </w:r>
      <w:proofErr w:type="spellStart"/>
      <w:r w:rsidRPr="005F7930">
        <w:rPr>
          <w:rFonts w:ascii="Arial" w:hAnsi="Arial" w:cs="Arial"/>
        </w:rPr>
        <w:t>warrozobójczych</w:t>
      </w:r>
      <w:proofErr w:type="spellEnd"/>
      <w:r w:rsidRPr="005F7930">
        <w:rPr>
          <w:rFonts w:ascii="Arial" w:hAnsi="Arial" w:cs="Arial"/>
        </w:rPr>
        <w:t xml:space="preserve">. W wyniku przeprowadzonych analiz ustalono, że 93% próbek martwych pszczół zawierało pozostałości pestycydów w stężeniach powyżej granic oznaczalności metody badawczej. W próbkach martwych pszczół oznaczono łącznie pozostałości 65 pestycydów. Zdecydowana większość oznaczonych pestycydów to substancje czynne środków ochrony roślin. W próbkach oznaczono również pozostałości leków </w:t>
      </w:r>
      <w:proofErr w:type="spellStart"/>
      <w:r w:rsidRPr="005F7930">
        <w:rPr>
          <w:rFonts w:ascii="Arial" w:hAnsi="Arial" w:cs="Arial"/>
        </w:rPr>
        <w:t>warrozobójczych</w:t>
      </w:r>
      <w:proofErr w:type="spellEnd"/>
      <w:r w:rsidRPr="005F7930">
        <w:rPr>
          <w:rFonts w:ascii="Arial" w:hAnsi="Arial" w:cs="Arial"/>
        </w:rPr>
        <w:t xml:space="preserve"> oraz produktów biobójczych. W połowie badanych próbek podobnie jak w latach poprzednich wykrywano pozostałości co najmniej 7 pestycydów. Maksymalna liczba pestycydów, których pozostałości oznaczono jednocześnie w próbce martwych pszczół wyniosła 22 substancje (uprawa rzepaku).</w:t>
      </w:r>
    </w:p>
    <w:p w14:paraId="37D93112" w14:textId="68575C1F" w:rsidR="00871B35" w:rsidRPr="005F7930" w:rsidRDefault="00871B35" w:rsidP="00877025">
      <w:pPr>
        <w:pStyle w:val="NormalnyWeb"/>
        <w:tabs>
          <w:tab w:val="left" w:pos="284"/>
        </w:tabs>
        <w:spacing w:beforeAutospacing="0" w:after="120" w:afterAutospacing="0" w:line="360" w:lineRule="auto"/>
        <w:ind w:firstLine="284"/>
        <w:jc w:val="both"/>
        <w:rPr>
          <w:rFonts w:ascii="Arial" w:hAnsi="Arial" w:cs="Arial"/>
        </w:rPr>
      </w:pPr>
      <w:proofErr w:type="spellStart"/>
      <w:r w:rsidRPr="005F7930">
        <w:rPr>
          <w:rFonts w:ascii="Arial" w:hAnsi="Arial" w:cs="Arial"/>
        </w:rPr>
        <w:t>Chlotianidyna</w:t>
      </w:r>
      <w:proofErr w:type="spellEnd"/>
      <w:r w:rsidRPr="005F7930">
        <w:rPr>
          <w:rFonts w:ascii="Arial" w:hAnsi="Arial" w:cs="Arial"/>
        </w:rPr>
        <w:t xml:space="preserve">, </w:t>
      </w:r>
      <w:proofErr w:type="spellStart"/>
      <w:r w:rsidRPr="005F7930">
        <w:rPr>
          <w:rFonts w:ascii="Arial" w:hAnsi="Arial" w:cs="Arial"/>
        </w:rPr>
        <w:t>dimeloat</w:t>
      </w:r>
      <w:proofErr w:type="spellEnd"/>
      <w:r w:rsidRPr="005F7930">
        <w:rPr>
          <w:rFonts w:ascii="Arial" w:hAnsi="Arial" w:cs="Arial"/>
        </w:rPr>
        <w:t xml:space="preserve"> i </w:t>
      </w:r>
      <w:proofErr w:type="spellStart"/>
      <w:r w:rsidRPr="005F7930">
        <w:rPr>
          <w:rFonts w:ascii="Arial" w:hAnsi="Arial" w:cs="Arial"/>
        </w:rPr>
        <w:t>chloropiryfos</w:t>
      </w:r>
      <w:proofErr w:type="spellEnd"/>
      <w:r w:rsidRPr="005F7930">
        <w:rPr>
          <w:rFonts w:ascii="Arial" w:hAnsi="Arial" w:cs="Arial"/>
        </w:rPr>
        <w:t xml:space="preserve"> to trzy pestycydy będące najczęstszą przyczyną zatruć pszczół w Polsce w 2020 r. </w:t>
      </w:r>
      <w:proofErr w:type="spellStart"/>
      <w:r w:rsidRPr="005F7930">
        <w:rPr>
          <w:rFonts w:ascii="Arial" w:hAnsi="Arial" w:cs="Arial"/>
        </w:rPr>
        <w:t>Chlotianidynę</w:t>
      </w:r>
      <w:proofErr w:type="spellEnd"/>
      <w:r w:rsidRPr="005F7930">
        <w:rPr>
          <w:rFonts w:ascii="Arial" w:hAnsi="Arial" w:cs="Arial"/>
        </w:rPr>
        <w:t xml:space="preserve"> oznaczono w 28 próbkach zatrutych pszczół, </w:t>
      </w:r>
      <w:proofErr w:type="spellStart"/>
      <w:r w:rsidRPr="005F7930">
        <w:rPr>
          <w:rFonts w:ascii="Arial" w:hAnsi="Arial" w:cs="Arial"/>
        </w:rPr>
        <w:t>dimetoat</w:t>
      </w:r>
      <w:proofErr w:type="spellEnd"/>
      <w:r w:rsidRPr="005F7930">
        <w:rPr>
          <w:rFonts w:ascii="Arial" w:hAnsi="Arial" w:cs="Arial"/>
        </w:rPr>
        <w:t xml:space="preserve"> w 27 natomiast </w:t>
      </w:r>
      <w:proofErr w:type="spellStart"/>
      <w:r w:rsidRPr="005F7930">
        <w:rPr>
          <w:rFonts w:ascii="Arial" w:hAnsi="Arial" w:cs="Arial"/>
        </w:rPr>
        <w:t>chloropiryfos</w:t>
      </w:r>
      <w:proofErr w:type="spellEnd"/>
      <w:r w:rsidRPr="005F7930">
        <w:rPr>
          <w:rFonts w:ascii="Arial" w:hAnsi="Arial" w:cs="Arial"/>
        </w:rPr>
        <w:t xml:space="preserve"> w 26 próbkach.</w:t>
      </w:r>
    </w:p>
    <w:p w14:paraId="74572002" w14:textId="4F01C124" w:rsidR="00B046C3" w:rsidRPr="005F7930" w:rsidRDefault="00B046C3" w:rsidP="00B046C3">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W 2020 r. przebadano łącznie 118 próbek, a więc o 36 więcej niż w 2019 r., pobranych podczas wizyt kontrolnych z pasiek nadzorowanych w okresie wiosennym oraz letnim</w:t>
      </w:r>
      <w:r w:rsidR="00126AC2">
        <w:rPr>
          <w:rFonts w:ascii="Arial" w:hAnsi="Arial" w:cs="Arial"/>
        </w:rPr>
        <w:t xml:space="preserve"> </w:t>
      </w:r>
      <w:r w:rsidR="00126AC2" w:rsidRPr="005F7930">
        <w:rPr>
          <w:rFonts w:ascii="Arial" w:hAnsi="Arial" w:cs="Arial"/>
        </w:rPr>
        <w:t>(</w:t>
      </w:r>
      <w:r w:rsidR="00126AC2">
        <w:rPr>
          <w:rFonts w:ascii="Arial" w:hAnsi="Arial" w:cs="Arial"/>
        </w:rPr>
        <w:t xml:space="preserve">odpowiednio </w:t>
      </w:r>
      <w:r w:rsidR="00126AC2" w:rsidRPr="005F7930">
        <w:rPr>
          <w:rFonts w:ascii="Arial" w:hAnsi="Arial" w:cs="Arial"/>
        </w:rPr>
        <w:t>38 i 80</w:t>
      </w:r>
      <w:r w:rsidR="00126AC2">
        <w:rPr>
          <w:rFonts w:ascii="Arial" w:hAnsi="Arial" w:cs="Arial"/>
        </w:rPr>
        <w:t xml:space="preserve"> próbek</w:t>
      </w:r>
      <w:r w:rsidR="00126AC2" w:rsidRPr="005F7930">
        <w:rPr>
          <w:rFonts w:ascii="Arial" w:hAnsi="Arial" w:cs="Arial"/>
        </w:rPr>
        <w:t>)</w:t>
      </w:r>
      <w:r w:rsidRPr="005F7930">
        <w:rPr>
          <w:rFonts w:ascii="Arial" w:hAnsi="Arial" w:cs="Arial"/>
        </w:rPr>
        <w:t xml:space="preserve">. Próbki jak co roku poddano analizie toksykologicznej w kierunku oznaczania pozostałości pestycydów stosowanych w chemicznej ochronie roślin obejmujących substancje aktywne środków ochrony roślin tj. insektycydy, fungicydy, herbicydy, akarycydy, regulatory wzrostu oraz substancje aktywne leków </w:t>
      </w:r>
      <w:proofErr w:type="spellStart"/>
      <w:r w:rsidRPr="005F7930">
        <w:rPr>
          <w:rFonts w:ascii="Arial" w:hAnsi="Arial" w:cs="Arial"/>
        </w:rPr>
        <w:t>warrozobójczych</w:t>
      </w:r>
      <w:proofErr w:type="spellEnd"/>
      <w:r w:rsidRPr="005F7930">
        <w:rPr>
          <w:rFonts w:ascii="Arial" w:hAnsi="Arial" w:cs="Arial"/>
        </w:rPr>
        <w:t>.</w:t>
      </w:r>
    </w:p>
    <w:p w14:paraId="16A32CE2" w14:textId="21A69BDA" w:rsidR="00421923" w:rsidRPr="005F7930" w:rsidRDefault="00421923" w:rsidP="00421923">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Analizie toksykologicznej poddano 38 próbek pobranych w trakcie wiosennych wizyt kontrolnych (22 próbki osypu pszczół i 16 próbek pierzgi z tych rodzin). Analiza ta wykazała, że 95% próbek os</w:t>
      </w:r>
      <w:r w:rsidR="00FA44AE" w:rsidRPr="005F7930">
        <w:rPr>
          <w:rFonts w:ascii="Arial" w:hAnsi="Arial" w:cs="Arial"/>
        </w:rPr>
        <w:t>y</w:t>
      </w:r>
      <w:r w:rsidRPr="005F7930">
        <w:rPr>
          <w:rFonts w:ascii="Arial" w:hAnsi="Arial" w:cs="Arial"/>
        </w:rPr>
        <w:t>pów pszczół oraz próbek pierzgi pobranej z osypan</w:t>
      </w:r>
      <w:r w:rsidR="00FA44AE" w:rsidRPr="005F7930">
        <w:rPr>
          <w:rFonts w:ascii="Arial" w:hAnsi="Arial" w:cs="Arial"/>
        </w:rPr>
        <w:t>ych</w:t>
      </w:r>
      <w:r w:rsidRPr="005F7930">
        <w:rPr>
          <w:rFonts w:ascii="Arial" w:hAnsi="Arial" w:cs="Arial"/>
        </w:rPr>
        <w:t xml:space="preserve"> rodzin pszczelich za</w:t>
      </w:r>
      <w:r w:rsidR="00FA44AE" w:rsidRPr="005F7930">
        <w:rPr>
          <w:rFonts w:ascii="Arial" w:hAnsi="Arial" w:cs="Arial"/>
        </w:rPr>
        <w:t xml:space="preserve">wierało </w:t>
      </w:r>
      <w:r w:rsidRPr="005F7930">
        <w:rPr>
          <w:rFonts w:ascii="Arial" w:hAnsi="Arial" w:cs="Arial"/>
        </w:rPr>
        <w:t>pozostałości pestycydów w stężeniach powyżej granic oznaczaln</w:t>
      </w:r>
      <w:r w:rsidR="00FA44AE" w:rsidRPr="005F7930">
        <w:rPr>
          <w:rFonts w:ascii="Arial" w:hAnsi="Arial" w:cs="Arial"/>
        </w:rPr>
        <w:t>ości metody badawczej W</w:t>
      </w:r>
      <w:r w:rsidRPr="005F7930">
        <w:rPr>
          <w:rFonts w:ascii="Arial" w:hAnsi="Arial" w:cs="Arial"/>
        </w:rPr>
        <w:t xml:space="preserve"> próbkach osypanych pszczół oznaczono pozostałości 9 pestycydów</w:t>
      </w:r>
      <w:r w:rsidR="00FA44AE" w:rsidRPr="005F7930">
        <w:rPr>
          <w:rFonts w:ascii="Arial" w:hAnsi="Arial" w:cs="Arial"/>
        </w:rPr>
        <w:t>, natomiast w</w:t>
      </w:r>
      <w:r w:rsidR="00BF3DEF" w:rsidRPr="005F7930">
        <w:rPr>
          <w:rFonts w:ascii="Arial" w:hAnsi="Arial" w:cs="Arial"/>
        </w:rPr>
        <w:t xml:space="preserve"> próbkach pierzgi pobranej z rodzin, w których w</w:t>
      </w:r>
      <w:r w:rsidR="00C92C97">
        <w:rPr>
          <w:rFonts w:ascii="Arial" w:hAnsi="Arial" w:cs="Arial"/>
        </w:rPr>
        <w:t> </w:t>
      </w:r>
      <w:r w:rsidR="00BF3DEF" w:rsidRPr="005F7930">
        <w:rPr>
          <w:rFonts w:ascii="Arial" w:hAnsi="Arial" w:cs="Arial"/>
        </w:rPr>
        <w:t>okresie zimowi i osypywały się pszczoły oznaczono pozostałości 10 pestycydów.</w:t>
      </w:r>
    </w:p>
    <w:p w14:paraId="7A75F417" w14:textId="4A747F5A" w:rsidR="00871B35" w:rsidRDefault="00BF3DEF"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Analizie toksykologicznej poddano również 80 próbek pobranych w trakcie letnich wizyt kontrolnych w nadzorowanych pasiekach (44 próbki żywych pszczół i 36 próbek pierzgi). Analiza wykazała, że 30% próbek żywych pszczół oraz 78% próbek pierzgi zawierało pozostałości pestycydów. Odnotowano tym samym znaczny spadek odsetka próbek żywych pszczół z pozostałościami pestycydów (58% w 2019 r.). Odsetek próbek pierzgi zawierającej pozostałości pestycydów pozostał na zbliżonym poziomie jak w roku ubiegłym. W próbkach żywych pszczół oznaczono pozostałości 10 pestycydów</w:t>
      </w:r>
      <w:r w:rsidR="00AF1B13" w:rsidRPr="005F7930">
        <w:rPr>
          <w:rFonts w:ascii="Arial" w:hAnsi="Arial" w:cs="Arial"/>
        </w:rPr>
        <w:t>, natomiast w</w:t>
      </w:r>
      <w:r w:rsidR="00C92C97">
        <w:rPr>
          <w:rFonts w:ascii="Arial" w:hAnsi="Arial" w:cs="Arial"/>
        </w:rPr>
        <w:t> </w:t>
      </w:r>
      <w:r w:rsidRPr="005F7930">
        <w:rPr>
          <w:rFonts w:ascii="Arial" w:hAnsi="Arial" w:cs="Arial"/>
        </w:rPr>
        <w:t>próbkach pierzgi z letniej wizyty kontrolnej oznaczono pozostałości 27 pestycydów</w:t>
      </w:r>
      <w:r w:rsidR="00AF1B13" w:rsidRPr="005F7930">
        <w:rPr>
          <w:rFonts w:ascii="Arial" w:hAnsi="Arial" w:cs="Arial"/>
        </w:rPr>
        <w:t>.</w:t>
      </w:r>
    </w:p>
    <w:p w14:paraId="3603B497" w14:textId="199DB536"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6763DD">
        <w:rPr>
          <w:rFonts w:ascii="Arial" w:hAnsi="Arial" w:cs="Arial"/>
          <w:b/>
        </w:rPr>
        <w:lastRenderedPageBreak/>
        <w:t>W 2021 r.</w:t>
      </w:r>
      <w:r w:rsidRPr="00521818">
        <w:rPr>
          <w:rFonts w:ascii="Arial" w:hAnsi="Arial" w:cs="Arial"/>
        </w:rPr>
        <w:t xml:space="preserve">, Państwowy Instytut Weterynaryjny – Państwowy Instytut Badawczy w Puławach </w:t>
      </w:r>
      <w:r>
        <w:rPr>
          <w:rFonts w:ascii="Arial" w:hAnsi="Arial" w:cs="Arial"/>
        </w:rPr>
        <w:t>prowadził</w:t>
      </w:r>
      <w:r w:rsidRPr="00521818">
        <w:rPr>
          <w:rFonts w:ascii="Arial" w:hAnsi="Arial" w:cs="Arial"/>
        </w:rPr>
        <w:t xml:space="preserve"> badania laboratoryjne dostarczonych próbek, pobranych z rodzin pszczelich podczas wizyt kontroln</w:t>
      </w:r>
      <w:r>
        <w:rPr>
          <w:rFonts w:ascii="Arial" w:hAnsi="Arial" w:cs="Arial"/>
        </w:rPr>
        <w:t>ych</w:t>
      </w:r>
      <w:r w:rsidRPr="00521818">
        <w:rPr>
          <w:rFonts w:ascii="Arial" w:hAnsi="Arial" w:cs="Arial"/>
        </w:rPr>
        <w:t xml:space="preserve"> wiosennej i letniej oraz z pasiek, w których wystąpiło podejrzenie ostrego zatrucia pszczół środkami ochrony roślin.</w:t>
      </w:r>
    </w:p>
    <w:p w14:paraId="4733D9C0" w14:textId="2535F4A2"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Do badań toksykologicznych prowadzonych przy podejrzeniu ostrego zatrucia pszczół pobrano 27</w:t>
      </w:r>
      <w:r w:rsidR="002F734A">
        <w:rPr>
          <w:rFonts w:ascii="Arial" w:hAnsi="Arial" w:cs="Arial"/>
        </w:rPr>
        <w:t> </w:t>
      </w:r>
      <w:r w:rsidRPr="00521818">
        <w:rPr>
          <w:rFonts w:ascii="Arial" w:hAnsi="Arial" w:cs="Arial"/>
        </w:rPr>
        <w:t xml:space="preserve">próbek martwych pszczół, co stanowi najniższą liczbę incydentów od początku funkcjonowania programu. Próbki pochodziły z pasiek, w których istniało podejrzenie, że przyczyną zatrucia mogły być nieprawidłowości w zakresie stosowania </w:t>
      </w:r>
      <w:r>
        <w:rPr>
          <w:rFonts w:ascii="Arial" w:hAnsi="Arial" w:cs="Arial"/>
        </w:rPr>
        <w:t>środków ochrony roślin</w:t>
      </w:r>
      <w:r w:rsidRPr="00521818">
        <w:rPr>
          <w:rFonts w:ascii="Arial" w:hAnsi="Arial" w:cs="Arial"/>
        </w:rPr>
        <w:t xml:space="preserve"> w sąsiadujących uprawach.</w:t>
      </w:r>
    </w:p>
    <w:p w14:paraId="2B356CDF" w14:textId="7D06C585"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Próbki pszczół reprezentowały pasieki liczące w sumie 995 rodzin pszczelich, w tym na dzień pobierania próbek objawy zatrucia wykazywało 651</w:t>
      </w:r>
      <w:r w:rsidR="00905BC2">
        <w:rPr>
          <w:rFonts w:ascii="Arial" w:hAnsi="Arial" w:cs="Arial"/>
        </w:rPr>
        <w:t xml:space="preserve"> rodzin pszczelich, </w:t>
      </w:r>
      <w:r w:rsidRPr="00521818">
        <w:rPr>
          <w:rFonts w:ascii="Arial" w:hAnsi="Arial" w:cs="Arial"/>
        </w:rPr>
        <w:t>a 107 rodzin było całkowicie wymarłych.</w:t>
      </w:r>
    </w:p>
    <w:p w14:paraId="3B9E83D9" w14:textId="77777777"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 xml:space="preserve">Wszystkie próbki martwych pszczół poddano analizie toksykologicznej w kierunku oznaczania pozostałości co najmniej 249 pestycydów stosowanych w chemicznej ochronie roślin obejmujących substancje czynne środków ochrony roślin tj. insektycydy, fungicydy, herbicydy, akarycydy, regulatory wzrostu oraz substancje czynne weterynaryjnych produktów leczniczych </w:t>
      </w:r>
      <w:proofErr w:type="spellStart"/>
      <w:r w:rsidRPr="00521818">
        <w:rPr>
          <w:rFonts w:ascii="Arial" w:hAnsi="Arial" w:cs="Arial"/>
        </w:rPr>
        <w:t>warrozobójczych</w:t>
      </w:r>
      <w:proofErr w:type="spellEnd"/>
      <w:r w:rsidRPr="00521818">
        <w:rPr>
          <w:rFonts w:ascii="Arial" w:hAnsi="Arial" w:cs="Arial"/>
        </w:rPr>
        <w:t>.</w:t>
      </w:r>
    </w:p>
    <w:p w14:paraId="4B34F7B2" w14:textId="5B7AAF5A"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W wyniku przeprowadzonych analiz ustalono, że 96% próbek martwych pszczół zawierało pozostałości pestycydów w stężeniach powyżej granic oznaczalności metody badawczej. W próbkach martwych pszczół oznaczono łącznie pozostałości 45 pestycydów</w:t>
      </w:r>
      <w:r w:rsidR="00905BC2">
        <w:rPr>
          <w:rFonts w:ascii="Arial" w:hAnsi="Arial" w:cs="Arial"/>
        </w:rPr>
        <w:t>, przy czym z</w:t>
      </w:r>
      <w:r w:rsidRPr="00521818">
        <w:rPr>
          <w:rFonts w:ascii="Arial" w:hAnsi="Arial" w:cs="Arial"/>
        </w:rPr>
        <w:t xml:space="preserve">decydowana większość oznaczonych pestycydów to substancje czynne </w:t>
      </w:r>
      <w:r w:rsidR="00905BC2">
        <w:rPr>
          <w:rFonts w:ascii="Arial" w:hAnsi="Arial" w:cs="Arial"/>
        </w:rPr>
        <w:t>środków ochrony roślin</w:t>
      </w:r>
      <w:r w:rsidRPr="00521818">
        <w:rPr>
          <w:rFonts w:ascii="Arial" w:hAnsi="Arial" w:cs="Arial"/>
        </w:rPr>
        <w:t xml:space="preserve">. W próbkach oznaczono także pozostałości weterynaryjnych produktów leczniczych </w:t>
      </w:r>
      <w:proofErr w:type="spellStart"/>
      <w:r w:rsidRPr="00521818">
        <w:rPr>
          <w:rFonts w:ascii="Arial" w:hAnsi="Arial" w:cs="Arial"/>
        </w:rPr>
        <w:t>warrozobójczych</w:t>
      </w:r>
      <w:proofErr w:type="spellEnd"/>
      <w:r w:rsidRPr="00521818">
        <w:rPr>
          <w:rFonts w:ascii="Arial" w:hAnsi="Arial" w:cs="Arial"/>
        </w:rPr>
        <w:t xml:space="preserve"> oraz produktów biobójczych. W</w:t>
      </w:r>
      <w:r w:rsidR="00905BC2">
        <w:rPr>
          <w:rFonts w:ascii="Arial" w:hAnsi="Arial" w:cs="Arial"/>
        </w:rPr>
        <w:t> </w:t>
      </w:r>
      <w:r w:rsidRPr="00521818">
        <w:rPr>
          <w:rFonts w:ascii="Arial" w:hAnsi="Arial" w:cs="Arial"/>
        </w:rPr>
        <w:t>połowie badanych próbek wykrywano pozostałości co najmniej 5 pestycydów. Maksymalna liczba pestycydów, których pozostałości oznaczono jednocześnie w próbce martwych pszczół wyniosła 18</w:t>
      </w:r>
      <w:r w:rsidR="00905BC2">
        <w:rPr>
          <w:rFonts w:ascii="Arial" w:hAnsi="Arial" w:cs="Arial"/>
        </w:rPr>
        <w:t> </w:t>
      </w:r>
      <w:r w:rsidRPr="00521818">
        <w:rPr>
          <w:rFonts w:ascii="Arial" w:hAnsi="Arial" w:cs="Arial"/>
        </w:rPr>
        <w:t xml:space="preserve">substancji (okoliczne uprawy – rzepak i leszczyna). </w:t>
      </w:r>
    </w:p>
    <w:p w14:paraId="448A97F8" w14:textId="6E970166"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 xml:space="preserve">W 18 spośród 27 przebadanych próbek pszczół oznaczono pozostałości bardzo toksycznych substancji owadobójczych i nie można wykluczyć, że stanowiły one przyczynę zatrucia. </w:t>
      </w:r>
      <w:proofErr w:type="spellStart"/>
      <w:r w:rsidRPr="00521818">
        <w:rPr>
          <w:rFonts w:ascii="Arial" w:hAnsi="Arial" w:cs="Arial"/>
        </w:rPr>
        <w:t>Deltametryna</w:t>
      </w:r>
      <w:proofErr w:type="spellEnd"/>
      <w:r w:rsidRPr="00521818">
        <w:rPr>
          <w:rFonts w:ascii="Arial" w:hAnsi="Arial" w:cs="Arial"/>
        </w:rPr>
        <w:t xml:space="preserve">, </w:t>
      </w:r>
      <w:proofErr w:type="spellStart"/>
      <w:r w:rsidRPr="00521818">
        <w:rPr>
          <w:rFonts w:ascii="Arial" w:hAnsi="Arial" w:cs="Arial"/>
        </w:rPr>
        <w:t>chlotianidyna</w:t>
      </w:r>
      <w:proofErr w:type="spellEnd"/>
      <w:r w:rsidRPr="00521818">
        <w:rPr>
          <w:rFonts w:ascii="Arial" w:hAnsi="Arial" w:cs="Arial"/>
        </w:rPr>
        <w:t xml:space="preserve">, </w:t>
      </w:r>
      <w:proofErr w:type="spellStart"/>
      <w:r w:rsidRPr="00521818">
        <w:rPr>
          <w:rFonts w:ascii="Arial" w:hAnsi="Arial" w:cs="Arial"/>
        </w:rPr>
        <w:t>tiametoksam</w:t>
      </w:r>
      <w:proofErr w:type="spellEnd"/>
      <w:r w:rsidRPr="00521818">
        <w:rPr>
          <w:rFonts w:ascii="Arial" w:hAnsi="Arial" w:cs="Arial"/>
        </w:rPr>
        <w:t xml:space="preserve"> to trzy pestycydy będące najczęstszą przyczyną zatruć pszczół w 2021 </w:t>
      </w:r>
      <w:r w:rsidR="00905BC2">
        <w:rPr>
          <w:rFonts w:ascii="Arial" w:hAnsi="Arial" w:cs="Arial"/>
        </w:rPr>
        <w:t>r</w:t>
      </w:r>
      <w:r w:rsidRPr="00521818">
        <w:rPr>
          <w:rFonts w:ascii="Arial" w:hAnsi="Arial" w:cs="Arial"/>
        </w:rPr>
        <w:t>.</w:t>
      </w:r>
    </w:p>
    <w:p w14:paraId="13F4DD70" w14:textId="77777777"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W ramach oceny toksykologicznego zagrożenia dla zdrowia rodzin pszczelich – monitorowanie pozostałości pestycydów w środowisku ula i w pszczołach w 2021 r. przebadano łącznie 173 próbki pobrane podczas wizyt kontrolnych z pasiek nadzorowanych w okresie wiosennym oraz letnim.</w:t>
      </w:r>
    </w:p>
    <w:p w14:paraId="33DFCB15" w14:textId="49BD36E3"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Analizie toksykologicznej poddano 65 próbek osypu pszczół pobranych w trakcie wiosennych wizyt kontrolnych. Analiza wykazała, że 91% próbek zawierało pozostałości pestycydów w stężeniach powyżej granicy oznaczalności metody badawczej. Odsetek próbek osypanych pszczół zawierających pozostałości pestycydów</w:t>
      </w:r>
      <w:r w:rsidR="00905BC2">
        <w:rPr>
          <w:rFonts w:ascii="Arial" w:hAnsi="Arial" w:cs="Arial"/>
        </w:rPr>
        <w:t xml:space="preserve"> był</w:t>
      </w:r>
      <w:r w:rsidRPr="00521818">
        <w:rPr>
          <w:rFonts w:ascii="Arial" w:hAnsi="Arial" w:cs="Arial"/>
        </w:rPr>
        <w:t xml:space="preserve"> bardzo wysoki, zdecydowanie wyższy niż w żywych pszczołach pobieranych przed zimą, głównie jednak za sprawą pozostałości metabolitów </w:t>
      </w:r>
      <w:proofErr w:type="spellStart"/>
      <w:r w:rsidRPr="00521818">
        <w:rPr>
          <w:rFonts w:ascii="Arial" w:hAnsi="Arial" w:cs="Arial"/>
        </w:rPr>
        <w:t>amitrazy</w:t>
      </w:r>
      <w:proofErr w:type="spellEnd"/>
      <w:r w:rsidRPr="00521818">
        <w:rPr>
          <w:rFonts w:ascii="Arial" w:hAnsi="Arial" w:cs="Arial"/>
        </w:rPr>
        <w:t xml:space="preserve"> (DMF, DMPF). W próbkach osypanych pszczół oznaczono pozostałości 16 pestycydów: DMF i DMPF (75%), tau-</w:t>
      </w:r>
      <w:proofErr w:type="spellStart"/>
      <w:r w:rsidRPr="00521818">
        <w:rPr>
          <w:rFonts w:ascii="Arial" w:hAnsi="Arial" w:cs="Arial"/>
        </w:rPr>
        <w:t>Fluwalinat</w:t>
      </w:r>
      <w:proofErr w:type="spellEnd"/>
      <w:r w:rsidRPr="00521818">
        <w:rPr>
          <w:rFonts w:ascii="Arial" w:hAnsi="Arial" w:cs="Arial"/>
        </w:rPr>
        <w:t xml:space="preserve"> (12%), </w:t>
      </w:r>
      <w:proofErr w:type="spellStart"/>
      <w:r w:rsidRPr="00521818">
        <w:rPr>
          <w:rFonts w:ascii="Arial" w:hAnsi="Arial" w:cs="Arial"/>
        </w:rPr>
        <w:t>karbendazym</w:t>
      </w:r>
      <w:proofErr w:type="spellEnd"/>
      <w:r w:rsidRPr="00521818">
        <w:rPr>
          <w:rFonts w:ascii="Arial" w:hAnsi="Arial" w:cs="Arial"/>
        </w:rPr>
        <w:t xml:space="preserve"> (8%), </w:t>
      </w:r>
      <w:proofErr w:type="spellStart"/>
      <w:r w:rsidRPr="00521818">
        <w:rPr>
          <w:rFonts w:ascii="Arial" w:hAnsi="Arial" w:cs="Arial"/>
        </w:rPr>
        <w:t>chloropiryfos</w:t>
      </w:r>
      <w:proofErr w:type="spellEnd"/>
      <w:r w:rsidRPr="00521818">
        <w:rPr>
          <w:rFonts w:ascii="Arial" w:hAnsi="Arial" w:cs="Arial"/>
        </w:rPr>
        <w:t xml:space="preserve">, </w:t>
      </w:r>
      <w:proofErr w:type="spellStart"/>
      <w:r w:rsidRPr="00521818">
        <w:rPr>
          <w:rFonts w:ascii="Arial" w:hAnsi="Arial" w:cs="Arial"/>
        </w:rPr>
        <w:t>difenokonazol</w:t>
      </w:r>
      <w:proofErr w:type="spellEnd"/>
      <w:r w:rsidRPr="00521818">
        <w:rPr>
          <w:rFonts w:ascii="Arial" w:hAnsi="Arial" w:cs="Arial"/>
        </w:rPr>
        <w:t xml:space="preserve">, </w:t>
      </w:r>
      <w:proofErr w:type="spellStart"/>
      <w:r w:rsidRPr="00521818">
        <w:rPr>
          <w:rFonts w:ascii="Arial" w:hAnsi="Arial" w:cs="Arial"/>
        </w:rPr>
        <w:t>tebukonazol</w:t>
      </w:r>
      <w:proofErr w:type="spellEnd"/>
      <w:r w:rsidRPr="00521818">
        <w:rPr>
          <w:rFonts w:ascii="Arial" w:hAnsi="Arial" w:cs="Arial"/>
        </w:rPr>
        <w:t xml:space="preserve"> (6%), </w:t>
      </w:r>
      <w:proofErr w:type="spellStart"/>
      <w:r w:rsidRPr="00521818">
        <w:rPr>
          <w:rFonts w:ascii="Arial" w:hAnsi="Arial" w:cs="Arial"/>
        </w:rPr>
        <w:t>tiachlopryd</w:t>
      </w:r>
      <w:proofErr w:type="spellEnd"/>
      <w:r w:rsidRPr="00521818">
        <w:rPr>
          <w:rFonts w:ascii="Arial" w:hAnsi="Arial" w:cs="Arial"/>
        </w:rPr>
        <w:t xml:space="preserve"> (5%), </w:t>
      </w:r>
      <w:proofErr w:type="spellStart"/>
      <w:r w:rsidRPr="00521818">
        <w:rPr>
          <w:rFonts w:ascii="Arial" w:hAnsi="Arial" w:cs="Arial"/>
        </w:rPr>
        <w:t>flusilazol</w:t>
      </w:r>
      <w:proofErr w:type="spellEnd"/>
      <w:r w:rsidRPr="00521818">
        <w:rPr>
          <w:rFonts w:ascii="Arial" w:hAnsi="Arial" w:cs="Arial"/>
        </w:rPr>
        <w:t xml:space="preserve">, </w:t>
      </w:r>
      <w:proofErr w:type="spellStart"/>
      <w:r w:rsidRPr="00521818">
        <w:rPr>
          <w:rFonts w:ascii="Arial" w:hAnsi="Arial" w:cs="Arial"/>
        </w:rPr>
        <w:t>pendimetalina</w:t>
      </w:r>
      <w:proofErr w:type="spellEnd"/>
      <w:r w:rsidRPr="00521818">
        <w:rPr>
          <w:rFonts w:ascii="Arial" w:hAnsi="Arial" w:cs="Arial"/>
        </w:rPr>
        <w:t xml:space="preserve">, </w:t>
      </w:r>
      <w:proofErr w:type="spellStart"/>
      <w:r w:rsidRPr="00521818">
        <w:rPr>
          <w:rFonts w:ascii="Arial" w:hAnsi="Arial" w:cs="Arial"/>
        </w:rPr>
        <w:t>tiofanat</w:t>
      </w:r>
      <w:proofErr w:type="spellEnd"/>
      <w:r w:rsidRPr="00521818">
        <w:rPr>
          <w:rFonts w:ascii="Arial" w:hAnsi="Arial" w:cs="Arial"/>
        </w:rPr>
        <w:t xml:space="preserve"> metylowy (3%) oraz </w:t>
      </w:r>
      <w:proofErr w:type="spellStart"/>
      <w:r w:rsidRPr="00521818">
        <w:rPr>
          <w:rFonts w:ascii="Arial" w:hAnsi="Arial" w:cs="Arial"/>
        </w:rPr>
        <w:t>azoksystrobina</w:t>
      </w:r>
      <w:proofErr w:type="spellEnd"/>
      <w:r w:rsidRPr="00521818">
        <w:rPr>
          <w:rFonts w:ascii="Arial" w:hAnsi="Arial" w:cs="Arial"/>
        </w:rPr>
        <w:t xml:space="preserve">, </w:t>
      </w:r>
      <w:proofErr w:type="spellStart"/>
      <w:r w:rsidRPr="00521818">
        <w:rPr>
          <w:rFonts w:ascii="Arial" w:hAnsi="Arial" w:cs="Arial"/>
        </w:rPr>
        <w:t>kumafos</w:t>
      </w:r>
      <w:proofErr w:type="spellEnd"/>
      <w:r w:rsidRPr="00521818">
        <w:rPr>
          <w:rFonts w:ascii="Arial" w:hAnsi="Arial" w:cs="Arial"/>
        </w:rPr>
        <w:t xml:space="preserve">, </w:t>
      </w:r>
      <w:proofErr w:type="spellStart"/>
      <w:r w:rsidRPr="00521818">
        <w:rPr>
          <w:rFonts w:ascii="Arial" w:hAnsi="Arial" w:cs="Arial"/>
        </w:rPr>
        <w:t>permetryna</w:t>
      </w:r>
      <w:proofErr w:type="spellEnd"/>
      <w:r w:rsidRPr="00521818">
        <w:rPr>
          <w:rFonts w:ascii="Arial" w:hAnsi="Arial" w:cs="Arial"/>
        </w:rPr>
        <w:t xml:space="preserve">, </w:t>
      </w:r>
      <w:proofErr w:type="spellStart"/>
      <w:r w:rsidRPr="00521818">
        <w:rPr>
          <w:rFonts w:ascii="Arial" w:hAnsi="Arial" w:cs="Arial"/>
        </w:rPr>
        <w:t>pirymetanil</w:t>
      </w:r>
      <w:proofErr w:type="spellEnd"/>
      <w:r w:rsidRPr="00521818">
        <w:rPr>
          <w:rFonts w:ascii="Arial" w:hAnsi="Arial" w:cs="Arial"/>
        </w:rPr>
        <w:t xml:space="preserve"> oraz </w:t>
      </w:r>
      <w:proofErr w:type="spellStart"/>
      <w:r w:rsidRPr="00521818">
        <w:rPr>
          <w:rFonts w:ascii="Arial" w:hAnsi="Arial" w:cs="Arial"/>
        </w:rPr>
        <w:t>pirymifos</w:t>
      </w:r>
      <w:proofErr w:type="spellEnd"/>
      <w:r w:rsidRPr="00521818">
        <w:rPr>
          <w:rFonts w:ascii="Arial" w:hAnsi="Arial" w:cs="Arial"/>
        </w:rPr>
        <w:t xml:space="preserve"> metylowy (2%). W próbkach osypanych pszczół oznaczono pozostałości do </w:t>
      </w:r>
      <w:r w:rsidRPr="00521818">
        <w:rPr>
          <w:rFonts w:ascii="Arial" w:hAnsi="Arial" w:cs="Arial"/>
        </w:rPr>
        <w:lastRenderedPageBreak/>
        <w:t>8</w:t>
      </w:r>
      <w:r w:rsidR="00905BC2">
        <w:rPr>
          <w:rFonts w:ascii="Arial" w:hAnsi="Arial" w:cs="Arial"/>
        </w:rPr>
        <w:t> </w:t>
      </w:r>
      <w:r w:rsidRPr="00521818">
        <w:rPr>
          <w:rFonts w:ascii="Arial" w:hAnsi="Arial" w:cs="Arial"/>
        </w:rPr>
        <w:t xml:space="preserve"> pestycydów jednocześnie.</w:t>
      </w:r>
    </w:p>
    <w:p w14:paraId="2B7EC3B7" w14:textId="4FA4D3B0"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 xml:space="preserve">Analizie toksykologicznej poddano również 108 próbek pobranych w trakcie letnich wizyt kontrolnych w nadzorowanych pasiekach (58 próbek żywych pszczół i 50 próbek pierzgi). Analiza wykazała, że 52% próbek żywych pszczół oraz 66% próbek pierzgi zawierało pozostałości pestycydów. W próbkach żywych pszczół oznaczono pozostałości 20 pestycydów m.in.: DMPF (21%), DMF (17%), </w:t>
      </w:r>
      <w:proofErr w:type="spellStart"/>
      <w:r w:rsidRPr="00521818">
        <w:rPr>
          <w:rFonts w:ascii="Arial" w:hAnsi="Arial" w:cs="Arial"/>
        </w:rPr>
        <w:t>acetamipryd</w:t>
      </w:r>
      <w:proofErr w:type="spellEnd"/>
      <w:r w:rsidRPr="00521818">
        <w:rPr>
          <w:rFonts w:ascii="Arial" w:hAnsi="Arial" w:cs="Arial"/>
        </w:rPr>
        <w:t xml:space="preserve"> (12%), </w:t>
      </w:r>
      <w:proofErr w:type="spellStart"/>
      <w:r w:rsidRPr="00521818">
        <w:rPr>
          <w:rFonts w:ascii="Arial" w:hAnsi="Arial" w:cs="Arial"/>
        </w:rPr>
        <w:t>difenokonazol</w:t>
      </w:r>
      <w:proofErr w:type="spellEnd"/>
      <w:r w:rsidRPr="00521818">
        <w:rPr>
          <w:rFonts w:ascii="Arial" w:hAnsi="Arial" w:cs="Arial"/>
        </w:rPr>
        <w:t xml:space="preserve">, </w:t>
      </w:r>
      <w:proofErr w:type="spellStart"/>
      <w:r w:rsidRPr="00521818">
        <w:rPr>
          <w:rFonts w:ascii="Arial" w:hAnsi="Arial" w:cs="Arial"/>
        </w:rPr>
        <w:t>tiachloropryd</w:t>
      </w:r>
      <w:proofErr w:type="spellEnd"/>
      <w:r w:rsidRPr="00521818">
        <w:rPr>
          <w:rFonts w:ascii="Arial" w:hAnsi="Arial" w:cs="Arial"/>
        </w:rPr>
        <w:t xml:space="preserve"> (9%), </w:t>
      </w:r>
      <w:proofErr w:type="spellStart"/>
      <w:r w:rsidRPr="00521818">
        <w:rPr>
          <w:rFonts w:ascii="Arial" w:hAnsi="Arial" w:cs="Arial"/>
        </w:rPr>
        <w:t>chloropiryfos</w:t>
      </w:r>
      <w:proofErr w:type="spellEnd"/>
      <w:r w:rsidRPr="00521818">
        <w:rPr>
          <w:rFonts w:ascii="Arial" w:hAnsi="Arial" w:cs="Arial"/>
        </w:rPr>
        <w:t xml:space="preserve">, </w:t>
      </w:r>
      <w:proofErr w:type="spellStart"/>
      <w:r w:rsidRPr="00521818">
        <w:rPr>
          <w:rFonts w:ascii="Arial" w:hAnsi="Arial" w:cs="Arial"/>
        </w:rPr>
        <w:t>karbendazym</w:t>
      </w:r>
      <w:proofErr w:type="spellEnd"/>
      <w:r w:rsidRPr="00521818">
        <w:rPr>
          <w:rFonts w:ascii="Arial" w:hAnsi="Arial" w:cs="Arial"/>
        </w:rPr>
        <w:t xml:space="preserve">, </w:t>
      </w:r>
      <w:proofErr w:type="spellStart"/>
      <w:r w:rsidRPr="00521818">
        <w:rPr>
          <w:rFonts w:ascii="Arial" w:hAnsi="Arial" w:cs="Arial"/>
        </w:rPr>
        <w:t>trifloksystrobina</w:t>
      </w:r>
      <w:proofErr w:type="spellEnd"/>
      <w:r w:rsidRPr="00521818">
        <w:rPr>
          <w:rFonts w:ascii="Arial" w:hAnsi="Arial" w:cs="Arial"/>
        </w:rPr>
        <w:t xml:space="preserve"> (7%). W</w:t>
      </w:r>
      <w:r w:rsidR="00905BC2">
        <w:rPr>
          <w:rFonts w:ascii="Arial" w:hAnsi="Arial" w:cs="Arial"/>
        </w:rPr>
        <w:t> </w:t>
      </w:r>
      <w:r w:rsidRPr="00521818">
        <w:rPr>
          <w:rFonts w:ascii="Arial" w:hAnsi="Arial" w:cs="Arial"/>
        </w:rPr>
        <w:t xml:space="preserve">próbkach żywych pszczół oznaczono pozostałości do 6 pestycydów jednocześnie. </w:t>
      </w:r>
    </w:p>
    <w:p w14:paraId="39270A37" w14:textId="77777777"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 xml:space="preserve">W próbkach pierzgi z letniej wizyty kontrolnej oznaczono pozostałości 36 pestycydów m.in.: </w:t>
      </w:r>
      <w:proofErr w:type="spellStart"/>
      <w:r w:rsidRPr="00521818">
        <w:rPr>
          <w:rFonts w:ascii="Arial" w:hAnsi="Arial" w:cs="Arial"/>
        </w:rPr>
        <w:t>acetamipryd</w:t>
      </w:r>
      <w:proofErr w:type="spellEnd"/>
      <w:r w:rsidRPr="00521818">
        <w:rPr>
          <w:rFonts w:ascii="Arial" w:hAnsi="Arial" w:cs="Arial"/>
        </w:rPr>
        <w:t xml:space="preserve"> (54%), </w:t>
      </w:r>
      <w:proofErr w:type="spellStart"/>
      <w:r w:rsidRPr="00521818">
        <w:rPr>
          <w:rFonts w:ascii="Arial" w:hAnsi="Arial" w:cs="Arial"/>
        </w:rPr>
        <w:t>azoksystrobina</w:t>
      </w:r>
      <w:proofErr w:type="spellEnd"/>
      <w:r w:rsidRPr="00521818">
        <w:rPr>
          <w:rFonts w:ascii="Arial" w:hAnsi="Arial" w:cs="Arial"/>
        </w:rPr>
        <w:t xml:space="preserve">, </w:t>
      </w:r>
      <w:proofErr w:type="spellStart"/>
      <w:r w:rsidRPr="00521818">
        <w:rPr>
          <w:rFonts w:ascii="Arial" w:hAnsi="Arial" w:cs="Arial"/>
        </w:rPr>
        <w:t>karbendazym</w:t>
      </w:r>
      <w:proofErr w:type="spellEnd"/>
      <w:r w:rsidRPr="00521818">
        <w:rPr>
          <w:rFonts w:ascii="Arial" w:hAnsi="Arial" w:cs="Arial"/>
        </w:rPr>
        <w:t xml:space="preserve"> (20%), </w:t>
      </w:r>
      <w:proofErr w:type="spellStart"/>
      <w:r w:rsidRPr="00521818">
        <w:rPr>
          <w:rFonts w:ascii="Arial" w:hAnsi="Arial" w:cs="Arial"/>
        </w:rPr>
        <w:t>tebukonazol</w:t>
      </w:r>
      <w:proofErr w:type="spellEnd"/>
      <w:r w:rsidRPr="00521818">
        <w:rPr>
          <w:rFonts w:ascii="Arial" w:hAnsi="Arial" w:cs="Arial"/>
        </w:rPr>
        <w:t xml:space="preserve"> (16%), </w:t>
      </w:r>
      <w:proofErr w:type="spellStart"/>
      <w:r w:rsidRPr="00521818">
        <w:rPr>
          <w:rFonts w:ascii="Arial" w:hAnsi="Arial" w:cs="Arial"/>
        </w:rPr>
        <w:t>difenokonazol</w:t>
      </w:r>
      <w:proofErr w:type="spellEnd"/>
      <w:r w:rsidRPr="00521818">
        <w:rPr>
          <w:rFonts w:ascii="Arial" w:hAnsi="Arial" w:cs="Arial"/>
        </w:rPr>
        <w:t xml:space="preserve"> (14%), </w:t>
      </w:r>
      <w:proofErr w:type="spellStart"/>
      <w:r w:rsidRPr="00521818">
        <w:rPr>
          <w:rFonts w:ascii="Arial" w:hAnsi="Arial" w:cs="Arial"/>
        </w:rPr>
        <w:t>fluopyram</w:t>
      </w:r>
      <w:proofErr w:type="spellEnd"/>
      <w:r w:rsidRPr="00521818">
        <w:rPr>
          <w:rFonts w:ascii="Arial" w:hAnsi="Arial" w:cs="Arial"/>
        </w:rPr>
        <w:t xml:space="preserve"> (12%), </w:t>
      </w:r>
      <w:proofErr w:type="spellStart"/>
      <w:r w:rsidRPr="00521818">
        <w:rPr>
          <w:rFonts w:ascii="Arial" w:hAnsi="Arial" w:cs="Arial"/>
        </w:rPr>
        <w:t>chloropiryfos</w:t>
      </w:r>
      <w:proofErr w:type="spellEnd"/>
      <w:r w:rsidRPr="00521818">
        <w:rPr>
          <w:rFonts w:ascii="Arial" w:hAnsi="Arial" w:cs="Arial"/>
        </w:rPr>
        <w:t xml:space="preserve">, </w:t>
      </w:r>
      <w:proofErr w:type="spellStart"/>
      <w:r w:rsidRPr="00521818">
        <w:rPr>
          <w:rFonts w:ascii="Arial" w:hAnsi="Arial" w:cs="Arial"/>
        </w:rPr>
        <w:t>tiofanat</w:t>
      </w:r>
      <w:proofErr w:type="spellEnd"/>
      <w:r w:rsidRPr="00521818">
        <w:rPr>
          <w:rFonts w:ascii="Arial" w:hAnsi="Arial" w:cs="Arial"/>
        </w:rPr>
        <w:t xml:space="preserve"> metylowy (10%). W próbkach pierzgi pobranej w trakcie letnich wizyt kontrolnych oznaczono pozostałości do 13 pestycydów jednocześnie.</w:t>
      </w:r>
    </w:p>
    <w:p w14:paraId="347EBD96" w14:textId="02BF3293" w:rsidR="00CD1242" w:rsidRDefault="00CD1242" w:rsidP="00877025">
      <w:pPr>
        <w:pStyle w:val="NormalnyWeb"/>
        <w:tabs>
          <w:tab w:val="left" w:pos="284"/>
        </w:tabs>
        <w:spacing w:beforeAutospacing="0" w:after="120" w:afterAutospacing="0" w:line="360" w:lineRule="auto"/>
        <w:ind w:firstLine="284"/>
        <w:jc w:val="both"/>
        <w:rPr>
          <w:rFonts w:ascii="Arial" w:hAnsi="Arial" w:cs="Arial"/>
        </w:rPr>
      </w:pPr>
      <w:bookmarkStart w:id="87" w:name="_Hlk122090405"/>
      <w:r w:rsidRPr="00E43A58">
        <w:rPr>
          <w:rFonts w:ascii="Arial" w:hAnsi="Arial" w:cs="Arial"/>
          <w:b/>
          <w:bCs/>
        </w:rPr>
        <w:t>W Instytucie Ogrodnictwa</w:t>
      </w:r>
      <w:r w:rsidR="005F7930" w:rsidRPr="00E43A58">
        <w:rPr>
          <w:rFonts w:ascii="Arial" w:hAnsi="Arial" w:cs="Arial"/>
          <w:b/>
          <w:bCs/>
        </w:rPr>
        <w:t xml:space="preserve"> </w:t>
      </w:r>
      <w:r w:rsidRPr="00E43A58">
        <w:rPr>
          <w:rFonts w:ascii="Arial" w:hAnsi="Arial" w:cs="Arial"/>
          <w:b/>
          <w:bCs/>
        </w:rPr>
        <w:t>-</w:t>
      </w:r>
      <w:r w:rsidR="005F7930" w:rsidRPr="00E43A58">
        <w:rPr>
          <w:rFonts w:ascii="Arial" w:hAnsi="Arial" w:cs="Arial"/>
          <w:b/>
          <w:bCs/>
        </w:rPr>
        <w:t xml:space="preserve"> </w:t>
      </w:r>
      <w:r w:rsidRPr="00E43A58">
        <w:rPr>
          <w:rFonts w:ascii="Arial" w:hAnsi="Arial" w:cs="Arial"/>
          <w:b/>
          <w:bCs/>
        </w:rPr>
        <w:t>PIB w 2020</w:t>
      </w:r>
      <w:r w:rsidR="005F7930" w:rsidRPr="00E43A58">
        <w:rPr>
          <w:rFonts w:ascii="Arial" w:hAnsi="Arial" w:cs="Arial"/>
          <w:b/>
          <w:bCs/>
        </w:rPr>
        <w:t xml:space="preserve"> r.</w:t>
      </w:r>
      <w:r w:rsidRPr="005F7930">
        <w:rPr>
          <w:rFonts w:ascii="Arial" w:hAnsi="Arial" w:cs="Arial"/>
        </w:rPr>
        <w:t xml:space="preserve"> </w:t>
      </w:r>
      <w:bookmarkEnd w:id="87"/>
      <w:r w:rsidRPr="005F7930">
        <w:rPr>
          <w:rFonts w:ascii="Arial" w:hAnsi="Arial" w:cs="Arial"/>
        </w:rPr>
        <w:t xml:space="preserve">w celu określenia narażenia pszczół zbierających pożytek w buforowych pasach zielnych facelii błękitnej na działanie insektycydów znoszonych </w:t>
      </w:r>
      <w:r w:rsidR="00E43A58" w:rsidRPr="005F7930">
        <w:rPr>
          <w:rFonts w:ascii="Arial" w:hAnsi="Arial" w:cs="Arial"/>
        </w:rPr>
        <w:t>z</w:t>
      </w:r>
      <w:r w:rsidR="00E43A58">
        <w:rPr>
          <w:rFonts w:ascii="Arial" w:hAnsi="Arial" w:cs="Arial"/>
        </w:rPr>
        <w:t> </w:t>
      </w:r>
      <w:r w:rsidRPr="005F7930">
        <w:rPr>
          <w:rFonts w:ascii="Arial" w:hAnsi="Arial" w:cs="Arial"/>
        </w:rPr>
        <w:t xml:space="preserve">opryskiwanych poletek pszenicy przeprowadzono ocenę pozostałości </w:t>
      </w:r>
      <w:proofErr w:type="spellStart"/>
      <w:r w:rsidRPr="005F7930">
        <w:rPr>
          <w:rFonts w:ascii="Arial" w:hAnsi="Arial" w:cs="Arial"/>
        </w:rPr>
        <w:t>deltametryny</w:t>
      </w:r>
      <w:proofErr w:type="spellEnd"/>
      <w:r w:rsidRPr="005F7930">
        <w:rPr>
          <w:rFonts w:ascii="Arial" w:hAnsi="Arial" w:cs="Arial"/>
        </w:rPr>
        <w:t xml:space="preserve"> w nektarze i pyłku kwiatów facelii po symulowanym zabiegu z użyciem tej substancji. Pozostałość </w:t>
      </w:r>
      <w:proofErr w:type="spellStart"/>
      <w:r w:rsidRPr="005F7930">
        <w:rPr>
          <w:rFonts w:ascii="Arial" w:hAnsi="Arial" w:cs="Arial"/>
        </w:rPr>
        <w:t>deltametryny</w:t>
      </w:r>
      <w:proofErr w:type="spellEnd"/>
      <w:r w:rsidRPr="005F7930">
        <w:rPr>
          <w:rFonts w:ascii="Arial" w:hAnsi="Arial" w:cs="Arial"/>
        </w:rPr>
        <w:t xml:space="preserve"> w zbiorczej próbce pyłku wynosiła 0,04 mg/kg, a najwyższa stwierdzona pozostałość w nektarze wynosiła 0,014 mg/kg. Ilości te nie przekraczały dopuszczalnego poziomu pozostałości substancji w miodzie </w:t>
      </w:r>
      <w:r w:rsidR="00E43A58" w:rsidRPr="005F7930">
        <w:rPr>
          <w:rFonts w:ascii="Arial" w:hAnsi="Arial" w:cs="Arial"/>
        </w:rPr>
        <w:t>i</w:t>
      </w:r>
      <w:r w:rsidR="00E43A58">
        <w:rPr>
          <w:rFonts w:ascii="Arial" w:hAnsi="Arial" w:cs="Arial"/>
        </w:rPr>
        <w:t> </w:t>
      </w:r>
      <w:r w:rsidRPr="005F7930">
        <w:rPr>
          <w:rFonts w:ascii="Arial" w:hAnsi="Arial" w:cs="Arial"/>
        </w:rPr>
        <w:t xml:space="preserve">produktach pszczelich, wynoszącego 0,05 mg/kg, oraz były dalece niższe od raportowanego w literaturze, śmiertelnego stężenia </w:t>
      </w:r>
      <w:proofErr w:type="spellStart"/>
      <w:r w:rsidRPr="005F7930">
        <w:rPr>
          <w:rFonts w:ascii="Arial" w:hAnsi="Arial" w:cs="Arial"/>
        </w:rPr>
        <w:t>deltametryny</w:t>
      </w:r>
      <w:proofErr w:type="spellEnd"/>
      <w:r w:rsidRPr="005F7930">
        <w:rPr>
          <w:rFonts w:ascii="Arial" w:hAnsi="Arial" w:cs="Arial"/>
        </w:rPr>
        <w:t xml:space="preserve"> dla pszczół LC5 = 20 mg/kg (stężenie dla 5% śmiertelności pszczół). Przeprowadzono również badania mające na celu określenie wpływu siatki </w:t>
      </w:r>
      <w:proofErr w:type="spellStart"/>
      <w:r w:rsidRPr="005F7930">
        <w:rPr>
          <w:rFonts w:ascii="Arial" w:hAnsi="Arial" w:cs="Arial"/>
        </w:rPr>
        <w:t>przeciwgradowej</w:t>
      </w:r>
      <w:proofErr w:type="spellEnd"/>
      <w:r w:rsidRPr="005F7930">
        <w:rPr>
          <w:rFonts w:ascii="Arial" w:hAnsi="Arial" w:cs="Arial"/>
        </w:rPr>
        <w:t xml:space="preserve"> na znoszenie środków ochrony roślin podczas opryskiwania drzew. Stosowano standardowe rozpylacze wirowe TR 80-01 oraz grubokropliste, eżektorowe rozpylacze IDK 90-01, zamontowane na konwencjonalnym opryskiwaczu sadowniczym. W okresie bezlistnym oraz podczas dojrzewania owoców efekt siatki </w:t>
      </w:r>
      <w:proofErr w:type="spellStart"/>
      <w:r w:rsidRPr="005F7930">
        <w:rPr>
          <w:rFonts w:ascii="Arial" w:hAnsi="Arial" w:cs="Arial"/>
        </w:rPr>
        <w:t>przeciwgradowej</w:t>
      </w:r>
      <w:proofErr w:type="spellEnd"/>
      <w:r w:rsidRPr="005F7930">
        <w:rPr>
          <w:rFonts w:ascii="Arial" w:hAnsi="Arial" w:cs="Arial"/>
        </w:rPr>
        <w:t xml:space="preserve"> na znoszenie był w przypadku obu typów rozpylaczy niewielki i wynosił 21-25%. Tymczasem w okresie wzrostu zawiązków siatka spowodowała istotne ograniczenie znoszenia, wynoszące dla rozpylaczy TR 63,1% a dla IDK 45,9%. Łączny efekt siatki </w:t>
      </w:r>
      <w:proofErr w:type="spellStart"/>
      <w:r w:rsidRPr="005F7930">
        <w:rPr>
          <w:rFonts w:ascii="Arial" w:hAnsi="Arial" w:cs="Arial"/>
        </w:rPr>
        <w:t>przeciwgradowej</w:t>
      </w:r>
      <w:proofErr w:type="spellEnd"/>
      <w:r w:rsidRPr="005F7930">
        <w:rPr>
          <w:rFonts w:ascii="Arial" w:hAnsi="Arial" w:cs="Arial"/>
        </w:rPr>
        <w:t xml:space="preserve"> i grubokroplistych rozpylaczy IDK spowodował najwyższą redukcję znoszenia </w:t>
      </w:r>
      <w:r w:rsidR="00E43A58" w:rsidRPr="005F7930">
        <w:rPr>
          <w:rFonts w:ascii="Arial" w:hAnsi="Arial" w:cs="Arial"/>
        </w:rPr>
        <w:t>w</w:t>
      </w:r>
      <w:r w:rsidR="00E43A58">
        <w:rPr>
          <w:rFonts w:ascii="Arial" w:hAnsi="Arial" w:cs="Arial"/>
        </w:rPr>
        <w:t> </w:t>
      </w:r>
      <w:r w:rsidRPr="005F7930">
        <w:rPr>
          <w:rFonts w:ascii="Arial" w:hAnsi="Arial" w:cs="Arial"/>
        </w:rPr>
        <w:t>odniesieniu do zabiegów konwencjonalnych (bez siatki i standardowe rozpylacze drobnokropliste), wynoszącą 58,0% przed kwitnieniem jabłoni, a więc w okresie bezlistnym. W późniejszych fazach rozwojowych drzew, przy ich pełnym ulistnieniu stopień redukcji znoszenia malał i wynosił 47,8% podczas wzrostu zawiązków i 34,4% w okresie dojrzewania owoców.</w:t>
      </w:r>
    </w:p>
    <w:p w14:paraId="72990309" w14:textId="698A6C06" w:rsidR="00991723" w:rsidRPr="002F4A33" w:rsidRDefault="004F30B8" w:rsidP="002F4A33">
      <w:pPr>
        <w:pStyle w:val="NormalnyWeb"/>
        <w:tabs>
          <w:tab w:val="left" w:pos="284"/>
        </w:tabs>
        <w:spacing w:beforeAutospacing="0" w:after="120" w:afterAutospacing="0" w:line="360" w:lineRule="auto"/>
        <w:ind w:firstLine="284"/>
        <w:jc w:val="both"/>
        <w:rPr>
          <w:rFonts w:ascii="Arial" w:hAnsi="Arial" w:cs="Arial"/>
        </w:rPr>
      </w:pPr>
      <w:r w:rsidRPr="00E43A58">
        <w:rPr>
          <w:rFonts w:ascii="Arial" w:hAnsi="Arial" w:cs="Arial"/>
          <w:b/>
          <w:bCs/>
        </w:rPr>
        <w:t xml:space="preserve">W Instytucie Ogrodnictwa - PIB </w:t>
      </w:r>
      <w:r w:rsidRPr="00905BC2">
        <w:rPr>
          <w:rFonts w:ascii="Arial" w:hAnsi="Arial" w:cs="Arial"/>
          <w:b/>
          <w:bCs/>
        </w:rPr>
        <w:t>w 2021 r.</w:t>
      </w:r>
      <w:r w:rsidRPr="005F7930">
        <w:rPr>
          <w:rFonts w:ascii="Arial" w:hAnsi="Arial" w:cs="Arial"/>
        </w:rPr>
        <w:t xml:space="preserve"> </w:t>
      </w:r>
      <w:bookmarkStart w:id="88" w:name="_Hlk91664552"/>
      <w:r w:rsidR="00991723" w:rsidRPr="002F4A33">
        <w:rPr>
          <w:rFonts w:ascii="Arial" w:hAnsi="Arial" w:cs="Arial"/>
        </w:rPr>
        <w:t>celem oceny pozostałości środków ochrony roślin, łącznie przebadano 123</w:t>
      </w:r>
      <w:r>
        <w:rPr>
          <w:rFonts w:ascii="Arial" w:hAnsi="Arial" w:cs="Arial"/>
        </w:rPr>
        <w:t> </w:t>
      </w:r>
      <w:r w:rsidR="00991723" w:rsidRPr="002F4A33">
        <w:rPr>
          <w:rFonts w:ascii="Arial" w:hAnsi="Arial" w:cs="Arial"/>
        </w:rPr>
        <w:t xml:space="preserve">próbki z gniazd pszczół, trzmieli i murarek (75 próbek z gniazd pszczół miodnych, 39 próbek z gniazd trzmieli oraz 9 próbek z gniazd murarki ogrodowej). Spośród ogólnej liczby przebadanych próbek tylko w dwóch nie wykryto żadnych pozostałości środków ochrony roślin (wosk trzmieli – </w:t>
      </w:r>
      <w:proofErr w:type="spellStart"/>
      <w:r w:rsidR="00991723" w:rsidRPr="002F4A33">
        <w:rPr>
          <w:rFonts w:ascii="Arial" w:hAnsi="Arial" w:cs="Arial"/>
        </w:rPr>
        <w:t>Sosnów</w:t>
      </w:r>
      <w:proofErr w:type="spellEnd"/>
      <w:r w:rsidR="00991723" w:rsidRPr="002F4A33">
        <w:rPr>
          <w:rFonts w:ascii="Arial" w:hAnsi="Arial" w:cs="Arial"/>
        </w:rPr>
        <w:t>), co stanowi 1,6% ogółu analizowanych prób. W czasie realizacji zadania wykryto 42, oznaczanych w zastosowanych metodach analitycznych, pozostałości środków ochrony roślin lub ich metabolitów</w:t>
      </w:r>
      <w:bookmarkEnd w:id="88"/>
      <w:r w:rsidR="00991723" w:rsidRPr="002F4A33">
        <w:rPr>
          <w:rFonts w:ascii="Arial" w:hAnsi="Arial" w:cs="Arial"/>
        </w:rPr>
        <w:t xml:space="preserve">, obejmujących fungicydy, insektycydy (w tym akarycydy) i herbicydy: </w:t>
      </w:r>
    </w:p>
    <w:p w14:paraId="73166A66" w14:textId="44128BBD"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insektycydy fosforoorganiczne: </w:t>
      </w:r>
      <w:proofErr w:type="spellStart"/>
      <w:r w:rsidRPr="005D058C">
        <w:rPr>
          <w:rFonts w:ascii="Arial" w:hAnsi="Arial" w:cs="Arial"/>
        </w:rPr>
        <w:t>chlorpiryfos</w:t>
      </w:r>
      <w:proofErr w:type="spellEnd"/>
      <w:r w:rsidRPr="005D058C">
        <w:rPr>
          <w:rFonts w:ascii="Arial" w:hAnsi="Arial" w:cs="Arial"/>
        </w:rPr>
        <w:t xml:space="preserve">, </w:t>
      </w:r>
      <w:proofErr w:type="spellStart"/>
      <w:r w:rsidRPr="005D058C">
        <w:rPr>
          <w:rFonts w:ascii="Arial" w:hAnsi="Arial" w:cs="Arial"/>
        </w:rPr>
        <w:t>dimetoat</w:t>
      </w:r>
      <w:proofErr w:type="spellEnd"/>
      <w:r w:rsidRPr="005D058C">
        <w:rPr>
          <w:rFonts w:ascii="Arial" w:hAnsi="Arial" w:cs="Arial"/>
        </w:rPr>
        <w:t xml:space="preserve">; </w:t>
      </w:r>
    </w:p>
    <w:p w14:paraId="3DFCCE41" w14:textId="79D60E2A"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lastRenderedPageBreak/>
        <w:t xml:space="preserve">insektycydy </w:t>
      </w:r>
      <w:proofErr w:type="spellStart"/>
      <w:r w:rsidRPr="005D058C">
        <w:rPr>
          <w:rFonts w:ascii="Arial" w:hAnsi="Arial" w:cs="Arial"/>
        </w:rPr>
        <w:t>pyretroidowe</w:t>
      </w:r>
      <w:proofErr w:type="spellEnd"/>
      <w:r w:rsidRPr="005D058C">
        <w:rPr>
          <w:rFonts w:ascii="Arial" w:hAnsi="Arial" w:cs="Arial"/>
        </w:rPr>
        <w:t xml:space="preserve">: </w:t>
      </w:r>
      <w:proofErr w:type="spellStart"/>
      <w:r w:rsidRPr="005D058C">
        <w:rPr>
          <w:rFonts w:ascii="Arial" w:hAnsi="Arial" w:cs="Arial"/>
        </w:rPr>
        <w:t>deltametryna</w:t>
      </w:r>
      <w:proofErr w:type="spellEnd"/>
      <w:r w:rsidRPr="005D058C">
        <w:rPr>
          <w:rFonts w:ascii="Arial" w:hAnsi="Arial" w:cs="Arial"/>
        </w:rPr>
        <w:t>, lambda-</w:t>
      </w:r>
      <w:proofErr w:type="spellStart"/>
      <w:r w:rsidRPr="005D058C">
        <w:rPr>
          <w:rFonts w:ascii="Arial" w:hAnsi="Arial" w:cs="Arial"/>
        </w:rPr>
        <w:t>cyhalotryna</w:t>
      </w:r>
      <w:proofErr w:type="spellEnd"/>
      <w:r w:rsidRPr="005D058C">
        <w:rPr>
          <w:rFonts w:ascii="Arial" w:hAnsi="Arial" w:cs="Arial"/>
        </w:rPr>
        <w:t xml:space="preserve">; </w:t>
      </w:r>
    </w:p>
    <w:p w14:paraId="26816F8D" w14:textId="23EA594C"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insektycydy </w:t>
      </w:r>
      <w:proofErr w:type="spellStart"/>
      <w:r w:rsidRPr="005D058C">
        <w:rPr>
          <w:rFonts w:ascii="Arial" w:hAnsi="Arial" w:cs="Arial"/>
        </w:rPr>
        <w:t>neonikotynoidowe</w:t>
      </w:r>
      <w:proofErr w:type="spellEnd"/>
      <w:r w:rsidRPr="005D058C">
        <w:rPr>
          <w:rFonts w:ascii="Arial" w:hAnsi="Arial" w:cs="Arial"/>
        </w:rPr>
        <w:t xml:space="preserve">: </w:t>
      </w:r>
      <w:proofErr w:type="spellStart"/>
      <w:r w:rsidRPr="005D058C">
        <w:rPr>
          <w:rFonts w:ascii="Arial" w:hAnsi="Arial" w:cs="Arial"/>
        </w:rPr>
        <w:t>acetamipryd</w:t>
      </w:r>
      <w:proofErr w:type="spellEnd"/>
      <w:r w:rsidRPr="005D058C">
        <w:rPr>
          <w:rFonts w:ascii="Arial" w:hAnsi="Arial" w:cs="Arial"/>
        </w:rPr>
        <w:t xml:space="preserve">, </w:t>
      </w:r>
      <w:proofErr w:type="spellStart"/>
      <w:r w:rsidRPr="005D058C">
        <w:rPr>
          <w:rFonts w:ascii="Arial" w:hAnsi="Arial" w:cs="Arial"/>
        </w:rPr>
        <w:t>tiaklopryd</w:t>
      </w:r>
      <w:proofErr w:type="spellEnd"/>
      <w:r w:rsidRPr="005D058C">
        <w:rPr>
          <w:rFonts w:ascii="Arial" w:hAnsi="Arial" w:cs="Arial"/>
        </w:rPr>
        <w:t>;</w:t>
      </w:r>
    </w:p>
    <w:p w14:paraId="4EA14931" w14:textId="70706BC8"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insektycydy pozostałe: </w:t>
      </w:r>
      <w:proofErr w:type="spellStart"/>
      <w:r w:rsidRPr="005D058C">
        <w:rPr>
          <w:rFonts w:ascii="Arial" w:hAnsi="Arial" w:cs="Arial"/>
        </w:rPr>
        <w:t>amitraz</w:t>
      </w:r>
      <w:proofErr w:type="spellEnd"/>
      <w:r w:rsidRPr="005D058C">
        <w:rPr>
          <w:rFonts w:ascii="Arial" w:hAnsi="Arial" w:cs="Arial"/>
        </w:rPr>
        <w:t xml:space="preserve"> (</w:t>
      </w:r>
      <w:proofErr w:type="spellStart"/>
      <w:r w:rsidRPr="005D058C">
        <w:rPr>
          <w:rFonts w:ascii="Arial" w:hAnsi="Arial" w:cs="Arial"/>
        </w:rPr>
        <w:t>amitraz</w:t>
      </w:r>
      <w:proofErr w:type="spellEnd"/>
      <w:r w:rsidRPr="005D058C">
        <w:rPr>
          <w:rFonts w:ascii="Arial" w:hAnsi="Arial" w:cs="Arial"/>
        </w:rPr>
        <w:t xml:space="preserve"> DMF, </w:t>
      </w:r>
      <w:proofErr w:type="spellStart"/>
      <w:r w:rsidRPr="005D058C">
        <w:rPr>
          <w:rFonts w:ascii="Arial" w:hAnsi="Arial" w:cs="Arial"/>
        </w:rPr>
        <w:t>amitraz</w:t>
      </w:r>
      <w:proofErr w:type="spellEnd"/>
      <w:r w:rsidRPr="005D058C">
        <w:rPr>
          <w:rFonts w:ascii="Arial" w:hAnsi="Arial" w:cs="Arial"/>
        </w:rPr>
        <w:t xml:space="preserve"> DMPF), antrachinon, </w:t>
      </w:r>
      <w:proofErr w:type="spellStart"/>
      <w:r w:rsidRPr="005D058C">
        <w:rPr>
          <w:rFonts w:ascii="Arial" w:hAnsi="Arial" w:cs="Arial"/>
        </w:rPr>
        <w:t>bifenezat</w:t>
      </w:r>
      <w:proofErr w:type="spellEnd"/>
      <w:r w:rsidRPr="005D058C">
        <w:rPr>
          <w:rFonts w:ascii="Arial" w:hAnsi="Arial" w:cs="Arial"/>
        </w:rPr>
        <w:t xml:space="preserve">, DEET, </w:t>
      </w:r>
      <w:proofErr w:type="spellStart"/>
      <w:r w:rsidRPr="005D058C">
        <w:rPr>
          <w:rFonts w:ascii="Arial" w:hAnsi="Arial" w:cs="Arial"/>
        </w:rPr>
        <w:t>fenpiroksymat</w:t>
      </w:r>
      <w:proofErr w:type="spellEnd"/>
      <w:r w:rsidRPr="005D058C">
        <w:rPr>
          <w:rFonts w:ascii="Arial" w:hAnsi="Arial" w:cs="Arial"/>
        </w:rPr>
        <w:t xml:space="preserve">; </w:t>
      </w:r>
    </w:p>
    <w:p w14:paraId="1C81B5E5" w14:textId="23E3DA2F"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fungicydy z grupy </w:t>
      </w:r>
      <w:proofErr w:type="spellStart"/>
      <w:r w:rsidRPr="005D058C">
        <w:rPr>
          <w:rFonts w:ascii="Arial" w:hAnsi="Arial" w:cs="Arial"/>
        </w:rPr>
        <w:t>anilinopirimidyn</w:t>
      </w:r>
      <w:proofErr w:type="spellEnd"/>
      <w:r w:rsidRPr="005D058C">
        <w:rPr>
          <w:rFonts w:ascii="Arial" w:hAnsi="Arial" w:cs="Arial"/>
        </w:rPr>
        <w:t xml:space="preserve">: </w:t>
      </w:r>
      <w:proofErr w:type="spellStart"/>
      <w:r w:rsidRPr="005D058C">
        <w:rPr>
          <w:rFonts w:ascii="Arial" w:hAnsi="Arial" w:cs="Arial"/>
        </w:rPr>
        <w:t>cyprodynil</w:t>
      </w:r>
      <w:proofErr w:type="spellEnd"/>
      <w:r w:rsidRPr="005D058C">
        <w:rPr>
          <w:rFonts w:ascii="Arial" w:hAnsi="Arial" w:cs="Arial"/>
        </w:rPr>
        <w:t xml:space="preserve">, </w:t>
      </w:r>
      <w:proofErr w:type="spellStart"/>
      <w:r w:rsidRPr="005D058C">
        <w:rPr>
          <w:rFonts w:ascii="Arial" w:hAnsi="Arial" w:cs="Arial"/>
        </w:rPr>
        <w:t>pirymetanil</w:t>
      </w:r>
      <w:proofErr w:type="spellEnd"/>
      <w:r w:rsidRPr="005D058C">
        <w:rPr>
          <w:rFonts w:ascii="Arial" w:hAnsi="Arial" w:cs="Arial"/>
        </w:rPr>
        <w:t xml:space="preserve">; </w:t>
      </w:r>
    </w:p>
    <w:p w14:paraId="372BC48B" w14:textId="773600BB"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fungicydy z grupy </w:t>
      </w:r>
      <w:proofErr w:type="spellStart"/>
      <w:r w:rsidRPr="005D058C">
        <w:rPr>
          <w:rFonts w:ascii="Arial" w:hAnsi="Arial" w:cs="Arial"/>
        </w:rPr>
        <w:t>strobiluryn</w:t>
      </w:r>
      <w:proofErr w:type="spellEnd"/>
      <w:r w:rsidRPr="005D058C">
        <w:rPr>
          <w:rFonts w:ascii="Arial" w:hAnsi="Arial" w:cs="Arial"/>
        </w:rPr>
        <w:t xml:space="preserve">: </w:t>
      </w:r>
      <w:proofErr w:type="spellStart"/>
      <w:r w:rsidRPr="005D058C">
        <w:rPr>
          <w:rFonts w:ascii="Arial" w:hAnsi="Arial" w:cs="Arial"/>
        </w:rPr>
        <w:t>azoksystrobina</w:t>
      </w:r>
      <w:proofErr w:type="spellEnd"/>
      <w:r w:rsidRPr="005D058C">
        <w:rPr>
          <w:rFonts w:ascii="Arial" w:hAnsi="Arial" w:cs="Arial"/>
        </w:rPr>
        <w:t xml:space="preserve">, </w:t>
      </w:r>
      <w:proofErr w:type="spellStart"/>
      <w:r w:rsidRPr="005D058C">
        <w:rPr>
          <w:rFonts w:ascii="Arial" w:hAnsi="Arial" w:cs="Arial"/>
        </w:rPr>
        <w:t>dimoksystrobina</w:t>
      </w:r>
      <w:proofErr w:type="spellEnd"/>
      <w:r w:rsidRPr="005D058C">
        <w:rPr>
          <w:rFonts w:ascii="Arial" w:hAnsi="Arial" w:cs="Arial"/>
        </w:rPr>
        <w:t xml:space="preserve">, </w:t>
      </w:r>
      <w:proofErr w:type="spellStart"/>
      <w:r w:rsidRPr="005D058C">
        <w:rPr>
          <w:rFonts w:ascii="Arial" w:hAnsi="Arial" w:cs="Arial"/>
        </w:rPr>
        <w:t>fluoksastrobina</w:t>
      </w:r>
      <w:proofErr w:type="spellEnd"/>
      <w:r w:rsidRPr="005D058C">
        <w:rPr>
          <w:rFonts w:ascii="Arial" w:hAnsi="Arial" w:cs="Arial"/>
        </w:rPr>
        <w:t xml:space="preserve">, </w:t>
      </w:r>
      <w:proofErr w:type="spellStart"/>
      <w:r w:rsidRPr="005D058C">
        <w:rPr>
          <w:rFonts w:ascii="Arial" w:hAnsi="Arial" w:cs="Arial"/>
        </w:rPr>
        <w:t>piraklostrobina</w:t>
      </w:r>
      <w:proofErr w:type="spellEnd"/>
      <w:r w:rsidRPr="005D058C">
        <w:rPr>
          <w:rFonts w:ascii="Arial" w:hAnsi="Arial" w:cs="Arial"/>
        </w:rPr>
        <w:t xml:space="preserve">, </w:t>
      </w:r>
      <w:proofErr w:type="spellStart"/>
      <w:r w:rsidRPr="005D058C">
        <w:rPr>
          <w:rFonts w:ascii="Arial" w:hAnsi="Arial" w:cs="Arial"/>
        </w:rPr>
        <w:t>trifloksystrobina</w:t>
      </w:r>
      <w:proofErr w:type="spellEnd"/>
      <w:r w:rsidRPr="005D058C">
        <w:rPr>
          <w:rFonts w:ascii="Arial" w:hAnsi="Arial" w:cs="Arial"/>
        </w:rPr>
        <w:t xml:space="preserve">, THPI (produkt z rozkładu kaptanu); </w:t>
      </w:r>
    </w:p>
    <w:p w14:paraId="251FE4BC" w14:textId="6DC706F5"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fungicydy z grupy </w:t>
      </w:r>
      <w:proofErr w:type="spellStart"/>
      <w:r w:rsidRPr="005D058C">
        <w:rPr>
          <w:rFonts w:ascii="Arial" w:hAnsi="Arial" w:cs="Arial"/>
        </w:rPr>
        <w:t>karboksyamidów</w:t>
      </w:r>
      <w:proofErr w:type="spellEnd"/>
      <w:r w:rsidRPr="005D058C">
        <w:rPr>
          <w:rFonts w:ascii="Arial" w:hAnsi="Arial" w:cs="Arial"/>
        </w:rPr>
        <w:t xml:space="preserve">: </w:t>
      </w:r>
      <w:proofErr w:type="spellStart"/>
      <w:r w:rsidRPr="005D058C">
        <w:rPr>
          <w:rFonts w:ascii="Arial" w:hAnsi="Arial" w:cs="Arial"/>
        </w:rPr>
        <w:t>fluksapyroksad</w:t>
      </w:r>
      <w:proofErr w:type="spellEnd"/>
      <w:r w:rsidRPr="005D058C">
        <w:rPr>
          <w:rFonts w:ascii="Arial" w:hAnsi="Arial" w:cs="Arial"/>
        </w:rPr>
        <w:t xml:space="preserve">, </w:t>
      </w:r>
      <w:proofErr w:type="spellStart"/>
      <w:r w:rsidRPr="005D058C">
        <w:rPr>
          <w:rFonts w:ascii="Arial" w:hAnsi="Arial" w:cs="Arial"/>
        </w:rPr>
        <w:t>pentiopirad</w:t>
      </w:r>
      <w:proofErr w:type="spellEnd"/>
      <w:r w:rsidRPr="005D058C">
        <w:rPr>
          <w:rFonts w:ascii="Arial" w:hAnsi="Arial" w:cs="Arial"/>
        </w:rPr>
        <w:t xml:space="preserve">; </w:t>
      </w:r>
    </w:p>
    <w:p w14:paraId="5396CAC6" w14:textId="0762DD1E"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fungicydy z grupy triazoli: </w:t>
      </w:r>
      <w:proofErr w:type="spellStart"/>
      <w:r w:rsidRPr="005D058C">
        <w:rPr>
          <w:rFonts w:ascii="Arial" w:hAnsi="Arial" w:cs="Arial"/>
        </w:rPr>
        <w:t>difenokonazol</w:t>
      </w:r>
      <w:proofErr w:type="spellEnd"/>
      <w:r w:rsidRPr="005D058C">
        <w:rPr>
          <w:rFonts w:ascii="Arial" w:hAnsi="Arial" w:cs="Arial"/>
        </w:rPr>
        <w:t xml:space="preserve">, </w:t>
      </w:r>
      <w:proofErr w:type="spellStart"/>
      <w:r w:rsidRPr="005D058C">
        <w:rPr>
          <w:rFonts w:ascii="Arial" w:hAnsi="Arial" w:cs="Arial"/>
        </w:rPr>
        <w:t>metkonazol</w:t>
      </w:r>
      <w:proofErr w:type="spellEnd"/>
      <w:r w:rsidRPr="005D058C">
        <w:rPr>
          <w:rFonts w:ascii="Arial" w:hAnsi="Arial" w:cs="Arial"/>
        </w:rPr>
        <w:t xml:space="preserve">, </w:t>
      </w:r>
      <w:proofErr w:type="spellStart"/>
      <w:r w:rsidRPr="005D058C">
        <w:rPr>
          <w:rFonts w:ascii="Arial" w:hAnsi="Arial" w:cs="Arial"/>
        </w:rPr>
        <w:t>protiokonazol</w:t>
      </w:r>
      <w:proofErr w:type="spellEnd"/>
      <w:r w:rsidRPr="005D058C">
        <w:rPr>
          <w:rFonts w:ascii="Arial" w:hAnsi="Arial" w:cs="Arial"/>
        </w:rPr>
        <w:t xml:space="preserve">, </w:t>
      </w:r>
      <w:proofErr w:type="spellStart"/>
      <w:r w:rsidRPr="005D058C">
        <w:rPr>
          <w:rFonts w:ascii="Arial" w:hAnsi="Arial" w:cs="Arial"/>
        </w:rPr>
        <w:t>tebukonazol</w:t>
      </w:r>
      <w:proofErr w:type="spellEnd"/>
      <w:r w:rsidRPr="005D058C">
        <w:rPr>
          <w:rFonts w:ascii="Arial" w:hAnsi="Arial" w:cs="Arial"/>
        </w:rPr>
        <w:t xml:space="preserve">, </w:t>
      </w:r>
      <w:proofErr w:type="spellStart"/>
      <w:r w:rsidRPr="005D058C">
        <w:rPr>
          <w:rFonts w:ascii="Arial" w:hAnsi="Arial" w:cs="Arial"/>
        </w:rPr>
        <w:t>tetrakonazol</w:t>
      </w:r>
      <w:proofErr w:type="spellEnd"/>
      <w:r w:rsidRPr="005D058C">
        <w:rPr>
          <w:rFonts w:ascii="Arial" w:hAnsi="Arial" w:cs="Arial"/>
        </w:rPr>
        <w:t xml:space="preserve">; </w:t>
      </w:r>
    </w:p>
    <w:p w14:paraId="5AEDFCE6" w14:textId="76C981F7"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fungicydy pozostałe: </w:t>
      </w:r>
      <w:proofErr w:type="spellStart"/>
      <w:r w:rsidRPr="005D058C">
        <w:rPr>
          <w:rFonts w:ascii="Arial" w:hAnsi="Arial" w:cs="Arial"/>
        </w:rPr>
        <w:t>boskalid</w:t>
      </w:r>
      <w:proofErr w:type="spellEnd"/>
      <w:r w:rsidRPr="005D058C">
        <w:rPr>
          <w:rFonts w:ascii="Arial" w:hAnsi="Arial" w:cs="Arial"/>
        </w:rPr>
        <w:t xml:space="preserve">, </w:t>
      </w:r>
      <w:proofErr w:type="spellStart"/>
      <w:r w:rsidRPr="005D058C">
        <w:rPr>
          <w:rFonts w:ascii="Arial" w:hAnsi="Arial" w:cs="Arial"/>
        </w:rPr>
        <w:t>fenpropidyna</w:t>
      </w:r>
      <w:proofErr w:type="spellEnd"/>
      <w:r w:rsidRPr="005D058C">
        <w:rPr>
          <w:rFonts w:ascii="Arial" w:hAnsi="Arial" w:cs="Arial"/>
        </w:rPr>
        <w:t xml:space="preserve">, </w:t>
      </w:r>
      <w:proofErr w:type="spellStart"/>
      <w:r w:rsidRPr="005D058C">
        <w:rPr>
          <w:rFonts w:ascii="Arial" w:hAnsi="Arial" w:cs="Arial"/>
        </w:rPr>
        <w:t>fludioksonil</w:t>
      </w:r>
      <w:proofErr w:type="spellEnd"/>
      <w:r w:rsidRPr="005D058C">
        <w:rPr>
          <w:rFonts w:ascii="Arial" w:hAnsi="Arial" w:cs="Arial"/>
        </w:rPr>
        <w:t xml:space="preserve">, </w:t>
      </w:r>
      <w:proofErr w:type="spellStart"/>
      <w:r w:rsidRPr="005D058C">
        <w:rPr>
          <w:rFonts w:ascii="Arial" w:hAnsi="Arial" w:cs="Arial"/>
        </w:rPr>
        <w:t>fluopyram</w:t>
      </w:r>
      <w:proofErr w:type="spellEnd"/>
      <w:r w:rsidRPr="005D058C">
        <w:rPr>
          <w:rFonts w:ascii="Arial" w:hAnsi="Arial" w:cs="Arial"/>
        </w:rPr>
        <w:t xml:space="preserve">, kaptan, </w:t>
      </w:r>
      <w:proofErr w:type="spellStart"/>
      <w:r w:rsidRPr="005D058C">
        <w:rPr>
          <w:rFonts w:ascii="Arial" w:hAnsi="Arial" w:cs="Arial"/>
        </w:rPr>
        <w:t>karbendazym</w:t>
      </w:r>
      <w:proofErr w:type="spellEnd"/>
      <w:r w:rsidRPr="005D058C">
        <w:rPr>
          <w:rFonts w:ascii="Arial" w:hAnsi="Arial" w:cs="Arial"/>
        </w:rPr>
        <w:t xml:space="preserve"> (produkt z rozkładu </w:t>
      </w:r>
      <w:proofErr w:type="spellStart"/>
      <w:r w:rsidRPr="005D058C">
        <w:rPr>
          <w:rFonts w:ascii="Arial" w:hAnsi="Arial" w:cs="Arial"/>
        </w:rPr>
        <w:t>tiofanatu</w:t>
      </w:r>
      <w:proofErr w:type="spellEnd"/>
      <w:r w:rsidRPr="005D058C">
        <w:rPr>
          <w:rFonts w:ascii="Arial" w:hAnsi="Arial" w:cs="Arial"/>
        </w:rPr>
        <w:t xml:space="preserve"> metylowego), </w:t>
      </w:r>
      <w:proofErr w:type="spellStart"/>
      <w:r w:rsidRPr="005D058C">
        <w:rPr>
          <w:rFonts w:ascii="Arial" w:hAnsi="Arial" w:cs="Arial"/>
        </w:rPr>
        <w:t>spiroksamina</w:t>
      </w:r>
      <w:proofErr w:type="spellEnd"/>
      <w:r w:rsidRPr="005D058C">
        <w:rPr>
          <w:rFonts w:ascii="Arial" w:hAnsi="Arial" w:cs="Arial"/>
        </w:rPr>
        <w:t xml:space="preserve">, </w:t>
      </w:r>
      <w:proofErr w:type="spellStart"/>
      <w:r w:rsidRPr="005D058C">
        <w:rPr>
          <w:rFonts w:ascii="Arial" w:hAnsi="Arial" w:cs="Arial"/>
        </w:rPr>
        <w:t>tiofanat</w:t>
      </w:r>
      <w:proofErr w:type="spellEnd"/>
      <w:r w:rsidRPr="005D058C">
        <w:rPr>
          <w:rFonts w:ascii="Arial" w:hAnsi="Arial" w:cs="Arial"/>
        </w:rPr>
        <w:t xml:space="preserve"> metylowy, </w:t>
      </w:r>
      <w:proofErr w:type="spellStart"/>
      <w:r w:rsidRPr="005D058C">
        <w:rPr>
          <w:rFonts w:ascii="Arial" w:hAnsi="Arial" w:cs="Arial"/>
        </w:rPr>
        <w:t>tolilofluanid</w:t>
      </w:r>
      <w:proofErr w:type="spellEnd"/>
      <w:r w:rsidRPr="005D058C">
        <w:rPr>
          <w:rFonts w:ascii="Arial" w:hAnsi="Arial" w:cs="Arial"/>
        </w:rPr>
        <w:t>;</w:t>
      </w:r>
    </w:p>
    <w:p w14:paraId="770BDDC4" w14:textId="2B8BD82B"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herbicydy: </w:t>
      </w:r>
      <w:proofErr w:type="spellStart"/>
      <w:r w:rsidRPr="005D058C">
        <w:rPr>
          <w:rFonts w:ascii="Arial" w:hAnsi="Arial" w:cs="Arial"/>
        </w:rPr>
        <w:t>chloroprofam</w:t>
      </w:r>
      <w:proofErr w:type="spellEnd"/>
      <w:r w:rsidRPr="005D058C">
        <w:rPr>
          <w:rFonts w:ascii="Arial" w:hAnsi="Arial" w:cs="Arial"/>
        </w:rPr>
        <w:t xml:space="preserve">, </w:t>
      </w:r>
      <w:proofErr w:type="spellStart"/>
      <w:r w:rsidRPr="005D058C">
        <w:rPr>
          <w:rFonts w:ascii="Arial" w:hAnsi="Arial" w:cs="Arial"/>
        </w:rPr>
        <w:t>metolachlor</w:t>
      </w:r>
      <w:proofErr w:type="spellEnd"/>
      <w:r w:rsidRPr="005D058C">
        <w:rPr>
          <w:rFonts w:ascii="Arial" w:hAnsi="Arial" w:cs="Arial"/>
        </w:rPr>
        <w:t xml:space="preserve">, </w:t>
      </w:r>
      <w:proofErr w:type="spellStart"/>
      <w:r w:rsidRPr="005D058C">
        <w:rPr>
          <w:rFonts w:ascii="Arial" w:hAnsi="Arial" w:cs="Arial"/>
        </w:rPr>
        <w:t>napropamid</w:t>
      </w:r>
      <w:proofErr w:type="spellEnd"/>
      <w:r w:rsidRPr="005D058C">
        <w:rPr>
          <w:rFonts w:ascii="Arial" w:hAnsi="Arial" w:cs="Arial"/>
        </w:rPr>
        <w:t xml:space="preserve">, </w:t>
      </w:r>
      <w:proofErr w:type="spellStart"/>
      <w:r w:rsidRPr="005D058C">
        <w:rPr>
          <w:rFonts w:ascii="Arial" w:hAnsi="Arial" w:cs="Arial"/>
        </w:rPr>
        <w:t>pendimetalina</w:t>
      </w:r>
      <w:proofErr w:type="spellEnd"/>
      <w:r w:rsidRPr="005D058C">
        <w:rPr>
          <w:rFonts w:ascii="Arial" w:hAnsi="Arial" w:cs="Arial"/>
        </w:rPr>
        <w:t xml:space="preserve">, </w:t>
      </w:r>
      <w:proofErr w:type="spellStart"/>
      <w:r w:rsidRPr="005D058C">
        <w:rPr>
          <w:rFonts w:ascii="Arial" w:hAnsi="Arial" w:cs="Arial"/>
        </w:rPr>
        <w:t>prosulfokarb</w:t>
      </w:r>
      <w:proofErr w:type="spellEnd"/>
      <w:r w:rsidRPr="005D058C">
        <w:rPr>
          <w:rFonts w:ascii="Arial" w:hAnsi="Arial" w:cs="Arial"/>
        </w:rPr>
        <w:t>;</w:t>
      </w:r>
    </w:p>
    <w:p w14:paraId="1D479CB8" w14:textId="2EF0B1C7"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regulatory wzrostu/inne: </w:t>
      </w:r>
      <w:proofErr w:type="spellStart"/>
      <w:r w:rsidRPr="005D058C">
        <w:rPr>
          <w:rFonts w:ascii="Arial" w:hAnsi="Arial" w:cs="Arial"/>
        </w:rPr>
        <w:t>piperonylobutoksyd</w:t>
      </w:r>
      <w:proofErr w:type="spellEnd"/>
      <w:r w:rsidRPr="005D058C">
        <w:rPr>
          <w:rFonts w:ascii="Arial" w:hAnsi="Arial" w:cs="Arial"/>
        </w:rPr>
        <w:t xml:space="preserve">. </w:t>
      </w:r>
    </w:p>
    <w:p w14:paraId="5F5403B4" w14:textId="3C6C1EF0" w:rsidR="00991723" w:rsidRPr="00FE1F8F" w:rsidRDefault="00991723" w:rsidP="00FE1F8F">
      <w:pPr>
        <w:pStyle w:val="NormalnyWeb"/>
        <w:tabs>
          <w:tab w:val="left" w:pos="284"/>
        </w:tabs>
        <w:spacing w:beforeAutospacing="0" w:after="120" w:afterAutospacing="0" w:line="360" w:lineRule="auto"/>
        <w:ind w:firstLine="284"/>
        <w:jc w:val="both"/>
        <w:rPr>
          <w:rFonts w:ascii="Arial" w:hAnsi="Arial" w:cs="Arial"/>
        </w:rPr>
      </w:pPr>
      <w:r w:rsidRPr="00FE1F8F">
        <w:rPr>
          <w:rFonts w:ascii="Arial" w:hAnsi="Arial" w:cs="Arial"/>
        </w:rPr>
        <w:t xml:space="preserve">Wśród substancji czynnych środków ochrony roślin i ich metabolitów w badanych próbkach </w:t>
      </w:r>
      <w:bookmarkStart w:id="89" w:name="_Hlk91664611"/>
      <w:r w:rsidRPr="00FE1F8F">
        <w:rPr>
          <w:rFonts w:ascii="Arial" w:hAnsi="Arial" w:cs="Arial"/>
        </w:rPr>
        <w:t xml:space="preserve">wykryto 5 substancji, których stosowanie jest niedozwolone na terenie Unii Europejskiej w chemicznej ochronie upraw – </w:t>
      </w:r>
      <w:proofErr w:type="spellStart"/>
      <w:r w:rsidRPr="00FE1F8F">
        <w:rPr>
          <w:rFonts w:ascii="Arial" w:hAnsi="Arial" w:cs="Arial"/>
        </w:rPr>
        <w:t>chloropiryfos</w:t>
      </w:r>
      <w:proofErr w:type="spellEnd"/>
      <w:r w:rsidRPr="00FE1F8F">
        <w:rPr>
          <w:rFonts w:ascii="Arial" w:hAnsi="Arial" w:cs="Arial"/>
        </w:rPr>
        <w:t xml:space="preserve">, </w:t>
      </w:r>
      <w:proofErr w:type="spellStart"/>
      <w:r w:rsidRPr="00FE1F8F">
        <w:rPr>
          <w:rFonts w:ascii="Arial" w:hAnsi="Arial" w:cs="Arial"/>
        </w:rPr>
        <w:t>chloroprofam</w:t>
      </w:r>
      <w:proofErr w:type="spellEnd"/>
      <w:r w:rsidRPr="00FE1F8F">
        <w:rPr>
          <w:rFonts w:ascii="Arial" w:hAnsi="Arial" w:cs="Arial"/>
        </w:rPr>
        <w:t xml:space="preserve">, </w:t>
      </w:r>
      <w:proofErr w:type="spellStart"/>
      <w:r w:rsidRPr="00FE1F8F">
        <w:rPr>
          <w:rFonts w:ascii="Arial" w:hAnsi="Arial" w:cs="Arial"/>
        </w:rPr>
        <w:t>dimetoat</w:t>
      </w:r>
      <w:proofErr w:type="spellEnd"/>
      <w:r w:rsidRPr="00FE1F8F">
        <w:rPr>
          <w:rFonts w:ascii="Arial" w:hAnsi="Arial" w:cs="Arial"/>
        </w:rPr>
        <w:t xml:space="preserve">, </w:t>
      </w:r>
      <w:proofErr w:type="spellStart"/>
      <w:r w:rsidRPr="00FE1F8F">
        <w:rPr>
          <w:rFonts w:ascii="Arial" w:hAnsi="Arial" w:cs="Arial"/>
        </w:rPr>
        <w:t>tiaklopryd</w:t>
      </w:r>
      <w:proofErr w:type="spellEnd"/>
      <w:r w:rsidRPr="00FE1F8F">
        <w:rPr>
          <w:rFonts w:ascii="Arial" w:hAnsi="Arial" w:cs="Arial"/>
        </w:rPr>
        <w:t xml:space="preserve">, </w:t>
      </w:r>
      <w:proofErr w:type="spellStart"/>
      <w:r w:rsidRPr="00FE1F8F">
        <w:rPr>
          <w:rFonts w:ascii="Arial" w:hAnsi="Arial" w:cs="Arial"/>
        </w:rPr>
        <w:t>tolilofluanid</w:t>
      </w:r>
      <w:proofErr w:type="spellEnd"/>
      <w:r w:rsidRPr="00FE1F8F">
        <w:rPr>
          <w:rFonts w:ascii="Arial" w:hAnsi="Arial" w:cs="Arial"/>
        </w:rPr>
        <w:t xml:space="preserve">. </w:t>
      </w:r>
    </w:p>
    <w:bookmarkEnd w:id="89"/>
    <w:p w14:paraId="351EE775" w14:textId="77777777" w:rsidR="00991723" w:rsidRPr="00FE1F8F" w:rsidRDefault="00991723" w:rsidP="00FE1F8F">
      <w:pPr>
        <w:pStyle w:val="NormalnyWeb"/>
        <w:tabs>
          <w:tab w:val="left" w:pos="284"/>
        </w:tabs>
        <w:spacing w:beforeAutospacing="0" w:after="120" w:afterAutospacing="0" w:line="360" w:lineRule="auto"/>
        <w:ind w:firstLine="284"/>
        <w:jc w:val="both"/>
        <w:rPr>
          <w:rFonts w:ascii="Arial" w:hAnsi="Arial" w:cs="Arial"/>
        </w:rPr>
      </w:pPr>
      <w:r w:rsidRPr="00FE1F8F">
        <w:rPr>
          <w:rFonts w:ascii="Arial" w:hAnsi="Arial" w:cs="Arial"/>
        </w:rPr>
        <w:t>Analizując poszczególne grupy produktów pszczelich stwierdzono, że:</w:t>
      </w:r>
    </w:p>
    <w:p w14:paraId="7DA24FE3" w14:textId="462B0281" w:rsidR="00991723" w:rsidRPr="005816A6"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816A6">
        <w:rPr>
          <w:rFonts w:ascii="Arial" w:hAnsi="Arial" w:cs="Arial"/>
        </w:rPr>
        <w:t xml:space="preserve">wszystkie próbki pokarmu białkowego (pyłek, pierzga, pyłek z gniazd) zawierały pozostałości. </w:t>
      </w:r>
    </w:p>
    <w:p w14:paraId="56DFB63E" w14:textId="7AF5F756" w:rsidR="00991723" w:rsidRPr="005816A6"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816A6">
        <w:rPr>
          <w:rFonts w:ascii="Arial" w:hAnsi="Arial" w:cs="Arial"/>
        </w:rPr>
        <w:t xml:space="preserve">wszystkie próbki pokarmu cukrowego (miód, nakrop) zawierały pozostałości. </w:t>
      </w:r>
    </w:p>
    <w:p w14:paraId="5F5F4F40" w14:textId="04B7F10C" w:rsidR="00991723" w:rsidRPr="005816A6"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816A6">
        <w:rPr>
          <w:rFonts w:ascii="Arial" w:hAnsi="Arial" w:cs="Arial"/>
        </w:rPr>
        <w:t xml:space="preserve">z 24 próbek wosku, w 22 stwierdzono obecność pozostałości. </w:t>
      </w:r>
    </w:p>
    <w:p w14:paraId="66702536" w14:textId="7EF3FF9A" w:rsidR="00991723" w:rsidRPr="00937E77" w:rsidRDefault="00991723" w:rsidP="00937E77">
      <w:pPr>
        <w:pStyle w:val="NormalnyWeb"/>
        <w:tabs>
          <w:tab w:val="left" w:pos="284"/>
        </w:tabs>
        <w:spacing w:beforeAutospacing="0" w:after="120" w:afterAutospacing="0" w:line="360" w:lineRule="auto"/>
        <w:ind w:firstLine="284"/>
        <w:jc w:val="both"/>
        <w:rPr>
          <w:rFonts w:ascii="Arial" w:hAnsi="Arial" w:cs="Arial"/>
        </w:rPr>
      </w:pPr>
      <w:r w:rsidRPr="00937E77">
        <w:rPr>
          <w:rFonts w:ascii="Arial" w:hAnsi="Arial" w:cs="Arial"/>
        </w:rPr>
        <w:t>Z analizy planów obserwacji kontrolnych i rejestru zabiegów biologicznej i chemicznej ochrony roślin z sadów konwencjonalnych wynika, że do momentu poboru prób (24.05.2021</w:t>
      </w:r>
      <w:r w:rsidR="00A43B9E">
        <w:rPr>
          <w:rFonts w:ascii="Arial" w:hAnsi="Arial" w:cs="Arial"/>
        </w:rPr>
        <w:t> </w:t>
      </w:r>
      <w:r w:rsidRPr="00937E77">
        <w:rPr>
          <w:rFonts w:ascii="Arial" w:hAnsi="Arial" w:cs="Arial"/>
        </w:rPr>
        <w:t xml:space="preserve">r.), w sadach zastosowano środki chemicznej ochrony roślin zawierające następujące substancje aktywne: </w:t>
      </w:r>
      <w:proofErr w:type="spellStart"/>
      <w:r w:rsidRPr="00937E77">
        <w:rPr>
          <w:rFonts w:ascii="Arial" w:hAnsi="Arial" w:cs="Arial"/>
        </w:rPr>
        <w:t>tlenchlorek</w:t>
      </w:r>
      <w:proofErr w:type="spellEnd"/>
      <w:r w:rsidRPr="00937E77">
        <w:rPr>
          <w:rFonts w:ascii="Arial" w:hAnsi="Arial" w:cs="Arial"/>
        </w:rPr>
        <w:t xml:space="preserve"> miedziowy, </w:t>
      </w:r>
      <w:proofErr w:type="spellStart"/>
      <w:r w:rsidRPr="00937E77">
        <w:rPr>
          <w:rFonts w:ascii="Arial" w:hAnsi="Arial" w:cs="Arial"/>
        </w:rPr>
        <w:t>ditianon</w:t>
      </w:r>
      <w:proofErr w:type="spellEnd"/>
      <w:r w:rsidRPr="00937E77">
        <w:rPr>
          <w:rFonts w:ascii="Arial" w:hAnsi="Arial" w:cs="Arial"/>
        </w:rPr>
        <w:t xml:space="preserve"> (związek z grupy </w:t>
      </w:r>
      <w:proofErr w:type="spellStart"/>
      <w:r w:rsidRPr="00937E77">
        <w:rPr>
          <w:rFonts w:ascii="Arial" w:hAnsi="Arial" w:cs="Arial"/>
        </w:rPr>
        <w:t>antrochinonów</w:t>
      </w:r>
      <w:proofErr w:type="spellEnd"/>
      <w:r w:rsidRPr="00937E77">
        <w:rPr>
          <w:rFonts w:ascii="Arial" w:hAnsi="Arial" w:cs="Arial"/>
        </w:rPr>
        <w:t xml:space="preserve">), </w:t>
      </w:r>
      <w:proofErr w:type="spellStart"/>
      <w:r w:rsidRPr="00937E77">
        <w:rPr>
          <w:rFonts w:ascii="Arial" w:hAnsi="Arial" w:cs="Arial"/>
        </w:rPr>
        <w:t>pirymetanil</w:t>
      </w:r>
      <w:proofErr w:type="spellEnd"/>
      <w:r w:rsidRPr="00937E77">
        <w:rPr>
          <w:rFonts w:ascii="Arial" w:hAnsi="Arial" w:cs="Arial"/>
        </w:rPr>
        <w:t xml:space="preserve">, siarka – 80%, </w:t>
      </w:r>
      <w:proofErr w:type="spellStart"/>
      <w:r w:rsidRPr="00937E77">
        <w:rPr>
          <w:rFonts w:ascii="Arial" w:hAnsi="Arial" w:cs="Arial"/>
        </w:rPr>
        <w:t>fluksapyroksad</w:t>
      </w:r>
      <w:proofErr w:type="spellEnd"/>
      <w:r w:rsidRPr="00937E77">
        <w:rPr>
          <w:rFonts w:ascii="Arial" w:hAnsi="Arial" w:cs="Arial"/>
        </w:rPr>
        <w:t xml:space="preserve">, </w:t>
      </w:r>
      <w:proofErr w:type="spellStart"/>
      <w:r w:rsidRPr="00937E77">
        <w:rPr>
          <w:rFonts w:ascii="Arial" w:hAnsi="Arial" w:cs="Arial"/>
        </w:rPr>
        <w:t>pentiopirad</w:t>
      </w:r>
      <w:proofErr w:type="spellEnd"/>
      <w:r w:rsidRPr="00937E77">
        <w:rPr>
          <w:rFonts w:ascii="Arial" w:hAnsi="Arial" w:cs="Arial"/>
        </w:rPr>
        <w:t xml:space="preserve">. Wszystkie wymienione substancje są składnikami preparatów grzybobójczych. Spośród zastosowanych środków wykryto pozostałości </w:t>
      </w:r>
      <w:proofErr w:type="spellStart"/>
      <w:r w:rsidRPr="00937E77">
        <w:rPr>
          <w:rFonts w:ascii="Arial" w:hAnsi="Arial" w:cs="Arial"/>
        </w:rPr>
        <w:t>pentiopiradu</w:t>
      </w:r>
      <w:proofErr w:type="spellEnd"/>
      <w:r w:rsidRPr="00937E77">
        <w:rPr>
          <w:rFonts w:ascii="Arial" w:hAnsi="Arial" w:cs="Arial"/>
        </w:rPr>
        <w:t xml:space="preserve">, </w:t>
      </w:r>
      <w:proofErr w:type="spellStart"/>
      <w:r w:rsidRPr="00937E77">
        <w:rPr>
          <w:rFonts w:ascii="Arial" w:hAnsi="Arial" w:cs="Arial"/>
        </w:rPr>
        <w:t>pirymetanilu</w:t>
      </w:r>
      <w:proofErr w:type="spellEnd"/>
      <w:r w:rsidRPr="00937E77">
        <w:rPr>
          <w:rFonts w:ascii="Arial" w:hAnsi="Arial" w:cs="Arial"/>
        </w:rPr>
        <w:t xml:space="preserve"> i </w:t>
      </w:r>
      <w:proofErr w:type="spellStart"/>
      <w:r w:rsidRPr="00937E77">
        <w:rPr>
          <w:rFonts w:ascii="Arial" w:hAnsi="Arial" w:cs="Arial"/>
        </w:rPr>
        <w:t>fluksapyroksadu</w:t>
      </w:r>
      <w:proofErr w:type="spellEnd"/>
      <w:r w:rsidRPr="00937E77">
        <w:rPr>
          <w:rFonts w:ascii="Arial" w:hAnsi="Arial" w:cs="Arial"/>
        </w:rPr>
        <w:t xml:space="preserve"> w następujących produktach pszczelich:</w:t>
      </w:r>
    </w:p>
    <w:p w14:paraId="77507616" w14:textId="5477DDDD"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 xml:space="preserve">pyłek pszczeli – </w:t>
      </w:r>
      <w:proofErr w:type="spellStart"/>
      <w:r w:rsidRPr="00937E77">
        <w:rPr>
          <w:rFonts w:ascii="Arial" w:hAnsi="Arial" w:cs="Arial"/>
        </w:rPr>
        <w:t>pentiopirad</w:t>
      </w:r>
      <w:proofErr w:type="spellEnd"/>
      <w:r w:rsidRPr="00937E77">
        <w:rPr>
          <w:rFonts w:ascii="Arial" w:hAnsi="Arial" w:cs="Arial"/>
        </w:rPr>
        <w:t xml:space="preserve"> (9); </w:t>
      </w:r>
      <w:proofErr w:type="spellStart"/>
      <w:r w:rsidRPr="00937E77">
        <w:rPr>
          <w:rFonts w:ascii="Arial" w:hAnsi="Arial" w:cs="Arial"/>
        </w:rPr>
        <w:t>pirymetanil</w:t>
      </w:r>
      <w:proofErr w:type="spellEnd"/>
      <w:r w:rsidRPr="00937E77">
        <w:rPr>
          <w:rFonts w:ascii="Arial" w:hAnsi="Arial" w:cs="Arial"/>
        </w:rPr>
        <w:t xml:space="preserve"> (9),</w:t>
      </w:r>
    </w:p>
    <w:p w14:paraId="64CF124A" w14:textId="0141B5A5"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 xml:space="preserve">pierzga pszczela – </w:t>
      </w:r>
      <w:proofErr w:type="spellStart"/>
      <w:r w:rsidRPr="00937E77">
        <w:rPr>
          <w:rFonts w:ascii="Arial" w:hAnsi="Arial" w:cs="Arial"/>
        </w:rPr>
        <w:t>pentiopirad</w:t>
      </w:r>
      <w:proofErr w:type="spellEnd"/>
      <w:r w:rsidRPr="00937E77">
        <w:rPr>
          <w:rFonts w:ascii="Arial" w:hAnsi="Arial" w:cs="Arial"/>
        </w:rPr>
        <w:t xml:space="preserve"> (9); </w:t>
      </w:r>
      <w:proofErr w:type="spellStart"/>
      <w:r w:rsidRPr="00937E77">
        <w:rPr>
          <w:rFonts w:ascii="Arial" w:hAnsi="Arial" w:cs="Arial"/>
        </w:rPr>
        <w:t>pirymetanil</w:t>
      </w:r>
      <w:proofErr w:type="spellEnd"/>
      <w:r w:rsidRPr="00937E77">
        <w:rPr>
          <w:rFonts w:ascii="Arial" w:hAnsi="Arial" w:cs="Arial"/>
        </w:rPr>
        <w:t xml:space="preserve"> (10),</w:t>
      </w:r>
    </w:p>
    <w:p w14:paraId="76FD9B16" w14:textId="10CDC887"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 xml:space="preserve">pyłek z gniazd trzmieli – </w:t>
      </w:r>
      <w:proofErr w:type="spellStart"/>
      <w:r w:rsidRPr="00937E77">
        <w:rPr>
          <w:rFonts w:ascii="Arial" w:hAnsi="Arial" w:cs="Arial"/>
        </w:rPr>
        <w:t>pentiopirad</w:t>
      </w:r>
      <w:proofErr w:type="spellEnd"/>
      <w:r w:rsidRPr="00937E77">
        <w:rPr>
          <w:rFonts w:ascii="Arial" w:hAnsi="Arial" w:cs="Arial"/>
        </w:rPr>
        <w:t xml:space="preserve"> (10); </w:t>
      </w:r>
      <w:proofErr w:type="spellStart"/>
      <w:r w:rsidRPr="00937E77">
        <w:rPr>
          <w:rFonts w:ascii="Arial" w:hAnsi="Arial" w:cs="Arial"/>
        </w:rPr>
        <w:t>pirymetanil</w:t>
      </w:r>
      <w:proofErr w:type="spellEnd"/>
      <w:r w:rsidRPr="00937E77">
        <w:rPr>
          <w:rFonts w:ascii="Arial" w:hAnsi="Arial" w:cs="Arial"/>
        </w:rPr>
        <w:t xml:space="preserve"> (10); </w:t>
      </w:r>
      <w:proofErr w:type="spellStart"/>
      <w:r w:rsidRPr="00937E77">
        <w:rPr>
          <w:rFonts w:ascii="Arial" w:hAnsi="Arial" w:cs="Arial"/>
        </w:rPr>
        <w:t>fluksapyroksad</w:t>
      </w:r>
      <w:proofErr w:type="spellEnd"/>
      <w:r w:rsidRPr="00937E77">
        <w:rPr>
          <w:rFonts w:ascii="Arial" w:hAnsi="Arial" w:cs="Arial"/>
        </w:rPr>
        <w:t xml:space="preserve"> (9),</w:t>
      </w:r>
    </w:p>
    <w:p w14:paraId="7A33A502" w14:textId="333FF47A"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 xml:space="preserve">pyłek z gniazd murarki – </w:t>
      </w:r>
      <w:proofErr w:type="spellStart"/>
      <w:r w:rsidRPr="00937E77">
        <w:rPr>
          <w:rFonts w:ascii="Arial" w:hAnsi="Arial" w:cs="Arial"/>
        </w:rPr>
        <w:t>pentiopirad</w:t>
      </w:r>
      <w:proofErr w:type="spellEnd"/>
      <w:r w:rsidRPr="00937E77">
        <w:rPr>
          <w:rFonts w:ascii="Arial" w:hAnsi="Arial" w:cs="Arial"/>
        </w:rPr>
        <w:t xml:space="preserve"> (6); </w:t>
      </w:r>
      <w:proofErr w:type="spellStart"/>
      <w:r w:rsidRPr="00937E77">
        <w:rPr>
          <w:rFonts w:ascii="Arial" w:hAnsi="Arial" w:cs="Arial"/>
        </w:rPr>
        <w:t>pirymetanil</w:t>
      </w:r>
      <w:proofErr w:type="spellEnd"/>
      <w:r w:rsidRPr="00937E77">
        <w:rPr>
          <w:rFonts w:ascii="Arial" w:hAnsi="Arial" w:cs="Arial"/>
        </w:rPr>
        <w:t xml:space="preserve"> (6); </w:t>
      </w:r>
      <w:proofErr w:type="spellStart"/>
      <w:r w:rsidRPr="00937E77">
        <w:rPr>
          <w:rFonts w:ascii="Arial" w:hAnsi="Arial" w:cs="Arial"/>
        </w:rPr>
        <w:t>fluksapyroksad</w:t>
      </w:r>
      <w:proofErr w:type="spellEnd"/>
      <w:r w:rsidRPr="00937E77">
        <w:rPr>
          <w:rFonts w:ascii="Arial" w:hAnsi="Arial" w:cs="Arial"/>
        </w:rPr>
        <w:t xml:space="preserve"> (6),</w:t>
      </w:r>
    </w:p>
    <w:p w14:paraId="2A4E2E0C" w14:textId="54EE6414"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 xml:space="preserve">nakrop z gniazd trzmiela – </w:t>
      </w:r>
      <w:proofErr w:type="spellStart"/>
      <w:r w:rsidRPr="00937E77">
        <w:rPr>
          <w:rFonts w:ascii="Arial" w:hAnsi="Arial" w:cs="Arial"/>
        </w:rPr>
        <w:t>pirymetanil</w:t>
      </w:r>
      <w:proofErr w:type="spellEnd"/>
      <w:r w:rsidRPr="00937E77">
        <w:rPr>
          <w:rFonts w:ascii="Arial" w:hAnsi="Arial" w:cs="Arial"/>
        </w:rPr>
        <w:t xml:space="preserve"> (4)</w:t>
      </w:r>
      <w:r w:rsidR="002C2375">
        <w:rPr>
          <w:rFonts w:ascii="Arial" w:hAnsi="Arial" w:cs="Arial"/>
        </w:rPr>
        <w:t>,</w:t>
      </w:r>
    </w:p>
    <w:p w14:paraId="144940A1" w14:textId="15EF2C23"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lastRenderedPageBreak/>
        <w:t xml:space="preserve">wosk pszczeli – </w:t>
      </w:r>
      <w:proofErr w:type="spellStart"/>
      <w:r w:rsidRPr="00937E77">
        <w:rPr>
          <w:rFonts w:ascii="Arial" w:hAnsi="Arial" w:cs="Arial"/>
        </w:rPr>
        <w:t>pentiopirad</w:t>
      </w:r>
      <w:proofErr w:type="spellEnd"/>
      <w:r w:rsidRPr="00937E77">
        <w:rPr>
          <w:rFonts w:ascii="Arial" w:hAnsi="Arial" w:cs="Arial"/>
        </w:rPr>
        <w:t xml:space="preserve"> (2); </w:t>
      </w:r>
      <w:proofErr w:type="spellStart"/>
      <w:r w:rsidRPr="00937E77">
        <w:rPr>
          <w:rFonts w:ascii="Arial" w:hAnsi="Arial" w:cs="Arial"/>
        </w:rPr>
        <w:t>pirymetanil</w:t>
      </w:r>
      <w:proofErr w:type="spellEnd"/>
      <w:r w:rsidRPr="00937E77">
        <w:rPr>
          <w:rFonts w:ascii="Arial" w:hAnsi="Arial" w:cs="Arial"/>
        </w:rPr>
        <w:t xml:space="preserve"> (1)</w:t>
      </w:r>
      <w:r w:rsidR="002C2375">
        <w:rPr>
          <w:rFonts w:ascii="Arial" w:hAnsi="Arial" w:cs="Arial"/>
        </w:rPr>
        <w:t>,</w:t>
      </w:r>
    </w:p>
    <w:p w14:paraId="594111CA" w14:textId="25944581"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 xml:space="preserve">wosk trzmieli – </w:t>
      </w:r>
      <w:proofErr w:type="spellStart"/>
      <w:r w:rsidRPr="00937E77">
        <w:rPr>
          <w:rFonts w:ascii="Arial" w:hAnsi="Arial" w:cs="Arial"/>
        </w:rPr>
        <w:t>pentiopirad</w:t>
      </w:r>
      <w:proofErr w:type="spellEnd"/>
      <w:r w:rsidRPr="00937E77">
        <w:rPr>
          <w:rFonts w:ascii="Arial" w:hAnsi="Arial" w:cs="Arial"/>
        </w:rPr>
        <w:t xml:space="preserve"> (6); </w:t>
      </w:r>
      <w:proofErr w:type="spellStart"/>
      <w:r w:rsidRPr="00937E77">
        <w:rPr>
          <w:rFonts w:ascii="Arial" w:hAnsi="Arial" w:cs="Arial"/>
        </w:rPr>
        <w:t>pirymetanil</w:t>
      </w:r>
      <w:proofErr w:type="spellEnd"/>
      <w:r w:rsidRPr="00937E77">
        <w:rPr>
          <w:rFonts w:ascii="Arial" w:hAnsi="Arial" w:cs="Arial"/>
        </w:rPr>
        <w:t xml:space="preserve"> (6); </w:t>
      </w:r>
      <w:proofErr w:type="spellStart"/>
      <w:r w:rsidRPr="00937E77">
        <w:rPr>
          <w:rFonts w:ascii="Arial" w:hAnsi="Arial" w:cs="Arial"/>
        </w:rPr>
        <w:t>fluksapyroksad</w:t>
      </w:r>
      <w:proofErr w:type="spellEnd"/>
      <w:r w:rsidRPr="00937E77">
        <w:rPr>
          <w:rFonts w:ascii="Arial" w:hAnsi="Arial" w:cs="Arial"/>
        </w:rPr>
        <w:t xml:space="preserve"> (6).</w:t>
      </w:r>
    </w:p>
    <w:p w14:paraId="657071A7" w14:textId="77777777" w:rsidR="00056846" w:rsidRPr="00925BCD" w:rsidRDefault="00E54725">
      <w:pPr>
        <w:pStyle w:val="Nagwek2"/>
        <w:jc w:val="both"/>
        <w:rPr>
          <w:i w:val="0"/>
          <w:sz w:val="20"/>
          <w:szCs w:val="20"/>
        </w:rPr>
      </w:pPr>
      <w:bookmarkStart w:id="90" w:name="_Toc134099281"/>
      <w:r w:rsidRPr="00925BCD">
        <w:rPr>
          <w:i w:val="0"/>
          <w:sz w:val="20"/>
          <w:szCs w:val="20"/>
        </w:rPr>
        <w:t>Zadanie 11. Monitoring odporności agrofagów na środki ochrony roślin oraz ograniczanie tego zjawiska</w:t>
      </w:r>
      <w:bookmarkEnd w:id="90"/>
    </w:p>
    <w:p w14:paraId="25C4FB39"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Podstawową zasadą integrowanej ochrony roślin jest ograniczenie stosowania chemicznych środków ochrony roślin do niezbędnego minimum. Zjawisko odporności agrofagów na środki ochrony roślin to obecnie bardzo często występująca przyczyna nieskuteczności zabiegu chemicznego. Zjawisko to wymusza intensyfikację zabiegów chemicznych, co jest sprzeczne z założeniami integrowanej ochrony roślin. W rezultacie do środowiska przyrodniczego dostaje się znacznie więcej substancji chemicznych. Również straty ekonomiczne w rolnictwie powstałe na skutek uodparniania się agrofagów są często bardzo duże (spadek plonowania roślin, wyższe koszty związane z częstszym wykonywaniem zabiegów chemicznych). </w:t>
      </w:r>
    </w:p>
    <w:p w14:paraId="10E66E3C"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Odporność agrofagów jest zjawiskiem dynamicznym, które stale ulega różnym zmianom i w związku z tym wymaga stałego monitorowania. Obecnie zjawisko to występuje w Polsce powszechnie i dotyczy środków ochrony roślin z grupy insektycydów, fungicydów, herbicydów oraz z innych grup środków chemicznych i biologicznych. Jako przykłady gatunków agrofagów o szczególnym znaczeniu z gospodarczego punktu widzenia, których odporność na środki chemiczne powoduje znaczne straty w rolnictwie, mogą posłużyć: słodyszek rzepakowy, chowacz </w:t>
      </w:r>
      <w:proofErr w:type="spellStart"/>
      <w:r w:rsidRPr="00925BCD">
        <w:rPr>
          <w:rFonts w:ascii="Arial" w:hAnsi="Arial" w:cs="Arial"/>
        </w:rPr>
        <w:t>podobnik</w:t>
      </w:r>
      <w:proofErr w:type="spellEnd"/>
      <w:r w:rsidRPr="00925BCD">
        <w:rPr>
          <w:rFonts w:ascii="Arial" w:hAnsi="Arial" w:cs="Arial"/>
        </w:rPr>
        <w:t xml:space="preserve">, mszyca brzoskwiniowa w rzepaku, chwościk buraka czy miotła zbożowa. </w:t>
      </w:r>
    </w:p>
    <w:p w14:paraId="731FB3EF" w14:textId="2F16194B" w:rsidR="00056846"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E84120">
        <w:rPr>
          <w:rFonts w:ascii="Arial" w:hAnsi="Arial" w:cs="Arial"/>
        </w:rPr>
        <w:t xml:space="preserve">latach </w:t>
      </w:r>
      <w:r w:rsidRPr="00925BCD">
        <w:rPr>
          <w:rFonts w:ascii="Arial" w:hAnsi="Arial" w:cs="Arial"/>
        </w:rPr>
        <w:t>2018</w:t>
      </w:r>
      <w:r w:rsidR="004849DE" w:rsidRPr="00772A61">
        <w:rPr>
          <w:rFonts w:ascii="Arial" w:hAnsi="Arial" w:cs="Arial"/>
        </w:rPr>
        <w:t>–</w:t>
      </w:r>
      <w:r w:rsidR="00E84120">
        <w:rPr>
          <w:rFonts w:ascii="Arial" w:hAnsi="Arial" w:cs="Arial"/>
        </w:rPr>
        <w:t>2020</w:t>
      </w:r>
      <w:r w:rsidRPr="00925BCD">
        <w:rPr>
          <w:rFonts w:ascii="Arial" w:hAnsi="Arial" w:cs="Arial"/>
        </w:rPr>
        <w:t xml:space="preserve"> zbierano informacje na temat braku skuteczności zabiegów chemicznych. Prowadzono liczne lustracje terenowe, a otrzymywane informacje analizowano pod kątem ewentualnego wystąpienia zjawiska odporności agrofagów. Z różnych miejsc na terenie Polski zbierano agrofagi i przeznaczano do doświadczeń nad odpornością w ścisłych warunkach kontrolowanych. Monitoring odporności agrofagów obejmował doświadczenia polowe, laboratoryjne i szklarniowe. Szczegółowe informacje zawiera załącznik nr 1 do sprawozdania.</w:t>
      </w:r>
    </w:p>
    <w:p w14:paraId="7DD52EDB" w14:textId="7E010BE0" w:rsidR="00F51780" w:rsidRPr="00925BCD" w:rsidRDefault="00F51780" w:rsidP="00CF124E">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2021 r. zadanie </w:t>
      </w:r>
      <w:r w:rsidR="004B1C74">
        <w:rPr>
          <w:rFonts w:ascii="Arial" w:hAnsi="Arial" w:cs="Arial"/>
        </w:rPr>
        <w:t xml:space="preserve">nie było </w:t>
      </w:r>
      <w:r w:rsidR="00D25F0C">
        <w:rPr>
          <w:rFonts w:ascii="Arial" w:hAnsi="Arial" w:cs="Arial"/>
        </w:rPr>
        <w:t>kontynuowane</w:t>
      </w:r>
      <w:r w:rsidR="004B1C74">
        <w:rPr>
          <w:rFonts w:ascii="Arial" w:hAnsi="Arial" w:cs="Arial"/>
        </w:rPr>
        <w:t>.</w:t>
      </w:r>
    </w:p>
    <w:p w14:paraId="2246C43F"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Wiedza uzyskana na podstawie lustracji i obserwacji terenowych oraz prowadzonych doświadczeń i badań, przekazywana była na bieżąco do praktyki rolniczej przez publikacje naukowe i popularno-naukowe (w wersji drukowanej lub elektronicznej), komunikaty na Platformie Sygnalizacji Agrofagów i udział w szkoleniach. Przekazywane są do praktyki bieżące informacje na temat odporności agrofagów, bezpieczeństwa pszczół, strategie </w:t>
      </w:r>
      <w:proofErr w:type="spellStart"/>
      <w:r w:rsidRPr="00925BCD">
        <w:rPr>
          <w:rFonts w:ascii="Arial" w:hAnsi="Arial" w:cs="Arial"/>
        </w:rPr>
        <w:t>antyodpornościowe</w:t>
      </w:r>
      <w:proofErr w:type="spellEnd"/>
      <w:r w:rsidRPr="00925BCD">
        <w:rPr>
          <w:rFonts w:ascii="Arial" w:hAnsi="Arial" w:cs="Arial"/>
        </w:rPr>
        <w:t>, pomocne w opracowywaniu zaleceń do programów ochrony roślin rolniczych. Na stronie internetowej opublikowano „Strategię zapobiegania odporności agrofagów w jesiennej ochronie rzepaku ozimego”, która zasługuje na uwagę w sytuacji drastycznego narastania problemu odporności jesiennych szkodników rzepaku.</w:t>
      </w:r>
    </w:p>
    <w:p w14:paraId="7CA24374" w14:textId="27F71FB0" w:rsidR="005B7749" w:rsidRPr="005F7930" w:rsidRDefault="005B7749" w:rsidP="005F7930">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Monitoring odporności agrofagów na środki ochrony roślin prowadzony był w latach 2018</w:t>
      </w:r>
      <w:r w:rsidR="004849DE" w:rsidRPr="00772A61">
        <w:rPr>
          <w:rFonts w:ascii="Arial" w:hAnsi="Arial" w:cs="Arial"/>
        </w:rPr>
        <w:t>–</w:t>
      </w:r>
      <w:r w:rsidRPr="005F7930">
        <w:rPr>
          <w:rFonts w:ascii="Arial" w:hAnsi="Arial" w:cs="Arial"/>
        </w:rPr>
        <w:t>2020 również przez Instytut Ogrodnictwa - PIB. Oceniono skuteczność działania, fitotoksyczność i wpływ na faunę pożyteczną wybranych preparatów w uprawach roślin. Szczegółowe informacje zawiera załącznik nr 2 do sprawozdania.</w:t>
      </w:r>
    </w:p>
    <w:p w14:paraId="2490021C" w14:textId="77777777" w:rsidR="00056846" w:rsidRPr="00925BCD" w:rsidRDefault="00E54725">
      <w:pPr>
        <w:pStyle w:val="Nagwek1"/>
        <w:numPr>
          <w:ilvl w:val="1"/>
          <w:numId w:val="9"/>
        </w:numPr>
        <w:tabs>
          <w:tab w:val="left" w:pos="567"/>
        </w:tabs>
        <w:ind w:left="426" w:hanging="426"/>
        <w:jc w:val="both"/>
        <w:rPr>
          <w:i w:val="0"/>
          <w:sz w:val="22"/>
          <w:szCs w:val="22"/>
        </w:rPr>
      </w:pPr>
      <w:bookmarkStart w:id="91" w:name="_Toc134099282"/>
      <w:r w:rsidRPr="00925BCD">
        <w:rPr>
          <w:i w:val="0"/>
          <w:sz w:val="22"/>
          <w:szCs w:val="22"/>
        </w:rPr>
        <w:lastRenderedPageBreak/>
        <w:t>Mierniki służące monitorowaniu</w:t>
      </w:r>
      <w:bookmarkEnd w:id="91"/>
    </w:p>
    <w:p w14:paraId="43ADA019"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Efektywność działania będzie oceniana na podstawie liczby nieprawidłowości w zakresie przestrzegania zasad integrowanej ochrony roślin. W 2022 r. poziom nieprawidłowości w tym zakresie, stwierdzanych w ramach kontroli prowadzonej przez Państwową Inspekcję Ochrony Roślin i Nasiennictwa, powinien wynosić poniżej 5%.</w:t>
      </w:r>
    </w:p>
    <w:p w14:paraId="76E3B433" w14:textId="30CCF241"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6D3E06">
        <w:rPr>
          <w:rFonts w:ascii="Arial" w:hAnsi="Arial" w:cs="Arial"/>
        </w:rPr>
        <w:t>W 2018 r. poziom nieprawidłowości w zakresie przestrzegania zasad integrowanej ochrony roślin wyniósł 0,03%</w:t>
      </w:r>
      <w:r w:rsidR="00995C95" w:rsidRPr="006D3E06">
        <w:rPr>
          <w:rFonts w:ascii="Arial" w:hAnsi="Arial" w:cs="Arial"/>
        </w:rPr>
        <w:t xml:space="preserve">, </w:t>
      </w:r>
      <w:r w:rsidR="00410D56" w:rsidRPr="006D3E06">
        <w:rPr>
          <w:rFonts w:ascii="Arial" w:hAnsi="Arial" w:cs="Arial"/>
        </w:rPr>
        <w:t xml:space="preserve">w 2019 r. </w:t>
      </w:r>
      <w:r w:rsidR="000F2310" w:rsidRPr="006D3E06">
        <w:rPr>
          <w:rFonts w:ascii="Arial" w:hAnsi="Arial" w:cs="Arial"/>
        </w:rPr>
        <w:t xml:space="preserve">i 2020 r. </w:t>
      </w:r>
      <w:r w:rsidR="00410D56" w:rsidRPr="006D3E06">
        <w:rPr>
          <w:rFonts w:ascii="Arial" w:hAnsi="Arial" w:cs="Arial"/>
        </w:rPr>
        <w:t>wyniósł 0,01%</w:t>
      </w:r>
      <w:r w:rsidR="00737AAB" w:rsidRPr="006D3E06">
        <w:rPr>
          <w:rFonts w:ascii="Arial" w:hAnsi="Arial" w:cs="Arial"/>
        </w:rPr>
        <w:t xml:space="preserve">, natomiast w 2021 r. </w:t>
      </w:r>
      <w:r w:rsidR="006D3E06" w:rsidRPr="006D3E06">
        <w:rPr>
          <w:rFonts w:ascii="Arial" w:hAnsi="Arial" w:cs="Arial"/>
        </w:rPr>
        <w:t>wyniósł</w:t>
      </w:r>
      <w:r w:rsidR="00737AAB" w:rsidRPr="006D3E06">
        <w:rPr>
          <w:rFonts w:ascii="Arial" w:hAnsi="Arial" w:cs="Arial"/>
        </w:rPr>
        <w:t xml:space="preserve"> </w:t>
      </w:r>
      <w:r w:rsidR="006D3E06" w:rsidRPr="006D3E06">
        <w:rPr>
          <w:rFonts w:ascii="Arial" w:hAnsi="Arial" w:cs="Arial"/>
        </w:rPr>
        <w:t>0,14%</w:t>
      </w:r>
      <w:r w:rsidR="00410D56" w:rsidRPr="006D3E06">
        <w:rPr>
          <w:rFonts w:ascii="Arial" w:hAnsi="Arial" w:cs="Arial"/>
        </w:rPr>
        <w:t>.</w:t>
      </w:r>
      <w:r w:rsidRPr="00925BCD">
        <w:rPr>
          <w:rFonts w:ascii="Arial" w:hAnsi="Arial" w:cs="Arial"/>
        </w:rPr>
        <w:t xml:space="preserve"> </w:t>
      </w:r>
    </w:p>
    <w:p w14:paraId="1884EF8E" w14:textId="77777777" w:rsidR="00056846" w:rsidRPr="00925BCD" w:rsidRDefault="00E54725">
      <w:pPr>
        <w:pStyle w:val="Nagwek1"/>
        <w:numPr>
          <w:ilvl w:val="0"/>
          <w:numId w:val="9"/>
        </w:numPr>
        <w:jc w:val="both"/>
        <w:rPr>
          <w:i w:val="0"/>
          <w:sz w:val="22"/>
          <w:szCs w:val="22"/>
        </w:rPr>
      </w:pPr>
      <w:bookmarkStart w:id="92" w:name="_Toc341876079"/>
      <w:bookmarkStart w:id="93" w:name="_Toc301334597"/>
      <w:bookmarkStart w:id="94" w:name="_Toc300916208"/>
      <w:bookmarkStart w:id="95" w:name="_Toc341876112"/>
      <w:bookmarkStart w:id="96" w:name="_Toc134099283"/>
      <w:bookmarkEnd w:id="92"/>
      <w:bookmarkEnd w:id="93"/>
      <w:bookmarkEnd w:id="94"/>
      <w:r w:rsidRPr="00925BCD">
        <w:rPr>
          <w:i w:val="0"/>
          <w:sz w:val="22"/>
          <w:szCs w:val="22"/>
        </w:rPr>
        <w:t>Działanie 11. Analiza ryzyka związanego ze stosowaniem środków ochrony roślin</w:t>
      </w:r>
      <w:bookmarkEnd w:id="95"/>
      <w:bookmarkEnd w:id="96"/>
    </w:p>
    <w:p w14:paraId="3EE6EB22"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Prawidłowe ukierunkowanie działań regulacyjnych oraz kontrolnych w zakresie obrotu środkami ochrony roślin i stosowania środków ochrony roślin na obszary ryzyka, a także kreowanie polityki państwa w odniesieniu do tych środków, wymaga ustanowienia sprawnego systemu gromadzenia i analizy danych dotyczących ryzyka związanego ze stosowaniem środków ochrony roślin, a także kształtowania poziomu wiedzy o zachowaniach użytkowników tych środków. Działanie to służy osiągnięciu celów określonych w art. 15 dyrektywy 2009/128/WE.</w:t>
      </w:r>
    </w:p>
    <w:p w14:paraId="3BD75B4E"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związku z powyższym, w ramach krajowego planu działania przeprowadzane są kontrole i  monitoring oraz badania statystyczne, których celem jest uzyskanie informacji o wpływie środków ochrony roślin na środowisko. </w:t>
      </w:r>
    </w:p>
    <w:p w14:paraId="4FD6A503"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tym celu realizowane są następujące zadania szczegółowe. </w:t>
      </w:r>
    </w:p>
    <w:p w14:paraId="78855095" w14:textId="77777777" w:rsidR="00056846" w:rsidRPr="00925BCD" w:rsidRDefault="00E54725">
      <w:pPr>
        <w:pStyle w:val="Nagwek2"/>
        <w:jc w:val="both"/>
        <w:rPr>
          <w:i w:val="0"/>
          <w:sz w:val="20"/>
          <w:szCs w:val="20"/>
        </w:rPr>
      </w:pPr>
      <w:bookmarkStart w:id="97" w:name="_Toc134099284"/>
      <w:r w:rsidRPr="00925BCD">
        <w:rPr>
          <w:i w:val="0"/>
          <w:sz w:val="20"/>
          <w:szCs w:val="20"/>
        </w:rPr>
        <w:t>Zadanie 1. Badania statystyczne dotyczące środków ochrony roślin</w:t>
      </w:r>
      <w:bookmarkEnd w:id="97"/>
      <w:r w:rsidRPr="00925BCD">
        <w:rPr>
          <w:i w:val="0"/>
          <w:sz w:val="20"/>
          <w:szCs w:val="20"/>
        </w:rPr>
        <w:t xml:space="preserve"> </w:t>
      </w:r>
    </w:p>
    <w:p w14:paraId="7239E197" w14:textId="1E66EA88"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Na potrzeby realizacji krajowego planu działania są wykorzystywane dane pochodzące z badań statystycznych prowadzonych przez Główny Urząd Statystyczny na podstawie przepisów wydanych na podstawie art. 18 ust. 1 ustawy z dnia 29 czerwca 1995 r. o statystyce publicznej (Dz. U. z 2018 r. poz. 997, z późn. zm.), oraz dane pochodzące z badań ankietowych prowadzonych przez Ministerstwo Rolnictwa i Rozwoju Wsi. W ramach zadania były wykonywane następujące podzadania.</w:t>
      </w:r>
    </w:p>
    <w:p w14:paraId="3190439C"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98" w:name="_Hlk94705233"/>
      <w:bookmarkStart w:id="99" w:name="_Toc134099285"/>
      <w:r w:rsidRPr="00925BCD">
        <w:rPr>
          <w:i w:val="0"/>
          <w:sz w:val="20"/>
          <w:szCs w:val="20"/>
        </w:rPr>
        <w:t>Podzadanie 1. Prowadzenie badań statystycznych sprzedaży środków ochrony roślin</w:t>
      </w:r>
      <w:bookmarkEnd w:id="99"/>
      <w:r w:rsidRPr="00925BCD">
        <w:rPr>
          <w:i w:val="0"/>
          <w:sz w:val="20"/>
          <w:szCs w:val="20"/>
        </w:rPr>
        <w:t xml:space="preserve"> </w:t>
      </w:r>
    </w:p>
    <w:p w14:paraId="067E84ED" w14:textId="77777777" w:rsidR="00056846" w:rsidRPr="00925BCD" w:rsidRDefault="00E54725" w:rsidP="00E332A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statystyczne dotyczące sprzedaży środków ochrony roślin prowadzone są przez Główny Urząd Statystyczny we współpracy z Ministerstwem Rolnictwa i Rozwoju Wsi oraz Instytutem Ochrony Roślin – PIB. </w:t>
      </w:r>
    </w:p>
    <w:p w14:paraId="62350E60" w14:textId="682AA3A5" w:rsidR="00786295" w:rsidRDefault="008A01D3" w:rsidP="00786295">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Sprzedaż środków ochrony roślin </w:t>
      </w:r>
      <w:bookmarkStart w:id="100" w:name="_Hlk123045902"/>
      <w:r w:rsidRPr="00925BCD">
        <w:rPr>
          <w:rFonts w:ascii="Arial" w:hAnsi="Arial" w:cs="Arial"/>
        </w:rPr>
        <w:t xml:space="preserve">w przeliczeniu na substancje czynne </w:t>
      </w:r>
      <w:bookmarkEnd w:id="100"/>
      <w:r w:rsidRPr="00925BCD">
        <w:rPr>
          <w:rFonts w:ascii="Arial" w:hAnsi="Arial" w:cs="Arial"/>
        </w:rPr>
        <w:t xml:space="preserve">w 2018 r. była niższa o 7,57% w porównaniu do 2017 r., w którym to zanotowano do tej pory najwyższą sprzedaż. Sprzedaż środków ochrony roślin w przeliczeniu na substancje czynne w 2019 r. była wyższa o 4,76% w porównaniu do 2018 r. ale niższa o 3,17% w porównaniu do 2017 r. </w:t>
      </w:r>
      <w:r w:rsidR="00786295" w:rsidRPr="00786295">
        <w:rPr>
          <w:rFonts w:ascii="Arial" w:hAnsi="Arial" w:cs="Arial"/>
        </w:rPr>
        <w:t xml:space="preserve">W 2020 </w:t>
      </w:r>
      <w:r w:rsidR="00996919">
        <w:rPr>
          <w:rFonts w:ascii="Arial" w:hAnsi="Arial" w:cs="Arial"/>
        </w:rPr>
        <w:t xml:space="preserve">r. </w:t>
      </w:r>
      <w:r w:rsidR="00786295" w:rsidRPr="00786295">
        <w:rPr>
          <w:rFonts w:ascii="Arial" w:hAnsi="Arial" w:cs="Arial"/>
        </w:rPr>
        <w:t>nastąpił wzrost sprzedaży o 1,43% w</w:t>
      </w:r>
      <w:r w:rsidR="00786295">
        <w:rPr>
          <w:rFonts w:ascii="Arial" w:hAnsi="Arial" w:cs="Arial"/>
        </w:rPr>
        <w:t> </w:t>
      </w:r>
      <w:r w:rsidR="00786295" w:rsidRPr="00786295">
        <w:rPr>
          <w:rFonts w:ascii="Arial" w:hAnsi="Arial" w:cs="Arial"/>
        </w:rPr>
        <w:t>porównaniu do 2019</w:t>
      </w:r>
      <w:r w:rsidR="00763E6D">
        <w:rPr>
          <w:rFonts w:ascii="Arial" w:hAnsi="Arial" w:cs="Arial"/>
        </w:rPr>
        <w:t xml:space="preserve"> r</w:t>
      </w:r>
      <w:r w:rsidR="00786295" w:rsidRPr="00786295">
        <w:rPr>
          <w:rFonts w:ascii="Arial" w:hAnsi="Arial" w:cs="Arial"/>
        </w:rPr>
        <w:t xml:space="preserve">. Obserwowany do 2017 </w:t>
      </w:r>
      <w:r w:rsidR="00763E6D">
        <w:rPr>
          <w:rFonts w:ascii="Arial" w:hAnsi="Arial" w:cs="Arial"/>
        </w:rPr>
        <w:t xml:space="preserve">r. </w:t>
      </w:r>
      <w:r w:rsidR="00786295" w:rsidRPr="00786295">
        <w:rPr>
          <w:rFonts w:ascii="Arial" w:hAnsi="Arial" w:cs="Arial"/>
        </w:rPr>
        <w:t>wzrost sprzedaży, po korekcie w 2018</w:t>
      </w:r>
      <w:r w:rsidR="00A842FD">
        <w:rPr>
          <w:rFonts w:ascii="Arial" w:hAnsi="Arial" w:cs="Arial"/>
        </w:rPr>
        <w:t>r.</w:t>
      </w:r>
      <w:r w:rsidR="00786295" w:rsidRPr="00786295">
        <w:rPr>
          <w:rFonts w:ascii="Arial" w:hAnsi="Arial" w:cs="Arial"/>
        </w:rPr>
        <w:t xml:space="preserve"> powoli odbudowuje się, jednak jej poziom nie przekroczył jeszcze wielkości z 2017</w:t>
      </w:r>
      <w:r w:rsidR="00763E6D">
        <w:rPr>
          <w:rFonts w:ascii="Arial" w:hAnsi="Arial" w:cs="Arial"/>
        </w:rPr>
        <w:t xml:space="preserve"> r.</w:t>
      </w:r>
      <w:r w:rsidR="0057609B">
        <w:rPr>
          <w:rFonts w:ascii="Arial" w:hAnsi="Arial" w:cs="Arial"/>
        </w:rPr>
        <w:t xml:space="preserve"> Wszystko zmieniło się w</w:t>
      </w:r>
      <w:r w:rsidR="00763E6D">
        <w:rPr>
          <w:rFonts w:ascii="Arial" w:hAnsi="Arial" w:cs="Arial"/>
        </w:rPr>
        <w:t> </w:t>
      </w:r>
      <w:r w:rsidR="0057609B">
        <w:rPr>
          <w:rFonts w:ascii="Arial" w:hAnsi="Arial" w:cs="Arial"/>
        </w:rPr>
        <w:t>2021</w:t>
      </w:r>
      <w:r w:rsidR="00A842FD">
        <w:rPr>
          <w:rFonts w:ascii="Arial" w:hAnsi="Arial" w:cs="Arial"/>
        </w:rPr>
        <w:t> </w:t>
      </w:r>
      <w:r w:rsidR="0057609B">
        <w:rPr>
          <w:rFonts w:ascii="Arial" w:hAnsi="Arial" w:cs="Arial"/>
        </w:rPr>
        <w:t xml:space="preserve">r. </w:t>
      </w:r>
      <w:r w:rsidR="00A2283C">
        <w:rPr>
          <w:rFonts w:ascii="Arial" w:hAnsi="Arial" w:cs="Arial"/>
        </w:rPr>
        <w:t xml:space="preserve">Sprzedaż środków ochrony roślin </w:t>
      </w:r>
      <w:r w:rsidR="00D260C8" w:rsidRPr="00925BCD">
        <w:rPr>
          <w:rFonts w:ascii="Arial" w:hAnsi="Arial" w:cs="Arial"/>
        </w:rPr>
        <w:t xml:space="preserve">w przeliczeniu na substancje czynne </w:t>
      </w:r>
      <w:r w:rsidR="00A2283C">
        <w:rPr>
          <w:rFonts w:ascii="Arial" w:hAnsi="Arial" w:cs="Arial"/>
        </w:rPr>
        <w:t>osiągnęła najwyższą wartość od 201</w:t>
      </w:r>
      <w:r w:rsidR="004914FD">
        <w:rPr>
          <w:rFonts w:ascii="Arial" w:hAnsi="Arial" w:cs="Arial"/>
        </w:rPr>
        <w:t>2</w:t>
      </w:r>
      <w:r w:rsidR="00A2283C">
        <w:rPr>
          <w:rFonts w:ascii="Arial" w:hAnsi="Arial" w:cs="Arial"/>
        </w:rPr>
        <w:t xml:space="preserve"> r. osiągając </w:t>
      </w:r>
      <w:r w:rsidR="00D260C8">
        <w:rPr>
          <w:rFonts w:ascii="Arial" w:hAnsi="Arial" w:cs="Arial"/>
        </w:rPr>
        <w:t xml:space="preserve">26 973 t. </w:t>
      </w:r>
    </w:p>
    <w:p w14:paraId="763DD4B9" w14:textId="31355740" w:rsidR="004B606D" w:rsidRPr="004B606D" w:rsidRDefault="007757DB" w:rsidP="002C2375">
      <w:pPr>
        <w:pStyle w:val="NormalnyWeb"/>
        <w:tabs>
          <w:tab w:val="left" w:pos="284"/>
        </w:tabs>
        <w:spacing w:beforeAutospacing="0" w:after="240" w:afterAutospacing="0" w:line="360" w:lineRule="auto"/>
        <w:ind w:firstLine="284"/>
        <w:jc w:val="both"/>
        <w:rPr>
          <w:rFonts w:ascii="Arial" w:hAnsi="Arial" w:cs="Arial"/>
        </w:rPr>
      </w:pPr>
      <w:r>
        <w:rPr>
          <w:rFonts w:ascii="Arial" w:hAnsi="Arial" w:cs="Arial"/>
        </w:rPr>
        <w:lastRenderedPageBreak/>
        <w:t xml:space="preserve">W </w:t>
      </w:r>
      <w:r w:rsidR="004B606D" w:rsidRPr="004B606D">
        <w:rPr>
          <w:rFonts w:ascii="Arial" w:hAnsi="Arial" w:cs="Arial"/>
        </w:rPr>
        <w:t xml:space="preserve">tabeli </w:t>
      </w:r>
      <w:r>
        <w:rPr>
          <w:rFonts w:ascii="Arial" w:hAnsi="Arial" w:cs="Arial"/>
        </w:rPr>
        <w:t xml:space="preserve">poniżej </w:t>
      </w:r>
      <w:r w:rsidR="004B606D" w:rsidRPr="004B606D">
        <w:rPr>
          <w:rFonts w:ascii="Arial" w:hAnsi="Arial" w:cs="Arial"/>
        </w:rPr>
        <w:t xml:space="preserve">pokazano sprzedaż środków ochrony roślin w ostatnich latach w porównaniu do średniej sprzedaży z lat 2011-2013 (okres bazowy w Zharmonizowanym wskaźniku ryzyka pestycydowego 1 UE – HRI1). W 2021 </w:t>
      </w:r>
      <w:r w:rsidR="00DF6C50">
        <w:rPr>
          <w:rFonts w:ascii="Arial" w:hAnsi="Arial" w:cs="Arial"/>
        </w:rPr>
        <w:t xml:space="preserve">r. </w:t>
      </w:r>
      <w:r w:rsidR="004B606D" w:rsidRPr="004B606D">
        <w:rPr>
          <w:rFonts w:ascii="Arial" w:hAnsi="Arial" w:cs="Arial"/>
        </w:rPr>
        <w:t xml:space="preserve">nastąpił znaczący wzrost sprzedaży w stosunku do poprzednich lat (prawie 10% w porównaniu do poprzedniego roku). Wzrost sprzedaży substancji czynnych pomiędzy 2021 </w:t>
      </w:r>
      <w:r w:rsidR="003A4437">
        <w:rPr>
          <w:rFonts w:ascii="Arial" w:hAnsi="Arial" w:cs="Arial"/>
        </w:rPr>
        <w:t xml:space="preserve">r. </w:t>
      </w:r>
      <w:r w:rsidR="004B606D" w:rsidRPr="004B606D">
        <w:rPr>
          <w:rFonts w:ascii="Arial" w:hAnsi="Arial" w:cs="Arial"/>
        </w:rPr>
        <w:t>i średnią z lat 2011</w:t>
      </w:r>
      <w:r w:rsidR="003A4437" w:rsidRPr="004B606D">
        <w:rPr>
          <w:rFonts w:ascii="Arial" w:hAnsi="Arial" w:cs="Arial"/>
        </w:rPr>
        <w:t>–</w:t>
      </w:r>
      <w:r w:rsidR="004B606D" w:rsidRPr="004B606D">
        <w:rPr>
          <w:rFonts w:ascii="Arial" w:hAnsi="Arial" w:cs="Arial"/>
        </w:rPr>
        <w:t xml:space="preserve">2013 wynosi 22,85%. </w:t>
      </w:r>
    </w:p>
    <w:tbl>
      <w:tblPr>
        <w:tblW w:w="5000" w:type="pct"/>
        <w:tblCellMar>
          <w:left w:w="70" w:type="dxa"/>
          <w:right w:w="70" w:type="dxa"/>
        </w:tblCellMar>
        <w:tblLook w:val="04A0" w:firstRow="1" w:lastRow="0" w:firstColumn="1" w:lastColumn="0" w:noHBand="0" w:noVBand="1"/>
      </w:tblPr>
      <w:tblGrid>
        <w:gridCol w:w="1696"/>
        <w:gridCol w:w="2269"/>
        <w:gridCol w:w="2409"/>
        <w:gridCol w:w="2688"/>
      </w:tblGrid>
      <w:tr w:rsidR="004B606D" w:rsidRPr="004B606D" w14:paraId="6A1494E4" w14:textId="77777777" w:rsidTr="0087442D">
        <w:trPr>
          <w:trHeight w:val="671"/>
        </w:trPr>
        <w:tc>
          <w:tcPr>
            <w:tcW w:w="936" w:type="pct"/>
            <w:tcBorders>
              <w:top w:val="single" w:sz="4" w:space="0" w:color="auto"/>
              <w:left w:val="single" w:sz="4" w:space="0" w:color="auto"/>
              <w:bottom w:val="single" w:sz="4" w:space="0" w:color="auto"/>
              <w:right w:val="single" w:sz="4" w:space="0" w:color="auto"/>
            </w:tcBorders>
            <w:vAlign w:val="center"/>
            <w:hideMark/>
          </w:tcPr>
          <w:p w14:paraId="28C9E0CB" w14:textId="77777777" w:rsidR="004B606D" w:rsidRPr="00E4045C" w:rsidRDefault="004B606D" w:rsidP="003A4437">
            <w:pPr>
              <w:pStyle w:val="NormalnyWeb"/>
              <w:tabs>
                <w:tab w:val="left" w:pos="284"/>
              </w:tabs>
              <w:spacing w:after="120" w:line="360" w:lineRule="auto"/>
              <w:ind w:firstLine="284"/>
              <w:jc w:val="center"/>
              <w:rPr>
                <w:rFonts w:ascii="Arial" w:hAnsi="Arial" w:cs="Arial"/>
              </w:rPr>
            </w:pPr>
            <w:r w:rsidRPr="00E4045C">
              <w:rPr>
                <w:rFonts w:ascii="Arial" w:hAnsi="Arial" w:cs="Arial"/>
              </w:rPr>
              <w:t>Rok</w:t>
            </w:r>
          </w:p>
        </w:tc>
        <w:tc>
          <w:tcPr>
            <w:tcW w:w="1252" w:type="pct"/>
            <w:tcBorders>
              <w:top w:val="single" w:sz="4" w:space="0" w:color="auto"/>
              <w:left w:val="nil"/>
              <w:bottom w:val="single" w:sz="4" w:space="0" w:color="auto"/>
              <w:right w:val="single" w:sz="4" w:space="0" w:color="auto"/>
            </w:tcBorders>
            <w:vAlign w:val="center"/>
            <w:hideMark/>
          </w:tcPr>
          <w:p w14:paraId="63C1A49C" w14:textId="77777777" w:rsidR="004B606D" w:rsidRPr="00E4045C" w:rsidRDefault="004B606D" w:rsidP="003A4437">
            <w:pPr>
              <w:pStyle w:val="NormalnyWeb"/>
              <w:tabs>
                <w:tab w:val="left" w:pos="284"/>
              </w:tabs>
              <w:spacing w:after="120" w:line="360" w:lineRule="auto"/>
              <w:ind w:firstLine="284"/>
              <w:jc w:val="center"/>
              <w:rPr>
                <w:rFonts w:ascii="Arial" w:hAnsi="Arial" w:cs="Arial"/>
              </w:rPr>
            </w:pPr>
            <w:r w:rsidRPr="00E4045C">
              <w:rPr>
                <w:rFonts w:ascii="Arial" w:hAnsi="Arial" w:cs="Arial"/>
              </w:rPr>
              <w:t>Sprzedaż substancji czynnych w [t]</w:t>
            </w:r>
          </w:p>
        </w:tc>
        <w:tc>
          <w:tcPr>
            <w:tcW w:w="1329" w:type="pct"/>
            <w:tcBorders>
              <w:top w:val="single" w:sz="4" w:space="0" w:color="auto"/>
              <w:left w:val="nil"/>
              <w:bottom w:val="single" w:sz="4" w:space="0" w:color="auto"/>
              <w:right w:val="single" w:sz="4" w:space="0" w:color="auto"/>
            </w:tcBorders>
            <w:vAlign w:val="center"/>
            <w:hideMark/>
          </w:tcPr>
          <w:p w14:paraId="16D4DED9" w14:textId="77777777" w:rsidR="004B606D" w:rsidRPr="00E4045C" w:rsidRDefault="004B606D" w:rsidP="003A4437">
            <w:pPr>
              <w:pStyle w:val="NormalnyWeb"/>
              <w:tabs>
                <w:tab w:val="left" w:pos="284"/>
              </w:tabs>
              <w:spacing w:after="120" w:line="360" w:lineRule="auto"/>
              <w:ind w:firstLine="284"/>
              <w:jc w:val="center"/>
              <w:rPr>
                <w:rFonts w:ascii="Arial" w:hAnsi="Arial" w:cs="Arial"/>
              </w:rPr>
            </w:pPr>
            <w:r w:rsidRPr="00E4045C">
              <w:rPr>
                <w:rFonts w:ascii="Arial" w:hAnsi="Arial" w:cs="Arial"/>
              </w:rPr>
              <w:t>Sprzedaż w odniesieniu do roku poprzedniego</w:t>
            </w:r>
          </w:p>
        </w:tc>
        <w:tc>
          <w:tcPr>
            <w:tcW w:w="1483" w:type="pct"/>
            <w:tcBorders>
              <w:top w:val="single" w:sz="4" w:space="0" w:color="auto"/>
              <w:left w:val="nil"/>
              <w:bottom w:val="single" w:sz="4" w:space="0" w:color="auto"/>
              <w:right w:val="single" w:sz="4" w:space="0" w:color="auto"/>
            </w:tcBorders>
            <w:vAlign w:val="center"/>
            <w:hideMark/>
          </w:tcPr>
          <w:p w14:paraId="7F75ED11" w14:textId="77777777" w:rsidR="004B606D" w:rsidRPr="00E4045C" w:rsidRDefault="004B606D" w:rsidP="0087442D">
            <w:pPr>
              <w:pStyle w:val="NormalnyWeb"/>
              <w:tabs>
                <w:tab w:val="left" w:pos="284"/>
              </w:tabs>
              <w:spacing w:after="120" w:line="360" w:lineRule="auto"/>
              <w:ind w:firstLine="284"/>
              <w:jc w:val="center"/>
              <w:rPr>
                <w:rFonts w:ascii="Arial" w:hAnsi="Arial" w:cs="Arial"/>
              </w:rPr>
            </w:pPr>
            <w:r w:rsidRPr="00E4045C">
              <w:rPr>
                <w:rFonts w:ascii="Arial" w:hAnsi="Arial" w:cs="Arial"/>
              </w:rPr>
              <w:t>Sprzedaż w odniesieniu do średniej z lat 2011-2013</w:t>
            </w:r>
          </w:p>
        </w:tc>
      </w:tr>
      <w:tr w:rsidR="004B606D" w:rsidRPr="004B606D" w14:paraId="1399A3C3" w14:textId="77777777" w:rsidTr="0087442D">
        <w:trPr>
          <w:trHeight w:val="397"/>
        </w:trPr>
        <w:tc>
          <w:tcPr>
            <w:tcW w:w="936" w:type="pct"/>
            <w:tcBorders>
              <w:top w:val="nil"/>
              <w:left w:val="single" w:sz="4" w:space="0" w:color="auto"/>
              <w:bottom w:val="single" w:sz="4" w:space="0" w:color="auto"/>
              <w:right w:val="single" w:sz="4" w:space="0" w:color="auto"/>
            </w:tcBorders>
            <w:vAlign w:val="center"/>
            <w:hideMark/>
          </w:tcPr>
          <w:p w14:paraId="32A0E870" w14:textId="69F5FF50" w:rsidR="004B606D" w:rsidRPr="004B606D" w:rsidRDefault="003A4437" w:rsidP="0087442D">
            <w:pPr>
              <w:pStyle w:val="NormalnyWeb"/>
              <w:tabs>
                <w:tab w:val="left" w:pos="284"/>
              </w:tabs>
              <w:spacing w:after="120" w:line="360" w:lineRule="auto"/>
              <w:ind w:firstLine="284"/>
              <w:jc w:val="center"/>
              <w:rPr>
                <w:rFonts w:ascii="Arial" w:hAnsi="Arial" w:cs="Arial"/>
              </w:rPr>
            </w:pPr>
            <w:r>
              <w:rPr>
                <w:rFonts w:ascii="Arial" w:hAnsi="Arial" w:cs="Arial"/>
              </w:rPr>
              <w:t>ś</w:t>
            </w:r>
            <w:r w:rsidR="004B606D" w:rsidRPr="004B606D">
              <w:rPr>
                <w:rFonts w:ascii="Arial" w:hAnsi="Arial" w:cs="Arial"/>
              </w:rPr>
              <w:t>rednia z lat 2011-2013</w:t>
            </w:r>
          </w:p>
        </w:tc>
        <w:tc>
          <w:tcPr>
            <w:tcW w:w="1252" w:type="pct"/>
            <w:tcBorders>
              <w:top w:val="nil"/>
              <w:left w:val="nil"/>
              <w:bottom w:val="single" w:sz="4" w:space="0" w:color="auto"/>
              <w:right w:val="single" w:sz="4" w:space="0" w:color="auto"/>
            </w:tcBorders>
            <w:vAlign w:val="bottom"/>
            <w:hideMark/>
          </w:tcPr>
          <w:p w14:paraId="6201E2F5"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21956</w:t>
            </w:r>
          </w:p>
        </w:tc>
        <w:tc>
          <w:tcPr>
            <w:tcW w:w="1329" w:type="pct"/>
            <w:tcBorders>
              <w:top w:val="nil"/>
              <w:left w:val="nil"/>
              <w:bottom w:val="single" w:sz="4" w:space="0" w:color="auto"/>
              <w:right w:val="single" w:sz="4" w:space="0" w:color="auto"/>
            </w:tcBorders>
            <w:vAlign w:val="bottom"/>
            <w:hideMark/>
          </w:tcPr>
          <w:p w14:paraId="7D6CBBC6"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w:t>
            </w:r>
          </w:p>
        </w:tc>
        <w:tc>
          <w:tcPr>
            <w:tcW w:w="1483" w:type="pct"/>
            <w:tcBorders>
              <w:top w:val="nil"/>
              <w:left w:val="nil"/>
              <w:bottom w:val="single" w:sz="4" w:space="0" w:color="auto"/>
              <w:right w:val="single" w:sz="4" w:space="0" w:color="auto"/>
            </w:tcBorders>
            <w:vAlign w:val="bottom"/>
            <w:hideMark/>
          </w:tcPr>
          <w:p w14:paraId="4F6C94EA"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w:t>
            </w:r>
          </w:p>
        </w:tc>
      </w:tr>
      <w:tr w:rsidR="004B606D" w:rsidRPr="004B606D" w14:paraId="746981BE" w14:textId="77777777" w:rsidTr="00AD06FD">
        <w:trPr>
          <w:trHeight w:val="397"/>
        </w:trPr>
        <w:tc>
          <w:tcPr>
            <w:tcW w:w="936" w:type="pct"/>
            <w:tcBorders>
              <w:top w:val="nil"/>
              <w:left w:val="single" w:sz="4" w:space="0" w:color="auto"/>
              <w:bottom w:val="single" w:sz="4" w:space="0" w:color="auto"/>
              <w:right w:val="single" w:sz="4" w:space="0" w:color="auto"/>
            </w:tcBorders>
            <w:vAlign w:val="bottom"/>
            <w:hideMark/>
          </w:tcPr>
          <w:p w14:paraId="082C1FA6"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2014</w:t>
            </w:r>
          </w:p>
        </w:tc>
        <w:tc>
          <w:tcPr>
            <w:tcW w:w="1252" w:type="pct"/>
            <w:tcBorders>
              <w:top w:val="nil"/>
              <w:left w:val="nil"/>
              <w:bottom w:val="single" w:sz="4" w:space="0" w:color="auto"/>
              <w:right w:val="single" w:sz="4" w:space="0" w:color="auto"/>
            </w:tcBorders>
            <w:vAlign w:val="bottom"/>
            <w:hideMark/>
          </w:tcPr>
          <w:p w14:paraId="1FC6D27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23557</w:t>
            </w:r>
          </w:p>
        </w:tc>
        <w:tc>
          <w:tcPr>
            <w:tcW w:w="1329" w:type="pct"/>
            <w:tcBorders>
              <w:top w:val="nil"/>
              <w:left w:val="nil"/>
              <w:bottom w:val="single" w:sz="4" w:space="0" w:color="auto"/>
              <w:right w:val="single" w:sz="4" w:space="0" w:color="auto"/>
            </w:tcBorders>
            <w:vAlign w:val="bottom"/>
            <w:hideMark/>
          </w:tcPr>
          <w:p w14:paraId="2983CFD5"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107,29%</w:t>
            </w:r>
          </w:p>
        </w:tc>
        <w:tc>
          <w:tcPr>
            <w:tcW w:w="1483" w:type="pct"/>
            <w:tcBorders>
              <w:top w:val="nil"/>
              <w:left w:val="nil"/>
              <w:bottom w:val="single" w:sz="4" w:space="0" w:color="auto"/>
              <w:right w:val="single" w:sz="4" w:space="0" w:color="auto"/>
            </w:tcBorders>
            <w:vAlign w:val="bottom"/>
            <w:hideMark/>
          </w:tcPr>
          <w:p w14:paraId="40C8DA3F"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107,29%</w:t>
            </w:r>
          </w:p>
        </w:tc>
      </w:tr>
      <w:tr w:rsidR="004B606D" w:rsidRPr="004B606D" w14:paraId="1118D823" w14:textId="77777777" w:rsidTr="00AD06FD">
        <w:trPr>
          <w:trHeight w:val="397"/>
        </w:trPr>
        <w:tc>
          <w:tcPr>
            <w:tcW w:w="936" w:type="pct"/>
            <w:tcBorders>
              <w:top w:val="nil"/>
              <w:left w:val="single" w:sz="4" w:space="0" w:color="auto"/>
              <w:bottom w:val="single" w:sz="4" w:space="0" w:color="auto"/>
              <w:right w:val="single" w:sz="4" w:space="0" w:color="auto"/>
            </w:tcBorders>
            <w:vAlign w:val="bottom"/>
            <w:hideMark/>
          </w:tcPr>
          <w:p w14:paraId="0EA35495"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2015</w:t>
            </w:r>
          </w:p>
        </w:tc>
        <w:tc>
          <w:tcPr>
            <w:tcW w:w="1252" w:type="pct"/>
            <w:tcBorders>
              <w:top w:val="nil"/>
              <w:left w:val="nil"/>
              <w:bottom w:val="single" w:sz="4" w:space="0" w:color="auto"/>
              <w:right w:val="single" w:sz="4" w:space="0" w:color="auto"/>
            </w:tcBorders>
            <w:vAlign w:val="bottom"/>
            <w:hideMark/>
          </w:tcPr>
          <w:p w14:paraId="2AF083AA"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24006</w:t>
            </w:r>
          </w:p>
        </w:tc>
        <w:tc>
          <w:tcPr>
            <w:tcW w:w="1329" w:type="pct"/>
            <w:tcBorders>
              <w:top w:val="nil"/>
              <w:left w:val="nil"/>
              <w:bottom w:val="single" w:sz="4" w:space="0" w:color="auto"/>
              <w:right w:val="single" w:sz="4" w:space="0" w:color="auto"/>
            </w:tcBorders>
            <w:vAlign w:val="bottom"/>
            <w:hideMark/>
          </w:tcPr>
          <w:p w14:paraId="67F7D8B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101,91%</w:t>
            </w:r>
          </w:p>
        </w:tc>
        <w:tc>
          <w:tcPr>
            <w:tcW w:w="1483" w:type="pct"/>
            <w:tcBorders>
              <w:top w:val="nil"/>
              <w:left w:val="nil"/>
              <w:bottom w:val="single" w:sz="4" w:space="0" w:color="auto"/>
              <w:right w:val="single" w:sz="4" w:space="0" w:color="auto"/>
            </w:tcBorders>
            <w:vAlign w:val="bottom"/>
            <w:hideMark/>
          </w:tcPr>
          <w:p w14:paraId="2A40C02A"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109,34%</w:t>
            </w:r>
          </w:p>
        </w:tc>
      </w:tr>
      <w:tr w:rsidR="004B606D" w:rsidRPr="004B606D" w14:paraId="1E426E73" w14:textId="77777777" w:rsidTr="00AD06FD">
        <w:trPr>
          <w:trHeight w:val="397"/>
        </w:trPr>
        <w:tc>
          <w:tcPr>
            <w:tcW w:w="936" w:type="pct"/>
            <w:tcBorders>
              <w:top w:val="nil"/>
              <w:left w:val="single" w:sz="4" w:space="0" w:color="auto"/>
              <w:bottom w:val="single" w:sz="4" w:space="0" w:color="auto"/>
              <w:right w:val="single" w:sz="4" w:space="0" w:color="auto"/>
            </w:tcBorders>
            <w:vAlign w:val="bottom"/>
            <w:hideMark/>
          </w:tcPr>
          <w:p w14:paraId="01287822"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2016</w:t>
            </w:r>
          </w:p>
        </w:tc>
        <w:tc>
          <w:tcPr>
            <w:tcW w:w="1252" w:type="pct"/>
            <w:tcBorders>
              <w:top w:val="nil"/>
              <w:left w:val="nil"/>
              <w:bottom w:val="single" w:sz="4" w:space="0" w:color="auto"/>
              <w:right w:val="single" w:sz="4" w:space="0" w:color="auto"/>
            </w:tcBorders>
            <w:vAlign w:val="bottom"/>
            <w:hideMark/>
          </w:tcPr>
          <w:p w14:paraId="0895536C"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24463</w:t>
            </w:r>
          </w:p>
        </w:tc>
        <w:tc>
          <w:tcPr>
            <w:tcW w:w="1329" w:type="pct"/>
            <w:tcBorders>
              <w:top w:val="nil"/>
              <w:left w:val="nil"/>
              <w:bottom w:val="single" w:sz="4" w:space="0" w:color="auto"/>
              <w:right w:val="single" w:sz="4" w:space="0" w:color="auto"/>
            </w:tcBorders>
            <w:vAlign w:val="bottom"/>
            <w:hideMark/>
          </w:tcPr>
          <w:p w14:paraId="63AE0A02"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101,90%</w:t>
            </w:r>
          </w:p>
        </w:tc>
        <w:tc>
          <w:tcPr>
            <w:tcW w:w="1483" w:type="pct"/>
            <w:tcBorders>
              <w:top w:val="nil"/>
              <w:left w:val="nil"/>
              <w:bottom w:val="single" w:sz="4" w:space="0" w:color="auto"/>
              <w:right w:val="single" w:sz="4" w:space="0" w:color="auto"/>
            </w:tcBorders>
            <w:vAlign w:val="bottom"/>
            <w:hideMark/>
          </w:tcPr>
          <w:p w14:paraId="26C2E7C6"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111,42%</w:t>
            </w:r>
          </w:p>
        </w:tc>
      </w:tr>
      <w:tr w:rsidR="004B606D" w:rsidRPr="004B606D" w14:paraId="6EBFC110" w14:textId="77777777" w:rsidTr="00AD06FD">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7593EB3F"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2017</w:t>
            </w:r>
          </w:p>
        </w:tc>
        <w:tc>
          <w:tcPr>
            <w:tcW w:w="1252" w:type="pct"/>
            <w:tcBorders>
              <w:top w:val="single" w:sz="4" w:space="0" w:color="auto"/>
              <w:left w:val="nil"/>
              <w:bottom w:val="single" w:sz="4" w:space="0" w:color="auto"/>
              <w:right w:val="single" w:sz="4" w:space="0" w:color="auto"/>
            </w:tcBorders>
            <w:vAlign w:val="bottom"/>
            <w:hideMark/>
          </w:tcPr>
          <w:p w14:paraId="46B4B5F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25075</w:t>
            </w:r>
          </w:p>
        </w:tc>
        <w:tc>
          <w:tcPr>
            <w:tcW w:w="1329" w:type="pct"/>
            <w:tcBorders>
              <w:top w:val="single" w:sz="4" w:space="0" w:color="auto"/>
              <w:left w:val="nil"/>
              <w:bottom w:val="single" w:sz="4" w:space="0" w:color="auto"/>
              <w:right w:val="single" w:sz="4" w:space="0" w:color="auto"/>
            </w:tcBorders>
            <w:vAlign w:val="bottom"/>
            <w:hideMark/>
          </w:tcPr>
          <w:p w14:paraId="1DB4A15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102,50%</w:t>
            </w:r>
          </w:p>
        </w:tc>
        <w:tc>
          <w:tcPr>
            <w:tcW w:w="1483" w:type="pct"/>
            <w:tcBorders>
              <w:top w:val="single" w:sz="4" w:space="0" w:color="auto"/>
              <w:left w:val="nil"/>
              <w:bottom w:val="single" w:sz="4" w:space="0" w:color="auto"/>
              <w:right w:val="single" w:sz="4" w:space="0" w:color="auto"/>
            </w:tcBorders>
            <w:vAlign w:val="bottom"/>
            <w:hideMark/>
          </w:tcPr>
          <w:p w14:paraId="359D4DD5"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114,20%</w:t>
            </w:r>
          </w:p>
        </w:tc>
      </w:tr>
      <w:tr w:rsidR="004B606D" w:rsidRPr="004B606D" w14:paraId="75CE1D4A" w14:textId="77777777" w:rsidTr="00AD06FD">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4D5E771A"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2018</w:t>
            </w:r>
          </w:p>
        </w:tc>
        <w:tc>
          <w:tcPr>
            <w:tcW w:w="1252" w:type="pct"/>
            <w:tcBorders>
              <w:top w:val="single" w:sz="4" w:space="0" w:color="auto"/>
              <w:left w:val="nil"/>
              <w:bottom w:val="single" w:sz="4" w:space="0" w:color="auto"/>
              <w:right w:val="single" w:sz="4" w:space="0" w:color="auto"/>
            </w:tcBorders>
            <w:vAlign w:val="bottom"/>
            <w:hideMark/>
          </w:tcPr>
          <w:p w14:paraId="3C0BF6B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23178</w:t>
            </w:r>
          </w:p>
        </w:tc>
        <w:tc>
          <w:tcPr>
            <w:tcW w:w="1329" w:type="pct"/>
            <w:tcBorders>
              <w:top w:val="single" w:sz="4" w:space="0" w:color="auto"/>
              <w:left w:val="nil"/>
              <w:bottom w:val="single" w:sz="4" w:space="0" w:color="auto"/>
              <w:right w:val="single" w:sz="4" w:space="0" w:color="auto"/>
            </w:tcBorders>
            <w:vAlign w:val="bottom"/>
            <w:hideMark/>
          </w:tcPr>
          <w:p w14:paraId="32039A66"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92,44%</w:t>
            </w:r>
          </w:p>
        </w:tc>
        <w:tc>
          <w:tcPr>
            <w:tcW w:w="1483" w:type="pct"/>
            <w:tcBorders>
              <w:top w:val="single" w:sz="4" w:space="0" w:color="auto"/>
              <w:left w:val="nil"/>
              <w:bottom w:val="single" w:sz="4" w:space="0" w:color="auto"/>
              <w:right w:val="single" w:sz="4" w:space="0" w:color="auto"/>
            </w:tcBorders>
            <w:vAlign w:val="bottom"/>
            <w:hideMark/>
          </w:tcPr>
          <w:p w14:paraId="4F471A7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105,57%</w:t>
            </w:r>
          </w:p>
        </w:tc>
      </w:tr>
      <w:tr w:rsidR="004B606D" w:rsidRPr="004B606D" w14:paraId="07496823" w14:textId="77777777" w:rsidTr="00AD06FD">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7F46A195"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2019</w:t>
            </w:r>
          </w:p>
        </w:tc>
        <w:tc>
          <w:tcPr>
            <w:tcW w:w="1252" w:type="pct"/>
            <w:tcBorders>
              <w:top w:val="single" w:sz="4" w:space="0" w:color="auto"/>
              <w:left w:val="nil"/>
              <w:bottom w:val="single" w:sz="4" w:space="0" w:color="auto"/>
              <w:right w:val="single" w:sz="4" w:space="0" w:color="auto"/>
            </w:tcBorders>
            <w:vAlign w:val="bottom"/>
            <w:hideMark/>
          </w:tcPr>
          <w:p w14:paraId="53B1BB27"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24281</w:t>
            </w:r>
          </w:p>
        </w:tc>
        <w:tc>
          <w:tcPr>
            <w:tcW w:w="1329" w:type="pct"/>
            <w:tcBorders>
              <w:top w:val="single" w:sz="4" w:space="0" w:color="auto"/>
              <w:left w:val="nil"/>
              <w:bottom w:val="single" w:sz="4" w:space="0" w:color="auto"/>
              <w:right w:val="single" w:sz="4" w:space="0" w:color="auto"/>
            </w:tcBorders>
            <w:vAlign w:val="bottom"/>
            <w:hideMark/>
          </w:tcPr>
          <w:p w14:paraId="6465A1E7"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104,76%</w:t>
            </w:r>
          </w:p>
        </w:tc>
        <w:tc>
          <w:tcPr>
            <w:tcW w:w="1483" w:type="pct"/>
            <w:tcBorders>
              <w:top w:val="single" w:sz="4" w:space="0" w:color="auto"/>
              <w:left w:val="nil"/>
              <w:bottom w:val="single" w:sz="4" w:space="0" w:color="auto"/>
              <w:right w:val="single" w:sz="4" w:space="0" w:color="auto"/>
            </w:tcBorders>
            <w:vAlign w:val="bottom"/>
            <w:hideMark/>
          </w:tcPr>
          <w:p w14:paraId="2A0119D9"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110,59%</w:t>
            </w:r>
          </w:p>
        </w:tc>
      </w:tr>
      <w:tr w:rsidR="004B606D" w:rsidRPr="004B606D" w14:paraId="4AB21BA6" w14:textId="77777777" w:rsidTr="00AD06FD">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262CB313"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2020</w:t>
            </w:r>
          </w:p>
        </w:tc>
        <w:tc>
          <w:tcPr>
            <w:tcW w:w="1252" w:type="pct"/>
            <w:tcBorders>
              <w:top w:val="single" w:sz="4" w:space="0" w:color="auto"/>
              <w:left w:val="nil"/>
              <w:bottom w:val="single" w:sz="4" w:space="0" w:color="auto"/>
              <w:right w:val="single" w:sz="4" w:space="0" w:color="auto"/>
            </w:tcBorders>
            <w:vAlign w:val="bottom"/>
            <w:hideMark/>
          </w:tcPr>
          <w:p w14:paraId="1BDEA7C3"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24628</w:t>
            </w:r>
          </w:p>
        </w:tc>
        <w:tc>
          <w:tcPr>
            <w:tcW w:w="1329" w:type="pct"/>
            <w:tcBorders>
              <w:top w:val="single" w:sz="4" w:space="0" w:color="auto"/>
              <w:left w:val="nil"/>
              <w:bottom w:val="single" w:sz="4" w:space="0" w:color="auto"/>
              <w:right w:val="single" w:sz="4" w:space="0" w:color="auto"/>
            </w:tcBorders>
            <w:vAlign w:val="bottom"/>
            <w:hideMark/>
          </w:tcPr>
          <w:p w14:paraId="47D69EBC"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101,43%</w:t>
            </w:r>
          </w:p>
        </w:tc>
        <w:tc>
          <w:tcPr>
            <w:tcW w:w="1483" w:type="pct"/>
            <w:tcBorders>
              <w:top w:val="single" w:sz="4" w:space="0" w:color="auto"/>
              <w:left w:val="nil"/>
              <w:bottom w:val="single" w:sz="4" w:space="0" w:color="auto"/>
              <w:right w:val="single" w:sz="4" w:space="0" w:color="auto"/>
            </w:tcBorders>
            <w:vAlign w:val="bottom"/>
            <w:hideMark/>
          </w:tcPr>
          <w:p w14:paraId="0F94634C"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112,17%</w:t>
            </w:r>
          </w:p>
        </w:tc>
      </w:tr>
      <w:tr w:rsidR="004B606D" w:rsidRPr="004B606D" w14:paraId="1FCC7571" w14:textId="77777777" w:rsidTr="00AD06FD">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2DDB7C42"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2021</w:t>
            </w:r>
          </w:p>
        </w:tc>
        <w:tc>
          <w:tcPr>
            <w:tcW w:w="1252" w:type="pct"/>
            <w:tcBorders>
              <w:top w:val="single" w:sz="4" w:space="0" w:color="auto"/>
              <w:left w:val="nil"/>
              <w:bottom w:val="single" w:sz="4" w:space="0" w:color="auto"/>
              <w:right w:val="single" w:sz="4" w:space="0" w:color="auto"/>
            </w:tcBorders>
            <w:vAlign w:val="bottom"/>
            <w:hideMark/>
          </w:tcPr>
          <w:p w14:paraId="583AB85B"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26973</w:t>
            </w:r>
          </w:p>
        </w:tc>
        <w:tc>
          <w:tcPr>
            <w:tcW w:w="1329" w:type="pct"/>
            <w:tcBorders>
              <w:top w:val="single" w:sz="4" w:space="0" w:color="auto"/>
              <w:left w:val="nil"/>
              <w:bottom w:val="single" w:sz="4" w:space="0" w:color="auto"/>
              <w:right w:val="single" w:sz="4" w:space="0" w:color="auto"/>
            </w:tcBorders>
            <w:vAlign w:val="bottom"/>
            <w:hideMark/>
          </w:tcPr>
          <w:p w14:paraId="5FBF66BB"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109,52%</w:t>
            </w:r>
          </w:p>
        </w:tc>
        <w:tc>
          <w:tcPr>
            <w:tcW w:w="1483" w:type="pct"/>
            <w:tcBorders>
              <w:top w:val="single" w:sz="4" w:space="0" w:color="auto"/>
              <w:left w:val="nil"/>
              <w:bottom w:val="single" w:sz="4" w:space="0" w:color="auto"/>
              <w:right w:val="single" w:sz="4" w:space="0" w:color="auto"/>
            </w:tcBorders>
            <w:vAlign w:val="bottom"/>
            <w:hideMark/>
          </w:tcPr>
          <w:p w14:paraId="4CD4EE72" w14:textId="77777777" w:rsidR="004B606D" w:rsidRPr="004B606D" w:rsidRDefault="004B606D" w:rsidP="00AD06FD">
            <w:pPr>
              <w:pStyle w:val="NormalnyWeb"/>
              <w:tabs>
                <w:tab w:val="left" w:pos="284"/>
              </w:tabs>
              <w:spacing w:after="120" w:line="360" w:lineRule="auto"/>
              <w:ind w:firstLine="284"/>
              <w:jc w:val="center"/>
              <w:rPr>
                <w:rFonts w:ascii="Arial" w:hAnsi="Arial" w:cs="Arial"/>
                <w:b/>
              </w:rPr>
            </w:pPr>
            <w:r w:rsidRPr="004B606D">
              <w:rPr>
                <w:rFonts w:ascii="Arial" w:hAnsi="Arial" w:cs="Arial"/>
                <w:b/>
              </w:rPr>
              <w:t>122,85%</w:t>
            </w:r>
          </w:p>
        </w:tc>
      </w:tr>
    </w:tbl>
    <w:p w14:paraId="01C2245B" w14:textId="7F431AC1" w:rsidR="004B606D" w:rsidRPr="004B606D" w:rsidRDefault="004B606D" w:rsidP="004B606D">
      <w:pPr>
        <w:pStyle w:val="NormalnyWeb"/>
        <w:tabs>
          <w:tab w:val="left" w:pos="284"/>
        </w:tabs>
        <w:spacing w:beforeAutospacing="0" w:after="120" w:afterAutospacing="0" w:line="360" w:lineRule="auto"/>
        <w:ind w:firstLine="284"/>
        <w:jc w:val="both"/>
        <w:rPr>
          <w:rFonts w:ascii="Arial" w:hAnsi="Arial" w:cs="Arial"/>
        </w:rPr>
      </w:pPr>
    </w:p>
    <w:p w14:paraId="0FF9624C" w14:textId="7EB26C3C" w:rsidR="004B606D" w:rsidRDefault="003225E4" w:rsidP="003225E4">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w:t>
      </w:r>
      <w:r w:rsidR="004B606D" w:rsidRPr="004B606D">
        <w:rPr>
          <w:rFonts w:ascii="Arial" w:hAnsi="Arial" w:cs="Arial"/>
        </w:rPr>
        <w:t xml:space="preserve">orównanie sprzedaży środków ochrony roślin w 2021 </w:t>
      </w:r>
      <w:r w:rsidR="00A842FD">
        <w:rPr>
          <w:rFonts w:ascii="Arial" w:hAnsi="Arial" w:cs="Arial"/>
        </w:rPr>
        <w:t xml:space="preserve">r. </w:t>
      </w:r>
      <w:r w:rsidR="004B606D" w:rsidRPr="004B606D">
        <w:rPr>
          <w:rFonts w:ascii="Arial" w:hAnsi="Arial" w:cs="Arial"/>
        </w:rPr>
        <w:t>do średniej ze sprzedaży z lat 2015-2017 (okres bazowy dla strategii Od pola do stołu)</w:t>
      </w:r>
      <w:r w:rsidR="00C241BA">
        <w:rPr>
          <w:rFonts w:ascii="Arial" w:hAnsi="Arial" w:cs="Arial"/>
        </w:rPr>
        <w:t xml:space="preserve"> przedstawia kolejna </w:t>
      </w:r>
      <w:r w:rsidR="00FE3D95">
        <w:rPr>
          <w:rFonts w:ascii="Arial" w:hAnsi="Arial" w:cs="Arial"/>
        </w:rPr>
        <w:t>tabela</w:t>
      </w:r>
      <w:r w:rsidR="004B606D" w:rsidRPr="004B606D">
        <w:rPr>
          <w:rFonts w:ascii="Arial" w:hAnsi="Arial" w:cs="Arial"/>
        </w:rPr>
        <w:t>. Sprzedaż substancji czynnych w 2021</w:t>
      </w:r>
      <w:r w:rsidR="00FE3D95">
        <w:rPr>
          <w:rFonts w:ascii="Arial" w:hAnsi="Arial" w:cs="Arial"/>
        </w:rPr>
        <w:t xml:space="preserve"> r.</w:t>
      </w:r>
      <w:r w:rsidR="004B606D" w:rsidRPr="004B606D">
        <w:rPr>
          <w:rFonts w:ascii="Arial" w:hAnsi="Arial" w:cs="Arial"/>
        </w:rPr>
        <w:t xml:space="preserve"> była na poziomie o około 10% wyższym od wartości średniej z lat 2015-2017. </w:t>
      </w:r>
    </w:p>
    <w:p w14:paraId="74DBD25F" w14:textId="77777777" w:rsidR="002C2375" w:rsidRPr="004B606D" w:rsidRDefault="002C2375" w:rsidP="003225E4">
      <w:pPr>
        <w:pStyle w:val="NormalnyWeb"/>
        <w:tabs>
          <w:tab w:val="left" w:pos="284"/>
        </w:tabs>
        <w:spacing w:beforeAutospacing="0" w:after="120" w:afterAutospacing="0" w:line="360" w:lineRule="auto"/>
        <w:ind w:firstLine="284"/>
        <w:jc w:val="both"/>
        <w:rPr>
          <w:rFonts w:ascii="Arial" w:hAnsi="Arial" w:cs="Arial"/>
        </w:rPr>
      </w:pPr>
    </w:p>
    <w:tbl>
      <w:tblPr>
        <w:tblW w:w="3550" w:type="pct"/>
        <w:jc w:val="center"/>
        <w:tblCellMar>
          <w:left w:w="70" w:type="dxa"/>
          <w:right w:w="70" w:type="dxa"/>
        </w:tblCellMar>
        <w:tblLook w:val="04A0" w:firstRow="1" w:lastRow="0" w:firstColumn="1" w:lastColumn="0" w:noHBand="0" w:noVBand="1"/>
      </w:tblPr>
      <w:tblGrid>
        <w:gridCol w:w="1677"/>
        <w:gridCol w:w="2243"/>
        <w:gridCol w:w="2514"/>
      </w:tblGrid>
      <w:tr w:rsidR="004B606D" w:rsidRPr="004B606D" w14:paraId="38BE7429" w14:textId="77777777" w:rsidTr="00FE3D95">
        <w:trPr>
          <w:trHeight w:val="671"/>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4B45EE78"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Rok</w:t>
            </w:r>
          </w:p>
        </w:tc>
        <w:tc>
          <w:tcPr>
            <w:tcW w:w="1743" w:type="pct"/>
            <w:tcBorders>
              <w:top w:val="single" w:sz="4" w:space="0" w:color="auto"/>
              <w:left w:val="nil"/>
              <w:bottom w:val="single" w:sz="4" w:space="0" w:color="auto"/>
              <w:right w:val="single" w:sz="4" w:space="0" w:color="auto"/>
            </w:tcBorders>
            <w:vAlign w:val="center"/>
            <w:hideMark/>
          </w:tcPr>
          <w:p w14:paraId="54DA5A6B"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Sprzedaż substancji czynnych w [t]</w:t>
            </w:r>
          </w:p>
        </w:tc>
        <w:tc>
          <w:tcPr>
            <w:tcW w:w="1954" w:type="pct"/>
            <w:tcBorders>
              <w:top w:val="single" w:sz="4" w:space="0" w:color="auto"/>
              <w:left w:val="nil"/>
              <w:bottom w:val="single" w:sz="4" w:space="0" w:color="auto"/>
              <w:right w:val="single" w:sz="4" w:space="0" w:color="auto"/>
            </w:tcBorders>
            <w:vAlign w:val="center"/>
            <w:hideMark/>
          </w:tcPr>
          <w:p w14:paraId="57CB9921"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Sprzedaż w odniesieniu do średniej z lat 2015-2017</w:t>
            </w:r>
          </w:p>
        </w:tc>
      </w:tr>
      <w:tr w:rsidR="004B606D" w:rsidRPr="004B606D" w14:paraId="1F5294ED" w14:textId="77777777" w:rsidTr="00FE3D95">
        <w:trPr>
          <w:trHeight w:val="397"/>
          <w:jc w:val="center"/>
        </w:trPr>
        <w:tc>
          <w:tcPr>
            <w:tcW w:w="1303" w:type="pct"/>
            <w:tcBorders>
              <w:top w:val="nil"/>
              <w:left w:val="single" w:sz="4" w:space="0" w:color="auto"/>
              <w:bottom w:val="single" w:sz="4" w:space="0" w:color="auto"/>
              <w:right w:val="single" w:sz="4" w:space="0" w:color="auto"/>
            </w:tcBorders>
            <w:vAlign w:val="center"/>
            <w:hideMark/>
          </w:tcPr>
          <w:p w14:paraId="7D7B1551" w14:textId="2508D524" w:rsidR="004B606D" w:rsidRPr="004B606D" w:rsidRDefault="00455E98" w:rsidP="00FE3D95">
            <w:pPr>
              <w:pStyle w:val="NormalnyWeb"/>
              <w:tabs>
                <w:tab w:val="left" w:pos="284"/>
              </w:tabs>
              <w:spacing w:after="120" w:line="360" w:lineRule="auto"/>
              <w:ind w:firstLine="284"/>
              <w:jc w:val="center"/>
              <w:rPr>
                <w:rFonts w:ascii="Arial" w:hAnsi="Arial" w:cs="Arial"/>
              </w:rPr>
            </w:pPr>
            <w:proofErr w:type="spellStart"/>
            <w:r>
              <w:rPr>
                <w:rFonts w:ascii="Arial" w:hAnsi="Arial" w:cs="Arial"/>
              </w:rPr>
              <w:t>ś</w:t>
            </w:r>
            <w:r w:rsidR="004B606D" w:rsidRPr="004B606D">
              <w:rPr>
                <w:rFonts w:ascii="Arial" w:hAnsi="Arial" w:cs="Arial"/>
              </w:rPr>
              <w:t>ednia</w:t>
            </w:r>
            <w:proofErr w:type="spellEnd"/>
            <w:r w:rsidR="004B606D" w:rsidRPr="004B606D">
              <w:rPr>
                <w:rFonts w:ascii="Arial" w:hAnsi="Arial" w:cs="Arial"/>
              </w:rPr>
              <w:t xml:space="preserve"> z lat 2015-2017</w:t>
            </w:r>
          </w:p>
        </w:tc>
        <w:tc>
          <w:tcPr>
            <w:tcW w:w="1743" w:type="pct"/>
            <w:tcBorders>
              <w:top w:val="nil"/>
              <w:left w:val="nil"/>
              <w:bottom w:val="single" w:sz="4" w:space="0" w:color="auto"/>
              <w:right w:val="single" w:sz="4" w:space="0" w:color="auto"/>
            </w:tcBorders>
            <w:vAlign w:val="center"/>
            <w:hideMark/>
          </w:tcPr>
          <w:p w14:paraId="75EDCF1D"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24515</w:t>
            </w:r>
          </w:p>
        </w:tc>
        <w:tc>
          <w:tcPr>
            <w:tcW w:w="1954" w:type="pct"/>
            <w:tcBorders>
              <w:top w:val="nil"/>
              <w:left w:val="nil"/>
              <w:bottom w:val="single" w:sz="4" w:space="0" w:color="auto"/>
              <w:right w:val="single" w:sz="4" w:space="0" w:color="auto"/>
            </w:tcBorders>
            <w:vAlign w:val="center"/>
            <w:hideMark/>
          </w:tcPr>
          <w:p w14:paraId="3F2F9421"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w:t>
            </w:r>
          </w:p>
        </w:tc>
      </w:tr>
      <w:tr w:rsidR="004B606D" w:rsidRPr="004B606D" w14:paraId="71D33BDD" w14:textId="77777777" w:rsidTr="00FE3D95">
        <w:trPr>
          <w:trHeight w:val="397"/>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3E2800E5"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2018</w:t>
            </w:r>
          </w:p>
        </w:tc>
        <w:tc>
          <w:tcPr>
            <w:tcW w:w="1743" w:type="pct"/>
            <w:tcBorders>
              <w:top w:val="single" w:sz="4" w:space="0" w:color="auto"/>
              <w:left w:val="nil"/>
              <w:bottom w:val="single" w:sz="4" w:space="0" w:color="auto"/>
              <w:right w:val="single" w:sz="4" w:space="0" w:color="auto"/>
            </w:tcBorders>
            <w:vAlign w:val="center"/>
            <w:hideMark/>
          </w:tcPr>
          <w:p w14:paraId="1FB71EE5"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23178</w:t>
            </w:r>
          </w:p>
        </w:tc>
        <w:tc>
          <w:tcPr>
            <w:tcW w:w="1954" w:type="pct"/>
            <w:tcBorders>
              <w:top w:val="single" w:sz="4" w:space="0" w:color="auto"/>
              <w:left w:val="nil"/>
              <w:bottom w:val="single" w:sz="4" w:space="0" w:color="auto"/>
              <w:right w:val="single" w:sz="4" w:space="0" w:color="auto"/>
            </w:tcBorders>
            <w:vAlign w:val="center"/>
            <w:hideMark/>
          </w:tcPr>
          <w:p w14:paraId="4F28F887"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94,55%</w:t>
            </w:r>
          </w:p>
        </w:tc>
      </w:tr>
      <w:tr w:rsidR="004B606D" w:rsidRPr="004B606D" w14:paraId="4C3FF6C9" w14:textId="77777777" w:rsidTr="00FE3D95">
        <w:trPr>
          <w:trHeight w:val="397"/>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4FAC91E8"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2019</w:t>
            </w:r>
          </w:p>
        </w:tc>
        <w:tc>
          <w:tcPr>
            <w:tcW w:w="1743" w:type="pct"/>
            <w:tcBorders>
              <w:top w:val="single" w:sz="4" w:space="0" w:color="auto"/>
              <w:left w:val="nil"/>
              <w:bottom w:val="single" w:sz="4" w:space="0" w:color="auto"/>
              <w:right w:val="single" w:sz="4" w:space="0" w:color="auto"/>
            </w:tcBorders>
            <w:vAlign w:val="center"/>
            <w:hideMark/>
          </w:tcPr>
          <w:p w14:paraId="2A665E9A"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24281</w:t>
            </w:r>
          </w:p>
        </w:tc>
        <w:tc>
          <w:tcPr>
            <w:tcW w:w="1954" w:type="pct"/>
            <w:tcBorders>
              <w:top w:val="single" w:sz="4" w:space="0" w:color="auto"/>
              <w:left w:val="nil"/>
              <w:bottom w:val="single" w:sz="4" w:space="0" w:color="auto"/>
              <w:right w:val="single" w:sz="4" w:space="0" w:color="auto"/>
            </w:tcBorders>
            <w:vAlign w:val="center"/>
            <w:hideMark/>
          </w:tcPr>
          <w:p w14:paraId="3448144F"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99,04%</w:t>
            </w:r>
          </w:p>
        </w:tc>
      </w:tr>
      <w:tr w:rsidR="004B606D" w:rsidRPr="004B606D" w14:paraId="2907B695" w14:textId="77777777" w:rsidTr="00FE3D95">
        <w:trPr>
          <w:trHeight w:val="397"/>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4CEB5FED"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2020</w:t>
            </w:r>
          </w:p>
        </w:tc>
        <w:tc>
          <w:tcPr>
            <w:tcW w:w="1743" w:type="pct"/>
            <w:tcBorders>
              <w:top w:val="single" w:sz="4" w:space="0" w:color="auto"/>
              <w:left w:val="nil"/>
              <w:bottom w:val="single" w:sz="4" w:space="0" w:color="auto"/>
              <w:right w:val="single" w:sz="4" w:space="0" w:color="auto"/>
            </w:tcBorders>
            <w:vAlign w:val="center"/>
            <w:hideMark/>
          </w:tcPr>
          <w:p w14:paraId="7CCBD7F1"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24628</w:t>
            </w:r>
          </w:p>
        </w:tc>
        <w:tc>
          <w:tcPr>
            <w:tcW w:w="1954" w:type="pct"/>
            <w:tcBorders>
              <w:top w:val="single" w:sz="4" w:space="0" w:color="auto"/>
              <w:left w:val="nil"/>
              <w:bottom w:val="single" w:sz="4" w:space="0" w:color="auto"/>
              <w:right w:val="single" w:sz="4" w:space="0" w:color="auto"/>
            </w:tcBorders>
            <w:vAlign w:val="center"/>
            <w:hideMark/>
          </w:tcPr>
          <w:p w14:paraId="33283861"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100,46%</w:t>
            </w:r>
          </w:p>
        </w:tc>
      </w:tr>
      <w:tr w:rsidR="004B606D" w:rsidRPr="004B606D" w14:paraId="7AB69BE2" w14:textId="77777777" w:rsidTr="00FE3D95">
        <w:trPr>
          <w:trHeight w:val="397"/>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27F447B3"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2021</w:t>
            </w:r>
          </w:p>
        </w:tc>
        <w:tc>
          <w:tcPr>
            <w:tcW w:w="1743" w:type="pct"/>
            <w:tcBorders>
              <w:top w:val="single" w:sz="4" w:space="0" w:color="auto"/>
              <w:left w:val="nil"/>
              <w:bottom w:val="single" w:sz="4" w:space="0" w:color="auto"/>
              <w:right w:val="single" w:sz="4" w:space="0" w:color="auto"/>
            </w:tcBorders>
            <w:vAlign w:val="center"/>
            <w:hideMark/>
          </w:tcPr>
          <w:p w14:paraId="616F6223"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26973</w:t>
            </w:r>
          </w:p>
        </w:tc>
        <w:tc>
          <w:tcPr>
            <w:tcW w:w="1954" w:type="pct"/>
            <w:tcBorders>
              <w:top w:val="single" w:sz="4" w:space="0" w:color="auto"/>
              <w:left w:val="nil"/>
              <w:bottom w:val="single" w:sz="4" w:space="0" w:color="auto"/>
              <w:right w:val="single" w:sz="4" w:space="0" w:color="auto"/>
            </w:tcBorders>
            <w:vAlign w:val="center"/>
            <w:hideMark/>
          </w:tcPr>
          <w:p w14:paraId="0914B6D4" w14:textId="77777777" w:rsidR="004B606D" w:rsidRPr="004B606D" w:rsidRDefault="004B606D" w:rsidP="00FE3D95">
            <w:pPr>
              <w:pStyle w:val="NormalnyWeb"/>
              <w:tabs>
                <w:tab w:val="left" w:pos="284"/>
              </w:tabs>
              <w:spacing w:after="120" w:line="360" w:lineRule="auto"/>
              <w:ind w:firstLine="284"/>
              <w:jc w:val="center"/>
              <w:rPr>
                <w:rFonts w:ascii="Arial" w:hAnsi="Arial" w:cs="Arial"/>
                <w:b/>
              </w:rPr>
            </w:pPr>
            <w:r w:rsidRPr="004B606D">
              <w:rPr>
                <w:rFonts w:ascii="Arial" w:hAnsi="Arial" w:cs="Arial"/>
                <w:b/>
              </w:rPr>
              <w:t>110,03%</w:t>
            </w:r>
          </w:p>
        </w:tc>
      </w:tr>
    </w:tbl>
    <w:p w14:paraId="58967403" w14:textId="7820217D" w:rsidR="002918E0" w:rsidRDefault="002918E0" w:rsidP="00786295">
      <w:pPr>
        <w:pStyle w:val="NormalnyWeb"/>
        <w:tabs>
          <w:tab w:val="left" w:pos="284"/>
        </w:tabs>
        <w:spacing w:beforeAutospacing="0" w:after="120" w:afterAutospacing="0" w:line="360" w:lineRule="auto"/>
        <w:ind w:firstLine="284"/>
        <w:jc w:val="both"/>
        <w:rPr>
          <w:rFonts w:ascii="Arial" w:hAnsi="Arial" w:cs="Arial"/>
        </w:rPr>
      </w:pPr>
    </w:p>
    <w:p w14:paraId="03B1A62F" w14:textId="77777777" w:rsidR="002918E0" w:rsidRDefault="002918E0">
      <w:pPr>
        <w:spacing w:after="0" w:line="240" w:lineRule="auto"/>
        <w:rPr>
          <w:rFonts w:ascii="Arial" w:eastAsia="Times New Roman" w:hAnsi="Arial" w:cs="Arial"/>
          <w:sz w:val="20"/>
          <w:szCs w:val="20"/>
          <w:lang w:eastAsia="pl-PL"/>
        </w:rPr>
      </w:pPr>
      <w:r>
        <w:rPr>
          <w:rFonts w:ascii="Arial" w:hAnsi="Arial" w:cs="Arial"/>
        </w:rPr>
        <w:br w:type="page"/>
      </w:r>
    </w:p>
    <w:p w14:paraId="05A3CDF0" w14:textId="77777777" w:rsidR="0011487A" w:rsidRDefault="0011487A" w:rsidP="00786295">
      <w:pPr>
        <w:pStyle w:val="NormalnyWeb"/>
        <w:tabs>
          <w:tab w:val="left" w:pos="284"/>
        </w:tabs>
        <w:spacing w:beforeAutospacing="0" w:after="120" w:afterAutospacing="0" w:line="360" w:lineRule="auto"/>
        <w:ind w:firstLine="284"/>
        <w:jc w:val="both"/>
        <w:rPr>
          <w:rFonts w:ascii="Arial" w:hAnsi="Arial" w:cs="Arial"/>
        </w:rPr>
      </w:pPr>
    </w:p>
    <w:p w14:paraId="287558DC" w14:textId="6796B2C0" w:rsidR="00786295" w:rsidRPr="00786295" w:rsidRDefault="00786295" w:rsidP="00786295">
      <w:pPr>
        <w:widowControl w:val="0"/>
        <w:tabs>
          <w:tab w:val="left" w:pos="284"/>
        </w:tabs>
        <w:spacing w:before="280" w:after="120" w:line="360" w:lineRule="auto"/>
        <w:jc w:val="both"/>
        <w:rPr>
          <w:rFonts w:ascii="Arial" w:eastAsia="Times New Roman" w:hAnsi="Arial" w:cs="Arial"/>
          <w:b/>
          <w:sz w:val="20"/>
          <w:szCs w:val="20"/>
          <w:lang w:eastAsia="pl-PL"/>
        </w:rPr>
      </w:pPr>
      <w:r w:rsidRPr="00786295">
        <w:rPr>
          <w:rFonts w:ascii="Arial" w:eastAsia="Times New Roman" w:hAnsi="Arial" w:cs="Arial"/>
          <w:b/>
          <w:sz w:val="20"/>
          <w:szCs w:val="20"/>
          <w:lang w:eastAsia="pl-PL"/>
        </w:rPr>
        <w:t>Wykres</w:t>
      </w:r>
      <w:r w:rsidR="00843034">
        <w:rPr>
          <w:rFonts w:ascii="Arial" w:eastAsia="Times New Roman" w:hAnsi="Arial" w:cs="Arial"/>
          <w:b/>
          <w:sz w:val="20"/>
          <w:szCs w:val="20"/>
          <w:lang w:eastAsia="pl-PL"/>
        </w:rPr>
        <w:t xml:space="preserve"> 4</w:t>
      </w:r>
      <w:r w:rsidRPr="00786295">
        <w:rPr>
          <w:rFonts w:ascii="Arial" w:eastAsia="Times New Roman" w:hAnsi="Arial" w:cs="Arial"/>
          <w:b/>
          <w:sz w:val="20"/>
          <w:szCs w:val="20"/>
          <w:lang w:eastAsia="pl-PL"/>
        </w:rPr>
        <w:t xml:space="preserve"> – Sprzedaż substancji czynnych środków ochrony roślin [w tonach] wraz z linią trendu </w:t>
      </w:r>
    </w:p>
    <w:p w14:paraId="6EDDC677" w14:textId="1F59D762" w:rsidR="006D4341" w:rsidRDefault="0076529D" w:rsidP="00A16004">
      <w:pPr>
        <w:widowControl w:val="0"/>
        <w:tabs>
          <w:tab w:val="left" w:pos="284"/>
        </w:tabs>
        <w:spacing w:after="120" w:line="360" w:lineRule="auto"/>
        <w:ind w:firstLine="284"/>
        <w:jc w:val="both"/>
        <w:rPr>
          <w:rFonts w:ascii="Arial" w:eastAsia="Times New Roman" w:hAnsi="Arial" w:cs="Arial"/>
          <w:sz w:val="20"/>
          <w:szCs w:val="20"/>
          <w:lang w:eastAsia="pl-PL"/>
        </w:rPr>
      </w:pPr>
      <w:r>
        <w:rPr>
          <w:noProof/>
          <w:lang w:eastAsia="pl-PL"/>
        </w:rPr>
        <w:drawing>
          <wp:inline distT="0" distB="0" distL="0" distR="0" wp14:anchorId="54A89D3F" wp14:editId="48D8FCDE">
            <wp:extent cx="5690382" cy="2722099"/>
            <wp:effectExtent l="0" t="0" r="5715" b="254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3A38182" w14:textId="30228EF5" w:rsidR="00A16004" w:rsidRDefault="00A16004" w:rsidP="00A16004">
      <w:pPr>
        <w:widowControl w:val="0"/>
        <w:tabs>
          <w:tab w:val="left" w:pos="284"/>
        </w:tabs>
        <w:spacing w:after="120" w:line="360" w:lineRule="auto"/>
        <w:ind w:firstLine="284"/>
        <w:jc w:val="both"/>
        <w:rPr>
          <w:rFonts w:ascii="Arial" w:eastAsia="Times New Roman" w:hAnsi="Arial" w:cs="Arial"/>
          <w:sz w:val="20"/>
          <w:szCs w:val="20"/>
          <w:lang w:eastAsia="pl-PL"/>
        </w:rPr>
      </w:pPr>
      <w:r w:rsidRPr="00A16004">
        <w:rPr>
          <w:rFonts w:ascii="Arial" w:eastAsia="Times New Roman" w:hAnsi="Arial" w:cs="Arial"/>
          <w:sz w:val="20"/>
          <w:szCs w:val="20"/>
          <w:lang w:eastAsia="pl-PL"/>
        </w:rPr>
        <w:t>Dokładna analiza danych w 2018</w:t>
      </w:r>
      <w:r w:rsidR="00E854EB">
        <w:rPr>
          <w:rFonts w:ascii="Arial" w:eastAsia="Times New Roman" w:hAnsi="Arial" w:cs="Arial"/>
          <w:sz w:val="20"/>
          <w:szCs w:val="20"/>
          <w:lang w:eastAsia="pl-PL"/>
        </w:rPr>
        <w:t> </w:t>
      </w:r>
      <w:r w:rsidRPr="00A16004">
        <w:rPr>
          <w:rFonts w:ascii="Arial" w:eastAsia="Times New Roman" w:hAnsi="Arial" w:cs="Arial"/>
          <w:sz w:val="20"/>
          <w:szCs w:val="20"/>
          <w:lang w:eastAsia="pl-PL"/>
        </w:rPr>
        <w:t>r. wskazała na znaczny spadek sprzedaży herbicydów fosforoorganicznych (o 29%) oraz regulatorów wzrostu roślin (o 25%), o 15% wzrosła natomiast sprzedaż fungicydów. W 2019 r. nastąpił wzrost sprzedaży środków owadobójczych o 55%. W 2020</w:t>
      </w:r>
      <w:r>
        <w:rPr>
          <w:rFonts w:ascii="Arial" w:eastAsia="Times New Roman" w:hAnsi="Arial" w:cs="Arial"/>
          <w:sz w:val="20"/>
          <w:szCs w:val="20"/>
          <w:lang w:eastAsia="pl-PL"/>
        </w:rPr>
        <w:t xml:space="preserve"> r</w:t>
      </w:r>
      <w:r w:rsidRPr="00A16004">
        <w:rPr>
          <w:rFonts w:ascii="Arial" w:eastAsia="Times New Roman" w:hAnsi="Arial" w:cs="Arial"/>
          <w:sz w:val="20"/>
          <w:szCs w:val="20"/>
          <w:lang w:eastAsia="pl-PL"/>
        </w:rPr>
        <w:t xml:space="preserve"> wzrosła sprzedaży fungicydów i herbicydów, a spadła sprzedaż insektycydów i regulatorów wzrostu roślin. </w:t>
      </w:r>
      <w:r w:rsidR="00780291" w:rsidRPr="00780291">
        <w:rPr>
          <w:rFonts w:ascii="Arial" w:eastAsia="Times New Roman" w:hAnsi="Arial" w:cs="Arial"/>
          <w:sz w:val="20"/>
          <w:szCs w:val="20"/>
          <w:lang w:eastAsia="pl-PL"/>
        </w:rPr>
        <w:t xml:space="preserve">Sprzedaż środków ochrony roślin w przeliczeniu na substancje czynne w podziale na grupy środków ochrony roślin przedstawiona jest na wykresie 5. W 2021 </w:t>
      </w:r>
      <w:r w:rsidR="003E6281">
        <w:rPr>
          <w:rFonts w:ascii="Arial" w:eastAsia="Times New Roman" w:hAnsi="Arial" w:cs="Arial"/>
          <w:sz w:val="20"/>
          <w:szCs w:val="20"/>
          <w:lang w:eastAsia="pl-PL"/>
        </w:rPr>
        <w:t xml:space="preserve">r. </w:t>
      </w:r>
      <w:r w:rsidR="00780291" w:rsidRPr="00780291">
        <w:rPr>
          <w:rFonts w:ascii="Arial" w:eastAsia="Times New Roman" w:hAnsi="Arial" w:cs="Arial"/>
          <w:sz w:val="20"/>
          <w:szCs w:val="20"/>
          <w:lang w:eastAsia="pl-PL"/>
        </w:rPr>
        <w:t>zanotowano dalszy wzrost sprzedaży fungicydów i herbicydów (odpowiednio o 8% i 12% w porównaniu do 2020</w:t>
      </w:r>
      <w:r w:rsidR="00A842FD">
        <w:rPr>
          <w:rFonts w:ascii="Arial" w:eastAsia="Times New Roman" w:hAnsi="Arial" w:cs="Arial"/>
          <w:sz w:val="20"/>
          <w:szCs w:val="20"/>
          <w:lang w:eastAsia="pl-PL"/>
        </w:rPr>
        <w:t xml:space="preserve"> r.</w:t>
      </w:r>
      <w:r w:rsidR="00780291" w:rsidRPr="00780291">
        <w:rPr>
          <w:rFonts w:ascii="Arial" w:eastAsia="Times New Roman" w:hAnsi="Arial" w:cs="Arial"/>
          <w:sz w:val="20"/>
          <w:szCs w:val="20"/>
          <w:lang w:eastAsia="pl-PL"/>
        </w:rPr>
        <w:t>).</w:t>
      </w:r>
    </w:p>
    <w:p w14:paraId="49080669" w14:textId="4C852F47" w:rsidR="00A16004" w:rsidRPr="00A16004" w:rsidRDefault="00A16004" w:rsidP="00A16004">
      <w:pPr>
        <w:spacing w:after="0" w:line="240" w:lineRule="auto"/>
        <w:ind w:left="1134" w:hanging="1134"/>
        <w:rPr>
          <w:rFonts w:ascii="Arial" w:eastAsia="Times New Roman" w:hAnsi="Arial" w:cs="Arial"/>
          <w:b/>
          <w:sz w:val="20"/>
          <w:szCs w:val="20"/>
          <w:lang w:eastAsia="pl-PL"/>
        </w:rPr>
      </w:pPr>
      <w:r w:rsidRPr="00A16004">
        <w:rPr>
          <w:rFonts w:ascii="Arial" w:eastAsia="Times New Roman" w:hAnsi="Arial" w:cs="Arial"/>
          <w:b/>
          <w:sz w:val="20"/>
          <w:szCs w:val="20"/>
          <w:lang w:eastAsia="pl-PL"/>
        </w:rPr>
        <w:t>Wykres</w:t>
      </w:r>
      <w:r w:rsidR="00843034">
        <w:rPr>
          <w:rFonts w:ascii="Arial" w:eastAsia="Times New Roman" w:hAnsi="Arial" w:cs="Arial"/>
          <w:b/>
          <w:sz w:val="20"/>
          <w:szCs w:val="20"/>
          <w:lang w:eastAsia="pl-PL"/>
        </w:rPr>
        <w:t xml:space="preserve"> 5</w:t>
      </w:r>
      <w:r w:rsidRPr="00A16004">
        <w:rPr>
          <w:rFonts w:ascii="Arial" w:eastAsia="Times New Roman" w:hAnsi="Arial" w:cs="Arial"/>
          <w:b/>
          <w:sz w:val="20"/>
          <w:szCs w:val="20"/>
          <w:lang w:eastAsia="pl-PL"/>
        </w:rPr>
        <w:t xml:space="preserve"> – Sprzedaż substancji czynnych środków ochrony roślin w podziale na grupy [w tonach]</w:t>
      </w:r>
    </w:p>
    <w:p w14:paraId="0E1F1724" w14:textId="2FB9EFEC" w:rsidR="00743253" w:rsidRDefault="00743253" w:rsidP="0030409F">
      <w:pPr>
        <w:pStyle w:val="NormalnyWeb"/>
        <w:tabs>
          <w:tab w:val="left" w:pos="284"/>
        </w:tabs>
        <w:spacing w:beforeAutospacing="0" w:after="120" w:afterAutospacing="0" w:line="360" w:lineRule="auto"/>
        <w:jc w:val="center"/>
        <w:rPr>
          <w:rFonts w:ascii="Arial" w:hAnsi="Arial" w:cs="Arial"/>
        </w:rPr>
      </w:pPr>
    </w:p>
    <w:p w14:paraId="0B361046" w14:textId="7E0AAC9D" w:rsidR="00743253" w:rsidRDefault="00743253" w:rsidP="002C2375">
      <w:pPr>
        <w:pStyle w:val="NormalnyWeb"/>
        <w:tabs>
          <w:tab w:val="left" w:pos="0"/>
        </w:tabs>
        <w:spacing w:beforeAutospacing="0" w:after="120" w:afterAutospacing="0" w:line="360" w:lineRule="auto"/>
        <w:jc w:val="center"/>
        <w:rPr>
          <w:rFonts w:ascii="Arial" w:hAnsi="Arial" w:cs="Arial"/>
        </w:rPr>
      </w:pPr>
      <w:r w:rsidRPr="00453BF9">
        <w:rPr>
          <w:rFonts w:ascii="Arial" w:hAnsi="Arial" w:cs="Arial"/>
          <w:noProof/>
        </w:rPr>
        <w:drawing>
          <wp:inline distT="0" distB="0" distL="0" distR="0" wp14:anchorId="7A8CEEEE" wp14:editId="622DB62D">
            <wp:extent cx="5391150" cy="2981325"/>
            <wp:effectExtent l="0" t="0" r="0" b="9525"/>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4754603" w14:textId="23F1368F" w:rsidR="00C962BB" w:rsidRPr="006B370D" w:rsidRDefault="00C962BB" w:rsidP="006B370D">
      <w:pPr>
        <w:widowControl w:val="0"/>
        <w:tabs>
          <w:tab w:val="left" w:pos="284"/>
        </w:tabs>
        <w:spacing w:after="120" w:line="360" w:lineRule="auto"/>
        <w:ind w:firstLine="284"/>
        <w:jc w:val="both"/>
        <w:rPr>
          <w:rFonts w:ascii="Arial" w:eastAsia="Times New Roman" w:hAnsi="Arial" w:cs="Arial"/>
          <w:sz w:val="20"/>
          <w:szCs w:val="20"/>
          <w:lang w:eastAsia="pl-PL"/>
        </w:rPr>
      </w:pPr>
      <w:r w:rsidRPr="006B370D">
        <w:rPr>
          <w:rFonts w:ascii="Arial" w:eastAsia="Times New Roman" w:hAnsi="Arial" w:cs="Arial"/>
          <w:sz w:val="20"/>
          <w:szCs w:val="20"/>
          <w:lang w:eastAsia="pl-PL"/>
        </w:rPr>
        <w:lastRenderedPageBreak/>
        <w:t xml:space="preserve">Tabela </w:t>
      </w:r>
      <w:r w:rsidR="00194986">
        <w:rPr>
          <w:rFonts w:ascii="Arial" w:eastAsia="Times New Roman" w:hAnsi="Arial" w:cs="Arial"/>
          <w:sz w:val="20"/>
          <w:szCs w:val="20"/>
          <w:lang w:eastAsia="pl-PL"/>
        </w:rPr>
        <w:t>poniżej</w:t>
      </w:r>
      <w:r w:rsidRPr="006B370D">
        <w:rPr>
          <w:rFonts w:ascii="Arial" w:eastAsia="Times New Roman" w:hAnsi="Arial" w:cs="Arial"/>
          <w:sz w:val="20"/>
          <w:szCs w:val="20"/>
          <w:lang w:eastAsia="pl-PL"/>
        </w:rPr>
        <w:t xml:space="preserve"> zawiera </w:t>
      </w:r>
      <w:r w:rsidR="00194986">
        <w:rPr>
          <w:rFonts w:ascii="Arial" w:eastAsia="Times New Roman" w:hAnsi="Arial" w:cs="Arial"/>
          <w:sz w:val="20"/>
          <w:szCs w:val="20"/>
          <w:lang w:eastAsia="pl-PL"/>
        </w:rPr>
        <w:t xml:space="preserve">wyniki </w:t>
      </w:r>
      <w:r w:rsidRPr="006B370D">
        <w:rPr>
          <w:rFonts w:ascii="Arial" w:eastAsia="Times New Roman" w:hAnsi="Arial" w:cs="Arial"/>
          <w:sz w:val="20"/>
          <w:szCs w:val="20"/>
          <w:lang w:eastAsia="pl-PL"/>
        </w:rPr>
        <w:t>sprzedaży środków ochrony roślin w przeliczeniu na substancje czynne w</w:t>
      </w:r>
      <w:r w:rsidR="00194986">
        <w:rPr>
          <w:rFonts w:ascii="Arial" w:eastAsia="Times New Roman" w:hAnsi="Arial" w:cs="Arial"/>
          <w:sz w:val="20"/>
          <w:szCs w:val="20"/>
          <w:lang w:eastAsia="pl-PL"/>
        </w:rPr>
        <w:t> </w:t>
      </w:r>
      <w:r w:rsidRPr="006B370D">
        <w:rPr>
          <w:rFonts w:ascii="Arial" w:eastAsia="Times New Roman" w:hAnsi="Arial" w:cs="Arial"/>
          <w:sz w:val="20"/>
          <w:szCs w:val="20"/>
          <w:lang w:eastAsia="pl-PL"/>
        </w:rPr>
        <w:t>podziale na grupy w</w:t>
      </w:r>
      <w:r w:rsidR="00A31BA4">
        <w:rPr>
          <w:rFonts w:ascii="Arial" w:eastAsia="Times New Roman" w:hAnsi="Arial" w:cs="Arial"/>
          <w:sz w:val="20"/>
          <w:szCs w:val="20"/>
          <w:lang w:eastAsia="pl-PL"/>
        </w:rPr>
        <w:t xml:space="preserve"> </w:t>
      </w:r>
      <w:r w:rsidRPr="006B370D">
        <w:rPr>
          <w:rFonts w:ascii="Arial" w:eastAsia="Times New Roman" w:hAnsi="Arial" w:cs="Arial"/>
          <w:sz w:val="20"/>
          <w:szCs w:val="20"/>
          <w:lang w:eastAsia="pl-PL"/>
        </w:rPr>
        <w:t>2021</w:t>
      </w:r>
      <w:r w:rsidR="00A31BA4">
        <w:rPr>
          <w:rFonts w:ascii="Arial" w:eastAsia="Times New Roman" w:hAnsi="Arial" w:cs="Arial"/>
          <w:sz w:val="20"/>
          <w:szCs w:val="20"/>
          <w:lang w:eastAsia="pl-PL"/>
        </w:rPr>
        <w:t xml:space="preserve"> r.</w:t>
      </w:r>
      <w:r w:rsidRPr="006B370D">
        <w:rPr>
          <w:rFonts w:ascii="Arial" w:eastAsia="Times New Roman" w:hAnsi="Arial" w:cs="Arial"/>
          <w:sz w:val="20"/>
          <w:szCs w:val="20"/>
          <w:lang w:eastAsia="pl-PL"/>
        </w:rPr>
        <w:t xml:space="preserve"> w porównaniu do średniej z lat 2015-2017 oraz poprzedniego roku. Pomiędzy </w:t>
      </w:r>
      <w:r w:rsidR="006B370D">
        <w:rPr>
          <w:rFonts w:ascii="Arial" w:eastAsia="Times New Roman" w:hAnsi="Arial" w:cs="Arial"/>
          <w:sz w:val="20"/>
          <w:szCs w:val="20"/>
          <w:lang w:eastAsia="pl-PL"/>
        </w:rPr>
        <w:t>2</w:t>
      </w:r>
      <w:r w:rsidRPr="006B370D">
        <w:rPr>
          <w:rFonts w:ascii="Arial" w:eastAsia="Times New Roman" w:hAnsi="Arial" w:cs="Arial"/>
          <w:sz w:val="20"/>
          <w:szCs w:val="20"/>
          <w:lang w:eastAsia="pl-PL"/>
        </w:rPr>
        <w:t>021</w:t>
      </w:r>
      <w:r w:rsidR="006B370D">
        <w:rPr>
          <w:rFonts w:ascii="Arial" w:eastAsia="Times New Roman" w:hAnsi="Arial" w:cs="Arial"/>
          <w:sz w:val="20"/>
          <w:szCs w:val="20"/>
          <w:lang w:eastAsia="pl-PL"/>
        </w:rPr>
        <w:t xml:space="preserve"> r.</w:t>
      </w:r>
      <w:r w:rsidRPr="006B370D">
        <w:rPr>
          <w:rFonts w:ascii="Arial" w:eastAsia="Times New Roman" w:hAnsi="Arial" w:cs="Arial"/>
          <w:sz w:val="20"/>
          <w:szCs w:val="20"/>
          <w:lang w:eastAsia="pl-PL"/>
        </w:rPr>
        <w:t xml:space="preserve"> i latami 2015-2017 największy wzrost ilościowy sprzedaży nastąpił w grupie fungicydów (2</w:t>
      </w:r>
      <w:r w:rsidR="006B370D">
        <w:rPr>
          <w:rFonts w:ascii="Arial" w:eastAsia="Times New Roman" w:hAnsi="Arial" w:cs="Arial"/>
          <w:sz w:val="20"/>
          <w:szCs w:val="20"/>
          <w:lang w:eastAsia="pl-PL"/>
        </w:rPr>
        <w:t xml:space="preserve"> </w:t>
      </w:r>
      <w:r w:rsidRPr="006B370D">
        <w:rPr>
          <w:rFonts w:ascii="Arial" w:eastAsia="Times New Roman" w:hAnsi="Arial" w:cs="Arial"/>
          <w:sz w:val="20"/>
          <w:szCs w:val="20"/>
          <w:lang w:eastAsia="pl-PL"/>
        </w:rPr>
        <w:t>655 ton). W grupie insektycydów nastąpił natomiast największy spadek sprzedaży (953</w:t>
      </w:r>
      <w:r w:rsidR="00194986">
        <w:rPr>
          <w:rFonts w:ascii="Arial" w:eastAsia="Times New Roman" w:hAnsi="Arial" w:cs="Arial"/>
          <w:sz w:val="20"/>
          <w:szCs w:val="20"/>
          <w:lang w:eastAsia="pl-PL"/>
        </w:rPr>
        <w:t> </w:t>
      </w:r>
      <w:r w:rsidRPr="006B370D">
        <w:rPr>
          <w:rFonts w:ascii="Arial" w:eastAsia="Times New Roman" w:hAnsi="Arial" w:cs="Arial"/>
          <w:sz w:val="20"/>
          <w:szCs w:val="20"/>
          <w:lang w:eastAsia="pl-PL"/>
        </w:rPr>
        <w:t>tony).</w:t>
      </w:r>
    </w:p>
    <w:tbl>
      <w:tblPr>
        <w:tblStyle w:val="Tabela-Siatka"/>
        <w:tblW w:w="0" w:type="auto"/>
        <w:tblLook w:val="0600" w:firstRow="0" w:lastRow="0" w:firstColumn="0" w:lastColumn="0" w:noHBand="1" w:noVBand="1"/>
      </w:tblPr>
      <w:tblGrid>
        <w:gridCol w:w="2600"/>
        <w:gridCol w:w="1300"/>
        <w:gridCol w:w="1124"/>
        <w:gridCol w:w="1081"/>
        <w:gridCol w:w="1528"/>
        <w:gridCol w:w="1428"/>
      </w:tblGrid>
      <w:tr w:rsidR="00C962BB" w:rsidRPr="00FA7632" w14:paraId="35CB9A1C" w14:textId="77777777" w:rsidTr="00B23F6F">
        <w:trPr>
          <w:trHeight w:val="397"/>
        </w:trPr>
        <w:tc>
          <w:tcPr>
            <w:tcW w:w="2600" w:type="dxa"/>
            <w:vMerge w:val="restart"/>
            <w:tcBorders>
              <w:top w:val="single" w:sz="4" w:space="0" w:color="auto"/>
              <w:left w:val="single" w:sz="4" w:space="0" w:color="auto"/>
              <w:bottom w:val="single" w:sz="4" w:space="0" w:color="auto"/>
              <w:right w:val="single" w:sz="4" w:space="0" w:color="auto"/>
            </w:tcBorders>
            <w:vAlign w:val="center"/>
            <w:hideMark/>
          </w:tcPr>
          <w:p w14:paraId="066B3582" w14:textId="77777777" w:rsidR="00C962BB" w:rsidRPr="00271C1A" w:rsidRDefault="00C962BB" w:rsidP="00B23F6F">
            <w:pPr>
              <w:jc w:val="center"/>
              <w:rPr>
                <w:rFonts w:ascii="Arial" w:hAnsi="Arial" w:cs="Arial"/>
                <w:sz w:val="20"/>
                <w:szCs w:val="20"/>
              </w:rPr>
            </w:pPr>
            <w:r w:rsidRPr="00271C1A">
              <w:rPr>
                <w:rFonts w:ascii="Arial" w:hAnsi="Arial" w:cs="Arial"/>
                <w:sz w:val="20"/>
                <w:szCs w:val="20"/>
              </w:rPr>
              <w:t>Grupa środków ochrony roślin</w:t>
            </w:r>
          </w:p>
        </w:tc>
        <w:tc>
          <w:tcPr>
            <w:tcW w:w="3505" w:type="dxa"/>
            <w:gridSpan w:val="3"/>
            <w:tcBorders>
              <w:top w:val="single" w:sz="4" w:space="0" w:color="auto"/>
              <w:left w:val="single" w:sz="4" w:space="0" w:color="auto"/>
              <w:bottom w:val="single" w:sz="4" w:space="0" w:color="auto"/>
              <w:right w:val="single" w:sz="4" w:space="0" w:color="auto"/>
            </w:tcBorders>
            <w:vAlign w:val="center"/>
            <w:hideMark/>
          </w:tcPr>
          <w:p w14:paraId="789DF6B0" w14:textId="07E3A56B" w:rsidR="00C962BB" w:rsidRPr="00271C1A" w:rsidRDefault="00C962BB" w:rsidP="00B23F6F">
            <w:pPr>
              <w:jc w:val="center"/>
              <w:rPr>
                <w:rFonts w:ascii="Arial" w:hAnsi="Arial" w:cs="Arial"/>
                <w:sz w:val="20"/>
                <w:szCs w:val="20"/>
              </w:rPr>
            </w:pPr>
            <w:r w:rsidRPr="00271C1A">
              <w:rPr>
                <w:rFonts w:ascii="Arial" w:hAnsi="Arial" w:cs="Arial"/>
                <w:sz w:val="20"/>
                <w:szCs w:val="20"/>
              </w:rPr>
              <w:t>Sprzedaż w przeliczeniu na substancje czynne</w:t>
            </w:r>
            <w:r w:rsidR="00B23F6F">
              <w:rPr>
                <w:rFonts w:ascii="Arial" w:hAnsi="Arial" w:cs="Arial"/>
                <w:sz w:val="20"/>
                <w:szCs w:val="20"/>
              </w:rPr>
              <w:t xml:space="preserve"> </w:t>
            </w:r>
            <w:r w:rsidRPr="00271C1A">
              <w:rPr>
                <w:rFonts w:ascii="Arial" w:hAnsi="Arial" w:cs="Arial"/>
                <w:sz w:val="20"/>
                <w:szCs w:val="20"/>
              </w:rPr>
              <w:t>[w tonach]</w:t>
            </w:r>
          </w:p>
        </w:tc>
        <w:tc>
          <w:tcPr>
            <w:tcW w:w="1528" w:type="dxa"/>
            <w:vMerge w:val="restart"/>
            <w:tcBorders>
              <w:top w:val="single" w:sz="4" w:space="0" w:color="auto"/>
              <w:left w:val="single" w:sz="4" w:space="0" w:color="auto"/>
              <w:bottom w:val="single" w:sz="4" w:space="0" w:color="auto"/>
              <w:right w:val="single" w:sz="4" w:space="0" w:color="auto"/>
            </w:tcBorders>
            <w:vAlign w:val="center"/>
            <w:hideMark/>
          </w:tcPr>
          <w:p w14:paraId="2C7DE5D3" w14:textId="18ADC212" w:rsidR="00C962BB" w:rsidRPr="00271C1A" w:rsidRDefault="00C962BB" w:rsidP="00D44E93">
            <w:pPr>
              <w:jc w:val="center"/>
              <w:rPr>
                <w:rFonts w:ascii="Arial" w:hAnsi="Arial" w:cs="Arial"/>
                <w:sz w:val="20"/>
                <w:szCs w:val="20"/>
              </w:rPr>
            </w:pPr>
            <w:r w:rsidRPr="00271C1A">
              <w:rPr>
                <w:rFonts w:ascii="Arial" w:hAnsi="Arial" w:cs="Arial"/>
                <w:sz w:val="20"/>
                <w:szCs w:val="20"/>
              </w:rPr>
              <w:t>2021/(średnia 2015-2017)</w:t>
            </w:r>
          </w:p>
        </w:tc>
        <w:tc>
          <w:tcPr>
            <w:tcW w:w="1428" w:type="dxa"/>
            <w:vMerge w:val="restart"/>
            <w:tcBorders>
              <w:top w:val="single" w:sz="4" w:space="0" w:color="auto"/>
              <w:left w:val="single" w:sz="4" w:space="0" w:color="auto"/>
              <w:bottom w:val="single" w:sz="4" w:space="0" w:color="auto"/>
              <w:right w:val="single" w:sz="4" w:space="0" w:color="auto"/>
            </w:tcBorders>
            <w:vAlign w:val="center"/>
            <w:hideMark/>
          </w:tcPr>
          <w:p w14:paraId="4EA54818" w14:textId="7FA65880" w:rsidR="00C962BB" w:rsidRPr="00271C1A" w:rsidRDefault="00C962BB" w:rsidP="00D44E93">
            <w:pPr>
              <w:jc w:val="center"/>
              <w:rPr>
                <w:rFonts w:ascii="Arial" w:hAnsi="Arial" w:cs="Arial"/>
                <w:sz w:val="20"/>
                <w:szCs w:val="20"/>
              </w:rPr>
            </w:pPr>
            <w:r w:rsidRPr="00271C1A">
              <w:rPr>
                <w:rFonts w:ascii="Arial" w:hAnsi="Arial" w:cs="Arial"/>
                <w:sz w:val="20"/>
                <w:szCs w:val="20"/>
              </w:rPr>
              <w:t>2021/2020</w:t>
            </w:r>
          </w:p>
        </w:tc>
      </w:tr>
      <w:tr w:rsidR="00C962BB" w:rsidRPr="00FA7632" w14:paraId="72BE587C" w14:textId="77777777" w:rsidTr="00B23F6F">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3F265" w14:textId="77777777" w:rsidR="00C962BB" w:rsidRPr="00271C1A" w:rsidRDefault="00C962BB" w:rsidP="00DC569F">
            <w:pPr>
              <w:jc w:val="both"/>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vAlign w:val="center"/>
            <w:hideMark/>
          </w:tcPr>
          <w:p w14:paraId="69D6FECE" w14:textId="216AB45E" w:rsidR="00C962BB" w:rsidRPr="00271C1A" w:rsidRDefault="00D44E93" w:rsidP="00B23F6F">
            <w:pPr>
              <w:jc w:val="center"/>
              <w:rPr>
                <w:rFonts w:ascii="Arial" w:hAnsi="Arial" w:cs="Arial"/>
                <w:sz w:val="20"/>
                <w:szCs w:val="20"/>
              </w:rPr>
            </w:pPr>
            <w:r>
              <w:rPr>
                <w:rFonts w:ascii="Arial" w:hAnsi="Arial" w:cs="Arial"/>
                <w:sz w:val="20"/>
                <w:szCs w:val="20"/>
              </w:rPr>
              <w:t>ś</w:t>
            </w:r>
            <w:r w:rsidR="00C962BB" w:rsidRPr="00271C1A">
              <w:rPr>
                <w:rFonts w:ascii="Arial" w:hAnsi="Arial" w:cs="Arial"/>
                <w:sz w:val="20"/>
                <w:szCs w:val="20"/>
              </w:rPr>
              <w:t>rednia 2015-2017</w:t>
            </w:r>
          </w:p>
        </w:tc>
        <w:tc>
          <w:tcPr>
            <w:tcW w:w="1124" w:type="dxa"/>
            <w:tcBorders>
              <w:top w:val="single" w:sz="4" w:space="0" w:color="auto"/>
              <w:left w:val="single" w:sz="4" w:space="0" w:color="auto"/>
              <w:bottom w:val="single" w:sz="4" w:space="0" w:color="auto"/>
              <w:right w:val="single" w:sz="4" w:space="0" w:color="auto"/>
            </w:tcBorders>
            <w:vAlign w:val="center"/>
            <w:hideMark/>
          </w:tcPr>
          <w:p w14:paraId="77FA172C" w14:textId="77777777" w:rsidR="00C962BB" w:rsidRPr="00271C1A" w:rsidRDefault="00C962BB" w:rsidP="00B23F6F">
            <w:pPr>
              <w:jc w:val="center"/>
              <w:rPr>
                <w:rFonts w:ascii="Arial" w:hAnsi="Arial" w:cs="Arial"/>
                <w:sz w:val="20"/>
                <w:szCs w:val="20"/>
              </w:rPr>
            </w:pPr>
            <w:r w:rsidRPr="00271C1A">
              <w:rPr>
                <w:rFonts w:ascii="Arial" w:hAnsi="Arial" w:cs="Arial"/>
                <w:sz w:val="20"/>
                <w:szCs w:val="20"/>
              </w:rPr>
              <w:t>2020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5057FA3B" w14:textId="77777777" w:rsidR="00C962BB" w:rsidRPr="00271C1A" w:rsidRDefault="00C962BB" w:rsidP="00B23F6F">
            <w:pPr>
              <w:jc w:val="center"/>
              <w:rPr>
                <w:rFonts w:ascii="Arial" w:hAnsi="Arial" w:cs="Arial"/>
                <w:sz w:val="20"/>
                <w:szCs w:val="20"/>
              </w:rPr>
            </w:pPr>
            <w:r w:rsidRPr="00271C1A">
              <w:rPr>
                <w:rFonts w:ascii="Arial" w:hAnsi="Arial" w:cs="Arial"/>
                <w:sz w:val="20"/>
                <w:szCs w:val="20"/>
              </w:rPr>
              <w:t>2021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277E07" w14:textId="77777777" w:rsidR="00C962BB" w:rsidRPr="00271C1A" w:rsidRDefault="00C962BB" w:rsidP="00DC569F">
            <w:pPr>
              <w:jc w:val="both"/>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AAF28" w14:textId="77777777" w:rsidR="00C962BB" w:rsidRPr="00271C1A" w:rsidRDefault="00C962BB" w:rsidP="00DC569F">
            <w:pPr>
              <w:jc w:val="both"/>
              <w:rPr>
                <w:rFonts w:ascii="Arial" w:hAnsi="Arial" w:cs="Arial"/>
                <w:sz w:val="20"/>
                <w:szCs w:val="20"/>
              </w:rPr>
            </w:pPr>
          </w:p>
        </w:tc>
      </w:tr>
      <w:tr w:rsidR="00C962BB" w:rsidRPr="00FA7632" w14:paraId="21283ACC" w14:textId="77777777" w:rsidTr="005135CB">
        <w:trPr>
          <w:trHeight w:val="397"/>
        </w:trPr>
        <w:tc>
          <w:tcPr>
            <w:tcW w:w="2600" w:type="dxa"/>
            <w:tcBorders>
              <w:top w:val="single" w:sz="4" w:space="0" w:color="auto"/>
              <w:left w:val="single" w:sz="4" w:space="0" w:color="auto"/>
              <w:bottom w:val="single" w:sz="4" w:space="0" w:color="auto"/>
              <w:right w:val="single" w:sz="4" w:space="0" w:color="auto"/>
            </w:tcBorders>
            <w:vAlign w:val="center"/>
            <w:hideMark/>
          </w:tcPr>
          <w:p w14:paraId="0B558DC7" w14:textId="77777777" w:rsidR="00C962BB" w:rsidRPr="00271C1A" w:rsidRDefault="00C962BB" w:rsidP="00DC569F">
            <w:pPr>
              <w:jc w:val="both"/>
              <w:rPr>
                <w:rFonts w:ascii="Arial" w:hAnsi="Arial" w:cs="Arial"/>
                <w:sz w:val="20"/>
                <w:szCs w:val="20"/>
              </w:rPr>
            </w:pPr>
            <w:r w:rsidRPr="00271C1A">
              <w:rPr>
                <w:rFonts w:ascii="Arial" w:hAnsi="Arial" w:cs="Arial"/>
                <w:sz w:val="20"/>
                <w:szCs w:val="20"/>
              </w:rPr>
              <w:t>Fungicydy i bakteriocydy</w:t>
            </w:r>
          </w:p>
        </w:tc>
        <w:tc>
          <w:tcPr>
            <w:tcW w:w="1300" w:type="dxa"/>
            <w:tcBorders>
              <w:top w:val="single" w:sz="4" w:space="0" w:color="auto"/>
              <w:left w:val="single" w:sz="4" w:space="0" w:color="auto"/>
              <w:bottom w:val="single" w:sz="4" w:space="0" w:color="auto"/>
              <w:right w:val="single" w:sz="4" w:space="0" w:color="auto"/>
            </w:tcBorders>
            <w:vAlign w:val="center"/>
            <w:hideMark/>
          </w:tcPr>
          <w:p w14:paraId="6C2CC12A"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7 400</w:t>
            </w:r>
          </w:p>
        </w:tc>
        <w:tc>
          <w:tcPr>
            <w:tcW w:w="1124" w:type="dxa"/>
            <w:tcBorders>
              <w:top w:val="single" w:sz="4" w:space="0" w:color="auto"/>
              <w:left w:val="single" w:sz="4" w:space="0" w:color="auto"/>
              <w:bottom w:val="single" w:sz="4" w:space="0" w:color="auto"/>
              <w:right w:val="single" w:sz="4" w:space="0" w:color="auto"/>
            </w:tcBorders>
            <w:vAlign w:val="center"/>
            <w:hideMark/>
          </w:tcPr>
          <w:p w14:paraId="0BFB591A"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9 280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44960333"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10 055</w:t>
            </w:r>
          </w:p>
        </w:tc>
        <w:tc>
          <w:tcPr>
            <w:tcW w:w="1528" w:type="dxa"/>
            <w:tcBorders>
              <w:top w:val="single" w:sz="4" w:space="0" w:color="auto"/>
              <w:left w:val="single" w:sz="4" w:space="0" w:color="auto"/>
              <w:bottom w:val="single" w:sz="4" w:space="0" w:color="auto"/>
              <w:right w:val="single" w:sz="4" w:space="0" w:color="auto"/>
            </w:tcBorders>
            <w:vAlign w:val="center"/>
            <w:hideMark/>
          </w:tcPr>
          <w:p w14:paraId="4A05A3AD"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136%</w:t>
            </w:r>
          </w:p>
        </w:tc>
        <w:tc>
          <w:tcPr>
            <w:tcW w:w="1428" w:type="dxa"/>
            <w:tcBorders>
              <w:top w:val="single" w:sz="4" w:space="0" w:color="auto"/>
              <w:left w:val="single" w:sz="4" w:space="0" w:color="auto"/>
              <w:bottom w:val="single" w:sz="4" w:space="0" w:color="auto"/>
              <w:right w:val="single" w:sz="4" w:space="0" w:color="auto"/>
            </w:tcBorders>
            <w:vAlign w:val="center"/>
            <w:hideMark/>
          </w:tcPr>
          <w:p w14:paraId="5565101E"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108%</w:t>
            </w:r>
          </w:p>
        </w:tc>
      </w:tr>
      <w:tr w:rsidR="00C962BB" w:rsidRPr="00FA7632" w14:paraId="440FA261" w14:textId="77777777" w:rsidTr="005135CB">
        <w:trPr>
          <w:trHeight w:val="397"/>
        </w:trPr>
        <w:tc>
          <w:tcPr>
            <w:tcW w:w="2600" w:type="dxa"/>
            <w:tcBorders>
              <w:top w:val="single" w:sz="4" w:space="0" w:color="auto"/>
              <w:left w:val="single" w:sz="4" w:space="0" w:color="auto"/>
              <w:bottom w:val="single" w:sz="4" w:space="0" w:color="auto"/>
              <w:right w:val="single" w:sz="4" w:space="0" w:color="auto"/>
            </w:tcBorders>
            <w:vAlign w:val="center"/>
            <w:hideMark/>
          </w:tcPr>
          <w:p w14:paraId="1F646D2B" w14:textId="77777777" w:rsidR="00C962BB" w:rsidRPr="00271C1A" w:rsidRDefault="00C962BB" w:rsidP="00DC569F">
            <w:pPr>
              <w:jc w:val="both"/>
              <w:rPr>
                <w:rFonts w:ascii="Arial" w:hAnsi="Arial" w:cs="Arial"/>
                <w:sz w:val="20"/>
                <w:szCs w:val="20"/>
              </w:rPr>
            </w:pPr>
            <w:r w:rsidRPr="00271C1A">
              <w:rPr>
                <w:rFonts w:ascii="Arial" w:hAnsi="Arial" w:cs="Arial"/>
                <w:sz w:val="20"/>
                <w:szCs w:val="20"/>
              </w:rPr>
              <w:t xml:space="preserve">Herbicydy, związki ograniczające rozwój łodyg i związki </w:t>
            </w:r>
            <w:proofErr w:type="spellStart"/>
            <w:r w:rsidRPr="00271C1A">
              <w:rPr>
                <w:rFonts w:ascii="Arial" w:hAnsi="Arial" w:cs="Arial"/>
                <w:sz w:val="20"/>
                <w:szCs w:val="20"/>
              </w:rPr>
              <w:t>mchobójcze</w:t>
            </w:r>
            <w:proofErr w:type="spellEnd"/>
          </w:p>
        </w:tc>
        <w:tc>
          <w:tcPr>
            <w:tcW w:w="1300" w:type="dxa"/>
            <w:tcBorders>
              <w:top w:val="single" w:sz="4" w:space="0" w:color="auto"/>
              <w:left w:val="single" w:sz="4" w:space="0" w:color="auto"/>
              <w:bottom w:val="single" w:sz="4" w:space="0" w:color="auto"/>
              <w:right w:val="single" w:sz="4" w:space="0" w:color="auto"/>
            </w:tcBorders>
            <w:vAlign w:val="center"/>
            <w:hideMark/>
          </w:tcPr>
          <w:p w14:paraId="6ABCC1EA"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12 846</w:t>
            </w:r>
          </w:p>
        </w:tc>
        <w:tc>
          <w:tcPr>
            <w:tcW w:w="1124" w:type="dxa"/>
            <w:tcBorders>
              <w:top w:val="single" w:sz="4" w:space="0" w:color="auto"/>
              <w:left w:val="single" w:sz="4" w:space="0" w:color="auto"/>
              <w:bottom w:val="single" w:sz="4" w:space="0" w:color="auto"/>
              <w:right w:val="single" w:sz="4" w:space="0" w:color="auto"/>
            </w:tcBorders>
            <w:vAlign w:val="center"/>
            <w:hideMark/>
          </w:tcPr>
          <w:p w14:paraId="66683028"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12 809</w:t>
            </w:r>
          </w:p>
        </w:tc>
        <w:tc>
          <w:tcPr>
            <w:tcW w:w="1081" w:type="dxa"/>
            <w:tcBorders>
              <w:top w:val="single" w:sz="4" w:space="0" w:color="auto"/>
              <w:left w:val="single" w:sz="4" w:space="0" w:color="auto"/>
              <w:bottom w:val="single" w:sz="4" w:space="0" w:color="auto"/>
              <w:right w:val="single" w:sz="4" w:space="0" w:color="auto"/>
            </w:tcBorders>
            <w:vAlign w:val="center"/>
            <w:hideMark/>
          </w:tcPr>
          <w:p w14:paraId="460C5BED"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14 354</w:t>
            </w:r>
          </w:p>
        </w:tc>
        <w:tc>
          <w:tcPr>
            <w:tcW w:w="1528" w:type="dxa"/>
            <w:tcBorders>
              <w:top w:val="single" w:sz="4" w:space="0" w:color="auto"/>
              <w:left w:val="single" w:sz="4" w:space="0" w:color="auto"/>
              <w:bottom w:val="single" w:sz="4" w:space="0" w:color="auto"/>
              <w:right w:val="single" w:sz="4" w:space="0" w:color="auto"/>
            </w:tcBorders>
            <w:vAlign w:val="center"/>
            <w:hideMark/>
          </w:tcPr>
          <w:p w14:paraId="632F746D"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112%</w:t>
            </w:r>
          </w:p>
        </w:tc>
        <w:tc>
          <w:tcPr>
            <w:tcW w:w="1428" w:type="dxa"/>
            <w:tcBorders>
              <w:top w:val="single" w:sz="4" w:space="0" w:color="auto"/>
              <w:left w:val="single" w:sz="4" w:space="0" w:color="auto"/>
              <w:bottom w:val="single" w:sz="4" w:space="0" w:color="auto"/>
              <w:right w:val="single" w:sz="4" w:space="0" w:color="auto"/>
            </w:tcBorders>
            <w:vAlign w:val="center"/>
            <w:hideMark/>
          </w:tcPr>
          <w:p w14:paraId="2E9277EE"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112%</w:t>
            </w:r>
          </w:p>
        </w:tc>
      </w:tr>
      <w:tr w:rsidR="00C962BB" w:rsidRPr="00FA7632" w14:paraId="1920E568" w14:textId="77777777" w:rsidTr="005135CB">
        <w:trPr>
          <w:trHeight w:val="397"/>
        </w:trPr>
        <w:tc>
          <w:tcPr>
            <w:tcW w:w="2600" w:type="dxa"/>
            <w:tcBorders>
              <w:top w:val="single" w:sz="4" w:space="0" w:color="auto"/>
              <w:left w:val="single" w:sz="4" w:space="0" w:color="auto"/>
              <w:bottom w:val="single" w:sz="4" w:space="0" w:color="auto"/>
              <w:right w:val="single" w:sz="4" w:space="0" w:color="auto"/>
            </w:tcBorders>
            <w:vAlign w:val="center"/>
            <w:hideMark/>
          </w:tcPr>
          <w:p w14:paraId="26D53091" w14:textId="77777777" w:rsidR="00C962BB" w:rsidRPr="00271C1A" w:rsidRDefault="00C962BB" w:rsidP="00DC569F">
            <w:pPr>
              <w:jc w:val="both"/>
              <w:rPr>
                <w:rFonts w:ascii="Arial" w:hAnsi="Arial" w:cs="Arial"/>
                <w:sz w:val="20"/>
                <w:szCs w:val="20"/>
              </w:rPr>
            </w:pPr>
            <w:r w:rsidRPr="00271C1A">
              <w:rPr>
                <w:rFonts w:ascii="Arial" w:hAnsi="Arial" w:cs="Arial"/>
                <w:sz w:val="20"/>
                <w:szCs w:val="20"/>
              </w:rPr>
              <w:t>Insektycydy i akarycydy</w:t>
            </w:r>
          </w:p>
        </w:tc>
        <w:tc>
          <w:tcPr>
            <w:tcW w:w="1300" w:type="dxa"/>
            <w:tcBorders>
              <w:top w:val="single" w:sz="4" w:space="0" w:color="auto"/>
              <w:left w:val="single" w:sz="4" w:space="0" w:color="auto"/>
              <w:bottom w:val="single" w:sz="4" w:space="0" w:color="auto"/>
              <w:right w:val="single" w:sz="4" w:space="0" w:color="auto"/>
            </w:tcBorders>
            <w:vAlign w:val="center"/>
            <w:hideMark/>
          </w:tcPr>
          <w:p w14:paraId="5BB4EF89"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1 615</w:t>
            </w:r>
          </w:p>
        </w:tc>
        <w:tc>
          <w:tcPr>
            <w:tcW w:w="1124" w:type="dxa"/>
            <w:tcBorders>
              <w:top w:val="single" w:sz="4" w:space="0" w:color="auto"/>
              <w:left w:val="single" w:sz="4" w:space="0" w:color="auto"/>
              <w:bottom w:val="single" w:sz="4" w:space="0" w:color="auto"/>
              <w:right w:val="single" w:sz="4" w:space="0" w:color="auto"/>
            </w:tcBorders>
            <w:vAlign w:val="center"/>
            <w:hideMark/>
          </w:tcPr>
          <w:p w14:paraId="475631D6"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629</w:t>
            </w:r>
          </w:p>
        </w:tc>
        <w:tc>
          <w:tcPr>
            <w:tcW w:w="1081" w:type="dxa"/>
            <w:tcBorders>
              <w:top w:val="single" w:sz="4" w:space="0" w:color="auto"/>
              <w:left w:val="single" w:sz="4" w:space="0" w:color="auto"/>
              <w:bottom w:val="single" w:sz="4" w:space="0" w:color="auto"/>
              <w:right w:val="single" w:sz="4" w:space="0" w:color="auto"/>
            </w:tcBorders>
            <w:vAlign w:val="center"/>
            <w:hideMark/>
          </w:tcPr>
          <w:p w14:paraId="50C2BB21"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662</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991B967"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41%</w:t>
            </w:r>
          </w:p>
        </w:tc>
        <w:tc>
          <w:tcPr>
            <w:tcW w:w="1428" w:type="dxa"/>
            <w:tcBorders>
              <w:top w:val="single" w:sz="4" w:space="0" w:color="auto"/>
              <w:left w:val="single" w:sz="4" w:space="0" w:color="auto"/>
              <w:bottom w:val="single" w:sz="4" w:space="0" w:color="auto"/>
              <w:right w:val="single" w:sz="4" w:space="0" w:color="auto"/>
            </w:tcBorders>
            <w:vAlign w:val="center"/>
            <w:hideMark/>
          </w:tcPr>
          <w:p w14:paraId="46828B25"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105%</w:t>
            </w:r>
          </w:p>
        </w:tc>
      </w:tr>
      <w:tr w:rsidR="00C962BB" w:rsidRPr="00FA7632" w14:paraId="22004129" w14:textId="77777777" w:rsidTr="005135CB">
        <w:trPr>
          <w:trHeight w:val="397"/>
        </w:trPr>
        <w:tc>
          <w:tcPr>
            <w:tcW w:w="2600" w:type="dxa"/>
            <w:tcBorders>
              <w:top w:val="single" w:sz="4" w:space="0" w:color="auto"/>
              <w:left w:val="single" w:sz="4" w:space="0" w:color="auto"/>
              <w:bottom w:val="single" w:sz="4" w:space="0" w:color="auto"/>
              <w:right w:val="single" w:sz="4" w:space="0" w:color="auto"/>
            </w:tcBorders>
            <w:vAlign w:val="center"/>
            <w:hideMark/>
          </w:tcPr>
          <w:p w14:paraId="1E0D8DE4" w14:textId="77777777" w:rsidR="00C962BB" w:rsidRPr="00271C1A" w:rsidRDefault="00C962BB" w:rsidP="00DC569F">
            <w:pPr>
              <w:jc w:val="both"/>
              <w:rPr>
                <w:rFonts w:ascii="Arial" w:hAnsi="Arial" w:cs="Arial"/>
                <w:sz w:val="20"/>
                <w:szCs w:val="20"/>
              </w:rPr>
            </w:pPr>
            <w:proofErr w:type="spellStart"/>
            <w:r w:rsidRPr="00271C1A">
              <w:rPr>
                <w:rFonts w:ascii="Arial" w:hAnsi="Arial" w:cs="Arial"/>
                <w:sz w:val="20"/>
                <w:szCs w:val="20"/>
              </w:rPr>
              <w:t>Moluskocydy</w:t>
            </w:r>
            <w:proofErr w:type="spellEnd"/>
          </w:p>
        </w:tc>
        <w:tc>
          <w:tcPr>
            <w:tcW w:w="1300" w:type="dxa"/>
            <w:tcBorders>
              <w:top w:val="single" w:sz="4" w:space="0" w:color="auto"/>
              <w:left w:val="single" w:sz="4" w:space="0" w:color="auto"/>
              <w:bottom w:val="single" w:sz="4" w:space="0" w:color="auto"/>
              <w:right w:val="single" w:sz="4" w:space="0" w:color="auto"/>
            </w:tcBorders>
            <w:vAlign w:val="center"/>
            <w:hideMark/>
          </w:tcPr>
          <w:p w14:paraId="090925C5"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8</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EFAA40C"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29</w:t>
            </w:r>
          </w:p>
        </w:tc>
        <w:tc>
          <w:tcPr>
            <w:tcW w:w="1081" w:type="dxa"/>
            <w:tcBorders>
              <w:top w:val="single" w:sz="4" w:space="0" w:color="auto"/>
              <w:left w:val="single" w:sz="4" w:space="0" w:color="auto"/>
              <w:bottom w:val="single" w:sz="4" w:space="0" w:color="auto"/>
              <w:right w:val="single" w:sz="4" w:space="0" w:color="auto"/>
            </w:tcBorders>
            <w:vAlign w:val="center"/>
            <w:hideMark/>
          </w:tcPr>
          <w:p w14:paraId="30744404"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28</w:t>
            </w:r>
          </w:p>
        </w:tc>
        <w:tc>
          <w:tcPr>
            <w:tcW w:w="1528" w:type="dxa"/>
            <w:tcBorders>
              <w:top w:val="single" w:sz="4" w:space="0" w:color="auto"/>
              <w:left w:val="single" w:sz="4" w:space="0" w:color="auto"/>
              <w:bottom w:val="single" w:sz="4" w:space="0" w:color="auto"/>
              <w:right w:val="single" w:sz="4" w:space="0" w:color="auto"/>
            </w:tcBorders>
            <w:vAlign w:val="center"/>
            <w:hideMark/>
          </w:tcPr>
          <w:p w14:paraId="77621741"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342%</w:t>
            </w:r>
          </w:p>
        </w:tc>
        <w:tc>
          <w:tcPr>
            <w:tcW w:w="1428" w:type="dxa"/>
            <w:tcBorders>
              <w:top w:val="single" w:sz="4" w:space="0" w:color="auto"/>
              <w:left w:val="single" w:sz="4" w:space="0" w:color="auto"/>
              <w:bottom w:val="single" w:sz="4" w:space="0" w:color="auto"/>
              <w:right w:val="single" w:sz="4" w:space="0" w:color="auto"/>
            </w:tcBorders>
            <w:vAlign w:val="center"/>
            <w:hideMark/>
          </w:tcPr>
          <w:p w14:paraId="09231599"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96%</w:t>
            </w:r>
          </w:p>
        </w:tc>
      </w:tr>
      <w:tr w:rsidR="00C962BB" w:rsidRPr="00FA7632" w14:paraId="28BCF5EE" w14:textId="77777777" w:rsidTr="005135CB">
        <w:trPr>
          <w:trHeight w:val="397"/>
        </w:trPr>
        <w:tc>
          <w:tcPr>
            <w:tcW w:w="2600" w:type="dxa"/>
            <w:tcBorders>
              <w:top w:val="single" w:sz="4" w:space="0" w:color="auto"/>
              <w:left w:val="single" w:sz="4" w:space="0" w:color="auto"/>
              <w:bottom w:val="single" w:sz="4" w:space="0" w:color="auto"/>
              <w:right w:val="single" w:sz="4" w:space="0" w:color="auto"/>
            </w:tcBorders>
            <w:vAlign w:val="center"/>
            <w:hideMark/>
          </w:tcPr>
          <w:p w14:paraId="7ED08CAB" w14:textId="77777777" w:rsidR="00C962BB" w:rsidRPr="00271C1A" w:rsidRDefault="00C962BB" w:rsidP="00DC569F">
            <w:pPr>
              <w:jc w:val="both"/>
              <w:rPr>
                <w:rFonts w:ascii="Arial" w:hAnsi="Arial" w:cs="Arial"/>
                <w:sz w:val="20"/>
                <w:szCs w:val="20"/>
              </w:rPr>
            </w:pPr>
            <w:r w:rsidRPr="00271C1A">
              <w:rPr>
                <w:rFonts w:ascii="Arial" w:hAnsi="Arial" w:cs="Arial"/>
                <w:sz w:val="20"/>
                <w:szCs w:val="20"/>
              </w:rPr>
              <w:t>Regulatory wzrostu</w:t>
            </w:r>
          </w:p>
        </w:tc>
        <w:tc>
          <w:tcPr>
            <w:tcW w:w="1300" w:type="dxa"/>
            <w:tcBorders>
              <w:top w:val="single" w:sz="4" w:space="0" w:color="auto"/>
              <w:left w:val="single" w:sz="4" w:space="0" w:color="auto"/>
              <w:bottom w:val="single" w:sz="4" w:space="0" w:color="auto"/>
              <w:right w:val="single" w:sz="4" w:space="0" w:color="auto"/>
            </w:tcBorders>
            <w:vAlign w:val="center"/>
            <w:hideMark/>
          </w:tcPr>
          <w:p w14:paraId="21B186F7"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2 163</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2937B89"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1 201</w:t>
            </w:r>
          </w:p>
        </w:tc>
        <w:tc>
          <w:tcPr>
            <w:tcW w:w="1081" w:type="dxa"/>
            <w:tcBorders>
              <w:top w:val="single" w:sz="4" w:space="0" w:color="auto"/>
              <w:left w:val="single" w:sz="4" w:space="0" w:color="auto"/>
              <w:bottom w:val="single" w:sz="4" w:space="0" w:color="auto"/>
              <w:right w:val="single" w:sz="4" w:space="0" w:color="auto"/>
            </w:tcBorders>
            <w:vAlign w:val="center"/>
            <w:hideMark/>
          </w:tcPr>
          <w:p w14:paraId="5EF70D63"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1 365</w:t>
            </w:r>
          </w:p>
        </w:tc>
        <w:tc>
          <w:tcPr>
            <w:tcW w:w="1528" w:type="dxa"/>
            <w:tcBorders>
              <w:top w:val="single" w:sz="4" w:space="0" w:color="auto"/>
              <w:left w:val="single" w:sz="4" w:space="0" w:color="auto"/>
              <w:bottom w:val="single" w:sz="4" w:space="0" w:color="auto"/>
              <w:right w:val="single" w:sz="4" w:space="0" w:color="auto"/>
            </w:tcBorders>
            <w:vAlign w:val="center"/>
            <w:hideMark/>
          </w:tcPr>
          <w:p w14:paraId="46C967E8"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63%</w:t>
            </w:r>
          </w:p>
        </w:tc>
        <w:tc>
          <w:tcPr>
            <w:tcW w:w="1428" w:type="dxa"/>
            <w:tcBorders>
              <w:top w:val="single" w:sz="4" w:space="0" w:color="auto"/>
              <w:left w:val="single" w:sz="4" w:space="0" w:color="auto"/>
              <w:bottom w:val="single" w:sz="4" w:space="0" w:color="auto"/>
              <w:right w:val="single" w:sz="4" w:space="0" w:color="auto"/>
            </w:tcBorders>
            <w:vAlign w:val="center"/>
            <w:hideMark/>
          </w:tcPr>
          <w:p w14:paraId="37A3FA0F"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114%</w:t>
            </w:r>
          </w:p>
        </w:tc>
      </w:tr>
      <w:tr w:rsidR="00C962BB" w:rsidRPr="00FA7632" w14:paraId="17F0CD06" w14:textId="77777777" w:rsidTr="005135CB">
        <w:trPr>
          <w:trHeight w:val="397"/>
        </w:trPr>
        <w:tc>
          <w:tcPr>
            <w:tcW w:w="2600" w:type="dxa"/>
            <w:tcBorders>
              <w:top w:val="single" w:sz="4" w:space="0" w:color="auto"/>
              <w:left w:val="single" w:sz="4" w:space="0" w:color="auto"/>
              <w:bottom w:val="single" w:sz="4" w:space="0" w:color="auto"/>
              <w:right w:val="single" w:sz="4" w:space="0" w:color="auto"/>
            </w:tcBorders>
            <w:vAlign w:val="center"/>
            <w:hideMark/>
          </w:tcPr>
          <w:p w14:paraId="74337530" w14:textId="77777777" w:rsidR="00C962BB" w:rsidRPr="00271C1A" w:rsidRDefault="00C962BB" w:rsidP="00DC569F">
            <w:pPr>
              <w:jc w:val="both"/>
              <w:rPr>
                <w:rFonts w:ascii="Arial" w:hAnsi="Arial" w:cs="Arial"/>
                <w:sz w:val="20"/>
                <w:szCs w:val="20"/>
              </w:rPr>
            </w:pPr>
            <w:r w:rsidRPr="00271C1A">
              <w:rPr>
                <w:rFonts w:ascii="Arial" w:hAnsi="Arial" w:cs="Arial"/>
                <w:sz w:val="20"/>
                <w:szCs w:val="20"/>
              </w:rPr>
              <w:t>Inne środki ochrony roślin</w:t>
            </w:r>
          </w:p>
        </w:tc>
        <w:tc>
          <w:tcPr>
            <w:tcW w:w="1300" w:type="dxa"/>
            <w:tcBorders>
              <w:top w:val="single" w:sz="4" w:space="0" w:color="auto"/>
              <w:left w:val="single" w:sz="4" w:space="0" w:color="auto"/>
              <w:bottom w:val="single" w:sz="4" w:space="0" w:color="auto"/>
              <w:right w:val="single" w:sz="4" w:space="0" w:color="auto"/>
            </w:tcBorders>
            <w:vAlign w:val="center"/>
            <w:hideMark/>
          </w:tcPr>
          <w:p w14:paraId="7523A872"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482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740220E9"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679</w:t>
            </w:r>
          </w:p>
        </w:tc>
        <w:tc>
          <w:tcPr>
            <w:tcW w:w="1081" w:type="dxa"/>
            <w:tcBorders>
              <w:top w:val="single" w:sz="4" w:space="0" w:color="auto"/>
              <w:left w:val="single" w:sz="4" w:space="0" w:color="auto"/>
              <w:bottom w:val="single" w:sz="4" w:space="0" w:color="auto"/>
              <w:right w:val="single" w:sz="4" w:space="0" w:color="auto"/>
            </w:tcBorders>
            <w:vAlign w:val="center"/>
            <w:hideMark/>
          </w:tcPr>
          <w:p w14:paraId="10B58275"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509</w:t>
            </w:r>
          </w:p>
        </w:tc>
        <w:tc>
          <w:tcPr>
            <w:tcW w:w="1528" w:type="dxa"/>
            <w:tcBorders>
              <w:top w:val="single" w:sz="4" w:space="0" w:color="auto"/>
              <w:left w:val="single" w:sz="4" w:space="0" w:color="auto"/>
              <w:bottom w:val="single" w:sz="4" w:space="0" w:color="auto"/>
              <w:right w:val="single" w:sz="4" w:space="0" w:color="auto"/>
            </w:tcBorders>
            <w:vAlign w:val="center"/>
            <w:hideMark/>
          </w:tcPr>
          <w:p w14:paraId="1E5A8711"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105%</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1FC525F"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75%</w:t>
            </w:r>
          </w:p>
        </w:tc>
      </w:tr>
      <w:tr w:rsidR="00C962BB" w:rsidRPr="00FA7632" w14:paraId="1DBAB509" w14:textId="77777777" w:rsidTr="005135CB">
        <w:trPr>
          <w:trHeight w:val="397"/>
        </w:trPr>
        <w:tc>
          <w:tcPr>
            <w:tcW w:w="2600" w:type="dxa"/>
            <w:tcBorders>
              <w:top w:val="single" w:sz="4" w:space="0" w:color="auto"/>
              <w:left w:val="single" w:sz="4" w:space="0" w:color="auto"/>
              <w:bottom w:val="single" w:sz="4" w:space="0" w:color="auto"/>
              <w:right w:val="single" w:sz="4" w:space="0" w:color="auto"/>
            </w:tcBorders>
            <w:vAlign w:val="center"/>
            <w:hideMark/>
          </w:tcPr>
          <w:p w14:paraId="0BF60FBD" w14:textId="77777777" w:rsidR="00C962BB" w:rsidRPr="00271C1A" w:rsidRDefault="00C962BB" w:rsidP="00DC569F">
            <w:pPr>
              <w:jc w:val="both"/>
              <w:rPr>
                <w:rFonts w:ascii="Arial" w:hAnsi="Arial" w:cs="Arial"/>
                <w:sz w:val="20"/>
                <w:szCs w:val="20"/>
              </w:rPr>
            </w:pPr>
            <w:r w:rsidRPr="00271C1A">
              <w:rPr>
                <w:rFonts w:ascii="Arial" w:hAnsi="Arial" w:cs="Arial"/>
                <w:sz w:val="20"/>
                <w:szCs w:val="20"/>
              </w:rPr>
              <w:t>Suma</w:t>
            </w:r>
          </w:p>
        </w:tc>
        <w:tc>
          <w:tcPr>
            <w:tcW w:w="1300" w:type="dxa"/>
            <w:tcBorders>
              <w:top w:val="single" w:sz="4" w:space="0" w:color="auto"/>
              <w:left w:val="single" w:sz="4" w:space="0" w:color="auto"/>
              <w:bottom w:val="single" w:sz="4" w:space="0" w:color="auto"/>
              <w:right w:val="single" w:sz="4" w:space="0" w:color="auto"/>
            </w:tcBorders>
            <w:vAlign w:val="center"/>
            <w:hideMark/>
          </w:tcPr>
          <w:p w14:paraId="79C66DBE"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24 515</w:t>
            </w:r>
          </w:p>
        </w:tc>
        <w:tc>
          <w:tcPr>
            <w:tcW w:w="1124" w:type="dxa"/>
            <w:tcBorders>
              <w:top w:val="single" w:sz="4" w:space="0" w:color="auto"/>
              <w:left w:val="single" w:sz="4" w:space="0" w:color="auto"/>
              <w:bottom w:val="single" w:sz="4" w:space="0" w:color="auto"/>
              <w:right w:val="single" w:sz="4" w:space="0" w:color="auto"/>
            </w:tcBorders>
            <w:vAlign w:val="center"/>
            <w:hideMark/>
          </w:tcPr>
          <w:p w14:paraId="4C6D190B"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24 628</w:t>
            </w:r>
          </w:p>
        </w:tc>
        <w:tc>
          <w:tcPr>
            <w:tcW w:w="1081" w:type="dxa"/>
            <w:tcBorders>
              <w:top w:val="single" w:sz="4" w:space="0" w:color="auto"/>
              <w:left w:val="single" w:sz="4" w:space="0" w:color="auto"/>
              <w:bottom w:val="single" w:sz="4" w:space="0" w:color="auto"/>
              <w:right w:val="single" w:sz="4" w:space="0" w:color="auto"/>
            </w:tcBorders>
            <w:vAlign w:val="center"/>
            <w:hideMark/>
          </w:tcPr>
          <w:p w14:paraId="1066A120"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26 973</w:t>
            </w:r>
          </w:p>
        </w:tc>
        <w:tc>
          <w:tcPr>
            <w:tcW w:w="1528" w:type="dxa"/>
            <w:tcBorders>
              <w:top w:val="single" w:sz="4" w:space="0" w:color="auto"/>
              <w:left w:val="single" w:sz="4" w:space="0" w:color="auto"/>
              <w:bottom w:val="single" w:sz="4" w:space="0" w:color="auto"/>
              <w:right w:val="single" w:sz="4" w:space="0" w:color="auto"/>
            </w:tcBorders>
            <w:vAlign w:val="center"/>
            <w:hideMark/>
          </w:tcPr>
          <w:p w14:paraId="4C401234"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100%</w:t>
            </w:r>
          </w:p>
        </w:tc>
        <w:tc>
          <w:tcPr>
            <w:tcW w:w="1428" w:type="dxa"/>
            <w:tcBorders>
              <w:top w:val="single" w:sz="4" w:space="0" w:color="auto"/>
              <w:left w:val="single" w:sz="4" w:space="0" w:color="auto"/>
              <w:bottom w:val="single" w:sz="4" w:space="0" w:color="auto"/>
              <w:right w:val="single" w:sz="4" w:space="0" w:color="auto"/>
            </w:tcBorders>
            <w:vAlign w:val="center"/>
            <w:hideMark/>
          </w:tcPr>
          <w:p w14:paraId="51073CF7" w14:textId="77777777" w:rsidR="00C962BB" w:rsidRPr="00271C1A" w:rsidRDefault="00C962BB" w:rsidP="005135CB">
            <w:pPr>
              <w:jc w:val="right"/>
              <w:rPr>
                <w:rFonts w:ascii="Arial" w:hAnsi="Arial" w:cs="Arial"/>
                <w:sz w:val="20"/>
                <w:szCs w:val="20"/>
              </w:rPr>
            </w:pPr>
            <w:r w:rsidRPr="00271C1A">
              <w:rPr>
                <w:rFonts w:ascii="Arial" w:hAnsi="Arial" w:cs="Arial"/>
                <w:sz w:val="20"/>
                <w:szCs w:val="20"/>
              </w:rPr>
              <w:t>110%</w:t>
            </w:r>
          </w:p>
        </w:tc>
      </w:tr>
    </w:tbl>
    <w:p w14:paraId="5BDA9417" w14:textId="6B7BE661" w:rsidR="00056846" w:rsidRPr="00925BCD" w:rsidRDefault="00E54725" w:rsidP="002C2375">
      <w:pPr>
        <w:pStyle w:val="Nagwek3"/>
        <w:numPr>
          <w:ilvl w:val="0"/>
          <w:numId w:val="0"/>
        </w:numPr>
        <w:tabs>
          <w:tab w:val="left" w:pos="2410"/>
        </w:tabs>
        <w:spacing w:before="360" w:after="120" w:line="360" w:lineRule="auto"/>
        <w:ind w:left="709"/>
        <w:rPr>
          <w:i w:val="0"/>
          <w:sz w:val="20"/>
          <w:szCs w:val="20"/>
        </w:rPr>
      </w:pPr>
      <w:bookmarkStart w:id="101" w:name="_Hlk94705418"/>
      <w:bookmarkStart w:id="102" w:name="_Toc134099286"/>
      <w:bookmarkEnd w:id="98"/>
      <w:r w:rsidRPr="00925BCD">
        <w:rPr>
          <w:i w:val="0"/>
          <w:sz w:val="20"/>
          <w:szCs w:val="20"/>
        </w:rPr>
        <w:t>Podzadanie 2. Prowadzenie badań statystycznych zużycia środków ochrony roślin</w:t>
      </w:r>
      <w:bookmarkEnd w:id="102"/>
    </w:p>
    <w:p w14:paraId="6B700F25"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 jest realizowane w ramach badań statystycznych zgodnie z metodologią określoną w przepisach rozporządzenia Parlamentu Europejskiego i Rady (WE) nr 1185/2009 z dnia 25 listopada 2009 r. w sprawie statystyk dotyczących pestycydów (Dz. Urz. UE L 324 z 10.12.2009, str. 1) przez Główny Urząd Statystyczny we współpracy z Państwową Inspekcją Ochrony Roślin i Nasiennictwa, Ministerstwem Rolnictwa i Rozwoju Wsi oraz Instytutem Ochrony Roślin – PIB. </w:t>
      </w:r>
    </w:p>
    <w:p w14:paraId="4501E1A5"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Celem badania jest określenie przeciętnego zużycia substancji czynnej wyrażonego w kg/ha powierzchni dla poszczególnych gatunków roślin uprawnych. Badanie jest prowadzone z uwzględnieniem struktury upraw i wielkości produkcji oraz danych dotyczących sprzedaży środków ochrony roślin w losowo wytypowanych gospodarstwach. </w:t>
      </w:r>
    </w:p>
    <w:p w14:paraId="743A63A9" w14:textId="6BE44D1A" w:rsidR="00056846"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Dane dotyczące zużycia środków ochrony roślin są zbierane przez inspektorów Państwowej Inspekcji Ochrony Roślin i Nasiennictwa</w:t>
      </w:r>
      <w:r w:rsidR="00C328B5">
        <w:rPr>
          <w:rFonts w:ascii="Arial" w:hAnsi="Arial" w:cs="Arial"/>
        </w:rPr>
        <w:t>,</w:t>
      </w:r>
      <w:r w:rsidRPr="00925BCD">
        <w:rPr>
          <w:rFonts w:ascii="Arial" w:hAnsi="Arial" w:cs="Arial"/>
        </w:rPr>
        <w:t xml:space="preserve"> a ich pozyskiwanie opiera się na prowadzonej przez rolnika ewidencji wykonywanych zabiegów ochrony roślin. Badania te prowadzone są w cyklach 5-letnich.</w:t>
      </w:r>
    </w:p>
    <w:p w14:paraId="142E770D" w14:textId="1B79EFE0" w:rsidR="0020084E" w:rsidRPr="0020084E" w:rsidRDefault="0020084E" w:rsidP="0020084E">
      <w:pPr>
        <w:widowControl w:val="0"/>
        <w:tabs>
          <w:tab w:val="left" w:pos="284"/>
        </w:tabs>
        <w:spacing w:after="120" w:line="360" w:lineRule="auto"/>
        <w:ind w:firstLine="284"/>
        <w:jc w:val="both"/>
        <w:rPr>
          <w:rFonts w:ascii="Arial" w:eastAsia="Times New Roman" w:hAnsi="Arial" w:cs="Arial"/>
          <w:sz w:val="20"/>
          <w:szCs w:val="20"/>
          <w:lang w:eastAsia="pl-PL"/>
        </w:rPr>
      </w:pPr>
      <w:r w:rsidRPr="0020084E">
        <w:rPr>
          <w:rFonts w:ascii="Arial" w:eastAsia="Times New Roman" w:hAnsi="Arial" w:cs="Arial"/>
          <w:sz w:val="20"/>
          <w:szCs w:val="20"/>
          <w:lang w:eastAsia="pl-PL"/>
        </w:rPr>
        <w:t>W latach 2018–2020 realizowany był cykl badania obejmujący lata 2015–2019. W 2018 r. badaniami objęto uprawy (zbierane dane dotyczyły 2017 r.): ogórka gruntowego, ogórka pod osłonami, pomidora gruntowego, pomidora pod osłonami, pszenicy ozimej, truskawki, ziemniaka i żyta. W 2019</w:t>
      </w:r>
      <w:r>
        <w:rPr>
          <w:rFonts w:ascii="Arial" w:eastAsia="Times New Roman" w:hAnsi="Arial" w:cs="Arial"/>
          <w:sz w:val="20"/>
          <w:szCs w:val="20"/>
          <w:lang w:eastAsia="pl-PL"/>
        </w:rPr>
        <w:t xml:space="preserve"> r.</w:t>
      </w:r>
      <w:r w:rsidRPr="0020084E">
        <w:rPr>
          <w:rFonts w:ascii="Arial" w:eastAsia="Times New Roman" w:hAnsi="Arial" w:cs="Arial"/>
          <w:sz w:val="20"/>
          <w:szCs w:val="20"/>
          <w:lang w:eastAsia="pl-PL"/>
        </w:rPr>
        <w:t xml:space="preserve"> badano uprawy jabłoni, jęczmienia jarego, maliny, rzepaku ozimego i wiśni (zbierane dane dotyczyły 2018 r.)</w:t>
      </w:r>
      <w:r>
        <w:rPr>
          <w:rFonts w:ascii="Arial" w:eastAsia="Times New Roman" w:hAnsi="Arial" w:cs="Arial"/>
          <w:sz w:val="20"/>
          <w:szCs w:val="20"/>
          <w:lang w:eastAsia="pl-PL"/>
        </w:rPr>
        <w:t xml:space="preserve">, </w:t>
      </w:r>
      <w:r>
        <w:rPr>
          <w:rFonts w:ascii="Arial" w:eastAsia="Times New Roman" w:hAnsi="Arial" w:cs="Arial"/>
          <w:sz w:val="20"/>
          <w:szCs w:val="20"/>
          <w:lang w:eastAsia="pl-PL"/>
        </w:rPr>
        <w:lastRenderedPageBreak/>
        <w:t>natomiast w</w:t>
      </w:r>
      <w:r w:rsidRPr="0020084E">
        <w:rPr>
          <w:rFonts w:ascii="Arial" w:eastAsia="Times New Roman" w:hAnsi="Arial" w:cs="Arial"/>
          <w:sz w:val="20"/>
          <w:szCs w:val="20"/>
          <w:lang w:eastAsia="pl-PL"/>
        </w:rPr>
        <w:t xml:space="preserve"> 2020 </w:t>
      </w:r>
      <w:r>
        <w:rPr>
          <w:rFonts w:ascii="Arial" w:eastAsia="Times New Roman" w:hAnsi="Arial" w:cs="Arial"/>
          <w:sz w:val="20"/>
          <w:szCs w:val="20"/>
          <w:lang w:eastAsia="pl-PL"/>
        </w:rPr>
        <w:t xml:space="preserve">r. </w:t>
      </w:r>
      <w:r w:rsidRPr="0020084E">
        <w:rPr>
          <w:rFonts w:ascii="Arial" w:eastAsia="Times New Roman" w:hAnsi="Arial" w:cs="Arial"/>
          <w:sz w:val="20"/>
          <w:szCs w:val="20"/>
          <w:lang w:eastAsia="pl-PL"/>
        </w:rPr>
        <w:t>zebrano dane dotyczące zużycia środków ochrony roślin za 2019</w:t>
      </w:r>
      <w:r>
        <w:rPr>
          <w:rFonts w:ascii="Arial" w:eastAsia="Times New Roman" w:hAnsi="Arial" w:cs="Arial"/>
          <w:sz w:val="20"/>
          <w:szCs w:val="20"/>
          <w:lang w:eastAsia="pl-PL"/>
        </w:rPr>
        <w:t xml:space="preserve"> r.</w:t>
      </w:r>
      <w:r w:rsidRPr="0020084E">
        <w:rPr>
          <w:rFonts w:ascii="Arial" w:eastAsia="Times New Roman" w:hAnsi="Arial" w:cs="Arial"/>
          <w:sz w:val="20"/>
          <w:szCs w:val="20"/>
          <w:lang w:eastAsia="pl-PL"/>
        </w:rPr>
        <w:t xml:space="preserve"> dla kapusty głowiastej, owsa, porzeczki, pszenicy jarej i śliwy.</w:t>
      </w:r>
    </w:p>
    <w:p w14:paraId="30C9CE37" w14:textId="77777777" w:rsidR="0020084E" w:rsidRPr="0020084E" w:rsidRDefault="0020084E" w:rsidP="002C2375">
      <w:pPr>
        <w:widowControl w:val="0"/>
        <w:tabs>
          <w:tab w:val="left" w:pos="284"/>
        </w:tabs>
        <w:spacing w:before="120" w:after="120" w:line="360" w:lineRule="auto"/>
        <w:jc w:val="center"/>
        <w:rPr>
          <w:rFonts w:ascii="Arial" w:eastAsia="Times New Roman" w:hAnsi="Arial" w:cs="Arial"/>
          <w:b/>
          <w:sz w:val="20"/>
          <w:szCs w:val="20"/>
          <w:lang w:eastAsia="pl-PL"/>
        </w:rPr>
      </w:pPr>
      <w:r w:rsidRPr="0020084E">
        <w:rPr>
          <w:rFonts w:ascii="Arial" w:eastAsia="Times New Roman" w:hAnsi="Arial" w:cs="Arial"/>
          <w:b/>
          <w:sz w:val="20"/>
          <w:szCs w:val="20"/>
          <w:lang w:eastAsia="pl-PL"/>
        </w:rPr>
        <w:t>Tabela – Średni wskaźnik zużycia s.cz. w kg/ha w badanych uprawach</w:t>
      </w:r>
    </w:p>
    <w:tbl>
      <w:tblPr>
        <w:tblW w:w="6717" w:type="dxa"/>
        <w:jc w:val="center"/>
        <w:tblCellMar>
          <w:left w:w="70" w:type="dxa"/>
          <w:right w:w="70" w:type="dxa"/>
        </w:tblCellMar>
        <w:tblLook w:val="04A0" w:firstRow="1" w:lastRow="0" w:firstColumn="1" w:lastColumn="0" w:noHBand="0" w:noVBand="1"/>
      </w:tblPr>
      <w:tblGrid>
        <w:gridCol w:w="2906"/>
        <w:gridCol w:w="3811"/>
      </w:tblGrid>
      <w:tr w:rsidR="0020084E" w:rsidRPr="0020084E" w14:paraId="4B0A2232" w14:textId="77777777" w:rsidTr="002C2375">
        <w:trPr>
          <w:trHeight w:val="603"/>
          <w:jc w:val="center"/>
        </w:trPr>
        <w:tc>
          <w:tcPr>
            <w:tcW w:w="2906" w:type="dxa"/>
            <w:tcBorders>
              <w:top w:val="single" w:sz="4" w:space="0" w:color="000000"/>
              <w:left w:val="single" w:sz="4" w:space="0" w:color="000000"/>
              <w:bottom w:val="single" w:sz="4" w:space="0" w:color="000000"/>
              <w:right w:val="single" w:sz="4" w:space="0" w:color="000000"/>
            </w:tcBorders>
            <w:vAlign w:val="center"/>
          </w:tcPr>
          <w:p w14:paraId="48F8F251" w14:textId="77777777" w:rsidR="0020084E" w:rsidRPr="0020084E" w:rsidRDefault="0020084E" w:rsidP="0020084E">
            <w:pPr>
              <w:widowControl w:val="0"/>
              <w:tabs>
                <w:tab w:val="left" w:pos="284"/>
              </w:tabs>
              <w:spacing w:after="0" w:line="360" w:lineRule="auto"/>
              <w:ind w:firstLine="284"/>
              <w:rPr>
                <w:rFonts w:ascii="Arial" w:eastAsia="Times New Roman" w:hAnsi="Arial" w:cs="Arial"/>
                <w:b/>
                <w:sz w:val="20"/>
                <w:szCs w:val="20"/>
                <w:lang w:eastAsia="pl-PL"/>
              </w:rPr>
            </w:pPr>
            <w:r w:rsidRPr="0020084E">
              <w:rPr>
                <w:rFonts w:ascii="Arial" w:eastAsia="Times New Roman" w:hAnsi="Arial" w:cs="Arial"/>
                <w:b/>
                <w:sz w:val="20"/>
                <w:szCs w:val="20"/>
                <w:lang w:eastAsia="pl-PL"/>
              </w:rPr>
              <w:t>Uprawa</w:t>
            </w:r>
          </w:p>
        </w:tc>
        <w:tc>
          <w:tcPr>
            <w:tcW w:w="3811" w:type="dxa"/>
            <w:tcBorders>
              <w:top w:val="single" w:sz="4" w:space="0" w:color="000000"/>
              <w:left w:val="single" w:sz="4" w:space="0" w:color="000000"/>
              <w:bottom w:val="single" w:sz="4" w:space="0" w:color="000000"/>
              <w:right w:val="single" w:sz="4" w:space="0" w:color="000000"/>
            </w:tcBorders>
            <w:vAlign w:val="center"/>
          </w:tcPr>
          <w:p w14:paraId="1174DB34" w14:textId="77777777" w:rsidR="0020084E" w:rsidRPr="0020084E" w:rsidRDefault="0020084E" w:rsidP="0020084E">
            <w:pPr>
              <w:widowControl w:val="0"/>
              <w:tabs>
                <w:tab w:val="left" w:pos="284"/>
              </w:tabs>
              <w:spacing w:after="0" w:line="360" w:lineRule="auto"/>
              <w:jc w:val="center"/>
              <w:rPr>
                <w:rFonts w:ascii="Arial" w:eastAsia="Times New Roman" w:hAnsi="Arial" w:cs="Arial"/>
                <w:b/>
                <w:sz w:val="20"/>
                <w:szCs w:val="20"/>
                <w:lang w:eastAsia="pl-PL"/>
              </w:rPr>
            </w:pPr>
            <w:r w:rsidRPr="0020084E">
              <w:rPr>
                <w:rFonts w:ascii="Arial" w:eastAsia="Times New Roman" w:hAnsi="Arial" w:cs="Arial"/>
                <w:b/>
                <w:sz w:val="20"/>
                <w:szCs w:val="20"/>
                <w:lang w:eastAsia="pl-PL"/>
              </w:rPr>
              <w:t>Średni wskaźnik zużycia s.cz. [kg/ha]</w:t>
            </w:r>
          </w:p>
        </w:tc>
      </w:tr>
      <w:tr w:rsidR="0020084E" w:rsidRPr="0020084E" w14:paraId="292A06CF"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ECEBCDE"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Ogórek gruntowy</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C306F49"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3,85</w:t>
            </w:r>
          </w:p>
        </w:tc>
      </w:tr>
      <w:tr w:rsidR="0020084E" w:rsidRPr="0020084E" w14:paraId="2D09615E"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C53EB05"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Ogórek pod osłonami</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A6C0505"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2,977</w:t>
            </w:r>
          </w:p>
        </w:tc>
      </w:tr>
      <w:tr w:rsidR="0020084E" w:rsidRPr="0020084E" w14:paraId="4230B7BD"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BE910BD"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Pomidor gruntowy</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7340857"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7,241</w:t>
            </w:r>
          </w:p>
        </w:tc>
      </w:tr>
      <w:tr w:rsidR="0020084E" w:rsidRPr="0020084E" w14:paraId="63A1DF7F"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6205A81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Pomidor pod osłonami</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0E0EAA24"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2,597</w:t>
            </w:r>
          </w:p>
        </w:tc>
      </w:tr>
      <w:tr w:rsidR="0020084E" w:rsidRPr="0020084E" w14:paraId="5FCC1DC1"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40802B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Pszenica ozima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25D4926"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1,322</w:t>
            </w:r>
          </w:p>
        </w:tc>
      </w:tr>
      <w:tr w:rsidR="0020084E" w:rsidRPr="0020084E" w14:paraId="57544A4E"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49E64FB"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Truskawka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B94D24B"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2,743</w:t>
            </w:r>
          </w:p>
        </w:tc>
      </w:tr>
      <w:tr w:rsidR="0020084E" w:rsidRPr="0020084E" w14:paraId="192F1364"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7B381FA"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Ziemniaki</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C8E4663"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3,485</w:t>
            </w:r>
          </w:p>
        </w:tc>
      </w:tr>
      <w:tr w:rsidR="0020084E" w:rsidRPr="0020084E" w14:paraId="11BC3471"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E07AB7C"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Żyto</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74A8AD0"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0,314</w:t>
            </w:r>
          </w:p>
        </w:tc>
      </w:tr>
      <w:tr w:rsidR="0020084E" w:rsidRPr="0020084E" w14:paraId="3965FBF8"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7C349595"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Jabłoń</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085B80B9"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10,464</w:t>
            </w:r>
          </w:p>
        </w:tc>
      </w:tr>
      <w:tr w:rsidR="0020084E" w:rsidRPr="0020084E" w14:paraId="7F207C61"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8802CDE"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Jęczmień jary</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0845F6FA"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0,621</w:t>
            </w:r>
          </w:p>
        </w:tc>
      </w:tr>
      <w:tr w:rsidR="0020084E" w:rsidRPr="0020084E" w14:paraId="168C54B8"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C5091D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Malina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9F7E801"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1,333</w:t>
            </w:r>
          </w:p>
        </w:tc>
      </w:tr>
      <w:tr w:rsidR="0020084E" w:rsidRPr="0020084E" w14:paraId="78F7967A"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09ACEF8"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Rzepak ozimy</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6E02B571"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1,739</w:t>
            </w:r>
          </w:p>
        </w:tc>
      </w:tr>
      <w:tr w:rsidR="0020084E" w:rsidRPr="0020084E" w14:paraId="0606F8E2"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D54ABD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Wiśnia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4518277"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5,602</w:t>
            </w:r>
          </w:p>
        </w:tc>
      </w:tr>
      <w:tr w:rsidR="0020084E" w:rsidRPr="0020084E" w14:paraId="0421F3BD"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486ADEC"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Kapusta głowiasta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DCB1CF0"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1,084</w:t>
            </w:r>
          </w:p>
        </w:tc>
      </w:tr>
      <w:tr w:rsidR="0020084E" w:rsidRPr="0020084E" w14:paraId="4052CB98"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5905741"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Owies</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D7017EE"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0,439</w:t>
            </w:r>
          </w:p>
        </w:tc>
      </w:tr>
      <w:tr w:rsidR="0020084E" w:rsidRPr="0020084E" w14:paraId="1B505AC7"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35960A8"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Porzeczka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6DDF016"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2,973</w:t>
            </w:r>
          </w:p>
        </w:tc>
      </w:tr>
      <w:tr w:rsidR="0020084E" w:rsidRPr="0020084E" w14:paraId="3608FE38"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74B75583"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Pszenica jara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8587EE6"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0,744</w:t>
            </w:r>
          </w:p>
        </w:tc>
      </w:tr>
      <w:tr w:rsidR="0020084E" w:rsidRPr="0020084E" w14:paraId="2EB75472"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20D7AD2"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Śliwa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A2D80EA"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1,524</w:t>
            </w:r>
          </w:p>
        </w:tc>
      </w:tr>
      <w:bookmarkEnd w:id="101"/>
    </w:tbl>
    <w:p w14:paraId="5D9988D3" w14:textId="5D513807" w:rsidR="00C51AD6" w:rsidRDefault="00C51AD6" w:rsidP="00C51AD6">
      <w:pPr>
        <w:spacing w:line="360" w:lineRule="auto"/>
        <w:rPr>
          <w:rFonts w:ascii="Arial" w:hAnsi="Arial" w:cs="Arial"/>
        </w:rPr>
      </w:pPr>
    </w:p>
    <w:p w14:paraId="016CF47B" w14:textId="40C7B149" w:rsidR="002918E0" w:rsidRDefault="00C51AD6" w:rsidP="00F92FFC">
      <w:pPr>
        <w:pStyle w:val="NormalnyWeb"/>
        <w:tabs>
          <w:tab w:val="left" w:pos="284"/>
        </w:tabs>
        <w:spacing w:beforeAutospacing="0" w:after="120" w:afterAutospacing="0" w:line="360" w:lineRule="auto"/>
        <w:ind w:firstLine="284"/>
        <w:jc w:val="both"/>
        <w:rPr>
          <w:rFonts w:ascii="Arial" w:hAnsi="Arial" w:cs="Arial"/>
        </w:rPr>
      </w:pPr>
      <w:r w:rsidRPr="00271C1A">
        <w:rPr>
          <w:rFonts w:ascii="Arial" w:hAnsi="Arial" w:cs="Arial"/>
        </w:rPr>
        <w:t xml:space="preserve">W 2021 </w:t>
      </w:r>
      <w:r w:rsidR="001E2906">
        <w:rPr>
          <w:rFonts w:ascii="Arial" w:hAnsi="Arial" w:cs="Arial"/>
        </w:rPr>
        <w:t xml:space="preserve">r. </w:t>
      </w:r>
      <w:r w:rsidRPr="00271C1A">
        <w:rPr>
          <w:rFonts w:ascii="Arial" w:hAnsi="Arial" w:cs="Arial"/>
        </w:rPr>
        <w:t xml:space="preserve">przeprowadzono badanie zużycia środków ochrony roślin za 2020 </w:t>
      </w:r>
      <w:r w:rsidR="001E2906">
        <w:rPr>
          <w:rFonts w:ascii="Arial" w:hAnsi="Arial" w:cs="Arial"/>
        </w:rPr>
        <w:t xml:space="preserve">r. </w:t>
      </w:r>
      <w:r w:rsidRPr="00271C1A">
        <w:rPr>
          <w:rFonts w:ascii="Arial" w:hAnsi="Arial" w:cs="Arial"/>
        </w:rPr>
        <w:t>dla sześciu upraw: cebuli, kukurydzy zwyczajnej na ziarno, marchwi jadalnej, pomidora gruntowego, rzepaku ozimego i</w:t>
      </w:r>
      <w:r w:rsidR="001E2906">
        <w:rPr>
          <w:rFonts w:ascii="Arial" w:hAnsi="Arial" w:cs="Arial"/>
        </w:rPr>
        <w:t> </w:t>
      </w:r>
      <w:r w:rsidRPr="00271C1A">
        <w:rPr>
          <w:rFonts w:ascii="Arial" w:hAnsi="Arial" w:cs="Arial"/>
        </w:rPr>
        <w:t>ziemniaków.</w:t>
      </w:r>
      <w:r w:rsidR="00F92FFC" w:rsidRPr="00271C1A">
        <w:rPr>
          <w:rFonts w:ascii="Arial" w:hAnsi="Arial" w:cs="Arial"/>
        </w:rPr>
        <w:t xml:space="preserve"> </w:t>
      </w:r>
    </w:p>
    <w:p w14:paraId="47E905C0" w14:textId="77777777" w:rsidR="002918E0" w:rsidRDefault="002918E0">
      <w:pPr>
        <w:spacing w:after="0" w:line="240" w:lineRule="auto"/>
        <w:rPr>
          <w:rFonts w:ascii="Arial" w:eastAsia="Times New Roman" w:hAnsi="Arial" w:cs="Arial"/>
          <w:sz w:val="20"/>
          <w:szCs w:val="20"/>
          <w:lang w:eastAsia="pl-PL"/>
        </w:rPr>
      </w:pPr>
      <w:r>
        <w:rPr>
          <w:rFonts w:ascii="Arial" w:hAnsi="Arial" w:cs="Arial"/>
        </w:rPr>
        <w:br w:type="page"/>
      </w:r>
    </w:p>
    <w:p w14:paraId="6A5B047A" w14:textId="77777777" w:rsidR="00C51AD6" w:rsidRDefault="00C51AD6" w:rsidP="00F92FFC">
      <w:pPr>
        <w:pStyle w:val="NormalnyWeb"/>
        <w:tabs>
          <w:tab w:val="left" w:pos="284"/>
        </w:tabs>
        <w:spacing w:beforeAutospacing="0" w:after="120" w:afterAutospacing="0" w:line="360" w:lineRule="auto"/>
        <w:ind w:firstLine="284"/>
        <w:jc w:val="both"/>
        <w:rPr>
          <w:rFonts w:ascii="Arial" w:hAnsi="Arial" w:cs="Arial"/>
        </w:rPr>
      </w:pPr>
    </w:p>
    <w:p w14:paraId="6EA5DBD4" w14:textId="77777777" w:rsidR="008102F5" w:rsidRPr="0020084E" w:rsidRDefault="008102F5" w:rsidP="002C2375">
      <w:pPr>
        <w:widowControl w:val="0"/>
        <w:tabs>
          <w:tab w:val="left" w:pos="284"/>
        </w:tabs>
        <w:spacing w:before="120" w:after="120" w:line="360" w:lineRule="auto"/>
        <w:jc w:val="center"/>
        <w:rPr>
          <w:rFonts w:ascii="Arial" w:eastAsia="Times New Roman" w:hAnsi="Arial" w:cs="Arial"/>
          <w:b/>
          <w:sz w:val="20"/>
          <w:szCs w:val="20"/>
          <w:lang w:eastAsia="pl-PL"/>
        </w:rPr>
      </w:pPr>
      <w:r w:rsidRPr="0020084E">
        <w:rPr>
          <w:rFonts w:ascii="Arial" w:eastAsia="Times New Roman" w:hAnsi="Arial" w:cs="Arial"/>
          <w:b/>
          <w:sz w:val="20"/>
          <w:szCs w:val="20"/>
          <w:lang w:eastAsia="pl-PL"/>
        </w:rPr>
        <w:t>Tabela – Średni wskaźnik zużycia s.cz. w kg/ha w badanych uprawach</w:t>
      </w:r>
    </w:p>
    <w:tbl>
      <w:tblPr>
        <w:tblW w:w="8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3469"/>
        <w:gridCol w:w="3047"/>
      </w:tblGrid>
      <w:tr w:rsidR="00C51AD6" w:rsidRPr="00FA7632" w14:paraId="70FE3D4D" w14:textId="77777777" w:rsidTr="00971B1E">
        <w:trPr>
          <w:trHeight w:val="285"/>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2C1007BF" w14:textId="77777777" w:rsidR="00C51AD6" w:rsidRPr="00971B1E" w:rsidRDefault="00C51AD6" w:rsidP="00971B1E">
            <w:pPr>
              <w:spacing w:before="40" w:after="40"/>
              <w:jc w:val="center"/>
              <w:rPr>
                <w:rFonts w:ascii="Arial" w:eastAsia="Times New Roman" w:hAnsi="Arial" w:cs="Arial"/>
                <w:b/>
                <w:bCs/>
                <w:color w:val="000000"/>
                <w:sz w:val="20"/>
                <w:szCs w:val="20"/>
                <w:lang w:eastAsia="pl-PL"/>
              </w:rPr>
            </w:pPr>
            <w:r w:rsidRPr="00971B1E">
              <w:rPr>
                <w:rFonts w:ascii="Arial" w:eastAsia="Times New Roman" w:hAnsi="Arial" w:cs="Arial"/>
                <w:b/>
                <w:bCs/>
                <w:color w:val="000000"/>
                <w:sz w:val="20"/>
                <w:szCs w:val="20"/>
                <w:lang w:eastAsia="pl-PL"/>
              </w:rPr>
              <w:t>Uprawa</w:t>
            </w:r>
          </w:p>
        </w:tc>
        <w:tc>
          <w:tcPr>
            <w:tcW w:w="3469" w:type="dxa"/>
            <w:tcBorders>
              <w:top w:val="single" w:sz="4" w:space="0" w:color="auto"/>
              <w:left w:val="single" w:sz="4" w:space="0" w:color="auto"/>
              <w:bottom w:val="single" w:sz="4" w:space="0" w:color="auto"/>
              <w:right w:val="single" w:sz="4" w:space="0" w:color="auto"/>
            </w:tcBorders>
            <w:noWrap/>
            <w:vAlign w:val="center"/>
            <w:hideMark/>
          </w:tcPr>
          <w:p w14:paraId="7E05F144" w14:textId="77777777" w:rsidR="00C51AD6" w:rsidRPr="00971B1E" w:rsidRDefault="00C51AD6" w:rsidP="00971B1E">
            <w:pPr>
              <w:spacing w:before="40" w:after="40"/>
              <w:jc w:val="center"/>
              <w:rPr>
                <w:rFonts w:ascii="Arial" w:eastAsia="Times New Roman" w:hAnsi="Arial" w:cs="Arial"/>
                <w:b/>
                <w:bCs/>
                <w:color w:val="000000"/>
                <w:sz w:val="20"/>
                <w:szCs w:val="20"/>
                <w:lang w:eastAsia="pl-PL"/>
              </w:rPr>
            </w:pPr>
            <w:r w:rsidRPr="00971B1E">
              <w:rPr>
                <w:rFonts w:ascii="Arial" w:eastAsia="Times New Roman" w:hAnsi="Arial" w:cs="Arial"/>
                <w:b/>
                <w:bCs/>
                <w:color w:val="000000"/>
                <w:sz w:val="20"/>
                <w:szCs w:val="20"/>
                <w:lang w:eastAsia="pl-PL"/>
              </w:rPr>
              <w:t>Średni wskaźnik zużycia s.cz. [kg/ha]</w:t>
            </w:r>
          </w:p>
        </w:tc>
        <w:tc>
          <w:tcPr>
            <w:tcW w:w="3047" w:type="dxa"/>
            <w:tcBorders>
              <w:top w:val="single" w:sz="4" w:space="0" w:color="auto"/>
              <w:left w:val="single" w:sz="4" w:space="0" w:color="auto"/>
              <w:bottom w:val="single" w:sz="4" w:space="0" w:color="auto"/>
              <w:right w:val="single" w:sz="4" w:space="0" w:color="auto"/>
            </w:tcBorders>
            <w:vAlign w:val="center"/>
            <w:hideMark/>
          </w:tcPr>
          <w:p w14:paraId="4505B776" w14:textId="10DE5539" w:rsidR="00C51AD6" w:rsidRPr="00971B1E" w:rsidRDefault="00C51AD6" w:rsidP="00971B1E">
            <w:pPr>
              <w:spacing w:before="40" w:after="40"/>
              <w:jc w:val="center"/>
              <w:rPr>
                <w:rFonts w:ascii="Arial" w:eastAsia="Times New Roman" w:hAnsi="Arial" w:cs="Arial"/>
                <w:b/>
                <w:bCs/>
                <w:color w:val="000000"/>
                <w:sz w:val="20"/>
                <w:szCs w:val="20"/>
                <w:lang w:eastAsia="pl-PL"/>
              </w:rPr>
            </w:pPr>
            <w:r w:rsidRPr="00971B1E">
              <w:rPr>
                <w:rFonts w:ascii="Arial" w:eastAsia="Times New Roman" w:hAnsi="Arial" w:cs="Arial"/>
                <w:b/>
                <w:bCs/>
                <w:color w:val="000000"/>
                <w:sz w:val="20"/>
                <w:szCs w:val="20"/>
                <w:lang w:eastAsia="pl-PL"/>
              </w:rPr>
              <w:t>Średni wskaźnik zużycia s.cz.</w:t>
            </w:r>
          </w:p>
          <w:p w14:paraId="075C0A27" w14:textId="77777777" w:rsidR="00C51AD6" w:rsidRPr="00971B1E" w:rsidRDefault="00C51AD6" w:rsidP="00971B1E">
            <w:pPr>
              <w:spacing w:before="40" w:after="40"/>
              <w:jc w:val="center"/>
              <w:rPr>
                <w:rFonts w:ascii="Arial" w:eastAsia="Times New Roman" w:hAnsi="Arial" w:cs="Arial"/>
                <w:b/>
                <w:bCs/>
                <w:color w:val="000000"/>
                <w:sz w:val="20"/>
                <w:szCs w:val="20"/>
                <w:lang w:eastAsia="pl-PL"/>
              </w:rPr>
            </w:pPr>
            <w:r w:rsidRPr="00971B1E">
              <w:rPr>
                <w:rFonts w:ascii="Arial" w:eastAsia="Times New Roman" w:hAnsi="Arial" w:cs="Arial"/>
                <w:b/>
                <w:bCs/>
                <w:color w:val="000000"/>
                <w:sz w:val="20"/>
                <w:szCs w:val="20"/>
                <w:lang w:eastAsia="pl-PL"/>
              </w:rPr>
              <w:t>na powierzchnię chronioną [kg/ha]</w:t>
            </w:r>
          </w:p>
        </w:tc>
      </w:tr>
      <w:tr w:rsidR="00C51AD6" w:rsidRPr="00FA7632" w14:paraId="7AEB336A" w14:textId="77777777" w:rsidTr="001E2906">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6482A995"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Cebula</w:t>
            </w:r>
          </w:p>
        </w:tc>
        <w:tc>
          <w:tcPr>
            <w:tcW w:w="3469"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03B0A7A7"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4,338</w:t>
            </w:r>
          </w:p>
        </w:tc>
        <w:tc>
          <w:tcPr>
            <w:tcW w:w="3047" w:type="dxa"/>
            <w:tcBorders>
              <w:top w:val="single" w:sz="4" w:space="0" w:color="auto"/>
              <w:left w:val="single" w:sz="4" w:space="0" w:color="auto"/>
              <w:bottom w:val="single" w:sz="4" w:space="0" w:color="auto"/>
              <w:right w:val="single" w:sz="4" w:space="0" w:color="auto"/>
            </w:tcBorders>
            <w:vAlign w:val="center"/>
            <w:hideMark/>
          </w:tcPr>
          <w:p w14:paraId="2B1C6213"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4,346</w:t>
            </w:r>
          </w:p>
        </w:tc>
      </w:tr>
      <w:tr w:rsidR="00C51AD6" w:rsidRPr="00FA7632" w14:paraId="2CB20D3F" w14:textId="77777777" w:rsidTr="001E2906">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2C205269"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Kukurydza na ziarno</w:t>
            </w:r>
          </w:p>
        </w:tc>
        <w:tc>
          <w:tcPr>
            <w:tcW w:w="3469"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6F064502"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0,606</w:t>
            </w:r>
          </w:p>
        </w:tc>
        <w:tc>
          <w:tcPr>
            <w:tcW w:w="3047" w:type="dxa"/>
            <w:tcBorders>
              <w:top w:val="single" w:sz="4" w:space="0" w:color="auto"/>
              <w:left w:val="single" w:sz="4" w:space="0" w:color="auto"/>
              <w:bottom w:val="single" w:sz="4" w:space="0" w:color="auto"/>
              <w:right w:val="single" w:sz="4" w:space="0" w:color="auto"/>
            </w:tcBorders>
            <w:vAlign w:val="center"/>
            <w:hideMark/>
          </w:tcPr>
          <w:p w14:paraId="5E9246C6"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0,613</w:t>
            </w:r>
          </w:p>
        </w:tc>
      </w:tr>
      <w:tr w:rsidR="00C51AD6" w:rsidRPr="00FA7632" w14:paraId="576E9EFD" w14:textId="77777777" w:rsidTr="001E2906">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45B2F244"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Marchew</w:t>
            </w:r>
          </w:p>
        </w:tc>
        <w:tc>
          <w:tcPr>
            <w:tcW w:w="3469"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7D05065F"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1,942</w:t>
            </w:r>
          </w:p>
        </w:tc>
        <w:tc>
          <w:tcPr>
            <w:tcW w:w="3047" w:type="dxa"/>
            <w:tcBorders>
              <w:top w:val="single" w:sz="4" w:space="0" w:color="auto"/>
              <w:left w:val="single" w:sz="4" w:space="0" w:color="auto"/>
              <w:bottom w:val="single" w:sz="4" w:space="0" w:color="auto"/>
              <w:right w:val="single" w:sz="4" w:space="0" w:color="auto"/>
            </w:tcBorders>
            <w:vAlign w:val="center"/>
            <w:hideMark/>
          </w:tcPr>
          <w:p w14:paraId="44D26B63"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2,015</w:t>
            </w:r>
          </w:p>
        </w:tc>
      </w:tr>
      <w:tr w:rsidR="00C51AD6" w:rsidRPr="00FA7632" w14:paraId="25817E95" w14:textId="77777777" w:rsidTr="001E2906">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49D62A93"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Pomidor gruntowy</w:t>
            </w:r>
          </w:p>
        </w:tc>
        <w:tc>
          <w:tcPr>
            <w:tcW w:w="3469"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382C1B00"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4,961</w:t>
            </w:r>
          </w:p>
        </w:tc>
        <w:tc>
          <w:tcPr>
            <w:tcW w:w="3047" w:type="dxa"/>
            <w:tcBorders>
              <w:top w:val="single" w:sz="4" w:space="0" w:color="auto"/>
              <w:left w:val="single" w:sz="4" w:space="0" w:color="auto"/>
              <w:bottom w:val="single" w:sz="4" w:space="0" w:color="auto"/>
              <w:right w:val="single" w:sz="4" w:space="0" w:color="auto"/>
            </w:tcBorders>
            <w:vAlign w:val="center"/>
            <w:hideMark/>
          </w:tcPr>
          <w:p w14:paraId="0F14A16D"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6,633</w:t>
            </w:r>
          </w:p>
        </w:tc>
      </w:tr>
      <w:tr w:rsidR="00C51AD6" w:rsidRPr="00FA7632" w14:paraId="5913282E" w14:textId="77777777" w:rsidTr="001E2906">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73E1E581"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Rzepak ozimy</w:t>
            </w:r>
          </w:p>
        </w:tc>
        <w:tc>
          <w:tcPr>
            <w:tcW w:w="3469"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3C2E7BBA"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1,673</w:t>
            </w:r>
          </w:p>
        </w:tc>
        <w:tc>
          <w:tcPr>
            <w:tcW w:w="3047" w:type="dxa"/>
            <w:tcBorders>
              <w:top w:val="single" w:sz="4" w:space="0" w:color="auto"/>
              <w:left w:val="single" w:sz="4" w:space="0" w:color="auto"/>
              <w:bottom w:val="single" w:sz="4" w:space="0" w:color="auto"/>
              <w:right w:val="single" w:sz="4" w:space="0" w:color="auto"/>
            </w:tcBorders>
            <w:vAlign w:val="center"/>
            <w:hideMark/>
          </w:tcPr>
          <w:p w14:paraId="5E4D5DC5"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1,687</w:t>
            </w:r>
          </w:p>
        </w:tc>
      </w:tr>
      <w:tr w:rsidR="00C51AD6" w:rsidRPr="00FA7632" w14:paraId="7B579D7E" w14:textId="77777777" w:rsidTr="001E2906">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4EF94FD7"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Ziemniaki</w:t>
            </w:r>
          </w:p>
        </w:tc>
        <w:tc>
          <w:tcPr>
            <w:tcW w:w="3469"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4D78D0DC"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3,670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2EF15506" w14:textId="77777777" w:rsidR="00C51AD6" w:rsidRPr="00271C1A" w:rsidRDefault="00C51AD6" w:rsidP="001E2906">
            <w:pPr>
              <w:jc w:val="center"/>
              <w:rPr>
                <w:rFonts w:ascii="Arial" w:eastAsia="Times New Roman" w:hAnsi="Arial" w:cs="Arial"/>
                <w:color w:val="000000"/>
                <w:sz w:val="20"/>
                <w:szCs w:val="20"/>
                <w:lang w:eastAsia="pl-PL"/>
              </w:rPr>
            </w:pPr>
            <w:r w:rsidRPr="00271C1A">
              <w:rPr>
                <w:rFonts w:ascii="Arial" w:eastAsia="Times New Roman" w:hAnsi="Arial" w:cs="Arial"/>
                <w:color w:val="000000"/>
                <w:sz w:val="20"/>
                <w:szCs w:val="20"/>
                <w:lang w:eastAsia="pl-PL"/>
              </w:rPr>
              <w:t>3,96</w:t>
            </w:r>
          </w:p>
        </w:tc>
      </w:tr>
    </w:tbl>
    <w:p w14:paraId="3E939CAC" w14:textId="77777777" w:rsidR="00C51AD6" w:rsidRPr="00925BCD" w:rsidRDefault="00C51AD6">
      <w:pPr>
        <w:pStyle w:val="NormalnyWeb"/>
        <w:tabs>
          <w:tab w:val="left" w:pos="284"/>
        </w:tabs>
        <w:spacing w:before="120" w:beforeAutospacing="0" w:after="120" w:afterAutospacing="0" w:line="360" w:lineRule="auto"/>
        <w:ind w:firstLine="284"/>
        <w:jc w:val="both"/>
        <w:rPr>
          <w:rFonts w:ascii="Arial" w:hAnsi="Arial" w:cs="Arial"/>
        </w:rPr>
      </w:pPr>
    </w:p>
    <w:p w14:paraId="1FC76CBD"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103" w:name="_Toc134099287"/>
      <w:r w:rsidRPr="00925BCD">
        <w:rPr>
          <w:i w:val="0"/>
          <w:sz w:val="20"/>
          <w:szCs w:val="20"/>
        </w:rPr>
        <w:t>Podzadanie 3. Prowadzenie badań dotyczących integrowanej ochrony roślin</w:t>
      </w:r>
      <w:bookmarkEnd w:id="103"/>
      <w:r w:rsidRPr="00925BCD">
        <w:rPr>
          <w:i w:val="0"/>
          <w:sz w:val="20"/>
          <w:szCs w:val="20"/>
        </w:rPr>
        <w:t xml:space="preserve"> </w:t>
      </w:r>
    </w:p>
    <w:p w14:paraId="40A34F06"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Dla prawidłowego zobrazowania efektywności działań krajowego planu działania są konieczne aktualne dane dotyczące znajomości przez rolników zasad integrowanej ochrony roślin oraz prawidłowości </w:t>
      </w:r>
      <w:proofErr w:type="spellStart"/>
      <w:r w:rsidRPr="00925BCD">
        <w:rPr>
          <w:rFonts w:ascii="Arial" w:hAnsi="Arial" w:cs="Arial"/>
        </w:rPr>
        <w:t>zachowań</w:t>
      </w:r>
      <w:proofErr w:type="spellEnd"/>
      <w:r w:rsidRPr="00925BCD">
        <w:rPr>
          <w:rFonts w:ascii="Arial" w:hAnsi="Arial" w:cs="Arial"/>
        </w:rPr>
        <w:t xml:space="preserve"> podczas przygotowywania zabiegu ochrony roślin, stosowania środka ochrony roślin, a także bezpośrednio po zabiegu. Dane te są zbierane w ramach badań realizowanych przez Główny Urząd Statystyczny.</w:t>
      </w:r>
    </w:p>
    <w:p w14:paraId="186E5A03" w14:textId="0213BC4D" w:rsidR="00635299" w:rsidRPr="007866B2" w:rsidRDefault="00E54725" w:rsidP="00635299">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Wyniki badania R-</w:t>
      </w:r>
      <w:proofErr w:type="spellStart"/>
      <w:r w:rsidRPr="00925BCD">
        <w:rPr>
          <w:rFonts w:ascii="Arial" w:hAnsi="Arial" w:cs="Arial"/>
        </w:rPr>
        <w:t>CzBR</w:t>
      </w:r>
      <w:proofErr w:type="spellEnd"/>
      <w:r w:rsidRPr="00925BCD">
        <w:rPr>
          <w:rFonts w:ascii="Arial" w:hAnsi="Arial" w:cs="Arial"/>
        </w:rPr>
        <w:t xml:space="preserve"> wykonane przez Główny Urząd Statystyczny w </w:t>
      </w:r>
      <w:r w:rsidR="00FE5D99">
        <w:rPr>
          <w:rFonts w:ascii="Arial" w:hAnsi="Arial" w:cs="Arial"/>
        </w:rPr>
        <w:t xml:space="preserve">latach </w:t>
      </w:r>
      <w:r w:rsidRPr="00925BCD">
        <w:rPr>
          <w:rFonts w:ascii="Arial" w:hAnsi="Arial" w:cs="Arial"/>
        </w:rPr>
        <w:t>2018</w:t>
      </w:r>
      <w:r w:rsidR="00FE5D99" w:rsidRPr="00925BCD">
        <w:rPr>
          <w:rFonts w:ascii="Arial" w:hAnsi="Arial" w:cs="Arial"/>
        </w:rPr>
        <w:t>–</w:t>
      </w:r>
      <w:r w:rsidR="007A2948">
        <w:rPr>
          <w:rFonts w:ascii="Arial" w:hAnsi="Arial" w:cs="Arial"/>
        </w:rPr>
        <w:t>2020</w:t>
      </w:r>
      <w:r w:rsidR="00C13DEE">
        <w:rPr>
          <w:rFonts w:ascii="Arial" w:hAnsi="Arial" w:cs="Arial"/>
        </w:rPr>
        <w:t xml:space="preserve"> </w:t>
      </w:r>
      <w:r w:rsidRPr="00925BCD">
        <w:rPr>
          <w:rFonts w:ascii="Arial" w:hAnsi="Arial" w:cs="Arial"/>
        </w:rPr>
        <w:t>wykazują</w:t>
      </w:r>
      <w:r w:rsidR="00C13DEE">
        <w:rPr>
          <w:rFonts w:ascii="Arial" w:hAnsi="Arial" w:cs="Arial"/>
        </w:rPr>
        <w:t xml:space="preserve"> kolejno</w:t>
      </w:r>
      <w:r w:rsidRPr="00925BCD">
        <w:rPr>
          <w:rFonts w:ascii="Arial" w:hAnsi="Arial" w:cs="Arial"/>
        </w:rPr>
        <w:t xml:space="preserve">, </w:t>
      </w:r>
      <w:r w:rsidRPr="00A917DC">
        <w:rPr>
          <w:rFonts w:ascii="Arial" w:hAnsi="Arial" w:cs="Arial"/>
        </w:rPr>
        <w:t xml:space="preserve">że w populacji liczącej </w:t>
      </w:r>
      <w:r w:rsidR="00711838" w:rsidRPr="00A917DC">
        <w:rPr>
          <w:rFonts w:ascii="Arial" w:hAnsi="Arial" w:cs="Arial"/>
        </w:rPr>
        <w:t xml:space="preserve">kolejno </w:t>
      </w:r>
      <w:r w:rsidRPr="007866B2">
        <w:rPr>
          <w:rFonts w:ascii="Arial" w:hAnsi="Arial" w:cs="Arial"/>
        </w:rPr>
        <w:t>1 42</w:t>
      </w:r>
      <w:r w:rsidR="00C13DEE" w:rsidRPr="007866B2">
        <w:rPr>
          <w:rFonts w:ascii="Arial" w:hAnsi="Arial" w:cs="Arial"/>
        </w:rPr>
        <w:t>8</w:t>
      </w:r>
      <w:r w:rsidR="00711838" w:rsidRPr="007866B2">
        <w:rPr>
          <w:rFonts w:ascii="Arial" w:hAnsi="Arial" w:cs="Arial"/>
        </w:rPr>
        <w:t> </w:t>
      </w:r>
      <w:r w:rsidR="00C13DEE" w:rsidRPr="007866B2">
        <w:rPr>
          <w:rFonts w:ascii="Arial" w:hAnsi="Arial" w:cs="Arial"/>
        </w:rPr>
        <w:t>781</w:t>
      </w:r>
      <w:r w:rsidR="00711838" w:rsidRPr="007866B2">
        <w:rPr>
          <w:rFonts w:ascii="Arial" w:hAnsi="Arial" w:cs="Arial"/>
        </w:rPr>
        <w:t>, 1 409 3789 i 1 317 400</w:t>
      </w:r>
      <w:r w:rsidRPr="007866B2">
        <w:rPr>
          <w:rFonts w:ascii="Arial" w:hAnsi="Arial" w:cs="Arial"/>
        </w:rPr>
        <w:t xml:space="preserve"> gospodarstw, w 955 995</w:t>
      </w:r>
      <w:r w:rsidR="005F4A60" w:rsidRPr="007866B2">
        <w:rPr>
          <w:rFonts w:ascii="Arial" w:hAnsi="Arial" w:cs="Arial"/>
        </w:rPr>
        <w:t>, 905 021 i 905 </w:t>
      </w:r>
      <w:r w:rsidR="00C601D7">
        <w:rPr>
          <w:rFonts w:ascii="Arial" w:hAnsi="Arial" w:cs="Arial"/>
        </w:rPr>
        <w:t>377</w:t>
      </w:r>
      <w:r w:rsidR="005F4A60" w:rsidRPr="007866B2">
        <w:rPr>
          <w:rFonts w:ascii="Arial" w:hAnsi="Arial" w:cs="Arial"/>
        </w:rPr>
        <w:t xml:space="preserve"> </w:t>
      </w:r>
      <w:r w:rsidRPr="007866B2">
        <w:rPr>
          <w:rFonts w:ascii="Arial" w:hAnsi="Arial" w:cs="Arial"/>
        </w:rPr>
        <w:t>przypadkach użytkownicy stosowali środki ochrony roślin, w tym</w:t>
      </w:r>
      <w:r w:rsidR="00101B45" w:rsidRPr="007866B2">
        <w:rPr>
          <w:rFonts w:ascii="Arial" w:hAnsi="Arial" w:cs="Arial"/>
        </w:rPr>
        <w:t xml:space="preserve"> w tabeli poniżej podano </w:t>
      </w:r>
      <w:r w:rsidR="00635299" w:rsidRPr="007866B2">
        <w:rPr>
          <w:rFonts w:ascii="Arial" w:hAnsi="Arial" w:cs="Arial"/>
        </w:rPr>
        <w:t>liczbę:</w:t>
      </w:r>
    </w:p>
    <w:p w14:paraId="3C43768D" w14:textId="55C54F59" w:rsidR="00056846" w:rsidRPr="00A917DC" w:rsidRDefault="00E54725" w:rsidP="00A917DC">
      <w:pPr>
        <w:pStyle w:val="NormalnyWeb"/>
        <w:numPr>
          <w:ilvl w:val="0"/>
          <w:numId w:val="25"/>
        </w:numPr>
        <w:tabs>
          <w:tab w:val="left" w:pos="284"/>
        </w:tabs>
        <w:spacing w:beforeAutospacing="0" w:after="120" w:afterAutospacing="0" w:line="360" w:lineRule="auto"/>
        <w:jc w:val="both"/>
        <w:rPr>
          <w:rFonts w:ascii="Arial" w:hAnsi="Arial" w:cs="Arial"/>
        </w:rPr>
      </w:pPr>
      <w:r w:rsidRPr="007866B2">
        <w:rPr>
          <w:rFonts w:ascii="Arial" w:hAnsi="Arial" w:cs="Arial"/>
        </w:rPr>
        <w:t>użytkowników gospodarstw</w:t>
      </w:r>
      <w:r w:rsidR="00635299" w:rsidRPr="007866B2">
        <w:rPr>
          <w:rFonts w:ascii="Arial" w:hAnsi="Arial" w:cs="Arial"/>
        </w:rPr>
        <w:t xml:space="preserve">, którzy </w:t>
      </w:r>
      <w:r w:rsidRPr="007866B2">
        <w:rPr>
          <w:rFonts w:ascii="Arial" w:hAnsi="Arial" w:cs="Arial"/>
        </w:rPr>
        <w:t xml:space="preserve">podejmując decyzję o konieczności zastosowania środków ochrony roślin korzystało z personalnego doradztwa rolniczego w Ośrodkach Doradztwa Rolniczego, Państwowej Inspekcji Ochrony Roślin i Nasiennictwa, Instytutach </w:t>
      </w:r>
      <w:r w:rsidRPr="00A917DC">
        <w:rPr>
          <w:rFonts w:ascii="Arial" w:hAnsi="Arial" w:cs="Arial"/>
        </w:rPr>
        <w:t>a także w ramach doradztwa prywatnego</w:t>
      </w:r>
      <w:r w:rsidR="00A917DC" w:rsidRPr="00A917DC">
        <w:rPr>
          <w:rFonts w:ascii="Arial" w:hAnsi="Arial" w:cs="Arial"/>
        </w:rPr>
        <w:t>,</w:t>
      </w:r>
      <w:r w:rsidRPr="00A917DC">
        <w:rPr>
          <w:rFonts w:ascii="Arial" w:hAnsi="Arial" w:cs="Arial"/>
        </w:rPr>
        <w:t xml:space="preserve"> </w:t>
      </w:r>
    </w:p>
    <w:p w14:paraId="0327C12A" w14:textId="277FE4B6" w:rsidR="00056846" w:rsidRPr="00925BCD" w:rsidRDefault="00E54725" w:rsidP="00DC222D">
      <w:pPr>
        <w:pStyle w:val="NormalnyWeb"/>
        <w:numPr>
          <w:ilvl w:val="0"/>
          <w:numId w:val="25"/>
        </w:numPr>
        <w:tabs>
          <w:tab w:val="left" w:pos="284"/>
        </w:tabs>
        <w:spacing w:beforeAutospacing="0" w:after="120" w:afterAutospacing="0" w:line="360" w:lineRule="auto"/>
        <w:jc w:val="both"/>
        <w:rPr>
          <w:rFonts w:ascii="Arial" w:hAnsi="Arial" w:cs="Arial"/>
        </w:rPr>
      </w:pPr>
      <w:r w:rsidRPr="00A917DC">
        <w:rPr>
          <w:rFonts w:ascii="Arial" w:hAnsi="Arial" w:cs="Arial"/>
        </w:rPr>
        <w:t>użytkowników gospodarstw</w:t>
      </w:r>
      <w:r w:rsidR="00A917DC">
        <w:rPr>
          <w:rFonts w:ascii="Arial" w:hAnsi="Arial" w:cs="Arial"/>
        </w:rPr>
        <w:t>, którzy</w:t>
      </w:r>
      <w:r w:rsidRPr="00A917DC">
        <w:rPr>
          <w:rFonts w:ascii="Arial" w:hAnsi="Arial" w:cs="Arial"/>
        </w:rPr>
        <w:t xml:space="preserve"> podejmując decyzję o konieczności zastosowania</w:t>
      </w:r>
      <w:r w:rsidRPr="00925BCD">
        <w:rPr>
          <w:rFonts w:ascii="Arial" w:hAnsi="Arial" w:cs="Arial"/>
        </w:rPr>
        <w:t xml:space="preserve"> środków ochrony roślin korzystało z systemów wspomagania decyzji w ochronie roślin wskazujących optymalny termin wykonania zabiegów ochrony roślin</w:t>
      </w:r>
      <w:r w:rsidR="00A917DC">
        <w:rPr>
          <w:rFonts w:ascii="Arial" w:hAnsi="Arial" w:cs="Arial"/>
        </w:rPr>
        <w:t>,</w:t>
      </w:r>
    </w:p>
    <w:p w14:paraId="272A15BE" w14:textId="457A052D" w:rsidR="00056846" w:rsidRPr="00925BCD" w:rsidRDefault="00E54725" w:rsidP="00DC222D">
      <w:pPr>
        <w:pStyle w:val="NormalnyWeb"/>
        <w:numPr>
          <w:ilvl w:val="0"/>
          <w:numId w:val="25"/>
        </w:numPr>
        <w:tabs>
          <w:tab w:val="left" w:pos="284"/>
        </w:tabs>
        <w:spacing w:beforeAutospacing="0" w:after="120" w:afterAutospacing="0" w:line="360" w:lineRule="auto"/>
        <w:jc w:val="both"/>
        <w:rPr>
          <w:rFonts w:ascii="Arial" w:hAnsi="Arial" w:cs="Arial"/>
        </w:rPr>
      </w:pPr>
      <w:r w:rsidRPr="00925BCD">
        <w:rPr>
          <w:rFonts w:ascii="Arial" w:hAnsi="Arial" w:cs="Arial"/>
        </w:rPr>
        <w:t>użytkowników gospodarstw</w:t>
      </w:r>
      <w:r w:rsidR="00A917DC">
        <w:rPr>
          <w:rFonts w:ascii="Arial" w:hAnsi="Arial" w:cs="Arial"/>
        </w:rPr>
        <w:t>, którzy</w:t>
      </w:r>
      <w:r w:rsidRPr="00925BCD">
        <w:rPr>
          <w:rFonts w:ascii="Arial" w:hAnsi="Arial" w:cs="Arial"/>
        </w:rPr>
        <w:t xml:space="preserve"> podejmując decyzję o konieczności zastosowania środków ochrony roślin wykorzystywało prowadzony przez nich monitoring organizmów szkodliwych,</w:t>
      </w:r>
    </w:p>
    <w:p w14:paraId="1490D752" w14:textId="440E023B" w:rsidR="00056846" w:rsidRPr="00925BCD" w:rsidRDefault="00E54725" w:rsidP="00DC222D">
      <w:pPr>
        <w:pStyle w:val="NormalnyWeb"/>
        <w:numPr>
          <w:ilvl w:val="0"/>
          <w:numId w:val="25"/>
        </w:numPr>
        <w:tabs>
          <w:tab w:val="left" w:pos="284"/>
        </w:tabs>
        <w:spacing w:beforeAutospacing="0" w:after="120" w:afterAutospacing="0" w:line="360" w:lineRule="auto"/>
        <w:jc w:val="both"/>
        <w:rPr>
          <w:rFonts w:ascii="Arial" w:hAnsi="Arial" w:cs="Arial"/>
        </w:rPr>
      </w:pPr>
      <w:r w:rsidRPr="00925BCD">
        <w:rPr>
          <w:rFonts w:ascii="Arial" w:hAnsi="Arial" w:cs="Arial"/>
        </w:rPr>
        <w:t>użytkowników gospodarstw</w:t>
      </w:r>
      <w:r w:rsidR="00A917DC">
        <w:rPr>
          <w:rFonts w:ascii="Arial" w:hAnsi="Arial" w:cs="Arial"/>
        </w:rPr>
        <w:t>, którzy</w:t>
      </w:r>
      <w:r w:rsidRPr="00925BCD">
        <w:rPr>
          <w:rFonts w:ascii="Arial" w:hAnsi="Arial" w:cs="Arial"/>
        </w:rPr>
        <w:t xml:space="preserve"> podejmując decyzję o konieczności zastosowania środków ochrony roślin uwzględniało progi ekonomicznej szkodliwości ,</w:t>
      </w:r>
    </w:p>
    <w:p w14:paraId="13A11F3C" w14:textId="2C6DCB3C" w:rsidR="00995C95" w:rsidRDefault="00E54725" w:rsidP="00217E15">
      <w:pPr>
        <w:pStyle w:val="NormalnyWeb"/>
        <w:numPr>
          <w:ilvl w:val="0"/>
          <w:numId w:val="25"/>
        </w:numPr>
        <w:tabs>
          <w:tab w:val="left" w:pos="284"/>
        </w:tabs>
        <w:spacing w:beforeAutospacing="0" w:after="120" w:afterAutospacing="0" w:line="360" w:lineRule="auto"/>
        <w:jc w:val="both"/>
        <w:rPr>
          <w:rFonts w:ascii="Arial" w:hAnsi="Arial" w:cs="Arial"/>
        </w:rPr>
      </w:pPr>
      <w:r w:rsidRPr="00925BCD">
        <w:rPr>
          <w:rFonts w:ascii="Arial" w:hAnsi="Arial" w:cs="Arial"/>
        </w:rPr>
        <w:lastRenderedPageBreak/>
        <w:t>użytkowników gospodarstw</w:t>
      </w:r>
      <w:r w:rsidR="007866B2">
        <w:rPr>
          <w:rFonts w:ascii="Arial" w:hAnsi="Arial" w:cs="Arial"/>
        </w:rPr>
        <w:t>, którzy</w:t>
      </w:r>
      <w:r w:rsidRPr="00925BCD">
        <w:rPr>
          <w:rFonts w:ascii="Arial" w:hAnsi="Arial" w:cs="Arial"/>
        </w:rPr>
        <w:t xml:space="preserve"> korzysta</w:t>
      </w:r>
      <w:r w:rsidR="007866B2">
        <w:rPr>
          <w:rFonts w:ascii="Arial" w:hAnsi="Arial" w:cs="Arial"/>
        </w:rPr>
        <w:t>li</w:t>
      </w:r>
      <w:r w:rsidRPr="00925BCD">
        <w:rPr>
          <w:rFonts w:ascii="Arial" w:hAnsi="Arial" w:cs="Arial"/>
        </w:rPr>
        <w:t xml:space="preserve"> z innych, nie wymienionych powyżej źródeł doradztwa.</w:t>
      </w:r>
    </w:p>
    <w:p w14:paraId="325C5517" w14:textId="1CC22DEE" w:rsidR="00C76063" w:rsidRDefault="00D46923" w:rsidP="00B85773">
      <w:pPr>
        <w:pStyle w:val="NormalnyWeb"/>
        <w:tabs>
          <w:tab w:val="left" w:pos="284"/>
        </w:tabs>
        <w:spacing w:beforeAutospacing="0" w:after="120" w:afterAutospacing="0" w:line="360" w:lineRule="auto"/>
        <w:jc w:val="both"/>
        <w:rPr>
          <w:rFonts w:ascii="Arial" w:hAnsi="Arial" w:cs="Arial"/>
        </w:rPr>
      </w:pPr>
      <w:r w:rsidRPr="00D46923">
        <w:rPr>
          <w:noProof/>
        </w:rPr>
        <w:drawing>
          <wp:inline distT="0" distB="0" distL="0" distR="0" wp14:anchorId="23E7B0FF" wp14:editId="119AB8DE">
            <wp:extent cx="5760720" cy="1174115"/>
            <wp:effectExtent l="0" t="0" r="0" b="698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1174115"/>
                    </a:xfrm>
                    <a:prstGeom prst="rect">
                      <a:avLst/>
                    </a:prstGeom>
                    <a:noFill/>
                    <a:ln>
                      <a:noFill/>
                    </a:ln>
                  </pic:spPr>
                </pic:pic>
              </a:graphicData>
            </a:graphic>
          </wp:inline>
        </w:drawing>
      </w:r>
    </w:p>
    <w:p w14:paraId="618390B3" w14:textId="26BD9BD1" w:rsidR="00F808DA" w:rsidRPr="00C30F84" w:rsidRDefault="00F808DA" w:rsidP="00C30F84">
      <w:pPr>
        <w:pStyle w:val="NormalnyWeb"/>
        <w:tabs>
          <w:tab w:val="left" w:pos="284"/>
        </w:tabs>
        <w:spacing w:beforeAutospacing="0" w:after="120" w:afterAutospacing="0" w:line="360" w:lineRule="auto"/>
        <w:ind w:firstLine="284"/>
        <w:jc w:val="both"/>
        <w:rPr>
          <w:rFonts w:ascii="Arial" w:hAnsi="Arial" w:cs="Arial"/>
        </w:rPr>
      </w:pPr>
      <w:r w:rsidRPr="00C30F84">
        <w:rPr>
          <w:rFonts w:ascii="Arial" w:hAnsi="Arial" w:cs="Arial"/>
        </w:rPr>
        <w:t xml:space="preserve">W </w:t>
      </w:r>
      <w:r>
        <w:rPr>
          <w:rFonts w:ascii="Arial" w:hAnsi="Arial" w:cs="Arial"/>
        </w:rPr>
        <w:t>powyższym</w:t>
      </w:r>
      <w:r w:rsidRPr="00C30F84">
        <w:rPr>
          <w:rFonts w:ascii="Arial" w:hAnsi="Arial" w:cs="Arial"/>
        </w:rPr>
        <w:t xml:space="preserve"> zestawieniu w roku 2019/2020 widoczny jest spadek w stosunku do lat poprzednich liczby gospodarstw korzystających z różnego rodzaju wsparcia. Dane za 2017/2018 i 2018/2019 zebrane </w:t>
      </w:r>
      <w:r w:rsidR="003D00DD">
        <w:rPr>
          <w:rFonts w:ascii="Arial" w:hAnsi="Arial" w:cs="Arial"/>
        </w:rPr>
        <w:t xml:space="preserve">były przez GUS </w:t>
      </w:r>
      <w:r w:rsidRPr="00C30F84">
        <w:rPr>
          <w:rFonts w:ascii="Arial" w:hAnsi="Arial" w:cs="Arial"/>
        </w:rPr>
        <w:t xml:space="preserve">na podstawie reprezentacyjnych badań opartych na próbach po ok. 60 tys. gospodarstw. Wyniki takich badań podlegają uogólnieniom. </w:t>
      </w:r>
      <w:r w:rsidR="00801AA6">
        <w:rPr>
          <w:rFonts w:ascii="Arial" w:hAnsi="Arial" w:cs="Arial"/>
        </w:rPr>
        <w:t>W 2020 r. dane z</w:t>
      </w:r>
      <w:r w:rsidR="00D71994" w:rsidRPr="00D71994">
        <w:rPr>
          <w:rFonts w:ascii="Arial" w:hAnsi="Arial" w:cs="Arial"/>
        </w:rPr>
        <w:t>ostały zebrane podczas przeprowadzonego w 2020 r. Powszechnego Spisu Rolnego, który był badaniem pełnym, przeprowadzonym na pełnej populacji gospodarstw.</w:t>
      </w:r>
      <w:r w:rsidR="00801AA6">
        <w:rPr>
          <w:rFonts w:ascii="Arial" w:hAnsi="Arial" w:cs="Arial"/>
        </w:rPr>
        <w:t xml:space="preserve"> </w:t>
      </w:r>
      <w:r w:rsidR="00533C8F">
        <w:rPr>
          <w:rFonts w:ascii="Arial" w:hAnsi="Arial" w:cs="Arial"/>
        </w:rPr>
        <w:t>Należy więc zaznaczyć, że r</w:t>
      </w:r>
      <w:r w:rsidRPr="00C30F84">
        <w:rPr>
          <w:rFonts w:ascii="Arial" w:hAnsi="Arial" w:cs="Arial"/>
        </w:rPr>
        <w:t>óżnice wynikające z</w:t>
      </w:r>
      <w:r w:rsidR="001329E8">
        <w:rPr>
          <w:rFonts w:ascii="Arial" w:hAnsi="Arial" w:cs="Arial"/>
        </w:rPr>
        <w:t> </w:t>
      </w:r>
      <w:r w:rsidRPr="00C30F84">
        <w:rPr>
          <w:rFonts w:ascii="Arial" w:hAnsi="Arial" w:cs="Arial"/>
        </w:rPr>
        <w:t>metodologii badań i spisu mogły przełożyć się na wyniki końcowe.</w:t>
      </w:r>
    </w:p>
    <w:p w14:paraId="399E2260" w14:textId="05426A72" w:rsidR="00F808DA" w:rsidRPr="00C30F84" w:rsidRDefault="00F808DA" w:rsidP="00C30F84">
      <w:pPr>
        <w:pStyle w:val="NormalnyWeb"/>
        <w:tabs>
          <w:tab w:val="left" w:pos="284"/>
        </w:tabs>
        <w:spacing w:beforeAutospacing="0" w:after="120" w:afterAutospacing="0" w:line="360" w:lineRule="auto"/>
        <w:ind w:firstLine="284"/>
        <w:jc w:val="both"/>
        <w:rPr>
          <w:rFonts w:ascii="Arial" w:hAnsi="Arial" w:cs="Arial"/>
        </w:rPr>
      </w:pPr>
      <w:r w:rsidRPr="00C30F84">
        <w:rPr>
          <w:rFonts w:ascii="Arial" w:hAnsi="Arial" w:cs="Arial"/>
        </w:rPr>
        <w:t xml:space="preserve">Wyniki spisu pokazały utrzymującą się tendencję spadku liczby gospodarstw rolnych przy jednoczesnym wzroście powierzchni gospodarstwa rolnego. Było to spowodowane spadkiem liczby gospodarstw w grupach obszarowych użytków rolnych (UR) od 1 do 30 ha. W grupach obszarowych powyżej 30 ha liczba gospodarstw  posiadających użytki rolne wzrasta w stosunku roku ubiegłego (największy wzrost o </w:t>
      </w:r>
      <w:r w:rsidR="00C601D7">
        <w:rPr>
          <w:rFonts w:ascii="Arial" w:hAnsi="Arial" w:cs="Arial"/>
        </w:rPr>
        <w:t>1</w:t>
      </w:r>
      <w:r w:rsidRPr="00C30F84">
        <w:rPr>
          <w:rFonts w:ascii="Arial" w:hAnsi="Arial" w:cs="Arial"/>
        </w:rPr>
        <w:t>1% jest w grupie obszarowej 50</w:t>
      </w:r>
      <w:r w:rsidR="001228E1">
        <w:rPr>
          <w:rFonts w:ascii="Arial" w:hAnsi="Arial" w:cs="Arial"/>
        </w:rPr>
        <w:t xml:space="preserve"> i więcej</w:t>
      </w:r>
      <w:r w:rsidRPr="00C30F84">
        <w:rPr>
          <w:rFonts w:ascii="Arial" w:hAnsi="Arial" w:cs="Arial"/>
        </w:rPr>
        <w:t xml:space="preserve"> ha UR). </w:t>
      </w:r>
    </w:p>
    <w:p w14:paraId="02997EE4" w14:textId="1E95CE46" w:rsidR="00F808DA" w:rsidRPr="00C30F84" w:rsidRDefault="00F808DA" w:rsidP="00C30F84">
      <w:pPr>
        <w:pStyle w:val="NormalnyWeb"/>
        <w:tabs>
          <w:tab w:val="left" w:pos="284"/>
        </w:tabs>
        <w:spacing w:beforeAutospacing="0" w:after="120" w:afterAutospacing="0" w:line="360" w:lineRule="auto"/>
        <w:ind w:firstLine="284"/>
        <w:jc w:val="both"/>
        <w:rPr>
          <w:rFonts w:ascii="Arial" w:hAnsi="Arial" w:cs="Arial"/>
        </w:rPr>
      </w:pPr>
      <w:r w:rsidRPr="00C30F84">
        <w:rPr>
          <w:rFonts w:ascii="Arial" w:hAnsi="Arial" w:cs="Arial"/>
        </w:rPr>
        <w:t>Analizując liczbę gospodarstw korzystających z różnego rodzaju wsparcia w grupie gospodarstw powyżej 30 ha, można zaobserwować w zależności od rodzaju wsparcia, wzrost (o 3</w:t>
      </w:r>
      <w:r w:rsidR="001228E1">
        <w:rPr>
          <w:rFonts w:ascii="Arial" w:hAnsi="Arial" w:cs="Arial"/>
        </w:rPr>
        <w:t>9</w:t>
      </w:r>
      <w:r w:rsidRPr="00C30F84">
        <w:rPr>
          <w:rFonts w:ascii="Arial" w:hAnsi="Arial" w:cs="Arial"/>
        </w:rPr>
        <w:t>%) lub spadek (o</w:t>
      </w:r>
      <w:r w:rsidR="001228E1">
        <w:rPr>
          <w:rFonts w:ascii="Arial" w:hAnsi="Arial" w:cs="Arial"/>
        </w:rPr>
        <w:t> </w:t>
      </w:r>
      <w:r w:rsidRPr="00C30F84">
        <w:rPr>
          <w:rFonts w:ascii="Arial" w:hAnsi="Arial" w:cs="Arial"/>
        </w:rPr>
        <w:t>36,</w:t>
      </w:r>
      <w:r w:rsidR="001228E1">
        <w:rPr>
          <w:rFonts w:ascii="Arial" w:hAnsi="Arial" w:cs="Arial"/>
        </w:rPr>
        <w:t>4</w:t>
      </w:r>
      <w:r w:rsidRPr="00C30F84">
        <w:rPr>
          <w:rFonts w:ascii="Arial" w:hAnsi="Arial" w:cs="Arial"/>
        </w:rPr>
        <w:t>%) w stosunku do roku poprzedniego.  Może to świadczyć o większym wykorzystaniu usług, o</w:t>
      </w:r>
      <w:r w:rsidR="001329E8">
        <w:rPr>
          <w:rFonts w:ascii="Arial" w:hAnsi="Arial" w:cs="Arial"/>
        </w:rPr>
        <w:t> </w:t>
      </w:r>
      <w:r w:rsidRPr="00C30F84">
        <w:rPr>
          <w:rFonts w:ascii="Arial" w:hAnsi="Arial" w:cs="Arial"/>
        </w:rPr>
        <w:t>koncentracji i specjalizacji gospodarstw w grupie powyżej 30 ha użytków rolnych, których użytkownicy to jednocześnie profesjonalni użytkownicy środków ochrony roślin. Analizując liczbę gospodarstw korzystających z poszczególnych rodzajów wsparcia w stosunku do wszystkich gospodarstw, które korzystały przynajmniej z jednego rodzaju wsparcia, można zauważyć wzrost odsetka gospodarstw w</w:t>
      </w:r>
      <w:r w:rsidR="001329E8">
        <w:rPr>
          <w:rFonts w:ascii="Arial" w:hAnsi="Arial" w:cs="Arial"/>
        </w:rPr>
        <w:t> </w:t>
      </w:r>
      <w:r w:rsidRPr="00C30F84">
        <w:rPr>
          <w:rFonts w:ascii="Arial" w:hAnsi="Arial" w:cs="Arial"/>
        </w:rPr>
        <w:t>stosunku do roku ubiegłego poza gospodarstwami korzystającymi z innych źródeł doradztwa.</w:t>
      </w:r>
    </w:p>
    <w:p w14:paraId="1EE506DB" w14:textId="595118E0" w:rsidR="007D39ED" w:rsidRPr="00925BCD" w:rsidRDefault="005D5EC6" w:rsidP="0003373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Należy też </w:t>
      </w:r>
      <w:r w:rsidR="00FD7160">
        <w:rPr>
          <w:rFonts w:ascii="Arial" w:hAnsi="Arial" w:cs="Arial"/>
        </w:rPr>
        <w:t>zaznaczyć, że d</w:t>
      </w:r>
      <w:r w:rsidR="00F808DA" w:rsidRPr="00C30F84">
        <w:rPr>
          <w:rFonts w:ascii="Arial" w:hAnsi="Arial" w:cs="Arial"/>
        </w:rPr>
        <w:t>odatkowo sytuacja pandemiczna w 2020 r. nie sprzyjała kontaktom interpersonalnym, co również mogło przyczynić się do spadku liczby gospodarstw korzystających z</w:t>
      </w:r>
      <w:r w:rsidR="001329E8">
        <w:rPr>
          <w:rFonts w:ascii="Arial" w:hAnsi="Arial" w:cs="Arial"/>
        </w:rPr>
        <w:t> </w:t>
      </w:r>
      <w:r w:rsidR="00F808DA" w:rsidRPr="00C30F84">
        <w:rPr>
          <w:rFonts w:ascii="Arial" w:hAnsi="Arial" w:cs="Arial"/>
        </w:rPr>
        <w:t xml:space="preserve">personalnego doradztwa. </w:t>
      </w:r>
    </w:p>
    <w:p w14:paraId="27380E59" w14:textId="77777777" w:rsidR="00056846" w:rsidRPr="00925BCD" w:rsidRDefault="00E54725">
      <w:pPr>
        <w:pStyle w:val="Nagwek2"/>
        <w:spacing w:before="120" w:after="120" w:line="360" w:lineRule="auto"/>
        <w:jc w:val="both"/>
        <w:rPr>
          <w:i w:val="0"/>
        </w:rPr>
      </w:pPr>
      <w:bookmarkStart w:id="104" w:name="_Toc341876086"/>
      <w:bookmarkStart w:id="105" w:name="_Toc134099288"/>
      <w:r w:rsidRPr="00925BCD">
        <w:rPr>
          <w:i w:val="0"/>
          <w:sz w:val="20"/>
          <w:szCs w:val="20"/>
        </w:rPr>
        <w:t>Zadanie 2. Kontrole i monitoringi dotyczące środków ochrony roślin</w:t>
      </w:r>
      <w:bookmarkEnd w:id="105"/>
      <w:r w:rsidRPr="00925BCD">
        <w:rPr>
          <w:i w:val="0"/>
          <w:sz w:val="20"/>
          <w:szCs w:val="20"/>
        </w:rPr>
        <w:t xml:space="preserve"> </w:t>
      </w:r>
      <w:bookmarkEnd w:id="104"/>
    </w:p>
    <w:p w14:paraId="2C8B4619"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Polsce kontrole są przeprowadzane przez organy określone w obowiązujących ustawach. Prowadzone są także badania monitoringowe, które odnoszą się do prawidłowości stosowania  środków ochrony roślin. Można tu wyróżnić obszary bezpieczeństwa ludzi (w tym bezpieczeństwa żywności), zwierząt i środowiska. Najczęściej są to badania poziomu pozostałości środków ochrony roślin lub ich metabolitów.</w:t>
      </w:r>
    </w:p>
    <w:p w14:paraId="760CF7C8"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Wyniki analiz stanowią podstawę do oceny stopnia realizacji celów krajowego planu działania, </w:t>
      </w:r>
      <w:r w:rsidRPr="00925BCD">
        <w:rPr>
          <w:rFonts w:ascii="Arial" w:hAnsi="Arial" w:cs="Arial"/>
        </w:rPr>
        <w:lastRenderedPageBreak/>
        <w:t>a</w:t>
      </w:r>
      <w:r w:rsidR="00217E15" w:rsidRPr="00925BCD">
        <w:rPr>
          <w:rFonts w:ascii="Arial" w:hAnsi="Arial" w:cs="Arial"/>
        </w:rPr>
        <w:t> </w:t>
      </w:r>
      <w:r w:rsidRPr="00925BCD">
        <w:rPr>
          <w:rFonts w:ascii="Arial" w:hAnsi="Arial" w:cs="Arial"/>
        </w:rPr>
        <w:t>także do ewentualnej zmiany przepisów dotyczących zarządzania ryzykiem związanym z obrotem środkami ochrony roślin i stosowaniem środków ochrony roślin.</w:t>
      </w:r>
    </w:p>
    <w:p w14:paraId="6A8AB787"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zadania były wykonywane następujące podzadania.</w:t>
      </w:r>
    </w:p>
    <w:p w14:paraId="66AFAA41" w14:textId="77777777" w:rsidR="00056846" w:rsidRPr="00925BCD" w:rsidRDefault="00E54725">
      <w:pPr>
        <w:pStyle w:val="Nagwek3"/>
        <w:numPr>
          <w:ilvl w:val="0"/>
          <w:numId w:val="0"/>
        </w:numPr>
        <w:tabs>
          <w:tab w:val="left" w:pos="2410"/>
        </w:tabs>
        <w:spacing w:after="120"/>
        <w:ind w:left="709"/>
        <w:rPr>
          <w:i w:val="0"/>
          <w:sz w:val="20"/>
          <w:szCs w:val="20"/>
        </w:rPr>
      </w:pPr>
      <w:bookmarkStart w:id="106" w:name="_Toc341876087"/>
      <w:bookmarkStart w:id="107" w:name="_Toc301334608"/>
      <w:bookmarkStart w:id="108" w:name="_Toc300916219"/>
      <w:bookmarkStart w:id="109" w:name="_Toc134099289"/>
      <w:r w:rsidRPr="00925BCD">
        <w:rPr>
          <w:i w:val="0"/>
          <w:sz w:val="20"/>
          <w:szCs w:val="20"/>
        </w:rPr>
        <w:t>Podzadanie 1. Kontrola żywności pochodzenia roślinnego na obecność pozostałości środkami ochrony roślin</w:t>
      </w:r>
      <w:bookmarkEnd w:id="106"/>
      <w:bookmarkEnd w:id="107"/>
      <w:bookmarkEnd w:id="109"/>
      <w:r w:rsidRPr="00925BCD">
        <w:rPr>
          <w:i w:val="0"/>
          <w:sz w:val="20"/>
          <w:szCs w:val="20"/>
        </w:rPr>
        <w:t xml:space="preserve"> </w:t>
      </w:r>
      <w:bookmarkEnd w:id="108"/>
    </w:p>
    <w:p w14:paraId="4DB2D7D4" w14:textId="77777777" w:rsidR="00247414" w:rsidRPr="00925BCD" w:rsidRDefault="00E54725" w:rsidP="002474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Organy Państwowej Inspekcji Sanitarnej prowadzą urzędowe kontrole żywności pochodzenia roślinnego produkowanej i wprowadzanej do obrotu oraz żywności pochodzenia zwierzęcego wprowadzonej do obrotu - zgodnie z kompetencjami określonymi w ustawie z dnia 25 sierpnia 2006 r. o bezpieczeństwie żywności i </w:t>
      </w:r>
      <w:r w:rsidR="00247414" w:rsidRPr="00925BCD">
        <w:rPr>
          <w:rFonts w:ascii="Arial" w:hAnsi="Arial" w:cs="Arial"/>
        </w:rPr>
        <w:t>żywienia (Dz. U. z 20</w:t>
      </w:r>
      <w:r w:rsidR="00247414">
        <w:rPr>
          <w:rFonts w:ascii="Arial" w:hAnsi="Arial" w:cs="Arial"/>
        </w:rPr>
        <w:t>22</w:t>
      </w:r>
      <w:r w:rsidR="00247414" w:rsidRPr="00925BCD">
        <w:rPr>
          <w:rFonts w:ascii="Arial" w:hAnsi="Arial" w:cs="Arial"/>
        </w:rPr>
        <w:t xml:space="preserve"> r., poz. </w:t>
      </w:r>
      <w:r w:rsidR="00247414">
        <w:rPr>
          <w:rFonts w:ascii="Arial" w:hAnsi="Arial" w:cs="Arial"/>
        </w:rPr>
        <w:t>2132</w:t>
      </w:r>
      <w:r w:rsidR="00247414" w:rsidRPr="00925BCD">
        <w:rPr>
          <w:rFonts w:ascii="Arial" w:hAnsi="Arial" w:cs="Arial"/>
        </w:rPr>
        <w:t>) oraz w ustawie z dnia 14 marca 1985</w:t>
      </w:r>
      <w:r w:rsidR="00247414">
        <w:rPr>
          <w:rFonts w:ascii="Arial" w:hAnsi="Arial" w:cs="Arial"/>
        </w:rPr>
        <w:t xml:space="preserve"> </w:t>
      </w:r>
      <w:r w:rsidR="00247414" w:rsidRPr="00925BCD">
        <w:rPr>
          <w:rFonts w:ascii="Arial" w:hAnsi="Arial" w:cs="Arial"/>
        </w:rPr>
        <w:t xml:space="preserve">r. o Państwowej Inspekcji Sanitarnej (Dz.U. z </w:t>
      </w:r>
      <w:r w:rsidR="00247414">
        <w:rPr>
          <w:rFonts w:ascii="Arial" w:hAnsi="Arial" w:cs="Arial"/>
        </w:rPr>
        <w:t>2021</w:t>
      </w:r>
      <w:r w:rsidR="00247414" w:rsidRPr="00925BCD">
        <w:rPr>
          <w:rFonts w:ascii="Arial" w:hAnsi="Arial" w:cs="Arial"/>
        </w:rPr>
        <w:t xml:space="preserve"> r. poz. </w:t>
      </w:r>
      <w:r w:rsidR="00247414">
        <w:rPr>
          <w:rFonts w:ascii="Arial" w:hAnsi="Arial" w:cs="Arial"/>
        </w:rPr>
        <w:t>195, z 2022 r. poz.655, 1700</w:t>
      </w:r>
      <w:r w:rsidR="00247414" w:rsidRPr="00925BCD">
        <w:rPr>
          <w:rFonts w:ascii="Arial" w:hAnsi="Arial" w:cs="Arial"/>
        </w:rPr>
        <w:t>).</w:t>
      </w:r>
    </w:p>
    <w:p w14:paraId="7755F8D4" w14:textId="7B3DF42F"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Głównym Inspektoracie Sanitarnym sporządza się corocznie „Plan pobierania próbek do badania żywności w ramach urzędowej kontroli i monitoringu dla PIS”.</w:t>
      </w:r>
      <w:r w:rsidR="006A4420" w:rsidRPr="006A4420">
        <w:rPr>
          <w:rFonts w:ascii="Arial" w:hAnsi="Arial" w:cs="Arial"/>
        </w:rPr>
        <w:t xml:space="preserve"> </w:t>
      </w:r>
      <w:r w:rsidR="006A4420" w:rsidRPr="00925BCD">
        <w:rPr>
          <w:rFonts w:ascii="Arial" w:hAnsi="Arial" w:cs="Arial"/>
        </w:rPr>
        <w:t xml:space="preserve">Część ww. planu dotycząca badania pozostałości pestycydów w żywności jest opracowywana przez </w:t>
      </w:r>
      <w:r w:rsidR="006A4420">
        <w:rPr>
          <w:rFonts w:ascii="Arial" w:hAnsi="Arial" w:cs="Arial"/>
        </w:rPr>
        <w:t>Oddział</w:t>
      </w:r>
      <w:r w:rsidR="006A4420" w:rsidRPr="00925BCD">
        <w:rPr>
          <w:rFonts w:ascii="Arial" w:hAnsi="Arial" w:cs="Arial"/>
        </w:rPr>
        <w:t xml:space="preserve"> Laboratoryjny</w:t>
      </w:r>
      <w:r w:rsidR="006A4420">
        <w:rPr>
          <w:rFonts w:ascii="Arial" w:hAnsi="Arial" w:cs="Arial"/>
        </w:rPr>
        <w:t xml:space="preserve"> Badań Pozostałości Pestycydów</w:t>
      </w:r>
      <w:r w:rsidR="006A4420" w:rsidRPr="00925BCD">
        <w:rPr>
          <w:rFonts w:ascii="Arial" w:hAnsi="Arial" w:cs="Arial"/>
        </w:rPr>
        <w:t xml:space="preserve"> WSSE w Warszawie, któr</w:t>
      </w:r>
      <w:r w:rsidR="006A4420">
        <w:rPr>
          <w:rFonts w:ascii="Arial" w:hAnsi="Arial" w:cs="Arial"/>
        </w:rPr>
        <w:t>y</w:t>
      </w:r>
      <w:r w:rsidR="006A4420" w:rsidRPr="00925BCD">
        <w:rPr>
          <w:rFonts w:ascii="Arial" w:hAnsi="Arial" w:cs="Arial"/>
        </w:rPr>
        <w:t xml:space="preserve"> </w:t>
      </w:r>
      <w:r w:rsidR="006A4420">
        <w:rPr>
          <w:rFonts w:ascii="Arial" w:hAnsi="Arial" w:cs="Arial"/>
        </w:rPr>
        <w:t>pełni funkcję</w:t>
      </w:r>
      <w:r w:rsidR="006A4420" w:rsidRPr="00925BCD">
        <w:rPr>
          <w:rFonts w:ascii="Arial" w:hAnsi="Arial" w:cs="Arial"/>
        </w:rPr>
        <w:t xml:space="preserve"> Krajow</w:t>
      </w:r>
      <w:r w:rsidR="006A4420">
        <w:rPr>
          <w:rFonts w:ascii="Arial" w:hAnsi="Arial" w:cs="Arial"/>
        </w:rPr>
        <w:t>ego</w:t>
      </w:r>
      <w:r w:rsidR="006A4420" w:rsidRPr="00925BCD">
        <w:rPr>
          <w:rFonts w:ascii="Arial" w:hAnsi="Arial" w:cs="Arial"/>
        </w:rPr>
        <w:t xml:space="preserve"> Laboratorium Referencyjn</w:t>
      </w:r>
      <w:r w:rsidR="006A4420">
        <w:rPr>
          <w:rFonts w:ascii="Arial" w:hAnsi="Arial" w:cs="Arial"/>
        </w:rPr>
        <w:t>ego</w:t>
      </w:r>
      <w:r w:rsidR="006A4420" w:rsidRPr="00925BCD">
        <w:rPr>
          <w:rFonts w:ascii="Arial" w:hAnsi="Arial" w:cs="Arial"/>
        </w:rPr>
        <w:t xml:space="preserve"> (NRL)</w:t>
      </w:r>
      <w:r w:rsidR="006A4420">
        <w:rPr>
          <w:rFonts w:ascii="Arial" w:hAnsi="Arial" w:cs="Arial"/>
        </w:rPr>
        <w:t>.</w:t>
      </w:r>
    </w:p>
    <w:p w14:paraId="3837E277"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ww. planie zawarty/a jest:</w:t>
      </w:r>
    </w:p>
    <w:p w14:paraId="52F7B609" w14:textId="434F200E" w:rsidR="00056846" w:rsidRPr="00925BCD" w:rsidRDefault="00E54725" w:rsidP="003F4DF6">
      <w:pPr>
        <w:pStyle w:val="NormalnyWeb"/>
        <w:numPr>
          <w:ilvl w:val="0"/>
          <w:numId w:val="30"/>
        </w:numPr>
        <w:tabs>
          <w:tab w:val="left" w:pos="284"/>
        </w:tabs>
        <w:spacing w:beforeAutospacing="0" w:after="120" w:afterAutospacing="0" w:line="360" w:lineRule="auto"/>
        <w:ind w:left="709" w:hanging="425"/>
        <w:jc w:val="both"/>
        <w:rPr>
          <w:rFonts w:ascii="Arial" w:hAnsi="Arial" w:cs="Arial"/>
        </w:rPr>
      </w:pPr>
      <w:bookmarkStart w:id="110" w:name="bookmark0"/>
      <w:bookmarkEnd w:id="110"/>
      <w:r w:rsidRPr="00925BCD">
        <w:rPr>
          <w:rFonts w:ascii="Arial" w:hAnsi="Arial" w:cs="Arial"/>
        </w:rPr>
        <w:t xml:space="preserve">skoordynowany monitoring UE (wg </w:t>
      </w:r>
      <w:r w:rsidR="005E2FD6" w:rsidRPr="005E2FD6">
        <w:rPr>
          <w:rFonts w:ascii="Arial" w:hAnsi="Arial" w:cs="Arial"/>
        </w:rPr>
        <w:t>stosownego rozporządzenia Wykonawczego Komisji (UE) dotyczącego wieloletnich skoordynowanych unijnych programów kontroli mających na celu zapewnienie zgodności z najwyższymi dopuszczalnymi poziomami pozostałości pestycydów w żywności pochodzenia roślinnego i zwierzęcego oraz na jej powierzchni, a także mającego na celu ocenę narażenia konsumenta na te pozostałości – wydawany na kolejne 3 lata</w:t>
      </w:r>
      <w:r w:rsidR="00DC2CB8" w:rsidRPr="00DC2CB8">
        <w:rPr>
          <w:rFonts w:ascii="Arial" w:hAnsi="Arial" w:cs="Arial"/>
        </w:rPr>
        <w:t>)</w:t>
      </w:r>
      <w:r w:rsidR="00DC2CB8">
        <w:rPr>
          <w:rFonts w:ascii="Arial" w:hAnsi="Arial" w:cs="Arial"/>
        </w:rPr>
        <w:t>,</w:t>
      </w:r>
    </w:p>
    <w:p w14:paraId="040F6A10" w14:textId="77777777" w:rsidR="00056846" w:rsidRPr="00925BCD" w:rsidRDefault="00E54725" w:rsidP="003F4DF6">
      <w:pPr>
        <w:pStyle w:val="NormalnyWeb"/>
        <w:numPr>
          <w:ilvl w:val="0"/>
          <w:numId w:val="30"/>
        </w:numPr>
        <w:tabs>
          <w:tab w:val="left" w:pos="284"/>
        </w:tabs>
        <w:spacing w:beforeAutospacing="0" w:after="120" w:afterAutospacing="0" w:line="360" w:lineRule="auto"/>
        <w:ind w:left="709" w:hanging="425"/>
        <w:jc w:val="both"/>
        <w:rPr>
          <w:rFonts w:ascii="Arial" w:hAnsi="Arial" w:cs="Arial"/>
        </w:rPr>
      </w:pPr>
      <w:bookmarkStart w:id="111" w:name="bookmark1"/>
      <w:bookmarkEnd w:id="111"/>
      <w:r w:rsidRPr="00925BCD">
        <w:rPr>
          <w:rFonts w:ascii="Arial" w:hAnsi="Arial" w:cs="Arial"/>
        </w:rPr>
        <w:t>krajowy monitoring i urzędowa kontrola pozostałości pestycydów w żywności,</w:t>
      </w:r>
    </w:p>
    <w:p w14:paraId="5E64A5C7" w14:textId="77777777" w:rsidR="00056846" w:rsidRPr="00925BCD" w:rsidRDefault="00E54725" w:rsidP="003F4DF6">
      <w:pPr>
        <w:pStyle w:val="NormalnyWeb"/>
        <w:numPr>
          <w:ilvl w:val="0"/>
          <w:numId w:val="30"/>
        </w:numPr>
        <w:tabs>
          <w:tab w:val="left" w:pos="284"/>
        </w:tabs>
        <w:spacing w:beforeAutospacing="0" w:after="120" w:afterAutospacing="0" w:line="360" w:lineRule="auto"/>
        <w:ind w:left="709" w:hanging="425"/>
        <w:jc w:val="both"/>
        <w:rPr>
          <w:rFonts w:ascii="Arial" w:hAnsi="Arial" w:cs="Arial"/>
        </w:rPr>
      </w:pPr>
      <w:bookmarkStart w:id="112" w:name="bookmark2"/>
      <w:bookmarkEnd w:id="112"/>
      <w:r w:rsidRPr="00925BCD">
        <w:rPr>
          <w:rFonts w:ascii="Arial" w:hAnsi="Arial" w:cs="Arial"/>
        </w:rPr>
        <w:t>kontrola graniczna (rozporządzenie nr 669/2009 z późn. zm., a następnie rozporządzenie wykonawcze Komisji (UE) 2019/1793, ze zm.).</w:t>
      </w:r>
    </w:p>
    <w:p w14:paraId="5638A573"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Realizacja ww. Planu w części dotyczącej pozostałości pestycydów obejmuje:</w:t>
      </w:r>
    </w:p>
    <w:p w14:paraId="563004AB" w14:textId="77777777" w:rsidR="00056846" w:rsidRPr="00925BCD" w:rsidRDefault="00E54725" w:rsidP="003F4DF6">
      <w:pPr>
        <w:pStyle w:val="NormalnyWeb"/>
        <w:numPr>
          <w:ilvl w:val="0"/>
          <w:numId w:val="31"/>
        </w:numPr>
        <w:tabs>
          <w:tab w:val="left" w:pos="284"/>
          <w:tab w:val="left" w:pos="709"/>
        </w:tabs>
        <w:spacing w:beforeAutospacing="0" w:after="120" w:afterAutospacing="0" w:line="360" w:lineRule="auto"/>
        <w:ind w:left="709" w:hanging="425"/>
        <w:jc w:val="both"/>
        <w:rPr>
          <w:rFonts w:ascii="Arial" w:hAnsi="Arial" w:cs="Arial"/>
        </w:rPr>
      </w:pPr>
      <w:bookmarkStart w:id="113" w:name="bookmark3"/>
      <w:bookmarkEnd w:id="113"/>
      <w:r w:rsidRPr="00925BCD">
        <w:rPr>
          <w:rFonts w:ascii="Arial" w:hAnsi="Arial" w:cs="Arial"/>
        </w:rPr>
        <w:t>kontrolę żywności na krajowym rynku w kierunku obecności pozostałości pestycydów i</w:t>
      </w:r>
      <w:r w:rsidR="00DC222D" w:rsidRPr="00925BCD">
        <w:rPr>
          <w:rFonts w:ascii="Arial" w:hAnsi="Arial" w:cs="Arial"/>
        </w:rPr>
        <w:t> </w:t>
      </w:r>
      <w:r w:rsidRPr="00925BCD">
        <w:rPr>
          <w:rFonts w:ascii="Arial" w:hAnsi="Arial" w:cs="Arial"/>
        </w:rPr>
        <w:t>weryfikację zgodności z ustalonymi przepisami prawa wartościami NDP (Rozporządzenie (WE) Nr 396/2005 Parlamentu Europejskiego i Rady),</w:t>
      </w:r>
    </w:p>
    <w:p w14:paraId="0B2FF070" w14:textId="77777777" w:rsidR="00056846" w:rsidRPr="00925BCD" w:rsidRDefault="00E54725" w:rsidP="003F4DF6">
      <w:pPr>
        <w:pStyle w:val="NormalnyWeb"/>
        <w:numPr>
          <w:ilvl w:val="0"/>
          <w:numId w:val="31"/>
        </w:numPr>
        <w:tabs>
          <w:tab w:val="left" w:pos="284"/>
          <w:tab w:val="left" w:pos="709"/>
        </w:tabs>
        <w:spacing w:beforeAutospacing="0" w:after="120" w:afterAutospacing="0" w:line="360" w:lineRule="auto"/>
        <w:ind w:left="709" w:hanging="425"/>
        <w:jc w:val="both"/>
        <w:rPr>
          <w:rFonts w:ascii="Arial" w:hAnsi="Arial" w:cs="Arial"/>
        </w:rPr>
      </w:pPr>
      <w:bookmarkStart w:id="114" w:name="bookmark4"/>
      <w:bookmarkEnd w:id="114"/>
      <w:r w:rsidRPr="00925BCD">
        <w:rPr>
          <w:rFonts w:ascii="Arial" w:hAnsi="Arial" w:cs="Arial"/>
        </w:rPr>
        <w:t>ocenę narażenia konsumenta,</w:t>
      </w:r>
    </w:p>
    <w:p w14:paraId="4927A3C5" w14:textId="77777777" w:rsidR="00056846" w:rsidRPr="00925BCD" w:rsidRDefault="00E54725" w:rsidP="003F4DF6">
      <w:pPr>
        <w:pStyle w:val="NormalnyWeb"/>
        <w:numPr>
          <w:ilvl w:val="0"/>
          <w:numId w:val="31"/>
        </w:numPr>
        <w:tabs>
          <w:tab w:val="left" w:pos="284"/>
          <w:tab w:val="left" w:pos="709"/>
        </w:tabs>
        <w:spacing w:beforeAutospacing="0" w:after="120" w:afterAutospacing="0" w:line="360" w:lineRule="auto"/>
        <w:ind w:left="709" w:hanging="425"/>
        <w:jc w:val="both"/>
        <w:rPr>
          <w:rFonts w:ascii="Arial" w:hAnsi="Arial" w:cs="Arial"/>
        </w:rPr>
      </w:pPr>
      <w:bookmarkStart w:id="115" w:name="bookmark5"/>
      <w:bookmarkEnd w:id="115"/>
      <w:r w:rsidRPr="00925BCD">
        <w:rPr>
          <w:rFonts w:ascii="Arial" w:hAnsi="Arial" w:cs="Arial"/>
        </w:rPr>
        <w:t>monitorowanie pozostałości pestycydów przekraczających dopuszczalne poziomy poprzez działania następcze oraz działania wykonawcze.</w:t>
      </w:r>
    </w:p>
    <w:p w14:paraId="371E7F76" w14:textId="320A124B" w:rsidR="00C519A1" w:rsidRPr="00925BCD" w:rsidRDefault="00E54725" w:rsidP="00C519A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DC2CB8">
        <w:rPr>
          <w:rFonts w:ascii="Arial" w:hAnsi="Arial" w:cs="Arial"/>
        </w:rPr>
        <w:t xml:space="preserve">latach </w:t>
      </w:r>
      <w:r w:rsidRPr="00925BCD">
        <w:rPr>
          <w:rFonts w:ascii="Arial" w:hAnsi="Arial" w:cs="Arial"/>
        </w:rPr>
        <w:t>2018</w:t>
      </w:r>
      <w:r w:rsidR="003A6096" w:rsidRPr="00772A61">
        <w:rPr>
          <w:rFonts w:ascii="Arial" w:hAnsi="Arial" w:cs="Arial"/>
        </w:rPr>
        <w:t>–</w:t>
      </w:r>
      <w:r w:rsidR="00DC2CB8">
        <w:rPr>
          <w:rFonts w:ascii="Arial" w:hAnsi="Arial" w:cs="Arial"/>
        </w:rPr>
        <w:t>202</w:t>
      </w:r>
      <w:r w:rsidR="00BF7967">
        <w:rPr>
          <w:rFonts w:ascii="Arial" w:hAnsi="Arial" w:cs="Arial"/>
        </w:rPr>
        <w:t>1</w:t>
      </w:r>
      <w:r w:rsidRPr="00925BCD">
        <w:rPr>
          <w:rFonts w:ascii="Arial" w:hAnsi="Arial" w:cs="Arial"/>
        </w:rPr>
        <w:t xml:space="preserve"> podobnie jak w latach ubiegłych próbki środków spożywczych do badań w</w:t>
      </w:r>
      <w:r w:rsidR="00DC222D" w:rsidRPr="00925BCD">
        <w:rPr>
          <w:rFonts w:ascii="Arial" w:hAnsi="Arial" w:cs="Arial"/>
        </w:rPr>
        <w:t> </w:t>
      </w:r>
      <w:r w:rsidRPr="00925BCD">
        <w:rPr>
          <w:rFonts w:ascii="Arial" w:hAnsi="Arial" w:cs="Arial"/>
        </w:rPr>
        <w:t xml:space="preserve">kierunku pozostałości pestycydów pobierane były przez pracowników stacji sanitarno- epidemiologicznych szczebla powiatowego oraz tam, gdzie to właściwe, przez pracowników stacji granicznych, zgodnie z zasadami opisanymi w rozporządzeniu Ministra Zdrowia z dnia 17 października 2007 r. w sprawie pobierania próbek żywności w celu oznaczania poziomów pozostałości pestycydów </w:t>
      </w:r>
      <w:r w:rsidRPr="00925BCD">
        <w:rPr>
          <w:rFonts w:ascii="Arial" w:hAnsi="Arial" w:cs="Arial"/>
        </w:rPr>
        <w:lastRenderedPageBreak/>
        <w:t xml:space="preserve">(Dz. U. Nr 207, poz. 1502), natomiast badania pozostałości pestycydów w żywności prowadzone były w </w:t>
      </w:r>
      <w:r w:rsidR="009A3AF0">
        <w:rPr>
          <w:rFonts w:ascii="Arial" w:hAnsi="Arial" w:cs="Arial"/>
        </w:rPr>
        <w:t>sześciu</w:t>
      </w:r>
      <w:r w:rsidRPr="00925BCD">
        <w:rPr>
          <w:rFonts w:ascii="Arial" w:hAnsi="Arial" w:cs="Arial"/>
        </w:rPr>
        <w:t xml:space="preserve"> akredytowanych laboratoriach wojewódzkich stacji sanitarno-epidemiologicznych: w</w:t>
      </w:r>
      <w:r w:rsidR="00DC222D" w:rsidRPr="00925BCD">
        <w:rPr>
          <w:rFonts w:ascii="Arial" w:hAnsi="Arial" w:cs="Arial"/>
        </w:rPr>
        <w:t> </w:t>
      </w:r>
      <w:r w:rsidRPr="00925BCD">
        <w:rPr>
          <w:rFonts w:ascii="Arial" w:hAnsi="Arial" w:cs="Arial"/>
        </w:rPr>
        <w:t>Warszawie, Łodzi, Opolu, Rzeszowie i Wrocławiu</w:t>
      </w:r>
      <w:r w:rsidR="009A3AF0">
        <w:rPr>
          <w:rFonts w:ascii="Arial" w:hAnsi="Arial" w:cs="Arial"/>
        </w:rPr>
        <w:t xml:space="preserve">, </w:t>
      </w:r>
      <w:r w:rsidR="00C519A1">
        <w:rPr>
          <w:rFonts w:ascii="Arial" w:hAnsi="Arial" w:cs="Arial"/>
        </w:rPr>
        <w:t>, a od 2021 r. w Bydgoszczy.</w:t>
      </w:r>
      <w:r w:rsidR="00C519A1" w:rsidRPr="00925BCD">
        <w:rPr>
          <w:rFonts w:ascii="Arial" w:hAnsi="Arial" w:cs="Arial"/>
        </w:rPr>
        <w:t xml:space="preserve"> Dodatkowo badania były </w:t>
      </w:r>
      <w:r w:rsidR="00C519A1">
        <w:rPr>
          <w:rFonts w:ascii="Arial" w:hAnsi="Arial" w:cs="Arial"/>
        </w:rPr>
        <w:t xml:space="preserve">również </w:t>
      </w:r>
      <w:r w:rsidR="00C519A1" w:rsidRPr="00925BCD">
        <w:rPr>
          <w:rFonts w:ascii="Arial" w:hAnsi="Arial" w:cs="Arial"/>
        </w:rPr>
        <w:t xml:space="preserve">wykonywane w Instytucie Ogrodnictwa – </w:t>
      </w:r>
      <w:r w:rsidR="00C519A1">
        <w:rPr>
          <w:rFonts w:ascii="Arial" w:hAnsi="Arial" w:cs="Arial"/>
        </w:rPr>
        <w:t xml:space="preserve">PIB </w:t>
      </w:r>
      <w:r w:rsidR="00C519A1" w:rsidRPr="00925BCD">
        <w:rPr>
          <w:rFonts w:ascii="Arial" w:hAnsi="Arial" w:cs="Arial"/>
        </w:rPr>
        <w:t>w Skierniewicach.</w:t>
      </w:r>
    </w:p>
    <w:p w14:paraId="169D6819"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Badania w kierunku pozostałości pestycydów prowadzone były w ramach monitoringu i urzędowej kontroli żywności. Próbki były pobierane głównie z miejsc obrotu żywnością, chociaż pobierano również próbki na etapie produkcji pierwotnej. Należy podkreślić, że Państwowa Inspekcja Sanitarna sprawuje również nadzór nad importem produktów pochodzenia roślinnego w ww. zakresie.</w:t>
      </w:r>
    </w:p>
    <w:p w14:paraId="2FAF51B6"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Spośród wszystkich przebadanych próbek najliczniejszą grupę stanowiły owoce i warzywa (ok.</w:t>
      </w:r>
      <w:r w:rsidR="003736FE" w:rsidRPr="00925BCD">
        <w:rPr>
          <w:rFonts w:ascii="Arial" w:hAnsi="Arial" w:cs="Arial"/>
        </w:rPr>
        <w:t> </w:t>
      </w:r>
      <w:r w:rsidRPr="00925BCD">
        <w:rPr>
          <w:rFonts w:ascii="Arial" w:hAnsi="Arial" w:cs="Arial"/>
        </w:rPr>
        <w:t>70%). Ponadto, do badań pobierane były próbki zbóż i produktów zbożowych (mąka), żywności przetworzonej (np. oleje - oliwa z oliwek, sok jabłkowy), żywności przeznaczonej dla niemowląt i małych dzieci, a także produktów pochodzenia zwierzęcego (m.in. miodu, jaj kurzych i mleka) znajdujących się na rynku.</w:t>
      </w:r>
    </w:p>
    <w:p w14:paraId="73DE89A8" w14:textId="41B04170"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Wyniki badań produktów pochodzenia krajowego prowadzonych przez Państwową Inspekcję Sanitarną w latach 2018</w:t>
      </w:r>
      <w:r w:rsidR="003A6096" w:rsidRPr="00772A61">
        <w:rPr>
          <w:rFonts w:ascii="Arial" w:hAnsi="Arial" w:cs="Arial"/>
        </w:rPr>
        <w:t>–</w:t>
      </w:r>
      <w:r w:rsidRPr="00925BCD">
        <w:rPr>
          <w:rFonts w:ascii="Arial" w:hAnsi="Arial" w:cs="Arial"/>
        </w:rPr>
        <w:t>20</w:t>
      </w:r>
      <w:r w:rsidR="00DC2CB8">
        <w:rPr>
          <w:rFonts w:ascii="Arial" w:hAnsi="Arial" w:cs="Arial"/>
        </w:rPr>
        <w:t>2</w:t>
      </w:r>
      <w:r w:rsidR="001028C1">
        <w:rPr>
          <w:rFonts w:ascii="Arial" w:hAnsi="Arial" w:cs="Arial"/>
        </w:rPr>
        <w:t>1</w:t>
      </w:r>
      <w:r w:rsidRPr="00925BCD">
        <w:rPr>
          <w:rFonts w:ascii="Arial" w:hAnsi="Arial" w:cs="Arial"/>
        </w:rPr>
        <w:t xml:space="preserve"> kształtowały się następująco.</w:t>
      </w:r>
    </w:p>
    <w:p w14:paraId="3B53EA5E"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8A1179">
        <w:rPr>
          <w:rFonts w:ascii="Arial" w:hAnsi="Arial" w:cs="Arial"/>
          <w:b/>
          <w:bCs/>
        </w:rPr>
        <w:t>W 2018 r.</w:t>
      </w:r>
      <w:r w:rsidRPr="00925BCD">
        <w:rPr>
          <w:rFonts w:ascii="Arial" w:hAnsi="Arial" w:cs="Arial"/>
        </w:rPr>
        <w:t xml:space="preserve"> zbadano ogółem 2 554 próbki żywności pod kątem pozostałości pestycydów, w tym 1 548 próbek produktów pochodzenia krajowego, 603 próbki produktów pochodzących z krajów UE oraz 365 próbek z krajów trzecich. W przypadku 38 próbek nie udało się ustalić kraju pochodzenia.</w:t>
      </w:r>
    </w:p>
    <w:p w14:paraId="1D52E733"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próbkach pochodzenia roślinnego badano ok. 300, a zwierzęcego około 69 substancji aktywnych.</w:t>
      </w:r>
    </w:p>
    <w:p w14:paraId="107C5B35"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przekroczenia najwyższych dopuszczalnych pozostałości środków ochrony roślin (po uwzględnieniu niepewności wyniku) stwierdzono w 38 próbkach produktów krajowych (2,5%). Przekroczenia te stwierdzono w następujących produktach: sałata masłowa (</w:t>
      </w:r>
      <w:proofErr w:type="spellStart"/>
      <w:r w:rsidRPr="00925BCD">
        <w:rPr>
          <w:rFonts w:ascii="Arial" w:hAnsi="Arial" w:cs="Arial"/>
        </w:rPr>
        <w:t>cypermetryna</w:t>
      </w:r>
      <w:proofErr w:type="spellEnd"/>
      <w:r w:rsidRPr="00925BCD">
        <w:rPr>
          <w:rFonts w:ascii="Arial" w:hAnsi="Arial" w:cs="Arial"/>
        </w:rPr>
        <w:t xml:space="preserve">, </w:t>
      </w:r>
      <w:proofErr w:type="spellStart"/>
      <w:r w:rsidRPr="00925BCD">
        <w:rPr>
          <w:rFonts w:ascii="Arial" w:hAnsi="Arial" w:cs="Arial"/>
        </w:rPr>
        <w:t>chlorpiryfos</w:t>
      </w:r>
      <w:proofErr w:type="spellEnd"/>
      <w:r w:rsidRPr="00925BCD">
        <w:rPr>
          <w:rFonts w:ascii="Arial" w:hAnsi="Arial" w:cs="Arial"/>
        </w:rPr>
        <w:t>), ziemniaki (</w:t>
      </w:r>
      <w:proofErr w:type="spellStart"/>
      <w:r w:rsidRPr="00925BCD">
        <w:rPr>
          <w:rFonts w:ascii="Arial" w:hAnsi="Arial" w:cs="Arial"/>
        </w:rPr>
        <w:t>chlorpiryfos</w:t>
      </w:r>
      <w:proofErr w:type="spellEnd"/>
      <w:r w:rsidRPr="00925BCD">
        <w:rPr>
          <w:rFonts w:ascii="Arial" w:hAnsi="Arial" w:cs="Arial"/>
        </w:rPr>
        <w:t>), porzeczka czarna (</w:t>
      </w:r>
      <w:proofErr w:type="spellStart"/>
      <w:r w:rsidRPr="00925BCD">
        <w:rPr>
          <w:rFonts w:ascii="Arial" w:hAnsi="Arial" w:cs="Arial"/>
        </w:rPr>
        <w:t>chlorpiryfos</w:t>
      </w:r>
      <w:proofErr w:type="spellEnd"/>
      <w:r w:rsidRPr="00925BCD">
        <w:rPr>
          <w:rFonts w:ascii="Arial" w:hAnsi="Arial" w:cs="Arial"/>
        </w:rPr>
        <w:t>), maliny (</w:t>
      </w:r>
      <w:proofErr w:type="spellStart"/>
      <w:r w:rsidRPr="00925BCD">
        <w:rPr>
          <w:rFonts w:ascii="Arial" w:hAnsi="Arial" w:cs="Arial"/>
        </w:rPr>
        <w:t>folpet</w:t>
      </w:r>
      <w:proofErr w:type="spellEnd"/>
      <w:r w:rsidRPr="00925BCD">
        <w:rPr>
          <w:rFonts w:ascii="Arial" w:hAnsi="Arial" w:cs="Arial"/>
        </w:rPr>
        <w:t xml:space="preserve">, </w:t>
      </w:r>
      <w:proofErr w:type="spellStart"/>
      <w:r w:rsidRPr="00925BCD">
        <w:rPr>
          <w:rFonts w:ascii="Arial" w:hAnsi="Arial" w:cs="Arial"/>
        </w:rPr>
        <w:t>ditiokarbaminiany</w:t>
      </w:r>
      <w:proofErr w:type="spellEnd"/>
      <w:r w:rsidRPr="00925BCD">
        <w:rPr>
          <w:rFonts w:ascii="Arial" w:hAnsi="Arial" w:cs="Arial"/>
        </w:rPr>
        <w:t xml:space="preserve">, </w:t>
      </w:r>
      <w:proofErr w:type="spellStart"/>
      <w:r w:rsidRPr="00925BCD">
        <w:rPr>
          <w:rFonts w:ascii="Arial" w:hAnsi="Arial" w:cs="Arial"/>
        </w:rPr>
        <w:t>pentiopyrad</w:t>
      </w:r>
      <w:proofErr w:type="spellEnd"/>
      <w:r w:rsidRPr="00925BCD">
        <w:rPr>
          <w:rFonts w:ascii="Arial" w:hAnsi="Arial" w:cs="Arial"/>
        </w:rPr>
        <w:t>), kapusta pekińska (</w:t>
      </w:r>
      <w:proofErr w:type="spellStart"/>
      <w:r w:rsidRPr="00925BCD">
        <w:rPr>
          <w:rFonts w:ascii="Arial" w:hAnsi="Arial" w:cs="Arial"/>
        </w:rPr>
        <w:t>dimetoat</w:t>
      </w:r>
      <w:proofErr w:type="spellEnd"/>
      <w:r w:rsidRPr="00925BCD">
        <w:rPr>
          <w:rFonts w:ascii="Arial" w:hAnsi="Arial" w:cs="Arial"/>
        </w:rPr>
        <w:t xml:space="preserve">, </w:t>
      </w:r>
      <w:proofErr w:type="spellStart"/>
      <w:r w:rsidRPr="00925BCD">
        <w:rPr>
          <w:rFonts w:ascii="Arial" w:hAnsi="Arial" w:cs="Arial"/>
        </w:rPr>
        <w:t>chlorpiryfos</w:t>
      </w:r>
      <w:proofErr w:type="spellEnd"/>
      <w:r w:rsidRPr="00925BCD">
        <w:rPr>
          <w:rFonts w:ascii="Arial" w:hAnsi="Arial" w:cs="Arial"/>
        </w:rPr>
        <w:t>), kapusta głowiasta biała (</w:t>
      </w:r>
      <w:proofErr w:type="spellStart"/>
      <w:r w:rsidRPr="00925BCD">
        <w:rPr>
          <w:rFonts w:ascii="Arial" w:hAnsi="Arial" w:cs="Arial"/>
        </w:rPr>
        <w:t>chlorpiryfos</w:t>
      </w:r>
      <w:proofErr w:type="spellEnd"/>
      <w:r w:rsidRPr="00925BCD">
        <w:rPr>
          <w:rFonts w:ascii="Arial" w:hAnsi="Arial" w:cs="Arial"/>
        </w:rPr>
        <w:t xml:space="preserve">, </w:t>
      </w:r>
      <w:proofErr w:type="spellStart"/>
      <w:r w:rsidRPr="00925BCD">
        <w:rPr>
          <w:rFonts w:ascii="Arial" w:hAnsi="Arial" w:cs="Arial"/>
        </w:rPr>
        <w:t>dimetoat</w:t>
      </w:r>
      <w:proofErr w:type="spellEnd"/>
      <w:r w:rsidRPr="00925BCD">
        <w:rPr>
          <w:rFonts w:ascii="Arial" w:hAnsi="Arial" w:cs="Arial"/>
        </w:rPr>
        <w:t xml:space="preserve">, </w:t>
      </w:r>
      <w:proofErr w:type="spellStart"/>
      <w:r w:rsidRPr="00925BCD">
        <w:rPr>
          <w:rFonts w:ascii="Arial" w:hAnsi="Arial" w:cs="Arial"/>
        </w:rPr>
        <w:t>ometoat</w:t>
      </w:r>
      <w:proofErr w:type="spellEnd"/>
      <w:r w:rsidRPr="00925BCD">
        <w:rPr>
          <w:rFonts w:ascii="Arial" w:hAnsi="Arial" w:cs="Arial"/>
        </w:rPr>
        <w:t>), marchew (</w:t>
      </w:r>
      <w:proofErr w:type="spellStart"/>
      <w:r w:rsidRPr="00925BCD">
        <w:rPr>
          <w:rFonts w:ascii="Arial" w:hAnsi="Arial" w:cs="Arial"/>
        </w:rPr>
        <w:t>propikonazol</w:t>
      </w:r>
      <w:proofErr w:type="spellEnd"/>
      <w:r w:rsidRPr="00925BCD">
        <w:rPr>
          <w:rFonts w:ascii="Arial" w:hAnsi="Arial" w:cs="Arial"/>
        </w:rPr>
        <w:t>), por (</w:t>
      </w:r>
      <w:proofErr w:type="spellStart"/>
      <w:r w:rsidRPr="00925BCD">
        <w:rPr>
          <w:rFonts w:ascii="Arial" w:hAnsi="Arial" w:cs="Arial"/>
        </w:rPr>
        <w:t>chlorpiryfos</w:t>
      </w:r>
      <w:proofErr w:type="spellEnd"/>
      <w:r w:rsidRPr="00925BCD">
        <w:rPr>
          <w:rFonts w:ascii="Arial" w:hAnsi="Arial" w:cs="Arial"/>
        </w:rPr>
        <w:t>), jabłka (</w:t>
      </w:r>
      <w:proofErr w:type="spellStart"/>
      <w:r w:rsidRPr="00925BCD">
        <w:rPr>
          <w:rFonts w:ascii="Arial" w:hAnsi="Arial" w:cs="Arial"/>
        </w:rPr>
        <w:t>chlorpiryfos</w:t>
      </w:r>
      <w:proofErr w:type="spellEnd"/>
      <w:r w:rsidRPr="00925BCD">
        <w:rPr>
          <w:rFonts w:ascii="Arial" w:hAnsi="Arial" w:cs="Arial"/>
        </w:rPr>
        <w:t xml:space="preserve">, </w:t>
      </w:r>
      <w:proofErr w:type="spellStart"/>
      <w:r w:rsidRPr="00925BCD">
        <w:rPr>
          <w:rFonts w:ascii="Arial" w:hAnsi="Arial" w:cs="Arial"/>
        </w:rPr>
        <w:t>chlormekwat</w:t>
      </w:r>
      <w:proofErr w:type="spellEnd"/>
      <w:r w:rsidRPr="00925BCD">
        <w:rPr>
          <w:rFonts w:ascii="Arial" w:hAnsi="Arial" w:cs="Arial"/>
        </w:rPr>
        <w:t>), pomidory (</w:t>
      </w:r>
      <w:proofErr w:type="spellStart"/>
      <w:r w:rsidRPr="00925BCD">
        <w:rPr>
          <w:rFonts w:ascii="Arial" w:hAnsi="Arial" w:cs="Arial"/>
        </w:rPr>
        <w:t>pirymifos</w:t>
      </w:r>
      <w:proofErr w:type="spellEnd"/>
      <w:r w:rsidRPr="00925BCD">
        <w:rPr>
          <w:rFonts w:ascii="Arial" w:hAnsi="Arial" w:cs="Arial"/>
        </w:rPr>
        <w:t xml:space="preserve"> metylowy, </w:t>
      </w:r>
      <w:proofErr w:type="spellStart"/>
      <w:r w:rsidRPr="00925BCD">
        <w:rPr>
          <w:rFonts w:ascii="Arial" w:hAnsi="Arial" w:cs="Arial"/>
        </w:rPr>
        <w:t>spiroksamina</w:t>
      </w:r>
      <w:proofErr w:type="spellEnd"/>
      <w:r w:rsidRPr="00925BCD">
        <w:rPr>
          <w:rFonts w:ascii="Arial" w:hAnsi="Arial" w:cs="Arial"/>
        </w:rPr>
        <w:t>), seler korzeniowy (</w:t>
      </w:r>
      <w:proofErr w:type="spellStart"/>
      <w:r w:rsidRPr="00925BCD">
        <w:rPr>
          <w:rFonts w:ascii="Arial" w:hAnsi="Arial" w:cs="Arial"/>
        </w:rPr>
        <w:t>iprodion</w:t>
      </w:r>
      <w:proofErr w:type="spellEnd"/>
      <w:r w:rsidRPr="00925BCD">
        <w:rPr>
          <w:rFonts w:ascii="Arial" w:hAnsi="Arial" w:cs="Arial"/>
        </w:rPr>
        <w:t>), boczniak (</w:t>
      </w:r>
      <w:proofErr w:type="spellStart"/>
      <w:r w:rsidRPr="00925BCD">
        <w:rPr>
          <w:rFonts w:ascii="Arial" w:hAnsi="Arial" w:cs="Arial"/>
        </w:rPr>
        <w:t>chlormekwat</w:t>
      </w:r>
      <w:proofErr w:type="spellEnd"/>
      <w:r w:rsidRPr="00925BCD">
        <w:rPr>
          <w:rFonts w:ascii="Arial" w:hAnsi="Arial" w:cs="Arial"/>
        </w:rPr>
        <w:t>), gruszki (</w:t>
      </w:r>
      <w:proofErr w:type="spellStart"/>
      <w:r w:rsidRPr="00925BCD">
        <w:rPr>
          <w:rFonts w:ascii="Arial" w:hAnsi="Arial" w:cs="Arial"/>
        </w:rPr>
        <w:t>mepikwat</w:t>
      </w:r>
      <w:proofErr w:type="spellEnd"/>
      <w:r w:rsidRPr="00925BCD">
        <w:rPr>
          <w:rFonts w:ascii="Arial" w:hAnsi="Arial" w:cs="Arial"/>
        </w:rPr>
        <w:t>), papryka (</w:t>
      </w:r>
      <w:proofErr w:type="spellStart"/>
      <w:r w:rsidRPr="00925BCD">
        <w:rPr>
          <w:rFonts w:ascii="Arial" w:hAnsi="Arial" w:cs="Arial"/>
        </w:rPr>
        <w:t>etefon</w:t>
      </w:r>
      <w:proofErr w:type="spellEnd"/>
      <w:r w:rsidRPr="00925BCD">
        <w:rPr>
          <w:rFonts w:ascii="Arial" w:hAnsi="Arial" w:cs="Arial"/>
        </w:rPr>
        <w:t>), szpinak (</w:t>
      </w:r>
      <w:proofErr w:type="spellStart"/>
      <w:r w:rsidRPr="00925BCD">
        <w:rPr>
          <w:rFonts w:ascii="Arial" w:hAnsi="Arial" w:cs="Arial"/>
        </w:rPr>
        <w:t>deltametryna</w:t>
      </w:r>
      <w:proofErr w:type="spellEnd"/>
      <w:r w:rsidRPr="00925BCD">
        <w:rPr>
          <w:rFonts w:ascii="Arial" w:hAnsi="Arial" w:cs="Arial"/>
        </w:rPr>
        <w:t>), brokuły (</w:t>
      </w:r>
      <w:proofErr w:type="spellStart"/>
      <w:r w:rsidRPr="00925BCD">
        <w:rPr>
          <w:rFonts w:ascii="Arial" w:hAnsi="Arial" w:cs="Arial"/>
        </w:rPr>
        <w:t>chlorpiryfos</w:t>
      </w:r>
      <w:proofErr w:type="spellEnd"/>
      <w:r w:rsidRPr="00925BCD">
        <w:rPr>
          <w:rFonts w:ascii="Arial" w:hAnsi="Arial" w:cs="Arial"/>
        </w:rPr>
        <w:t xml:space="preserve">, </w:t>
      </w:r>
      <w:proofErr w:type="spellStart"/>
      <w:r w:rsidRPr="00925BCD">
        <w:rPr>
          <w:rFonts w:ascii="Arial" w:hAnsi="Arial" w:cs="Arial"/>
        </w:rPr>
        <w:t>karbendazym</w:t>
      </w:r>
      <w:proofErr w:type="spellEnd"/>
      <w:r w:rsidRPr="00925BCD">
        <w:rPr>
          <w:rFonts w:ascii="Arial" w:hAnsi="Arial" w:cs="Arial"/>
        </w:rPr>
        <w:t xml:space="preserve">, </w:t>
      </w:r>
      <w:proofErr w:type="spellStart"/>
      <w:r w:rsidRPr="00925BCD">
        <w:rPr>
          <w:rFonts w:ascii="Arial" w:hAnsi="Arial" w:cs="Arial"/>
        </w:rPr>
        <w:t>tiofanat</w:t>
      </w:r>
      <w:proofErr w:type="spellEnd"/>
      <w:r w:rsidRPr="00925BCD">
        <w:rPr>
          <w:rFonts w:ascii="Arial" w:hAnsi="Arial" w:cs="Arial"/>
        </w:rPr>
        <w:t xml:space="preserve"> metylowy, </w:t>
      </w:r>
      <w:proofErr w:type="spellStart"/>
      <w:r w:rsidRPr="00925BCD">
        <w:rPr>
          <w:rFonts w:ascii="Arial" w:hAnsi="Arial" w:cs="Arial"/>
        </w:rPr>
        <w:t>fluazifop</w:t>
      </w:r>
      <w:proofErr w:type="spellEnd"/>
      <w:r w:rsidRPr="00925BCD">
        <w:rPr>
          <w:rFonts w:ascii="Arial" w:hAnsi="Arial" w:cs="Arial"/>
        </w:rPr>
        <w:t>-P).</w:t>
      </w:r>
    </w:p>
    <w:p w14:paraId="0DC3C544"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Produkty, w których w 2018 r. nie stwierdzono przekroczeń wartości dopuszczalnych to: pietruszka korzeniowa, ogórki, wiśnie, śliwki, kalafior, bakłażany, fasola szparagowa, truskawki, pszenica, żyto, owies oraz produkty przetworzone dla dzieci i niemowląt. Przekroczeń nie stwierdzono także w</w:t>
      </w:r>
      <w:r w:rsidR="00DC222D" w:rsidRPr="00925BCD">
        <w:rPr>
          <w:rFonts w:ascii="Arial" w:hAnsi="Arial" w:cs="Arial"/>
        </w:rPr>
        <w:t> </w:t>
      </w:r>
      <w:r w:rsidRPr="00925BCD">
        <w:rPr>
          <w:rFonts w:ascii="Arial" w:hAnsi="Arial" w:cs="Arial"/>
        </w:rPr>
        <w:t>produktach pochodzenia zwierzęcego: miodzie, jajach, mięśniach i tłuszczu drobiowym oraz tłuszczu wołowym.</w:t>
      </w:r>
    </w:p>
    <w:p w14:paraId="2A738058"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najwięcej przekroczeń wartości NDP stwierdzono w następujących kombinacjach produkt/pestycyd pochodzenia krajowego: papryka/</w:t>
      </w:r>
      <w:proofErr w:type="spellStart"/>
      <w:r w:rsidRPr="00925BCD">
        <w:rPr>
          <w:rFonts w:ascii="Arial" w:hAnsi="Arial" w:cs="Arial"/>
        </w:rPr>
        <w:t>etefon</w:t>
      </w:r>
      <w:proofErr w:type="spellEnd"/>
      <w:r w:rsidRPr="00925BCD">
        <w:rPr>
          <w:rFonts w:ascii="Arial" w:hAnsi="Arial" w:cs="Arial"/>
        </w:rPr>
        <w:t xml:space="preserve"> (8,5% próbek), brokuły/</w:t>
      </w:r>
      <w:proofErr w:type="spellStart"/>
      <w:r w:rsidRPr="00925BCD">
        <w:rPr>
          <w:rFonts w:ascii="Arial" w:hAnsi="Arial" w:cs="Arial"/>
        </w:rPr>
        <w:t>chlorpiryfos</w:t>
      </w:r>
      <w:proofErr w:type="spellEnd"/>
      <w:r w:rsidRPr="00925BCD">
        <w:rPr>
          <w:rFonts w:ascii="Arial" w:hAnsi="Arial" w:cs="Arial"/>
        </w:rPr>
        <w:t xml:space="preserve"> (6,4 %), kapusta głowiasta/</w:t>
      </w:r>
      <w:proofErr w:type="spellStart"/>
      <w:r w:rsidRPr="00925BCD">
        <w:rPr>
          <w:rFonts w:ascii="Arial" w:hAnsi="Arial" w:cs="Arial"/>
        </w:rPr>
        <w:t>chlorpiryfos</w:t>
      </w:r>
      <w:proofErr w:type="spellEnd"/>
      <w:r w:rsidRPr="00925BCD">
        <w:rPr>
          <w:rFonts w:ascii="Arial" w:hAnsi="Arial" w:cs="Arial"/>
        </w:rPr>
        <w:t xml:space="preserve"> (6,5%).</w:t>
      </w:r>
    </w:p>
    <w:p w14:paraId="2C0F841D"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B5570A">
        <w:rPr>
          <w:rFonts w:ascii="Arial" w:hAnsi="Arial" w:cs="Arial"/>
          <w:b/>
          <w:bCs/>
        </w:rPr>
        <w:t>W 2019 r.</w:t>
      </w:r>
      <w:r w:rsidRPr="00925BCD">
        <w:rPr>
          <w:rFonts w:ascii="Arial" w:hAnsi="Arial" w:cs="Arial"/>
        </w:rPr>
        <w:t xml:space="preserve"> zbadano ogółem 2 624 próbki żywności pod kątem pozostałości pestycydów, w tym 1 694 </w:t>
      </w:r>
      <w:r w:rsidRPr="00925BCD">
        <w:rPr>
          <w:rFonts w:ascii="Arial" w:hAnsi="Arial" w:cs="Arial"/>
        </w:rPr>
        <w:lastRenderedPageBreak/>
        <w:t>próbki produktów pochodzenia krajowego, 520 próbek produktów pochodzących z krajów UE oraz 369 próbek z krajów trzecich. W przypadku 41 próbek nie udało się ustalić kraju pochodzenia.</w:t>
      </w:r>
    </w:p>
    <w:p w14:paraId="6A4C25B3"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próbkach pochodzenia roślinnego badano ok. 300, a zwierzęcego około 74 substancji aktywnych.</w:t>
      </w:r>
    </w:p>
    <w:p w14:paraId="064F23B7"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Przekroczenia najwyższych dopuszczalnych poziomów pozostałości środków ochrony roślin (po uwzględnieniu niepewności wyniku) stwierdzono w 54 próbkach produktów krajowych (3,2%). Przekroczenia te stwierdzono m.in. w następujących próbkach produktów krajowych: boczniak (</w:t>
      </w:r>
      <w:proofErr w:type="spellStart"/>
      <w:r w:rsidRPr="00925BCD">
        <w:rPr>
          <w:rFonts w:ascii="Arial" w:hAnsi="Arial" w:cs="Arial"/>
        </w:rPr>
        <w:t>cypermetryna</w:t>
      </w:r>
      <w:proofErr w:type="spellEnd"/>
      <w:r w:rsidRPr="00925BCD">
        <w:rPr>
          <w:rFonts w:ascii="Arial" w:hAnsi="Arial" w:cs="Arial"/>
        </w:rPr>
        <w:t xml:space="preserve">, </w:t>
      </w:r>
      <w:proofErr w:type="spellStart"/>
      <w:r w:rsidRPr="00925BCD">
        <w:rPr>
          <w:rFonts w:ascii="Arial" w:hAnsi="Arial" w:cs="Arial"/>
        </w:rPr>
        <w:t>tetrametryna</w:t>
      </w:r>
      <w:proofErr w:type="spellEnd"/>
      <w:r w:rsidRPr="00925BCD">
        <w:rPr>
          <w:rFonts w:ascii="Arial" w:hAnsi="Arial" w:cs="Arial"/>
        </w:rPr>
        <w:t>), brukselka (</w:t>
      </w:r>
      <w:proofErr w:type="spellStart"/>
      <w:r w:rsidRPr="00925BCD">
        <w:rPr>
          <w:rFonts w:ascii="Arial" w:hAnsi="Arial" w:cs="Arial"/>
        </w:rPr>
        <w:t>klotianidyna</w:t>
      </w:r>
      <w:proofErr w:type="spellEnd"/>
      <w:r w:rsidRPr="00925BCD">
        <w:rPr>
          <w:rFonts w:ascii="Arial" w:hAnsi="Arial" w:cs="Arial"/>
        </w:rPr>
        <w:t>), jabłko (</w:t>
      </w:r>
      <w:proofErr w:type="spellStart"/>
      <w:r w:rsidRPr="00925BCD">
        <w:rPr>
          <w:rFonts w:ascii="Arial" w:hAnsi="Arial" w:cs="Arial"/>
        </w:rPr>
        <w:t>mepikwat</w:t>
      </w:r>
      <w:proofErr w:type="spellEnd"/>
      <w:r w:rsidRPr="00925BCD">
        <w:rPr>
          <w:rFonts w:ascii="Arial" w:hAnsi="Arial" w:cs="Arial"/>
        </w:rPr>
        <w:t>), kapusta pekińska (</w:t>
      </w:r>
      <w:proofErr w:type="spellStart"/>
      <w:r w:rsidRPr="00925BCD">
        <w:rPr>
          <w:rFonts w:ascii="Arial" w:hAnsi="Arial" w:cs="Arial"/>
        </w:rPr>
        <w:t>chlorotalonil</w:t>
      </w:r>
      <w:proofErr w:type="spellEnd"/>
      <w:r w:rsidRPr="00925BCD">
        <w:rPr>
          <w:rFonts w:ascii="Arial" w:hAnsi="Arial" w:cs="Arial"/>
        </w:rPr>
        <w:t>), kapusta pekińska (</w:t>
      </w:r>
      <w:proofErr w:type="spellStart"/>
      <w:r w:rsidRPr="00925BCD">
        <w:rPr>
          <w:rFonts w:ascii="Arial" w:hAnsi="Arial" w:cs="Arial"/>
        </w:rPr>
        <w:t>chlorpiryfos</w:t>
      </w:r>
      <w:proofErr w:type="spellEnd"/>
      <w:r w:rsidRPr="00925BCD">
        <w:rPr>
          <w:rFonts w:ascii="Arial" w:hAnsi="Arial" w:cs="Arial"/>
        </w:rPr>
        <w:t>), kapusta pekińska (</w:t>
      </w:r>
      <w:proofErr w:type="spellStart"/>
      <w:r w:rsidRPr="00925BCD">
        <w:rPr>
          <w:rFonts w:ascii="Arial" w:hAnsi="Arial" w:cs="Arial"/>
        </w:rPr>
        <w:t>dimetoat</w:t>
      </w:r>
      <w:proofErr w:type="spellEnd"/>
      <w:r w:rsidRPr="00925BCD">
        <w:rPr>
          <w:rFonts w:ascii="Arial" w:hAnsi="Arial" w:cs="Arial"/>
        </w:rPr>
        <w:t>), kasza gryczana (glifosat), malina (</w:t>
      </w:r>
      <w:proofErr w:type="spellStart"/>
      <w:r w:rsidRPr="00925BCD">
        <w:rPr>
          <w:rFonts w:ascii="Arial" w:hAnsi="Arial" w:cs="Arial"/>
        </w:rPr>
        <w:t>flonikamid</w:t>
      </w:r>
      <w:proofErr w:type="spellEnd"/>
      <w:r w:rsidRPr="00925BCD">
        <w:rPr>
          <w:rFonts w:ascii="Arial" w:hAnsi="Arial" w:cs="Arial"/>
        </w:rPr>
        <w:t>), ogórek szklarniowy (</w:t>
      </w:r>
      <w:proofErr w:type="spellStart"/>
      <w:r w:rsidRPr="00925BCD">
        <w:rPr>
          <w:rFonts w:ascii="Arial" w:hAnsi="Arial" w:cs="Arial"/>
        </w:rPr>
        <w:t>karbendazym</w:t>
      </w:r>
      <w:proofErr w:type="spellEnd"/>
      <w:r w:rsidRPr="00925BCD">
        <w:rPr>
          <w:rFonts w:ascii="Arial" w:hAnsi="Arial" w:cs="Arial"/>
        </w:rPr>
        <w:t xml:space="preserve"> i </w:t>
      </w:r>
      <w:proofErr w:type="spellStart"/>
      <w:r w:rsidRPr="00925BCD">
        <w:rPr>
          <w:rFonts w:ascii="Arial" w:hAnsi="Arial" w:cs="Arial"/>
        </w:rPr>
        <w:t>benomyl</w:t>
      </w:r>
      <w:proofErr w:type="spellEnd"/>
      <w:r w:rsidRPr="00925BCD">
        <w:rPr>
          <w:rFonts w:ascii="Arial" w:hAnsi="Arial" w:cs="Arial"/>
        </w:rPr>
        <w:t>), papryka (</w:t>
      </w:r>
      <w:proofErr w:type="spellStart"/>
      <w:r w:rsidRPr="00925BCD">
        <w:rPr>
          <w:rFonts w:ascii="Arial" w:hAnsi="Arial" w:cs="Arial"/>
        </w:rPr>
        <w:t>etefon</w:t>
      </w:r>
      <w:proofErr w:type="spellEnd"/>
      <w:r w:rsidRPr="00925BCD">
        <w:rPr>
          <w:rFonts w:ascii="Arial" w:hAnsi="Arial" w:cs="Arial"/>
        </w:rPr>
        <w:t>), pietruszka korzeniowa (</w:t>
      </w:r>
      <w:proofErr w:type="spellStart"/>
      <w:r w:rsidRPr="00925BCD">
        <w:rPr>
          <w:rFonts w:ascii="Arial" w:hAnsi="Arial" w:cs="Arial"/>
        </w:rPr>
        <w:t>linuron</w:t>
      </w:r>
      <w:proofErr w:type="spellEnd"/>
      <w:r w:rsidRPr="00925BCD">
        <w:rPr>
          <w:rFonts w:ascii="Arial" w:hAnsi="Arial" w:cs="Arial"/>
        </w:rPr>
        <w:t>), pietruszka korzeniowa (</w:t>
      </w:r>
      <w:proofErr w:type="spellStart"/>
      <w:r w:rsidRPr="00925BCD">
        <w:rPr>
          <w:rFonts w:ascii="Arial" w:hAnsi="Arial" w:cs="Arial"/>
        </w:rPr>
        <w:t>propikonazol</w:t>
      </w:r>
      <w:proofErr w:type="spellEnd"/>
      <w:r w:rsidRPr="00925BCD">
        <w:rPr>
          <w:rFonts w:ascii="Arial" w:hAnsi="Arial" w:cs="Arial"/>
        </w:rPr>
        <w:t>), płatki jaglane (glifosat), pomidor (</w:t>
      </w:r>
      <w:proofErr w:type="spellStart"/>
      <w:r w:rsidRPr="00925BCD">
        <w:rPr>
          <w:rFonts w:ascii="Arial" w:hAnsi="Arial" w:cs="Arial"/>
        </w:rPr>
        <w:t>dinotefuran</w:t>
      </w:r>
      <w:proofErr w:type="spellEnd"/>
      <w:r w:rsidRPr="00925BCD">
        <w:rPr>
          <w:rFonts w:ascii="Arial" w:hAnsi="Arial" w:cs="Arial"/>
        </w:rPr>
        <w:t xml:space="preserve">, </w:t>
      </w:r>
      <w:proofErr w:type="spellStart"/>
      <w:r w:rsidRPr="00925BCD">
        <w:rPr>
          <w:rFonts w:ascii="Arial" w:hAnsi="Arial" w:cs="Arial"/>
        </w:rPr>
        <w:t>spiroksamina</w:t>
      </w:r>
      <w:proofErr w:type="spellEnd"/>
      <w:r w:rsidRPr="00925BCD">
        <w:rPr>
          <w:rFonts w:ascii="Arial" w:hAnsi="Arial" w:cs="Arial"/>
        </w:rPr>
        <w:t>), pomidor (</w:t>
      </w:r>
      <w:proofErr w:type="spellStart"/>
      <w:r w:rsidRPr="00925BCD">
        <w:rPr>
          <w:rFonts w:ascii="Arial" w:hAnsi="Arial" w:cs="Arial"/>
        </w:rPr>
        <w:t>spiroksamina</w:t>
      </w:r>
      <w:proofErr w:type="spellEnd"/>
      <w:r w:rsidRPr="00925BCD">
        <w:rPr>
          <w:rFonts w:ascii="Arial" w:hAnsi="Arial" w:cs="Arial"/>
        </w:rPr>
        <w:t>), por (</w:t>
      </w:r>
      <w:proofErr w:type="spellStart"/>
      <w:r w:rsidRPr="00925BCD">
        <w:rPr>
          <w:rFonts w:ascii="Arial" w:hAnsi="Arial" w:cs="Arial"/>
        </w:rPr>
        <w:t>prometryna</w:t>
      </w:r>
      <w:proofErr w:type="spellEnd"/>
      <w:r w:rsidRPr="00925BCD">
        <w:rPr>
          <w:rFonts w:ascii="Arial" w:hAnsi="Arial" w:cs="Arial"/>
        </w:rPr>
        <w:t>), por (</w:t>
      </w:r>
      <w:proofErr w:type="spellStart"/>
      <w:r w:rsidRPr="00925BCD">
        <w:rPr>
          <w:rFonts w:ascii="Arial" w:hAnsi="Arial" w:cs="Arial"/>
        </w:rPr>
        <w:t>chlorpiryfos</w:t>
      </w:r>
      <w:proofErr w:type="spellEnd"/>
      <w:r w:rsidRPr="00925BCD">
        <w:rPr>
          <w:rFonts w:ascii="Arial" w:hAnsi="Arial" w:cs="Arial"/>
        </w:rPr>
        <w:t>), porzeczka czarna (</w:t>
      </w:r>
      <w:proofErr w:type="spellStart"/>
      <w:r w:rsidRPr="00925BCD">
        <w:rPr>
          <w:rFonts w:ascii="Arial" w:hAnsi="Arial" w:cs="Arial"/>
        </w:rPr>
        <w:t>karbendazym</w:t>
      </w:r>
      <w:proofErr w:type="spellEnd"/>
      <w:r w:rsidRPr="00925BCD">
        <w:rPr>
          <w:rFonts w:ascii="Arial" w:hAnsi="Arial" w:cs="Arial"/>
        </w:rPr>
        <w:t xml:space="preserve"> i </w:t>
      </w:r>
      <w:proofErr w:type="spellStart"/>
      <w:r w:rsidRPr="00925BCD">
        <w:rPr>
          <w:rFonts w:ascii="Arial" w:hAnsi="Arial" w:cs="Arial"/>
        </w:rPr>
        <w:t>benomyl</w:t>
      </w:r>
      <w:proofErr w:type="spellEnd"/>
      <w:r w:rsidRPr="00925BCD">
        <w:rPr>
          <w:rFonts w:ascii="Arial" w:hAnsi="Arial" w:cs="Arial"/>
        </w:rPr>
        <w:t xml:space="preserve">, </w:t>
      </w:r>
      <w:proofErr w:type="spellStart"/>
      <w:r w:rsidRPr="00925BCD">
        <w:rPr>
          <w:rFonts w:ascii="Arial" w:hAnsi="Arial" w:cs="Arial"/>
        </w:rPr>
        <w:t>tiofanat</w:t>
      </w:r>
      <w:proofErr w:type="spellEnd"/>
      <w:r w:rsidRPr="00925BCD">
        <w:rPr>
          <w:rFonts w:ascii="Arial" w:hAnsi="Arial" w:cs="Arial"/>
        </w:rPr>
        <w:t xml:space="preserve"> metylowy), porzeczka czarna (</w:t>
      </w:r>
      <w:proofErr w:type="spellStart"/>
      <w:r w:rsidRPr="00925BCD">
        <w:rPr>
          <w:rFonts w:ascii="Arial" w:hAnsi="Arial" w:cs="Arial"/>
        </w:rPr>
        <w:t>chlorpiryfos</w:t>
      </w:r>
      <w:proofErr w:type="spellEnd"/>
      <w:r w:rsidRPr="00925BCD">
        <w:rPr>
          <w:rFonts w:ascii="Arial" w:hAnsi="Arial" w:cs="Arial"/>
        </w:rPr>
        <w:t xml:space="preserve">, </w:t>
      </w:r>
      <w:proofErr w:type="spellStart"/>
      <w:r w:rsidRPr="00925BCD">
        <w:rPr>
          <w:rFonts w:ascii="Arial" w:hAnsi="Arial" w:cs="Arial"/>
        </w:rPr>
        <w:t>propikonazol</w:t>
      </w:r>
      <w:proofErr w:type="spellEnd"/>
      <w:r w:rsidRPr="00925BCD">
        <w:rPr>
          <w:rFonts w:ascii="Arial" w:hAnsi="Arial" w:cs="Arial"/>
        </w:rPr>
        <w:t>), porzeczka czerwona (</w:t>
      </w:r>
      <w:proofErr w:type="spellStart"/>
      <w:r w:rsidRPr="00925BCD">
        <w:rPr>
          <w:rFonts w:ascii="Arial" w:hAnsi="Arial" w:cs="Arial"/>
        </w:rPr>
        <w:t>karbendazym</w:t>
      </w:r>
      <w:proofErr w:type="spellEnd"/>
      <w:r w:rsidRPr="00925BCD">
        <w:rPr>
          <w:rFonts w:ascii="Arial" w:hAnsi="Arial" w:cs="Arial"/>
        </w:rPr>
        <w:t xml:space="preserve"> i </w:t>
      </w:r>
      <w:proofErr w:type="spellStart"/>
      <w:r w:rsidRPr="00925BCD">
        <w:rPr>
          <w:rFonts w:ascii="Arial" w:hAnsi="Arial" w:cs="Arial"/>
        </w:rPr>
        <w:t>benomyl</w:t>
      </w:r>
      <w:proofErr w:type="spellEnd"/>
      <w:r w:rsidRPr="00925BCD">
        <w:rPr>
          <w:rFonts w:ascii="Arial" w:hAnsi="Arial" w:cs="Arial"/>
        </w:rPr>
        <w:t>), porzeczka czarna (</w:t>
      </w:r>
      <w:proofErr w:type="spellStart"/>
      <w:r w:rsidRPr="00925BCD">
        <w:rPr>
          <w:rFonts w:ascii="Arial" w:hAnsi="Arial" w:cs="Arial"/>
        </w:rPr>
        <w:t>chlorpiryfos</w:t>
      </w:r>
      <w:proofErr w:type="spellEnd"/>
      <w:r w:rsidRPr="00925BCD">
        <w:rPr>
          <w:rFonts w:ascii="Arial" w:hAnsi="Arial" w:cs="Arial"/>
        </w:rPr>
        <w:t>), produkt warzywno- owocowy dla niemowląt i małych dzieci (</w:t>
      </w:r>
      <w:proofErr w:type="spellStart"/>
      <w:r w:rsidRPr="00925BCD">
        <w:rPr>
          <w:rFonts w:ascii="Arial" w:hAnsi="Arial" w:cs="Arial"/>
        </w:rPr>
        <w:t>flonikamid</w:t>
      </w:r>
      <w:proofErr w:type="spellEnd"/>
      <w:r w:rsidRPr="00925BCD">
        <w:rPr>
          <w:rFonts w:ascii="Arial" w:hAnsi="Arial" w:cs="Arial"/>
        </w:rPr>
        <w:t>), seler korzeniowy (</w:t>
      </w:r>
      <w:proofErr w:type="spellStart"/>
      <w:r w:rsidRPr="00925BCD">
        <w:rPr>
          <w:rFonts w:ascii="Arial" w:hAnsi="Arial" w:cs="Arial"/>
        </w:rPr>
        <w:t>chlorpiryfos</w:t>
      </w:r>
      <w:proofErr w:type="spellEnd"/>
      <w:r w:rsidRPr="00925BCD">
        <w:rPr>
          <w:rFonts w:ascii="Arial" w:hAnsi="Arial" w:cs="Arial"/>
        </w:rPr>
        <w:t>), seler korzeniowy (</w:t>
      </w:r>
      <w:proofErr w:type="spellStart"/>
      <w:r w:rsidRPr="00925BCD">
        <w:rPr>
          <w:rFonts w:ascii="Arial" w:hAnsi="Arial" w:cs="Arial"/>
        </w:rPr>
        <w:t>iprodion</w:t>
      </w:r>
      <w:proofErr w:type="spellEnd"/>
      <w:r w:rsidRPr="00925BCD">
        <w:rPr>
          <w:rFonts w:ascii="Arial" w:hAnsi="Arial" w:cs="Arial"/>
        </w:rPr>
        <w:t>), seler korzeniowy (</w:t>
      </w:r>
      <w:proofErr w:type="spellStart"/>
      <w:r w:rsidRPr="00925BCD">
        <w:rPr>
          <w:rFonts w:ascii="Arial" w:hAnsi="Arial" w:cs="Arial"/>
        </w:rPr>
        <w:t>chlorpiryfos</w:t>
      </w:r>
      <w:proofErr w:type="spellEnd"/>
      <w:r w:rsidRPr="00925BCD">
        <w:rPr>
          <w:rFonts w:ascii="Arial" w:hAnsi="Arial" w:cs="Arial"/>
        </w:rPr>
        <w:t xml:space="preserve">, </w:t>
      </w:r>
      <w:proofErr w:type="spellStart"/>
      <w:r w:rsidRPr="00925BCD">
        <w:rPr>
          <w:rFonts w:ascii="Arial" w:hAnsi="Arial" w:cs="Arial"/>
        </w:rPr>
        <w:t>linuron</w:t>
      </w:r>
      <w:proofErr w:type="spellEnd"/>
      <w:r w:rsidRPr="00925BCD">
        <w:rPr>
          <w:rFonts w:ascii="Arial" w:hAnsi="Arial" w:cs="Arial"/>
        </w:rPr>
        <w:t>), ziarno żyta (</w:t>
      </w:r>
      <w:proofErr w:type="spellStart"/>
      <w:r w:rsidRPr="00925BCD">
        <w:rPr>
          <w:rFonts w:ascii="Arial" w:hAnsi="Arial" w:cs="Arial"/>
        </w:rPr>
        <w:t>pirymifos</w:t>
      </w:r>
      <w:proofErr w:type="spellEnd"/>
      <w:r w:rsidRPr="00925BCD">
        <w:rPr>
          <w:rFonts w:ascii="Arial" w:hAnsi="Arial" w:cs="Arial"/>
        </w:rPr>
        <w:t xml:space="preserve"> metylowy), truskawka (</w:t>
      </w:r>
      <w:proofErr w:type="spellStart"/>
      <w:r w:rsidRPr="00925BCD">
        <w:rPr>
          <w:rFonts w:ascii="Arial" w:hAnsi="Arial" w:cs="Arial"/>
        </w:rPr>
        <w:t>pirymifos</w:t>
      </w:r>
      <w:proofErr w:type="spellEnd"/>
      <w:r w:rsidRPr="00925BCD">
        <w:rPr>
          <w:rFonts w:ascii="Arial" w:hAnsi="Arial" w:cs="Arial"/>
        </w:rPr>
        <w:t xml:space="preserve"> metylowy).</w:t>
      </w:r>
    </w:p>
    <w:p w14:paraId="2519D53C"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Produkty pochodzenia roślinnego produkcji krajowej, w których w 2019 r. nie stwierdzono przekroczeń wartości dopuszczalnych, to m.in.: borówka amerykańska, fasolka szparagowa, groszek zielony, gruszka, marchew, morela, mąka pszenna, nektarynka, oliwa z oliwek, sałata, szpinak, wino, ziarno jęczmienia, ziarno owsa.</w:t>
      </w:r>
      <w:r w:rsidR="00231D7E" w:rsidRPr="00925BCD">
        <w:rPr>
          <w:rFonts w:ascii="Arial" w:hAnsi="Arial" w:cs="Arial"/>
        </w:rPr>
        <w:t xml:space="preserve"> Przekroczeń nie</w:t>
      </w:r>
      <w:r w:rsidRPr="00925BCD">
        <w:rPr>
          <w:rFonts w:ascii="Arial" w:hAnsi="Arial" w:cs="Arial"/>
        </w:rPr>
        <w:t xml:space="preserve"> stwierdzono </w:t>
      </w:r>
      <w:r w:rsidR="00231D7E" w:rsidRPr="00925BCD">
        <w:rPr>
          <w:rFonts w:ascii="Arial" w:hAnsi="Arial" w:cs="Arial"/>
        </w:rPr>
        <w:t>także w produktach pochodzenia zwierzęcego</w:t>
      </w:r>
      <w:r w:rsidRPr="00925BCD">
        <w:rPr>
          <w:rFonts w:ascii="Arial" w:hAnsi="Arial" w:cs="Arial"/>
        </w:rPr>
        <w:t>: jaja</w:t>
      </w:r>
      <w:r w:rsidR="00231D7E" w:rsidRPr="00925BCD">
        <w:rPr>
          <w:rFonts w:ascii="Arial" w:hAnsi="Arial" w:cs="Arial"/>
        </w:rPr>
        <w:t>ch</w:t>
      </w:r>
      <w:r w:rsidRPr="00925BCD">
        <w:rPr>
          <w:rFonts w:ascii="Arial" w:hAnsi="Arial" w:cs="Arial"/>
        </w:rPr>
        <w:t xml:space="preserve"> kurz</w:t>
      </w:r>
      <w:r w:rsidR="00231D7E" w:rsidRPr="00925BCD">
        <w:rPr>
          <w:rFonts w:ascii="Arial" w:hAnsi="Arial" w:cs="Arial"/>
        </w:rPr>
        <w:t>ych</w:t>
      </w:r>
      <w:r w:rsidRPr="00925BCD">
        <w:rPr>
          <w:rFonts w:ascii="Arial" w:hAnsi="Arial" w:cs="Arial"/>
        </w:rPr>
        <w:t>, mięśni</w:t>
      </w:r>
      <w:r w:rsidR="00231D7E" w:rsidRPr="00925BCD">
        <w:rPr>
          <w:rFonts w:ascii="Arial" w:hAnsi="Arial" w:cs="Arial"/>
        </w:rPr>
        <w:t>ach</w:t>
      </w:r>
      <w:r w:rsidRPr="00925BCD">
        <w:rPr>
          <w:rFonts w:ascii="Arial" w:hAnsi="Arial" w:cs="Arial"/>
        </w:rPr>
        <w:t xml:space="preserve"> drobiow</w:t>
      </w:r>
      <w:r w:rsidR="00231D7E" w:rsidRPr="00925BCD">
        <w:rPr>
          <w:rFonts w:ascii="Arial" w:hAnsi="Arial" w:cs="Arial"/>
        </w:rPr>
        <w:t>ych</w:t>
      </w:r>
      <w:r w:rsidRPr="00925BCD">
        <w:rPr>
          <w:rFonts w:ascii="Arial" w:hAnsi="Arial" w:cs="Arial"/>
        </w:rPr>
        <w:t>, mi</w:t>
      </w:r>
      <w:r w:rsidR="00231D7E" w:rsidRPr="00925BCD">
        <w:rPr>
          <w:rFonts w:ascii="Arial" w:hAnsi="Arial" w:cs="Arial"/>
        </w:rPr>
        <w:t>odzie</w:t>
      </w:r>
      <w:r w:rsidRPr="00925BCD">
        <w:rPr>
          <w:rFonts w:ascii="Arial" w:hAnsi="Arial" w:cs="Arial"/>
        </w:rPr>
        <w:t>, mlek</w:t>
      </w:r>
      <w:r w:rsidR="00231D7E" w:rsidRPr="00925BCD">
        <w:rPr>
          <w:rFonts w:ascii="Arial" w:hAnsi="Arial" w:cs="Arial"/>
        </w:rPr>
        <w:t xml:space="preserve">u i </w:t>
      </w:r>
      <w:r w:rsidRPr="00925BCD">
        <w:rPr>
          <w:rFonts w:ascii="Arial" w:hAnsi="Arial" w:cs="Arial"/>
        </w:rPr>
        <w:t>tłuszcz</w:t>
      </w:r>
      <w:r w:rsidR="00231D7E" w:rsidRPr="00925BCD">
        <w:rPr>
          <w:rFonts w:ascii="Arial" w:hAnsi="Arial" w:cs="Arial"/>
        </w:rPr>
        <w:t>u</w:t>
      </w:r>
      <w:r w:rsidRPr="00925BCD">
        <w:rPr>
          <w:rFonts w:ascii="Arial" w:hAnsi="Arial" w:cs="Arial"/>
        </w:rPr>
        <w:t xml:space="preserve"> wieprzowy</w:t>
      </w:r>
      <w:r w:rsidR="00231D7E" w:rsidRPr="00925BCD">
        <w:rPr>
          <w:rFonts w:ascii="Arial" w:hAnsi="Arial" w:cs="Arial"/>
        </w:rPr>
        <w:t>m</w:t>
      </w:r>
      <w:r w:rsidRPr="00925BCD">
        <w:rPr>
          <w:rFonts w:ascii="Arial" w:hAnsi="Arial" w:cs="Arial"/>
        </w:rPr>
        <w:t>.</w:t>
      </w:r>
    </w:p>
    <w:p w14:paraId="6B1629A6" w14:textId="77777777" w:rsidR="00056846"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najwięcej przekroczeń wartości NDP stwierdzono w następujących kombinacjach produkt/pestycyd pochodzenia krajowego: produkty zbożowe/glifosat, kapusta pekińska/</w:t>
      </w:r>
      <w:proofErr w:type="spellStart"/>
      <w:r w:rsidRPr="00925BCD">
        <w:rPr>
          <w:rFonts w:ascii="Arial" w:hAnsi="Arial" w:cs="Arial"/>
        </w:rPr>
        <w:t>chlorpiryfos</w:t>
      </w:r>
      <w:proofErr w:type="spellEnd"/>
      <w:r w:rsidRPr="00925BCD">
        <w:rPr>
          <w:rFonts w:ascii="Arial" w:hAnsi="Arial" w:cs="Arial"/>
        </w:rPr>
        <w:t>, pomidor/</w:t>
      </w:r>
      <w:proofErr w:type="spellStart"/>
      <w:r w:rsidRPr="00925BCD">
        <w:rPr>
          <w:rFonts w:ascii="Arial" w:hAnsi="Arial" w:cs="Arial"/>
        </w:rPr>
        <w:t>spiroksamina</w:t>
      </w:r>
      <w:proofErr w:type="spellEnd"/>
      <w:r w:rsidRPr="00925BCD">
        <w:rPr>
          <w:rFonts w:ascii="Arial" w:hAnsi="Arial" w:cs="Arial"/>
        </w:rPr>
        <w:t>.</w:t>
      </w:r>
    </w:p>
    <w:p w14:paraId="612CC0C7" w14:textId="23DB5ECF" w:rsidR="00DC2CB8" w:rsidRPr="00280463"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BD2891">
        <w:rPr>
          <w:rFonts w:ascii="Arial" w:hAnsi="Arial" w:cs="Arial"/>
          <w:b/>
          <w:bCs/>
        </w:rPr>
        <w:t>W 2020 r.</w:t>
      </w:r>
      <w:r w:rsidRPr="00280463">
        <w:rPr>
          <w:rFonts w:ascii="Arial" w:hAnsi="Arial" w:cs="Arial"/>
        </w:rPr>
        <w:t xml:space="preserve"> zbadano ogółem 3</w:t>
      </w:r>
      <w:r>
        <w:rPr>
          <w:rFonts w:ascii="Arial" w:hAnsi="Arial" w:cs="Arial"/>
        </w:rPr>
        <w:t> </w:t>
      </w:r>
      <w:r w:rsidRPr="00280463">
        <w:rPr>
          <w:rFonts w:ascii="Arial" w:hAnsi="Arial" w:cs="Arial"/>
        </w:rPr>
        <w:t>246 próbek żywności pod kątem pozostałości pestycydów, w tym 2</w:t>
      </w:r>
      <w:r>
        <w:rPr>
          <w:rFonts w:ascii="Arial" w:hAnsi="Arial" w:cs="Arial"/>
        </w:rPr>
        <w:t> </w:t>
      </w:r>
      <w:r w:rsidRPr="00280463">
        <w:rPr>
          <w:rFonts w:ascii="Arial" w:hAnsi="Arial" w:cs="Arial"/>
        </w:rPr>
        <w:t>177 próbek produktów pochodzenia krajowego, 55</w:t>
      </w:r>
      <w:r>
        <w:rPr>
          <w:rFonts w:ascii="Arial" w:hAnsi="Arial" w:cs="Arial"/>
        </w:rPr>
        <w:t>5</w:t>
      </w:r>
      <w:r w:rsidRPr="00280463">
        <w:rPr>
          <w:rFonts w:ascii="Arial" w:hAnsi="Arial" w:cs="Arial"/>
        </w:rPr>
        <w:t xml:space="preserve"> próbek produktów z UE oraz 4</w:t>
      </w:r>
      <w:r>
        <w:rPr>
          <w:rFonts w:ascii="Arial" w:hAnsi="Arial" w:cs="Arial"/>
        </w:rPr>
        <w:t>51</w:t>
      </w:r>
      <w:r w:rsidRPr="00280463">
        <w:rPr>
          <w:rFonts w:ascii="Arial" w:hAnsi="Arial" w:cs="Arial"/>
        </w:rPr>
        <w:t xml:space="preserve"> próbek z krajów trzecich. W przypadku 63 próbek nie udało się określić kraju pochodzenia. </w:t>
      </w:r>
    </w:p>
    <w:p w14:paraId="0CEC89BB" w14:textId="7671E765" w:rsidR="00DC2CB8" w:rsidRPr="00280463"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280463">
        <w:rPr>
          <w:rFonts w:ascii="Arial" w:hAnsi="Arial" w:cs="Arial"/>
        </w:rPr>
        <w:t>Przekroczenia najwyższych dopuszczalnych poziomów pozostałości środków ochrony roślin (po</w:t>
      </w:r>
      <w:r w:rsidR="003A1F25">
        <w:rPr>
          <w:rFonts w:ascii="Arial" w:hAnsi="Arial" w:cs="Arial"/>
        </w:rPr>
        <w:t> </w:t>
      </w:r>
      <w:r w:rsidRPr="00280463">
        <w:rPr>
          <w:rFonts w:ascii="Arial" w:hAnsi="Arial" w:cs="Arial"/>
        </w:rPr>
        <w:t>uwzględnieniu niepewności pomiaru) stwierdzono w 88 próbkach produktów kr</w:t>
      </w:r>
      <w:r>
        <w:rPr>
          <w:rFonts w:ascii="Arial" w:hAnsi="Arial" w:cs="Arial"/>
        </w:rPr>
        <w:t>ajowych (4%), z</w:t>
      </w:r>
      <w:r w:rsidR="003A1F25">
        <w:rPr>
          <w:rFonts w:ascii="Arial" w:hAnsi="Arial" w:cs="Arial"/>
        </w:rPr>
        <w:t> </w:t>
      </w:r>
      <w:r>
        <w:rPr>
          <w:rFonts w:ascii="Arial" w:hAnsi="Arial" w:cs="Arial"/>
        </w:rPr>
        <w:t>czego 7 próbek (</w:t>
      </w:r>
      <w:r w:rsidRPr="00280463">
        <w:rPr>
          <w:rFonts w:ascii="Arial" w:hAnsi="Arial" w:cs="Arial"/>
        </w:rPr>
        <w:t>maliny (1), kapusta pekińska (3), porzeczka czerwona (1), seler korzeń (2)) zawierało więcej niż jed</w:t>
      </w:r>
      <w:r>
        <w:rPr>
          <w:rFonts w:ascii="Arial" w:hAnsi="Arial" w:cs="Arial"/>
        </w:rPr>
        <w:t>en</w:t>
      </w:r>
      <w:r w:rsidRPr="00280463">
        <w:rPr>
          <w:rFonts w:ascii="Arial" w:hAnsi="Arial" w:cs="Arial"/>
        </w:rPr>
        <w:t xml:space="preserve"> związek w ilościach przekraczających NDP. Przekroczenia najwyższego poz</w:t>
      </w:r>
      <w:r>
        <w:rPr>
          <w:rFonts w:ascii="Arial" w:hAnsi="Arial" w:cs="Arial"/>
        </w:rPr>
        <w:t>i</w:t>
      </w:r>
      <w:r w:rsidRPr="00280463">
        <w:rPr>
          <w:rFonts w:ascii="Arial" w:hAnsi="Arial" w:cs="Arial"/>
        </w:rPr>
        <w:t>omu pozostałości stwierdzono m.in. w następujących próbkach produktów krajowych: borówka amerykańska (</w:t>
      </w:r>
      <w:proofErr w:type="spellStart"/>
      <w:r w:rsidRPr="00280463">
        <w:rPr>
          <w:rFonts w:ascii="Arial" w:hAnsi="Arial" w:cs="Arial"/>
        </w:rPr>
        <w:t>karbendazym</w:t>
      </w:r>
      <w:proofErr w:type="spellEnd"/>
      <w:r w:rsidRPr="00280463">
        <w:rPr>
          <w:rFonts w:ascii="Arial" w:hAnsi="Arial" w:cs="Arial"/>
        </w:rPr>
        <w:t xml:space="preserve"> i </w:t>
      </w:r>
      <w:proofErr w:type="spellStart"/>
      <w:r w:rsidRPr="00280463">
        <w:rPr>
          <w:rFonts w:ascii="Arial" w:hAnsi="Arial" w:cs="Arial"/>
        </w:rPr>
        <w:t>benomyl</w:t>
      </w:r>
      <w:proofErr w:type="spellEnd"/>
      <w:r w:rsidRPr="00280463">
        <w:rPr>
          <w:rFonts w:ascii="Arial" w:hAnsi="Arial" w:cs="Arial"/>
        </w:rPr>
        <w:t>), brokuły (</w:t>
      </w:r>
      <w:proofErr w:type="spellStart"/>
      <w:r w:rsidRPr="00280463">
        <w:rPr>
          <w:rFonts w:ascii="Arial" w:hAnsi="Arial" w:cs="Arial"/>
        </w:rPr>
        <w:t>chlorpiryfos</w:t>
      </w:r>
      <w:proofErr w:type="spellEnd"/>
      <w:r w:rsidRPr="00280463">
        <w:rPr>
          <w:rFonts w:ascii="Arial" w:hAnsi="Arial" w:cs="Arial"/>
        </w:rPr>
        <w:t>), brukselka (</w:t>
      </w:r>
      <w:proofErr w:type="spellStart"/>
      <w:r w:rsidRPr="00280463">
        <w:rPr>
          <w:rFonts w:ascii="Arial" w:hAnsi="Arial" w:cs="Arial"/>
        </w:rPr>
        <w:t>tetrakonazol</w:t>
      </w:r>
      <w:proofErr w:type="spellEnd"/>
      <w:r w:rsidRPr="00280463">
        <w:rPr>
          <w:rFonts w:ascii="Arial" w:hAnsi="Arial" w:cs="Arial"/>
        </w:rPr>
        <w:t xml:space="preserve">, </w:t>
      </w:r>
      <w:proofErr w:type="spellStart"/>
      <w:r w:rsidRPr="00280463">
        <w:rPr>
          <w:rFonts w:ascii="Arial" w:hAnsi="Arial" w:cs="Arial"/>
        </w:rPr>
        <w:t>chlorpiryfos</w:t>
      </w:r>
      <w:proofErr w:type="spellEnd"/>
      <w:r w:rsidRPr="00280463">
        <w:rPr>
          <w:rFonts w:ascii="Arial" w:hAnsi="Arial" w:cs="Arial"/>
        </w:rPr>
        <w:t>), fasole ze strączkami (</w:t>
      </w:r>
      <w:proofErr w:type="spellStart"/>
      <w:r w:rsidRPr="00280463">
        <w:rPr>
          <w:rFonts w:ascii="Arial" w:hAnsi="Arial" w:cs="Arial"/>
        </w:rPr>
        <w:t>dimetomorf</w:t>
      </w:r>
      <w:proofErr w:type="spellEnd"/>
      <w:r w:rsidRPr="00280463">
        <w:rPr>
          <w:rFonts w:ascii="Arial" w:hAnsi="Arial" w:cs="Arial"/>
        </w:rPr>
        <w:t>), gruszki (</w:t>
      </w:r>
      <w:proofErr w:type="spellStart"/>
      <w:r w:rsidRPr="00280463">
        <w:rPr>
          <w:rFonts w:ascii="Arial" w:hAnsi="Arial" w:cs="Arial"/>
        </w:rPr>
        <w:t>mepikwat</w:t>
      </w:r>
      <w:proofErr w:type="spellEnd"/>
      <w:r w:rsidRPr="00280463">
        <w:rPr>
          <w:rFonts w:ascii="Arial" w:hAnsi="Arial" w:cs="Arial"/>
        </w:rPr>
        <w:t>), kalafior (</w:t>
      </w:r>
      <w:proofErr w:type="spellStart"/>
      <w:r w:rsidRPr="00280463">
        <w:rPr>
          <w:rFonts w:ascii="Arial" w:hAnsi="Arial" w:cs="Arial"/>
        </w:rPr>
        <w:t>spirotetramat</w:t>
      </w:r>
      <w:proofErr w:type="spellEnd"/>
      <w:r w:rsidRPr="00280463">
        <w:rPr>
          <w:rFonts w:ascii="Arial" w:hAnsi="Arial" w:cs="Arial"/>
        </w:rPr>
        <w:t>), kapusta głowiasta (</w:t>
      </w:r>
      <w:proofErr w:type="spellStart"/>
      <w:r w:rsidRPr="00280463">
        <w:rPr>
          <w:rFonts w:ascii="Arial" w:hAnsi="Arial" w:cs="Arial"/>
        </w:rPr>
        <w:t>dimetoat</w:t>
      </w:r>
      <w:proofErr w:type="spellEnd"/>
      <w:r w:rsidRPr="00280463">
        <w:rPr>
          <w:rFonts w:ascii="Arial" w:hAnsi="Arial" w:cs="Arial"/>
        </w:rPr>
        <w:t>), kapusta pekińska (</w:t>
      </w:r>
      <w:proofErr w:type="spellStart"/>
      <w:r w:rsidRPr="00280463">
        <w:rPr>
          <w:rFonts w:ascii="Arial" w:hAnsi="Arial" w:cs="Arial"/>
        </w:rPr>
        <w:t>chlorpiryfos</w:t>
      </w:r>
      <w:proofErr w:type="spellEnd"/>
      <w:r w:rsidRPr="00280463">
        <w:rPr>
          <w:rFonts w:ascii="Arial" w:hAnsi="Arial" w:cs="Arial"/>
        </w:rPr>
        <w:t xml:space="preserve">, </w:t>
      </w:r>
      <w:proofErr w:type="spellStart"/>
      <w:r w:rsidRPr="00280463">
        <w:rPr>
          <w:rFonts w:ascii="Arial" w:hAnsi="Arial" w:cs="Arial"/>
        </w:rPr>
        <w:t>dimetoat</w:t>
      </w:r>
      <w:proofErr w:type="spellEnd"/>
      <w:r w:rsidRPr="00280463">
        <w:rPr>
          <w:rFonts w:ascii="Arial" w:hAnsi="Arial" w:cs="Arial"/>
        </w:rPr>
        <w:t xml:space="preserve">, </w:t>
      </w:r>
      <w:proofErr w:type="spellStart"/>
      <w:r w:rsidRPr="00280463">
        <w:rPr>
          <w:rFonts w:ascii="Arial" w:hAnsi="Arial" w:cs="Arial"/>
        </w:rPr>
        <w:t>fluaz</w:t>
      </w:r>
      <w:r w:rsidR="00C374B6">
        <w:rPr>
          <w:rFonts w:ascii="Arial" w:hAnsi="Arial" w:cs="Arial"/>
        </w:rPr>
        <w:t>i</w:t>
      </w:r>
      <w:r w:rsidRPr="00280463">
        <w:rPr>
          <w:rFonts w:ascii="Arial" w:hAnsi="Arial" w:cs="Arial"/>
        </w:rPr>
        <w:t>fop</w:t>
      </w:r>
      <w:proofErr w:type="spellEnd"/>
      <w:r w:rsidRPr="00280463">
        <w:rPr>
          <w:rFonts w:ascii="Arial" w:hAnsi="Arial" w:cs="Arial"/>
        </w:rPr>
        <w:t xml:space="preserve">-P, </w:t>
      </w:r>
      <w:proofErr w:type="spellStart"/>
      <w:r w:rsidRPr="00280463">
        <w:rPr>
          <w:rFonts w:ascii="Arial" w:hAnsi="Arial" w:cs="Arial"/>
        </w:rPr>
        <w:t>metrafenon</w:t>
      </w:r>
      <w:proofErr w:type="spellEnd"/>
      <w:r w:rsidRPr="00280463">
        <w:rPr>
          <w:rFonts w:ascii="Arial" w:hAnsi="Arial" w:cs="Arial"/>
        </w:rPr>
        <w:t xml:space="preserve">, </w:t>
      </w:r>
      <w:proofErr w:type="spellStart"/>
      <w:r w:rsidRPr="00280463">
        <w:rPr>
          <w:rFonts w:ascii="Arial" w:hAnsi="Arial" w:cs="Arial"/>
        </w:rPr>
        <w:t>ometoat</w:t>
      </w:r>
      <w:proofErr w:type="spellEnd"/>
      <w:r w:rsidRPr="00280463">
        <w:rPr>
          <w:rFonts w:ascii="Arial" w:hAnsi="Arial" w:cs="Arial"/>
        </w:rPr>
        <w:t xml:space="preserve">, </w:t>
      </w:r>
      <w:proofErr w:type="spellStart"/>
      <w:r w:rsidRPr="00280463">
        <w:rPr>
          <w:rFonts w:ascii="Arial" w:hAnsi="Arial" w:cs="Arial"/>
        </w:rPr>
        <w:t>tebukonazol</w:t>
      </w:r>
      <w:proofErr w:type="spellEnd"/>
      <w:r w:rsidRPr="00280463">
        <w:rPr>
          <w:rFonts w:ascii="Arial" w:hAnsi="Arial" w:cs="Arial"/>
        </w:rPr>
        <w:t>), kapusta czerwona (</w:t>
      </w:r>
      <w:proofErr w:type="spellStart"/>
      <w:r w:rsidRPr="00280463">
        <w:rPr>
          <w:rFonts w:ascii="Arial" w:hAnsi="Arial" w:cs="Arial"/>
        </w:rPr>
        <w:t>chlorpiryfos</w:t>
      </w:r>
      <w:proofErr w:type="spellEnd"/>
      <w:r w:rsidRPr="00280463">
        <w:rPr>
          <w:rFonts w:ascii="Arial" w:hAnsi="Arial" w:cs="Arial"/>
        </w:rPr>
        <w:t>), maliny (</w:t>
      </w:r>
      <w:proofErr w:type="spellStart"/>
      <w:r w:rsidRPr="00280463">
        <w:rPr>
          <w:rFonts w:ascii="Arial" w:hAnsi="Arial" w:cs="Arial"/>
        </w:rPr>
        <w:t>karbendazym</w:t>
      </w:r>
      <w:proofErr w:type="spellEnd"/>
      <w:r w:rsidRPr="00280463">
        <w:rPr>
          <w:rFonts w:ascii="Arial" w:hAnsi="Arial" w:cs="Arial"/>
        </w:rPr>
        <w:t xml:space="preserve"> i </w:t>
      </w:r>
      <w:proofErr w:type="spellStart"/>
      <w:r w:rsidRPr="00280463">
        <w:rPr>
          <w:rFonts w:ascii="Arial" w:hAnsi="Arial" w:cs="Arial"/>
        </w:rPr>
        <w:t>benomyl</w:t>
      </w:r>
      <w:proofErr w:type="spellEnd"/>
      <w:r w:rsidRPr="00280463">
        <w:rPr>
          <w:rFonts w:ascii="Arial" w:hAnsi="Arial" w:cs="Arial"/>
        </w:rPr>
        <w:t xml:space="preserve">, </w:t>
      </w:r>
      <w:proofErr w:type="spellStart"/>
      <w:r w:rsidRPr="00280463">
        <w:rPr>
          <w:rFonts w:ascii="Arial" w:hAnsi="Arial" w:cs="Arial"/>
        </w:rPr>
        <w:t>chlorpiryfos</w:t>
      </w:r>
      <w:proofErr w:type="spellEnd"/>
      <w:r w:rsidRPr="00280463">
        <w:rPr>
          <w:rFonts w:ascii="Arial" w:hAnsi="Arial" w:cs="Arial"/>
        </w:rPr>
        <w:t xml:space="preserve">, </w:t>
      </w:r>
      <w:proofErr w:type="spellStart"/>
      <w:r w:rsidRPr="00280463">
        <w:rPr>
          <w:rFonts w:ascii="Arial" w:hAnsi="Arial" w:cs="Arial"/>
        </w:rPr>
        <w:t>pentiopyrad</w:t>
      </w:r>
      <w:proofErr w:type="spellEnd"/>
      <w:r w:rsidRPr="00280463">
        <w:rPr>
          <w:rFonts w:ascii="Arial" w:hAnsi="Arial" w:cs="Arial"/>
        </w:rPr>
        <w:t xml:space="preserve">, </w:t>
      </w:r>
      <w:proofErr w:type="spellStart"/>
      <w:r w:rsidRPr="00280463">
        <w:rPr>
          <w:rFonts w:ascii="Arial" w:hAnsi="Arial" w:cs="Arial"/>
        </w:rPr>
        <w:t>tetrakonazol</w:t>
      </w:r>
      <w:proofErr w:type="spellEnd"/>
      <w:r w:rsidRPr="00280463">
        <w:rPr>
          <w:rFonts w:ascii="Arial" w:hAnsi="Arial" w:cs="Arial"/>
        </w:rPr>
        <w:t xml:space="preserve">, </w:t>
      </w:r>
      <w:proofErr w:type="spellStart"/>
      <w:r w:rsidRPr="00280463">
        <w:rPr>
          <w:rFonts w:ascii="Arial" w:hAnsi="Arial" w:cs="Arial"/>
        </w:rPr>
        <w:t>tiofanat</w:t>
      </w:r>
      <w:proofErr w:type="spellEnd"/>
      <w:r w:rsidRPr="00280463">
        <w:rPr>
          <w:rFonts w:ascii="Arial" w:hAnsi="Arial" w:cs="Arial"/>
        </w:rPr>
        <w:t xml:space="preserve"> metylowy), morele (</w:t>
      </w:r>
      <w:proofErr w:type="spellStart"/>
      <w:r w:rsidRPr="00280463">
        <w:rPr>
          <w:rFonts w:ascii="Arial" w:hAnsi="Arial" w:cs="Arial"/>
        </w:rPr>
        <w:t>karbendazym</w:t>
      </w:r>
      <w:proofErr w:type="spellEnd"/>
      <w:r w:rsidRPr="00280463">
        <w:rPr>
          <w:rFonts w:ascii="Arial" w:hAnsi="Arial" w:cs="Arial"/>
        </w:rPr>
        <w:t xml:space="preserve"> i </w:t>
      </w:r>
      <w:proofErr w:type="spellStart"/>
      <w:r w:rsidRPr="00280463">
        <w:rPr>
          <w:rFonts w:ascii="Arial" w:hAnsi="Arial" w:cs="Arial"/>
        </w:rPr>
        <w:t>benomyl</w:t>
      </w:r>
      <w:proofErr w:type="spellEnd"/>
      <w:r w:rsidRPr="00280463">
        <w:rPr>
          <w:rFonts w:ascii="Arial" w:hAnsi="Arial" w:cs="Arial"/>
        </w:rPr>
        <w:t xml:space="preserve">, </w:t>
      </w:r>
      <w:proofErr w:type="spellStart"/>
      <w:r w:rsidRPr="00280463">
        <w:rPr>
          <w:rFonts w:ascii="Arial" w:hAnsi="Arial" w:cs="Arial"/>
        </w:rPr>
        <w:t>chlopiryfos</w:t>
      </w:r>
      <w:proofErr w:type="spellEnd"/>
      <w:r w:rsidRPr="00280463">
        <w:rPr>
          <w:rFonts w:ascii="Arial" w:hAnsi="Arial" w:cs="Arial"/>
        </w:rPr>
        <w:t>), ogórki (</w:t>
      </w:r>
      <w:proofErr w:type="spellStart"/>
      <w:r w:rsidRPr="00280463">
        <w:rPr>
          <w:rFonts w:ascii="Arial" w:hAnsi="Arial" w:cs="Arial"/>
        </w:rPr>
        <w:t>chlorpiryfos</w:t>
      </w:r>
      <w:proofErr w:type="spellEnd"/>
      <w:r w:rsidRPr="00280463">
        <w:rPr>
          <w:rFonts w:ascii="Arial" w:hAnsi="Arial" w:cs="Arial"/>
        </w:rPr>
        <w:t>), papryka słodka (</w:t>
      </w:r>
      <w:proofErr w:type="spellStart"/>
      <w:r w:rsidRPr="00280463">
        <w:rPr>
          <w:rFonts w:ascii="Arial" w:hAnsi="Arial" w:cs="Arial"/>
        </w:rPr>
        <w:t>etefon</w:t>
      </w:r>
      <w:proofErr w:type="spellEnd"/>
      <w:r w:rsidRPr="00280463">
        <w:rPr>
          <w:rFonts w:ascii="Arial" w:hAnsi="Arial" w:cs="Arial"/>
        </w:rPr>
        <w:t>), pietruszka korzeń (</w:t>
      </w:r>
      <w:proofErr w:type="spellStart"/>
      <w:r w:rsidRPr="00280463">
        <w:rPr>
          <w:rFonts w:ascii="Arial" w:hAnsi="Arial" w:cs="Arial"/>
        </w:rPr>
        <w:t>chlorpiryfos</w:t>
      </w:r>
      <w:proofErr w:type="spellEnd"/>
      <w:r w:rsidRPr="00280463">
        <w:rPr>
          <w:rFonts w:ascii="Arial" w:hAnsi="Arial" w:cs="Arial"/>
        </w:rPr>
        <w:t xml:space="preserve">, </w:t>
      </w:r>
      <w:proofErr w:type="spellStart"/>
      <w:r w:rsidRPr="00280463">
        <w:rPr>
          <w:rFonts w:ascii="Arial" w:hAnsi="Arial" w:cs="Arial"/>
        </w:rPr>
        <w:t>linuron</w:t>
      </w:r>
      <w:proofErr w:type="spellEnd"/>
      <w:r w:rsidRPr="00280463">
        <w:rPr>
          <w:rFonts w:ascii="Arial" w:hAnsi="Arial" w:cs="Arial"/>
        </w:rPr>
        <w:t>), porzeczka czarna (</w:t>
      </w:r>
      <w:proofErr w:type="spellStart"/>
      <w:r w:rsidRPr="00280463">
        <w:rPr>
          <w:rFonts w:ascii="Arial" w:hAnsi="Arial" w:cs="Arial"/>
        </w:rPr>
        <w:t>chlorpiryfos</w:t>
      </w:r>
      <w:proofErr w:type="spellEnd"/>
      <w:r w:rsidRPr="00280463">
        <w:rPr>
          <w:rFonts w:ascii="Arial" w:hAnsi="Arial" w:cs="Arial"/>
        </w:rPr>
        <w:t xml:space="preserve">), porzeczka czerwona </w:t>
      </w:r>
      <w:r w:rsidRPr="00280463">
        <w:rPr>
          <w:rFonts w:ascii="Arial" w:hAnsi="Arial" w:cs="Arial"/>
        </w:rPr>
        <w:lastRenderedPageBreak/>
        <w:t>(</w:t>
      </w:r>
      <w:proofErr w:type="spellStart"/>
      <w:r w:rsidRPr="00280463">
        <w:rPr>
          <w:rFonts w:ascii="Arial" w:hAnsi="Arial" w:cs="Arial"/>
        </w:rPr>
        <w:t>bifentryna</w:t>
      </w:r>
      <w:proofErr w:type="spellEnd"/>
      <w:r w:rsidRPr="00280463">
        <w:rPr>
          <w:rFonts w:ascii="Arial" w:hAnsi="Arial" w:cs="Arial"/>
        </w:rPr>
        <w:t xml:space="preserve">, </w:t>
      </w:r>
      <w:proofErr w:type="spellStart"/>
      <w:r w:rsidRPr="00280463">
        <w:rPr>
          <w:rFonts w:ascii="Arial" w:hAnsi="Arial" w:cs="Arial"/>
        </w:rPr>
        <w:t>karbendazym</w:t>
      </w:r>
      <w:proofErr w:type="spellEnd"/>
      <w:r w:rsidRPr="00280463">
        <w:rPr>
          <w:rFonts w:ascii="Arial" w:hAnsi="Arial" w:cs="Arial"/>
        </w:rPr>
        <w:t xml:space="preserve"> i </w:t>
      </w:r>
      <w:proofErr w:type="spellStart"/>
      <w:r w:rsidRPr="00280463">
        <w:rPr>
          <w:rFonts w:ascii="Arial" w:hAnsi="Arial" w:cs="Arial"/>
        </w:rPr>
        <w:t>benomyl</w:t>
      </w:r>
      <w:proofErr w:type="spellEnd"/>
      <w:r w:rsidRPr="00280463">
        <w:rPr>
          <w:rFonts w:ascii="Arial" w:hAnsi="Arial" w:cs="Arial"/>
        </w:rPr>
        <w:t xml:space="preserve">, </w:t>
      </w:r>
      <w:proofErr w:type="spellStart"/>
      <w:r w:rsidRPr="00280463">
        <w:rPr>
          <w:rFonts w:ascii="Arial" w:hAnsi="Arial" w:cs="Arial"/>
        </w:rPr>
        <w:t>chlorpiryfos</w:t>
      </w:r>
      <w:proofErr w:type="spellEnd"/>
      <w:r w:rsidRPr="00280463">
        <w:rPr>
          <w:rFonts w:ascii="Arial" w:hAnsi="Arial" w:cs="Arial"/>
        </w:rPr>
        <w:t>), sałata (lambda-</w:t>
      </w:r>
      <w:proofErr w:type="spellStart"/>
      <w:r w:rsidRPr="00280463">
        <w:rPr>
          <w:rFonts w:ascii="Arial" w:hAnsi="Arial" w:cs="Arial"/>
        </w:rPr>
        <w:t>cyhalotryna</w:t>
      </w:r>
      <w:proofErr w:type="spellEnd"/>
      <w:r w:rsidRPr="00280463">
        <w:rPr>
          <w:rFonts w:ascii="Arial" w:hAnsi="Arial" w:cs="Arial"/>
        </w:rPr>
        <w:t>), seler korzeń (</w:t>
      </w:r>
      <w:proofErr w:type="spellStart"/>
      <w:r w:rsidRPr="00280463">
        <w:rPr>
          <w:rFonts w:ascii="Arial" w:hAnsi="Arial" w:cs="Arial"/>
        </w:rPr>
        <w:t>chlorpyrifos</w:t>
      </w:r>
      <w:proofErr w:type="spellEnd"/>
      <w:r w:rsidRPr="00280463">
        <w:rPr>
          <w:rFonts w:ascii="Arial" w:hAnsi="Arial" w:cs="Arial"/>
        </w:rPr>
        <w:t xml:space="preserve">, </w:t>
      </w:r>
      <w:proofErr w:type="spellStart"/>
      <w:r w:rsidRPr="00280463">
        <w:rPr>
          <w:rFonts w:ascii="Arial" w:hAnsi="Arial" w:cs="Arial"/>
        </w:rPr>
        <w:t>cyprodinil</w:t>
      </w:r>
      <w:proofErr w:type="spellEnd"/>
      <w:r w:rsidRPr="00280463">
        <w:rPr>
          <w:rFonts w:ascii="Arial" w:hAnsi="Arial" w:cs="Arial"/>
        </w:rPr>
        <w:t xml:space="preserve">, </w:t>
      </w:r>
      <w:proofErr w:type="spellStart"/>
      <w:r w:rsidRPr="00280463">
        <w:rPr>
          <w:rFonts w:ascii="Arial" w:hAnsi="Arial" w:cs="Arial"/>
        </w:rPr>
        <w:t>linuron</w:t>
      </w:r>
      <w:proofErr w:type="spellEnd"/>
      <w:r w:rsidRPr="00280463">
        <w:rPr>
          <w:rFonts w:ascii="Arial" w:hAnsi="Arial" w:cs="Arial"/>
        </w:rPr>
        <w:t xml:space="preserve">, </w:t>
      </w:r>
      <w:proofErr w:type="spellStart"/>
      <w:r w:rsidRPr="00280463">
        <w:rPr>
          <w:rFonts w:ascii="Arial" w:hAnsi="Arial" w:cs="Arial"/>
        </w:rPr>
        <w:t>propikonazol</w:t>
      </w:r>
      <w:proofErr w:type="spellEnd"/>
      <w:r w:rsidRPr="00280463">
        <w:rPr>
          <w:rFonts w:ascii="Arial" w:hAnsi="Arial" w:cs="Arial"/>
        </w:rPr>
        <w:t xml:space="preserve">, </w:t>
      </w:r>
      <w:proofErr w:type="spellStart"/>
      <w:r w:rsidRPr="00280463">
        <w:rPr>
          <w:rFonts w:ascii="Arial" w:hAnsi="Arial" w:cs="Arial"/>
        </w:rPr>
        <w:t>triadimenol</w:t>
      </w:r>
      <w:proofErr w:type="spellEnd"/>
      <w:r w:rsidRPr="00280463">
        <w:rPr>
          <w:rFonts w:ascii="Arial" w:hAnsi="Arial" w:cs="Arial"/>
        </w:rPr>
        <w:t>), ziarno pszenicy (</w:t>
      </w:r>
      <w:proofErr w:type="spellStart"/>
      <w:r w:rsidRPr="00280463">
        <w:rPr>
          <w:rFonts w:ascii="Arial" w:hAnsi="Arial" w:cs="Arial"/>
        </w:rPr>
        <w:t>chloroprofam</w:t>
      </w:r>
      <w:proofErr w:type="spellEnd"/>
      <w:r w:rsidRPr="00280463">
        <w:rPr>
          <w:rFonts w:ascii="Arial" w:hAnsi="Arial" w:cs="Arial"/>
        </w:rPr>
        <w:t>), ziarno żyta (</w:t>
      </w:r>
      <w:proofErr w:type="spellStart"/>
      <w:r w:rsidRPr="00280463">
        <w:rPr>
          <w:rFonts w:ascii="Arial" w:hAnsi="Arial" w:cs="Arial"/>
        </w:rPr>
        <w:t>tiaklopryd</w:t>
      </w:r>
      <w:proofErr w:type="spellEnd"/>
      <w:r w:rsidRPr="00280463">
        <w:rPr>
          <w:rFonts w:ascii="Arial" w:hAnsi="Arial" w:cs="Arial"/>
        </w:rPr>
        <w:t xml:space="preserve">). Przekroczenia NDP dla pozostałości pestycydów stwierdzono również w produktach przetworzonych pochodzenia krajowego: kaszy jaglanej, kaszy gryczanej oraz płatkach jaglanych (glifosat). </w:t>
      </w:r>
    </w:p>
    <w:p w14:paraId="696C92F0" w14:textId="77777777" w:rsidR="00DC2CB8" w:rsidRPr="00280463"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280463">
        <w:rPr>
          <w:rFonts w:ascii="Arial" w:hAnsi="Arial" w:cs="Arial"/>
        </w:rPr>
        <w:t>W 2020 r. produkty pochodzenia krajowego, w których nie stwierdzono przekroczeń najwyższych dopuszczalnych pozostałości to m.in.: bakłażany, boczniaki, brzoskwinie,</w:t>
      </w:r>
      <w:r>
        <w:rPr>
          <w:rFonts w:ascii="Arial" w:hAnsi="Arial" w:cs="Arial"/>
        </w:rPr>
        <w:t xml:space="preserve"> </w:t>
      </w:r>
      <w:r w:rsidRPr="00280463">
        <w:rPr>
          <w:rFonts w:ascii="Arial" w:hAnsi="Arial" w:cs="Arial"/>
        </w:rPr>
        <w:t>cebule, jabłka, marchew, nektarynki, pomidory, pory, rzodkiewka, szpinak i szpinak baby, śliwki, truskawki, winogrona stołowe, wiśnie i pochodne, ziemniak</w:t>
      </w:r>
      <w:r>
        <w:rPr>
          <w:rFonts w:ascii="Arial" w:hAnsi="Arial" w:cs="Arial"/>
        </w:rPr>
        <w:t>i</w:t>
      </w:r>
      <w:r w:rsidRPr="00280463">
        <w:rPr>
          <w:rFonts w:ascii="Arial" w:hAnsi="Arial" w:cs="Arial"/>
        </w:rPr>
        <w:t xml:space="preserve"> </w:t>
      </w:r>
      <w:r>
        <w:rPr>
          <w:rFonts w:ascii="Arial" w:hAnsi="Arial" w:cs="Arial"/>
        </w:rPr>
        <w:t>i in</w:t>
      </w:r>
      <w:r w:rsidRPr="00280463">
        <w:rPr>
          <w:rFonts w:ascii="Arial" w:hAnsi="Arial" w:cs="Arial"/>
        </w:rPr>
        <w:t>. oraz jeśli chodzi o produkty przetworzone: sok z czarnej porzeczki, płatki / kasza jęczmienna, kasza z pszenicy zwyczajnej, płatki owsiane i in. Przekroczeń nie stwierdzono także w produktach pochodzenia zwierzęcego, tj.: jajach kurzych, wątrobie wołowej, tłuszczu drobiowym, miodzie.</w:t>
      </w:r>
    </w:p>
    <w:p w14:paraId="054DF063" w14:textId="2B344040" w:rsidR="00DC2CB8" w:rsidRPr="00925BCD"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280463">
        <w:rPr>
          <w:rFonts w:ascii="Arial" w:hAnsi="Arial" w:cs="Arial"/>
        </w:rPr>
        <w:t>W 2020 r. najwięcej przekroczeń wartości NDP stwierdzono w następujących kombinacjach produkt/pestycyd pochodzenia krajowego: produkty zbożowe/glifosat, seler korzeniowy (</w:t>
      </w:r>
      <w:proofErr w:type="spellStart"/>
      <w:r w:rsidRPr="00280463">
        <w:rPr>
          <w:rFonts w:ascii="Arial" w:hAnsi="Arial" w:cs="Arial"/>
        </w:rPr>
        <w:t>linuron</w:t>
      </w:r>
      <w:proofErr w:type="spellEnd"/>
      <w:r w:rsidRPr="00280463">
        <w:rPr>
          <w:rFonts w:ascii="Arial" w:hAnsi="Arial" w:cs="Arial"/>
        </w:rPr>
        <w:t xml:space="preserve"> i</w:t>
      </w:r>
      <w:r w:rsidR="003A1F25">
        <w:rPr>
          <w:rFonts w:ascii="Arial" w:hAnsi="Arial" w:cs="Arial"/>
        </w:rPr>
        <w:t> </w:t>
      </w:r>
      <w:proofErr w:type="spellStart"/>
      <w:r w:rsidRPr="00280463">
        <w:rPr>
          <w:rFonts w:ascii="Arial" w:hAnsi="Arial" w:cs="Arial"/>
        </w:rPr>
        <w:t>chlorpiryfos</w:t>
      </w:r>
      <w:proofErr w:type="spellEnd"/>
      <w:r w:rsidRPr="00280463">
        <w:rPr>
          <w:rFonts w:ascii="Arial" w:hAnsi="Arial" w:cs="Arial"/>
        </w:rPr>
        <w:t>), kapusta pekińska (</w:t>
      </w:r>
      <w:proofErr w:type="spellStart"/>
      <w:r w:rsidRPr="00280463">
        <w:rPr>
          <w:rFonts w:ascii="Arial" w:hAnsi="Arial" w:cs="Arial"/>
        </w:rPr>
        <w:t>dimetoat</w:t>
      </w:r>
      <w:proofErr w:type="spellEnd"/>
      <w:r w:rsidRPr="00280463">
        <w:rPr>
          <w:rFonts w:ascii="Arial" w:hAnsi="Arial" w:cs="Arial"/>
        </w:rPr>
        <w:t xml:space="preserve"> i </w:t>
      </w:r>
      <w:proofErr w:type="spellStart"/>
      <w:r w:rsidRPr="00280463">
        <w:rPr>
          <w:rFonts w:ascii="Arial" w:hAnsi="Arial" w:cs="Arial"/>
        </w:rPr>
        <w:t>chlorpiryfos</w:t>
      </w:r>
      <w:proofErr w:type="spellEnd"/>
      <w:r w:rsidRPr="00280463">
        <w:rPr>
          <w:rFonts w:ascii="Arial" w:hAnsi="Arial" w:cs="Arial"/>
        </w:rPr>
        <w:t>), pietruszka korzeń/</w:t>
      </w:r>
      <w:proofErr w:type="spellStart"/>
      <w:r w:rsidRPr="00280463">
        <w:rPr>
          <w:rFonts w:ascii="Arial" w:hAnsi="Arial" w:cs="Arial"/>
        </w:rPr>
        <w:t>linuron</w:t>
      </w:r>
      <w:proofErr w:type="spellEnd"/>
      <w:r w:rsidRPr="00280463">
        <w:rPr>
          <w:rFonts w:ascii="Arial" w:hAnsi="Arial" w:cs="Arial"/>
        </w:rPr>
        <w:t>.</w:t>
      </w:r>
    </w:p>
    <w:p w14:paraId="44E21BE6" w14:textId="27DF70E7" w:rsidR="00823352" w:rsidRPr="00823352" w:rsidRDefault="00823352" w:rsidP="00823352">
      <w:pPr>
        <w:pStyle w:val="NormalnyWeb"/>
        <w:tabs>
          <w:tab w:val="left" w:pos="284"/>
        </w:tabs>
        <w:spacing w:beforeAutospacing="0" w:after="120" w:afterAutospacing="0" w:line="360" w:lineRule="auto"/>
        <w:ind w:firstLine="284"/>
        <w:jc w:val="both"/>
        <w:rPr>
          <w:rFonts w:ascii="Arial" w:hAnsi="Arial" w:cs="Arial"/>
        </w:rPr>
      </w:pPr>
      <w:r w:rsidRPr="000C53C7">
        <w:rPr>
          <w:rFonts w:ascii="Arial" w:hAnsi="Arial" w:cs="Arial"/>
          <w:b/>
          <w:bCs/>
        </w:rPr>
        <w:t>W 2021</w:t>
      </w:r>
      <w:r w:rsidR="000C53C7">
        <w:rPr>
          <w:rFonts w:ascii="Arial" w:hAnsi="Arial" w:cs="Arial"/>
          <w:b/>
          <w:bCs/>
        </w:rPr>
        <w:t xml:space="preserve"> </w:t>
      </w:r>
      <w:r w:rsidRPr="000C53C7">
        <w:rPr>
          <w:rFonts w:ascii="Arial" w:hAnsi="Arial" w:cs="Arial"/>
          <w:b/>
          <w:bCs/>
        </w:rPr>
        <w:t>r.</w:t>
      </w:r>
      <w:r w:rsidRPr="00823352">
        <w:rPr>
          <w:rFonts w:ascii="Arial" w:hAnsi="Arial" w:cs="Arial"/>
        </w:rPr>
        <w:t xml:space="preserve"> zbadano ogółem 3</w:t>
      </w:r>
      <w:r w:rsidR="00C16260">
        <w:rPr>
          <w:rFonts w:ascii="Arial" w:hAnsi="Arial" w:cs="Arial"/>
        </w:rPr>
        <w:t> </w:t>
      </w:r>
      <w:r w:rsidRPr="00823352">
        <w:rPr>
          <w:rFonts w:ascii="Arial" w:hAnsi="Arial" w:cs="Arial"/>
        </w:rPr>
        <w:t xml:space="preserve">754 próbek żywności pod kątem pozostałości pestycydów, w tym 2174 próbek produktów pochodzenia krajowego, 756 próbek produktów z UE oraz 805 próbek z krajów trzecich. W przypadku 19 próbek nie udało się określić kraju pochodzenia. </w:t>
      </w:r>
    </w:p>
    <w:p w14:paraId="2BD3BCD4" w14:textId="41B5AD66" w:rsidR="00823352" w:rsidRPr="00823352" w:rsidRDefault="00823352" w:rsidP="00823352">
      <w:pPr>
        <w:pStyle w:val="NormalnyWeb"/>
        <w:tabs>
          <w:tab w:val="left" w:pos="284"/>
        </w:tabs>
        <w:spacing w:beforeAutospacing="0" w:after="120" w:afterAutospacing="0" w:line="360" w:lineRule="auto"/>
        <w:ind w:firstLine="284"/>
        <w:jc w:val="both"/>
        <w:rPr>
          <w:rFonts w:ascii="Arial" w:hAnsi="Arial" w:cs="Arial"/>
        </w:rPr>
      </w:pPr>
      <w:r w:rsidRPr="00823352">
        <w:rPr>
          <w:rFonts w:ascii="Arial" w:hAnsi="Arial" w:cs="Arial"/>
        </w:rPr>
        <w:t>Przekroczenia najwyższych dopuszczalnych poziomów pozostałości środków ochrony roślin (po uwzględnieniu niepewności wyniku) stwierdzono w 83 próbkach produktów krajowych (3,8%). Przekroczenia te stwierdzono m.in. w następujących próbkach produktów krajowych: seler korzeniowy (</w:t>
      </w:r>
      <w:proofErr w:type="spellStart"/>
      <w:r w:rsidRPr="00823352">
        <w:rPr>
          <w:rFonts w:ascii="Arial" w:hAnsi="Arial" w:cs="Arial"/>
        </w:rPr>
        <w:t>linuron</w:t>
      </w:r>
      <w:proofErr w:type="spellEnd"/>
      <w:r w:rsidRPr="00823352">
        <w:rPr>
          <w:rFonts w:ascii="Arial" w:hAnsi="Arial" w:cs="Arial"/>
        </w:rPr>
        <w:t xml:space="preserve">, </w:t>
      </w:r>
      <w:proofErr w:type="spellStart"/>
      <w:r w:rsidRPr="00823352">
        <w:rPr>
          <w:rFonts w:ascii="Arial" w:hAnsi="Arial" w:cs="Arial"/>
        </w:rPr>
        <w:t>chlorpiryfos</w:t>
      </w:r>
      <w:proofErr w:type="spellEnd"/>
      <w:r w:rsidRPr="00823352">
        <w:rPr>
          <w:rFonts w:ascii="Arial" w:hAnsi="Arial" w:cs="Arial"/>
        </w:rPr>
        <w:t>), jarmuż (</w:t>
      </w:r>
      <w:proofErr w:type="spellStart"/>
      <w:r w:rsidRPr="00823352">
        <w:rPr>
          <w:rFonts w:ascii="Arial" w:hAnsi="Arial" w:cs="Arial"/>
        </w:rPr>
        <w:t>ditiokarbaminiany</w:t>
      </w:r>
      <w:proofErr w:type="spellEnd"/>
      <w:r w:rsidRPr="00823352">
        <w:rPr>
          <w:rFonts w:ascii="Arial" w:hAnsi="Arial" w:cs="Arial"/>
        </w:rPr>
        <w:t xml:space="preserve">, </w:t>
      </w:r>
      <w:proofErr w:type="spellStart"/>
      <w:r w:rsidRPr="00823352">
        <w:rPr>
          <w:rFonts w:ascii="Arial" w:hAnsi="Arial" w:cs="Arial"/>
        </w:rPr>
        <w:t>buprofezynaofencin</w:t>
      </w:r>
      <w:proofErr w:type="spellEnd"/>
      <w:r w:rsidRPr="00823352">
        <w:rPr>
          <w:rFonts w:ascii="Arial" w:hAnsi="Arial" w:cs="Arial"/>
        </w:rPr>
        <w:t xml:space="preserve">, </w:t>
      </w:r>
      <w:proofErr w:type="spellStart"/>
      <w:r w:rsidRPr="00823352">
        <w:rPr>
          <w:rFonts w:ascii="Arial" w:hAnsi="Arial" w:cs="Arial"/>
        </w:rPr>
        <w:t>chlorpiryfos</w:t>
      </w:r>
      <w:proofErr w:type="spellEnd"/>
      <w:r w:rsidRPr="00823352">
        <w:rPr>
          <w:rFonts w:ascii="Arial" w:hAnsi="Arial" w:cs="Arial"/>
        </w:rPr>
        <w:t xml:space="preserve">, lambda - </w:t>
      </w:r>
      <w:proofErr w:type="spellStart"/>
      <w:r w:rsidRPr="00823352">
        <w:rPr>
          <w:rFonts w:ascii="Arial" w:hAnsi="Arial" w:cs="Arial"/>
        </w:rPr>
        <w:t>cyhalotryna</w:t>
      </w:r>
      <w:proofErr w:type="spellEnd"/>
      <w:r w:rsidRPr="00823352">
        <w:rPr>
          <w:rFonts w:ascii="Arial" w:hAnsi="Arial" w:cs="Arial"/>
        </w:rPr>
        <w:t>), kapusta pekińska (</w:t>
      </w:r>
      <w:proofErr w:type="spellStart"/>
      <w:r w:rsidRPr="00823352">
        <w:rPr>
          <w:rFonts w:ascii="Arial" w:hAnsi="Arial" w:cs="Arial"/>
        </w:rPr>
        <w:t>chlorpiryfos</w:t>
      </w:r>
      <w:proofErr w:type="spellEnd"/>
      <w:r w:rsidRPr="00823352">
        <w:rPr>
          <w:rFonts w:ascii="Arial" w:hAnsi="Arial" w:cs="Arial"/>
        </w:rPr>
        <w:t xml:space="preserve">, </w:t>
      </w:r>
      <w:proofErr w:type="spellStart"/>
      <w:r w:rsidRPr="00823352">
        <w:rPr>
          <w:rFonts w:ascii="Arial" w:hAnsi="Arial" w:cs="Arial"/>
        </w:rPr>
        <w:t>acetamipryd</w:t>
      </w:r>
      <w:proofErr w:type="spellEnd"/>
      <w:r w:rsidRPr="00823352">
        <w:rPr>
          <w:rFonts w:ascii="Arial" w:hAnsi="Arial" w:cs="Arial"/>
        </w:rPr>
        <w:t xml:space="preserve">, </w:t>
      </w:r>
      <w:proofErr w:type="spellStart"/>
      <w:r w:rsidRPr="00823352">
        <w:rPr>
          <w:rFonts w:ascii="Arial" w:hAnsi="Arial" w:cs="Arial"/>
        </w:rPr>
        <w:t>dimetoat</w:t>
      </w:r>
      <w:proofErr w:type="spellEnd"/>
      <w:r w:rsidRPr="00823352">
        <w:rPr>
          <w:rFonts w:ascii="Arial" w:hAnsi="Arial" w:cs="Arial"/>
        </w:rPr>
        <w:t xml:space="preserve">, </w:t>
      </w:r>
      <w:proofErr w:type="spellStart"/>
      <w:r w:rsidRPr="00823352">
        <w:rPr>
          <w:rFonts w:ascii="Arial" w:hAnsi="Arial" w:cs="Arial"/>
        </w:rPr>
        <w:t>fluazyfop</w:t>
      </w:r>
      <w:proofErr w:type="spellEnd"/>
      <w:r w:rsidRPr="00823352">
        <w:rPr>
          <w:rFonts w:ascii="Arial" w:hAnsi="Arial" w:cs="Arial"/>
        </w:rPr>
        <w:t xml:space="preserve">, </w:t>
      </w:r>
      <w:proofErr w:type="spellStart"/>
      <w:r w:rsidRPr="00823352">
        <w:rPr>
          <w:rFonts w:ascii="Arial" w:hAnsi="Arial" w:cs="Arial"/>
        </w:rPr>
        <w:t>acetamipryd</w:t>
      </w:r>
      <w:proofErr w:type="spellEnd"/>
      <w:r w:rsidRPr="00823352">
        <w:rPr>
          <w:rFonts w:ascii="Arial" w:hAnsi="Arial" w:cs="Arial"/>
        </w:rPr>
        <w:t xml:space="preserve">, </w:t>
      </w:r>
      <w:proofErr w:type="spellStart"/>
      <w:r w:rsidRPr="00823352">
        <w:rPr>
          <w:rFonts w:ascii="Arial" w:hAnsi="Arial" w:cs="Arial"/>
        </w:rPr>
        <w:t>fluaziyfop</w:t>
      </w:r>
      <w:proofErr w:type="spellEnd"/>
      <w:r w:rsidRPr="00823352">
        <w:rPr>
          <w:rFonts w:ascii="Arial" w:hAnsi="Arial" w:cs="Arial"/>
        </w:rPr>
        <w:t>- P), papryka słodka (</w:t>
      </w:r>
      <w:proofErr w:type="spellStart"/>
      <w:r w:rsidRPr="00823352">
        <w:rPr>
          <w:rFonts w:ascii="Arial" w:hAnsi="Arial" w:cs="Arial"/>
        </w:rPr>
        <w:t>etefon</w:t>
      </w:r>
      <w:proofErr w:type="spellEnd"/>
      <w:r w:rsidRPr="00823352">
        <w:rPr>
          <w:rFonts w:ascii="Arial" w:hAnsi="Arial" w:cs="Arial"/>
        </w:rPr>
        <w:t>), pietruszka korzeń (</w:t>
      </w:r>
      <w:proofErr w:type="spellStart"/>
      <w:r w:rsidRPr="00823352">
        <w:rPr>
          <w:rFonts w:ascii="Arial" w:hAnsi="Arial" w:cs="Arial"/>
        </w:rPr>
        <w:t>linuron</w:t>
      </w:r>
      <w:proofErr w:type="spellEnd"/>
      <w:r w:rsidRPr="00823352">
        <w:rPr>
          <w:rFonts w:ascii="Arial" w:hAnsi="Arial" w:cs="Arial"/>
        </w:rPr>
        <w:t xml:space="preserve">, </w:t>
      </w:r>
      <w:proofErr w:type="spellStart"/>
      <w:r w:rsidRPr="00823352">
        <w:rPr>
          <w:rFonts w:ascii="Arial" w:hAnsi="Arial" w:cs="Arial"/>
        </w:rPr>
        <w:t>chlropiryfoschlorpiryfos</w:t>
      </w:r>
      <w:proofErr w:type="spellEnd"/>
      <w:r w:rsidRPr="00823352">
        <w:rPr>
          <w:rFonts w:ascii="Arial" w:hAnsi="Arial" w:cs="Arial"/>
        </w:rPr>
        <w:t>), seler naciowy (</w:t>
      </w:r>
      <w:proofErr w:type="spellStart"/>
      <w:r w:rsidRPr="00823352">
        <w:rPr>
          <w:rFonts w:ascii="Arial" w:hAnsi="Arial" w:cs="Arial"/>
        </w:rPr>
        <w:t>chlorpiryfos</w:t>
      </w:r>
      <w:proofErr w:type="spellEnd"/>
      <w:r w:rsidRPr="00823352">
        <w:rPr>
          <w:rFonts w:ascii="Arial" w:hAnsi="Arial" w:cs="Arial"/>
        </w:rPr>
        <w:t xml:space="preserve">, </w:t>
      </w:r>
      <w:proofErr w:type="spellStart"/>
      <w:r w:rsidRPr="00823352">
        <w:rPr>
          <w:rFonts w:ascii="Arial" w:hAnsi="Arial" w:cs="Arial"/>
        </w:rPr>
        <w:t>cypermetryna</w:t>
      </w:r>
      <w:proofErr w:type="spellEnd"/>
      <w:r w:rsidRPr="00823352">
        <w:rPr>
          <w:rFonts w:ascii="Arial" w:hAnsi="Arial" w:cs="Arial"/>
        </w:rPr>
        <w:t xml:space="preserve">, </w:t>
      </w:r>
      <w:proofErr w:type="spellStart"/>
      <w:r w:rsidRPr="00823352">
        <w:rPr>
          <w:rFonts w:ascii="Arial" w:hAnsi="Arial" w:cs="Arial"/>
        </w:rPr>
        <w:t>diotiokarbaminianyditiokarbaminiany</w:t>
      </w:r>
      <w:proofErr w:type="spellEnd"/>
      <w:r w:rsidRPr="00823352">
        <w:rPr>
          <w:rFonts w:ascii="Arial" w:hAnsi="Arial" w:cs="Arial"/>
        </w:rPr>
        <w:t xml:space="preserve">, </w:t>
      </w:r>
      <w:proofErr w:type="spellStart"/>
      <w:r w:rsidRPr="00823352">
        <w:rPr>
          <w:rFonts w:ascii="Arial" w:hAnsi="Arial" w:cs="Arial"/>
        </w:rPr>
        <w:t>cypermetryna</w:t>
      </w:r>
      <w:proofErr w:type="spellEnd"/>
      <w:r w:rsidRPr="00823352">
        <w:rPr>
          <w:rFonts w:ascii="Arial" w:hAnsi="Arial" w:cs="Arial"/>
        </w:rPr>
        <w:t xml:space="preserve">, </w:t>
      </w:r>
      <w:proofErr w:type="spellStart"/>
      <w:r w:rsidRPr="00823352">
        <w:rPr>
          <w:rFonts w:ascii="Arial" w:hAnsi="Arial" w:cs="Arial"/>
        </w:rPr>
        <w:t>linuron</w:t>
      </w:r>
      <w:proofErr w:type="spellEnd"/>
      <w:r w:rsidRPr="00823352">
        <w:rPr>
          <w:rFonts w:ascii="Arial" w:hAnsi="Arial" w:cs="Arial"/>
        </w:rPr>
        <w:t xml:space="preserve">, </w:t>
      </w:r>
      <w:proofErr w:type="spellStart"/>
      <w:r w:rsidRPr="00823352">
        <w:rPr>
          <w:rFonts w:ascii="Arial" w:hAnsi="Arial" w:cs="Arial"/>
        </w:rPr>
        <w:t>propamokarb</w:t>
      </w:r>
      <w:proofErr w:type="spellEnd"/>
      <w:r w:rsidRPr="00823352">
        <w:rPr>
          <w:rFonts w:ascii="Arial" w:hAnsi="Arial" w:cs="Arial"/>
        </w:rPr>
        <w:t xml:space="preserve">, </w:t>
      </w:r>
      <w:proofErr w:type="spellStart"/>
      <w:r w:rsidRPr="00823352">
        <w:rPr>
          <w:rFonts w:ascii="Arial" w:hAnsi="Arial" w:cs="Arial"/>
        </w:rPr>
        <w:t>linuron</w:t>
      </w:r>
      <w:proofErr w:type="spellEnd"/>
      <w:r w:rsidRPr="00823352">
        <w:rPr>
          <w:rFonts w:ascii="Arial" w:hAnsi="Arial" w:cs="Arial"/>
        </w:rPr>
        <w:t xml:space="preserve">, </w:t>
      </w:r>
      <w:proofErr w:type="spellStart"/>
      <w:r w:rsidRPr="00823352">
        <w:rPr>
          <w:rFonts w:ascii="Arial" w:hAnsi="Arial" w:cs="Arial"/>
        </w:rPr>
        <w:t>propamokarb</w:t>
      </w:r>
      <w:proofErr w:type="spellEnd"/>
      <w:r w:rsidRPr="00823352">
        <w:rPr>
          <w:rFonts w:ascii="Arial" w:hAnsi="Arial" w:cs="Arial"/>
        </w:rPr>
        <w:t>), ogórki (</w:t>
      </w:r>
      <w:proofErr w:type="spellStart"/>
      <w:r w:rsidRPr="00823352">
        <w:rPr>
          <w:rFonts w:ascii="Arial" w:hAnsi="Arial" w:cs="Arial"/>
        </w:rPr>
        <w:t>karbendazym</w:t>
      </w:r>
      <w:proofErr w:type="spellEnd"/>
      <w:r w:rsidRPr="00823352">
        <w:rPr>
          <w:rFonts w:ascii="Arial" w:hAnsi="Arial" w:cs="Arial"/>
        </w:rPr>
        <w:t xml:space="preserve"> i </w:t>
      </w:r>
      <w:proofErr w:type="spellStart"/>
      <w:r w:rsidRPr="00823352">
        <w:rPr>
          <w:rFonts w:ascii="Arial" w:hAnsi="Arial" w:cs="Arial"/>
        </w:rPr>
        <w:t>benomyl</w:t>
      </w:r>
      <w:proofErr w:type="spellEnd"/>
      <w:r w:rsidRPr="00823352">
        <w:rPr>
          <w:rFonts w:ascii="Arial" w:hAnsi="Arial" w:cs="Arial"/>
        </w:rPr>
        <w:t xml:space="preserve">, </w:t>
      </w:r>
      <w:proofErr w:type="spellStart"/>
      <w:r w:rsidRPr="00823352">
        <w:rPr>
          <w:rFonts w:ascii="Arial" w:hAnsi="Arial" w:cs="Arial"/>
        </w:rPr>
        <w:t>chlorpyrifoschlorpiryfos</w:t>
      </w:r>
      <w:proofErr w:type="spellEnd"/>
      <w:r w:rsidRPr="00823352">
        <w:rPr>
          <w:rFonts w:ascii="Arial" w:hAnsi="Arial" w:cs="Arial"/>
        </w:rPr>
        <w:t xml:space="preserve">, </w:t>
      </w:r>
      <w:proofErr w:type="spellStart"/>
      <w:r w:rsidRPr="00823352">
        <w:rPr>
          <w:rFonts w:ascii="Arial" w:hAnsi="Arial" w:cs="Arial"/>
        </w:rPr>
        <w:t>chlorotalonil</w:t>
      </w:r>
      <w:proofErr w:type="spellEnd"/>
      <w:r w:rsidRPr="00823352">
        <w:rPr>
          <w:rFonts w:ascii="Arial" w:hAnsi="Arial" w:cs="Arial"/>
        </w:rPr>
        <w:t xml:space="preserve">, </w:t>
      </w:r>
      <w:proofErr w:type="spellStart"/>
      <w:r w:rsidRPr="00823352">
        <w:rPr>
          <w:rFonts w:ascii="Arial" w:hAnsi="Arial" w:cs="Arial"/>
        </w:rPr>
        <w:t>klotianidynain</w:t>
      </w:r>
      <w:proofErr w:type="spellEnd"/>
      <w:r w:rsidRPr="00823352">
        <w:rPr>
          <w:rFonts w:ascii="Arial" w:hAnsi="Arial" w:cs="Arial"/>
        </w:rPr>
        <w:t>), brukselka (</w:t>
      </w:r>
      <w:proofErr w:type="spellStart"/>
      <w:r w:rsidRPr="00823352">
        <w:rPr>
          <w:rFonts w:ascii="Arial" w:hAnsi="Arial" w:cs="Arial"/>
        </w:rPr>
        <w:t>chlorpiryfosu</w:t>
      </w:r>
      <w:proofErr w:type="spellEnd"/>
      <w:r w:rsidRPr="00823352">
        <w:rPr>
          <w:rFonts w:ascii="Arial" w:hAnsi="Arial" w:cs="Arial"/>
        </w:rPr>
        <w:t xml:space="preserve">, </w:t>
      </w:r>
      <w:proofErr w:type="spellStart"/>
      <w:r w:rsidRPr="00823352">
        <w:rPr>
          <w:rFonts w:ascii="Arial" w:hAnsi="Arial" w:cs="Arial"/>
        </w:rPr>
        <w:t>deltametryna</w:t>
      </w:r>
      <w:proofErr w:type="spellEnd"/>
      <w:r w:rsidRPr="00823352">
        <w:rPr>
          <w:rFonts w:ascii="Arial" w:hAnsi="Arial" w:cs="Arial"/>
        </w:rPr>
        <w:t xml:space="preserve">, </w:t>
      </w:r>
      <w:proofErr w:type="spellStart"/>
      <w:r w:rsidRPr="00823352">
        <w:rPr>
          <w:rFonts w:ascii="Arial" w:hAnsi="Arial" w:cs="Arial"/>
        </w:rPr>
        <w:t>acetamipryd</w:t>
      </w:r>
      <w:proofErr w:type="spellEnd"/>
      <w:r w:rsidRPr="00823352">
        <w:rPr>
          <w:rFonts w:ascii="Arial" w:hAnsi="Arial" w:cs="Arial"/>
        </w:rPr>
        <w:t>), marchew (</w:t>
      </w:r>
      <w:proofErr w:type="spellStart"/>
      <w:r w:rsidRPr="00823352">
        <w:rPr>
          <w:rFonts w:ascii="Arial" w:hAnsi="Arial" w:cs="Arial"/>
        </w:rPr>
        <w:t>linuron</w:t>
      </w:r>
      <w:proofErr w:type="spellEnd"/>
      <w:r w:rsidRPr="00823352">
        <w:rPr>
          <w:rFonts w:ascii="Arial" w:hAnsi="Arial" w:cs="Arial"/>
        </w:rPr>
        <w:t xml:space="preserve">, </w:t>
      </w:r>
      <w:proofErr w:type="spellStart"/>
      <w:r w:rsidRPr="00823352">
        <w:rPr>
          <w:rFonts w:ascii="Arial" w:hAnsi="Arial" w:cs="Arial"/>
        </w:rPr>
        <w:t>chlorpiryfos</w:t>
      </w:r>
      <w:proofErr w:type="spellEnd"/>
      <w:r w:rsidRPr="00823352">
        <w:rPr>
          <w:rFonts w:ascii="Arial" w:hAnsi="Arial" w:cs="Arial"/>
        </w:rPr>
        <w:t>) i</w:t>
      </w:r>
      <w:r w:rsidR="00415449">
        <w:rPr>
          <w:rFonts w:ascii="Arial" w:hAnsi="Arial" w:cs="Arial"/>
        </w:rPr>
        <w:t> </w:t>
      </w:r>
      <w:r w:rsidRPr="00823352">
        <w:rPr>
          <w:rFonts w:ascii="Arial" w:hAnsi="Arial" w:cs="Arial"/>
        </w:rPr>
        <w:t xml:space="preserve">in. </w:t>
      </w:r>
      <w:r w:rsidR="00114188">
        <w:rPr>
          <w:rFonts w:ascii="Arial" w:hAnsi="Arial" w:cs="Arial"/>
        </w:rPr>
        <w:t>P</w:t>
      </w:r>
      <w:r w:rsidR="00114188" w:rsidRPr="00823352">
        <w:rPr>
          <w:rFonts w:ascii="Arial" w:hAnsi="Arial" w:cs="Arial"/>
        </w:rPr>
        <w:t>rzekroczenie poziomów NDP</w:t>
      </w:r>
      <w:r w:rsidRPr="00823352">
        <w:rPr>
          <w:rFonts w:ascii="Arial" w:hAnsi="Arial" w:cs="Arial"/>
        </w:rPr>
        <w:t xml:space="preserve"> stwierdzano również w produktach przetworzonych pochodzenia krajowego </w:t>
      </w:r>
      <w:r w:rsidR="002A331E">
        <w:rPr>
          <w:rFonts w:ascii="Arial" w:hAnsi="Arial" w:cs="Arial"/>
        </w:rPr>
        <w:t xml:space="preserve">- </w:t>
      </w:r>
      <w:r w:rsidR="002A331E" w:rsidRPr="00823352">
        <w:rPr>
          <w:rFonts w:ascii="Arial" w:hAnsi="Arial" w:cs="Arial"/>
        </w:rPr>
        <w:t>gł</w:t>
      </w:r>
      <w:r w:rsidR="002A331E">
        <w:rPr>
          <w:rFonts w:ascii="Arial" w:hAnsi="Arial" w:cs="Arial"/>
        </w:rPr>
        <w:t>ównie</w:t>
      </w:r>
      <w:r w:rsidR="002A331E" w:rsidRPr="00823352">
        <w:rPr>
          <w:rFonts w:ascii="Arial" w:hAnsi="Arial" w:cs="Arial"/>
        </w:rPr>
        <w:t xml:space="preserve"> w kaszy jaglanej </w:t>
      </w:r>
      <w:r w:rsidR="002A331E">
        <w:rPr>
          <w:rFonts w:ascii="Arial" w:hAnsi="Arial" w:cs="Arial"/>
        </w:rPr>
        <w:t>(</w:t>
      </w:r>
      <w:r w:rsidRPr="00823352">
        <w:rPr>
          <w:rFonts w:ascii="Arial" w:hAnsi="Arial" w:cs="Arial"/>
        </w:rPr>
        <w:t>glifosat</w:t>
      </w:r>
      <w:r w:rsidR="002A331E">
        <w:rPr>
          <w:rFonts w:ascii="Arial" w:hAnsi="Arial" w:cs="Arial"/>
        </w:rPr>
        <w:t>)</w:t>
      </w:r>
      <w:r w:rsidRPr="00823352">
        <w:rPr>
          <w:rFonts w:ascii="Arial" w:hAnsi="Arial" w:cs="Arial"/>
        </w:rPr>
        <w:t xml:space="preserve">. </w:t>
      </w:r>
    </w:p>
    <w:p w14:paraId="74FFD546" w14:textId="6F3B738F" w:rsidR="00823352" w:rsidRPr="00823352" w:rsidRDefault="00823352" w:rsidP="00823352">
      <w:pPr>
        <w:pStyle w:val="NormalnyWeb"/>
        <w:tabs>
          <w:tab w:val="left" w:pos="284"/>
        </w:tabs>
        <w:spacing w:beforeAutospacing="0" w:after="120" w:afterAutospacing="0" w:line="360" w:lineRule="auto"/>
        <w:ind w:firstLine="284"/>
        <w:jc w:val="both"/>
        <w:rPr>
          <w:rFonts w:ascii="Arial" w:hAnsi="Arial" w:cs="Arial"/>
        </w:rPr>
      </w:pPr>
      <w:r w:rsidRPr="00823352">
        <w:rPr>
          <w:rFonts w:ascii="Arial" w:hAnsi="Arial" w:cs="Arial"/>
        </w:rPr>
        <w:t xml:space="preserve">W 2021 r. produkty pochodzenia krajowego, w których nie stwierdzono przekroczeń najwyższych dopuszczalnych pozostałości to m.in.: bakłażany, cebula, groch (bez strąków), burak, kapusta biała, .pomidor, por, </w:t>
      </w:r>
      <w:proofErr w:type="spellStart"/>
      <w:r w:rsidRPr="00823352">
        <w:rPr>
          <w:rFonts w:ascii="Arial" w:hAnsi="Arial" w:cs="Arial"/>
        </w:rPr>
        <w:t>rukola</w:t>
      </w:r>
      <w:proofErr w:type="spellEnd"/>
      <w:r w:rsidRPr="00823352">
        <w:rPr>
          <w:rFonts w:ascii="Arial" w:hAnsi="Arial" w:cs="Arial"/>
        </w:rPr>
        <w:t>, sałata, szpinak, boczniaki, borówka amerykańska, jabłka, śliwki, wiśnie, czereśnie, żywność dla dzieci, produkty przetworzone – płatki jaglane, sok marchwiowy, sok pomarańczowy, ziarna: owsa, prosa, żyta, boczniaki, i in. Przekroczeń nie stwierdzono także w</w:t>
      </w:r>
      <w:r w:rsidR="00A750D8">
        <w:rPr>
          <w:rFonts w:ascii="Arial" w:hAnsi="Arial" w:cs="Arial"/>
        </w:rPr>
        <w:t> </w:t>
      </w:r>
      <w:r w:rsidRPr="00823352">
        <w:rPr>
          <w:rFonts w:ascii="Arial" w:hAnsi="Arial" w:cs="Arial"/>
        </w:rPr>
        <w:t xml:space="preserve">produktach krajowych pochodzenia zwierzęcego, tj.: mleku krowim pełnym, tłuszczu wołowym i jajach kurzych. </w:t>
      </w:r>
    </w:p>
    <w:p w14:paraId="15A5CA7B" w14:textId="6D9D16E0" w:rsidR="00823352" w:rsidRPr="00823352" w:rsidRDefault="00823352" w:rsidP="00823352">
      <w:pPr>
        <w:pStyle w:val="NormalnyWeb"/>
        <w:tabs>
          <w:tab w:val="left" w:pos="284"/>
        </w:tabs>
        <w:spacing w:beforeAutospacing="0" w:after="120" w:afterAutospacing="0" w:line="360" w:lineRule="auto"/>
        <w:ind w:firstLine="284"/>
        <w:jc w:val="both"/>
        <w:rPr>
          <w:rFonts w:ascii="Arial" w:hAnsi="Arial" w:cs="Arial"/>
        </w:rPr>
      </w:pPr>
      <w:r w:rsidRPr="00823352">
        <w:rPr>
          <w:rFonts w:ascii="Arial" w:hAnsi="Arial" w:cs="Arial"/>
        </w:rPr>
        <w:t>W 2021</w:t>
      </w:r>
      <w:r w:rsidR="00A842FD">
        <w:rPr>
          <w:rFonts w:ascii="Arial" w:hAnsi="Arial" w:cs="Arial"/>
        </w:rPr>
        <w:t> </w:t>
      </w:r>
      <w:r w:rsidRPr="00823352">
        <w:rPr>
          <w:rFonts w:ascii="Arial" w:hAnsi="Arial" w:cs="Arial"/>
        </w:rPr>
        <w:t>r. najwięcej przekroczeń wartości NDP stwierdzono w następujących kombinacjach produkt/pestycyd pochodzenia krajowego: seler korzeniowy (</w:t>
      </w:r>
      <w:proofErr w:type="spellStart"/>
      <w:r w:rsidRPr="00823352">
        <w:rPr>
          <w:rFonts w:ascii="Arial" w:hAnsi="Arial" w:cs="Arial"/>
        </w:rPr>
        <w:t>linuron</w:t>
      </w:r>
      <w:proofErr w:type="spellEnd"/>
      <w:r w:rsidRPr="00823352">
        <w:rPr>
          <w:rFonts w:ascii="Arial" w:hAnsi="Arial" w:cs="Arial"/>
        </w:rPr>
        <w:t>), jarmuż (</w:t>
      </w:r>
      <w:proofErr w:type="spellStart"/>
      <w:r w:rsidRPr="00823352">
        <w:rPr>
          <w:rFonts w:ascii="Arial" w:hAnsi="Arial" w:cs="Arial"/>
        </w:rPr>
        <w:t>ditiokarbaminiany</w:t>
      </w:r>
      <w:proofErr w:type="spellEnd"/>
      <w:r w:rsidRPr="00823352">
        <w:rPr>
          <w:rFonts w:ascii="Arial" w:hAnsi="Arial" w:cs="Arial"/>
        </w:rPr>
        <w:t xml:space="preserve">), </w:t>
      </w:r>
      <w:r w:rsidRPr="00823352">
        <w:rPr>
          <w:rFonts w:ascii="Arial" w:hAnsi="Arial" w:cs="Arial"/>
        </w:rPr>
        <w:lastRenderedPageBreak/>
        <w:t>papryka (</w:t>
      </w:r>
      <w:proofErr w:type="spellStart"/>
      <w:r w:rsidRPr="00823352">
        <w:rPr>
          <w:rFonts w:ascii="Arial" w:hAnsi="Arial" w:cs="Arial"/>
        </w:rPr>
        <w:t>etefon</w:t>
      </w:r>
      <w:proofErr w:type="spellEnd"/>
      <w:r w:rsidRPr="00823352">
        <w:rPr>
          <w:rFonts w:ascii="Arial" w:hAnsi="Arial" w:cs="Arial"/>
        </w:rPr>
        <w:t>), korzeń pietruszki (</w:t>
      </w:r>
      <w:proofErr w:type="spellStart"/>
      <w:r w:rsidRPr="00823352">
        <w:rPr>
          <w:rFonts w:ascii="Arial" w:hAnsi="Arial" w:cs="Arial"/>
        </w:rPr>
        <w:t>linuron</w:t>
      </w:r>
      <w:proofErr w:type="spellEnd"/>
      <w:r w:rsidRPr="00823352">
        <w:rPr>
          <w:rFonts w:ascii="Arial" w:hAnsi="Arial" w:cs="Arial"/>
        </w:rPr>
        <w:t>), marchew (</w:t>
      </w:r>
      <w:proofErr w:type="spellStart"/>
      <w:r w:rsidRPr="00823352">
        <w:rPr>
          <w:rFonts w:ascii="Arial" w:hAnsi="Arial" w:cs="Arial"/>
        </w:rPr>
        <w:t>chlorpiryfos</w:t>
      </w:r>
      <w:proofErr w:type="spellEnd"/>
      <w:r w:rsidRPr="00823352">
        <w:rPr>
          <w:rFonts w:ascii="Arial" w:hAnsi="Arial" w:cs="Arial"/>
        </w:rPr>
        <w:t>), brukselka (</w:t>
      </w:r>
      <w:proofErr w:type="spellStart"/>
      <w:r w:rsidRPr="00823352">
        <w:rPr>
          <w:rFonts w:ascii="Arial" w:hAnsi="Arial" w:cs="Arial"/>
        </w:rPr>
        <w:t>chlorpiryfos</w:t>
      </w:r>
      <w:proofErr w:type="spellEnd"/>
      <w:r w:rsidRPr="00823352">
        <w:rPr>
          <w:rFonts w:ascii="Arial" w:hAnsi="Arial" w:cs="Arial"/>
        </w:rPr>
        <w:t>), kapusta głowiasta (</w:t>
      </w:r>
      <w:proofErr w:type="spellStart"/>
      <w:r w:rsidRPr="00823352">
        <w:rPr>
          <w:rFonts w:ascii="Arial" w:hAnsi="Arial" w:cs="Arial"/>
        </w:rPr>
        <w:t>tiofanat</w:t>
      </w:r>
      <w:proofErr w:type="spellEnd"/>
      <w:r w:rsidRPr="00823352">
        <w:rPr>
          <w:rFonts w:ascii="Arial" w:hAnsi="Arial" w:cs="Arial"/>
        </w:rPr>
        <w:t xml:space="preserve"> metylu), kasza jaglana (glifosat), kapusta pekińska (</w:t>
      </w:r>
      <w:proofErr w:type="spellStart"/>
      <w:r w:rsidRPr="00823352">
        <w:rPr>
          <w:rFonts w:ascii="Arial" w:hAnsi="Arial" w:cs="Arial"/>
        </w:rPr>
        <w:t>chlorpiryfos</w:t>
      </w:r>
      <w:proofErr w:type="spellEnd"/>
      <w:r w:rsidRPr="00823352">
        <w:rPr>
          <w:rFonts w:ascii="Arial" w:hAnsi="Arial" w:cs="Arial"/>
        </w:rPr>
        <w:t>).</w:t>
      </w:r>
    </w:p>
    <w:p w14:paraId="09E4244D" w14:textId="7B935F7E" w:rsidR="00D23179" w:rsidRDefault="00823352" w:rsidP="00823352">
      <w:pPr>
        <w:pStyle w:val="NormalnyWeb"/>
        <w:tabs>
          <w:tab w:val="left" w:pos="284"/>
        </w:tabs>
        <w:spacing w:beforeAutospacing="0" w:after="120" w:afterAutospacing="0" w:line="360" w:lineRule="auto"/>
        <w:ind w:firstLine="284"/>
        <w:jc w:val="both"/>
        <w:rPr>
          <w:rFonts w:ascii="Arial" w:hAnsi="Arial" w:cs="Arial"/>
        </w:rPr>
      </w:pPr>
      <w:r w:rsidRPr="00823352">
        <w:rPr>
          <w:rFonts w:ascii="Arial" w:hAnsi="Arial" w:cs="Arial"/>
        </w:rPr>
        <w:t>W przypadkach przekroczeń wartości NDP dla produktów krajowych stwierdzonych w latach</w:t>
      </w:r>
      <w:r w:rsidR="006E6A8D">
        <w:rPr>
          <w:rFonts w:ascii="Arial" w:hAnsi="Arial" w:cs="Arial"/>
        </w:rPr>
        <w:t xml:space="preserve"> </w:t>
      </w:r>
      <w:r w:rsidR="00732A0B">
        <w:rPr>
          <w:rFonts w:ascii="Arial" w:hAnsi="Arial" w:cs="Arial"/>
        </w:rPr>
        <w:br/>
      </w:r>
      <w:r w:rsidRPr="00823352">
        <w:rPr>
          <w:rFonts w:ascii="Arial" w:hAnsi="Arial" w:cs="Arial"/>
        </w:rPr>
        <w:t>2018–2021 przez organy Państwowej Inspekcji Sanitarnej wykonywano ocenę ryzyka lub korzystano z</w:t>
      </w:r>
      <w:r w:rsidR="0056476E">
        <w:rPr>
          <w:rFonts w:ascii="Arial" w:hAnsi="Arial" w:cs="Arial"/>
        </w:rPr>
        <w:t> </w:t>
      </w:r>
      <w:r w:rsidRPr="00823352">
        <w:rPr>
          <w:rFonts w:ascii="Arial" w:hAnsi="Arial" w:cs="Arial"/>
        </w:rPr>
        <w:t>wyników poprzednich ocen, a przypadki, gdzie wynik oceny ryzyka wskazywał, że dany produkt może stwarzać zagrożenie dla zdrowia konsumenta - były rozpatrywane do zgłoszenia w ramach systemu RASFF. W pozostałych przypadkach, nie stanowiących zagrożenia dla zdrowia konsumentów, podejmowano działania administracyjne przewidziane przepisami prawa, a tam gdzie było to uzasadnione, informowano właściwe organy Państwowej Inspekcji Ochrony Roślin i Nasiennictwa.</w:t>
      </w:r>
    </w:p>
    <w:p w14:paraId="1A6A1DFC" w14:textId="78E90FE9" w:rsidR="004908A7" w:rsidRDefault="00A842FD" w:rsidP="00A842F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Należy też dodać, że w 2021 r. w Instytucie Ogrodnictwa - PIB </w:t>
      </w:r>
      <w:r w:rsidR="004908A7" w:rsidRPr="00A842FD">
        <w:rPr>
          <w:rFonts w:ascii="Arial" w:hAnsi="Arial" w:cs="Arial"/>
        </w:rPr>
        <w:t>wykonywano analizy próbek żywności dla Państwowej Inspekcji Sanitarnej. Powiatowe i wojewódzkie stacje sanitarno-epidemiologiczne (WSSE) oraz graniczne stacje sanitarno-epidemiologiczne (GSSE) przesłały do badań pozostałości środków ochrony roślin łącznie 500 próbek żywności, któr</w:t>
      </w:r>
      <w:r w:rsidR="00AC2ABF">
        <w:rPr>
          <w:rFonts w:ascii="Arial" w:hAnsi="Arial" w:cs="Arial"/>
        </w:rPr>
        <w:t>e</w:t>
      </w:r>
      <w:r w:rsidR="004908A7" w:rsidRPr="00A842FD">
        <w:rPr>
          <w:rFonts w:ascii="Arial" w:hAnsi="Arial" w:cs="Arial"/>
        </w:rPr>
        <w:t xml:space="preserve"> pochodził</w:t>
      </w:r>
      <w:r w:rsidR="00AC2ABF">
        <w:rPr>
          <w:rFonts w:ascii="Arial" w:hAnsi="Arial" w:cs="Arial"/>
        </w:rPr>
        <w:t>y</w:t>
      </w:r>
      <w:r w:rsidR="004908A7" w:rsidRPr="00A842FD">
        <w:rPr>
          <w:rFonts w:ascii="Arial" w:hAnsi="Arial" w:cs="Arial"/>
        </w:rPr>
        <w:t xml:space="preserve"> z importu do Polski, przy czym 92 badania wykonano na potrzeby kontroli granicznej, a pozostałe próbki stanowiły import podmiotów gospodarczych i pochodziły ze sklepów oraz magazynów ze wszystkich województw Polski. Próbki żywności do badań pochodziły w większości z krajów UE, następnie z pozostałych krajów Europy i</w:t>
      </w:r>
      <w:r w:rsidR="00AC2ABF">
        <w:rPr>
          <w:rFonts w:ascii="Arial" w:hAnsi="Arial" w:cs="Arial"/>
        </w:rPr>
        <w:t> </w:t>
      </w:r>
      <w:r w:rsidR="004908A7" w:rsidRPr="00A842FD">
        <w:rPr>
          <w:rFonts w:ascii="Arial" w:hAnsi="Arial" w:cs="Arial"/>
        </w:rPr>
        <w:t>niemal wszystkich kontynentów. Spośród dostarczanych przez Państwową Inspekcję Sanitarną próbek 35% stanowiły owoce, 53% warzywa i 12% produkty zbożowe. Były to zarówno produkty świeże jak i</w:t>
      </w:r>
      <w:r w:rsidR="00AC2ABF">
        <w:rPr>
          <w:rFonts w:ascii="Arial" w:hAnsi="Arial" w:cs="Arial"/>
        </w:rPr>
        <w:t> </w:t>
      </w:r>
      <w:r w:rsidR="004908A7" w:rsidRPr="00A842FD">
        <w:rPr>
          <w:rFonts w:ascii="Arial" w:hAnsi="Arial" w:cs="Arial"/>
        </w:rPr>
        <w:t>przetworzone. Wyniki przeprowadzonych analiz pozostałości środków ochrony roślin wykazały, że w</w:t>
      </w:r>
      <w:r w:rsidR="00AC2ABF">
        <w:rPr>
          <w:rFonts w:ascii="Arial" w:hAnsi="Arial" w:cs="Arial"/>
        </w:rPr>
        <w:t> </w:t>
      </w:r>
      <w:r w:rsidR="004908A7" w:rsidRPr="00A842FD">
        <w:rPr>
          <w:rFonts w:ascii="Arial" w:hAnsi="Arial" w:cs="Arial"/>
        </w:rPr>
        <w:t>50 próbkach nie stwierdzono obecności analizowanych substancji, co stanowiło 10% wszystkich przebadanych prób. W pozostałych próbkach stwierdzano obecność od jednej, do aż 19 różnych pozostałości. Najczęściej wykrywaną substancją był jon bromkowy, który został wykryty w 285 próbkach (57%). Stwierdzono 21 przypadków przekroczeń NDP zgodnie z normami rozporządzenia (WE) nr</w:t>
      </w:r>
      <w:r w:rsidR="00AC2ABF">
        <w:rPr>
          <w:rFonts w:ascii="Arial" w:hAnsi="Arial" w:cs="Arial"/>
        </w:rPr>
        <w:t> </w:t>
      </w:r>
      <w:r w:rsidR="004908A7" w:rsidRPr="00A842FD">
        <w:rPr>
          <w:rFonts w:ascii="Arial" w:hAnsi="Arial" w:cs="Arial"/>
        </w:rPr>
        <w:t xml:space="preserve">396/2005. Najczęściej przekroczenia NDP stwierdzano w próbkach truskawek. W sześciu przypadkach pochodziły one z Egiptu, a w jednym przypadku z Chin. Dotyczyły one głównie pestycydów m.in. takich jak </w:t>
      </w:r>
      <w:proofErr w:type="spellStart"/>
      <w:r w:rsidR="004908A7" w:rsidRPr="00A842FD">
        <w:rPr>
          <w:rFonts w:ascii="Arial" w:hAnsi="Arial" w:cs="Arial"/>
        </w:rPr>
        <w:t>propargit</w:t>
      </w:r>
      <w:proofErr w:type="spellEnd"/>
      <w:r w:rsidR="004908A7" w:rsidRPr="00A842FD">
        <w:rPr>
          <w:rFonts w:ascii="Arial" w:hAnsi="Arial" w:cs="Arial"/>
        </w:rPr>
        <w:t xml:space="preserve">, </w:t>
      </w:r>
      <w:proofErr w:type="spellStart"/>
      <w:r w:rsidR="004908A7" w:rsidRPr="00A842FD">
        <w:rPr>
          <w:rFonts w:ascii="Arial" w:hAnsi="Arial" w:cs="Arial"/>
        </w:rPr>
        <w:t>metamodofos</w:t>
      </w:r>
      <w:proofErr w:type="spellEnd"/>
      <w:r w:rsidR="004908A7" w:rsidRPr="00A842FD">
        <w:rPr>
          <w:rFonts w:ascii="Arial" w:hAnsi="Arial" w:cs="Arial"/>
        </w:rPr>
        <w:t xml:space="preserve">, </w:t>
      </w:r>
      <w:proofErr w:type="spellStart"/>
      <w:r w:rsidR="004908A7" w:rsidRPr="00A842FD">
        <w:rPr>
          <w:rFonts w:ascii="Arial" w:hAnsi="Arial" w:cs="Arial"/>
        </w:rPr>
        <w:t>dimetoat</w:t>
      </w:r>
      <w:proofErr w:type="spellEnd"/>
      <w:r w:rsidR="004908A7" w:rsidRPr="00A842FD">
        <w:rPr>
          <w:rFonts w:ascii="Arial" w:hAnsi="Arial" w:cs="Arial"/>
        </w:rPr>
        <w:t xml:space="preserve">, </w:t>
      </w:r>
      <w:proofErr w:type="spellStart"/>
      <w:r w:rsidR="004908A7" w:rsidRPr="00A842FD">
        <w:rPr>
          <w:rFonts w:ascii="Arial" w:hAnsi="Arial" w:cs="Arial"/>
        </w:rPr>
        <w:t>iprodion</w:t>
      </w:r>
      <w:proofErr w:type="spellEnd"/>
      <w:r w:rsidR="004908A7" w:rsidRPr="00A842FD">
        <w:rPr>
          <w:rFonts w:ascii="Arial" w:hAnsi="Arial" w:cs="Arial"/>
        </w:rPr>
        <w:t xml:space="preserve">, które nie mają już zastosowania w obszarze UE. W trzech przypadkach stwierdzono przekroczenia pozostałości </w:t>
      </w:r>
      <w:proofErr w:type="spellStart"/>
      <w:r w:rsidR="004908A7" w:rsidRPr="00A842FD">
        <w:rPr>
          <w:rFonts w:ascii="Arial" w:hAnsi="Arial" w:cs="Arial"/>
        </w:rPr>
        <w:t>etefonu</w:t>
      </w:r>
      <w:proofErr w:type="spellEnd"/>
      <w:r w:rsidR="004908A7" w:rsidRPr="00A842FD">
        <w:rPr>
          <w:rFonts w:ascii="Arial" w:hAnsi="Arial" w:cs="Arial"/>
        </w:rPr>
        <w:t xml:space="preserve"> w papryce pochodzącej z</w:t>
      </w:r>
      <w:r w:rsidR="00AC2ABF">
        <w:rPr>
          <w:rFonts w:ascii="Arial" w:hAnsi="Arial" w:cs="Arial"/>
        </w:rPr>
        <w:t> </w:t>
      </w:r>
      <w:r w:rsidR="004908A7" w:rsidRPr="00A842FD">
        <w:rPr>
          <w:rFonts w:ascii="Arial" w:hAnsi="Arial" w:cs="Arial"/>
        </w:rPr>
        <w:t>Hiszpanii, którego użycie w tej uprawie jest zabronione w UE. Ogółem zgłoszono 21 przypadków przekroczeń NDP, co stanowiło 4,2% wszystkich przebadanych próbek.</w:t>
      </w:r>
    </w:p>
    <w:p w14:paraId="1BB1A1E0"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116" w:name="_Toc341876088"/>
      <w:bookmarkStart w:id="117" w:name="_Toc134099290"/>
      <w:r w:rsidRPr="00925BCD">
        <w:rPr>
          <w:i w:val="0"/>
          <w:sz w:val="20"/>
          <w:szCs w:val="20"/>
        </w:rPr>
        <w:t>Podzadanie 2. Kontrola pasz na obecność pozostałości środków ochrony roślin</w:t>
      </w:r>
      <w:bookmarkEnd w:id="116"/>
      <w:bookmarkEnd w:id="117"/>
      <w:r w:rsidRPr="00925BCD">
        <w:rPr>
          <w:i w:val="0"/>
          <w:sz w:val="20"/>
          <w:szCs w:val="20"/>
        </w:rPr>
        <w:t xml:space="preserve"> </w:t>
      </w:r>
    </w:p>
    <w:p w14:paraId="089BC5FA" w14:textId="69936533"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Inspekcja Weterynaryjna w ramach realizacji Planu Urzędowej Kontroli Pasz prowadzi monitoring pasz w zakresie obecności pozostałości pestycydów </w:t>
      </w:r>
      <w:proofErr w:type="spellStart"/>
      <w:r w:rsidRPr="00925BCD">
        <w:rPr>
          <w:rFonts w:ascii="Arial" w:hAnsi="Arial" w:cs="Arial"/>
        </w:rPr>
        <w:t>chloroorganicznych</w:t>
      </w:r>
      <w:proofErr w:type="spellEnd"/>
      <w:r w:rsidRPr="00925BCD">
        <w:rPr>
          <w:rFonts w:ascii="Arial" w:hAnsi="Arial" w:cs="Arial"/>
        </w:rPr>
        <w:t xml:space="preserve"> i fosforoorganicznych. System nadzoru nad paszami, kompetencje i odpowiedzialność właściwych organów określa ustawa z dnia 22 lipca 2006 r. o paszach (Dz. U. z 20</w:t>
      </w:r>
      <w:r w:rsidR="006F38A8">
        <w:rPr>
          <w:rFonts w:ascii="Arial" w:hAnsi="Arial" w:cs="Arial"/>
        </w:rPr>
        <w:t>21</w:t>
      </w:r>
      <w:r w:rsidRPr="00925BCD">
        <w:rPr>
          <w:rFonts w:ascii="Arial" w:hAnsi="Arial" w:cs="Arial"/>
        </w:rPr>
        <w:t xml:space="preserve"> r. poz. </w:t>
      </w:r>
      <w:r w:rsidR="006F38A8">
        <w:rPr>
          <w:rFonts w:ascii="Arial" w:hAnsi="Arial" w:cs="Arial"/>
        </w:rPr>
        <w:t>278</w:t>
      </w:r>
      <w:r w:rsidRPr="00925BCD">
        <w:rPr>
          <w:rFonts w:ascii="Arial" w:hAnsi="Arial" w:cs="Arial"/>
        </w:rPr>
        <w:t>, z późn. zm.). Organem kontrolnym sprawującym nadzór nad całym sektorem paszowym jest powiatowy lekarz weterynarii, z wyłączeniem wytwarzania pasz leczniczych i obrotu paszami leczniczymi, nad którym nadzór sprawuje wojewódzki lekarz weterynarii. Próbki są pobierane z materiału paszowego pochodzenia roślinnego oraz mieszanek paszowych dla zwierząt.</w:t>
      </w:r>
    </w:p>
    <w:p w14:paraId="5B06B2C1"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ww. kontroli </w:t>
      </w:r>
      <w:r w:rsidRPr="00925BCD">
        <w:rPr>
          <w:rFonts w:ascii="Arial" w:hAnsi="Arial" w:cs="Arial"/>
          <w:b/>
        </w:rPr>
        <w:t>w 2018 r.</w:t>
      </w:r>
      <w:r w:rsidRPr="00925BCD">
        <w:rPr>
          <w:rFonts w:ascii="Arial" w:hAnsi="Arial" w:cs="Arial"/>
        </w:rPr>
        <w:t xml:space="preserve"> do analiz pobrano 328 próbek pasz. Badania w kierunku </w:t>
      </w:r>
      <w:r w:rsidRPr="00925BCD">
        <w:rPr>
          <w:rFonts w:ascii="Arial" w:hAnsi="Arial" w:cs="Arial"/>
        </w:rPr>
        <w:lastRenderedPageBreak/>
        <w:t xml:space="preserve">oznaczania poziomu pestycydów przeprowadzono w 53 mieszankach paszowych (w 27 próbkach – pestycydy fosforoorganiczne i 26 – pestycydy </w:t>
      </w:r>
      <w:proofErr w:type="spellStart"/>
      <w:r w:rsidRPr="00925BCD">
        <w:rPr>
          <w:rFonts w:ascii="Arial" w:hAnsi="Arial" w:cs="Arial"/>
        </w:rPr>
        <w:t>chloroorganiczne</w:t>
      </w:r>
      <w:proofErr w:type="spellEnd"/>
      <w:r w:rsidRPr="00925BCD">
        <w:rPr>
          <w:rFonts w:ascii="Arial" w:hAnsi="Arial" w:cs="Arial"/>
        </w:rPr>
        <w:t>) oraz w 275 materiałach paszowych (w</w:t>
      </w:r>
      <w:r w:rsidR="00EC2F01" w:rsidRPr="00925BCD">
        <w:rPr>
          <w:rFonts w:ascii="Arial" w:hAnsi="Arial" w:cs="Arial"/>
        </w:rPr>
        <w:t> </w:t>
      </w:r>
      <w:r w:rsidRPr="00925BCD">
        <w:rPr>
          <w:rFonts w:ascii="Arial" w:hAnsi="Arial" w:cs="Arial"/>
        </w:rPr>
        <w:t xml:space="preserve">141 próbkach – pestycydy fosforoorganiczne i 134 – pestycydy </w:t>
      </w:r>
      <w:proofErr w:type="spellStart"/>
      <w:r w:rsidRPr="00925BCD">
        <w:rPr>
          <w:rFonts w:ascii="Arial" w:hAnsi="Arial" w:cs="Arial"/>
        </w:rPr>
        <w:t>chloroorganiczne</w:t>
      </w:r>
      <w:proofErr w:type="spellEnd"/>
      <w:r w:rsidRPr="00925BCD">
        <w:rPr>
          <w:rFonts w:ascii="Arial" w:hAnsi="Arial" w:cs="Arial"/>
        </w:rPr>
        <w:t>). W 3 próbkach materiałów paszowych (zboża i ich produkty) stwierdzono przekroczenie maksymalnych dopuszczalnych poziomów pozostałości pestycydów fosforoorganicznych, pozostałe próbki były zgodne z wymaganiami. Każdorazowo po stwierdzeniu niezgodności w paszach powiatowi lekarze weterynarii przeprowadzali postępowanie wyjaśniające mające na celu ustalenie źródła niezgodności oraz drogi dystrybucji paszy i wycofanie z rynku pasz niespełniających przepisów prawa paszowego. W przypadku gospodarstw rolnych wydawano decyzję o zakazie stosowania w żywieniu zwierząt takiej paszy. Działania podejmowane przez powiatowych lekarzy weterynarii miały na celu zapewnienie bezpieczeństwa pasz przeznaczonych do karmienia zwierząt gospodarskich z i od których pozyskiwane były produkty do żywienia ludzi.</w:t>
      </w:r>
    </w:p>
    <w:p w14:paraId="2B047307" w14:textId="579D4FB0" w:rsidR="00EC2F01" w:rsidRDefault="00EC2F01"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ww. kontroli </w:t>
      </w:r>
      <w:r w:rsidRPr="00925BCD">
        <w:rPr>
          <w:rFonts w:ascii="Arial" w:hAnsi="Arial" w:cs="Arial"/>
          <w:b/>
        </w:rPr>
        <w:t>w 2019 r</w:t>
      </w:r>
      <w:r w:rsidRPr="00925BCD">
        <w:rPr>
          <w:rFonts w:ascii="Arial" w:hAnsi="Arial" w:cs="Arial"/>
        </w:rPr>
        <w:t xml:space="preserve">. do analiz pobrano 329 próbek pasz. Badania w kierunku oznaczania poziomu pestycydów przeprowadzono w 48 mieszankach paszowych (21 – pestycydy fosforoorganiczne, 27 – pestycydy </w:t>
      </w:r>
      <w:proofErr w:type="spellStart"/>
      <w:r w:rsidRPr="00925BCD">
        <w:rPr>
          <w:rFonts w:ascii="Arial" w:hAnsi="Arial" w:cs="Arial"/>
        </w:rPr>
        <w:t>chloroorganiczne</w:t>
      </w:r>
      <w:proofErr w:type="spellEnd"/>
      <w:r w:rsidRPr="00925BCD">
        <w:rPr>
          <w:rFonts w:ascii="Arial" w:hAnsi="Arial" w:cs="Arial"/>
        </w:rPr>
        <w:t xml:space="preserve">) i w 281 materiałach paszowych (145 – pestycydy fosforoorganiczne, 136 – pestycydy </w:t>
      </w:r>
      <w:proofErr w:type="spellStart"/>
      <w:r w:rsidRPr="00925BCD">
        <w:rPr>
          <w:rFonts w:ascii="Arial" w:hAnsi="Arial" w:cs="Arial"/>
        </w:rPr>
        <w:t>chloroorganiczne</w:t>
      </w:r>
      <w:proofErr w:type="spellEnd"/>
      <w:r w:rsidRPr="00925BCD">
        <w:rPr>
          <w:rFonts w:ascii="Arial" w:hAnsi="Arial" w:cs="Arial"/>
        </w:rPr>
        <w:t xml:space="preserve">). </w:t>
      </w:r>
    </w:p>
    <w:p w14:paraId="2AA7D51A" w14:textId="3BFDC0EE" w:rsidR="000B36AB" w:rsidRDefault="0052583C" w:rsidP="0052583C">
      <w:pPr>
        <w:pStyle w:val="NormalnyWeb"/>
        <w:tabs>
          <w:tab w:val="left" w:pos="284"/>
        </w:tabs>
        <w:spacing w:beforeAutospacing="0" w:after="120" w:afterAutospacing="0" w:line="360" w:lineRule="auto"/>
        <w:ind w:firstLine="284"/>
        <w:jc w:val="both"/>
        <w:rPr>
          <w:rFonts w:ascii="Arial" w:hAnsi="Arial" w:cs="Arial"/>
        </w:rPr>
      </w:pPr>
      <w:r w:rsidRPr="001B1D12">
        <w:rPr>
          <w:rFonts w:ascii="Arial" w:hAnsi="Arial" w:cs="Arial"/>
          <w:b/>
          <w:bCs/>
        </w:rPr>
        <w:t>W 2020 r.</w:t>
      </w:r>
      <w:r>
        <w:rPr>
          <w:rFonts w:ascii="Arial" w:hAnsi="Arial" w:cs="Arial"/>
        </w:rPr>
        <w:t xml:space="preserve"> </w:t>
      </w:r>
      <w:r w:rsidRPr="0052583C">
        <w:rPr>
          <w:rFonts w:ascii="Arial" w:hAnsi="Arial" w:cs="Arial"/>
        </w:rPr>
        <w:t xml:space="preserve">do analiz </w:t>
      </w:r>
      <w:r w:rsidR="009439D5">
        <w:rPr>
          <w:rFonts w:ascii="Arial" w:hAnsi="Arial" w:cs="Arial"/>
        </w:rPr>
        <w:t>pobrano</w:t>
      </w:r>
      <w:r w:rsidRPr="0052583C">
        <w:rPr>
          <w:rFonts w:ascii="Arial" w:hAnsi="Arial" w:cs="Arial"/>
        </w:rPr>
        <w:t xml:space="preserve"> 330 próbek pasz. Badania w</w:t>
      </w:r>
      <w:r>
        <w:rPr>
          <w:rFonts w:ascii="Arial" w:hAnsi="Arial" w:cs="Arial"/>
        </w:rPr>
        <w:t xml:space="preserve"> </w:t>
      </w:r>
      <w:r w:rsidRPr="0052583C">
        <w:rPr>
          <w:rFonts w:ascii="Arial" w:hAnsi="Arial" w:cs="Arial"/>
        </w:rPr>
        <w:t>kierunku oznaczania poziomu pestycydów przeprowadzono w 57 próbkach mieszanek paszowych (26 –</w:t>
      </w:r>
      <w:r>
        <w:rPr>
          <w:rFonts w:ascii="Arial" w:hAnsi="Arial" w:cs="Arial"/>
        </w:rPr>
        <w:t xml:space="preserve"> </w:t>
      </w:r>
      <w:r w:rsidRPr="0052583C">
        <w:rPr>
          <w:rFonts w:ascii="Arial" w:hAnsi="Arial" w:cs="Arial"/>
        </w:rPr>
        <w:t xml:space="preserve">pestycydy fosforoorganiczne, 31 – pestycydy </w:t>
      </w:r>
      <w:proofErr w:type="spellStart"/>
      <w:r w:rsidRPr="0052583C">
        <w:rPr>
          <w:rFonts w:ascii="Arial" w:hAnsi="Arial" w:cs="Arial"/>
        </w:rPr>
        <w:t>chloroorganiczne</w:t>
      </w:r>
      <w:proofErr w:type="spellEnd"/>
      <w:r w:rsidRPr="0052583C">
        <w:rPr>
          <w:rFonts w:ascii="Arial" w:hAnsi="Arial" w:cs="Arial"/>
        </w:rPr>
        <w:t>), w 272 próbkach materiałów paszowych</w:t>
      </w:r>
      <w:r>
        <w:rPr>
          <w:rFonts w:ascii="Arial" w:hAnsi="Arial" w:cs="Arial"/>
        </w:rPr>
        <w:t xml:space="preserve"> </w:t>
      </w:r>
      <w:r w:rsidRPr="0052583C">
        <w:rPr>
          <w:rFonts w:ascii="Arial" w:hAnsi="Arial" w:cs="Arial"/>
        </w:rPr>
        <w:t xml:space="preserve">(138 – pestycydy fosforoorganiczne, 134 – pestycydy </w:t>
      </w:r>
      <w:proofErr w:type="spellStart"/>
      <w:r w:rsidRPr="0052583C">
        <w:rPr>
          <w:rFonts w:ascii="Arial" w:hAnsi="Arial" w:cs="Arial"/>
        </w:rPr>
        <w:t>chloroorganiczne</w:t>
      </w:r>
      <w:proofErr w:type="spellEnd"/>
      <w:r w:rsidRPr="0052583C">
        <w:rPr>
          <w:rFonts w:ascii="Arial" w:hAnsi="Arial" w:cs="Arial"/>
        </w:rPr>
        <w:t>) oraz w 1 próbce dodatku</w:t>
      </w:r>
      <w:r>
        <w:rPr>
          <w:rFonts w:ascii="Arial" w:hAnsi="Arial" w:cs="Arial"/>
        </w:rPr>
        <w:t xml:space="preserve"> </w:t>
      </w:r>
      <w:r w:rsidRPr="0052583C">
        <w:rPr>
          <w:rFonts w:ascii="Arial" w:hAnsi="Arial" w:cs="Arial"/>
        </w:rPr>
        <w:t xml:space="preserve">paszowego (pestycydy fosforoorganiczne). </w:t>
      </w:r>
    </w:p>
    <w:p w14:paraId="1831862A" w14:textId="24CBF2BA" w:rsidR="00E93535" w:rsidRDefault="000137AB" w:rsidP="0052583C">
      <w:pPr>
        <w:pStyle w:val="NormalnyWeb"/>
        <w:tabs>
          <w:tab w:val="left" w:pos="284"/>
        </w:tabs>
        <w:spacing w:beforeAutospacing="0" w:after="120" w:afterAutospacing="0" w:line="360" w:lineRule="auto"/>
        <w:ind w:firstLine="284"/>
        <w:jc w:val="both"/>
        <w:rPr>
          <w:rFonts w:ascii="Arial" w:hAnsi="Arial" w:cs="Arial"/>
        </w:rPr>
      </w:pPr>
      <w:r w:rsidRPr="000137AB">
        <w:rPr>
          <w:rFonts w:ascii="Arial" w:hAnsi="Arial" w:cs="Arial"/>
        </w:rPr>
        <w:t xml:space="preserve">W ramach ww. kontroli </w:t>
      </w:r>
      <w:r w:rsidRPr="000137AB">
        <w:rPr>
          <w:rFonts w:ascii="Arial" w:hAnsi="Arial" w:cs="Arial"/>
          <w:b/>
          <w:bCs/>
        </w:rPr>
        <w:t>w 2021 r.</w:t>
      </w:r>
      <w:r w:rsidRPr="000137AB">
        <w:rPr>
          <w:rFonts w:ascii="Arial" w:hAnsi="Arial" w:cs="Arial"/>
        </w:rPr>
        <w:t xml:space="preserve"> przeprowadzono łącznie 616 analiz laboratoryjnych (co stanowi 314 próbek pasz). Badania w kierunku oznaczania poziomu pestycydów przeprowadzono w 101 próbkach (51 próbkach fizycznych) mieszanek paszowych (50 – pestycydy fosforoorganiczne, 51 – pestycydy </w:t>
      </w:r>
      <w:proofErr w:type="spellStart"/>
      <w:r w:rsidRPr="000137AB">
        <w:rPr>
          <w:rFonts w:ascii="Arial" w:hAnsi="Arial" w:cs="Arial"/>
        </w:rPr>
        <w:t>chloroorganiczne</w:t>
      </w:r>
      <w:proofErr w:type="spellEnd"/>
      <w:r w:rsidRPr="000137AB">
        <w:rPr>
          <w:rFonts w:ascii="Arial" w:hAnsi="Arial" w:cs="Arial"/>
        </w:rPr>
        <w:t xml:space="preserve">) i w 515 próbkach (263 próbkach fizycznych) materiałów paszowych (252 – pestycydy fosforoorganiczne, 263 – pestycydy </w:t>
      </w:r>
      <w:proofErr w:type="spellStart"/>
      <w:r w:rsidRPr="000137AB">
        <w:rPr>
          <w:rFonts w:ascii="Arial" w:hAnsi="Arial" w:cs="Arial"/>
        </w:rPr>
        <w:t>chloroorganiczne</w:t>
      </w:r>
      <w:proofErr w:type="spellEnd"/>
      <w:r w:rsidRPr="000137AB">
        <w:rPr>
          <w:rFonts w:ascii="Arial" w:hAnsi="Arial" w:cs="Arial"/>
        </w:rPr>
        <w:t>).</w:t>
      </w:r>
    </w:p>
    <w:p w14:paraId="071D187A" w14:textId="288AEB6D" w:rsidR="0052583C" w:rsidRPr="00925BCD" w:rsidRDefault="0052583C" w:rsidP="00EC2F01">
      <w:pPr>
        <w:pStyle w:val="NormalnyWeb"/>
        <w:tabs>
          <w:tab w:val="left" w:pos="284"/>
        </w:tabs>
        <w:spacing w:beforeAutospacing="0" w:after="120" w:afterAutospacing="0" w:line="360" w:lineRule="auto"/>
        <w:ind w:firstLine="284"/>
        <w:jc w:val="both"/>
        <w:rPr>
          <w:rFonts w:ascii="Arial" w:hAnsi="Arial" w:cs="Arial"/>
        </w:rPr>
      </w:pPr>
      <w:r w:rsidRPr="0052583C">
        <w:rPr>
          <w:rFonts w:ascii="Arial" w:hAnsi="Arial" w:cs="Arial"/>
        </w:rPr>
        <w:t xml:space="preserve">Wszystkie zbadane </w:t>
      </w:r>
      <w:r>
        <w:rPr>
          <w:rFonts w:ascii="Arial" w:hAnsi="Arial" w:cs="Arial"/>
        </w:rPr>
        <w:t>w</w:t>
      </w:r>
      <w:r w:rsidR="00885E34">
        <w:rPr>
          <w:rFonts w:ascii="Arial" w:hAnsi="Arial" w:cs="Arial"/>
        </w:rPr>
        <w:t xml:space="preserve"> lat</w:t>
      </w:r>
      <w:r w:rsidR="000A19E3">
        <w:rPr>
          <w:rFonts w:ascii="Arial" w:hAnsi="Arial" w:cs="Arial"/>
        </w:rPr>
        <w:t xml:space="preserve">ach </w:t>
      </w:r>
      <w:r>
        <w:rPr>
          <w:rFonts w:ascii="Arial" w:hAnsi="Arial" w:cs="Arial"/>
        </w:rPr>
        <w:t>2019</w:t>
      </w:r>
      <w:r w:rsidR="000B36AB">
        <w:rPr>
          <w:rFonts w:ascii="Arial" w:hAnsi="Arial" w:cs="Arial"/>
        </w:rPr>
        <w:t xml:space="preserve"> </w:t>
      </w:r>
      <w:r w:rsidR="000A19E3">
        <w:rPr>
          <w:rFonts w:ascii="Arial" w:hAnsi="Arial" w:cs="Arial"/>
        </w:rPr>
        <w:t>- 2021</w:t>
      </w:r>
      <w:r>
        <w:rPr>
          <w:rFonts w:ascii="Arial" w:hAnsi="Arial" w:cs="Arial"/>
        </w:rPr>
        <w:t xml:space="preserve"> </w:t>
      </w:r>
      <w:r w:rsidRPr="0052583C">
        <w:rPr>
          <w:rFonts w:ascii="Arial" w:hAnsi="Arial" w:cs="Arial"/>
        </w:rPr>
        <w:t>próbki były zgodne z wymaganiami</w:t>
      </w:r>
      <w:r>
        <w:rPr>
          <w:rFonts w:ascii="Arial" w:hAnsi="Arial" w:cs="Arial"/>
        </w:rPr>
        <w:t>.</w:t>
      </w:r>
    </w:p>
    <w:p w14:paraId="64BD9002"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118" w:name="_Toc341876089"/>
      <w:bookmarkStart w:id="119" w:name="_Toc301334610"/>
      <w:bookmarkStart w:id="120" w:name="_Toc300916221"/>
      <w:bookmarkStart w:id="121" w:name="_Toc134099291"/>
      <w:r w:rsidRPr="00925BCD">
        <w:rPr>
          <w:i w:val="0"/>
          <w:sz w:val="20"/>
          <w:szCs w:val="20"/>
        </w:rPr>
        <w:t>Podzadanie 3. Kontrola żywności pochodzenia zwierzęcego na obecność pozostałości środków ochrony roślin</w:t>
      </w:r>
      <w:bookmarkEnd w:id="118"/>
      <w:bookmarkEnd w:id="119"/>
      <w:bookmarkEnd w:id="120"/>
      <w:bookmarkEnd w:id="121"/>
      <w:r w:rsidRPr="00925BCD">
        <w:rPr>
          <w:i w:val="0"/>
          <w:sz w:val="20"/>
          <w:szCs w:val="20"/>
        </w:rPr>
        <w:t xml:space="preserve"> </w:t>
      </w:r>
    </w:p>
    <w:p w14:paraId="574A8CF8" w14:textId="257A7391" w:rsidR="00056846" w:rsidRPr="00253AD3" w:rsidRDefault="00E54725" w:rsidP="00EC2F01">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sz w:val="20"/>
          <w:szCs w:val="20"/>
        </w:rPr>
        <w:t xml:space="preserve">Zadanie z zakresu kontroli pozostałości środków ochrony roślin w żywności pochodzenia zwierzęcego, w tym pestycydów </w:t>
      </w:r>
      <w:proofErr w:type="spellStart"/>
      <w:r w:rsidRPr="00253AD3">
        <w:rPr>
          <w:rFonts w:ascii="Arial" w:hAnsi="Arial" w:cs="Arial"/>
          <w:sz w:val="20"/>
          <w:szCs w:val="20"/>
        </w:rPr>
        <w:t>chloroorganicznych</w:t>
      </w:r>
      <w:proofErr w:type="spellEnd"/>
      <w:r w:rsidRPr="00253AD3">
        <w:rPr>
          <w:rFonts w:ascii="Arial" w:hAnsi="Arial" w:cs="Arial"/>
          <w:sz w:val="20"/>
          <w:szCs w:val="20"/>
        </w:rPr>
        <w:t xml:space="preserve"> i polichlorowanych </w:t>
      </w:r>
      <w:proofErr w:type="spellStart"/>
      <w:r w:rsidRPr="00253AD3">
        <w:rPr>
          <w:rFonts w:ascii="Arial" w:hAnsi="Arial" w:cs="Arial"/>
          <w:sz w:val="20"/>
          <w:szCs w:val="20"/>
        </w:rPr>
        <w:t>bifenyli</w:t>
      </w:r>
      <w:proofErr w:type="spellEnd"/>
      <w:r w:rsidRPr="00253AD3">
        <w:rPr>
          <w:rFonts w:ascii="Arial" w:hAnsi="Arial" w:cs="Arial"/>
          <w:sz w:val="20"/>
          <w:szCs w:val="20"/>
        </w:rPr>
        <w:t xml:space="preserve"> oraz pestycydów fosforoorganicznych, należy do kompetencji Inspekcji Weterynaryjnej. Podstawę prawną stanowi art. 16 ust. 3 ustawy z dnia 16 grudnia 2005 r. o produktach pochodzenia zwierzęcego (Dz. U. z 2017 r. poz. 242, z późn. zm.) oraz rozporządzenie Ministra Rolnictwa i Rozwoju Wsi z dnia 21 czerwca 2017 r. w sprawie monitorowania substancji niedozwolonych, pozostałości chemicznych, biologicznych, produktów leczniczych i skażeń promieniotwórczych (Dz. U. poz. 1246), wdrażające do polskiego prawa</w:t>
      </w:r>
      <w:r w:rsidR="00CA3B99">
        <w:rPr>
          <w:rFonts w:ascii="Arial" w:hAnsi="Arial" w:cs="Arial"/>
          <w:sz w:val="20"/>
          <w:szCs w:val="20"/>
        </w:rPr>
        <w:t xml:space="preserve"> r</w:t>
      </w:r>
      <w:r w:rsidR="00CA3B99" w:rsidRPr="007C06CA">
        <w:rPr>
          <w:rFonts w:ascii="Arial" w:hAnsi="Arial" w:cs="Arial"/>
          <w:sz w:val="20"/>
          <w:szCs w:val="20"/>
        </w:rPr>
        <w:t>ozporządzenie Parlamentu Europejskiego I Rady (U</w:t>
      </w:r>
      <w:r w:rsidR="00CA3B99">
        <w:rPr>
          <w:rFonts w:ascii="Arial" w:hAnsi="Arial" w:cs="Arial"/>
          <w:sz w:val="20"/>
          <w:szCs w:val="20"/>
        </w:rPr>
        <w:t>E</w:t>
      </w:r>
      <w:r w:rsidR="00CA3B99" w:rsidRPr="007C06CA">
        <w:rPr>
          <w:rFonts w:ascii="Arial" w:hAnsi="Arial" w:cs="Arial"/>
          <w:sz w:val="20"/>
          <w:szCs w:val="20"/>
        </w:rPr>
        <w:t>) 2017/625</w:t>
      </w:r>
      <w:r w:rsidR="00CA3B99">
        <w:rPr>
          <w:rFonts w:ascii="Arial" w:hAnsi="Arial" w:cs="Arial"/>
          <w:sz w:val="20"/>
          <w:szCs w:val="20"/>
        </w:rPr>
        <w:t xml:space="preserve"> </w:t>
      </w:r>
      <w:r w:rsidR="00CA3B99" w:rsidRPr="007C06CA">
        <w:rPr>
          <w:rFonts w:ascii="Arial" w:hAnsi="Arial" w:cs="Arial"/>
          <w:sz w:val="20"/>
          <w:szCs w:val="20"/>
        </w:rPr>
        <w:t>z dnia 15 marca 2017 r.</w:t>
      </w:r>
      <w:r w:rsidR="00CA3B99">
        <w:rPr>
          <w:rFonts w:ascii="Arial" w:hAnsi="Arial" w:cs="Arial"/>
          <w:sz w:val="20"/>
          <w:szCs w:val="20"/>
        </w:rPr>
        <w:t xml:space="preserve"> </w:t>
      </w:r>
      <w:r w:rsidR="00CA3B99" w:rsidRPr="007C06CA">
        <w:rPr>
          <w:rFonts w:ascii="Arial" w:hAnsi="Arial" w:cs="Arial"/>
          <w:sz w:val="20"/>
          <w:szCs w:val="20"/>
        </w:rPr>
        <w:t>w sprawie kontroli urzędowych i innych czynności urzędowych przeprowadzanych w celu</w:t>
      </w:r>
      <w:r w:rsidR="00CA3B99">
        <w:rPr>
          <w:rFonts w:ascii="Arial" w:hAnsi="Arial" w:cs="Arial"/>
          <w:sz w:val="20"/>
          <w:szCs w:val="20"/>
        </w:rPr>
        <w:t xml:space="preserve"> </w:t>
      </w:r>
      <w:r w:rsidR="00CA3B99" w:rsidRPr="007C06CA">
        <w:rPr>
          <w:rFonts w:ascii="Arial" w:hAnsi="Arial" w:cs="Arial"/>
          <w:sz w:val="20"/>
          <w:szCs w:val="20"/>
        </w:rPr>
        <w:t xml:space="preserve">zapewnienia stosowania </w:t>
      </w:r>
      <w:r w:rsidR="00CA3B99" w:rsidRPr="007C06CA">
        <w:rPr>
          <w:rFonts w:ascii="Arial" w:hAnsi="Arial" w:cs="Arial"/>
          <w:sz w:val="20"/>
          <w:szCs w:val="20"/>
        </w:rPr>
        <w:lastRenderedPageBreak/>
        <w:t>prawa żywnościowego i paszowego oraz zasad dotyczących zdrowia</w:t>
      </w:r>
      <w:r w:rsidR="00CA3B99">
        <w:rPr>
          <w:rFonts w:ascii="Arial" w:hAnsi="Arial" w:cs="Arial"/>
          <w:sz w:val="20"/>
          <w:szCs w:val="20"/>
        </w:rPr>
        <w:t xml:space="preserve"> </w:t>
      </w:r>
      <w:r w:rsidR="00CA3B99" w:rsidRPr="007C06CA">
        <w:rPr>
          <w:rFonts w:ascii="Arial" w:hAnsi="Arial" w:cs="Arial"/>
          <w:sz w:val="20"/>
          <w:szCs w:val="20"/>
        </w:rPr>
        <w:t>i dobrostanu zwierząt, zdrowia roślin i środków ochrony roślin, zmieniające rozporządzenia</w:t>
      </w:r>
      <w:r w:rsidR="00CA3B99">
        <w:rPr>
          <w:rFonts w:ascii="Arial" w:hAnsi="Arial" w:cs="Arial"/>
          <w:sz w:val="20"/>
          <w:szCs w:val="20"/>
        </w:rPr>
        <w:t xml:space="preserve"> </w:t>
      </w:r>
      <w:r w:rsidR="00CA3B99" w:rsidRPr="007C06CA">
        <w:rPr>
          <w:rFonts w:ascii="Arial" w:hAnsi="Arial" w:cs="Arial"/>
          <w:sz w:val="20"/>
          <w:szCs w:val="20"/>
        </w:rPr>
        <w:t>Parlamentu Europejskiego i Rady (WE) nr</w:t>
      </w:r>
      <w:r w:rsidR="007D7366">
        <w:rPr>
          <w:rFonts w:ascii="Arial" w:hAnsi="Arial" w:cs="Arial"/>
          <w:sz w:val="20"/>
          <w:szCs w:val="20"/>
        </w:rPr>
        <w:t> </w:t>
      </w:r>
      <w:r w:rsidR="00CA3B99" w:rsidRPr="007C06CA">
        <w:rPr>
          <w:rFonts w:ascii="Arial" w:hAnsi="Arial" w:cs="Arial"/>
          <w:sz w:val="20"/>
          <w:szCs w:val="20"/>
        </w:rPr>
        <w:t>999/2001, (WE) nr 396/2005, (WE) nr 1069/2009, (WE)</w:t>
      </w:r>
      <w:r w:rsidR="00CA3B99">
        <w:rPr>
          <w:rFonts w:ascii="Arial" w:hAnsi="Arial" w:cs="Arial"/>
          <w:sz w:val="20"/>
          <w:szCs w:val="20"/>
        </w:rPr>
        <w:t xml:space="preserve"> </w:t>
      </w:r>
      <w:r w:rsidR="00CA3B99" w:rsidRPr="007C06CA">
        <w:rPr>
          <w:rFonts w:ascii="Arial" w:hAnsi="Arial" w:cs="Arial"/>
          <w:sz w:val="20"/>
          <w:szCs w:val="20"/>
        </w:rPr>
        <w:t>nr 1107/2009, (UE) nr 1151/2012, (UE) nr</w:t>
      </w:r>
      <w:r w:rsidR="007D7366">
        <w:rPr>
          <w:rFonts w:ascii="Arial" w:hAnsi="Arial" w:cs="Arial"/>
          <w:sz w:val="20"/>
          <w:szCs w:val="20"/>
        </w:rPr>
        <w:t> </w:t>
      </w:r>
      <w:r w:rsidR="00CA3B99" w:rsidRPr="007C06CA">
        <w:rPr>
          <w:rFonts w:ascii="Arial" w:hAnsi="Arial" w:cs="Arial"/>
          <w:sz w:val="20"/>
          <w:szCs w:val="20"/>
        </w:rPr>
        <w:t>652/2014, (UE) 2016/429 i (UE) 2016/2031,</w:t>
      </w:r>
      <w:r w:rsidR="00CA3B99">
        <w:rPr>
          <w:rFonts w:ascii="Arial" w:hAnsi="Arial" w:cs="Arial"/>
          <w:sz w:val="20"/>
          <w:szCs w:val="20"/>
        </w:rPr>
        <w:t xml:space="preserve"> </w:t>
      </w:r>
      <w:r w:rsidR="00CA3B99" w:rsidRPr="007C06CA">
        <w:rPr>
          <w:rFonts w:ascii="Arial" w:hAnsi="Arial" w:cs="Arial"/>
          <w:sz w:val="20"/>
          <w:szCs w:val="20"/>
        </w:rPr>
        <w:t>rozporządzenia Rady (WE) nr 1/2005 i (WE) nr</w:t>
      </w:r>
      <w:r w:rsidR="007D7366">
        <w:rPr>
          <w:rFonts w:ascii="Arial" w:hAnsi="Arial" w:cs="Arial"/>
          <w:sz w:val="20"/>
          <w:szCs w:val="20"/>
        </w:rPr>
        <w:t> </w:t>
      </w:r>
      <w:r w:rsidR="00CA3B99" w:rsidRPr="007C06CA">
        <w:rPr>
          <w:rFonts w:ascii="Arial" w:hAnsi="Arial" w:cs="Arial"/>
          <w:sz w:val="20"/>
          <w:szCs w:val="20"/>
        </w:rPr>
        <w:t>1099/2009 oraz dyrektywy Rady 98/58/WE, 1999/74/WE, 2007/43/WE, 2008/119/WE i 2008/120/WE, oraz uchylające rozporządzenia Parlamentu</w:t>
      </w:r>
      <w:r w:rsidR="00CA3B99">
        <w:rPr>
          <w:rFonts w:ascii="Arial" w:hAnsi="Arial" w:cs="Arial"/>
          <w:sz w:val="20"/>
          <w:szCs w:val="20"/>
        </w:rPr>
        <w:t xml:space="preserve"> </w:t>
      </w:r>
      <w:r w:rsidR="00CA3B99" w:rsidRPr="007C06CA">
        <w:rPr>
          <w:rFonts w:ascii="Arial" w:hAnsi="Arial" w:cs="Arial"/>
          <w:sz w:val="20"/>
          <w:szCs w:val="20"/>
        </w:rPr>
        <w:t>Europejskiego i Rady (WE) nr 854/2004 i (WE) nr</w:t>
      </w:r>
      <w:r w:rsidR="007D7366">
        <w:rPr>
          <w:rFonts w:ascii="Arial" w:hAnsi="Arial" w:cs="Arial"/>
          <w:sz w:val="20"/>
          <w:szCs w:val="20"/>
        </w:rPr>
        <w:t> </w:t>
      </w:r>
      <w:r w:rsidR="00CA3B99" w:rsidRPr="007C06CA">
        <w:rPr>
          <w:rFonts w:ascii="Arial" w:hAnsi="Arial" w:cs="Arial"/>
          <w:sz w:val="20"/>
          <w:szCs w:val="20"/>
        </w:rPr>
        <w:t>882/2004, dyrektywy Rady 89/608/EWG, 89/662/</w:t>
      </w:r>
      <w:r w:rsidR="00CA3B99">
        <w:rPr>
          <w:rFonts w:ascii="Arial" w:hAnsi="Arial" w:cs="Arial"/>
          <w:sz w:val="20"/>
          <w:szCs w:val="20"/>
        </w:rPr>
        <w:t xml:space="preserve"> </w:t>
      </w:r>
      <w:r w:rsidR="00CA3B99" w:rsidRPr="007C06CA">
        <w:rPr>
          <w:rFonts w:ascii="Arial" w:hAnsi="Arial" w:cs="Arial"/>
          <w:sz w:val="20"/>
          <w:szCs w:val="20"/>
        </w:rPr>
        <w:t>EWG, 90/425/EWG, 91/496/EWG, 96/23/WE, 96/93/WE i 97/78/WE oraz decyzję Rady 92/438/EWG</w:t>
      </w:r>
      <w:r w:rsidR="00CA3B99">
        <w:rPr>
          <w:rFonts w:ascii="Arial" w:hAnsi="Arial" w:cs="Arial"/>
          <w:sz w:val="20"/>
          <w:szCs w:val="20"/>
        </w:rPr>
        <w:t xml:space="preserve"> </w:t>
      </w:r>
      <w:r w:rsidR="00CA3B99" w:rsidRPr="007C06CA">
        <w:rPr>
          <w:rFonts w:ascii="Arial" w:hAnsi="Arial" w:cs="Arial"/>
          <w:sz w:val="20"/>
          <w:szCs w:val="20"/>
        </w:rPr>
        <w:t>(rozporządzenie w sprawie kontroli urzędowych)</w:t>
      </w:r>
      <w:r w:rsidRPr="00253AD3">
        <w:rPr>
          <w:rFonts w:ascii="Arial" w:hAnsi="Arial" w:cs="Arial"/>
          <w:sz w:val="20"/>
          <w:szCs w:val="20"/>
        </w:rPr>
        <w:t xml:space="preserve">. Założenia programu badań pozostałości, jego plan, jak i wyniki tych badań, są opracowywane przez Państwowy Instytut Weterynaryjny – Państwowy Instytut Badawczy w Puławach, zatwierdzane do realizacji przez Głównego Lekarza Weterynarii, a następnie akceptowane przez Komisję Europejską. </w:t>
      </w:r>
    </w:p>
    <w:p w14:paraId="620EE3AD" w14:textId="77777777" w:rsidR="00056846" w:rsidRPr="00253AD3" w:rsidRDefault="00E54725" w:rsidP="00EC2F01">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b/>
          <w:sz w:val="20"/>
          <w:szCs w:val="20"/>
        </w:rPr>
        <w:t>W 2018 r.</w:t>
      </w:r>
      <w:r w:rsidRPr="00253AD3">
        <w:rPr>
          <w:rFonts w:ascii="Arial" w:hAnsi="Arial" w:cs="Arial"/>
          <w:sz w:val="20"/>
          <w:szCs w:val="20"/>
        </w:rPr>
        <w:t xml:space="preserve"> na zbadanych 1 126 próbek mleka, miodu, jaj jak również tych pobranych od zwierząt (bydło, świnie, owce, konie, króliki, ryby, drób, zwierzęta łowne) 2 próbki były niezgodne.</w:t>
      </w:r>
    </w:p>
    <w:p w14:paraId="70415F07" w14:textId="051B7E5A" w:rsidR="00EC2F01" w:rsidRPr="00253AD3" w:rsidRDefault="00EC2F01" w:rsidP="00EC2F01">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b/>
          <w:sz w:val="20"/>
          <w:szCs w:val="20"/>
        </w:rPr>
        <w:t>W 2019 r.</w:t>
      </w:r>
      <w:r w:rsidRPr="00253AD3">
        <w:rPr>
          <w:rFonts w:ascii="Arial" w:hAnsi="Arial" w:cs="Arial"/>
          <w:sz w:val="20"/>
          <w:szCs w:val="20"/>
        </w:rPr>
        <w:t xml:space="preserve"> wśród 1</w:t>
      </w:r>
      <w:r w:rsidR="00485172" w:rsidRPr="00253AD3">
        <w:rPr>
          <w:rFonts w:ascii="Arial" w:hAnsi="Arial" w:cs="Arial"/>
          <w:sz w:val="20"/>
          <w:szCs w:val="20"/>
        </w:rPr>
        <w:t> </w:t>
      </w:r>
      <w:r w:rsidRPr="00253AD3">
        <w:rPr>
          <w:rFonts w:ascii="Arial" w:hAnsi="Arial" w:cs="Arial"/>
          <w:sz w:val="20"/>
          <w:szCs w:val="20"/>
        </w:rPr>
        <w:t>309</w:t>
      </w:r>
      <w:r w:rsidR="00485172" w:rsidRPr="00253AD3">
        <w:rPr>
          <w:rFonts w:ascii="Arial" w:hAnsi="Arial" w:cs="Arial"/>
          <w:sz w:val="20"/>
          <w:szCs w:val="20"/>
        </w:rPr>
        <w:t xml:space="preserve">, a </w:t>
      </w:r>
      <w:r w:rsidR="00485172" w:rsidRPr="009F4EBD">
        <w:rPr>
          <w:rFonts w:ascii="Arial" w:hAnsi="Arial" w:cs="Arial"/>
          <w:b/>
          <w:bCs/>
          <w:sz w:val="20"/>
          <w:szCs w:val="20"/>
        </w:rPr>
        <w:t>w 2020 r.</w:t>
      </w:r>
      <w:r w:rsidR="00485172" w:rsidRPr="00253AD3">
        <w:rPr>
          <w:rFonts w:ascii="Arial" w:hAnsi="Arial" w:cs="Arial"/>
          <w:sz w:val="20"/>
          <w:szCs w:val="20"/>
        </w:rPr>
        <w:t xml:space="preserve"> wśród 988 </w:t>
      </w:r>
      <w:r w:rsidRPr="00253AD3">
        <w:rPr>
          <w:rFonts w:ascii="Arial" w:hAnsi="Arial" w:cs="Arial"/>
          <w:sz w:val="20"/>
          <w:szCs w:val="20"/>
        </w:rPr>
        <w:t>analizowanych próbek w ramach programu badań kontrolnych obecności substancji niedozwolonych oraz pozostałości chemicznych, biologicznych i</w:t>
      </w:r>
      <w:r w:rsidR="003A1F25">
        <w:rPr>
          <w:rFonts w:ascii="Arial" w:hAnsi="Arial" w:cs="Arial"/>
          <w:sz w:val="20"/>
          <w:szCs w:val="20"/>
        </w:rPr>
        <w:t> </w:t>
      </w:r>
      <w:r w:rsidRPr="00253AD3">
        <w:rPr>
          <w:rFonts w:ascii="Arial" w:hAnsi="Arial" w:cs="Arial"/>
          <w:sz w:val="20"/>
          <w:szCs w:val="20"/>
        </w:rPr>
        <w:t xml:space="preserve">produktów leczniczych u zwierząt i w żywności pochodzenia zwierzęcego nie stwierdzono występowania wyników niezgodnych w zakresie kontrolowania akarycydów, pestycydów </w:t>
      </w:r>
      <w:proofErr w:type="spellStart"/>
      <w:r w:rsidRPr="00253AD3">
        <w:rPr>
          <w:rFonts w:ascii="Arial" w:hAnsi="Arial" w:cs="Arial"/>
          <w:sz w:val="20"/>
          <w:szCs w:val="20"/>
        </w:rPr>
        <w:t>chloroorganicznych</w:t>
      </w:r>
      <w:proofErr w:type="spellEnd"/>
      <w:r w:rsidRPr="00253AD3">
        <w:rPr>
          <w:rFonts w:ascii="Arial" w:hAnsi="Arial" w:cs="Arial"/>
          <w:sz w:val="20"/>
          <w:szCs w:val="20"/>
        </w:rPr>
        <w:t xml:space="preserve"> i PCB oraz pestycydów fosforoorganicznych.</w:t>
      </w:r>
    </w:p>
    <w:p w14:paraId="57395FFB" w14:textId="0C1D5AC1" w:rsidR="00485172" w:rsidRPr="00253AD3" w:rsidRDefault="00485172" w:rsidP="00485172">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sz w:val="20"/>
          <w:szCs w:val="20"/>
        </w:rPr>
        <w:t>W żadnej z analizowanych próbek nie stwierdzono wyników niezgodnych w ww. kierunkach.</w:t>
      </w:r>
    </w:p>
    <w:p w14:paraId="77A1266B" w14:textId="4F4D0328" w:rsidR="00485172" w:rsidRDefault="00485172" w:rsidP="00485172">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sz w:val="20"/>
          <w:szCs w:val="20"/>
        </w:rPr>
        <w:t xml:space="preserve">Ocena wyników badań dotycząca pestycydów i polichlorowanych </w:t>
      </w:r>
      <w:proofErr w:type="spellStart"/>
      <w:r w:rsidRPr="00253AD3">
        <w:rPr>
          <w:rFonts w:ascii="Arial" w:hAnsi="Arial" w:cs="Arial"/>
          <w:sz w:val="20"/>
          <w:szCs w:val="20"/>
        </w:rPr>
        <w:t>bifenyli</w:t>
      </w:r>
      <w:proofErr w:type="spellEnd"/>
      <w:r w:rsidRPr="00253AD3">
        <w:rPr>
          <w:rFonts w:ascii="Arial" w:hAnsi="Arial" w:cs="Arial"/>
          <w:sz w:val="20"/>
          <w:szCs w:val="20"/>
        </w:rPr>
        <w:t xml:space="preserve"> – PCB (grupa B3a) wskazywała na występowanie niskich stężeń tych związków, często na poziomie wykrywalności stosowanych metod analitycznych.</w:t>
      </w:r>
    </w:p>
    <w:p w14:paraId="79CCEE74" w14:textId="7112A485" w:rsidR="00F22E27" w:rsidRPr="00253AD3" w:rsidRDefault="00F22E27" w:rsidP="00F22E27">
      <w:pPr>
        <w:tabs>
          <w:tab w:val="center" w:pos="4536"/>
          <w:tab w:val="right" w:pos="9072"/>
        </w:tabs>
        <w:spacing w:after="120" w:line="360" w:lineRule="auto"/>
        <w:ind w:firstLine="357"/>
        <w:jc w:val="both"/>
        <w:rPr>
          <w:rFonts w:ascii="Arial" w:hAnsi="Arial" w:cs="Arial"/>
          <w:sz w:val="20"/>
          <w:szCs w:val="20"/>
        </w:rPr>
      </w:pPr>
      <w:r w:rsidRPr="000F763A">
        <w:rPr>
          <w:rFonts w:ascii="Arial" w:hAnsi="Arial" w:cs="Arial"/>
          <w:b/>
          <w:bCs/>
          <w:sz w:val="20"/>
          <w:szCs w:val="20"/>
        </w:rPr>
        <w:t>W 2021 r.</w:t>
      </w:r>
      <w:r>
        <w:rPr>
          <w:rFonts w:ascii="Arial" w:hAnsi="Arial" w:cs="Arial"/>
          <w:sz w:val="20"/>
          <w:szCs w:val="20"/>
        </w:rPr>
        <w:t xml:space="preserve">, podobnie jak w latach poprzednich pobrano i zbadano łącznie 878 próbek żywności pochodzenia zwierzęcego, w tym 675 stanowiły badania w kierunku </w:t>
      </w:r>
      <w:r w:rsidRPr="003A2726">
        <w:rPr>
          <w:rFonts w:ascii="Arial" w:hAnsi="Arial" w:cs="Arial"/>
          <w:sz w:val="20"/>
          <w:szCs w:val="20"/>
        </w:rPr>
        <w:t xml:space="preserve">pestycydów </w:t>
      </w:r>
      <w:proofErr w:type="spellStart"/>
      <w:r w:rsidRPr="003A2726">
        <w:rPr>
          <w:rFonts w:ascii="Arial" w:hAnsi="Arial" w:cs="Arial"/>
          <w:sz w:val="20"/>
          <w:szCs w:val="20"/>
        </w:rPr>
        <w:t>chloroorganicznych</w:t>
      </w:r>
      <w:proofErr w:type="spellEnd"/>
      <w:r w:rsidRPr="003A2726">
        <w:rPr>
          <w:rFonts w:ascii="Arial" w:hAnsi="Arial" w:cs="Arial"/>
          <w:sz w:val="20"/>
          <w:szCs w:val="20"/>
        </w:rPr>
        <w:t xml:space="preserve"> i</w:t>
      </w:r>
      <w:r w:rsidR="000F763A">
        <w:rPr>
          <w:rFonts w:ascii="Arial" w:hAnsi="Arial" w:cs="Arial"/>
          <w:sz w:val="20"/>
          <w:szCs w:val="20"/>
        </w:rPr>
        <w:t> </w:t>
      </w:r>
      <w:r w:rsidRPr="003A2726">
        <w:rPr>
          <w:rFonts w:ascii="Arial" w:hAnsi="Arial" w:cs="Arial"/>
          <w:sz w:val="20"/>
          <w:szCs w:val="20"/>
        </w:rPr>
        <w:t>PCB</w:t>
      </w:r>
      <w:r w:rsidR="000F763A">
        <w:rPr>
          <w:rFonts w:ascii="Arial" w:hAnsi="Arial" w:cs="Arial"/>
          <w:sz w:val="20"/>
          <w:szCs w:val="20"/>
        </w:rPr>
        <w:t xml:space="preserve">, </w:t>
      </w:r>
      <w:r>
        <w:rPr>
          <w:rFonts w:ascii="Arial" w:hAnsi="Arial" w:cs="Arial"/>
          <w:sz w:val="20"/>
          <w:szCs w:val="20"/>
        </w:rPr>
        <w:t xml:space="preserve">a 203 w kierunku </w:t>
      </w:r>
      <w:r w:rsidRPr="003A2726">
        <w:rPr>
          <w:rFonts w:ascii="Arial" w:hAnsi="Arial" w:cs="Arial"/>
          <w:sz w:val="20"/>
          <w:szCs w:val="20"/>
        </w:rPr>
        <w:t>pestycydów fosforoorganicznych</w:t>
      </w:r>
      <w:r>
        <w:rPr>
          <w:rFonts w:ascii="Arial" w:hAnsi="Arial" w:cs="Arial"/>
          <w:sz w:val="20"/>
          <w:szCs w:val="20"/>
        </w:rPr>
        <w:t xml:space="preserve">. W ramach wykonanych analiz </w:t>
      </w:r>
      <w:r w:rsidRPr="003A2726">
        <w:rPr>
          <w:rFonts w:ascii="Arial" w:hAnsi="Arial" w:cs="Arial"/>
          <w:sz w:val="20"/>
          <w:szCs w:val="20"/>
        </w:rPr>
        <w:t>nie stwierdzono wyników niezgodnych</w:t>
      </w:r>
      <w:r>
        <w:rPr>
          <w:rFonts w:ascii="Arial" w:hAnsi="Arial" w:cs="Arial"/>
          <w:sz w:val="20"/>
          <w:szCs w:val="20"/>
        </w:rPr>
        <w:t>.</w:t>
      </w:r>
    </w:p>
    <w:p w14:paraId="4A4EFD7B" w14:textId="77777777" w:rsidR="00056846" w:rsidRPr="00925BCD" w:rsidRDefault="00E54725">
      <w:pPr>
        <w:pStyle w:val="Nagwek2"/>
        <w:jc w:val="both"/>
        <w:rPr>
          <w:i w:val="0"/>
          <w:sz w:val="20"/>
          <w:szCs w:val="20"/>
        </w:rPr>
      </w:pPr>
      <w:bookmarkStart w:id="122" w:name="_Toc341876114"/>
      <w:bookmarkStart w:id="123" w:name="_Hlk94707373"/>
      <w:bookmarkStart w:id="124" w:name="_Toc134099292"/>
      <w:r w:rsidRPr="00925BCD">
        <w:rPr>
          <w:i w:val="0"/>
          <w:sz w:val="20"/>
          <w:szCs w:val="20"/>
        </w:rPr>
        <w:t xml:space="preserve">Zadanie 3. </w:t>
      </w:r>
      <w:r w:rsidRPr="008B151E">
        <w:rPr>
          <w:i w:val="0"/>
          <w:sz w:val="20"/>
          <w:szCs w:val="20"/>
        </w:rPr>
        <w:t>Opracowanie wskaźników oraz analiza ryzyka związanego ze stosowaniem środków ochrony roślin</w:t>
      </w:r>
      <w:bookmarkEnd w:id="122"/>
      <w:bookmarkEnd w:id="124"/>
    </w:p>
    <w:p w14:paraId="535F3A23" w14:textId="057926FA" w:rsidR="00056846" w:rsidRPr="00925BCD" w:rsidRDefault="00E54725" w:rsidP="00EC2F01">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 xml:space="preserve">Na podstawie danych uzyskanych w trakcie działań kontrolnych, badań statystycznych dotyczących obrotu środkami ochrony roślin i stosowania środków ochrony roślin oraz systemów monitorowania zjawisk związanych ze środkami ochrony roślin, w ramach programu wieloletniego </w:t>
      </w:r>
      <w:r w:rsidR="00FB4A76">
        <w:rPr>
          <w:rFonts w:ascii="Arial" w:hAnsi="Arial" w:cs="Arial"/>
        </w:rPr>
        <w:t xml:space="preserve">oraz zadań dotacji celowej, </w:t>
      </w:r>
      <w:r w:rsidRPr="00925BCD">
        <w:rPr>
          <w:rFonts w:ascii="Arial" w:hAnsi="Arial" w:cs="Arial"/>
        </w:rPr>
        <w:t>realizowan</w:t>
      </w:r>
      <w:r w:rsidR="00FB4A76">
        <w:rPr>
          <w:rFonts w:ascii="Arial" w:hAnsi="Arial" w:cs="Arial"/>
        </w:rPr>
        <w:t xml:space="preserve">ych </w:t>
      </w:r>
      <w:r w:rsidRPr="00925BCD">
        <w:rPr>
          <w:rFonts w:ascii="Arial" w:hAnsi="Arial" w:cs="Arial"/>
        </w:rPr>
        <w:t xml:space="preserve">przez Instytut Ochrony Roślin – PIB, doskonalone są opracowane w ramach krajowego planu działania na lata 2013–2017 krajowe wskaźniki ryzyka związanego ze stosowaniem środków ochrony roślin, a także wykonywane są stosowne obliczenia wartości tych wskaźników. Wskaźniki w kolejnych latach pozwolą na analizę zagrożeń związanych ze stosowaniem środków ochrony roślin, stanowiąc podstawę do zarządzania ryzykiem i kształtowania polityki w odniesieniu do środków ochrony roślin. </w:t>
      </w:r>
    </w:p>
    <w:p w14:paraId="0746447C" w14:textId="77777777" w:rsidR="00056846" w:rsidRPr="00925BCD" w:rsidRDefault="00E54725" w:rsidP="00EC2F01">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 xml:space="preserve">W ramach programu wieloletniego realizowanego przez Instytut Ochrony Roślin – PIB pn. „Ochrona </w:t>
      </w:r>
      <w:r w:rsidRPr="00925BCD">
        <w:rPr>
          <w:rFonts w:ascii="Arial" w:hAnsi="Arial" w:cs="Arial"/>
        </w:rPr>
        <w:lastRenderedPageBreak/>
        <w:t>roślin uprawnych z uwzględnieniem bezpieczeństwa żywności oraz ograniczenia strat w plonach i zagrożeń dla zdrowia ludzi, zwierząt domowych i środowiska”, w 2018 r. została doprecyzowana postać zestawu krajowych wskaźników ryzyka związanego ze stosowaniem środków ochrony roślin. Aktualny zestaw wskaźników obejmuje:</w:t>
      </w:r>
    </w:p>
    <w:p w14:paraId="2DBDEE83"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 xml:space="preserve">Wskaźnik pozostałości pestycydowych w płodach rolnych przeznaczonych do spożycia </w:t>
      </w:r>
      <w:r w:rsidRPr="00925BCD">
        <w:rPr>
          <w:rFonts w:ascii="Arial" w:hAnsi="Arial" w:cs="Arial"/>
          <w:sz w:val="20"/>
          <w:szCs w:val="20"/>
        </w:rPr>
        <w:br/>
        <w:t>i przetwórstwa (</w:t>
      </w:r>
      <w:proofErr w:type="spellStart"/>
      <w:r w:rsidRPr="00925BCD">
        <w:rPr>
          <w:rFonts w:ascii="Arial" w:hAnsi="Arial" w:cs="Arial"/>
          <w:sz w:val="20"/>
          <w:szCs w:val="20"/>
        </w:rPr>
        <w:t>W</w:t>
      </w:r>
      <w:r w:rsidRPr="00925BCD">
        <w:rPr>
          <w:rFonts w:ascii="Arial" w:hAnsi="Arial" w:cs="Arial"/>
          <w:sz w:val="20"/>
          <w:szCs w:val="20"/>
          <w:vertAlign w:val="subscript"/>
        </w:rPr>
        <w:t>Poz</w:t>
      </w:r>
      <w:proofErr w:type="spellEnd"/>
      <w:r w:rsidRPr="00925BCD">
        <w:rPr>
          <w:rFonts w:ascii="Arial" w:hAnsi="Arial" w:cs="Arial"/>
          <w:sz w:val="20"/>
          <w:szCs w:val="20"/>
          <w:vertAlign w:val="subscript"/>
        </w:rPr>
        <w:t>.</w:t>
      </w:r>
      <w:r w:rsidRPr="00925BCD">
        <w:rPr>
          <w:rFonts w:ascii="Arial" w:hAnsi="Arial" w:cs="Arial"/>
          <w:sz w:val="20"/>
          <w:szCs w:val="20"/>
        </w:rPr>
        <w:t>);</w:t>
      </w:r>
    </w:p>
    <w:p w14:paraId="6A73EA88"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nieprawidłowości towarzyszących stosowaniu środków ochrony roślin:</w:t>
      </w:r>
    </w:p>
    <w:p w14:paraId="7BF96687"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 xml:space="preserve">Wskaźnik wykryć przekroczeń NDP w kontroli pozostałości </w:t>
      </w:r>
      <w:proofErr w:type="spellStart"/>
      <w:r w:rsidRPr="00925BCD">
        <w:rPr>
          <w:rFonts w:ascii="Arial" w:hAnsi="Arial" w:cs="Arial"/>
          <w:sz w:val="20"/>
          <w:szCs w:val="20"/>
        </w:rPr>
        <w:t>ś.o.r</w:t>
      </w:r>
      <w:proofErr w:type="spellEnd"/>
      <w:r w:rsidRPr="00925BCD">
        <w:rPr>
          <w:rFonts w:ascii="Arial" w:hAnsi="Arial" w:cs="Arial"/>
          <w:sz w:val="20"/>
          <w:szCs w:val="20"/>
        </w:rPr>
        <w:t>. (W</w:t>
      </w:r>
      <w:r w:rsidRPr="00925BCD">
        <w:rPr>
          <w:rFonts w:ascii="Arial" w:hAnsi="Arial" w:cs="Arial"/>
          <w:sz w:val="20"/>
          <w:szCs w:val="20"/>
          <w:vertAlign w:val="subscript"/>
        </w:rPr>
        <w:t>S.NDP</w:t>
      </w:r>
      <w:r w:rsidRPr="00925BCD">
        <w:rPr>
          <w:rFonts w:ascii="Arial" w:hAnsi="Arial" w:cs="Arial"/>
          <w:sz w:val="20"/>
          <w:szCs w:val="20"/>
        </w:rPr>
        <w:t>),</w:t>
      </w:r>
    </w:p>
    <w:p w14:paraId="29DF444D"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 xml:space="preserve">Wskaźnik wykryć substancji niedopuszczonych do stosowania w kontroli pozostałości </w:t>
      </w:r>
      <w:proofErr w:type="spellStart"/>
      <w:r w:rsidRPr="00925BCD">
        <w:rPr>
          <w:rFonts w:ascii="Arial" w:hAnsi="Arial" w:cs="Arial"/>
          <w:sz w:val="20"/>
          <w:szCs w:val="20"/>
        </w:rPr>
        <w:t>ś.o.r</w:t>
      </w:r>
      <w:proofErr w:type="spellEnd"/>
      <w:r w:rsidRPr="00925BCD">
        <w:rPr>
          <w:rFonts w:ascii="Arial" w:hAnsi="Arial" w:cs="Arial"/>
          <w:sz w:val="20"/>
          <w:szCs w:val="20"/>
        </w:rPr>
        <w:t>. (</w:t>
      </w:r>
      <w:proofErr w:type="spellStart"/>
      <w:r w:rsidRPr="00925BCD">
        <w:rPr>
          <w:rFonts w:ascii="Arial" w:hAnsi="Arial" w:cs="Arial"/>
          <w:sz w:val="20"/>
          <w:szCs w:val="20"/>
        </w:rPr>
        <w:t>W</w:t>
      </w:r>
      <w:r w:rsidRPr="00925BCD">
        <w:rPr>
          <w:rFonts w:ascii="Arial" w:hAnsi="Arial" w:cs="Arial"/>
          <w:sz w:val="20"/>
          <w:szCs w:val="20"/>
          <w:vertAlign w:val="subscript"/>
        </w:rPr>
        <w:t>S.Niedop</w:t>
      </w:r>
      <w:proofErr w:type="spellEnd"/>
      <w:r w:rsidRPr="00925BCD">
        <w:rPr>
          <w:rFonts w:ascii="Arial" w:hAnsi="Arial" w:cs="Arial"/>
          <w:sz w:val="20"/>
          <w:szCs w:val="20"/>
          <w:vertAlign w:val="subscript"/>
        </w:rPr>
        <w:t>.</w:t>
      </w:r>
      <w:r w:rsidRPr="00925BCD">
        <w:rPr>
          <w:rFonts w:ascii="Arial" w:hAnsi="Arial" w:cs="Arial"/>
          <w:sz w:val="20"/>
          <w:szCs w:val="20"/>
        </w:rPr>
        <w:t>),</w:t>
      </w:r>
    </w:p>
    <w:p w14:paraId="754C102B"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 xml:space="preserve">Wskaźnik wykryć nieprawidłowości w kontroli stosowania </w:t>
      </w:r>
      <w:proofErr w:type="spellStart"/>
      <w:r w:rsidRPr="00925BCD">
        <w:rPr>
          <w:rFonts w:ascii="Arial" w:hAnsi="Arial" w:cs="Arial"/>
          <w:sz w:val="20"/>
          <w:szCs w:val="20"/>
        </w:rPr>
        <w:t>ś.o.r</w:t>
      </w:r>
      <w:proofErr w:type="spellEnd"/>
      <w:r w:rsidRPr="00925BCD">
        <w:rPr>
          <w:rFonts w:ascii="Arial" w:hAnsi="Arial" w:cs="Arial"/>
          <w:sz w:val="20"/>
          <w:szCs w:val="20"/>
        </w:rPr>
        <w:t>. (</w:t>
      </w:r>
      <w:proofErr w:type="spellStart"/>
      <w:r w:rsidRPr="00925BCD">
        <w:rPr>
          <w:rFonts w:ascii="Arial" w:hAnsi="Arial" w:cs="Arial"/>
          <w:sz w:val="20"/>
          <w:szCs w:val="20"/>
        </w:rPr>
        <w:t>W</w:t>
      </w:r>
      <w:r w:rsidRPr="00925BCD">
        <w:rPr>
          <w:rFonts w:ascii="Arial" w:hAnsi="Arial" w:cs="Arial"/>
          <w:sz w:val="20"/>
          <w:szCs w:val="20"/>
          <w:vertAlign w:val="subscript"/>
        </w:rPr>
        <w:t>S.Kontrola</w:t>
      </w:r>
      <w:proofErr w:type="spellEnd"/>
      <w:r w:rsidRPr="00925BCD">
        <w:rPr>
          <w:rFonts w:ascii="Arial" w:hAnsi="Arial" w:cs="Arial"/>
          <w:sz w:val="20"/>
          <w:szCs w:val="20"/>
        </w:rPr>
        <w:t>);</w:t>
      </w:r>
    </w:p>
    <w:p w14:paraId="0215256E"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 obciążenia pestycydowego wód powierzchniowych (W</w:t>
      </w:r>
      <w:r w:rsidRPr="00925BCD">
        <w:rPr>
          <w:rFonts w:ascii="Arial" w:hAnsi="Arial" w:cs="Arial"/>
          <w:sz w:val="20"/>
          <w:szCs w:val="20"/>
          <w:vertAlign w:val="subscript"/>
        </w:rPr>
        <w:t>WP</w:t>
      </w:r>
      <w:r w:rsidRPr="00925BCD">
        <w:rPr>
          <w:rFonts w:ascii="Arial" w:hAnsi="Arial" w:cs="Arial"/>
          <w:sz w:val="20"/>
          <w:szCs w:val="20"/>
        </w:rPr>
        <w:t>);</w:t>
      </w:r>
    </w:p>
    <w:p w14:paraId="00499E58"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sprzedaży pod względem potencjalnych zagrożeń dla zdrowia i dla środowiska:</w:t>
      </w:r>
    </w:p>
    <w:p w14:paraId="234C3DFC"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Wskaźniki struktury sprzedaży (</w:t>
      </w:r>
      <w:proofErr w:type="spellStart"/>
      <w:r w:rsidRPr="00925BCD">
        <w:rPr>
          <w:rFonts w:ascii="Arial" w:hAnsi="Arial" w:cs="Arial"/>
          <w:sz w:val="20"/>
          <w:szCs w:val="20"/>
        </w:rPr>
        <w:t>WSS</w:t>
      </w:r>
      <w:r w:rsidRPr="00925BCD">
        <w:rPr>
          <w:rFonts w:ascii="Arial" w:hAnsi="Arial" w:cs="Arial"/>
          <w:sz w:val="20"/>
          <w:szCs w:val="20"/>
          <w:vertAlign w:val="subscript"/>
        </w:rPr>
        <w:t>Zagr.Zdr</w:t>
      </w:r>
      <w:proofErr w:type="spellEnd"/>
      <w:r w:rsidRPr="00925BCD">
        <w:rPr>
          <w:rFonts w:ascii="Arial" w:hAnsi="Arial" w:cs="Arial"/>
          <w:sz w:val="20"/>
          <w:szCs w:val="20"/>
          <w:vertAlign w:val="subscript"/>
        </w:rPr>
        <w:t>.</w:t>
      </w:r>
      <w:r w:rsidRPr="00925BCD">
        <w:rPr>
          <w:rFonts w:ascii="Arial" w:hAnsi="Arial" w:cs="Arial"/>
          <w:sz w:val="20"/>
          <w:szCs w:val="20"/>
        </w:rPr>
        <w:t xml:space="preserve"> i </w:t>
      </w:r>
      <w:proofErr w:type="spellStart"/>
      <w:r w:rsidRPr="00925BCD">
        <w:rPr>
          <w:rFonts w:ascii="Arial" w:hAnsi="Arial" w:cs="Arial"/>
          <w:sz w:val="20"/>
          <w:szCs w:val="20"/>
        </w:rPr>
        <w:t>WSS</w:t>
      </w:r>
      <w:r w:rsidRPr="00925BCD">
        <w:rPr>
          <w:rFonts w:ascii="Arial" w:hAnsi="Arial" w:cs="Arial"/>
          <w:sz w:val="20"/>
          <w:szCs w:val="20"/>
          <w:vertAlign w:val="subscript"/>
        </w:rPr>
        <w:t>Zagr.Środ</w:t>
      </w:r>
      <w:proofErr w:type="spellEnd"/>
      <w:r w:rsidRPr="00925BCD">
        <w:rPr>
          <w:rFonts w:ascii="Arial" w:hAnsi="Arial" w:cs="Arial"/>
          <w:sz w:val="20"/>
          <w:szCs w:val="20"/>
          <w:vertAlign w:val="subscript"/>
        </w:rPr>
        <w:t>.</w:t>
      </w:r>
      <w:r w:rsidRPr="00925BCD">
        <w:rPr>
          <w:rFonts w:ascii="Arial" w:hAnsi="Arial" w:cs="Arial"/>
          <w:sz w:val="20"/>
          <w:szCs w:val="20"/>
        </w:rPr>
        <w:t>),</w:t>
      </w:r>
    </w:p>
    <w:p w14:paraId="3EF2B6DF"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Wskaźniki wielkości sprzedaży (</w:t>
      </w:r>
      <w:proofErr w:type="spellStart"/>
      <w:r w:rsidRPr="00925BCD">
        <w:rPr>
          <w:rFonts w:ascii="Arial" w:hAnsi="Arial" w:cs="Arial"/>
          <w:sz w:val="20"/>
          <w:szCs w:val="20"/>
        </w:rPr>
        <w:t>WS</w:t>
      </w:r>
      <w:r w:rsidRPr="00925BCD">
        <w:rPr>
          <w:rFonts w:ascii="Arial" w:hAnsi="Arial" w:cs="Arial"/>
          <w:sz w:val="20"/>
          <w:szCs w:val="20"/>
          <w:vertAlign w:val="subscript"/>
        </w:rPr>
        <w:t>Zagr.Zdr</w:t>
      </w:r>
      <w:proofErr w:type="spellEnd"/>
      <w:r w:rsidRPr="00925BCD">
        <w:rPr>
          <w:rFonts w:ascii="Arial" w:hAnsi="Arial" w:cs="Arial"/>
          <w:sz w:val="20"/>
          <w:szCs w:val="20"/>
          <w:vertAlign w:val="subscript"/>
        </w:rPr>
        <w:t>.</w:t>
      </w:r>
      <w:r w:rsidRPr="00925BCD">
        <w:rPr>
          <w:rFonts w:ascii="Arial" w:hAnsi="Arial" w:cs="Arial"/>
          <w:sz w:val="20"/>
          <w:szCs w:val="20"/>
        </w:rPr>
        <w:t xml:space="preserve"> i </w:t>
      </w:r>
      <w:proofErr w:type="spellStart"/>
      <w:r w:rsidRPr="00925BCD">
        <w:rPr>
          <w:rFonts w:ascii="Arial" w:hAnsi="Arial" w:cs="Arial"/>
          <w:sz w:val="20"/>
          <w:szCs w:val="20"/>
        </w:rPr>
        <w:t>WS</w:t>
      </w:r>
      <w:r w:rsidRPr="00925BCD">
        <w:rPr>
          <w:rFonts w:ascii="Arial" w:hAnsi="Arial" w:cs="Arial"/>
          <w:sz w:val="20"/>
          <w:szCs w:val="20"/>
          <w:vertAlign w:val="subscript"/>
        </w:rPr>
        <w:t>Zagr.Środ</w:t>
      </w:r>
      <w:proofErr w:type="spellEnd"/>
      <w:r w:rsidRPr="00925BCD">
        <w:rPr>
          <w:rFonts w:ascii="Arial" w:hAnsi="Arial" w:cs="Arial"/>
          <w:sz w:val="20"/>
          <w:szCs w:val="20"/>
          <w:vertAlign w:val="subscript"/>
        </w:rPr>
        <w:t>.</w:t>
      </w:r>
      <w:r w:rsidRPr="00925BCD">
        <w:rPr>
          <w:rFonts w:ascii="Arial" w:hAnsi="Arial" w:cs="Arial"/>
          <w:sz w:val="20"/>
          <w:szCs w:val="20"/>
        </w:rPr>
        <w:t>);</w:t>
      </w:r>
    </w:p>
    <w:p w14:paraId="005E59CA"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sprzedaży substancji priorytetowych w dziedzinie polityki wodnej:</w:t>
      </w:r>
    </w:p>
    <w:p w14:paraId="3EA74684"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wielkości sprzedaży (WS</w:t>
      </w:r>
      <w:r w:rsidRPr="00925BCD">
        <w:rPr>
          <w:rFonts w:ascii="Arial" w:hAnsi="Arial" w:cs="Arial"/>
          <w:sz w:val="20"/>
          <w:szCs w:val="20"/>
          <w:vertAlign w:val="subscript"/>
        </w:rPr>
        <w:t>PW</w:t>
      </w:r>
      <w:r w:rsidRPr="00925BCD">
        <w:rPr>
          <w:rFonts w:ascii="Arial" w:hAnsi="Arial" w:cs="Arial"/>
          <w:sz w:val="20"/>
          <w:szCs w:val="20"/>
        </w:rPr>
        <w:t>)</w:t>
      </w:r>
    </w:p>
    <w:p w14:paraId="32490F45"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struktury sprzedaży (WSS</w:t>
      </w:r>
      <w:r w:rsidRPr="00925BCD">
        <w:rPr>
          <w:rFonts w:ascii="Arial" w:hAnsi="Arial" w:cs="Arial"/>
          <w:sz w:val="20"/>
          <w:szCs w:val="20"/>
          <w:vertAlign w:val="subscript"/>
        </w:rPr>
        <w:t>PW</w:t>
      </w:r>
      <w:r w:rsidRPr="00925BCD">
        <w:rPr>
          <w:rFonts w:ascii="Arial" w:hAnsi="Arial" w:cs="Arial"/>
          <w:sz w:val="20"/>
          <w:szCs w:val="20"/>
        </w:rPr>
        <w:t>);</w:t>
      </w:r>
    </w:p>
    <w:p w14:paraId="37DB9FB6"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sprzedaży substancji czynnych wymagających programów monitorowania:</w:t>
      </w:r>
    </w:p>
    <w:p w14:paraId="7F8AD431"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wielkości sprzedaży (</w:t>
      </w:r>
      <w:proofErr w:type="spellStart"/>
      <w:r w:rsidRPr="00925BCD">
        <w:rPr>
          <w:rFonts w:ascii="Arial" w:hAnsi="Arial" w:cs="Arial"/>
          <w:sz w:val="20"/>
          <w:szCs w:val="20"/>
        </w:rPr>
        <w:t>WS</w:t>
      </w:r>
      <w:r w:rsidRPr="00925BCD">
        <w:rPr>
          <w:rFonts w:ascii="Arial" w:hAnsi="Arial" w:cs="Arial"/>
          <w:sz w:val="20"/>
          <w:szCs w:val="20"/>
          <w:vertAlign w:val="subscript"/>
        </w:rPr>
        <w:t>Monit</w:t>
      </w:r>
      <w:proofErr w:type="spellEnd"/>
      <w:r w:rsidRPr="00925BCD">
        <w:rPr>
          <w:rFonts w:ascii="Arial" w:hAnsi="Arial" w:cs="Arial"/>
          <w:sz w:val="20"/>
          <w:szCs w:val="20"/>
          <w:vertAlign w:val="subscript"/>
        </w:rPr>
        <w:t>.</w:t>
      </w:r>
      <w:r w:rsidRPr="00925BCD">
        <w:rPr>
          <w:rFonts w:ascii="Arial" w:hAnsi="Arial" w:cs="Arial"/>
          <w:sz w:val="20"/>
          <w:szCs w:val="20"/>
        </w:rPr>
        <w:t xml:space="preserve">), </w:t>
      </w:r>
    </w:p>
    <w:p w14:paraId="0BFB5C28" w14:textId="0321CB08" w:rsidR="00056846" w:rsidRPr="00925BCD" w:rsidRDefault="00E54725">
      <w:pPr>
        <w:pStyle w:val="Standard"/>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struktury sprzedaży (</w:t>
      </w:r>
      <w:proofErr w:type="spellStart"/>
      <w:r w:rsidRPr="00925BCD">
        <w:rPr>
          <w:rFonts w:ascii="Arial" w:hAnsi="Arial" w:cs="Arial"/>
          <w:sz w:val="20"/>
          <w:szCs w:val="20"/>
        </w:rPr>
        <w:t>WSS</w:t>
      </w:r>
      <w:r w:rsidRPr="00925BCD">
        <w:rPr>
          <w:rFonts w:ascii="Arial" w:hAnsi="Arial" w:cs="Arial"/>
          <w:sz w:val="20"/>
          <w:szCs w:val="20"/>
          <w:vertAlign w:val="subscript"/>
        </w:rPr>
        <w:t>Monit</w:t>
      </w:r>
      <w:proofErr w:type="spellEnd"/>
      <w:r w:rsidRPr="00925BCD">
        <w:rPr>
          <w:rFonts w:ascii="Arial" w:hAnsi="Arial" w:cs="Arial"/>
          <w:sz w:val="20"/>
          <w:szCs w:val="20"/>
          <w:vertAlign w:val="subscript"/>
        </w:rPr>
        <w:t>.</w:t>
      </w:r>
      <w:r w:rsidRPr="00925BCD">
        <w:rPr>
          <w:rFonts w:ascii="Arial" w:hAnsi="Arial" w:cs="Arial"/>
          <w:sz w:val="20"/>
          <w:szCs w:val="20"/>
        </w:rPr>
        <w:t>)</w:t>
      </w:r>
    </w:p>
    <w:p w14:paraId="450B23DA" w14:textId="230406ED" w:rsidR="00056846" w:rsidRPr="00925BCD" w:rsidRDefault="00E54725">
      <w:pPr>
        <w:pStyle w:val="NormalnyWeb"/>
        <w:tabs>
          <w:tab w:val="left" w:pos="284"/>
        </w:tabs>
        <w:spacing w:before="120" w:beforeAutospacing="0" w:after="120" w:afterAutospacing="0" w:line="360" w:lineRule="auto"/>
        <w:jc w:val="both"/>
        <w:rPr>
          <w:rFonts w:ascii="Arial" w:hAnsi="Arial" w:cs="Arial"/>
        </w:rPr>
      </w:pPr>
      <w:r w:rsidRPr="00925BCD">
        <w:rPr>
          <w:rFonts w:ascii="Arial" w:hAnsi="Arial" w:cs="Arial"/>
        </w:rPr>
        <w:t xml:space="preserve">przy czym wskaźnik </w:t>
      </w:r>
      <w:proofErr w:type="spellStart"/>
      <w:r w:rsidRPr="00925BCD">
        <w:rPr>
          <w:rFonts w:ascii="Arial" w:hAnsi="Arial" w:cs="Arial"/>
        </w:rPr>
        <w:t>W</w:t>
      </w:r>
      <w:r w:rsidRPr="00925BCD">
        <w:rPr>
          <w:rFonts w:ascii="Arial" w:hAnsi="Arial" w:cs="Arial"/>
          <w:vertAlign w:val="subscript"/>
        </w:rPr>
        <w:t>S.Kontrola</w:t>
      </w:r>
      <w:proofErr w:type="spellEnd"/>
      <w:r w:rsidRPr="00925BCD">
        <w:rPr>
          <w:rFonts w:ascii="Arial" w:hAnsi="Arial" w:cs="Arial"/>
        </w:rPr>
        <w:t xml:space="preserve"> stanowi główny miernik służący do monitorowania stopnia realizacji celów KPD 2018-2022. Zgodnie z założeniami wartość tego wskaźnika w trakcie realizacji KPD nie powinna przekroczyć 1,5. W latach 2014</w:t>
      </w:r>
      <w:r w:rsidR="003A6096" w:rsidRPr="00772A61">
        <w:rPr>
          <w:rFonts w:ascii="Arial" w:hAnsi="Arial" w:cs="Arial"/>
        </w:rPr>
        <w:t>–</w:t>
      </w:r>
      <w:r w:rsidRPr="00925BCD">
        <w:rPr>
          <w:rFonts w:ascii="Arial" w:hAnsi="Arial" w:cs="Arial"/>
        </w:rPr>
        <w:t>201</w:t>
      </w:r>
      <w:r w:rsidR="00736BA3" w:rsidRPr="00925BCD">
        <w:rPr>
          <w:rFonts w:ascii="Arial" w:hAnsi="Arial" w:cs="Arial"/>
        </w:rPr>
        <w:t>8</w:t>
      </w:r>
      <w:r w:rsidRPr="00925BCD">
        <w:rPr>
          <w:rFonts w:ascii="Arial" w:hAnsi="Arial" w:cs="Arial"/>
        </w:rPr>
        <w:t xml:space="preserve"> wartość wskaźnika wahała się w przedziale 0,9-1,1 nie wykazując istotnej tendencji wzrostowej.</w:t>
      </w:r>
      <w:r w:rsidR="00736BA3" w:rsidRPr="00925BCD">
        <w:t xml:space="preserve"> </w:t>
      </w:r>
      <w:r w:rsidR="00736BA3" w:rsidRPr="005A3EC6">
        <w:rPr>
          <w:rFonts w:ascii="Arial" w:hAnsi="Arial" w:cs="Arial"/>
        </w:rPr>
        <w:t>W 2019 r. zaobserwowano zauważalny wzrost wartości wskaźnika do 1,324, co jednak nie wykracza poza założenia KPD.</w:t>
      </w:r>
      <w:r w:rsidR="001339A8" w:rsidRPr="005A3EC6">
        <w:t xml:space="preserve"> </w:t>
      </w:r>
      <w:r w:rsidR="001339A8" w:rsidRPr="005A3EC6">
        <w:rPr>
          <w:rFonts w:ascii="Arial" w:hAnsi="Arial" w:cs="Arial"/>
        </w:rPr>
        <w:t>W</w:t>
      </w:r>
      <w:r w:rsidR="001339A8" w:rsidRPr="001339A8">
        <w:rPr>
          <w:rFonts w:ascii="Arial" w:hAnsi="Arial" w:cs="Arial"/>
        </w:rPr>
        <w:t xml:space="preserve"> 2020 </w:t>
      </w:r>
      <w:r w:rsidR="00763E6D">
        <w:rPr>
          <w:rFonts w:ascii="Arial" w:hAnsi="Arial" w:cs="Arial"/>
        </w:rPr>
        <w:t xml:space="preserve">r. </w:t>
      </w:r>
      <w:r w:rsidR="001339A8" w:rsidRPr="001339A8">
        <w:rPr>
          <w:rFonts w:ascii="Arial" w:hAnsi="Arial" w:cs="Arial"/>
        </w:rPr>
        <w:t>nastąpił spadek wartości wskaźnika do 1,279. Nie mniej jednak jest to wartość wyższa od poziomu z lat 2014-2018.</w:t>
      </w:r>
    </w:p>
    <w:p w14:paraId="385D3D7D" w14:textId="342A3BBF" w:rsidR="00002A0D" w:rsidRDefault="00736BA3" w:rsidP="00002A0D">
      <w:pPr>
        <w:tabs>
          <w:tab w:val="left" w:pos="284"/>
        </w:tabs>
        <w:spacing w:after="120" w:line="360" w:lineRule="auto"/>
        <w:ind w:firstLine="284"/>
        <w:jc w:val="both"/>
        <w:rPr>
          <w:rFonts w:ascii="Arial" w:eastAsia="Times New Roman" w:hAnsi="Arial" w:cs="Arial"/>
          <w:sz w:val="20"/>
          <w:szCs w:val="20"/>
          <w:lang w:eastAsia="pl-PL"/>
        </w:rPr>
      </w:pPr>
      <w:r w:rsidRPr="00253AD3">
        <w:rPr>
          <w:rFonts w:ascii="Arial" w:hAnsi="Arial" w:cs="Arial"/>
          <w:sz w:val="20"/>
          <w:szCs w:val="20"/>
        </w:rPr>
        <w:t>Obliczenia pozostałych wskaźników z okresu do 2017</w:t>
      </w:r>
      <w:r w:rsidR="00C03D4A" w:rsidRPr="00253AD3">
        <w:rPr>
          <w:rFonts w:ascii="Arial" w:hAnsi="Arial" w:cs="Arial"/>
          <w:sz w:val="20"/>
          <w:szCs w:val="20"/>
        </w:rPr>
        <w:t xml:space="preserve"> r.</w:t>
      </w:r>
      <w:r w:rsidRPr="00253AD3">
        <w:rPr>
          <w:rFonts w:ascii="Arial" w:hAnsi="Arial" w:cs="Arial"/>
          <w:sz w:val="20"/>
          <w:szCs w:val="20"/>
        </w:rPr>
        <w:t xml:space="preserve"> zostały poszerzone o 2018 </w:t>
      </w:r>
      <w:r w:rsidR="00C03D4A" w:rsidRPr="00253AD3">
        <w:rPr>
          <w:rFonts w:ascii="Arial" w:hAnsi="Arial" w:cs="Arial"/>
          <w:sz w:val="20"/>
          <w:szCs w:val="20"/>
        </w:rPr>
        <w:t xml:space="preserve">r. </w:t>
      </w:r>
      <w:r w:rsidRPr="00253AD3">
        <w:rPr>
          <w:rFonts w:ascii="Arial" w:hAnsi="Arial" w:cs="Arial"/>
          <w:sz w:val="20"/>
          <w:szCs w:val="20"/>
        </w:rPr>
        <w:t xml:space="preserve">w zakresie wskaźników D, E i F oraz o 2019 </w:t>
      </w:r>
      <w:r w:rsidR="00C03D4A" w:rsidRPr="00253AD3">
        <w:rPr>
          <w:rFonts w:ascii="Arial" w:hAnsi="Arial" w:cs="Arial"/>
          <w:sz w:val="20"/>
          <w:szCs w:val="20"/>
        </w:rPr>
        <w:t xml:space="preserve">r. </w:t>
      </w:r>
      <w:r w:rsidRPr="00253AD3">
        <w:rPr>
          <w:rFonts w:ascii="Arial" w:hAnsi="Arial" w:cs="Arial"/>
          <w:sz w:val="20"/>
          <w:szCs w:val="20"/>
        </w:rPr>
        <w:t>w zakresie wskaźników A, B (W</w:t>
      </w:r>
      <w:r w:rsidRPr="00253AD3">
        <w:rPr>
          <w:rFonts w:ascii="Arial" w:hAnsi="Arial" w:cs="Arial"/>
          <w:sz w:val="20"/>
          <w:szCs w:val="20"/>
          <w:vertAlign w:val="subscript"/>
        </w:rPr>
        <w:t>S.NDP</w:t>
      </w:r>
      <w:r w:rsidRPr="00253AD3">
        <w:rPr>
          <w:rFonts w:ascii="Arial" w:hAnsi="Arial" w:cs="Arial"/>
          <w:sz w:val="20"/>
          <w:szCs w:val="20"/>
        </w:rPr>
        <w:t xml:space="preserve"> i </w:t>
      </w:r>
      <w:proofErr w:type="spellStart"/>
      <w:r w:rsidRPr="00253AD3">
        <w:rPr>
          <w:rFonts w:ascii="Arial" w:hAnsi="Arial" w:cs="Arial"/>
          <w:sz w:val="20"/>
          <w:szCs w:val="20"/>
        </w:rPr>
        <w:t>W</w:t>
      </w:r>
      <w:r w:rsidRPr="00253AD3">
        <w:rPr>
          <w:rFonts w:ascii="Arial" w:hAnsi="Arial" w:cs="Arial"/>
          <w:sz w:val="20"/>
          <w:szCs w:val="20"/>
          <w:vertAlign w:val="subscript"/>
        </w:rPr>
        <w:t>S.Niedop</w:t>
      </w:r>
      <w:proofErr w:type="spellEnd"/>
      <w:r w:rsidRPr="00253AD3">
        <w:rPr>
          <w:rFonts w:ascii="Arial" w:hAnsi="Arial" w:cs="Arial"/>
          <w:sz w:val="20"/>
          <w:szCs w:val="20"/>
          <w:vertAlign w:val="subscript"/>
        </w:rPr>
        <w:t>.</w:t>
      </w:r>
      <w:r w:rsidRPr="00253AD3">
        <w:rPr>
          <w:rFonts w:ascii="Arial" w:hAnsi="Arial" w:cs="Arial"/>
          <w:sz w:val="20"/>
          <w:szCs w:val="20"/>
        </w:rPr>
        <w:t xml:space="preserve">), D, E i F. </w:t>
      </w:r>
      <w:r w:rsidR="000C3563" w:rsidRPr="000C3563">
        <w:rPr>
          <w:rFonts w:ascii="Arial" w:eastAsia="Times New Roman" w:hAnsi="Arial" w:cs="Arial"/>
          <w:sz w:val="20"/>
          <w:szCs w:val="20"/>
          <w:lang w:eastAsia="pl-PL"/>
        </w:rPr>
        <w:t xml:space="preserve">W </w:t>
      </w:r>
      <w:r w:rsidR="00DE413A">
        <w:rPr>
          <w:rFonts w:ascii="Arial" w:eastAsia="Times New Roman" w:hAnsi="Arial" w:cs="Arial"/>
          <w:sz w:val="20"/>
          <w:szCs w:val="20"/>
          <w:lang w:eastAsia="pl-PL"/>
        </w:rPr>
        <w:t xml:space="preserve">latach </w:t>
      </w:r>
      <w:r w:rsidR="000C3563" w:rsidRPr="000C3563">
        <w:rPr>
          <w:rFonts w:ascii="Arial" w:eastAsia="Times New Roman" w:hAnsi="Arial" w:cs="Arial"/>
          <w:sz w:val="20"/>
          <w:szCs w:val="20"/>
          <w:lang w:eastAsia="pl-PL"/>
        </w:rPr>
        <w:t>2020</w:t>
      </w:r>
      <w:r w:rsidR="00DE413A">
        <w:rPr>
          <w:rFonts w:ascii="Arial" w:eastAsia="Times New Roman" w:hAnsi="Arial" w:cs="Arial"/>
          <w:sz w:val="20"/>
          <w:szCs w:val="20"/>
          <w:lang w:eastAsia="pl-PL"/>
        </w:rPr>
        <w:t>-2021</w:t>
      </w:r>
      <w:r w:rsidR="000C3563" w:rsidRPr="000C3563">
        <w:rPr>
          <w:rFonts w:ascii="Arial" w:eastAsia="Times New Roman" w:hAnsi="Arial" w:cs="Arial"/>
          <w:sz w:val="20"/>
          <w:szCs w:val="20"/>
          <w:lang w:eastAsia="pl-PL"/>
        </w:rPr>
        <w:t xml:space="preserve"> obliczono wartości wszystkich wskaźników. </w:t>
      </w:r>
      <w:r w:rsidRPr="00253AD3">
        <w:rPr>
          <w:rFonts w:ascii="Arial" w:hAnsi="Arial" w:cs="Arial"/>
          <w:sz w:val="20"/>
          <w:szCs w:val="20"/>
        </w:rPr>
        <w:t xml:space="preserve">W 2018 </w:t>
      </w:r>
      <w:r w:rsidR="00EC2F01" w:rsidRPr="00253AD3">
        <w:rPr>
          <w:rFonts w:ascii="Arial" w:hAnsi="Arial" w:cs="Arial"/>
          <w:sz w:val="20"/>
          <w:szCs w:val="20"/>
        </w:rPr>
        <w:t xml:space="preserve">r. </w:t>
      </w:r>
      <w:r w:rsidRPr="00253AD3">
        <w:rPr>
          <w:rFonts w:ascii="Arial" w:hAnsi="Arial" w:cs="Arial"/>
          <w:sz w:val="20"/>
          <w:szCs w:val="20"/>
        </w:rPr>
        <w:t xml:space="preserve">zaobserwowano zahamowanie rosnącego trendu sprzedaży środków ochrony roślin, co należy odnotować w kontekście analizy zagrożeń wynikającej z obliczanych wskaźników sprzedażowych D, E i F. </w:t>
      </w:r>
      <w:r w:rsidR="00002A0D" w:rsidRPr="00002A0D">
        <w:rPr>
          <w:rFonts w:ascii="Arial" w:eastAsia="Times New Roman" w:hAnsi="Arial" w:cs="Arial"/>
          <w:sz w:val="20"/>
          <w:szCs w:val="20"/>
          <w:lang w:eastAsia="pl-PL"/>
        </w:rPr>
        <w:t xml:space="preserve">W 2019 r. nastąpił wzrost wskaźnika A (wskaźnik pozostałości pestycydowych w płodach rolnych) z wartości 15,92 w 2017 r. na 24,62. W 2020 </w:t>
      </w:r>
      <w:r w:rsidR="00074D76">
        <w:rPr>
          <w:rFonts w:ascii="Arial" w:eastAsia="Times New Roman" w:hAnsi="Arial" w:cs="Arial"/>
          <w:sz w:val="20"/>
          <w:szCs w:val="20"/>
          <w:lang w:eastAsia="pl-PL"/>
        </w:rPr>
        <w:t xml:space="preserve">r. </w:t>
      </w:r>
      <w:r w:rsidR="00002A0D" w:rsidRPr="00002A0D">
        <w:rPr>
          <w:rFonts w:ascii="Arial" w:eastAsia="Times New Roman" w:hAnsi="Arial" w:cs="Arial"/>
          <w:sz w:val="20"/>
          <w:szCs w:val="20"/>
          <w:lang w:eastAsia="pl-PL"/>
        </w:rPr>
        <w:t>wartość tego wskaźnika spadła do wartości 16,38</w:t>
      </w:r>
      <w:r w:rsidR="00A1791C">
        <w:rPr>
          <w:rFonts w:ascii="Arial" w:eastAsia="Times New Roman" w:hAnsi="Arial" w:cs="Arial"/>
          <w:sz w:val="20"/>
          <w:szCs w:val="20"/>
          <w:lang w:eastAsia="pl-PL"/>
        </w:rPr>
        <w:t xml:space="preserve">, by w 2021 r. ponownie wzrosnąć do </w:t>
      </w:r>
      <w:r w:rsidR="00E763C5">
        <w:rPr>
          <w:rFonts w:ascii="Arial" w:eastAsia="Times New Roman" w:hAnsi="Arial" w:cs="Arial"/>
          <w:sz w:val="20"/>
          <w:szCs w:val="20"/>
          <w:lang w:eastAsia="pl-PL"/>
        </w:rPr>
        <w:t>21,665.</w:t>
      </w:r>
    </w:p>
    <w:p w14:paraId="56F01ADF" w14:textId="7CECAA43" w:rsidR="00535843" w:rsidRDefault="00D121DF" w:rsidP="00582080">
      <w:pPr>
        <w:tabs>
          <w:tab w:val="left" w:pos="284"/>
        </w:tabs>
        <w:spacing w:after="120" w:line="360" w:lineRule="auto"/>
        <w:ind w:firstLine="284"/>
        <w:jc w:val="both"/>
        <w:rPr>
          <w:rFonts w:ascii="Arial" w:eastAsia="Times New Roman" w:hAnsi="Arial" w:cs="Arial"/>
          <w:sz w:val="20"/>
          <w:szCs w:val="20"/>
          <w:lang w:eastAsia="pl-PL"/>
        </w:rPr>
      </w:pPr>
      <w:r w:rsidRPr="00D121DF">
        <w:rPr>
          <w:rFonts w:ascii="Arial" w:eastAsia="Times New Roman" w:hAnsi="Arial" w:cs="Arial"/>
          <w:sz w:val="20"/>
          <w:szCs w:val="20"/>
          <w:lang w:eastAsia="pl-PL"/>
        </w:rPr>
        <w:t xml:space="preserve">Wartości wskaźników B (WS.NDP i </w:t>
      </w:r>
      <w:proofErr w:type="spellStart"/>
      <w:r w:rsidRPr="00D121DF">
        <w:rPr>
          <w:rFonts w:ascii="Arial" w:eastAsia="Times New Roman" w:hAnsi="Arial" w:cs="Arial"/>
          <w:sz w:val="20"/>
          <w:szCs w:val="20"/>
          <w:lang w:eastAsia="pl-PL"/>
        </w:rPr>
        <w:t>WS.Niedop</w:t>
      </w:r>
      <w:proofErr w:type="spellEnd"/>
      <w:r w:rsidRPr="00D121DF">
        <w:rPr>
          <w:rFonts w:ascii="Arial" w:eastAsia="Times New Roman" w:hAnsi="Arial" w:cs="Arial"/>
          <w:sz w:val="20"/>
          <w:szCs w:val="20"/>
          <w:lang w:eastAsia="pl-PL"/>
        </w:rPr>
        <w:t>.) i D (</w:t>
      </w:r>
      <w:proofErr w:type="spellStart"/>
      <w:r w:rsidRPr="00D121DF">
        <w:rPr>
          <w:rFonts w:ascii="Arial" w:eastAsia="Times New Roman" w:hAnsi="Arial" w:cs="Arial"/>
          <w:sz w:val="20"/>
          <w:szCs w:val="20"/>
          <w:lang w:eastAsia="pl-PL"/>
        </w:rPr>
        <w:t>WSSZagr</w:t>
      </w:r>
      <w:proofErr w:type="spellEnd"/>
      <w:r w:rsidRPr="00D121DF">
        <w:rPr>
          <w:rFonts w:ascii="Arial" w:eastAsia="Times New Roman" w:hAnsi="Arial" w:cs="Arial"/>
          <w:sz w:val="20"/>
          <w:szCs w:val="20"/>
          <w:lang w:eastAsia="pl-PL"/>
        </w:rPr>
        <w:t xml:space="preserve">) w 2021 r. były nieznacznie niższe niż w poprzednich latach. Trzeba zwrócić jednak uwagę na wzrost wartości wskaźnika </w:t>
      </w:r>
      <w:proofErr w:type="spellStart"/>
      <w:r w:rsidRPr="00D121DF">
        <w:rPr>
          <w:rFonts w:ascii="Arial" w:eastAsia="Times New Roman" w:hAnsi="Arial" w:cs="Arial"/>
          <w:sz w:val="20"/>
          <w:szCs w:val="20"/>
          <w:lang w:eastAsia="pl-PL"/>
        </w:rPr>
        <w:t>WSZagr</w:t>
      </w:r>
      <w:proofErr w:type="spellEnd"/>
      <w:r w:rsidRPr="00D121DF">
        <w:rPr>
          <w:rFonts w:ascii="Arial" w:eastAsia="Times New Roman" w:hAnsi="Arial" w:cs="Arial"/>
          <w:sz w:val="20"/>
          <w:szCs w:val="20"/>
          <w:lang w:eastAsia="pl-PL"/>
        </w:rPr>
        <w:t>., który związany jest ze wzrostem całkowitej sprzedaży środków ochrony roślin w 2021</w:t>
      </w:r>
      <w:r w:rsidR="00763E6D">
        <w:rPr>
          <w:rFonts w:ascii="Arial" w:eastAsia="Times New Roman" w:hAnsi="Arial" w:cs="Arial"/>
          <w:sz w:val="20"/>
          <w:szCs w:val="20"/>
          <w:lang w:eastAsia="pl-PL"/>
        </w:rPr>
        <w:t xml:space="preserve"> r</w:t>
      </w:r>
      <w:r w:rsidRPr="00D121DF">
        <w:rPr>
          <w:rFonts w:ascii="Arial" w:eastAsia="Times New Roman" w:hAnsi="Arial" w:cs="Arial"/>
          <w:sz w:val="20"/>
          <w:szCs w:val="20"/>
          <w:lang w:eastAsia="pl-PL"/>
        </w:rPr>
        <w:t>.</w:t>
      </w:r>
    </w:p>
    <w:p w14:paraId="5544B8DA" w14:textId="77777777" w:rsidR="002A0A71" w:rsidRPr="002A0A71" w:rsidRDefault="002A0A71" w:rsidP="002A0A71">
      <w:pPr>
        <w:spacing w:after="0" w:line="360" w:lineRule="auto"/>
        <w:ind w:firstLine="360"/>
        <w:jc w:val="both"/>
        <w:rPr>
          <w:rFonts w:ascii="Arial" w:eastAsia="Times New Roman" w:hAnsi="Arial" w:cs="Arial"/>
          <w:spacing w:val="-2"/>
          <w:sz w:val="20"/>
          <w:szCs w:val="20"/>
          <w:lang w:eastAsia="pl-PL"/>
        </w:rPr>
      </w:pPr>
      <w:r w:rsidRPr="002A0A71">
        <w:rPr>
          <w:rFonts w:ascii="Arial" w:eastAsia="Times New Roman" w:hAnsi="Arial" w:cs="Arial"/>
          <w:spacing w:val="-2"/>
          <w:sz w:val="20"/>
          <w:szCs w:val="20"/>
          <w:lang w:eastAsia="pl-PL"/>
        </w:rPr>
        <w:lastRenderedPageBreak/>
        <w:t>W grupie wskaźników „F” w kolejnych latach następuje wzrost wielkości sprzedaży substancji czynnych wymagających programów monitorowania i ich udziału w całości sprzedaży.</w:t>
      </w:r>
    </w:p>
    <w:p w14:paraId="487455FE" w14:textId="05E69FAD" w:rsidR="002A0A71" w:rsidRPr="002A0A71" w:rsidRDefault="002A0A71" w:rsidP="002A0A71">
      <w:pPr>
        <w:spacing w:after="0" w:line="360" w:lineRule="auto"/>
        <w:ind w:firstLine="360"/>
        <w:jc w:val="both"/>
        <w:rPr>
          <w:rFonts w:ascii="Arial" w:eastAsia="Times New Roman" w:hAnsi="Arial" w:cs="Arial"/>
          <w:spacing w:val="-2"/>
          <w:sz w:val="20"/>
          <w:szCs w:val="20"/>
          <w:lang w:eastAsia="pl-PL"/>
        </w:rPr>
      </w:pPr>
      <w:r w:rsidRPr="002A0A71">
        <w:rPr>
          <w:rFonts w:ascii="Arial" w:eastAsia="Times New Roman" w:hAnsi="Arial" w:cs="Arial"/>
          <w:spacing w:val="-2"/>
          <w:sz w:val="20"/>
          <w:szCs w:val="20"/>
          <w:lang w:eastAsia="pl-PL"/>
        </w:rPr>
        <w:t>Do 2019 r. odnotowano systematyczną poprawę współczynnika zakresu badań laboratoriów uczestniczących w badaniach pozostałości środków ochrony roślin (liczba analizowanych substancji czynnych w stosunku do liczby substancji czynnych będących w sprzedaży i koniecznych do badania z</w:t>
      </w:r>
      <w:r w:rsidR="00E50AB3">
        <w:rPr>
          <w:rFonts w:ascii="Arial" w:eastAsia="Times New Roman" w:hAnsi="Arial" w:cs="Arial"/>
          <w:spacing w:val="-2"/>
          <w:sz w:val="20"/>
          <w:szCs w:val="20"/>
          <w:lang w:eastAsia="pl-PL"/>
        </w:rPr>
        <w:t> </w:t>
      </w:r>
      <w:r w:rsidRPr="002A0A71">
        <w:rPr>
          <w:rFonts w:ascii="Arial" w:eastAsia="Times New Roman" w:hAnsi="Arial" w:cs="Arial"/>
          <w:spacing w:val="-2"/>
          <w:sz w:val="20"/>
          <w:szCs w:val="20"/>
          <w:lang w:eastAsia="pl-PL"/>
        </w:rPr>
        <w:t xml:space="preserve">racji przepisów unijnych). Współczynnik ten jest wykorzystywany w obliczeniach wskaźników </w:t>
      </w:r>
      <w:proofErr w:type="spellStart"/>
      <w:r w:rsidRPr="002A0A71">
        <w:rPr>
          <w:rFonts w:ascii="Arial" w:eastAsia="Times New Roman" w:hAnsi="Arial" w:cs="Arial"/>
          <w:spacing w:val="-2"/>
          <w:sz w:val="20"/>
          <w:szCs w:val="20"/>
          <w:lang w:eastAsia="pl-PL"/>
        </w:rPr>
        <w:t>WPoz</w:t>
      </w:r>
      <w:proofErr w:type="spellEnd"/>
      <w:r w:rsidRPr="002A0A71">
        <w:rPr>
          <w:rFonts w:ascii="Arial" w:eastAsia="Times New Roman" w:hAnsi="Arial" w:cs="Arial"/>
          <w:spacing w:val="-2"/>
          <w:sz w:val="20"/>
          <w:szCs w:val="20"/>
          <w:lang w:eastAsia="pl-PL"/>
        </w:rPr>
        <w:t xml:space="preserve">, WS.NDP i </w:t>
      </w:r>
      <w:proofErr w:type="spellStart"/>
      <w:r w:rsidRPr="002A0A71">
        <w:rPr>
          <w:rFonts w:ascii="Arial" w:eastAsia="Times New Roman" w:hAnsi="Arial" w:cs="Arial"/>
          <w:spacing w:val="-2"/>
          <w:sz w:val="20"/>
          <w:szCs w:val="20"/>
          <w:lang w:eastAsia="pl-PL"/>
        </w:rPr>
        <w:t>WS.Niedop</w:t>
      </w:r>
      <w:proofErr w:type="spellEnd"/>
      <w:r w:rsidRPr="002A0A71">
        <w:rPr>
          <w:rFonts w:ascii="Arial" w:eastAsia="Times New Roman" w:hAnsi="Arial" w:cs="Arial"/>
          <w:spacing w:val="-2"/>
          <w:sz w:val="20"/>
          <w:szCs w:val="20"/>
          <w:lang w:eastAsia="pl-PL"/>
        </w:rPr>
        <w:t>. i informuje o systematycznym wzroście jakości krajowych badań pozostałości środków ochrony roślin w płodach rolnych.</w:t>
      </w:r>
    </w:p>
    <w:p w14:paraId="3213C019" w14:textId="2143A4E8" w:rsidR="002A0A71" w:rsidRPr="002A0A71" w:rsidRDefault="002A0A71" w:rsidP="002A0A71">
      <w:pPr>
        <w:spacing w:after="0" w:line="360" w:lineRule="auto"/>
        <w:ind w:firstLine="360"/>
        <w:jc w:val="both"/>
        <w:rPr>
          <w:rFonts w:ascii="Arial" w:eastAsia="Times New Roman" w:hAnsi="Arial" w:cs="Arial"/>
          <w:spacing w:val="-2"/>
          <w:sz w:val="20"/>
          <w:szCs w:val="20"/>
          <w:lang w:eastAsia="pl-PL"/>
        </w:rPr>
      </w:pPr>
      <w:r w:rsidRPr="002A0A71">
        <w:rPr>
          <w:rFonts w:ascii="Arial" w:eastAsia="Times New Roman" w:hAnsi="Arial" w:cs="Arial"/>
          <w:spacing w:val="-2"/>
          <w:sz w:val="20"/>
          <w:szCs w:val="20"/>
          <w:lang w:eastAsia="pl-PL"/>
        </w:rPr>
        <w:t xml:space="preserve">W 2020 </w:t>
      </w:r>
      <w:r w:rsidR="00E50AB3">
        <w:rPr>
          <w:rFonts w:ascii="Arial" w:eastAsia="Times New Roman" w:hAnsi="Arial" w:cs="Arial"/>
          <w:spacing w:val="-2"/>
          <w:sz w:val="20"/>
          <w:szCs w:val="20"/>
          <w:lang w:eastAsia="pl-PL"/>
        </w:rPr>
        <w:t xml:space="preserve">r. </w:t>
      </w:r>
      <w:r w:rsidRPr="002A0A71">
        <w:rPr>
          <w:rFonts w:ascii="Arial" w:eastAsia="Times New Roman" w:hAnsi="Arial" w:cs="Arial"/>
          <w:spacing w:val="-2"/>
          <w:sz w:val="20"/>
          <w:szCs w:val="20"/>
          <w:lang w:eastAsia="pl-PL"/>
        </w:rPr>
        <w:t xml:space="preserve">zaobserwowano wyraźne pogorszenie wartości wskaźnika „C” – „Wskaźnik obciążenia pestycydowego wód powierzchniowych” WWP dla rzek średnich (z 0,5155 na 1,0184 µg/l) i małych (0,8924 na 2,1649). W 2021 </w:t>
      </w:r>
      <w:r w:rsidR="00763E6D">
        <w:rPr>
          <w:rFonts w:ascii="Arial" w:eastAsia="Times New Roman" w:hAnsi="Arial" w:cs="Arial"/>
          <w:spacing w:val="-2"/>
          <w:sz w:val="20"/>
          <w:szCs w:val="20"/>
          <w:lang w:eastAsia="pl-PL"/>
        </w:rPr>
        <w:t xml:space="preserve">r. </w:t>
      </w:r>
      <w:r w:rsidRPr="002A0A71">
        <w:rPr>
          <w:rFonts w:ascii="Arial" w:eastAsia="Times New Roman" w:hAnsi="Arial" w:cs="Arial"/>
          <w:spacing w:val="-2"/>
          <w:sz w:val="20"/>
          <w:szCs w:val="20"/>
          <w:lang w:eastAsia="pl-PL"/>
        </w:rPr>
        <w:t>wartości wskaźnika była niższe (odpowiednio 0,189 µg/l dla rzek średnich i 1,157 µg/l dla rzek małych).</w:t>
      </w:r>
    </w:p>
    <w:p w14:paraId="3ABD5C38" w14:textId="77777777" w:rsidR="002A0A71" w:rsidRPr="002A0A71" w:rsidRDefault="002A0A71" w:rsidP="002A0A71">
      <w:pPr>
        <w:spacing w:after="0" w:line="360" w:lineRule="auto"/>
        <w:ind w:firstLine="360"/>
        <w:jc w:val="both"/>
        <w:rPr>
          <w:rFonts w:ascii="Arial" w:eastAsia="Times New Roman" w:hAnsi="Arial" w:cs="Arial"/>
          <w:spacing w:val="-2"/>
          <w:sz w:val="20"/>
          <w:szCs w:val="20"/>
          <w:lang w:eastAsia="pl-PL"/>
        </w:rPr>
      </w:pPr>
      <w:r w:rsidRPr="002A0A71">
        <w:rPr>
          <w:rFonts w:ascii="Arial" w:eastAsia="Times New Roman" w:hAnsi="Arial" w:cs="Arial"/>
          <w:spacing w:val="-2"/>
          <w:sz w:val="20"/>
          <w:szCs w:val="20"/>
          <w:lang w:eastAsia="pl-PL"/>
        </w:rPr>
        <w:t>Wyniki obliczeń wskaźników dla rzek małych w 2021 r. przekraczały wymagania dla wody pitnej, natomiast utrzymywały się w granicach wymagań kategorii A2 wód powierzchniowych wykorzystywanych do zaopatrzenia ludności w wodę przeznaczoną do spożycia. Badania wód należy kontynuować jednocześnie zwiększając zakres badanych substancji czynnych.</w:t>
      </w:r>
    </w:p>
    <w:p w14:paraId="167E78C4" w14:textId="732E4317" w:rsidR="005A40D1" w:rsidRDefault="002A0A71" w:rsidP="002A0A71">
      <w:pPr>
        <w:spacing w:after="0" w:line="360" w:lineRule="auto"/>
        <w:ind w:firstLine="360"/>
        <w:jc w:val="both"/>
        <w:rPr>
          <w:rFonts w:ascii="Arial" w:eastAsia="Times New Roman" w:hAnsi="Arial" w:cs="Arial"/>
          <w:spacing w:val="-2"/>
          <w:sz w:val="20"/>
          <w:szCs w:val="20"/>
          <w:lang w:eastAsia="pl-PL"/>
        </w:rPr>
      </w:pPr>
      <w:r w:rsidRPr="002A0A71">
        <w:rPr>
          <w:rFonts w:ascii="Arial" w:eastAsia="Times New Roman" w:hAnsi="Arial" w:cs="Arial"/>
          <w:spacing w:val="-2"/>
          <w:sz w:val="20"/>
          <w:szCs w:val="20"/>
          <w:lang w:eastAsia="pl-PL"/>
        </w:rPr>
        <w:t>W latach 2019-2021 zaobserwowano ponownie rosnący trend sprzedaży środków ochrony roślin, co</w:t>
      </w:r>
      <w:r w:rsidR="001676D9">
        <w:rPr>
          <w:rFonts w:ascii="Arial" w:eastAsia="Times New Roman" w:hAnsi="Arial" w:cs="Arial"/>
          <w:spacing w:val="-2"/>
          <w:sz w:val="20"/>
          <w:szCs w:val="20"/>
          <w:lang w:eastAsia="pl-PL"/>
        </w:rPr>
        <w:t> </w:t>
      </w:r>
      <w:r w:rsidRPr="002A0A71">
        <w:rPr>
          <w:rFonts w:ascii="Arial" w:eastAsia="Times New Roman" w:hAnsi="Arial" w:cs="Arial"/>
          <w:spacing w:val="-2"/>
          <w:sz w:val="20"/>
          <w:szCs w:val="20"/>
          <w:lang w:eastAsia="pl-PL"/>
        </w:rPr>
        <w:t>należy odnotować w kontekście analizy zagrożeń wynikającej z obliczanych wskaźników sprzedażowych D, E i F. Skokowy wzrost o około 100% wskaźników sprzedaży substancji priorytetowych w dziedzinie polityki wodnej w 2019 r. (wskaźniki E – WSPW i WSSPW) związany był ze zwiększoną sprzedażą chloropyrifosu. Po wycofaniu tej substancji ze sprzedaży wskaźnik WSSPW zmalał z 8,14% do 0,84% (w</w:t>
      </w:r>
      <w:r w:rsidR="00085EB1">
        <w:rPr>
          <w:rFonts w:ascii="Arial" w:eastAsia="Times New Roman" w:hAnsi="Arial" w:cs="Arial"/>
          <w:spacing w:val="-2"/>
          <w:sz w:val="20"/>
          <w:szCs w:val="20"/>
          <w:lang w:eastAsia="pl-PL"/>
        </w:rPr>
        <w:t> </w:t>
      </w:r>
      <w:r w:rsidRPr="002A0A71">
        <w:rPr>
          <w:rFonts w:ascii="Arial" w:eastAsia="Times New Roman" w:hAnsi="Arial" w:cs="Arial"/>
          <w:spacing w:val="-2"/>
          <w:sz w:val="20"/>
          <w:szCs w:val="20"/>
          <w:lang w:eastAsia="pl-PL"/>
        </w:rPr>
        <w:t>roku 2020) i 0,64% (w roku 2021) i jest znacząco niższy niż w poprzednich latach.</w:t>
      </w:r>
    </w:p>
    <w:p w14:paraId="29D5A842" w14:textId="2BFCA624" w:rsidR="00582080" w:rsidRPr="00582080" w:rsidRDefault="00582080" w:rsidP="00582080">
      <w:pPr>
        <w:spacing w:after="0" w:line="360" w:lineRule="auto"/>
        <w:ind w:firstLine="360"/>
        <w:jc w:val="both"/>
        <w:rPr>
          <w:rFonts w:ascii="Arial" w:eastAsia="Times New Roman" w:hAnsi="Arial" w:cs="Arial"/>
          <w:spacing w:val="-2"/>
          <w:sz w:val="20"/>
          <w:szCs w:val="20"/>
          <w:lang w:eastAsia="pl-PL"/>
        </w:rPr>
      </w:pPr>
      <w:r w:rsidRPr="00582080">
        <w:rPr>
          <w:rFonts w:ascii="Arial" w:eastAsia="Times New Roman" w:hAnsi="Arial" w:cs="Arial"/>
          <w:spacing w:val="-2"/>
          <w:sz w:val="20"/>
          <w:szCs w:val="20"/>
          <w:lang w:eastAsia="pl-PL"/>
        </w:rPr>
        <w:t>Podczas realizacji zadania w latach 2018-202</w:t>
      </w:r>
      <w:r w:rsidR="00953787">
        <w:rPr>
          <w:rFonts w:ascii="Arial" w:eastAsia="Times New Roman" w:hAnsi="Arial" w:cs="Arial"/>
          <w:spacing w:val="-2"/>
          <w:sz w:val="20"/>
          <w:szCs w:val="20"/>
          <w:lang w:eastAsia="pl-PL"/>
        </w:rPr>
        <w:t>1</w:t>
      </w:r>
      <w:r w:rsidRPr="00582080">
        <w:rPr>
          <w:rFonts w:ascii="Arial" w:eastAsia="Times New Roman" w:hAnsi="Arial" w:cs="Arial"/>
          <w:spacing w:val="-2"/>
          <w:sz w:val="20"/>
          <w:szCs w:val="20"/>
          <w:lang w:eastAsia="pl-PL"/>
        </w:rPr>
        <w:t xml:space="preserve"> zebrano wyniki kontroli prowadzonych przez </w:t>
      </w:r>
      <w:proofErr w:type="spellStart"/>
      <w:r w:rsidRPr="00582080">
        <w:rPr>
          <w:rFonts w:ascii="Arial" w:eastAsia="Times New Roman" w:hAnsi="Arial" w:cs="Arial"/>
          <w:spacing w:val="-2"/>
          <w:sz w:val="20"/>
          <w:szCs w:val="20"/>
          <w:lang w:eastAsia="pl-PL"/>
        </w:rPr>
        <w:t>PIORiN</w:t>
      </w:r>
      <w:proofErr w:type="spellEnd"/>
      <w:r w:rsidRPr="00582080">
        <w:rPr>
          <w:rFonts w:ascii="Arial" w:eastAsia="Times New Roman" w:hAnsi="Arial" w:cs="Arial"/>
          <w:spacing w:val="-2"/>
          <w:sz w:val="20"/>
          <w:szCs w:val="20"/>
          <w:lang w:eastAsia="pl-PL"/>
        </w:rPr>
        <w:t xml:space="preserve">, uzyskano z GUS i z publikacji Eurostatu dane o wielkości zbiorów (produkcji) poszczególnych upraw, uzyskano dane dotyczące krajowej sprzedaży środków ochrony roślin, pozyskano dane z Instytutu Ogrodnictwa – PIB w Skierniewicach i z IOR-PIB w Poznaniu dotyczące wyników badań wód powierzchniowych oraz zgromadzono informacje o zagrożeniach powodowanych przez preparaty sprzedawane w Polsce (kody H zgodnie z rozporządzeniem (WE) NR 1272/2008). </w:t>
      </w:r>
    </w:p>
    <w:p w14:paraId="04A4AE71" w14:textId="0BF54127" w:rsidR="00582080" w:rsidRPr="00582080" w:rsidRDefault="00582080" w:rsidP="00582080">
      <w:pPr>
        <w:spacing w:after="0" w:line="360" w:lineRule="auto"/>
        <w:ind w:firstLine="360"/>
        <w:jc w:val="both"/>
        <w:rPr>
          <w:rFonts w:ascii="Arial" w:eastAsia="Times New Roman" w:hAnsi="Arial" w:cs="Arial"/>
          <w:sz w:val="20"/>
          <w:szCs w:val="20"/>
          <w:lang w:eastAsia="pl-PL"/>
        </w:rPr>
      </w:pPr>
      <w:r w:rsidRPr="00582080">
        <w:rPr>
          <w:rFonts w:ascii="Arial" w:eastAsia="Times New Roman" w:hAnsi="Arial" w:cs="Arial"/>
          <w:sz w:val="20"/>
          <w:szCs w:val="20"/>
          <w:lang w:eastAsia="pl-PL"/>
        </w:rPr>
        <w:t>Przeprowadzono obliczenia wszystkich wskaźników oraz opracowano K</w:t>
      </w:r>
      <w:r w:rsidRPr="00582080">
        <w:rPr>
          <w:rFonts w:ascii="Arial" w:eastAsia="Times New Roman" w:hAnsi="Arial" w:cs="Arial"/>
          <w:spacing w:val="-2"/>
          <w:sz w:val="20"/>
          <w:szCs w:val="20"/>
          <w:lang w:eastAsia="pl-PL"/>
        </w:rPr>
        <w:t>ompleksową ocenę w</w:t>
      </w:r>
      <w:r w:rsidR="003C28C2">
        <w:rPr>
          <w:rFonts w:ascii="Arial" w:eastAsia="Times New Roman" w:hAnsi="Arial" w:cs="Arial"/>
          <w:spacing w:val="-2"/>
          <w:sz w:val="20"/>
          <w:szCs w:val="20"/>
          <w:lang w:eastAsia="pl-PL"/>
        </w:rPr>
        <w:t> </w:t>
      </w:r>
      <w:r w:rsidRPr="00582080">
        <w:rPr>
          <w:rFonts w:ascii="Arial" w:eastAsia="Times New Roman" w:hAnsi="Arial" w:cs="Arial"/>
          <w:spacing w:val="-2"/>
          <w:sz w:val="20"/>
          <w:szCs w:val="20"/>
          <w:lang w:eastAsia="pl-PL"/>
        </w:rPr>
        <w:t xml:space="preserve">zakresie krajowego bezpieczeństwa pestycydowego. </w:t>
      </w:r>
      <w:r w:rsidRPr="00582080">
        <w:rPr>
          <w:rFonts w:ascii="Arial" w:eastAsia="Times New Roman" w:hAnsi="Arial" w:cs="Arial"/>
          <w:sz w:val="20"/>
          <w:szCs w:val="20"/>
          <w:lang w:eastAsia="pl-PL"/>
        </w:rPr>
        <w:t>Ocena została wykonana po obliczeniu wszystkich wskaźników krajowych jako końcowy element realizacji zadania. Uwzględniono również nowo powstały unijny zharmonizowany wskaźnik ryzyka związanego ze stosowaniem pestycydów HRI1, w kontekście opracowywanej obecnie przez Komisję Europejską strategii „Od pola do stołu”.</w:t>
      </w:r>
    </w:p>
    <w:p w14:paraId="47A8D9EA" w14:textId="77777777" w:rsidR="00056846" w:rsidRPr="00925BCD" w:rsidRDefault="00E54725">
      <w:pPr>
        <w:pStyle w:val="Nagwek1"/>
        <w:numPr>
          <w:ilvl w:val="1"/>
          <w:numId w:val="9"/>
        </w:numPr>
        <w:tabs>
          <w:tab w:val="left" w:pos="284"/>
        </w:tabs>
        <w:ind w:left="426" w:hanging="426"/>
        <w:jc w:val="both"/>
        <w:rPr>
          <w:i w:val="0"/>
          <w:sz w:val="22"/>
          <w:szCs w:val="22"/>
        </w:rPr>
      </w:pPr>
      <w:bookmarkStart w:id="125" w:name="_Toc134099293"/>
      <w:bookmarkEnd w:id="123"/>
      <w:r w:rsidRPr="00925BCD">
        <w:rPr>
          <w:i w:val="0"/>
          <w:sz w:val="22"/>
          <w:szCs w:val="22"/>
        </w:rPr>
        <w:t>Mierniki służące monitorowaniu</w:t>
      </w:r>
      <w:bookmarkEnd w:id="125"/>
    </w:p>
    <w:p w14:paraId="33BCD175" w14:textId="447EFE75" w:rsidR="00056846" w:rsidRDefault="00E54725" w:rsidP="00EC2F01">
      <w:pPr>
        <w:pStyle w:val="napakapit"/>
        <w:spacing w:before="0"/>
        <w:ind w:firstLine="357"/>
        <w:rPr>
          <w:rFonts w:cs="Arial"/>
        </w:rPr>
      </w:pPr>
      <w:r w:rsidRPr="00925BCD">
        <w:rPr>
          <w:rFonts w:cs="Arial"/>
        </w:rPr>
        <w:t>Ze względu na charakter działania, mającego na celu zwiększenie efektywności innych działań ujętych w krajowym planie działania, nie zostały wyodrębnione do oceny jego realizacji indywidualne mierniki.</w:t>
      </w:r>
    </w:p>
    <w:p w14:paraId="56F4B77A" w14:textId="77777777" w:rsidR="002918E0" w:rsidRDefault="002918E0" w:rsidP="00EC2F01">
      <w:pPr>
        <w:pStyle w:val="napakapit"/>
        <w:spacing w:before="0"/>
        <w:ind w:firstLine="357"/>
        <w:rPr>
          <w:rFonts w:cs="Arial"/>
        </w:rPr>
      </w:pPr>
    </w:p>
    <w:p w14:paraId="6DBC3B1C" w14:textId="77777777" w:rsidR="00056846" w:rsidRPr="00925BCD" w:rsidRDefault="00E54725">
      <w:pPr>
        <w:pStyle w:val="Nagwek1"/>
        <w:numPr>
          <w:ilvl w:val="0"/>
          <w:numId w:val="9"/>
        </w:numPr>
        <w:jc w:val="both"/>
        <w:rPr>
          <w:i w:val="0"/>
          <w:sz w:val="22"/>
          <w:szCs w:val="22"/>
        </w:rPr>
      </w:pPr>
      <w:bookmarkStart w:id="126" w:name="_Toc3418760791"/>
      <w:bookmarkStart w:id="127" w:name="_Toc3013345971"/>
      <w:bookmarkStart w:id="128" w:name="_Toc3009162081"/>
      <w:bookmarkStart w:id="129" w:name="_Toc134099294"/>
      <w:bookmarkEnd w:id="126"/>
      <w:bookmarkEnd w:id="127"/>
      <w:bookmarkEnd w:id="128"/>
      <w:r w:rsidRPr="00925BCD">
        <w:rPr>
          <w:i w:val="0"/>
          <w:sz w:val="22"/>
          <w:szCs w:val="22"/>
        </w:rPr>
        <w:lastRenderedPageBreak/>
        <w:t>Działanie 12. Utrzymanie efektywnego nadzoru nad obrotem i stosowaniem środków ochrony roślin</w:t>
      </w:r>
      <w:bookmarkEnd w:id="129"/>
      <w:r w:rsidRPr="00925BCD">
        <w:rPr>
          <w:i w:val="0"/>
          <w:sz w:val="22"/>
          <w:szCs w:val="22"/>
        </w:rPr>
        <w:t xml:space="preserve"> </w:t>
      </w:r>
    </w:p>
    <w:p w14:paraId="6934978E"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Ograniczaniu ryzyka pojawienia się nieprawidłowości związanych z prowadzeniem obrotu i konfekcjonowania oraz stosowaniem środków ochrony roślin służy nie tylko działalność polegająca na wyposażeniu użytkowników profesjonalnych tych środków w odpowiednią wiedzę i narzędzia pozwalające na ograniczenie stosowania tych środków do niezbędnego minimum. Konieczne w tym zakresie są także działania kontrolne służb państwowych, mające na celu eliminowanie stwierdzanych nieprawidłowości. Działania te, w celu zapewnienia odpowiedniej efektywności, bazują na analizie ryzyka pozwalającej na ukierunkowanie kontroli na obszary o największym prawdopodobieństwie występowania nieprawidłowości. </w:t>
      </w:r>
    </w:p>
    <w:p w14:paraId="21A7227E"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przepisami ustawy z dnia 18 grudnia 2003 r. o ochronie roślin, nadzór nad obrotem i konfekcjonowaniem oraz stosowaniem środków ochrony roślin należy do obowiązków Państwowej Inspekcji Ochrony Roślin i Nasiennictwa. Eliminowanie przypadków naruszania norm prawnych w zakresie obrotu i konfekcjonowania środków ochrony roślin w zasadniczy sposób wpływa na ograniczenie ryzyka związanego z ich obrotem, a w dalszej kolejności z ich stosowaniem. </w:t>
      </w:r>
    </w:p>
    <w:p w14:paraId="23E2F193"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Zakres ww. zadań realizowanych przez Państwową Inspekcję Ochrony Roślin i Nasiennictwa obejmuje:</w:t>
      </w:r>
    </w:p>
    <w:p w14:paraId="545A57E9" w14:textId="77777777" w:rsidR="00056846" w:rsidRPr="00925BCD" w:rsidRDefault="00E54725" w:rsidP="00EC2F01">
      <w:pPr>
        <w:pStyle w:val="napakapit"/>
        <w:numPr>
          <w:ilvl w:val="0"/>
          <w:numId w:val="4"/>
        </w:numPr>
        <w:spacing w:before="0"/>
        <w:rPr>
          <w:rFonts w:cs="Arial"/>
        </w:rPr>
      </w:pPr>
      <w:r w:rsidRPr="00925BCD">
        <w:rPr>
          <w:rFonts w:cs="Arial"/>
        </w:rPr>
        <w:t>kontrolę obrotu środkami ochrony roślin (zapobieganie wprowadzaniu i eliminowanie z obrotu środków niedopuszczonych do obrotu lub podrobionych, stanowiących nieznane zagrożenie dla ludzi, zwierząt i środowiska);</w:t>
      </w:r>
    </w:p>
    <w:p w14:paraId="28EB78BC" w14:textId="77777777" w:rsidR="00056846" w:rsidRPr="00925BCD" w:rsidRDefault="00E54725" w:rsidP="00EC2F01">
      <w:pPr>
        <w:pStyle w:val="napakapit"/>
        <w:numPr>
          <w:ilvl w:val="0"/>
          <w:numId w:val="4"/>
        </w:numPr>
        <w:spacing w:before="0"/>
        <w:rPr>
          <w:rFonts w:cs="Arial"/>
        </w:rPr>
      </w:pPr>
      <w:r w:rsidRPr="00925BCD">
        <w:rPr>
          <w:rFonts w:cs="Arial"/>
        </w:rPr>
        <w:t>badanie jakości środków ochrony roślin znajdujących się w obrocie;</w:t>
      </w:r>
    </w:p>
    <w:p w14:paraId="6C839E22" w14:textId="77777777" w:rsidR="00056846" w:rsidRPr="00925BCD" w:rsidRDefault="00E54725" w:rsidP="00EC2F01">
      <w:pPr>
        <w:pStyle w:val="napakapit"/>
        <w:numPr>
          <w:ilvl w:val="0"/>
          <w:numId w:val="4"/>
        </w:numPr>
        <w:spacing w:before="0"/>
        <w:rPr>
          <w:rFonts w:cs="Arial"/>
        </w:rPr>
      </w:pPr>
      <w:r w:rsidRPr="00925BCD">
        <w:rPr>
          <w:rFonts w:cs="Arial"/>
        </w:rPr>
        <w:t>kontrolę stosowania środków ochrony roślin w gospodarstwach z produkcją roślinną, w miejscach zaprawiania materiału siewnego, wykonywania zabiegów metodą fumigacji, w magazynach płodów rolnych, w miejscach, gdzie stosowanie środków ochrony roślin może podlegać ograniczeniom lub być zabronione, a także w innych miejscach stosowania tych środków, w tym stosowania zasad integrowanej ochrony roślin;</w:t>
      </w:r>
    </w:p>
    <w:p w14:paraId="10567664" w14:textId="77777777" w:rsidR="00056846" w:rsidRPr="00925BCD" w:rsidRDefault="00E54725" w:rsidP="00EC2F01">
      <w:pPr>
        <w:pStyle w:val="napakapit"/>
        <w:numPr>
          <w:ilvl w:val="0"/>
          <w:numId w:val="4"/>
        </w:numPr>
        <w:spacing w:before="0"/>
        <w:rPr>
          <w:rFonts w:cs="Arial"/>
        </w:rPr>
      </w:pPr>
      <w:r w:rsidRPr="00925BCD">
        <w:rPr>
          <w:rFonts w:cs="Arial"/>
        </w:rPr>
        <w:t>nadzór nad stosowaniem środków ochrony roślin sprzętem montowanym na statkach powietrznych;</w:t>
      </w:r>
    </w:p>
    <w:p w14:paraId="60088D81" w14:textId="77777777" w:rsidR="00056846" w:rsidRPr="00925BCD" w:rsidRDefault="00E54725" w:rsidP="00EC2F01">
      <w:pPr>
        <w:pStyle w:val="napakapit"/>
        <w:numPr>
          <w:ilvl w:val="0"/>
          <w:numId w:val="4"/>
        </w:numPr>
        <w:spacing w:before="0"/>
        <w:rPr>
          <w:rFonts w:cs="Arial"/>
        </w:rPr>
      </w:pPr>
      <w:r w:rsidRPr="00925BCD">
        <w:rPr>
          <w:rFonts w:cs="Arial"/>
        </w:rPr>
        <w:t>badanie pozostałości środków ochrony roślin w płodach rolnych w ramach kontroli prawidłowości stosowania środków ochrony roślin.</w:t>
      </w:r>
    </w:p>
    <w:p w14:paraId="43296A06" w14:textId="45370EAB" w:rsidR="00056846" w:rsidRPr="00366515"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Inspektorzy </w:t>
      </w:r>
      <w:r w:rsidR="00167372">
        <w:rPr>
          <w:rFonts w:ascii="Arial" w:hAnsi="Arial" w:cs="Arial"/>
        </w:rPr>
        <w:t>p</w:t>
      </w:r>
      <w:r w:rsidR="00167372" w:rsidRPr="00167372">
        <w:rPr>
          <w:rFonts w:ascii="Arial" w:hAnsi="Arial" w:cs="Arial"/>
        </w:rPr>
        <w:t>rowadzili kontro</w:t>
      </w:r>
      <w:r w:rsidR="00167372">
        <w:rPr>
          <w:rFonts w:ascii="Arial" w:hAnsi="Arial" w:cs="Arial"/>
        </w:rPr>
        <w:t>le</w:t>
      </w:r>
      <w:r w:rsidR="00167372" w:rsidRPr="00167372">
        <w:rPr>
          <w:rFonts w:ascii="Arial" w:hAnsi="Arial" w:cs="Arial"/>
        </w:rPr>
        <w:t xml:space="preserve"> w punktach obrotu i konfekcjonowania środków ochrony roślin</w:t>
      </w:r>
      <w:r w:rsidR="00167372">
        <w:rPr>
          <w:rFonts w:ascii="Arial" w:hAnsi="Arial" w:cs="Arial"/>
        </w:rPr>
        <w:t>. W </w:t>
      </w:r>
      <w:r w:rsidRPr="00925BCD">
        <w:rPr>
          <w:rFonts w:ascii="Arial" w:hAnsi="Arial" w:cs="Arial"/>
        </w:rPr>
        <w:t xml:space="preserve">2018 r. przeprowadzili 6 626 kontroli w punktach obrotu i konfekcjonowania środków ochrony roślin, w tym 38 </w:t>
      </w:r>
      <w:proofErr w:type="spellStart"/>
      <w:r w:rsidRPr="00925BCD">
        <w:rPr>
          <w:rFonts w:ascii="Arial" w:hAnsi="Arial" w:cs="Arial"/>
        </w:rPr>
        <w:t>rekontroli</w:t>
      </w:r>
      <w:proofErr w:type="spellEnd"/>
      <w:r w:rsidR="00274A8C" w:rsidRPr="00925BCD">
        <w:rPr>
          <w:rFonts w:ascii="Arial" w:hAnsi="Arial" w:cs="Arial"/>
        </w:rPr>
        <w:t xml:space="preserve">, w 2019 r. </w:t>
      </w:r>
      <w:bookmarkStart w:id="130" w:name="_Hlk94707725"/>
      <w:r w:rsidR="00274A8C" w:rsidRPr="00925BCD">
        <w:rPr>
          <w:rFonts w:ascii="Arial" w:hAnsi="Arial" w:cs="Arial"/>
        </w:rPr>
        <w:t xml:space="preserve">– 6 773 kontrole, w tym 36 </w:t>
      </w:r>
      <w:proofErr w:type="spellStart"/>
      <w:r w:rsidR="00274A8C" w:rsidRPr="00925BCD">
        <w:rPr>
          <w:rFonts w:ascii="Arial" w:hAnsi="Arial" w:cs="Arial"/>
        </w:rPr>
        <w:t>rekontroli</w:t>
      </w:r>
      <w:bookmarkEnd w:id="130"/>
      <w:proofErr w:type="spellEnd"/>
      <w:r w:rsidR="003D1152">
        <w:rPr>
          <w:rFonts w:ascii="Arial" w:hAnsi="Arial" w:cs="Arial"/>
        </w:rPr>
        <w:t xml:space="preserve">, w </w:t>
      </w:r>
      <w:r w:rsidR="00384522">
        <w:rPr>
          <w:rFonts w:ascii="Arial" w:hAnsi="Arial" w:cs="Arial"/>
        </w:rPr>
        <w:t>2020 </w:t>
      </w:r>
      <w:r w:rsidR="003D1152">
        <w:rPr>
          <w:rFonts w:ascii="Arial" w:hAnsi="Arial" w:cs="Arial"/>
        </w:rPr>
        <w:t xml:space="preserve">r. </w:t>
      </w:r>
      <w:r w:rsidR="003D1152" w:rsidRPr="00925BCD">
        <w:rPr>
          <w:rFonts w:ascii="Arial" w:hAnsi="Arial" w:cs="Arial"/>
        </w:rPr>
        <w:t xml:space="preserve">– </w:t>
      </w:r>
      <w:r w:rsidR="003D1152">
        <w:rPr>
          <w:rFonts w:ascii="Arial" w:hAnsi="Arial" w:cs="Arial"/>
        </w:rPr>
        <w:t>5</w:t>
      </w:r>
      <w:r w:rsidR="003D1152" w:rsidRPr="00925BCD">
        <w:rPr>
          <w:rFonts w:ascii="Arial" w:hAnsi="Arial" w:cs="Arial"/>
        </w:rPr>
        <w:t xml:space="preserve"> </w:t>
      </w:r>
      <w:r w:rsidR="003D1152">
        <w:rPr>
          <w:rFonts w:ascii="Arial" w:hAnsi="Arial" w:cs="Arial"/>
        </w:rPr>
        <w:t>595</w:t>
      </w:r>
      <w:r w:rsidR="003D1152" w:rsidRPr="00925BCD">
        <w:rPr>
          <w:rFonts w:ascii="Arial" w:hAnsi="Arial" w:cs="Arial"/>
        </w:rPr>
        <w:t xml:space="preserve"> kontrol</w:t>
      </w:r>
      <w:r w:rsidR="003D1152">
        <w:rPr>
          <w:rFonts w:ascii="Arial" w:hAnsi="Arial" w:cs="Arial"/>
        </w:rPr>
        <w:t>i</w:t>
      </w:r>
      <w:r w:rsidR="003D1152" w:rsidRPr="00925BCD">
        <w:rPr>
          <w:rFonts w:ascii="Arial" w:hAnsi="Arial" w:cs="Arial"/>
        </w:rPr>
        <w:t>, w tym 3</w:t>
      </w:r>
      <w:r w:rsidR="003D1152">
        <w:rPr>
          <w:rFonts w:ascii="Arial" w:hAnsi="Arial" w:cs="Arial"/>
        </w:rPr>
        <w:t>5</w:t>
      </w:r>
      <w:r w:rsidR="00534399">
        <w:rPr>
          <w:rFonts w:ascii="Arial" w:hAnsi="Arial" w:cs="Arial"/>
        </w:rPr>
        <w:t> </w:t>
      </w:r>
      <w:proofErr w:type="spellStart"/>
      <w:r w:rsidR="003D1152" w:rsidRPr="00925BCD">
        <w:rPr>
          <w:rFonts w:ascii="Arial" w:hAnsi="Arial" w:cs="Arial"/>
        </w:rPr>
        <w:t>rekontroli</w:t>
      </w:r>
      <w:proofErr w:type="spellEnd"/>
      <w:r w:rsidR="00167372">
        <w:rPr>
          <w:rFonts w:ascii="Arial" w:hAnsi="Arial" w:cs="Arial"/>
        </w:rPr>
        <w:t>,</w:t>
      </w:r>
      <w:r w:rsidR="00167372" w:rsidRPr="00167372">
        <w:rPr>
          <w:rFonts w:ascii="Arial" w:hAnsi="Arial" w:cs="Arial"/>
        </w:rPr>
        <w:t xml:space="preserve"> </w:t>
      </w:r>
      <w:r w:rsidR="00167372">
        <w:rPr>
          <w:rFonts w:ascii="Arial" w:hAnsi="Arial" w:cs="Arial"/>
        </w:rPr>
        <w:t>natomiast w 2021 r</w:t>
      </w:r>
      <w:r w:rsidR="00167372" w:rsidRPr="00167372">
        <w:rPr>
          <w:rFonts w:ascii="Arial" w:hAnsi="Arial" w:cs="Arial"/>
        </w:rPr>
        <w:t xml:space="preserve">. – 5 </w:t>
      </w:r>
      <w:r w:rsidR="00E95ED9">
        <w:rPr>
          <w:rFonts w:ascii="Arial" w:hAnsi="Arial" w:cs="Arial"/>
        </w:rPr>
        <w:t>121</w:t>
      </w:r>
      <w:r w:rsidR="00167372" w:rsidRPr="00167372">
        <w:rPr>
          <w:rFonts w:ascii="Arial" w:hAnsi="Arial" w:cs="Arial"/>
        </w:rPr>
        <w:t xml:space="preserve"> kontroli, w tym </w:t>
      </w:r>
      <w:r w:rsidR="00E95ED9">
        <w:rPr>
          <w:rFonts w:ascii="Arial" w:hAnsi="Arial" w:cs="Arial"/>
        </w:rPr>
        <w:t>14</w:t>
      </w:r>
      <w:r w:rsidR="00167372" w:rsidRPr="00167372">
        <w:rPr>
          <w:rFonts w:ascii="Arial" w:hAnsi="Arial" w:cs="Arial"/>
        </w:rPr>
        <w:t xml:space="preserve"> </w:t>
      </w:r>
      <w:proofErr w:type="spellStart"/>
      <w:r w:rsidR="00167372" w:rsidRPr="00167372">
        <w:rPr>
          <w:rFonts w:ascii="Arial" w:hAnsi="Arial" w:cs="Arial"/>
        </w:rPr>
        <w:t>rekontroli</w:t>
      </w:r>
      <w:proofErr w:type="spellEnd"/>
      <w:r w:rsidR="00167372">
        <w:rPr>
          <w:rFonts w:ascii="Arial" w:hAnsi="Arial" w:cs="Arial"/>
        </w:rPr>
        <w:t>.</w:t>
      </w:r>
      <w:r w:rsidRPr="00925BCD">
        <w:rPr>
          <w:rFonts w:ascii="Arial" w:hAnsi="Arial" w:cs="Arial"/>
        </w:rPr>
        <w:t xml:space="preserve"> Kontrole przeprowadzane były zarówno w miejscach zaewidencjonowanych przez Inspekcję w rejestrach przedsiębiorców wykonujących działalność w zakresie konfekcjonowania lub obrotu środkami ochrony roślin, tj.</w:t>
      </w:r>
      <w:r w:rsidR="00534399">
        <w:rPr>
          <w:rFonts w:ascii="Arial" w:hAnsi="Arial" w:cs="Arial"/>
        </w:rPr>
        <w:t> </w:t>
      </w:r>
      <w:r w:rsidRPr="00925BCD">
        <w:rPr>
          <w:rFonts w:ascii="Arial" w:hAnsi="Arial" w:cs="Arial"/>
        </w:rPr>
        <w:t>w</w:t>
      </w:r>
      <w:r w:rsidR="00E95ED9">
        <w:rPr>
          <w:rFonts w:ascii="Arial" w:hAnsi="Arial" w:cs="Arial"/>
        </w:rPr>
        <w:t> </w:t>
      </w:r>
      <w:r w:rsidRPr="00925BCD">
        <w:rPr>
          <w:rFonts w:ascii="Arial" w:hAnsi="Arial" w:cs="Arial"/>
        </w:rPr>
        <w:t xml:space="preserve">hurtowniach, punktach obrotu detalicznego, punktach konfekcjonowania środków ochrony roślin, </w:t>
      </w:r>
      <w:r w:rsidRPr="00925BCD">
        <w:rPr>
          <w:rFonts w:ascii="Arial" w:hAnsi="Arial" w:cs="Arial"/>
        </w:rPr>
        <w:lastRenderedPageBreak/>
        <w:t>a</w:t>
      </w:r>
      <w:r w:rsidR="00E95ED9">
        <w:rPr>
          <w:rFonts w:ascii="Arial" w:hAnsi="Arial" w:cs="Arial"/>
        </w:rPr>
        <w:t> </w:t>
      </w:r>
      <w:r w:rsidRPr="00925BCD">
        <w:rPr>
          <w:rFonts w:ascii="Arial" w:hAnsi="Arial" w:cs="Arial"/>
        </w:rPr>
        <w:t>także miejscach produkcji środków ochrony roślin, u producentów środków ochrony roślin, jak również w innych miejscach, w których jest lub może być prowadzony obrót takimi środkami i</w:t>
      </w:r>
      <w:r w:rsidR="004E3716" w:rsidRPr="00925BCD">
        <w:rPr>
          <w:rFonts w:ascii="Arial" w:hAnsi="Arial" w:cs="Arial"/>
        </w:rPr>
        <w:t> </w:t>
      </w:r>
      <w:r w:rsidRPr="00925BCD">
        <w:rPr>
          <w:rFonts w:ascii="Arial" w:hAnsi="Arial" w:cs="Arial"/>
        </w:rPr>
        <w:t>zaprawionym materiałem siewnym (np. targowiska). Przeprowadzano także kontrole obrotu środkami ochrony roślin w grupach producenckich, u posiadaczy zezwoleń Ministra Rolnictwa i Rozwoju Wsi na wprowadzanie do obrotu środków ochrony roślin lub pozwoleń na handel równoległy tymi produktami, w miejscach składowania środków ochrony roślin, w firmach logistycznych, transportowych i</w:t>
      </w:r>
      <w:r w:rsidR="004E3716" w:rsidRPr="00925BCD">
        <w:rPr>
          <w:rFonts w:ascii="Arial" w:hAnsi="Arial" w:cs="Arial"/>
        </w:rPr>
        <w:t> </w:t>
      </w:r>
      <w:r w:rsidRPr="00925BCD">
        <w:rPr>
          <w:rFonts w:ascii="Arial" w:hAnsi="Arial" w:cs="Arial"/>
        </w:rPr>
        <w:t>u</w:t>
      </w:r>
      <w:r w:rsidR="004E3716" w:rsidRPr="00925BCD">
        <w:rPr>
          <w:rFonts w:ascii="Arial" w:hAnsi="Arial" w:cs="Arial"/>
        </w:rPr>
        <w:t> </w:t>
      </w:r>
      <w:r w:rsidRPr="00925BCD">
        <w:rPr>
          <w:rFonts w:ascii="Arial" w:hAnsi="Arial" w:cs="Arial"/>
        </w:rPr>
        <w:t xml:space="preserve">przewoźników środków ochrony roślin oraz na przejściach </w:t>
      </w:r>
      <w:r w:rsidRPr="00366515">
        <w:rPr>
          <w:rFonts w:ascii="Arial" w:hAnsi="Arial" w:cs="Arial"/>
        </w:rPr>
        <w:t>granicznych.</w:t>
      </w:r>
    </w:p>
    <w:p w14:paraId="26D5520E" w14:textId="4F8BACDE"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366515">
        <w:rPr>
          <w:rFonts w:ascii="Arial" w:hAnsi="Arial" w:cs="Arial"/>
        </w:rPr>
        <w:t>Spośród przeprowadz</w:t>
      </w:r>
      <w:r w:rsidR="003C73F7" w:rsidRPr="00366515">
        <w:rPr>
          <w:rFonts w:ascii="Arial" w:hAnsi="Arial" w:cs="Arial"/>
        </w:rPr>
        <w:t>a</w:t>
      </w:r>
      <w:r w:rsidR="00366515" w:rsidRPr="00366515">
        <w:rPr>
          <w:rFonts w:ascii="Arial" w:hAnsi="Arial" w:cs="Arial"/>
        </w:rPr>
        <w:t>n</w:t>
      </w:r>
      <w:r w:rsidRPr="00366515">
        <w:rPr>
          <w:rFonts w:ascii="Arial" w:hAnsi="Arial" w:cs="Arial"/>
        </w:rPr>
        <w:t>ych</w:t>
      </w:r>
      <w:r w:rsidR="004E3716" w:rsidRPr="00366515">
        <w:rPr>
          <w:rFonts w:ascii="Arial" w:hAnsi="Arial" w:cs="Arial"/>
        </w:rPr>
        <w:t xml:space="preserve"> </w:t>
      </w:r>
      <w:r w:rsidR="00366515">
        <w:rPr>
          <w:rFonts w:ascii="Arial" w:hAnsi="Arial" w:cs="Arial"/>
        </w:rPr>
        <w:t xml:space="preserve">kontroli </w:t>
      </w:r>
      <w:r w:rsidR="003C73F7" w:rsidRPr="00366515">
        <w:rPr>
          <w:rFonts w:ascii="Arial" w:hAnsi="Arial" w:cs="Arial"/>
        </w:rPr>
        <w:t xml:space="preserve">co roku </w:t>
      </w:r>
      <w:r w:rsidRPr="00366515">
        <w:rPr>
          <w:rFonts w:ascii="Arial" w:hAnsi="Arial" w:cs="Arial"/>
        </w:rPr>
        <w:t>stwierdzono nieprawidłowości.</w:t>
      </w:r>
      <w:r w:rsidRPr="00925BCD">
        <w:rPr>
          <w:rFonts w:ascii="Arial" w:hAnsi="Arial" w:cs="Arial"/>
        </w:rPr>
        <w:t xml:space="preserve"> Najczęściej stwierdzane to: brak szkolenia w zakresie doradztwa, oferowanie przeterminowanych środków ochrony roślin </w:t>
      </w:r>
      <w:r w:rsidR="00366515" w:rsidRPr="00925BCD">
        <w:rPr>
          <w:rFonts w:ascii="Arial" w:hAnsi="Arial" w:cs="Arial"/>
        </w:rPr>
        <w:t>i</w:t>
      </w:r>
      <w:r w:rsidR="00366515">
        <w:rPr>
          <w:rFonts w:ascii="Arial" w:hAnsi="Arial" w:cs="Arial"/>
        </w:rPr>
        <w:t> </w:t>
      </w:r>
      <w:r w:rsidRPr="00925BCD">
        <w:rPr>
          <w:rFonts w:ascii="Arial" w:hAnsi="Arial" w:cs="Arial"/>
        </w:rPr>
        <w:t xml:space="preserve">niewłaściwie zaetykietowanych. </w:t>
      </w:r>
    </w:p>
    <w:p w14:paraId="60B9AFD0" w14:textId="11C247B7" w:rsidR="00056846"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związku ze stwierdzonymi nieprawidłowościami wyda</w:t>
      </w:r>
      <w:r w:rsidR="003C73F7">
        <w:rPr>
          <w:rFonts w:ascii="Arial" w:hAnsi="Arial" w:cs="Arial"/>
        </w:rPr>
        <w:t>wa</w:t>
      </w:r>
      <w:r w:rsidRPr="00925BCD">
        <w:rPr>
          <w:rFonts w:ascii="Arial" w:hAnsi="Arial" w:cs="Arial"/>
        </w:rPr>
        <w:t>no mandat</w:t>
      </w:r>
      <w:r w:rsidR="003C73F7">
        <w:rPr>
          <w:rFonts w:ascii="Arial" w:hAnsi="Arial" w:cs="Arial"/>
        </w:rPr>
        <w:t>y</w:t>
      </w:r>
      <w:r w:rsidRPr="00925BCD">
        <w:rPr>
          <w:rFonts w:ascii="Arial" w:hAnsi="Arial" w:cs="Arial"/>
        </w:rPr>
        <w:t xml:space="preserve"> karn</w:t>
      </w:r>
      <w:r w:rsidR="003C73F7">
        <w:rPr>
          <w:rFonts w:ascii="Arial" w:hAnsi="Arial" w:cs="Arial"/>
        </w:rPr>
        <w:t>e</w:t>
      </w:r>
      <w:r w:rsidRPr="00925BCD">
        <w:rPr>
          <w:rFonts w:ascii="Arial" w:hAnsi="Arial" w:cs="Arial"/>
        </w:rPr>
        <w:t xml:space="preserve">, decyzje o określeniu opłaty sankcyjnej, </w:t>
      </w:r>
      <w:r w:rsidR="003C73F7">
        <w:rPr>
          <w:rFonts w:ascii="Arial" w:hAnsi="Arial" w:cs="Arial"/>
        </w:rPr>
        <w:t>oraz</w:t>
      </w:r>
      <w:r w:rsidRPr="00925BCD">
        <w:rPr>
          <w:rFonts w:ascii="Arial" w:hAnsi="Arial" w:cs="Arial"/>
        </w:rPr>
        <w:t xml:space="preserve"> decyzj</w:t>
      </w:r>
      <w:r w:rsidR="003C73F7">
        <w:rPr>
          <w:rFonts w:ascii="Arial" w:hAnsi="Arial" w:cs="Arial"/>
        </w:rPr>
        <w:t>e</w:t>
      </w:r>
      <w:r w:rsidRPr="00925BCD">
        <w:rPr>
          <w:rFonts w:ascii="Arial" w:hAnsi="Arial" w:cs="Arial"/>
        </w:rPr>
        <w:t xml:space="preserve"> o wycofaniu środków ochrony roślin z obrotu i wniosk</w:t>
      </w:r>
      <w:r w:rsidR="007E22E3">
        <w:rPr>
          <w:rFonts w:ascii="Arial" w:hAnsi="Arial" w:cs="Arial"/>
        </w:rPr>
        <w:t>i</w:t>
      </w:r>
      <w:r w:rsidRPr="00925BCD">
        <w:rPr>
          <w:rFonts w:ascii="Arial" w:hAnsi="Arial" w:cs="Arial"/>
        </w:rPr>
        <w:t xml:space="preserve"> do sądu.</w:t>
      </w:r>
    </w:p>
    <w:p w14:paraId="4C87A027" w14:textId="3B35FD6F" w:rsidR="003C73F7" w:rsidRDefault="003C73F7" w:rsidP="00EC2F01">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Szczegółowe dane przedstawia tabela poniżej.</w:t>
      </w:r>
    </w:p>
    <w:tbl>
      <w:tblPr>
        <w:tblStyle w:val="Tabela-Siatka"/>
        <w:tblW w:w="0" w:type="auto"/>
        <w:tblLook w:val="04A0" w:firstRow="1" w:lastRow="0" w:firstColumn="1" w:lastColumn="0" w:noHBand="0" w:noVBand="1"/>
      </w:tblPr>
      <w:tblGrid>
        <w:gridCol w:w="1100"/>
        <w:gridCol w:w="1175"/>
        <w:gridCol w:w="1883"/>
        <w:gridCol w:w="1206"/>
        <w:gridCol w:w="1262"/>
        <w:gridCol w:w="1248"/>
        <w:gridCol w:w="1188"/>
      </w:tblGrid>
      <w:tr w:rsidR="00366515" w14:paraId="3DD7D5E6" w14:textId="77777777" w:rsidTr="002C2375">
        <w:tc>
          <w:tcPr>
            <w:tcW w:w="1100" w:type="dxa"/>
            <w:vAlign w:val="center"/>
          </w:tcPr>
          <w:p w14:paraId="23B1FBE5" w14:textId="5CA8AD7E" w:rsidR="003C73F7" w:rsidRPr="005066B5" w:rsidRDefault="003C73F7"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Rok</w:t>
            </w:r>
          </w:p>
        </w:tc>
        <w:tc>
          <w:tcPr>
            <w:tcW w:w="1175" w:type="dxa"/>
            <w:vAlign w:val="center"/>
          </w:tcPr>
          <w:p w14:paraId="7E1944BF" w14:textId="6389DE0A" w:rsidR="003C73F7" w:rsidRPr="005066B5" w:rsidRDefault="003C73F7"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kontroli</w:t>
            </w:r>
            <w:r w:rsidR="00366515" w:rsidRPr="005066B5">
              <w:rPr>
                <w:rFonts w:ascii="Arial" w:hAnsi="Arial" w:cs="Arial"/>
                <w:b/>
                <w:bCs/>
              </w:rPr>
              <w:t xml:space="preserve"> ogółem</w:t>
            </w:r>
          </w:p>
        </w:tc>
        <w:tc>
          <w:tcPr>
            <w:tcW w:w="1883" w:type="dxa"/>
            <w:vAlign w:val="center"/>
          </w:tcPr>
          <w:p w14:paraId="2A6F5B4F" w14:textId="3876D993"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kontroli, w toku których stwierdzono nieprawidłowości</w:t>
            </w:r>
          </w:p>
        </w:tc>
        <w:tc>
          <w:tcPr>
            <w:tcW w:w="1206" w:type="dxa"/>
            <w:vAlign w:val="center"/>
          </w:tcPr>
          <w:p w14:paraId="0D0EAC5C" w14:textId="4D4887A0"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Mandaty karne</w:t>
            </w:r>
          </w:p>
        </w:tc>
        <w:tc>
          <w:tcPr>
            <w:tcW w:w="1262" w:type="dxa"/>
            <w:vAlign w:val="center"/>
          </w:tcPr>
          <w:p w14:paraId="06F703EA" w14:textId="7DCE4CEF"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Decyzje o określeniu opłaty sankcyjnej</w:t>
            </w:r>
          </w:p>
        </w:tc>
        <w:tc>
          <w:tcPr>
            <w:tcW w:w="1248" w:type="dxa"/>
            <w:vAlign w:val="center"/>
          </w:tcPr>
          <w:p w14:paraId="4D5DEE37" w14:textId="716B533F"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Decyzje o wycofaniu środków ochrony roślin</w:t>
            </w:r>
          </w:p>
        </w:tc>
        <w:tc>
          <w:tcPr>
            <w:tcW w:w="1188" w:type="dxa"/>
            <w:vAlign w:val="center"/>
          </w:tcPr>
          <w:p w14:paraId="27889564" w14:textId="5A940044"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Wnioski do sądu</w:t>
            </w:r>
          </w:p>
        </w:tc>
      </w:tr>
      <w:tr w:rsidR="00366515" w14:paraId="6D3DF03B" w14:textId="77777777" w:rsidTr="002C2375">
        <w:tc>
          <w:tcPr>
            <w:tcW w:w="1100" w:type="dxa"/>
          </w:tcPr>
          <w:p w14:paraId="1C35B7B7" w14:textId="124E3DCE"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2018</w:t>
            </w:r>
          </w:p>
        </w:tc>
        <w:tc>
          <w:tcPr>
            <w:tcW w:w="1175" w:type="dxa"/>
          </w:tcPr>
          <w:p w14:paraId="53D5B52E" w14:textId="0CE032A6"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w:t>
            </w:r>
            <w:r w:rsidR="00E27378" w:rsidRPr="005066B5">
              <w:rPr>
                <w:rFonts w:ascii="Arial" w:hAnsi="Arial" w:cs="Arial"/>
              </w:rPr>
              <w:t xml:space="preserve"> </w:t>
            </w:r>
            <w:r w:rsidRPr="005066B5">
              <w:rPr>
                <w:rFonts w:ascii="Arial" w:hAnsi="Arial" w:cs="Arial"/>
              </w:rPr>
              <w:t>626</w:t>
            </w:r>
          </w:p>
        </w:tc>
        <w:tc>
          <w:tcPr>
            <w:tcW w:w="1883" w:type="dxa"/>
          </w:tcPr>
          <w:p w14:paraId="48948D69" w14:textId="5839315F"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213</w:t>
            </w:r>
          </w:p>
        </w:tc>
        <w:tc>
          <w:tcPr>
            <w:tcW w:w="1206" w:type="dxa"/>
          </w:tcPr>
          <w:p w14:paraId="0601DDF9" w14:textId="60C0EF16"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156</w:t>
            </w:r>
          </w:p>
        </w:tc>
        <w:tc>
          <w:tcPr>
            <w:tcW w:w="1262" w:type="dxa"/>
          </w:tcPr>
          <w:p w14:paraId="10AD515B" w14:textId="3F785072"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22</w:t>
            </w:r>
          </w:p>
        </w:tc>
        <w:tc>
          <w:tcPr>
            <w:tcW w:w="1248" w:type="dxa"/>
          </w:tcPr>
          <w:p w14:paraId="6416D6DD" w14:textId="3E33BB14"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38</w:t>
            </w:r>
          </w:p>
        </w:tc>
        <w:tc>
          <w:tcPr>
            <w:tcW w:w="1188" w:type="dxa"/>
          </w:tcPr>
          <w:p w14:paraId="5B3DCF13" w14:textId="5864B215"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15</w:t>
            </w:r>
          </w:p>
        </w:tc>
      </w:tr>
      <w:tr w:rsidR="00366515" w14:paraId="4E3BFFD4" w14:textId="77777777" w:rsidTr="002C2375">
        <w:tc>
          <w:tcPr>
            <w:tcW w:w="1100" w:type="dxa"/>
          </w:tcPr>
          <w:p w14:paraId="7C35E996" w14:textId="4617C3C2"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2019</w:t>
            </w:r>
          </w:p>
        </w:tc>
        <w:tc>
          <w:tcPr>
            <w:tcW w:w="1175" w:type="dxa"/>
          </w:tcPr>
          <w:p w14:paraId="3B4F1DE6" w14:textId="1003C32E"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w:t>
            </w:r>
            <w:r w:rsidR="00E27378" w:rsidRPr="005066B5">
              <w:rPr>
                <w:rFonts w:ascii="Arial" w:hAnsi="Arial" w:cs="Arial"/>
              </w:rPr>
              <w:t xml:space="preserve"> </w:t>
            </w:r>
            <w:r w:rsidRPr="005066B5">
              <w:rPr>
                <w:rFonts w:ascii="Arial" w:hAnsi="Arial" w:cs="Arial"/>
              </w:rPr>
              <w:t>773</w:t>
            </w:r>
          </w:p>
        </w:tc>
        <w:tc>
          <w:tcPr>
            <w:tcW w:w="1883" w:type="dxa"/>
          </w:tcPr>
          <w:p w14:paraId="653AC483" w14:textId="4733B163"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653</w:t>
            </w:r>
          </w:p>
        </w:tc>
        <w:tc>
          <w:tcPr>
            <w:tcW w:w="1206" w:type="dxa"/>
          </w:tcPr>
          <w:p w14:paraId="1A91CC21" w14:textId="3CDEB9E9"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243</w:t>
            </w:r>
          </w:p>
        </w:tc>
        <w:tc>
          <w:tcPr>
            <w:tcW w:w="1262" w:type="dxa"/>
          </w:tcPr>
          <w:p w14:paraId="6650CF19" w14:textId="5B8A3A8B"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36</w:t>
            </w:r>
          </w:p>
        </w:tc>
        <w:tc>
          <w:tcPr>
            <w:tcW w:w="1248" w:type="dxa"/>
          </w:tcPr>
          <w:p w14:paraId="4525EC5D" w14:textId="27BA3DF8"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58</w:t>
            </w:r>
          </w:p>
        </w:tc>
        <w:tc>
          <w:tcPr>
            <w:tcW w:w="1188" w:type="dxa"/>
          </w:tcPr>
          <w:p w14:paraId="5AE99668" w14:textId="193C3F17"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13</w:t>
            </w:r>
          </w:p>
        </w:tc>
      </w:tr>
      <w:tr w:rsidR="00366515" w14:paraId="2FAE7E5E" w14:textId="77777777" w:rsidTr="002C2375">
        <w:tc>
          <w:tcPr>
            <w:tcW w:w="1100" w:type="dxa"/>
          </w:tcPr>
          <w:p w14:paraId="6ED23F01" w14:textId="2ACF8187"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2020</w:t>
            </w:r>
          </w:p>
        </w:tc>
        <w:tc>
          <w:tcPr>
            <w:tcW w:w="1175" w:type="dxa"/>
          </w:tcPr>
          <w:p w14:paraId="12C80526" w14:textId="7B636A03"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5</w:t>
            </w:r>
            <w:r w:rsidR="00E27378" w:rsidRPr="005066B5">
              <w:rPr>
                <w:rFonts w:ascii="Arial" w:hAnsi="Arial" w:cs="Arial"/>
              </w:rPr>
              <w:t xml:space="preserve"> </w:t>
            </w:r>
            <w:r w:rsidRPr="005066B5">
              <w:rPr>
                <w:rFonts w:ascii="Arial" w:hAnsi="Arial" w:cs="Arial"/>
              </w:rPr>
              <w:t>595</w:t>
            </w:r>
          </w:p>
        </w:tc>
        <w:tc>
          <w:tcPr>
            <w:tcW w:w="1883" w:type="dxa"/>
          </w:tcPr>
          <w:p w14:paraId="1E7A38FB" w14:textId="482A2FC8"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229</w:t>
            </w:r>
          </w:p>
        </w:tc>
        <w:tc>
          <w:tcPr>
            <w:tcW w:w="1206" w:type="dxa"/>
          </w:tcPr>
          <w:p w14:paraId="51E8B52C" w14:textId="0F499E2C"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123</w:t>
            </w:r>
          </w:p>
        </w:tc>
        <w:tc>
          <w:tcPr>
            <w:tcW w:w="1262" w:type="dxa"/>
          </w:tcPr>
          <w:p w14:paraId="677B3778" w14:textId="21AEE12C"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28</w:t>
            </w:r>
          </w:p>
        </w:tc>
        <w:tc>
          <w:tcPr>
            <w:tcW w:w="1248" w:type="dxa"/>
          </w:tcPr>
          <w:p w14:paraId="7D0BD24D" w14:textId="401535D8"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34</w:t>
            </w:r>
          </w:p>
        </w:tc>
        <w:tc>
          <w:tcPr>
            <w:tcW w:w="1188" w:type="dxa"/>
          </w:tcPr>
          <w:p w14:paraId="498FE0C3" w14:textId="33EB6564"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13</w:t>
            </w:r>
          </w:p>
        </w:tc>
      </w:tr>
      <w:tr w:rsidR="00E95ED9" w14:paraId="551EA995" w14:textId="77777777" w:rsidTr="002C2375">
        <w:tc>
          <w:tcPr>
            <w:tcW w:w="1100" w:type="dxa"/>
          </w:tcPr>
          <w:p w14:paraId="576A0E1C" w14:textId="2DDAFBF5"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2021</w:t>
            </w:r>
          </w:p>
        </w:tc>
        <w:tc>
          <w:tcPr>
            <w:tcW w:w="1175" w:type="dxa"/>
          </w:tcPr>
          <w:p w14:paraId="1AAC3113" w14:textId="06A179EA"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5 121</w:t>
            </w:r>
          </w:p>
        </w:tc>
        <w:tc>
          <w:tcPr>
            <w:tcW w:w="1883" w:type="dxa"/>
          </w:tcPr>
          <w:p w14:paraId="5AE364C4" w14:textId="5BD5C7E0"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325</w:t>
            </w:r>
          </w:p>
        </w:tc>
        <w:tc>
          <w:tcPr>
            <w:tcW w:w="1206" w:type="dxa"/>
          </w:tcPr>
          <w:p w14:paraId="609D9C40" w14:textId="40C37CF8"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99</w:t>
            </w:r>
          </w:p>
        </w:tc>
        <w:tc>
          <w:tcPr>
            <w:tcW w:w="1262" w:type="dxa"/>
          </w:tcPr>
          <w:p w14:paraId="1980366B" w14:textId="2604BC7B"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26</w:t>
            </w:r>
          </w:p>
        </w:tc>
        <w:tc>
          <w:tcPr>
            <w:tcW w:w="1248" w:type="dxa"/>
          </w:tcPr>
          <w:p w14:paraId="66B46150" w14:textId="5BA0555F"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35</w:t>
            </w:r>
          </w:p>
        </w:tc>
        <w:tc>
          <w:tcPr>
            <w:tcW w:w="1188" w:type="dxa"/>
          </w:tcPr>
          <w:p w14:paraId="31062DFA" w14:textId="2B457E1A"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15</w:t>
            </w:r>
          </w:p>
        </w:tc>
      </w:tr>
    </w:tbl>
    <w:p w14:paraId="4B5FAA5E" w14:textId="77777777" w:rsidR="003C73F7" w:rsidRPr="00925BCD" w:rsidRDefault="003C73F7" w:rsidP="00EC2F01">
      <w:pPr>
        <w:pStyle w:val="NormalnyWeb"/>
        <w:tabs>
          <w:tab w:val="left" w:pos="284"/>
        </w:tabs>
        <w:spacing w:beforeAutospacing="0" w:after="120" w:afterAutospacing="0" w:line="360" w:lineRule="auto"/>
        <w:ind w:firstLine="284"/>
        <w:jc w:val="both"/>
        <w:rPr>
          <w:rFonts w:ascii="Arial" w:hAnsi="Arial" w:cs="Arial"/>
        </w:rPr>
      </w:pPr>
    </w:p>
    <w:p w14:paraId="1BD57918" w14:textId="2E46A7CB" w:rsidR="00056846" w:rsidRPr="003D1152" w:rsidRDefault="00274A8C"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7E22E3">
        <w:rPr>
          <w:rFonts w:ascii="Arial" w:hAnsi="Arial" w:cs="Arial"/>
        </w:rPr>
        <w:t xml:space="preserve">latach </w:t>
      </w:r>
      <w:r w:rsidRPr="00925BCD">
        <w:rPr>
          <w:rFonts w:ascii="Arial" w:hAnsi="Arial" w:cs="Arial"/>
        </w:rPr>
        <w:t>2018</w:t>
      </w:r>
      <w:r w:rsidR="007E22E3" w:rsidRPr="003D1152">
        <w:rPr>
          <w:rFonts w:ascii="Arial" w:hAnsi="Arial" w:cs="Arial"/>
        </w:rPr>
        <w:t>–</w:t>
      </w:r>
      <w:r w:rsidR="007E22E3">
        <w:rPr>
          <w:rFonts w:ascii="Arial" w:hAnsi="Arial" w:cs="Arial"/>
        </w:rPr>
        <w:t>2020</w:t>
      </w:r>
      <w:r w:rsidR="00E54725" w:rsidRPr="00925BCD">
        <w:rPr>
          <w:rFonts w:ascii="Arial" w:hAnsi="Arial" w:cs="Arial"/>
        </w:rPr>
        <w:t xml:space="preserve"> kontrola składu i właściwości fizyko–chemicznych środków ochrony roślin prowadzona była przez Państwową Inspekcję Ochrony Roślin i Nasiennictwa w powiązaniu z realizowanymi przez Instytut Ochrony Roślin – PIB zadaniami programu wieloletniego pod nazwą „Ochrona roślin uprawnych z uwzględnieniem bezpieczeństwa żywności oraz ograniczenia strat w plonach i zagrożeń dla zdrowia ludzi, zwierząt domowych i środowiska”</w:t>
      </w:r>
      <w:r w:rsidR="00D139BE">
        <w:rPr>
          <w:rFonts w:ascii="Arial" w:hAnsi="Arial" w:cs="Arial"/>
        </w:rPr>
        <w:t xml:space="preserve"> oraz w 2021 r. w ramach dotacji celowej</w:t>
      </w:r>
      <w:r w:rsidR="00E54725" w:rsidRPr="00925BCD">
        <w:rPr>
          <w:rFonts w:ascii="Arial" w:hAnsi="Arial" w:cs="Arial"/>
        </w:rPr>
        <w:t>. Zgodnie z opracowanymi wytycznymi dla Państwowej Inspekcji Ochrony Roślin i</w:t>
      </w:r>
      <w:r w:rsidR="00D139BE">
        <w:rPr>
          <w:rFonts w:ascii="Arial" w:hAnsi="Arial" w:cs="Arial"/>
        </w:rPr>
        <w:t> </w:t>
      </w:r>
      <w:r w:rsidR="00E54725" w:rsidRPr="00925BCD">
        <w:rPr>
          <w:rFonts w:ascii="Arial" w:hAnsi="Arial" w:cs="Arial"/>
        </w:rPr>
        <w:t xml:space="preserve">Nasiennictwa kontrola w powyższym zakresie była ukierunkowana na prewencję, czyli skuteczne wykrywanie możliwie dużej liczby nieprawidłowości w </w:t>
      </w:r>
      <w:r w:rsidR="00E54725" w:rsidRPr="003D1152">
        <w:rPr>
          <w:rFonts w:ascii="Arial" w:hAnsi="Arial" w:cs="Arial"/>
        </w:rPr>
        <w:t>sprzedawanych środkach oraz na monitoring, mający na celu uzyskanie obrazu krajowej sytuacji w zakresie jakości środków ochrony roślin znajdujących się w obrocie. Po uwzględnieniu parametrów wykazujących największe korelacje z nieprawidłowościami, tj.:</w:t>
      </w:r>
    </w:p>
    <w:p w14:paraId="679340BE" w14:textId="77777777" w:rsidR="00056846" w:rsidRPr="003D1152" w:rsidRDefault="00E54725" w:rsidP="00EC2F01">
      <w:pPr>
        <w:numPr>
          <w:ilvl w:val="0"/>
          <w:numId w:val="27"/>
        </w:numPr>
        <w:tabs>
          <w:tab w:val="left" w:pos="720"/>
          <w:tab w:val="left" w:pos="900"/>
          <w:tab w:val="center" w:pos="4536"/>
          <w:tab w:val="right" w:pos="9072"/>
        </w:tabs>
        <w:spacing w:after="120" w:line="360" w:lineRule="auto"/>
        <w:ind w:left="720"/>
        <w:jc w:val="both"/>
        <w:rPr>
          <w:rFonts w:ascii="Arial" w:hAnsi="Arial" w:cs="Arial"/>
          <w:sz w:val="20"/>
          <w:szCs w:val="20"/>
        </w:rPr>
      </w:pPr>
      <w:r w:rsidRPr="003D1152">
        <w:rPr>
          <w:rFonts w:ascii="Arial" w:hAnsi="Arial" w:cs="Arial"/>
          <w:sz w:val="20"/>
          <w:szCs w:val="20"/>
        </w:rPr>
        <w:t>rodzaj zezwolenia na wprowadzenie środka ochrony roślin do obrotu,</w:t>
      </w:r>
    </w:p>
    <w:p w14:paraId="1727AD9D" w14:textId="77777777" w:rsidR="00056846" w:rsidRPr="003D1152" w:rsidRDefault="00E54725" w:rsidP="00EC2F01">
      <w:pPr>
        <w:numPr>
          <w:ilvl w:val="0"/>
          <w:numId w:val="27"/>
        </w:numPr>
        <w:tabs>
          <w:tab w:val="left" w:pos="720"/>
          <w:tab w:val="left" w:pos="900"/>
          <w:tab w:val="center" w:pos="4536"/>
          <w:tab w:val="right" w:pos="9072"/>
        </w:tabs>
        <w:spacing w:after="120" w:line="360" w:lineRule="auto"/>
        <w:ind w:left="720"/>
        <w:jc w:val="both"/>
        <w:rPr>
          <w:rFonts w:ascii="Arial" w:hAnsi="Arial" w:cs="Arial"/>
          <w:sz w:val="20"/>
          <w:szCs w:val="20"/>
        </w:rPr>
      </w:pPr>
      <w:r w:rsidRPr="003D1152">
        <w:rPr>
          <w:rFonts w:ascii="Arial" w:hAnsi="Arial" w:cs="Arial"/>
          <w:sz w:val="20"/>
          <w:szCs w:val="20"/>
        </w:rPr>
        <w:t>przeznaczenie środka ochrony roślin (herbicyd, fungicyd, insektycyd, inne),</w:t>
      </w:r>
    </w:p>
    <w:p w14:paraId="683C2BC9" w14:textId="77777777" w:rsidR="00056846" w:rsidRPr="003D1152" w:rsidRDefault="00E54725" w:rsidP="00EC2F01">
      <w:pPr>
        <w:numPr>
          <w:ilvl w:val="0"/>
          <w:numId w:val="27"/>
        </w:numPr>
        <w:tabs>
          <w:tab w:val="left" w:pos="720"/>
          <w:tab w:val="left" w:pos="900"/>
          <w:tab w:val="center" w:pos="4536"/>
          <w:tab w:val="right" w:pos="9072"/>
        </w:tabs>
        <w:spacing w:after="120" w:line="360" w:lineRule="auto"/>
        <w:ind w:left="720"/>
        <w:jc w:val="both"/>
        <w:rPr>
          <w:rFonts w:ascii="Arial" w:hAnsi="Arial" w:cs="Arial"/>
          <w:sz w:val="20"/>
          <w:szCs w:val="20"/>
        </w:rPr>
      </w:pPr>
      <w:proofErr w:type="spellStart"/>
      <w:r w:rsidRPr="003D1152">
        <w:rPr>
          <w:rFonts w:ascii="Arial" w:hAnsi="Arial" w:cs="Arial"/>
          <w:sz w:val="20"/>
          <w:szCs w:val="20"/>
        </w:rPr>
        <w:lastRenderedPageBreak/>
        <w:t>formulacja</w:t>
      </w:r>
      <w:proofErr w:type="spellEnd"/>
      <w:r w:rsidRPr="003D1152">
        <w:rPr>
          <w:rFonts w:ascii="Arial" w:hAnsi="Arial" w:cs="Arial"/>
          <w:sz w:val="20"/>
          <w:szCs w:val="20"/>
        </w:rPr>
        <w:t xml:space="preserve"> środka</w:t>
      </w:r>
    </w:p>
    <w:p w14:paraId="6768B05C" w14:textId="21637F0F" w:rsidR="00056846" w:rsidRPr="003D1152" w:rsidRDefault="00274A8C" w:rsidP="00EC2F01">
      <w:pPr>
        <w:tabs>
          <w:tab w:val="center" w:pos="4536"/>
          <w:tab w:val="right" w:pos="9072"/>
        </w:tabs>
        <w:spacing w:after="120" w:line="360" w:lineRule="auto"/>
        <w:jc w:val="both"/>
        <w:rPr>
          <w:rFonts w:ascii="Arial" w:hAnsi="Arial" w:cs="Arial"/>
          <w:sz w:val="20"/>
          <w:szCs w:val="20"/>
        </w:rPr>
      </w:pPr>
      <w:r w:rsidRPr="003D1152">
        <w:rPr>
          <w:rFonts w:ascii="Arial" w:hAnsi="Arial" w:cs="Arial"/>
          <w:sz w:val="20"/>
          <w:szCs w:val="20"/>
        </w:rPr>
        <w:t xml:space="preserve">ustalono w 2018 r. – 16, w 2019 r. </w:t>
      </w:r>
      <w:bookmarkStart w:id="131" w:name="_Hlk94711924"/>
      <w:r w:rsidRPr="003D1152">
        <w:rPr>
          <w:rFonts w:ascii="Arial" w:hAnsi="Arial" w:cs="Arial"/>
          <w:sz w:val="20"/>
          <w:szCs w:val="20"/>
        </w:rPr>
        <w:t xml:space="preserve">– </w:t>
      </w:r>
      <w:bookmarkEnd w:id="131"/>
      <w:r w:rsidRPr="003D1152">
        <w:rPr>
          <w:rFonts w:ascii="Arial" w:hAnsi="Arial" w:cs="Arial"/>
          <w:sz w:val="20"/>
          <w:szCs w:val="20"/>
        </w:rPr>
        <w:t>13</w:t>
      </w:r>
      <w:r w:rsidR="007E22E3">
        <w:rPr>
          <w:rFonts w:ascii="Arial" w:hAnsi="Arial" w:cs="Arial"/>
          <w:sz w:val="20"/>
          <w:szCs w:val="20"/>
        </w:rPr>
        <w:t>,</w:t>
      </w:r>
      <w:r w:rsidR="007E22E3" w:rsidRPr="007E22E3">
        <w:rPr>
          <w:rFonts w:ascii="Arial" w:hAnsi="Arial" w:cs="Arial"/>
          <w:sz w:val="20"/>
          <w:szCs w:val="20"/>
        </w:rPr>
        <w:t xml:space="preserve"> </w:t>
      </w:r>
      <w:r w:rsidR="007E22E3">
        <w:rPr>
          <w:rFonts w:ascii="Arial" w:hAnsi="Arial" w:cs="Arial"/>
          <w:sz w:val="20"/>
          <w:szCs w:val="20"/>
        </w:rPr>
        <w:t xml:space="preserve">w 2020 r. </w:t>
      </w:r>
      <w:r w:rsidR="007E22E3" w:rsidRPr="003D1152">
        <w:rPr>
          <w:rFonts w:ascii="Arial" w:hAnsi="Arial" w:cs="Arial"/>
          <w:sz w:val="20"/>
          <w:szCs w:val="20"/>
        </w:rPr>
        <w:t xml:space="preserve">– </w:t>
      </w:r>
      <w:r w:rsidR="007E22E3">
        <w:rPr>
          <w:rFonts w:ascii="Arial" w:hAnsi="Arial" w:cs="Arial"/>
          <w:sz w:val="20"/>
          <w:szCs w:val="20"/>
        </w:rPr>
        <w:t>14</w:t>
      </w:r>
      <w:r w:rsidR="00CD567A">
        <w:rPr>
          <w:rFonts w:ascii="Arial" w:hAnsi="Arial" w:cs="Arial"/>
          <w:sz w:val="20"/>
          <w:szCs w:val="20"/>
        </w:rPr>
        <w:t xml:space="preserve">, a w 2021 r. </w:t>
      </w:r>
      <w:r w:rsidR="00CD567A" w:rsidRPr="00CD567A">
        <w:rPr>
          <w:rFonts w:ascii="Arial" w:hAnsi="Arial" w:cs="Arial"/>
          <w:sz w:val="20"/>
          <w:szCs w:val="20"/>
        </w:rPr>
        <w:t>– 1</w:t>
      </w:r>
      <w:r w:rsidR="00CD567A">
        <w:rPr>
          <w:rFonts w:ascii="Arial" w:hAnsi="Arial" w:cs="Arial"/>
          <w:sz w:val="20"/>
          <w:szCs w:val="20"/>
        </w:rPr>
        <w:t>2</w:t>
      </w:r>
      <w:r w:rsidR="00E54725" w:rsidRPr="003D1152">
        <w:rPr>
          <w:rFonts w:ascii="Arial" w:hAnsi="Arial" w:cs="Arial"/>
          <w:sz w:val="20"/>
          <w:szCs w:val="20"/>
        </w:rPr>
        <w:t xml:space="preserve"> charakterystycznych grup środków ochrony roślin, którym przypisano odpowiednią liczbę pobieranych próbek.</w:t>
      </w:r>
    </w:p>
    <w:p w14:paraId="36429A4E" w14:textId="0D035472" w:rsidR="00056846" w:rsidRPr="00EC0466"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3D1152">
        <w:rPr>
          <w:rFonts w:ascii="Arial" w:hAnsi="Arial" w:cs="Arial"/>
        </w:rPr>
        <w:t>Aplikacja wspierająca Państwową Inspekcję Ochrony Roślin i Nasiennictwa pn. e-kontrole, umożliwiła bezpośrednie przekazywanie danych o statusie pobranych</w:t>
      </w:r>
      <w:r w:rsidRPr="00925BCD">
        <w:rPr>
          <w:rFonts w:ascii="Arial" w:hAnsi="Arial" w:cs="Arial"/>
        </w:rPr>
        <w:t xml:space="preserve"> prób i stopniu realizacji poboru w</w:t>
      </w:r>
      <w:r w:rsidR="004E3716" w:rsidRPr="00925BCD">
        <w:rPr>
          <w:rFonts w:ascii="Arial" w:hAnsi="Arial" w:cs="Arial"/>
        </w:rPr>
        <w:t> </w:t>
      </w:r>
      <w:r w:rsidRPr="00925BCD">
        <w:rPr>
          <w:rFonts w:ascii="Arial" w:hAnsi="Arial" w:cs="Arial"/>
        </w:rPr>
        <w:t xml:space="preserve">ustalonych grupach środków ochrony roślin. Próbki te, po uwzględnieniu liczby punktów sprzedaży, szacunkowego zużycia środków ochrony roślin oraz powierzchni upraw w poszczególnych województwach, przydzielono do pobrania wojewódzkim inspektoratom. Niezależnie od kontroli podstawowej pobierano także próbki do badań </w:t>
      </w:r>
      <w:r w:rsidRPr="00EC0466">
        <w:rPr>
          <w:rFonts w:ascii="Arial" w:hAnsi="Arial" w:cs="Arial"/>
        </w:rPr>
        <w:t xml:space="preserve">interwencyjnych. </w:t>
      </w:r>
      <w:r w:rsidRPr="00EC0466">
        <w:rPr>
          <w:rFonts w:ascii="Arial" w:hAnsi="Arial" w:cs="Arial"/>
          <w:bCs/>
        </w:rPr>
        <w:t xml:space="preserve">W </w:t>
      </w:r>
      <w:r w:rsidR="001212E1" w:rsidRPr="00EC0466">
        <w:rPr>
          <w:rFonts w:ascii="Arial" w:hAnsi="Arial" w:cs="Arial"/>
          <w:bCs/>
        </w:rPr>
        <w:t xml:space="preserve">latach </w:t>
      </w:r>
      <w:r w:rsidRPr="00EC0466">
        <w:rPr>
          <w:rFonts w:ascii="Arial" w:hAnsi="Arial" w:cs="Arial"/>
          <w:bCs/>
        </w:rPr>
        <w:t>2018</w:t>
      </w:r>
      <w:r w:rsidR="003A6096" w:rsidRPr="00772A61">
        <w:rPr>
          <w:rFonts w:ascii="Arial" w:hAnsi="Arial" w:cs="Arial"/>
        </w:rPr>
        <w:t>–</w:t>
      </w:r>
      <w:r w:rsidR="00CD567A">
        <w:rPr>
          <w:rFonts w:ascii="Arial" w:hAnsi="Arial" w:cs="Arial"/>
          <w:bCs/>
        </w:rPr>
        <w:t>2021</w:t>
      </w:r>
      <w:r w:rsidR="001212E1" w:rsidRPr="00EC0466">
        <w:rPr>
          <w:rFonts w:ascii="Arial" w:hAnsi="Arial" w:cs="Arial"/>
          <w:b/>
        </w:rPr>
        <w:t xml:space="preserve"> </w:t>
      </w:r>
      <w:r w:rsidRPr="00EC0466">
        <w:rPr>
          <w:rFonts w:ascii="Arial" w:hAnsi="Arial" w:cs="Arial"/>
        </w:rPr>
        <w:t>pob</w:t>
      </w:r>
      <w:r w:rsidR="001212E1" w:rsidRPr="00EC0466">
        <w:rPr>
          <w:rFonts w:ascii="Arial" w:hAnsi="Arial" w:cs="Arial"/>
        </w:rPr>
        <w:t>ie</w:t>
      </w:r>
      <w:r w:rsidRPr="00EC0466">
        <w:rPr>
          <w:rFonts w:ascii="Arial" w:hAnsi="Arial" w:cs="Arial"/>
        </w:rPr>
        <w:t>rano i</w:t>
      </w:r>
      <w:r w:rsidR="00AF5954">
        <w:rPr>
          <w:rFonts w:ascii="Arial" w:hAnsi="Arial" w:cs="Arial"/>
        </w:rPr>
        <w:t> </w:t>
      </w:r>
      <w:r w:rsidRPr="00EC0466">
        <w:rPr>
          <w:rFonts w:ascii="Arial" w:hAnsi="Arial" w:cs="Arial"/>
        </w:rPr>
        <w:t>dostarczono próbk</w:t>
      </w:r>
      <w:r w:rsidR="00FF543E" w:rsidRPr="00EC0466">
        <w:rPr>
          <w:rFonts w:ascii="Arial" w:hAnsi="Arial" w:cs="Arial"/>
        </w:rPr>
        <w:t>i</w:t>
      </w:r>
      <w:r w:rsidRPr="00EC0466">
        <w:rPr>
          <w:rFonts w:ascii="Arial" w:hAnsi="Arial" w:cs="Arial"/>
        </w:rPr>
        <w:t xml:space="preserve"> kontroln</w:t>
      </w:r>
      <w:r w:rsidR="00FF543E" w:rsidRPr="00EC0466">
        <w:rPr>
          <w:rFonts w:ascii="Arial" w:hAnsi="Arial" w:cs="Arial"/>
        </w:rPr>
        <w:t xml:space="preserve">e i </w:t>
      </w:r>
      <w:r w:rsidRPr="00EC0466">
        <w:rPr>
          <w:rFonts w:ascii="Arial" w:hAnsi="Arial" w:cs="Arial"/>
        </w:rPr>
        <w:t>interwencyjn</w:t>
      </w:r>
      <w:r w:rsidR="00FF543E" w:rsidRPr="00EC0466">
        <w:rPr>
          <w:rFonts w:ascii="Arial" w:hAnsi="Arial" w:cs="Arial"/>
        </w:rPr>
        <w:t>e</w:t>
      </w:r>
      <w:r w:rsidRPr="00EC0466">
        <w:rPr>
          <w:rFonts w:ascii="Arial" w:hAnsi="Arial" w:cs="Arial"/>
        </w:rPr>
        <w:t>. W trakcie badań analizowano podstawowe cechy jakościowe środków ochrony roślin, takie jak zawartość substancji aktywnych, właściwości fizyko-chemiczne oraz sprawdzano zgodność uzyskanych wyników oznaczeń z wymaganiami określonymi w</w:t>
      </w:r>
      <w:r w:rsidR="00534399">
        <w:rPr>
          <w:rFonts w:ascii="Arial" w:hAnsi="Arial" w:cs="Arial"/>
        </w:rPr>
        <w:t> </w:t>
      </w:r>
      <w:r w:rsidRPr="00EC0466">
        <w:rPr>
          <w:rFonts w:ascii="Arial" w:hAnsi="Arial" w:cs="Arial"/>
        </w:rPr>
        <w:t>procesie rejestracji.</w:t>
      </w:r>
      <w:r w:rsidR="00C07265" w:rsidRPr="00EC0466">
        <w:rPr>
          <w:rFonts w:ascii="Arial" w:hAnsi="Arial" w:cs="Arial"/>
        </w:rPr>
        <w:t xml:space="preserve"> </w:t>
      </w:r>
    </w:p>
    <w:p w14:paraId="4E7E7B54" w14:textId="77777777" w:rsidR="00B4291C" w:rsidRDefault="00B4291C"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Oprócz kontroli planowanej realizowano również kontrolę interwencyjną, w zakresie której do laboratorium dostarczane były środki ochrony roślin reklamowane ze względu na brak skuteczności bądź niewłaściwy efekt po zastosowaniu oraz środki w stosunku do których istniało podejrzenie co do nieoryginalności lub nielegalnego pochodzenia.</w:t>
      </w:r>
    </w:p>
    <w:p w14:paraId="030586D1" w14:textId="654E1B4E" w:rsidR="0086597B" w:rsidRPr="00EC0466" w:rsidRDefault="00B4291C" w:rsidP="00EC2F01">
      <w:pPr>
        <w:pStyle w:val="NormalnyWeb"/>
        <w:tabs>
          <w:tab w:val="left" w:pos="284"/>
        </w:tabs>
        <w:spacing w:beforeAutospacing="0" w:after="120" w:afterAutospacing="0" w:line="360" w:lineRule="auto"/>
        <w:ind w:firstLine="284"/>
        <w:jc w:val="both"/>
        <w:rPr>
          <w:rFonts w:ascii="Arial" w:hAnsi="Arial" w:cs="Arial"/>
        </w:rPr>
      </w:pPr>
      <w:r w:rsidRPr="00EC0466">
        <w:rPr>
          <w:rFonts w:ascii="Arial" w:hAnsi="Arial" w:cs="Arial"/>
        </w:rPr>
        <w:t>Wyniki badań przedstawia poniższa tabela.</w:t>
      </w:r>
    </w:p>
    <w:tbl>
      <w:tblPr>
        <w:tblStyle w:val="Tabela-Siatka"/>
        <w:tblW w:w="0" w:type="auto"/>
        <w:tblLook w:val="04A0" w:firstRow="1" w:lastRow="0" w:firstColumn="1" w:lastColumn="0" w:noHBand="0" w:noVBand="1"/>
      </w:tblPr>
      <w:tblGrid>
        <w:gridCol w:w="1358"/>
        <w:gridCol w:w="1481"/>
        <w:gridCol w:w="1784"/>
        <w:gridCol w:w="1421"/>
        <w:gridCol w:w="1468"/>
        <w:gridCol w:w="1550"/>
      </w:tblGrid>
      <w:tr w:rsidR="00A76616" w:rsidRPr="00EC0466" w14:paraId="44416379" w14:textId="77777777" w:rsidTr="00AF73BF">
        <w:tc>
          <w:tcPr>
            <w:tcW w:w="1487" w:type="dxa"/>
            <w:vMerge w:val="restart"/>
            <w:vAlign w:val="center"/>
          </w:tcPr>
          <w:p w14:paraId="57D62CF3" w14:textId="2878203D" w:rsidR="00A76616" w:rsidRPr="005066B5" w:rsidRDefault="00A76616"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Rok</w:t>
            </w:r>
          </w:p>
        </w:tc>
        <w:tc>
          <w:tcPr>
            <w:tcW w:w="3142" w:type="dxa"/>
            <w:gridSpan w:val="2"/>
            <w:vAlign w:val="center"/>
          </w:tcPr>
          <w:p w14:paraId="39B2E288" w14:textId="167D1005" w:rsidR="00A76616" w:rsidRPr="005066B5" w:rsidRDefault="00A76616"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pobranych próbek</w:t>
            </w:r>
          </w:p>
        </w:tc>
        <w:tc>
          <w:tcPr>
            <w:tcW w:w="1477" w:type="dxa"/>
            <w:vMerge w:val="restart"/>
            <w:vAlign w:val="center"/>
          </w:tcPr>
          <w:p w14:paraId="1EA94B82" w14:textId="3F2BDD6A" w:rsidR="00A76616" w:rsidRPr="005066B5" w:rsidRDefault="00A76616"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oznaczeń</w:t>
            </w:r>
          </w:p>
        </w:tc>
        <w:tc>
          <w:tcPr>
            <w:tcW w:w="1478" w:type="dxa"/>
            <w:vAlign w:val="center"/>
          </w:tcPr>
          <w:p w14:paraId="5FC2745F" w14:textId="1A8EE77E" w:rsidR="00A76616" w:rsidRPr="005066B5" w:rsidRDefault="004C0D79"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 xml:space="preserve">Kontrola podstawowa </w:t>
            </w:r>
          </w:p>
        </w:tc>
        <w:tc>
          <w:tcPr>
            <w:tcW w:w="1478" w:type="dxa"/>
            <w:vAlign w:val="center"/>
          </w:tcPr>
          <w:p w14:paraId="41F7388D" w14:textId="5B82C7B9" w:rsidR="00A76616" w:rsidRPr="005066B5" w:rsidRDefault="00177207"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 xml:space="preserve">Kontrola interwencyjna </w:t>
            </w:r>
          </w:p>
        </w:tc>
      </w:tr>
      <w:tr w:rsidR="00826F6B" w:rsidRPr="00EC0466" w14:paraId="6A56DBE0" w14:textId="77777777" w:rsidTr="00DC3817">
        <w:trPr>
          <w:trHeight w:val="372"/>
        </w:trPr>
        <w:tc>
          <w:tcPr>
            <w:tcW w:w="1487" w:type="dxa"/>
            <w:vMerge/>
            <w:vAlign w:val="center"/>
          </w:tcPr>
          <w:p w14:paraId="1B91E22A" w14:textId="77777777"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p>
        </w:tc>
        <w:tc>
          <w:tcPr>
            <w:tcW w:w="1503" w:type="dxa"/>
            <w:vAlign w:val="center"/>
          </w:tcPr>
          <w:p w14:paraId="469E2A7E" w14:textId="5F025629"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kontrolnych</w:t>
            </w:r>
          </w:p>
        </w:tc>
        <w:tc>
          <w:tcPr>
            <w:tcW w:w="1639" w:type="dxa"/>
            <w:vAlign w:val="center"/>
          </w:tcPr>
          <w:p w14:paraId="3CD0F752" w14:textId="77B03ED4"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interwencyjnych</w:t>
            </w:r>
          </w:p>
        </w:tc>
        <w:tc>
          <w:tcPr>
            <w:tcW w:w="1477" w:type="dxa"/>
            <w:vMerge/>
            <w:vAlign w:val="center"/>
          </w:tcPr>
          <w:p w14:paraId="37ACCC92" w14:textId="77777777"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p>
        </w:tc>
        <w:tc>
          <w:tcPr>
            <w:tcW w:w="2956" w:type="dxa"/>
            <w:gridSpan w:val="2"/>
            <w:vAlign w:val="center"/>
          </w:tcPr>
          <w:p w14:paraId="1BC186A3" w14:textId="7672B92D"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 atesty negatywne</w:t>
            </w:r>
          </w:p>
        </w:tc>
      </w:tr>
      <w:tr w:rsidR="009571ED" w:rsidRPr="00EC0466" w14:paraId="291EA365" w14:textId="77777777" w:rsidTr="00DC3817">
        <w:trPr>
          <w:trHeight w:val="293"/>
        </w:trPr>
        <w:tc>
          <w:tcPr>
            <w:tcW w:w="1487" w:type="dxa"/>
            <w:vAlign w:val="center"/>
          </w:tcPr>
          <w:p w14:paraId="213E1737" w14:textId="6DFCBC83" w:rsidR="009571ED" w:rsidRPr="005066B5" w:rsidRDefault="00445328"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2018</w:t>
            </w:r>
          </w:p>
        </w:tc>
        <w:tc>
          <w:tcPr>
            <w:tcW w:w="1503" w:type="dxa"/>
            <w:vAlign w:val="center"/>
          </w:tcPr>
          <w:p w14:paraId="660D4F9A" w14:textId="335189AA" w:rsidR="009571ED" w:rsidRPr="005066B5" w:rsidRDefault="00A7661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257</w:t>
            </w:r>
          </w:p>
        </w:tc>
        <w:tc>
          <w:tcPr>
            <w:tcW w:w="1639" w:type="dxa"/>
            <w:vAlign w:val="center"/>
          </w:tcPr>
          <w:p w14:paraId="27B3B0BF" w14:textId="42C610B7"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55</w:t>
            </w:r>
          </w:p>
        </w:tc>
        <w:tc>
          <w:tcPr>
            <w:tcW w:w="1477" w:type="dxa"/>
            <w:vAlign w:val="center"/>
          </w:tcPr>
          <w:p w14:paraId="33905525" w14:textId="77682F08" w:rsidR="009571ED" w:rsidRPr="005066B5" w:rsidRDefault="000A4AA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1545</w:t>
            </w:r>
          </w:p>
        </w:tc>
        <w:tc>
          <w:tcPr>
            <w:tcW w:w="1478" w:type="dxa"/>
            <w:vAlign w:val="center"/>
          </w:tcPr>
          <w:p w14:paraId="431F4A67" w14:textId="1763D0B2" w:rsidR="009571ED" w:rsidRPr="005066B5" w:rsidRDefault="0066780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w:t>
            </w:r>
          </w:p>
        </w:tc>
        <w:tc>
          <w:tcPr>
            <w:tcW w:w="1478" w:type="dxa"/>
            <w:vAlign w:val="center"/>
          </w:tcPr>
          <w:p w14:paraId="227622B8" w14:textId="2C16529A" w:rsidR="009571ED" w:rsidRPr="005066B5" w:rsidRDefault="001B1E7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32</w:t>
            </w:r>
          </w:p>
        </w:tc>
      </w:tr>
      <w:tr w:rsidR="009571ED" w:rsidRPr="00EC0466" w14:paraId="7D7233D9" w14:textId="77777777" w:rsidTr="00826F6B">
        <w:tc>
          <w:tcPr>
            <w:tcW w:w="1487" w:type="dxa"/>
            <w:vAlign w:val="center"/>
          </w:tcPr>
          <w:p w14:paraId="176F1629" w14:textId="3A944D72" w:rsidR="009571ED" w:rsidRPr="005066B5" w:rsidRDefault="00445328"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2019</w:t>
            </w:r>
          </w:p>
        </w:tc>
        <w:tc>
          <w:tcPr>
            <w:tcW w:w="1503" w:type="dxa"/>
            <w:vAlign w:val="center"/>
          </w:tcPr>
          <w:p w14:paraId="1BB1ECC7" w14:textId="3DF58858"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243</w:t>
            </w:r>
          </w:p>
        </w:tc>
        <w:tc>
          <w:tcPr>
            <w:tcW w:w="1639" w:type="dxa"/>
            <w:vAlign w:val="center"/>
          </w:tcPr>
          <w:p w14:paraId="13D54585" w14:textId="36296CB9"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68</w:t>
            </w:r>
          </w:p>
        </w:tc>
        <w:tc>
          <w:tcPr>
            <w:tcW w:w="1477" w:type="dxa"/>
            <w:vAlign w:val="center"/>
          </w:tcPr>
          <w:p w14:paraId="77D8ADC5" w14:textId="5DE756F7" w:rsidR="009571ED" w:rsidRPr="005066B5" w:rsidRDefault="000A4AA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1455</w:t>
            </w:r>
          </w:p>
        </w:tc>
        <w:tc>
          <w:tcPr>
            <w:tcW w:w="1478" w:type="dxa"/>
            <w:vAlign w:val="center"/>
          </w:tcPr>
          <w:p w14:paraId="4E8F5015" w14:textId="6B49EA71" w:rsidR="009571ED" w:rsidRPr="005066B5" w:rsidRDefault="0066780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w:t>
            </w:r>
          </w:p>
        </w:tc>
        <w:tc>
          <w:tcPr>
            <w:tcW w:w="1478" w:type="dxa"/>
            <w:vAlign w:val="center"/>
          </w:tcPr>
          <w:p w14:paraId="6B0016A9" w14:textId="1045E4EA" w:rsidR="009571ED" w:rsidRPr="005066B5" w:rsidRDefault="001B1E7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38</w:t>
            </w:r>
          </w:p>
        </w:tc>
      </w:tr>
      <w:tr w:rsidR="009571ED" w14:paraId="103FAEB4" w14:textId="77777777" w:rsidTr="00DC3817">
        <w:trPr>
          <w:trHeight w:val="283"/>
        </w:trPr>
        <w:tc>
          <w:tcPr>
            <w:tcW w:w="1487" w:type="dxa"/>
            <w:vAlign w:val="center"/>
          </w:tcPr>
          <w:p w14:paraId="213BFFC0" w14:textId="373C0F40" w:rsidR="009571ED" w:rsidRPr="005066B5" w:rsidRDefault="00445328"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2020</w:t>
            </w:r>
          </w:p>
        </w:tc>
        <w:tc>
          <w:tcPr>
            <w:tcW w:w="1503" w:type="dxa"/>
            <w:vAlign w:val="center"/>
          </w:tcPr>
          <w:p w14:paraId="15CF1C3B" w14:textId="028E18D3"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237</w:t>
            </w:r>
          </w:p>
        </w:tc>
        <w:tc>
          <w:tcPr>
            <w:tcW w:w="1639" w:type="dxa"/>
            <w:vAlign w:val="center"/>
          </w:tcPr>
          <w:p w14:paraId="457AAEBE" w14:textId="73F977CE" w:rsidR="009571ED" w:rsidRPr="005066B5" w:rsidRDefault="000A4AA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73</w:t>
            </w:r>
          </w:p>
        </w:tc>
        <w:tc>
          <w:tcPr>
            <w:tcW w:w="1477" w:type="dxa"/>
            <w:vAlign w:val="center"/>
          </w:tcPr>
          <w:p w14:paraId="0E8E886B" w14:textId="443C86EF" w:rsidR="009571ED" w:rsidRPr="005066B5" w:rsidRDefault="008B2D4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1766</w:t>
            </w:r>
          </w:p>
        </w:tc>
        <w:tc>
          <w:tcPr>
            <w:tcW w:w="1478" w:type="dxa"/>
            <w:vAlign w:val="center"/>
          </w:tcPr>
          <w:p w14:paraId="0D1418BD" w14:textId="28F5C862" w:rsidR="009571ED" w:rsidRPr="005066B5" w:rsidRDefault="007D495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w:t>
            </w:r>
          </w:p>
        </w:tc>
        <w:tc>
          <w:tcPr>
            <w:tcW w:w="1478" w:type="dxa"/>
            <w:vAlign w:val="center"/>
          </w:tcPr>
          <w:p w14:paraId="5705B00C" w14:textId="5CE2F7C6" w:rsidR="009571ED" w:rsidRPr="005066B5" w:rsidRDefault="001212E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32</w:t>
            </w:r>
          </w:p>
        </w:tc>
      </w:tr>
      <w:tr w:rsidR="00CD567A" w14:paraId="1CDCF77B" w14:textId="77777777" w:rsidTr="00DC3817">
        <w:trPr>
          <w:trHeight w:val="283"/>
        </w:trPr>
        <w:tc>
          <w:tcPr>
            <w:tcW w:w="1487" w:type="dxa"/>
            <w:vAlign w:val="center"/>
          </w:tcPr>
          <w:p w14:paraId="69C2D718" w14:textId="20D149F9"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2021</w:t>
            </w:r>
          </w:p>
        </w:tc>
        <w:tc>
          <w:tcPr>
            <w:tcW w:w="1503" w:type="dxa"/>
            <w:vAlign w:val="center"/>
          </w:tcPr>
          <w:p w14:paraId="72C2A36F" w14:textId="33A69A87"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268</w:t>
            </w:r>
          </w:p>
        </w:tc>
        <w:tc>
          <w:tcPr>
            <w:tcW w:w="1639" w:type="dxa"/>
            <w:vAlign w:val="center"/>
          </w:tcPr>
          <w:p w14:paraId="3004D2DC" w14:textId="3D3FC56A"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43</w:t>
            </w:r>
          </w:p>
        </w:tc>
        <w:tc>
          <w:tcPr>
            <w:tcW w:w="1477" w:type="dxa"/>
            <w:vAlign w:val="center"/>
          </w:tcPr>
          <w:p w14:paraId="441A0D60" w14:textId="113C12AC"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1651</w:t>
            </w:r>
          </w:p>
        </w:tc>
        <w:tc>
          <w:tcPr>
            <w:tcW w:w="1478" w:type="dxa"/>
            <w:vAlign w:val="center"/>
          </w:tcPr>
          <w:p w14:paraId="367FF258" w14:textId="2A208184"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0</w:t>
            </w:r>
          </w:p>
        </w:tc>
        <w:tc>
          <w:tcPr>
            <w:tcW w:w="1478" w:type="dxa"/>
            <w:vAlign w:val="center"/>
          </w:tcPr>
          <w:p w14:paraId="6580E4F8" w14:textId="40996A42"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25</w:t>
            </w:r>
          </w:p>
        </w:tc>
      </w:tr>
    </w:tbl>
    <w:p w14:paraId="42AA8534" w14:textId="207BC696"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Współpraca Instytutu Ochrony Roślin – PIB Oddział Sośnicowice oraz Państwowej Inspekcji Ochrony Roślin i Nasiennictwa pozwoliła na opracowanie sposobu postępowania mającego na celu weryfikację obligatoryjnej identyczności środków z handlu równoległego w stosunku do środka referencyjnego, wykrywania fałszerstw oraz zmian recepturowych środków ochrony roślin. O skuteczności wypracowanego podejścia świadczy fakt, że fałszerstwa, brak identyczności i zmiany w recepturze środka stanowiły podstawową przyczynę do wydania atestów negatywnych zarówno w kontroli podstawowej jak i interwencyjnej. </w:t>
      </w:r>
    </w:p>
    <w:p w14:paraId="22C4E6F9" w14:textId="53E876C1" w:rsidR="00056846" w:rsidRPr="00384522" w:rsidRDefault="00E54725" w:rsidP="00EC2F01">
      <w:pPr>
        <w:pStyle w:val="NormalnyWeb"/>
        <w:tabs>
          <w:tab w:val="left" w:pos="284"/>
        </w:tabs>
        <w:spacing w:beforeAutospacing="0" w:after="120" w:afterAutospacing="0" w:line="360" w:lineRule="auto"/>
        <w:ind w:firstLine="284"/>
        <w:jc w:val="both"/>
        <w:rPr>
          <w:rFonts w:ascii="Arial" w:hAnsi="Arial" w:cs="Arial"/>
          <w:b/>
          <w:bCs/>
        </w:rPr>
      </w:pPr>
      <w:r w:rsidRPr="00925BCD">
        <w:rPr>
          <w:rFonts w:ascii="Arial" w:hAnsi="Arial" w:cs="Arial"/>
        </w:rPr>
        <w:t xml:space="preserve">Inspekcja przeprowadzała także kontrole stosowania środków ochrony roślin w miejscach produkcji rolnej, leśnej, miejscach fumigacji i zaprawiania materiału siewnego oraz terenach kolejowych, zieleni miejskiej, u użytkowników profesjonalnych świadczących usługi w zakresie wykonywania zabiegów z zastosowaniem środków ochrony roślin, w miejscach w których stosowanie środków ochrony roślin </w:t>
      </w:r>
      <w:r w:rsidRPr="00925BCD">
        <w:rPr>
          <w:rFonts w:ascii="Arial" w:hAnsi="Arial" w:cs="Arial"/>
        </w:rPr>
        <w:lastRenderedPageBreak/>
        <w:t xml:space="preserve">jest ograniczone (wyszczególnione w art. 36 ustawy o środkach np.: na terenach placów zabaw, żłobków, przedszkoli, szkół podstawowych, szpitali, itp.) oraz innych, gdzie mogły być stosowane środki ochrony roślin. W ramach nadzoru nad prawidłowością stosowania środków ochrony roślin </w:t>
      </w:r>
      <w:r w:rsidRPr="00925BCD">
        <w:rPr>
          <w:rFonts w:ascii="Arial" w:hAnsi="Arial" w:cs="Arial"/>
          <w:b/>
        </w:rPr>
        <w:t>w 2018 r.</w:t>
      </w:r>
      <w:r w:rsidRPr="00925BCD">
        <w:rPr>
          <w:rFonts w:ascii="Arial" w:hAnsi="Arial" w:cs="Arial"/>
        </w:rPr>
        <w:t xml:space="preserve"> inspektorzy Państwowej Inspekcji Ochrony Roślin i Nasiennictwa przeprowadzili </w:t>
      </w:r>
      <w:r w:rsidRPr="00925BCD">
        <w:rPr>
          <w:rFonts w:ascii="Arial" w:hAnsi="Arial" w:cs="Arial"/>
          <w:b/>
        </w:rPr>
        <w:t>23 312 kontroli</w:t>
      </w:r>
      <w:r w:rsidR="004E3716" w:rsidRPr="00925BCD">
        <w:rPr>
          <w:rFonts w:ascii="Arial" w:hAnsi="Arial" w:cs="Arial"/>
        </w:rPr>
        <w:t xml:space="preserve">, </w:t>
      </w:r>
      <w:r w:rsidR="006A1E81" w:rsidRPr="00925BCD">
        <w:rPr>
          <w:rFonts w:ascii="Arial" w:hAnsi="Arial" w:cs="Arial"/>
          <w:b/>
        </w:rPr>
        <w:t>w</w:t>
      </w:r>
      <w:r w:rsidR="006A1E81">
        <w:rPr>
          <w:rFonts w:ascii="Arial" w:hAnsi="Arial" w:cs="Arial"/>
          <w:b/>
        </w:rPr>
        <w:t> </w:t>
      </w:r>
      <w:r w:rsidR="004E3716" w:rsidRPr="00925BCD">
        <w:rPr>
          <w:rFonts w:ascii="Arial" w:hAnsi="Arial" w:cs="Arial"/>
          <w:b/>
        </w:rPr>
        <w:t>2019 r. – 23 296 kontroli</w:t>
      </w:r>
      <w:r w:rsidR="00C56353">
        <w:rPr>
          <w:rFonts w:ascii="Arial" w:hAnsi="Arial" w:cs="Arial"/>
          <w:b/>
        </w:rPr>
        <w:t>,</w:t>
      </w:r>
      <w:r w:rsidR="00C56353" w:rsidRPr="00C56353">
        <w:rPr>
          <w:rFonts w:ascii="Arial" w:hAnsi="Arial" w:cs="Arial"/>
        </w:rPr>
        <w:t xml:space="preserve"> </w:t>
      </w:r>
      <w:r w:rsidR="00C56353">
        <w:rPr>
          <w:rFonts w:ascii="Arial" w:hAnsi="Arial" w:cs="Arial"/>
        </w:rPr>
        <w:t xml:space="preserve">w </w:t>
      </w:r>
      <w:r w:rsidR="00C56353" w:rsidRPr="00C56353">
        <w:rPr>
          <w:rFonts w:ascii="Arial" w:hAnsi="Arial" w:cs="Arial"/>
          <w:b/>
          <w:bCs/>
        </w:rPr>
        <w:t>2020 r</w:t>
      </w:r>
      <w:r w:rsidR="00C56353" w:rsidRPr="00384522">
        <w:rPr>
          <w:rFonts w:ascii="Arial" w:hAnsi="Arial" w:cs="Arial"/>
          <w:b/>
          <w:bCs/>
        </w:rPr>
        <w:t xml:space="preserve">. </w:t>
      </w:r>
      <w:r w:rsidR="00384522" w:rsidRPr="00384522">
        <w:rPr>
          <w:rFonts w:ascii="Arial" w:hAnsi="Arial" w:cs="Arial"/>
          <w:b/>
          <w:bCs/>
        </w:rPr>
        <w:t xml:space="preserve">– </w:t>
      </w:r>
      <w:r w:rsidR="00C56353" w:rsidRPr="00384522">
        <w:rPr>
          <w:rFonts w:ascii="Arial" w:hAnsi="Arial" w:cs="Arial"/>
          <w:b/>
          <w:bCs/>
        </w:rPr>
        <w:t>18</w:t>
      </w:r>
      <w:r w:rsidR="00CD567A">
        <w:rPr>
          <w:rFonts w:ascii="Arial" w:hAnsi="Arial" w:cs="Arial"/>
          <w:b/>
          <w:bCs/>
        </w:rPr>
        <w:t> </w:t>
      </w:r>
      <w:r w:rsidR="00C56353" w:rsidRPr="00384522">
        <w:rPr>
          <w:rFonts w:ascii="Arial" w:hAnsi="Arial" w:cs="Arial"/>
          <w:b/>
          <w:bCs/>
        </w:rPr>
        <w:t>109</w:t>
      </w:r>
      <w:r w:rsidR="00CD567A">
        <w:rPr>
          <w:rFonts w:ascii="Arial" w:hAnsi="Arial" w:cs="Arial"/>
          <w:b/>
          <w:bCs/>
        </w:rPr>
        <w:t>,</w:t>
      </w:r>
      <w:r w:rsidR="00CD567A" w:rsidRPr="00CD567A">
        <w:t xml:space="preserve"> </w:t>
      </w:r>
      <w:r w:rsidR="00CD567A" w:rsidRPr="00CD567A">
        <w:rPr>
          <w:rFonts w:ascii="Arial" w:hAnsi="Arial" w:cs="Arial"/>
          <w:b/>
          <w:bCs/>
        </w:rPr>
        <w:t>natomiast w 202</w:t>
      </w:r>
      <w:r w:rsidR="00CD567A">
        <w:rPr>
          <w:rFonts w:ascii="Arial" w:hAnsi="Arial" w:cs="Arial"/>
          <w:b/>
          <w:bCs/>
        </w:rPr>
        <w:t>1</w:t>
      </w:r>
      <w:r w:rsidR="00CD567A" w:rsidRPr="00CD567A">
        <w:rPr>
          <w:rFonts w:ascii="Arial" w:hAnsi="Arial" w:cs="Arial"/>
          <w:b/>
          <w:bCs/>
        </w:rPr>
        <w:t xml:space="preserve"> r. – </w:t>
      </w:r>
      <w:r w:rsidR="00BC2450">
        <w:rPr>
          <w:rFonts w:ascii="Arial" w:hAnsi="Arial" w:cs="Arial"/>
          <w:b/>
          <w:bCs/>
        </w:rPr>
        <w:t>2</w:t>
      </w:r>
      <w:r w:rsidR="00CD567A" w:rsidRPr="00CD567A">
        <w:rPr>
          <w:rFonts w:ascii="Arial" w:hAnsi="Arial" w:cs="Arial"/>
          <w:b/>
          <w:bCs/>
        </w:rPr>
        <w:t>1</w:t>
      </w:r>
      <w:r w:rsidR="00BC2450">
        <w:rPr>
          <w:rFonts w:ascii="Arial" w:hAnsi="Arial" w:cs="Arial"/>
          <w:b/>
          <w:bCs/>
        </w:rPr>
        <w:t> </w:t>
      </w:r>
      <w:r w:rsidR="00CD567A" w:rsidRPr="00CD567A">
        <w:rPr>
          <w:rFonts w:ascii="Arial" w:hAnsi="Arial" w:cs="Arial"/>
          <w:b/>
          <w:bCs/>
        </w:rPr>
        <w:t>1</w:t>
      </w:r>
      <w:r w:rsidR="00BC2450">
        <w:rPr>
          <w:rFonts w:ascii="Arial" w:hAnsi="Arial" w:cs="Arial"/>
          <w:b/>
          <w:bCs/>
        </w:rPr>
        <w:t>32.</w:t>
      </w:r>
    </w:p>
    <w:p w14:paraId="060CB790" w14:textId="588A1358" w:rsidR="00882BE9"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Przedmiotem kontroli było sprawdzenie wykonania, przez stosujących środki ochrony roślin, obowiązków wynikających z ustawy o środkach ochrony roślin oraz rozporządzenia Parlamentu Europejskiego i Rady nr 1107/2009. Sprawdzano w szczególności ukończenie szkolenia uprawniającego do stosowania środków ochrony </w:t>
      </w:r>
      <w:r w:rsidR="00DC07AD" w:rsidRPr="00925BCD">
        <w:rPr>
          <w:rFonts w:ascii="Arial" w:hAnsi="Arial" w:cs="Arial"/>
        </w:rPr>
        <w:t>roślin</w:t>
      </w:r>
      <w:r w:rsidRPr="00925BCD">
        <w:rPr>
          <w:rFonts w:ascii="Arial" w:hAnsi="Arial" w:cs="Arial"/>
        </w:rPr>
        <w:t xml:space="preserve"> potwierdzonego aktualnym zaświadczeniem lub innych uprawnień w tym zakresie, poprawność prowadzenia dokumentacji wykonywanych zabiegów, sprawność techniczną sprzętu </w:t>
      </w:r>
      <w:r w:rsidR="00D402BE">
        <w:rPr>
          <w:rFonts w:ascii="Arial" w:hAnsi="Arial" w:cs="Arial"/>
        </w:rPr>
        <w:t xml:space="preserve">przeznaczonego </w:t>
      </w:r>
      <w:r w:rsidRPr="00925BCD">
        <w:rPr>
          <w:rFonts w:ascii="Arial" w:hAnsi="Arial" w:cs="Arial"/>
        </w:rPr>
        <w:t xml:space="preserve">do wykonywania zabiegów i posiadanie dokumentów potwierdzających tę sprawność oraz wykonywanie zabiegów ochrony roślin zgodnie z zaleceniami zawartymi w etykiecie środka. </w:t>
      </w:r>
      <w:r w:rsidRPr="008972A8">
        <w:rPr>
          <w:rFonts w:ascii="Arial" w:hAnsi="Arial" w:cs="Arial"/>
        </w:rPr>
        <w:t xml:space="preserve">W wyniku przeprowadzonych </w:t>
      </w:r>
      <w:r w:rsidR="004E3716" w:rsidRPr="008972A8">
        <w:rPr>
          <w:rFonts w:ascii="Arial" w:hAnsi="Arial" w:cs="Arial"/>
          <w:bCs/>
        </w:rPr>
        <w:t xml:space="preserve">w </w:t>
      </w:r>
      <w:r w:rsidR="00492D79" w:rsidRPr="008972A8">
        <w:rPr>
          <w:rFonts w:ascii="Arial" w:hAnsi="Arial" w:cs="Arial"/>
          <w:bCs/>
        </w:rPr>
        <w:t>lat</w:t>
      </w:r>
      <w:r w:rsidR="00657758" w:rsidRPr="008972A8">
        <w:rPr>
          <w:rFonts w:ascii="Arial" w:hAnsi="Arial" w:cs="Arial"/>
          <w:bCs/>
        </w:rPr>
        <w:t xml:space="preserve">ach </w:t>
      </w:r>
      <w:r w:rsidR="004E3716" w:rsidRPr="008972A8">
        <w:rPr>
          <w:rFonts w:ascii="Arial" w:hAnsi="Arial" w:cs="Arial"/>
          <w:bCs/>
        </w:rPr>
        <w:t>2018</w:t>
      </w:r>
      <w:r w:rsidR="003A6096" w:rsidRPr="00772A61">
        <w:rPr>
          <w:rFonts w:ascii="Arial" w:hAnsi="Arial" w:cs="Arial"/>
        </w:rPr>
        <w:t>–</w:t>
      </w:r>
      <w:r w:rsidR="00657758" w:rsidRPr="008972A8">
        <w:rPr>
          <w:rFonts w:ascii="Arial" w:hAnsi="Arial" w:cs="Arial"/>
          <w:bCs/>
        </w:rPr>
        <w:t>202</w:t>
      </w:r>
      <w:r w:rsidR="00BC2450">
        <w:rPr>
          <w:rFonts w:ascii="Arial" w:hAnsi="Arial" w:cs="Arial"/>
          <w:bCs/>
        </w:rPr>
        <w:t>1</w:t>
      </w:r>
      <w:r w:rsidR="00657758" w:rsidRPr="008972A8">
        <w:rPr>
          <w:rFonts w:ascii="Arial" w:hAnsi="Arial" w:cs="Arial"/>
          <w:b/>
        </w:rPr>
        <w:t xml:space="preserve"> </w:t>
      </w:r>
      <w:r w:rsidRPr="008972A8">
        <w:rPr>
          <w:rFonts w:ascii="Arial" w:hAnsi="Arial" w:cs="Arial"/>
        </w:rPr>
        <w:t>kontroli stwierdz</w:t>
      </w:r>
      <w:r w:rsidR="00B0755A">
        <w:rPr>
          <w:rFonts w:ascii="Arial" w:hAnsi="Arial" w:cs="Arial"/>
        </w:rPr>
        <w:t>a</w:t>
      </w:r>
      <w:r w:rsidRPr="008972A8">
        <w:rPr>
          <w:rFonts w:ascii="Arial" w:hAnsi="Arial" w:cs="Arial"/>
        </w:rPr>
        <w:t>no nieprawidłowości, wystawi</w:t>
      </w:r>
      <w:r w:rsidR="00A11119" w:rsidRPr="008972A8">
        <w:rPr>
          <w:rFonts w:ascii="Arial" w:hAnsi="Arial" w:cs="Arial"/>
        </w:rPr>
        <w:t>a</w:t>
      </w:r>
      <w:r w:rsidRPr="008972A8">
        <w:rPr>
          <w:rFonts w:ascii="Arial" w:hAnsi="Arial" w:cs="Arial"/>
        </w:rPr>
        <w:t xml:space="preserve">no mandaty karne oraz </w:t>
      </w:r>
      <w:r w:rsidR="00A11119" w:rsidRPr="008972A8">
        <w:rPr>
          <w:rFonts w:ascii="Arial" w:hAnsi="Arial" w:cs="Arial"/>
        </w:rPr>
        <w:t>składano</w:t>
      </w:r>
      <w:r w:rsidR="00882BE9" w:rsidRPr="008972A8">
        <w:rPr>
          <w:rFonts w:ascii="Arial" w:hAnsi="Arial" w:cs="Arial"/>
        </w:rPr>
        <w:t xml:space="preserve"> wnioski</w:t>
      </w:r>
      <w:r w:rsidR="00B0755A">
        <w:rPr>
          <w:rFonts w:ascii="Arial" w:hAnsi="Arial" w:cs="Arial"/>
        </w:rPr>
        <w:t xml:space="preserve"> do sądu</w:t>
      </w:r>
      <w:r w:rsidR="00882BE9" w:rsidRPr="008972A8">
        <w:rPr>
          <w:rFonts w:ascii="Arial" w:hAnsi="Arial" w:cs="Arial"/>
        </w:rPr>
        <w:t>.</w:t>
      </w:r>
    </w:p>
    <w:p w14:paraId="4C749881" w14:textId="77777777" w:rsidR="00886EC9" w:rsidRDefault="00E54725" w:rsidP="00886EC9">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Nieprawidłowości dotyczyły przede wszystkim: użycia środka ochrony roślin niezgodnie z zakresem stosowania określonym w etykiecie środka, braku ukończenia szkolenia, niepoprawnego prowadzenia dokumentacji zabiegów wykonywanych przy użyciu środków ochrony roślin oraz braku badania sprawności technicznej sprzętu do wykonywania zabiegów.</w:t>
      </w:r>
    </w:p>
    <w:p w14:paraId="198B1FB4" w14:textId="300B5C83" w:rsidR="00886EC9" w:rsidRPr="00925BCD" w:rsidRDefault="00886EC9" w:rsidP="00886EC9">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Szczegółowe dane przedstawia tabela poniżej.</w:t>
      </w:r>
      <w:r w:rsidRPr="00925BCD">
        <w:rPr>
          <w:rFonts w:ascii="Arial" w:hAnsi="Arial" w:cs="Arial"/>
        </w:rPr>
        <w:t xml:space="preserve"> </w:t>
      </w:r>
    </w:p>
    <w:tbl>
      <w:tblPr>
        <w:tblStyle w:val="Tabela-Siatka"/>
        <w:tblW w:w="0" w:type="auto"/>
        <w:tblLook w:val="04A0" w:firstRow="1" w:lastRow="0" w:firstColumn="1" w:lastColumn="0" w:noHBand="0" w:noVBand="1"/>
      </w:tblPr>
      <w:tblGrid>
        <w:gridCol w:w="1789"/>
        <w:gridCol w:w="1795"/>
        <w:gridCol w:w="1883"/>
        <w:gridCol w:w="1798"/>
        <w:gridCol w:w="1797"/>
      </w:tblGrid>
      <w:tr w:rsidR="00B35F41" w14:paraId="28FC11C7" w14:textId="77777777" w:rsidTr="008972A8">
        <w:tc>
          <w:tcPr>
            <w:tcW w:w="1812" w:type="dxa"/>
            <w:vAlign w:val="center"/>
          </w:tcPr>
          <w:p w14:paraId="5F957239" w14:textId="2FDE67BD" w:rsidR="00B35F41" w:rsidRPr="00B56C2A" w:rsidRDefault="00B35F41"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Rok</w:t>
            </w:r>
          </w:p>
        </w:tc>
        <w:tc>
          <w:tcPr>
            <w:tcW w:w="1812" w:type="dxa"/>
            <w:vAlign w:val="center"/>
          </w:tcPr>
          <w:p w14:paraId="034BE494" w14:textId="7A37274E"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Liczba kontroli</w:t>
            </w:r>
          </w:p>
        </w:tc>
        <w:tc>
          <w:tcPr>
            <w:tcW w:w="1812" w:type="dxa"/>
            <w:vAlign w:val="center"/>
          </w:tcPr>
          <w:p w14:paraId="118CBC83" w14:textId="08E673AF"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Liczba nieprawidłowości</w:t>
            </w:r>
          </w:p>
        </w:tc>
        <w:tc>
          <w:tcPr>
            <w:tcW w:w="1813" w:type="dxa"/>
            <w:vAlign w:val="center"/>
          </w:tcPr>
          <w:p w14:paraId="5F28B0A7" w14:textId="0BF0BCAC"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Mandaty</w:t>
            </w:r>
          </w:p>
        </w:tc>
        <w:tc>
          <w:tcPr>
            <w:tcW w:w="1813" w:type="dxa"/>
            <w:vAlign w:val="center"/>
          </w:tcPr>
          <w:p w14:paraId="370DD6F4" w14:textId="4DDD8FAE"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Wnioski do sądu</w:t>
            </w:r>
          </w:p>
        </w:tc>
      </w:tr>
      <w:tr w:rsidR="00B35F41" w14:paraId="6BAE7D74" w14:textId="77777777" w:rsidTr="008972A8">
        <w:tc>
          <w:tcPr>
            <w:tcW w:w="1812" w:type="dxa"/>
            <w:vAlign w:val="center"/>
          </w:tcPr>
          <w:p w14:paraId="6942CF8A" w14:textId="78E155D5" w:rsidR="00B35F41" w:rsidRPr="00B56C2A" w:rsidRDefault="00B35F41"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2018</w:t>
            </w:r>
          </w:p>
        </w:tc>
        <w:tc>
          <w:tcPr>
            <w:tcW w:w="1812" w:type="dxa"/>
            <w:vAlign w:val="center"/>
          </w:tcPr>
          <w:p w14:paraId="4320CF94" w14:textId="7384EA50"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23 312</w:t>
            </w:r>
          </w:p>
        </w:tc>
        <w:tc>
          <w:tcPr>
            <w:tcW w:w="1812" w:type="dxa"/>
            <w:vAlign w:val="center"/>
          </w:tcPr>
          <w:p w14:paraId="5CC83090" w14:textId="2D82B986"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w:t>
            </w:r>
            <w:r w:rsidR="00A9013B" w:rsidRPr="00B56C2A">
              <w:rPr>
                <w:rFonts w:ascii="Arial" w:hAnsi="Arial" w:cs="Arial"/>
              </w:rPr>
              <w:t> </w:t>
            </w:r>
            <w:r w:rsidRPr="00B56C2A">
              <w:rPr>
                <w:rFonts w:ascii="Arial" w:hAnsi="Arial" w:cs="Arial"/>
              </w:rPr>
              <w:t>512</w:t>
            </w:r>
          </w:p>
        </w:tc>
        <w:tc>
          <w:tcPr>
            <w:tcW w:w="1813" w:type="dxa"/>
            <w:vAlign w:val="center"/>
          </w:tcPr>
          <w:p w14:paraId="06FBEF50" w14:textId="748CECC9"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1 092</w:t>
            </w:r>
          </w:p>
        </w:tc>
        <w:tc>
          <w:tcPr>
            <w:tcW w:w="1813" w:type="dxa"/>
            <w:vAlign w:val="center"/>
          </w:tcPr>
          <w:p w14:paraId="0A18923A" w14:textId="5D64C950"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8</w:t>
            </w:r>
          </w:p>
        </w:tc>
      </w:tr>
      <w:tr w:rsidR="00B35F41" w14:paraId="1C2EA9E6" w14:textId="77777777" w:rsidTr="008972A8">
        <w:tc>
          <w:tcPr>
            <w:tcW w:w="1812" w:type="dxa"/>
            <w:vAlign w:val="center"/>
          </w:tcPr>
          <w:p w14:paraId="200FC8CC" w14:textId="6DA582F1" w:rsidR="00B35F41" w:rsidRPr="00B56C2A" w:rsidRDefault="00B35F41"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2019</w:t>
            </w:r>
          </w:p>
        </w:tc>
        <w:tc>
          <w:tcPr>
            <w:tcW w:w="1812" w:type="dxa"/>
            <w:vAlign w:val="center"/>
          </w:tcPr>
          <w:p w14:paraId="1897051E" w14:textId="1B38122B"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23 296</w:t>
            </w:r>
          </w:p>
        </w:tc>
        <w:tc>
          <w:tcPr>
            <w:tcW w:w="1812" w:type="dxa"/>
            <w:vAlign w:val="center"/>
          </w:tcPr>
          <w:p w14:paraId="74ABFC8E" w14:textId="238B21EB"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2 108</w:t>
            </w:r>
          </w:p>
        </w:tc>
        <w:tc>
          <w:tcPr>
            <w:tcW w:w="1813" w:type="dxa"/>
            <w:vAlign w:val="center"/>
          </w:tcPr>
          <w:p w14:paraId="0504B752" w14:textId="4D1F9198"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1 687</w:t>
            </w:r>
          </w:p>
        </w:tc>
        <w:tc>
          <w:tcPr>
            <w:tcW w:w="1813" w:type="dxa"/>
            <w:vAlign w:val="center"/>
          </w:tcPr>
          <w:p w14:paraId="20F96F47" w14:textId="4F214E5B"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6</w:t>
            </w:r>
          </w:p>
        </w:tc>
      </w:tr>
      <w:tr w:rsidR="00B35F41" w14:paraId="612AF836" w14:textId="77777777" w:rsidTr="008972A8">
        <w:tc>
          <w:tcPr>
            <w:tcW w:w="1812" w:type="dxa"/>
            <w:vAlign w:val="center"/>
          </w:tcPr>
          <w:p w14:paraId="45388B63" w14:textId="0031569F" w:rsidR="00B35F41" w:rsidRPr="00B56C2A" w:rsidRDefault="00B35F41"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2020</w:t>
            </w:r>
          </w:p>
        </w:tc>
        <w:tc>
          <w:tcPr>
            <w:tcW w:w="1812" w:type="dxa"/>
            <w:vAlign w:val="center"/>
          </w:tcPr>
          <w:p w14:paraId="25481C99" w14:textId="3123D68C"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18 109</w:t>
            </w:r>
          </w:p>
        </w:tc>
        <w:tc>
          <w:tcPr>
            <w:tcW w:w="1812" w:type="dxa"/>
            <w:vAlign w:val="center"/>
          </w:tcPr>
          <w:p w14:paraId="5A7DE5EF" w14:textId="6493FA45" w:rsidR="00B35F41" w:rsidRPr="00B56C2A" w:rsidRDefault="00BF1364"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1 412</w:t>
            </w:r>
          </w:p>
        </w:tc>
        <w:tc>
          <w:tcPr>
            <w:tcW w:w="1813" w:type="dxa"/>
            <w:vAlign w:val="center"/>
          </w:tcPr>
          <w:p w14:paraId="2AEADF30" w14:textId="0B141583" w:rsidR="00B35F41" w:rsidRPr="00B56C2A" w:rsidRDefault="00BF1364"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1 092</w:t>
            </w:r>
          </w:p>
        </w:tc>
        <w:tc>
          <w:tcPr>
            <w:tcW w:w="1813" w:type="dxa"/>
            <w:vAlign w:val="center"/>
          </w:tcPr>
          <w:p w14:paraId="0F80F45B" w14:textId="4BED8720" w:rsidR="00B35F41" w:rsidRPr="00B56C2A" w:rsidRDefault="00BF1364"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11</w:t>
            </w:r>
          </w:p>
        </w:tc>
      </w:tr>
      <w:tr w:rsidR="00BC2450" w14:paraId="25F93976" w14:textId="77777777" w:rsidTr="008972A8">
        <w:tc>
          <w:tcPr>
            <w:tcW w:w="1812" w:type="dxa"/>
            <w:vAlign w:val="center"/>
          </w:tcPr>
          <w:p w14:paraId="050B6834" w14:textId="3AC427FC" w:rsidR="00BC2450" w:rsidRPr="00B56C2A" w:rsidRDefault="00BC2450"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2021</w:t>
            </w:r>
          </w:p>
        </w:tc>
        <w:tc>
          <w:tcPr>
            <w:tcW w:w="1812" w:type="dxa"/>
            <w:vAlign w:val="center"/>
          </w:tcPr>
          <w:p w14:paraId="21A93B34" w14:textId="22E762C1" w:rsidR="00BC2450" w:rsidRPr="00B56C2A" w:rsidRDefault="00BC2450"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21 132</w:t>
            </w:r>
          </w:p>
        </w:tc>
        <w:tc>
          <w:tcPr>
            <w:tcW w:w="1812" w:type="dxa"/>
            <w:vAlign w:val="center"/>
          </w:tcPr>
          <w:p w14:paraId="74510916" w14:textId="3513FB74" w:rsidR="00BC2450" w:rsidRPr="00B56C2A" w:rsidRDefault="00BC2450"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1 559</w:t>
            </w:r>
          </w:p>
        </w:tc>
        <w:tc>
          <w:tcPr>
            <w:tcW w:w="1813" w:type="dxa"/>
            <w:vAlign w:val="center"/>
          </w:tcPr>
          <w:p w14:paraId="63D690F8" w14:textId="129F6444" w:rsidR="00BC2450" w:rsidRPr="00B56C2A" w:rsidRDefault="00BC2450"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1 050</w:t>
            </w:r>
          </w:p>
        </w:tc>
        <w:tc>
          <w:tcPr>
            <w:tcW w:w="1813" w:type="dxa"/>
            <w:vAlign w:val="center"/>
          </w:tcPr>
          <w:p w14:paraId="39845D39" w14:textId="6EC246B7" w:rsidR="00BC2450" w:rsidRPr="00B56C2A" w:rsidRDefault="00BC2450"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10</w:t>
            </w:r>
          </w:p>
        </w:tc>
      </w:tr>
    </w:tbl>
    <w:p w14:paraId="686CC0F2" w14:textId="25D2087F" w:rsidR="00A1705C" w:rsidRDefault="00E54725" w:rsidP="00E06F82">
      <w:pPr>
        <w:pStyle w:val="NormalnyWeb"/>
        <w:tabs>
          <w:tab w:val="left" w:pos="284"/>
        </w:tabs>
        <w:spacing w:after="120" w:line="360" w:lineRule="auto"/>
        <w:ind w:firstLine="284"/>
        <w:jc w:val="both"/>
        <w:rPr>
          <w:rFonts w:ascii="Arial" w:hAnsi="Arial" w:cs="Arial"/>
        </w:rPr>
      </w:pPr>
      <w:r w:rsidRPr="00925BCD">
        <w:rPr>
          <w:rFonts w:ascii="Arial" w:hAnsi="Arial" w:cs="Arial"/>
        </w:rPr>
        <w:t>Kontrolą objęto wykonywanie zabiegów z zastosowaniem statków powietrznych. W</w:t>
      </w:r>
      <w:r w:rsidR="0008768B">
        <w:rPr>
          <w:rFonts w:ascii="Arial" w:hAnsi="Arial" w:cs="Arial"/>
        </w:rPr>
        <w:t xml:space="preserve"> latach </w:t>
      </w:r>
      <w:r w:rsidRPr="00925BCD">
        <w:rPr>
          <w:rFonts w:ascii="Arial" w:hAnsi="Arial" w:cs="Arial"/>
        </w:rPr>
        <w:t>2018</w:t>
      </w:r>
      <w:r w:rsidR="0008768B">
        <w:rPr>
          <w:rFonts w:ascii="Arial" w:hAnsi="Arial" w:cs="Arial"/>
        </w:rPr>
        <w:t>-2021</w:t>
      </w:r>
      <w:r w:rsidRPr="00925BCD">
        <w:rPr>
          <w:rFonts w:ascii="Arial" w:hAnsi="Arial" w:cs="Arial"/>
        </w:rPr>
        <w:t xml:space="preserve"> zabiegi agrolotnicze </w:t>
      </w:r>
      <w:r w:rsidR="0008768B">
        <w:rPr>
          <w:rFonts w:ascii="Arial" w:hAnsi="Arial" w:cs="Arial"/>
        </w:rPr>
        <w:t xml:space="preserve">były wykonywana na </w:t>
      </w:r>
      <w:r w:rsidR="005D2592">
        <w:rPr>
          <w:rFonts w:ascii="Arial" w:hAnsi="Arial" w:cs="Arial"/>
        </w:rPr>
        <w:t xml:space="preserve">powierzchni od ok. </w:t>
      </w:r>
      <w:r w:rsidR="006F56EB">
        <w:rPr>
          <w:rFonts w:ascii="Arial" w:hAnsi="Arial" w:cs="Arial"/>
        </w:rPr>
        <w:t>50</w:t>
      </w:r>
      <w:r w:rsidR="005D2592">
        <w:rPr>
          <w:rFonts w:ascii="Arial" w:hAnsi="Arial" w:cs="Arial"/>
        </w:rPr>
        <w:t xml:space="preserve"> tys. do ok. 2</w:t>
      </w:r>
      <w:r w:rsidR="00F71FA0">
        <w:rPr>
          <w:rFonts w:ascii="Arial" w:hAnsi="Arial" w:cs="Arial"/>
        </w:rPr>
        <w:t>37</w:t>
      </w:r>
      <w:r w:rsidR="005D2592">
        <w:rPr>
          <w:rFonts w:ascii="Arial" w:hAnsi="Arial" w:cs="Arial"/>
        </w:rPr>
        <w:t xml:space="preserve"> tys. ha na ter</w:t>
      </w:r>
      <w:r w:rsidR="0008768B">
        <w:rPr>
          <w:rFonts w:ascii="Arial" w:hAnsi="Arial" w:cs="Arial"/>
        </w:rPr>
        <w:t>enie większości</w:t>
      </w:r>
      <w:r w:rsidRPr="00925BCD">
        <w:rPr>
          <w:rFonts w:ascii="Arial" w:hAnsi="Arial" w:cs="Arial"/>
        </w:rPr>
        <w:t xml:space="preserve"> </w:t>
      </w:r>
      <w:r w:rsidR="005D2592">
        <w:rPr>
          <w:rFonts w:ascii="Arial" w:hAnsi="Arial" w:cs="Arial"/>
        </w:rPr>
        <w:t>województw. W 2021 r. z</w:t>
      </w:r>
      <w:r w:rsidR="0008768B" w:rsidRPr="0008768B">
        <w:rPr>
          <w:rFonts w:ascii="Arial" w:hAnsi="Arial" w:cs="Arial"/>
        </w:rPr>
        <w:t xml:space="preserve">abiegi agrolotnicze wykonane zostały na obszarze 13 województw i objęły powierzchnię 79 131,78 ha. Do zwalczania organizmów szkodliwych w drzewostanach iglastych i liściastych zastosowano środki ochrony roślin: </w:t>
      </w:r>
      <w:proofErr w:type="spellStart"/>
      <w:r w:rsidR="0008768B" w:rsidRPr="0008768B">
        <w:rPr>
          <w:rFonts w:ascii="Arial" w:hAnsi="Arial" w:cs="Arial"/>
        </w:rPr>
        <w:t>Mospilan</w:t>
      </w:r>
      <w:proofErr w:type="spellEnd"/>
      <w:r w:rsidR="0008768B" w:rsidRPr="0008768B">
        <w:rPr>
          <w:rFonts w:ascii="Arial" w:hAnsi="Arial" w:cs="Arial"/>
        </w:rPr>
        <w:t xml:space="preserve"> 20 SP (21 515,6 kg), </w:t>
      </w:r>
      <w:proofErr w:type="spellStart"/>
      <w:r w:rsidR="0008768B" w:rsidRPr="0008768B">
        <w:rPr>
          <w:rFonts w:ascii="Arial" w:hAnsi="Arial" w:cs="Arial"/>
        </w:rPr>
        <w:t>Dimilin</w:t>
      </w:r>
      <w:proofErr w:type="spellEnd"/>
      <w:r w:rsidR="0008768B" w:rsidRPr="0008768B">
        <w:rPr>
          <w:rFonts w:ascii="Arial" w:hAnsi="Arial" w:cs="Arial"/>
        </w:rPr>
        <w:t xml:space="preserve"> 480 SC (2</w:t>
      </w:r>
      <w:r w:rsidR="005D2592">
        <w:rPr>
          <w:rFonts w:ascii="Arial" w:hAnsi="Arial" w:cs="Arial"/>
        </w:rPr>
        <w:t> </w:t>
      </w:r>
      <w:r w:rsidR="0008768B" w:rsidRPr="0008768B">
        <w:rPr>
          <w:rFonts w:ascii="Arial" w:hAnsi="Arial" w:cs="Arial"/>
        </w:rPr>
        <w:t>122,15</w:t>
      </w:r>
      <w:r w:rsidR="005D2592">
        <w:rPr>
          <w:rFonts w:ascii="Arial" w:hAnsi="Arial" w:cs="Arial"/>
        </w:rPr>
        <w:t> </w:t>
      </w:r>
      <w:r w:rsidR="0008768B" w:rsidRPr="0008768B">
        <w:rPr>
          <w:rFonts w:ascii="Arial" w:hAnsi="Arial" w:cs="Arial"/>
        </w:rPr>
        <w:t xml:space="preserve">l) oraz </w:t>
      </w:r>
      <w:proofErr w:type="spellStart"/>
      <w:r w:rsidR="0008768B" w:rsidRPr="0008768B">
        <w:rPr>
          <w:rFonts w:ascii="Arial" w:hAnsi="Arial" w:cs="Arial"/>
        </w:rPr>
        <w:t>Foray</w:t>
      </w:r>
      <w:proofErr w:type="spellEnd"/>
      <w:r w:rsidR="0008768B" w:rsidRPr="0008768B">
        <w:rPr>
          <w:rFonts w:ascii="Arial" w:hAnsi="Arial" w:cs="Arial"/>
        </w:rPr>
        <w:t xml:space="preserve"> 76 B (9 799,8 l). Wykorzystano również 150 l środka Ikar 95 EC, zastosowanego jako adiuwant</w:t>
      </w:r>
      <w:r w:rsidR="00A1705C">
        <w:rPr>
          <w:rFonts w:ascii="Arial" w:hAnsi="Arial" w:cs="Arial"/>
        </w:rPr>
        <w:t>.</w:t>
      </w:r>
    </w:p>
    <w:p w14:paraId="0B9F73F2" w14:textId="453D1857" w:rsidR="002918E0" w:rsidRDefault="002918E0" w:rsidP="00E06F82">
      <w:pPr>
        <w:pStyle w:val="NormalnyWeb"/>
        <w:tabs>
          <w:tab w:val="left" w:pos="284"/>
        </w:tabs>
        <w:spacing w:after="120" w:line="360" w:lineRule="auto"/>
        <w:ind w:firstLine="284"/>
        <w:jc w:val="both"/>
        <w:rPr>
          <w:rFonts w:ascii="Arial" w:hAnsi="Arial" w:cs="Arial"/>
        </w:rPr>
      </w:pPr>
    </w:p>
    <w:p w14:paraId="53DBAD47" w14:textId="77777777" w:rsidR="002918E0" w:rsidRDefault="002918E0" w:rsidP="00E06F82">
      <w:pPr>
        <w:pStyle w:val="NormalnyWeb"/>
        <w:tabs>
          <w:tab w:val="left" w:pos="284"/>
        </w:tabs>
        <w:spacing w:after="120" w:line="360" w:lineRule="auto"/>
        <w:ind w:firstLine="284"/>
        <w:jc w:val="both"/>
        <w:rPr>
          <w:rFonts w:ascii="Arial" w:hAnsi="Arial" w:cs="Arial"/>
        </w:rPr>
      </w:pPr>
    </w:p>
    <w:tbl>
      <w:tblPr>
        <w:tblStyle w:val="Tabela-Siatka"/>
        <w:tblW w:w="0" w:type="auto"/>
        <w:tblLook w:val="04A0" w:firstRow="1" w:lastRow="0" w:firstColumn="1" w:lastColumn="0" w:noHBand="0" w:noVBand="1"/>
      </w:tblPr>
      <w:tblGrid>
        <w:gridCol w:w="2261"/>
        <w:gridCol w:w="1699"/>
        <w:gridCol w:w="1702"/>
        <w:gridCol w:w="1700"/>
        <w:gridCol w:w="1700"/>
      </w:tblGrid>
      <w:tr w:rsidR="0008768B" w:rsidRPr="002C1980" w14:paraId="4172F9C7" w14:textId="77777777" w:rsidTr="005D2592">
        <w:trPr>
          <w:trHeight w:val="737"/>
        </w:trPr>
        <w:tc>
          <w:tcPr>
            <w:tcW w:w="2261" w:type="dxa"/>
            <w:vAlign w:val="center"/>
          </w:tcPr>
          <w:p w14:paraId="10442D6B" w14:textId="77777777" w:rsidR="0008768B" w:rsidRPr="002C1980" w:rsidRDefault="0008768B" w:rsidP="00D53055">
            <w:pPr>
              <w:jc w:val="center"/>
              <w:rPr>
                <w:rFonts w:ascii="Arial" w:hAnsi="Arial" w:cs="Arial"/>
                <w:b/>
                <w:color w:val="000000"/>
              </w:rPr>
            </w:pPr>
            <w:r w:rsidRPr="002C1980">
              <w:rPr>
                <w:rFonts w:ascii="Arial" w:hAnsi="Arial" w:cs="Arial"/>
                <w:b/>
                <w:color w:val="000000"/>
              </w:rPr>
              <w:lastRenderedPageBreak/>
              <w:t>Rok</w:t>
            </w:r>
          </w:p>
        </w:tc>
        <w:tc>
          <w:tcPr>
            <w:tcW w:w="1699" w:type="dxa"/>
            <w:vAlign w:val="center"/>
          </w:tcPr>
          <w:p w14:paraId="228F22D6" w14:textId="77777777" w:rsidR="0008768B" w:rsidRPr="002C1980" w:rsidRDefault="0008768B" w:rsidP="00D53055">
            <w:pPr>
              <w:jc w:val="center"/>
              <w:rPr>
                <w:rFonts w:ascii="Arial" w:hAnsi="Arial" w:cs="Arial"/>
                <w:b/>
                <w:color w:val="000000"/>
              </w:rPr>
            </w:pPr>
            <w:r w:rsidRPr="002C1980">
              <w:rPr>
                <w:rFonts w:ascii="Arial" w:hAnsi="Arial" w:cs="Arial"/>
                <w:b/>
                <w:color w:val="000000"/>
              </w:rPr>
              <w:t>2018</w:t>
            </w:r>
          </w:p>
        </w:tc>
        <w:tc>
          <w:tcPr>
            <w:tcW w:w="1702" w:type="dxa"/>
            <w:vAlign w:val="center"/>
          </w:tcPr>
          <w:p w14:paraId="683831B9" w14:textId="77777777" w:rsidR="0008768B" w:rsidRPr="002C1980" w:rsidRDefault="0008768B" w:rsidP="00D53055">
            <w:pPr>
              <w:jc w:val="center"/>
              <w:rPr>
                <w:rFonts w:ascii="Arial" w:hAnsi="Arial" w:cs="Arial"/>
                <w:b/>
                <w:color w:val="000000"/>
              </w:rPr>
            </w:pPr>
            <w:r w:rsidRPr="002C1980">
              <w:rPr>
                <w:rFonts w:ascii="Arial" w:hAnsi="Arial" w:cs="Arial"/>
                <w:b/>
                <w:color w:val="000000"/>
              </w:rPr>
              <w:t>2019</w:t>
            </w:r>
          </w:p>
        </w:tc>
        <w:tc>
          <w:tcPr>
            <w:tcW w:w="1700" w:type="dxa"/>
            <w:vAlign w:val="center"/>
          </w:tcPr>
          <w:p w14:paraId="4ED87912" w14:textId="77777777" w:rsidR="0008768B" w:rsidRPr="002C1980" w:rsidRDefault="0008768B" w:rsidP="00D53055">
            <w:pPr>
              <w:jc w:val="center"/>
              <w:rPr>
                <w:rFonts w:ascii="Arial" w:hAnsi="Arial" w:cs="Arial"/>
                <w:b/>
                <w:color w:val="000000"/>
              </w:rPr>
            </w:pPr>
            <w:r w:rsidRPr="002C1980">
              <w:rPr>
                <w:rFonts w:ascii="Arial" w:hAnsi="Arial" w:cs="Arial"/>
                <w:b/>
                <w:color w:val="000000"/>
              </w:rPr>
              <w:t>2020</w:t>
            </w:r>
          </w:p>
        </w:tc>
        <w:tc>
          <w:tcPr>
            <w:tcW w:w="1700" w:type="dxa"/>
            <w:vAlign w:val="center"/>
          </w:tcPr>
          <w:p w14:paraId="61A992D6" w14:textId="77777777" w:rsidR="0008768B" w:rsidRPr="002C1980" w:rsidRDefault="0008768B" w:rsidP="00D53055">
            <w:pPr>
              <w:jc w:val="center"/>
              <w:rPr>
                <w:rFonts w:ascii="Arial" w:hAnsi="Arial" w:cs="Arial"/>
                <w:b/>
                <w:color w:val="000000"/>
              </w:rPr>
            </w:pPr>
            <w:r w:rsidRPr="002C1980">
              <w:rPr>
                <w:rFonts w:ascii="Arial" w:hAnsi="Arial" w:cs="Arial"/>
                <w:b/>
                <w:color w:val="000000"/>
              </w:rPr>
              <w:t>202</w:t>
            </w:r>
            <w:r>
              <w:rPr>
                <w:rFonts w:ascii="Arial" w:hAnsi="Arial" w:cs="Arial"/>
                <w:b/>
                <w:color w:val="000000"/>
              </w:rPr>
              <w:t>1</w:t>
            </w:r>
          </w:p>
        </w:tc>
      </w:tr>
      <w:tr w:rsidR="0008768B" w:rsidRPr="002C1980" w14:paraId="39D56CA6" w14:textId="77777777" w:rsidTr="005D2592">
        <w:tc>
          <w:tcPr>
            <w:tcW w:w="2261" w:type="dxa"/>
          </w:tcPr>
          <w:p w14:paraId="72E51F8E" w14:textId="77777777" w:rsidR="0008768B" w:rsidRPr="002C1980" w:rsidRDefault="0008768B" w:rsidP="00D53055">
            <w:pPr>
              <w:pStyle w:val="NormalnyWeb"/>
              <w:tabs>
                <w:tab w:val="left" w:pos="284"/>
              </w:tabs>
              <w:spacing w:after="120" w:line="360" w:lineRule="auto"/>
              <w:jc w:val="both"/>
              <w:rPr>
                <w:rFonts w:ascii="Arial" w:hAnsi="Arial" w:cs="Arial"/>
                <w:sz w:val="22"/>
                <w:szCs w:val="22"/>
              </w:rPr>
            </w:pPr>
            <w:r w:rsidRPr="002C1980">
              <w:rPr>
                <w:rFonts w:ascii="Arial" w:hAnsi="Arial" w:cs="Arial"/>
                <w:sz w:val="22"/>
                <w:szCs w:val="22"/>
              </w:rPr>
              <w:t>powierzchnia zabiegów agrolotniczych w ha</w:t>
            </w:r>
          </w:p>
        </w:tc>
        <w:tc>
          <w:tcPr>
            <w:tcW w:w="1699" w:type="dxa"/>
          </w:tcPr>
          <w:p w14:paraId="5AF889BD"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218 799,51</w:t>
            </w:r>
          </w:p>
        </w:tc>
        <w:tc>
          <w:tcPr>
            <w:tcW w:w="1702" w:type="dxa"/>
          </w:tcPr>
          <w:p w14:paraId="0BC8FAF2" w14:textId="0BF3515B" w:rsidR="0008768B" w:rsidRPr="002C1980" w:rsidRDefault="009B38E9" w:rsidP="00D53055">
            <w:pPr>
              <w:pStyle w:val="NormalnyWeb"/>
              <w:tabs>
                <w:tab w:val="left" w:pos="284"/>
              </w:tabs>
              <w:spacing w:after="120" w:line="360" w:lineRule="auto"/>
              <w:jc w:val="right"/>
              <w:rPr>
                <w:rFonts w:ascii="Arial" w:hAnsi="Arial" w:cs="Arial"/>
                <w:sz w:val="22"/>
                <w:szCs w:val="22"/>
              </w:rPr>
            </w:pPr>
            <w:r>
              <w:rPr>
                <w:rFonts w:ascii="Arial" w:hAnsi="Arial" w:cs="Arial"/>
                <w:sz w:val="22"/>
                <w:szCs w:val="22"/>
              </w:rPr>
              <w:t>237</w:t>
            </w:r>
            <w:r w:rsidR="0008768B" w:rsidRPr="002C1980">
              <w:rPr>
                <w:rFonts w:ascii="Arial" w:hAnsi="Arial" w:cs="Arial"/>
                <w:sz w:val="22"/>
                <w:szCs w:val="22"/>
              </w:rPr>
              <w:t xml:space="preserve"> </w:t>
            </w:r>
            <w:r>
              <w:rPr>
                <w:rFonts w:ascii="Arial" w:hAnsi="Arial" w:cs="Arial"/>
                <w:sz w:val="22"/>
                <w:szCs w:val="22"/>
              </w:rPr>
              <w:t>876</w:t>
            </w:r>
            <w:r w:rsidR="0008768B" w:rsidRPr="002C1980">
              <w:rPr>
                <w:rFonts w:ascii="Arial" w:hAnsi="Arial" w:cs="Arial"/>
                <w:sz w:val="22"/>
                <w:szCs w:val="22"/>
              </w:rPr>
              <w:t>,</w:t>
            </w:r>
            <w:r>
              <w:rPr>
                <w:rFonts w:ascii="Arial" w:hAnsi="Arial" w:cs="Arial"/>
                <w:sz w:val="22"/>
                <w:szCs w:val="22"/>
              </w:rPr>
              <w:t>00</w:t>
            </w:r>
            <w:r w:rsidR="0008768B" w:rsidRPr="002C1980">
              <w:rPr>
                <w:rFonts w:ascii="Arial" w:hAnsi="Arial" w:cs="Arial"/>
                <w:sz w:val="22"/>
                <w:szCs w:val="22"/>
              </w:rPr>
              <w:t xml:space="preserve"> ha</w:t>
            </w:r>
          </w:p>
        </w:tc>
        <w:tc>
          <w:tcPr>
            <w:tcW w:w="1700" w:type="dxa"/>
          </w:tcPr>
          <w:p w14:paraId="384FBCE1"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50 073,93</w:t>
            </w:r>
          </w:p>
        </w:tc>
        <w:tc>
          <w:tcPr>
            <w:tcW w:w="1700" w:type="dxa"/>
          </w:tcPr>
          <w:p w14:paraId="660DC898"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79 131,78</w:t>
            </w:r>
          </w:p>
        </w:tc>
      </w:tr>
      <w:tr w:rsidR="0008768B" w:rsidRPr="002C1980" w14:paraId="0E36B601" w14:textId="77777777" w:rsidTr="005D2592">
        <w:tc>
          <w:tcPr>
            <w:tcW w:w="2261" w:type="dxa"/>
          </w:tcPr>
          <w:p w14:paraId="45C8FEFF" w14:textId="3DFF2B46" w:rsidR="0008768B" w:rsidRPr="002C1980" w:rsidRDefault="0008768B" w:rsidP="00D53055">
            <w:pPr>
              <w:pStyle w:val="NormalnyWeb"/>
              <w:tabs>
                <w:tab w:val="left" w:pos="284"/>
              </w:tabs>
              <w:spacing w:after="120" w:line="360" w:lineRule="auto"/>
              <w:jc w:val="both"/>
              <w:rPr>
                <w:rFonts w:ascii="Arial" w:hAnsi="Arial" w:cs="Arial"/>
                <w:sz w:val="22"/>
                <w:szCs w:val="22"/>
              </w:rPr>
            </w:pPr>
            <w:r>
              <w:rPr>
                <w:rFonts w:ascii="Arial" w:hAnsi="Arial" w:cs="Arial"/>
                <w:sz w:val="22"/>
                <w:szCs w:val="22"/>
              </w:rPr>
              <w:t>liczba województw objęta zabiegami</w:t>
            </w:r>
          </w:p>
        </w:tc>
        <w:tc>
          <w:tcPr>
            <w:tcW w:w="1699" w:type="dxa"/>
          </w:tcPr>
          <w:p w14:paraId="4AEB66A9" w14:textId="19A3ADF9" w:rsidR="0008768B" w:rsidRPr="002C1980" w:rsidRDefault="0008768B" w:rsidP="00D53055">
            <w:pPr>
              <w:pStyle w:val="NormalnyWeb"/>
              <w:tabs>
                <w:tab w:val="left" w:pos="284"/>
              </w:tabs>
              <w:spacing w:after="120" w:line="360" w:lineRule="auto"/>
              <w:jc w:val="right"/>
              <w:rPr>
                <w:rFonts w:ascii="Arial" w:hAnsi="Arial" w:cs="Arial"/>
                <w:sz w:val="22"/>
                <w:szCs w:val="22"/>
              </w:rPr>
            </w:pPr>
            <w:r>
              <w:rPr>
                <w:rFonts w:ascii="Arial" w:hAnsi="Arial" w:cs="Arial"/>
                <w:sz w:val="22"/>
                <w:szCs w:val="22"/>
              </w:rPr>
              <w:t>14</w:t>
            </w:r>
          </w:p>
        </w:tc>
        <w:tc>
          <w:tcPr>
            <w:tcW w:w="1702" w:type="dxa"/>
          </w:tcPr>
          <w:p w14:paraId="43CE3C0F" w14:textId="4CD8B1F9" w:rsidR="0008768B" w:rsidRPr="002C1980" w:rsidRDefault="0008768B" w:rsidP="00D53055">
            <w:pPr>
              <w:pStyle w:val="NormalnyWeb"/>
              <w:tabs>
                <w:tab w:val="left" w:pos="284"/>
              </w:tabs>
              <w:spacing w:after="120" w:line="360" w:lineRule="auto"/>
              <w:jc w:val="right"/>
              <w:rPr>
                <w:rFonts w:ascii="Arial" w:hAnsi="Arial" w:cs="Arial"/>
                <w:sz w:val="22"/>
                <w:szCs w:val="22"/>
              </w:rPr>
            </w:pPr>
            <w:r>
              <w:rPr>
                <w:rFonts w:ascii="Arial" w:hAnsi="Arial" w:cs="Arial"/>
                <w:sz w:val="22"/>
                <w:szCs w:val="22"/>
              </w:rPr>
              <w:t>16</w:t>
            </w:r>
          </w:p>
        </w:tc>
        <w:tc>
          <w:tcPr>
            <w:tcW w:w="1700" w:type="dxa"/>
          </w:tcPr>
          <w:p w14:paraId="59E2DD0B" w14:textId="586C5AB7" w:rsidR="0008768B" w:rsidRPr="002C1980" w:rsidRDefault="005D2592" w:rsidP="00D53055">
            <w:pPr>
              <w:pStyle w:val="NormalnyWeb"/>
              <w:tabs>
                <w:tab w:val="left" w:pos="284"/>
              </w:tabs>
              <w:spacing w:after="120" w:line="360" w:lineRule="auto"/>
              <w:jc w:val="right"/>
              <w:rPr>
                <w:rFonts w:ascii="Arial" w:hAnsi="Arial" w:cs="Arial"/>
                <w:sz w:val="22"/>
                <w:szCs w:val="22"/>
              </w:rPr>
            </w:pPr>
            <w:r>
              <w:rPr>
                <w:rFonts w:ascii="Arial" w:hAnsi="Arial" w:cs="Arial"/>
                <w:sz w:val="22"/>
                <w:szCs w:val="22"/>
              </w:rPr>
              <w:t>11</w:t>
            </w:r>
          </w:p>
        </w:tc>
        <w:tc>
          <w:tcPr>
            <w:tcW w:w="1700" w:type="dxa"/>
          </w:tcPr>
          <w:p w14:paraId="6F46E7C7" w14:textId="39D2AFF9" w:rsidR="0008768B" w:rsidRPr="002C1980" w:rsidRDefault="005D2592" w:rsidP="00D53055">
            <w:pPr>
              <w:pStyle w:val="NormalnyWeb"/>
              <w:tabs>
                <w:tab w:val="left" w:pos="284"/>
              </w:tabs>
              <w:spacing w:after="120" w:line="360" w:lineRule="auto"/>
              <w:jc w:val="right"/>
              <w:rPr>
                <w:rFonts w:ascii="Arial" w:hAnsi="Arial" w:cs="Arial"/>
                <w:sz w:val="22"/>
                <w:szCs w:val="22"/>
              </w:rPr>
            </w:pPr>
            <w:r>
              <w:rPr>
                <w:rFonts w:ascii="Arial" w:hAnsi="Arial" w:cs="Arial"/>
                <w:sz w:val="22"/>
                <w:szCs w:val="22"/>
              </w:rPr>
              <w:t>13</w:t>
            </w:r>
          </w:p>
        </w:tc>
      </w:tr>
      <w:tr w:rsidR="0008768B" w:rsidRPr="002C1980" w14:paraId="1F1276B8" w14:textId="77777777" w:rsidTr="00D53055">
        <w:tc>
          <w:tcPr>
            <w:tcW w:w="9062" w:type="dxa"/>
            <w:gridSpan w:val="5"/>
          </w:tcPr>
          <w:p w14:paraId="4BB5F8B1" w14:textId="77777777" w:rsidR="0008768B" w:rsidRPr="002C1980" w:rsidRDefault="0008768B" w:rsidP="00D53055">
            <w:pPr>
              <w:pStyle w:val="NormalnyWeb"/>
              <w:tabs>
                <w:tab w:val="left" w:pos="284"/>
              </w:tabs>
              <w:spacing w:after="120" w:line="360" w:lineRule="auto"/>
              <w:jc w:val="center"/>
              <w:rPr>
                <w:rFonts w:ascii="Arial" w:hAnsi="Arial" w:cs="Arial"/>
                <w:sz w:val="22"/>
                <w:szCs w:val="22"/>
              </w:rPr>
            </w:pPr>
            <w:r w:rsidRPr="002C1980">
              <w:rPr>
                <w:rFonts w:ascii="Arial" w:hAnsi="Arial" w:cs="Arial"/>
                <w:sz w:val="22"/>
                <w:szCs w:val="22"/>
              </w:rPr>
              <w:t>zużycie środków ochrony roślin</w:t>
            </w:r>
          </w:p>
        </w:tc>
      </w:tr>
      <w:tr w:rsidR="0008768B" w:rsidRPr="002C1980" w14:paraId="2E67C0D4" w14:textId="77777777" w:rsidTr="005D2592">
        <w:tc>
          <w:tcPr>
            <w:tcW w:w="2261" w:type="dxa"/>
          </w:tcPr>
          <w:p w14:paraId="22613136" w14:textId="77777777" w:rsidR="0008768B" w:rsidRPr="002C1980" w:rsidRDefault="0008768B" w:rsidP="00D53055">
            <w:pPr>
              <w:pStyle w:val="NormalnyWeb"/>
              <w:tabs>
                <w:tab w:val="left" w:pos="284"/>
              </w:tabs>
              <w:spacing w:after="120" w:line="360" w:lineRule="auto"/>
              <w:jc w:val="both"/>
              <w:rPr>
                <w:rFonts w:ascii="Arial" w:hAnsi="Arial" w:cs="Arial"/>
                <w:sz w:val="22"/>
                <w:szCs w:val="22"/>
              </w:rPr>
            </w:pPr>
            <w:proofErr w:type="spellStart"/>
            <w:r w:rsidRPr="002C1980">
              <w:rPr>
                <w:rFonts w:ascii="Arial" w:hAnsi="Arial" w:cs="Arial"/>
                <w:sz w:val="22"/>
                <w:szCs w:val="22"/>
              </w:rPr>
              <w:t>Mospilan</w:t>
            </w:r>
            <w:proofErr w:type="spellEnd"/>
            <w:r w:rsidRPr="002C1980">
              <w:rPr>
                <w:rFonts w:ascii="Arial" w:hAnsi="Arial" w:cs="Arial"/>
                <w:sz w:val="22"/>
                <w:szCs w:val="22"/>
              </w:rPr>
              <w:t xml:space="preserve"> 20 SP</w:t>
            </w:r>
          </w:p>
        </w:tc>
        <w:tc>
          <w:tcPr>
            <w:tcW w:w="1699" w:type="dxa"/>
          </w:tcPr>
          <w:p w14:paraId="05A99939"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1 411,24 kg</w:t>
            </w:r>
          </w:p>
        </w:tc>
        <w:tc>
          <w:tcPr>
            <w:tcW w:w="1702" w:type="dxa"/>
          </w:tcPr>
          <w:p w14:paraId="5667C073"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60 149,48 kg</w:t>
            </w:r>
          </w:p>
        </w:tc>
        <w:tc>
          <w:tcPr>
            <w:tcW w:w="1700" w:type="dxa"/>
          </w:tcPr>
          <w:p w14:paraId="654EE413"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12 024,97 kg</w:t>
            </w:r>
          </w:p>
        </w:tc>
        <w:tc>
          <w:tcPr>
            <w:tcW w:w="1700" w:type="dxa"/>
          </w:tcPr>
          <w:p w14:paraId="1E90A71D"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21 515,6 kg</w:t>
            </w:r>
          </w:p>
        </w:tc>
      </w:tr>
      <w:tr w:rsidR="0008768B" w:rsidRPr="002C1980" w14:paraId="6CD96B83" w14:textId="77777777" w:rsidTr="005D2592">
        <w:tc>
          <w:tcPr>
            <w:tcW w:w="2261" w:type="dxa"/>
          </w:tcPr>
          <w:p w14:paraId="5D5D4ED2" w14:textId="77777777" w:rsidR="0008768B" w:rsidRPr="002C1980" w:rsidRDefault="0008768B" w:rsidP="00D53055">
            <w:pPr>
              <w:pStyle w:val="NormalnyWeb"/>
              <w:tabs>
                <w:tab w:val="left" w:pos="284"/>
              </w:tabs>
              <w:spacing w:after="120" w:line="360" w:lineRule="auto"/>
              <w:jc w:val="both"/>
              <w:rPr>
                <w:rFonts w:ascii="Arial" w:hAnsi="Arial" w:cs="Arial"/>
                <w:sz w:val="22"/>
                <w:szCs w:val="22"/>
              </w:rPr>
            </w:pPr>
            <w:proofErr w:type="spellStart"/>
            <w:r w:rsidRPr="002C1980">
              <w:rPr>
                <w:rFonts w:ascii="Arial" w:hAnsi="Arial" w:cs="Arial"/>
                <w:sz w:val="22"/>
                <w:szCs w:val="22"/>
              </w:rPr>
              <w:t>Dimilin</w:t>
            </w:r>
            <w:proofErr w:type="spellEnd"/>
            <w:r w:rsidRPr="002C1980">
              <w:rPr>
                <w:rFonts w:ascii="Arial" w:hAnsi="Arial" w:cs="Arial"/>
                <w:sz w:val="22"/>
                <w:szCs w:val="22"/>
              </w:rPr>
              <w:t xml:space="preserve"> 480 SC</w:t>
            </w:r>
          </w:p>
        </w:tc>
        <w:tc>
          <w:tcPr>
            <w:tcW w:w="1699" w:type="dxa"/>
          </w:tcPr>
          <w:p w14:paraId="5FA5A4E8"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2 964,11 l</w:t>
            </w:r>
          </w:p>
        </w:tc>
        <w:tc>
          <w:tcPr>
            <w:tcW w:w="1702" w:type="dxa"/>
          </w:tcPr>
          <w:p w14:paraId="70B43138"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9 182,9 l</w:t>
            </w:r>
          </w:p>
        </w:tc>
        <w:tc>
          <w:tcPr>
            <w:tcW w:w="1700" w:type="dxa"/>
          </w:tcPr>
          <w:p w14:paraId="4BD1227C"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337,96 l</w:t>
            </w:r>
          </w:p>
        </w:tc>
        <w:tc>
          <w:tcPr>
            <w:tcW w:w="1700" w:type="dxa"/>
          </w:tcPr>
          <w:p w14:paraId="3124D3AD"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2 122,15 l</w:t>
            </w:r>
          </w:p>
        </w:tc>
      </w:tr>
      <w:tr w:rsidR="0008768B" w:rsidRPr="002C1980" w14:paraId="4B312186" w14:textId="77777777" w:rsidTr="005D2592">
        <w:tc>
          <w:tcPr>
            <w:tcW w:w="2261" w:type="dxa"/>
          </w:tcPr>
          <w:p w14:paraId="6BFE6E5C" w14:textId="77777777" w:rsidR="0008768B" w:rsidRPr="002C1980" w:rsidRDefault="0008768B" w:rsidP="00D53055">
            <w:pPr>
              <w:pStyle w:val="NormalnyWeb"/>
              <w:tabs>
                <w:tab w:val="left" w:pos="284"/>
              </w:tabs>
              <w:spacing w:after="120" w:line="360" w:lineRule="auto"/>
              <w:jc w:val="both"/>
              <w:rPr>
                <w:rFonts w:ascii="Arial" w:hAnsi="Arial" w:cs="Arial"/>
                <w:sz w:val="22"/>
                <w:szCs w:val="22"/>
              </w:rPr>
            </w:pPr>
            <w:proofErr w:type="spellStart"/>
            <w:r w:rsidRPr="002C1980">
              <w:rPr>
                <w:rFonts w:ascii="Arial" w:hAnsi="Arial" w:cs="Arial"/>
                <w:sz w:val="22"/>
                <w:szCs w:val="22"/>
              </w:rPr>
              <w:t>Foray</w:t>
            </w:r>
            <w:proofErr w:type="spellEnd"/>
            <w:r w:rsidRPr="002C1980">
              <w:rPr>
                <w:rFonts w:ascii="Arial" w:hAnsi="Arial" w:cs="Arial"/>
                <w:sz w:val="22"/>
                <w:szCs w:val="22"/>
              </w:rPr>
              <w:t xml:space="preserve"> 76 B</w:t>
            </w:r>
          </w:p>
        </w:tc>
        <w:tc>
          <w:tcPr>
            <w:tcW w:w="1699" w:type="dxa"/>
          </w:tcPr>
          <w:p w14:paraId="1ADC9D4F"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30 830 l</w:t>
            </w:r>
          </w:p>
        </w:tc>
        <w:tc>
          <w:tcPr>
            <w:tcW w:w="1702" w:type="dxa"/>
          </w:tcPr>
          <w:p w14:paraId="1C8BAA1B"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70 446,7 l</w:t>
            </w:r>
          </w:p>
        </w:tc>
        <w:tc>
          <w:tcPr>
            <w:tcW w:w="1700" w:type="dxa"/>
          </w:tcPr>
          <w:p w14:paraId="35098F72"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40 357,35 l</w:t>
            </w:r>
          </w:p>
        </w:tc>
        <w:tc>
          <w:tcPr>
            <w:tcW w:w="1700" w:type="dxa"/>
          </w:tcPr>
          <w:p w14:paraId="4AD0E6C0" w14:textId="77777777" w:rsidR="0008768B" w:rsidRPr="002C1980" w:rsidRDefault="0008768B" w:rsidP="00D53055">
            <w:pPr>
              <w:pStyle w:val="NormalnyWeb"/>
              <w:tabs>
                <w:tab w:val="left" w:pos="284"/>
              </w:tabs>
              <w:spacing w:after="120" w:line="360" w:lineRule="auto"/>
              <w:jc w:val="right"/>
              <w:rPr>
                <w:rFonts w:ascii="Arial" w:hAnsi="Arial" w:cs="Arial"/>
                <w:sz w:val="22"/>
                <w:szCs w:val="22"/>
              </w:rPr>
            </w:pPr>
            <w:r w:rsidRPr="002C1980">
              <w:rPr>
                <w:rFonts w:ascii="Arial" w:hAnsi="Arial" w:cs="Arial"/>
                <w:sz w:val="22"/>
                <w:szCs w:val="22"/>
              </w:rPr>
              <w:t>9 799,8 l</w:t>
            </w:r>
          </w:p>
        </w:tc>
      </w:tr>
    </w:tbl>
    <w:p w14:paraId="54722F2F" w14:textId="77777777" w:rsidR="0008768B" w:rsidRDefault="0008768B" w:rsidP="00EC2F01">
      <w:pPr>
        <w:pStyle w:val="NormalnyWeb"/>
        <w:tabs>
          <w:tab w:val="left" w:pos="284"/>
        </w:tabs>
        <w:spacing w:beforeAutospacing="0" w:after="120" w:afterAutospacing="0" w:line="360" w:lineRule="auto"/>
        <w:ind w:firstLine="284"/>
        <w:jc w:val="both"/>
        <w:rPr>
          <w:rFonts w:ascii="Arial" w:hAnsi="Arial" w:cs="Arial"/>
        </w:rPr>
      </w:pPr>
    </w:p>
    <w:p w14:paraId="3B11753B" w14:textId="085D51EC" w:rsidR="005D2592" w:rsidRPr="005D2592" w:rsidRDefault="005D2592" w:rsidP="005D2592">
      <w:pPr>
        <w:pStyle w:val="NormalnyWeb"/>
        <w:tabs>
          <w:tab w:val="left" w:pos="284"/>
        </w:tabs>
        <w:spacing w:beforeAutospacing="0" w:after="120" w:afterAutospacing="0" w:line="360" w:lineRule="auto"/>
        <w:ind w:firstLine="284"/>
        <w:jc w:val="both"/>
        <w:rPr>
          <w:rFonts w:ascii="Arial" w:hAnsi="Arial" w:cs="Arial"/>
        </w:rPr>
      </w:pPr>
      <w:r w:rsidRPr="005D2592">
        <w:rPr>
          <w:rFonts w:ascii="Arial" w:hAnsi="Arial" w:cs="Arial"/>
        </w:rPr>
        <w:t xml:space="preserve">W ramach urzędowej kontroli </w:t>
      </w:r>
      <w:r>
        <w:rPr>
          <w:rFonts w:ascii="Arial" w:hAnsi="Arial" w:cs="Arial"/>
        </w:rPr>
        <w:t>w latach 2018-2021 próbki płodów rolnych badano</w:t>
      </w:r>
      <w:r w:rsidRPr="005D2592">
        <w:rPr>
          <w:rFonts w:ascii="Arial" w:hAnsi="Arial" w:cs="Arial"/>
        </w:rPr>
        <w:t xml:space="preserve"> pod kątem </w:t>
      </w:r>
      <w:r>
        <w:rPr>
          <w:rFonts w:ascii="Arial" w:hAnsi="Arial" w:cs="Arial"/>
        </w:rPr>
        <w:t xml:space="preserve">obecności </w:t>
      </w:r>
      <w:r w:rsidRPr="005D2592">
        <w:rPr>
          <w:rFonts w:ascii="Arial" w:hAnsi="Arial" w:cs="Arial"/>
        </w:rPr>
        <w:t>pozostałości środków ochrony roślin</w:t>
      </w:r>
      <w:r>
        <w:rPr>
          <w:rFonts w:ascii="Arial" w:hAnsi="Arial" w:cs="Arial"/>
        </w:rPr>
        <w:t>.</w:t>
      </w:r>
    </w:p>
    <w:p w14:paraId="45196DAC" w14:textId="5D923AE3"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Pr="00925BCD">
        <w:rPr>
          <w:rFonts w:ascii="Arial" w:hAnsi="Arial" w:cs="Arial"/>
          <w:b/>
        </w:rPr>
        <w:t>2018 r.</w:t>
      </w:r>
      <w:r w:rsidRPr="00925BCD">
        <w:rPr>
          <w:rFonts w:ascii="Arial" w:hAnsi="Arial" w:cs="Arial"/>
        </w:rPr>
        <w:t xml:space="preserve"> pod kątem pozostałości środków ochrony roślin </w:t>
      </w:r>
      <w:r w:rsidR="005D2592">
        <w:rPr>
          <w:rFonts w:ascii="Arial" w:hAnsi="Arial" w:cs="Arial"/>
        </w:rPr>
        <w:t xml:space="preserve">przebadano </w:t>
      </w:r>
      <w:r w:rsidRPr="00925BCD">
        <w:rPr>
          <w:rFonts w:ascii="Arial" w:hAnsi="Arial" w:cs="Arial"/>
          <w:b/>
        </w:rPr>
        <w:t>3 149 próbek płodów rolnych</w:t>
      </w:r>
      <w:r w:rsidRPr="00925BCD">
        <w:rPr>
          <w:rFonts w:ascii="Arial" w:hAnsi="Arial" w:cs="Arial"/>
        </w:rPr>
        <w:t>, w tym 1 167 próbek owoców i 1  244 próbek warzyw. 1 440 próbek (45,7%) nie zawierało pozostałości środków ochrony roślin, w 1 295 próbkach (41,1%) wykryto pozostałości pozostające poniżej najwyższych dopuszczalnych poziomów pozostałości (NDP) zawierających środki ochrony roślin dopuszczone dla danej uprawy, natomiast w 346 próbkach (11 %) oznaczono pozostałości poniżej NDP środków ochrony roślin niedopuszczonych do danej uprawy.</w:t>
      </w:r>
    </w:p>
    <w:p w14:paraId="7B914A8E"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Łącznie, na 3 149 przebadanych próbek, </w:t>
      </w:r>
      <w:r w:rsidRPr="00925BCD">
        <w:rPr>
          <w:rFonts w:ascii="Arial" w:hAnsi="Arial" w:cs="Arial"/>
          <w:b/>
        </w:rPr>
        <w:t>przekroczenia najwyższych dopuszczalnych poziomów (NDP) zastosowanych środków ochrony roślin stwierdzono w 68 próbkach (2,16 %).</w:t>
      </w:r>
      <w:r w:rsidRPr="00925BCD">
        <w:rPr>
          <w:rFonts w:ascii="Arial" w:hAnsi="Arial" w:cs="Arial"/>
        </w:rPr>
        <w:t xml:space="preserve"> </w:t>
      </w:r>
    </w:p>
    <w:p w14:paraId="0FE61915"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Przekroczenia NDP stwierdzono w owocach jabłoni, porzeczki, agrestu, malin, wiśni, w kapuście pekińskiej, brokule, buraku ćwikłowym, grochu zielonym, kapuście głowiastej, kapuście brukselskiej, koprze, pasternaku, pietruszce, pomidorach, marchwi, </w:t>
      </w:r>
      <w:proofErr w:type="spellStart"/>
      <w:r w:rsidRPr="00925BCD">
        <w:rPr>
          <w:rFonts w:ascii="Arial" w:hAnsi="Arial" w:cs="Arial"/>
        </w:rPr>
        <w:t>rukoli</w:t>
      </w:r>
      <w:proofErr w:type="spellEnd"/>
      <w:r w:rsidRPr="00925BCD">
        <w:rPr>
          <w:rFonts w:ascii="Arial" w:hAnsi="Arial" w:cs="Arial"/>
        </w:rPr>
        <w:t>, selerze, ogórkach, szpinaku, pszenicy i soi.</w:t>
      </w:r>
    </w:p>
    <w:p w14:paraId="095CF8E6" w14:textId="77777777" w:rsidR="00A1314F" w:rsidRPr="00925BCD" w:rsidRDefault="00A1314F" w:rsidP="00A131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urzędowej kontroli przebadano </w:t>
      </w:r>
      <w:r w:rsidRPr="00925BCD">
        <w:rPr>
          <w:rFonts w:ascii="Arial" w:hAnsi="Arial" w:cs="Arial"/>
          <w:b/>
        </w:rPr>
        <w:t>w 2019 r</w:t>
      </w:r>
      <w:r w:rsidRPr="00925BCD">
        <w:rPr>
          <w:rFonts w:ascii="Arial" w:hAnsi="Arial" w:cs="Arial"/>
        </w:rPr>
        <w:t>. pod kątem pozostałości środków ochrony roślin 3 228 próbek płodów rolnych, w tym 1 074 próbki owoców i 1  204 próbki warzyw. 1 480 próbek (45,9%) nie zawierało pozostałości środków ochrony roślin, w 1 221 próbkach (37,8%) wykryto pozostałości pozostające poniżej najwyższych dopuszczalnych poziomów pozostałości (NDP) zawierających środki ochrony roślin dopuszczone dla danej uprawy, natomiast w 410 próbkach (12,7%) oznaczono pozostałości poniżej NDP środków ochrony roślin niedopuszczonych do danej uprawy.</w:t>
      </w:r>
    </w:p>
    <w:p w14:paraId="4EC540DB" w14:textId="77777777" w:rsidR="00A1314F" w:rsidRPr="00925BCD" w:rsidRDefault="00A1314F" w:rsidP="00A1314F">
      <w:pPr>
        <w:pStyle w:val="NormalnyWeb"/>
        <w:tabs>
          <w:tab w:val="left" w:pos="284"/>
        </w:tabs>
        <w:spacing w:beforeAutospacing="0" w:after="120" w:afterAutospacing="0" w:line="360" w:lineRule="auto"/>
        <w:ind w:firstLine="284"/>
        <w:jc w:val="both"/>
        <w:rPr>
          <w:rFonts w:ascii="Arial" w:hAnsi="Arial" w:cs="Arial"/>
        </w:rPr>
      </w:pPr>
      <w:bookmarkStart w:id="132" w:name="_Hlk96081631"/>
      <w:r w:rsidRPr="00925BCD">
        <w:rPr>
          <w:rFonts w:ascii="Arial" w:hAnsi="Arial" w:cs="Arial"/>
        </w:rPr>
        <w:t xml:space="preserve">Łącznie, na 3 228 przebadanych próbek, </w:t>
      </w:r>
      <w:r w:rsidRPr="00925BCD">
        <w:rPr>
          <w:rFonts w:ascii="Arial" w:hAnsi="Arial" w:cs="Arial"/>
          <w:b/>
        </w:rPr>
        <w:t>przekroczenia najwyższych dopuszczalnych poziomów (NDP) zastosowanych środków ochrony roślin stwierdzono w 117 próbkach (3,6%).</w:t>
      </w:r>
      <w:r w:rsidRPr="00925BCD">
        <w:rPr>
          <w:rFonts w:ascii="Arial" w:hAnsi="Arial" w:cs="Arial"/>
        </w:rPr>
        <w:t xml:space="preserve"> </w:t>
      </w:r>
    </w:p>
    <w:bookmarkEnd w:id="132"/>
    <w:p w14:paraId="0055FF55" w14:textId="79054050" w:rsidR="00A1314F" w:rsidRDefault="00A1314F"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Przekroczenia NDP stwierdzono w selerze, pietruszce, koprze, agreście, porzeczce czarnej, malinie, kapuście pekińskiej, pasternaku, gryce, jarmużu, szpinaku, brokule, cebuli siedmiolatce, kapuście brukselskiej, ogórku gruntowym, prosie, </w:t>
      </w:r>
      <w:proofErr w:type="spellStart"/>
      <w:r w:rsidRPr="00925BCD">
        <w:rPr>
          <w:rFonts w:ascii="Arial" w:hAnsi="Arial" w:cs="Arial"/>
        </w:rPr>
        <w:t>rukoli</w:t>
      </w:r>
      <w:proofErr w:type="spellEnd"/>
      <w:r w:rsidRPr="00925BCD">
        <w:rPr>
          <w:rFonts w:ascii="Arial" w:hAnsi="Arial" w:cs="Arial"/>
        </w:rPr>
        <w:t xml:space="preserve">, wiśni, bobie, buraku cukrowym, czereśni, grochu, </w:t>
      </w:r>
      <w:r w:rsidRPr="00925BCD">
        <w:rPr>
          <w:rFonts w:ascii="Arial" w:hAnsi="Arial" w:cs="Arial"/>
        </w:rPr>
        <w:lastRenderedPageBreak/>
        <w:t>gruszce, jabłku, kminku, koprze włoskim, kukurydzy, moreli, papryce, pomidorze, porzeczce czerwonej, pszenicy, truskawce, winogronach i ziemniakach.</w:t>
      </w:r>
    </w:p>
    <w:p w14:paraId="59813EFD" w14:textId="27394408" w:rsidR="0023200B" w:rsidRDefault="0023200B" w:rsidP="00EC2F01">
      <w:pPr>
        <w:pStyle w:val="NormalnyWeb"/>
        <w:tabs>
          <w:tab w:val="left" w:pos="284"/>
        </w:tabs>
        <w:spacing w:beforeAutospacing="0" w:after="120" w:afterAutospacing="0" w:line="360" w:lineRule="auto"/>
        <w:ind w:firstLine="284"/>
        <w:jc w:val="both"/>
        <w:rPr>
          <w:rFonts w:ascii="Arial" w:hAnsi="Arial" w:cs="Arial"/>
        </w:rPr>
      </w:pPr>
      <w:r w:rsidRPr="0023200B">
        <w:rPr>
          <w:rFonts w:ascii="Arial" w:hAnsi="Arial" w:cs="Arial"/>
        </w:rPr>
        <w:t xml:space="preserve">Przypadki przekroczeń najwyższych dopuszczalnych poziomów pozostałości w próbkach spełniających kryteria żywności, objęte były procedurą powiadamiania zgodnie z Systemem Wczesnego Ostrzegania o Niebezpiecznej Żywności i Paszach – RASFF. W 2019 r. Główny Inspektorat Ochrony Roślin i Nasiennictwa otrzymał 21 powiadomień RASFF, które dotyczyły w 4 przypadkach pietruszki </w:t>
      </w:r>
      <w:r w:rsidR="00B56C2A" w:rsidRPr="0023200B">
        <w:rPr>
          <w:rFonts w:ascii="Arial" w:hAnsi="Arial" w:cs="Arial"/>
        </w:rPr>
        <w:t>i</w:t>
      </w:r>
      <w:r w:rsidR="00B56C2A">
        <w:rPr>
          <w:rFonts w:ascii="Arial" w:hAnsi="Arial" w:cs="Arial"/>
        </w:rPr>
        <w:t> </w:t>
      </w:r>
      <w:r w:rsidRPr="0023200B">
        <w:rPr>
          <w:rFonts w:ascii="Arial" w:hAnsi="Arial" w:cs="Arial"/>
        </w:rPr>
        <w:t>selera, w 2 – jabłek agrestu i prosa oraz po 1 grochu, gryki, kukurydzy, pomidorów, porzeczki czarnej, pszenicy i ziemniaka.</w:t>
      </w:r>
    </w:p>
    <w:p w14:paraId="61020E26" w14:textId="31B2A3D4" w:rsidR="006D456B" w:rsidRDefault="006D456B" w:rsidP="00EC2F01">
      <w:pPr>
        <w:pStyle w:val="NormalnyWeb"/>
        <w:tabs>
          <w:tab w:val="left" w:pos="284"/>
        </w:tabs>
        <w:spacing w:beforeAutospacing="0" w:after="120" w:afterAutospacing="0" w:line="360" w:lineRule="auto"/>
        <w:ind w:firstLine="284"/>
        <w:jc w:val="both"/>
        <w:rPr>
          <w:rFonts w:ascii="Arial" w:hAnsi="Arial" w:cs="Arial"/>
        </w:rPr>
      </w:pPr>
      <w:r w:rsidRPr="006D456B">
        <w:rPr>
          <w:rFonts w:ascii="Arial" w:hAnsi="Arial" w:cs="Arial"/>
        </w:rPr>
        <w:t>Zwiększony poziom przekroczeń najwyższych dopuszczalnych p</w:t>
      </w:r>
      <w:r>
        <w:rPr>
          <w:rFonts w:ascii="Arial" w:hAnsi="Arial" w:cs="Arial"/>
        </w:rPr>
        <w:t xml:space="preserve">oziomów NDP w 2019 r. wynikał </w:t>
      </w:r>
      <w:r w:rsidR="00B56C2A">
        <w:rPr>
          <w:rFonts w:ascii="Arial" w:hAnsi="Arial" w:cs="Arial"/>
        </w:rPr>
        <w:t>z </w:t>
      </w:r>
      <w:r w:rsidRPr="006D456B">
        <w:rPr>
          <w:rFonts w:ascii="Arial" w:hAnsi="Arial" w:cs="Arial"/>
        </w:rPr>
        <w:t xml:space="preserve">nieprawidłowego stosowania przez rolników </w:t>
      </w:r>
      <w:r>
        <w:rPr>
          <w:rFonts w:ascii="Arial" w:hAnsi="Arial" w:cs="Arial"/>
        </w:rPr>
        <w:t>środków ochrony roślin na bazie</w:t>
      </w:r>
      <w:r w:rsidRPr="006D456B">
        <w:rPr>
          <w:rFonts w:ascii="Arial" w:hAnsi="Arial" w:cs="Arial"/>
        </w:rPr>
        <w:t xml:space="preserve"> </w:t>
      </w:r>
      <w:proofErr w:type="spellStart"/>
      <w:r w:rsidRPr="006D456B">
        <w:rPr>
          <w:rFonts w:ascii="Arial" w:hAnsi="Arial" w:cs="Arial"/>
        </w:rPr>
        <w:t>linuronu</w:t>
      </w:r>
      <w:proofErr w:type="spellEnd"/>
      <w:r w:rsidRPr="006D456B">
        <w:rPr>
          <w:rFonts w:ascii="Arial" w:hAnsi="Arial" w:cs="Arial"/>
        </w:rPr>
        <w:t xml:space="preserve"> [wycofany rozporządzeniem wykonawczym Komisji (UE) 2017/244 z dnia 10 lutego 2017 r. w sprawie nieodnowienia zatwierdzenia substancji czynnej </w:t>
      </w:r>
      <w:proofErr w:type="spellStart"/>
      <w:r w:rsidRPr="006D456B">
        <w:rPr>
          <w:rFonts w:ascii="Arial" w:hAnsi="Arial" w:cs="Arial"/>
        </w:rPr>
        <w:t>linuron</w:t>
      </w:r>
      <w:proofErr w:type="spellEnd"/>
      <w:r w:rsidRPr="006D456B">
        <w:rPr>
          <w:rFonts w:ascii="Arial" w:hAnsi="Arial" w:cs="Arial"/>
        </w:rPr>
        <w:t xml:space="preserve">, zgodnie z rozporządzeniem Parlamentu Europejskiego i Rady (WE) nr 1107/2009 dotyczącym wprowadzania do obrotu środków ochrony roślin, oraz w sprawie zmiany załącznika do rozporządzenia wykonawczego Komisji (UE) nr 540/2011 2017/244] oraz </w:t>
      </w:r>
      <w:proofErr w:type="spellStart"/>
      <w:r w:rsidRPr="006D456B">
        <w:rPr>
          <w:rFonts w:ascii="Arial" w:hAnsi="Arial" w:cs="Arial"/>
        </w:rPr>
        <w:t>chloropiryfosu</w:t>
      </w:r>
      <w:proofErr w:type="spellEnd"/>
      <w:r w:rsidRPr="006D456B">
        <w:rPr>
          <w:rFonts w:ascii="Arial" w:hAnsi="Arial" w:cs="Arial"/>
        </w:rPr>
        <w:t xml:space="preserve">. Należy wskazać, że stosowanie </w:t>
      </w:r>
      <w:proofErr w:type="spellStart"/>
      <w:r w:rsidRPr="006D456B">
        <w:rPr>
          <w:rFonts w:ascii="Arial" w:hAnsi="Arial" w:cs="Arial"/>
        </w:rPr>
        <w:t>chloropiryfosu</w:t>
      </w:r>
      <w:proofErr w:type="spellEnd"/>
      <w:r w:rsidRPr="006D456B">
        <w:rPr>
          <w:rFonts w:ascii="Arial" w:hAnsi="Arial" w:cs="Arial"/>
        </w:rPr>
        <w:t xml:space="preserve"> w ostatnich latach było stopniowo ograniczane W 2019 r. mógł on być tylko stosowany wyłącznie w uprawie pszenicy, jęczmienia, rzepaku, śliwy, truskawki, ziemniaka, kapusty brukselskiej, kapusty głowiastej, kalafiora </w:t>
      </w:r>
      <w:r w:rsidR="00B56C2A" w:rsidRPr="006D456B">
        <w:rPr>
          <w:rFonts w:ascii="Arial" w:hAnsi="Arial" w:cs="Arial"/>
        </w:rPr>
        <w:t>i</w:t>
      </w:r>
      <w:r w:rsidR="00B56C2A">
        <w:rPr>
          <w:rFonts w:ascii="Arial" w:hAnsi="Arial" w:cs="Arial"/>
        </w:rPr>
        <w:t> </w:t>
      </w:r>
      <w:proofErr w:type="spellStart"/>
      <w:r w:rsidRPr="006D456B">
        <w:rPr>
          <w:rFonts w:ascii="Arial" w:hAnsi="Arial" w:cs="Arial"/>
        </w:rPr>
        <w:t>brokuła</w:t>
      </w:r>
      <w:proofErr w:type="spellEnd"/>
      <w:r w:rsidRPr="006D456B">
        <w:rPr>
          <w:rFonts w:ascii="Arial" w:hAnsi="Arial" w:cs="Arial"/>
        </w:rPr>
        <w:t>. Analizując wykryte przekroczenia można też zauważyć, że odsetek przekroczeń gdzie stosowano substancje zalecane do ochrony uprawy jest niższy niż tych przekroczeń gdzie w grę wchodziło stosowanie substancji niedopuszczonych do stosowania.</w:t>
      </w:r>
    </w:p>
    <w:p w14:paraId="45A30C50" w14:textId="332F37AD" w:rsidR="002F12D8" w:rsidRPr="002477BC" w:rsidRDefault="00800331" w:rsidP="002F12D8">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 xml:space="preserve">W ramach urzędowej kontroli przebadano </w:t>
      </w:r>
      <w:r w:rsidRPr="00FE6585">
        <w:rPr>
          <w:rFonts w:ascii="Arial" w:hAnsi="Arial" w:cs="Arial"/>
          <w:b/>
          <w:bCs/>
        </w:rPr>
        <w:t>w 2020 r.</w:t>
      </w:r>
      <w:r w:rsidRPr="002477BC">
        <w:rPr>
          <w:rFonts w:ascii="Arial" w:hAnsi="Arial" w:cs="Arial"/>
        </w:rPr>
        <w:t xml:space="preserve"> pod kątem pozostałości środków ochrony roślin </w:t>
      </w:r>
      <w:r w:rsidR="002F12D8" w:rsidRPr="002477BC">
        <w:rPr>
          <w:rFonts w:ascii="Arial" w:hAnsi="Arial" w:cs="Arial"/>
        </w:rPr>
        <w:t xml:space="preserve"> przebadano</w:t>
      </w:r>
      <w:r w:rsidRPr="002477BC">
        <w:rPr>
          <w:rFonts w:ascii="Arial" w:hAnsi="Arial" w:cs="Arial"/>
        </w:rPr>
        <w:t xml:space="preserve"> 3 103 próbki</w:t>
      </w:r>
      <w:r w:rsidR="006F2C40" w:rsidRPr="002477BC">
        <w:rPr>
          <w:rFonts w:ascii="Arial" w:hAnsi="Arial" w:cs="Arial"/>
        </w:rPr>
        <w:t>, w tym</w:t>
      </w:r>
      <w:r w:rsidR="002F12D8" w:rsidRPr="002477BC">
        <w:rPr>
          <w:rFonts w:ascii="Arial" w:hAnsi="Arial" w:cs="Arial"/>
        </w:rPr>
        <w:t xml:space="preserve"> 949 pr</w:t>
      </w:r>
      <w:r w:rsidR="002F12D8" w:rsidRPr="002477BC">
        <w:rPr>
          <w:rFonts w:ascii="Arial" w:hAnsi="Arial" w:cs="Arial" w:hint="eastAsia"/>
        </w:rPr>
        <w:t>ó</w:t>
      </w:r>
      <w:r w:rsidR="002F12D8" w:rsidRPr="002477BC">
        <w:rPr>
          <w:rFonts w:ascii="Arial" w:hAnsi="Arial" w:cs="Arial"/>
        </w:rPr>
        <w:t>bek owoc</w:t>
      </w:r>
      <w:r w:rsidR="002F12D8" w:rsidRPr="002477BC">
        <w:rPr>
          <w:rFonts w:ascii="Arial" w:hAnsi="Arial" w:cs="Arial" w:hint="eastAsia"/>
        </w:rPr>
        <w:t>ó</w:t>
      </w:r>
      <w:r w:rsidR="002F12D8" w:rsidRPr="002477BC">
        <w:rPr>
          <w:rFonts w:ascii="Arial" w:hAnsi="Arial" w:cs="Arial"/>
        </w:rPr>
        <w:t>w i 1 189 pr</w:t>
      </w:r>
      <w:r w:rsidR="002F12D8" w:rsidRPr="002477BC">
        <w:rPr>
          <w:rFonts w:ascii="Arial" w:hAnsi="Arial" w:cs="Arial" w:hint="eastAsia"/>
        </w:rPr>
        <w:t>ó</w:t>
      </w:r>
      <w:r w:rsidR="002F12D8" w:rsidRPr="002477BC">
        <w:rPr>
          <w:rFonts w:ascii="Arial" w:hAnsi="Arial" w:cs="Arial"/>
        </w:rPr>
        <w:t>bek</w:t>
      </w:r>
      <w:r w:rsidR="00594326" w:rsidRPr="002477BC">
        <w:rPr>
          <w:rFonts w:ascii="Arial" w:hAnsi="Arial" w:cs="Arial"/>
        </w:rPr>
        <w:t xml:space="preserve"> </w:t>
      </w:r>
      <w:r w:rsidR="002F12D8" w:rsidRPr="002477BC">
        <w:rPr>
          <w:rFonts w:ascii="Arial" w:hAnsi="Arial" w:cs="Arial"/>
        </w:rPr>
        <w:t>warzyw.</w:t>
      </w:r>
      <w:r w:rsidR="008813B8" w:rsidRPr="002477BC">
        <w:rPr>
          <w:rFonts w:ascii="Arial" w:hAnsi="Arial" w:cs="Arial"/>
        </w:rPr>
        <w:t xml:space="preserve"> </w:t>
      </w:r>
      <w:r w:rsidR="002F12D8" w:rsidRPr="002477BC">
        <w:rPr>
          <w:rFonts w:ascii="Arial" w:hAnsi="Arial" w:cs="Arial"/>
        </w:rPr>
        <w:t>1 516 (48,8%) nie zawiera</w:t>
      </w:r>
      <w:r w:rsidR="002F12D8" w:rsidRPr="002477BC">
        <w:rPr>
          <w:rFonts w:ascii="Arial" w:hAnsi="Arial" w:cs="Arial" w:hint="eastAsia"/>
        </w:rPr>
        <w:t>ł</w:t>
      </w:r>
      <w:r w:rsidR="002F12D8" w:rsidRPr="002477BC">
        <w:rPr>
          <w:rFonts w:ascii="Arial" w:hAnsi="Arial" w:cs="Arial"/>
        </w:rPr>
        <w:t>o pozosta</w:t>
      </w:r>
      <w:r w:rsidR="002F12D8" w:rsidRPr="002477BC">
        <w:rPr>
          <w:rFonts w:ascii="Arial" w:hAnsi="Arial" w:cs="Arial" w:hint="eastAsia"/>
        </w:rPr>
        <w:t>ł</w:t>
      </w:r>
      <w:r w:rsidR="002F12D8" w:rsidRPr="002477BC">
        <w:rPr>
          <w:rFonts w:ascii="Arial" w:hAnsi="Arial" w:cs="Arial"/>
        </w:rPr>
        <w:t>o</w:t>
      </w:r>
      <w:r w:rsidR="002F12D8" w:rsidRPr="002477BC">
        <w:rPr>
          <w:rFonts w:ascii="Arial" w:hAnsi="Arial" w:cs="Arial" w:hint="eastAsia"/>
        </w:rPr>
        <w:t>ś</w:t>
      </w:r>
      <w:r w:rsidR="002F12D8" w:rsidRPr="002477BC">
        <w:rPr>
          <w:rFonts w:ascii="Arial" w:hAnsi="Arial" w:cs="Arial"/>
        </w:rPr>
        <w:t xml:space="preserve">ci </w:t>
      </w:r>
      <w:r w:rsidR="002F12D8" w:rsidRPr="002477BC">
        <w:rPr>
          <w:rFonts w:ascii="Arial" w:hAnsi="Arial" w:cs="Arial" w:hint="eastAsia"/>
        </w:rPr>
        <w:t>ś</w:t>
      </w:r>
      <w:r w:rsidR="002F12D8" w:rsidRPr="002477BC">
        <w:rPr>
          <w:rFonts w:ascii="Arial" w:hAnsi="Arial" w:cs="Arial"/>
        </w:rPr>
        <w:t>rodk</w:t>
      </w:r>
      <w:r w:rsidR="002F12D8" w:rsidRPr="002477BC">
        <w:rPr>
          <w:rFonts w:ascii="Arial" w:hAnsi="Arial" w:cs="Arial" w:hint="eastAsia"/>
        </w:rPr>
        <w:t>ó</w:t>
      </w:r>
      <w:r w:rsidR="002F12D8" w:rsidRPr="002477BC">
        <w:rPr>
          <w:rFonts w:ascii="Arial" w:hAnsi="Arial" w:cs="Arial"/>
        </w:rPr>
        <w:t>w</w:t>
      </w:r>
      <w:r w:rsidR="00594326" w:rsidRPr="002477BC">
        <w:rPr>
          <w:rFonts w:ascii="Arial" w:hAnsi="Arial" w:cs="Arial"/>
        </w:rPr>
        <w:t xml:space="preserve"> </w:t>
      </w:r>
      <w:r w:rsidR="002F12D8" w:rsidRPr="002477BC">
        <w:rPr>
          <w:rFonts w:ascii="Arial" w:hAnsi="Arial" w:cs="Arial"/>
        </w:rPr>
        <w:t>ochrony ro</w:t>
      </w:r>
      <w:r w:rsidR="002F12D8" w:rsidRPr="002477BC">
        <w:rPr>
          <w:rFonts w:ascii="Arial" w:hAnsi="Arial" w:cs="Arial" w:hint="eastAsia"/>
        </w:rPr>
        <w:t>ś</w:t>
      </w:r>
      <w:r w:rsidR="002F12D8" w:rsidRPr="002477BC">
        <w:rPr>
          <w:rFonts w:ascii="Arial" w:hAnsi="Arial" w:cs="Arial"/>
        </w:rPr>
        <w:t>lin</w:t>
      </w:r>
      <w:r w:rsidR="0011257F" w:rsidRPr="002477BC">
        <w:rPr>
          <w:rFonts w:ascii="Arial" w:hAnsi="Arial" w:cs="Arial"/>
        </w:rPr>
        <w:t>, w</w:t>
      </w:r>
      <w:r w:rsidR="002F12D8" w:rsidRPr="002477BC">
        <w:rPr>
          <w:rFonts w:ascii="Arial" w:hAnsi="Arial" w:cs="Arial"/>
        </w:rPr>
        <w:t xml:space="preserve"> 1 520 pr</w:t>
      </w:r>
      <w:r w:rsidR="002F12D8" w:rsidRPr="002477BC">
        <w:rPr>
          <w:rFonts w:ascii="Arial" w:hAnsi="Arial" w:cs="Arial" w:hint="eastAsia"/>
        </w:rPr>
        <w:t>ó</w:t>
      </w:r>
      <w:r w:rsidR="002F12D8" w:rsidRPr="002477BC">
        <w:rPr>
          <w:rFonts w:ascii="Arial" w:hAnsi="Arial" w:cs="Arial"/>
        </w:rPr>
        <w:t>bkach (49%) wykryto pozosta</w:t>
      </w:r>
      <w:r w:rsidR="002F12D8" w:rsidRPr="002477BC">
        <w:rPr>
          <w:rFonts w:ascii="Arial" w:hAnsi="Arial" w:cs="Arial" w:hint="eastAsia"/>
        </w:rPr>
        <w:t>ł</w:t>
      </w:r>
      <w:r w:rsidR="002F12D8" w:rsidRPr="002477BC">
        <w:rPr>
          <w:rFonts w:ascii="Arial" w:hAnsi="Arial" w:cs="Arial"/>
        </w:rPr>
        <w:t>o</w:t>
      </w:r>
      <w:r w:rsidR="002F12D8" w:rsidRPr="002477BC">
        <w:rPr>
          <w:rFonts w:ascii="Arial" w:hAnsi="Arial" w:cs="Arial" w:hint="eastAsia"/>
        </w:rPr>
        <w:t>ś</w:t>
      </w:r>
      <w:r w:rsidR="002F12D8" w:rsidRPr="002477BC">
        <w:rPr>
          <w:rFonts w:ascii="Arial" w:hAnsi="Arial" w:cs="Arial"/>
        </w:rPr>
        <w:t>ci pozostaj</w:t>
      </w:r>
      <w:r w:rsidR="002F12D8" w:rsidRPr="002477BC">
        <w:rPr>
          <w:rFonts w:ascii="Arial" w:hAnsi="Arial" w:cs="Arial" w:hint="eastAsia"/>
        </w:rPr>
        <w:t>ą</w:t>
      </w:r>
      <w:r w:rsidR="002F12D8" w:rsidRPr="002477BC">
        <w:rPr>
          <w:rFonts w:ascii="Arial" w:hAnsi="Arial" w:cs="Arial"/>
        </w:rPr>
        <w:t>ce poni</w:t>
      </w:r>
      <w:r w:rsidR="002F12D8" w:rsidRPr="002477BC">
        <w:rPr>
          <w:rFonts w:ascii="Arial" w:hAnsi="Arial" w:cs="Arial" w:hint="eastAsia"/>
        </w:rPr>
        <w:t>ż</w:t>
      </w:r>
      <w:r w:rsidR="002F12D8" w:rsidRPr="002477BC">
        <w:rPr>
          <w:rFonts w:ascii="Arial" w:hAnsi="Arial" w:cs="Arial"/>
        </w:rPr>
        <w:t>ej najwy</w:t>
      </w:r>
      <w:r w:rsidR="002F12D8" w:rsidRPr="002477BC">
        <w:rPr>
          <w:rFonts w:ascii="Arial" w:hAnsi="Arial" w:cs="Arial" w:hint="eastAsia"/>
        </w:rPr>
        <w:t>ż</w:t>
      </w:r>
      <w:r w:rsidR="002F12D8" w:rsidRPr="002477BC">
        <w:rPr>
          <w:rFonts w:ascii="Arial" w:hAnsi="Arial" w:cs="Arial"/>
        </w:rPr>
        <w:t>szych</w:t>
      </w:r>
      <w:r w:rsidR="00594326" w:rsidRPr="002477BC">
        <w:rPr>
          <w:rFonts w:ascii="Arial" w:hAnsi="Arial" w:cs="Arial"/>
        </w:rPr>
        <w:t xml:space="preserve"> </w:t>
      </w:r>
      <w:r w:rsidR="002F12D8" w:rsidRPr="002477BC">
        <w:rPr>
          <w:rFonts w:ascii="Arial" w:hAnsi="Arial" w:cs="Arial"/>
        </w:rPr>
        <w:t>dopuszczalnych poziom</w:t>
      </w:r>
      <w:r w:rsidR="002F12D8" w:rsidRPr="002477BC">
        <w:rPr>
          <w:rFonts w:ascii="Arial" w:hAnsi="Arial" w:cs="Arial" w:hint="eastAsia"/>
        </w:rPr>
        <w:t>ó</w:t>
      </w:r>
      <w:r w:rsidR="002F12D8" w:rsidRPr="002477BC">
        <w:rPr>
          <w:rFonts w:ascii="Arial" w:hAnsi="Arial" w:cs="Arial"/>
        </w:rPr>
        <w:t>w pozosta</w:t>
      </w:r>
      <w:r w:rsidR="002F12D8" w:rsidRPr="002477BC">
        <w:rPr>
          <w:rFonts w:ascii="Arial" w:hAnsi="Arial" w:cs="Arial" w:hint="eastAsia"/>
        </w:rPr>
        <w:t>ł</w:t>
      </w:r>
      <w:r w:rsidR="002F12D8" w:rsidRPr="002477BC">
        <w:rPr>
          <w:rFonts w:ascii="Arial" w:hAnsi="Arial" w:cs="Arial"/>
        </w:rPr>
        <w:t>o</w:t>
      </w:r>
      <w:r w:rsidR="002F12D8" w:rsidRPr="002477BC">
        <w:rPr>
          <w:rFonts w:ascii="Arial" w:hAnsi="Arial" w:cs="Arial" w:hint="eastAsia"/>
        </w:rPr>
        <w:t>ś</w:t>
      </w:r>
      <w:r w:rsidR="002F12D8" w:rsidRPr="002477BC">
        <w:rPr>
          <w:rFonts w:ascii="Arial" w:hAnsi="Arial" w:cs="Arial"/>
        </w:rPr>
        <w:t xml:space="preserve">ci (NDP) </w:t>
      </w:r>
      <w:r w:rsidR="002F12D8" w:rsidRPr="002477BC">
        <w:rPr>
          <w:rFonts w:ascii="Arial" w:hAnsi="Arial" w:cs="Arial" w:hint="eastAsia"/>
        </w:rPr>
        <w:t>ś</w:t>
      </w:r>
      <w:r w:rsidR="002F12D8" w:rsidRPr="002477BC">
        <w:rPr>
          <w:rFonts w:ascii="Arial" w:hAnsi="Arial" w:cs="Arial"/>
        </w:rPr>
        <w:t>rodk</w:t>
      </w:r>
      <w:r w:rsidR="002F12D8" w:rsidRPr="002477BC">
        <w:rPr>
          <w:rFonts w:ascii="Arial" w:hAnsi="Arial" w:cs="Arial" w:hint="eastAsia"/>
        </w:rPr>
        <w:t>ó</w:t>
      </w:r>
      <w:r w:rsidR="002F12D8" w:rsidRPr="002477BC">
        <w:rPr>
          <w:rFonts w:ascii="Arial" w:hAnsi="Arial" w:cs="Arial"/>
        </w:rPr>
        <w:t>w ochrony ro</w:t>
      </w:r>
      <w:r w:rsidR="002F12D8" w:rsidRPr="002477BC">
        <w:rPr>
          <w:rFonts w:ascii="Arial" w:hAnsi="Arial" w:cs="Arial" w:hint="eastAsia"/>
        </w:rPr>
        <w:t>ś</w:t>
      </w:r>
      <w:r w:rsidR="002F12D8" w:rsidRPr="002477BC">
        <w:rPr>
          <w:rFonts w:ascii="Arial" w:hAnsi="Arial" w:cs="Arial"/>
        </w:rPr>
        <w:t>lin. W 397 pr</w:t>
      </w:r>
      <w:r w:rsidR="002F12D8" w:rsidRPr="002477BC">
        <w:rPr>
          <w:rFonts w:ascii="Arial" w:hAnsi="Arial" w:cs="Arial" w:hint="eastAsia"/>
        </w:rPr>
        <w:t>ó</w:t>
      </w:r>
      <w:r w:rsidR="002F12D8" w:rsidRPr="002477BC">
        <w:rPr>
          <w:rFonts w:ascii="Arial" w:hAnsi="Arial" w:cs="Arial"/>
        </w:rPr>
        <w:t>bkach</w:t>
      </w:r>
      <w:r w:rsidR="00594326" w:rsidRPr="002477BC">
        <w:rPr>
          <w:rFonts w:ascii="Arial" w:hAnsi="Arial" w:cs="Arial"/>
        </w:rPr>
        <w:t xml:space="preserve"> </w:t>
      </w:r>
      <w:r w:rsidR="002F12D8" w:rsidRPr="002477BC">
        <w:rPr>
          <w:rFonts w:ascii="Arial" w:hAnsi="Arial" w:cs="Arial"/>
        </w:rPr>
        <w:t>(12,8%) stwierdzono obecno</w:t>
      </w:r>
      <w:r w:rsidR="002F12D8" w:rsidRPr="002477BC">
        <w:rPr>
          <w:rFonts w:ascii="Arial" w:hAnsi="Arial" w:cs="Arial" w:hint="eastAsia"/>
        </w:rPr>
        <w:t>ść</w:t>
      </w:r>
      <w:r w:rsidR="002F12D8" w:rsidRPr="002477BC">
        <w:rPr>
          <w:rFonts w:ascii="Arial" w:hAnsi="Arial" w:cs="Arial"/>
        </w:rPr>
        <w:t xml:space="preserve"> substancji czynnych niedozwolonych do stosowania w danej</w:t>
      </w:r>
      <w:r w:rsidR="00594326" w:rsidRPr="002477BC">
        <w:rPr>
          <w:rFonts w:ascii="Arial" w:hAnsi="Arial" w:cs="Arial"/>
        </w:rPr>
        <w:t xml:space="preserve"> </w:t>
      </w:r>
      <w:r w:rsidR="002F12D8" w:rsidRPr="002477BC">
        <w:rPr>
          <w:rFonts w:ascii="Arial" w:hAnsi="Arial" w:cs="Arial"/>
        </w:rPr>
        <w:t>uprawie.</w:t>
      </w:r>
    </w:p>
    <w:p w14:paraId="72BF8E86" w14:textId="381C2D17" w:rsidR="000C4A21" w:rsidRPr="002477BC" w:rsidRDefault="000C4A21" w:rsidP="000C4A21">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Łącznie, na 3 103 przebadan</w:t>
      </w:r>
      <w:r w:rsidR="00C14671" w:rsidRPr="002477BC">
        <w:rPr>
          <w:rFonts w:ascii="Arial" w:hAnsi="Arial" w:cs="Arial"/>
        </w:rPr>
        <w:t>e</w:t>
      </w:r>
      <w:r w:rsidRPr="002477BC">
        <w:rPr>
          <w:rFonts w:ascii="Arial" w:hAnsi="Arial" w:cs="Arial"/>
        </w:rPr>
        <w:t xml:space="preserve"> próbk</w:t>
      </w:r>
      <w:r w:rsidR="00C14671" w:rsidRPr="002477BC">
        <w:rPr>
          <w:rFonts w:ascii="Arial" w:hAnsi="Arial" w:cs="Arial"/>
        </w:rPr>
        <w:t>i</w:t>
      </w:r>
      <w:r w:rsidRPr="002477BC">
        <w:rPr>
          <w:rFonts w:ascii="Arial" w:hAnsi="Arial" w:cs="Arial"/>
        </w:rPr>
        <w:t xml:space="preserve">, </w:t>
      </w:r>
      <w:r w:rsidRPr="00F40B85">
        <w:rPr>
          <w:rFonts w:ascii="Arial" w:hAnsi="Arial" w:cs="Arial"/>
          <w:b/>
          <w:bCs/>
        </w:rPr>
        <w:t xml:space="preserve">przekroczenia najwyższych dopuszczalnych poziomów (NDP) zastosowanych środków ochrony roślin stwierdzono w </w:t>
      </w:r>
      <w:r w:rsidR="00C14671" w:rsidRPr="00F40B85">
        <w:rPr>
          <w:rFonts w:ascii="Arial" w:hAnsi="Arial" w:cs="Arial"/>
          <w:b/>
          <w:bCs/>
        </w:rPr>
        <w:t>67</w:t>
      </w:r>
      <w:r w:rsidRPr="00F40B85">
        <w:rPr>
          <w:rFonts w:ascii="Arial" w:hAnsi="Arial" w:cs="Arial"/>
          <w:b/>
          <w:bCs/>
        </w:rPr>
        <w:t xml:space="preserve"> próbkach (</w:t>
      </w:r>
      <w:r w:rsidR="00C14671" w:rsidRPr="00F40B85">
        <w:rPr>
          <w:rFonts w:ascii="Arial" w:hAnsi="Arial" w:cs="Arial"/>
          <w:b/>
          <w:bCs/>
        </w:rPr>
        <w:t>2,2</w:t>
      </w:r>
      <w:r w:rsidRPr="00F40B85">
        <w:rPr>
          <w:rFonts w:ascii="Arial" w:hAnsi="Arial" w:cs="Arial"/>
          <w:b/>
          <w:bCs/>
        </w:rPr>
        <w:t>%).</w:t>
      </w:r>
      <w:r w:rsidRPr="002477BC">
        <w:rPr>
          <w:rFonts w:ascii="Arial" w:hAnsi="Arial" w:cs="Arial"/>
        </w:rPr>
        <w:t xml:space="preserve"> </w:t>
      </w:r>
    </w:p>
    <w:p w14:paraId="353D4978" w14:textId="583E3A2D" w:rsidR="002F12D8" w:rsidRPr="002477BC" w:rsidRDefault="002F12D8" w:rsidP="002F12D8">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Przekroczenia NDP stwierdzono w: agre</w:t>
      </w:r>
      <w:r w:rsidRPr="002477BC">
        <w:rPr>
          <w:rFonts w:ascii="Arial" w:hAnsi="Arial" w:cs="Arial" w:hint="eastAsia"/>
        </w:rPr>
        <w:t>ś</w:t>
      </w:r>
      <w:r w:rsidRPr="002477BC">
        <w:rPr>
          <w:rFonts w:ascii="Arial" w:hAnsi="Arial" w:cs="Arial"/>
        </w:rPr>
        <w:t xml:space="preserve">cie, bobie, buraku </w:t>
      </w:r>
      <w:r w:rsidRPr="002477BC">
        <w:rPr>
          <w:rFonts w:ascii="Arial" w:hAnsi="Arial" w:cs="Arial" w:hint="eastAsia"/>
        </w:rPr>
        <w:t>ć</w:t>
      </w:r>
      <w:r w:rsidRPr="002477BC">
        <w:rPr>
          <w:rFonts w:ascii="Arial" w:hAnsi="Arial" w:cs="Arial"/>
        </w:rPr>
        <w:t>wik</w:t>
      </w:r>
      <w:r w:rsidRPr="002477BC">
        <w:rPr>
          <w:rFonts w:ascii="Arial" w:hAnsi="Arial" w:cs="Arial" w:hint="eastAsia"/>
        </w:rPr>
        <w:t>ł</w:t>
      </w:r>
      <w:r w:rsidRPr="002477BC">
        <w:rPr>
          <w:rFonts w:ascii="Arial" w:hAnsi="Arial" w:cs="Arial"/>
        </w:rPr>
        <w:t>owym, brokule, cebuli</w:t>
      </w:r>
      <w:r w:rsidR="00594326" w:rsidRPr="002477BC">
        <w:rPr>
          <w:rFonts w:ascii="Arial" w:hAnsi="Arial" w:cs="Arial"/>
        </w:rPr>
        <w:t xml:space="preserve"> </w:t>
      </w:r>
      <w:r w:rsidRPr="002477BC">
        <w:rPr>
          <w:rFonts w:ascii="Arial" w:hAnsi="Arial" w:cs="Arial"/>
        </w:rPr>
        <w:t>siedmiolatce, gryce, jab</w:t>
      </w:r>
      <w:r w:rsidRPr="002477BC">
        <w:rPr>
          <w:rFonts w:ascii="Arial" w:hAnsi="Arial" w:cs="Arial" w:hint="eastAsia"/>
        </w:rPr>
        <w:t>ł</w:t>
      </w:r>
      <w:r w:rsidRPr="002477BC">
        <w:rPr>
          <w:rFonts w:ascii="Arial" w:hAnsi="Arial" w:cs="Arial"/>
        </w:rPr>
        <w:t>kach, jarmu</w:t>
      </w:r>
      <w:r w:rsidRPr="002477BC">
        <w:rPr>
          <w:rFonts w:ascii="Arial" w:hAnsi="Arial" w:cs="Arial" w:hint="eastAsia"/>
        </w:rPr>
        <w:t>ż</w:t>
      </w:r>
      <w:r w:rsidRPr="002477BC">
        <w:rPr>
          <w:rFonts w:ascii="Arial" w:hAnsi="Arial" w:cs="Arial"/>
        </w:rPr>
        <w:t>u, j</w:t>
      </w:r>
      <w:r w:rsidRPr="002477BC">
        <w:rPr>
          <w:rFonts w:ascii="Arial" w:hAnsi="Arial" w:cs="Arial" w:hint="eastAsia"/>
        </w:rPr>
        <w:t>ę</w:t>
      </w:r>
      <w:r w:rsidRPr="002477BC">
        <w:rPr>
          <w:rFonts w:ascii="Arial" w:hAnsi="Arial" w:cs="Arial"/>
        </w:rPr>
        <w:t>czmieniu, kapu</w:t>
      </w:r>
      <w:r w:rsidRPr="002477BC">
        <w:rPr>
          <w:rFonts w:ascii="Arial" w:hAnsi="Arial" w:cs="Arial" w:hint="eastAsia"/>
        </w:rPr>
        <w:t>ś</w:t>
      </w:r>
      <w:r w:rsidRPr="002477BC">
        <w:rPr>
          <w:rFonts w:ascii="Arial" w:hAnsi="Arial" w:cs="Arial"/>
        </w:rPr>
        <w:t>cie peki</w:t>
      </w:r>
      <w:r w:rsidRPr="002477BC">
        <w:rPr>
          <w:rFonts w:ascii="Arial" w:hAnsi="Arial" w:cs="Arial" w:hint="eastAsia"/>
        </w:rPr>
        <w:t>ń</w:t>
      </w:r>
      <w:r w:rsidRPr="002477BC">
        <w:rPr>
          <w:rFonts w:ascii="Arial" w:hAnsi="Arial" w:cs="Arial"/>
        </w:rPr>
        <w:t>skiej, kapu</w:t>
      </w:r>
      <w:r w:rsidRPr="002477BC">
        <w:rPr>
          <w:rFonts w:ascii="Arial" w:hAnsi="Arial" w:cs="Arial" w:hint="eastAsia"/>
        </w:rPr>
        <w:t>ś</w:t>
      </w:r>
      <w:r w:rsidRPr="002477BC">
        <w:rPr>
          <w:rFonts w:ascii="Arial" w:hAnsi="Arial" w:cs="Arial"/>
        </w:rPr>
        <w:t>cie brukselce,</w:t>
      </w:r>
      <w:r w:rsidR="00594326" w:rsidRPr="002477BC">
        <w:rPr>
          <w:rFonts w:ascii="Arial" w:hAnsi="Arial" w:cs="Arial"/>
        </w:rPr>
        <w:t xml:space="preserve"> </w:t>
      </w:r>
      <w:r w:rsidRPr="002477BC">
        <w:rPr>
          <w:rFonts w:ascii="Arial" w:hAnsi="Arial" w:cs="Arial"/>
        </w:rPr>
        <w:t>koprze, marchwi, malinach, papryce, pasternaku, korzeniu pietruszki, pomidorze spod os</w:t>
      </w:r>
      <w:r w:rsidRPr="002477BC">
        <w:rPr>
          <w:rFonts w:ascii="Arial" w:hAnsi="Arial" w:cs="Arial" w:hint="eastAsia"/>
        </w:rPr>
        <w:t>ł</w:t>
      </w:r>
      <w:r w:rsidRPr="002477BC">
        <w:rPr>
          <w:rFonts w:ascii="Arial" w:hAnsi="Arial" w:cs="Arial"/>
        </w:rPr>
        <w:t>on,</w:t>
      </w:r>
      <w:r w:rsidR="00594326" w:rsidRPr="002477BC">
        <w:rPr>
          <w:rFonts w:ascii="Arial" w:hAnsi="Arial" w:cs="Arial"/>
        </w:rPr>
        <w:t xml:space="preserve"> </w:t>
      </w:r>
      <w:r w:rsidRPr="002477BC">
        <w:rPr>
          <w:rFonts w:ascii="Arial" w:hAnsi="Arial" w:cs="Arial"/>
        </w:rPr>
        <w:t>porzeczce, pszenicy, rzepaku, rzodkiewce, selerze korzeniowym, szpinaku oraz w mieszance</w:t>
      </w:r>
      <w:r w:rsidR="00594326" w:rsidRPr="002477BC">
        <w:rPr>
          <w:rFonts w:ascii="Arial" w:hAnsi="Arial" w:cs="Arial"/>
        </w:rPr>
        <w:t xml:space="preserve"> </w:t>
      </w:r>
      <w:r w:rsidRPr="002477BC">
        <w:rPr>
          <w:rFonts w:ascii="Arial" w:hAnsi="Arial" w:cs="Arial"/>
        </w:rPr>
        <w:t>zbo</w:t>
      </w:r>
      <w:r w:rsidRPr="002477BC">
        <w:rPr>
          <w:rFonts w:ascii="Arial" w:hAnsi="Arial" w:cs="Arial" w:hint="eastAsia"/>
        </w:rPr>
        <w:t>ż</w:t>
      </w:r>
      <w:r w:rsidRPr="002477BC">
        <w:rPr>
          <w:rFonts w:ascii="Arial" w:hAnsi="Arial" w:cs="Arial"/>
        </w:rPr>
        <w:t>owej.</w:t>
      </w:r>
    </w:p>
    <w:p w14:paraId="513E81DF" w14:textId="74C106E2" w:rsidR="002F12D8" w:rsidRDefault="002F12D8" w:rsidP="002F12D8">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Przypadki przekrocze</w:t>
      </w:r>
      <w:r w:rsidRPr="002477BC">
        <w:rPr>
          <w:rFonts w:ascii="Arial" w:hAnsi="Arial" w:cs="Arial" w:hint="eastAsia"/>
        </w:rPr>
        <w:t>ń</w:t>
      </w:r>
      <w:r w:rsidRPr="002477BC">
        <w:rPr>
          <w:rFonts w:ascii="Arial" w:hAnsi="Arial" w:cs="Arial"/>
        </w:rPr>
        <w:t xml:space="preserve"> najwy</w:t>
      </w:r>
      <w:r w:rsidRPr="002477BC">
        <w:rPr>
          <w:rFonts w:ascii="Arial" w:hAnsi="Arial" w:cs="Arial" w:hint="eastAsia"/>
        </w:rPr>
        <w:t>ż</w:t>
      </w:r>
      <w:r w:rsidRPr="002477BC">
        <w:rPr>
          <w:rFonts w:ascii="Arial" w:hAnsi="Arial" w:cs="Arial"/>
        </w:rPr>
        <w:t>szych dopuszczalnych poziom</w:t>
      </w:r>
      <w:r w:rsidRPr="002477BC">
        <w:rPr>
          <w:rFonts w:ascii="Arial" w:hAnsi="Arial" w:cs="Arial" w:hint="eastAsia"/>
        </w:rPr>
        <w:t>ó</w:t>
      </w:r>
      <w:r w:rsidRPr="002477BC">
        <w:rPr>
          <w:rFonts w:ascii="Arial" w:hAnsi="Arial" w:cs="Arial"/>
        </w:rPr>
        <w:t>w pozosta</w:t>
      </w:r>
      <w:r w:rsidRPr="002477BC">
        <w:rPr>
          <w:rFonts w:ascii="Arial" w:hAnsi="Arial" w:cs="Arial" w:hint="eastAsia"/>
        </w:rPr>
        <w:t>ł</w:t>
      </w:r>
      <w:r w:rsidRPr="002477BC">
        <w:rPr>
          <w:rFonts w:ascii="Arial" w:hAnsi="Arial" w:cs="Arial"/>
        </w:rPr>
        <w:t>o</w:t>
      </w:r>
      <w:r w:rsidRPr="002477BC">
        <w:rPr>
          <w:rFonts w:ascii="Arial" w:hAnsi="Arial" w:cs="Arial" w:hint="eastAsia"/>
        </w:rPr>
        <w:t>ś</w:t>
      </w:r>
      <w:r w:rsidRPr="002477BC">
        <w:rPr>
          <w:rFonts w:ascii="Arial" w:hAnsi="Arial" w:cs="Arial"/>
        </w:rPr>
        <w:t>ci</w:t>
      </w:r>
      <w:r w:rsidR="00594326" w:rsidRPr="002477BC">
        <w:rPr>
          <w:rFonts w:ascii="Arial" w:hAnsi="Arial" w:cs="Arial"/>
        </w:rPr>
        <w:t xml:space="preserve"> </w:t>
      </w:r>
      <w:r w:rsidRPr="002477BC">
        <w:rPr>
          <w:rFonts w:ascii="Arial" w:hAnsi="Arial" w:cs="Arial"/>
        </w:rPr>
        <w:t>w pr</w:t>
      </w:r>
      <w:r w:rsidRPr="002477BC">
        <w:rPr>
          <w:rFonts w:ascii="Arial" w:hAnsi="Arial" w:cs="Arial" w:hint="eastAsia"/>
        </w:rPr>
        <w:t>ó</w:t>
      </w:r>
      <w:r w:rsidRPr="002477BC">
        <w:rPr>
          <w:rFonts w:ascii="Arial" w:hAnsi="Arial" w:cs="Arial"/>
        </w:rPr>
        <w:t>bkach spe</w:t>
      </w:r>
      <w:r w:rsidRPr="002477BC">
        <w:rPr>
          <w:rFonts w:ascii="Arial" w:hAnsi="Arial" w:cs="Arial" w:hint="eastAsia"/>
        </w:rPr>
        <w:t>ł</w:t>
      </w:r>
      <w:r w:rsidRPr="002477BC">
        <w:rPr>
          <w:rFonts w:ascii="Arial" w:hAnsi="Arial" w:cs="Arial"/>
        </w:rPr>
        <w:t>niaj</w:t>
      </w:r>
      <w:r w:rsidRPr="002477BC">
        <w:rPr>
          <w:rFonts w:ascii="Arial" w:hAnsi="Arial" w:cs="Arial" w:hint="eastAsia"/>
        </w:rPr>
        <w:t>ą</w:t>
      </w:r>
      <w:r w:rsidRPr="002477BC">
        <w:rPr>
          <w:rFonts w:ascii="Arial" w:hAnsi="Arial" w:cs="Arial"/>
        </w:rPr>
        <w:t xml:space="preserve">cych kryteria </w:t>
      </w:r>
      <w:r w:rsidRPr="002477BC">
        <w:rPr>
          <w:rFonts w:ascii="Arial" w:hAnsi="Arial" w:cs="Arial" w:hint="eastAsia"/>
        </w:rPr>
        <w:t>ż</w:t>
      </w:r>
      <w:r w:rsidRPr="002477BC">
        <w:rPr>
          <w:rFonts w:ascii="Arial" w:hAnsi="Arial" w:cs="Arial"/>
        </w:rPr>
        <w:t>ywno</w:t>
      </w:r>
      <w:r w:rsidRPr="002477BC">
        <w:rPr>
          <w:rFonts w:ascii="Arial" w:hAnsi="Arial" w:cs="Arial" w:hint="eastAsia"/>
        </w:rPr>
        <w:t>ś</w:t>
      </w:r>
      <w:r w:rsidRPr="002477BC">
        <w:rPr>
          <w:rFonts w:ascii="Arial" w:hAnsi="Arial" w:cs="Arial"/>
        </w:rPr>
        <w:t>ci obj</w:t>
      </w:r>
      <w:r w:rsidRPr="002477BC">
        <w:rPr>
          <w:rFonts w:ascii="Arial" w:hAnsi="Arial" w:cs="Arial" w:hint="eastAsia"/>
        </w:rPr>
        <w:t>ę</w:t>
      </w:r>
      <w:r w:rsidRPr="002477BC">
        <w:rPr>
          <w:rFonts w:ascii="Arial" w:hAnsi="Arial" w:cs="Arial"/>
        </w:rPr>
        <w:t>te by</w:t>
      </w:r>
      <w:r w:rsidRPr="002477BC">
        <w:rPr>
          <w:rFonts w:ascii="Arial" w:hAnsi="Arial" w:cs="Arial" w:hint="eastAsia"/>
        </w:rPr>
        <w:t>ł</w:t>
      </w:r>
      <w:r w:rsidRPr="002477BC">
        <w:rPr>
          <w:rFonts w:ascii="Arial" w:hAnsi="Arial" w:cs="Arial"/>
        </w:rPr>
        <w:t>y procedur</w:t>
      </w:r>
      <w:r w:rsidRPr="002477BC">
        <w:rPr>
          <w:rFonts w:ascii="Arial" w:hAnsi="Arial" w:cs="Arial" w:hint="eastAsia"/>
        </w:rPr>
        <w:t>ą</w:t>
      </w:r>
      <w:r w:rsidRPr="002477BC">
        <w:rPr>
          <w:rFonts w:ascii="Arial" w:hAnsi="Arial" w:cs="Arial"/>
        </w:rPr>
        <w:t xml:space="preserve"> powiadamiania zgodnie</w:t>
      </w:r>
      <w:r w:rsidR="00594326" w:rsidRPr="002477BC">
        <w:rPr>
          <w:rFonts w:ascii="Arial" w:hAnsi="Arial" w:cs="Arial"/>
        </w:rPr>
        <w:t xml:space="preserve"> </w:t>
      </w:r>
      <w:r w:rsidRPr="002477BC">
        <w:rPr>
          <w:rFonts w:ascii="Arial" w:hAnsi="Arial" w:cs="Arial"/>
        </w:rPr>
        <w:t xml:space="preserve">z Systemem Wczesnego Ostrzegania o Niebezpiecznej </w:t>
      </w:r>
      <w:r w:rsidRPr="002477BC">
        <w:rPr>
          <w:rFonts w:ascii="Arial" w:hAnsi="Arial" w:cs="Arial" w:hint="eastAsia"/>
        </w:rPr>
        <w:t>Ż</w:t>
      </w:r>
      <w:r w:rsidRPr="002477BC">
        <w:rPr>
          <w:rFonts w:ascii="Arial" w:hAnsi="Arial" w:cs="Arial"/>
        </w:rPr>
        <w:t>ywno</w:t>
      </w:r>
      <w:r w:rsidRPr="002477BC">
        <w:rPr>
          <w:rFonts w:ascii="Arial" w:hAnsi="Arial" w:cs="Arial" w:hint="eastAsia"/>
        </w:rPr>
        <w:t>ś</w:t>
      </w:r>
      <w:r w:rsidRPr="002477BC">
        <w:rPr>
          <w:rFonts w:ascii="Arial" w:hAnsi="Arial" w:cs="Arial"/>
        </w:rPr>
        <w:t xml:space="preserve">ci i Paszach </w:t>
      </w:r>
      <w:r w:rsidRPr="002477BC">
        <w:rPr>
          <w:rFonts w:ascii="Arial" w:hAnsi="Arial" w:cs="Arial" w:hint="eastAsia"/>
        </w:rPr>
        <w:t>–</w:t>
      </w:r>
      <w:r w:rsidRPr="002477BC">
        <w:rPr>
          <w:rFonts w:ascii="Arial" w:hAnsi="Arial" w:cs="Arial"/>
        </w:rPr>
        <w:t xml:space="preserve"> RASFF. W 2020 r.</w:t>
      </w:r>
      <w:r w:rsidR="0049392A" w:rsidRPr="002477BC">
        <w:rPr>
          <w:rFonts w:ascii="Arial" w:hAnsi="Arial" w:cs="Arial"/>
        </w:rPr>
        <w:t xml:space="preserve"> </w:t>
      </w:r>
      <w:r w:rsidRPr="002477BC">
        <w:rPr>
          <w:rFonts w:ascii="Arial" w:hAnsi="Arial" w:cs="Arial"/>
        </w:rPr>
        <w:t>G</w:t>
      </w:r>
      <w:r w:rsidRPr="002477BC">
        <w:rPr>
          <w:rFonts w:ascii="Arial" w:hAnsi="Arial" w:cs="Arial" w:hint="eastAsia"/>
        </w:rPr>
        <w:t>łó</w:t>
      </w:r>
      <w:r w:rsidRPr="002477BC">
        <w:rPr>
          <w:rFonts w:ascii="Arial" w:hAnsi="Arial" w:cs="Arial"/>
        </w:rPr>
        <w:t>wny Inspektorat Ochrony Ro</w:t>
      </w:r>
      <w:r w:rsidRPr="002477BC">
        <w:rPr>
          <w:rFonts w:ascii="Arial" w:hAnsi="Arial" w:cs="Arial" w:hint="eastAsia"/>
        </w:rPr>
        <w:t>ś</w:t>
      </w:r>
      <w:r w:rsidRPr="002477BC">
        <w:rPr>
          <w:rFonts w:ascii="Arial" w:hAnsi="Arial" w:cs="Arial"/>
        </w:rPr>
        <w:t>lin i Nasiennictwa przekaza</w:t>
      </w:r>
      <w:r w:rsidRPr="002477BC">
        <w:rPr>
          <w:rFonts w:ascii="Arial" w:hAnsi="Arial" w:cs="Arial" w:hint="eastAsia"/>
        </w:rPr>
        <w:t>ł</w:t>
      </w:r>
      <w:r w:rsidRPr="002477BC">
        <w:rPr>
          <w:rFonts w:ascii="Arial" w:hAnsi="Arial" w:cs="Arial"/>
        </w:rPr>
        <w:t xml:space="preserve"> 11 powiadomie</w:t>
      </w:r>
      <w:r w:rsidRPr="002477BC">
        <w:rPr>
          <w:rFonts w:ascii="Arial" w:hAnsi="Arial" w:cs="Arial" w:hint="eastAsia"/>
        </w:rPr>
        <w:t>ń</w:t>
      </w:r>
      <w:r w:rsidRPr="002477BC">
        <w:rPr>
          <w:rFonts w:ascii="Arial" w:hAnsi="Arial" w:cs="Arial"/>
        </w:rPr>
        <w:t xml:space="preserve"> RASFF, kt</w:t>
      </w:r>
      <w:r w:rsidRPr="002477BC">
        <w:rPr>
          <w:rFonts w:ascii="Arial" w:hAnsi="Arial" w:cs="Arial" w:hint="eastAsia"/>
        </w:rPr>
        <w:t>ó</w:t>
      </w:r>
      <w:r w:rsidRPr="002477BC">
        <w:rPr>
          <w:rFonts w:ascii="Arial" w:hAnsi="Arial" w:cs="Arial"/>
        </w:rPr>
        <w:t>re</w:t>
      </w:r>
      <w:r w:rsidR="00594326" w:rsidRPr="002477BC">
        <w:rPr>
          <w:rFonts w:ascii="Arial" w:hAnsi="Arial" w:cs="Arial"/>
        </w:rPr>
        <w:t xml:space="preserve"> </w:t>
      </w:r>
      <w:r w:rsidRPr="002477BC">
        <w:rPr>
          <w:rFonts w:ascii="Arial" w:hAnsi="Arial" w:cs="Arial"/>
        </w:rPr>
        <w:t>dotyczy</w:t>
      </w:r>
      <w:r w:rsidRPr="002477BC">
        <w:rPr>
          <w:rFonts w:ascii="Arial" w:hAnsi="Arial" w:cs="Arial" w:hint="eastAsia"/>
        </w:rPr>
        <w:t>ł</w:t>
      </w:r>
      <w:r w:rsidRPr="002477BC">
        <w:rPr>
          <w:rFonts w:ascii="Arial" w:hAnsi="Arial" w:cs="Arial"/>
        </w:rPr>
        <w:t xml:space="preserve">y: rzepaku (4), gryki (2), buraka </w:t>
      </w:r>
      <w:r w:rsidRPr="002477BC">
        <w:rPr>
          <w:rFonts w:ascii="Arial" w:hAnsi="Arial" w:cs="Arial" w:hint="eastAsia"/>
        </w:rPr>
        <w:t>ć</w:t>
      </w:r>
      <w:r w:rsidRPr="002477BC">
        <w:rPr>
          <w:rFonts w:ascii="Arial" w:hAnsi="Arial" w:cs="Arial"/>
        </w:rPr>
        <w:t>wik</w:t>
      </w:r>
      <w:r w:rsidRPr="002477BC">
        <w:rPr>
          <w:rFonts w:ascii="Arial" w:hAnsi="Arial" w:cs="Arial" w:hint="eastAsia"/>
        </w:rPr>
        <w:t>ł</w:t>
      </w:r>
      <w:r w:rsidRPr="002477BC">
        <w:rPr>
          <w:rFonts w:ascii="Arial" w:hAnsi="Arial" w:cs="Arial"/>
        </w:rPr>
        <w:t>owego (1), jarmu</w:t>
      </w:r>
      <w:r w:rsidRPr="002477BC">
        <w:rPr>
          <w:rFonts w:ascii="Arial" w:hAnsi="Arial" w:cs="Arial" w:hint="eastAsia"/>
        </w:rPr>
        <w:t>ż</w:t>
      </w:r>
      <w:r w:rsidRPr="002477BC">
        <w:rPr>
          <w:rFonts w:ascii="Arial" w:hAnsi="Arial" w:cs="Arial"/>
        </w:rPr>
        <w:t>u (1), j</w:t>
      </w:r>
      <w:r w:rsidRPr="002477BC">
        <w:rPr>
          <w:rFonts w:ascii="Arial" w:hAnsi="Arial" w:cs="Arial" w:hint="eastAsia"/>
        </w:rPr>
        <w:t>ę</w:t>
      </w:r>
      <w:r w:rsidRPr="002477BC">
        <w:rPr>
          <w:rFonts w:ascii="Arial" w:hAnsi="Arial" w:cs="Arial"/>
        </w:rPr>
        <w:t>czmienia (1), mieszanki</w:t>
      </w:r>
      <w:r w:rsidR="00594326" w:rsidRPr="002477BC">
        <w:rPr>
          <w:rFonts w:ascii="Arial" w:hAnsi="Arial" w:cs="Arial"/>
        </w:rPr>
        <w:t xml:space="preserve"> </w:t>
      </w:r>
      <w:r w:rsidRPr="002477BC">
        <w:rPr>
          <w:rFonts w:ascii="Arial" w:hAnsi="Arial" w:cs="Arial"/>
        </w:rPr>
        <w:t>zbo</w:t>
      </w:r>
      <w:r w:rsidRPr="002477BC">
        <w:rPr>
          <w:rFonts w:ascii="Arial" w:hAnsi="Arial" w:cs="Arial" w:hint="eastAsia"/>
        </w:rPr>
        <w:t>ż</w:t>
      </w:r>
      <w:r w:rsidRPr="002477BC">
        <w:rPr>
          <w:rFonts w:ascii="Arial" w:hAnsi="Arial" w:cs="Arial"/>
        </w:rPr>
        <w:t>owej (1) oraz pszenicy (1).</w:t>
      </w:r>
    </w:p>
    <w:p w14:paraId="697A8163" w14:textId="62EA7E4E" w:rsidR="00A52FBA" w:rsidRPr="00295467" w:rsidRDefault="00295467" w:rsidP="00A52FBA">
      <w:pPr>
        <w:pStyle w:val="NormalnyWeb"/>
        <w:tabs>
          <w:tab w:val="left" w:pos="284"/>
        </w:tabs>
        <w:spacing w:beforeAutospacing="0" w:after="120" w:afterAutospacing="0" w:line="360" w:lineRule="auto"/>
        <w:ind w:firstLine="284"/>
        <w:jc w:val="both"/>
        <w:rPr>
          <w:rFonts w:ascii="Arial" w:hAnsi="Arial" w:cs="Arial"/>
        </w:rPr>
      </w:pPr>
      <w:r w:rsidRPr="00593E71">
        <w:rPr>
          <w:rFonts w:ascii="Arial" w:hAnsi="Arial" w:cs="Arial"/>
          <w:b/>
        </w:rPr>
        <w:t>W 2021 r.</w:t>
      </w:r>
      <w:r w:rsidRPr="00295467">
        <w:rPr>
          <w:rFonts w:ascii="Arial" w:hAnsi="Arial" w:cs="Arial"/>
        </w:rPr>
        <w:t xml:space="preserve">, w ramach urzędowej kontroli prawidłowości stosowania środków ochrony roślin pobrano </w:t>
      </w:r>
      <w:r w:rsidRPr="00295467">
        <w:rPr>
          <w:rFonts w:ascii="Arial" w:hAnsi="Arial" w:cs="Arial"/>
        </w:rPr>
        <w:lastRenderedPageBreak/>
        <w:t>zgodnie z harmonogramem 3</w:t>
      </w:r>
      <w:r>
        <w:rPr>
          <w:rFonts w:ascii="Arial" w:hAnsi="Arial" w:cs="Arial"/>
        </w:rPr>
        <w:t> </w:t>
      </w:r>
      <w:r w:rsidRPr="00295467">
        <w:rPr>
          <w:rFonts w:ascii="Arial" w:hAnsi="Arial" w:cs="Arial"/>
        </w:rPr>
        <w:t>844 próbek roślin, w celu przebadania ich pod kątem obecności pozostałości środków ochrony roślin. Badania prowadzone były w Centralnym Laboratorium Głównego Inspektoratu Ochrony Roślin i Nasiennictwa</w:t>
      </w:r>
      <w:r>
        <w:rPr>
          <w:rFonts w:ascii="Arial" w:hAnsi="Arial" w:cs="Arial"/>
        </w:rPr>
        <w:t xml:space="preserve"> </w:t>
      </w:r>
      <w:r w:rsidRPr="00295467">
        <w:rPr>
          <w:rFonts w:ascii="Arial" w:hAnsi="Arial" w:cs="Arial"/>
        </w:rPr>
        <w:t>w Toruniu, w laboratoriach Instytutu Ochrony Roślin – PIB w Poznaniu, Białymstoku i w Sośnicowicach oraz w laboratorium Zakładu Badania Bezpieczeństwa Żywności w Instytucie Ogrodnictwa – PIB w Skierniewicach.</w:t>
      </w:r>
      <w:r>
        <w:rPr>
          <w:rFonts w:ascii="Arial" w:hAnsi="Arial" w:cs="Arial"/>
        </w:rPr>
        <w:t xml:space="preserve"> W</w:t>
      </w:r>
      <w:r w:rsidRPr="00295467">
        <w:rPr>
          <w:rFonts w:ascii="Arial" w:hAnsi="Arial" w:cs="Arial"/>
        </w:rPr>
        <w:t xml:space="preserve"> kontroli przebadano m.in. 954 próbek owoców i 1 771 próbek warzyw. 2 059 (53,6%) nie zawierało pozostałości środków ochrony roślin</w:t>
      </w:r>
      <w:r w:rsidR="00A52FBA">
        <w:rPr>
          <w:rFonts w:ascii="Arial" w:hAnsi="Arial" w:cs="Arial"/>
        </w:rPr>
        <w:t>, w </w:t>
      </w:r>
      <w:r w:rsidRPr="00295467">
        <w:rPr>
          <w:rFonts w:ascii="Arial" w:hAnsi="Arial" w:cs="Arial"/>
        </w:rPr>
        <w:t>1</w:t>
      </w:r>
      <w:r w:rsidR="00A52FBA">
        <w:rPr>
          <w:rFonts w:ascii="Arial" w:hAnsi="Arial" w:cs="Arial"/>
        </w:rPr>
        <w:t> </w:t>
      </w:r>
      <w:r w:rsidRPr="00295467">
        <w:rPr>
          <w:rFonts w:ascii="Arial" w:hAnsi="Arial" w:cs="Arial"/>
        </w:rPr>
        <w:t xml:space="preserve">705 próbkach (44,4%) wykryto pozostałości pozostające poniżej najwyższych dopuszczalnych poziomów pozostałości (NDP) środków ochrony roślin. </w:t>
      </w:r>
      <w:r w:rsidR="00A52FBA" w:rsidRPr="00295467">
        <w:rPr>
          <w:rFonts w:ascii="Arial" w:hAnsi="Arial" w:cs="Arial"/>
        </w:rPr>
        <w:t>W 419 próbkach (11%) stwierdzono obecność substancji czynnych niedozwolonych do stosowania w danej uprawie.</w:t>
      </w:r>
    </w:p>
    <w:p w14:paraId="19ADAEE8" w14:textId="6598B656" w:rsidR="00295467" w:rsidRPr="00295467" w:rsidRDefault="00D53055" w:rsidP="00295467">
      <w:pPr>
        <w:pStyle w:val="NormalnyWeb"/>
        <w:tabs>
          <w:tab w:val="left" w:pos="284"/>
        </w:tabs>
        <w:spacing w:beforeAutospacing="0" w:after="120" w:afterAutospacing="0" w:line="360" w:lineRule="auto"/>
        <w:ind w:firstLine="284"/>
        <w:jc w:val="both"/>
        <w:rPr>
          <w:rFonts w:ascii="Arial" w:hAnsi="Arial" w:cs="Arial"/>
        </w:rPr>
      </w:pPr>
      <w:r w:rsidRPr="00D53055">
        <w:rPr>
          <w:rFonts w:ascii="Arial" w:hAnsi="Arial" w:cs="Arial"/>
        </w:rPr>
        <w:t xml:space="preserve">Łącznie, na 3 </w:t>
      </w:r>
      <w:r>
        <w:rPr>
          <w:rFonts w:ascii="Arial" w:hAnsi="Arial" w:cs="Arial"/>
        </w:rPr>
        <w:t>844</w:t>
      </w:r>
      <w:r w:rsidRPr="00D53055">
        <w:rPr>
          <w:rFonts w:ascii="Arial" w:hAnsi="Arial" w:cs="Arial"/>
        </w:rPr>
        <w:t xml:space="preserve"> przebadane próbki</w:t>
      </w:r>
      <w:r w:rsidRPr="00593E71">
        <w:rPr>
          <w:rFonts w:ascii="Arial" w:hAnsi="Arial" w:cs="Arial"/>
          <w:b/>
        </w:rPr>
        <w:t>, przekroczenia najwyższych dopuszczalnych poziomów (NDP) zastosowanych środków ochrony roślin stwierdzono w 80 próbkach (2%).</w:t>
      </w:r>
      <w:r w:rsidRPr="00D53055">
        <w:rPr>
          <w:rFonts w:ascii="Arial" w:hAnsi="Arial" w:cs="Arial"/>
        </w:rPr>
        <w:t xml:space="preserve"> </w:t>
      </w:r>
    </w:p>
    <w:p w14:paraId="401B7490" w14:textId="3F43C5B3" w:rsidR="00295467" w:rsidRPr="00295467" w:rsidRDefault="00295467" w:rsidP="00295467">
      <w:pPr>
        <w:pStyle w:val="NormalnyWeb"/>
        <w:tabs>
          <w:tab w:val="left" w:pos="284"/>
        </w:tabs>
        <w:spacing w:beforeAutospacing="0" w:after="120" w:afterAutospacing="0" w:line="360" w:lineRule="auto"/>
        <w:ind w:firstLine="284"/>
        <w:jc w:val="both"/>
        <w:rPr>
          <w:rFonts w:ascii="Arial" w:hAnsi="Arial" w:cs="Arial"/>
        </w:rPr>
      </w:pPr>
      <w:r w:rsidRPr="00295467">
        <w:rPr>
          <w:rFonts w:ascii="Arial" w:hAnsi="Arial" w:cs="Arial"/>
        </w:rPr>
        <w:t>Przekroczenia NDP stwierdzono w: agreście, czereśni, czosnku, gryce, kminku zwyczajnym, koprze, lnie, malinach, ogórkach spod osłon, papryce, pietruszce, pomidorze gruntowym oraz spod osłon, pszenicy, rzepaku, rzodkiewce, sałacie, selerze, truskawce i życie.</w:t>
      </w:r>
    </w:p>
    <w:p w14:paraId="4CC36D8C" w14:textId="218B0CC7" w:rsidR="00295467" w:rsidRPr="00295467" w:rsidRDefault="00295467" w:rsidP="00295467">
      <w:pPr>
        <w:pStyle w:val="NormalnyWeb"/>
        <w:tabs>
          <w:tab w:val="left" w:pos="284"/>
        </w:tabs>
        <w:spacing w:beforeAutospacing="0" w:after="120" w:afterAutospacing="0" w:line="360" w:lineRule="auto"/>
        <w:ind w:firstLine="284"/>
        <w:jc w:val="both"/>
        <w:rPr>
          <w:rFonts w:ascii="Arial" w:hAnsi="Arial" w:cs="Arial"/>
        </w:rPr>
      </w:pPr>
      <w:r w:rsidRPr="00295467">
        <w:rPr>
          <w:rFonts w:ascii="Arial" w:hAnsi="Arial" w:cs="Arial"/>
        </w:rPr>
        <w:t xml:space="preserve">Substancje czynne, które wykrywano w ww. uprawach z przekroczeniami NDP, to m.in.: </w:t>
      </w:r>
      <w:proofErr w:type="spellStart"/>
      <w:r w:rsidRPr="00295467">
        <w:rPr>
          <w:rFonts w:ascii="Arial" w:hAnsi="Arial" w:cs="Arial"/>
        </w:rPr>
        <w:t>bifentryna</w:t>
      </w:r>
      <w:proofErr w:type="spellEnd"/>
      <w:r w:rsidRPr="00295467">
        <w:rPr>
          <w:rFonts w:ascii="Arial" w:hAnsi="Arial" w:cs="Arial"/>
        </w:rPr>
        <w:t xml:space="preserve">, </w:t>
      </w:r>
      <w:proofErr w:type="spellStart"/>
      <w:r w:rsidRPr="00295467">
        <w:rPr>
          <w:rFonts w:ascii="Arial" w:hAnsi="Arial" w:cs="Arial"/>
        </w:rPr>
        <w:t>chloropiryfos</w:t>
      </w:r>
      <w:proofErr w:type="spellEnd"/>
      <w:r w:rsidRPr="00295467">
        <w:rPr>
          <w:rFonts w:ascii="Arial" w:hAnsi="Arial" w:cs="Arial"/>
        </w:rPr>
        <w:t xml:space="preserve">, </w:t>
      </w:r>
      <w:proofErr w:type="spellStart"/>
      <w:r w:rsidRPr="00295467">
        <w:rPr>
          <w:rFonts w:ascii="Arial" w:hAnsi="Arial" w:cs="Arial"/>
        </w:rPr>
        <w:t>chlorotalonil</w:t>
      </w:r>
      <w:proofErr w:type="spellEnd"/>
      <w:r w:rsidRPr="00295467">
        <w:rPr>
          <w:rFonts w:ascii="Arial" w:hAnsi="Arial" w:cs="Arial"/>
        </w:rPr>
        <w:t xml:space="preserve">, </w:t>
      </w:r>
      <w:proofErr w:type="spellStart"/>
      <w:r w:rsidRPr="00295467">
        <w:rPr>
          <w:rFonts w:ascii="Arial" w:hAnsi="Arial" w:cs="Arial"/>
        </w:rPr>
        <w:t>dimetomorf</w:t>
      </w:r>
      <w:proofErr w:type="spellEnd"/>
      <w:r w:rsidRPr="00295467">
        <w:rPr>
          <w:rFonts w:ascii="Arial" w:hAnsi="Arial" w:cs="Arial"/>
        </w:rPr>
        <w:t xml:space="preserve">, </w:t>
      </w:r>
      <w:proofErr w:type="spellStart"/>
      <w:r w:rsidRPr="00295467">
        <w:rPr>
          <w:rFonts w:ascii="Arial" w:hAnsi="Arial" w:cs="Arial"/>
        </w:rPr>
        <w:t>difenokonazol</w:t>
      </w:r>
      <w:proofErr w:type="spellEnd"/>
      <w:r w:rsidRPr="00295467">
        <w:rPr>
          <w:rFonts w:ascii="Arial" w:hAnsi="Arial" w:cs="Arial"/>
        </w:rPr>
        <w:t xml:space="preserve">, </w:t>
      </w:r>
      <w:proofErr w:type="spellStart"/>
      <w:r w:rsidRPr="00295467">
        <w:rPr>
          <w:rFonts w:ascii="Arial" w:hAnsi="Arial" w:cs="Arial"/>
        </w:rPr>
        <w:t>fenwalerat</w:t>
      </w:r>
      <w:proofErr w:type="spellEnd"/>
      <w:r w:rsidRPr="00295467">
        <w:rPr>
          <w:rFonts w:ascii="Arial" w:hAnsi="Arial" w:cs="Arial"/>
        </w:rPr>
        <w:t xml:space="preserve">, </w:t>
      </w:r>
      <w:proofErr w:type="spellStart"/>
      <w:r w:rsidRPr="00295467">
        <w:rPr>
          <w:rFonts w:ascii="Arial" w:hAnsi="Arial" w:cs="Arial"/>
        </w:rPr>
        <w:t>fenpropidyna</w:t>
      </w:r>
      <w:proofErr w:type="spellEnd"/>
      <w:r w:rsidRPr="00295467">
        <w:rPr>
          <w:rFonts w:ascii="Arial" w:hAnsi="Arial" w:cs="Arial"/>
        </w:rPr>
        <w:t xml:space="preserve">, </w:t>
      </w:r>
      <w:proofErr w:type="spellStart"/>
      <w:r w:rsidRPr="00295467">
        <w:rPr>
          <w:rFonts w:ascii="Arial" w:hAnsi="Arial" w:cs="Arial"/>
        </w:rPr>
        <w:t>fluopikolid</w:t>
      </w:r>
      <w:proofErr w:type="spellEnd"/>
      <w:r w:rsidRPr="00295467">
        <w:rPr>
          <w:rFonts w:ascii="Arial" w:hAnsi="Arial" w:cs="Arial"/>
        </w:rPr>
        <w:t xml:space="preserve">, </w:t>
      </w:r>
      <w:proofErr w:type="spellStart"/>
      <w:r w:rsidRPr="00295467">
        <w:rPr>
          <w:rFonts w:ascii="Arial" w:hAnsi="Arial" w:cs="Arial"/>
        </w:rPr>
        <w:t>karbendazym</w:t>
      </w:r>
      <w:proofErr w:type="spellEnd"/>
      <w:r w:rsidRPr="00295467">
        <w:rPr>
          <w:rFonts w:ascii="Arial" w:hAnsi="Arial" w:cs="Arial"/>
        </w:rPr>
        <w:t xml:space="preserve">, </w:t>
      </w:r>
      <w:proofErr w:type="spellStart"/>
      <w:r w:rsidRPr="00295467">
        <w:rPr>
          <w:rFonts w:ascii="Arial" w:hAnsi="Arial" w:cs="Arial"/>
        </w:rPr>
        <w:t>propamokarb</w:t>
      </w:r>
      <w:proofErr w:type="spellEnd"/>
      <w:r w:rsidRPr="00295467">
        <w:rPr>
          <w:rFonts w:ascii="Arial" w:hAnsi="Arial" w:cs="Arial"/>
        </w:rPr>
        <w:t xml:space="preserve">, </w:t>
      </w:r>
      <w:proofErr w:type="spellStart"/>
      <w:r w:rsidRPr="00295467">
        <w:rPr>
          <w:rFonts w:ascii="Arial" w:hAnsi="Arial" w:cs="Arial"/>
        </w:rPr>
        <w:t>tiofanat</w:t>
      </w:r>
      <w:proofErr w:type="spellEnd"/>
      <w:r w:rsidRPr="00295467">
        <w:rPr>
          <w:rFonts w:ascii="Arial" w:hAnsi="Arial" w:cs="Arial"/>
        </w:rPr>
        <w:t xml:space="preserve"> metylu, </w:t>
      </w:r>
      <w:proofErr w:type="spellStart"/>
      <w:r w:rsidRPr="00295467">
        <w:rPr>
          <w:rFonts w:ascii="Arial" w:hAnsi="Arial" w:cs="Arial"/>
        </w:rPr>
        <w:t>tebukonazol</w:t>
      </w:r>
      <w:proofErr w:type="spellEnd"/>
      <w:r w:rsidRPr="00295467">
        <w:rPr>
          <w:rFonts w:ascii="Arial" w:hAnsi="Arial" w:cs="Arial"/>
        </w:rPr>
        <w:t>.</w:t>
      </w:r>
    </w:p>
    <w:p w14:paraId="23997BD9" w14:textId="3452BBD9" w:rsidR="00156128" w:rsidRDefault="00295467" w:rsidP="00295467">
      <w:pPr>
        <w:pStyle w:val="NormalnyWeb"/>
        <w:tabs>
          <w:tab w:val="left" w:pos="284"/>
        </w:tabs>
        <w:spacing w:beforeAutospacing="0" w:after="120" w:afterAutospacing="0" w:line="360" w:lineRule="auto"/>
        <w:ind w:firstLine="284"/>
        <w:jc w:val="both"/>
        <w:rPr>
          <w:rFonts w:ascii="Arial" w:hAnsi="Arial" w:cs="Arial"/>
        </w:rPr>
      </w:pPr>
      <w:r w:rsidRPr="00295467">
        <w:rPr>
          <w:rFonts w:ascii="Arial" w:hAnsi="Arial" w:cs="Arial"/>
        </w:rPr>
        <w:t xml:space="preserve">Przypadki przekroczeń najwyższych dopuszczalnych poziomów pozostałości w próbkach spełniających kryteria żywności objęte były procedurą powiadamiania zgodnie z Systemem Wczesnego Ostrzegania o Niebezpiecznej Żywności i Paszach – RASFF. W 2021 r. Główny Inspektorat Ochrony Roślin i Nasiennictwa przekazał 14 powiadomień RASFF, które dotyczyły: kopru ogrodowego (3), rzepaku (2), żyta (2), buraka ćwikłowego (1), </w:t>
      </w:r>
      <w:proofErr w:type="spellStart"/>
      <w:r w:rsidRPr="00295467">
        <w:rPr>
          <w:rFonts w:ascii="Arial" w:hAnsi="Arial" w:cs="Arial"/>
        </w:rPr>
        <w:t>brokuła</w:t>
      </w:r>
      <w:proofErr w:type="spellEnd"/>
      <w:r w:rsidRPr="00295467">
        <w:rPr>
          <w:rFonts w:ascii="Arial" w:hAnsi="Arial" w:cs="Arial"/>
        </w:rPr>
        <w:t xml:space="preserve"> (1), czereśni (1), kminku (1), naci pietruszki (1), papryki (1) oraz pszenicy (1)</w:t>
      </w:r>
    </w:p>
    <w:p w14:paraId="7E311753" w14:textId="77777777" w:rsidR="00056846" w:rsidRPr="00925BCD" w:rsidRDefault="00E54725">
      <w:pPr>
        <w:pStyle w:val="Nagwek1"/>
        <w:numPr>
          <w:ilvl w:val="1"/>
          <w:numId w:val="9"/>
        </w:numPr>
        <w:tabs>
          <w:tab w:val="left" w:pos="284"/>
        </w:tabs>
        <w:ind w:left="426" w:hanging="426"/>
        <w:jc w:val="both"/>
        <w:rPr>
          <w:i w:val="0"/>
          <w:sz w:val="22"/>
          <w:szCs w:val="22"/>
        </w:rPr>
      </w:pPr>
      <w:bookmarkStart w:id="133" w:name="_Toc134099295"/>
      <w:r w:rsidRPr="00925BCD">
        <w:rPr>
          <w:i w:val="0"/>
          <w:sz w:val="22"/>
          <w:szCs w:val="22"/>
        </w:rPr>
        <w:t>Mierniki służące monitorowaniu</w:t>
      </w:r>
      <w:bookmarkEnd w:id="133"/>
    </w:p>
    <w:p w14:paraId="3C58B4E1" w14:textId="17D76B93" w:rsidR="00056846" w:rsidRDefault="00E54725" w:rsidP="00A131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Ze względu na charakter działania, mającego na celu zwiększenie efektywności innych działań ujętych w krajowym planie działania, nie zostały wyodrębnione do oceny jego realizacji indywidualne mierniki.</w:t>
      </w:r>
    </w:p>
    <w:p w14:paraId="3E46A93D" w14:textId="77777777" w:rsidR="002C2375" w:rsidRPr="00925BCD" w:rsidRDefault="002C2375" w:rsidP="00A1314F">
      <w:pPr>
        <w:pStyle w:val="NormalnyWeb"/>
        <w:tabs>
          <w:tab w:val="left" w:pos="284"/>
        </w:tabs>
        <w:spacing w:beforeAutospacing="0" w:after="120" w:afterAutospacing="0" w:line="360" w:lineRule="auto"/>
        <w:ind w:firstLine="284"/>
        <w:jc w:val="both"/>
        <w:rPr>
          <w:rFonts w:ascii="Arial" w:hAnsi="Arial" w:cs="Arial"/>
        </w:rPr>
      </w:pPr>
    </w:p>
    <w:p w14:paraId="321FE8FE" w14:textId="77777777" w:rsidR="00056846" w:rsidRPr="00925BCD" w:rsidRDefault="00E54725">
      <w:pPr>
        <w:pStyle w:val="Nagwek1"/>
        <w:numPr>
          <w:ilvl w:val="0"/>
          <w:numId w:val="9"/>
        </w:numPr>
        <w:jc w:val="both"/>
        <w:rPr>
          <w:i w:val="0"/>
          <w:sz w:val="22"/>
          <w:szCs w:val="22"/>
        </w:rPr>
      </w:pPr>
      <w:bookmarkStart w:id="134" w:name="_Toc341876082"/>
      <w:bookmarkStart w:id="135" w:name="_Toc134099296"/>
      <w:r w:rsidRPr="00925BCD">
        <w:rPr>
          <w:i w:val="0"/>
          <w:sz w:val="22"/>
          <w:szCs w:val="22"/>
        </w:rPr>
        <w:t>Działanie 13. Optymalizacja ochrony upraw małoobszarowych i ekologicznych</w:t>
      </w:r>
      <w:bookmarkEnd w:id="135"/>
      <w:r w:rsidRPr="00925BCD">
        <w:rPr>
          <w:i w:val="0"/>
          <w:sz w:val="22"/>
          <w:szCs w:val="22"/>
        </w:rPr>
        <w:t xml:space="preserve"> </w:t>
      </w:r>
      <w:bookmarkEnd w:id="134"/>
    </w:p>
    <w:p w14:paraId="0D3A162B"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Ochrona roślin o niskim zużyciu preparatów chemicznych obejmuje integrowaną ochronę roślin oraz rolnictwo ekologiczne.</w:t>
      </w:r>
    </w:p>
    <w:p w14:paraId="08712473"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Wdrożenie zasad integrowanej ochrony roślin wymaga zapewnienia producentom rolnym odpowiednich narzędzi, w tym także środków zawierających substancje czynne zakwalifikowane do grupy niskiego ryzyka, a także substancje dopuszczone do stosowania w uprawach ekologicznych, które minimalizują ryzyko negatywnego wpływu na środowisko.</w:t>
      </w:r>
    </w:p>
    <w:p w14:paraId="7790056C"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Dobór środków ochrony roślin powinien nie tylko zapewniać możliwość ochrony poszczególnych </w:t>
      </w:r>
      <w:r w:rsidRPr="00925BCD">
        <w:rPr>
          <w:rFonts w:ascii="Arial" w:hAnsi="Arial" w:cs="Arial"/>
        </w:rPr>
        <w:lastRenderedPageBreak/>
        <w:t xml:space="preserve">upraw, ale także przemienne stosowanie środków ochrony roślin zawierających różne substancje czynne. Obok chemicznych środków ochrony roślin producenci rolni powinni mieć możliwość sięgnięcia po preparaty biologiczne zawierające mikroorganizmy lub makroorganizmy lub substancje podstawowe. </w:t>
      </w:r>
    </w:p>
    <w:p w14:paraId="6B2D0288"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Brak optymalnej dostępności środków ochrony roślin jest szczególnie widoczny w przypadku rolnictwa ekologicznego, gdzie stosowane mogą być wyłącznie preparaty zawierające określone substancje czynne, a także upraw małoobszarowych. </w:t>
      </w:r>
    </w:p>
    <w:p w14:paraId="38C716D0"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Brak środków ochrony roślin dopuszczonych do stosowania w uprawach małoobszarowych jest przy tym jednym z czynników zwiększających ryzyko naruszeń przepisów dotyczących stosowania tych środków, w tym ich stosowania niezgodnie z etykietą. </w:t>
      </w:r>
    </w:p>
    <w:p w14:paraId="48C309B2"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Przepisy rozporządzenia Parlamentu Europejskiego i Rady (WE) nr 1107/2009 z dnia 21 października 2009 r. dotyczącego wprowadzania do obrotu środków ochrony roślin i uchylającego dyrektywy Rady 79/117/EWG i 91/414/EWG (Dz. Urz. UE L 309 z 24.11.2009, str. 1, z późn. zm.), przewidują w procedurach dopuszczania środków ochrony roślin do obrotu możliwość wykorzystania takich mechanizmów jak rejestracja strefowa, wzajemne uznawanie zezwoleń (w tym także na zastosowania małoobszarowe), czy też rozszerzenie zakresu zezwoleń na zastosowania małoobszarowe. W 2018 r. wydano 76 takich rozszerzeń.</w:t>
      </w:r>
    </w:p>
    <w:p w14:paraId="31E65859" w14:textId="797178FA" w:rsidR="009B57E0" w:rsidRPr="00CC5DFC"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2011 r. </w:t>
      </w:r>
      <w:r w:rsidRPr="00925BCD">
        <w:rPr>
          <w:rFonts w:ascii="Arial" w:hAnsi="Arial" w:cs="Arial"/>
          <w:b/>
        </w:rPr>
        <w:t>Instytut Ochrony Roślin – PIB</w:t>
      </w:r>
      <w:r w:rsidRPr="00925BCD">
        <w:rPr>
          <w:rFonts w:ascii="Arial" w:hAnsi="Arial" w:cs="Arial"/>
        </w:rPr>
        <w:t xml:space="preserve"> rozpoczął realizację zadania: „Analiza możliwości kompleksowej ochrony wybranych upraw małoobszarowych”, w ramach programu wieloletniego pod nazwą „Ochrona roślin uprawnych z uwzględnieniem bezpieczeństwa żywności oraz ograniczenia strat w plonach i zagrożeń dla zdrowia ludzi, zwierząt domowych i środowiska”. Celem zadania było stworzenie kompleksowych programów ochrony wybranych rolniczych upraw małoobszarowych, w tym roślin energetycznych, dla których brak było w Polsce skutecznych metod ochrony. W 2018 r. badania dotyczyły upraw małoobszarowych takich jak: łubin biały (</w:t>
      </w:r>
      <w:proofErr w:type="spellStart"/>
      <w:r w:rsidRPr="00925BCD">
        <w:rPr>
          <w:rFonts w:ascii="Arial" w:hAnsi="Arial" w:cs="Arial"/>
        </w:rPr>
        <w:t>Lupinus</w:t>
      </w:r>
      <w:proofErr w:type="spellEnd"/>
      <w:r w:rsidRPr="00925BCD">
        <w:rPr>
          <w:rFonts w:ascii="Arial" w:hAnsi="Arial" w:cs="Arial"/>
        </w:rPr>
        <w:t xml:space="preserve"> </w:t>
      </w:r>
      <w:proofErr w:type="spellStart"/>
      <w:r w:rsidRPr="00925BCD">
        <w:rPr>
          <w:rFonts w:ascii="Arial" w:hAnsi="Arial" w:cs="Arial"/>
        </w:rPr>
        <w:t>albus</w:t>
      </w:r>
      <w:proofErr w:type="spellEnd"/>
      <w:r w:rsidRPr="00925BCD">
        <w:rPr>
          <w:rFonts w:ascii="Arial" w:hAnsi="Arial" w:cs="Arial"/>
        </w:rPr>
        <w:t xml:space="preserve"> L.), łubin wąskolistny (</w:t>
      </w:r>
      <w:proofErr w:type="spellStart"/>
      <w:r w:rsidRPr="00925BCD">
        <w:rPr>
          <w:rFonts w:ascii="Arial" w:hAnsi="Arial" w:cs="Arial"/>
        </w:rPr>
        <w:t>Lupinus</w:t>
      </w:r>
      <w:proofErr w:type="spellEnd"/>
      <w:r w:rsidRPr="00925BCD">
        <w:rPr>
          <w:rFonts w:ascii="Arial" w:hAnsi="Arial" w:cs="Arial"/>
        </w:rPr>
        <w:t xml:space="preserve"> </w:t>
      </w:r>
      <w:proofErr w:type="spellStart"/>
      <w:r w:rsidRPr="00925BCD">
        <w:rPr>
          <w:rFonts w:ascii="Arial" w:hAnsi="Arial" w:cs="Arial"/>
        </w:rPr>
        <w:t>angustifolius</w:t>
      </w:r>
      <w:proofErr w:type="spellEnd"/>
      <w:r w:rsidRPr="00925BCD">
        <w:rPr>
          <w:rFonts w:ascii="Arial" w:hAnsi="Arial" w:cs="Arial"/>
        </w:rPr>
        <w:t xml:space="preserve"> L.), łubin żółty (</w:t>
      </w:r>
      <w:proofErr w:type="spellStart"/>
      <w:r w:rsidRPr="00925BCD">
        <w:rPr>
          <w:rFonts w:ascii="Arial" w:hAnsi="Arial" w:cs="Arial"/>
        </w:rPr>
        <w:t>Lupinus</w:t>
      </w:r>
      <w:proofErr w:type="spellEnd"/>
      <w:r w:rsidRPr="00925BCD">
        <w:rPr>
          <w:rFonts w:ascii="Arial" w:hAnsi="Arial" w:cs="Arial"/>
        </w:rPr>
        <w:t xml:space="preserve"> </w:t>
      </w:r>
      <w:proofErr w:type="spellStart"/>
      <w:r w:rsidRPr="00925BCD">
        <w:rPr>
          <w:rFonts w:ascii="Arial" w:hAnsi="Arial" w:cs="Arial"/>
        </w:rPr>
        <w:t>luteus</w:t>
      </w:r>
      <w:proofErr w:type="spellEnd"/>
      <w:r w:rsidRPr="00925BCD">
        <w:rPr>
          <w:rFonts w:ascii="Arial" w:hAnsi="Arial" w:cs="Arial"/>
        </w:rPr>
        <w:t xml:space="preserve"> L.) oraz wybranych gatunków traw nasiennych: kostrzewa czerwona (</w:t>
      </w:r>
      <w:proofErr w:type="spellStart"/>
      <w:r w:rsidRPr="00925BCD">
        <w:rPr>
          <w:rFonts w:ascii="Arial" w:hAnsi="Arial" w:cs="Arial"/>
        </w:rPr>
        <w:t>Festuca</w:t>
      </w:r>
      <w:proofErr w:type="spellEnd"/>
      <w:r w:rsidRPr="00925BCD">
        <w:rPr>
          <w:rFonts w:ascii="Arial" w:hAnsi="Arial" w:cs="Arial"/>
        </w:rPr>
        <w:t xml:space="preserve"> rubra L), wiechlina </w:t>
      </w:r>
      <w:r w:rsidRPr="00CC5DFC">
        <w:rPr>
          <w:rFonts w:ascii="Arial" w:hAnsi="Arial" w:cs="Arial"/>
        </w:rPr>
        <w:t>łąkowa (</w:t>
      </w:r>
      <w:proofErr w:type="spellStart"/>
      <w:r w:rsidRPr="00CC5DFC">
        <w:rPr>
          <w:rFonts w:ascii="Arial" w:hAnsi="Arial" w:cs="Arial"/>
        </w:rPr>
        <w:t>Poa</w:t>
      </w:r>
      <w:proofErr w:type="spellEnd"/>
      <w:r w:rsidRPr="00CC5DFC">
        <w:rPr>
          <w:rFonts w:ascii="Arial" w:hAnsi="Arial" w:cs="Arial"/>
        </w:rPr>
        <w:t xml:space="preserve"> </w:t>
      </w:r>
      <w:proofErr w:type="spellStart"/>
      <w:r w:rsidRPr="00CC5DFC">
        <w:rPr>
          <w:rFonts w:ascii="Arial" w:hAnsi="Arial" w:cs="Arial"/>
        </w:rPr>
        <w:t>pratensis</w:t>
      </w:r>
      <w:proofErr w:type="spellEnd"/>
      <w:r w:rsidRPr="00CC5DFC">
        <w:rPr>
          <w:rFonts w:ascii="Arial" w:hAnsi="Arial" w:cs="Arial"/>
        </w:rPr>
        <w:t xml:space="preserve"> L), życica wielokwiatowa (</w:t>
      </w:r>
      <w:proofErr w:type="spellStart"/>
      <w:r w:rsidRPr="00CC5DFC">
        <w:rPr>
          <w:rFonts w:ascii="Arial" w:hAnsi="Arial" w:cs="Arial"/>
        </w:rPr>
        <w:t>Lolium</w:t>
      </w:r>
      <w:proofErr w:type="spellEnd"/>
      <w:r w:rsidRPr="00CC5DFC">
        <w:rPr>
          <w:rFonts w:ascii="Arial" w:hAnsi="Arial" w:cs="Arial"/>
        </w:rPr>
        <w:t xml:space="preserve"> </w:t>
      </w:r>
      <w:proofErr w:type="spellStart"/>
      <w:r w:rsidRPr="00CC5DFC">
        <w:rPr>
          <w:rFonts w:ascii="Arial" w:hAnsi="Arial" w:cs="Arial"/>
        </w:rPr>
        <w:t>multiflorum</w:t>
      </w:r>
      <w:proofErr w:type="spellEnd"/>
      <w:r w:rsidRPr="00CC5DFC">
        <w:rPr>
          <w:rFonts w:ascii="Arial" w:hAnsi="Arial" w:cs="Arial"/>
        </w:rPr>
        <w:t xml:space="preserve"> Lam.)</w:t>
      </w:r>
      <w:r w:rsidR="00866393" w:rsidRPr="00CC5DFC">
        <w:rPr>
          <w:rFonts w:ascii="Arial" w:hAnsi="Arial" w:cs="Arial"/>
        </w:rPr>
        <w:t>,  w 2019 r. soi (</w:t>
      </w:r>
      <w:proofErr w:type="spellStart"/>
      <w:r w:rsidR="00866393" w:rsidRPr="00CC5DFC">
        <w:rPr>
          <w:rFonts w:ascii="Arial" w:hAnsi="Arial" w:cs="Arial"/>
          <w:i/>
          <w:iCs/>
        </w:rPr>
        <w:t>Glycine</w:t>
      </w:r>
      <w:proofErr w:type="spellEnd"/>
      <w:r w:rsidR="00866393" w:rsidRPr="00CC5DFC">
        <w:rPr>
          <w:rFonts w:ascii="Arial" w:hAnsi="Arial" w:cs="Arial"/>
          <w:i/>
          <w:iCs/>
        </w:rPr>
        <w:t xml:space="preserve"> max </w:t>
      </w:r>
      <w:r w:rsidR="00866393" w:rsidRPr="00CC5DFC">
        <w:rPr>
          <w:rFonts w:ascii="Arial" w:hAnsi="Arial" w:cs="Arial"/>
        </w:rPr>
        <w:t xml:space="preserve">(L.) </w:t>
      </w:r>
      <w:proofErr w:type="spellStart"/>
      <w:r w:rsidR="00866393" w:rsidRPr="00CC5DFC">
        <w:rPr>
          <w:rFonts w:ascii="Arial" w:hAnsi="Arial" w:cs="Arial"/>
        </w:rPr>
        <w:t>Merr</w:t>
      </w:r>
      <w:proofErr w:type="spellEnd"/>
      <w:r w:rsidR="00866393" w:rsidRPr="00CC5DFC">
        <w:rPr>
          <w:rFonts w:ascii="Arial" w:hAnsi="Arial" w:cs="Arial"/>
        </w:rPr>
        <w:t>.) oraz łubinu białego (</w:t>
      </w:r>
      <w:proofErr w:type="spellStart"/>
      <w:r w:rsidR="00866393" w:rsidRPr="00CC5DFC">
        <w:rPr>
          <w:rFonts w:ascii="Arial" w:hAnsi="Arial" w:cs="Arial"/>
          <w:i/>
          <w:iCs/>
        </w:rPr>
        <w:t>Lupinus</w:t>
      </w:r>
      <w:proofErr w:type="spellEnd"/>
      <w:r w:rsidR="00866393" w:rsidRPr="00CC5DFC">
        <w:rPr>
          <w:rFonts w:ascii="Arial" w:hAnsi="Arial" w:cs="Arial"/>
          <w:i/>
          <w:iCs/>
        </w:rPr>
        <w:t xml:space="preserve"> </w:t>
      </w:r>
      <w:proofErr w:type="spellStart"/>
      <w:r w:rsidR="00866393" w:rsidRPr="00CC5DFC">
        <w:rPr>
          <w:rFonts w:ascii="Arial" w:hAnsi="Arial" w:cs="Arial"/>
          <w:i/>
          <w:iCs/>
        </w:rPr>
        <w:t>albus</w:t>
      </w:r>
      <w:proofErr w:type="spellEnd"/>
      <w:r w:rsidR="00866393" w:rsidRPr="00CC5DFC">
        <w:rPr>
          <w:rFonts w:ascii="Arial" w:hAnsi="Arial" w:cs="Arial"/>
        </w:rPr>
        <w:t xml:space="preserve"> L.), łubinu wąskolistnego (</w:t>
      </w:r>
      <w:proofErr w:type="spellStart"/>
      <w:r w:rsidR="00866393" w:rsidRPr="00CC5DFC">
        <w:rPr>
          <w:rFonts w:ascii="Arial" w:hAnsi="Arial" w:cs="Arial"/>
          <w:i/>
          <w:iCs/>
        </w:rPr>
        <w:t>Lupinus</w:t>
      </w:r>
      <w:proofErr w:type="spellEnd"/>
      <w:r w:rsidR="00866393" w:rsidRPr="00CC5DFC">
        <w:rPr>
          <w:rFonts w:ascii="Arial" w:hAnsi="Arial" w:cs="Arial"/>
          <w:i/>
          <w:iCs/>
        </w:rPr>
        <w:t xml:space="preserve"> </w:t>
      </w:r>
      <w:proofErr w:type="spellStart"/>
      <w:r w:rsidR="00866393" w:rsidRPr="00CC5DFC">
        <w:rPr>
          <w:rFonts w:ascii="Arial" w:hAnsi="Arial" w:cs="Arial"/>
          <w:i/>
        </w:rPr>
        <w:t>angustifoliu</w:t>
      </w:r>
      <w:r w:rsidR="00866393" w:rsidRPr="00CC5DFC">
        <w:rPr>
          <w:rFonts w:ascii="Arial" w:hAnsi="Arial" w:cs="Arial"/>
        </w:rPr>
        <w:t>s</w:t>
      </w:r>
      <w:proofErr w:type="spellEnd"/>
      <w:r w:rsidR="00866393" w:rsidRPr="00CC5DFC">
        <w:rPr>
          <w:rFonts w:ascii="Arial" w:hAnsi="Arial" w:cs="Arial"/>
        </w:rPr>
        <w:t xml:space="preserve"> L.) i łubinu żółtego (</w:t>
      </w:r>
      <w:proofErr w:type="spellStart"/>
      <w:r w:rsidR="00866393" w:rsidRPr="00CC5DFC">
        <w:rPr>
          <w:rFonts w:ascii="Arial" w:hAnsi="Arial" w:cs="Arial"/>
          <w:i/>
        </w:rPr>
        <w:t>Lupinus</w:t>
      </w:r>
      <w:proofErr w:type="spellEnd"/>
      <w:r w:rsidR="00866393" w:rsidRPr="00CC5DFC">
        <w:rPr>
          <w:rFonts w:ascii="Arial" w:hAnsi="Arial" w:cs="Arial"/>
          <w:i/>
        </w:rPr>
        <w:t xml:space="preserve"> </w:t>
      </w:r>
      <w:proofErr w:type="spellStart"/>
      <w:r w:rsidR="00866393" w:rsidRPr="00CC5DFC">
        <w:rPr>
          <w:rFonts w:ascii="Arial" w:hAnsi="Arial" w:cs="Arial"/>
          <w:i/>
        </w:rPr>
        <w:t>luteus</w:t>
      </w:r>
      <w:proofErr w:type="spellEnd"/>
      <w:r w:rsidR="00866393" w:rsidRPr="00CC5DFC">
        <w:rPr>
          <w:rFonts w:ascii="Arial" w:hAnsi="Arial" w:cs="Arial"/>
        </w:rPr>
        <w:t xml:space="preserve"> L.)</w:t>
      </w:r>
      <w:r w:rsidR="00EA1380" w:rsidRPr="00CC5DFC">
        <w:rPr>
          <w:rFonts w:ascii="Arial" w:hAnsi="Arial" w:cs="Arial"/>
        </w:rPr>
        <w:t>.</w:t>
      </w:r>
      <w:r w:rsidR="006850FC" w:rsidRPr="00CC5DFC">
        <w:rPr>
          <w:rFonts w:ascii="Arial" w:hAnsi="Arial" w:cs="Arial"/>
        </w:rPr>
        <w:t xml:space="preserve">W </w:t>
      </w:r>
      <w:r w:rsidR="003D1152" w:rsidRPr="00CC5DFC">
        <w:rPr>
          <w:rFonts w:ascii="Arial" w:hAnsi="Arial" w:cs="Arial"/>
        </w:rPr>
        <w:t xml:space="preserve">2020 r. </w:t>
      </w:r>
      <w:r w:rsidR="007C19B1">
        <w:rPr>
          <w:rFonts w:ascii="Arial" w:hAnsi="Arial" w:cs="Arial"/>
        </w:rPr>
        <w:t xml:space="preserve">w Instytucie </w:t>
      </w:r>
      <w:r w:rsidR="009B57E0" w:rsidRPr="00CC5DFC">
        <w:rPr>
          <w:rFonts w:ascii="Arial" w:hAnsi="Arial" w:cs="Arial"/>
        </w:rPr>
        <w:t>o</w:t>
      </w:r>
      <w:r w:rsidR="007C19B1" w:rsidRPr="007C19B1">
        <w:rPr>
          <w:rFonts w:ascii="Arial" w:hAnsi="Arial" w:cs="Arial"/>
        </w:rPr>
        <w:t>pracowan</w:t>
      </w:r>
      <w:r w:rsidR="007C19B1">
        <w:rPr>
          <w:rFonts w:ascii="Arial" w:hAnsi="Arial" w:cs="Arial"/>
        </w:rPr>
        <w:t>o</w:t>
      </w:r>
      <w:r w:rsidR="007C19B1" w:rsidRPr="007C19B1">
        <w:rPr>
          <w:rFonts w:ascii="Arial" w:hAnsi="Arial" w:cs="Arial"/>
        </w:rPr>
        <w:t xml:space="preserve"> zalece</w:t>
      </w:r>
      <w:r w:rsidR="007C19B1">
        <w:rPr>
          <w:rFonts w:ascii="Arial" w:hAnsi="Arial" w:cs="Arial"/>
        </w:rPr>
        <w:t>nia</w:t>
      </w:r>
      <w:r w:rsidR="007C19B1" w:rsidRPr="007C19B1">
        <w:rPr>
          <w:rFonts w:ascii="Arial" w:hAnsi="Arial" w:cs="Arial"/>
        </w:rPr>
        <w:t xml:space="preserve"> i wytyczne do ochrony wybranych upraw małoobszarowych, takich jak: facelia błękitna, seradela, koniczyna czerwona, rzodkiew oleista, lnianka siewna, łubin biały, łubin wąskolistny, łubin żółty.</w:t>
      </w:r>
      <w:r w:rsidR="0089404E">
        <w:rPr>
          <w:rFonts w:ascii="Arial" w:hAnsi="Arial" w:cs="Arial"/>
        </w:rPr>
        <w:t xml:space="preserve"> W 2021r. badanie nie było prowadzone.</w:t>
      </w:r>
    </w:p>
    <w:p w14:paraId="2C690290" w14:textId="697B572A"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2015 r. </w:t>
      </w:r>
      <w:r w:rsidRPr="00925BCD">
        <w:rPr>
          <w:rFonts w:ascii="Arial" w:hAnsi="Arial" w:cs="Arial"/>
          <w:b/>
        </w:rPr>
        <w:t>Instytut Ogrodnictwa</w:t>
      </w:r>
      <w:r w:rsidR="003D1152">
        <w:rPr>
          <w:rFonts w:ascii="Arial" w:hAnsi="Arial" w:cs="Arial"/>
          <w:b/>
        </w:rPr>
        <w:t xml:space="preserve"> – PIB</w:t>
      </w:r>
      <w:r w:rsidRPr="00925BCD">
        <w:rPr>
          <w:rFonts w:ascii="Arial" w:hAnsi="Arial" w:cs="Arial"/>
        </w:rPr>
        <w:t xml:space="preserve"> rozpoczął realizację zadania „Analiza możliwości integrowanej ochrony wybranych roślin ogrodniczych dla upraw małoobszarowych”, w ramach programu wieloletniego pod nazwą „Działania na rzecz poprawy konkurencyjności i innowacyjności sektora ogrodniczego z uwzględnieniem jakości i bezpieczeństwa żywności oraz ochrony środowiska naturalnego” na lata 2015–2020. </w:t>
      </w:r>
      <w:r w:rsidRPr="00861A01">
        <w:rPr>
          <w:rFonts w:ascii="Arial" w:hAnsi="Arial" w:cs="Arial"/>
          <w:b/>
          <w:bCs/>
        </w:rPr>
        <w:t>W 2018 r.</w:t>
      </w:r>
      <w:r w:rsidRPr="00925BCD">
        <w:rPr>
          <w:rFonts w:ascii="Arial" w:hAnsi="Arial" w:cs="Arial"/>
        </w:rPr>
        <w:t xml:space="preserve"> na podstawie etykiet załączonych w bazach i dostępnych w</w:t>
      </w:r>
      <w:r w:rsidR="00866393" w:rsidRPr="00925BCD">
        <w:rPr>
          <w:rFonts w:ascii="Arial" w:hAnsi="Arial" w:cs="Arial"/>
        </w:rPr>
        <w:t> </w:t>
      </w:r>
      <w:r w:rsidRPr="00925BCD">
        <w:rPr>
          <w:rFonts w:ascii="Arial" w:hAnsi="Arial" w:cs="Arial"/>
        </w:rPr>
        <w:t>Internecie programów ochrony upraw ogrodniczych w krajach UE przeanalizowano możliwości ochrony dla:</w:t>
      </w:r>
    </w:p>
    <w:p w14:paraId="539415B8"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 xml:space="preserve">gatunków roślin sadowniczych: opracowano nowe programy ochrony dla 2 gatunków: czereśnia </w:t>
      </w:r>
      <w:r w:rsidRPr="00925BCD">
        <w:rPr>
          <w:rFonts w:ascii="Arial" w:hAnsi="Arial" w:cs="Arial"/>
        </w:rPr>
        <w:lastRenderedPageBreak/>
        <w:t xml:space="preserve">i porzeczka czarna; oraz zaktualizowano programy ochrony dla 5 gatunków: truskawka, malina, borówka wysoka, śliwa, wiśnia; </w:t>
      </w:r>
    </w:p>
    <w:p w14:paraId="731211A7"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gatunków roślin warzywnych: opracowano nowe programy ochrony dla 4 gatunków: bób, burak ćwikłowy, ogórek gruntowy, pomidor szklarniowy oraz zaktualizowano programy ochrony dla 9 gatunków: cebula, fasola, groch, kapusta głowiasta, kapusta pekińska, marchew, pietruszka korzeniowa/naciowa, seler/seler naciowy, pomidor gruntowy.</w:t>
      </w:r>
    </w:p>
    <w:p w14:paraId="173C1D65" w14:textId="77777777" w:rsidR="00056846" w:rsidRPr="00925BCD" w:rsidRDefault="00E54725" w:rsidP="0099131F">
      <w:pPr>
        <w:pStyle w:val="NormalnyWeb"/>
        <w:tabs>
          <w:tab w:val="left" w:pos="284"/>
        </w:tabs>
        <w:spacing w:beforeAutospacing="0" w:after="120" w:afterAutospacing="0" w:line="360" w:lineRule="auto"/>
        <w:ind w:left="567" w:hanging="283"/>
        <w:jc w:val="both"/>
        <w:rPr>
          <w:rFonts w:ascii="Arial" w:hAnsi="Arial" w:cs="Arial"/>
        </w:rPr>
      </w:pPr>
      <w:r w:rsidRPr="0057374A">
        <w:rPr>
          <w:rFonts w:ascii="Arial" w:hAnsi="Arial" w:cs="Arial"/>
          <w:b/>
          <w:bCs/>
        </w:rPr>
        <w:t>W 2019 r</w:t>
      </w:r>
      <w:r w:rsidRPr="00925BCD">
        <w:rPr>
          <w:rFonts w:ascii="Arial" w:hAnsi="Arial" w:cs="Arial"/>
        </w:rPr>
        <w:t>. na podstawie etykiet załączonych w bazach i dostępnych w Internecie programów ochrony upraw ogrodniczych w krajach UE przeanalizowano możliwości ochrony dla:</w:t>
      </w:r>
    </w:p>
    <w:p w14:paraId="78406A8E"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bookmarkStart w:id="136" w:name="_Hlk96082034"/>
      <w:r w:rsidRPr="00925BCD">
        <w:rPr>
          <w:rFonts w:ascii="Arial" w:hAnsi="Arial" w:cs="Arial"/>
        </w:rPr>
        <w:t xml:space="preserve">gatunków roślin sadowniczych: opracowano nowe programy ochrony dla 2 gatunków: agrest, grusza </w:t>
      </w:r>
    </w:p>
    <w:p w14:paraId="5A44B2A2"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 xml:space="preserve">gatunków roślin warzywnych: opracowano nowe programy ochrony dla 4 gatunków: czosnku, kalafiora, pora, i sałaty </w:t>
      </w:r>
    </w:p>
    <w:p w14:paraId="55BC5DFC" w14:textId="77777777" w:rsidR="00812F0B"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 xml:space="preserve">gatunków roślin ozdobnych: opracowano nowe programy ochrony dla 5 gatunków: cyprysika </w:t>
      </w:r>
      <w:proofErr w:type="spellStart"/>
      <w:r w:rsidRPr="00925BCD">
        <w:rPr>
          <w:rFonts w:ascii="Arial" w:hAnsi="Arial" w:cs="Arial"/>
        </w:rPr>
        <w:t>Lawsona</w:t>
      </w:r>
      <w:proofErr w:type="spellEnd"/>
      <w:r w:rsidRPr="00925BCD">
        <w:rPr>
          <w:rFonts w:ascii="Arial" w:hAnsi="Arial" w:cs="Arial"/>
        </w:rPr>
        <w:t xml:space="preserve">, gerbery, pelargonii, róży gruntowej, </w:t>
      </w:r>
      <w:proofErr w:type="spellStart"/>
      <w:r w:rsidRPr="00925BCD">
        <w:rPr>
          <w:rFonts w:ascii="Arial" w:hAnsi="Arial" w:cs="Arial"/>
        </w:rPr>
        <w:t>surfinii</w:t>
      </w:r>
      <w:proofErr w:type="spellEnd"/>
      <w:r w:rsidR="00812F0B">
        <w:rPr>
          <w:rFonts w:ascii="Arial" w:hAnsi="Arial" w:cs="Arial"/>
        </w:rPr>
        <w:t>,</w:t>
      </w:r>
    </w:p>
    <w:bookmarkEnd w:id="136"/>
    <w:p w14:paraId="35F7708B" w14:textId="348624C4" w:rsidR="001306FB" w:rsidRPr="00BB28A0" w:rsidRDefault="00812F0B" w:rsidP="001306FB">
      <w:pPr>
        <w:pStyle w:val="NormalnyWeb"/>
        <w:tabs>
          <w:tab w:val="left" w:pos="284"/>
        </w:tabs>
        <w:spacing w:beforeAutospacing="0" w:after="120" w:afterAutospacing="0" w:line="360" w:lineRule="auto"/>
        <w:ind w:left="284"/>
        <w:jc w:val="both"/>
        <w:rPr>
          <w:rFonts w:ascii="Arial" w:hAnsi="Arial" w:cs="Arial"/>
        </w:rPr>
      </w:pPr>
      <w:r w:rsidRPr="00BB28A0">
        <w:rPr>
          <w:rFonts w:ascii="Arial" w:hAnsi="Arial" w:cs="Arial"/>
        </w:rPr>
        <w:t xml:space="preserve">natomiast </w:t>
      </w:r>
      <w:r w:rsidRPr="0057374A">
        <w:rPr>
          <w:rFonts w:ascii="Arial" w:hAnsi="Arial" w:cs="Arial"/>
          <w:b/>
          <w:bCs/>
        </w:rPr>
        <w:t>w 2020 r.</w:t>
      </w:r>
      <w:r w:rsidRPr="00BB28A0">
        <w:rPr>
          <w:rFonts w:ascii="Arial" w:hAnsi="Arial" w:cs="Arial"/>
        </w:rPr>
        <w:t xml:space="preserve"> </w:t>
      </w:r>
      <w:r w:rsidR="003F59C1" w:rsidRPr="00BB28A0">
        <w:rPr>
          <w:rFonts w:ascii="Arial" w:hAnsi="Arial" w:cs="Arial"/>
        </w:rPr>
        <w:t>n</w:t>
      </w:r>
      <w:r w:rsidR="009C6F59" w:rsidRPr="00BB28A0">
        <w:rPr>
          <w:rFonts w:ascii="Arial" w:hAnsi="Arial" w:cs="Arial"/>
        </w:rPr>
        <w:t xml:space="preserve">a podstawie </w:t>
      </w:r>
      <w:r w:rsidR="001306FB" w:rsidRPr="00BB28A0">
        <w:rPr>
          <w:rFonts w:ascii="Arial" w:hAnsi="Arial" w:cs="Arial"/>
        </w:rPr>
        <w:t>etykiet załączonych w bazach i dostępnych w Internecie programów ochrony upraw ogrodniczych w krajach UE przeanalizowano możliwości ochrony dla:</w:t>
      </w:r>
    </w:p>
    <w:p w14:paraId="09331CEC" w14:textId="46683D6E" w:rsidR="0027553C" w:rsidRPr="00BB28A0" w:rsidRDefault="0027553C"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BB28A0">
        <w:rPr>
          <w:rFonts w:ascii="Arial" w:hAnsi="Arial" w:cs="Arial"/>
        </w:rPr>
        <w:t xml:space="preserve">gatunków roślin sadowniczych: opracowano nowe programy ochrony dla 2 gatunków: </w:t>
      </w:r>
      <w:r w:rsidR="00D6559E" w:rsidRPr="00BB28A0">
        <w:rPr>
          <w:rFonts w:ascii="Arial" w:hAnsi="Arial" w:cs="Arial"/>
        </w:rPr>
        <w:t>porzeczka czerwona i biała, winorośl</w:t>
      </w:r>
      <w:r w:rsidRPr="00BB28A0">
        <w:rPr>
          <w:rFonts w:ascii="Arial" w:hAnsi="Arial" w:cs="Arial"/>
        </w:rPr>
        <w:t xml:space="preserve"> </w:t>
      </w:r>
    </w:p>
    <w:p w14:paraId="08E94981" w14:textId="02BE1E18" w:rsidR="0027553C" w:rsidRPr="00BB28A0" w:rsidRDefault="0027553C"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BB28A0">
        <w:rPr>
          <w:rFonts w:ascii="Arial" w:hAnsi="Arial" w:cs="Arial"/>
        </w:rPr>
        <w:t xml:space="preserve">gatunków roślin warzywnych: opracowano nowe programy ochrony dla 4 gatunków: </w:t>
      </w:r>
      <w:r w:rsidR="00D6559E" w:rsidRPr="00BB28A0">
        <w:rPr>
          <w:rFonts w:ascii="Arial" w:hAnsi="Arial" w:cs="Arial"/>
        </w:rPr>
        <w:t xml:space="preserve">brokuł, ogórek szklarniowy, chrzan, szpinak </w:t>
      </w:r>
    </w:p>
    <w:p w14:paraId="78B57D14" w14:textId="2CB89C1E" w:rsidR="0027553C" w:rsidRPr="00BB28A0" w:rsidRDefault="0027553C"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BB28A0">
        <w:rPr>
          <w:rFonts w:ascii="Arial" w:hAnsi="Arial" w:cs="Arial"/>
        </w:rPr>
        <w:t xml:space="preserve">gatunków roślin ozdobnych: opracowano nowe programy ochrony dla 5 gatunków: </w:t>
      </w:r>
      <w:r w:rsidR="00D6559E" w:rsidRPr="00BB28A0">
        <w:rPr>
          <w:rFonts w:ascii="Arial" w:hAnsi="Arial" w:cs="Arial"/>
        </w:rPr>
        <w:t xml:space="preserve">poinsecja, </w:t>
      </w:r>
      <w:proofErr w:type="spellStart"/>
      <w:r w:rsidR="00D6559E" w:rsidRPr="00BB28A0">
        <w:rPr>
          <w:rFonts w:ascii="Arial" w:hAnsi="Arial" w:cs="Arial"/>
        </w:rPr>
        <w:t>eustoma</w:t>
      </w:r>
      <w:proofErr w:type="spellEnd"/>
      <w:r w:rsidR="00D6559E" w:rsidRPr="00BB28A0">
        <w:rPr>
          <w:rFonts w:ascii="Arial" w:hAnsi="Arial" w:cs="Arial"/>
        </w:rPr>
        <w:t>, róża pod osłonami, tawuła, begonia</w:t>
      </w:r>
      <w:r w:rsidRPr="00BB28A0">
        <w:rPr>
          <w:rFonts w:ascii="Arial" w:hAnsi="Arial" w:cs="Arial"/>
        </w:rPr>
        <w:t>,</w:t>
      </w:r>
    </w:p>
    <w:p w14:paraId="3C1330AD" w14:textId="05E4ECC3" w:rsidR="00B20451" w:rsidRDefault="00E54725" w:rsidP="0099131F">
      <w:pPr>
        <w:pStyle w:val="NormalnyWeb"/>
        <w:tabs>
          <w:tab w:val="left" w:pos="284"/>
        </w:tabs>
        <w:spacing w:beforeAutospacing="0" w:after="120" w:afterAutospacing="0" w:line="360" w:lineRule="auto"/>
        <w:jc w:val="both"/>
        <w:rPr>
          <w:rFonts w:ascii="Arial" w:hAnsi="Arial" w:cs="Arial"/>
        </w:rPr>
      </w:pPr>
      <w:r w:rsidRPr="00B20451">
        <w:rPr>
          <w:rFonts w:ascii="Arial" w:hAnsi="Arial" w:cs="Arial"/>
        </w:rPr>
        <w:t>Na podstawie przepisów rozporządzenia Ministra Rolnictwa i Rozwoju Wsi z dnia 29 lipca 2015 r. w sprawie stawek dotacji przedmiotowych dla różnych podmiotów wykonujących zadania na rzecz rolnictwa (Dz. U. poz. 1170</w:t>
      </w:r>
      <w:r w:rsidR="00B20451" w:rsidRPr="00565DF1">
        <w:rPr>
          <w:rFonts w:ascii="Arial" w:hAnsi="Arial" w:cs="Arial"/>
        </w:rPr>
        <w:t xml:space="preserve">, </w:t>
      </w:r>
      <w:r w:rsidR="00B20451" w:rsidRPr="00B20451">
        <w:rPr>
          <w:rFonts w:ascii="Arial" w:hAnsi="Arial" w:cs="Arial"/>
        </w:rPr>
        <w:t xml:space="preserve">z 2016 r. poz. 1614, z 2017 r. poz. 1470, z 2019 r. poz. 901 i 1522, z </w:t>
      </w:r>
      <w:r w:rsidR="00565DF1" w:rsidRPr="00B20451">
        <w:rPr>
          <w:rFonts w:ascii="Arial" w:hAnsi="Arial" w:cs="Arial"/>
        </w:rPr>
        <w:t>2020</w:t>
      </w:r>
      <w:r w:rsidR="00565DF1">
        <w:rPr>
          <w:rFonts w:ascii="Arial" w:hAnsi="Arial" w:cs="Arial"/>
        </w:rPr>
        <w:t> </w:t>
      </w:r>
      <w:r w:rsidR="00B20451" w:rsidRPr="00B20451">
        <w:rPr>
          <w:rFonts w:ascii="Arial" w:hAnsi="Arial" w:cs="Arial"/>
        </w:rPr>
        <w:t>r. poz. 2016,</w:t>
      </w:r>
      <w:r w:rsidRPr="00B20451">
        <w:rPr>
          <w:rFonts w:ascii="Arial" w:hAnsi="Arial" w:cs="Arial"/>
        </w:rPr>
        <w:t>) jednostki naukowo-badawcze mnogą uzyskać częściowe lub całkowite pokrycie kosztów badań prowadzonych na rzecz rolnictwa ekologicznego. W 2018 r</w:t>
      </w:r>
      <w:r w:rsidR="0099131F" w:rsidRPr="00B20451">
        <w:rPr>
          <w:rFonts w:ascii="Arial" w:hAnsi="Arial" w:cs="Arial"/>
        </w:rPr>
        <w:t>.</w:t>
      </w:r>
      <w:r w:rsidRPr="00B20451">
        <w:rPr>
          <w:rFonts w:ascii="Arial" w:hAnsi="Arial" w:cs="Arial"/>
        </w:rPr>
        <w:t xml:space="preserve"> przyznano instytutom i jednostkom naukowym </w:t>
      </w:r>
      <w:r w:rsidRPr="00FD0691">
        <w:rPr>
          <w:rFonts w:ascii="Arial" w:hAnsi="Arial" w:cs="Arial"/>
        </w:rPr>
        <w:t>11 dotacji do badań w rolnictwie ekologicznym, na realizację  31 tematów, na łączną kwotę: 5 912 026,72 zł, z czego wydatkowano 5 807 814,03 zł</w:t>
      </w:r>
      <w:r w:rsidR="0099131F" w:rsidRPr="00B20451">
        <w:rPr>
          <w:rFonts w:ascii="Arial" w:hAnsi="Arial" w:cs="Arial"/>
        </w:rPr>
        <w:t xml:space="preserve">, </w:t>
      </w:r>
      <w:r w:rsidR="00B20451" w:rsidRPr="00B20451">
        <w:rPr>
          <w:rFonts w:ascii="Arial" w:hAnsi="Arial" w:cs="Arial"/>
        </w:rPr>
        <w:t xml:space="preserve">a </w:t>
      </w:r>
      <w:r w:rsidR="0099131F" w:rsidRPr="00B20451">
        <w:rPr>
          <w:rFonts w:ascii="Arial" w:hAnsi="Arial" w:cs="Arial"/>
        </w:rPr>
        <w:t>w 2019 r 11 dotacji , na realizację 21 tematów na łączną kwotę: 3 673 366,32 zł, z czego wydatkowano 3 608 977,93 zł.</w:t>
      </w:r>
      <w:r w:rsidR="00B20451" w:rsidRPr="00B20451">
        <w:rPr>
          <w:rFonts w:ascii="Arial" w:hAnsi="Arial" w:cs="Arial"/>
        </w:rPr>
        <w:t xml:space="preserve"> Z kolei w </w:t>
      </w:r>
      <w:r w:rsidR="00B20451" w:rsidRPr="008C2DB8">
        <w:rPr>
          <w:rFonts w:ascii="Arial" w:hAnsi="Arial" w:cs="Arial"/>
        </w:rPr>
        <w:t xml:space="preserve">2020 r. instytutom i jednostkom naukowym przyznano 9 dotacji do badań w rolnictwie ekologicznym na realizację </w:t>
      </w:r>
      <w:r w:rsidR="001257C5" w:rsidRPr="008C2DB8">
        <w:rPr>
          <w:rFonts w:ascii="Arial" w:hAnsi="Arial" w:cs="Arial"/>
        </w:rPr>
        <w:t>13</w:t>
      </w:r>
      <w:r w:rsidR="001257C5">
        <w:rPr>
          <w:rFonts w:ascii="Arial" w:hAnsi="Arial" w:cs="Arial"/>
        </w:rPr>
        <w:t> </w:t>
      </w:r>
      <w:r w:rsidR="00B20451" w:rsidRPr="008C2DB8">
        <w:rPr>
          <w:rFonts w:ascii="Arial" w:hAnsi="Arial" w:cs="Arial"/>
        </w:rPr>
        <w:t xml:space="preserve">tematów na kwotę </w:t>
      </w:r>
      <w:r w:rsidR="00B20451" w:rsidRPr="00B20451">
        <w:rPr>
          <w:rFonts w:ascii="Arial" w:hAnsi="Arial" w:cs="Arial"/>
        </w:rPr>
        <w:t>2 638 797,00 zł, z czego wydatkowano 2</w:t>
      </w:r>
      <w:r w:rsidR="00B20451">
        <w:rPr>
          <w:rFonts w:ascii="Arial" w:hAnsi="Arial" w:cs="Arial"/>
        </w:rPr>
        <w:t> </w:t>
      </w:r>
      <w:r w:rsidR="00B20451" w:rsidRPr="00B20451">
        <w:rPr>
          <w:rFonts w:ascii="Arial" w:hAnsi="Arial" w:cs="Arial"/>
        </w:rPr>
        <w:t>584</w:t>
      </w:r>
      <w:r w:rsidR="00B20451">
        <w:rPr>
          <w:rFonts w:ascii="Arial" w:hAnsi="Arial" w:cs="Arial"/>
        </w:rPr>
        <w:t> </w:t>
      </w:r>
      <w:r w:rsidR="00B20451" w:rsidRPr="00B20451">
        <w:rPr>
          <w:rFonts w:ascii="Arial" w:hAnsi="Arial" w:cs="Arial"/>
        </w:rPr>
        <w:t>733,04 zł.</w:t>
      </w:r>
      <w:r w:rsidR="00B20451">
        <w:rPr>
          <w:rFonts w:ascii="Arial" w:hAnsi="Arial" w:cs="Arial"/>
        </w:rPr>
        <w:t xml:space="preserve"> </w:t>
      </w:r>
    </w:p>
    <w:p w14:paraId="021901AD" w14:textId="3A5B9775"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Aby zagwarantować, że tematy badawcze objęte dofinansowaniem przyczynią się faktycznie do rozwoju produkcji ekologicznej, dobór tematów i obszarów badawczych, w ramach których jednostki naukowe mogą ubiegać się o udzielenie dotacji, odbywa się na podstawie szerokich konsultacji publicznych. W ocenę wniosków o udzielenie dotacji zostali włączeni również eksperci reprezentujący </w:t>
      </w:r>
      <w:r w:rsidRPr="00925BCD">
        <w:rPr>
          <w:rFonts w:ascii="Arial" w:hAnsi="Arial" w:cs="Arial"/>
        </w:rPr>
        <w:lastRenderedPageBreak/>
        <w:t>środowiska ekologiczne. W tym zakresie Ministerstwo współprac</w:t>
      </w:r>
      <w:r w:rsidR="00D402BE">
        <w:rPr>
          <w:rFonts w:ascii="Arial" w:hAnsi="Arial" w:cs="Arial"/>
        </w:rPr>
        <w:t xml:space="preserve">owało </w:t>
      </w:r>
      <w:r w:rsidRPr="00925BCD">
        <w:rPr>
          <w:rFonts w:ascii="Arial" w:hAnsi="Arial" w:cs="Arial"/>
        </w:rPr>
        <w:t xml:space="preserve">ściśle z Radą Rolnictwa </w:t>
      </w:r>
      <w:r w:rsidR="001257C5" w:rsidRPr="00925BCD">
        <w:rPr>
          <w:rFonts w:ascii="Arial" w:hAnsi="Arial" w:cs="Arial"/>
        </w:rPr>
        <w:t>i</w:t>
      </w:r>
      <w:r w:rsidR="001257C5">
        <w:rPr>
          <w:rFonts w:ascii="Arial" w:hAnsi="Arial" w:cs="Arial"/>
        </w:rPr>
        <w:t> </w:t>
      </w:r>
      <w:r w:rsidRPr="00925BCD">
        <w:rPr>
          <w:rFonts w:ascii="Arial" w:hAnsi="Arial" w:cs="Arial"/>
        </w:rPr>
        <w:t xml:space="preserve">Produkcji Ekologicznej – ciałem doradczym powołanym przez Ministra Rolnictwa i Rozwoju Wsi.  </w:t>
      </w:r>
    </w:p>
    <w:p w14:paraId="1461FE00"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Wszystkie tematy badawcze objęte dotacjami są nakierowane na rozwiazywanie problemów specyficznych dla produkcji ekologicznej. W ramach realizowanych tematów badano m.in. możliwość stosowania w ochronie roślin pożytecznych organizmów oraz preparatów pochodzenia roślinnego. </w:t>
      </w:r>
    </w:p>
    <w:p w14:paraId="3EE83443" w14:textId="77777777" w:rsidR="00C07CD6" w:rsidRPr="00925BCD" w:rsidRDefault="00C07CD6" w:rsidP="00C07CD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Pr>
          <w:rFonts w:ascii="Arial" w:hAnsi="Arial" w:cs="Arial"/>
          <w:b/>
        </w:rPr>
        <w:t xml:space="preserve"> i w 2019 r. </w:t>
      </w:r>
      <w:r w:rsidRPr="00925BCD">
        <w:rPr>
          <w:rFonts w:ascii="Arial" w:hAnsi="Arial" w:cs="Arial"/>
        </w:rPr>
        <w:t>zrealizowano następujące tematy badawcze dotyczące ochrony roślin przed szkodnikami i chorobami w rolnictwie ekologicznym:</w:t>
      </w:r>
    </w:p>
    <w:p w14:paraId="6D29BEF6" w14:textId="553ACDA0" w:rsidR="00C07CD6" w:rsidRPr="00925BCD" w:rsidRDefault="00C07CD6" w:rsidP="003F4DF6">
      <w:pPr>
        <w:pStyle w:val="napakapit"/>
        <w:numPr>
          <w:ilvl w:val="0"/>
          <w:numId w:val="29"/>
        </w:numPr>
        <w:spacing w:before="0"/>
        <w:rPr>
          <w:rFonts w:cs="Arial"/>
        </w:rPr>
      </w:pPr>
      <w:r w:rsidRPr="00925BCD">
        <w:rPr>
          <w:rFonts w:cs="Arial"/>
        </w:rPr>
        <w:t xml:space="preserve">uprawy polowe metodami ekologicznymi: badania w zakresie wykorzystania substancji podstawowych w ochronie upraw </w:t>
      </w:r>
      <w:r>
        <w:rPr>
          <w:rFonts w:cs="Arial"/>
        </w:rPr>
        <w:t xml:space="preserve">polowych w uprawie ekologicznej; </w:t>
      </w:r>
      <w:r w:rsidRPr="00925BCD">
        <w:rPr>
          <w:rFonts w:cs="Arial"/>
        </w:rPr>
        <w:t xml:space="preserve">optymalizacja sposobów zaprawiania materiału siewnego i </w:t>
      </w:r>
      <w:proofErr w:type="spellStart"/>
      <w:r w:rsidRPr="00925BCD">
        <w:rPr>
          <w:rFonts w:cs="Arial"/>
        </w:rPr>
        <w:t>nasadzeniowego</w:t>
      </w:r>
      <w:proofErr w:type="spellEnd"/>
      <w:r w:rsidRPr="00925BCD">
        <w:rPr>
          <w:rFonts w:cs="Arial"/>
        </w:rPr>
        <w:t xml:space="preserve"> stosowanego w rolnictwie ekologicznym </w:t>
      </w:r>
      <w:r>
        <w:rPr>
          <w:rFonts w:cs="Arial"/>
        </w:rPr>
        <w:t xml:space="preserve">oraz </w:t>
      </w:r>
      <w:r w:rsidRPr="009C7CB5">
        <w:rPr>
          <w:rFonts w:cs="Arial"/>
          <w:color w:val="212121"/>
        </w:rPr>
        <w:t xml:space="preserve">optymalizacja sposobów zaprawiania materiału siewnego i </w:t>
      </w:r>
      <w:proofErr w:type="spellStart"/>
      <w:r w:rsidRPr="009C7CB5">
        <w:rPr>
          <w:rFonts w:cs="Arial"/>
          <w:color w:val="212121"/>
        </w:rPr>
        <w:t>nasadzeniowego</w:t>
      </w:r>
      <w:proofErr w:type="spellEnd"/>
      <w:r w:rsidRPr="009C7CB5">
        <w:rPr>
          <w:rFonts w:cs="Arial"/>
          <w:color w:val="212121"/>
        </w:rPr>
        <w:t xml:space="preserve"> stosowanego w rolnictwie ekologicznym. Badania nad wykorzystaniem wybranych substancji do zaprawiania nasion pszenicy jarej w kierunku ograniczenia chorób grzybowych</w:t>
      </w:r>
      <w:r w:rsidR="007322D1">
        <w:rPr>
          <w:rFonts w:cs="Arial"/>
          <w:color w:val="212121"/>
        </w:rPr>
        <w:t xml:space="preserve"> </w:t>
      </w:r>
      <w:r w:rsidRPr="00925BCD">
        <w:rPr>
          <w:rFonts w:cs="Arial"/>
        </w:rPr>
        <w:t>- Instytut Ochrony Roślin –PIB,</w:t>
      </w:r>
    </w:p>
    <w:p w14:paraId="758FCE49" w14:textId="1932663B" w:rsidR="00C07CD6" w:rsidRPr="00925BCD" w:rsidRDefault="00C07CD6" w:rsidP="003F4DF6">
      <w:pPr>
        <w:pStyle w:val="napakapit"/>
        <w:numPr>
          <w:ilvl w:val="0"/>
          <w:numId w:val="29"/>
        </w:numPr>
        <w:spacing w:before="0"/>
        <w:rPr>
          <w:rFonts w:cs="Arial"/>
        </w:rPr>
      </w:pPr>
      <w:r w:rsidRPr="00925BCD">
        <w:rPr>
          <w:rFonts w:cs="Arial"/>
        </w:rPr>
        <w:t xml:space="preserve">sadownictwo metodami ekologicznymi: badania w zakresie wykorzystania substancji podstawowych w ochronie upraw sadowniczych w uprawie ekologicznej. Wykorzystanie substancji roślinnych do ograniczania populacji pędraków w uprawach truskawki oraz do zwalczania innych szkodników na roślinach sadowniczych </w:t>
      </w:r>
      <w:r>
        <w:rPr>
          <w:rFonts w:cs="Arial"/>
        </w:rPr>
        <w:t>oraz b</w:t>
      </w:r>
      <w:r w:rsidRPr="00925BCD">
        <w:rPr>
          <w:rFonts w:cs="Arial"/>
          <w:color w:val="212121"/>
        </w:rPr>
        <w:t>adania nad innowacyjnymi metodami ochrony upraw sadowniczych w rolnictwie ekologicznym, ze szczególnym uwzględnieniem upraw jagodowych</w:t>
      </w:r>
      <w:r w:rsidRPr="00925BCD">
        <w:rPr>
          <w:rFonts w:cs="Arial"/>
        </w:rPr>
        <w:t xml:space="preserve"> </w:t>
      </w:r>
      <w:r w:rsidR="009C02BF">
        <w:rPr>
          <w:rFonts w:cs="Arial"/>
        </w:rPr>
        <w:t>-</w:t>
      </w:r>
      <w:r w:rsidRPr="00925BCD">
        <w:rPr>
          <w:rFonts w:cs="Arial"/>
        </w:rPr>
        <w:t xml:space="preserve"> Instytut Ogrodnictwa</w:t>
      </w:r>
      <w:r w:rsidR="009C02BF">
        <w:rPr>
          <w:rFonts w:cs="Arial"/>
        </w:rPr>
        <w:t xml:space="preserve"> </w:t>
      </w:r>
      <w:r w:rsidR="000052CF" w:rsidRPr="00925BCD">
        <w:rPr>
          <w:rFonts w:cs="Arial"/>
        </w:rPr>
        <w:t xml:space="preserve">– </w:t>
      </w:r>
      <w:r w:rsidR="000052CF">
        <w:rPr>
          <w:rFonts w:cs="Arial"/>
        </w:rPr>
        <w:t>PIB</w:t>
      </w:r>
      <w:r w:rsidRPr="00925BCD">
        <w:rPr>
          <w:rFonts w:cs="Arial"/>
        </w:rPr>
        <w:t>,</w:t>
      </w:r>
    </w:p>
    <w:p w14:paraId="28E9CE84" w14:textId="3C1B2FDE" w:rsidR="00C07CD6" w:rsidRPr="00925BCD" w:rsidRDefault="00C07CD6" w:rsidP="003F4DF6">
      <w:pPr>
        <w:pStyle w:val="napakapit"/>
        <w:numPr>
          <w:ilvl w:val="0"/>
          <w:numId w:val="29"/>
        </w:numPr>
        <w:spacing w:before="0"/>
        <w:rPr>
          <w:rFonts w:cs="Arial"/>
        </w:rPr>
      </w:pPr>
      <w:r w:rsidRPr="00925BCD">
        <w:rPr>
          <w:rFonts w:cs="Arial"/>
        </w:rPr>
        <w:t>warzywnictwo ekologiczne, w tym uprawa ziół: badania w zakresie możliwości wykorzystania substancji podstawowych w ochronie warzyw i ziół w uprawie ekologicznej. Możliwość wykorzystania substancji podstawowych do ograniczania szkodliwości najgroźniejszych agrofagów w ekologicznych uprawach bobu, cebuli, fasoli szparagowej, jarmużu, rabarbaru i </w:t>
      </w:r>
      <w:proofErr w:type="spellStart"/>
      <w:r w:rsidRPr="00925BCD">
        <w:rPr>
          <w:rFonts w:cs="Arial"/>
        </w:rPr>
        <w:t>rukoli</w:t>
      </w:r>
      <w:proofErr w:type="spellEnd"/>
      <w:r w:rsidRPr="00925BCD">
        <w:rPr>
          <w:rFonts w:cs="Arial"/>
        </w:rPr>
        <w:t xml:space="preserve"> </w:t>
      </w:r>
      <w:r>
        <w:rPr>
          <w:rFonts w:cs="Arial"/>
        </w:rPr>
        <w:t xml:space="preserve">oraz </w:t>
      </w:r>
      <w:r w:rsidRPr="00925BCD">
        <w:rPr>
          <w:rFonts w:cs="Arial"/>
          <w:color w:val="212121"/>
        </w:rPr>
        <w:t xml:space="preserve">badania w zakresie możliwości wykorzystywania substancji podstawowych </w:t>
      </w:r>
      <w:r w:rsidR="00B77FE7" w:rsidRPr="00925BCD">
        <w:rPr>
          <w:rFonts w:cs="Arial"/>
          <w:color w:val="212121"/>
        </w:rPr>
        <w:t>w</w:t>
      </w:r>
      <w:r w:rsidR="00B77FE7">
        <w:rPr>
          <w:rFonts w:cs="Arial"/>
          <w:color w:val="212121"/>
        </w:rPr>
        <w:t> </w:t>
      </w:r>
      <w:r w:rsidRPr="00925BCD">
        <w:rPr>
          <w:rFonts w:cs="Arial"/>
          <w:color w:val="212121"/>
        </w:rPr>
        <w:t>ochronie warzyw i ziół w uprawie ekologicznej. Możliwości wykorzystywania substancji podstawowych do ograniczania szkodliwości najgroźniejszych agrofagów i patogenów w</w:t>
      </w:r>
      <w:r w:rsidR="00E13D1F">
        <w:rPr>
          <w:rFonts w:cs="Arial"/>
          <w:color w:val="212121"/>
        </w:rPr>
        <w:t> </w:t>
      </w:r>
      <w:r w:rsidRPr="00925BCD">
        <w:rPr>
          <w:rFonts w:cs="Arial"/>
          <w:color w:val="212121"/>
        </w:rPr>
        <w:t>ekologicznych uprawach pieczarki</w:t>
      </w:r>
      <w:r>
        <w:rPr>
          <w:rFonts w:cs="Arial"/>
          <w:color w:val="212121"/>
        </w:rPr>
        <w:t xml:space="preserve"> </w:t>
      </w:r>
      <w:r w:rsidRPr="00925BCD">
        <w:rPr>
          <w:rFonts w:cs="Arial"/>
        </w:rPr>
        <w:t>- Instytut Ogrodnictwa</w:t>
      </w:r>
      <w:r w:rsidR="000052CF">
        <w:rPr>
          <w:rFonts w:cs="Arial"/>
        </w:rPr>
        <w:t xml:space="preserve"> </w:t>
      </w:r>
      <w:bookmarkStart w:id="137" w:name="_Hlk121313610"/>
      <w:r w:rsidR="000052CF" w:rsidRPr="00925BCD">
        <w:rPr>
          <w:rFonts w:cs="Arial"/>
        </w:rPr>
        <w:t>–</w:t>
      </w:r>
      <w:bookmarkEnd w:id="137"/>
      <w:r w:rsidR="000052CF" w:rsidRPr="00925BCD">
        <w:rPr>
          <w:rFonts w:cs="Arial"/>
        </w:rPr>
        <w:t xml:space="preserve"> </w:t>
      </w:r>
      <w:r w:rsidR="000052CF">
        <w:rPr>
          <w:rFonts w:cs="Arial"/>
        </w:rPr>
        <w:t>PIB</w:t>
      </w:r>
      <w:r w:rsidRPr="00925BCD">
        <w:rPr>
          <w:rFonts w:cs="Arial"/>
        </w:rPr>
        <w:t>,</w:t>
      </w:r>
    </w:p>
    <w:p w14:paraId="2CA46B81" w14:textId="0E14E2FC" w:rsidR="00C07CD6" w:rsidRDefault="00C07CD6" w:rsidP="003F4DF6">
      <w:pPr>
        <w:pStyle w:val="napakapit"/>
        <w:numPr>
          <w:ilvl w:val="0"/>
          <w:numId w:val="29"/>
        </w:numPr>
        <w:spacing w:before="0"/>
        <w:rPr>
          <w:rFonts w:cs="Arial"/>
        </w:rPr>
      </w:pPr>
      <w:r w:rsidRPr="00925BCD">
        <w:rPr>
          <w:rFonts w:cs="Arial"/>
        </w:rPr>
        <w:t xml:space="preserve">warzywnictwo ekologiczne, w tym uprawa ziół: badania w zakresie możliwości wykorzystania substancji podstawowych w ochronie warzyw i ziół w uprawie ekologicznej </w:t>
      </w:r>
      <w:r w:rsidR="009C02BF" w:rsidRPr="00925BCD">
        <w:rPr>
          <w:rFonts w:cs="Arial"/>
        </w:rPr>
        <w:t>–</w:t>
      </w:r>
      <w:r w:rsidRPr="00925BCD">
        <w:rPr>
          <w:rFonts w:cs="Arial"/>
        </w:rPr>
        <w:t xml:space="preserve"> Szkoła</w:t>
      </w:r>
      <w:r>
        <w:rPr>
          <w:rFonts w:cs="Arial"/>
        </w:rPr>
        <w:t xml:space="preserve"> Główna Gospodarstwa Wiejskiego,</w:t>
      </w:r>
    </w:p>
    <w:p w14:paraId="3ABD0DA1" w14:textId="0E0E4A08" w:rsidR="00C07CD6" w:rsidRPr="00925BCD" w:rsidRDefault="00C07CD6" w:rsidP="003F4DF6">
      <w:pPr>
        <w:pStyle w:val="Akapitzlist"/>
        <w:widowControl/>
        <w:numPr>
          <w:ilvl w:val="0"/>
          <w:numId w:val="29"/>
        </w:numPr>
        <w:shd w:val="clear" w:color="auto" w:fill="FFFFFF"/>
        <w:spacing w:after="120" w:line="360" w:lineRule="auto"/>
        <w:jc w:val="both"/>
        <w:rPr>
          <w:rFonts w:ascii="Arial" w:eastAsia="Times New Roman" w:hAnsi="Arial" w:cs="Arial"/>
          <w:color w:val="212121"/>
          <w:sz w:val="20"/>
          <w:szCs w:val="20"/>
          <w:lang w:eastAsia="pl-PL"/>
        </w:rPr>
      </w:pPr>
      <w:r w:rsidRPr="00925BCD">
        <w:rPr>
          <w:rFonts w:ascii="Arial" w:eastAsia="Times New Roman" w:hAnsi="Arial" w:cs="Arial"/>
          <w:color w:val="212121"/>
          <w:sz w:val="20"/>
          <w:szCs w:val="20"/>
          <w:lang w:eastAsia="pl-PL"/>
        </w:rPr>
        <w:t>uprawy polowe metodami ekologicznymi: Badania w zakresie optymalizacji doboru odmian w</w:t>
      </w:r>
      <w:r w:rsidR="00E13D1F">
        <w:rPr>
          <w:rFonts w:ascii="Arial" w:eastAsia="Times New Roman" w:hAnsi="Arial" w:cs="Arial"/>
          <w:color w:val="212121"/>
          <w:sz w:val="20"/>
          <w:szCs w:val="20"/>
          <w:lang w:eastAsia="pl-PL"/>
        </w:rPr>
        <w:t> </w:t>
      </w:r>
      <w:r w:rsidRPr="00925BCD">
        <w:rPr>
          <w:rFonts w:ascii="Arial" w:eastAsia="Times New Roman" w:hAnsi="Arial" w:cs="Arial"/>
          <w:color w:val="212121"/>
          <w:sz w:val="20"/>
          <w:szCs w:val="20"/>
          <w:lang w:eastAsia="pl-PL"/>
        </w:rPr>
        <w:t xml:space="preserve">ekologicznej uprawie roślin rolniczych, zalecanych do produkcji polowej towarowej. Określenie dobrych praktyk ochrony przed agrofagami w tych uprawach. (Badania nad doborem odmian zbóż ozimych: pszenicy, żyta, pszenżyta) </w:t>
      </w:r>
      <w:r>
        <w:rPr>
          <w:rFonts w:ascii="Arial" w:eastAsia="Times New Roman" w:hAnsi="Arial" w:cs="Arial"/>
          <w:color w:val="212121"/>
          <w:sz w:val="20"/>
          <w:szCs w:val="20"/>
          <w:lang w:eastAsia="pl-PL"/>
        </w:rPr>
        <w:t xml:space="preserve">oraz </w:t>
      </w:r>
      <w:r w:rsidRPr="00925BCD">
        <w:rPr>
          <w:rFonts w:ascii="Arial" w:eastAsia="Times New Roman" w:hAnsi="Arial" w:cs="Arial"/>
          <w:color w:val="212121"/>
          <w:sz w:val="20"/>
          <w:szCs w:val="20"/>
          <w:lang w:eastAsia="pl-PL"/>
        </w:rPr>
        <w:t xml:space="preserve">badania w zakresie optymalizacji doboru odmian w ekologicznej uprawie roślin rolniczych, zalecanych do produkcji polowej towarowej. Określenie dobrych praktyk ochrony przed agrofagami w tych uprawach. (Badania nad poprawą jakości plonu współczesnych i dawnych odmian pszenicy jarej, ich przydatnością dla przemysłu </w:t>
      </w:r>
      <w:r w:rsidRPr="00925BCD">
        <w:rPr>
          <w:rFonts w:ascii="Arial" w:eastAsia="Times New Roman" w:hAnsi="Arial" w:cs="Arial"/>
          <w:color w:val="212121"/>
          <w:sz w:val="20"/>
          <w:szCs w:val="20"/>
          <w:lang w:eastAsia="pl-PL"/>
        </w:rPr>
        <w:lastRenderedPageBreak/>
        <w:t>piekarskiego i makaronowego oraz potencjałem zdrowotnym)</w:t>
      </w:r>
      <w:r w:rsidRPr="00925BCD">
        <w:t xml:space="preserve"> </w:t>
      </w:r>
      <w:r w:rsidR="009C02BF">
        <w:t>-</w:t>
      </w:r>
      <w:r w:rsidRPr="00925BCD">
        <w:rPr>
          <w:rFonts w:ascii="Arial" w:eastAsia="Times New Roman" w:hAnsi="Arial" w:cs="Arial"/>
          <w:color w:val="212121"/>
          <w:sz w:val="20"/>
          <w:szCs w:val="20"/>
          <w:lang w:eastAsia="pl-PL"/>
        </w:rPr>
        <w:t xml:space="preserve"> Instytut Uprawy Nawożenia i Gleboznawstwa w Puławach </w:t>
      </w:r>
      <w:r w:rsidR="009C02BF" w:rsidRPr="00925BCD">
        <w:rPr>
          <w:rFonts w:cs="Arial"/>
        </w:rPr>
        <w:t>–</w:t>
      </w:r>
      <w:r w:rsidR="009C02BF">
        <w:rPr>
          <w:rFonts w:cs="Arial"/>
        </w:rPr>
        <w:t xml:space="preserve"> </w:t>
      </w:r>
      <w:r w:rsidRPr="00925BCD">
        <w:rPr>
          <w:rFonts w:ascii="Arial" w:eastAsia="Times New Roman" w:hAnsi="Arial" w:cs="Arial"/>
          <w:color w:val="212121"/>
          <w:sz w:val="20"/>
          <w:szCs w:val="20"/>
          <w:lang w:eastAsia="pl-PL"/>
        </w:rPr>
        <w:t>PIB;</w:t>
      </w:r>
    </w:p>
    <w:p w14:paraId="01C0A432" w14:textId="26EE0F95" w:rsidR="00C07CD6" w:rsidRPr="00925BCD" w:rsidRDefault="00C07CD6" w:rsidP="003F4DF6">
      <w:pPr>
        <w:pStyle w:val="Akapitzlist"/>
        <w:widowControl/>
        <w:numPr>
          <w:ilvl w:val="0"/>
          <w:numId w:val="29"/>
        </w:numPr>
        <w:shd w:val="clear" w:color="auto" w:fill="FFFFFF"/>
        <w:spacing w:after="120" w:line="360" w:lineRule="auto"/>
        <w:jc w:val="both"/>
        <w:rPr>
          <w:rFonts w:ascii="Arial" w:eastAsia="Times New Roman" w:hAnsi="Arial" w:cs="Arial"/>
          <w:color w:val="212121"/>
          <w:sz w:val="20"/>
          <w:szCs w:val="20"/>
          <w:lang w:eastAsia="pl-PL"/>
        </w:rPr>
      </w:pPr>
      <w:r w:rsidRPr="00925BCD">
        <w:rPr>
          <w:rFonts w:ascii="Arial" w:eastAsia="Times New Roman" w:hAnsi="Arial" w:cs="Arial"/>
          <w:color w:val="212121"/>
          <w:sz w:val="20"/>
          <w:szCs w:val="20"/>
          <w:lang w:eastAsia="pl-PL"/>
        </w:rPr>
        <w:t>uprawy polowe metodami ekologicznymi. Badania w zakresie optymalizacji doboru odmian w</w:t>
      </w:r>
      <w:r w:rsidR="00E13D1F">
        <w:rPr>
          <w:rFonts w:ascii="Arial" w:eastAsia="Times New Roman" w:hAnsi="Arial" w:cs="Arial"/>
          <w:color w:val="212121"/>
          <w:sz w:val="20"/>
          <w:szCs w:val="20"/>
          <w:lang w:eastAsia="pl-PL"/>
        </w:rPr>
        <w:t> </w:t>
      </w:r>
      <w:r w:rsidRPr="00925BCD">
        <w:rPr>
          <w:rFonts w:ascii="Arial" w:eastAsia="Times New Roman" w:hAnsi="Arial" w:cs="Arial"/>
          <w:color w:val="212121"/>
          <w:sz w:val="20"/>
          <w:szCs w:val="20"/>
          <w:lang w:eastAsia="pl-PL"/>
        </w:rPr>
        <w:t xml:space="preserve">ekologicznej uprawie roślin rolniczych, zalecanych do produkcji polowej towarowej. Określenie dobrych praktyk ochrony przed agrofagami w tych uprawach. Ocena nowo wytworzonych linii hodowlanych owsa do celów rolnictwa ekologicznego. Poszukiwanie genotypów o dużej odporności na choroby przy zachowaniu wysokiej jakości żywieniowej </w:t>
      </w:r>
      <w:r>
        <w:rPr>
          <w:rFonts w:ascii="Arial" w:eastAsia="Times New Roman" w:hAnsi="Arial" w:cs="Arial"/>
          <w:color w:val="212121"/>
          <w:sz w:val="20"/>
          <w:szCs w:val="20"/>
          <w:lang w:eastAsia="pl-PL"/>
        </w:rPr>
        <w:t>oraz b</w:t>
      </w:r>
      <w:r w:rsidRPr="00925BCD">
        <w:rPr>
          <w:rFonts w:ascii="Arial" w:eastAsia="Times New Roman" w:hAnsi="Arial" w:cs="Arial"/>
          <w:color w:val="212121"/>
          <w:sz w:val="20"/>
          <w:szCs w:val="20"/>
          <w:lang w:eastAsia="pl-PL"/>
        </w:rPr>
        <w:t xml:space="preserve">adania w zakresie optymalizacji doboru odmian w ekologicznej uprawie roślin rolniczych, zalecanych do produkcji polowej towarowej. Określenie dobrych praktyk ochrony przed agrofagami w tych uprawach. Badania nad doborem odmian kukurydzy do uprawy na różne cele użytkowania w systemie ekologicznym i redukcje zawartości </w:t>
      </w:r>
      <w:proofErr w:type="spellStart"/>
      <w:r w:rsidRPr="00925BCD">
        <w:rPr>
          <w:rFonts w:ascii="Arial" w:eastAsia="Times New Roman" w:hAnsi="Arial" w:cs="Arial"/>
          <w:color w:val="212121"/>
          <w:sz w:val="20"/>
          <w:szCs w:val="20"/>
          <w:lang w:eastAsia="pl-PL"/>
        </w:rPr>
        <w:t>mikotoksyn</w:t>
      </w:r>
      <w:proofErr w:type="spellEnd"/>
      <w:r w:rsidR="009C02BF">
        <w:rPr>
          <w:rFonts w:ascii="Arial" w:eastAsia="Times New Roman" w:hAnsi="Arial" w:cs="Arial"/>
          <w:color w:val="212121"/>
          <w:sz w:val="20"/>
          <w:szCs w:val="20"/>
          <w:lang w:eastAsia="pl-PL"/>
        </w:rPr>
        <w:t xml:space="preserve"> -</w:t>
      </w:r>
      <w:r w:rsidRPr="00925BCD">
        <w:rPr>
          <w:rFonts w:ascii="Arial" w:eastAsia="Times New Roman" w:hAnsi="Arial" w:cs="Arial"/>
          <w:color w:val="212121"/>
          <w:sz w:val="20"/>
          <w:szCs w:val="20"/>
          <w:lang w:eastAsia="pl-PL"/>
        </w:rPr>
        <w:t xml:space="preserve"> Instytut Hodowli i Aklimatyzacji Roślin Radzików </w:t>
      </w:r>
      <w:r w:rsidR="009C02BF" w:rsidRPr="00925BCD">
        <w:rPr>
          <w:rFonts w:cs="Arial"/>
        </w:rPr>
        <w:t>–</w:t>
      </w:r>
      <w:r w:rsidR="009C02BF">
        <w:rPr>
          <w:rFonts w:cs="Arial"/>
        </w:rPr>
        <w:t xml:space="preserve"> </w:t>
      </w:r>
      <w:r w:rsidRPr="00925BCD">
        <w:rPr>
          <w:rFonts w:ascii="Arial" w:eastAsia="Times New Roman" w:hAnsi="Arial" w:cs="Arial"/>
          <w:color w:val="212121"/>
          <w:sz w:val="20"/>
          <w:szCs w:val="20"/>
          <w:lang w:eastAsia="pl-PL"/>
        </w:rPr>
        <w:t>PIB;</w:t>
      </w:r>
    </w:p>
    <w:p w14:paraId="5667C94F" w14:textId="28994A77" w:rsidR="00C07CD6" w:rsidRDefault="00C07CD6" w:rsidP="003F4DF6">
      <w:pPr>
        <w:pStyle w:val="Akapitzlist"/>
        <w:widowControl/>
        <w:numPr>
          <w:ilvl w:val="0"/>
          <w:numId w:val="29"/>
        </w:numPr>
        <w:shd w:val="clear" w:color="auto" w:fill="FFFFFF"/>
        <w:spacing w:after="120" w:line="360" w:lineRule="auto"/>
        <w:jc w:val="both"/>
        <w:rPr>
          <w:rFonts w:ascii="Arial" w:eastAsia="Times New Roman" w:hAnsi="Arial" w:cs="Arial"/>
          <w:color w:val="212121"/>
          <w:sz w:val="20"/>
          <w:szCs w:val="20"/>
          <w:lang w:eastAsia="pl-PL"/>
        </w:rPr>
      </w:pPr>
      <w:r w:rsidRPr="00925BCD">
        <w:rPr>
          <w:rFonts w:ascii="Arial" w:eastAsia="Times New Roman" w:hAnsi="Arial" w:cs="Arial"/>
          <w:color w:val="212121"/>
          <w:sz w:val="20"/>
          <w:szCs w:val="20"/>
          <w:lang w:eastAsia="pl-PL"/>
        </w:rPr>
        <w:t>uprawy polowe metodami ekologicznymi: określenie innowacyjnych rozwiązań w zakresie ochrony przed agrofagami w ekologicznej uprawie roślin rolniczych - Instytut Środowiska Rolniczego i Leśnego PAN.</w:t>
      </w:r>
    </w:p>
    <w:p w14:paraId="66A2CFEA" w14:textId="5E8495D0" w:rsidR="00C07CD6" w:rsidRPr="00812F0B" w:rsidRDefault="00AC7685" w:rsidP="00C07CD6">
      <w:pPr>
        <w:shd w:val="clear" w:color="auto" w:fill="FFFFFF"/>
        <w:spacing w:after="120" w:line="360" w:lineRule="auto"/>
        <w:jc w:val="both"/>
        <w:rPr>
          <w:rFonts w:ascii="Arial" w:hAnsi="Arial" w:cs="Arial"/>
          <w:color w:val="212121"/>
          <w:sz w:val="20"/>
          <w:szCs w:val="20"/>
        </w:rPr>
      </w:pPr>
      <w:r>
        <w:rPr>
          <w:rFonts w:ascii="Arial" w:hAnsi="Arial" w:cs="Arial"/>
          <w:b/>
          <w:color w:val="212121"/>
          <w:sz w:val="20"/>
          <w:szCs w:val="20"/>
        </w:rPr>
        <w:t>W</w:t>
      </w:r>
      <w:r w:rsidR="00C07CD6" w:rsidRPr="00812F0B">
        <w:rPr>
          <w:rFonts w:ascii="Arial" w:hAnsi="Arial" w:cs="Arial"/>
          <w:b/>
          <w:color w:val="212121"/>
          <w:sz w:val="20"/>
          <w:szCs w:val="20"/>
        </w:rPr>
        <w:t xml:space="preserve"> 2020 r.</w:t>
      </w:r>
      <w:r w:rsidR="00C07CD6" w:rsidRPr="00812F0B">
        <w:rPr>
          <w:rFonts w:ascii="Arial" w:hAnsi="Arial" w:cs="Arial"/>
          <w:color w:val="212121"/>
          <w:sz w:val="20"/>
          <w:szCs w:val="20"/>
        </w:rPr>
        <w:t xml:space="preserve"> zrealizowano następujące tematy badawcze dotyczące ochrony roślin przed szkodnikami i</w:t>
      </w:r>
      <w:r w:rsidR="00534399">
        <w:rPr>
          <w:rFonts w:ascii="Arial" w:hAnsi="Arial" w:cs="Arial"/>
          <w:color w:val="212121"/>
          <w:sz w:val="20"/>
          <w:szCs w:val="20"/>
        </w:rPr>
        <w:t> </w:t>
      </w:r>
      <w:r w:rsidR="00C07CD6" w:rsidRPr="00812F0B">
        <w:rPr>
          <w:rFonts w:ascii="Arial" w:hAnsi="Arial" w:cs="Arial"/>
          <w:color w:val="212121"/>
          <w:sz w:val="20"/>
          <w:szCs w:val="20"/>
        </w:rPr>
        <w:t>chorobami w rolnictwie ekologicznym:</w:t>
      </w:r>
    </w:p>
    <w:p w14:paraId="0F0F2A4A" w14:textId="6B93541A" w:rsidR="00C07CD6" w:rsidRPr="007322D1" w:rsidRDefault="00C07CD6" w:rsidP="003F4DF6">
      <w:pPr>
        <w:pStyle w:val="Akapitzlist"/>
        <w:widowControl/>
        <w:numPr>
          <w:ilvl w:val="0"/>
          <w:numId w:val="33"/>
        </w:numPr>
        <w:shd w:val="clear" w:color="auto" w:fill="FFFFFF"/>
        <w:spacing w:after="120" w:line="360" w:lineRule="auto"/>
        <w:jc w:val="both"/>
        <w:rPr>
          <w:rFonts w:ascii="Arial" w:hAnsi="Arial" w:cs="Arial"/>
          <w:color w:val="212121"/>
          <w:sz w:val="20"/>
          <w:szCs w:val="20"/>
        </w:rPr>
      </w:pPr>
      <w:r>
        <w:rPr>
          <w:rFonts w:ascii="Arial" w:hAnsi="Arial" w:cs="Arial"/>
          <w:color w:val="212121"/>
          <w:sz w:val="20"/>
          <w:szCs w:val="20"/>
        </w:rPr>
        <w:t>w</w:t>
      </w:r>
      <w:r w:rsidRPr="009C7CB5">
        <w:rPr>
          <w:rFonts w:ascii="Arial" w:hAnsi="Arial" w:cs="Arial"/>
          <w:color w:val="212121"/>
          <w:sz w:val="20"/>
          <w:szCs w:val="20"/>
        </w:rPr>
        <w:t xml:space="preserve">arzywnictwo ekologiczne, w tym uprawa ziół: Badania w zakresie możliwości wykorzystania substancji podstawowych w ochronie warzyw i ziół w uprawie ekologicznej. Możliwość wykorzystania substancji podstawowych w ograniczaniu występowania chorób bakteryjnych </w:t>
      </w:r>
      <w:r w:rsidR="00B77FE7" w:rsidRPr="009C7CB5">
        <w:rPr>
          <w:rFonts w:ascii="Arial" w:hAnsi="Arial" w:cs="Arial"/>
          <w:color w:val="212121"/>
          <w:sz w:val="20"/>
          <w:szCs w:val="20"/>
        </w:rPr>
        <w:t>w</w:t>
      </w:r>
      <w:r w:rsidR="00B77FE7">
        <w:rPr>
          <w:rFonts w:ascii="Arial" w:hAnsi="Arial" w:cs="Arial"/>
          <w:color w:val="212121"/>
          <w:sz w:val="20"/>
          <w:szCs w:val="20"/>
        </w:rPr>
        <w:t> </w:t>
      </w:r>
      <w:r w:rsidRPr="009C7CB5">
        <w:rPr>
          <w:rFonts w:ascii="Arial" w:hAnsi="Arial" w:cs="Arial"/>
          <w:color w:val="212121"/>
          <w:sz w:val="20"/>
          <w:szCs w:val="20"/>
        </w:rPr>
        <w:t>ekologicznej pr</w:t>
      </w:r>
      <w:r>
        <w:rPr>
          <w:rFonts w:ascii="Arial" w:hAnsi="Arial" w:cs="Arial"/>
          <w:color w:val="212121"/>
          <w:sz w:val="20"/>
          <w:szCs w:val="20"/>
        </w:rPr>
        <w:t xml:space="preserve">asie pieczarki </w:t>
      </w:r>
      <w:r w:rsidR="007322D1">
        <w:rPr>
          <w:rFonts w:ascii="Arial" w:hAnsi="Arial" w:cs="Arial"/>
          <w:color w:val="212121"/>
          <w:sz w:val="20"/>
          <w:szCs w:val="20"/>
        </w:rPr>
        <w:t>-</w:t>
      </w:r>
      <w:r>
        <w:rPr>
          <w:rFonts w:ascii="Arial" w:hAnsi="Arial" w:cs="Arial"/>
          <w:color w:val="212121"/>
          <w:sz w:val="20"/>
          <w:szCs w:val="20"/>
        </w:rPr>
        <w:t xml:space="preserve"> Instytut </w:t>
      </w:r>
      <w:r w:rsidRPr="007322D1">
        <w:rPr>
          <w:rFonts w:ascii="Arial" w:hAnsi="Arial" w:cs="Arial"/>
          <w:color w:val="212121"/>
          <w:sz w:val="20"/>
          <w:szCs w:val="20"/>
        </w:rPr>
        <w:t xml:space="preserve">Ogrodnictwa </w:t>
      </w:r>
      <w:r w:rsidR="000052CF" w:rsidRPr="007322D1">
        <w:rPr>
          <w:rFonts w:ascii="Arial" w:hAnsi="Arial" w:cs="Arial"/>
          <w:sz w:val="20"/>
          <w:szCs w:val="20"/>
        </w:rPr>
        <w:t>– PIB</w:t>
      </w:r>
      <w:r w:rsidRPr="007322D1">
        <w:rPr>
          <w:rFonts w:ascii="Arial" w:hAnsi="Arial" w:cs="Arial"/>
          <w:color w:val="212121"/>
          <w:sz w:val="20"/>
          <w:szCs w:val="20"/>
        </w:rPr>
        <w:t>,</w:t>
      </w:r>
    </w:p>
    <w:p w14:paraId="53D60A09" w14:textId="353CE25F" w:rsidR="00C07CD6" w:rsidRDefault="00AC7685" w:rsidP="003F4DF6">
      <w:pPr>
        <w:pStyle w:val="Akapitzlist"/>
        <w:widowControl/>
        <w:numPr>
          <w:ilvl w:val="0"/>
          <w:numId w:val="33"/>
        </w:numPr>
        <w:shd w:val="clear" w:color="auto" w:fill="FFFFFF"/>
        <w:spacing w:after="120" w:line="360" w:lineRule="auto"/>
        <w:jc w:val="both"/>
        <w:rPr>
          <w:rFonts w:ascii="Arial" w:hAnsi="Arial" w:cs="Arial"/>
          <w:color w:val="212121"/>
          <w:sz w:val="20"/>
          <w:szCs w:val="20"/>
        </w:rPr>
      </w:pPr>
      <w:r>
        <w:rPr>
          <w:rFonts w:ascii="Arial" w:hAnsi="Arial" w:cs="Arial"/>
          <w:color w:val="212121"/>
          <w:sz w:val="20"/>
          <w:szCs w:val="20"/>
        </w:rPr>
        <w:t>s</w:t>
      </w:r>
      <w:r w:rsidR="00C07CD6" w:rsidRPr="009C7CB5">
        <w:rPr>
          <w:rFonts w:ascii="Arial" w:hAnsi="Arial" w:cs="Arial"/>
          <w:color w:val="212121"/>
          <w:sz w:val="20"/>
          <w:szCs w:val="20"/>
        </w:rPr>
        <w:t>adownictwo metodami ekologicznymi: Badania w zakresie wykorzystania substancji podstawowych w ochronie e</w:t>
      </w:r>
      <w:r w:rsidR="00C07CD6">
        <w:rPr>
          <w:rFonts w:ascii="Arial" w:hAnsi="Arial" w:cs="Arial"/>
          <w:color w:val="212121"/>
          <w:sz w:val="20"/>
          <w:szCs w:val="20"/>
        </w:rPr>
        <w:t xml:space="preserve">kologicznych upraw sadowniczych </w:t>
      </w:r>
      <w:r w:rsidR="007322D1">
        <w:rPr>
          <w:rFonts w:ascii="Arial" w:hAnsi="Arial" w:cs="Arial"/>
          <w:color w:val="212121"/>
          <w:sz w:val="20"/>
          <w:szCs w:val="20"/>
        </w:rPr>
        <w:t>-</w:t>
      </w:r>
      <w:r w:rsidR="00C07CD6">
        <w:rPr>
          <w:rFonts w:ascii="Arial" w:hAnsi="Arial" w:cs="Arial"/>
          <w:color w:val="212121"/>
          <w:sz w:val="20"/>
          <w:szCs w:val="20"/>
        </w:rPr>
        <w:t xml:space="preserve"> Instytut </w:t>
      </w:r>
      <w:r w:rsidR="00C07CD6" w:rsidRPr="007322D1">
        <w:rPr>
          <w:rFonts w:ascii="Arial" w:hAnsi="Arial" w:cs="Arial"/>
          <w:color w:val="212121"/>
          <w:sz w:val="20"/>
          <w:szCs w:val="20"/>
        </w:rPr>
        <w:t>Ogrodnictwa</w:t>
      </w:r>
      <w:r w:rsidR="009D20A2" w:rsidRPr="007322D1">
        <w:rPr>
          <w:rFonts w:ascii="Arial" w:hAnsi="Arial" w:cs="Arial"/>
          <w:color w:val="212121"/>
          <w:sz w:val="20"/>
          <w:szCs w:val="20"/>
        </w:rPr>
        <w:t xml:space="preserve"> </w:t>
      </w:r>
      <w:r w:rsidR="009D20A2" w:rsidRPr="007322D1">
        <w:rPr>
          <w:rFonts w:ascii="Arial" w:hAnsi="Arial" w:cs="Arial"/>
          <w:sz w:val="20"/>
          <w:szCs w:val="20"/>
        </w:rPr>
        <w:t>– PIB</w:t>
      </w:r>
      <w:r w:rsidR="00C07CD6">
        <w:rPr>
          <w:rFonts w:ascii="Arial" w:hAnsi="Arial" w:cs="Arial"/>
          <w:color w:val="212121"/>
          <w:sz w:val="20"/>
          <w:szCs w:val="20"/>
        </w:rPr>
        <w:t>, Uniwersytet Przyrodniczy w Lublinie,</w:t>
      </w:r>
    </w:p>
    <w:p w14:paraId="554BDB1A" w14:textId="7079DDBA" w:rsidR="00C07CD6" w:rsidRPr="009C7CB5" w:rsidRDefault="00C07CD6" w:rsidP="003F4DF6">
      <w:pPr>
        <w:pStyle w:val="Akapitzlist"/>
        <w:widowControl/>
        <w:numPr>
          <w:ilvl w:val="0"/>
          <w:numId w:val="33"/>
        </w:numPr>
        <w:shd w:val="clear" w:color="auto" w:fill="FFFFFF"/>
        <w:spacing w:after="120" w:line="360" w:lineRule="auto"/>
        <w:jc w:val="both"/>
        <w:rPr>
          <w:rFonts w:ascii="Arial" w:hAnsi="Arial" w:cs="Arial"/>
          <w:color w:val="212121"/>
          <w:sz w:val="20"/>
          <w:szCs w:val="20"/>
        </w:rPr>
      </w:pPr>
      <w:r>
        <w:rPr>
          <w:rFonts w:ascii="Arial" w:hAnsi="Arial" w:cs="Arial"/>
          <w:color w:val="212121"/>
          <w:sz w:val="20"/>
          <w:szCs w:val="20"/>
        </w:rPr>
        <w:t>u</w:t>
      </w:r>
      <w:r w:rsidRPr="009C7CB5">
        <w:rPr>
          <w:rFonts w:ascii="Arial" w:hAnsi="Arial" w:cs="Arial"/>
          <w:color w:val="212121"/>
          <w:sz w:val="20"/>
          <w:szCs w:val="20"/>
        </w:rPr>
        <w:t>prawy polowe metodami ekologicznymi: produkcja ekologicznego materiału siewnego roślin rolniczych. Określenie dobrych praktyk produkcyjnych z uwzględnieniem warunków glebowych i klimatycznych oraz odporności lub tolerancji na choroby. Opracowanie technologii produkcji nasion odmiany mieszańcowej (F1) kukurydzy i odmiany pszenżyta dla gospodarstw ekologicznych</w:t>
      </w:r>
      <w:r>
        <w:rPr>
          <w:rFonts w:ascii="Arial" w:hAnsi="Arial" w:cs="Arial"/>
          <w:color w:val="212121"/>
          <w:sz w:val="20"/>
          <w:szCs w:val="20"/>
        </w:rPr>
        <w:t xml:space="preserve"> </w:t>
      </w:r>
      <w:r w:rsidR="007322D1">
        <w:rPr>
          <w:rFonts w:ascii="Arial" w:hAnsi="Arial" w:cs="Arial"/>
          <w:color w:val="212121"/>
          <w:sz w:val="20"/>
          <w:szCs w:val="20"/>
        </w:rPr>
        <w:t>-</w:t>
      </w:r>
      <w:r>
        <w:rPr>
          <w:rFonts w:ascii="Arial" w:hAnsi="Arial" w:cs="Arial"/>
          <w:color w:val="212121"/>
          <w:sz w:val="20"/>
          <w:szCs w:val="20"/>
        </w:rPr>
        <w:t xml:space="preserve"> Instytut </w:t>
      </w:r>
      <w:r w:rsidRPr="009C7CB5">
        <w:rPr>
          <w:rFonts w:ascii="Arial" w:hAnsi="Arial" w:cs="Arial"/>
          <w:color w:val="212121"/>
          <w:sz w:val="20"/>
          <w:szCs w:val="20"/>
        </w:rPr>
        <w:t xml:space="preserve">Hodowli i Aklimatyzacji Roślin Radzików </w:t>
      </w:r>
      <w:r w:rsidR="007322D1" w:rsidRPr="00925BCD">
        <w:rPr>
          <w:rFonts w:cs="Arial"/>
        </w:rPr>
        <w:t>–</w:t>
      </w:r>
      <w:r w:rsidR="007322D1">
        <w:rPr>
          <w:rFonts w:ascii="Arial" w:hAnsi="Arial" w:cs="Arial"/>
          <w:color w:val="212121"/>
          <w:sz w:val="20"/>
          <w:szCs w:val="20"/>
        </w:rPr>
        <w:t xml:space="preserve"> </w:t>
      </w:r>
      <w:r w:rsidRPr="009C7CB5">
        <w:rPr>
          <w:rFonts w:ascii="Arial" w:hAnsi="Arial" w:cs="Arial"/>
          <w:color w:val="212121"/>
          <w:sz w:val="20"/>
          <w:szCs w:val="20"/>
        </w:rPr>
        <w:t>PIB.</w:t>
      </w:r>
    </w:p>
    <w:p w14:paraId="28C21F80" w14:textId="33AAC23A" w:rsidR="00AC7685" w:rsidRDefault="00AC7685" w:rsidP="00AC7685">
      <w:pPr>
        <w:pStyle w:val="NormalnyWeb"/>
        <w:tabs>
          <w:tab w:val="left" w:pos="284"/>
        </w:tabs>
        <w:spacing w:beforeAutospacing="0" w:after="120" w:afterAutospacing="0" w:line="360" w:lineRule="auto"/>
        <w:jc w:val="both"/>
        <w:rPr>
          <w:rFonts w:ascii="Arial" w:hAnsi="Arial" w:cs="Arial"/>
        </w:rPr>
      </w:pPr>
      <w:r>
        <w:rPr>
          <w:rFonts w:ascii="Arial" w:hAnsi="Arial" w:cs="Arial"/>
        </w:rPr>
        <w:t>Z kolei w 2021 r</w:t>
      </w:r>
      <w:r w:rsidR="00763E6D">
        <w:rPr>
          <w:rFonts w:ascii="Arial" w:hAnsi="Arial" w:cs="Arial"/>
        </w:rPr>
        <w:t>.</w:t>
      </w:r>
      <w:r>
        <w:rPr>
          <w:rFonts w:ascii="Arial" w:hAnsi="Arial" w:cs="Arial"/>
        </w:rPr>
        <w:t xml:space="preserve"> tematy badawcze dotyczące ochrony roślin realizowane były w następującym zakresie:</w:t>
      </w:r>
    </w:p>
    <w:p w14:paraId="3A3F3C0E" w14:textId="2FB30D66" w:rsidR="00AC7685" w:rsidRDefault="00AC7685" w:rsidP="00AC7685">
      <w:pPr>
        <w:pStyle w:val="NormalnyWeb"/>
        <w:numPr>
          <w:ilvl w:val="0"/>
          <w:numId w:val="42"/>
        </w:numPr>
        <w:tabs>
          <w:tab w:val="left" w:pos="284"/>
        </w:tabs>
        <w:spacing w:beforeAutospacing="0" w:after="120" w:afterAutospacing="0" w:line="360" w:lineRule="auto"/>
        <w:jc w:val="both"/>
        <w:rPr>
          <w:rFonts w:ascii="Arial" w:hAnsi="Arial" w:cs="Arial"/>
        </w:rPr>
      </w:pPr>
      <w:r>
        <w:rPr>
          <w:rFonts w:ascii="Arial" w:hAnsi="Arial" w:cs="Arial"/>
        </w:rPr>
        <w:t>w</w:t>
      </w:r>
      <w:r w:rsidRPr="000C4A5D">
        <w:rPr>
          <w:rFonts w:ascii="Arial" w:hAnsi="Arial" w:cs="Arial"/>
        </w:rPr>
        <w:t xml:space="preserve">arzywnictwo ekologiczne, w tym uprawa ziół: </w:t>
      </w:r>
      <w:r w:rsidR="009C02BF">
        <w:rPr>
          <w:rFonts w:ascii="Arial" w:hAnsi="Arial" w:cs="Arial"/>
        </w:rPr>
        <w:t>B</w:t>
      </w:r>
      <w:r w:rsidRPr="000C4A5D">
        <w:rPr>
          <w:rFonts w:ascii="Arial" w:hAnsi="Arial" w:cs="Arial"/>
        </w:rPr>
        <w:t>adania i ocena substancji podstawowych stosowanych w uprawie warzyw i ziół w uprawie ekologicznej. Określenie dobrych praktyk, standardów postępowania, opracowanie przewodnika wraz z wytycznymi w zakresie przeciwdziałania takim przypadkom</w:t>
      </w:r>
      <w:r>
        <w:rPr>
          <w:rFonts w:ascii="Arial" w:hAnsi="Arial" w:cs="Arial"/>
        </w:rPr>
        <w:t xml:space="preserve"> – Szkoła główna Gospodarstwa Wiejskiego,</w:t>
      </w:r>
    </w:p>
    <w:p w14:paraId="26EFB4A9" w14:textId="6FF444D4" w:rsidR="00AC7685" w:rsidRDefault="00AC7685" w:rsidP="00AC7685">
      <w:pPr>
        <w:pStyle w:val="NormalnyWeb"/>
        <w:numPr>
          <w:ilvl w:val="0"/>
          <w:numId w:val="42"/>
        </w:numPr>
        <w:tabs>
          <w:tab w:val="left" w:pos="284"/>
        </w:tabs>
        <w:spacing w:after="120" w:line="360" w:lineRule="auto"/>
        <w:jc w:val="both"/>
        <w:rPr>
          <w:rFonts w:ascii="Arial" w:hAnsi="Arial" w:cs="Arial"/>
        </w:rPr>
      </w:pPr>
      <w:r>
        <w:rPr>
          <w:rFonts w:ascii="Arial" w:hAnsi="Arial" w:cs="Arial"/>
        </w:rPr>
        <w:t>s</w:t>
      </w:r>
      <w:r w:rsidRPr="00C15C3C">
        <w:rPr>
          <w:rFonts w:ascii="Arial" w:hAnsi="Arial" w:cs="Arial"/>
        </w:rPr>
        <w:t>adownictwo metodami ekologicznymi: badania i ocena substancji podstawowych stosowanych w ochronie roślin sadowniczych w uprawie ekologicznej. Opracowanie przewodnika w zakresie rodzaju i sposobu stosowania substancji podstawowych w rolnictwie ekologicznym, z</w:t>
      </w:r>
      <w:r>
        <w:rPr>
          <w:rFonts w:ascii="Arial" w:hAnsi="Arial" w:cs="Arial"/>
        </w:rPr>
        <w:t> </w:t>
      </w:r>
      <w:r w:rsidRPr="00C15C3C">
        <w:rPr>
          <w:rFonts w:ascii="Arial" w:hAnsi="Arial" w:cs="Arial"/>
        </w:rPr>
        <w:t>uwzględnieniem dotychczasowych badań i opracowań oraz dostępnej wiedzy</w:t>
      </w:r>
      <w:r>
        <w:rPr>
          <w:rFonts w:ascii="Arial" w:hAnsi="Arial" w:cs="Arial"/>
        </w:rPr>
        <w:t xml:space="preserve">. </w:t>
      </w:r>
      <w:r w:rsidRPr="00C15C3C">
        <w:rPr>
          <w:rFonts w:ascii="Arial" w:hAnsi="Arial" w:cs="Arial"/>
        </w:rPr>
        <w:t xml:space="preserve">Opracowanie </w:t>
      </w:r>
      <w:r w:rsidRPr="00C15C3C">
        <w:rPr>
          <w:rFonts w:ascii="Arial" w:hAnsi="Arial" w:cs="Arial"/>
        </w:rPr>
        <w:lastRenderedPageBreak/>
        <w:t xml:space="preserve">metod ochrony borówki wysokiej przed muszką plamoskrzydłą </w:t>
      </w:r>
      <w:proofErr w:type="spellStart"/>
      <w:r w:rsidRPr="00C15C3C">
        <w:rPr>
          <w:rFonts w:ascii="Arial" w:hAnsi="Arial" w:cs="Arial"/>
        </w:rPr>
        <w:t>Drosophila</w:t>
      </w:r>
      <w:proofErr w:type="spellEnd"/>
      <w:r w:rsidRPr="00C15C3C">
        <w:rPr>
          <w:rFonts w:ascii="Arial" w:hAnsi="Arial" w:cs="Arial"/>
        </w:rPr>
        <w:t xml:space="preserve"> </w:t>
      </w:r>
      <w:proofErr w:type="spellStart"/>
      <w:r w:rsidRPr="00C15C3C">
        <w:rPr>
          <w:rFonts w:ascii="Arial" w:hAnsi="Arial" w:cs="Arial"/>
        </w:rPr>
        <w:t>suzukii</w:t>
      </w:r>
      <w:proofErr w:type="spellEnd"/>
      <w:r w:rsidRPr="00C15C3C">
        <w:rPr>
          <w:rFonts w:ascii="Arial" w:hAnsi="Arial" w:cs="Arial"/>
        </w:rPr>
        <w:t xml:space="preserve"> (</w:t>
      </w:r>
      <w:proofErr w:type="spellStart"/>
      <w:r w:rsidRPr="00C15C3C">
        <w:rPr>
          <w:rFonts w:ascii="Arial" w:hAnsi="Arial" w:cs="Arial"/>
        </w:rPr>
        <w:t>Matsumura</w:t>
      </w:r>
      <w:proofErr w:type="spellEnd"/>
      <w:r w:rsidRPr="00C15C3C">
        <w:rPr>
          <w:rFonts w:ascii="Arial" w:hAnsi="Arial" w:cs="Arial"/>
        </w:rPr>
        <w:t>) oraz patogenami powodującymi szarą pleśń (</w:t>
      </w:r>
      <w:proofErr w:type="spellStart"/>
      <w:r w:rsidRPr="00C15C3C">
        <w:rPr>
          <w:rFonts w:ascii="Arial" w:hAnsi="Arial" w:cs="Arial"/>
        </w:rPr>
        <w:t>Botrytis</w:t>
      </w:r>
      <w:proofErr w:type="spellEnd"/>
      <w:r w:rsidRPr="00C15C3C">
        <w:rPr>
          <w:rFonts w:ascii="Arial" w:hAnsi="Arial" w:cs="Arial"/>
        </w:rPr>
        <w:t xml:space="preserve"> </w:t>
      </w:r>
      <w:proofErr w:type="spellStart"/>
      <w:r w:rsidRPr="00C15C3C">
        <w:rPr>
          <w:rFonts w:ascii="Arial" w:hAnsi="Arial" w:cs="Arial"/>
        </w:rPr>
        <w:t>cinerea</w:t>
      </w:r>
      <w:proofErr w:type="spellEnd"/>
      <w:r w:rsidRPr="00C15C3C">
        <w:rPr>
          <w:rFonts w:ascii="Arial" w:hAnsi="Arial" w:cs="Arial"/>
        </w:rPr>
        <w:t>) i antraknozę (</w:t>
      </w:r>
      <w:proofErr w:type="spellStart"/>
      <w:r w:rsidRPr="00C15C3C">
        <w:rPr>
          <w:rFonts w:ascii="Arial" w:hAnsi="Arial" w:cs="Arial"/>
        </w:rPr>
        <w:t>Colletotrichum</w:t>
      </w:r>
      <w:proofErr w:type="spellEnd"/>
      <w:r w:rsidRPr="00C15C3C">
        <w:rPr>
          <w:rFonts w:ascii="Arial" w:hAnsi="Arial" w:cs="Arial"/>
        </w:rPr>
        <w:t xml:space="preserve"> </w:t>
      </w:r>
      <w:proofErr w:type="spellStart"/>
      <w:r w:rsidRPr="00C15C3C">
        <w:rPr>
          <w:rFonts w:ascii="Arial" w:hAnsi="Arial" w:cs="Arial"/>
        </w:rPr>
        <w:t>acutatum</w:t>
      </w:r>
      <w:proofErr w:type="spellEnd"/>
      <w:r w:rsidRPr="00C15C3C">
        <w:rPr>
          <w:rFonts w:ascii="Arial" w:hAnsi="Arial" w:cs="Arial"/>
        </w:rPr>
        <w:t xml:space="preserve"> sensu lato), w ekologicznym systemie produkcji</w:t>
      </w:r>
      <w:r>
        <w:rPr>
          <w:rFonts w:ascii="Arial" w:hAnsi="Arial" w:cs="Arial"/>
        </w:rPr>
        <w:t xml:space="preserve"> </w:t>
      </w:r>
      <w:r w:rsidR="007322D1">
        <w:rPr>
          <w:rFonts w:ascii="Arial" w:hAnsi="Arial" w:cs="Arial"/>
        </w:rPr>
        <w:t>-</w:t>
      </w:r>
      <w:r>
        <w:rPr>
          <w:rFonts w:ascii="Arial" w:hAnsi="Arial" w:cs="Arial"/>
        </w:rPr>
        <w:t xml:space="preserve"> Instytut Ogrodnictwa – PIB,</w:t>
      </w:r>
    </w:p>
    <w:p w14:paraId="54F28D7C" w14:textId="5DCADB23" w:rsidR="00AC7685" w:rsidRDefault="00AC7685" w:rsidP="00AC7685">
      <w:pPr>
        <w:pStyle w:val="NormalnyWeb"/>
        <w:numPr>
          <w:ilvl w:val="0"/>
          <w:numId w:val="42"/>
        </w:numPr>
        <w:tabs>
          <w:tab w:val="left" w:pos="284"/>
        </w:tabs>
        <w:spacing w:after="120" w:line="360" w:lineRule="auto"/>
        <w:jc w:val="both"/>
        <w:rPr>
          <w:rFonts w:ascii="Arial" w:hAnsi="Arial" w:cs="Arial"/>
        </w:rPr>
      </w:pPr>
      <w:r>
        <w:rPr>
          <w:rFonts w:ascii="Arial" w:hAnsi="Arial" w:cs="Arial"/>
        </w:rPr>
        <w:t>u</w:t>
      </w:r>
      <w:r w:rsidRPr="003572CC">
        <w:rPr>
          <w:rFonts w:ascii="Arial" w:hAnsi="Arial" w:cs="Arial"/>
        </w:rPr>
        <w:t>prawy polowe metodami ekologicznymi - badania i ocena substancji podstawowych stosowanych w ochronie roślin rolniczych w uprawie ekologicznej. Opracowanie przewodnika w zakresie rodzaju i sposobu stosowania substancji podstawowych w rolnictwie ekologicznym</w:t>
      </w:r>
      <w:r>
        <w:rPr>
          <w:rFonts w:ascii="Arial" w:hAnsi="Arial" w:cs="Arial"/>
        </w:rPr>
        <w:t>,</w:t>
      </w:r>
      <w:r w:rsidRPr="003572CC">
        <w:rPr>
          <w:rFonts w:ascii="Arial" w:hAnsi="Arial" w:cs="Arial"/>
        </w:rPr>
        <w:t xml:space="preserve"> z uwzględnieniem dotychczasowych badań i opracowań oraz dostępnej wiedzy - Opracowanie narzędzia internetowego umożliwiającego wyszukania substancji podstawowej wraz z jej przeznaczeniem dla ochrony upraw ekologicznych</w:t>
      </w:r>
      <w:r>
        <w:rPr>
          <w:rFonts w:ascii="Arial" w:hAnsi="Arial" w:cs="Arial"/>
        </w:rPr>
        <w:t xml:space="preserve"> </w:t>
      </w:r>
      <w:r w:rsidR="007322D1">
        <w:rPr>
          <w:rFonts w:ascii="Arial" w:hAnsi="Arial" w:cs="Arial"/>
        </w:rPr>
        <w:t>-</w:t>
      </w:r>
      <w:r>
        <w:rPr>
          <w:rFonts w:ascii="Arial" w:hAnsi="Arial" w:cs="Arial"/>
        </w:rPr>
        <w:t xml:space="preserve"> Instytut Ochrony Roślin – PIB,</w:t>
      </w:r>
    </w:p>
    <w:p w14:paraId="782AC2EF" w14:textId="02E67285" w:rsidR="00AC7685" w:rsidRDefault="00AC7685" w:rsidP="00AC7685">
      <w:pPr>
        <w:pStyle w:val="NormalnyWeb"/>
        <w:numPr>
          <w:ilvl w:val="0"/>
          <w:numId w:val="42"/>
        </w:numPr>
        <w:tabs>
          <w:tab w:val="left" w:pos="284"/>
        </w:tabs>
        <w:spacing w:after="120" w:line="360" w:lineRule="auto"/>
        <w:jc w:val="both"/>
        <w:rPr>
          <w:rFonts w:ascii="Arial" w:hAnsi="Arial" w:cs="Arial"/>
        </w:rPr>
      </w:pPr>
      <w:r>
        <w:rPr>
          <w:rFonts w:ascii="Arial" w:hAnsi="Arial" w:cs="Arial"/>
        </w:rPr>
        <w:t>w</w:t>
      </w:r>
      <w:r w:rsidRPr="00EF28A0">
        <w:rPr>
          <w:rFonts w:ascii="Arial" w:hAnsi="Arial" w:cs="Arial"/>
        </w:rPr>
        <w:t>arzywnictwo ekologiczne, w tym uprawa ziół</w:t>
      </w:r>
      <w:r>
        <w:rPr>
          <w:rFonts w:ascii="Arial" w:hAnsi="Arial" w:cs="Arial"/>
        </w:rPr>
        <w:t xml:space="preserve">. </w:t>
      </w:r>
      <w:r w:rsidRPr="00EF28A0">
        <w:rPr>
          <w:rFonts w:ascii="Arial" w:hAnsi="Arial" w:cs="Arial"/>
        </w:rPr>
        <w:t>Badania w zakresie ochrony warzyw przed chorobami i szkodnikami. Opracowanie, w formie przewodnika, metod zapobiegawczych przed chorobami i szkodnikami</w:t>
      </w:r>
      <w:r>
        <w:rPr>
          <w:rFonts w:ascii="Arial" w:hAnsi="Arial" w:cs="Arial"/>
        </w:rPr>
        <w:t xml:space="preserve">. </w:t>
      </w:r>
      <w:r w:rsidRPr="00EF28A0">
        <w:rPr>
          <w:rFonts w:ascii="Arial" w:hAnsi="Arial" w:cs="Arial"/>
        </w:rPr>
        <w:t xml:space="preserve">Możliwości wykorzystania substancji podstawowych i </w:t>
      </w:r>
      <w:proofErr w:type="spellStart"/>
      <w:r w:rsidRPr="00EF28A0">
        <w:rPr>
          <w:rFonts w:ascii="Arial" w:hAnsi="Arial" w:cs="Arial"/>
        </w:rPr>
        <w:t>bioproduktów</w:t>
      </w:r>
      <w:proofErr w:type="spellEnd"/>
      <w:r w:rsidRPr="00EF28A0">
        <w:rPr>
          <w:rFonts w:ascii="Arial" w:hAnsi="Arial" w:cs="Arial"/>
        </w:rPr>
        <w:t xml:space="preserve"> w ochronie ekologicznych upraw jarmużu, kalafiora i kapusty głowiastej przed chorobami i</w:t>
      </w:r>
      <w:r>
        <w:rPr>
          <w:rFonts w:ascii="Arial" w:hAnsi="Arial" w:cs="Arial"/>
        </w:rPr>
        <w:t> </w:t>
      </w:r>
      <w:r w:rsidRPr="00EF28A0">
        <w:rPr>
          <w:rFonts w:ascii="Arial" w:hAnsi="Arial" w:cs="Arial"/>
        </w:rPr>
        <w:t>szkodnikami</w:t>
      </w:r>
      <w:r w:rsidR="007322D1">
        <w:rPr>
          <w:rFonts w:ascii="Arial" w:hAnsi="Arial" w:cs="Arial"/>
        </w:rPr>
        <w:t xml:space="preserve"> -</w:t>
      </w:r>
      <w:r>
        <w:rPr>
          <w:rFonts w:ascii="Arial" w:hAnsi="Arial" w:cs="Arial"/>
        </w:rPr>
        <w:t xml:space="preserve"> Instytut Ogrodnictwa – PIB,</w:t>
      </w:r>
    </w:p>
    <w:p w14:paraId="1B853274" w14:textId="4624AF7D" w:rsidR="00AC7685" w:rsidRPr="00850F5D" w:rsidRDefault="00AC7685" w:rsidP="00AC7685">
      <w:pPr>
        <w:pStyle w:val="NormalnyWeb"/>
        <w:numPr>
          <w:ilvl w:val="0"/>
          <w:numId w:val="42"/>
        </w:numPr>
        <w:tabs>
          <w:tab w:val="left" w:pos="284"/>
        </w:tabs>
        <w:spacing w:after="120" w:line="360" w:lineRule="auto"/>
        <w:jc w:val="both"/>
        <w:rPr>
          <w:rFonts w:ascii="Arial" w:hAnsi="Arial" w:cs="Arial"/>
        </w:rPr>
      </w:pPr>
      <w:r>
        <w:rPr>
          <w:rFonts w:ascii="Arial" w:hAnsi="Arial" w:cs="Arial"/>
        </w:rPr>
        <w:t>s</w:t>
      </w:r>
      <w:r w:rsidRPr="00850F5D">
        <w:rPr>
          <w:rFonts w:ascii="Arial" w:hAnsi="Arial" w:cs="Arial"/>
        </w:rPr>
        <w:t>adownictwo metodami ekologicznymi</w:t>
      </w:r>
      <w:r>
        <w:rPr>
          <w:rFonts w:ascii="Arial" w:hAnsi="Arial" w:cs="Arial"/>
        </w:rPr>
        <w:t xml:space="preserve">. </w:t>
      </w:r>
      <w:r w:rsidRPr="00850F5D">
        <w:rPr>
          <w:rFonts w:ascii="Arial" w:hAnsi="Arial" w:cs="Arial"/>
        </w:rPr>
        <w:t>Badania i ocena substancji podstawowych stosowanych w ochronie roślin sadowniczych w uprawie ekologicznej. Opracowanie przewodnika w zakresie rodzaju i sposobu stosowania substancji podstawowych w rolnictwie ekologicznym, z</w:t>
      </w:r>
      <w:r>
        <w:rPr>
          <w:rFonts w:ascii="Arial" w:hAnsi="Arial" w:cs="Arial"/>
        </w:rPr>
        <w:t> </w:t>
      </w:r>
      <w:r w:rsidRPr="00850F5D">
        <w:rPr>
          <w:rFonts w:ascii="Arial" w:hAnsi="Arial" w:cs="Arial"/>
        </w:rPr>
        <w:t>uwzględnieniem dotychczasowych badań i opracowań oraz dostępnej wiedzy</w:t>
      </w:r>
      <w:r>
        <w:rPr>
          <w:rFonts w:ascii="Arial" w:hAnsi="Arial" w:cs="Arial"/>
        </w:rPr>
        <w:t xml:space="preserve">. </w:t>
      </w:r>
      <w:r w:rsidRPr="00850F5D">
        <w:rPr>
          <w:rFonts w:ascii="Arial" w:hAnsi="Arial" w:cs="Arial"/>
        </w:rPr>
        <w:t>Zastosowanie substancji podstawowych do ograniczania populacji agrofagów (szkodników i chorób) na rokitniku</w:t>
      </w:r>
      <w:r>
        <w:rPr>
          <w:rFonts w:ascii="Arial" w:hAnsi="Arial" w:cs="Arial"/>
        </w:rPr>
        <w:t xml:space="preserve"> </w:t>
      </w:r>
      <w:r w:rsidR="007322D1">
        <w:rPr>
          <w:rFonts w:ascii="Arial" w:hAnsi="Arial" w:cs="Arial"/>
        </w:rPr>
        <w:t>-</w:t>
      </w:r>
      <w:r>
        <w:rPr>
          <w:rFonts w:ascii="Arial" w:hAnsi="Arial" w:cs="Arial"/>
        </w:rPr>
        <w:t xml:space="preserve"> Instytut Ogrodnictwa – PIB.</w:t>
      </w:r>
    </w:p>
    <w:p w14:paraId="12C25BE9" w14:textId="7A6DCA60" w:rsidR="00056846" w:rsidRPr="00925BCD" w:rsidRDefault="00E54725" w:rsidP="00A131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naukowe realizowane na rzecz rolnictwa ekologicznego stanowią istotne wsparcie dla tego sektora produkcji. Pozwalają bowiem na opracowywanie nowych technologii produkcji ekologicznej, przez co staje się ona prostsza i obarczona mniejszym ryzykiem. </w:t>
      </w:r>
    </w:p>
    <w:p w14:paraId="454CAD7F" w14:textId="77777777" w:rsidR="00056846" w:rsidRPr="00925BCD" w:rsidRDefault="00E54725" w:rsidP="00A131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działania, priorytetowo są realizowane prace na rzecz zapewnienia odpowiedniego asortymentu i wyboru środków ochrony roślin dopuszczonych do stosowania w rolnictwie ekologicznym oraz substancji podstawowych. </w:t>
      </w:r>
    </w:p>
    <w:p w14:paraId="29A8AF4A" w14:textId="7338B622" w:rsidR="0099131F" w:rsidRDefault="00E54725" w:rsidP="0099131F">
      <w:pPr>
        <w:pStyle w:val="NormalnyWeb"/>
        <w:tabs>
          <w:tab w:val="left" w:pos="284"/>
        </w:tabs>
        <w:spacing w:beforeAutospacing="0" w:after="120" w:afterAutospacing="0" w:line="360" w:lineRule="auto"/>
        <w:ind w:firstLine="284"/>
        <w:jc w:val="both"/>
        <w:rPr>
          <w:rFonts w:ascii="Arial" w:hAnsi="Arial" w:cs="Arial"/>
          <w:color w:val="000000"/>
        </w:rPr>
      </w:pPr>
      <w:r w:rsidRPr="00925BCD">
        <w:rPr>
          <w:rFonts w:ascii="Arial" w:hAnsi="Arial" w:cs="Arial"/>
          <w:b/>
        </w:rPr>
        <w:t>W 2018 r.</w:t>
      </w:r>
      <w:r w:rsidRPr="00925BCD">
        <w:rPr>
          <w:rFonts w:ascii="Arial" w:hAnsi="Arial" w:cs="Arial"/>
        </w:rPr>
        <w:t xml:space="preserve"> 96 środków ochrony roślin, zawierających substancje czynne zakwalifikowane do stosowania w rolnictwie ekologicznym było dopuszczonych do obrotu. </w:t>
      </w:r>
      <w:r w:rsidR="0099131F" w:rsidRPr="00925BCD">
        <w:rPr>
          <w:rFonts w:ascii="Arial" w:hAnsi="Arial" w:cs="Arial"/>
        </w:rPr>
        <w:t>Z</w:t>
      </w:r>
      <w:r w:rsidRPr="00925BCD">
        <w:rPr>
          <w:rFonts w:ascii="Arial" w:hAnsi="Arial" w:cs="Arial"/>
        </w:rPr>
        <w:t>arejestrowanych zostało 22</w:t>
      </w:r>
      <w:r w:rsidR="00E13D1F">
        <w:rPr>
          <w:rFonts w:ascii="Arial" w:hAnsi="Arial" w:cs="Arial"/>
        </w:rPr>
        <w:t> </w:t>
      </w:r>
      <w:r w:rsidR="006D456B">
        <w:rPr>
          <w:rFonts w:ascii="Arial" w:hAnsi="Arial" w:cs="Arial"/>
        </w:rPr>
        <w:t xml:space="preserve">nowych </w:t>
      </w:r>
      <w:r w:rsidRPr="00925BCD">
        <w:rPr>
          <w:rFonts w:ascii="Arial" w:hAnsi="Arial" w:cs="Arial"/>
        </w:rPr>
        <w:t xml:space="preserve">takich preparatów (12 fungicydów, 4 insektycydy, 1 środek wykazujący zarówno właściwości fungicydu, jak i insektycydu, 2 </w:t>
      </w:r>
      <w:proofErr w:type="spellStart"/>
      <w:r w:rsidRPr="00925BCD">
        <w:rPr>
          <w:rFonts w:ascii="Arial" w:hAnsi="Arial" w:cs="Arial"/>
        </w:rPr>
        <w:t>moluskocydy</w:t>
      </w:r>
      <w:proofErr w:type="spellEnd"/>
      <w:r w:rsidRPr="00925BCD">
        <w:rPr>
          <w:rFonts w:ascii="Arial" w:hAnsi="Arial" w:cs="Arial"/>
        </w:rPr>
        <w:t xml:space="preserve"> oraz 1 regulator wzrostu oraz 2 </w:t>
      </w:r>
      <w:proofErr w:type="spellStart"/>
      <w:r w:rsidRPr="00925BCD">
        <w:rPr>
          <w:rFonts w:ascii="Arial" w:hAnsi="Arial" w:cs="Arial"/>
        </w:rPr>
        <w:t>atraktanty</w:t>
      </w:r>
      <w:proofErr w:type="spellEnd"/>
      <w:r w:rsidRPr="00925BCD">
        <w:rPr>
          <w:rFonts w:ascii="Arial" w:hAnsi="Arial" w:cs="Arial"/>
        </w:rPr>
        <w:t>).</w:t>
      </w:r>
      <w:r w:rsidR="0099131F" w:rsidRPr="00925BCD">
        <w:rPr>
          <w:rFonts w:ascii="Arial" w:hAnsi="Arial" w:cs="Arial"/>
        </w:rPr>
        <w:t xml:space="preserve"> </w:t>
      </w:r>
      <w:r w:rsidR="0099131F" w:rsidRPr="00925BCD">
        <w:rPr>
          <w:rFonts w:ascii="Arial" w:hAnsi="Arial" w:cs="Arial"/>
          <w:b/>
        </w:rPr>
        <w:t xml:space="preserve">W 2019 r. </w:t>
      </w:r>
      <w:r w:rsidR="0099131F" w:rsidRPr="00925BCD">
        <w:rPr>
          <w:rFonts w:ascii="Arial" w:hAnsi="Arial" w:cs="Arial"/>
        </w:rPr>
        <w:t xml:space="preserve">110 środków ochrony roślin, zawierających substancje czynne zakwalifikowane do stosowania w rolnictwie ekologicznym było dopuszczonych do obrotu. Zarejestrowanych zostało 21 takich preparatów (5 fungicydów, 1 środek wykazujący zarówno właściwości fungicydu, jak i bakteriocydu, 1 środek wykazujący zarówno właściwości fungicydu, jak i </w:t>
      </w:r>
      <w:proofErr w:type="spellStart"/>
      <w:r w:rsidR="0099131F" w:rsidRPr="00925BCD">
        <w:rPr>
          <w:rFonts w:ascii="Arial" w:hAnsi="Arial" w:cs="Arial"/>
        </w:rPr>
        <w:t>akarycydu</w:t>
      </w:r>
      <w:proofErr w:type="spellEnd"/>
      <w:r w:rsidR="0099131F" w:rsidRPr="00925BCD">
        <w:rPr>
          <w:rFonts w:ascii="Arial" w:hAnsi="Arial" w:cs="Arial"/>
        </w:rPr>
        <w:t xml:space="preserve">, 8 insektycydów, 2 </w:t>
      </w:r>
      <w:proofErr w:type="spellStart"/>
      <w:r w:rsidR="0099131F" w:rsidRPr="00925BCD">
        <w:rPr>
          <w:rFonts w:ascii="Arial" w:hAnsi="Arial" w:cs="Arial"/>
        </w:rPr>
        <w:t>moluskocydy</w:t>
      </w:r>
      <w:proofErr w:type="spellEnd"/>
      <w:r w:rsidR="0099131F" w:rsidRPr="00925BCD">
        <w:rPr>
          <w:rFonts w:ascii="Arial" w:hAnsi="Arial" w:cs="Arial"/>
        </w:rPr>
        <w:t xml:space="preserve">, 2 stymulatory odporności oraz 1 repelent oraz 1 </w:t>
      </w:r>
      <w:proofErr w:type="spellStart"/>
      <w:r w:rsidR="0099131F" w:rsidRPr="00925BCD">
        <w:rPr>
          <w:rFonts w:ascii="Arial" w:hAnsi="Arial" w:cs="Arial"/>
        </w:rPr>
        <w:t>atraktant</w:t>
      </w:r>
      <w:proofErr w:type="spellEnd"/>
      <w:r w:rsidR="0099131F" w:rsidRPr="00812F0B">
        <w:rPr>
          <w:rFonts w:ascii="Arial" w:hAnsi="Arial" w:cs="Arial"/>
        </w:rPr>
        <w:t>).</w:t>
      </w:r>
      <w:r w:rsidR="00812F0B" w:rsidRPr="00812F0B">
        <w:rPr>
          <w:rFonts w:ascii="Arial" w:hAnsi="Arial" w:cs="Arial"/>
          <w:color w:val="000000"/>
        </w:rPr>
        <w:t xml:space="preserve"> W</w:t>
      </w:r>
      <w:r w:rsidR="00812F0B" w:rsidRPr="00812F0B">
        <w:rPr>
          <w:rFonts w:ascii="Arial" w:hAnsi="Arial" w:cs="Arial"/>
          <w:b/>
          <w:bCs/>
          <w:color w:val="000000"/>
        </w:rPr>
        <w:t xml:space="preserve"> 2020 r.</w:t>
      </w:r>
      <w:r w:rsidR="00812F0B" w:rsidRPr="00812F0B">
        <w:rPr>
          <w:rFonts w:ascii="Arial" w:hAnsi="Arial" w:cs="Arial"/>
          <w:color w:val="000000"/>
        </w:rPr>
        <w:t xml:space="preserve"> 123 środki ochrony roślin, zawierając</w:t>
      </w:r>
      <w:r w:rsidR="00593E71">
        <w:rPr>
          <w:rFonts w:ascii="Arial" w:hAnsi="Arial" w:cs="Arial"/>
          <w:color w:val="000000"/>
        </w:rPr>
        <w:t>e</w:t>
      </w:r>
      <w:r w:rsidR="00812F0B" w:rsidRPr="00812F0B">
        <w:rPr>
          <w:rFonts w:ascii="Arial" w:hAnsi="Arial" w:cs="Arial"/>
          <w:color w:val="000000"/>
        </w:rPr>
        <w:t xml:space="preserve"> substancje czynne zakwalifikowane do stosowania w rolnictwie ekologicznym był</w:t>
      </w:r>
      <w:r w:rsidR="00593E71">
        <w:rPr>
          <w:rFonts w:ascii="Arial" w:hAnsi="Arial" w:cs="Arial"/>
          <w:color w:val="000000"/>
        </w:rPr>
        <w:t>y</w:t>
      </w:r>
      <w:r w:rsidR="00812F0B" w:rsidRPr="00812F0B">
        <w:rPr>
          <w:rFonts w:ascii="Arial" w:hAnsi="Arial" w:cs="Arial"/>
          <w:color w:val="000000"/>
        </w:rPr>
        <w:t xml:space="preserve"> dopuszczon</w:t>
      </w:r>
      <w:r w:rsidR="00593E71">
        <w:rPr>
          <w:rFonts w:ascii="Arial" w:hAnsi="Arial" w:cs="Arial"/>
          <w:color w:val="000000"/>
        </w:rPr>
        <w:t>e</w:t>
      </w:r>
      <w:r w:rsidR="00812F0B" w:rsidRPr="00812F0B">
        <w:rPr>
          <w:rFonts w:ascii="Arial" w:hAnsi="Arial" w:cs="Arial"/>
          <w:color w:val="000000"/>
        </w:rPr>
        <w:t xml:space="preserve"> do obrotu. Zarejestrowanych zostało 11 takich preparatów (5 fungicydów, 2</w:t>
      </w:r>
      <w:r w:rsidR="00E13D1F">
        <w:rPr>
          <w:rFonts w:ascii="Arial" w:hAnsi="Arial" w:cs="Arial"/>
          <w:color w:val="000000"/>
        </w:rPr>
        <w:t> </w:t>
      </w:r>
      <w:r w:rsidR="00812F0B" w:rsidRPr="00812F0B">
        <w:rPr>
          <w:rFonts w:ascii="Arial" w:hAnsi="Arial" w:cs="Arial"/>
          <w:color w:val="000000"/>
        </w:rPr>
        <w:t xml:space="preserve">insektycydy, 1 </w:t>
      </w:r>
      <w:proofErr w:type="spellStart"/>
      <w:r w:rsidR="00812F0B" w:rsidRPr="00812F0B">
        <w:rPr>
          <w:rFonts w:ascii="Arial" w:hAnsi="Arial" w:cs="Arial"/>
          <w:color w:val="000000"/>
        </w:rPr>
        <w:t>nematocyd</w:t>
      </w:r>
      <w:proofErr w:type="spellEnd"/>
      <w:r w:rsidR="00812F0B" w:rsidRPr="00812F0B">
        <w:rPr>
          <w:rFonts w:ascii="Arial" w:hAnsi="Arial" w:cs="Arial"/>
          <w:color w:val="000000"/>
        </w:rPr>
        <w:t>, 1 repelent, 1 środek wykazujący zarówno właściwości insektycydu, jak i</w:t>
      </w:r>
      <w:r w:rsidR="00E13D1F">
        <w:rPr>
          <w:rFonts w:ascii="Arial" w:hAnsi="Arial" w:cs="Arial"/>
          <w:color w:val="000000"/>
        </w:rPr>
        <w:t> </w:t>
      </w:r>
      <w:proofErr w:type="spellStart"/>
      <w:r w:rsidR="00812F0B" w:rsidRPr="00812F0B">
        <w:rPr>
          <w:rFonts w:ascii="Arial" w:hAnsi="Arial" w:cs="Arial"/>
          <w:color w:val="000000"/>
        </w:rPr>
        <w:t>akarycydu</w:t>
      </w:r>
      <w:proofErr w:type="spellEnd"/>
      <w:r w:rsidR="00812F0B" w:rsidRPr="00812F0B">
        <w:rPr>
          <w:rFonts w:ascii="Arial" w:hAnsi="Arial" w:cs="Arial"/>
          <w:color w:val="000000"/>
        </w:rPr>
        <w:t xml:space="preserve">, 1 środek wykazujący zarówno właściwości fungicydu, insektycydu i </w:t>
      </w:r>
      <w:proofErr w:type="spellStart"/>
      <w:r w:rsidR="00812F0B" w:rsidRPr="00812F0B">
        <w:rPr>
          <w:rFonts w:ascii="Arial" w:hAnsi="Arial" w:cs="Arial"/>
          <w:color w:val="000000"/>
        </w:rPr>
        <w:t>akarycydu</w:t>
      </w:r>
      <w:proofErr w:type="spellEnd"/>
      <w:r w:rsidR="00812F0B" w:rsidRPr="00812F0B">
        <w:rPr>
          <w:rFonts w:ascii="Arial" w:hAnsi="Arial" w:cs="Arial"/>
          <w:color w:val="000000"/>
        </w:rPr>
        <w:t>).</w:t>
      </w:r>
    </w:p>
    <w:p w14:paraId="4F543EAB" w14:textId="5F43916C" w:rsidR="00593E71" w:rsidRDefault="00593E71" w:rsidP="0099131F">
      <w:pPr>
        <w:pStyle w:val="NormalnyWeb"/>
        <w:tabs>
          <w:tab w:val="left" w:pos="284"/>
        </w:tabs>
        <w:spacing w:beforeAutospacing="0" w:after="120" w:afterAutospacing="0" w:line="360" w:lineRule="auto"/>
        <w:ind w:firstLine="284"/>
        <w:jc w:val="both"/>
        <w:rPr>
          <w:rFonts w:ascii="Arial" w:hAnsi="Arial" w:cs="Arial"/>
          <w:color w:val="000000"/>
        </w:rPr>
      </w:pPr>
      <w:r w:rsidRPr="00593E71">
        <w:rPr>
          <w:rFonts w:ascii="Arial" w:hAnsi="Arial" w:cs="Arial"/>
          <w:b/>
          <w:color w:val="000000"/>
        </w:rPr>
        <w:lastRenderedPageBreak/>
        <w:t>W 2021 r</w:t>
      </w:r>
      <w:r w:rsidRPr="00593E71">
        <w:rPr>
          <w:rFonts w:ascii="Arial" w:hAnsi="Arial" w:cs="Arial"/>
          <w:color w:val="000000"/>
        </w:rPr>
        <w:t xml:space="preserve">. </w:t>
      </w:r>
      <w:r>
        <w:rPr>
          <w:rFonts w:ascii="Arial" w:hAnsi="Arial" w:cs="Arial"/>
          <w:color w:val="000000"/>
        </w:rPr>
        <w:t xml:space="preserve">podobnie jak w 2020 r. </w:t>
      </w:r>
      <w:r w:rsidRPr="00593E71">
        <w:rPr>
          <w:rFonts w:ascii="Arial" w:hAnsi="Arial" w:cs="Arial"/>
          <w:color w:val="000000"/>
        </w:rPr>
        <w:t>123 środk</w:t>
      </w:r>
      <w:r>
        <w:rPr>
          <w:rFonts w:ascii="Arial" w:hAnsi="Arial" w:cs="Arial"/>
          <w:color w:val="000000"/>
        </w:rPr>
        <w:t>i</w:t>
      </w:r>
      <w:r w:rsidRPr="00593E71">
        <w:rPr>
          <w:rFonts w:ascii="Arial" w:hAnsi="Arial" w:cs="Arial"/>
          <w:color w:val="000000"/>
        </w:rPr>
        <w:t xml:space="preserve"> ochrony roślin, zawierając</w:t>
      </w:r>
      <w:r>
        <w:rPr>
          <w:rFonts w:ascii="Arial" w:hAnsi="Arial" w:cs="Arial"/>
          <w:color w:val="000000"/>
        </w:rPr>
        <w:t>e</w:t>
      </w:r>
      <w:r w:rsidRPr="00593E71">
        <w:rPr>
          <w:rFonts w:ascii="Arial" w:hAnsi="Arial" w:cs="Arial"/>
          <w:color w:val="000000"/>
        </w:rPr>
        <w:t xml:space="preserve"> substancje czynne zakwalifikowane do stosowania w rolnictwie ekologicznym był</w:t>
      </w:r>
      <w:r>
        <w:rPr>
          <w:rFonts w:ascii="Arial" w:hAnsi="Arial" w:cs="Arial"/>
          <w:color w:val="000000"/>
        </w:rPr>
        <w:t>y</w:t>
      </w:r>
      <w:r w:rsidRPr="00593E71">
        <w:rPr>
          <w:rFonts w:ascii="Arial" w:hAnsi="Arial" w:cs="Arial"/>
          <w:color w:val="000000"/>
        </w:rPr>
        <w:t xml:space="preserve"> dopuszczon</w:t>
      </w:r>
      <w:r>
        <w:rPr>
          <w:rFonts w:ascii="Arial" w:hAnsi="Arial" w:cs="Arial"/>
          <w:color w:val="000000"/>
        </w:rPr>
        <w:t>e</w:t>
      </w:r>
      <w:r w:rsidRPr="00593E71">
        <w:rPr>
          <w:rFonts w:ascii="Arial" w:hAnsi="Arial" w:cs="Arial"/>
          <w:color w:val="000000"/>
        </w:rPr>
        <w:t xml:space="preserve"> do obrotu. Zarejestrowanych zostało 12 takich preparatów (2 fungicydy, 4 insektycydy, 2 regulatory wzrostu, 1</w:t>
      </w:r>
      <w:r w:rsidR="00851ECA">
        <w:rPr>
          <w:rFonts w:ascii="Arial" w:hAnsi="Arial" w:cs="Arial"/>
          <w:color w:val="000000"/>
        </w:rPr>
        <w:t> </w:t>
      </w:r>
      <w:r w:rsidRPr="00593E71">
        <w:rPr>
          <w:rFonts w:ascii="Arial" w:hAnsi="Arial" w:cs="Arial"/>
          <w:color w:val="000000"/>
        </w:rPr>
        <w:t xml:space="preserve">stymulator odporności, 1 środek wykazujący zarówno właściwości insektycydu, jak i </w:t>
      </w:r>
      <w:proofErr w:type="spellStart"/>
      <w:r w:rsidRPr="00593E71">
        <w:rPr>
          <w:rFonts w:ascii="Arial" w:hAnsi="Arial" w:cs="Arial"/>
          <w:color w:val="000000"/>
        </w:rPr>
        <w:t>akarycyd</w:t>
      </w:r>
      <w:proofErr w:type="spellEnd"/>
      <w:r w:rsidRPr="00593E71">
        <w:rPr>
          <w:rFonts w:ascii="Arial" w:hAnsi="Arial" w:cs="Arial"/>
          <w:color w:val="000000"/>
        </w:rPr>
        <w:t>).</w:t>
      </w:r>
    </w:p>
    <w:p w14:paraId="68DEC356" w14:textId="612F8A31" w:rsidR="00FC51E5" w:rsidRDefault="00FC51E5" w:rsidP="0099131F">
      <w:pPr>
        <w:pStyle w:val="NormalnyWeb"/>
        <w:tabs>
          <w:tab w:val="left" w:pos="284"/>
        </w:tabs>
        <w:spacing w:beforeAutospacing="0" w:after="120" w:afterAutospacing="0" w:line="360" w:lineRule="auto"/>
        <w:ind w:firstLine="284"/>
        <w:jc w:val="both"/>
        <w:rPr>
          <w:rFonts w:ascii="Arial" w:hAnsi="Arial" w:cs="Arial"/>
          <w:color w:val="000000"/>
        </w:rPr>
      </w:pPr>
      <w:r>
        <w:rPr>
          <w:rFonts w:ascii="Arial" w:hAnsi="Arial" w:cs="Arial"/>
          <w:color w:val="000000"/>
        </w:rPr>
        <w:t xml:space="preserve">Liczba środków ochrony roślin dopuszczonych do stosowania w rolnictwie ekologicznym sukcesywnie zatem wzrasta, co obrazuje poniższy wykres. </w:t>
      </w:r>
    </w:p>
    <w:p w14:paraId="1E0EE036" w14:textId="7009FB5A" w:rsidR="00FC51E5" w:rsidRDefault="00FC51E5" w:rsidP="0099131F">
      <w:pPr>
        <w:pStyle w:val="NormalnyWeb"/>
        <w:tabs>
          <w:tab w:val="left" w:pos="284"/>
        </w:tabs>
        <w:spacing w:beforeAutospacing="0" w:after="120" w:afterAutospacing="0" w:line="360" w:lineRule="auto"/>
        <w:ind w:firstLine="284"/>
        <w:jc w:val="both"/>
        <w:rPr>
          <w:rFonts w:ascii="Arial" w:hAnsi="Arial" w:cs="Arial"/>
        </w:rPr>
      </w:pPr>
      <w:r w:rsidRPr="000A50AF">
        <w:rPr>
          <w:rFonts w:ascii="Arial" w:hAnsi="Arial" w:cs="Arial"/>
          <w:noProof/>
          <w:color w:val="9BBB59" w:themeColor="accent3"/>
        </w:rPr>
        <w:drawing>
          <wp:inline distT="0" distB="0" distL="0" distR="0" wp14:anchorId="49FCA53B" wp14:editId="66A87180">
            <wp:extent cx="5126355" cy="2933480"/>
            <wp:effectExtent l="0" t="0" r="17145" b="63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7596EAB" w14:textId="77777777" w:rsidR="00056846" w:rsidRPr="00925BCD" w:rsidRDefault="00E54725">
      <w:pPr>
        <w:pStyle w:val="Nagwek1"/>
        <w:numPr>
          <w:ilvl w:val="1"/>
          <w:numId w:val="9"/>
        </w:numPr>
        <w:tabs>
          <w:tab w:val="left" w:pos="284"/>
        </w:tabs>
        <w:ind w:left="426" w:hanging="426"/>
        <w:jc w:val="both"/>
        <w:rPr>
          <w:i w:val="0"/>
          <w:sz w:val="22"/>
          <w:szCs w:val="22"/>
        </w:rPr>
      </w:pPr>
      <w:bookmarkStart w:id="138" w:name="_Toc134099297"/>
      <w:r w:rsidRPr="00925BCD">
        <w:rPr>
          <w:i w:val="0"/>
          <w:sz w:val="22"/>
          <w:szCs w:val="22"/>
        </w:rPr>
        <w:t>Mierniki służące monitorowaniu</w:t>
      </w:r>
      <w:bookmarkEnd w:id="138"/>
    </w:p>
    <w:p w14:paraId="4CF76638" w14:textId="77777777" w:rsidR="00056846" w:rsidRPr="00925BCD" w:rsidRDefault="00E54725"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Planowane jest coroczne wydanie lub rozszerzenie zakresu co najmniej 50 zezwoleń dla środków ochrony roślin w zakresie zastosowań małoobszarowych lub do stosowania w rolnictwie ekologicznym, w szczególności zawierających substancje czynne niskiego ryzyka lub substancje przeznaczone do stosowania w uprawach ekologicznych.</w:t>
      </w:r>
    </w:p>
    <w:p w14:paraId="29168136" w14:textId="79712923" w:rsidR="00532290" w:rsidRDefault="00E54725" w:rsidP="00532290">
      <w:pPr>
        <w:pStyle w:val="NormalnyWeb"/>
        <w:tabs>
          <w:tab w:val="left" w:pos="284"/>
        </w:tabs>
        <w:spacing w:beforeAutospacing="0" w:after="120" w:afterAutospacing="0" w:line="360" w:lineRule="auto"/>
        <w:ind w:firstLine="284"/>
        <w:jc w:val="both"/>
        <w:rPr>
          <w:rFonts w:ascii="Arial" w:eastAsiaTheme="minorHAnsi" w:hAnsi="Arial" w:cs="Arial"/>
          <w:sz w:val="24"/>
          <w:szCs w:val="24"/>
        </w:rPr>
      </w:pPr>
      <w:r w:rsidRPr="00B70BBE">
        <w:rPr>
          <w:rFonts w:ascii="Arial" w:hAnsi="Arial" w:cs="Arial"/>
        </w:rPr>
        <w:t>W 2018 r.</w:t>
      </w:r>
      <w:r w:rsidRPr="00925BCD">
        <w:rPr>
          <w:rFonts w:ascii="Arial" w:hAnsi="Arial" w:cs="Arial"/>
        </w:rPr>
        <w:t xml:space="preserve"> wydano 76 rozszerzeń</w:t>
      </w:r>
      <w:r w:rsidR="00FC51E5">
        <w:rPr>
          <w:rFonts w:ascii="Arial" w:hAnsi="Arial" w:cs="Arial"/>
        </w:rPr>
        <w:t xml:space="preserve"> małoobszarowych. W</w:t>
      </w:r>
      <w:r w:rsidR="00994492" w:rsidRPr="00B70BBE">
        <w:rPr>
          <w:rFonts w:ascii="Arial" w:hAnsi="Arial" w:cs="Arial"/>
        </w:rPr>
        <w:t xml:space="preserve"> 2019 r</w:t>
      </w:r>
      <w:r w:rsidR="00FC51E5">
        <w:rPr>
          <w:rFonts w:ascii="Arial" w:hAnsi="Arial" w:cs="Arial"/>
        </w:rPr>
        <w:t>.</w:t>
      </w:r>
      <w:r w:rsidR="00994492" w:rsidRPr="00925BCD">
        <w:rPr>
          <w:rFonts w:ascii="Arial" w:hAnsi="Arial" w:cs="Arial"/>
        </w:rPr>
        <w:t xml:space="preserve"> rozszerzenia małoobszarowe zostały uwzględnione w 125 zezwoleniach (w 63 nowych i w 62 istniejących zezwoleniach)</w:t>
      </w:r>
      <w:r w:rsidR="00812F0B">
        <w:rPr>
          <w:rFonts w:ascii="Arial" w:hAnsi="Arial" w:cs="Arial"/>
        </w:rPr>
        <w:t>,</w:t>
      </w:r>
      <w:r w:rsidR="00812F0B" w:rsidRPr="00B70BBE">
        <w:rPr>
          <w:rFonts w:ascii="Arial" w:hAnsi="Arial" w:cs="Arial"/>
        </w:rPr>
        <w:t xml:space="preserve"> w</w:t>
      </w:r>
      <w:r w:rsidR="00B70BBE" w:rsidRPr="00B70BBE">
        <w:rPr>
          <w:rFonts w:ascii="Arial" w:hAnsi="Arial" w:cs="Arial"/>
        </w:rPr>
        <w:t> </w:t>
      </w:r>
      <w:r w:rsidR="00812F0B" w:rsidRPr="00B70BBE">
        <w:rPr>
          <w:rFonts w:ascii="Arial" w:hAnsi="Arial" w:cs="Arial"/>
        </w:rPr>
        <w:t>2020</w:t>
      </w:r>
      <w:r w:rsidR="00B70BBE" w:rsidRPr="00B70BBE">
        <w:rPr>
          <w:rFonts w:ascii="Arial" w:hAnsi="Arial" w:cs="Arial"/>
        </w:rPr>
        <w:t> </w:t>
      </w:r>
      <w:r w:rsidR="00812F0B" w:rsidRPr="00B70BBE">
        <w:rPr>
          <w:rFonts w:ascii="Arial" w:hAnsi="Arial" w:cs="Arial"/>
        </w:rPr>
        <w:t>r.</w:t>
      </w:r>
      <w:r w:rsidR="00812F0B" w:rsidRPr="00812F0B">
        <w:rPr>
          <w:rFonts w:ascii="Arial" w:hAnsi="Arial" w:cs="Arial"/>
        </w:rPr>
        <w:t xml:space="preserve">  rozszerzenia </w:t>
      </w:r>
      <w:r w:rsidR="00FC51E5">
        <w:rPr>
          <w:rFonts w:ascii="Arial" w:hAnsi="Arial" w:cs="Arial"/>
        </w:rPr>
        <w:t xml:space="preserve">takie </w:t>
      </w:r>
      <w:r w:rsidR="00812F0B" w:rsidRPr="00812F0B">
        <w:rPr>
          <w:rFonts w:ascii="Arial" w:hAnsi="Arial" w:cs="Arial"/>
        </w:rPr>
        <w:t>zostały uwzględnione w 11</w:t>
      </w:r>
      <w:r w:rsidR="00C5577E">
        <w:rPr>
          <w:rFonts w:ascii="Arial" w:hAnsi="Arial" w:cs="Arial"/>
        </w:rPr>
        <w:t>7</w:t>
      </w:r>
      <w:r w:rsidR="00812F0B" w:rsidRPr="00812F0B">
        <w:rPr>
          <w:rFonts w:ascii="Arial" w:hAnsi="Arial" w:cs="Arial"/>
        </w:rPr>
        <w:t xml:space="preserve"> zezwoleniach (w 75 nowych i w</w:t>
      </w:r>
      <w:r w:rsidR="00B70BBE">
        <w:rPr>
          <w:rFonts w:ascii="Arial" w:hAnsi="Arial" w:cs="Arial"/>
        </w:rPr>
        <w:t> </w:t>
      </w:r>
      <w:r w:rsidR="00812F0B" w:rsidRPr="00812F0B">
        <w:rPr>
          <w:rFonts w:ascii="Arial" w:hAnsi="Arial" w:cs="Arial"/>
        </w:rPr>
        <w:t>4</w:t>
      </w:r>
      <w:r w:rsidR="00845AA3">
        <w:rPr>
          <w:rFonts w:ascii="Arial" w:hAnsi="Arial" w:cs="Arial"/>
        </w:rPr>
        <w:t>2</w:t>
      </w:r>
      <w:r w:rsidR="00812F0B" w:rsidRPr="00812F0B">
        <w:rPr>
          <w:rFonts w:ascii="Arial" w:hAnsi="Arial" w:cs="Arial"/>
        </w:rPr>
        <w:t xml:space="preserve"> istniejących zezwoleniach)</w:t>
      </w:r>
      <w:r w:rsidR="00532290">
        <w:rPr>
          <w:rFonts w:ascii="Arial" w:hAnsi="Arial" w:cs="Arial"/>
        </w:rPr>
        <w:t xml:space="preserve">, natomiast w 2021 r. </w:t>
      </w:r>
      <w:r w:rsidR="00532290" w:rsidRPr="00532290">
        <w:rPr>
          <w:rFonts w:ascii="Arial" w:hAnsi="Arial" w:cs="Arial"/>
        </w:rPr>
        <w:t>wydano 145 rozszerzeń małoobszarowych (w</w:t>
      </w:r>
      <w:r w:rsidR="00532290">
        <w:rPr>
          <w:rFonts w:ascii="Arial" w:hAnsi="Arial" w:cs="Arial"/>
        </w:rPr>
        <w:t> </w:t>
      </w:r>
      <w:r w:rsidR="00532290" w:rsidRPr="00532290">
        <w:rPr>
          <w:rFonts w:ascii="Arial" w:hAnsi="Arial" w:cs="Arial"/>
        </w:rPr>
        <w:t>55  nowych i  w 90 istniejących).</w:t>
      </w:r>
    </w:p>
    <w:p w14:paraId="488C4D3C" w14:textId="49B5AF69"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rFonts w:ascii="Arial" w:hAnsi="Arial" w:cs="Arial"/>
          <w:b/>
          <w:bCs/>
          <w:u w:val="single"/>
        </w:rPr>
        <w:t>Podsumowanie</w:t>
      </w:r>
    </w:p>
    <w:p w14:paraId="497BE10C" w14:textId="16855086" w:rsidR="00056846" w:rsidRPr="00925BCD" w:rsidRDefault="00994492"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Zakończony został </w:t>
      </w:r>
      <w:r w:rsidR="00534399">
        <w:rPr>
          <w:rFonts w:ascii="Arial" w:hAnsi="Arial" w:cs="Arial"/>
        </w:rPr>
        <w:t>czwarty</w:t>
      </w:r>
      <w:r w:rsidR="00E54725" w:rsidRPr="00925BCD">
        <w:rPr>
          <w:rFonts w:ascii="Arial" w:hAnsi="Arial" w:cs="Arial"/>
        </w:rPr>
        <w:t xml:space="preserve"> rok realizacji </w:t>
      </w:r>
      <w:r w:rsidRPr="00925BCD">
        <w:rPr>
          <w:rFonts w:ascii="Arial" w:hAnsi="Arial" w:cs="Arial"/>
        </w:rPr>
        <w:t>(2018 r.</w:t>
      </w:r>
      <w:r w:rsidR="00AA1454">
        <w:rPr>
          <w:rFonts w:ascii="Arial" w:hAnsi="Arial" w:cs="Arial"/>
        </w:rPr>
        <w:t>,</w:t>
      </w:r>
      <w:r w:rsidRPr="00925BCD">
        <w:rPr>
          <w:rFonts w:ascii="Arial" w:hAnsi="Arial" w:cs="Arial"/>
        </w:rPr>
        <w:t xml:space="preserve"> 2019 r.</w:t>
      </w:r>
      <w:r w:rsidR="00534399">
        <w:rPr>
          <w:rFonts w:ascii="Arial" w:hAnsi="Arial" w:cs="Arial"/>
        </w:rPr>
        <w:t>,</w:t>
      </w:r>
      <w:r w:rsidR="00AA1454">
        <w:rPr>
          <w:rFonts w:ascii="Arial" w:hAnsi="Arial" w:cs="Arial"/>
        </w:rPr>
        <w:t xml:space="preserve"> 2020 r.</w:t>
      </w:r>
      <w:r w:rsidR="00534399">
        <w:rPr>
          <w:rFonts w:ascii="Arial" w:hAnsi="Arial" w:cs="Arial"/>
        </w:rPr>
        <w:t xml:space="preserve"> i 2021 r.</w:t>
      </w:r>
      <w:r w:rsidRPr="00925BCD">
        <w:rPr>
          <w:rFonts w:ascii="Arial" w:hAnsi="Arial" w:cs="Arial"/>
        </w:rPr>
        <w:t xml:space="preserve">) </w:t>
      </w:r>
      <w:r w:rsidR="00E54725" w:rsidRPr="00925BCD">
        <w:rPr>
          <w:rFonts w:ascii="Arial" w:hAnsi="Arial" w:cs="Arial"/>
        </w:rPr>
        <w:t>drugiego przyjętego w</w:t>
      </w:r>
      <w:r w:rsidR="00534399">
        <w:rPr>
          <w:rFonts w:ascii="Arial" w:hAnsi="Arial" w:cs="Arial"/>
        </w:rPr>
        <w:t> </w:t>
      </w:r>
      <w:r w:rsidR="00E54725" w:rsidRPr="00925BCD">
        <w:rPr>
          <w:rFonts w:ascii="Arial" w:hAnsi="Arial" w:cs="Arial"/>
        </w:rPr>
        <w:t xml:space="preserve">Polsce krajowego planu działania na rzecz </w:t>
      </w:r>
      <w:r w:rsidR="00274A8C" w:rsidRPr="00925BCD">
        <w:rPr>
          <w:rFonts w:ascii="Arial" w:hAnsi="Arial" w:cs="Arial"/>
        </w:rPr>
        <w:t>ograniczenia</w:t>
      </w:r>
      <w:r w:rsidR="00E54725" w:rsidRPr="00925BCD">
        <w:rPr>
          <w:rFonts w:ascii="Arial" w:hAnsi="Arial" w:cs="Arial"/>
        </w:rPr>
        <w:t xml:space="preserve"> ryzyka związanego ze stosowaniem środków ochrony roślin, zaplanowanego na lata 2018-2022. Podobnie jak w latach poprzednich kluczowym celem dla Polski w</w:t>
      </w:r>
      <w:r w:rsidR="00156CB7" w:rsidRPr="00925BCD">
        <w:rPr>
          <w:rFonts w:ascii="Arial" w:hAnsi="Arial" w:cs="Arial"/>
        </w:rPr>
        <w:t> </w:t>
      </w:r>
      <w:r w:rsidR="00E54725" w:rsidRPr="00925BCD">
        <w:rPr>
          <w:rFonts w:ascii="Arial" w:hAnsi="Arial" w:cs="Arial"/>
        </w:rPr>
        <w:t xml:space="preserve">związku z realizacją krajowego planu działania było upowszechnianie ogólnych zasad integrowanej ochrony roślin oraz zapobieganie zagrożeniom związanym ze stosowaniem środków ochrony roślin. </w:t>
      </w:r>
    </w:p>
    <w:p w14:paraId="30755291" w14:textId="0F59E766" w:rsidR="00056846" w:rsidRPr="00925BCD" w:rsidRDefault="00E54725" w:rsidP="00994492">
      <w:pPr>
        <w:pStyle w:val="NormalnyWeb"/>
        <w:tabs>
          <w:tab w:val="left" w:pos="284"/>
        </w:tabs>
        <w:spacing w:beforeAutospacing="0" w:after="120" w:afterAutospacing="0" w:line="360" w:lineRule="auto"/>
        <w:ind w:firstLine="284"/>
        <w:jc w:val="both"/>
        <w:rPr>
          <w:rFonts w:ascii="Arial" w:hAnsi="Arial" w:cs="Arial"/>
        </w:rPr>
      </w:pPr>
      <w:r w:rsidRPr="00BF698E">
        <w:rPr>
          <w:rFonts w:ascii="Arial" w:hAnsi="Arial" w:cs="Arial"/>
        </w:rPr>
        <w:lastRenderedPageBreak/>
        <w:t>Według danych Państwowej Inspekcji Ochrony Roślin i Nasiennictwa w 2018 r. w ocenie 96,2% kontrolowanych profesjonalnych użytkowników środków ochrony roślin, stosowane działania i metody integrowanej ochrony roślin są efektywne</w:t>
      </w:r>
      <w:r w:rsidR="00217E15" w:rsidRPr="00BF698E">
        <w:rPr>
          <w:rFonts w:ascii="Arial" w:hAnsi="Arial" w:cs="Arial"/>
        </w:rPr>
        <w:t>,</w:t>
      </w:r>
      <w:r w:rsidR="009153C2" w:rsidRPr="00BF698E">
        <w:rPr>
          <w:rFonts w:ascii="Arial" w:hAnsi="Arial" w:cs="Arial"/>
        </w:rPr>
        <w:t xml:space="preserve"> </w:t>
      </w:r>
      <w:r w:rsidR="00217E15" w:rsidRPr="00BF698E">
        <w:rPr>
          <w:rFonts w:ascii="Arial" w:hAnsi="Arial" w:cs="Arial"/>
        </w:rPr>
        <w:t>w 2019 r.</w:t>
      </w:r>
      <w:r w:rsidR="00002B8D" w:rsidRPr="00BF698E">
        <w:rPr>
          <w:rFonts w:ascii="Arial" w:hAnsi="Arial" w:cs="Arial"/>
        </w:rPr>
        <w:t xml:space="preserve"> i 2020 r.</w:t>
      </w:r>
      <w:r w:rsidR="00217E15" w:rsidRPr="00BF698E">
        <w:rPr>
          <w:rFonts w:ascii="Arial" w:hAnsi="Arial" w:cs="Arial"/>
        </w:rPr>
        <w:t xml:space="preserve"> w </w:t>
      </w:r>
      <w:r w:rsidR="00B24301" w:rsidRPr="00BF698E">
        <w:rPr>
          <w:rFonts w:ascii="Arial" w:hAnsi="Arial" w:cs="Arial"/>
        </w:rPr>
        <w:t>96,5%</w:t>
      </w:r>
      <w:r w:rsidR="00BF698E">
        <w:rPr>
          <w:rFonts w:ascii="Arial" w:hAnsi="Arial" w:cs="Arial"/>
        </w:rPr>
        <w:t>,</w:t>
      </w:r>
      <w:r w:rsidRPr="00925BCD">
        <w:rPr>
          <w:rFonts w:ascii="Arial" w:hAnsi="Arial" w:cs="Arial"/>
        </w:rPr>
        <w:t xml:space="preserve"> </w:t>
      </w:r>
      <w:r w:rsidR="00BF698E" w:rsidRPr="00BF698E">
        <w:rPr>
          <w:rFonts w:ascii="Arial" w:hAnsi="Arial" w:cs="Arial"/>
        </w:rPr>
        <w:t>natomiast</w:t>
      </w:r>
      <w:r w:rsidR="00BF698E">
        <w:rPr>
          <w:rFonts w:ascii="Arial" w:hAnsi="Arial" w:cs="Arial"/>
        </w:rPr>
        <w:t xml:space="preserve"> w </w:t>
      </w:r>
      <w:r w:rsidR="004C0235">
        <w:rPr>
          <w:rFonts w:ascii="Arial" w:hAnsi="Arial" w:cs="Arial"/>
        </w:rPr>
        <w:t>2021 r. 95,6%</w:t>
      </w:r>
      <w:r w:rsidR="009732A1">
        <w:rPr>
          <w:rFonts w:ascii="Arial" w:hAnsi="Arial" w:cs="Arial"/>
        </w:rPr>
        <w:t xml:space="preserve"> </w:t>
      </w:r>
      <w:r w:rsidR="009732A1" w:rsidRPr="00BF698E">
        <w:rPr>
          <w:rFonts w:ascii="Arial" w:hAnsi="Arial" w:cs="Arial"/>
        </w:rPr>
        <w:t>profesjonalnych użytkowników</w:t>
      </w:r>
      <w:r w:rsidR="004C0235">
        <w:rPr>
          <w:rFonts w:ascii="Arial" w:hAnsi="Arial" w:cs="Arial"/>
        </w:rPr>
        <w:t>.</w:t>
      </w:r>
    </w:p>
    <w:p w14:paraId="1FED49E9" w14:textId="77777777" w:rsidR="00056846" w:rsidRPr="00925BCD" w:rsidRDefault="00E54725"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podstawie przeprowadzonych kontroli stosowania środków ochrony roślin stwierdzono, że spośród dostępnych sposobów realizowania zasad integrowanej ochrony roślin, najwięcej profesjonalnych użytkowników zadeklarowało stosowanie agrotechnicznych metod uprawy, prowadzenie monitoringu organizmów szkodliwych, stosowanie płodozmianu oraz doboru właściwego terminu siewu i sadzenia, ograniczenie liczby zabiegów a także stosowanie zrównoważonego nawożenia i nawadniania.  </w:t>
      </w:r>
    </w:p>
    <w:p w14:paraId="6D394330" w14:textId="4E2324BA" w:rsidR="00750CBF" w:rsidRDefault="00750CBF"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Zmiany w ryzyku związanym ze stosowaniem środków ochrony roślin opisuje poniższa analiza. </w:t>
      </w:r>
    </w:p>
    <w:p w14:paraId="76442041" w14:textId="4F434ECA" w:rsidR="00ED07A6" w:rsidRPr="00ED07A6" w:rsidRDefault="00ED07A6" w:rsidP="00F47CCE">
      <w:pPr>
        <w:pStyle w:val="Nagwek1"/>
        <w:numPr>
          <w:ilvl w:val="0"/>
          <w:numId w:val="9"/>
        </w:numPr>
        <w:jc w:val="both"/>
        <w:rPr>
          <w:i w:val="0"/>
          <w:sz w:val="22"/>
          <w:szCs w:val="22"/>
        </w:rPr>
      </w:pPr>
      <w:bookmarkStart w:id="139" w:name="_Toc134099298"/>
      <w:r w:rsidRPr="00ED07A6">
        <w:rPr>
          <w:i w:val="0"/>
          <w:sz w:val="22"/>
          <w:szCs w:val="22"/>
        </w:rPr>
        <w:t>KOMPLEKSOWA OCENA W ZAKRESIE KRAJOWEGO BEZPIECZEŃSTWA PESTYCYDOWEGO W OPARCIU O KRAJOWE WSKAŹNIKI RYZYKA PESTYCYDOWEGO ORAZ ZHARMONIZOWANY WSKAŹNIK RYZYKA HRI-1 DLA POLSKI</w:t>
      </w:r>
      <w:bookmarkEnd w:id="139"/>
      <w:r w:rsidRPr="00ED07A6">
        <w:rPr>
          <w:i w:val="0"/>
          <w:sz w:val="22"/>
          <w:szCs w:val="22"/>
        </w:rPr>
        <w:t xml:space="preserve"> </w:t>
      </w:r>
    </w:p>
    <w:p w14:paraId="2E964A43" w14:textId="77777777" w:rsidR="00ED07A6" w:rsidRPr="00ED07A6" w:rsidRDefault="00ED07A6" w:rsidP="00ED07A6">
      <w:pPr>
        <w:spacing w:after="0" w:line="360" w:lineRule="auto"/>
        <w:jc w:val="center"/>
        <w:rPr>
          <w:rFonts w:ascii="Arial" w:eastAsia="Times New Roman" w:hAnsi="Arial" w:cs="Arial"/>
          <w:sz w:val="20"/>
          <w:szCs w:val="20"/>
          <w:lang w:eastAsia="pl-PL"/>
        </w:rPr>
      </w:pPr>
    </w:p>
    <w:p w14:paraId="56ABAE80" w14:textId="77777777" w:rsidR="00ED07A6" w:rsidRPr="00ED07A6" w:rsidRDefault="00ED07A6" w:rsidP="00ED07A6">
      <w:pPr>
        <w:spacing w:after="0" w:line="360" w:lineRule="auto"/>
        <w:jc w:val="both"/>
        <w:rPr>
          <w:rFonts w:ascii="Arial" w:eastAsia="Times New Roman" w:hAnsi="Arial" w:cs="Arial"/>
          <w:b/>
          <w:sz w:val="20"/>
          <w:szCs w:val="20"/>
          <w:lang w:eastAsia="pl-PL"/>
        </w:rPr>
      </w:pPr>
      <w:r w:rsidRPr="00ED07A6">
        <w:rPr>
          <w:rFonts w:ascii="Arial" w:eastAsia="Times New Roman" w:hAnsi="Arial" w:cs="Arial"/>
          <w:b/>
          <w:sz w:val="20"/>
          <w:szCs w:val="20"/>
          <w:lang w:eastAsia="pl-PL"/>
        </w:rPr>
        <w:t>1.</w:t>
      </w:r>
      <w:r w:rsidRPr="00ED07A6">
        <w:rPr>
          <w:rFonts w:ascii="Arial" w:eastAsia="Times New Roman" w:hAnsi="Arial" w:cs="Arial"/>
          <w:b/>
          <w:sz w:val="20"/>
          <w:szCs w:val="20"/>
          <w:lang w:eastAsia="pl-PL"/>
        </w:rPr>
        <w:tab/>
      </w:r>
      <w:r w:rsidRPr="00ED07A6">
        <w:rPr>
          <w:rFonts w:ascii="Arial" w:eastAsia="Times New Roman" w:hAnsi="Arial" w:cs="Arial"/>
          <w:b/>
          <w:sz w:val="20"/>
          <w:szCs w:val="20"/>
          <w:u w:val="single"/>
          <w:lang w:eastAsia="pl-PL"/>
        </w:rPr>
        <w:t>Wprowadzenie</w:t>
      </w:r>
      <w:r w:rsidRPr="00ED07A6">
        <w:rPr>
          <w:rFonts w:ascii="Arial" w:eastAsia="Times New Roman" w:hAnsi="Arial" w:cs="Arial"/>
          <w:b/>
          <w:sz w:val="20"/>
          <w:szCs w:val="20"/>
          <w:lang w:eastAsia="pl-PL"/>
        </w:rPr>
        <w:t xml:space="preserve"> </w:t>
      </w:r>
    </w:p>
    <w:p w14:paraId="13524D41" w14:textId="45DC752B"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Niniejsz</w:t>
      </w:r>
      <w:r w:rsidR="00B20451">
        <w:rPr>
          <w:rFonts w:ascii="Arial" w:eastAsia="Times New Roman" w:hAnsi="Arial" w:cs="Arial"/>
          <w:sz w:val="20"/>
          <w:szCs w:val="20"/>
          <w:lang w:eastAsia="pl-PL"/>
        </w:rPr>
        <w:t>ą</w:t>
      </w:r>
      <w:r w:rsidRPr="00ED07A6">
        <w:rPr>
          <w:rFonts w:ascii="Arial" w:eastAsia="Times New Roman" w:hAnsi="Arial" w:cs="Arial"/>
          <w:sz w:val="20"/>
          <w:szCs w:val="20"/>
          <w:lang w:eastAsia="pl-PL"/>
        </w:rPr>
        <w:t xml:space="preserve"> </w:t>
      </w:r>
      <w:r w:rsidR="00B20451">
        <w:rPr>
          <w:rFonts w:ascii="Arial" w:eastAsia="Times New Roman" w:hAnsi="Arial" w:cs="Arial"/>
          <w:sz w:val="20"/>
          <w:szCs w:val="20"/>
          <w:lang w:eastAsia="pl-PL"/>
        </w:rPr>
        <w:t xml:space="preserve">ocenę </w:t>
      </w:r>
      <w:r w:rsidRPr="00ED07A6">
        <w:rPr>
          <w:rFonts w:ascii="Arial" w:eastAsia="Times New Roman" w:hAnsi="Arial" w:cs="Arial"/>
          <w:sz w:val="20"/>
          <w:szCs w:val="20"/>
          <w:lang w:eastAsia="pl-PL"/>
        </w:rPr>
        <w:t>podzielono na cztery obszary tematyczne:</w:t>
      </w:r>
    </w:p>
    <w:p w14:paraId="576A678A" w14:textId="77777777" w:rsidR="00ED07A6" w:rsidRPr="00ED07A6" w:rsidRDefault="00ED07A6" w:rsidP="003F4DF6">
      <w:pPr>
        <w:numPr>
          <w:ilvl w:val="0"/>
          <w:numId w:val="35"/>
        </w:numPr>
        <w:spacing w:after="0" w:line="360" w:lineRule="auto"/>
        <w:ind w:left="426" w:hanging="437"/>
        <w:contextualSpacing/>
        <w:jc w:val="both"/>
        <w:rPr>
          <w:rFonts w:ascii="Arial" w:eastAsia="Calibri" w:hAnsi="Arial" w:cs="Arial"/>
          <w:sz w:val="20"/>
          <w:szCs w:val="20"/>
        </w:rPr>
      </w:pPr>
      <w:r w:rsidRPr="00ED07A6">
        <w:rPr>
          <w:rFonts w:ascii="Arial" w:eastAsia="Calibri" w:hAnsi="Arial" w:cs="Arial"/>
          <w:sz w:val="20"/>
          <w:szCs w:val="20"/>
        </w:rPr>
        <w:t>zagrożenie konsumentów wynikające z pozostałości środków ochrony roślin (</w:t>
      </w:r>
      <w:proofErr w:type="spellStart"/>
      <w:r w:rsidRPr="00ED07A6">
        <w:rPr>
          <w:rFonts w:ascii="Arial" w:eastAsia="Calibri" w:hAnsi="Arial" w:cs="Arial"/>
          <w:sz w:val="20"/>
          <w:szCs w:val="20"/>
        </w:rPr>
        <w:t>ś.o.r</w:t>
      </w:r>
      <w:proofErr w:type="spellEnd"/>
      <w:r w:rsidRPr="00ED07A6">
        <w:rPr>
          <w:rFonts w:ascii="Arial" w:eastAsia="Calibri" w:hAnsi="Arial" w:cs="Arial"/>
          <w:sz w:val="20"/>
          <w:szCs w:val="20"/>
        </w:rPr>
        <w:t xml:space="preserve">.) w płodach rolnych; </w:t>
      </w:r>
    </w:p>
    <w:p w14:paraId="28130A6D" w14:textId="77777777" w:rsidR="00ED07A6" w:rsidRPr="00ED07A6" w:rsidRDefault="00ED07A6" w:rsidP="003F4DF6">
      <w:pPr>
        <w:numPr>
          <w:ilvl w:val="0"/>
          <w:numId w:val="35"/>
        </w:numPr>
        <w:spacing w:after="0" w:line="360" w:lineRule="auto"/>
        <w:ind w:left="426" w:hanging="437"/>
        <w:contextualSpacing/>
        <w:jc w:val="both"/>
        <w:rPr>
          <w:rFonts w:ascii="Arial" w:eastAsia="Calibri" w:hAnsi="Arial" w:cs="Arial"/>
          <w:sz w:val="20"/>
          <w:szCs w:val="20"/>
        </w:rPr>
      </w:pPr>
      <w:r w:rsidRPr="00ED07A6">
        <w:rPr>
          <w:rFonts w:ascii="Arial" w:eastAsia="Calibri" w:hAnsi="Arial" w:cs="Arial"/>
          <w:sz w:val="20"/>
          <w:szCs w:val="20"/>
        </w:rPr>
        <w:t>zagrożenia wynikające z nieprawidłowego stosowania środków ochrony roślin (</w:t>
      </w:r>
      <w:proofErr w:type="spellStart"/>
      <w:r w:rsidRPr="00ED07A6">
        <w:rPr>
          <w:rFonts w:ascii="Arial" w:eastAsia="Calibri" w:hAnsi="Arial" w:cs="Arial"/>
          <w:sz w:val="20"/>
          <w:szCs w:val="20"/>
        </w:rPr>
        <w:t>ś.o.r</w:t>
      </w:r>
      <w:proofErr w:type="spellEnd"/>
      <w:r w:rsidRPr="00ED07A6">
        <w:rPr>
          <w:rFonts w:ascii="Arial" w:eastAsia="Calibri" w:hAnsi="Arial" w:cs="Arial"/>
          <w:sz w:val="20"/>
          <w:szCs w:val="20"/>
        </w:rPr>
        <w:t>.);</w:t>
      </w:r>
    </w:p>
    <w:p w14:paraId="7D83C3A5" w14:textId="77777777" w:rsidR="00ED07A6" w:rsidRPr="00ED07A6" w:rsidRDefault="00ED07A6" w:rsidP="003F4DF6">
      <w:pPr>
        <w:numPr>
          <w:ilvl w:val="0"/>
          <w:numId w:val="35"/>
        </w:numPr>
        <w:spacing w:after="0" w:line="360" w:lineRule="auto"/>
        <w:ind w:left="426" w:hanging="437"/>
        <w:contextualSpacing/>
        <w:jc w:val="both"/>
        <w:rPr>
          <w:rFonts w:ascii="Arial" w:eastAsia="Calibri" w:hAnsi="Arial" w:cs="Arial"/>
          <w:sz w:val="20"/>
          <w:szCs w:val="20"/>
        </w:rPr>
      </w:pPr>
      <w:r w:rsidRPr="00ED07A6">
        <w:rPr>
          <w:rFonts w:ascii="Arial" w:eastAsia="Calibri" w:hAnsi="Arial" w:cs="Arial"/>
          <w:sz w:val="20"/>
          <w:szCs w:val="20"/>
        </w:rPr>
        <w:t xml:space="preserve">zagrożenie wynikające z zanieczyszczenia wód powierzchniowych; </w:t>
      </w:r>
    </w:p>
    <w:p w14:paraId="42F59F28" w14:textId="77777777" w:rsidR="00ED07A6" w:rsidRPr="00ED07A6" w:rsidRDefault="00ED07A6" w:rsidP="003F4DF6">
      <w:pPr>
        <w:numPr>
          <w:ilvl w:val="0"/>
          <w:numId w:val="35"/>
        </w:numPr>
        <w:spacing w:after="120" w:line="360" w:lineRule="auto"/>
        <w:ind w:left="426" w:hanging="437"/>
        <w:contextualSpacing/>
        <w:jc w:val="both"/>
        <w:rPr>
          <w:rFonts w:ascii="Arial" w:eastAsia="Calibri" w:hAnsi="Arial" w:cs="Arial"/>
          <w:sz w:val="20"/>
          <w:szCs w:val="20"/>
        </w:rPr>
      </w:pPr>
      <w:r w:rsidRPr="00ED07A6">
        <w:rPr>
          <w:rFonts w:ascii="Arial" w:eastAsia="Calibri" w:hAnsi="Arial" w:cs="Arial"/>
          <w:sz w:val="20"/>
          <w:szCs w:val="20"/>
        </w:rPr>
        <w:t xml:space="preserve">zagrożenia wynikające z wielkości i struktury sprzedaży </w:t>
      </w:r>
      <w:proofErr w:type="spellStart"/>
      <w:r w:rsidRPr="00ED07A6">
        <w:rPr>
          <w:rFonts w:ascii="Arial" w:eastAsia="Calibri" w:hAnsi="Arial" w:cs="Arial"/>
          <w:sz w:val="20"/>
          <w:szCs w:val="20"/>
        </w:rPr>
        <w:t>ś.o.r</w:t>
      </w:r>
      <w:proofErr w:type="spellEnd"/>
      <w:r w:rsidRPr="00ED07A6">
        <w:rPr>
          <w:rFonts w:ascii="Arial" w:eastAsia="Calibri" w:hAnsi="Arial" w:cs="Arial"/>
          <w:sz w:val="20"/>
          <w:szCs w:val="20"/>
        </w:rPr>
        <w:t>..</w:t>
      </w:r>
    </w:p>
    <w:p w14:paraId="63E79214"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Jako podstawę opracowania przyjęto obliczenia krajowych wskaźników ryzyka związanego ze stosowaniem środków ochrony roślin (w skrócie „ryzyka pestycydowego”) oraz zharmonizowanego wskaźnika ryzyka HRI1.</w:t>
      </w:r>
    </w:p>
    <w:p w14:paraId="45DBED38"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Zestaw krajowych wskaźników ryzyka pestycydowego przedstawia się następująco:</w:t>
      </w:r>
    </w:p>
    <w:p w14:paraId="21286306" w14:textId="0B882865"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 xml:space="preserve">Wskaźnik pozostałości pestycydowych w płodach rolnych przeznaczonych do spożycia </w:t>
      </w:r>
      <w:r w:rsidR="00684C68" w:rsidRPr="00ED07A6">
        <w:rPr>
          <w:rFonts w:ascii="Arial" w:eastAsia="Lucida Sans Unicode" w:hAnsi="Arial" w:cs="Arial"/>
          <w:kern w:val="2"/>
          <w:sz w:val="20"/>
          <w:szCs w:val="20"/>
        </w:rPr>
        <w:t>i</w:t>
      </w:r>
      <w:r w:rsidR="00684C68">
        <w:rPr>
          <w:rFonts w:ascii="Arial" w:eastAsia="Lucida Sans Unicode" w:hAnsi="Arial" w:cs="Arial"/>
          <w:kern w:val="2"/>
          <w:sz w:val="20"/>
          <w:szCs w:val="20"/>
        </w:rPr>
        <w:t> </w:t>
      </w:r>
      <w:r w:rsidRPr="00ED07A6">
        <w:rPr>
          <w:rFonts w:ascii="Arial" w:eastAsia="Lucida Sans Unicode" w:hAnsi="Arial" w:cs="Arial"/>
          <w:kern w:val="2"/>
          <w:sz w:val="20"/>
          <w:szCs w:val="20"/>
        </w:rPr>
        <w:t>przetwórstwa (</w:t>
      </w: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Poz</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w:t>
      </w:r>
    </w:p>
    <w:p w14:paraId="256BA351" w14:textId="77777777"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Wskaźniki nieprawidłowości towarzyszących stosowaniu środków ochrony roślin:</w:t>
      </w:r>
    </w:p>
    <w:p w14:paraId="2D650E81"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 xml:space="preserve">Wskaźnik wykryć przekroczeń NDP w kontroli pozostałości </w:t>
      </w:r>
      <w:proofErr w:type="spellStart"/>
      <w:r w:rsidRPr="00ED07A6">
        <w:rPr>
          <w:rFonts w:ascii="Arial" w:eastAsia="Lucida Sans Unicode" w:hAnsi="Arial" w:cs="Arial"/>
          <w:kern w:val="2"/>
          <w:sz w:val="20"/>
          <w:szCs w:val="20"/>
        </w:rPr>
        <w:t>ś.o.r</w:t>
      </w:r>
      <w:proofErr w:type="spellEnd"/>
      <w:r w:rsidRPr="00ED07A6">
        <w:rPr>
          <w:rFonts w:ascii="Arial" w:eastAsia="Lucida Sans Unicode" w:hAnsi="Arial" w:cs="Arial"/>
          <w:kern w:val="2"/>
          <w:sz w:val="20"/>
          <w:szCs w:val="20"/>
        </w:rPr>
        <w:t>. (W</w:t>
      </w:r>
      <w:r w:rsidRPr="00ED07A6">
        <w:rPr>
          <w:rFonts w:ascii="Arial" w:eastAsia="Lucida Sans Unicode" w:hAnsi="Arial" w:cs="Arial"/>
          <w:kern w:val="2"/>
          <w:sz w:val="20"/>
          <w:szCs w:val="20"/>
          <w:vertAlign w:val="subscript"/>
        </w:rPr>
        <w:t>S.NDP</w:t>
      </w:r>
      <w:r w:rsidRPr="00ED07A6">
        <w:rPr>
          <w:rFonts w:ascii="Arial" w:eastAsia="Lucida Sans Unicode" w:hAnsi="Arial" w:cs="Arial"/>
          <w:kern w:val="2"/>
          <w:sz w:val="20"/>
          <w:szCs w:val="20"/>
        </w:rPr>
        <w:t>),</w:t>
      </w:r>
    </w:p>
    <w:p w14:paraId="18EA278F" w14:textId="77777777" w:rsidR="00ED07A6" w:rsidRPr="00ED07A6" w:rsidRDefault="00ED07A6" w:rsidP="00ED07A6">
      <w:pPr>
        <w:suppressAutoHyphens/>
        <w:spacing w:after="0" w:line="360" w:lineRule="auto"/>
        <w:ind w:left="1418" w:hanging="698"/>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 xml:space="preserve">Wskaźnik wykryć substancji niedopuszczonych do stosowania w kontroli pozostałości </w:t>
      </w:r>
      <w:proofErr w:type="spellStart"/>
      <w:r w:rsidRPr="00ED07A6">
        <w:rPr>
          <w:rFonts w:ascii="Arial" w:eastAsia="Lucida Sans Unicode" w:hAnsi="Arial" w:cs="Arial"/>
          <w:kern w:val="2"/>
          <w:sz w:val="20"/>
          <w:szCs w:val="20"/>
        </w:rPr>
        <w:t>ś.o.r</w:t>
      </w:r>
      <w:proofErr w:type="spellEnd"/>
      <w:r w:rsidRPr="00ED07A6">
        <w:rPr>
          <w:rFonts w:ascii="Arial" w:eastAsia="Lucida Sans Unicode" w:hAnsi="Arial" w:cs="Arial"/>
          <w:kern w:val="2"/>
          <w:sz w:val="20"/>
          <w:szCs w:val="20"/>
        </w:rPr>
        <w:t>. (</w:t>
      </w: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S.Niedop</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w:t>
      </w:r>
    </w:p>
    <w:p w14:paraId="69FC515E"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 xml:space="preserve">Wskaźnik wykryć nieprawidłowości w kontroli stosowania </w:t>
      </w:r>
      <w:proofErr w:type="spellStart"/>
      <w:r w:rsidRPr="00ED07A6">
        <w:rPr>
          <w:rFonts w:ascii="Arial" w:eastAsia="Lucida Sans Unicode" w:hAnsi="Arial" w:cs="Arial"/>
          <w:kern w:val="2"/>
          <w:sz w:val="20"/>
          <w:szCs w:val="20"/>
        </w:rPr>
        <w:t>ś.o.r</w:t>
      </w:r>
      <w:proofErr w:type="spellEnd"/>
      <w:r w:rsidRPr="00ED07A6">
        <w:rPr>
          <w:rFonts w:ascii="Arial" w:eastAsia="Lucida Sans Unicode" w:hAnsi="Arial" w:cs="Arial"/>
          <w:kern w:val="2"/>
          <w:sz w:val="20"/>
          <w:szCs w:val="20"/>
        </w:rPr>
        <w:t>. (</w:t>
      </w: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S.Kontrola</w:t>
      </w:r>
      <w:proofErr w:type="spellEnd"/>
      <w:r w:rsidRPr="00ED07A6">
        <w:rPr>
          <w:rFonts w:ascii="Arial" w:eastAsia="Lucida Sans Unicode" w:hAnsi="Arial" w:cs="Arial"/>
          <w:kern w:val="2"/>
          <w:sz w:val="20"/>
          <w:szCs w:val="20"/>
        </w:rPr>
        <w:t>);</w:t>
      </w:r>
    </w:p>
    <w:p w14:paraId="0FCA7ABD" w14:textId="77777777"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Wskaźnik obciążenia pestycydowego wód powierzchniowych (W</w:t>
      </w:r>
      <w:r w:rsidRPr="00ED07A6">
        <w:rPr>
          <w:rFonts w:ascii="Arial" w:eastAsia="Lucida Sans Unicode" w:hAnsi="Arial" w:cs="Arial"/>
          <w:kern w:val="2"/>
          <w:sz w:val="20"/>
          <w:szCs w:val="20"/>
          <w:vertAlign w:val="subscript"/>
        </w:rPr>
        <w:t>WP</w:t>
      </w:r>
      <w:r w:rsidRPr="00ED07A6">
        <w:rPr>
          <w:rFonts w:ascii="Arial" w:eastAsia="Lucida Sans Unicode" w:hAnsi="Arial" w:cs="Arial"/>
          <w:kern w:val="2"/>
          <w:sz w:val="20"/>
          <w:szCs w:val="20"/>
        </w:rPr>
        <w:t>);</w:t>
      </w:r>
    </w:p>
    <w:p w14:paraId="65D3543D" w14:textId="77777777"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Wskaźniki sprzedaży pod względem potencjalnych zagrożeń dla zdrowia i dla środowiska:</w:t>
      </w:r>
    </w:p>
    <w:p w14:paraId="77538F1C"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Wskaźniki struktury sprzedaży (</w:t>
      </w: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Zagr.Zdr</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i </w:t>
      </w: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Zagr.Środ</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w:t>
      </w:r>
    </w:p>
    <w:p w14:paraId="5BA6150A"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Wskaźniki wielkości sprzedaży (</w:t>
      </w: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Zagr.Zdr</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i </w:t>
      </w: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Zagr.Środ</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w:t>
      </w:r>
    </w:p>
    <w:p w14:paraId="0D8201D1" w14:textId="77777777"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Wskaźniki sprzedaży substancji priorytetowych w dziedzinie polityki wodnej:</w:t>
      </w:r>
    </w:p>
    <w:p w14:paraId="4F8C78F4"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lastRenderedPageBreak/>
        <w:t>-</w:t>
      </w:r>
      <w:r w:rsidRPr="00ED07A6">
        <w:rPr>
          <w:rFonts w:ascii="Arial" w:eastAsia="Lucida Sans Unicode" w:hAnsi="Arial" w:cs="Arial"/>
          <w:kern w:val="2"/>
          <w:sz w:val="20"/>
          <w:szCs w:val="20"/>
        </w:rPr>
        <w:tab/>
        <w:t>Wskaźnik wielkości sprzedaży (WS</w:t>
      </w:r>
      <w:r w:rsidRPr="00ED07A6">
        <w:rPr>
          <w:rFonts w:ascii="Arial" w:eastAsia="Lucida Sans Unicode" w:hAnsi="Arial" w:cs="Arial"/>
          <w:kern w:val="2"/>
          <w:sz w:val="20"/>
          <w:szCs w:val="20"/>
          <w:vertAlign w:val="subscript"/>
        </w:rPr>
        <w:t>PW</w:t>
      </w:r>
      <w:r w:rsidRPr="00ED07A6">
        <w:rPr>
          <w:rFonts w:ascii="Arial" w:eastAsia="Lucida Sans Unicode" w:hAnsi="Arial" w:cs="Arial"/>
          <w:kern w:val="2"/>
          <w:sz w:val="20"/>
          <w:szCs w:val="20"/>
        </w:rPr>
        <w:t>)</w:t>
      </w:r>
    </w:p>
    <w:p w14:paraId="5B091429"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 struktury sprzedaży (WSS</w:t>
      </w:r>
      <w:r w:rsidRPr="00ED07A6">
        <w:rPr>
          <w:rFonts w:ascii="Arial" w:eastAsia="Lucida Sans Unicode" w:hAnsi="Arial" w:cs="Arial"/>
          <w:kern w:val="2"/>
          <w:sz w:val="20"/>
          <w:szCs w:val="20"/>
          <w:vertAlign w:val="subscript"/>
        </w:rPr>
        <w:t>PW</w:t>
      </w:r>
      <w:r w:rsidRPr="00ED07A6">
        <w:rPr>
          <w:rFonts w:ascii="Arial" w:eastAsia="Lucida Sans Unicode" w:hAnsi="Arial" w:cs="Arial"/>
          <w:kern w:val="2"/>
          <w:sz w:val="20"/>
          <w:szCs w:val="20"/>
        </w:rPr>
        <w:t>);</w:t>
      </w:r>
    </w:p>
    <w:p w14:paraId="606AECA5" w14:textId="77777777"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Wskaźniki sprzedaży substancji czynnych wymagających programów monitorowania:</w:t>
      </w:r>
    </w:p>
    <w:p w14:paraId="01054FDC"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 wielkości sprzedaży (</w:t>
      </w: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Monit</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w:t>
      </w:r>
    </w:p>
    <w:p w14:paraId="43D55D33" w14:textId="77777777" w:rsidR="00ED07A6" w:rsidRPr="00ED07A6" w:rsidRDefault="00ED07A6" w:rsidP="00ED07A6">
      <w:pPr>
        <w:suppressAutoHyphens/>
        <w:spacing w:after="12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 struktury sprzedaży (</w:t>
      </w: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Monit</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w:t>
      </w:r>
    </w:p>
    <w:p w14:paraId="684EFD14" w14:textId="6220B0E4" w:rsidR="00ED07A6" w:rsidRPr="00ED07A6" w:rsidRDefault="00ED07A6" w:rsidP="00ED07A6">
      <w:pPr>
        <w:spacing w:after="0" w:line="360" w:lineRule="auto"/>
        <w:ind w:left="709" w:hanging="709"/>
        <w:jc w:val="both"/>
        <w:rPr>
          <w:rFonts w:ascii="Arial" w:eastAsia="Times New Roman" w:hAnsi="Arial" w:cs="Arial"/>
          <w:b/>
          <w:sz w:val="20"/>
          <w:szCs w:val="20"/>
          <w:u w:val="single"/>
          <w:lang w:eastAsia="pl-PL"/>
        </w:rPr>
      </w:pPr>
      <w:r w:rsidRPr="00ED07A6">
        <w:rPr>
          <w:rFonts w:ascii="Arial" w:eastAsia="Times New Roman" w:hAnsi="Arial" w:cs="Arial"/>
          <w:b/>
          <w:sz w:val="20"/>
          <w:szCs w:val="20"/>
          <w:lang w:eastAsia="pl-PL"/>
        </w:rPr>
        <w:t>2.</w:t>
      </w:r>
      <w:r w:rsidRPr="00ED07A6">
        <w:rPr>
          <w:rFonts w:ascii="Arial" w:eastAsia="Times New Roman" w:hAnsi="Arial" w:cs="Arial"/>
          <w:sz w:val="20"/>
          <w:szCs w:val="20"/>
          <w:lang w:eastAsia="pl-PL"/>
        </w:rPr>
        <w:tab/>
      </w:r>
      <w:r w:rsidRPr="00ED07A6">
        <w:rPr>
          <w:rFonts w:ascii="Arial" w:eastAsia="Times New Roman" w:hAnsi="Arial" w:cs="Arial"/>
          <w:b/>
          <w:sz w:val="20"/>
          <w:szCs w:val="20"/>
          <w:u w:val="single"/>
          <w:lang w:eastAsia="pl-PL"/>
        </w:rPr>
        <w:t>Zagrożenie konsumentów wynikające z pozostałości ś</w:t>
      </w:r>
      <w:r w:rsidR="00B31767">
        <w:rPr>
          <w:rFonts w:ascii="Arial" w:eastAsia="Times New Roman" w:hAnsi="Arial" w:cs="Arial"/>
          <w:b/>
          <w:sz w:val="20"/>
          <w:szCs w:val="20"/>
          <w:u w:val="single"/>
          <w:lang w:eastAsia="pl-PL"/>
        </w:rPr>
        <w:t>rodków ochrony roślin</w:t>
      </w:r>
      <w:r w:rsidRPr="00ED07A6">
        <w:rPr>
          <w:rFonts w:ascii="Arial" w:eastAsia="Times New Roman" w:hAnsi="Arial" w:cs="Arial"/>
          <w:b/>
          <w:sz w:val="20"/>
          <w:szCs w:val="20"/>
          <w:u w:val="single"/>
          <w:lang w:eastAsia="pl-PL"/>
        </w:rPr>
        <w:t xml:space="preserve"> w płodach rolnych </w:t>
      </w:r>
    </w:p>
    <w:p w14:paraId="394FD5BD" w14:textId="39B020EF" w:rsidR="00ED07A6" w:rsidRDefault="00B20451" w:rsidP="008C521C">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D</w:t>
      </w:r>
      <w:r w:rsidR="00ED07A6" w:rsidRPr="00ED07A6">
        <w:rPr>
          <w:rFonts w:ascii="Arial" w:hAnsi="Arial" w:cs="Arial"/>
        </w:rPr>
        <w:t xml:space="preserve">o oceny występowania pozostałości </w:t>
      </w:r>
      <w:r>
        <w:rPr>
          <w:rFonts w:ascii="Arial" w:hAnsi="Arial" w:cs="Arial"/>
        </w:rPr>
        <w:t>środków ochrony roślin</w:t>
      </w:r>
      <w:r w:rsidR="00ED07A6" w:rsidRPr="00ED07A6">
        <w:rPr>
          <w:rFonts w:ascii="Arial" w:hAnsi="Arial" w:cs="Arial"/>
        </w:rPr>
        <w:t xml:space="preserve"> w płodach rolnych dedykowane są dwa wskaźniki krajowe: wskaźnik „A” – „Wskaźnik pozostałości pestycydowych w płodach rolnych przeznaczonych do spożycia i przetwórstwa” (</w:t>
      </w:r>
      <w:proofErr w:type="spellStart"/>
      <w:r w:rsidR="00ED07A6" w:rsidRPr="00ED07A6">
        <w:rPr>
          <w:rFonts w:ascii="Arial" w:hAnsi="Arial" w:cs="Arial"/>
        </w:rPr>
        <w:t>W</w:t>
      </w:r>
      <w:r w:rsidR="00ED07A6" w:rsidRPr="008C521C">
        <w:rPr>
          <w:rFonts w:ascii="Arial" w:hAnsi="Arial" w:cs="Arial"/>
        </w:rPr>
        <w:t>Poz</w:t>
      </w:r>
      <w:proofErr w:type="spellEnd"/>
      <w:r w:rsidR="00ED07A6" w:rsidRPr="008C521C">
        <w:rPr>
          <w:rFonts w:ascii="Arial" w:hAnsi="Arial" w:cs="Arial"/>
        </w:rPr>
        <w:t>.</w:t>
      </w:r>
      <w:r w:rsidR="00ED07A6" w:rsidRPr="00ED07A6">
        <w:rPr>
          <w:rFonts w:ascii="Arial" w:hAnsi="Arial" w:cs="Arial"/>
        </w:rPr>
        <w:t xml:space="preserve">) oraz wskaźnik z grupy „B” – „Wskaźnik wykryć przekroczeń NDP w kontroli pozostałości </w:t>
      </w:r>
      <w:proofErr w:type="spellStart"/>
      <w:r w:rsidR="00ED07A6" w:rsidRPr="00ED07A6">
        <w:rPr>
          <w:rFonts w:ascii="Arial" w:hAnsi="Arial" w:cs="Arial"/>
        </w:rPr>
        <w:t>ś.o.r</w:t>
      </w:r>
      <w:proofErr w:type="spellEnd"/>
      <w:r w:rsidR="00ED07A6" w:rsidRPr="00ED07A6">
        <w:rPr>
          <w:rFonts w:ascii="Arial" w:hAnsi="Arial" w:cs="Arial"/>
        </w:rPr>
        <w:t>.” (W</w:t>
      </w:r>
      <w:r w:rsidR="00ED07A6" w:rsidRPr="008C521C">
        <w:rPr>
          <w:rFonts w:ascii="Arial" w:hAnsi="Arial" w:cs="Arial"/>
        </w:rPr>
        <w:t>S.NDP</w:t>
      </w:r>
      <w:r w:rsidR="00ED07A6" w:rsidRPr="00ED07A6">
        <w:rPr>
          <w:rFonts w:ascii="Arial" w:hAnsi="Arial" w:cs="Arial"/>
        </w:rPr>
        <w:t xml:space="preserve">). </w:t>
      </w:r>
    </w:p>
    <w:p w14:paraId="33BB3FC4" w14:textId="77777777" w:rsidR="006524C7" w:rsidRPr="008C521C" w:rsidRDefault="006524C7" w:rsidP="00CD395A">
      <w:pPr>
        <w:pStyle w:val="NormalnyWeb"/>
        <w:tabs>
          <w:tab w:val="left" w:pos="284"/>
        </w:tabs>
        <w:spacing w:beforeAutospacing="0" w:after="120" w:afterAutospacing="0" w:line="360" w:lineRule="auto"/>
        <w:jc w:val="both"/>
        <w:rPr>
          <w:rFonts w:ascii="Arial" w:hAnsi="Arial" w:cs="Arial"/>
          <w:vertAlign w:val="subscript"/>
        </w:rPr>
      </w:pPr>
      <w:r w:rsidRPr="008C521C">
        <w:rPr>
          <w:rFonts w:ascii="Arial" w:hAnsi="Arial" w:cs="Arial"/>
        </w:rPr>
        <w:t xml:space="preserve">W tabeli 1 przedstawiono obliczenia wskaźników </w:t>
      </w:r>
      <w:proofErr w:type="spellStart"/>
      <w:r w:rsidRPr="008C521C">
        <w:rPr>
          <w:rFonts w:ascii="Arial" w:hAnsi="Arial" w:cs="Arial"/>
        </w:rPr>
        <w:t>W</w:t>
      </w:r>
      <w:r w:rsidRPr="008C521C">
        <w:rPr>
          <w:rFonts w:ascii="Arial" w:hAnsi="Arial" w:cs="Arial"/>
          <w:vertAlign w:val="subscript"/>
        </w:rPr>
        <w:t>Poz</w:t>
      </w:r>
      <w:proofErr w:type="spellEnd"/>
      <w:r w:rsidRPr="008C521C">
        <w:rPr>
          <w:rFonts w:ascii="Arial" w:hAnsi="Arial" w:cs="Arial"/>
          <w:vertAlign w:val="subscript"/>
        </w:rPr>
        <w:t xml:space="preserve"> </w:t>
      </w:r>
      <w:r w:rsidRPr="008C521C">
        <w:rPr>
          <w:rFonts w:ascii="Arial" w:hAnsi="Arial" w:cs="Arial"/>
        </w:rPr>
        <w:t>i W</w:t>
      </w:r>
      <w:r w:rsidRPr="008C521C">
        <w:rPr>
          <w:rFonts w:ascii="Arial" w:hAnsi="Arial" w:cs="Arial"/>
          <w:vertAlign w:val="subscript"/>
        </w:rPr>
        <w:t>S.NDP.</w:t>
      </w:r>
    </w:p>
    <w:p w14:paraId="4D138D5A" w14:textId="169BE9AA" w:rsidR="00CD395A" w:rsidRPr="008C521C" w:rsidRDefault="006524C7" w:rsidP="00CD395A">
      <w:pPr>
        <w:spacing w:before="120" w:after="120"/>
        <w:jc w:val="center"/>
        <w:rPr>
          <w:rFonts w:ascii="Arial" w:eastAsia="Times New Roman" w:hAnsi="Arial" w:cs="Arial"/>
          <w:i/>
          <w:sz w:val="20"/>
          <w:szCs w:val="20"/>
          <w:lang w:eastAsia="pl-PL"/>
        </w:rPr>
      </w:pPr>
      <w:r w:rsidRPr="008C521C">
        <w:rPr>
          <w:rFonts w:ascii="Arial" w:eastAsia="Times New Roman" w:hAnsi="Arial" w:cs="Arial"/>
          <w:i/>
          <w:sz w:val="20"/>
          <w:szCs w:val="20"/>
          <w:lang w:eastAsia="pl-PL"/>
        </w:rPr>
        <w:t xml:space="preserve">Tabela 1. Wyniki obliczeń wskaźników </w:t>
      </w:r>
      <w:proofErr w:type="spellStart"/>
      <w:r w:rsidRPr="008C521C">
        <w:rPr>
          <w:rFonts w:ascii="Arial" w:eastAsia="Times New Roman" w:hAnsi="Arial" w:cs="Arial"/>
          <w:i/>
          <w:sz w:val="20"/>
          <w:szCs w:val="20"/>
          <w:lang w:eastAsia="pl-PL"/>
        </w:rPr>
        <w:t>W</w:t>
      </w:r>
      <w:r w:rsidRPr="008C521C">
        <w:rPr>
          <w:rFonts w:ascii="Arial" w:eastAsia="Times New Roman" w:hAnsi="Arial" w:cs="Arial"/>
          <w:i/>
          <w:sz w:val="20"/>
          <w:szCs w:val="20"/>
          <w:vertAlign w:val="subscript"/>
          <w:lang w:eastAsia="pl-PL"/>
        </w:rPr>
        <w:t>Poz</w:t>
      </w:r>
      <w:proofErr w:type="spellEnd"/>
      <w:r w:rsidRPr="008C521C">
        <w:rPr>
          <w:rFonts w:ascii="Arial" w:eastAsia="Times New Roman" w:hAnsi="Arial" w:cs="Arial"/>
          <w:i/>
          <w:sz w:val="20"/>
          <w:szCs w:val="20"/>
          <w:vertAlign w:val="subscript"/>
          <w:lang w:eastAsia="pl-PL"/>
        </w:rPr>
        <w:t xml:space="preserve"> </w:t>
      </w:r>
      <w:r w:rsidRPr="008C521C">
        <w:rPr>
          <w:rFonts w:ascii="Arial" w:eastAsia="Times New Roman" w:hAnsi="Arial" w:cs="Arial"/>
          <w:i/>
          <w:sz w:val="20"/>
          <w:szCs w:val="20"/>
          <w:lang w:eastAsia="pl-PL"/>
        </w:rPr>
        <w:t>i W</w:t>
      </w:r>
      <w:r w:rsidRPr="008C521C">
        <w:rPr>
          <w:rFonts w:ascii="Arial" w:eastAsia="Times New Roman" w:hAnsi="Arial" w:cs="Arial"/>
          <w:i/>
          <w:sz w:val="20"/>
          <w:szCs w:val="20"/>
          <w:vertAlign w:val="subscript"/>
          <w:lang w:eastAsia="pl-PL"/>
        </w:rPr>
        <w:t xml:space="preserve">S.NDP. </w:t>
      </w:r>
      <w:r w:rsidRPr="008C521C">
        <w:rPr>
          <w:rFonts w:ascii="Arial" w:eastAsia="Times New Roman" w:hAnsi="Arial" w:cs="Arial"/>
          <w:i/>
          <w:sz w:val="20"/>
          <w:szCs w:val="20"/>
          <w:lang w:eastAsia="pl-PL"/>
        </w:rPr>
        <w:t>w latach 2016-2021</w:t>
      </w:r>
    </w:p>
    <w:tbl>
      <w:tblPr>
        <w:tblW w:w="9072" w:type="dxa"/>
        <w:jc w:val="center"/>
        <w:tblLayout w:type="fixed"/>
        <w:tblCellMar>
          <w:left w:w="10" w:type="dxa"/>
          <w:right w:w="10" w:type="dxa"/>
        </w:tblCellMar>
        <w:tblLook w:val="0000" w:firstRow="0" w:lastRow="0" w:firstColumn="0" w:lastColumn="0" w:noHBand="0" w:noVBand="0"/>
      </w:tblPr>
      <w:tblGrid>
        <w:gridCol w:w="1447"/>
        <w:gridCol w:w="1270"/>
        <w:gridCol w:w="1271"/>
        <w:gridCol w:w="1271"/>
        <w:gridCol w:w="1271"/>
        <w:gridCol w:w="1271"/>
        <w:gridCol w:w="1271"/>
      </w:tblGrid>
      <w:tr w:rsidR="006524C7" w:rsidRPr="006524C7" w14:paraId="2BF26250" w14:textId="77777777" w:rsidTr="006524C7">
        <w:trPr>
          <w:trHeight w:val="567"/>
          <w:jc w:val="center"/>
        </w:trPr>
        <w:tc>
          <w:tcPr>
            <w:tcW w:w="1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42D995"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Rok</w:t>
            </w:r>
          </w:p>
        </w:tc>
        <w:tc>
          <w:tcPr>
            <w:tcW w:w="12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A1F3FB"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2016</w:t>
            </w:r>
          </w:p>
        </w:tc>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19CFA1"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2017</w:t>
            </w:r>
          </w:p>
        </w:tc>
        <w:tc>
          <w:tcPr>
            <w:tcW w:w="1271" w:type="dxa"/>
            <w:tcBorders>
              <w:top w:val="single" w:sz="4" w:space="0" w:color="auto"/>
              <w:left w:val="single" w:sz="4" w:space="0" w:color="auto"/>
              <w:bottom w:val="single" w:sz="4" w:space="0" w:color="auto"/>
              <w:right w:val="single" w:sz="4" w:space="0" w:color="auto"/>
            </w:tcBorders>
            <w:vAlign w:val="center"/>
          </w:tcPr>
          <w:p w14:paraId="373F3F9C"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2018</w:t>
            </w:r>
          </w:p>
        </w:tc>
        <w:tc>
          <w:tcPr>
            <w:tcW w:w="1271" w:type="dxa"/>
            <w:tcBorders>
              <w:top w:val="single" w:sz="4" w:space="0" w:color="auto"/>
              <w:left w:val="single" w:sz="4" w:space="0" w:color="auto"/>
              <w:bottom w:val="single" w:sz="4" w:space="0" w:color="auto"/>
              <w:right w:val="single" w:sz="4" w:space="0" w:color="auto"/>
            </w:tcBorders>
            <w:vAlign w:val="center"/>
          </w:tcPr>
          <w:p w14:paraId="107821A3"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2019</w:t>
            </w:r>
          </w:p>
        </w:tc>
        <w:tc>
          <w:tcPr>
            <w:tcW w:w="1271" w:type="dxa"/>
            <w:tcBorders>
              <w:top w:val="single" w:sz="4" w:space="0" w:color="auto"/>
              <w:left w:val="single" w:sz="4" w:space="0" w:color="auto"/>
              <w:bottom w:val="single" w:sz="4" w:space="0" w:color="auto"/>
              <w:right w:val="single" w:sz="4" w:space="0" w:color="auto"/>
            </w:tcBorders>
            <w:vAlign w:val="center"/>
          </w:tcPr>
          <w:p w14:paraId="6BAF1525"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2020</w:t>
            </w:r>
          </w:p>
        </w:tc>
        <w:tc>
          <w:tcPr>
            <w:tcW w:w="1271" w:type="dxa"/>
            <w:tcBorders>
              <w:top w:val="single" w:sz="4" w:space="0" w:color="auto"/>
              <w:left w:val="single" w:sz="4" w:space="0" w:color="auto"/>
              <w:bottom w:val="single" w:sz="4" w:space="0" w:color="auto"/>
              <w:right w:val="single" w:sz="4" w:space="0" w:color="auto"/>
            </w:tcBorders>
            <w:vAlign w:val="center"/>
          </w:tcPr>
          <w:p w14:paraId="36CB2FB7"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2021</w:t>
            </w:r>
          </w:p>
        </w:tc>
      </w:tr>
      <w:tr w:rsidR="006524C7" w:rsidRPr="006524C7" w14:paraId="73E2B89A" w14:textId="77777777" w:rsidTr="006524C7">
        <w:trPr>
          <w:trHeight w:val="567"/>
          <w:jc w:val="center"/>
        </w:trPr>
        <w:tc>
          <w:tcPr>
            <w:tcW w:w="1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B260F2"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proofErr w:type="spellStart"/>
            <w:r w:rsidRPr="008C521C">
              <w:rPr>
                <w:rFonts w:ascii="Arial" w:eastAsia="Lucida Sans Unicode" w:hAnsi="Arial" w:cs="Arial"/>
                <w:kern w:val="2"/>
                <w:sz w:val="20"/>
                <w:szCs w:val="20"/>
              </w:rPr>
              <w:t>W</w:t>
            </w:r>
            <w:r w:rsidRPr="008C521C">
              <w:rPr>
                <w:rFonts w:ascii="Arial" w:eastAsia="Lucida Sans Unicode" w:hAnsi="Arial" w:cs="Arial"/>
                <w:kern w:val="2"/>
                <w:sz w:val="20"/>
                <w:szCs w:val="20"/>
                <w:vertAlign w:val="subscript"/>
              </w:rPr>
              <w:t>Poz</w:t>
            </w:r>
            <w:proofErr w:type="spellEnd"/>
            <w:r w:rsidRPr="008C521C">
              <w:rPr>
                <w:rFonts w:ascii="Arial" w:eastAsia="Lucida Sans Unicode" w:hAnsi="Arial" w:cs="Arial"/>
                <w:kern w:val="2"/>
                <w:sz w:val="20"/>
                <w:szCs w:val="20"/>
                <w:vertAlign w:val="subscript"/>
              </w:rPr>
              <w:t>.</w:t>
            </w:r>
            <w:r w:rsidRPr="008C521C">
              <w:rPr>
                <w:rFonts w:ascii="Arial" w:eastAsia="Lucida Sans Unicode" w:hAnsi="Arial" w:cs="Arial"/>
                <w:kern w:val="2"/>
                <w:sz w:val="20"/>
                <w:szCs w:val="20"/>
              </w:rPr>
              <w:t xml:space="preserve"> [%]</w:t>
            </w:r>
          </w:p>
        </w:tc>
        <w:tc>
          <w:tcPr>
            <w:tcW w:w="12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DDB23"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14,13</w:t>
            </w:r>
          </w:p>
        </w:tc>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0CA28A"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15,92</w:t>
            </w:r>
          </w:p>
        </w:tc>
        <w:tc>
          <w:tcPr>
            <w:tcW w:w="1271" w:type="dxa"/>
            <w:tcBorders>
              <w:top w:val="single" w:sz="4" w:space="0" w:color="auto"/>
              <w:left w:val="single" w:sz="4" w:space="0" w:color="auto"/>
              <w:bottom w:val="single" w:sz="4" w:space="0" w:color="auto"/>
              <w:right w:val="single" w:sz="4" w:space="0" w:color="auto"/>
            </w:tcBorders>
            <w:vAlign w:val="center"/>
          </w:tcPr>
          <w:p w14:paraId="21C42CED"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brak danych</w:t>
            </w:r>
          </w:p>
        </w:tc>
        <w:tc>
          <w:tcPr>
            <w:tcW w:w="1271" w:type="dxa"/>
            <w:tcBorders>
              <w:top w:val="single" w:sz="4" w:space="0" w:color="auto"/>
              <w:left w:val="single" w:sz="4" w:space="0" w:color="auto"/>
              <w:bottom w:val="single" w:sz="4" w:space="0" w:color="auto"/>
              <w:right w:val="single" w:sz="4" w:space="0" w:color="auto"/>
            </w:tcBorders>
            <w:vAlign w:val="center"/>
          </w:tcPr>
          <w:p w14:paraId="7DFC3AB0"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24,62</w:t>
            </w:r>
          </w:p>
        </w:tc>
        <w:tc>
          <w:tcPr>
            <w:tcW w:w="1271" w:type="dxa"/>
            <w:tcBorders>
              <w:top w:val="single" w:sz="4" w:space="0" w:color="auto"/>
              <w:left w:val="single" w:sz="4" w:space="0" w:color="auto"/>
              <w:bottom w:val="single" w:sz="4" w:space="0" w:color="auto"/>
              <w:right w:val="single" w:sz="4" w:space="0" w:color="auto"/>
            </w:tcBorders>
            <w:vAlign w:val="center"/>
          </w:tcPr>
          <w:p w14:paraId="506473CA"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16,38</w:t>
            </w:r>
          </w:p>
        </w:tc>
        <w:tc>
          <w:tcPr>
            <w:tcW w:w="1271" w:type="dxa"/>
            <w:tcBorders>
              <w:top w:val="single" w:sz="4" w:space="0" w:color="auto"/>
              <w:left w:val="single" w:sz="4" w:space="0" w:color="auto"/>
              <w:bottom w:val="single" w:sz="4" w:space="0" w:color="auto"/>
              <w:right w:val="single" w:sz="4" w:space="0" w:color="auto"/>
            </w:tcBorders>
            <w:vAlign w:val="center"/>
          </w:tcPr>
          <w:p w14:paraId="38BADDFB"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21,665</w:t>
            </w:r>
          </w:p>
        </w:tc>
      </w:tr>
      <w:tr w:rsidR="006524C7" w:rsidRPr="006524C7" w14:paraId="3A2A291B" w14:textId="77777777" w:rsidTr="006524C7">
        <w:trPr>
          <w:trHeight w:val="567"/>
          <w:jc w:val="center"/>
        </w:trPr>
        <w:tc>
          <w:tcPr>
            <w:tcW w:w="1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D0E4A7"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vertAlign w:val="subscript"/>
              </w:rPr>
            </w:pPr>
            <w:r w:rsidRPr="008C521C">
              <w:rPr>
                <w:rFonts w:ascii="Arial" w:eastAsia="Lucida Sans Unicode" w:hAnsi="Arial" w:cs="Arial"/>
                <w:kern w:val="2"/>
                <w:sz w:val="20"/>
                <w:szCs w:val="20"/>
              </w:rPr>
              <w:t>W</w:t>
            </w:r>
            <w:r w:rsidRPr="008C521C">
              <w:rPr>
                <w:rFonts w:ascii="Arial" w:eastAsia="Lucida Sans Unicode" w:hAnsi="Arial" w:cs="Arial"/>
                <w:kern w:val="2"/>
                <w:sz w:val="20"/>
                <w:szCs w:val="20"/>
                <w:vertAlign w:val="subscript"/>
              </w:rPr>
              <w:t>S.NDP</w:t>
            </w:r>
          </w:p>
        </w:tc>
        <w:tc>
          <w:tcPr>
            <w:tcW w:w="12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E0CC7B"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0,027</w:t>
            </w:r>
          </w:p>
        </w:tc>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118785"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0,038</w:t>
            </w:r>
          </w:p>
        </w:tc>
        <w:tc>
          <w:tcPr>
            <w:tcW w:w="1271" w:type="dxa"/>
            <w:tcBorders>
              <w:top w:val="single" w:sz="4" w:space="0" w:color="auto"/>
              <w:left w:val="single" w:sz="4" w:space="0" w:color="auto"/>
              <w:bottom w:val="single" w:sz="4" w:space="0" w:color="auto"/>
              <w:right w:val="single" w:sz="4" w:space="0" w:color="auto"/>
            </w:tcBorders>
            <w:vAlign w:val="center"/>
          </w:tcPr>
          <w:p w14:paraId="69889E1B"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brak danych</w:t>
            </w:r>
          </w:p>
        </w:tc>
        <w:tc>
          <w:tcPr>
            <w:tcW w:w="1271" w:type="dxa"/>
            <w:tcBorders>
              <w:top w:val="single" w:sz="4" w:space="0" w:color="auto"/>
              <w:left w:val="single" w:sz="4" w:space="0" w:color="auto"/>
              <w:bottom w:val="single" w:sz="4" w:space="0" w:color="auto"/>
              <w:right w:val="single" w:sz="4" w:space="0" w:color="auto"/>
            </w:tcBorders>
            <w:vAlign w:val="center"/>
          </w:tcPr>
          <w:p w14:paraId="392652C4"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0,059</w:t>
            </w:r>
          </w:p>
        </w:tc>
        <w:tc>
          <w:tcPr>
            <w:tcW w:w="1271" w:type="dxa"/>
            <w:tcBorders>
              <w:top w:val="single" w:sz="4" w:space="0" w:color="auto"/>
              <w:left w:val="single" w:sz="4" w:space="0" w:color="auto"/>
              <w:bottom w:val="single" w:sz="4" w:space="0" w:color="auto"/>
              <w:right w:val="single" w:sz="4" w:space="0" w:color="auto"/>
            </w:tcBorders>
            <w:vAlign w:val="center"/>
          </w:tcPr>
          <w:p w14:paraId="0E4204B2"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0,034</w:t>
            </w:r>
          </w:p>
        </w:tc>
        <w:tc>
          <w:tcPr>
            <w:tcW w:w="1271" w:type="dxa"/>
            <w:tcBorders>
              <w:top w:val="single" w:sz="4" w:space="0" w:color="auto"/>
              <w:left w:val="single" w:sz="4" w:space="0" w:color="auto"/>
              <w:bottom w:val="single" w:sz="4" w:space="0" w:color="auto"/>
              <w:right w:val="single" w:sz="4" w:space="0" w:color="auto"/>
            </w:tcBorders>
            <w:vAlign w:val="center"/>
          </w:tcPr>
          <w:p w14:paraId="15BACBD3" w14:textId="77777777" w:rsidR="006524C7" w:rsidRPr="008C521C" w:rsidRDefault="006524C7" w:rsidP="006524C7">
            <w:pPr>
              <w:suppressAutoHyphens/>
              <w:spacing w:after="0" w:line="240" w:lineRule="auto"/>
              <w:jc w:val="center"/>
              <w:rPr>
                <w:rFonts w:ascii="Arial" w:eastAsia="Lucida Sans Unicode" w:hAnsi="Arial" w:cs="Arial"/>
                <w:kern w:val="2"/>
                <w:sz w:val="20"/>
                <w:szCs w:val="20"/>
              </w:rPr>
            </w:pPr>
            <w:r w:rsidRPr="008C521C">
              <w:rPr>
                <w:rFonts w:ascii="Arial" w:eastAsia="Lucida Sans Unicode" w:hAnsi="Arial" w:cs="Arial"/>
                <w:kern w:val="2"/>
                <w:sz w:val="20"/>
                <w:szCs w:val="20"/>
              </w:rPr>
              <w:t>0,0324</w:t>
            </w:r>
          </w:p>
        </w:tc>
      </w:tr>
    </w:tbl>
    <w:p w14:paraId="7E77C746" w14:textId="77777777" w:rsidR="006524C7" w:rsidRPr="006524C7" w:rsidRDefault="006524C7" w:rsidP="006524C7">
      <w:pPr>
        <w:spacing w:after="0"/>
        <w:jc w:val="both"/>
        <w:rPr>
          <w:rFonts w:ascii="Times New Roman" w:eastAsia="Times New Roman" w:hAnsi="Times New Roman" w:cs="Times New Roman"/>
          <w:sz w:val="24"/>
          <w:szCs w:val="24"/>
          <w:lang w:eastAsia="pl-PL"/>
        </w:rPr>
      </w:pPr>
    </w:p>
    <w:p w14:paraId="5424B9CC" w14:textId="55158C87" w:rsidR="006524C7" w:rsidRPr="00B31767" w:rsidRDefault="006524C7" w:rsidP="00B31767">
      <w:pPr>
        <w:pStyle w:val="NormalnyWeb"/>
        <w:tabs>
          <w:tab w:val="left" w:pos="284"/>
        </w:tabs>
        <w:spacing w:beforeAutospacing="0" w:after="120" w:afterAutospacing="0" w:line="360" w:lineRule="auto"/>
        <w:ind w:firstLine="284"/>
        <w:jc w:val="both"/>
        <w:rPr>
          <w:rFonts w:ascii="Arial" w:hAnsi="Arial" w:cs="Arial"/>
        </w:rPr>
      </w:pPr>
      <w:r w:rsidRPr="00B31767">
        <w:rPr>
          <w:rFonts w:ascii="Arial" w:hAnsi="Arial" w:cs="Arial"/>
        </w:rPr>
        <w:t>Wskaźniki uwzględniają pozostałości ś</w:t>
      </w:r>
      <w:r w:rsidR="00B31767">
        <w:rPr>
          <w:rFonts w:ascii="Arial" w:hAnsi="Arial" w:cs="Arial"/>
        </w:rPr>
        <w:t xml:space="preserve">rodków ochrony roślin </w:t>
      </w:r>
      <w:r w:rsidRPr="00B31767">
        <w:rPr>
          <w:rFonts w:ascii="Arial" w:hAnsi="Arial" w:cs="Arial"/>
        </w:rPr>
        <w:t>w płodach rolnych w stanie dojrzałości zbiorczej (przed zbiorem i po zbiorze), natomiast nie uwzględniają pozostałości w próbkach pobranych podczas wzrostu roślin. Wyniki analiz próbek pobranych w stanie dojrzałości zbiorczej dają obraz potencjalnych zagrożeń dla konsumentów.</w:t>
      </w:r>
    </w:p>
    <w:p w14:paraId="1FF89A35" w14:textId="46DAA31D" w:rsidR="006524C7" w:rsidRPr="00B31767" w:rsidRDefault="006524C7" w:rsidP="00B31767">
      <w:pPr>
        <w:pStyle w:val="NormalnyWeb"/>
        <w:tabs>
          <w:tab w:val="left" w:pos="284"/>
        </w:tabs>
        <w:spacing w:beforeAutospacing="0" w:after="120" w:afterAutospacing="0" w:line="360" w:lineRule="auto"/>
        <w:ind w:firstLine="284"/>
        <w:jc w:val="both"/>
        <w:rPr>
          <w:rFonts w:ascii="Arial" w:hAnsi="Arial" w:cs="Arial"/>
        </w:rPr>
      </w:pPr>
      <w:r w:rsidRPr="00B31767">
        <w:rPr>
          <w:rFonts w:ascii="Arial" w:hAnsi="Arial" w:cs="Arial"/>
        </w:rPr>
        <w:t xml:space="preserve">Wskaźnik </w:t>
      </w:r>
      <w:proofErr w:type="spellStart"/>
      <w:r w:rsidRPr="00B31767">
        <w:rPr>
          <w:rFonts w:ascii="Arial" w:hAnsi="Arial" w:cs="Arial"/>
        </w:rPr>
        <w:t>WPoz</w:t>
      </w:r>
      <w:proofErr w:type="spellEnd"/>
      <w:r w:rsidRPr="00B31767">
        <w:rPr>
          <w:rFonts w:ascii="Arial" w:hAnsi="Arial" w:cs="Arial"/>
        </w:rPr>
        <w:t>. można interpretować jako średni procentowy poziom wykrywanych pozostałości w</w:t>
      </w:r>
      <w:r w:rsidR="00B31767">
        <w:rPr>
          <w:rFonts w:ascii="Arial" w:hAnsi="Arial" w:cs="Arial"/>
        </w:rPr>
        <w:t> </w:t>
      </w:r>
      <w:r w:rsidRPr="00B31767">
        <w:rPr>
          <w:rFonts w:ascii="Arial" w:hAnsi="Arial" w:cs="Arial"/>
        </w:rPr>
        <w:t>stosunku do ich NDP w badanych próbkach płodów rolnych podlegających spożyciu przez ludzi. W</w:t>
      </w:r>
      <w:r w:rsidR="00B31767">
        <w:rPr>
          <w:rFonts w:ascii="Arial" w:hAnsi="Arial" w:cs="Arial"/>
        </w:rPr>
        <w:t> </w:t>
      </w:r>
      <w:r w:rsidRPr="00B31767">
        <w:rPr>
          <w:rFonts w:ascii="Arial" w:hAnsi="Arial" w:cs="Arial"/>
        </w:rPr>
        <w:t xml:space="preserve"> 2021 </w:t>
      </w:r>
      <w:r w:rsidR="00B31767">
        <w:rPr>
          <w:rFonts w:ascii="Arial" w:hAnsi="Arial" w:cs="Arial"/>
        </w:rPr>
        <w:t xml:space="preserve">r. </w:t>
      </w:r>
      <w:r w:rsidRPr="00B31767">
        <w:rPr>
          <w:rFonts w:ascii="Arial" w:hAnsi="Arial" w:cs="Arial"/>
        </w:rPr>
        <w:t xml:space="preserve">nastąpił wzrost wartości wskaźnika </w:t>
      </w:r>
      <w:proofErr w:type="spellStart"/>
      <w:r w:rsidRPr="00B31767">
        <w:rPr>
          <w:rFonts w:ascii="Arial" w:hAnsi="Arial" w:cs="Arial"/>
        </w:rPr>
        <w:t>WPoz</w:t>
      </w:r>
      <w:proofErr w:type="spellEnd"/>
      <w:r w:rsidRPr="00B31767">
        <w:rPr>
          <w:rFonts w:ascii="Arial" w:hAnsi="Arial" w:cs="Arial"/>
        </w:rPr>
        <w:t xml:space="preserve"> z 16,38% do 21,665%. Nie przekroczył on jednak wartości 24,62% z 2019</w:t>
      </w:r>
      <w:r w:rsidR="00763E6D">
        <w:rPr>
          <w:rFonts w:ascii="Arial" w:hAnsi="Arial" w:cs="Arial"/>
        </w:rPr>
        <w:t xml:space="preserve"> r</w:t>
      </w:r>
      <w:r w:rsidRPr="00B31767">
        <w:rPr>
          <w:rFonts w:ascii="Arial" w:hAnsi="Arial" w:cs="Arial"/>
        </w:rPr>
        <w:t>. Największy wpływ na wzrost miały uprawy o stosunkowo dużej produkcji takie jak rzepak, burak cukrowy i pszenica. Zauważalny jest także wpływ wykrywanych pozostałości w</w:t>
      </w:r>
      <w:r w:rsidR="00B31767">
        <w:rPr>
          <w:rFonts w:ascii="Arial" w:hAnsi="Arial" w:cs="Arial"/>
        </w:rPr>
        <w:t> </w:t>
      </w:r>
      <w:r w:rsidRPr="00B31767">
        <w:rPr>
          <w:rFonts w:ascii="Arial" w:hAnsi="Arial" w:cs="Arial"/>
        </w:rPr>
        <w:t xml:space="preserve">uprawie pomidora spod osłon. Znaczące było również polepszenie wyników (czyli mniej wykrywanych pozostałości) dla ziemniaka. W dalszym ciągu istnieje też problem wykryć pozostałości w mniej znaczących uprawach takich jak czosnek, koper, kapusta pekińska, kminek zwyczajny, dla których średnio na próbkę suma wykrytych pozostałości wynosi ponad 200% NDP. Można zauważyć również, że w latach 2016-2021 wskaźnik </w:t>
      </w:r>
      <w:proofErr w:type="spellStart"/>
      <w:r w:rsidRPr="00B31767">
        <w:rPr>
          <w:rFonts w:ascii="Arial" w:hAnsi="Arial" w:cs="Arial"/>
        </w:rPr>
        <w:t>WPoz</w:t>
      </w:r>
      <w:proofErr w:type="spellEnd"/>
      <w:r w:rsidRPr="00B31767">
        <w:rPr>
          <w:rFonts w:ascii="Arial" w:hAnsi="Arial" w:cs="Arial"/>
        </w:rPr>
        <w:t>. ma wahania wartości (od 14,1. do 24,6%). Jest to związane z</w:t>
      </w:r>
      <w:r w:rsidR="00B31767">
        <w:rPr>
          <w:rFonts w:ascii="Arial" w:hAnsi="Arial" w:cs="Arial"/>
        </w:rPr>
        <w:t> </w:t>
      </w:r>
      <w:r w:rsidRPr="00B31767">
        <w:rPr>
          <w:rFonts w:ascii="Arial" w:hAnsi="Arial" w:cs="Arial"/>
        </w:rPr>
        <w:t>incydentalnie wykrywanymi dużymi przekroczeniami NDP. W zależności od znaczenia uprawy (wielkości produkcji) ma to większy lub mniejszy wpływ na końcową wartość wskaźnika.</w:t>
      </w:r>
    </w:p>
    <w:p w14:paraId="1F40A797" w14:textId="29FEAB89" w:rsidR="006524C7" w:rsidRPr="00B31767" w:rsidRDefault="006524C7" w:rsidP="00B31767">
      <w:pPr>
        <w:pStyle w:val="NormalnyWeb"/>
        <w:tabs>
          <w:tab w:val="left" w:pos="284"/>
        </w:tabs>
        <w:spacing w:beforeAutospacing="0" w:after="120" w:afterAutospacing="0" w:line="360" w:lineRule="auto"/>
        <w:ind w:firstLine="284"/>
        <w:jc w:val="both"/>
        <w:rPr>
          <w:rFonts w:ascii="Arial" w:hAnsi="Arial" w:cs="Arial"/>
        </w:rPr>
      </w:pPr>
      <w:r w:rsidRPr="00B31767">
        <w:rPr>
          <w:rFonts w:ascii="Arial" w:hAnsi="Arial" w:cs="Arial"/>
        </w:rPr>
        <w:t xml:space="preserve">Analiza obliczeń wskaźnika wykryć przekroczeń NDP w kontroli pozostałości </w:t>
      </w:r>
      <w:proofErr w:type="spellStart"/>
      <w:r w:rsidRPr="00B31767">
        <w:rPr>
          <w:rFonts w:ascii="Arial" w:hAnsi="Arial" w:cs="Arial"/>
        </w:rPr>
        <w:t>ś.o.r</w:t>
      </w:r>
      <w:proofErr w:type="spellEnd"/>
      <w:r w:rsidRPr="00B31767">
        <w:rPr>
          <w:rFonts w:ascii="Arial" w:hAnsi="Arial" w:cs="Arial"/>
        </w:rPr>
        <w:t>. (WS.NDP) pokazuje, że w 94 próbkach na 3</w:t>
      </w:r>
      <w:r w:rsidR="00B31767">
        <w:rPr>
          <w:rFonts w:ascii="Arial" w:hAnsi="Arial" w:cs="Arial"/>
        </w:rPr>
        <w:t> </w:t>
      </w:r>
      <w:r w:rsidRPr="00B31767">
        <w:rPr>
          <w:rFonts w:ascii="Arial" w:hAnsi="Arial" w:cs="Arial"/>
        </w:rPr>
        <w:t xml:space="preserve">635 (próbki w stanie dojrzałości) wykryto przekroczenie NDP, co stanowi 2,59%. W 2020 </w:t>
      </w:r>
      <w:r w:rsidR="00B31767">
        <w:rPr>
          <w:rFonts w:ascii="Arial" w:hAnsi="Arial" w:cs="Arial"/>
        </w:rPr>
        <w:t xml:space="preserve">r. </w:t>
      </w:r>
      <w:r w:rsidRPr="00B31767">
        <w:rPr>
          <w:rFonts w:ascii="Arial" w:hAnsi="Arial" w:cs="Arial"/>
        </w:rPr>
        <w:t xml:space="preserve">było to odpowiednio 2,56%. Uwzględniając współczynnik zakresu badań laboratoriów wartość wskaźnika WS.NDP wynosi 0,0324 (3,24%). Wartość ta jest znacząco niższa niż </w:t>
      </w:r>
      <w:r w:rsidRPr="00B31767">
        <w:rPr>
          <w:rFonts w:ascii="Arial" w:hAnsi="Arial" w:cs="Arial"/>
        </w:rPr>
        <w:lastRenderedPageBreak/>
        <w:t xml:space="preserve">w 2019 </w:t>
      </w:r>
      <w:r w:rsidR="00763E6D">
        <w:rPr>
          <w:rFonts w:ascii="Arial" w:hAnsi="Arial" w:cs="Arial"/>
        </w:rPr>
        <w:t xml:space="preserve">r. </w:t>
      </w:r>
      <w:r w:rsidRPr="00B31767">
        <w:rPr>
          <w:rFonts w:ascii="Arial" w:hAnsi="Arial" w:cs="Arial"/>
        </w:rPr>
        <w:t xml:space="preserve">i na podobnym poziomie do w 2020 </w:t>
      </w:r>
      <w:r w:rsidR="00763E6D">
        <w:rPr>
          <w:rFonts w:ascii="Arial" w:hAnsi="Arial" w:cs="Arial"/>
        </w:rPr>
        <w:t xml:space="preserve">r. </w:t>
      </w:r>
      <w:r w:rsidRPr="00B31767">
        <w:rPr>
          <w:rFonts w:ascii="Arial" w:hAnsi="Arial" w:cs="Arial"/>
        </w:rPr>
        <w:t xml:space="preserve">(3,4%). </w:t>
      </w:r>
    </w:p>
    <w:p w14:paraId="0E6A1883" w14:textId="3E6FF70C" w:rsidR="006524C7" w:rsidRPr="00B31767" w:rsidRDefault="006524C7" w:rsidP="00B31767">
      <w:pPr>
        <w:pStyle w:val="NormalnyWeb"/>
        <w:tabs>
          <w:tab w:val="left" w:pos="284"/>
        </w:tabs>
        <w:spacing w:beforeAutospacing="0" w:after="120" w:afterAutospacing="0" w:line="360" w:lineRule="auto"/>
        <w:ind w:firstLine="284"/>
        <w:jc w:val="both"/>
        <w:rPr>
          <w:rFonts w:ascii="Arial" w:hAnsi="Arial" w:cs="Arial"/>
        </w:rPr>
      </w:pPr>
      <w:r w:rsidRPr="00B31767">
        <w:rPr>
          <w:rFonts w:ascii="Arial" w:hAnsi="Arial" w:cs="Arial"/>
        </w:rPr>
        <w:t xml:space="preserve">W związku z obliczeniami wskaźników bazujących na </w:t>
      </w:r>
      <w:proofErr w:type="spellStart"/>
      <w:r w:rsidRPr="00B31767">
        <w:rPr>
          <w:rFonts w:ascii="Arial" w:hAnsi="Arial" w:cs="Arial"/>
        </w:rPr>
        <w:t>wykryciach</w:t>
      </w:r>
      <w:proofErr w:type="spellEnd"/>
      <w:r w:rsidRPr="00B31767">
        <w:rPr>
          <w:rFonts w:ascii="Arial" w:hAnsi="Arial" w:cs="Arial"/>
        </w:rPr>
        <w:t xml:space="preserve"> pozostałości </w:t>
      </w:r>
      <w:proofErr w:type="spellStart"/>
      <w:r w:rsidRPr="00B31767">
        <w:rPr>
          <w:rFonts w:ascii="Arial" w:hAnsi="Arial" w:cs="Arial"/>
        </w:rPr>
        <w:t>ś.o.r</w:t>
      </w:r>
      <w:proofErr w:type="spellEnd"/>
      <w:r w:rsidRPr="00B31767">
        <w:rPr>
          <w:rFonts w:ascii="Arial" w:hAnsi="Arial" w:cs="Arial"/>
        </w:rPr>
        <w:t xml:space="preserve">. trzeba wspomnieć o obliczanym corocznie „Współczynniku zakresu badań laboratoriów” - </w:t>
      </w:r>
      <w:proofErr w:type="spellStart"/>
      <w:r w:rsidRPr="00B31767">
        <w:rPr>
          <w:rFonts w:ascii="Arial" w:hAnsi="Arial" w:cs="Arial"/>
        </w:rPr>
        <w:t>ZBi</w:t>
      </w:r>
      <w:proofErr w:type="spellEnd"/>
      <w:r w:rsidRPr="00B31767">
        <w:rPr>
          <w:rFonts w:ascii="Arial" w:hAnsi="Arial" w:cs="Arial"/>
        </w:rPr>
        <w:t xml:space="preserve">, który opisuje zakres badań (spektrum analizowanych substancji czynnych) poszczególnych laboratoriów uczestniczących w kontroli pozostałości </w:t>
      </w:r>
      <w:proofErr w:type="spellStart"/>
      <w:r w:rsidRPr="00B31767">
        <w:rPr>
          <w:rFonts w:ascii="Arial" w:hAnsi="Arial" w:cs="Arial"/>
        </w:rPr>
        <w:t>ś.o.r</w:t>
      </w:r>
      <w:proofErr w:type="spellEnd"/>
      <w:r w:rsidRPr="00B31767">
        <w:rPr>
          <w:rFonts w:ascii="Arial" w:hAnsi="Arial" w:cs="Arial"/>
        </w:rPr>
        <w:t>. w płodach rolnych. Współczynnik o zakresie wartości od 0 do 1 obrazuje jaka jest liczba substancji czynnych objętych zakresem badań danego laboratorium w</w:t>
      </w:r>
      <w:r w:rsidR="00B31767">
        <w:rPr>
          <w:rFonts w:ascii="Arial" w:hAnsi="Arial" w:cs="Arial"/>
        </w:rPr>
        <w:t> </w:t>
      </w:r>
      <w:r w:rsidRPr="00B31767">
        <w:rPr>
          <w:rFonts w:ascii="Arial" w:hAnsi="Arial" w:cs="Arial"/>
        </w:rPr>
        <w:t>stosunku do liczby substancji czynnych będących w krajowej sprzedaży oraz wyszczególnionych w</w:t>
      </w:r>
      <w:r w:rsidR="00B31767">
        <w:rPr>
          <w:rFonts w:ascii="Arial" w:hAnsi="Arial" w:cs="Arial"/>
        </w:rPr>
        <w:t> </w:t>
      </w:r>
      <w:r w:rsidRPr="00B31767">
        <w:rPr>
          <w:rFonts w:ascii="Arial" w:hAnsi="Arial" w:cs="Arial"/>
        </w:rPr>
        <w:t xml:space="preserve">rozporządzeniu unijnym dotyczącym programu kontroli pozostałości pestycydów w żywności. Wykorzystywany jest w obliczeniach wskaźnika „A” - </w:t>
      </w:r>
      <w:proofErr w:type="spellStart"/>
      <w:r w:rsidRPr="00B31767">
        <w:rPr>
          <w:rFonts w:ascii="Arial" w:hAnsi="Arial" w:cs="Arial"/>
        </w:rPr>
        <w:t>WPoz</w:t>
      </w:r>
      <w:proofErr w:type="spellEnd"/>
      <w:r w:rsidRPr="00B31767">
        <w:rPr>
          <w:rFonts w:ascii="Arial" w:hAnsi="Arial" w:cs="Arial"/>
        </w:rPr>
        <w:t xml:space="preserve">. oraz dwóch wskaźników z grupy „B” – WS.NDP i </w:t>
      </w:r>
      <w:proofErr w:type="spellStart"/>
      <w:r w:rsidRPr="00B31767">
        <w:rPr>
          <w:rFonts w:ascii="Arial" w:hAnsi="Arial" w:cs="Arial"/>
        </w:rPr>
        <w:t>WS.Niedop</w:t>
      </w:r>
      <w:proofErr w:type="spellEnd"/>
      <w:r w:rsidRPr="00B31767">
        <w:rPr>
          <w:rFonts w:ascii="Arial" w:hAnsi="Arial" w:cs="Arial"/>
        </w:rPr>
        <w:t xml:space="preserve">.. Wyniki obliczeń współczynnika </w:t>
      </w:r>
      <w:proofErr w:type="spellStart"/>
      <w:r w:rsidRPr="00B31767">
        <w:rPr>
          <w:rFonts w:ascii="Arial" w:hAnsi="Arial" w:cs="Arial"/>
        </w:rPr>
        <w:t>ZBi</w:t>
      </w:r>
      <w:proofErr w:type="spellEnd"/>
      <w:r w:rsidRPr="00B31767">
        <w:rPr>
          <w:rFonts w:ascii="Arial" w:hAnsi="Arial" w:cs="Arial"/>
        </w:rPr>
        <w:t xml:space="preserve"> (2016-2021) przedstawiono w tabeli 2. W</w:t>
      </w:r>
      <w:r w:rsidR="00B31767">
        <w:rPr>
          <w:rFonts w:ascii="Arial" w:hAnsi="Arial" w:cs="Arial"/>
        </w:rPr>
        <w:t> </w:t>
      </w:r>
      <w:r w:rsidRPr="00B31767">
        <w:rPr>
          <w:rFonts w:ascii="Arial" w:hAnsi="Arial" w:cs="Arial"/>
        </w:rPr>
        <w:t xml:space="preserve"> 2021 </w:t>
      </w:r>
      <w:r w:rsidR="008B532E">
        <w:rPr>
          <w:rFonts w:ascii="Arial" w:hAnsi="Arial" w:cs="Arial"/>
        </w:rPr>
        <w:t xml:space="preserve">r. </w:t>
      </w:r>
      <w:r w:rsidRPr="00B31767">
        <w:rPr>
          <w:rFonts w:ascii="Arial" w:hAnsi="Arial" w:cs="Arial"/>
        </w:rPr>
        <w:t>średnia wartość współczynnika (0,7763) była najwyższa w ostatnich latach.</w:t>
      </w:r>
    </w:p>
    <w:p w14:paraId="173B061A" w14:textId="77777777" w:rsidR="006524C7" w:rsidRPr="008C521C" w:rsidRDefault="006524C7" w:rsidP="00CD395A">
      <w:pPr>
        <w:spacing w:before="120" w:after="120"/>
        <w:jc w:val="center"/>
        <w:rPr>
          <w:rFonts w:ascii="Arial" w:eastAsia="Times New Roman" w:hAnsi="Arial" w:cs="Arial"/>
          <w:i/>
          <w:sz w:val="20"/>
          <w:szCs w:val="20"/>
          <w:lang w:eastAsia="pl-PL"/>
        </w:rPr>
      </w:pPr>
      <w:r w:rsidRPr="008C521C">
        <w:rPr>
          <w:rFonts w:ascii="Arial" w:eastAsia="Times New Roman" w:hAnsi="Arial" w:cs="Arial"/>
          <w:i/>
          <w:sz w:val="20"/>
          <w:szCs w:val="20"/>
          <w:lang w:eastAsia="pl-PL"/>
        </w:rPr>
        <w:t>Tabela 2. Wyniki obliczeń współczynnika zakresu badań laboratorium (</w:t>
      </w:r>
      <w:proofErr w:type="spellStart"/>
      <w:r w:rsidRPr="008C521C">
        <w:rPr>
          <w:rFonts w:ascii="Arial" w:eastAsia="Times New Roman" w:hAnsi="Arial" w:cs="Arial"/>
          <w:i/>
          <w:sz w:val="20"/>
          <w:szCs w:val="20"/>
          <w:lang w:eastAsia="pl-PL"/>
        </w:rPr>
        <w:t>ZBi</w:t>
      </w:r>
      <w:proofErr w:type="spellEnd"/>
      <w:r w:rsidRPr="008C521C">
        <w:rPr>
          <w:rFonts w:ascii="Arial" w:eastAsia="Times New Roman" w:hAnsi="Arial" w:cs="Arial"/>
          <w:i/>
          <w:sz w:val="20"/>
          <w:szCs w:val="20"/>
          <w:lang w:eastAsia="pl-PL"/>
        </w:rPr>
        <w:t>)</w:t>
      </w: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8"/>
        <w:gridCol w:w="620"/>
        <w:gridCol w:w="984"/>
        <w:gridCol w:w="984"/>
        <w:gridCol w:w="1253"/>
        <w:gridCol w:w="1495"/>
        <w:gridCol w:w="1348"/>
        <w:gridCol w:w="752"/>
      </w:tblGrid>
      <w:tr w:rsidR="006524C7" w:rsidRPr="008C521C" w14:paraId="779EACF3" w14:textId="77777777" w:rsidTr="006524C7">
        <w:trPr>
          <w:trHeight w:val="629"/>
          <w:jc w:val="center"/>
        </w:trPr>
        <w:tc>
          <w:tcPr>
            <w:tcW w:w="1411" w:type="dxa"/>
            <w:vMerge w:val="restart"/>
            <w:shd w:val="clear" w:color="auto" w:fill="auto"/>
            <w:vAlign w:val="center"/>
            <w:hideMark/>
          </w:tcPr>
          <w:p w14:paraId="4E65C2E0"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Współczynnik zakresu badań laboratorium (</w:t>
            </w:r>
            <w:proofErr w:type="spellStart"/>
            <w:r w:rsidRPr="008C521C">
              <w:rPr>
                <w:rFonts w:ascii="Arial" w:eastAsia="Times New Roman" w:hAnsi="Arial" w:cs="Arial"/>
                <w:color w:val="000000"/>
                <w:sz w:val="20"/>
                <w:szCs w:val="20"/>
                <w:lang w:eastAsia="pl-PL"/>
              </w:rPr>
              <w:t>ZBi</w:t>
            </w:r>
            <w:proofErr w:type="spellEnd"/>
            <w:r w:rsidRPr="008C521C">
              <w:rPr>
                <w:rFonts w:ascii="Arial" w:eastAsia="Times New Roman" w:hAnsi="Arial" w:cs="Arial"/>
                <w:color w:val="000000"/>
                <w:sz w:val="20"/>
                <w:szCs w:val="20"/>
                <w:lang w:eastAsia="pl-PL"/>
              </w:rPr>
              <w:t>)</w:t>
            </w:r>
          </w:p>
        </w:tc>
        <w:tc>
          <w:tcPr>
            <w:tcW w:w="620" w:type="dxa"/>
            <w:vMerge w:val="restart"/>
            <w:shd w:val="clear" w:color="auto" w:fill="auto"/>
            <w:noWrap/>
            <w:vAlign w:val="center"/>
            <w:hideMark/>
          </w:tcPr>
          <w:p w14:paraId="30F1E464"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Rok</w:t>
            </w:r>
          </w:p>
        </w:tc>
        <w:tc>
          <w:tcPr>
            <w:tcW w:w="3221" w:type="dxa"/>
            <w:gridSpan w:val="3"/>
            <w:shd w:val="clear" w:color="auto" w:fill="auto"/>
            <w:vAlign w:val="center"/>
            <w:hideMark/>
          </w:tcPr>
          <w:p w14:paraId="4AD3A213"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Laboratoria Instytutu Ochrony Roślin - PIB</w:t>
            </w:r>
          </w:p>
        </w:tc>
        <w:tc>
          <w:tcPr>
            <w:tcW w:w="1497" w:type="dxa"/>
            <w:vMerge w:val="restart"/>
            <w:shd w:val="clear" w:color="auto" w:fill="auto"/>
          </w:tcPr>
          <w:p w14:paraId="33FD9343"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Laboratorium Instytutu Ogrodnictwa w Skierniewicach</w:t>
            </w:r>
          </w:p>
        </w:tc>
        <w:tc>
          <w:tcPr>
            <w:tcW w:w="1350" w:type="dxa"/>
            <w:vMerge w:val="restart"/>
            <w:shd w:val="clear" w:color="auto" w:fill="auto"/>
          </w:tcPr>
          <w:p w14:paraId="22073B72"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 xml:space="preserve">Centralne Laboratorium </w:t>
            </w:r>
            <w:proofErr w:type="spellStart"/>
            <w:r w:rsidRPr="008C521C">
              <w:rPr>
                <w:rFonts w:ascii="Arial" w:eastAsia="Times New Roman" w:hAnsi="Arial" w:cs="Arial"/>
                <w:color w:val="000000"/>
                <w:sz w:val="20"/>
                <w:szCs w:val="20"/>
                <w:lang w:eastAsia="pl-PL"/>
              </w:rPr>
              <w:t>GIORiN</w:t>
            </w:r>
            <w:proofErr w:type="spellEnd"/>
            <w:r w:rsidRPr="008C521C">
              <w:rPr>
                <w:rFonts w:ascii="Arial" w:eastAsia="Times New Roman" w:hAnsi="Arial" w:cs="Arial"/>
                <w:color w:val="000000"/>
                <w:sz w:val="20"/>
                <w:szCs w:val="20"/>
                <w:lang w:eastAsia="pl-PL"/>
              </w:rPr>
              <w:t xml:space="preserve"> w Toruniu</w:t>
            </w:r>
          </w:p>
        </w:tc>
        <w:tc>
          <w:tcPr>
            <w:tcW w:w="745" w:type="dxa"/>
            <w:vMerge w:val="restart"/>
            <w:shd w:val="clear" w:color="auto" w:fill="auto"/>
            <w:vAlign w:val="center"/>
          </w:tcPr>
          <w:p w14:paraId="0A80508B"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Średni</w:t>
            </w:r>
          </w:p>
        </w:tc>
      </w:tr>
      <w:tr w:rsidR="006524C7" w:rsidRPr="008C521C" w14:paraId="02C46039" w14:textId="77777777" w:rsidTr="006524C7">
        <w:trPr>
          <w:trHeight w:val="412"/>
          <w:jc w:val="center"/>
        </w:trPr>
        <w:tc>
          <w:tcPr>
            <w:tcW w:w="1411" w:type="dxa"/>
            <w:vMerge/>
            <w:shd w:val="clear" w:color="auto" w:fill="auto"/>
            <w:vAlign w:val="center"/>
            <w:hideMark/>
          </w:tcPr>
          <w:p w14:paraId="1D5DD8EC" w14:textId="77777777" w:rsidR="006524C7" w:rsidRPr="008C521C" w:rsidRDefault="006524C7" w:rsidP="006524C7">
            <w:pPr>
              <w:spacing w:after="0" w:line="240" w:lineRule="auto"/>
              <w:rPr>
                <w:rFonts w:ascii="Arial" w:eastAsia="Times New Roman" w:hAnsi="Arial" w:cs="Arial"/>
                <w:color w:val="000000"/>
                <w:sz w:val="20"/>
                <w:szCs w:val="20"/>
                <w:lang w:eastAsia="pl-PL"/>
              </w:rPr>
            </w:pPr>
          </w:p>
        </w:tc>
        <w:tc>
          <w:tcPr>
            <w:tcW w:w="620" w:type="dxa"/>
            <w:vMerge/>
            <w:shd w:val="clear" w:color="auto" w:fill="auto"/>
            <w:vAlign w:val="center"/>
            <w:hideMark/>
          </w:tcPr>
          <w:p w14:paraId="345785EA" w14:textId="77777777" w:rsidR="006524C7" w:rsidRPr="008C521C" w:rsidRDefault="006524C7" w:rsidP="006524C7">
            <w:pPr>
              <w:spacing w:after="0" w:line="240" w:lineRule="auto"/>
              <w:rPr>
                <w:rFonts w:ascii="Arial" w:eastAsia="Times New Roman" w:hAnsi="Arial" w:cs="Arial"/>
                <w:color w:val="000000"/>
                <w:sz w:val="20"/>
                <w:szCs w:val="20"/>
                <w:lang w:eastAsia="pl-PL"/>
              </w:rPr>
            </w:pPr>
          </w:p>
        </w:tc>
        <w:tc>
          <w:tcPr>
            <w:tcW w:w="984" w:type="dxa"/>
            <w:shd w:val="clear" w:color="auto" w:fill="auto"/>
            <w:vAlign w:val="center"/>
            <w:hideMark/>
          </w:tcPr>
          <w:p w14:paraId="1CB933FB"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Białystok</w:t>
            </w:r>
          </w:p>
        </w:tc>
        <w:tc>
          <w:tcPr>
            <w:tcW w:w="984" w:type="dxa"/>
            <w:shd w:val="clear" w:color="auto" w:fill="auto"/>
            <w:vAlign w:val="center"/>
          </w:tcPr>
          <w:p w14:paraId="080BF316"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Poznań</w:t>
            </w:r>
          </w:p>
        </w:tc>
        <w:tc>
          <w:tcPr>
            <w:tcW w:w="1253" w:type="dxa"/>
            <w:shd w:val="clear" w:color="auto" w:fill="auto"/>
            <w:vAlign w:val="center"/>
            <w:hideMark/>
          </w:tcPr>
          <w:p w14:paraId="4D7950BC"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Sośnicowice</w:t>
            </w:r>
          </w:p>
        </w:tc>
        <w:tc>
          <w:tcPr>
            <w:tcW w:w="1497" w:type="dxa"/>
            <w:vMerge/>
            <w:shd w:val="clear" w:color="auto" w:fill="auto"/>
          </w:tcPr>
          <w:p w14:paraId="421B098C"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p>
        </w:tc>
        <w:tc>
          <w:tcPr>
            <w:tcW w:w="1350" w:type="dxa"/>
            <w:vMerge/>
            <w:shd w:val="clear" w:color="auto" w:fill="auto"/>
          </w:tcPr>
          <w:p w14:paraId="224A241E"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p>
        </w:tc>
        <w:tc>
          <w:tcPr>
            <w:tcW w:w="745" w:type="dxa"/>
            <w:vMerge/>
            <w:shd w:val="clear" w:color="auto" w:fill="auto"/>
            <w:vAlign w:val="center"/>
          </w:tcPr>
          <w:p w14:paraId="115847BA"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p>
        </w:tc>
      </w:tr>
      <w:tr w:rsidR="006524C7" w:rsidRPr="008C521C" w14:paraId="0923F9BE" w14:textId="77777777" w:rsidTr="006524C7">
        <w:trPr>
          <w:trHeight w:val="399"/>
          <w:jc w:val="center"/>
        </w:trPr>
        <w:tc>
          <w:tcPr>
            <w:tcW w:w="1411" w:type="dxa"/>
            <w:vMerge/>
            <w:shd w:val="clear" w:color="auto" w:fill="auto"/>
            <w:vAlign w:val="center"/>
            <w:hideMark/>
          </w:tcPr>
          <w:p w14:paraId="42AC2048" w14:textId="77777777" w:rsidR="006524C7" w:rsidRPr="008C521C" w:rsidRDefault="006524C7" w:rsidP="006524C7">
            <w:pPr>
              <w:spacing w:after="0" w:line="240" w:lineRule="auto"/>
              <w:rPr>
                <w:rFonts w:ascii="Arial" w:eastAsia="Times New Roman" w:hAnsi="Arial" w:cs="Arial"/>
                <w:color w:val="000000"/>
                <w:sz w:val="20"/>
                <w:szCs w:val="20"/>
                <w:lang w:eastAsia="pl-PL"/>
              </w:rPr>
            </w:pPr>
          </w:p>
        </w:tc>
        <w:tc>
          <w:tcPr>
            <w:tcW w:w="620" w:type="dxa"/>
            <w:shd w:val="clear" w:color="auto" w:fill="auto"/>
            <w:noWrap/>
            <w:vAlign w:val="center"/>
          </w:tcPr>
          <w:p w14:paraId="605F3F20"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2016</w:t>
            </w:r>
          </w:p>
        </w:tc>
        <w:tc>
          <w:tcPr>
            <w:tcW w:w="984" w:type="dxa"/>
            <w:shd w:val="clear" w:color="auto" w:fill="auto"/>
            <w:noWrap/>
            <w:vAlign w:val="center"/>
          </w:tcPr>
          <w:p w14:paraId="41059EB8"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0,9241</w:t>
            </w:r>
          </w:p>
        </w:tc>
        <w:tc>
          <w:tcPr>
            <w:tcW w:w="984" w:type="dxa"/>
            <w:shd w:val="clear" w:color="auto" w:fill="auto"/>
            <w:noWrap/>
            <w:vAlign w:val="center"/>
          </w:tcPr>
          <w:p w14:paraId="0FA6C87F"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0,6590</w:t>
            </w:r>
          </w:p>
        </w:tc>
        <w:tc>
          <w:tcPr>
            <w:tcW w:w="1253" w:type="dxa"/>
            <w:shd w:val="clear" w:color="auto" w:fill="auto"/>
            <w:noWrap/>
            <w:vAlign w:val="center"/>
          </w:tcPr>
          <w:p w14:paraId="0C6666D6"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0,6599</w:t>
            </w:r>
          </w:p>
        </w:tc>
        <w:tc>
          <w:tcPr>
            <w:tcW w:w="1497" w:type="dxa"/>
            <w:shd w:val="clear" w:color="auto" w:fill="auto"/>
            <w:vAlign w:val="center"/>
          </w:tcPr>
          <w:p w14:paraId="4F83EA25"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0,6476</w:t>
            </w:r>
          </w:p>
        </w:tc>
        <w:tc>
          <w:tcPr>
            <w:tcW w:w="1350" w:type="dxa"/>
            <w:shd w:val="clear" w:color="auto" w:fill="auto"/>
            <w:vAlign w:val="center"/>
          </w:tcPr>
          <w:p w14:paraId="12BA7572"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0,4823</w:t>
            </w:r>
          </w:p>
        </w:tc>
        <w:tc>
          <w:tcPr>
            <w:tcW w:w="745" w:type="dxa"/>
            <w:shd w:val="clear" w:color="auto" w:fill="auto"/>
            <w:vAlign w:val="center"/>
          </w:tcPr>
          <w:p w14:paraId="16384E63"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0,6746</w:t>
            </w:r>
          </w:p>
        </w:tc>
      </w:tr>
      <w:tr w:rsidR="006524C7" w:rsidRPr="008C521C" w14:paraId="7345E1B8" w14:textId="77777777" w:rsidTr="006524C7">
        <w:trPr>
          <w:trHeight w:val="399"/>
          <w:jc w:val="center"/>
        </w:trPr>
        <w:tc>
          <w:tcPr>
            <w:tcW w:w="1411" w:type="dxa"/>
            <w:vMerge/>
            <w:shd w:val="clear" w:color="auto" w:fill="auto"/>
            <w:vAlign w:val="center"/>
            <w:hideMark/>
          </w:tcPr>
          <w:p w14:paraId="4430B654" w14:textId="77777777" w:rsidR="006524C7" w:rsidRPr="008C521C" w:rsidRDefault="006524C7" w:rsidP="006524C7">
            <w:pPr>
              <w:spacing w:after="0" w:line="240" w:lineRule="auto"/>
              <w:rPr>
                <w:rFonts w:ascii="Arial" w:eastAsia="Times New Roman" w:hAnsi="Arial" w:cs="Arial"/>
                <w:color w:val="000000"/>
                <w:sz w:val="20"/>
                <w:szCs w:val="20"/>
                <w:lang w:eastAsia="pl-PL"/>
              </w:rPr>
            </w:pPr>
          </w:p>
        </w:tc>
        <w:tc>
          <w:tcPr>
            <w:tcW w:w="620" w:type="dxa"/>
            <w:shd w:val="clear" w:color="auto" w:fill="auto"/>
            <w:noWrap/>
            <w:vAlign w:val="center"/>
          </w:tcPr>
          <w:p w14:paraId="1BCF9939"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2017</w:t>
            </w:r>
          </w:p>
        </w:tc>
        <w:tc>
          <w:tcPr>
            <w:tcW w:w="984" w:type="dxa"/>
            <w:shd w:val="clear" w:color="auto" w:fill="auto"/>
            <w:noWrap/>
            <w:vAlign w:val="center"/>
          </w:tcPr>
          <w:p w14:paraId="0635D7FB"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0,9258</w:t>
            </w:r>
          </w:p>
        </w:tc>
        <w:tc>
          <w:tcPr>
            <w:tcW w:w="984" w:type="dxa"/>
            <w:shd w:val="clear" w:color="auto" w:fill="auto"/>
            <w:noWrap/>
            <w:vAlign w:val="center"/>
          </w:tcPr>
          <w:p w14:paraId="5AAB7B78"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0,6787</w:t>
            </w:r>
          </w:p>
        </w:tc>
        <w:tc>
          <w:tcPr>
            <w:tcW w:w="1253" w:type="dxa"/>
            <w:shd w:val="clear" w:color="auto" w:fill="auto"/>
            <w:noWrap/>
            <w:vAlign w:val="center"/>
          </w:tcPr>
          <w:p w14:paraId="7FAC88C6"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0,6961</w:t>
            </w:r>
          </w:p>
        </w:tc>
        <w:tc>
          <w:tcPr>
            <w:tcW w:w="1497" w:type="dxa"/>
            <w:shd w:val="clear" w:color="auto" w:fill="auto"/>
            <w:vAlign w:val="center"/>
          </w:tcPr>
          <w:p w14:paraId="1908207F"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0,6322</w:t>
            </w:r>
          </w:p>
        </w:tc>
        <w:tc>
          <w:tcPr>
            <w:tcW w:w="1350" w:type="dxa"/>
            <w:shd w:val="clear" w:color="auto" w:fill="auto"/>
            <w:vAlign w:val="center"/>
          </w:tcPr>
          <w:p w14:paraId="67D378AF"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0,5660</w:t>
            </w:r>
          </w:p>
        </w:tc>
        <w:tc>
          <w:tcPr>
            <w:tcW w:w="745" w:type="dxa"/>
            <w:shd w:val="clear" w:color="auto" w:fill="auto"/>
            <w:vAlign w:val="center"/>
          </w:tcPr>
          <w:p w14:paraId="36C9B588"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0,6998</w:t>
            </w:r>
          </w:p>
        </w:tc>
      </w:tr>
      <w:tr w:rsidR="006524C7" w:rsidRPr="008C521C" w14:paraId="0CE0ACF5" w14:textId="77777777" w:rsidTr="006524C7">
        <w:trPr>
          <w:trHeight w:val="399"/>
          <w:jc w:val="center"/>
        </w:trPr>
        <w:tc>
          <w:tcPr>
            <w:tcW w:w="1411" w:type="dxa"/>
            <w:vMerge/>
            <w:shd w:val="clear" w:color="auto" w:fill="auto"/>
            <w:vAlign w:val="center"/>
            <w:hideMark/>
          </w:tcPr>
          <w:p w14:paraId="5AF13C57" w14:textId="77777777" w:rsidR="006524C7" w:rsidRPr="008C521C" w:rsidRDefault="006524C7" w:rsidP="006524C7">
            <w:pPr>
              <w:spacing w:after="0" w:line="240" w:lineRule="auto"/>
              <w:rPr>
                <w:rFonts w:ascii="Arial" w:eastAsia="Times New Roman" w:hAnsi="Arial" w:cs="Arial"/>
                <w:color w:val="000000"/>
                <w:sz w:val="20"/>
                <w:szCs w:val="20"/>
                <w:lang w:eastAsia="pl-PL"/>
              </w:rPr>
            </w:pPr>
          </w:p>
        </w:tc>
        <w:tc>
          <w:tcPr>
            <w:tcW w:w="620" w:type="dxa"/>
            <w:shd w:val="clear" w:color="auto" w:fill="auto"/>
            <w:noWrap/>
            <w:vAlign w:val="center"/>
          </w:tcPr>
          <w:p w14:paraId="73A4B00B"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2018</w:t>
            </w:r>
          </w:p>
        </w:tc>
        <w:tc>
          <w:tcPr>
            <w:tcW w:w="984" w:type="dxa"/>
            <w:shd w:val="clear" w:color="auto" w:fill="auto"/>
            <w:noWrap/>
            <w:vAlign w:val="center"/>
          </w:tcPr>
          <w:p w14:paraId="1002790E"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0,9519</w:t>
            </w:r>
          </w:p>
        </w:tc>
        <w:tc>
          <w:tcPr>
            <w:tcW w:w="984" w:type="dxa"/>
            <w:shd w:val="clear" w:color="auto" w:fill="auto"/>
            <w:noWrap/>
            <w:vAlign w:val="center"/>
          </w:tcPr>
          <w:p w14:paraId="49EAC6A8"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0,7124</w:t>
            </w:r>
          </w:p>
        </w:tc>
        <w:tc>
          <w:tcPr>
            <w:tcW w:w="1253" w:type="dxa"/>
            <w:shd w:val="clear" w:color="auto" w:fill="auto"/>
            <w:noWrap/>
            <w:vAlign w:val="center"/>
          </w:tcPr>
          <w:p w14:paraId="4ED3FA31"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0,7082</w:t>
            </w:r>
          </w:p>
        </w:tc>
        <w:tc>
          <w:tcPr>
            <w:tcW w:w="1497" w:type="dxa"/>
            <w:shd w:val="clear" w:color="auto" w:fill="auto"/>
            <w:vAlign w:val="center"/>
          </w:tcPr>
          <w:p w14:paraId="3531F781"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0,6592</w:t>
            </w:r>
          </w:p>
        </w:tc>
        <w:tc>
          <w:tcPr>
            <w:tcW w:w="1350" w:type="dxa"/>
            <w:shd w:val="clear" w:color="auto" w:fill="auto"/>
            <w:vAlign w:val="center"/>
          </w:tcPr>
          <w:p w14:paraId="58F0D133"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0,5950</w:t>
            </w:r>
          </w:p>
        </w:tc>
        <w:tc>
          <w:tcPr>
            <w:tcW w:w="745" w:type="dxa"/>
            <w:shd w:val="clear" w:color="auto" w:fill="auto"/>
            <w:vAlign w:val="center"/>
          </w:tcPr>
          <w:p w14:paraId="29967A5B"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0,7253</w:t>
            </w:r>
          </w:p>
        </w:tc>
      </w:tr>
      <w:tr w:rsidR="006524C7" w:rsidRPr="008C521C" w14:paraId="452D179F" w14:textId="77777777" w:rsidTr="006524C7">
        <w:trPr>
          <w:trHeight w:val="399"/>
          <w:jc w:val="center"/>
        </w:trPr>
        <w:tc>
          <w:tcPr>
            <w:tcW w:w="1411" w:type="dxa"/>
            <w:vMerge/>
            <w:shd w:val="clear" w:color="auto" w:fill="auto"/>
            <w:vAlign w:val="center"/>
            <w:hideMark/>
          </w:tcPr>
          <w:p w14:paraId="2257F9D0" w14:textId="77777777" w:rsidR="006524C7" w:rsidRPr="008C521C" w:rsidRDefault="006524C7" w:rsidP="006524C7">
            <w:pPr>
              <w:spacing w:after="0" w:line="240" w:lineRule="auto"/>
              <w:rPr>
                <w:rFonts w:ascii="Arial" w:eastAsia="Times New Roman" w:hAnsi="Arial" w:cs="Arial"/>
                <w:color w:val="000000"/>
                <w:sz w:val="20"/>
                <w:szCs w:val="20"/>
                <w:lang w:eastAsia="pl-PL"/>
              </w:rPr>
            </w:pPr>
          </w:p>
        </w:tc>
        <w:tc>
          <w:tcPr>
            <w:tcW w:w="620" w:type="dxa"/>
            <w:shd w:val="clear" w:color="auto" w:fill="auto"/>
            <w:noWrap/>
            <w:vAlign w:val="center"/>
          </w:tcPr>
          <w:p w14:paraId="24176CFE"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2019</w:t>
            </w:r>
          </w:p>
        </w:tc>
        <w:tc>
          <w:tcPr>
            <w:tcW w:w="984" w:type="dxa"/>
            <w:shd w:val="clear" w:color="auto" w:fill="auto"/>
            <w:noWrap/>
            <w:vAlign w:val="center"/>
          </w:tcPr>
          <w:p w14:paraId="31BD0A3E"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0,9498</w:t>
            </w:r>
          </w:p>
        </w:tc>
        <w:tc>
          <w:tcPr>
            <w:tcW w:w="984" w:type="dxa"/>
            <w:shd w:val="clear" w:color="auto" w:fill="auto"/>
            <w:noWrap/>
            <w:vAlign w:val="center"/>
          </w:tcPr>
          <w:p w14:paraId="3C3EA851"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0,7351</w:t>
            </w:r>
          </w:p>
        </w:tc>
        <w:tc>
          <w:tcPr>
            <w:tcW w:w="1253" w:type="dxa"/>
            <w:shd w:val="clear" w:color="auto" w:fill="auto"/>
            <w:noWrap/>
            <w:vAlign w:val="center"/>
          </w:tcPr>
          <w:p w14:paraId="4ACC0351"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0,7303</w:t>
            </w:r>
          </w:p>
        </w:tc>
        <w:tc>
          <w:tcPr>
            <w:tcW w:w="1497" w:type="dxa"/>
            <w:shd w:val="clear" w:color="auto" w:fill="auto"/>
            <w:vAlign w:val="center"/>
          </w:tcPr>
          <w:p w14:paraId="0FA816BE"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0,7942</w:t>
            </w:r>
          </w:p>
        </w:tc>
        <w:tc>
          <w:tcPr>
            <w:tcW w:w="1350" w:type="dxa"/>
            <w:shd w:val="clear" w:color="auto" w:fill="auto"/>
            <w:vAlign w:val="center"/>
          </w:tcPr>
          <w:p w14:paraId="3E7D221C"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0,6188</w:t>
            </w:r>
          </w:p>
        </w:tc>
        <w:tc>
          <w:tcPr>
            <w:tcW w:w="745" w:type="dxa"/>
            <w:shd w:val="clear" w:color="auto" w:fill="auto"/>
            <w:vAlign w:val="center"/>
          </w:tcPr>
          <w:p w14:paraId="619250A8"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0,7656</w:t>
            </w:r>
          </w:p>
        </w:tc>
      </w:tr>
      <w:tr w:rsidR="006524C7" w:rsidRPr="008C521C" w14:paraId="66398457" w14:textId="77777777" w:rsidTr="006524C7">
        <w:trPr>
          <w:trHeight w:val="399"/>
          <w:jc w:val="center"/>
        </w:trPr>
        <w:tc>
          <w:tcPr>
            <w:tcW w:w="1411" w:type="dxa"/>
            <w:vMerge/>
            <w:shd w:val="clear" w:color="auto" w:fill="auto"/>
            <w:vAlign w:val="center"/>
            <w:hideMark/>
          </w:tcPr>
          <w:p w14:paraId="6DEFF963" w14:textId="77777777" w:rsidR="006524C7" w:rsidRPr="008C521C" w:rsidRDefault="006524C7" w:rsidP="006524C7">
            <w:pPr>
              <w:spacing w:after="0" w:line="240" w:lineRule="auto"/>
              <w:rPr>
                <w:rFonts w:ascii="Arial" w:eastAsia="Times New Roman" w:hAnsi="Arial" w:cs="Arial"/>
                <w:color w:val="000000"/>
                <w:sz w:val="20"/>
                <w:szCs w:val="20"/>
                <w:lang w:eastAsia="pl-PL"/>
              </w:rPr>
            </w:pPr>
          </w:p>
        </w:tc>
        <w:tc>
          <w:tcPr>
            <w:tcW w:w="620" w:type="dxa"/>
            <w:shd w:val="clear" w:color="auto" w:fill="auto"/>
            <w:noWrap/>
            <w:vAlign w:val="center"/>
          </w:tcPr>
          <w:p w14:paraId="2A3F47DF"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2020</w:t>
            </w:r>
          </w:p>
        </w:tc>
        <w:tc>
          <w:tcPr>
            <w:tcW w:w="984" w:type="dxa"/>
            <w:shd w:val="clear" w:color="auto" w:fill="auto"/>
            <w:noWrap/>
            <w:vAlign w:val="center"/>
          </w:tcPr>
          <w:p w14:paraId="58B5080F"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0,9297</w:t>
            </w:r>
          </w:p>
        </w:tc>
        <w:tc>
          <w:tcPr>
            <w:tcW w:w="984" w:type="dxa"/>
            <w:shd w:val="clear" w:color="auto" w:fill="auto"/>
            <w:noWrap/>
            <w:vAlign w:val="center"/>
          </w:tcPr>
          <w:p w14:paraId="3402FD51"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0,7206</w:t>
            </w:r>
          </w:p>
        </w:tc>
        <w:tc>
          <w:tcPr>
            <w:tcW w:w="1253" w:type="dxa"/>
            <w:shd w:val="clear" w:color="auto" w:fill="auto"/>
            <w:noWrap/>
            <w:vAlign w:val="center"/>
          </w:tcPr>
          <w:p w14:paraId="71BCEC68"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0,7171</w:t>
            </w:r>
          </w:p>
        </w:tc>
        <w:tc>
          <w:tcPr>
            <w:tcW w:w="1497" w:type="dxa"/>
            <w:shd w:val="clear" w:color="auto" w:fill="auto"/>
            <w:vAlign w:val="center"/>
          </w:tcPr>
          <w:p w14:paraId="77C645C4"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0,7869</w:t>
            </w:r>
          </w:p>
        </w:tc>
        <w:tc>
          <w:tcPr>
            <w:tcW w:w="1350" w:type="dxa"/>
            <w:shd w:val="clear" w:color="auto" w:fill="auto"/>
            <w:vAlign w:val="center"/>
          </w:tcPr>
          <w:p w14:paraId="0C6F774D"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0,6032</w:t>
            </w:r>
          </w:p>
        </w:tc>
        <w:tc>
          <w:tcPr>
            <w:tcW w:w="745" w:type="dxa"/>
            <w:shd w:val="clear" w:color="auto" w:fill="auto"/>
            <w:vAlign w:val="center"/>
          </w:tcPr>
          <w:p w14:paraId="2B408BA2"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0,7515</w:t>
            </w:r>
          </w:p>
        </w:tc>
      </w:tr>
      <w:tr w:rsidR="006524C7" w:rsidRPr="008C521C" w14:paraId="390DBC73" w14:textId="77777777" w:rsidTr="006524C7">
        <w:trPr>
          <w:trHeight w:val="399"/>
          <w:jc w:val="center"/>
        </w:trPr>
        <w:tc>
          <w:tcPr>
            <w:tcW w:w="1411" w:type="dxa"/>
            <w:vMerge/>
            <w:shd w:val="clear" w:color="auto" w:fill="auto"/>
            <w:vAlign w:val="center"/>
          </w:tcPr>
          <w:p w14:paraId="4796EA2D" w14:textId="77777777" w:rsidR="006524C7" w:rsidRPr="008C521C" w:rsidRDefault="006524C7" w:rsidP="006524C7">
            <w:pPr>
              <w:spacing w:after="0" w:line="240" w:lineRule="auto"/>
              <w:rPr>
                <w:rFonts w:ascii="Arial" w:eastAsia="Times New Roman" w:hAnsi="Arial" w:cs="Arial"/>
                <w:color w:val="000000"/>
                <w:sz w:val="20"/>
                <w:szCs w:val="20"/>
                <w:lang w:eastAsia="pl-PL"/>
              </w:rPr>
            </w:pPr>
          </w:p>
        </w:tc>
        <w:tc>
          <w:tcPr>
            <w:tcW w:w="620" w:type="dxa"/>
            <w:shd w:val="clear" w:color="auto" w:fill="auto"/>
            <w:noWrap/>
            <w:vAlign w:val="center"/>
          </w:tcPr>
          <w:p w14:paraId="03A2A1C2"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2021</w:t>
            </w:r>
          </w:p>
        </w:tc>
        <w:tc>
          <w:tcPr>
            <w:tcW w:w="984" w:type="dxa"/>
            <w:shd w:val="clear" w:color="auto" w:fill="auto"/>
            <w:noWrap/>
            <w:vAlign w:val="center"/>
          </w:tcPr>
          <w:p w14:paraId="1124480D"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0,9445</w:t>
            </w:r>
          </w:p>
        </w:tc>
        <w:tc>
          <w:tcPr>
            <w:tcW w:w="984" w:type="dxa"/>
            <w:shd w:val="clear" w:color="auto" w:fill="auto"/>
            <w:noWrap/>
            <w:vAlign w:val="center"/>
          </w:tcPr>
          <w:p w14:paraId="37ECD385"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0,7302</w:t>
            </w:r>
          </w:p>
        </w:tc>
        <w:tc>
          <w:tcPr>
            <w:tcW w:w="1253" w:type="dxa"/>
            <w:shd w:val="clear" w:color="auto" w:fill="auto"/>
            <w:noWrap/>
            <w:vAlign w:val="center"/>
          </w:tcPr>
          <w:p w14:paraId="137B6305"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0,7263</w:t>
            </w:r>
          </w:p>
        </w:tc>
        <w:tc>
          <w:tcPr>
            <w:tcW w:w="1497" w:type="dxa"/>
            <w:shd w:val="clear" w:color="auto" w:fill="auto"/>
            <w:vAlign w:val="center"/>
          </w:tcPr>
          <w:p w14:paraId="7F927826"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0,8647</w:t>
            </w:r>
          </w:p>
        </w:tc>
        <w:tc>
          <w:tcPr>
            <w:tcW w:w="1350" w:type="dxa"/>
            <w:shd w:val="clear" w:color="auto" w:fill="auto"/>
            <w:vAlign w:val="center"/>
          </w:tcPr>
          <w:p w14:paraId="311858FE"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0,6156</w:t>
            </w:r>
          </w:p>
        </w:tc>
        <w:tc>
          <w:tcPr>
            <w:tcW w:w="745" w:type="dxa"/>
            <w:shd w:val="clear" w:color="auto" w:fill="auto"/>
            <w:vAlign w:val="center"/>
          </w:tcPr>
          <w:p w14:paraId="0E1AE69D" w14:textId="77777777" w:rsidR="006524C7" w:rsidRPr="008C521C" w:rsidRDefault="006524C7" w:rsidP="006524C7">
            <w:pPr>
              <w:spacing w:after="0" w:line="240" w:lineRule="auto"/>
              <w:jc w:val="center"/>
              <w:rPr>
                <w:rFonts w:ascii="Arial" w:eastAsia="Times New Roman" w:hAnsi="Arial" w:cs="Arial"/>
                <w:color w:val="000000"/>
                <w:sz w:val="20"/>
                <w:szCs w:val="20"/>
                <w:lang w:eastAsia="pl-PL"/>
              </w:rPr>
            </w:pPr>
            <w:r w:rsidRPr="008C521C">
              <w:rPr>
                <w:rFonts w:ascii="Arial" w:eastAsia="Times New Roman" w:hAnsi="Arial" w:cs="Arial"/>
                <w:color w:val="000000"/>
                <w:sz w:val="20"/>
                <w:szCs w:val="20"/>
                <w:lang w:eastAsia="pl-PL"/>
              </w:rPr>
              <w:t>0,7763</w:t>
            </w:r>
          </w:p>
        </w:tc>
      </w:tr>
    </w:tbl>
    <w:p w14:paraId="34EC31A3" w14:textId="32231AAA" w:rsidR="006524C7" w:rsidRDefault="006524C7" w:rsidP="00ED07A6">
      <w:pPr>
        <w:spacing w:after="0" w:line="360" w:lineRule="auto"/>
        <w:ind w:firstLine="709"/>
        <w:jc w:val="both"/>
        <w:rPr>
          <w:rFonts w:ascii="Arial" w:eastAsia="Times New Roman" w:hAnsi="Arial" w:cs="Arial"/>
          <w:sz w:val="20"/>
          <w:szCs w:val="20"/>
          <w:lang w:eastAsia="pl-PL"/>
        </w:rPr>
      </w:pPr>
    </w:p>
    <w:p w14:paraId="226B6319" w14:textId="77777777" w:rsidR="00ED07A6" w:rsidRPr="00ED07A6" w:rsidRDefault="00ED07A6" w:rsidP="00ED07A6">
      <w:pPr>
        <w:spacing w:after="0" w:line="360" w:lineRule="auto"/>
        <w:ind w:left="709" w:hanging="709"/>
        <w:jc w:val="both"/>
        <w:rPr>
          <w:rFonts w:ascii="Arial" w:eastAsia="Times New Roman" w:hAnsi="Arial" w:cs="Arial"/>
          <w:b/>
          <w:sz w:val="20"/>
          <w:szCs w:val="20"/>
          <w:u w:val="single"/>
          <w:lang w:eastAsia="pl-PL"/>
        </w:rPr>
      </w:pPr>
      <w:r w:rsidRPr="00ED07A6">
        <w:rPr>
          <w:rFonts w:ascii="Arial" w:eastAsia="Times New Roman" w:hAnsi="Arial" w:cs="Arial"/>
          <w:b/>
          <w:sz w:val="20"/>
          <w:szCs w:val="20"/>
          <w:lang w:eastAsia="pl-PL"/>
        </w:rPr>
        <w:t>3.</w:t>
      </w:r>
      <w:r w:rsidRPr="00ED07A6">
        <w:rPr>
          <w:rFonts w:ascii="Arial" w:eastAsia="Times New Roman" w:hAnsi="Arial" w:cs="Arial"/>
          <w:b/>
          <w:sz w:val="20"/>
          <w:szCs w:val="20"/>
          <w:lang w:eastAsia="pl-PL"/>
        </w:rPr>
        <w:tab/>
      </w:r>
      <w:r w:rsidRPr="00ED07A6">
        <w:rPr>
          <w:rFonts w:ascii="Arial" w:eastAsia="Times New Roman" w:hAnsi="Arial" w:cs="Arial"/>
          <w:b/>
          <w:sz w:val="20"/>
          <w:szCs w:val="20"/>
          <w:u w:val="single"/>
          <w:lang w:eastAsia="pl-PL"/>
        </w:rPr>
        <w:t xml:space="preserve">Zagrożenia wynikające z nieprawidłowego stosowania </w:t>
      </w:r>
      <w:proofErr w:type="spellStart"/>
      <w:r w:rsidRPr="00ED07A6">
        <w:rPr>
          <w:rFonts w:ascii="Arial" w:eastAsia="Times New Roman" w:hAnsi="Arial" w:cs="Arial"/>
          <w:b/>
          <w:sz w:val="20"/>
          <w:szCs w:val="20"/>
          <w:u w:val="single"/>
          <w:lang w:eastAsia="pl-PL"/>
        </w:rPr>
        <w:t>ś.o.r</w:t>
      </w:r>
      <w:proofErr w:type="spellEnd"/>
      <w:r w:rsidRPr="00ED07A6">
        <w:rPr>
          <w:rFonts w:ascii="Arial" w:eastAsia="Times New Roman" w:hAnsi="Arial" w:cs="Arial"/>
          <w:b/>
          <w:sz w:val="20"/>
          <w:szCs w:val="20"/>
          <w:u w:val="single"/>
          <w:lang w:eastAsia="pl-PL"/>
        </w:rPr>
        <w:t>.</w:t>
      </w:r>
      <w:r w:rsidRPr="00ED07A6">
        <w:rPr>
          <w:rFonts w:ascii="Arial" w:eastAsia="Times New Roman" w:hAnsi="Arial" w:cs="Arial"/>
          <w:b/>
          <w:sz w:val="20"/>
          <w:szCs w:val="20"/>
          <w:lang w:eastAsia="pl-PL"/>
        </w:rPr>
        <w:t xml:space="preserve"> </w:t>
      </w:r>
    </w:p>
    <w:p w14:paraId="0CC5703B" w14:textId="76765AF6" w:rsidR="00ED07A6" w:rsidRPr="00ED07A6" w:rsidRDefault="00ED07A6" w:rsidP="00CD395A">
      <w:pPr>
        <w:spacing w:after="0" w:line="360" w:lineRule="auto"/>
        <w:ind w:firstLine="357"/>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Zagrożenia wynikające z nieprawidłowego stosowania </w:t>
      </w:r>
      <w:r w:rsidR="00FD0691">
        <w:rPr>
          <w:rFonts w:ascii="Arial" w:eastAsia="Times New Roman" w:hAnsi="Arial" w:cs="Arial"/>
          <w:sz w:val="20"/>
          <w:szCs w:val="20"/>
          <w:lang w:eastAsia="pl-PL"/>
        </w:rPr>
        <w:t xml:space="preserve">środków ochrony roślin </w:t>
      </w:r>
      <w:r w:rsidRPr="00ED07A6">
        <w:rPr>
          <w:rFonts w:ascii="Arial" w:eastAsia="Times New Roman" w:hAnsi="Arial" w:cs="Arial"/>
          <w:sz w:val="20"/>
          <w:szCs w:val="20"/>
          <w:lang w:eastAsia="pl-PL"/>
        </w:rPr>
        <w:t xml:space="preserve">monitorowane są za pomocą trzech wskaźników z grupy „B”: </w:t>
      </w:r>
    </w:p>
    <w:p w14:paraId="0D6F391D" w14:textId="358C7858" w:rsidR="00ED07A6" w:rsidRPr="00ED07A6" w:rsidRDefault="00ED07A6" w:rsidP="003F4DF6">
      <w:pPr>
        <w:numPr>
          <w:ilvl w:val="0"/>
          <w:numId w:val="36"/>
        </w:numPr>
        <w:suppressAutoHyphens/>
        <w:autoSpaceDN w:val="0"/>
        <w:spacing w:after="0" w:line="360" w:lineRule="auto"/>
        <w:ind w:left="714" w:hanging="357"/>
        <w:jc w:val="both"/>
        <w:textAlignment w:val="baseline"/>
        <w:rPr>
          <w:rFonts w:ascii="Arial" w:eastAsia="Lucida Sans Unicode" w:hAnsi="Arial" w:cs="Arial"/>
          <w:kern w:val="2"/>
          <w:sz w:val="20"/>
          <w:szCs w:val="20"/>
        </w:rPr>
      </w:pPr>
      <w:r w:rsidRPr="00ED07A6">
        <w:rPr>
          <w:rFonts w:ascii="Arial" w:eastAsia="Lucida Sans Unicode" w:hAnsi="Arial" w:cs="Arial"/>
          <w:kern w:val="2"/>
          <w:sz w:val="20"/>
          <w:szCs w:val="20"/>
        </w:rPr>
        <w:t xml:space="preserve">Wskaźnik wykryć przekroczeń NDP w kontroli pozostałości </w:t>
      </w:r>
      <w:r w:rsidR="00FD0691">
        <w:rPr>
          <w:rFonts w:ascii="Arial" w:eastAsia="Times New Roman" w:hAnsi="Arial" w:cs="Arial"/>
          <w:sz w:val="20"/>
          <w:szCs w:val="20"/>
          <w:lang w:eastAsia="pl-PL"/>
        </w:rPr>
        <w:t>środków ochrony roślin</w:t>
      </w:r>
      <w:r w:rsidRPr="00ED07A6">
        <w:rPr>
          <w:rFonts w:ascii="Arial" w:eastAsia="Lucida Sans Unicode" w:hAnsi="Arial" w:cs="Arial"/>
          <w:kern w:val="2"/>
          <w:sz w:val="20"/>
          <w:szCs w:val="20"/>
        </w:rPr>
        <w:t xml:space="preserve"> (W</w:t>
      </w:r>
      <w:r w:rsidRPr="00ED07A6">
        <w:rPr>
          <w:rFonts w:ascii="Arial" w:eastAsia="Lucida Sans Unicode" w:hAnsi="Arial" w:cs="Arial"/>
          <w:kern w:val="2"/>
          <w:sz w:val="20"/>
          <w:szCs w:val="20"/>
          <w:vertAlign w:val="subscript"/>
        </w:rPr>
        <w:t>S.NDP</w:t>
      </w:r>
      <w:r w:rsidRPr="00ED07A6">
        <w:rPr>
          <w:rFonts w:ascii="Arial" w:eastAsia="Lucida Sans Unicode" w:hAnsi="Arial" w:cs="Arial"/>
          <w:kern w:val="2"/>
          <w:sz w:val="20"/>
          <w:szCs w:val="20"/>
        </w:rPr>
        <w:t xml:space="preserve">); </w:t>
      </w:r>
    </w:p>
    <w:p w14:paraId="7EEED16B" w14:textId="68F18DE0" w:rsidR="00ED07A6" w:rsidRPr="00ED07A6" w:rsidRDefault="00ED07A6" w:rsidP="003F4DF6">
      <w:pPr>
        <w:numPr>
          <w:ilvl w:val="0"/>
          <w:numId w:val="36"/>
        </w:numPr>
        <w:suppressAutoHyphens/>
        <w:autoSpaceDN w:val="0"/>
        <w:spacing w:after="0" w:line="360" w:lineRule="auto"/>
        <w:jc w:val="both"/>
        <w:textAlignment w:val="baseline"/>
        <w:rPr>
          <w:rFonts w:ascii="Arial" w:eastAsia="Lucida Sans Unicode" w:hAnsi="Arial" w:cs="Arial"/>
          <w:kern w:val="2"/>
          <w:sz w:val="20"/>
          <w:szCs w:val="20"/>
        </w:rPr>
      </w:pPr>
      <w:r w:rsidRPr="00ED07A6">
        <w:rPr>
          <w:rFonts w:ascii="Arial" w:eastAsia="Lucida Sans Unicode" w:hAnsi="Arial" w:cs="Arial"/>
          <w:kern w:val="2"/>
          <w:sz w:val="20"/>
          <w:szCs w:val="20"/>
        </w:rPr>
        <w:t xml:space="preserve">Wskaźnik wykryć substancji niedopuszczonych do stosowania w kontroli pozostałości </w:t>
      </w:r>
      <w:r w:rsidR="00FD0691">
        <w:rPr>
          <w:rFonts w:ascii="Arial" w:eastAsia="Times New Roman" w:hAnsi="Arial" w:cs="Arial"/>
          <w:sz w:val="20"/>
          <w:szCs w:val="20"/>
          <w:lang w:eastAsia="pl-PL"/>
        </w:rPr>
        <w:t>środków ochrony roślin</w:t>
      </w:r>
      <w:r w:rsidRPr="00ED07A6">
        <w:rPr>
          <w:rFonts w:ascii="Arial" w:eastAsia="Lucida Sans Unicode" w:hAnsi="Arial" w:cs="Arial"/>
          <w:kern w:val="2"/>
          <w:sz w:val="20"/>
          <w:szCs w:val="20"/>
        </w:rPr>
        <w:t xml:space="preserve"> (</w:t>
      </w: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S.Niedop</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w:t>
      </w:r>
    </w:p>
    <w:p w14:paraId="2AE4E571" w14:textId="5FDF5C60" w:rsidR="00ED07A6" w:rsidRPr="00ED07A6" w:rsidRDefault="00ED07A6" w:rsidP="003F4DF6">
      <w:pPr>
        <w:numPr>
          <w:ilvl w:val="0"/>
          <w:numId w:val="36"/>
        </w:numPr>
        <w:spacing w:after="120" w:line="360" w:lineRule="auto"/>
        <w:ind w:left="714" w:hanging="357"/>
        <w:contextualSpacing/>
        <w:jc w:val="both"/>
        <w:rPr>
          <w:rFonts w:ascii="Arial" w:eastAsia="Calibri" w:hAnsi="Arial" w:cs="Arial"/>
          <w:sz w:val="20"/>
          <w:szCs w:val="20"/>
        </w:rPr>
      </w:pPr>
      <w:r w:rsidRPr="00ED07A6">
        <w:rPr>
          <w:rFonts w:ascii="Arial" w:eastAsia="Lucida Sans Unicode" w:hAnsi="Arial" w:cs="Arial"/>
          <w:kern w:val="3"/>
          <w:sz w:val="20"/>
          <w:szCs w:val="20"/>
        </w:rPr>
        <w:t xml:space="preserve">Wskaźnik wykryć nieprawidłowości w kontroli stosowania </w:t>
      </w:r>
      <w:r w:rsidR="00FD0691">
        <w:rPr>
          <w:rFonts w:ascii="Arial" w:eastAsia="Times New Roman" w:hAnsi="Arial" w:cs="Arial"/>
          <w:sz w:val="20"/>
          <w:szCs w:val="20"/>
          <w:lang w:eastAsia="pl-PL"/>
        </w:rPr>
        <w:t>środków ochrony roślin</w:t>
      </w:r>
      <w:r w:rsidRPr="00ED07A6">
        <w:rPr>
          <w:rFonts w:ascii="Arial" w:eastAsia="Calibri" w:hAnsi="Arial" w:cs="Arial"/>
          <w:sz w:val="20"/>
          <w:szCs w:val="20"/>
        </w:rPr>
        <w:t xml:space="preserve"> (</w:t>
      </w:r>
      <w:proofErr w:type="spellStart"/>
      <w:r w:rsidRPr="00ED07A6">
        <w:rPr>
          <w:rFonts w:ascii="Arial" w:eastAsia="Lucida Sans Unicode" w:hAnsi="Arial" w:cs="Arial"/>
          <w:kern w:val="3"/>
          <w:sz w:val="20"/>
          <w:szCs w:val="20"/>
        </w:rPr>
        <w:t>W</w:t>
      </w:r>
      <w:r w:rsidRPr="00ED07A6">
        <w:rPr>
          <w:rFonts w:ascii="Arial" w:eastAsia="Lucida Sans Unicode" w:hAnsi="Arial" w:cs="Arial"/>
          <w:kern w:val="3"/>
          <w:sz w:val="20"/>
          <w:szCs w:val="20"/>
          <w:vertAlign w:val="subscript"/>
        </w:rPr>
        <w:t>S.Kontrola</w:t>
      </w:r>
      <w:proofErr w:type="spellEnd"/>
      <w:r w:rsidRPr="00ED07A6">
        <w:rPr>
          <w:rFonts w:ascii="Arial" w:eastAsia="Calibri" w:hAnsi="Arial" w:cs="Arial"/>
          <w:sz w:val="20"/>
          <w:szCs w:val="20"/>
        </w:rPr>
        <w:t>).</w:t>
      </w:r>
    </w:p>
    <w:p w14:paraId="6BB4EF26" w14:textId="77777777" w:rsidR="00DD239B" w:rsidRDefault="00DD239B" w:rsidP="00DD239B">
      <w:pPr>
        <w:spacing w:after="0" w:line="240" w:lineRule="auto"/>
        <w:rPr>
          <w:rFonts w:ascii="Arial" w:eastAsia="Times New Roman" w:hAnsi="Arial" w:cs="Arial"/>
          <w:sz w:val="20"/>
          <w:szCs w:val="20"/>
          <w:lang w:eastAsia="pl-PL"/>
        </w:rPr>
      </w:pPr>
    </w:p>
    <w:p w14:paraId="2A42E55C" w14:textId="3BD168F9" w:rsidR="00ED07A6" w:rsidRDefault="00ED07A6" w:rsidP="00DD239B">
      <w:pPr>
        <w:spacing w:after="0" w:line="240" w:lineRule="auto"/>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Poniżej przedstawiono wyniki obliczeń ww. wskaźników z ostatnich lat (im niższa wartość wskaźnika tym </w:t>
      </w:r>
      <w:r w:rsidR="00FD0691">
        <w:rPr>
          <w:rFonts w:ascii="Arial" w:eastAsia="Times New Roman" w:hAnsi="Arial" w:cs="Arial"/>
          <w:sz w:val="20"/>
          <w:szCs w:val="20"/>
          <w:lang w:eastAsia="pl-PL"/>
        </w:rPr>
        <w:t>niższe ryzyko</w:t>
      </w:r>
      <w:r w:rsidRPr="00ED07A6">
        <w:rPr>
          <w:rFonts w:ascii="Arial" w:eastAsia="Times New Roman" w:hAnsi="Arial" w:cs="Arial"/>
          <w:sz w:val="20"/>
          <w:szCs w:val="20"/>
          <w:lang w:eastAsia="pl-PL"/>
        </w:rPr>
        <w:t>).</w:t>
      </w:r>
    </w:p>
    <w:p w14:paraId="5386CE72" w14:textId="77777777" w:rsidR="008C521C" w:rsidRPr="004678FF" w:rsidRDefault="008C521C" w:rsidP="00E4045C">
      <w:pPr>
        <w:spacing w:before="120" w:after="120"/>
        <w:jc w:val="center"/>
        <w:rPr>
          <w:rFonts w:ascii="Arial" w:hAnsi="Arial" w:cs="Arial"/>
          <w:i/>
          <w:sz w:val="20"/>
          <w:szCs w:val="20"/>
        </w:rPr>
      </w:pPr>
      <w:r w:rsidRPr="004678FF">
        <w:rPr>
          <w:rFonts w:ascii="Arial" w:hAnsi="Arial" w:cs="Arial"/>
          <w:i/>
          <w:sz w:val="20"/>
          <w:szCs w:val="20"/>
        </w:rPr>
        <w:t>Tabela 3. Wyniki obliczeń wskaźników W</w:t>
      </w:r>
      <w:r w:rsidRPr="004678FF">
        <w:rPr>
          <w:rFonts w:ascii="Arial" w:hAnsi="Arial" w:cs="Arial"/>
          <w:i/>
          <w:sz w:val="20"/>
          <w:szCs w:val="20"/>
          <w:vertAlign w:val="subscript"/>
        </w:rPr>
        <w:t>S.NDP</w:t>
      </w:r>
      <w:r w:rsidRPr="004678FF">
        <w:rPr>
          <w:rFonts w:ascii="Arial" w:hAnsi="Arial" w:cs="Arial"/>
          <w:i/>
          <w:sz w:val="20"/>
          <w:szCs w:val="20"/>
        </w:rPr>
        <w:t>,</w:t>
      </w:r>
      <w:r w:rsidRPr="004678FF">
        <w:rPr>
          <w:rFonts w:ascii="Arial" w:hAnsi="Arial" w:cs="Arial"/>
          <w:i/>
          <w:sz w:val="20"/>
          <w:szCs w:val="20"/>
          <w:vertAlign w:val="subscript"/>
        </w:rPr>
        <w:t xml:space="preserve"> </w:t>
      </w:r>
      <w:proofErr w:type="spellStart"/>
      <w:r w:rsidRPr="004678FF">
        <w:rPr>
          <w:rFonts w:ascii="Arial" w:hAnsi="Arial" w:cs="Arial"/>
          <w:i/>
          <w:sz w:val="20"/>
          <w:szCs w:val="20"/>
        </w:rPr>
        <w:t>W</w:t>
      </w:r>
      <w:r w:rsidRPr="004678FF">
        <w:rPr>
          <w:rFonts w:ascii="Arial" w:hAnsi="Arial" w:cs="Arial"/>
          <w:i/>
          <w:sz w:val="20"/>
          <w:szCs w:val="20"/>
          <w:vertAlign w:val="subscript"/>
        </w:rPr>
        <w:t>S.Niedop</w:t>
      </w:r>
      <w:proofErr w:type="spellEnd"/>
      <w:r w:rsidRPr="004678FF">
        <w:rPr>
          <w:rFonts w:ascii="Arial" w:hAnsi="Arial" w:cs="Arial"/>
          <w:i/>
          <w:sz w:val="20"/>
          <w:szCs w:val="20"/>
        </w:rPr>
        <w:t>,</w:t>
      </w:r>
      <w:r w:rsidRPr="004678FF">
        <w:rPr>
          <w:rFonts w:ascii="Arial" w:hAnsi="Arial" w:cs="Arial"/>
          <w:i/>
          <w:sz w:val="20"/>
          <w:szCs w:val="20"/>
          <w:vertAlign w:val="subscript"/>
        </w:rPr>
        <w:t xml:space="preserve"> </w:t>
      </w:r>
      <w:proofErr w:type="spellStart"/>
      <w:r w:rsidRPr="004678FF">
        <w:rPr>
          <w:rFonts w:ascii="Arial" w:hAnsi="Arial" w:cs="Arial"/>
          <w:i/>
          <w:sz w:val="20"/>
          <w:szCs w:val="20"/>
        </w:rPr>
        <w:t>W</w:t>
      </w:r>
      <w:r w:rsidRPr="004678FF">
        <w:rPr>
          <w:rFonts w:ascii="Arial" w:hAnsi="Arial" w:cs="Arial"/>
          <w:i/>
          <w:sz w:val="20"/>
          <w:szCs w:val="20"/>
          <w:vertAlign w:val="subscript"/>
        </w:rPr>
        <w:t>S.Kontrola</w:t>
      </w:r>
      <w:proofErr w:type="spellEnd"/>
    </w:p>
    <w:tbl>
      <w:tblPr>
        <w:tblW w:w="5000" w:type="pct"/>
        <w:jc w:val="center"/>
        <w:tblCellMar>
          <w:left w:w="10" w:type="dxa"/>
          <w:right w:w="10" w:type="dxa"/>
        </w:tblCellMar>
        <w:tblLook w:val="0000" w:firstRow="0" w:lastRow="0" w:firstColumn="0" w:lastColumn="0" w:noHBand="0" w:noVBand="0"/>
      </w:tblPr>
      <w:tblGrid>
        <w:gridCol w:w="1308"/>
        <w:gridCol w:w="1107"/>
        <w:gridCol w:w="1109"/>
        <w:gridCol w:w="1107"/>
        <w:gridCol w:w="1109"/>
        <w:gridCol w:w="1107"/>
        <w:gridCol w:w="1109"/>
        <w:gridCol w:w="1106"/>
      </w:tblGrid>
      <w:tr w:rsidR="008C521C" w:rsidRPr="004678FF" w14:paraId="695866D4" w14:textId="77777777" w:rsidTr="00891C08">
        <w:trPr>
          <w:trHeight w:val="411"/>
          <w:jc w:val="center"/>
        </w:trPr>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AABDC2"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Rok</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EAD38"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2015</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880CFF"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2016</w:t>
            </w:r>
          </w:p>
        </w:tc>
        <w:tc>
          <w:tcPr>
            <w:tcW w:w="611" w:type="pct"/>
            <w:tcBorders>
              <w:top w:val="single" w:sz="4" w:space="0" w:color="auto"/>
              <w:left w:val="single" w:sz="4" w:space="0" w:color="auto"/>
              <w:bottom w:val="single" w:sz="4" w:space="0" w:color="auto"/>
              <w:right w:val="single" w:sz="4" w:space="0" w:color="auto"/>
            </w:tcBorders>
            <w:vAlign w:val="center"/>
          </w:tcPr>
          <w:p w14:paraId="63674955"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2017</w:t>
            </w:r>
          </w:p>
        </w:tc>
        <w:tc>
          <w:tcPr>
            <w:tcW w:w="612" w:type="pct"/>
            <w:tcBorders>
              <w:top w:val="single" w:sz="4" w:space="0" w:color="auto"/>
              <w:left w:val="single" w:sz="4" w:space="0" w:color="auto"/>
              <w:bottom w:val="single" w:sz="4" w:space="0" w:color="auto"/>
              <w:right w:val="single" w:sz="4" w:space="0" w:color="auto"/>
            </w:tcBorders>
            <w:vAlign w:val="center"/>
          </w:tcPr>
          <w:p w14:paraId="0C7532A6"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2018</w:t>
            </w:r>
          </w:p>
        </w:tc>
        <w:tc>
          <w:tcPr>
            <w:tcW w:w="611" w:type="pct"/>
            <w:tcBorders>
              <w:top w:val="single" w:sz="4" w:space="0" w:color="auto"/>
              <w:left w:val="single" w:sz="4" w:space="0" w:color="auto"/>
              <w:bottom w:val="single" w:sz="4" w:space="0" w:color="auto"/>
              <w:right w:val="single" w:sz="4" w:space="0" w:color="auto"/>
            </w:tcBorders>
            <w:vAlign w:val="center"/>
          </w:tcPr>
          <w:p w14:paraId="0724CBF2"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2019</w:t>
            </w:r>
          </w:p>
        </w:tc>
        <w:tc>
          <w:tcPr>
            <w:tcW w:w="612" w:type="pct"/>
            <w:tcBorders>
              <w:top w:val="single" w:sz="4" w:space="0" w:color="auto"/>
              <w:left w:val="single" w:sz="4" w:space="0" w:color="auto"/>
              <w:bottom w:val="single" w:sz="4" w:space="0" w:color="auto"/>
              <w:right w:val="single" w:sz="4" w:space="0" w:color="auto"/>
            </w:tcBorders>
            <w:vAlign w:val="center"/>
          </w:tcPr>
          <w:p w14:paraId="29B0BAE3"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2020</w:t>
            </w:r>
          </w:p>
        </w:tc>
        <w:tc>
          <w:tcPr>
            <w:tcW w:w="610" w:type="pct"/>
            <w:tcBorders>
              <w:top w:val="single" w:sz="4" w:space="0" w:color="auto"/>
              <w:left w:val="single" w:sz="4" w:space="0" w:color="auto"/>
              <w:bottom w:val="single" w:sz="4" w:space="0" w:color="auto"/>
              <w:right w:val="single" w:sz="4" w:space="0" w:color="auto"/>
            </w:tcBorders>
            <w:vAlign w:val="center"/>
          </w:tcPr>
          <w:p w14:paraId="7BFE643D"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2021</w:t>
            </w:r>
          </w:p>
        </w:tc>
      </w:tr>
      <w:tr w:rsidR="008C521C" w:rsidRPr="004678FF" w14:paraId="2B3CFF61" w14:textId="77777777" w:rsidTr="00891C08">
        <w:trPr>
          <w:trHeight w:val="418"/>
          <w:jc w:val="center"/>
        </w:trPr>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6DB7CA" w14:textId="77777777" w:rsidR="008C521C" w:rsidRPr="004678FF" w:rsidRDefault="008C521C" w:rsidP="00891C08">
            <w:pPr>
              <w:pStyle w:val="Standard"/>
              <w:spacing w:after="0" w:line="240" w:lineRule="auto"/>
              <w:jc w:val="center"/>
              <w:rPr>
                <w:rFonts w:ascii="Arial" w:hAnsi="Arial" w:cs="Arial"/>
                <w:sz w:val="20"/>
                <w:szCs w:val="20"/>
                <w:vertAlign w:val="subscript"/>
              </w:rPr>
            </w:pPr>
            <w:r w:rsidRPr="004678FF">
              <w:rPr>
                <w:rFonts w:ascii="Arial" w:hAnsi="Arial" w:cs="Arial"/>
                <w:sz w:val="20"/>
                <w:szCs w:val="20"/>
              </w:rPr>
              <w:t>W</w:t>
            </w:r>
            <w:r w:rsidRPr="004678FF">
              <w:rPr>
                <w:rFonts w:ascii="Arial" w:hAnsi="Arial" w:cs="Arial"/>
                <w:sz w:val="20"/>
                <w:szCs w:val="20"/>
                <w:vertAlign w:val="subscript"/>
              </w:rPr>
              <w:t>S.NDP</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30CC5A"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0,040</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1C57DB"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0,027</w:t>
            </w:r>
          </w:p>
        </w:tc>
        <w:tc>
          <w:tcPr>
            <w:tcW w:w="611" w:type="pct"/>
            <w:tcBorders>
              <w:top w:val="single" w:sz="4" w:space="0" w:color="auto"/>
              <w:left w:val="single" w:sz="4" w:space="0" w:color="auto"/>
              <w:bottom w:val="single" w:sz="4" w:space="0" w:color="auto"/>
              <w:right w:val="single" w:sz="4" w:space="0" w:color="auto"/>
            </w:tcBorders>
            <w:vAlign w:val="center"/>
          </w:tcPr>
          <w:p w14:paraId="2063717C"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0,038</w:t>
            </w:r>
          </w:p>
        </w:tc>
        <w:tc>
          <w:tcPr>
            <w:tcW w:w="612" w:type="pct"/>
            <w:tcBorders>
              <w:top w:val="single" w:sz="4" w:space="0" w:color="auto"/>
              <w:left w:val="single" w:sz="4" w:space="0" w:color="auto"/>
              <w:bottom w:val="single" w:sz="4" w:space="0" w:color="auto"/>
              <w:right w:val="single" w:sz="4" w:space="0" w:color="auto"/>
            </w:tcBorders>
            <w:vAlign w:val="center"/>
          </w:tcPr>
          <w:p w14:paraId="22055E84"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brak danych</w:t>
            </w:r>
          </w:p>
        </w:tc>
        <w:tc>
          <w:tcPr>
            <w:tcW w:w="611" w:type="pct"/>
            <w:tcBorders>
              <w:top w:val="single" w:sz="4" w:space="0" w:color="auto"/>
              <w:left w:val="single" w:sz="4" w:space="0" w:color="auto"/>
              <w:bottom w:val="single" w:sz="4" w:space="0" w:color="auto"/>
              <w:right w:val="single" w:sz="4" w:space="0" w:color="auto"/>
            </w:tcBorders>
            <w:vAlign w:val="center"/>
          </w:tcPr>
          <w:p w14:paraId="4307B7D5"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0,059</w:t>
            </w:r>
          </w:p>
        </w:tc>
        <w:tc>
          <w:tcPr>
            <w:tcW w:w="612" w:type="pct"/>
            <w:tcBorders>
              <w:top w:val="single" w:sz="4" w:space="0" w:color="auto"/>
              <w:left w:val="single" w:sz="4" w:space="0" w:color="auto"/>
              <w:bottom w:val="single" w:sz="4" w:space="0" w:color="auto"/>
              <w:right w:val="single" w:sz="4" w:space="0" w:color="auto"/>
            </w:tcBorders>
            <w:vAlign w:val="center"/>
          </w:tcPr>
          <w:p w14:paraId="1A2443F8"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0,034</w:t>
            </w:r>
          </w:p>
        </w:tc>
        <w:tc>
          <w:tcPr>
            <w:tcW w:w="610" w:type="pct"/>
            <w:tcBorders>
              <w:top w:val="single" w:sz="4" w:space="0" w:color="auto"/>
              <w:left w:val="single" w:sz="4" w:space="0" w:color="auto"/>
              <w:bottom w:val="single" w:sz="4" w:space="0" w:color="auto"/>
              <w:right w:val="single" w:sz="4" w:space="0" w:color="auto"/>
            </w:tcBorders>
            <w:vAlign w:val="center"/>
          </w:tcPr>
          <w:p w14:paraId="7C502F8C"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0,0324</w:t>
            </w:r>
          </w:p>
        </w:tc>
      </w:tr>
      <w:tr w:rsidR="008C521C" w:rsidRPr="004678FF" w14:paraId="4298DEE3" w14:textId="77777777" w:rsidTr="00891C08">
        <w:trPr>
          <w:trHeight w:val="410"/>
          <w:jc w:val="center"/>
        </w:trPr>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1DE6E8" w14:textId="77777777" w:rsidR="008C521C" w:rsidRPr="004678FF" w:rsidRDefault="008C521C" w:rsidP="00891C08">
            <w:pPr>
              <w:pStyle w:val="Standard"/>
              <w:spacing w:after="0" w:line="240" w:lineRule="auto"/>
              <w:jc w:val="center"/>
              <w:rPr>
                <w:rFonts w:ascii="Arial" w:hAnsi="Arial" w:cs="Arial"/>
                <w:sz w:val="20"/>
                <w:szCs w:val="20"/>
              </w:rPr>
            </w:pPr>
            <w:proofErr w:type="spellStart"/>
            <w:r w:rsidRPr="004678FF">
              <w:rPr>
                <w:rFonts w:ascii="Arial" w:hAnsi="Arial" w:cs="Arial"/>
                <w:sz w:val="20"/>
                <w:szCs w:val="20"/>
              </w:rPr>
              <w:t>W</w:t>
            </w:r>
            <w:r w:rsidRPr="004678FF">
              <w:rPr>
                <w:rFonts w:ascii="Arial" w:hAnsi="Arial" w:cs="Arial"/>
                <w:sz w:val="20"/>
                <w:szCs w:val="20"/>
                <w:vertAlign w:val="subscript"/>
              </w:rPr>
              <w:t>S.Niedop</w:t>
            </w:r>
            <w:proofErr w:type="spellEnd"/>
            <w:r w:rsidRPr="004678FF">
              <w:rPr>
                <w:rFonts w:ascii="Arial" w:hAnsi="Arial" w:cs="Arial"/>
                <w:sz w:val="20"/>
                <w:szCs w:val="20"/>
                <w:vertAlign w:val="subscript"/>
              </w:rPr>
              <w:t>.</w:t>
            </w:r>
            <w:r w:rsidRPr="004678FF">
              <w:rPr>
                <w:rFonts w:ascii="Arial" w:hAnsi="Arial" w:cs="Arial"/>
                <w:sz w:val="20"/>
                <w:szCs w:val="20"/>
              </w:rPr>
              <w:t xml:space="preserve"> </w:t>
            </w:r>
            <w:r w:rsidRPr="004678FF">
              <w:rPr>
                <w:rFonts w:ascii="Arial" w:hAnsi="Arial" w:cs="Arial"/>
                <w:sz w:val="20"/>
                <w:szCs w:val="20"/>
                <w:vertAlign w:val="subscript"/>
              </w:rPr>
              <w:t xml:space="preserve"> </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3034BD"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0,318</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640410"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0,208</w:t>
            </w:r>
          </w:p>
        </w:tc>
        <w:tc>
          <w:tcPr>
            <w:tcW w:w="611" w:type="pct"/>
            <w:tcBorders>
              <w:top w:val="single" w:sz="4" w:space="0" w:color="auto"/>
              <w:left w:val="single" w:sz="4" w:space="0" w:color="auto"/>
              <w:bottom w:val="single" w:sz="4" w:space="0" w:color="auto"/>
              <w:right w:val="single" w:sz="4" w:space="0" w:color="auto"/>
            </w:tcBorders>
            <w:vAlign w:val="center"/>
          </w:tcPr>
          <w:p w14:paraId="37FCA5A4"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0,298</w:t>
            </w:r>
          </w:p>
        </w:tc>
        <w:tc>
          <w:tcPr>
            <w:tcW w:w="612" w:type="pct"/>
            <w:tcBorders>
              <w:top w:val="single" w:sz="4" w:space="0" w:color="auto"/>
              <w:left w:val="single" w:sz="4" w:space="0" w:color="auto"/>
              <w:bottom w:val="single" w:sz="4" w:space="0" w:color="auto"/>
              <w:right w:val="single" w:sz="4" w:space="0" w:color="auto"/>
            </w:tcBorders>
            <w:vAlign w:val="center"/>
          </w:tcPr>
          <w:p w14:paraId="726B5785"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0,265</w:t>
            </w:r>
          </w:p>
        </w:tc>
        <w:tc>
          <w:tcPr>
            <w:tcW w:w="611" w:type="pct"/>
            <w:tcBorders>
              <w:top w:val="single" w:sz="4" w:space="0" w:color="auto"/>
              <w:left w:val="single" w:sz="4" w:space="0" w:color="auto"/>
              <w:bottom w:val="single" w:sz="4" w:space="0" w:color="auto"/>
              <w:right w:val="single" w:sz="4" w:space="0" w:color="auto"/>
            </w:tcBorders>
            <w:vAlign w:val="center"/>
          </w:tcPr>
          <w:p w14:paraId="1B098C72"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0,299</w:t>
            </w:r>
          </w:p>
        </w:tc>
        <w:tc>
          <w:tcPr>
            <w:tcW w:w="612" w:type="pct"/>
            <w:tcBorders>
              <w:top w:val="single" w:sz="4" w:space="0" w:color="auto"/>
              <w:left w:val="single" w:sz="4" w:space="0" w:color="auto"/>
              <w:bottom w:val="single" w:sz="4" w:space="0" w:color="auto"/>
              <w:right w:val="single" w:sz="4" w:space="0" w:color="auto"/>
            </w:tcBorders>
            <w:vAlign w:val="center"/>
          </w:tcPr>
          <w:p w14:paraId="585DA018"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0,239</w:t>
            </w:r>
          </w:p>
        </w:tc>
        <w:tc>
          <w:tcPr>
            <w:tcW w:w="610" w:type="pct"/>
            <w:tcBorders>
              <w:top w:val="single" w:sz="4" w:space="0" w:color="auto"/>
              <w:left w:val="single" w:sz="4" w:space="0" w:color="auto"/>
              <w:bottom w:val="single" w:sz="4" w:space="0" w:color="auto"/>
              <w:right w:val="single" w:sz="4" w:space="0" w:color="auto"/>
            </w:tcBorders>
            <w:vAlign w:val="center"/>
          </w:tcPr>
          <w:p w14:paraId="1AD398C8"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0,196</w:t>
            </w:r>
          </w:p>
        </w:tc>
      </w:tr>
      <w:tr w:rsidR="008C521C" w:rsidRPr="004678FF" w14:paraId="2377105C" w14:textId="77777777" w:rsidTr="00891C08">
        <w:trPr>
          <w:trHeight w:val="416"/>
          <w:jc w:val="center"/>
        </w:trPr>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AB8713" w14:textId="77777777" w:rsidR="008C521C" w:rsidRPr="004678FF" w:rsidRDefault="008C521C" w:rsidP="00891C08">
            <w:pPr>
              <w:pStyle w:val="Standard"/>
              <w:spacing w:after="0" w:line="240" w:lineRule="auto"/>
              <w:jc w:val="center"/>
              <w:rPr>
                <w:rFonts w:ascii="Arial" w:hAnsi="Arial" w:cs="Arial"/>
                <w:sz w:val="20"/>
                <w:szCs w:val="20"/>
              </w:rPr>
            </w:pPr>
            <w:proofErr w:type="spellStart"/>
            <w:r w:rsidRPr="004678FF">
              <w:rPr>
                <w:rFonts w:ascii="Arial" w:hAnsi="Arial" w:cs="Arial"/>
                <w:sz w:val="20"/>
                <w:szCs w:val="20"/>
              </w:rPr>
              <w:t>W</w:t>
            </w:r>
            <w:r w:rsidRPr="004678FF">
              <w:rPr>
                <w:rFonts w:ascii="Arial" w:hAnsi="Arial" w:cs="Arial"/>
                <w:sz w:val="20"/>
                <w:szCs w:val="20"/>
                <w:vertAlign w:val="subscript"/>
              </w:rPr>
              <w:t>S.Kontrola</w:t>
            </w:r>
            <w:proofErr w:type="spellEnd"/>
            <w:r w:rsidRPr="004678FF">
              <w:rPr>
                <w:rFonts w:ascii="Arial" w:hAnsi="Arial" w:cs="Arial"/>
                <w:sz w:val="20"/>
                <w:szCs w:val="20"/>
              </w:rPr>
              <w:t xml:space="preserve"> [%]</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69D139"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1,039</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8C5225"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1,103</w:t>
            </w:r>
          </w:p>
        </w:tc>
        <w:tc>
          <w:tcPr>
            <w:tcW w:w="611" w:type="pct"/>
            <w:tcBorders>
              <w:top w:val="single" w:sz="4" w:space="0" w:color="auto"/>
              <w:left w:val="single" w:sz="4" w:space="0" w:color="auto"/>
              <w:bottom w:val="single" w:sz="4" w:space="0" w:color="auto"/>
              <w:right w:val="single" w:sz="4" w:space="0" w:color="auto"/>
            </w:tcBorders>
            <w:vAlign w:val="center"/>
          </w:tcPr>
          <w:p w14:paraId="7838387E"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1,101</w:t>
            </w:r>
          </w:p>
        </w:tc>
        <w:tc>
          <w:tcPr>
            <w:tcW w:w="612" w:type="pct"/>
            <w:tcBorders>
              <w:top w:val="single" w:sz="4" w:space="0" w:color="auto"/>
              <w:left w:val="single" w:sz="4" w:space="0" w:color="auto"/>
              <w:bottom w:val="single" w:sz="4" w:space="0" w:color="auto"/>
              <w:right w:val="single" w:sz="4" w:space="0" w:color="auto"/>
            </w:tcBorders>
            <w:vAlign w:val="center"/>
          </w:tcPr>
          <w:p w14:paraId="1FDC3EEC"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1,086</w:t>
            </w:r>
          </w:p>
        </w:tc>
        <w:tc>
          <w:tcPr>
            <w:tcW w:w="611" w:type="pct"/>
            <w:tcBorders>
              <w:top w:val="single" w:sz="4" w:space="0" w:color="auto"/>
              <w:left w:val="single" w:sz="4" w:space="0" w:color="auto"/>
              <w:bottom w:val="single" w:sz="4" w:space="0" w:color="auto"/>
              <w:right w:val="single" w:sz="4" w:space="0" w:color="auto"/>
            </w:tcBorders>
            <w:vAlign w:val="center"/>
          </w:tcPr>
          <w:p w14:paraId="5F66B508"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1,335</w:t>
            </w:r>
          </w:p>
        </w:tc>
        <w:tc>
          <w:tcPr>
            <w:tcW w:w="612" w:type="pct"/>
            <w:tcBorders>
              <w:top w:val="single" w:sz="4" w:space="0" w:color="auto"/>
              <w:left w:val="single" w:sz="4" w:space="0" w:color="auto"/>
              <w:bottom w:val="single" w:sz="4" w:space="0" w:color="auto"/>
              <w:right w:val="single" w:sz="4" w:space="0" w:color="auto"/>
            </w:tcBorders>
            <w:vAlign w:val="center"/>
          </w:tcPr>
          <w:p w14:paraId="023BD0D2"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1,279</w:t>
            </w:r>
          </w:p>
        </w:tc>
        <w:tc>
          <w:tcPr>
            <w:tcW w:w="610" w:type="pct"/>
            <w:tcBorders>
              <w:top w:val="single" w:sz="4" w:space="0" w:color="auto"/>
              <w:left w:val="single" w:sz="4" w:space="0" w:color="auto"/>
              <w:bottom w:val="single" w:sz="4" w:space="0" w:color="auto"/>
              <w:right w:val="single" w:sz="4" w:space="0" w:color="auto"/>
            </w:tcBorders>
            <w:vAlign w:val="center"/>
          </w:tcPr>
          <w:p w14:paraId="4BC6C4C1" w14:textId="77777777" w:rsidR="008C521C" w:rsidRPr="004678FF" w:rsidRDefault="008C521C" w:rsidP="00891C08">
            <w:pPr>
              <w:pStyle w:val="Standard"/>
              <w:spacing w:after="0" w:line="240" w:lineRule="auto"/>
              <w:jc w:val="center"/>
              <w:rPr>
                <w:rFonts w:ascii="Arial" w:hAnsi="Arial" w:cs="Arial"/>
                <w:sz w:val="20"/>
                <w:szCs w:val="20"/>
              </w:rPr>
            </w:pPr>
            <w:r w:rsidRPr="004678FF">
              <w:rPr>
                <w:rFonts w:ascii="Arial" w:hAnsi="Arial" w:cs="Arial"/>
                <w:sz w:val="20"/>
                <w:szCs w:val="20"/>
              </w:rPr>
              <w:t>1,358</w:t>
            </w:r>
          </w:p>
        </w:tc>
      </w:tr>
    </w:tbl>
    <w:p w14:paraId="1584170F" w14:textId="41A28DA1" w:rsidR="008C521C" w:rsidRPr="008C521C" w:rsidRDefault="008C521C" w:rsidP="00E4045C">
      <w:pPr>
        <w:pStyle w:val="NormalnyWeb"/>
        <w:tabs>
          <w:tab w:val="left" w:pos="284"/>
        </w:tabs>
        <w:spacing w:before="120" w:beforeAutospacing="0" w:after="120" w:afterAutospacing="0" w:line="360" w:lineRule="auto"/>
        <w:ind w:firstLine="284"/>
        <w:jc w:val="both"/>
        <w:rPr>
          <w:rFonts w:ascii="Arial" w:hAnsi="Arial" w:cs="Arial"/>
        </w:rPr>
      </w:pPr>
      <w:r w:rsidRPr="008C521C">
        <w:rPr>
          <w:rFonts w:ascii="Arial" w:hAnsi="Arial" w:cs="Arial"/>
        </w:rPr>
        <w:t xml:space="preserve">Najważniejszym z przedstawionych powyżej danych jest wskaźnik </w:t>
      </w:r>
      <w:proofErr w:type="spellStart"/>
      <w:r w:rsidRPr="008C521C">
        <w:rPr>
          <w:rFonts w:ascii="Arial" w:hAnsi="Arial" w:cs="Arial"/>
        </w:rPr>
        <w:t>WS.Kontrola</w:t>
      </w:r>
      <w:proofErr w:type="spellEnd"/>
      <w:r w:rsidRPr="008C521C">
        <w:rPr>
          <w:rFonts w:ascii="Arial" w:hAnsi="Arial" w:cs="Arial"/>
        </w:rPr>
        <w:t>, który jest wykorzystywany jako miernik do monitorowania stopnia realizacji głównych celów</w:t>
      </w:r>
      <w:r w:rsidR="004678FF">
        <w:rPr>
          <w:rFonts w:ascii="Arial" w:hAnsi="Arial" w:cs="Arial"/>
        </w:rPr>
        <w:t xml:space="preserve"> k</w:t>
      </w:r>
      <w:r w:rsidRPr="008C521C">
        <w:rPr>
          <w:rFonts w:ascii="Arial" w:hAnsi="Arial" w:cs="Arial"/>
        </w:rPr>
        <w:t xml:space="preserve">rajowego </w:t>
      </w:r>
      <w:r w:rsidR="004678FF">
        <w:rPr>
          <w:rFonts w:ascii="Arial" w:hAnsi="Arial" w:cs="Arial"/>
        </w:rPr>
        <w:t>p</w:t>
      </w:r>
      <w:r w:rsidRPr="008C521C">
        <w:rPr>
          <w:rFonts w:ascii="Arial" w:hAnsi="Arial" w:cs="Arial"/>
        </w:rPr>
        <w:t xml:space="preserve">lanu </w:t>
      </w:r>
      <w:r w:rsidR="004678FF">
        <w:rPr>
          <w:rFonts w:ascii="Arial" w:hAnsi="Arial" w:cs="Arial"/>
        </w:rPr>
        <w:t>d</w:t>
      </w:r>
      <w:r w:rsidRPr="008C521C">
        <w:rPr>
          <w:rFonts w:ascii="Arial" w:hAnsi="Arial" w:cs="Arial"/>
        </w:rPr>
        <w:t xml:space="preserve">ziałania na rzecz ograniczenia ryzyka związanego ze stosowaniem środków ochrony roślin na lata 2018-2022. Przyjęta w KPD wartość graniczna miernika wynosi 1,5. Wskaźnik ten uwzględnia wyniki prowadzonych przez </w:t>
      </w:r>
      <w:proofErr w:type="spellStart"/>
      <w:r w:rsidRPr="008C521C">
        <w:rPr>
          <w:rFonts w:ascii="Arial" w:hAnsi="Arial" w:cs="Arial"/>
        </w:rPr>
        <w:t>PIORiN</w:t>
      </w:r>
      <w:proofErr w:type="spellEnd"/>
      <w:r w:rsidRPr="008C521C">
        <w:rPr>
          <w:rFonts w:ascii="Arial" w:hAnsi="Arial" w:cs="Arial"/>
        </w:rPr>
        <w:t xml:space="preserve"> kontroli stosowania </w:t>
      </w:r>
      <w:proofErr w:type="spellStart"/>
      <w:r w:rsidRPr="008C521C">
        <w:rPr>
          <w:rFonts w:ascii="Arial" w:hAnsi="Arial" w:cs="Arial"/>
        </w:rPr>
        <w:t>ś.o.r</w:t>
      </w:r>
      <w:proofErr w:type="spellEnd"/>
      <w:r w:rsidRPr="008C521C">
        <w:rPr>
          <w:rFonts w:ascii="Arial" w:hAnsi="Arial" w:cs="Arial"/>
        </w:rPr>
        <w:t>. w siedmiu szczegółowych obszarach kontroli i</w:t>
      </w:r>
      <w:r w:rsidR="004678FF">
        <w:rPr>
          <w:rFonts w:ascii="Arial" w:hAnsi="Arial" w:cs="Arial"/>
        </w:rPr>
        <w:t> </w:t>
      </w:r>
      <w:r w:rsidRPr="008C521C">
        <w:rPr>
          <w:rFonts w:ascii="Arial" w:hAnsi="Arial" w:cs="Arial"/>
        </w:rPr>
        <w:t xml:space="preserve">obrazuje procentową liczbę nieprawidłowości w stosunku do liczby kontroli. Każdemu szczegółowemu obszarowi kontroli przypisana jest decyzyjnie indywidualna waga uwypuklająca znaczenie poszczególnych obszarów kontroli. Za najważniejszy obszar nieprawidłowości uznano użycie </w:t>
      </w:r>
      <w:r w:rsidR="004678FF">
        <w:rPr>
          <w:rFonts w:ascii="Arial" w:hAnsi="Arial" w:cs="Arial"/>
        </w:rPr>
        <w:t>środka ochrony roślin</w:t>
      </w:r>
      <w:r w:rsidRPr="008C521C">
        <w:rPr>
          <w:rFonts w:ascii="Arial" w:hAnsi="Arial" w:cs="Arial"/>
        </w:rPr>
        <w:t xml:space="preserve"> niedopuszczonego do obrotu (waga 0,3), a za najmniej istotne posiadanie aktualnego zaświadczenia potwierdzającego ukończenie szkolenia oraz nieprawidłowości w dokumentacji dotyczącej stosowania ś</w:t>
      </w:r>
      <w:r w:rsidR="004678FF">
        <w:rPr>
          <w:rFonts w:ascii="Arial" w:hAnsi="Arial" w:cs="Arial"/>
        </w:rPr>
        <w:t>rodka ochrony roślin</w:t>
      </w:r>
      <w:r w:rsidRPr="008C521C">
        <w:rPr>
          <w:rFonts w:ascii="Arial" w:hAnsi="Arial" w:cs="Arial"/>
        </w:rPr>
        <w:t xml:space="preserve"> (waga po 0,05 dla każdego z tych obszarów).</w:t>
      </w:r>
    </w:p>
    <w:p w14:paraId="0775666E" w14:textId="18619353" w:rsidR="008C521C" w:rsidRPr="008C521C" w:rsidRDefault="008C521C" w:rsidP="008C521C">
      <w:pPr>
        <w:pStyle w:val="NormalnyWeb"/>
        <w:tabs>
          <w:tab w:val="left" w:pos="284"/>
        </w:tabs>
        <w:spacing w:beforeAutospacing="0" w:after="120" w:afterAutospacing="0" w:line="360" w:lineRule="auto"/>
        <w:ind w:firstLine="284"/>
        <w:jc w:val="both"/>
        <w:rPr>
          <w:rFonts w:ascii="Arial" w:hAnsi="Arial" w:cs="Arial"/>
        </w:rPr>
      </w:pPr>
      <w:r w:rsidRPr="008C521C">
        <w:rPr>
          <w:rFonts w:ascii="Arial" w:hAnsi="Arial" w:cs="Arial"/>
        </w:rPr>
        <w:t xml:space="preserve">Jak widać w 2021 </w:t>
      </w:r>
      <w:r w:rsidR="004678FF">
        <w:rPr>
          <w:rFonts w:ascii="Arial" w:hAnsi="Arial" w:cs="Arial"/>
        </w:rPr>
        <w:t xml:space="preserve">r. </w:t>
      </w:r>
      <w:r w:rsidRPr="008C521C">
        <w:rPr>
          <w:rFonts w:ascii="Arial" w:hAnsi="Arial" w:cs="Arial"/>
        </w:rPr>
        <w:t xml:space="preserve">nastąpił wzrost wartości wskaźnika </w:t>
      </w:r>
      <w:proofErr w:type="spellStart"/>
      <w:r w:rsidRPr="008C521C">
        <w:rPr>
          <w:rFonts w:ascii="Arial" w:hAnsi="Arial" w:cs="Arial"/>
        </w:rPr>
        <w:t>WS.Kontrola</w:t>
      </w:r>
      <w:proofErr w:type="spellEnd"/>
      <w:r w:rsidRPr="008C521C">
        <w:rPr>
          <w:rFonts w:ascii="Arial" w:hAnsi="Arial" w:cs="Arial"/>
        </w:rPr>
        <w:t xml:space="preserve"> do 1,358%. W porównaniu do 2020</w:t>
      </w:r>
      <w:r w:rsidR="005638AA">
        <w:rPr>
          <w:rFonts w:ascii="Arial" w:hAnsi="Arial" w:cs="Arial"/>
        </w:rPr>
        <w:t xml:space="preserve"> r. </w:t>
      </w:r>
      <w:r w:rsidRPr="008C521C">
        <w:rPr>
          <w:rFonts w:ascii="Arial" w:hAnsi="Arial" w:cs="Arial"/>
        </w:rPr>
        <w:t>zwiększyła się prawie o 60% liczba nieprawidłowości w obszarze „użycia ś</w:t>
      </w:r>
      <w:r w:rsidR="005638AA">
        <w:rPr>
          <w:rFonts w:ascii="Arial" w:hAnsi="Arial" w:cs="Arial"/>
        </w:rPr>
        <w:t>rodka ochrony roślin</w:t>
      </w:r>
      <w:r w:rsidRPr="008C521C">
        <w:rPr>
          <w:rFonts w:ascii="Arial" w:hAnsi="Arial" w:cs="Arial"/>
        </w:rPr>
        <w:t xml:space="preserve"> niedopuszczonego do obrotu”. W dalszym ciągu głównym obszarem kontroli mającym wpływ na wartość wskaźnika jest „użycie </w:t>
      </w:r>
      <w:r w:rsidR="005638AA">
        <w:rPr>
          <w:rFonts w:ascii="Arial" w:hAnsi="Arial" w:cs="Arial"/>
        </w:rPr>
        <w:t>środka ochrony roślin</w:t>
      </w:r>
      <w:r w:rsidRPr="008C521C">
        <w:rPr>
          <w:rFonts w:ascii="Arial" w:hAnsi="Arial" w:cs="Arial"/>
        </w:rPr>
        <w:t xml:space="preserve"> niezgodnie z zakresem stosowania” – 638 nieprawidłowości na 20396 kontroli (3,13%), co przekłada się na około 46% wartości wskaźnika (0,626%). Analizując zestawienie wyników kontroli stosowania z 2021 </w:t>
      </w:r>
      <w:r w:rsidR="008B532E">
        <w:rPr>
          <w:rFonts w:ascii="Arial" w:hAnsi="Arial" w:cs="Arial"/>
        </w:rPr>
        <w:t xml:space="preserve">r. </w:t>
      </w:r>
      <w:r w:rsidRPr="008C521C">
        <w:rPr>
          <w:rFonts w:ascii="Arial" w:hAnsi="Arial" w:cs="Arial"/>
        </w:rPr>
        <w:t>można szacować sumaryczną liczbę nieprawidłowości (łącznie wszystkie obszary kontroli) na około 8 nieprawidłowości na 100 gospodarstw (8,41%).</w:t>
      </w:r>
    </w:p>
    <w:p w14:paraId="3DE7447B" w14:textId="1166AA38" w:rsidR="008C521C" w:rsidRPr="008C521C" w:rsidRDefault="008C521C" w:rsidP="008C521C">
      <w:pPr>
        <w:pStyle w:val="NormalnyWeb"/>
        <w:tabs>
          <w:tab w:val="left" w:pos="284"/>
        </w:tabs>
        <w:spacing w:beforeAutospacing="0" w:after="120" w:afterAutospacing="0" w:line="360" w:lineRule="auto"/>
        <w:ind w:firstLine="284"/>
        <w:jc w:val="both"/>
        <w:rPr>
          <w:rFonts w:ascii="Arial" w:hAnsi="Arial" w:cs="Arial"/>
        </w:rPr>
      </w:pPr>
      <w:r w:rsidRPr="008C521C">
        <w:rPr>
          <w:rFonts w:ascii="Arial" w:hAnsi="Arial" w:cs="Arial"/>
        </w:rPr>
        <w:t>Na wartość wskaźnika WS.NDP największy wpływ mają te uprawy, w których odnotowuje się największą liczbę przekroczeń NDP w stosunku do liczby przeprowadzonych kontroli. Dla następujących upraw liczba przekroczeń NDP w 2021 r</w:t>
      </w:r>
      <w:r w:rsidR="005638AA">
        <w:rPr>
          <w:rFonts w:ascii="Arial" w:hAnsi="Arial" w:cs="Arial"/>
        </w:rPr>
        <w:t>.</w:t>
      </w:r>
      <w:r w:rsidRPr="008C521C">
        <w:rPr>
          <w:rFonts w:ascii="Arial" w:hAnsi="Arial" w:cs="Arial"/>
        </w:rPr>
        <w:t xml:space="preserve"> stanowiła co najmniej 10% liczby kontroli: kapusta pekińska (20%), seler (18,8%), koper (13,1%), pietruszka (10,3%).</w:t>
      </w:r>
    </w:p>
    <w:p w14:paraId="6C3AF733" w14:textId="7432531F" w:rsidR="008C521C" w:rsidRPr="008C521C" w:rsidRDefault="008C521C" w:rsidP="008C521C">
      <w:pPr>
        <w:pStyle w:val="NormalnyWeb"/>
        <w:tabs>
          <w:tab w:val="left" w:pos="284"/>
        </w:tabs>
        <w:spacing w:beforeAutospacing="0" w:after="120" w:afterAutospacing="0" w:line="360" w:lineRule="auto"/>
        <w:ind w:firstLine="284"/>
        <w:jc w:val="both"/>
        <w:rPr>
          <w:rFonts w:ascii="Arial" w:hAnsi="Arial" w:cs="Arial"/>
        </w:rPr>
      </w:pPr>
      <w:r w:rsidRPr="008C521C">
        <w:rPr>
          <w:rFonts w:ascii="Arial" w:hAnsi="Arial" w:cs="Arial"/>
        </w:rPr>
        <w:t xml:space="preserve">Z kolei na wartość wskaźnika </w:t>
      </w:r>
      <w:proofErr w:type="spellStart"/>
      <w:r w:rsidRPr="008C521C">
        <w:rPr>
          <w:rFonts w:ascii="Arial" w:hAnsi="Arial" w:cs="Arial"/>
        </w:rPr>
        <w:t>WS.Niedop</w:t>
      </w:r>
      <w:proofErr w:type="spellEnd"/>
      <w:r w:rsidRPr="008C521C">
        <w:rPr>
          <w:rFonts w:ascii="Arial" w:hAnsi="Arial" w:cs="Arial"/>
        </w:rPr>
        <w:t>. największy wpływ mają te uprawy, w których odnotowuje się największą liczbę wykryć substancji niedopuszczonych do stosowania w danej uprawie w stosunku do liczby przeprowadzonych kontroli. Poniżej wyszczególniono kilka upraw, dla których liczba wykryć substancji niedopuszczonych w stosunku do liczby próbek w 2021 r</w:t>
      </w:r>
      <w:r w:rsidR="005638AA">
        <w:rPr>
          <w:rFonts w:ascii="Arial" w:hAnsi="Arial" w:cs="Arial"/>
        </w:rPr>
        <w:t>.</w:t>
      </w:r>
      <w:r w:rsidRPr="008C521C">
        <w:rPr>
          <w:rFonts w:ascii="Arial" w:hAnsi="Arial" w:cs="Arial"/>
        </w:rPr>
        <w:t xml:space="preserve"> była najwyższa: kminek zwyczajny (215%), koper (120%), seler (48%), rzodkiewka (42%), chrzan (38%), kapusta pekińska (38%). Występowanie wartości powyżej 100% bierze się z faktu, że w jednej próbce może być stwierdzone występowanie kilku substancji czynnych niedopuszczonych do stosowania.</w:t>
      </w:r>
    </w:p>
    <w:p w14:paraId="2D2A5B89" w14:textId="055FA46C" w:rsidR="008C521C" w:rsidRPr="008C521C" w:rsidRDefault="008C521C" w:rsidP="008C521C">
      <w:pPr>
        <w:pStyle w:val="NormalnyWeb"/>
        <w:tabs>
          <w:tab w:val="left" w:pos="284"/>
        </w:tabs>
        <w:spacing w:beforeAutospacing="0" w:after="120" w:afterAutospacing="0" w:line="360" w:lineRule="auto"/>
        <w:ind w:firstLine="284"/>
        <w:jc w:val="both"/>
        <w:rPr>
          <w:rFonts w:ascii="Arial" w:hAnsi="Arial" w:cs="Arial"/>
        </w:rPr>
      </w:pPr>
      <w:r w:rsidRPr="008C521C">
        <w:rPr>
          <w:rFonts w:ascii="Arial" w:hAnsi="Arial" w:cs="Arial"/>
        </w:rPr>
        <w:lastRenderedPageBreak/>
        <w:t>Należy zauważyć, że od lat liczba nieprawidłowości wynikających z zastosowania substancji niedopuszczonych do stosowania wielokrotnie przewyższa liczbę nieprawidłowości wynikających z</w:t>
      </w:r>
      <w:r w:rsidR="005638AA">
        <w:rPr>
          <w:rFonts w:ascii="Arial" w:hAnsi="Arial" w:cs="Arial"/>
        </w:rPr>
        <w:t> </w:t>
      </w:r>
      <w:r w:rsidRPr="008C521C">
        <w:rPr>
          <w:rFonts w:ascii="Arial" w:hAnsi="Arial" w:cs="Arial"/>
        </w:rPr>
        <w:t>przekroczeń NDP. W 2021</w:t>
      </w:r>
      <w:r w:rsidR="005638AA">
        <w:rPr>
          <w:rFonts w:ascii="Arial" w:hAnsi="Arial" w:cs="Arial"/>
        </w:rPr>
        <w:t> </w:t>
      </w:r>
      <w:r w:rsidRPr="008C521C">
        <w:rPr>
          <w:rFonts w:ascii="Arial" w:hAnsi="Arial" w:cs="Arial"/>
        </w:rPr>
        <w:t>r. stwierdzono 94 przekroczeń NDP i 603 wykryć substancji niedopuszczonych (603 / 94 = 6,4). Tym samym pozostają w mocy wnioski formułowane na podstawie wyników badań z poprzednich lat dotyczące niedostatecznej liczby zarejestrowanych preparatów do ochrony niektórych upraw.</w:t>
      </w:r>
    </w:p>
    <w:p w14:paraId="295C7D02" w14:textId="77777777" w:rsidR="00ED07A6" w:rsidRPr="00ED07A6" w:rsidRDefault="00ED07A6" w:rsidP="00ED07A6">
      <w:pPr>
        <w:spacing w:after="0" w:line="360" w:lineRule="auto"/>
        <w:jc w:val="both"/>
        <w:rPr>
          <w:rFonts w:ascii="Arial" w:eastAsia="Times New Roman" w:hAnsi="Arial" w:cs="Arial"/>
          <w:i/>
          <w:sz w:val="20"/>
          <w:szCs w:val="20"/>
          <w:u w:val="single"/>
          <w:lang w:eastAsia="pl-PL"/>
        </w:rPr>
      </w:pPr>
      <w:r w:rsidRPr="00ED07A6">
        <w:rPr>
          <w:rFonts w:ascii="Arial" w:eastAsia="Times New Roman" w:hAnsi="Arial" w:cs="Arial"/>
          <w:b/>
          <w:sz w:val="20"/>
          <w:szCs w:val="20"/>
          <w:lang w:eastAsia="pl-PL"/>
        </w:rPr>
        <w:t>4.</w:t>
      </w:r>
      <w:r w:rsidRPr="00ED07A6">
        <w:rPr>
          <w:rFonts w:ascii="Arial" w:eastAsia="Times New Roman" w:hAnsi="Arial" w:cs="Arial"/>
          <w:sz w:val="20"/>
          <w:szCs w:val="20"/>
          <w:lang w:eastAsia="pl-PL"/>
        </w:rPr>
        <w:tab/>
      </w:r>
      <w:r w:rsidRPr="00ED07A6">
        <w:rPr>
          <w:rFonts w:ascii="Arial" w:eastAsia="Times New Roman" w:hAnsi="Arial" w:cs="Arial"/>
          <w:b/>
          <w:sz w:val="20"/>
          <w:szCs w:val="20"/>
          <w:u w:val="single"/>
          <w:lang w:eastAsia="pl-PL"/>
        </w:rPr>
        <w:t>Zagrożenie wynikające z zanieczyszczenia wód powierzchniowych</w:t>
      </w:r>
    </w:p>
    <w:p w14:paraId="5C34703F" w14:textId="0E88C8C0" w:rsidR="00ED07A6" w:rsidRPr="00ED07A6" w:rsidRDefault="00ED07A6" w:rsidP="00C43F69">
      <w:pPr>
        <w:pStyle w:val="NormalnyWeb"/>
        <w:tabs>
          <w:tab w:val="left" w:pos="284"/>
        </w:tabs>
        <w:spacing w:beforeAutospacing="0" w:after="120" w:afterAutospacing="0" w:line="360" w:lineRule="auto"/>
        <w:ind w:firstLine="284"/>
        <w:jc w:val="both"/>
        <w:rPr>
          <w:rFonts w:ascii="Arial" w:hAnsi="Arial" w:cs="Arial"/>
        </w:rPr>
      </w:pPr>
      <w:r w:rsidRPr="00ED07A6">
        <w:rPr>
          <w:rFonts w:ascii="Arial" w:hAnsi="Arial" w:cs="Arial"/>
        </w:rPr>
        <w:t>Do monitorowania zanieczyszczenia wód powierzchniowych w okresie prowadzenia działalności rolniczej służy wskaźnik „C” – „Wskaźnik obciążenia pestycydowego wód powierzchniowych” W</w:t>
      </w:r>
      <w:r w:rsidRPr="00C43F69">
        <w:rPr>
          <w:rFonts w:ascii="Arial" w:hAnsi="Arial" w:cs="Arial"/>
        </w:rPr>
        <w:t>WP</w:t>
      </w:r>
      <w:r w:rsidRPr="00ED07A6">
        <w:rPr>
          <w:rFonts w:ascii="Arial" w:hAnsi="Arial" w:cs="Arial"/>
        </w:rPr>
        <w:t xml:space="preserve"> wyrażony w [µg/Litr]. Dane do obliczeń wskaźnika pochodzą z badań próbek rzek z terenu całego kraju prowadzonych przez IOR-PIB Poznań oraz Instytut Ogrodnictwa</w:t>
      </w:r>
      <w:r w:rsidR="008D6760">
        <w:rPr>
          <w:rFonts w:ascii="Arial" w:hAnsi="Arial" w:cs="Arial"/>
        </w:rPr>
        <w:t>-PIB</w:t>
      </w:r>
      <w:r w:rsidRPr="00ED07A6">
        <w:rPr>
          <w:rFonts w:ascii="Arial" w:hAnsi="Arial" w:cs="Arial"/>
        </w:rPr>
        <w:t xml:space="preserve"> Skierniewice. W 202</w:t>
      </w:r>
      <w:r w:rsidR="00C43F69">
        <w:rPr>
          <w:rFonts w:ascii="Arial" w:hAnsi="Arial" w:cs="Arial"/>
        </w:rPr>
        <w:t>1</w:t>
      </w:r>
      <w:r w:rsidR="005445BE">
        <w:rPr>
          <w:rFonts w:ascii="Arial" w:hAnsi="Arial" w:cs="Arial"/>
        </w:rPr>
        <w:t> </w:t>
      </w:r>
      <w:r w:rsidR="00C43F69">
        <w:rPr>
          <w:rFonts w:ascii="Arial" w:hAnsi="Arial" w:cs="Arial"/>
        </w:rPr>
        <w:t xml:space="preserve">r. </w:t>
      </w:r>
      <w:r w:rsidRPr="00ED07A6">
        <w:rPr>
          <w:rFonts w:ascii="Arial" w:hAnsi="Arial" w:cs="Arial"/>
        </w:rPr>
        <w:t xml:space="preserve">przebadano </w:t>
      </w:r>
      <w:r w:rsidR="00C43F69">
        <w:rPr>
          <w:rFonts w:ascii="Arial" w:hAnsi="Arial" w:cs="Arial"/>
        </w:rPr>
        <w:t xml:space="preserve">733 próbki, natomiast w 2020 r. - </w:t>
      </w:r>
      <w:r w:rsidRPr="00ED07A6">
        <w:rPr>
          <w:rFonts w:ascii="Arial" w:hAnsi="Arial" w:cs="Arial"/>
        </w:rPr>
        <w:t>575 próbek, co było liczbą nieco większą niż w 2019 (541 próbek).</w:t>
      </w:r>
    </w:p>
    <w:p w14:paraId="62C2F567" w14:textId="77777777" w:rsidR="00ED07A6" w:rsidRPr="00ED07A6" w:rsidRDefault="00ED07A6" w:rsidP="00C43F69">
      <w:pPr>
        <w:pStyle w:val="NormalnyWeb"/>
        <w:tabs>
          <w:tab w:val="left" w:pos="284"/>
        </w:tabs>
        <w:spacing w:beforeAutospacing="0" w:after="120" w:afterAutospacing="0" w:line="360" w:lineRule="auto"/>
        <w:ind w:firstLine="284"/>
        <w:jc w:val="both"/>
        <w:rPr>
          <w:rFonts w:ascii="Arial" w:hAnsi="Arial" w:cs="Arial"/>
        </w:rPr>
      </w:pPr>
      <w:r w:rsidRPr="00ED07A6">
        <w:rPr>
          <w:rFonts w:ascii="Arial" w:hAnsi="Arial" w:cs="Arial"/>
        </w:rPr>
        <w:t>Ze względu na funkcję wskaźnika zastosowano podział rzek na następujące rodzaje:</w:t>
      </w:r>
    </w:p>
    <w:p w14:paraId="6C4D6C6C" w14:textId="77777777" w:rsidR="00ED07A6" w:rsidRPr="00ED07A6" w:rsidRDefault="00ED07A6" w:rsidP="00ED07A6">
      <w:pPr>
        <w:spacing w:after="0" w:line="360" w:lineRule="auto"/>
        <w:ind w:left="709" w:hanging="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w:t>
      </w:r>
      <w:r w:rsidRPr="00ED07A6">
        <w:rPr>
          <w:rFonts w:ascii="Arial" w:eastAsia="Times New Roman" w:hAnsi="Arial" w:cs="Arial"/>
          <w:sz w:val="20"/>
          <w:szCs w:val="20"/>
          <w:lang w:eastAsia="pl-PL"/>
        </w:rPr>
        <w:tab/>
        <w:t>rzeki duże, o średnim natężeniu przepływu powyżej 100 m</w:t>
      </w:r>
      <w:r w:rsidRPr="00ED07A6">
        <w:rPr>
          <w:rFonts w:ascii="Arial" w:eastAsia="Times New Roman" w:hAnsi="Arial" w:cs="Arial"/>
          <w:sz w:val="20"/>
          <w:szCs w:val="20"/>
          <w:vertAlign w:val="superscript"/>
          <w:lang w:eastAsia="pl-PL"/>
        </w:rPr>
        <w:t>3</w:t>
      </w:r>
      <w:r w:rsidRPr="00ED07A6">
        <w:rPr>
          <w:rFonts w:ascii="Arial" w:eastAsia="Times New Roman" w:hAnsi="Arial" w:cs="Arial"/>
          <w:sz w:val="20"/>
          <w:szCs w:val="20"/>
          <w:lang w:eastAsia="pl-PL"/>
        </w:rPr>
        <w:t>/s w miejscu poboru próbki,</w:t>
      </w:r>
    </w:p>
    <w:p w14:paraId="71455CAC" w14:textId="77777777" w:rsidR="00ED07A6" w:rsidRPr="00ED07A6" w:rsidRDefault="00ED07A6" w:rsidP="00ED07A6">
      <w:pPr>
        <w:spacing w:after="0" w:line="360" w:lineRule="auto"/>
        <w:ind w:left="709" w:hanging="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w:t>
      </w:r>
      <w:r w:rsidRPr="00ED07A6">
        <w:rPr>
          <w:rFonts w:ascii="Arial" w:eastAsia="Times New Roman" w:hAnsi="Arial" w:cs="Arial"/>
          <w:sz w:val="20"/>
          <w:szCs w:val="20"/>
          <w:lang w:eastAsia="pl-PL"/>
        </w:rPr>
        <w:tab/>
        <w:t>rzeki średnie, o przepływie 10 – 100 m</w:t>
      </w:r>
      <w:r w:rsidRPr="00ED07A6">
        <w:rPr>
          <w:rFonts w:ascii="Arial" w:eastAsia="Times New Roman" w:hAnsi="Arial" w:cs="Arial"/>
          <w:sz w:val="20"/>
          <w:szCs w:val="20"/>
          <w:vertAlign w:val="superscript"/>
          <w:lang w:eastAsia="pl-PL"/>
        </w:rPr>
        <w:t>3</w:t>
      </w:r>
      <w:r w:rsidRPr="00ED07A6">
        <w:rPr>
          <w:rFonts w:ascii="Arial" w:eastAsia="Times New Roman" w:hAnsi="Arial" w:cs="Arial"/>
          <w:sz w:val="20"/>
          <w:szCs w:val="20"/>
          <w:lang w:eastAsia="pl-PL"/>
        </w:rPr>
        <w:t xml:space="preserve">/s, </w:t>
      </w:r>
    </w:p>
    <w:p w14:paraId="0D0132FD" w14:textId="4A022304" w:rsidR="00ED07A6" w:rsidRDefault="00ED07A6" w:rsidP="00ED07A6">
      <w:pPr>
        <w:spacing w:after="0" w:line="360" w:lineRule="auto"/>
        <w:ind w:left="709" w:hanging="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w:t>
      </w:r>
      <w:r w:rsidRPr="00ED07A6">
        <w:rPr>
          <w:rFonts w:ascii="Arial" w:eastAsia="Times New Roman" w:hAnsi="Arial" w:cs="Arial"/>
          <w:sz w:val="20"/>
          <w:szCs w:val="20"/>
          <w:lang w:eastAsia="pl-PL"/>
        </w:rPr>
        <w:tab/>
        <w:t>rzeki małe o charakterze lokalnym, o przepływie do 10 m</w:t>
      </w:r>
      <w:r w:rsidRPr="00ED07A6">
        <w:rPr>
          <w:rFonts w:ascii="Arial" w:eastAsia="Times New Roman" w:hAnsi="Arial" w:cs="Arial"/>
          <w:sz w:val="20"/>
          <w:szCs w:val="20"/>
          <w:vertAlign w:val="superscript"/>
          <w:lang w:eastAsia="pl-PL"/>
        </w:rPr>
        <w:t>3</w:t>
      </w:r>
      <w:r w:rsidRPr="00ED07A6">
        <w:rPr>
          <w:rFonts w:ascii="Arial" w:eastAsia="Times New Roman" w:hAnsi="Arial" w:cs="Arial"/>
          <w:sz w:val="20"/>
          <w:szCs w:val="20"/>
          <w:lang w:eastAsia="pl-PL"/>
        </w:rPr>
        <w:t xml:space="preserve">/s, przebiegające przez tereny rolnicze. </w:t>
      </w:r>
    </w:p>
    <w:p w14:paraId="1F227703" w14:textId="77777777" w:rsidR="00C43F69" w:rsidRPr="00C43F69" w:rsidRDefault="00C43F69" w:rsidP="00C43F69">
      <w:pPr>
        <w:pStyle w:val="NormalnyWeb"/>
        <w:tabs>
          <w:tab w:val="left" w:pos="284"/>
        </w:tabs>
        <w:spacing w:beforeAutospacing="0" w:after="120" w:afterAutospacing="0" w:line="360" w:lineRule="auto"/>
        <w:ind w:firstLine="284"/>
        <w:jc w:val="both"/>
        <w:rPr>
          <w:rFonts w:ascii="Arial" w:hAnsi="Arial" w:cs="Arial"/>
        </w:rPr>
      </w:pPr>
      <w:r w:rsidRPr="00C43F69">
        <w:rPr>
          <w:rFonts w:ascii="Arial" w:hAnsi="Arial" w:cs="Arial"/>
        </w:rPr>
        <w:t>Uzyskane wyniki obliczeń wskaźnika W</w:t>
      </w:r>
      <w:r w:rsidRPr="00C43F69">
        <w:rPr>
          <w:rFonts w:ascii="Arial" w:hAnsi="Arial" w:cs="Arial"/>
          <w:vertAlign w:val="subscript"/>
        </w:rPr>
        <w:t>WP</w:t>
      </w:r>
      <w:r w:rsidRPr="00C43F69">
        <w:rPr>
          <w:rFonts w:ascii="Arial" w:hAnsi="Arial" w:cs="Arial"/>
        </w:rPr>
        <w:t xml:space="preserve"> z lat 2019-2021 zaprezentowano w tabeli 4.</w:t>
      </w:r>
    </w:p>
    <w:p w14:paraId="0A7A349E" w14:textId="77777777" w:rsidR="00C43F69" w:rsidRPr="00C43F69" w:rsidRDefault="00C43F69" w:rsidP="00CD395A">
      <w:pPr>
        <w:spacing w:before="120" w:after="120"/>
        <w:jc w:val="center"/>
        <w:rPr>
          <w:rFonts w:ascii="Arial" w:hAnsi="Arial" w:cs="Arial"/>
          <w:i/>
          <w:sz w:val="20"/>
          <w:szCs w:val="20"/>
        </w:rPr>
      </w:pPr>
      <w:r w:rsidRPr="00C43F69">
        <w:rPr>
          <w:rFonts w:ascii="Arial" w:hAnsi="Arial" w:cs="Arial"/>
          <w:i/>
          <w:sz w:val="20"/>
          <w:szCs w:val="20"/>
        </w:rPr>
        <w:t>Tabela 4. Wyniki obliczeń wskaźnika WWP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990"/>
        <w:gridCol w:w="1998"/>
        <w:gridCol w:w="1990"/>
        <w:gridCol w:w="2002"/>
      </w:tblGrid>
      <w:tr w:rsidR="00C43F69" w:rsidRPr="00C43F69" w14:paraId="6639C313" w14:textId="77777777" w:rsidTr="001D0A01">
        <w:trPr>
          <w:trHeight w:val="447"/>
          <w:jc w:val="center"/>
        </w:trPr>
        <w:tc>
          <w:tcPr>
            <w:tcW w:w="801" w:type="dxa"/>
            <w:vMerge w:val="restart"/>
            <w:shd w:val="clear" w:color="auto" w:fill="auto"/>
            <w:vAlign w:val="center"/>
          </w:tcPr>
          <w:p w14:paraId="0D4144A7"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Rok</w:t>
            </w:r>
          </w:p>
        </w:tc>
        <w:tc>
          <w:tcPr>
            <w:tcW w:w="7980" w:type="dxa"/>
            <w:gridSpan w:val="4"/>
            <w:shd w:val="clear" w:color="auto" w:fill="auto"/>
            <w:vAlign w:val="center"/>
          </w:tcPr>
          <w:p w14:paraId="1BF37770"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Wskaźnik W</w:t>
            </w:r>
            <w:r w:rsidRPr="00C43F69">
              <w:rPr>
                <w:rFonts w:ascii="Arial" w:hAnsi="Arial" w:cs="Arial"/>
                <w:sz w:val="20"/>
                <w:szCs w:val="20"/>
                <w:vertAlign w:val="subscript"/>
              </w:rPr>
              <w:t>WP</w:t>
            </w:r>
            <w:r w:rsidRPr="00C43F69">
              <w:rPr>
                <w:rFonts w:ascii="Arial" w:hAnsi="Arial" w:cs="Arial"/>
                <w:sz w:val="20"/>
                <w:szCs w:val="20"/>
              </w:rPr>
              <w:t xml:space="preserve"> [µg/L]</w:t>
            </w:r>
          </w:p>
        </w:tc>
      </w:tr>
      <w:tr w:rsidR="00C43F69" w:rsidRPr="00C43F69" w14:paraId="1EFD63E8" w14:textId="77777777" w:rsidTr="001D0A01">
        <w:trPr>
          <w:trHeight w:val="447"/>
          <w:jc w:val="center"/>
        </w:trPr>
        <w:tc>
          <w:tcPr>
            <w:tcW w:w="801" w:type="dxa"/>
            <w:vMerge/>
            <w:shd w:val="clear" w:color="auto" w:fill="auto"/>
            <w:vAlign w:val="center"/>
          </w:tcPr>
          <w:p w14:paraId="50FDA35E" w14:textId="77777777" w:rsidR="00C43F69" w:rsidRPr="00C43F69" w:rsidRDefault="00C43F69" w:rsidP="00891C08">
            <w:pPr>
              <w:spacing w:after="0"/>
              <w:jc w:val="center"/>
              <w:rPr>
                <w:rFonts w:ascii="Arial" w:hAnsi="Arial" w:cs="Arial"/>
                <w:sz w:val="20"/>
                <w:szCs w:val="20"/>
              </w:rPr>
            </w:pPr>
          </w:p>
        </w:tc>
        <w:tc>
          <w:tcPr>
            <w:tcW w:w="1990" w:type="dxa"/>
            <w:shd w:val="clear" w:color="auto" w:fill="auto"/>
            <w:vAlign w:val="center"/>
          </w:tcPr>
          <w:p w14:paraId="2D712378"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Rzeki małe</w:t>
            </w:r>
          </w:p>
        </w:tc>
        <w:tc>
          <w:tcPr>
            <w:tcW w:w="1998" w:type="dxa"/>
            <w:shd w:val="clear" w:color="auto" w:fill="auto"/>
            <w:vAlign w:val="center"/>
          </w:tcPr>
          <w:p w14:paraId="686A6FA8"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Rzeki średnie</w:t>
            </w:r>
          </w:p>
        </w:tc>
        <w:tc>
          <w:tcPr>
            <w:tcW w:w="1990" w:type="dxa"/>
            <w:shd w:val="clear" w:color="auto" w:fill="auto"/>
            <w:vAlign w:val="center"/>
          </w:tcPr>
          <w:p w14:paraId="564A81A8"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Rzeki duże</w:t>
            </w:r>
          </w:p>
        </w:tc>
        <w:tc>
          <w:tcPr>
            <w:tcW w:w="2001" w:type="dxa"/>
            <w:shd w:val="clear" w:color="auto" w:fill="auto"/>
            <w:vAlign w:val="center"/>
          </w:tcPr>
          <w:p w14:paraId="035CED04" w14:textId="77777777" w:rsidR="00C43F69" w:rsidRPr="00C43F69" w:rsidRDefault="00C43F69" w:rsidP="00891C08">
            <w:pPr>
              <w:spacing w:after="0"/>
              <w:jc w:val="center"/>
              <w:rPr>
                <w:rFonts w:ascii="Arial" w:hAnsi="Arial" w:cs="Arial"/>
                <w:b/>
                <w:sz w:val="20"/>
                <w:szCs w:val="20"/>
              </w:rPr>
            </w:pPr>
            <w:r w:rsidRPr="00C43F69">
              <w:rPr>
                <w:rFonts w:ascii="Arial" w:hAnsi="Arial" w:cs="Arial"/>
                <w:b/>
                <w:sz w:val="20"/>
                <w:szCs w:val="20"/>
              </w:rPr>
              <w:t>Łącznie</w:t>
            </w:r>
          </w:p>
        </w:tc>
      </w:tr>
      <w:tr w:rsidR="00C43F69" w:rsidRPr="00C43F69" w14:paraId="3D71B8B9" w14:textId="77777777" w:rsidTr="001D0A01">
        <w:trPr>
          <w:trHeight w:val="447"/>
          <w:jc w:val="center"/>
        </w:trPr>
        <w:tc>
          <w:tcPr>
            <w:tcW w:w="801" w:type="dxa"/>
            <w:shd w:val="clear" w:color="auto" w:fill="auto"/>
            <w:vAlign w:val="center"/>
          </w:tcPr>
          <w:p w14:paraId="79EE909F"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2019</w:t>
            </w:r>
          </w:p>
        </w:tc>
        <w:tc>
          <w:tcPr>
            <w:tcW w:w="1990" w:type="dxa"/>
            <w:shd w:val="clear" w:color="auto" w:fill="auto"/>
            <w:vAlign w:val="center"/>
          </w:tcPr>
          <w:p w14:paraId="502F1FB1"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0,892</w:t>
            </w:r>
          </w:p>
        </w:tc>
        <w:tc>
          <w:tcPr>
            <w:tcW w:w="1998" w:type="dxa"/>
            <w:shd w:val="clear" w:color="auto" w:fill="auto"/>
            <w:vAlign w:val="center"/>
          </w:tcPr>
          <w:p w14:paraId="3ADFB3ED"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0,516</w:t>
            </w:r>
          </w:p>
        </w:tc>
        <w:tc>
          <w:tcPr>
            <w:tcW w:w="1990" w:type="dxa"/>
            <w:shd w:val="clear" w:color="auto" w:fill="auto"/>
            <w:vAlign w:val="center"/>
          </w:tcPr>
          <w:p w14:paraId="330650C8"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0,914</w:t>
            </w:r>
          </w:p>
        </w:tc>
        <w:tc>
          <w:tcPr>
            <w:tcW w:w="2001" w:type="dxa"/>
            <w:shd w:val="clear" w:color="auto" w:fill="auto"/>
            <w:vAlign w:val="center"/>
          </w:tcPr>
          <w:p w14:paraId="1455DFA7" w14:textId="77777777" w:rsidR="00C43F69" w:rsidRPr="00C43F69" w:rsidRDefault="00C43F69" w:rsidP="00891C08">
            <w:pPr>
              <w:spacing w:after="0"/>
              <w:jc w:val="center"/>
              <w:rPr>
                <w:rFonts w:ascii="Arial" w:hAnsi="Arial" w:cs="Arial"/>
                <w:b/>
                <w:sz w:val="20"/>
                <w:szCs w:val="20"/>
              </w:rPr>
            </w:pPr>
            <w:r w:rsidRPr="00C43F69">
              <w:rPr>
                <w:rFonts w:ascii="Arial" w:hAnsi="Arial" w:cs="Arial"/>
                <w:b/>
                <w:sz w:val="20"/>
                <w:szCs w:val="20"/>
              </w:rPr>
              <w:t>0,799</w:t>
            </w:r>
          </w:p>
        </w:tc>
      </w:tr>
      <w:tr w:rsidR="00C43F69" w:rsidRPr="00C43F69" w14:paraId="6653B1A2" w14:textId="77777777" w:rsidTr="001D0A01">
        <w:trPr>
          <w:trHeight w:val="447"/>
          <w:jc w:val="center"/>
        </w:trPr>
        <w:tc>
          <w:tcPr>
            <w:tcW w:w="801" w:type="dxa"/>
            <w:shd w:val="clear" w:color="auto" w:fill="auto"/>
            <w:vAlign w:val="center"/>
          </w:tcPr>
          <w:p w14:paraId="4EC86DBE"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2020</w:t>
            </w:r>
          </w:p>
        </w:tc>
        <w:tc>
          <w:tcPr>
            <w:tcW w:w="1990" w:type="dxa"/>
            <w:shd w:val="clear" w:color="auto" w:fill="auto"/>
            <w:vAlign w:val="center"/>
          </w:tcPr>
          <w:p w14:paraId="7A26F85F"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2,165</w:t>
            </w:r>
          </w:p>
        </w:tc>
        <w:tc>
          <w:tcPr>
            <w:tcW w:w="1998" w:type="dxa"/>
            <w:shd w:val="clear" w:color="auto" w:fill="auto"/>
            <w:vAlign w:val="center"/>
          </w:tcPr>
          <w:p w14:paraId="4413595C"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1,018</w:t>
            </w:r>
          </w:p>
        </w:tc>
        <w:tc>
          <w:tcPr>
            <w:tcW w:w="1990" w:type="dxa"/>
            <w:shd w:val="clear" w:color="auto" w:fill="auto"/>
            <w:vAlign w:val="center"/>
          </w:tcPr>
          <w:p w14:paraId="3557FA36"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0,948</w:t>
            </w:r>
          </w:p>
        </w:tc>
        <w:tc>
          <w:tcPr>
            <w:tcW w:w="2001" w:type="dxa"/>
            <w:shd w:val="clear" w:color="auto" w:fill="auto"/>
            <w:vAlign w:val="center"/>
          </w:tcPr>
          <w:p w14:paraId="0B26B0A7" w14:textId="77777777" w:rsidR="00C43F69" w:rsidRPr="00C43F69" w:rsidRDefault="00C43F69" w:rsidP="00891C08">
            <w:pPr>
              <w:spacing w:after="0"/>
              <w:jc w:val="center"/>
              <w:rPr>
                <w:rFonts w:ascii="Arial" w:hAnsi="Arial" w:cs="Arial"/>
                <w:b/>
                <w:sz w:val="20"/>
                <w:szCs w:val="20"/>
              </w:rPr>
            </w:pPr>
            <w:r w:rsidRPr="00C43F69">
              <w:rPr>
                <w:rFonts w:ascii="Arial" w:hAnsi="Arial" w:cs="Arial"/>
                <w:b/>
                <w:sz w:val="20"/>
                <w:szCs w:val="20"/>
              </w:rPr>
              <w:t>1,711</w:t>
            </w:r>
          </w:p>
        </w:tc>
      </w:tr>
      <w:tr w:rsidR="00C43F69" w:rsidRPr="00C43F69" w14:paraId="1993A52E" w14:textId="77777777" w:rsidTr="001D0A01">
        <w:trPr>
          <w:trHeight w:val="447"/>
          <w:jc w:val="center"/>
        </w:trPr>
        <w:tc>
          <w:tcPr>
            <w:tcW w:w="801" w:type="dxa"/>
            <w:shd w:val="clear" w:color="auto" w:fill="auto"/>
            <w:vAlign w:val="center"/>
          </w:tcPr>
          <w:p w14:paraId="33D2922F"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2021</w:t>
            </w:r>
          </w:p>
        </w:tc>
        <w:tc>
          <w:tcPr>
            <w:tcW w:w="1990" w:type="dxa"/>
            <w:shd w:val="clear" w:color="auto" w:fill="auto"/>
            <w:vAlign w:val="center"/>
          </w:tcPr>
          <w:p w14:paraId="303ED1FE"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1,157</w:t>
            </w:r>
          </w:p>
        </w:tc>
        <w:tc>
          <w:tcPr>
            <w:tcW w:w="1998" w:type="dxa"/>
            <w:shd w:val="clear" w:color="auto" w:fill="auto"/>
            <w:vAlign w:val="center"/>
          </w:tcPr>
          <w:p w14:paraId="750ACA99"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0,189</w:t>
            </w:r>
          </w:p>
        </w:tc>
        <w:tc>
          <w:tcPr>
            <w:tcW w:w="1990" w:type="dxa"/>
            <w:shd w:val="clear" w:color="auto" w:fill="auto"/>
            <w:vAlign w:val="center"/>
          </w:tcPr>
          <w:p w14:paraId="3A0B3ACE" w14:textId="77777777" w:rsidR="00C43F69" w:rsidRPr="00C43F69" w:rsidRDefault="00C43F69" w:rsidP="00891C08">
            <w:pPr>
              <w:spacing w:after="0"/>
              <w:jc w:val="center"/>
              <w:rPr>
                <w:rFonts w:ascii="Arial" w:hAnsi="Arial" w:cs="Arial"/>
                <w:sz w:val="20"/>
                <w:szCs w:val="20"/>
              </w:rPr>
            </w:pPr>
            <w:r w:rsidRPr="00C43F69">
              <w:rPr>
                <w:rFonts w:ascii="Arial" w:hAnsi="Arial" w:cs="Arial"/>
                <w:sz w:val="20"/>
                <w:szCs w:val="20"/>
              </w:rPr>
              <w:t>0,608</w:t>
            </w:r>
          </w:p>
        </w:tc>
        <w:tc>
          <w:tcPr>
            <w:tcW w:w="2001" w:type="dxa"/>
            <w:shd w:val="clear" w:color="auto" w:fill="auto"/>
            <w:vAlign w:val="center"/>
          </w:tcPr>
          <w:p w14:paraId="5BDBC7FA" w14:textId="77777777" w:rsidR="00C43F69" w:rsidRPr="00C43F69" w:rsidRDefault="00C43F69" w:rsidP="00891C08">
            <w:pPr>
              <w:spacing w:after="0"/>
              <w:jc w:val="center"/>
              <w:rPr>
                <w:rFonts w:ascii="Arial" w:hAnsi="Arial" w:cs="Arial"/>
                <w:b/>
                <w:sz w:val="20"/>
                <w:szCs w:val="20"/>
              </w:rPr>
            </w:pPr>
            <w:r w:rsidRPr="00C43F69">
              <w:rPr>
                <w:rFonts w:ascii="Arial" w:hAnsi="Arial" w:cs="Arial"/>
                <w:b/>
                <w:sz w:val="20"/>
                <w:szCs w:val="20"/>
              </w:rPr>
              <w:t>0,906</w:t>
            </w:r>
          </w:p>
        </w:tc>
      </w:tr>
    </w:tbl>
    <w:p w14:paraId="503483A4" w14:textId="77777777" w:rsidR="00C43F69" w:rsidRPr="00C43F69" w:rsidRDefault="00C43F69" w:rsidP="00C43F69">
      <w:pPr>
        <w:spacing w:after="0"/>
        <w:jc w:val="center"/>
        <w:rPr>
          <w:rFonts w:ascii="Arial" w:hAnsi="Arial" w:cs="Arial"/>
          <w:sz w:val="20"/>
          <w:szCs w:val="20"/>
        </w:rPr>
      </w:pPr>
    </w:p>
    <w:p w14:paraId="09AB11AF" w14:textId="4A7C1E55" w:rsidR="002918E0" w:rsidRDefault="00C43F69" w:rsidP="00C43F69">
      <w:pPr>
        <w:pStyle w:val="NormalnyWeb"/>
        <w:tabs>
          <w:tab w:val="left" w:pos="284"/>
        </w:tabs>
        <w:spacing w:beforeAutospacing="0" w:after="120" w:afterAutospacing="0" w:line="360" w:lineRule="auto"/>
        <w:ind w:firstLine="284"/>
        <w:jc w:val="both"/>
        <w:rPr>
          <w:rFonts w:ascii="Arial" w:hAnsi="Arial" w:cs="Arial"/>
        </w:rPr>
      </w:pPr>
      <w:r w:rsidRPr="00C43F69">
        <w:rPr>
          <w:rFonts w:ascii="Arial" w:hAnsi="Arial" w:cs="Arial"/>
        </w:rPr>
        <w:t xml:space="preserve">Uzyskane wyniki można interpretować w świetle przepisów dotyczących wody pitnej, gdzie dopuszczalne stężenie sumy pestycydów wynosi 0,5 µg/L, lub w świetle wymagań, jakim powinny odpowiadać wody powierzchniowe wykorzystywane do zaopatrzenia ludności w wodę przeznaczoną do spożycia (według załącznika 1 </w:t>
      </w:r>
      <w:r w:rsidR="007B3C2D">
        <w:rPr>
          <w:rFonts w:ascii="Arial" w:hAnsi="Arial" w:cs="Arial"/>
        </w:rPr>
        <w:t>r</w:t>
      </w:r>
      <w:r w:rsidRPr="00C43F69">
        <w:rPr>
          <w:rFonts w:ascii="Arial" w:hAnsi="Arial" w:cs="Arial"/>
        </w:rPr>
        <w:t>ozporządzenia Ministra Środowiska z dnia 29 sierpnia 2019 r.)</w:t>
      </w:r>
      <w:r w:rsidR="007B3C2D">
        <w:rPr>
          <w:rFonts w:ascii="Arial" w:hAnsi="Arial" w:cs="Arial"/>
        </w:rPr>
        <w:t>.</w:t>
      </w:r>
      <w:r w:rsidRPr="00C43F69">
        <w:rPr>
          <w:rFonts w:ascii="Arial" w:hAnsi="Arial" w:cs="Arial"/>
        </w:rPr>
        <w:t xml:space="preserve"> </w:t>
      </w:r>
    </w:p>
    <w:p w14:paraId="3BA1B57A" w14:textId="05BAA68F" w:rsidR="00BA4686" w:rsidRPr="00C43F69" w:rsidRDefault="00C43F69" w:rsidP="005445BE">
      <w:pPr>
        <w:spacing w:before="120" w:after="120"/>
        <w:jc w:val="center"/>
        <w:rPr>
          <w:rFonts w:ascii="Arial" w:hAnsi="Arial" w:cs="Arial"/>
          <w:i/>
          <w:sz w:val="20"/>
          <w:szCs w:val="20"/>
        </w:rPr>
      </w:pPr>
      <w:r w:rsidRPr="00C43F69">
        <w:rPr>
          <w:rFonts w:ascii="Arial" w:hAnsi="Arial" w:cs="Arial"/>
          <w:i/>
          <w:sz w:val="20"/>
          <w:szCs w:val="20"/>
        </w:rPr>
        <w:t>Tabela 5. Kategorie jakości wody pitnej</w:t>
      </w:r>
    </w:p>
    <w:tbl>
      <w:tblPr>
        <w:tblStyle w:val="Tabela-Siatka"/>
        <w:tblW w:w="0" w:type="auto"/>
        <w:tblInd w:w="108" w:type="dxa"/>
        <w:tblLook w:val="04A0" w:firstRow="1" w:lastRow="0" w:firstColumn="1" w:lastColumn="0" w:noHBand="0" w:noVBand="1"/>
      </w:tblPr>
      <w:tblGrid>
        <w:gridCol w:w="2339"/>
        <w:gridCol w:w="2889"/>
        <w:gridCol w:w="3615"/>
      </w:tblGrid>
      <w:tr w:rsidR="00ED07A6" w:rsidRPr="00ED07A6" w14:paraId="7A52030C" w14:textId="77777777" w:rsidTr="005445BE">
        <w:trPr>
          <w:trHeight w:val="367"/>
        </w:trPr>
        <w:tc>
          <w:tcPr>
            <w:tcW w:w="2339" w:type="dxa"/>
            <w:vAlign w:val="center"/>
          </w:tcPr>
          <w:p w14:paraId="2DEB29E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Kategoria jakości wody</w:t>
            </w:r>
          </w:p>
        </w:tc>
        <w:tc>
          <w:tcPr>
            <w:tcW w:w="2889" w:type="dxa"/>
            <w:vAlign w:val="center"/>
          </w:tcPr>
          <w:p w14:paraId="31B466C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Zawartość sumy pestycydów</w:t>
            </w:r>
          </w:p>
        </w:tc>
        <w:tc>
          <w:tcPr>
            <w:tcW w:w="3615" w:type="dxa"/>
            <w:vAlign w:val="center"/>
          </w:tcPr>
          <w:p w14:paraId="70D6C50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Wymagania dotyczące uzdatniania</w:t>
            </w:r>
          </w:p>
        </w:tc>
      </w:tr>
      <w:tr w:rsidR="00ED07A6" w:rsidRPr="00ED07A6" w14:paraId="45D215C2" w14:textId="77777777" w:rsidTr="005445BE">
        <w:trPr>
          <w:trHeight w:val="534"/>
        </w:trPr>
        <w:tc>
          <w:tcPr>
            <w:tcW w:w="2339" w:type="dxa"/>
            <w:vAlign w:val="center"/>
          </w:tcPr>
          <w:p w14:paraId="374BCB4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A1</w:t>
            </w:r>
          </w:p>
        </w:tc>
        <w:tc>
          <w:tcPr>
            <w:tcW w:w="2889" w:type="dxa"/>
            <w:vAlign w:val="center"/>
          </w:tcPr>
          <w:p w14:paraId="71C286F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Do 0,001 mg/L  (1 µg/L)</w:t>
            </w:r>
          </w:p>
        </w:tc>
        <w:tc>
          <w:tcPr>
            <w:tcW w:w="3615" w:type="dxa"/>
            <w:vAlign w:val="center"/>
          </w:tcPr>
          <w:p w14:paraId="4EC0643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Woda wymagająca prostego uzdatniania fizycznego</w:t>
            </w:r>
          </w:p>
        </w:tc>
      </w:tr>
      <w:tr w:rsidR="00ED07A6" w:rsidRPr="00ED07A6" w14:paraId="2EE2DC07" w14:textId="77777777" w:rsidTr="005445BE">
        <w:trPr>
          <w:trHeight w:val="534"/>
        </w:trPr>
        <w:tc>
          <w:tcPr>
            <w:tcW w:w="2339" w:type="dxa"/>
            <w:vAlign w:val="center"/>
          </w:tcPr>
          <w:p w14:paraId="279983A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A2</w:t>
            </w:r>
          </w:p>
        </w:tc>
        <w:tc>
          <w:tcPr>
            <w:tcW w:w="2889" w:type="dxa"/>
            <w:vAlign w:val="center"/>
          </w:tcPr>
          <w:p w14:paraId="475C5EC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Do 0,0025 mg/L  (2,5 µg/L)</w:t>
            </w:r>
          </w:p>
        </w:tc>
        <w:tc>
          <w:tcPr>
            <w:tcW w:w="3615" w:type="dxa"/>
            <w:vAlign w:val="center"/>
          </w:tcPr>
          <w:p w14:paraId="3DACF29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Woda wymagająca typowego uzdatniania fizycznego i chemicznego</w:t>
            </w:r>
          </w:p>
        </w:tc>
      </w:tr>
      <w:tr w:rsidR="00ED07A6" w:rsidRPr="00ED07A6" w14:paraId="4ABEA0F8" w14:textId="77777777" w:rsidTr="005445BE">
        <w:trPr>
          <w:trHeight w:val="534"/>
        </w:trPr>
        <w:tc>
          <w:tcPr>
            <w:tcW w:w="2339" w:type="dxa"/>
            <w:vAlign w:val="center"/>
          </w:tcPr>
          <w:p w14:paraId="501FBE3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A3</w:t>
            </w:r>
          </w:p>
        </w:tc>
        <w:tc>
          <w:tcPr>
            <w:tcW w:w="2889" w:type="dxa"/>
            <w:vAlign w:val="center"/>
          </w:tcPr>
          <w:p w14:paraId="6CD18E0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Do 0,005 mg/L  (5 µg/L)</w:t>
            </w:r>
          </w:p>
        </w:tc>
        <w:tc>
          <w:tcPr>
            <w:tcW w:w="3615" w:type="dxa"/>
            <w:vAlign w:val="center"/>
          </w:tcPr>
          <w:p w14:paraId="3E43D13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Woda wymagająca wysokosprawnego uzdatniania fizycznego i chemicznego</w:t>
            </w:r>
          </w:p>
        </w:tc>
      </w:tr>
    </w:tbl>
    <w:p w14:paraId="367963E6" w14:textId="37B16D1E" w:rsidR="00ED07A6" w:rsidRPr="00891C08" w:rsidRDefault="00ED07A6" w:rsidP="005445BE">
      <w:pPr>
        <w:pStyle w:val="NormalnyWeb"/>
        <w:tabs>
          <w:tab w:val="left" w:pos="284"/>
        </w:tabs>
        <w:spacing w:before="120" w:beforeAutospacing="0" w:after="120" w:afterAutospacing="0" w:line="360" w:lineRule="auto"/>
        <w:ind w:firstLine="284"/>
        <w:jc w:val="both"/>
        <w:rPr>
          <w:rFonts w:ascii="Arial" w:hAnsi="Arial" w:cs="Arial"/>
        </w:rPr>
      </w:pPr>
      <w:r w:rsidRPr="00891C08">
        <w:rPr>
          <w:rFonts w:ascii="Arial" w:hAnsi="Arial" w:cs="Arial"/>
        </w:rPr>
        <w:t xml:space="preserve">Wyniki obliczeń wskaźników dla rzek </w:t>
      </w:r>
      <w:r w:rsidR="00C2570A" w:rsidRPr="00891C08">
        <w:rPr>
          <w:rFonts w:ascii="Arial" w:hAnsi="Arial" w:cs="Arial"/>
        </w:rPr>
        <w:t xml:space="preserve">małych </w:t>
      </w:r>
      <w:r w:rsidRPr="00891C08">
        <w:rPr>
          <w:rFonts w:ascii="Arial" w:hAnsi="Arial" w:cs="Arial"/>
        </w:rPr>
        <w:t xml:space="preserve">w 2020 r. przekraczały wymagania dla wody pitnej, natomiast utrzymywały się w granicach wymagań kategorii A2 wód powierzchniowych wykorzystywanych do zaopatrzenia ludności w wodę przeznaczoną do spożycia. </w:t>
      </w:r>
    </w:p>
    <w:p w14:paraId="32DDAF2C" w14:textId="5C917046" w:rsidR="00ED07A6" w:rsidRPr="00ED07A6" w:rsidRDefault="00ED07A6" w:rsidP="00ED07A6">
      <w:pPr>
        <w:spacing w:after="0" w:line="360" w:lineRule="auto"/>
        <w:jc w:val="both"/>
        <w:rPr>
          <w:rFonts w:ascii="Arial" w:eastAsia="Times New Roman" w:hAnsi="Arial" w:cs="Arial"/>
          <w:b/>
          <w:sz w:val="20"/>
          <w:szCs w:val="20"/>
          <w:lang w:eastAsia="pl-PL"/>
        </w:rPr>
      </w:pPr>
      <w:r w:rsidRPr="00ED07A6">
        <w:rPr>
          <w:rFonts w:ascii="Arial" w:eastAsia="Times New Roman" w:hAnsi="Arial" w:cs="Arial"/>
          <w:b/>
          <w:sz w:val="20"/>
          <w:szCs w:val="20"/>
          <w:lang w:eastAsia="pl-PL"/>
        </w:rPr>
        <w:t>5.</w:t>
      </w:r>
      <w:r w:rsidRPr="00ED07A6">
        <w:rPr>
          <w:rFonts w:ascii="Arial" w:eastAsia="Times New Roman" w:hAnsi="Arial" w:cs="Arial"/>
          <w:b/>
          <w:sz w:val="20"/>
          <w:szCs w:val="20"/>
          <w:lang w:eastAsia="pl-PL"/>
        </w:rPr>
        <w:tab/>
      </w:r>
      <w:r w:rsidRPr="00ED07A6">
        <w:rPr>
          <w:rFonts w:ascii="Arial" w:eastAsia="Times New Roman" w:hAnsi="Arial" w:cs="Arial"/>
          <w:b/>
          <w:sz w:val="20"/>
          <w:szCs w:val="20"/>
          <w:u w:val="single"/>
          <w:lang w:eastAsia="pl-PL"/>
        </w:rPr>
        <w:t xml:space="preserve">Zagrożenia wynikające z wielkości i struktury sprzedaży </w:t>
      </w:r>
      <w:r w:rsidR="00FC68E6">
        <w:rPr>
          <w:rFonts w:ascii="Arial" w:eastAsia="Times New Roman" w:hAnsi="Arial" w:cs="Arial"/>
          <w:b/>
          <w:sz w:val="20"/>
          <w:szCs w:val="20"/>
          <w:u w:val="single"/>
          <w:lang w:eastAsia="pl-PL"/>
        </w:rPr>
        <w:t xml:space="preserve"> środków ochrony roślin</w:t>
      </w:r>
      <w:r w:rsidRPr="00ED07A6">
        <w:rPr>
          <w:rFonts w:ascii="Arial" w:eastAsia="Times New Roman" w:hAnsi="Arial" w:cs="Arial"/>
          <w:b/>
          <w:sz w:val="20"/>
          <w:szCs w:val="20"/>
          <w:lang w:eastAsia="pl-PL"/>
        </w:rPr>
        <w:t xml:space="preserve"> </w:t>
      </w:r>
    </w:p>
    <w:p w14:paraId="7D95EDF8" w14:textId="44D29DCC" w:rsidR="00ED07A6" w:rsidRPr="00ED07A6" w:rsidRDefault="00ED07A6" w:rsidP="007B3C2D">
      <w:pPr>
        <w:pStyle w:val="NormalnyWeb"/>
        <w:tabs>
          <w:tab w:val="left" w:pos="0"/>
        </w:tabs>
        <w:spacing w:beforeAutospacing="0" w:after="120" w:afterAutospacing="0" w:line="360" w:lineRule="auto"/>
        <w:jc w:val="both"/>
        <w:rPr>
          <w:rFonts w:ascii="Arial" w:hAnsi="Arial" w:cs="Arial"/>
        </w:rPr>
      </w:pPr>
      <w:r w:rsidRPr="00ED07A6">
        <w:rPr>
          <w:rFonts w:ascii="Arial" w:hAnsi="Arial" w:cs="Arial"/>
        </w:rPr>
        <w:t xml:space="preserve">Zagrożenia wynikające z wielkości i struktury sprzedaży </w:t>
      </w:r>
      <w:r w:rsidR="00FC68E6">
        <w:rPr>
          <w:rFonts w:ascii="Arial" w:hAnsi="Arial" w:cs="Arial"/>
        </w:rPr>
        <w:t>środków ochrony roślin</w:t>
      </w:r>
      <w:r w:rsidRPr="00ED07A6">
        <w:rPr>
          <w:rFonts w:ascii="Arial" w:hAnsi="Arial" w:cs="Arial"/>
        </w:rPr>
        <w:t xml:space="preserve"> opisywane są wskaźnikami z grupy „D” – „Wskaźniki sprzedaży pod względem potencjalnych zagrożeń dla zdrowia </w:t>
      </w:r>
      <w:r w:rsidR="00CE7855" w:rsidRPr="00ED07A6">
        <w:rPr>
          <w:rFonts w:ascii="Arial" w:hAnsi="Arial" w:cs="Arial"/>
        </w:rPr>
        <w:t>i</w:t>
      </w:r>
      <w:r w:rsidR="00CE7855">
        <w:rPr>
          <w:rFonts w:ascii="Arial" w:hAnsi="Arial" w:cs="Arial"/>
        </w:rPr>
        <w:t> </w:t>
      </w:r>
      <w:r w:rsidRPr="00ED07A6">
        <w:rPr>
          <w:rFonts w:ascii="Arial" w:hAnsi="Arial" w:cs="Arial"/>
        </w:rPr>
        <w:t>dla środowiska” (</w:t>
      </w:r>
      <w:proofErr w:type="spellStart"/>
      <w:r w:rsidRPr="00ED07A6">
        <w:rPr>
          <w:rFonts w:ascii="Arial" w:hAnsi="Arial" w:cs="Arial"/>
        </w:rPr>
        <w:t>WS</w:t>
      </w:r>
      <w:r w:rsidRPr="00891C08">
        <w:rPr>
          <w:rFonts w:ascii="Arial" w:hAnsi="Arial" w:cs="Arial"/>
        </w:rPr>
        <w:t>Zagr</w:t>
      </w:r>
      <w:proofErr w:type="spellEnd"/>
      <w:r w:rsidRPr="00891C08">
        <w:rPr>
          <w:rFonts w:ascii="Arial" w:hAnsi="Arial" w:cs="Arial"/>
        </w:rPr>
        <w:t>.</w:t>
      </w:r>
      <w:r w:rsidRPr="00ED07A6">
        <w:rPr>
          <w:rFonts w:ascii="Arial" w:hAnsi="Arial" w:cs="Arial"/>
        </w:rPr>
        <w:t xml:space="preserve"> i </w:t>
      </w:r>
      <w:proofErr w:type="spellStart"/>
      <w:r w:rsidRPr="00ED07A6">
        <w:rPr>
          <w:rFonts w:ascii="Arial" w:hAnsi="Arial" w:cs="Arial"/>
        </w:rPr>
        <w:t>WSS</w:t>
      </w:r>
      <w:r w:rsidRPr="00891C08">
        <w:rPr>
          <w:rFonts w:ascii="Arial" w:hAnsi="Arial" w:cs="Arial"/>
        </w:rPr>
        <w:t>Zagr</w:t>
      </w:r>
      <w:proofErr w:type="spellEnd"/>
      <w:r w:rsidRPr="00891C08">
        <w:rPr>
          <w:rFonts w:ascii="Arial" w:hAnsi="Arial" w:cs="Arial"/>
        </w:rPr>
        <w:t>.</w:t>
      </w:r>
      <w:r w:rsidRPr="00ED07A6">
        <w:rPr>
          <w:rFonts w:ascii="Arial" w:hAnsi="Arial" w:cs="Arial"/>
        </w:rPr>
        <w:t>), wskaźnikami z grupy „E” – „Wskaźniki sprzedaży substancji priorytetowych w dziedzinie polityki wodnej” (WS</w:t>
      </w:r>
      <w:r w:rsidRPr="00891C08">
        <w:rPr>
          <w:rFonts w:ascii="Arial" w:hAnsi="Arial" w:cs="Arial"/>
        </w:rPr>
        <w:t>PW</w:t>
      </w:r>
      <w:r w:rsidRPr="00ED07A6">
        <w:rPr>
          <w:rFonts w:ascii="Arial" w:hAnsi="Arial" w:cs="Arial"/>
        </w:rPr>
        <w:t xml:space="preserve"> i WSS</w:t>
      </w:r>
      <w:r w:rsidRPr="00891C08">
        <w:rPr>
          <w:rFonts w:ascii="Arial" w:hAnsi="Arial" w:cs="Arial"/>
        </w:rPr>
        <w:t>PW</w:t>
      </w:r>
      <w:r w:rsidRPr="00ED07A6">
        <w:rPr>
          <w:rFonts w:ascii="Arial" w:hAnsi="Arial" w:cs="Arial"/>
        </w:rPr>
        <w:t>), wskaźnikami z grupy „F” – „Wskaźniki sprzedaży substancji czynnych wymagających programów monitorowania” (</w:t>
      </w:r>
      <w:proofErr w:type="spellStart"/>
      <w:r w:rsidRPr="00ED07A6">
        <w:rPr>
          <w:rFonts w:ascii="Arial" w:hAnsi="Arial" w:cs="Arial"/>
        </w:rPr>
        <w:t>WS</w:t>
      </w:r>
      <w:r w:rsidRPr="00891C08">
        <w:rPr>
          <w:rFonts w:ascii="Arial" w:hAnsi="Arial" w:cs="Arial"/>
        </w:rPr>
        <w:t>Monit</w:t>
      </w:r>
      <w:proofErr w:type="spellEnd"/>
      <w:r w:rsidRPr="00891C08">
        <w:rPr>
          <w:rFonts w:ascii="Arial" w:hAnsi="Arial" w:cs="Arial"/>
        </w:rPr>
        <w:t>.</w:t>
      </w:r>
      <w:r w:rsidRPr="00ED07A6">
        <w:rPr>
          <w:rFonts w:ascii="Arial" w:hAnsi="Arial" w:cs="Arial"/>
        </w:rPr>
        <w:t xml:space="preserve"> i </w:t>
      </w:r>
      <w:proofErr w:type="spellStart"/>
      <w:r w:rsidRPr="00ED07A6">
        <w:rPr>
          <w:rFonts w:ascii="Arial" w:hAnsi="Arial" w:cs="Arial"/>
        </w:rPr>
        <w:t>WSS</w:t>
      </w:r>
      <w:r w:rsidRPr="00891C08">
        <w:rPr>
          <w:rFonts w:ascii="Arial" w:hAnsi="Arial" w:cs="Arial"/>
        </w:rPr>
        <w:t>Monit</w:t>
      </w:r>
      <w:proofErr w:type="spellEnd"/>
      <w:r w:rsidRPr="00891C08">
        <w:rPr>
          <w:rFonts w:ascii="Arial" w:hAnsi="Arial" w:cs="Arial"/>
        </w:rPr>
        <w:t>.</w:t>
      </w:r>
      <w:r w:rsidRPr="00ED07A6">
        <w:rPr>
          <w:rFonts w:ascii="Arial" w:hAnsi="Arial" w:cs="Arial"/>
        </w:rPr>
        <w:t xml:space="preserve">) oraz Zharmonizowanym wskaźnikiem ryzyka HRI1. Wskaźniki WS są związane z wielkością sprzedaży, </w:t>
      </w:r>
      <w:r w:rsidR="00CE7855" w:rsidRPr="00ED07A6">
        <w:rPr>
          <w:rFonts w:ascii="Arial" w:hAnsi="Arial" w:cs="Arial"/>
        </w:rPr>
        <w:t>a</w:t>
      </w:r>
      <w:r w:rsidR="00CE7855">
        <w:rPr>
          <w:rFonts w:ascii="Arial" w:hAnsi="Arial" w:cs="Arial"/>
        </w:rPr>
        <w:t> </w:t>
      </w:r>
      <w:r w:rsidRPr="00ED07A6">
        <w:rPr>
          <w:rFonts w:ascii="Arial" w:hAnsi="Arial" w:cs="Arial"/>
        </w:rPr>
        <w:t>wskaźniki WSS ze strukturą sprzedaży. Wzrost wskaźników wskazuje na zwiększenie zagrożenia. Zharmonizowany wskaźnik ryzyka HRI1 związany ze strukturą sprzedaży jest odnoszony do wartości bazowej 100 (średnia z lat 2011-2013). Jego wartość poniżej 100 oznacza potencjalnie mniejsze zagrożenie.</w:t>
      </w:r>
    </w:p>
    <w:p w14:paraId="08B6F4F8" w14:textId="52C38F2A" w:rsidR="00ED07A6" w:rsidRDefault="00ED07A6" w:rsidP="005445BE">
      <w:pPr>
        <w:spacing w:after="120" w:line="360" w:lineRule="auto"/>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Poniżej zestawiono wyniki obliczeń wskaźników sprzedażowych z ostatnich lat: </w:t>
      </w:r>
    </w:p>
    <w:p w14:paraId="5847D62D" w14:textId="2F96F673" w:rsidR="00ED07A6" w:rsidRPr="005445BE" w:rsidRDefault="005445BE" w:rsidP="00ED07A6">
      <w:pPr>
        <w:suppressAutoHyphens/>
        <w:spacing w:after="0" w:line="360" w:lineRule="auto"/>
        <w:jc w:val="center"/>
        <w:rPr>
          <w:rFonts w:ascii="Arial" w:eastAsia="Lucida Sans Unicode" w:hAnsi="Arial" w:cs="Arial"/>
          <w:i/>
          <w:kern w:val="2"/>
          <w:sz w:val="20"/>
          <w:szCs w:val="20"/>
        </w:rPr>
      </w:pPr>
      <w:r w:rsidRPr="005445BE">
        <w:rPr>
          <w:rFonts w:ascii="Arial" w:eastAsia="Lucida Sans Unicode" w:hAnsi="Arial" w:cs="Arial"/>
          <w:i/>
          <w:kern w:val="2"/>
          <w:sz w:val="20"/>
          <w:szCs w:val="20"/>
        </w:rPr>
        <w:t xml:space="preserve">Tabela 6. </w:t>
      </w:r>
      <w:r w:rsidR="00ED07A6" w:rsidRPr="005445BE">
        <w:rPr>
          <w:rFonts w:ascii="Arial" w:eastAsia="Lucida Sans Unicode" w:hAnsi="Arial" w:cs="Arial"/>
          <w:i/>
          <w:kern w:val="2"/>
          <w:sz w:val="20"/>
          <w:szCs w:val="20"/>
        </w:rPr>
        <w:t xml:space="preserve">Wyniki obliczeń wskaźników sprzedaży pod względem potencjalnych zagrożeń </w:t>
      </w:r>
    </w:p>
    <w:p w14:paraId="56F063F9" w14:textId="2992CF31" w:rsidR="00ED07A6" w:rsidRPr="005445BE" w:rsidRDefault="00ED07A6" w:rsidP="005445BE">
      <w:pPr>
        <w:suppressAutoHyphens/>
        <w:spacing w:after="120" w:line="360" w:lineRule="auto"/>
        <w:jc w:val="center"/>
        <w:rPr>
          <w:rFonts w:ascii="Arial" w:eastAsia="Lucida Sans Unicode" w:hAnsi="Arial" w:cs="Arial"/>
          <w:i/>
          <w:kern w:val="2"/>
          <w:sz w:val="20"/>
          <w:szCs w:val="20"/>
        </w:rPr>
      </w:pPr>
      <w:r w:rsidRPr="005445BE">
        <w:rPr>
          <w:rFonts w:ascii="Arial" w:eastAsia="Lucida Sans Unicode" w:hAnsi="Arial" w:cs="Arial"/>
          <w:i/>
          <w:kern w:val="2"/>
          <w:sz w:val="20"/>
          <w:szCs w:val="20"/>
        </w:rPr>
        <w:t xml:space="preserve">dla zdrowia i dla środowiska (wskaźniki „D” – </w:t>
      </w:r>
      <w:proofErr w:type="spellStart"/>
      <w:r w:rsidRPr="005445BE">
        <w:rPr>
          <w:rFonts w:ascii="Arial" w:eastAsia="Lucida Sans Unicode" w:hAnsi="Arial" w:cs="Arial"/>
          <w:i/>
          <w:kern w:val="2"/>
          <w:sz w:val="20"/>
          <w:szCs w:val="20"/>
        </w:rPr>
        <w:t>WSS</w:t>
      </w:r>
      <w:r w:rsidRPr="005445BE">
        <w:rPr>
          <w:rFonts w:ascii="Arial" w:eastAsia="Lucida Sans Unicode" w:hAnsi="Arial" w:cs="Arial"/>
          <w:i/>
          <w:kern w:val="2"/>
          <w:sz w:val="20"/>
          <w:szCs w:val="20"/>
          <w:vertAlign w:val="subscript"/>
        </w:rPr>
        <w:t>Zagr</w:t>
      </w:r>
      <w:proofErr w:type="spellEnd"/>
      <w:r w:rsidRPr="005445BE">
        <w:rPr>
          <w:rFonts w:ascii="Arial" w:eastAsia="Lucida Sans Unicode" w:hAnsi="Arial" w:cs="Arial"/>
          <w:i/>
          <w:kern w:val="2"/>
          <w:sz w:val="20"/>
          <w:szCs w:val="20"/>
          <w:vertAlign w:val="subscript"/>
        </w:rPr>
        <w:t>.</w:t>
      </w:r>
      <w:r w:rsidRPr="005445BE">
        <w:rPr>
          <w:rFonts w:ascii="Arial" w:eastAsia="Lucida Sans Unicode" w:hAnsi="Arial" w:cs="Arial"/>
          <w:i/>
          <w:kern w:val="2"/>
          <w:sz w:val="20"/>
          <w:szCs w:val="20"/>
        </w:rPr>
        <w:t xml:space="preserve"> i </w:t>
      </w:r>
      <w:proofErr w:type="spellStart"/>
      <w:r w:rsidRPr="005445BE">
        <w:rPr>
          <w:rFonts w:ascii="Arial" w:eastAsia="Lucida Sans Unicode" w:hAnsi="Arial" w:cs="Arial"/>
          <w:i/>
          <w:kern w:val="2"/>
          <w:sz w:val="20"/>
          <w:szCs w:val="20"/>
        </w:rPr>
        <w:t>WS</w:t>
      </w:r>
      <w:r w:rsidRPr="005445BE">
        <w:rPr>
          <w:rFonts w:ascii="Arial" w:eastAsia="Lucida Sans Unicode" w:hAnsi="Arial" w:cs="Arial"/>
          <w:i/>
          <w:kern w:val="2"/>
          <w:sz w:val="20"/>
          <w:szCs w:val="20"/>
          <w:vertAlign w:val="subscript"/>
        </w:rPr>
        <w:t>Zagr</w:t>
      </w:r>
      <w:proofErr w:type="spellEnd"/>
      <w:r w:rsidRPr="005445BE">
        <w:rPr>
          <w:rFonts w:ascii="Arial" w:eastAsia="Lucida Sans Unicode" w:hAnsi="Arial" w:cs="Arial"/>
          <w:i/>
          <w:kern w:val="2"/>
          <w:sz w:val="20"/>
          <w:szCs w:val="20"/>
          <w:vertAlign w:val="subscript"/>
        </w:rPr>
        <w:t>.</w:t>
      </w:r>
      <w:r w:rsidRPr="005445BE">
        <w:rPr>
          <w:rFonts w:ascii="Arial" w:eastAsia="Lucida Sans Unicode" w:hAnsi="Arial" w:cs="Arial"/>
          <w:i/>
          <w:kern w:val="2"/>
          <w:sz w:val="20"/>
          <w:szCs w:val="20"/>
        </w:rPr>
        <w:t>) w latach 2015 - 202</w:t>
      </w:r>
      <w:r w:rsidR="00263E48" w:rsidRPr="005445BE">
        <w:rPr>
          <w:rFonts w:ascii="Arial" w:eastAsia="Lucida Sans Unicode" w:hAnsi="Arial" w:cs="Arial"/>
          <w:i/>
          <w:kern w:val="2"/>
          <w:sz w:val="20"/>
          <w:szCs w:val="20"/>
        </w:rPr>
        <w:t>1</w:t>
      </w:r>
    </w:p>
    <w:tbl>
      <w:tblPr>
        <w:tblW w:w="9057" w:type="dxa"/>
        <w:tblInd w:w="10" w:type="dxa"/>
        <w:tblLayout w:type="fixed"/>
        <w:tblCellMar>
          <w:left w:w="10" w:type="dxa"/>
          <w:right w:w="10" w:type="dxa"/>
        </w:tblCellMar>
        <w:tblLook w:val="0000" w:firstRow="0" w:lastRow="0" w:firstColumn="0" w:lastColumn="0" w:noHBand="0" w:noVBand="0"/>
      </w:tblPr>
      <w:tblGrid>
        <w:gridCol w:w="1132"/>
        <w:gridCol w:w="1132"/>
        <w:gridCol w:w="1132"/>
        <w:gridCol w:w="1132"/>
        <w:gridCol w:w="1132"/>
        <w:gridCol w:w="1132"/>
        <w:gridCol w:w="1132"/>
        <w:gridCol w:w="1133"/>
      </w:tblGrid>
      <w:tr w:rsidR="00ED07A6" w:rsidRPr="00ED07A6" w14:paraId="77EDEE21" w14:textId="77777777" w:rsidTr="00FB002C">
        <w:trPr>
          <w:trHeight w:val="462"/>
        </w:trPr>
        <w:tc>
          <w:tcPr>
            <w:tcW w:w="1132" w:type="dxa"/>
            <w:tcBorders>
              <w:top w:val="single" w:sz="4" w:space="0" w:color="auto"/>
              <w:left w:val="single" w:sz="4" w:space="0" w:color="auto"/>
              <w:bottom w:val="single" w:sz="4" w:space="0" w:color="auto"/>
              <w:right w:val="single" w:sz="4" w:space="0" w:color="auto"/>
            </w:tcBorders>
            <w:vAlign w:val="center"/>
          </w:tcPr>
          <w:p w14:paraId="5F38295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895C47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Sprzedaż   [Mg]</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9E0FD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Zagr.Zdr</w:t>
            </w:r>
            <w:proofErr w:type="spellEnd"/>
            <w:r w:rsidRPr="00ED07A6">
              <w:rPr>
                <w:rFonts w:ascii="Arial" w:eastAsia="Lucida Sans Unicode" w:hAnsi="Arial" w:cs="Arial"/>
                <w:kern w:val="2"/>
                <w:sz w:val="20"/>
                <w:szCs w:val="20"/>
                <w:vertAlign w:val="subscript"/>
              </w:rPr>
              <w:t>.</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D2C7C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Zagr.Środ</w:t>
            </w:r>
            <w:proofErr w:type="spellEnd"/>
            <w:r w:rsidRPr="00ED07A6">
              <w:rPr>
                <w:rFonts w:ascii="Arial" w:eastAsia="Lucida Sans Unicode" w:hAnsi="Arial" w:cs="Arial"/>
                <w:kern w:val="2"/>
                <w:sz w:val="20"/>
                <w:szCs w:val="20"/>
                <w:vertAlign w:val="subscript"/>
              </w:rPr>
              <w:t>.</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47164E"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vertAlign w:val="subscript"/>
              </w:rPr>
            </w:pP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w:t>
            </w:r>
            <w:proofErr w:type="spellEnd"/>
            <w:r w:rsidRPr="00ED07A6">
              <w:rPr>
                <w:rFonts w:ascii="Arial" w:eastAsia="Lucida Sans Unicode" w:hAnsi="Arial" w:cs="Arial"/>
                <w:kern w:val="2"/>
                <w:sz w:val="20"/>
                <w:szCs w:val="20"/>
                <w:vertAlign w:val="subscript"/>
              </w:rPr>
              <w:t>.</w:t>
            </w:r>
          </w:p>
          <w:p w14:paraId="6D2F6F4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(suma)</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CDA2F4"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Zagr.Zdr</w:t>
            </w:r>
            <w:proofErr w:type="spellEnd"/>
            <w:r w:rsidRPr="00ED07A6">
              <w:rPr>
                <w:rFonts w:ascii="Arial" w:eastAsia="Lucida Sans Unicode" w:hAnsi="Arial" w:cs="Arial"/>
                <w:kern w:val="2"/>
                <w:sz w:val="20"/>
                <w:szCs w:val="20"/>
                <w:vertAlign w:val="subscript"/>
              </w:rPr>
              <w:t>.</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F15DA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Zagr.Środ</w:t>
            </w:r>
            <w:proofErr w:type="spellEnd"/>
            <w:r w:rsidRPr="00ED07A6">
              <w:rPr>
                <w:rFonts w:ascii="Arial" w:eastAsia="Lucida Sans Unicode" w:hAnsi="Arial" w:cs="Arial"/>
                <w:kern w:val="2"/>
                <w:sz w:val="20"/>
                <w:szCs w:val="20"/>
                <w:vertAlign w:val="subscript"/>
              </w:rPr>
              <w:t>.</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A2C8E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vertAlign w:val="subscript"/>
              </w:rPr>
            </w:pP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w:t>
            </w:r>
            <w:proofErr w:type="spellEnd"/>
            <w:r w:rsidRPr="00ED07A6">
              <w:rPr>
                <w:rFonts w:ascii="Arial" w:eastAsia="Lucida Sans Unicode" w:hAnsi="Arial" w:cs="Arial"/>
                <w:kern w:val="2"/>
                <w:sz w:val="20"/>
                <w:szCs w:val="20"/>
                <w:vertAlign w:val="subscript"/>
              </w:rPr>
              <w:t>.</w:t>
            </w:r>
          </w:p>
          <w:p w14:paraId="7C021BB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(suma)</w:t>
            </w:r>
          </w:p>
        </w:tc>
      </w:tr>
      <w:tr w:rsidR="00ED07A6" w:rsidRPr="00ED07A6" w14:paraId="108D6123" w14:textId="77777777" w:rsidTr="00FB002C">
        <w:trPr>
          <w:trHeight w:val="462"/>
        </w:trPr>
        <w:tc>
          <w:tcPr>
            <w:tcW w:w="1132" w:type="dxa"/>
            <w:tcBorders>
              <w:top w:val="single" w:sz="4" w:space="0" w:color="auto"/>
              <w:left w:val="single" w:sz="4" w:space="0" w:color="auto"/>
              <w:bottom w:val="single" w:sz="4" w:space="0" w:color="auto"/>
              <w:right w:val="single" w:sz="4" w:space="0" w:color="auto"/>
            </w:tcBorders>
            <w:vAlign w:val="center"/>
          </w:tcPr>
          <w:p w14:paraId="7DD5601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2015</w:t>
            </w:r>
          </w:p>
        </w:tc>
        <w:tc>
          <w:tcPr>
            <w:tcW w:w="1132" w:type="dxa"/>
            <w:tcBorders>
              <w:top w:val="single" w:sz="4" w:space="0" w:color="auto"/>
              <w:left w:val="single" w:sz="4" w:space="0" w:color="auto"/>
              <w:bottom w:val="single" w:sz="4" w:space="0" w:color="auto"/>
              <w:right w:val="single" w:sz="4" w:space="0" w:color="auto"/>
            </w:tcBorders>
            <w:vAlign w:val="center"/>
          </w:tcPr>
          <w:p w14:paraId="7DD47F83"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67297,39</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CBC19"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2,784</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39007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3,205</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D4D3D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5,988</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CEBDE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3,061</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595ED3"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3,524</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97BF2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6,585</w:t>
            </w:r>
          </w:p>
        </w:tc>
      </w:tr>
      <w:tr w:rsidR="00ED07A6" w:rsidRPr="00ED07A6" w14:paraId="726449BE" w14:textId="77777777" w:rsidTr="00FB002C">
        <w:trPr>
          <w:trHeight w:val="462"/>
        </w:trPr>
        <w:tc>
          <w:tcPr>
            <w:tcW w:w="1132" w:type="dxa"/>
            <w:tcBorders>
              <w:top w:val="single" w:sz="4" w:space="0" w:color="auto"/>
              <w:left w:val="single" w:sz="4" w:space="0" w:color="auto"/>
              <w:bottom w:val="single" w:sz="4" w:space="0" w:color="auto"/>
              <w:right w:val="single" w:sz="4" w:space="0" w:color="auto"/>
            </w:tcBorders>
            <w:vAlign w:val="center"/>
          </w:tcPr>
          <w:p w14:paraId="1AD43C0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2016</w:t>
            </w:r>
          </w:p>
        </w:tc>
        <w:tc>
          <w:tcPr>
            <w:tcW w:w="1132" w:type="dxa"/>
            <w:tcBorders>
              <w:top w:val="single" w:sz="4" w:space="0" w:color="auto"/>
              <w:left w:val="single" w:sz="4" w:space="0" w:color="auto"/>
              <w:bottom w:val="single" w:sz="4" w:space="0" w:color="auto"/>
              <w:right w:val="single" w:sz="4" w:space="0" w:color="auto"/>
            </w:tcBorders>
            <w:vAlign w:val="center"/>
          </w:tcPr>
          <w:p w14:paraId="5B0EC65B"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68105,84</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DC82A6"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2,669</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8D023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3,001</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9B68C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5,67</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10525E"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2,97</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34CE7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3,34</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E0AD4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6,31</w:t>
            </w:r>
          </w:p>
        </w:tc>
      </w:tr>
      <w:tr w:rsidR="00ED07A6" w:rsidRPr="00ED07A6" w14:paraId="70414FAA" w14:textId="77777777" w:rsidTr="00FB002C">
        <w:trPr>
          <w:trHeight w:val="462"/>
        </w:trPr>
        <w:tc>
          <w:tcPr>
            <w:tcW w:w="1132" w:type="dxa"/>
            <w:tcBorders>
              <w:top w:val="single" w:sz="4" w:space="0" w:color="auto"/>
              <w:left w:val="single" w:sz="4" w:space="0" w:color="auto"/>
              <w:bottom w:val="single" w:sz="4" w:space="0" w:color="auto"/>
              <w:right w:val="single" w:sz="4" w:space="0" w:color="auto"/>
            </w:tcBorders>
            <w:vAlign w:val="center"/>
          </w:tcPr>
          <w:p w14:paraId="0C6DECC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2017</w:t>
            </w:r>
          </w:p>
        </w:tc>
        <w:tc>
          <w:tcPr>
            <w:tcW w:w="1132" w:type="dxa"/>
            <w:tcBorders>
              <w:top w:val="single" w:sz="4" w:space="0" w:color="auto"/>
              <w:left w:val="single" w:sz="4" w:space="0" w:color="auto"/>
              <w:bottom w:val="single" w:sz="4" w:space="0" w:color="auto"/>
              <w:right w:val="single" w:sz="4" w:space="0" w:color="auto"/>
            </w:tcBorders>
            <w:vAlign w:val="center"/>
          </w:tcPr>
          <w:p w14:paraId="70210706"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71445,83</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1759A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2,719</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D6576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2,885</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E48D3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5,604</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0A860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3,175</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C43E24"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3,368</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90BA2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6,543</w:t>
            </w:r>
          </w:p>
        </w:tc>
      </w:tr>
      <w:tr w:rsidR="00ED07A6" w:rsidRPr="00ED07A6" w14:paraId="1DD2676A" w14:textId="77777777" w:rsidTr="00FB002C">
        <w:trPr>
          <w:trHeight w:val="462"/>
        </w:trPr>
        <w:tc>
          <w:tcPr>
            <w:tcW w:w="1132" w:type="dxa"/>
            <w:tcBorders>
              <w:top w:val="single" w:sz="4" w:space="0" w:color="auto"/>
              <w:left w:val="single" w:sz="4" w:space="0" w:color="auto"/>
              <w:bottom w:val="single" w:sz="4" w:space="0" w:color="auto"/>
              <w:right w:val="single" w:sz="4" w:space="0" w:color="auto"/>
            </w:tcBorders>
            <w:vAlign w:val="center"/>
          </w:tcPr>
          <w:p w14:paraId="149A182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2018</w:t>
            </w:r>
          </w:p>
        </w:tc>
        <w:tc>
          <w:tcPr>
            <w:tcW w:w="1132" w:type="dxa"/>
            <w:tcBorders>
              <w:top w:val="single" w:sz="4" w:space="0" w:color="auto"/>
              <w:left w:val="single" w:sz="4" w:space="0" w:color="auto"/>
              <w:bottom w:val="single" w:sz="4" w:space="0" w:color="auto"/>
              <w:right w:val="single" w:sz="4" w:space="0" w:color="auto"/>
            </w:tcBorders>
            <w:vAlign w:val="center"/>
          </w:tcPr>
          <w:p w14:paraId="769C8F1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65333,70</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295A49"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2,88</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799DEE"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3,08</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AC6D3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5,96</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E74C0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3,08</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5B4E46"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3,28</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D6CF0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6,36</w:t>
            </w:r>
          </w:p>
        </w:tc>
      </w:tr>
      <w:tr w:rsidR="00ED07A6" w:rsidRPr="00ED07A6" w14:paraId="60F38EB4" w14:textId="77777777" w:rsidTr="00FB002C">
        <w:trPr>
          <w:trHeight w:val="462"/>
        </w:trPr>
        <w:tc>
          <w:tcPr>
            <w:tcW w:w="1132" w:type="dxa"/>
            <w:tcBorders>
              <w:top w:val="single" w:sz="4" w:space="0" w:color="auto"/>
              <w:left w:val="single" w:sz="4" w:space="0" w:color="auto"/>
              <w:bottom w:val="single" w:sz="4" w:space="0" w:color="auto"/>
              <w:right w:val="single" w:sz="4" w:space="0" w:color="auto"/>
            </w:tcBorders>
            <w:vAlign w:val="center"/>
          </w:tcPr>
          <w:p w14:paraId="2BD615D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2019</w:t>
            </w:r>
          </w:p>
        </w:tc>
        <w:tc>
          <w:tcPr>
            <w:tcW w:w="1132" w:type="dxa"/>
            <w:tcBorders>
              <w:top w:val="single" w:sz="4" w:space="0" w:color="auto"/>
              <w:left w:val="single" w:sz="4" w:space="0" w:color="auto"/>
              <w:bottom w:val="single" w:sz="4" w:space="0" w:color="auto"/>
              <w:right w:val="single" w:sz="4" w:space="0" w:color="auto"/>
            </w:tcBorders>
            <w:vAlign w:val="center"/>
          </w:tcPr>
          <w:p w14:paraId="4F0FB144"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68906,95</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105C5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2,98</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B338E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3,16</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9A6103"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6,14</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8964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3,36</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FA8BCB"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3,55</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D1CEB3"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6,91</w:t>
            </w:r>
          </w:p>
        </w:tc>
      </w:tr>
      <w:tr w:rsidR="00ED07A6" w:rsidRPr="00ED07A6" w14:paraId="6ECC4E8B" w14:textId="77777777" w:rsidTr="00FB002C">
        <w:trPr>
          <w:trHeight w:val="462"/>
        </w:trPr>
        <w:tc>
          <w:tcPr>
            <w:tcW w:w="1132" w:type="dxa"/>
            <w:tcBorders>
              <w:top w:val="single" w:sz="4" w:space="0" w:color="auto"/>
              <w:left w:val="single" w:sz="4" w:space="0" w:color="auto"/>
              <w:bottom w:val="single" w:sz="4" w:space="0" w:color="auto"/>
              <w:right w:val="single" w:sz="4" w:space="0" w:color="auto"/>
            </w:tcBorders>
            <w:vAlign w:val="center"/>
          </w:tcPr>
          <w:p w14:paraId="7AB67BE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2020</w:t>
            </w:r>
          </w:p>
        </w:tc>
        <w:tc>
          <w:tcPr>
            <w:tcW w:w="1132" w:type="dxa"/>
            <w:tcBorders>
              <w:top w:val="single" w:sz="4" w:space="0" w:color="auto"/>
              <w:left w:val="single" w:sz="4" w:space="0" w:color="auto"/>
              <w:bottom w:val="single" w:sz="4" w:space="0" w:color="auto"/>
              <w:right w:val="single" w:sz="4" w:space="0" w:color="auto"/>
            </w:tcBorders>
            <w:vAlign w:val="center"/>
          </w:tcPr>
          <w:p w14:paraId="45BB8DE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69849,40</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3FBA0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2,55</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D1441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3,07</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2ED9A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5,62</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60189B"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2,92</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9CDCB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3,5</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CBE2E4"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6,42</w:t>
            </w:r>
          </w:p>
        </w:tc>
      </w:tr>
      <w:tr w:rsidR="00263E48" w:rsidRPr="00531348" w14:paraId="214E38A7" w14:textId="77777777" w:rsidTr="00FB002C">
        <w:trPr>
          <w:trHeight w:val="462"/>
        </w:trPr>
        <w:tc>
          <w:tcPr>
            <w:tcW w:w="1132" w:type="dxa"/>
            <w:tcBorders>
              <w:top w:val="single" w:sz="4" w:space="0" w:color="auto"/>
              <w:left w:val="single" w:sz="4" w:space="0" w:color="auto"/>
              <w:bottom w:val="single" w:sz="4" w:space="0" w:color="auto"/>
              <w:right w:val="single" w:sz="4" w:space="0" w:color="auto"/>
            </w:tcBorders>
            <w:vAlign w:val="center"/>
          </w:tcPr>
          <w:p w14:paraId="59B83277"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Lucida Sans Unicode" w:hAnsi="Arial" w:cs="Arial"/>
                <w:kern w:val="2"/>
                <w:sz w:val="20"/>
                <w:szCs w:val="20"/>
              </w:rPr>
              <w:t>2021</w:t>
            </w:r>
          </w:p>
        </w:tc>
        <w:tc>
          <w:tcPr>
            <w:tcW w:w="1132" w:type="dxa"/>
            <w:tcBorders>
              <w:top w:val="single" w:sz="4" w:space="0" w:color="auto"/>
              <w:left w:val="single" w:sz="4" w:space="0" w:color="auto"/>
              <w:bottom w:val="single" w:sz="4" w:space="0" w:color="auto"/>
              <w:right w:val="single" w:sz="4" w:space="0" w:color="auto"/>
            </w:tcBorders>
            <w:vAlign w:val="center"/>
          </w:tcPr>
          <w:p w14:paraId="0A74D660"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Lucida Sans Unicode" w:hAnsi="Arial" w:cs="Arial"/>
                <w:kern w:val="2"/>
                <w:sz w:val="20"/>
                <w:szCs w:val="20"/>
              </w:rPr>
              <w:t>78874,51</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50DDDE"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Lucida Sans Unicode" w:hAnsi="Arial" w:cs="Arial"/>
                <w:kern w:val="2"/>
                <w:sz w:val="20"/>
                <w:szCs w:val="20"/>
              </w:rPr>
              <w:t>2,43</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5C61F2"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Lucida Sans Unicode" w:hAnsi="Arial" w:cs="Arial"/>
                <w:kern w:val="2"/>
                <w:sz w:val="20"/>
                <w:szCs w:val="20"/>
              </w:rPr>
              <w:t>3,11</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2641A8"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Lucida Sans Unicode" w:hAnsi="Arial" w:cs="Arial"/>
                <w:kern w:val="2"/>
                <w:sz w:val="20"/>
                <w:szCs w:val="20"/>
              </w:rPr>
              <w:t>5,54</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B17B1D"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Lucida Sans Unicode" w:hAnsi="Arial" w:cs="Arial"/>
                <w:kern w:val="2"/>
                <w:sz w:val="20"/>
                <w:szCs w:val="20"/>
              </w:rPr>
              <w:t>3,13</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CCBA09"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Lucida Sans Unicode" w:hAnsi="Arial" w:cs="Arial"/>
                <w:kern w:val="2"/>
                <w:sz w:val="20"/>
                <w:szCs w:val="20"/>
              </w:rPr>
              <w:t>4,01</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09D571"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Lucida Sans Unicode" w:hAnsi="Arial" w:cs="Arial"/>
                <w:kern w:val="2"/>
                <w:sz w:val="20"/>
                <w:szCs w:val="20"/>
              </w:rPr>
              <w:t>7,14</w:t>
            </w:r>
          </w:p>
        </w:tc>
      </w:tr>
    </w:tbl>
    <w:p w14:paraId="6888C463" w14:textId="77777777" w:rsidR="00ED07A6" w:rsidRPr="00ED07A6" w:rsidRDefault="00ED07A6" w:rsidP="00ED07A6">
      <w:pPr>
        <w:suppressAutoHyphens/>
        <w:spacing w:after="0" w:line="360" w:lineRule="auto"/>
        <w:jc w:val="both"/>
        <w:rPr>
          <w:rFonts w:ascii="Arial" w:eastAsia="Lucida Sans Unicode" w:hAnsi="Arial" w:cs="Arial"/>
          <w:kern w:val="2"/>
          <w:sz w:val="20"/>
          <w:szCs w:val="20"/>
          <w:highlight w:val="yellow"/>
        </w:rPr>
      </w:pPr>
    </w:p>
    <w:p w14:paraId="61E2F8EF" w14:textId="08BBCBA3" w:rsidR="00ED07A6" w:rsidRPr="005445BE" w:rsidRDefault="005445BE" w:rsidP="00ED07A6">
      <w:pPr>
        <w:suppressAutoHyphens/>
        <w:spacing w:after="0" w:line="360" w:lineRule="auto"/>
        <w:jc w:val="center"/>
        <w:rPr>
          <w:rFonts w:ascii="Arial" w:eastAsia="Lucida Sans Unicode" w:hAnsi="Arial" w:cs="Arial"/>
          <w:i/>
          <w:kern w:val="2"/>
          <w:sz w:val="20"/>
          <w:szCs w:val="20"/>
        </w:rPr>
      </w:pPr>
      <w:r w:rsidRPr="005445BE">
        <w:rPr>
          <w:rFonts w:ascii="Arial" w:eastAsia="Lucida Sans Unicode" w:hAnsi="Arial" w:cs="Arial"/>
          <w:i/>
          <w:kern w:val="2"/>
          <w:sz w:val="20"/>
          <w:szCs w:val="20"/>
        </w:rPr>
        <w:t xml:space="preserve">Tabela 7. </w:t>
      </w:r>
      <w:r w:rsidR="00ED07A6" w:rsidRPr="005445BE">
        <w:rPr>
          <w:rFonts w:ascii="Arial" w:eastAsia="Lucida Sans Unicode" w:hAnsi="Arial" w:cs="Arial"/>
          <w:i/>
          <w:kern w:val="2"/>
          <w:sz w:val="20"/>
          <w:szCs w:val="20"/>
        </w:rPr>
        <w:t>Wyniki obliczeń wskaźników sprzedaży substancji priorytetowych</w:t>
      </w:r>
    </w:p>
    <w:p w14:paraId="5B74C309" w14:textId="51E255A8" w:rsidR="00ED07A6" w:rsidRPr="005445BE" w:rsidRDefault="00ED07A6" w:rsidP="005445BE">
      <w:pPr>
        <w:suppressAutoHyphens/>
        <w:spacing w:after="120" w:line="360" w:lineRule="auto"/>
        <w:jc w:val="center"/>
        <w:rPr>
          <w:rFonts w:ascii="Arial" w:eastAsia="Lucida Sans Unicode" w:hAnsi="Arial" w:cs="Arial"/>
          <w:i/>
          <w:kern w:val="2"/>
          <w:sz w:val="20"/>
          <w:szCs w:val="20"/>
        </w:rPr>
      </w:pPr>
      <w:r w:rsidRPr="005445BE">
        <w:rPr>
          <w:rFonts w:ascii="Arial" w:eastAsia="Lucida Sans Unicode" w:hAnsi="Arial" w:cs="Arial"/>
          <w:i/>
          <w:kern w:val="2"/>
          <w:sz w:val="20"/>
          <w:szCs w:val="20"/>
        </w:rPr>
        <w:t>w dziedzinie polityki wodnej (wskaźniki „E” - WS</w:t>
      </w:r>
      <w:r w:rsidRPr="005445BE">
        <w:rPr>
          <w:rFonts w:ascii="Arial" w:eastAsia="Lucida Sans Unicode" w:hAnsi="Arial" w:cs="Arial"/>
          <w:i/>
          <w:kern w:val="2"/>
          <w:sz w:val="20"/>
          <w:szCs w:val="20"/>
          <w:vertAlign w:val="subscript"/>
        </w:rPr>
        <w:t>PW</w:t>
      </w:r>
      <w:r w:rsidRPr="005445BE">
        <w:rPr>
          <w:rFonts w:ascii="Arial" w:eastAsia="Lucida Sans Unicode" w:hAnsi="Arial" w:cs="Arial"/>
          <w:i/>
          <w:kern w:val="2"/>
          <w:sz w:val="20"/>
          <w:szCs w:val="20"/>
        </w:rPr>
        <w:t xml:space="preserve"> i WSS</w:t>
      </w:r>
      <w:r w:rsidRPr="005445BE">
        <w:rPr>
          <w:rFonts w:ascii="Arial" w:eastAsia="Lucida Sans Unicode" w:hAnsi="Arial" w:cs="Arial"/>
          <w:i/>
          <w:kern w:val="2"/>
          <w:sz w:val="20"/>
          <w:szCs w:val="20"/>
          <w:vertAlign w:val="subscript"/>
        </w:rPr>
        <w:t>PW</w:t>
      </w:r>
      <w:r w:rsidRPr="005445BE">
        <w:rPr>
          <w:rFonts w:ascii="Arial" w:eastAsia="Lucida Sans Unicode" w:hAnsi="Arial" w:cs="Arial"/>
          <w:i/>
          <w:kern w:val="2"/>
          <w:sz w:val="20"/>
          <w:szCs w:val="20"/>
        </w:rPr>
        <w:t>) dla lat 2015 – 202</w:t>
      </w:r>
      <w:r w:rsidR="00263E48" w:rsidRPr="005445BE">
        <w:rPr>
          <w:rFonts w:ascii="Arial" w:eastAsia="Lucida Sans Unicode" w:hAnsi="Arial" w:cs="Arial"/>
          <w:i/>
          <w:kern w:val="2"/>
          <w:sz w:val="20"/>
          <w:szCs w:val="20"/>
        </w:rPr>
        <w:t>1</w:t>
      </w:r>
    </w:p>
    <w:tbl>
      <w:tblPr>
        <w:tblW w:w="8926" w:type="dxa"/>
        <w:jc w:val="center"/>
        <w:tblLayout w:type="fixed"/>
        <w:tblCellMar>
          <w:left w:w="10" w:type="dxa"/>
          <w:right w:w="10" w:type="dxa"/>
        </w:tblCellMar>
        <w:tblLook w:val="0000" w:firstRow="0" w:lastRow="0" w:firstColumn="0" w:lastColumn="0" w:noHBand="0" w:noVBand="0"/>
      </w:tblPr>
      <w:tblGrid>
        <w:gridCol w:w="2269"/>
        <w:gridCol w:w="951"/>
        <w:gridCol w:w="951"/>
        <w:gridCol w:w="951"/>
        <w:gridCol w:w="951"/>
        <w:gridCol w:w="951"/>
        <w:gridCol w:w="951"/>
        <w:gridCol w:w="951"/>
      </w:tblGrid>
      <w:tr w:rsidR="00263E48" w:rsidRPr="00ED07A6" w14:paraId="35CB0593" w14:textId="3D4EEBE1" w:rsidTr="00FB002C">
        <w:trPr>
          <w:trHeight w:val="567"/>
          <w:jc w:val="center"/>
        </w:trPr>
        <w:tc>
          <w:tcPr>
            <w:tcW w:w="226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96B24C9" w14:textId="77777777" w:rsidR="00263E48" w:rsidRPr="00ED07A6" w:rsidRDefault="00263E48" w:rsidP="00263E48">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bCs/>
                <w:kern w:val="2"/>
                <w:sz w:val="20"/>
                <w:szCs w:val="20"/>
                <w:lang w:eastAsia="pl-PL"/>
              </w:rPr>
              <w:t>Pozycja / lata</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6EF7CF" w14:textId="77777777" w:rsidR="00263E48" w:rsidRPr="00ED07A6" w:rsidRDefault="00263E48" w:rsidP="00263E48">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2015</w:t>
            </w:r>
          </w:p>
        </w:tc>
        <w:tc>
          <w:tcPr>
            <w:tcW w:w="951" w:type="dxa"/>
            <w:tcBorders>
              <w:top w:val="single" w:sz="4" w:space="0" w:color="auto"/>
              <w:left w:val="single" w:sz="4" w:space="0" w:color="auto"/>
              <w:bottom w:val="single" w:sz="4" w:space="0" w:color="auto"/>
              <w:right w:val="single" w:sz="4" w:space="0" w:color="auto"/>
            </w:tcBorders>
            <w:vAlign w:val="center"/>
          </w:tcPr>
          <w:p w14:paraId="522569EF"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2016</w:t>
            </w:r>
          </w:p>
        </w:tc>
        <w:tc>
          <w:tcPr>
            <w:tcW w:w="951" w:type="dxa"/>
            <w:tcBorders>
              <w:top w:val="single" w:sz="4" w:space="0" w:color="auto"/>
              <w:left w:val="single" w:sz="4" w:space="0" w:color="auto"/>
              <w:bottom w:val="single" w:sz="4" w:space="0" w:color="auto"/>
              <w:right w:val="single" w:sz="4" w:space="0" w:color="auto"/>
            </w:tcBorders>
            <w:vAlign w:val="center"/>
          </w:tcPr>
          <w:p w14:paraId="005DD656"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2017</w:t>
            </w:r>
          </w:p>
        </w:tc>
        <w:tc>
          <w:tcPr>
            <w:tcW w:w="951" w:type="dxa"/>
            <w:tcBorders>
              <w:top w:val="single" w:sz="4" w:space="0" w:color="auto"/>
              <w:left w:val="single" w:sz="4" w:space="0" w:color="auto"/>
              <w:bottom w:val="single" w:sz="4" w:space="0" w:color="auto"/>
              <w:right w:val="single" w:sz="4" w:space="0" w:color="auto"/>
            </w:tcBorders>
            <w:vAlign w:val="center"/>
          </w:tcPr>
          <w:p w14:paraId="2AF452EC"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2018</w:t>
            </w:r>
          </w:p>
        </w:tc>
        <w:tc>
          <w:tcPr>
            <w:tcW w:w="951" w:type="dxa"/>
            <w:tcBorders>
              <w:top w:val="single" w:sz="4" w:space="0" w:color="auto"/>
              <w:left w:val="single" w:sz="4" w:space="0" w:color="auto"/>
              <w:bottom w:val="single" w:sz="4" w:space="0" w:color="auto"/>
              <w:right w:val="single" w:sz="4" w:space="0" w:color="auto"/>
            </w:tcBorders>
            <w:vAlign w:val="center"/>
          </w:tcPr>
          <w:p w14:paraId="7A1DEB9E"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2019</w:t>
            </w:r>
          </w:p>
        </w:tc>
        <w:tc>
          <w:tcPr>
            <w:tcW w:w="951" w:type="dxa"/>
            <w:tcBorders>
              <w:top w:val="single" w:sz="4" w:space="0" w:color="auto"/>
              <w:left w:val="single" w:sz="4" w:space="0" w:color="auto"/>
              <w:bottom w:val="single" w:sz="4" w:space="0" w:color="auto"/>
              <w:right w:val="single" w:sz="4" w:space="0" w:color="auto"/>
            </w:tcBorders>
            <w:vAlign w:val="center"/>
          </w:tcPr>
          <w:p w14:paraId="68E50A5A"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2020</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17BBE651" w14:textId="2DCE7026"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Times New Roman" w:eastAsia="Times New Roman" w:hAnsi="Times New Roman" w:cs="Times New Roman"/>
                <w:lang w:eastAsia="pl-PL"/>
              </w:rPr>
              <w:t>2021</w:t>
            </w:r>
          </w:p>
        </w:tc>
      </w:tr>
      <w:tr w:rsidR="00263E48" w:rsidRPr="00ED07A6" w14:paraId="22B7DA59" w14:textId="1E7F6128" w:rsidTr="00FB002C">
        <w:trPr>
          <w:trHeight w:val="567"/>
          <w:jc w:val="center"/>
        </w:trPr>
        <w:tc>
          <w:tcPr>
            <w:tcW w:w="226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8A19AF0" w14:textId="77777777" w:rsidR="00263E48" w:rsidRPr="00263E48" w:rsidRDefault="00263E48" w:rsidP="00263E48">
            <w:pPr>
              <w:suppressAutoHyphens/>
              <w:spacing w:after="0" w:line="360" w:lineRule="auto"/>
              <w:rPr>
                <w:rFonts w:ascii="Arial" w:eastAsia="Lucida Sans Unicode" w:hAnsi="Arial" w:cs="Arial"/>
                <w:kern w:val="2"/>
                <w:sz w:val="18"/>
                <w:szCs w:val="18"/>
              </w:rPr>
            </w:pPr>
            <w:r w:rsidRPr="00263E48">
              <w:rPr>
                <w:rFonts w:ascii="Arial" w:eastAsia="Lucida Sans Unicode" w:hAnsi="Arial" w:cs="Arial"/>
                <w:kern w:val="2"/>
                <w:sz w:val="18"/>
                <w:szCs w:val="18"/>
              </w:rPr>
              <w:t xml:space="preserve">Wskaźnik wielkości sprzedaży </w:t>
            </w:r>
            <w:r w:rsidRPr="00263E48">
              <w:rPr>
                <w:rFonts w:ascii="Arial" w:eastAsia="Times New Roman" w:hAnsi="Arial" w:cs="Arial"/>
                <w:b/>
                <w:bCs/>
                <w:kern w:val="2"/>
                <w:sz w:val="18"/>
                <w:szCs w:val="18"/>
                <w:lang w:eastAsia="pl-PL"/>
              </w:rPr>
              <w:t>WS</w:t>
            </w:r>
            <w:r w:rsidRPr="00263E48">
              <w:rPr>
                <w:rFonts w:ascii="Arial" w:eastAsia="Times New Roman" w:hAnsi="Arial" w:cs="Arial"/>
                <w:b/>
                <w:bCs/>
                <w:kern w:val="2"/>
                <w:sz w:val="18"/>
                <w:szCs w:val="18"/>
                <w:vertAlign w:val="subscript"/>
                <w:lang w:eastAsia="pl-PL"/>
              </w:rPr>
              <w:t>PW</w:t>
            </w:r>
            <w:r w:rsidRPr="00263E48">
              <w:rPr>
                <w:rFonts w:ascii="Arial" w:eastAsia="Times New Roman" w:hAnsi="Arial" w:cs="Arial"/>
                <w:bCs/>
                <w:kern w:val="2"/>
                <w:sz w:val="18"/>
                <w:szCs w:val="18"/>
                <w:lang w:eastAsia="pl-PL"/>
              </w:rPr>
              <w:t xml:space="preserve"> [Mg]</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C1CE6A" w14:textId="77777777" w:rsidR="00263E48" w:rsidRPr="00ED07A6" w:rsidRDefault="00263E48" w:rsidP="00263E48">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1552,85</w:t>
            </w:r>
          </w:p>
        </w:tc>
        <w:tc>
          <w:tcPr>
            <w:tcW w:w="951" w:type="dxa"/>
            <w:tcBorders>
              <w:top w:val="single" w:sz="4" w:space="0" w:color="auto"/>
              <w:left w:val="single" w:sz="4" w:space="0" w:color="auto"/>
              <w:bottom w:val="single" w:sz="4" w:space="0" w:color="auto"/>
              <w:right w:val="single" w:sz="4" w:space="0" w:color="auto"/>
            </w:tcBorders>
            <w:vAlign w:val="center"/>
          </w:tcPr>
          <w:p w14:paraId="7818A18E"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1228,44</w:t>
            </w:r>
          </w:p>
        </w:tc>
        <w:tc>
          <w:tcPr>
            <w:tcW w:w="951" w:type="dxa"/>
            <w:tcBorders>
              <w:top w:val="single" w:sz="4" w:space="0" w:color="auto"/>
              <w:left w:val="single" w:sz="4" w:space="0" w:color="auto"/>
              <w:bottom w:val="single" w:sz="4" w:space="0" w:color="auto"/>
              <w:right w:val="single" w:sz="4" w:space="0" w:color="auto"/>
            </w:tcBorders>
            <w:vAlign w:val="center"/>
          </w:tcPr>
          <w:p w14:paraId="63FAB7E6"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1119,93</w:t>
            </w:r>
          </w:p>
        </w:tc>
        <w:tc>
          <w:tcPr>
            <w:tcW w:w="951" w:type="dxa"/>
            <w:tcBorders>
              <w:top w:val="single" w:sz="4" w:space="0" w:color="auto"/>
              <w:left w:val="single" w:sz="4" w:space="0" w:color="auto"/>
              <w:bottom w:val="single" w:sz="4" w:space="0" w:color="auto"/>
              <w:right w:val="single" w:sz="4" w:space="0" w:color="auto"/>
            </w:tcBorders>
            <w:vAlign w:val="center"/>
          </w:tcPr>
          <w:p w14:paraId="246DE160"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997,91</w:t>
            </w:r>
          </w:p>
        </w:tc>
        <w:tc>
          <w:tcPr>
            <w:tcW w:w="951" w:type="dxa"/>
            <w:tcBorders>
              <w:top w:val="single" w:sz="4" w:space="0" w:color="auto"/>
              <w:left w:val="single" w:sz="4" w:space="0" w:color="auto"/>
              <w:bottom w:val="single" w:sz="4" w:space="0" w:color="auto"/>
              <w:right w:val="single" w:sz="4" w:space="0" w:color="auto"/>
            </w:tcBorders>
            <w:vAlign w:val="center"/>
          </w:tcPr>
          <w:p w14:paraId="266BEC27"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1975,87</w:t>
            </w:r>
          </w:p>
        </w:tc>
        <w:tc>
          <w:tcPr>
            <w:tcW w:w="951" w:type="dxa"/>
            <w:tcBorders>
              <w:top w:val="single" w:sz="4" w:space="0" w:color="auto"/>
              <w:left w:val="single" w:sz="4" w:space="0" w:color="auto"/>
              <w:bottom w:val="single" w:sz="4" w:space="0" w:color="auto"/>
              <w:right w:val="single" w:sz="4" w:space="0" w:color="auto"/>
            </w:tcBorders>
            <w:vAlign w:val="center"/>
          </w:tcPr>
          <w:p w14:paraId="154F6A90"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206,57</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17BF0A0F" w14:textId="63B125C3"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Times New Roman" w:eastAsia="Times New Roman" w:hAnsi="Times New Roman" w:cs="Times New Roman"/>
                <w:lang w:eastAsia="pl-PL"/>
              </w:rPr>
              <w:t>184,04</w:t>
            </w:r>
          </w:p>
        </w:tc>
      </w:tr>
      <w:tr w:rsidR="00263E48" w:rsidRPr="00ED07A6" w14:paraId="6E34A3EF" w14:textId="16F1A2B7" w:rsidTr="00FB002C">
        <w:trPr>
          <w:trHeight w:val="567"/>
          <w:jc w:val="center"/>
        </w:trPr>
        <w:tc>
          <w:tcPr>
            <w:tcW w:w="226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2405F7A" w14:textId="77777777" w:rsidR="00263E48" w:rsidRPr="00263E48" w:rsidRDefault="00263E48" w:rsidP="00263E48">
            <w:pPr>
              <w:suppressAutoHyphens/>
              <w:spacing w:after="0" w:line="360" w:lineRule="auto"/>
              <w:rPr>
                <w:rFonts w:ascii="Arial" w:eastAsia="Lucida Sans Unicode" w:hAnsi="Arial" w:cs="Arial"/>
                <w:kern w:val="2"/>
                <w:sz w:val="18"/>
                <w:szCs w:val="18"/>
              </w:rPr>
            </w:pPr>
            <w:r w:rsidRPr="00263E48">
              <w:rPr>
                <w:rFonts w:ascii="Arial" w:eastAsia="Times New Roman" w:hAnsi="Arial" w:cs="Arial"/>
                <w:bCs/>
                <w:kern w:val="2"/>
                <w:sz w:val="18"/>
                <w:szCs w:val="18"/>
                <w:lang w:eastAsia="pl-PL"/>
              </w:rPr>
              <w:t xml:space="preserve">Sumaryczna sprzedaż  </w:t>
            </w:r>
            <w:proofErr w:type="spellStart"/>
            <w:r w:rsidRPr="00263E48">
              <w:rPr>
                <w:rFonts w:ascii="Arial" w:eastAsia="Times New Roman" w:hAnsi="Arial" w:cs="Arial"/>
                <w:bCs/>
                <w:kern w:val="2"/>
                <w:sz w:val="18"/>
                <w:szCs w:val="18"/>
                <w:lang w:eastAsia="pl-PL"/>
              </w:rPr>
              <w:t>subst</w:t>
            </w:r>
            <w:proofErr w:type="spellEnd"/>
            <w:r w:rsidRPr="00263E48">
              <w:rPr>
                <w:rFonts w:ascii="Arial" w:eastAsia="Times New Roman" w:hAnsi="Arial" w:cs="Arial"/>
                <w:bCs/>
                <w:kern w:val="2"/>
                <w:sz w:val="18"/>
                <w:szCs w:val="18"/>
                <w:lang w:eastAsia="pl-PL"/>
              </w:rPr>
              <w:t>. czynnych S [Mg]</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9B884F" w14:textId="77777777" w:rsidR="00263E48" w:rsidRPr="00263E48" w:rsidRDefault="00263E48" w:rsidP="00263E48">
            <w:pPr>
              <w:suppressAutoHyphens/>
              <w:spacing w:after="0" w:line="360" w:lineRule="auto"/>
              <w:jc w:val="center"/>
              <w:rPr>
                <w:rFonts w:ascii="Arial" w:eastAsia="Lucida Sans Unicode" w:hAnsi="Arial" w:cs="Arial"/>
                <w:kern w:val="2"/>
                <w:sz w:val="18"/>
                <w:szCs w:val="18"/>
              </w:rPr>
            </w:pPr>
            <w:r w:rsidRPr="00263E48">
              <w:rPr>
                <w:rFonts w:ascii="Arial" w:eastAsia="Times New Roman" w:hAnsi="Arial" w:cs="Arial"/>
                <w:kern w:val="2"/>
                <w:sz w:val="18"/>
                <w:szCs w:val="18"/>
                <w:lang w:eastAsia="pl-PL"/>
              </w:rPr>
              <w:t>24006,14</w:t>
            </w:r>
          </w:p>
        </w:tc>
        <w:tc>
          <w:tcPr>
            <w:tcW w:w="951" w:type="dxa"/>
            <w:tcBorders>
              <w:top w:val="single" w:sz="4" w:space="0" w:color="auto"/>
              <w:left w:val="single" w:sz="4" w:space="0" w:color="auto"/>
              <w:bottom w:val="single" w:sz="4" w:space="0" w:color="auto"/>
              <w:right w:val="single" w:sz="4" w:space="0" w:color="auto"/>
            </w:tcBorders>
            <w:vAlign w:val="center"/>
          </w:tcPr>
          <w:p w14:paraId="3BC9395C"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24462,51</w:t>
            </w:r>
          </w:p>
        </w:tc>
        <w:tc>
          <w:tcPr>
            <w:tcW w:w="951" w:type="dxa"/>
            <w:tcBorders>
              <w:top w:val="single" w:sz="4" w:space="0" w:color="auto"/>
              <w:left w:val="single" w:sz="4" w:space="0" w:color="auto"/>
              <w:bottom w:val="single" w:sz="4" w:space="0" w:color="auto"/>
              <w:right w:val="single" w:sz="4" w:space="0" w:color="auto"/>
            </w:tcBorders>
            <w:vAlign w:val="center"/>
          </w:tcPr>
          <w:p w14:paraId="31AA562A"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25075,08</w:t>
            </w:r>
          </w:p>
        </w:tc>
        <w:tc>
          <w:tcPr>
            <w:tcW w:w="951" w:type="dxa"/>
            <w:tcBorders>
              <w:top w:val="single" w:sz="4" w:space="0" w:color="auto"/>
              <w:left w:val="single" w:sz="4" w:space="0" w:color="auto"/>
              <w:bottom w:val="single" w:sz="4" w:space="0" w:color="auto"/>
              <w:right w:val="single" w:sz="4" w:space="0" w:color="auto"/>
            </w:tcBorders>
            <w:vAlign w:val="center"/>
          </w:tcPr>
          <w:p w14:paraId="6EB857A1"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23178,43</w:t>
            </w:r>
          </w:p>
        </w:tc>
        <w:tc>
          <w:tcPr>
            <w:tcW w:w="951" w:type="dxa"/>
            <w:tcBorders>
              <w:top w:val="single" w:sz="4" w:space="0" w:color="auto"/>
              <w:left w:val="single" w:sz="4" w:space="0" w:color="auto"/>
              <w:bottom w:val="single" w:sz="4" w:space="0" w:color="auto"/>
              <w:right w:val="single" w:sz="4" w:space="0" w:color="auto"/>
            </w:tcBorders>
            <w:vAlign w:val="center"/>
          </w:tcPr>
          <w:p w14:paraId="3106BB8B"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24280,66</w:t>
            </w:r>
          </w:p>
        </w:tc>
        <w:tc>
          <w:tcPr>
            <w:tcW w:w="951" w:type="dxa"/>
            <w:tcBorders>
              <w:top w:val="single" w:sz="4" w:space="0" w:color="auto"/>
              <w:left w:val="single" w:sz="4" w:space="0" w:color="auto"/>
              <w:bottom w:val="single" w:sz="4" w:space="0" w:color="auto"/>
              <w:right w:val="single" w:sz="4" w:space="0" w:color="auto"/>
            </w:tcBorders>
            <w:vAlign w:val="center"/>
          </w:tcPr>
          <w:p w14:paraId="6A55874E"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24628,01</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4EFC01F9" w14:textId="1E02A061"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Times New Roman" w:eastAsia="Times New Roman" w:hAnsi="Times New Roman" w:cs="Times New Roman"/>
                <w:lang w:eastAsia="pl-PL"/>
              </w:rPr>
              <w:t>26972,68</w:t>
            </w:r>
          </w:p>
        </w:tc>
      </w:tr>
      <w:tr w:rsidR="00263E48" w:rsidRPr="00ED07A6" w14:paraId="6D9766F5" w14:textId="34E48FD7" w:rsidTr="00FB002C">
        <w:trPr>
          <w:trHeight w:val="567"/>
          <w:jc w:val="center"/>
        </w:trPr>
        <w:tc>
          <w:tcPr>
            <w:tcW w:w="226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7481F78A" w14:textId="77777777" w:rsidR="00263E48" w:rsidRPr="00263E48" w:rsidRDefault="00263E48" w:rsidP="00263E48">
            <w:pPr>
              <w:suppressAutoHyphens/>
              <w:spacing w:after="0" w:line="360" w:lineRule="auto"/>
              <w:rPr>
                <w:rFonts w:ascii="Arial" w:eastAsia="Lucida Sans Unicode" w:hAnsi="Arial" w:cs="Arial"/>
                <w:kern w:val="2"/>
                <w:sz w:val="18"/>
                <w:szCs w:val="18"/>
              </w:rPr>
            </w:pPr>
            <w:r w:rsidRPr="00263E48">
              <w:rPr>
                <w:rFonts w:ascii="Arial" w:eastAsia="Times New Roman" w:hAnsi="Arial" w:cs="Arial"/>
                <w:bCs/>
                <w:kern w:val="2"/>
                <w:sz w:val="18"/>
                <w:szCs w:val="18"/>
                <w:lang w:eastAsia="pl-PL"/>
              </w:rPr>
              <w:t xml:space="preserve">Wskaźnik struktury sprzedaży </w:t>
            </w:r>
            <w:r w:rsidRPr="00263E48">
              <w:rPr>
                <w:rFonts w:ascii="Arial" w:eastAsia="Times New Roman" w:hAnsi="Arial" w:cs="Arial"/>
                <w:b/>
                <w:bCs/>
                <w:kern w:val="2"/>
                <w:sz w:val="18"/>
                <w:szCs w:val="18"/>
                <w:lang w:eastAsia="pl-PL"/>
              </w:rPr>
              <w:t>WSS</w:t>
            </w:r>
            <w:r w:rsidRPr="00263E48">
              <w:rPr>
                <w:rFonts w:ascii="Arial" w:eastAsia="Times New Roman" w:hAnsi="Arial" w:cs="Arial"/>
                <w:b/>
                <w:bCs/>
                <w:kern w:val="2"/>
                <w:sz w:val="18"/>
                <w:szCs w:val="18"/>
                <w:vertAlign w:val="subscript"/>
                <w:lang w:eastAsia="pl-PL"/>
              </w:rPr>
              <w:t>PW</w:t>
            </w:r>
            <w:r w:rsidRPr="00263E48">
              <w:rPr>
                <w:rFonts w:ascii="Arial" w:eastAsia="Times New Roman" w:hAnsi="Arial" w:cs="Arial"/>
                <w:bCs/>
                <w:kern w:val="2"/>
                <w:sz w:val="18"/>
                <w:szCs w:val="18"/>
                <w:lang w:eastAsia="pl-PL"/>
              </w:rPr>
              <w:t xml:space="preserve">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0262BE" w14:textId="77777777" w:rsidR="00263E48" w:rsidRPr="00ED07A6" w:rsidRDefault="00263E48" w:rsidP="00263E48">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6,47</w:t>
            </w:r>
          </w:p>
        </w:tc>
        <w:tc>
          <w:tcPr>
            <w:tcW w:w="951" w:type="dxa"/>
            <w:tcBorders>
              <w:top w:val="single" w:sz="4" w:space="0" w:color="auto"/>
              <w:left w:val="single" w:sz="4" w:space="0" w:color="auto"/>
              <w:bottom w:val="single" w:sz="4" w:space="0" w:color="auto"/>
              <w:right w:val="single" w:sz="4" w:space="0" w:color="auto"/>
            </w:tcBorders>
            <w:vAlign w:val="center"/>
          </w:tcPr>
          <w:p w14:paraId="2B92E55F"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5,02</w:t>
            </w:r>
          </w:p>
        </w:tc>
        <w:tc>
          <w:tcPr>
            <w:tcW w:w="951" w:type="dxa"/>
            <w:tcBorders>
              <w:top w:val="single" w:sz="4" w:space="0" w:color="auto"/>
              <w:left w:val="single" w:sz="4" w:space="0" w:color="auto"/>
              <w:bottom w:val="single" w:sz="4" w:space="0" w:color="auto"/>
              <w:right w:val="single" w:sz="4" w:space="0" w:color="auto"/>
            </w:tcBorders>
            <w:vAlign w:val="center"/>
          </w:tcPr>
          <w:p w14:paraId="3D7638E4"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4,47</w:t>
            </w:r>
          </w:p>
        </w:tc>
        <w:tc>
          <w:tcPr>
            <w:tcW w:w="951" w:type="dxa"/>
            <w:tcBorders>
              <w:top w:val="single" w:sz="4" w:space="0" w:color="auto"/>
              <w:left w:val="single" w:sz="4" w:space="0" w:color="auto"/>
              <w:bottom w:val="single" w:sz="4" w:space="0" w:color="auto"/>
              <w:right w:val="single" w:sz="4" w:space="0" w:color="auto"/>
            </w:tcBorders>
            <w:vAlign w:val="center"/>
          </w:tcPr>
          <w:p w14:paraId="7B715253"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4,31</w:t>
            </w:r>
          </w:p>
        </w:tc>
        <w:tc>
          <w:tcPr>
            <w:tcW w:w="951" w:type="dxa"/>
            <w:tcBorders>
              <w:top w:val="single" w:sz="4" w:space="0" w:color="auto"/>
              <w:left w:val="single" w:sz="4" w:space="0" w:color="auto"/>
              <w:bottom w:val="single" w:sz="4" w:space="0" w:color="auto"/>
              <w:right w:val="single" w:sz="4" w:space="0" w:color="auto"/>
            </w:tcBorders>
            <w:vAlign w:val="center"/>
          </w:tcPr>
          <w:p w14:paraId="45702FA4"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8,14</w:t>
            </w:r>
          </w:p>
        </w:tc>
        <w:tc>
          <w:tcPr>
            <w:tcW w:w="951" w:type="dxa"/>
            <w:tcBorders>
              <w:top w:val="single" w:sz="4" w:space="0" w:color="auto"/>
              <w:left w:val="single" w:sz="4" w:space="0" w:color="auto"/>
              <w:bottom w:val="single" w:sz="4" w:space="0" w:color="auto"/>
              <w:right w:val="single" w:sz="4" w:space="0" w:color="auto"/>
            </w:tcBorders>
            <w:vAlign w:val="center"/>
          </w:tcPr>
          <w:p w14:paraId="7BE07938" w14:textId="77777777" w:rsidR="00263E48" w:rsidRPr="00ED07A6" w:rsidRDefault="00263E48" w:rsidP="00263E48">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0,84</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3F6EF18A" w14:textId="65CF6A59"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Times New Roman" w:eastAsia="Times New Roman" w:hAnsi="Times New Roman" w:cs="Times New Roman"/>
                <w:lang w:eastAsia="pl-PL"/>
              </w:rPr>
              <w:t>0,68</w:t>
            </w:r>
          </w:p>
        </w:tc>
      </w:tr>
    </w:tbl>
    <w:p w14:paraId="6455AA88" w14:textId="77777777" w:rsidR="00ED07A6" w:rsidRPr="00ED07A6" w:rsidRDefault="00ED07A6" w:rsidP="00ED07A6">
      <w:pPr>
        <w:suppressAutoHyphens/>
        <w:spacing w:after="0" w:line="360" w:lineRule="auto"/>
        <w:jc w:val="both"/>
        <w:rPr>
          <w:rFonts w:ascii="Arial" w:eastAsia="Lucida Sans Unicode" w:hAnsi="Arial" w:cs="Arial"/>
          <w:kern w:val="2"/>
          <w:sz w:val="20"/>
          <w:szCs w:val="20"/>
          <w:highlight w:val="yellow"/>
        </w:rPr>
      </w:pPr>
    </w:p>
    <w:p w14:paraId="457C020A" w14:textId="52E8E46C" w:rsidR="00ED07A6" w:rsidRPr="005445BE" w:rsidRDefault="005445BE" w:rsidP="00ED07A6">
      <w:pPr>
        <w:suppressAutoHyphens/>
        <w:spacing w:after="0" w:line="360" w:lineRule="auto"/>
        <w:jc w:val="center"/>
        <w:rPr>
          <w:rFonts w:ascii="Arial" w:eastAsia="Lucida Sans Unicode" w:hAnsi="Arial" w:cs="Arial"/>
          <w:i/>
          <w:kern w:val="2"/>
          <w:sz w:val="20"/>
          <w:szCs w:val="20"/>
        </w:rPr>
      </w:pPr>
      <w:r w:rsidRPr="005445BE">
        <w:rPr>
          <w:rFonts w:ascii="Arial" w:eastAsia="Lucida Sans Unicode" w:hAnsi="Arial" w:cs="Arial"/>
          <w:i/>
          <w:kern w:val="2"/>
          <w:sz w:val="20"/>
          <w:szCs w:val="20"/>
        </w:rPr>
        <w:t xml:space="preserve">Tabela 8. </w:t>
      </w:r>
      <w:r w:rsidR="00ED07A6" w:rsidRPr="005445BE">
        <w:rPr>
          <w:rFonts w:ascii="Arial" w:eastAsia="Lucida Sans Unicode" w:hAnsi="Arial" w:cs="Arial"/>
          <w:i/>
          <w:kern w:val="2"/>
          <w:sz w:val="20"/>
          <w:szCs w:val="20"/>
        </w:rPr>
        <w:t xml:space="preserve">Wyniki obliczeń wskaźników sprzedaży substancji czynnych wymagających </w:t>
      </w:r>
    </w:p>
    <w:p w14:paraId="41672348" w14:textId="6D9F8563" w:rsidR="00ED07A6" w:rsidRPr="005445BE" w:rsidRDefault="00ED07A6" w:rsidP="005445BE">
      <w:pPr>
        <w:suppressAutoHyphens/>
        <w:spacing w:after="120" w:line="360" w:lineRule="auto"/>
        <w:jc w:val="center"/>
        <w:rPr>
          <w:rFonts w:ascii="Arial" w:eastAsia="Lucida Sans Unicode" w:hAnsi="Arial" w:cs="Arial"/>
          <w:i/>
          <w:kern w:val="2"/>
          <w:sz w:val="20"/>
          <w:szCs w:val="20"/>
        </w:rPr>
      </w:pPr>
      <w:r w:rsidRPr="005445BE">
        <w:rPr>
          <w:rFonts w:ascii="Arial" w:eastAsia="Lucida Sans Unicode" w:hAnsi="Arial" w:cs="Arial"/>
          <w:i/>
          <w:kern w:val="2"/>
          <w:sz w:val="20"/>
          <w:szCs w:val="20"/>
        </w:rPr>
        <w:t xml:space="preserve">programów monitorowania (wskaźniki „F” – </w:t>
      </w:r>
      <w:proofErr w:type="spellStart"/>
      <w:r w:rsidRPr="005445BE">
        <w:rPr>
          <w:rFonts w:ascii="Arial" w:eastAsia="Lucida Sans Unicode" w:hAnsi="Arial" w:cs="Arial"/>
          <w:i/>
          <w:kern w:val="2"/>
          <w:sz w:val="20"/>
          <w:szCs w:val="20"/>
        </w:rPr>
        <w:t>WS</w:t>
      </w:r>
      <w:r w:rsidRPr="005445BE">
        <w:rPr>
          <w:rFonts w:ascii="Arial" w:eastAsia="Lucida Sans Unicode" w:hAnsi="Arial" w:cs="Arial"/>
          <w:i/>
          <w:kern w:val="2"/>
          <w:sz w:val="20"/>
          <w:szCs w:val="20"/>
          <w:vertAlign w:val="subscript"/>
        </w:rPr>
        <w:t>Monit</w:t>
      </w:r>
      <w:proofErr w:type="spellEnd"/>
      <w:r w:rsidRPr="005445BE">
        <w:rPr>
          <w:rFonts w:ascii="Arial" w:eastAsia="Lucida Sans Unicode" w:hAnsi="Arial" w:cs="Arial"/>
          <w:i/>
          <w:kern w:val="2"/>
          <w:sz w:val="20"/>
          <w:szCs w:val="20"/>
          <w:vertAlign w:val="subscript"/>
        </w:rPr>
        <w:t>.</w:t>
      </w:r>
      <w:r w:rsidRPr="005445BE">
        <w:rPr>
          <w:rFonts w:ascii="Arial" w:eastAsia="Lucida Sans Unicode" w:hAnsi="Arial" w:cs="Arial"/>
          <w:i/>
          <w:kern w:val="2"/>
          <w:sz w:val="20"/>
          <w:szCs w:val="20"/>
        </w:rPr>
        <w:t xml:space="preserve"> i </w:t>
      </w:r>
      <w:proofErr w:type="spellStart"/>
      <w:r w:rsidRPr="005445BE">
        <w:rPr>
          <w:rFonts w:ascii="Arial" w:eastAsia="Lucida Sans Unicode" w:hAnsi="Arial" w:cs="Arial"/>
          <w:i/>
          <w:kern w:val="2"/>
          <w:sz w:val="20"/>
          <w:szCs w:val="20"/>
        </w:rPr>
        <w:t>WSS</w:t>
      </w:r>
      <w:r w:rsidRPr="005445BE">
        <w:rPr>
          <w:rFonts w:ascii="Arial" w:eastAsia="Lucida Sans Unicode" w:hAnsi="Arial" w:cs="Arial"/>
          <w:i/>
          <w:kern w:val="2"/>
          <w:sz w:val="20"/>
          <w:szCs w:val="20"/>
          <w:vertAlign w:val="subscript"/>
        </w:rPr>
        <w:t>Monit</w:t>
      </w:r>
      <w:proofErr w:type="spellEnd"/>
      <w:r w:rsidRPr="005445BE">
        <w:rPr>
          <w:rFonts w:ascii="Arial" w:eastAsia="Lucida Sans Unicode" w:hAnsi="Arial" w:cs="Arial"/>
          <w:i/>
          <w:kern w:val="2"/>
          <w:sz w:val="20"/>
          <w:szCs w:val="20"/>
          <w:vertAlign w:val="subscript"/>
        </w:rPr>
        <w:t>.</w:t>
      </w:r>
      <w:r w:rsidRPr="005445BE">
        <w:rPr>
          <w:rFonts w:ascii="Arial" w:eastAsia="Lucida Sans Unicode" w:hAnsi="Arial" w:cs="Arial"/>
          <w:i/>
          <w:kern w:val="2"/>
          <w:sz w:val="20"/>
          <w:szCs w:val="20"/>
        </w:rPr>
        <w:t>) dla lat 2015 – 202</w:t>
      </w:r>
      <w:r w:rsidR="00263E48" w:rsidRPr="005445BE">
        <w:rPr>
          <w:rFonts w:ascii="Arial" w:eastAsia="Lucida Sans Unicode" w:hAnsi="Arial" w:cs="Arial"/>
          <w:i/>
          <w:kern w:val="2"/>
          <w:sz w:val="20"/>
          <w:szCs w:val="20"/>
        </w:rPr>
        <w:t>1</w:t>
      </w:r>
    </w:p>
    <w:tbl>
      <w:tblPr>
        <w:tblW w:w="8509" w:type="dxa"/>
        <w:jc w:val="center"/>
        <w:tblLayout w:type="fixed"/>
        <w:tblCellMar>
          <w:left w:w="10" w:type="dxa"/>
          <w:right w:w="10" w:type="dxa"/>
        </w:tblCellMar>
        <w:tblLook w:val="0000" w:firstRow="0" w:lastRow="0" w:firstColumn="0" w:lastColumn="0" w:noHBand="0" w:noVBand="0"/>
      </w:tblPr>
      <w:tblGrid>
        <w:gridCol w:w="1980"/>
        <w:gridCol w:w="932"/>
        <w:gridCol w:w="933"/>
        <w:gridCol w:w="933"/>
        <w:gridCol w:w="932"/>
        <w:gridCol w:w="933"/>
        <w:gridCol w:w="933"/>
        <w:gridCol w:w="933"/>
      </w:tblGrid>
      <w:tr w:rsidR="00263E48" w:rsidRPr="00ED07A6" w14:paraId="7734ECC0" w14:textId="186DC215" w:rsidTr="00263E48">
        <w:trPr>
          <w:trHeight w:val="567"/>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CC15F58" w14:textId="77777777" w:rsidR="00263E48" w:rsidRPr="00ED07A6" w:rsidRDefault="00263E48" w:rsidP="00263E48">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bCs/>
                <w:kern w:val="2"/>
                <w:sz w:val="20"/>
                <w:szCs w:val="20"/>
                <w:lang w:eastAsia="pl-PL"/>
              </w:rPr>
              <w:t>Pozycja / lata</w:t>
            </w:r>
          </w:p>
        </w:tc>
        <w:tc>
          <w:tcPr>
            <w:tcW w:w="9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7372D0"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Times New Roman" w:hAnsi="Arial" w:cs="Arial"/>
                <w:kern w:val="2"/>
                <w:sz w:val="20"/>
                <w:szCs w:val="20"/>
                <w:lang w:eastAsia="pl-PL"/>
              </w:rPr>
              <w:t>2015</w:t>
            </w:r>
          </w:p>
        </w:tc>
        <w:tc>
          <w:tcPr>
            <w:tcW w:w="933" w:type="dxa"/>
            <w:tcBorders>
              <w:top w:val="single" w:sz="4" w:space="0" w:color="auto"/>
              <w:left w:val="single" w:sz="4" w:space="0" w:color="auto"/>
              <w:bottom w:val="single" w:sz="4" w:space="0" w:color="auto"/>
              <w:right w:val="single" w:sz="4" w:space="0" w:color="auto"/>
            </w:tcBorders>
            <w:vAlign w:val="center"/>
          </w:tcPr>
          <w:p w14:paraId="15083FC0"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2016</w:t>
            </w:r>
          </w:p>
        </w:tc>
        <w:tc>
          <w:tcPr>
            <w:tcW w:w="933" w:type="dxa"/>
            <w:tcBorders>
              <w:top w:val="single" w:sz="4" w:space="0" w:color="auto"/>
              <w:left w:val="single" w:sz="4" w:space="0" w:color="auto"/>
              <w:bottom w:val="single" w:sz="4" w:space="0" w:color="auto"/>
              <w:right w:val="single" w:sz="4" w:space="0" w:color="auto"/>
            </w:tcBorders>
            <w:vAlign w:val="center"/>
          </w:tcPr>
          <w:p w14:paraId="78826657"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2017</w:t>
            </w:r>
          </w:p>
        </w:tc>
        <w:tc>
          <w:tcPr>
            <w:tcW w:w="932" w:type="dxa"/>
            <w:tcBorders>
              <w:top w:val="single" w:sz="4" w:space="0" w:color="auto"/>
              <w:left w:val="single" w:sz="4" w:space="0" w:color="auto"/>
              <w:bottom w:val="single" w:sz="4" w:space="0" w:color="auto"/>
              <w:right w:val="single" w:sz="4" w:space="0" w:color="auto"/>
            </w:tcBorders>
            <w:vAlign w:val="center"/>
          </w:tcPr>
          <w:p w14:paraId="3D9CFD49"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2018</w:t>
            </w:r>
          </w:p>
        </w:tc>
        <w:tc>
          <w:tcPr>
            <w:tcW w:w="933" w:type="dxa"/>
            <w:tcBorders>
              <w:top w:val="single" w:sz="4" w:space="0" w:color="auto"/>
              <w:left w:val="single" w:sz="4" w:space="0" w:color="auto"/>
              <w:bottom w:val="single" w:sz="4" w:space="0" w:color="auto"/>
              <w:right w:val="single" w:sz="4" w:space="0" w:color="auto"/>
            </w:tcBorders>
            <w:vAlign w:val="center"/>
          </w:tcPr>
          <w:p w14:paraId="4AAD9FBA"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2019</w:t>
            </w:r>
          </w:p>
        </w:tc>
        <w:tc>
          <w:tcPr>
            <w:tcW w:w="933" w:type="dxa"/>
            <w:tcBorders>
              <w:top w:val="single" w:sz="4" w:space="0" w:color="auto"/>
              <w:left w:val="single" w:sz="4" w:space="0" w:color="auto"/>
              <w:bottom w:val="single" w:sz="4" w:space="0" w:color="auto"/>
              <w:right w:val="single" w:sz="4" w:space="0" w:color="auto"/>
            </w:tcBorders>
            <w:vAlign w:val="center"/>
          </w:tcPr>
          <w:p w14:paraId="01D583FB"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2020</w:t>
            </w:r>
          </w:p>
        </w:tc>
        <w:tc>
          <w:tcPr>
            <w:tcW w:w="933" w:type="dxa"/>
            <w:tcBorders>
              <w:top w:val="single" w:sz="4" w:space="0" w:color="auto"/>
              <w:left w:val="single" w:sz="4" w:space="0" w:color="auto"/>
              <w:bottom w:val="single" w:sz="4" w:space="0" w:color="auto"/>
              <w:right w:val="single" w:sz="4" w:space="0" w:color="auto"/>
            </w:tcBorders>
            <w:vAlign w:val="center"/>
          </w:tcPr>
          <w:p w14:paraId="45BB4CA9" w14:textId="41F9562D"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Times New Roman" w:eastAsia="Times New Roman" w:hAnsi="Times New Roman" w:cs="Times New Roman"/>
                <w:lang w:eastAsia="pl-PL"/>
              </w:rPr>
              <w:t>2021</w:t>
            </w:r>
          </w:p>
        </w:tc>
      </w:tr>
      <w:tr w:rsidR="00263E48" w:rsidRPr="00ED07A6" w14:paraId="182C478A" w14:textId="3D78CF9A" w:rsidTr="00263E48">
        <w:trPr>
          <w:trHeight w:val="567"/>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46B8746" w14:textId="77777777" w:rsidR="00263E48" w:rsidRPr="00891C08" w:rsidRDefault="00263E48" w:rsidP="00263E48">
            <w:pPr>
              <w:suppressAutoHyphens/>
              <w:spacing w:after="0" w:line="360" w:lineRule="auto"/>
              <w:rPr>
                <w:rFonts w:ascii="Arial" w:eastAsia="Lucida Sans Unicode" w:hAnsi="Arial" w:cs="Arial"/>
                <w:kern w:val="2"/>
                <w:sz w:val="16"/>
                <w:szCs w:val="16"/>
              </w:rPr>
            </w:pPr>
            <w:r w:rsidRPr="00891C08">
              <w:rPr>
                <w:rFonts w:ascii="Arial" w:eastAsia="Lucida Sans Unicode" w:hAnsi="Arial" w:cs="Arial"/>
                <w:kern w:val="2"/>
                <w:sz w:val="16"/>
                <w:szCs w:val="16"/>
              </w:rPr>
              <w:t xml:space="preserve">Wskaźnik wielkości sprzedaży </w:t>
            </w:r>
            <w:proofErr w:type="spellStart"/>
            <w:r w:rsidRPr="00891C08">
              <w:rPr>
                <w:rFonts w:ascii="Arial" w:eastAsia="Times New Roman" w:hAnsi="Arial" w:cs="Arial"/>
                <w:b/>
                <w:bCs/>
                <w:kern w:val="2"/>
                <w:sz w:val="16"/>
                <w:szCs w:val="16"/>
                <w:lang w:eastAsia="pl-PL"/>
              </w:rPr>
              <w:t>WS</w:t>
            </w:r>
            <w:r w:rsidRPr="00891C08">
              <w:rPr>
                <w:rFonts w:ascii="Arial" w:eastAsia="Times New Roman" w:hAnsi="Arial" w:cs="Arial"/>
                <w:b/>
                <w:bCs/>
                <w:kern w:val="2"/>
                <w:sz w:val="16"/>
                <w:szCs w:val="16"/>
                <w:vertAlign w:val="subscript"/>
                <w:lang w:eastAsia="pl-PL"/>
              </w:rPr>
              <w:t>Monit</w:t>
            </w:r>
            <w:proofErr w:type="spellEnd"/>
            <w:r w:rsidRPr="00891C08">
              <w:rPr>
                <w:rFonts w:ascii="Arial" w:eastAsia="Times New Roman" w:hAnsi="Arial" w:cs="Arial"/>
                <w:b/>
                <w:bCs/>
                <w:kern w:val="2"/>
                <w:sz w:val="16"/>
                <w:szCs w:val="16"/>
                <w:vertAlign w:val="subscript"/>
                <w:lang w:eastAsia="pl-PL"/>
              </w:rPr>
              <w:t>.</w:t>
            </w:r>
            <w:r w:rsidRPr="00891C08">
              <w:rPr>
                <w:rFonts w:ascii="Arial" w:eastAsia="Times New Roman" w:hAnsi="Arial" w:cs="Arial"/>
                <w:bCs/>
                <w:kern w:val="2"/>
                <w:sz w:val="16"/>
                <w:szCs w:val="16"/>
                <w:lang w:eastAsia="pl-PL"/>
              </w:rPr>
              <w:t xml:space="preserve"> [Mg]</w:t>
            </w:r>
          </w:p>
        </w:tc>
        <w:tc>
          <w:tcPr>
            <w:tcW w:w="9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316D35"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Times New Roman" w:hAnsi="Arial" w:cs="Arial"/>
                <w:kern w:val="2"/>
                <w:sz w:val="20"/>
                <w:szCs w:val="20"/>
                <w:lang w:eastAsia="pl-PL"/>
              </w:rPr>
              <w:t>2165,56</w:t>
            </w:r>
          </w:p>
        </w:tc>
        <w:tc>
          <w:tcPr>
            <w:tcW w:w="933" w:type="dxa"/>
            <w:tcBorders>
              <w:top w:val="single" w:sz="4" w:space="0" w:color="auto"/>
              <w:left w:val="single" w:sz="4" w:space="0" w:color="auto"/>
              <w:bottom w:val="single" w:sz="4" w:space="0" w:color="auto"/>
              <w:right w:val="single" w:sz="4" w:space="0" w:color="auto"/>
            </w:tcBorders>
            <w:vAlign w:val="center"/>
          </w:tcPr>
          <w:p w14:paraId="3F376FDB"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2002,95</w:t>
            </w:r>
          </w:p>
        </w:tc>
        <w:tc>
          <w:tcPr>
            <w:tcW w:w="933" w:type="dxa"/>
            <w:tcBorders>
              <w:top w:val="single" w:sz="4" w:space="0" w:color="auto"/>
              <w:left w:val="single" w:sz="4" w:space="0" w:color="auto"/>
              <w:bottom w:val="single" w:sz="4" w:space="0" w:color="auto"/>
              <w:right w:val="single" w:sz="4" w:space="0" w:color="auto"/>
            </w:tcBorders>
            <w:vAlign w:val="center"/>
          </w:tcPr>
          <w:p w14:paraId="4CCB0A16"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2184,74</w:t>
            </w:r>
          </w:p>
        </w:tc>
        <w:tc>
          <w:tcPr>
            <w:tcW w:w="932" w:type="dxa"/>
            <w:tcBorders>
              <w:top w:val="single" w:sz="4" w:space="0" w:color="auto"/>
              <w:left w:val="single" w:sz="4" w:space="0" w:color="auto"/>
              <w:bottom w:val="single" w:sz="4" w:space="0" w:color="auto"/>
              <w:right w:val="single" w:sz="4" w:space="0" w:color="auto"/>
            </w:tcBorders>
            <w:vAlign w:val="center"/>
          </w:tcPr>
          <w:p w14:paraId="244ECC8E"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2329,74</w:t>
            </w:r>
          </w:p>
        </w:tc>
        <w:tc>
          <w:tcPr>
            <w:tcW w:w="933" w:type="dxa"/>
            <w:tcBorders>
              <w:top w:val="single" w:sz="4" w:space="0" w:color="auto"/>
              <w:left w:val="single" w:sz="4" w:space="0" w:color="auto"/>
              <w:bottom w:val="single" w:sz="4" w:space="0" w:color="auto"/>
              <w:right w:val="single" w:sz="4" w:space="0" w:color="auto"/>
            </w:tcBorders>
            <w:vAlign w:val="center"/>
          </w:tcPr>
          <w:p w14:paraId="7E0A1FE6"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2398,86</w:t>
            </w:r>
          </w:p>
        </w:tc>
        <w:tc>
          <w:tcPr>
            <w:tcW w:w="933" w:type="dxa"/>
            <w:tcBorders>
              <w:top w:val="single" w:sz="4" w:space="0" w:color="auto"/>
              <w:left w:val="single" w:sz="4" w:space="0" w:color="auto"/>
              <w:bottom w:val="single" w:sz="4" w:space="0" w:color="auto"/>
              <w:right w:val="single" w:sz="4" w:space="0" w:color="auto"/>
            </w:tcBorders>
            <w:vAlign w:val="center"/>
          </w:tcPr>
          <w:p w14:paraId="6576C339"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2506,07</w:t>
            </w:r>
          </w:p>
        </w:tc>
        <w:tc>
          <w:tcPr>
            <w:tcW w:w="933" w:type="dxa"/>
            <w:tcBorders>
              <w:top w:val="single" w:sz="4" w:space="0" w:color="auto"/>
              <w:left w:val="single" w:sz="4" w:space="0" w:color="auto"/>
              <w:bottom w:val="single" w:sz="4" w:space="0" w:color="auto"/>
              <w:right w:val="single" w:sz="4" w:space="0" w:color="auto"/>
            </w:tcBorders>
            <w:vAlign w:val="center"/>
          </w:tcPr>
          <w:p w14:paraId="5EC12979" w14:textId="156BD59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Times New Roman" w:eastAsia="Times New Roman" w:hAnsi="Times New Roman" w:cs="Times New Roman"/>
                <w:lang w:eastAsia="pl-PL"/>
              </w:rPr>
              <w:t>3141,12</w:t>
            </w:r>
          </w:p>
        </w:tc>
      </w:tr>
      <w:tr w:rsidR="00263E48" w:rsidRPr="00ED07A6" w14:paraId="1E41F9C6" w14:textId="336101B1" w:rsidTr="00263E48">
        <w:trPr>
          <w:trHeight w:val="567"/>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75C126D6" w14:textId="77777777" w:rsidR="00263E48" w:rsidRPr="00891C08" w:rsidRDefault="00263E48" w:rsidP="00263E48">
            <w:pPr>
              <w:suppressAutoHyphens/>
              <w:spacing w:after="0" w:line="360" w:lineRule="auto"/>
              <w:rPr>
                <w:rFonts w:ascii="Arial" w:eastAsia="Lucida Sans Unicode" w:hAnsi="Arial" w:cs="Arial"/>
                <w:kern w:val="2"/>
                <w:sz w:val="16"/>
                <w:szCs w:val="16"/>
              </w:rPr>
            </w:pPr>
            <w:r w:rsidRPr="00891C08">
              <w:rPr>
                <w:rFonts w:ascii="Arial" w:eastAsia="Times New Roman" w:hAnsi="Arial" w:cs="Arial"/>
                <w:bCs/>
                <w:kern w:val="2"/>
                <w:sz w:val="16"/>
                <w:szCs w:val="16"/>
                <w:lang w:eastAsia="pl-PL"/>
              </w:rPr>
              <w:t xml:space="preserve">Sumaryczna sprzedaż </w:t>
            </w:r>
            <w:proofErr w:type="spellStart"/>
            <w:r w:rsidRPr="00891C08">
              <w:rPr>
                <w:rFonts w:ascii="Arial" w:eastAsia="Times New Roman" w:hAnsi="Arial" w:cs="Arial"/>
                <w:bCs/>
                <w:kern w:val="2"/>
                <w:sz w:val="16"/>
                <w:szCs w:val="16"/>
                <w:lang w:eastAsia="pl-PL"/>
              </w:rPr>
              <w:t>subst</w:t>
            </w:r>
            <w:proofErr w:type="spellEnd"/>
            <w:r w:rsidRPr="00891C08">
              <w:rPr>
                <w:rFonts w:ascii="Arial" w:eastAsia="Times New Roman" w:hAnsi="Arial" w:cs="Arial"/>
                <w:bCs/>
                <w:kern w:val="2"/>
                <w:sz w:val="16"/>
                <w:szCs w:val="16"/>
                <w:lang w:eastAsia="pl-PL"/>
              </w:rPr>
              <w:t>. czynnych S [Mg]</w:t>
            </w:r>
          </w:p>
        </w:tc>
        <w:tc>
          <w:tcPr>
            <w:tcW w:w="9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FBD84E" w14:textId="77777777" w:rsidR="00263E48" w:rsidRPr="00891C08" w:rsidRDefault="00263E48" w:rsidP="00263E48">
            <w:pPr>
              <w:suppressAutoHyphens/>
              <w:spacing w:after="0" w:line="360" w:lineRule="auto"/>
              <w:jc w:val="center"/>
              <w:rPr>
                <w:rFonts w:ascii="Arial" w:eastAsia="Lucida Sans Unicode" w:hAnsi="Arial" w:cs="Arial"/>
                <w:kern w:val="2"/>
                <w:sz w:val="18"/>
                <w:szCs w:val="18"/>
              </w:rPr>
            </w:pPr>
            <w:r w:rsidRPr="00891C08">
              <w:rPr>
                <w:rFonts w:ascii="Arial" w:eastAsia="Times New Roman" w:hAnsi="Arial" w:cs="Arial"/>
                <w:kern w:val="2"/>
                <w:sz w:val="18"/>
                <w:szCs w:val="18"/>
                <w:lang w:eastAsia="pl-PL"/>
              </w:rPr>
              <w:t>24006,14</w:t>
            </w:r>
          </w:p>
        </w:tc>
        <w:tc>
          <w:tcPr>
            <w:tcW w:w="933" w:type="dxa"/>
            <w:tcBorders>
              <w:top w:val="single" w:sz="4" w:space="0" w:color="auto"/>
              <w:left w:val="single" w:sz="4" w:space="0" w:color="auto"/>
              <w:bottom w:val="single" w:sz="4" w:space="0" w:color="auto"/>
              <w:right w:val="single" w:sz="4" w:space="0" w:color="auto"/>
            </w:tcBorders>
            <w:vAlign w:val="center"/>
          </w:tcPr>
          <w:p w14:paraId="11A5E5DB"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24462,51</w:t>
            </w:r>
          </w:p>
        </w:tc>
        <w:tc>
          <w:tcPr>
            <w:tcW w:w="933" w:type="dxa"/>
            <w:tcBorders>
              <w:top w:val="single" w:sz="4" w:space="0" w:color="auto"/>
              <w:left w:val="single" w:sz="4" w:space="0" w:color="auto"/>
              <w:bottom w:val="single" w:sz="4" w:space="0" w:color="auto"/>
              <w:right w:val="single" w:sz="4" w:space="0" w:color="auto"/>
            </w:tcBorders>
            <w:vAlign w:val="center"/>
          </w:tcPr>
          <w:p w14:paraId="246FBAE8"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25075,08</w:t>
            </w:r>
          </w:p>
        </w:tc>
        <w:tc>
          <w:tcPr>
            <w:tcW w:w="932" w:type="dxa"/>
            <w:tcBorders>
              <w:top w:val="single" w:sz="4" w:space="0" w:color="auto"/>
              <w:left w:val="single" w:sz="4" w:space="0" w:color="auto"/>
              <w:bottom w:val="single" w:sz="4" w:space="0" w:color="auto"/>
              <w:right w:val="single" w:sz="4" w:space="0" w:color="auto"/>
            </w:tcBorders>
            <w:vAlign w:val="center"/>
          </w:tcPr>
          <w:p w14:paraId="6D622088"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23178,43</w:t>
            </w:r>
          </w:p>
        </w:tc>
        <w:tc>
          <w:tcPr>
            <w:tcW w:w="933" w:type="dxa"/>
            <w:tcBorders>
              <w:top w:val="single" w:sz="4" w:space="0" w:color="auto"/>
              <w:left w:val="single" w:sz="4" w:space="0" w:color="auto"/>
              <w:bottom w:val="single" w:sz="4" w:space="0" w:color="auto"/>
              <w:right w:val="single" w:sz="4" w:space="0" w:color="auto"/>
            </w:tcBorders>
            <w:vAlign w:val="center"/>
          </w:tcPr>
          <w:p w14:paraId="688701D5"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24280,66</w:t>
            </w:r>
          </w:p>
        </w:tc>
        <w:tc>
          <w:tcPr>
            <w:tcW w:w="933" w:type="dxa"/>
            <w:tcBorders>
              <w:top w:val="single" w:sz="4" w:space="0" w:color="auto"/>
              <w:left w:val="single" w:sz="4" w:space="0" w:color="auto"/>
              <w:bottom w:val="single" w:sz="4" w:space="0" w:color="auto"/>
              <w:right w:val="single" w:sz="4" w:space="0" w:color="auto"/>
            </w:tcBorders>
            <w:vAlign w:val="center"/>
          </w:tcPr>
          <w:p w14:paraId="1E5E2F1C"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24628,01</w:t>
            </w:r>
          </w:p>
        </w:tc>
        <w:tc>
          <w:tcPr>
            <w:tcW w:w="933" w:type="dxa"/>
            <w:tcBorders>
              <w:top w:val="single" w:sz="4" w:space="0" w:color="auto"/>
              <w:left w:val="single" w:sz="4" w:space="0" w:color="auto"/>
              <w:bottom w:val="single" w:sz="4" w:space="0" w:color="auto"/>
              <w:right w:val="single" w:sz="4" w:space="0" w:color="auto"/>
            </w:tcBorders>
            <w:vAlign w:val="center"/>
          </w:tcPr>
          <w:p w14:paraId="2B8AAB02" w14:textId="64EDC224"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Times New Roman" w:eastAsia="Times New Roman" w:hAnsi="Times New Roman" w:cs="Times New Roman"/>
                <w:lang w:eastAsia="pl-PL"/>
              </w:rPr>
              <w:t>26972,68</w:t>
            </w:r>
          </w:p>
        </w:tc>
      </w:tr>
      <w:tr w:rsidR="00263E48" w:rsidRPr="00ED07A6" w14:paraId="187BABCB" w14:textId="01CF3F0D" w:rsidTr="00263E48">
        <w:trPr>
          <w:trHeight w:val="567"/>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417E809" w14:textId="77777777" w:rsidR="00263E48" w:rsidRPr="00891C08" w:rsidRDefault="00263E48" w:rsidP="00263E48">
            <w:pPr>
              <w:suppressAutoHyphens/>
              <w:spacing w:after="0" w:line="360" w:lineRule="auto"/>
              <w:rPr>
                <w:rFonts w:ascii="Arial" w:eastAsia="Lucida Sans Unicode" w:hAnsi="Arial" w:cs="Arial"/>
                <w:kern w:val="2"/>
                <w:sz w:val="16"/>
                <w:szCs w:val="16"/>
              </w:rPr>
            </w:pPr>
            <w:r w:rsidRPr="00891C08">
              <w:rPr>
                <w:rFonts w:ascii="Arial" w:eastAsia="Times New Roman" w:hAnsi="Arial" w:cs="Arial"/>
                <w:bCs/>
                <w:kern w:val="2"/>
                <w:sz w:val="16"/>
                <w:szCs w:val="16"/>
                <w:lang w:eastAsia="pl-PL"/>
              </w:rPr>
              <w:t xml:space="preserve">Wskaźnik struktury sprzedaży </w:t>
            </w:r>
            <w:proofErr w:type="spellStart"/>
            <w:r w:rsidRPr="00891C08">
              <w:rPr>
                <w:rFonts w:ascii="Arial" w:eastAsia="Times New Roman" w:hAnsi="Arial" w:cs="Arial"/>
                <w:b/>
                <w:bCs/>
                <w:kern w:val="2"/>
                <w:sz w:val="16"/>
                <w:szCs w:val="16"/>
                <w:lang w:eastAsia="pl-PL"/>
              </w:rPr>
              <w:t>WSS</w:t>
            </w:r>
            <w:r w:rsidRPr="00891C08">
              <w:rPr>
                <w:rFonts w:ascii="Arial" w:eastAsia="Times New Roman" w:hAnsi="Arial" w:cs="Arial"/>
                <w:b/>
                <w:bCs/>
                <w:kern w:val="2"/>
                <w:sz w:val="16"/>
                <w:szCs w:val="16"/>
                <w:vertAlign w:val="subscript"/>
                <w:lang w:eastAsia="pl-PL"/>
              </w:rPr>
              <w:t>Monit</w:t>
            </w:r>
            <w:proofErr w:type="spellEnd"/>
            <w:r w:rsidRPr="00891C08">
              <w:rPr>
                <w:rFonts w:ascii="Arial" w:eastAsia="Times New Roman" w:hAnsi="Arial" w:cs="Arial"/>
                <w:b/>
                <w:bCs/>
                <w:kern w:val="2"/>
                <w:sz w:val="16"/>
                <w:szCs w:val="16"/>
                <w:vertAlign w:val="subscript"/>
                <w:lang w:eastAsia="pl-PL"/>
              </w:rPr>
              <w:t>.</w:t>
            </w:r>
            <w:r w:rsidRPr="00891C08">
              <w:rPr>
                <w:rFonts w:ascii="Arial" w:eastAsia="Times New Roman" w:hAnsi="Arial" w:cs="Arial"/>
                <w:bCs/>
                <w:kern w:val="2"/>
                <w:sz w:val="16"/>
                <w:szCs w:val="16"/>
                <w:lang w:eastAsia="pl-PL"/>
              </w:rPr>
              <w:t xml:space="preserve"> [%]</w:t>
            </w:r>
          </w:p>
        </w:tc>
        <w:tc>
          <w:tcPr>
            <w:tcW w:w="9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42D8993" w14:textId="77777777" w:rsidR="00263E48" w:rsidRPr="00263E48" w:rsidRDefault="00263E48" w:rsidP="00263E48">
            <w:pPr>
              <w:suppressAutoHyphens/>
              <w:spacing w:after="0" w:line="360" w:lineRule="auto"/>
              <w:jc w:val="center"/>
              <w:rPr>
                <w:rFonts w:ascii="Arial" w:eastAsia="Lucida Sans Unicode" w:hAnsi="Arial" w:cs="Arial"/>
                <w:kern w:val="2"/>
                <w:sz w:val="20"/>
                <w:szCs w:val="20"/>
              </w:rPr>
            </w:pPr>
            <w:r w:rsidRPr="00263E48">
              <w:rPr>
                <w:rFonts w:ascii="Arial" w:eastAsia="Times New Roman" w:hAnsi="Arial" w:cs="Arial"/>
                <w:kern w:val="2"/>
                <w:sz w:val="20"/>
                <w:szCs w:val="20"/>
                <w:lang w:eastAsia="pl-PL"/>
              </w:rPr>
              <w:t>9,02</w:t>
            </w:r>
          </w:p>
        </w:tc>
        <w:tc>
          <w:tcPr>
            <w:tcW w:w="933" w:type="dxa"/>
            <w:tcBorders>
              <w:top w:val="single" w:sz="4" w:space="0" w:color="auto"/>
              <w:left w:val="single" w:sz="4" w:space="0" w:color="auto"/>
              <w:bottom w:val="single" w:sz="4" w:space="0" w:color="auto"/>
              <w:right w:val="single" w:sz="4" w:space="0" w:color="auto"/>
            </w:tcBorders>
            <w:vAlign w:val="center"/>
          </w:tcPr>
          <w:p w14:paraId="620379E2"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8,19</w:t>
            </w:r>
          </w:p>
        </w:tc>
        <w:tc>
          <w:tcPr>
            <w:tcW w:w="933" w:type="dxa"/>
            <w:tcBorders>
              <w:top w:val="single" w:sz="4" w:space="0" w:color="auto"/>
              <w:left w:val="single" w:sz="4" w:space="0" w:color="auto"/>
              <w:bottom w:val="single" w:sz="4" w:space="0" w:color="auto"/>
              <w:right w:val="single" w:sz="4" w:space="0" w:color="auto"/>
            </w:tcBorders>
            <w:vAlign w:val="center"/>
          </w:tcPr>
          <w:p w14:paraId="3A67B6C2"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8,71</w:t>
            </w:r>
          </w:p>
        </w:tc>
        <w:tc>
          <w:tcPr>
            <w:tcW w:w="932" w:type="dxa"/>
            <w:tcBorders>
              <w:top w:val="single" w:sz="4" w:space="0" w:color="auto"/>
              <w:left w:val="single" w:sz="4" w:space="0" w:color="auto"/>
              <w:bottom w:val="single" w:sz="4" w:space="0" w:color="auto"/>
              <w:right w:val="single" w:sz="4" w:space="0" w:color="auto"/>
            </w:tcBorders>
            <w:vAlign w:val="center"/>
          </w:tcPr>
          <w:p w14:paraId="37DAFA48"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10,05</w:t>
            </w:r>
          </w:p>
        </w:tc>
        <w:tc>
          <w:tcPr>
            <w:tcW w:w="933" w:type="dxa"/>
            <w:tcBorders>
              <w:top w:val="single" w:sz="4" w:space="0" w:color="auto"/>
              <w:left w:val="single" w:sz="4" w:space="0" w:color="auto"/>
              <w:bottom w:val="single" w:sz="4" w:space="0" w:color="auto"/>
              <w:right w:val="single" w:sz="4" w:space="0" w:color="auto"/>
            </w:tcBorders>
            <w:vAlign w:val="center"/>
          </w:tcPr>
          <w:p w14:paraId="66C072C5"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9,88</w:t>
            </w:r>
          </w:p>
        </w:tc>
        <w:tc>
          <w:tcPr>
            <w:tcW w:w="933" w:type="dxa"/>
            <w:tcBorders>
              <w:top w:val="single" w:sz="4" w:space="0" w:color="auto"/>
              <w:left w:val="single" w:sz="4" w:space="0" w:color="auto"/>
              <w:bottom w:val="single" w:sz="4" w:space="0" w:color="auto"/>
              <w:right w:val="single" w:sz="4" w:space="0" w:color="auto"/>
            </w:tcBorders>
            <w:vAlign w:val="center"/>
          </w:tcPr>
          <w:p w14:paraId="7FFFEEDE" w14:textId="77777777"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Arial" w:eastAsia="Times New Roman" w:hAnsi="Arial" w:cs="Arial"/>
                <w:kern w:val="2"/>
                <w:sz w:val="20"/>
                <w:szCs w:val="20"/>
                <w:lang w:eastAsia="pl-PL"/>
              </w:rPr>
              <w:t>10,18</w:t>
            </w:r>
          </w:p>
        </w:tc>
        <w:tc>
          <w:tcPr>
            <w:tcW w:w="933" w:type="dxa"/>
            <w:tcBorders>
              <w:top w:val="single" w:sz="4" w:space="0" w:color="auto"/>
              <w:left w:val="single" w:sz="4" w:space="0" w:color="auto"/>
              <w:bottom w:val="single" w:sz="4" w:space="0" w:color="auto"/>
              <w:right w:val="single" w:sz="4" w:space="0" w:color="auto"/>
            </w:tcBorders>
            <w:vAlign w:val="center"/>
          </w:tcPr>
          <w:p w14:paraId="06B2889A" w14:textId="103DD970" w:rsidR="00263E48" w:rsidRPr="00263E48" w:rsidRDefault="00263E48" w:rsidP="00263E48">
            <w:pPr>
              <w:suppressAutoHyphens/>
              <w:spacing w:after="0" w:line="360" w:lineRule="auto"/>
              <w:jc w:val="center"/>
              <w:rPr>
                <w:rFonts w:ascii="Arial" w:eastAsia="Times New Roman" w:hAnsi="Arial" w:cs="Arial"/>
                <w:kern w:val="2"/>
                <w:sz w:val="20"/>
                <w:szCs w:val="20"/>
                <w:lang w:eastAsia="pl-PL"/>
              </w:rPr>
            </w:pPr>
            <w:r w:rsidRPr="00263E48">
              <w:rPr>
                <w:rFonts w:ascii="Times New Roman" w:eastAsia="Times New Roman" w:hAnsi="Times New Roman" w:cs="Times New Roman"/>
                <w:lang w:eastAsia="pl-PL"/>
              </w:rPr>
              <w:t>11,65</w:t>
            </w:r>
          </w:p>
        </w:tc>
      </w:tr>
    </w:tbl>
    <w:p w14:paraId="5B7A4903" w14:textId="77777777" w:rsidR="00ED07A6" w:rsidRPr="00ED07A6" w:rsidRDefault="00ED07A6" w:rsidP="00ED07A6">
      <w:pPr>
        <w:suppressAutoHyphens/>
        <w:spacing w:after="0" w:line="360" w:lineRule="auto"/>
        <w:rPr>
          <w:rFonts w:ascii="Arial" w:eastAsia="Lucida Sans Unicode" w:hAnsi="Arial" w:cs="Arial"/>
          <w:kern w:val="2"/>
          <w:sz w:val="20"/>
          <w:szCs w:val="20"/>
        </w:rPr>
      </w:pPr>
    </w:p>
    <w:p w14:paraId="5CE5394D" w14:textId="112B4283" w:rsidR="00891C08" w:rsidRPr="00891C08" w:rsidRDefault="00891C08" w:rsidP="00891C08">
      <w:pPr>
        <w:pStyle w:val="NormalnyWeb"/>
        <w:tabs>
          <w:tab w:val="left" w:pos="284"/>
        </w:tabs>
        <w:spacing w:beforeAutospacing="0" w:after="120" w:afterAutospacing="0" w:line="360" w:lineRule="auto"/>
        <w:ind w:firstLine="284"/>
        <w:jc w:val="both"/>
        <w:rPr>
          <w:rFonts w:ascii="Arial" w:hAnsi="Arial" w:cs="Arial"/>
        </w:rPr>
      </w:pPr>
      <w:r w:rsidRPr="00891C08">
        <w:rPr>
          <w:rFonts w:ascii="Arial" w:hAnsi="Arial" w:cs="Arial"/>
        </w:rPr>
        <w:t xml:space="preserve">Wskaźniki „D” odgrywają podobną rolę jak zharmonizowany wskaźnik unijny HRI1, przy czym wskaźnik unijny analizuje zagrożenia związane z wielkością sprzedaży substancji czynnych, a krajowe wskaźniki „D” analizują zagrożenia związane z wielkością sprzedażą preparatów (z wykorzystaniem przypisanych im kodów H definiujących zagrożenia powodowane przez poszczególne preparaty). Wartości wskaźników nie mają żadnego odniesienia fizycznego i służą jedynie do analizy trendu, przy czym oddzielnie można analizować zagrożenia dla zdrowia i dla środowiska. W latach 2015-2021 zmiany wskaźników „D” nie były duże. Sprzedawane w 2021 </w:t>
      </w:r>
      <w:r w:rsidR="008B532E">
        <w:rPr>
          <w:rFonts w:ascii="Arial" w:hAnsi="Arial" w:cs="Arial"/>
        </w:rPr>
        <w:t xml:space="preserve">r. </w:t>
      </w:r>
      <w:r w:rsidRPr="00891C08">
        <w:rPr>
          <w:rFonts w:ascii="Arial" w:hAnsi="Arial" w:cs="Arial"/>
        </w:rPr>
        <w:t>środki miały podobną do 2020</w:t>
      </w:r>
      <w:r w:rsidR="008B532E">
        <w:rPr>
          <w:rFonts w:ascii="Arial" w:hAnsi="Arial" w:cs="Arial"/>
        </w:rPr>
        <w:t xml:space="preserve"> r. </w:t>
      </w:r>
      <w:r w:rsidRPr="00891C08">
        <w:rPr>
          <w:rFonts w:ascii="Arial" w:hAnsi="Arial" w:cs="Arial"/>
        </w:rPr>
        <w:t xml:space="preserve">charakterystykę potencjalnych zagrożeń (wskaźnik </w:t>
      </w:r>
      <w:proofErr w:type="spellStart"/>
      <w:r w:rsidRPr="00891C08">
        <w:rPr>
          <w:rFonts w:ascii="Arial" w:hAnsi="Arial" w:cs="Arial"/>
        </w:rPr>
        <w:t>WSSZagr</w:t>
      </w:r>
      <w:proofErr w:type="spellEnd"/>
      <w:r w:rsidRPr="00891C08">
        <w:rPr>
          <w:rFonts w:ascii="Arial" w:hAnsi="Arial" w:cs="Arial"/>
        </w:rPr>
        <w:t xml:space="preserve">.)  Trzeba zwrócić jednak uwagę na wzrost wskaźnika </w:t>
      </w:r>
      <w:proofErr w:type="spellStart"/>
      <w:r w:rsidRPr="00891C08">
        <w:rPr>
          <w:rFonts w:ascii="Arial" w:hAnsi="Arial" w:cs="Arial"/>
        </w:rPr>
        <w:t>WSZagr</w:t>
      </w:r>
      <w:proofErr w:type="spellEnd"/>
      <w:r w:rsidRPr="00891C08">
        <w:rPr>
          <w:rFonts w:ascii="Arial" w:hAnsi="Arial" w:cs="Arial"/>
        </w:rPr>
        <w:t>. o 11% w porównaniu z 2020</w:t>
      </w:r>
      <w:r>
        <w:rPr>
          <w:rFonts w:ascii="Arial" w:hAnsi="Arial" w:cs="Arial"/>
        </w:rPr>
        <w:t xml:space="preserve"> r.</w:t>
      </w:r>
      <w:r w:rsidRPr="00891C08">
        <w:rPr>
          <w:rFonts w:ascii="Arial" w:hAnsi="Arial" w:cs="Arial"/>
        </w:rPr>
        <w:t>, który  związany jest ze wzrostem całkowitej sprzedaży środków ochrony roślin. Ich sprzedaż</w:t>
      </w:r>
      <w:r w:rsidR="008B532E">
        <w:rPr>
          <w:rFonts w:ascii="Arial" w:hAnsi="Arial" w:cs="Arial"/>
        </w:rPr>
        <w:t xml:space="preserve"> w </w:t>
      </w:r>
      <w:r w:rsidRPr="00891C08">
        <w:rPr>
          <w:rFonts w:ascii="Arial" w:hAnsi="Arial" w:cs="Arial"/>
        </w:rPr>
        <w:t xml:space="preserve">2021 </w:t>
      </w:r>
      <w:r w:rsidR="008B532E">
        <w:rPr>
          <w:rFonts w:ascii="Arial" w:hAnsi="Arial" w:cs="Arial"/>
        </w:rPr>
        <w:t xml:space="preserve">r. </w:t>
      </w:r>
      <w:r w:rsidRPr="00891C08">
        <w:rPr>
          <w:rFonts w:ascii="Arial" w:hAnsi="Arial" w:cs="Arial"/>
        </w:rPr>
        <w:t>była większa o prawie 13% w porównaniu do 2020</w:t>
      </w:r>
      <w:r w:rsidR="008B532E">
        <w:rPr>
          <w:rFonts w:ascii="Arial" w:hAnsi="Arial" w:cs="Arial"/>
        </w:rPr>
        <w:t xml:space="preserve"> r.</w:t>
      </w:r>
    </w:p>
    <w:p w14:paraId="60D41F8E" w14:textId="4290BC92" w:rsidR="00891C08" w:rsidRPr="00891C08" w:rsidRDefault="00891C08" w:rsidP="00891C08">
      <w:pPr>
        <w:pStyle w:val="NormalnyWeb"/>
        <w:tabs>
          <w:tab w:val="left" w:pos="284"/>
        </w:tabs>
        <w:spacing w:beforeAutospacing="0" w:after="120" w:afterAutospacing="0" w:line="360" w:lineRule="auto"/>
        <w:ind w:firstLine="284"/>
        <w:jc w:val="both"/>
        <w:rPr>
          <w:rFonts w:ascii="Arial" w:hAnsi="Arial" w:cs="Arial"/>
        </w:rPr>
      </w:pPr>
      <w:r w:rsidRPr="00891C08">
        <w:rPr>
          <w:rFonts w:ascii="Arial" w:hAnsi="Arial" w:cs="Arial"/>
        </w:rPr>
        <w:t>Wskaźniki sprzedażowe z grupy „E” i „F” informują o udziale substancji priorytetowych w</w:t>
      </w:r>
      <w:r>
        <w:rPr>
          <w:rFonts w:ascii="Arial" w:hAnsi="Arial" w:cs="Arial"/>
        </w:rPr>
        <w:t> </w:t>
      </w:r>
      <w:r w:rsidRPr="00891C08">
        <w:rPr>
          <w:rFonts w:ascii="Arial" w:hAnsi="Arial" w:cs="Arial"/>
        </w:rPr>
        <w:t xml:space="preserve">dziedzinie polityki wodnej i substancji wymagających programów monitorowania w sprzedaży sumarycznej (wskaźniki struktury sprzedaży WSSPW i </w:t>
      </w:r>
      <w:proofErr w:type="spellStart"/>
      <w:r w:rsidRPr="00891C08">
        <w:rPr>
          <w:rFonts w:ascii="Arial" w:hAnsi="Arial" w:cs="Arial"/>
        </w:rPr>
        <w:t>WSSMonit</w:t>
      </w:r>
      <w:proofErr w:type="spellEnd"/>
      <w:r w:rsidRPr="00891C08">
        <w:rPr>
          <w:rFonts w:ascii="Arial" w:hAnsi="Arial" w:cs="Arial"/>
        </w:rPr>
        <w:t xml:space="preserve">. wyrażone w %), oraz o wielkości sprzedaży tych substancji (WSPW i </w:t>
      </w:r>
      <w:proofErr w:type="spellStart"/>
      <w:r w:rsidRPr="00891C08">
        <w:rPr>
          <w:rFonts w:ascii="Arial" w:hAnsi="Arial" w:cs="Arial"/>
        </w:rPr>
        <w:t>WSMonit</w:t>
      </w:r>
      <w:proofErr w:type="spellEnd"/>
      <w:r w:rsidRPr="00891C08">
        <w:rPr>
          <w:rFonts w:ascii="Arial" w:hAnsi="Arial" w:cs="Arial"/>
        </w:rPr>
        <w:t>. wyrażone w Mg).</w:t>
      </w:r>
    </w:p>
    <w:p w14:paraId="44CB6998" w14:textId="6004E30E" w:rsidR="00891C08" w:rsidRPr="00891C08" w:rsidRDefault="00891C08" w:rsidP="00891C08">
      <w:pPr>
        <w:pStyle w:val="NormalnyWeb"/>
        <w:tabs>
          <w:tab w:val="left" w:pos="284"/>
        </w:tabs>
        <w:spacing w:beforeAutospacing="0" w:after="120" w:afterAutospacing="0" w:line="360" w:lineRule="auto"/>
        <w:ind w:firstLine="284"/>
        <w:jc w:val="both"/>
        <w:rPr>
          <w:rFonts w:ascii="Arial" w:hAnsi="Arial" w:cs="Arial"/>
        </w:rPr>
      </w:pPr>
      <w:r w:rsidRPr="00891C08">
        <w:rPr>
          <w:rFonts w:ascii="Arial" w:hAnsi="Arial" w:cs="Arial"/>
        </w:rPr>
        <w:t>Wskaźniki z grupy „E” wykazywały stałą tendencję spadkową w latach 2015-2018, po czym w</w:t>
      </w:r>
      <w:r>
        <w:rPr>
          <w:rFonts w:ascii="Arial" w:hAnsi="Arial" w:cs="Arial"/>
        </w:rPr>
        <w:t> </w:t>
      </w:r>
      <w:r w:rsidRPr="00891C08">
        <w:rPr>
          <w:rFonts w:ascii="Arial" w:hAnsi="Arial" w:cs="Arial"/>
        </w:rPr>
        <w:t xml:space="preserve">roku 2019 nastąpił skokowy, około dwukrotny wzrost wskaźników struktury i wielkości sprzedaży. Przyczyną wzrostu wskaźników był skokowy wzrost sprzedaży w 2019r. </w:t>
      </w:r>
      <w:proofErr w:type="spellStart"/>
      <w:r w:rsidRPr="00891C08">
        <w:rPr>
          <w:rFonts w:ascii="Arial" w:hAnsi="Arial" w:cs="Arial"/>
        </w:rPr>
        <w:t>chloropiryfosu</w:t>
      </w:r>
      <w:proofErr w:type="spellEnd"/>
      <w:r w:rsidRPr="00891C08">
        <w:rPr>
          <w:rFonts w:ascii="Arial" w:hAnsi="Arial" w:cs="Arial"/>
        </w:rPr>
        <w:t xml:space="preserve"> będącego jedną </w:t>
      </w:r>
      <w:r w:rsidRPr="00891C08">
        <w:rPr>
          <w:rFonts w:ascii="Arial" w:hAnsi="Arial" w:cs="Arial"/>
        </w:rPr>
        <w:lastRenderedPageBreak/>
        <w:t>z</w:t>
      </w:r>
      <w:r w:rsidR="005445BE">
        <w:rPr>
          <w:rFonts w:ascii="Arial" w:hAnsi="Arial" w:cs="Arial"/>
        </w:rPr>
        <w:t> </w:t>
      </w:r>
      <w:r w:rsidRPr="00891C08">
        <w:rPr>
          <w:rFonts w:ascii="Arial" w:hAnsi="Arial" w:cs="Arial"/>
        </w:rPr>
        <w:t xml:space="preserve">substancji priorytetowych w dziedzinie polityki wodnej. W 2020 </w:t>
      </w:r>
      <w:r w:rsidR="005445BE">
        <w:rPr>
          <w:rFonts w:ascii="Arial" w:hAnsi="Arial" w:cs="Arial"/>
        </w:rPr>
        <w:t xml:space="preserve">r. </w:t>
      </w:r>
      <w:r w:rsidRPr="00891C08">
        <w:rPr>
          <w:rFonts w:ascii="Arial" w:hAnsi="Arial" w:cs="Arial"/>
        </w:rPr>
        <w:t xml:space="preserve">po wycofaniu chloropyrifosu ze sprzedaży wartość wskaźnika spadła prawie 10-krotnie. W 2021 </w:t>
      </w:r>
      <w:r w:rsidR="008B532E">
        <w:rPr>
          <w:rFonts w:ascii="Arial" w:hAnsi="Arial" w:cs="Arial"/>
        </w:rPr>
        <w:t xml:space="preserve">r. </w:t>
      </w:r>
      <w:r w:rsidRPr="00891C08">
        <w:rPr>
          <w:rFonts w:ascii="Arial" w:hAnsi="Arial" w:cs="Arial"/>
        </w:rPr>
        <w:t>sprzedaż substancji priorytetowych w dziedzinie polityki wodnej stanowiła 0,68% całości sprzedaży i była nieco niższa niż w</w:t>
      </w:r>
      <w:r>
        <w:rPr>
          <w:rFonts w:ascii="Arial" w:hAnsi="Arial" w:cs="Arial"/>
        </w:rPr>
        <w:t> </w:t>
      </w:r>
      <w:r w:rsidRPr="00891C08">
        <w:rPr>
          <w:rFonts w:ascii="Arial" w:hAnsi="Arial" w:cs="Arial"/>
        </w:rPr>
        <w:t xml:space="preserve"> 2020</w:t>
      </w:r>
      <w:r w:rsidR="005445BE">
        <w:rPr>
          <w:rFonts w:ascii="Arial" w:hAnsi="Arial" w:cs="Arial"/>
        </w:rPr>
        <w:t xml:space="preserve"> r</w:t>
      </w:r>
      <w:r w:rsidRPr="00891C08">
        <w:rPr>
          <w:rFonts w:ascii="Arial" w:hAnsi="Arial" w:cs="Arial"/>
        </w:rPr>
        <w:t>.</w:t>
      </w:r>
    </w:p>
    <w:p w14:paraId="4A9ED258" w14:textId="224E1032" w:rsidR="00891C08" w:rsidRDefault="00891C08" w:rsidP="00891C08">
      <w:pPr>
        <w:pStyle w:val="NormalnyWeb"/>
        <w:tabs>
          <w:tab w:val="left" w:pos="284"/>
        </w:tabs>
        <w:spacing w:beforeAutospacing="0" w:after="120" w:afterAutospacing="0" w:line="360" w:lineRule="auto"/>
        <w:ind w:firstLine="284"/>
        <w:jc w:val="both"/>
        <w:rPr>
          <w:rFonts w:ascii="Arial" w:hAnsi="Arial" w:cs="Arial"/>
        </w:rPr>
      </w:pPr>
      <w:r w:rsidRPr="00891C08">
        <w:rPr>
          <w:rFonts w:ascii="Arial" w:hAnsi="Arial" w:cs="Arial"/>
        </w:rPr>
        <w:t xml:space="preserve">W grupie wskaźników „F” miał miejsce wzrost wielkości sprzedaży substancji czynnych wymagających programów monitorowania (3141,12 Mg – 11,65% całości sprzedaży). W sprzedaży w  2021 </w:t>
      </w:r>
      <w:r w:rsidR="008B532E">
        <w:rPr>
          <w:rFonts w:ascii="Arial" w:hAnsi="Arial" w:cs="Arial"/>
        </w:rPr>
        <w:t xml:space="preserve">r. </w:t>
      </w:r>
      <w:r w:rsidRPr="00891C08">
        <w:rPr>
          <w:rFonts w:ascii="Arial" w:hAnsi="Arial" w:cs="Arial"/>
        </w:rPr>
        <w:t xml:space="preserve">znajdowało się 15 takich substancji. Wpływ na wzrost miała zwiększona w stosunku do poprzedniego roku sprzedaż kaptanu i </w:t>
      </w:r>
      <w:proofErr w:type="spellStart"/>
      <w:r w:rsidRPr="00891C08">
        <w:rPr>
          <w:rFonts w:ascii="Arial" w:hAnsi="Arial" w:cs="Arial"/>
        </w:rPr>
        <w:t>metazachloru</w:t>
      </w:r>
      <w:proofErr w:type="spellEnd"/>
      <w:r w:rsidRPr="00891C08">
        <w:rPr>
          <w:rFonts w:ascii="Arial" w:hAnsi="Arial" w:cs="Arial"/>
        </w:rPr>
        <w:t>.</w:t>
      </w:r>
    </w:p>
    <w:p w14:paraId="14F36A42" w14:textId="77777777" w:rsidR="00891C08" w:rsidRPr="00891C08" w:rsidRDefault="00891C08" w:rsidP="00891C08">
      <w:pPr>
        <w:spacing w:after="0" w:line="360" w:lineRule="auto"/>
        <w:jc w:val="both"/>
        <w:rPr>
          <w:rFonts w:ascii="Arial" w:eastAsia="Times New Roman" w:hAnsi="Arial" w:cs="Arial"/>
          <w:b/>
          <w:sz w:val="20"/>
          <w:szCs w:val="20"/>
          <w:lang w:eastAsia="pl-PL"/>
        </w:rPr>
      </w:pPr>
      <w:r w:rsidRPr="00891C08">
        <w:rPr>
          <w:rFonts w:ascii="Arial" w:eastAsia="Times New Roman" w:hAnsi="Arial" w:cs="Arial"/>
          <w:b/>
          <w:sz w:val="20"/>
          <w:szCs w:val="20"/>
          <w:lang w:eastAsia="pl-PL"/>
        </w:rPr>
        <w:t>5.1. Zharmonizowany wskaźnika ryzyka HRI nr 1 (HRI1) – lata 2011-2020</w:t>
      </w:r>
    </w:p>
    <w:p w14:paraId="59400FEF" w14:textId="7AAC09F9" w:rsidR="00891C08" w:rsidRPr="00891C08" w:rsidRDefault="00891C08" w:rsidP="00891C08">
      <w:pPr>
        <w:pStyle w:val="NormalnyWeb"/>
        <w:tabs>
          <w:tab w:val="left" w:pos="284"/>
        </w:tabs>
        <w:spacing w:beforeAutospacing="0" w:after="120" w:afterAutospacing="0" w:line="360" w:lineRule="auto"/>
        <w:ind w:firstLine="284"/>
        <w:jc w:val="both"/>
        <w:rPr>
          <w:rFonts w:ascii="Arial" w:hAnsi="Arial" w:cs="Arial"/>
        </w:rPr>
      </w:pPr>
      <w:r w:rsidRPr="00891C08">
        <w:rPr>
          <w:rFonts w:ascii="Arial" w:hAnsi="Arial" w:cs="Arial"/>
        </w:rPr>
        <w:t xml:space="preserve">Zharmonizowany wskaźnik ryzyka pestycydowego HRI1 według swojej definicji ma pokazywać trend zmiany wielkości i struktury sprzedaży środków ochrony roślin w odniesieniu do okresu bazowego 2011-2013. W tabeli </w:t>
      </w:r>
      <w:r w:rsidR="00F55E0E">
        <w:rPr>
          <w:rFonts w:ascii="Arial" w:hAnsi="Arial" w:cs="Arial"/>
        </w:rPr>
        <w:t>poniżej</w:t>
      </w:r>
      <w:r w:rsidRPr="00891C08">
        <w:rPr>
          <w:rFonts w:ascii="Arial" w:hAnsi="Arial" w:cs="Arial"/>
        </w:rPr>
        <w:t xml:space="preserve"> i na rysunku 1 zaprezentowano opublikowane przez Komisję Europejską wyliczenia wskaźnika HRI1 według klasyfikacji substancji z 2020</w:t>
      </w:r>
      <w:r w:rsidR="00F55E0E">
        <w:rPr>
          <w:rFonts w:ascii="Arial" w:hAnsi="Arial" w:cs="Arial"/>
        </w:rPr>
        <w:t xml:space="preserve"> r.</w:t>
      </w:r>
      <w:r w:rsidRPr="00891C08">
        <w:rPr>
          <w:rFonts w:ascii="Arial" w:hAnsi="Arial" w:cs="Arial"/>
        </w:rPr>
        <w:t xml:space="preserve"> Wartość wskaźnika dla Polski w 2020 </w:t>
      </w:r>
      <w:r w:rsidR="008B532E">
        <w:rPr>
          <w:rFonts w:ascii="Arial" w:hAnsi="Arial" w:cs="Arial"/>
        </w:rPr>
        <w:t xml:space="preserve">r. </w:t>
      </w:r>
      <w:r w:rsidRPr="00891C08">
        <w:rPr>
          <w:rFonts w:ascii="Arial" w:hAnsi="Arial" w:cs="Arial"/>
        </w:rPr>
        <w:t>wynosi 83 i wzrosła o 2 w stosunku do 2019</w:t>
      </w:r>
      <w:r w:rsidR="008B532E">
        <w:rPr>
          <w:rFonts w:ascii="Arial" w:hAnsi="Arial" w:cs="Arial"/>
        </w:rPr>
        <w:t xml:space="preserve"> r</w:t>
      </w:r>
      <w:r w:rsidRPr="00891C08">
        <w:rPr>
          <w:rFonts w:ascii="Arial" w:hAnsi="Arial" w:cs="Arial"/>
        </w:rPr>
        <w:t>.</w:t>
      </w:r>
    </w:p>
    <w:p w14:paraId="482553E1" w14:textId="77777777" w:rsidR="00E436EE" w:rsidRDefault="00E436EE" w:rsidP="007B3C2D">
      <w:pPr>
        <w:spacing w:before="120" w:after="240" w:line="240" w:lineRule="auto"/>
        <w:ind w:left="993" w:hanging="993"/>
        <w:jc w:val="center"/>
        <w:rPr>
          <w:rFonts w:ascii="Arial" w:eastAsia="Times New Roman" w:hAnsi="Arial" w:cs="Arial"/>
          <w:i/>
          <w:sz w:val="20"/>
          <w:szCs w:val="20"/>
          <w:lang w:eastAsia="pl-PL"/>
        </w:rPr>
      </w:pPr>
    </w:p>
    <w:p w14:paraId="02DB91F4" w14:textId="77777777" w:rsidR="00E436EE" w:rsidRDefault="00E436EE" w:rsidP="007B3C2D">
      <w:pPr>
        <w:spacing w:before="120" w:after="240" w:line="240" w:lineRule="auto"/>
        <w:ind w:left="993" w:hanging="993"/>
        <w:jc w:val="center"/>
        <w:rPr>
          <w:rFonts w:ascii="Arial" w:eastAsia="Times New Roman" w:hAnsi="Arial" w:cs="Arial"/>
          <w:i/>
          <w:sz w:val="20"/>
          <w:szCs w:val="20"/>
          <w:lang w:eastAsia="pl-PL"/>
        </w:rPr>
      </w:pPr>
    </w:p>
    <w:p w14:paraId="538F3CED" w14:textId="77777777" w:rsidR="00E436EE" w:rsidRDefault="00E436EE" w:rsidP="007B3C2D">
      <w:pPr>
        <w:spacing w:before="120" w:after="240" w:line="240" w:lineRule="auto"/>
        <w:ind w:left="993" w:hanging="993"/>
        <w:jc w:val="center"/>
        <w:rPr>
          <w:rFonts w:ascii="Arial" w:eastAsia="Times New Roman" w:hAnsi="Arial" w:cs="Arial"/>
          <w:i/>
          <w:sz w:val="20"/>
          <w:szCs w:val="20"/>
          <w:lang w:eastAsia="pl-PL"/>
        </w:rPr>
      </w:pPr>
    </w:p>
    <w:p w14:paraId="6E702BC0" w14:textId="3C7AF17E" w:rsidR="00891C08" w:rsidRDefault="00891C08" w:rsidP="007B3C2D">
      <w:pPr>
        <w:spacing w:before="120" w:after="240" w:line="240" w:lineRule="auto"/>
        <w:ind w:left="993" w:hanging="993"/>
        <w:jc w:val="center"/>
        <w:rPr>
          <w:rFonts w:ascii="Arial" w:eastAsia="Times New Roman" w:hAnsi="Arial" w:cs="Arial"/>
          <w:i/>
          <w:sz w:val="20"/>
          <w:szCs w:val="20"/>
          <w:lang w:eastAsia="pl-PL"/>
        </w:rPr>
      </w:pPr>
      <w:r w:rsidRPr="00F55E0E">
        <w:rPr>
          <w:rFonts w:ascii="Arial" w:eastAsia="Times New Roman" w:hAnsi="Arial" w:cs="Arial"/>
          <w:i/>
          <w:sz w:val="20"/>
          <w:szCs w:val="20"/>
          <w:lang w:eastAsia="pl-PL"/>
        </w:rPr>
        <w:t>Zharmonizowany wskaźnik ryzyka pestycydowego HRI1 – lata 2011-2020)</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58"/>
        <w:gridCol w:w="772"/>
        <w:gridCol w:w="772"/>
        <w:gridCol w:w="772"/>
        <w:gridCol w:w="772"/>
        <w:gridCol w:w="772"/>
        <w:gridCol w:w="772"/>
        <w:gridCol w:w="772"/>
        <w:gridCol w:w="772"/>
        <w:gridCol w:w="772"/>
        <w:gridCol w:w="773"/>
      </w:tblGrid>
      <w:tr w:rsidR="00891C08" w:rsidRPr="00F55E0E" w14:paraId="0307CFD2" w14:textId="77777777" w:rsidTr="007B3C2D">
        <w:trPr>
          <w:trHeight w:val="325"/>
        </w:trPr>
        <w:tc>
          <w:tcPr>
            <w:tcW w:w="1858" w:type="dxa"/>
            <w:shd w:val="clear" w:color="auto" w:fill="auto"/>
            <w:noWrap/>
            <w:vAlign w:val="center"/>
            <w:hideMark/>
          </w:tcPr>
          <w:p w14:paraId="604B640D" w14:textId="77777777" w:rsidR="00891C08" w:rsidRPr="00F55E0E" w:rsidRDefault="00891C08" w:rsidP="00891C08">
            <w:pPr>
              <w:spacing w:after="0" w:line="240" w:lineRule="auto"/>
              <w:jc w:val="both"/>
              <w:rPr>
                <w:rFonts w:ascii="Times New Roman" w:eastAsia="Times New Roman" w:hAnsi="Times New Roman" w:cs="Times New Roman"/>
                <w:bCs/>
                <w:sz w:val="24"/>
                <w:szCs w:val="24"/>
                <w:lang w:eastAsia="pl-PL"/>
              </w:rPr>
            </w:pPr>
          </w:p>
        </w:tc>
        <w:tc>
          <w:tcPr>
            <w:tcW w:w="772" w:type="dxa"/>
            <w:shd w:val="clear" w:color="auto" w:fill="auto"/>
            <w:noWrap/>
            <w:vAlign w:val="center"/>
            <w:hideMark/>
          </w:tcPr>
          <w:p w14:paraId="474A37F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2011</w:t>
            </w:r>
          </w:p>
        </w:tc>
        <w:tc>
          <w:tcPr>
            <w:tcW w:w="772" w:type="dxa"/>
            <w:shd w:val="clear" w:color="auto" w:fill="auto"/>
            <w:noWrap/>
            <w:vAlign w:val="center"/>
            <w:hideMark/>
          </w:tcPr>
          <w:p w14:paraId="0550DDA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2012</w:t>
            </w:r>
          </w:p>
        </w:tc>
        <w:tc>
          <w:tcPr>
            <w:tcW w:w="772" w:type="dxa"/>
            <w:shd w:val="clear" w:color="auto" w:fill="auto"/>
            <w:noWrap/>
            <w:vAlign w:val="center"/>
            <w:hideMark/>
          </w:tcPr>
          <w:p w14:paraId="0A537BD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2013</w:t>
            </w:r>
          </w:p>
        </w:tc>
        <w:tc>
          <w:tcPr>
            <w:tcW w:w="772" w:type="dxa"/>
            <w:shd w:val="clear" w:color="auto" w:fill="auto"/>
            <w:noWrap/>
            <w:vAlign w:val="center"/>
            <w:hideMark/>
          </w:tcPr>
          <w:p w14:paraId="3FC21DA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2014</w:t>
            </w:r>
          </w:p>
        </w:tc>
        <w:tc>
          <w:tcPr>
            <w:tcW w:w="772" w:type="dxa"/>
            <w:shd w:val="clear" w:color="auto" w:fill="auto"/>
            <w:noWrap/>
            <w:vAlign w:val="center"/>
            <w:hideMark/>
          </w:tcPr>
          <w:p w14:paraId="14F94F6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2015</w:t>
            </w:r>
          </w:p>
        </w:tc>
        <w:tc>
          <w:tcPr>
            <w:tcW w:w="772" w:type="dxa"/>
            <w:shd w:val="clear" w:color="auto" w:fill="auto"/>
            <w:noWrap/>
            <w:vAlign w:val="center"/>
            <w:hideMark/>
          </w:tcPr>
          <w:p w14:paraId="3B67652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2016</w:t>
            </w:r>
          </w:p>
        </w:tc>
        <w:tc>
          <w:tcPr>
            <w:tcW w:w="772" w:type="dxa"/>
            <w:shd w:val="clear" w:color="auto" w:fill="auto"/>
            <w:noWrap/>
            <w:vAlign w:val="center"/>
            <w:hideMark/>
          </w:tcPr>
          <w:p w14:paraId="089F668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2017</w:t>
            </w:r>
          </w:p>
        </w:tc>
        <w:tc>
          <w:tcPr>
            <w:tcW w:w="772" w:type="dxa"/>
            <w:shd w:val="clear" w:color="auto" w:fill="auto"/>
            <w:noWrap/>
            <w:vAlign w:val="center"/>
            <w:hideMark/>
          </w:tcPr>
          <w:p w14:paraId="662C093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2018</w:t>
            </w:r>
          </w:p>
        </w:tc>
        <w:tc>
          <w:tcPr>
            <w:tcW w:w="772" w:type="dxa"/>
            <w:vAlign w:val="center"/>
          </w:tcPr>
          <w:p w14:paraId="426ACFE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2019</w:t>
            </w:r>
          </w:p>
        </w:tc>
        <w:tc>
          <w:tcPr>
            <w:tcW w:w="773" w:type="dxa"/>
            <w:vAlign w:val="center"/>
          </w:tcPr>
          <w:p w14:paraId="16B6EF5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2020</w:t>
            </w:r>
          </w:p>
        </w:tc>
      </w:tr>
      <w:tr w:rsidR="00891C08" w:rsidRPr="00F55E0E" w14:paraId="03880B75" w14:textId="77777777" w:rsidTr="007B3C2D">
        <w:trPr>
          <w:trHeight w:val="325"/>
        </w:trPr>
        <w:tc>
          <w:tcPr>
            <w:tcW w:w="1858" w:type="dxa"/>
            <w:shd w:val="clear" w:color="auto" w:fill="auto"/>
            <w:noWrap/>
            <w:vAlign w:val="center"/>
            <w:hideMark/>
          </w:tcPr>
          <w:p w14:paraId="5DBC5326"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Unia Europejska</w:t>
            </w:r>
          </w:p>
        </w:tc>
        <w:tc>
          <w:tcPr>
            <w:tcW w:w="772" w:type="dxa"/>
            <w:shd w:val="clear" w:color="auto" w:fill="auto"/>
            <w:noWrap/>
            <w:vAlign w:val="center"/>
            <w:hideMark/>
          </w:tcPr>
          <w:p w14:paraId="1CCECAED"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110</w:t>
            </w:r>
          </w:p>
        </w:tc>
        <w:tc>
          <w:tcPr>
            <w:tcW w:w="772" w:type="dxa"/>
            <w:shd w:val="clear" w:color="auto" w:fill="auto"/>
            <w:noWrap/>
            <w:vAlign w:val="center"/>
            <w:hideMark/>
          </w:tcPr>
          <w:p w14:paraId="444BA2B7"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97</w:t>
            </w:r>
          </w:p>
        </w:tc>
        <w:tc>
          <w:tcPr>
            <w:tcW w:w="772" w:type="dxa"/>
            <w:shd w:val="clear" w:color="auto" w:fill="auto"/>
            <w:noWrap/>
            <w:vAlign w:val="center"/>
            <w:hideMark/>
          </w:tcPr>
          <w:p w14:paraId="24AE1E4C"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93</w:t>
            </w:r>
          </w:p>
        </w:tc>
        <w:tc>
          <w:tcPr>
            <w:tcW w:w="772" w:type="dxa"/>
            <w:shd w:val="clear" w:color="auto" w:fill="auto"/>
            <w:noWrap/>
            <w:vAlign w:val="center"/>
            <w:hideMark/>
          </w:tcPr>
          <w:p w14:paraId="46CD1EF4"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95</w:t>
            </w:r>
          </w:p>
        </w:tc>
        <w:tc>
          <w:tcPr>
            <w:tcW w:w="772" w:type="dxa"/>
            <w:shd w:val="clear" w:color="auto" w:fill="auto"/>
            <w:noWrap/>
            <w:vAlign w:val="center"/>
            <w:hideMark/>
          </w:tcPr>
          <w:p w14:paraId="46294C35"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97</w:t>
            </w:r>
          </w:p>
        </w:tc>
        <w:tc>
          <w:tcPr>
            <w:tcW w:w="772" w:type="dxa"/>
            <w:shd w:val="clear" w:color="auto" w:fill="auto"/>
            <w:noWrap/>
            <w:vAlign w:val="center"/>
            <w:hideMark/>
          </w:tcPr>
          <w:p w14:paraId="395D77BA"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92</w:t>
            </w:r>
          </w:p>
        </w:tc>
        <w:tc>
          <w:tcPr>
            <w:tcW w:w="772" w:type="dxa"/>
            <w:shd w:val="clear" w:color="auto" w:fill="auto"/>
            <w:noWrap/>
            <w:vAlign w:val="center"/>
            <w:hideMark/>
          </w:tcPr>
          <w:p w14:paraId="51C6F8AE"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83</w:t>
            </w:r>
          </w:p>
        </w:tc>
        <w:tc>
          <w:tcPr>
            <w:tcW w:w="772" w:type="dxa"/>
            <w:shd w:val="clear" w:color="auto" w:fill="auto"/>
            <w:noWrap/>
            <w:vAlign w:val="center"/>
            <w:hideMark/>
          </w:tcPr>
          <w:p w14:paraId="593F0A72"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83</w:t>
            </w:r>
          </w:p>
        </w:tc>
        <w:tc>
          <w:tcPr>
            <w:tcW w:w="772" w:type="dxa"/>
            <w:vAlign w:val="center"/>
          </w:tcPr>
          <w:p w14:paraId="62808C15"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79</w:t>
            </w:r>
          </w:p>
        </w:tc>
        <w:tc>
          <w:tcPr>
            <w:tcW w:w="773" w:type="dxa"/>
            <w:vAlign w:val="center"/>
          </w:tcPr>
          <w:p w14:paraId="788AE535"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78</w:t>
            </w:r>
          </w:p>
        </w:tc>
      </w:tr>
      <w:tr w:rsidR="00891C08" w:rsidRPr="00F55E0E" w14:paraId="60BF8453" w14:textId="77777777" w:rsidTr="007B3C2D">
        <w:trPr>
          <w:trHeight w:val="325"/>
        </w:trPr>
        <w:tc>
          <w:tcPr>
            <w:tcW w:w="1858" w:type="dxa"/>
            <w:shd w:val="clear" w:color="auto" w:fill="auto"/>
            <w:noWrap/>
            <w:vAlign w:val="center"/>
            <w:hideMark/>
          </w:tcPr>
          <w:p w14:paraId="152C3BE2"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Austria</w:t>
            </w:r>
          </w:p>
        </w:tc>
        <w:tc>
          <w:tcPr>
            <w:tcW w:w="772" w:type="dxa"/>
            <w:shd w:val="clear" w:color="auto" w:fill="auto"/>
            <w:noWrap/>
            <w:vAlign w:val="center"/>
            <w:hideMark/>
          </w:tcPr>
          <w:p w14:paraId="5D01FF4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102</w:t>
            </w:r>
          </w:p>
        </w:tc>
        <w:tc>
          <w:tcPr>
            <w:tcW w:w="772" w:type="dxa"/>
            <w:shd w:val="clear" w:color="auto" w:fill="auto"/>
            <w:noWrap/>
            <w:vAlign w:val="center"/>
            <w:hideMark/>
          </w:tcPr>
          <w:p w14:paraId="30AC21A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106</w:t>
            </w:r>
          </w:p>
        </w:tc>
        <w:tc>
          <w:tcPr>
            <w:tcW w:w="772" w:type="dxa"/>
            <w:shd w:val="clear" w:color="auto" w:fill="auto"/>
            <w:noWrap/>
            <w:vAlign w:val="center"/>
            <w:hideMark/>
          </w:tcPr>
          <w:p w14:paraId="56933CE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92</w:t>
            </w:r>
          </w:p>
        </w:tc>
        <w:tc>
          <w:tcPr>
            <w:tcW w:w="772" w:type="dxa"/>
            <w:shd w:val="clear" w:color="auto" w:fill="auto"/>
            <w:noWrap/>
            <w:vAlign w:val="center"/>
            <w:hideMark/>
          </w:tcPr>
          <w:p w14:paraId="69958B0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95</w:t>
            </w:r>
          </w:p>
        </w:tc>
        <w:tc>
          <w:tcPr>
            <w:tcW w:w="772" w:type="dxa"/>
            <w:shd w:val="clear" w:color="auto" w:fill="auto"/>
            <w:noWrap/>
            <w:vAlign w:val="center"/>
            <w:hideMark/>
          </w:tcPr>
          <w:p w14:paraId="2904064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101</w:t>
            </w:r>
          </w:p>
        </w:tc>
        <w:tc>
          <w:tcPr>
            <w:tcW w:w="772" w:type="dxa"/>
            <w:shd w:val="clear" w:color="auto" w:fill="auto"/>
            <w:noWrap/>
            <w:vAlign w:val="center"/>
            <w:hideMark/>
          </w:tcPr>
          <w:p w14:paraId="1A70BC9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115</w:t>
            </w:r>
          </w:p>
        </w:tc>
        <w:tc>
          <w:tcPr>
            <w:tcW w:w="772" w:type="dxa"/>
            <w:shd w:val="clear" w:color="auto" w:fill="auto"/>
            <w:noWrap/>
            <w:vAlign w:val="center"/>
            <w:hideMark/>
          </w:tcPr>
          <w:p w14:paraId="7200941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116</w:t>
            </w:r>
          </w:p>
        </w:tc>
        <w:tc>
          <w:tcPr>
            <w:tcW w:w="772" w:type="dxa"/>
            <w:shd w:val="clear" w:color="auto" w:fill="auto"/>
            <w:noWrap/>
            <w:vAlign w:val="center"/>
            <w:hideMark/>
          </w:tcPr>
          <w:p w14:paraId="1B3D69D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129</w:t>
            </w:r>
          </w:p>
        </w:tc>
        <w:tc>
          <w:tcPr>
            <w:tcW w:w="772" w:type="dxa"/>
            <w:vAlign w:val="center"/>
          </w:tcPr>
          <w:p w14:paraId="1E12BF0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121</w:t>
            </w:r>
          </w:p>
        </w:tc>
        <w:tc>
          <w:tcPr>
            <w:tcW w:w="773" w:type="dxa"/>
            <w:vAlign w:val="center"/>
          </w:tcPr>
          <w:p w14:paraId="5036C8B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135</w:t>
            </w:r>
          </w:p>
        </w:tc>
      </w:tr>
      <w:tr w:rsidR="00891C08" w:rsidRPr="00F55E0E" w14:paraId="4AF6CA6A" w14:textId="77777777" w:rsidTr="007B3C2D">
        <w:trPr>
          <w:trHeight w:val="325"/>
        </w:trPr>
        <w:tc>
          <w:tcPr>
            <w:tcW w:w="1858" w:type="dxa"/>
            <w:shd w:val="clear" w:color="auto" w:fill="auto"/>
            <w:noWrap/>
            <w:vAlign w:val="center"/>
            <w:hideMark/>
          </w:tcPr>
          <w:p w14:paraId="2E444E8D"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Belgia</w:t>
            </w:r>
          </w:p>
        </w:tc>
        <w:tc>
          <w:tcPr>
            <w:tcW w:w="772" w:type="dxa"/>
            <w:shd w:val="clear" w:color="auto" w:fill="auto"/>
            <w:noWrap/>
            <w:vAlign w:val="center"/>
            <w:hideMark/>
          </w:tcPr>
          <w:p w14:paraId="0D864E5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102</w:t>
            </w:r>
          </w:p>
        </w:tc>
        <w:tc>
          <w:tcPr>
            <w:tcW w:w="772" w:type="dxa"/>
            <w:shd w:val="clear" w:color="auto" w:fill="auto"/>
            <w:noWrap/>
            <w:vAlign w:val="center"/>
            <w:hideMark/>
          </w:tcPr>
          <w:p w14:paraId="7479292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104</w:t>
            </w:r>
          </w:p>
        </w:tc>
        <w:tc>
          <w:tcPr>
            <w:tcW w:w="772" w:type="dxa"/>
            <w:shd w:val="clear" w:color="auto" w:fill="auto"/>
            <w:noWrap/>
            <w:vAlign w:val="center"/>
            <w:hideMark/>
          </w:tcPr>
          <w:p w14:paraId="672C1E5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94</w:t>
            </w:r>
          </w:p>
        </w:tc>
        <w:tc>
          <w:tcPr>
            <w:tcW w:w="772" w:type="dxa"/>
            <w:shd w:val="clear" w:color="auto" w:fill="auto"/>
            <w:noWrap/>
            <w:vAlign w:val="center"/>
            <w:hideMark/>
          </w:tcPr>
          <w:p w14:paraId="229609B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106</w:t>
            </w:r>
          </w:p>
        </w:tc>
        <w:tc>
          <w:tcPr>
            <w:tcW w:w="772" w:type="dxa"/>
            <w:shd w:val="clear" w:color="auto" w:fill="auto"/>
            <w:noWrap/>
            <w:vAlign w:val="center"/>
            <w:hideMark/>
          </w:tcPr>
          <w:p w14:paraId="70FE835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96</w:t>
            </w:r>
          </w:p>
        </w:tc>
        <w:tc>
          <w:tcPr>
            <w:tcW w:w="772" w:type="dxa"/>
            <w:shd w:val="clear" w:color="auto" w:fill="auto"/>
            <w:noWrap/>
            <w:vAlign w:val="center"/>
            <w:hideMark/>
          </w:tcPr>
          <w:p w14:paraId="6F01C21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93</w:t>
            </w:r>
          </w:p>
        </w:tc>
        <w:tc>
          <w:tcPr>
            <w:tcW w:w="772" w:type="dxa"/>
            <w:shd w:val="clear" w:color="auto" w:fill="auto"/>
            <w:noWrap/>
            <w:vAlign w:val="center"/>
            <w:hideMark/>
          </w:tcPr>
          <w:p w14:paraId="317F3D8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71</w:t>
            </w:r>
          </w:p>
        </w:tc>
        <w:tc>
          <w:tcPr>
            <w:tcW w:w="772" w:type="dxa"/>
            <w:shd w:val="clear" w:color="auto" w:fill="auto"/>
            <w:noWrap/>
            <w:vAlign w:val="center"/>
            <w:hideMark/>
          </w:tcPr>
          <w:p w14:paraId="796829C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72</w:t>
            </w:r>
          </w:p>
        </w:tc>
        <w:tc>
          <w:tcPr>
            <w:tcW w:w="772" w:type="dxa"/>
            <w:vAlign w:val="center"/>
          </w:tcPr>
          <w:p w14:paraId="2C187B6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66</w:t>
            </w:r>
          </w:p>
        </w:tc>
        <w:tc>
          <w:tcPr>
            <w:tcW w:w="773" w:type="dxa"/>
            <w:vAlign w:val="center"/>
          </w:tcPr>
          <w:p w14:paraId="424422C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58</w:t>
            </w:r>
          </w:p>
        </w:tc>
      </w:tr>
      <w:tr w:rsidR="00891C08" w:rsidRPr="00F55E0E" w14:paraId="590DA81D" w14:textId="77777777" w:rsidTr="007B3C2D">
        <w:trPr>
          <w:trHeight w:val="325"/>
        </w:trPr>
        <w:tc>
          <w:tcPr>
            <w:tcW w:w="1858" w:type="dxa"/>
            <w:shd w:val="clear" w:color="auto" w:fill="auto"/>
            <w:noWrap/>
            <w:vAlign w:val="center"/>
            <w:hideMark/>
          </w:tcPr>
          <w:p w14:paraId="78C01F18"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Bułgaria</w:t>
            </w:r>
          </w:p>
        </w:tc>
        <w:tc>
          <w:tcPr>
            <w:tcW w:w="772" w:type="dxa"/>
            <w:shd w:val="clear" w:color="auto" w:fill="auto"/>
            <w:noWrap/>
            <w:vAlign w:val="center"/>
            <w:hideMark/>
          </w:tcPr>
          <w:p w14:paraId="7D75CCB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242</w:t>
            </w:r>
          </w:p>
        </w:tc>
        <w:tc>
          <w:tcPr>
            <w:tcW w:w="772" w:type="dxa"/>
            <w:shd w:val="clear" w:color="auto" w:fill="auto"/>
            <w:noWrap/>
            <w:vAlign w:val="center"/>
            <w:hideMark/>
          </w:tcPr>
          <w:p w14:paraId="2B3B38A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34</w:t>
            </w:r>
          </w:p>
        </w:tc>
        <w:tc>
          <w:tcPr>
            <w:tcW w:w="772" w:type="dxa"/>
            <w:shd w:val="clear" w:color="auto" w:fill="auto"/>
            <w:noWrap/>
            <w:vAlign w:val="center"/>
            <w:hideMark/>
          </w:tcPr>
          <w:p w14:paraId="19F97D7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24</w:t>
            </w:r>
          </w:p>
        </w:tc>
        <w:tc>
          <w:tcPr>
            <w:tcW w:w="772" w:type="dxa"/>
            <w:shd w:val="clear" w:color="auto" w:fill="auto"/>
            <w:noWrap/>
            <w:vAlign w:val="center"/>
            <w:hideMark/>
          </w:tcPr>
          <w:p w14:paraId="134E2DE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17</w:t>
            </w:r>
          </w:p>
        </w:tc>
        <w:tc>
          <w:tcPr>
            <w:tcW w:w="772" w:type="dxa"/>
            <w:shd w:val="clear" w:color="auto" w:fill="auto"/>
            <w:noWrap/>
            <w:vAlign w:val="center"/>
            <w:hideMark/>
          </w:tcPr>
          <w:p w14:paraId="3944705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27</w:t>
            </w:r>
          </w:p>
        </w:tc>
        <w:tc>
          <w:tcPr>
            <w:tcW w:w="772" w:type="dxa"/>
            <w:shd w:val="clear" w:color="auto" w:fill="auto"/>
            <w:noWrap/>
            <w:vAlign w:val="center"/>
            <w:hideMark/>
          </w:tcPr>
          <w:p w14:paraId="119720B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65</w:t>
            </w:r>
          </w:p>
        </w:tc>
        <w:tc>
          <w:tcPr>
            <w:tcW w:w="772" w:type="dxa"/>
            <w:shd w:val="clear" w:color="auto" w:fill="auto"/>
            <w:noWrap/>
            <w:vAlign w:val="center"/>
            <w:hideMark/>
          </w:tcPr>
          <w:p w14:paraId="6DCDBA4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56</w:t>
            </w:r>
          </w:p>
        </w:tc>
        <w:tc>
          <w:tcPr>
            <w:tcW w:w="772" w:type="dxa"/>
            <w:shd w:val="clear" w:color="auto" w:fill="auto"/>
            <w:noWrap/>
            <w:vAlign w:val="center"/>
            <w:hideMark/>
          </w:tcPr>
          <w:p w14:paraId="08712F4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83</w:t>
            </w:r>
          </w:p>
        </w:tc>
        <w:tc>
          <w:tcPr>
            <w:tcW w:w="772" w:type="dxa"/>
            <w:vAlign w:val="center"/>
          </w:tcPr>
          <w:p w14:paraId="792FBB3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98</w:t>
            </w:r>
          </w:p>
        </w:tc>
        <w:tc>
          <w:tcPr>
            <w:tcW w:w="773" w:type="dxa"/>
            <w:vAlign w:val="center"/>
          </w:tcPr>
          <w:p w14:paraId="372D1F1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65</w:t>
            </w:r>
          </w:p>
        </w:tc>
      </w:tr>
      <w:tr w:rsidR="00891C08" w:rsidRPr="00F55E0E" w14:paraId="1BB2791E" w14:textId="77777777" w:rsidTr="007B3C2D">
        <w:trPr>
          <w:trHeight w:val="325"/>
        </w:trPr>
        <w:tc>
          <w:tcPr>
            <w:tcW w:w="1858" w:type="dxa"/>
            <w:shd w:val="clear" w:color="auto" w:fill="auto"/>
            <w:noWrap/>
            <w:vAlign w:val="center"/>
            <w:hideMark/>
          </w:tcPr>
          <w:p w14:paraId="7BF751AC"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Chorwacja</w:t>
            </w:r>
          </w:p>
        </w:tc>
        <w:tc>
          <w:tcPr>
            <w:tcW w:w="772" w:type="dxa"/>
            <w:shd w:val="clear" w:color="auto" w:fill="auto"/>
            <w:noWrap/>
            <w:vAlign w:val="center"/>
            <w:hideMark/>
          </w:tcPr>
          <w:p w14:paraId="5A053E5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100</w:t>
            </w:r>
          </w:p>
        </w:tc>
        <w:tc>
          <w:tcPr>
            <w:tcW w:w="772" w:type="dxa"/>
            <w:shd w:val="clear" w:color="auto" w:fill="auto"/>
            <w:noWrap/>
            <w:vAlign w:val="center"/>
            <w:hideMark/>
          </w:tcPr>
          <w:p w14:paraId="1634E65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100</w:t>
            </w:r>
          </w:p>
        </w:tc>
        <w:tc>
          <w:tcPr>
            <w:tcW w:w="772" w:type="dxa"/>
            <w:shd w:val="clear" w:color="auto" w:fill="auto"/>
            <w:noWrap/>
            <w:vAlign w:val="center"/>
            <w:hideMark/>
          </w:tcPr>
          <w:p w14:paraId="0674AE6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100</w:t>
            </w:r>
          </w:p>
        </w:tc>
        <w:tc>
          <w:tcPr>
            <w:tcW w:w="772" w:type="dxa"/>
            <w:shd w:val="clear" w:color="auto" w:fill="auto"/>
            <w:noWrap/>
            <w:vAlign w:val="center"/>
            <w:hideMark/>
          </w:tcPr>
          <w:p w14:paraId="4553A4B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95</w:t>
            </w:r>
          </w:p>
        </w:tc>
        <w:tc>
          <w:tcPr>
            <w:tcW w:w="772" w:type="dxa"/>
            <w:shd w:val="clear" w:color="auto" w:fill="auto"/>
            <w:noWrap/>
            <w:vAlign w:val="center"/>
            <w:hideMark/>
          </w:tcPr>
          <w:p w14:paraId="34E317F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87</w:t>
            </w:r>
          </w:p>
        </w:tc>
        <w:tc>
          <w:tcPr>
            <w:tcW w:w="772" w:type="dxa"/>
            <w:shd w:val="clear" w:color="auto" w:fill="auto"/>
            <w:noWrap/>
            <w:vAlign w:val="center"/>
            <w:hideMark/>
          </w:tcPr>
          <w:p w14:paraId="071C030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70</w:t>
            </w:r>
          </w:p>
        </w:tc>
        <w:tc>
          <w:tcPr>
            <w:tcW w:w="772" w:type="dxa"/>
            <w:shd w:val="clear" w:color="auto" w:fill="auto"/>
            <w:noWrap/>
            <w:vAlign w:val="center"/>
            <w:hideMark/>
          </w:tcPr>
          <w:p w14:paraId="58ACED4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59</w:t>
            </w:r>
          </w:p>
        </w:tc>
        <w:tc>
          <w:tcPr>
            <w:tcW w:w="772" w:type="dxa"/>
            <w:shd w:val="clear" w:color="auto" w:fill="auto"/>
            <w:noWrap/>
            <w:vAlign w:val="center"/>
            <w:hideMark/>
          </w:tcPr>
          <w:p w14:paraId="7D17661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62</w:t>
            </w:r>
          </w:p>
        </w:tc>
        <w:tc>
          <w:tcPr>
            <w:tcW w:w="772" w:type="dxa"/>
            <w:vAlign w:val="center"/>
          </w:tcPr>
          <w:p w14:paraId="05B3EA5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55</w:t>
            </w:r>
          </w:p>
        </w:tc>
        <w:tc>
          <w:tcPr>
            <w:tcW w:w="773" w:type="dxa"/>
            <w:vAlign w:val="center"/>
          </w:tcPr>
          <w:p w14:paraId="6231631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56</w:t>
            </w:r>
          </w:p>
        </w:tc>
      </w:tr>
      <w:tr w:rsidR="00891C08" w:rsidRPr="00F55E0E" w14:paraId="7C61425C" w14:textId="77777777" w:rsidTr="007B3C2D">
        <w:trPr>
          <w:trHeight w:val="325"/>
        </w:trPr>
        <w:tc>
          <w:tcPr>
            <w:tcW w:w="1858" w:type="dxa"/>
            <w:shd w:val="clear" w:color="auto" w:fill="auto"/>
            <w:noWrap/>
            <w:vAlign w:val="center"/>
            <w:hideMark/>
          </w:tcPr>
          <w:p w14:paraId="28DD23A1"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Cypr</w:t>
            </w:r>
          </w:p>
        </w:tc>
        <w:tc>
          <w:tcPr>
            <w:tcW w:w="772" w:type="dxa"/>
            <w:shd w:val="clear" w:color="auto" w:fill="auto"/>
            <w:noWrap/>
            <w:vAlign w:val="center"/>
            <w:hideMark/>
          </w:tcPr>
          <w:p w14:paraId="46ACA60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89</w:t>
            </w:r>
          </w:p>
        </w:tc>
        <w:tc>
          <w:tcPr>
            <w:tcW w:w="772" w:type="dxa"/>
            <w:shd w:val="clear" w:color="auto" w:fill="auto"/>
            <w:noWrap/>
            <w:vAlign w:val="center"/>
            <w:hideMark/>
          </w:tcPr>
          <w:p w14:paraId="6869A8B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93</w:t>
            </w:r>
          </w:p>
        </w:tc>
        <w:tc>
          <w:tcPr>
            <w:tcW w:w="772" w:type="dxa"/>
            <w:shd w:val="clear" w:color="auto" w:fill="auto"/>
            <w:noWrap/>
            <w:vAlign w:val="center"/>
            <w:hideMark/>
          </w:tcPr>
          <w:p w14:paraId="387A565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119</w:t>
            </w:r>
          </w:p>
        </w:tc>
        <w:tc>
          <w:tcPr>
            <w:tcW w:w="772" w:type="dxa"/>
            <w:shd w:val="clear" w:color="auto" w:fill="auto"/>
            <w:noWrap/>
            <w:vAlign w:val="center"/>
            <w:hideMark/>
          </w:tcPr>
          <w:p w14:paraId="484F039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130</w:t>
            </w:r>
          </w:p>
        </w:tc>
        <w:tc>
          <w:tcPr>
            <w:tcW w:w="772" w:type="dxa"/>
            <w:shd w:val="clear" w:color="auto" w:fill="auto"/>
            <w:noWrap/>
            <w:vAlign w:val="center"/>
            <w:hideMark/>
          </w:tcPr>
          <w:p w14:paraId="1A4AD78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125</w:t>
            </w:r>
          </w:p>
        </w:tc>
        <w:tc>
          <w:tcPr>
            <w:tcW w:w="772" w:type="dxa"/>
            <w:shd w:val="clear" w:color="auto" w:fill="auto"/>
            <w:noWrap/>
            <w:vAlign w:val="center"/>
            <w:hideMark/>
          </w:tcPr>
          <w:p w14:paraId="443C58E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89</w:t>
            </w:r>
          </w:p>
        </w:tc>
        <w:tc>
          <w:tcPr>
            <w:tcW w:w="772" w:type="dxa"/>
            <w:shd w:val="clear" w:color="auto" w:fill="auto"/>
            <w:noWrap/>
            <w:vAlign w:val="center"/>
            <w:hideMark/>
          </w:tcPr>
          <w:p w14:paraId="5A2B422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134</w:t>
            </w:r>
          </w:p>
        </w:tc>
        <w:tc>
          <w:tcPr>
            <w:tcW w:w="772" w:type="dxa"/>
            <w:shd w:val="clear" w:color="auto" w:fill="auto"/>
            <w:noWrap/>
            <w:vAlign w:val="center"/>
            <w:hideMark/>
          </w:tcPr>
          <w:p w14:paraId="4894A5E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134</w:t>
            </w:r>
          </w:p>
        </w:tc>
        <w:tc>
          <w:tcPr>
            <w:tcW w:w="772" w:type="dxa"/>
            <w:vAlign w:val="center"/>
          </w:tcPr>
          <w:p w14:paraId="09AD9EC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140</w:t>
            </w:r>
          </w:p>
        </w:tc>
        <w:tc>
          <w:tcPr>
            <w:tcW w:w="773" w:type="dxa"/>
            <w:vAlign w:val="center"/>
          </w:tcPr>
          <w:p w14:paraId="64B12EE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93</w:t>
            </w:r>
          </w:p>
        </w:tc>
      </w:tr>
      <w:tr w:rsidR="00891C08" w:rsidRPr="00F55E0E" w14:paraId="6DE241F7" w14:textId="77777777" w:rsidTr="007B3C2D">
        <w:trPr>
          <w:trHeight w:val="325"/>
        </w:trPr>
        <w:tc>
          <w:tcPr>
            <w:tcW w:w="1858" w:type="dxa"/>
            <w:shd w:val="clear" w:color="auto" w:fill="auto"/>
            <w:noWrap/>
            <w:vAlign w:val="center"/>
            <w:hideMark/>
          </w:tcPr>
          <w:p w14:paraId="3A3BB996"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Czechy</w:t>
            </w:r>
          </w:p>
        </w:tc>
        <w:tc>
          <w:tcPr>
            <w:tcW w:w="772" w:type="dxa"/>
            <w:shd w:val="clear" w:color="auto" w:fill="auto"/>
            <w:noWrap/>
            <w:vAlign w:val="center"/>
            <w:hideMark/>
          </w:tcPr>
          <w:p w14:paraId="204B743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123</w:t>
            </w:r>
          </w:p>
        </w:tc>
        <w:tc>
          <w:tcPr>
            <w:tcW w:w="772" w:type="dxa"/>
            <w:shd w:val="clear" w:color="auto" w:fill="auto"/>
            <w:noWrap/>
            <w:vAlign w:val="center"/>
            <w:hideMark/>
          </w:tcPr>
          <w:p w14:paraId="09B5B80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96</w:t>
            </w:r>
          </w:p>
        </w:tc>
        <w:tc>
          <w:tcPr>
            <w:tcW w:w="772" w:type="dxa"/>
            <w:shd w:val="clear" w:color="auto" w:fill="auto"/>
            <w:noWrap/>
            <w:vAlign w:val="center"/>
            <w:hideMark/>
          </w:tcPr>
          <w:p w14:paraId="1B617C7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82</w:t>
            </w:r>
          </w:p>
        </w:tc>
        <w:tc>
          <w:tcPr>
            <w:tcW w:w="772" w:type="dxa"/>
            <w:shd w:val="clear" w:color="auto" w:fill="auto"/>
            <w:noWrap/>
            <w:vAlign w:val="center"/>
            <w:hideMark/>
          </w:tcPr>
          <w:p w14:paraId="05EFF91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75</w:t>
            </w:r>
          </w:p>
        </w:tc>
        <w:tc>
          <w:tcPr>
            <w:tcW w:w="772" w:type="dxa"/>
            <w:shd w:val="clear" w:color="auto" w:fill="auto"/>
            <w:noWrap/>
            <w:vAlign w:val="center"/>
            <w:hideMark/>
          </w:tcPr>
          <w:p w14:paraId="6233620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81</w:t>
            </w:r>
          </w:p>
        </w:tc>
        <w:tc>
          <w:tcPr>
            <w:tcW w:w="772" w:type="dxa"/>
            <w:shd w:val="clear" w:color="auto" w:fill="auto"/>
            <w:noWrap/>
            <w:vAlign w:val="center"/>
            <w:hideMark/>
          </w:tcPr>
          <w:p w14:paraId="6844D11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73</w:t>
            </w:r>
          </w:p>
        </w:tc>
        <w:tc>
          <w:tcPr>
            <w:tcW w:w="772" w:type="dxa"/>
            <w:shd w:val="clear" w:color="auto" w:fill="auto"/>
            <w:noWrap/>
            <w:vAlign w:val="center"/>
            <w:hideMark/>
          </w:tcPr>
          <w:p w14:paraId="3315D5F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65</w:t>
            </w:r>
          </w:p>
        </w:tc>
        <w:tc>
          <w:tcPr>
            <w:tcW w:w="772" w:type="dxa"/>
            <w:shd w:val="clear" w:color="auto" w:fill="auto"/>
            <w:noWrap/>
            <w:vAlign w:val="center"/>
            <w:hideMark/>
          </w:tcPr>
          <w:p w14:paraId="67BF301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61</w:t>
            </w:r>
          </w:p>
        </w:tc>
        <w:tc>
          <w:tcPr>
            <w:tcW w:w="772" w:type="dxa"/>
            <w:vAlign w:val="center"/>
          </w:tcPr>
          <w:p w14:paraId="2CA3B7E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56</w:t>
            </w:r>
          </w:p>
        </w:tc>
        <w:tc>
          <w:tcPr>
            <w:tcW w:w="773" w:type="dxa"/>
            <w:vAlign w:val="center"/>
          </w:tcPr>
          <w:p w14:paraId="1FD29D1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49</w:t>
            </w:r>
          </w:p>
        </w:tc>
      </w:tr>
      <w:tr w:rsidR="00891C08" w:rsidRPr="00F55E0E" w14:paraId="3454D986" w14:textId="77777777" w:rsidTr="007B3C2D">
        <w:trPr>
          <w:trHeight w:val="325"/>
        </w:trPr>
        <w:tc>
          <w:tcPr>
            <w:tcW w:w="1858" w:type="dxa"/>
            <w:shd w:val="clear" w:color="auto" w:fill="auto"/>
            <w:noWrap/>
            <w:vAlign w:val="center"/>
            <w:hideMark/>
          </w:tcPr>
          <w:p w14:paraId="1C09982B"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Dania</w:t>
            </w:r>
          </w:p>
        </w:tc>
        <w:tc>
          <w:tcPr>
            <w:tcW w:w="772" w:type="dxa"/>
            <w:shd w:val="clear" w:color="auto" w:fill="auto"/>
            <w:noWrap/>
            <w:vAlign w:val="center"/>
            <w:hideMark/>
          </w:tcPr>
          <w:p w14:paraId="371F71C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90</w:t>
            </w:r>
          </w:p>
        </w:tc>
        <w:tc>
          <w:tcPr>
            <w:tcW w:w="772" w:type="dxa"/>
            <w:shd w:val="clear" w:color="auto" w:fill="auto"/>
            <w:noWrap/>
            <w:vAlign w:val="center"/>
            <w:hideMark/>
          </w:tcPr>
          <w:p w14:paraId="4C5CB60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123</w:t>
            </w:r>
          </w:p>
        </w:tc>
        <w:tc>
          <w:tcPr>
            <w:tcW w:w="772" w:type="dxa"/>
            <w:shd w:val="clear" w:color="auto" w:fill="auto"/>
            <w:noWrap/>
            <w:vAlign w:val="center"/>
            <w:hideMark/>
          </w:tcPr>
          <w:p w14:paraId="1BC1445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88</w:t>
            </w:r>
          </w:p>
        </w:tc>
        <w:tc>
          <w:tcPr>
            <w:tcW w:w="772" w:type="dxa"/>
            <w:shd w:val="clear" w:color="auto" w:fill="auto"/>
            <w:noWrap/>
            <w:vAlign w:val="center"/>
            <w:hideMark/>
          </w:tcPr>
          <w:p w14:paraId="60670D0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38</w:t>
            </w:r>
          </w:p>
        </w:tc>
        <w:tc>
          <w:tcPr>
            <w:tcW w:w="772" w:type="dxa"/>
            <w:shd w:val="clear" w:color="auto" w:fill="auto"/>
            <w:noWrap/>
            <w:vAlign w:val="center"/>
            <w:hideMark/>
          </w:tcPr>
          <w:p w14:paraId="6C6C90F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51</w:t>
            </w:r>
          </w:p>
        </w:tc>
        <w:tc>
          <w:tcPr>
            <w:tcW w:w="772" w:type="dxa"/>
            <w:shd w:val="clear" w:color="auto" w:fill="auto"/>
            <w:noWrap/>
            <w:vAlign w:val="center"/>
            <w:hideMark/>
          </w:tcPr>
          <w:p w14:paraId="1C01A35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51</w:t>
            </w:r>
          </w:p>
        </w:tc>
        <w:tc>
          <w:tcPr>
            <w:tcW w:w="772" w:type="dxa"/>
            <w:shd w:val="clear" w:color="auto" w:fill="auto"/>
            <w:noWrap/>
            <w:vAlign w:val="center"/>
            <w:hideMark/>
          </w:tcPr>
          <w:p w14:paraId="05E39A7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53</w:t>
            </w:r>
          </w:p>
        </w:tc>
        <w:tc>
          <w:tcPr>
            <w:tcW w:w="772" w:type="dxa"/>
            <w:shd w:val="clear" w:color="auto" w:fill="auto"/>
            <w:noWrap/>
            <w:vAlign w:val="center"/>
            <w:hideMark/>
          </w:tcPr>
          <w:p w14:paraId="07A9B5FA"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52</w:t>
            </w:r>
          </w:p>
        </w:tc>
        <w:tc>
          <w:tcPr>
            <w:tcW w:w="772" w:type="dxa"/>
            <w:vAlign w:val="center"/>
          </w:tcPr>
          <w:p w14:paraId="14B6FD2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53</w:t>
            </w:r>
          </w:p>
        </w:tc>
        <w:tc>
          <w:tcPr>
            <w:tcW w:w="773" w:type="dxa"/>
            <w:vAlign w:val="center"/>
          </w:tcPr>
          <w:p w14:paraId="4B19B58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61</w:t>
            </w:r>
          </w:p>
        </w:tc>
      </w:tr>
      <w:tr w:rsidR="00891C08" w:rsidRPr="00F55E0E" w14:paraId="1B5AB6D9" w14:textId="77777777" w:rsidTr="007B3C2D">
        <w:trPr>
          <w:trHeight w:val="325"/>
        </w:trPr>
        <w:tc>
          <w:tcPr>
            <w:tcW w:w="1858" w:type="dxa"/>
            <w:shd w:val="clear" w:color="auto" w:fill="auto"/>
            <w:noWrap/>
            <w:vAlign w:val="center"/>
            <w:hideMark/>
          </w:tcPr>
          <w:p w14:paraId="3629C458"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Estonia</w:t>
            </w:r>
          </w:p>
        </w:tc>
        <w:tc>
          <w:tcPr>
            <w:tcW w:w="772" w:type="dxa"/>
            <w:shd w:val="clear" w:color="auto" w:fill="auto"/>
            <w:noWrap/>
            <w:vAlign w:val="center"/>
            <w:hideMark/>
          </w:tcPr>
          <w:p w14:paraId="7B5E359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88</w:t>
            </w:r>
          </w:p>
        </w:tc>
        <w:tc>
          <w:tcPr>
            <w:tcW w:w="772" w:type="dxa"/>
            <w:shd w:val="clear" w:color="auto" w:fill="auto"/>
            <w:noWrap/>
            <w:vAlign w:val="center"/>
            <w:hideMark/>
          </w:tcPr>
          <w:p w14:paraId="6839CE1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104</w:t>
            </w:r>
          </w:p>
        </w:tc>
        <w:tc>
          <w:tcPr>
            <w:tcW w:w="772" w:type="dxa"/>
            <w:shd w:val="clear" w:color="auto" w:fill="auto"/>
            <w:noWrap/>
            <w:vAlign w:val="center"/>
            <w:hideMark/>
          </w:tcPr>
          <w:p w14:paraId="0CA4676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108</w:t>
            </w:r>
          </w:p>
        </w:tc>
        <w:tc>
          <w:tcPr>
            <w:tcW w:w="772" w:type="dxa"/>
            <w:shd w:val="clear" w:color="auto" w:fill="auto"/>
            <w:noWrap/>
            <w:vAlign w:val="center"/>
            <w:hideMark/>
          </w:tcPr>
          <w:p w14:paraId="1A20B25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116</w:t>
            </w:r>
          </w:p>
        </w:tc>
        <w:tc>
          <w:tcPr>
            <w:tcW w:w="772" w:type="dxa"/>
            <w:shd w:val="clear" w:color="auto" w:fill="auto"/>
            <w:noWrap/>
            <w:vAlign w:val="center"/>
            <w:hideMark/>
          </w:tcPr>
          <w:p w14:paraId="7366831A"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136</w:t>
            </w:r>
          </w:p>
        </w:tc>
        <w:tc>
          <w:tcPr>
            <w:tcW w:w="772" w:type="dxa"/>
            <w:shd w:val="clear" w:color="auto" w:fill="auto"/>
            <w:noWrap/>
            <w:vAlign w:val="center"/>
            <w:hideMark/>
          </w:tcPr>
          <w:p w14:paraId="3EC071E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171</w:t>
            </w:r>
          </w:p>
        </w:tc>
        <w:tc>
          <w:tcPr>
            <w:tcW w:w="772" w:type="dxa"/>
            <w:shd w:val="clear" w:color="auto" w:fill="auto"/>
            <w:noWrap/>
            <w:vAlign w:val="center"/>
            <w:hideMark/>
          </w:tcPr>
          <w:p w14:paraId="77DFB07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156</w:t>
            </w:r>
          </w:p>
        </w:tc>
        <w:tc>
          <w:tcPr>
            <w:tcW w:w="772" w:type="dxa"/>
            <w:shd w:val="clear" w:color="auto" w:fill="auto"/>
            <w:noWrap/>
            <w:vAlign w:val="center"/>
            <w:hideMark/>
          </w:tcPr>
          <w:p w14:paraId="5B81D2D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131</w:t>
            </w:r>
          </w:p>
        </w:tc>
        <w:tc>
          <w:tcPr>
            <w:tcW w:w="772" w:type="dxa"/>
            <w:vAlign w:val="center"/>
          </w:tcPr>
          <w:p w14:paraId="1E828E0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149</w:t>
            </w:r>
          </w:p>
        </w:tc>
        <w:tc>
          <w:tcPr>
            <w:tcW w:w="773" w:type="dxa"/>
            <w:vAlign w:val="center"/>
          </w:tcPr>
          <w:p w14:paraId="118E4E3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153</w:t>
            </w:r>
          </w:p>
        </w:tc>
      </w:tr>
      <w:tr w:rsidR="00891C08" w:rsidRPr="00F55E0E" w14:paraId="0962D85B" w14:textId="77777777" w:rsidTr="007B3C2D">
        <w:trPr>
          <w:trHeight w:val="325"/>
        </w:trPr>
        <w:tc>
          <w:tcPr>
            <w:tcW w:w="1858" w:type="dxa"/>
            <w:shd w:val="clear" w:color="auto" w:fill="auto"/>
            <w:noWrap/>
            <w:vAlign w:val="center"/>
            <w:hideMark/>
          </w:tcPr>
          <w:p w14:paraId="02255EC7"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Finlandia</w:t>
            </w:r>
          </w:p>
        </w:tc>
        <w:tc>
          <w:tcPr>
            <w:tcW w:w="772" w:type="dxa"/>
            <w:shd w:val="clear" w:color="auto" w:fill="auto"/>
            <w:noWrap/>
            <w:vAlign w:val="center"/>
            <w:hideMark/>
          </w:tcPr>
          <w:p w14:paraId="6EB1B7C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97</w:t>
            </w:r>
          </w:p>
        </w:tc>
        <w:tc>
          <w:tcPr>
            <w:tcW w:w="772" w:type="dxa"/>
            <w:shd w:val="clear" w:color="auto" w:fill="auto"/>
            <w:noWrap/>
            <w:vAlign w:val="center"/>
            <w:hideMark/>
          </w:tcPr>
          <w:p w14:paraId="32E3618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101</w:t>
            </w:r>
          </w:p>
        </w:tc>
        <w:tc>
          <w:tcPr>
            <w:tcW w:w="772" w:type="dxa"/>
            <w:shd w:val="clear" w:color="auto" w:fill="auto"/>
            <w:noWrap/>
            <w:vAlign w:val="center"/>
            <w:hideMark/>
          </w:tcPr>
          <w:p w14:paraId="5822212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101</w:t>
            </w:r>
          </w:p>
        </w:tc>
        <w:tc>
          <w:tcPr>
            <w:tcW w:w="772" w:type="dxa"/>
            <w:shd w:val="clear" w:color="auto" w:fill="auto"/>
            <w:noWrap/>
            <w:vAlign w:val="center"/>
            <w:hideMark/>
          </w:tcPr>
          <w:p w14:paraId="305DF70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109</w:t>
            </w:r>
          </w:p>
        </w:tc>
        <w:tc>
          <w:tcPr>
            <w:tcW w:w="772" w:type="dxa"/>
            <w:shd w:val="clear" w:color="auto" w:fill="auto"/>
            <w:noWrap/>
            <w:vAlign w:val="center"/>
            <w:hideMark/>
          </w:tcPr>
          <w:p w14:paraId="1FDBCEE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126</w:t>
            </w:r>
          </w:p>
        </w:tc>
        <w:tc>
          <w:tcPr>
            <w:tcW w:w="772" w:type="dxa"/>
            <w:shd w:val="clear" w:color="auto" w:fill="auto"/>
            <w:noWrap/>
            <w:vAlign w:val="center"/>
            <w:hideMark/>
          </w:tcPr>
          <w:p w14:paraId="4E9CF5D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137</w:t>
            </w:r>
          </w:p>
        </w:tc>
        <w:tc>
          <w:tcPr>
            <w:tcW w:w="772" w:type="dxa"/>
            <w:shd w:val="clear" w:color="auto" w:fill="auto"/>
            <w:noWrap/>
            <w:vAlign w:val="center"/>
            <w:hideMark/>
          </w:tcPr>
          <w:p w14:paraId="769114D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130</w:t>
            </w:r>
          </w:p>
        </w:tc>
        <w:tc>
          <w:tcPr>
            <w:tcW w:w="772" w:type="dxa"/>
            <w:shd w:val="clear" w:color="auto" w:fill="auto"/>
            <w:noWrap/>
            <w:vAlign w:val="center"/>
            <w:hideMark/>
          </w:tcPr>
          <w:p w14:paraId="36D9A27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144</w:t>
            </w:r>
          </w:p>
        </w:tc>
        <w:tc>
          <w:tcPr>
            <w:tcW w:w="772" w:type="dxa"/>
            <w:vAlign w:val="center"/>
          </w:tcPr>
          <w:p w14:paraId="5639D28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119</w:t>
            </w:r>
          </w:p>
        </w:tc>
        <w:tc>
          <w:tcPr>
            <w:tcW w:w="773" w:type="dxa"/>
            <w:vAlign w:val="center"/>
          </w:tcPr>
          <w:p w14:paraId="034F044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144</w:t>
            </w:r>
          </w:p>
        </w:tc>
      </w:tr>
      <w:tr w:rsidR="00891C08" w:rsidRPr="00F55E0E" w14:paraId="3DEB08EB" w14:textId="77777777" w:rsidTr="007B3C2D">
        <w:trPr>
          <w:trHeight w:val="325"/>
        </w:trPr>
        <w:tc>
          <w:tcPr>
            <w:tcW w:w="1858" w:type="dxa"/>
            <w:shd w:val="clear" w:color="auto" w:fill="auto"/>
            <w:noWrap/>
            <w:vAlign w:val="center"/>
            <w:hideMark/>
          </w:tcPr>
          <w:p w14:paraId="3012CB04"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Francja</w:t>
            </w:r>
          </w:p>
        </w:tc>
        <w:tc>
          <w:tcPr>
            <w:tcW w:w="772" w:type="dxa"/>
            <w:shd w:val="clear" w:color="auto" w:fill="auto"/>
            <w:noWrap/>
            <w:vAlign w:val="center"/>
            <w:hideMark/>
          </w:tcPr>
          <w:p w14:paraId="5C032C8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102</w:t>
            </w:r>
          </w:p>
        </w:tc>
        <w:tc>
          <w:tcPr>
            <w:tcW w:w="772" w:type="dxa"/>
            <w:shd w:val="clear" w:color="auto" w:fill="auto"/>
            <w:noWrap/>
            <w:vAlign w:val="center"/>
            <w:hideMark/>
          </w:tcPr>
          <w:p w14:paraId="00CF86E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99</w:t>
            </w:r>
          </w:p>
        </w:tc>
        <w:tc>
          <w:tcPr>
            <w:tcW w:w="772" w:type="dxa"/>
            <w:shd w:val="clear" w:color="auto" w:fill="auto"/>
            <w:noWrap/>
            <w:vAlign w:val="center"/>
            <w:hideMark/>
          </w:tcPr>
          <w:p w14:paraId="34771DE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99</w:t>
            </w:r>
          </w:p>
        </w:tc>
        <w:tc>
          <w:tcPr>
            <w:tcW w:w="772" w:type="dxa"/>
            <w:shd w:val="clear" w:color="auto" w:fill="auto"/>
            <w:noWrap/>
            <w:vAlign w:val="center"/>
            <w:hideMark/>
          </w:tcPr>
          <w:p w14:paraId="58C282BA"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111</w:t>
            </w:r>
          </w:p>
        </w:tc>
        <w:tc>
          <w:tcPr>
            <w:tcW w:w="772" w:type="dxa"/>
            <w:shd w:val="clear" w:color="auto" w:fill="auto"/>
            <w:noWrap/>
            <w:vAlign w:val="center"/>
            <w:hideMark/>
          </w:tcPr>
          <w:p w14:paraId="391E092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102</w:t>
            </w:r>
          </w:p>
        </w:tc>
        <w:tc>
          <w:tcPr>
            <w:tcW w:w="772" w:type="dxa"/>
            <w:shd w:val="clear" w:color="auto" w:fill="auto"/>
            <w:noWrap/>
            <w:vAlign w:val="center"/>
            <w:hideMark/>
          </w:tcPr>
          <w:p w14:paraId="5052DF3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99</w:t>
            </w:r>
          </w:p>
        </w:tc>
        <w:tc>
          <w:tcPr>
            <w:tcW w:w="772" w:type="dxa"/>
            <w:shd w:val="clear" w:color="auto" w:fill="auto"/>
            <w:noWrap/>
            <w:vAlign w:val="center"/>
            <w:hideMark/>
          </w:tcPr>
          <w:p w14:paraId="1649E89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88</w:t>
            </w:r>
          </w:p>
        </w:tc>
        <w:tc>
          <w:tcPr>
            <w:tcW w:w="772" w:type="dxa"/>
            <w:shd w:val="clear" w:color="auto" w:fill="auto"/>
            <w:noWrap/>
            <w:vAlign w:val="center"/>
            <w:hideMark/>
          </w:tcPr>
          <w:p w14:paraId="2C6DD29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101</w:t>
            </w:r>
          </w:p>
        </w:tc>
        <w:tc>
          <w:tcPr>
            <w:tcW w:w="772" w:type="dxa"/>
            <w:vAlign w:val="center"/>
          </w:tcPr>
          <w:p w14:paraId="0C35830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63</w:t>
            </w:r>
          </w:p>
        </w:tc>
        <w:tc>
          <w:tcPr>
            <w:tcW w:w="773" w:type="dxa"/>
            <w:vAlign w:val="center"/>
          </w:tcPr>
          <w:p w14:paraId="7BEFE9D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76</w:t>
            </w:r>
          </w:p>
        </w:tc>
      </w:tr>
      <w:tr w:rsidR="00891C08" w:rsidRPr="00F55E0E" w14:paraId="703A0BB9" w14:textId="77777777" w:rsidTr="007B3C2D">
        <w:trPr>
          <w:trHeight w:val="325"/>
        </w:trPr>
        <w:tc>
          <w:tcPr>
            <w:tcW w:w="1858" w:type="dxa"/>
            <w:shd w:val="clear" w:color="auto" w:fill="auto"/>
            <w:noWrap/>
            <w:vAlign w:val="center"/>
            <w:hideMark/>
          </w:tcPr>
          <w:p w14:paraId="7CC1E62D"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Grecja</w:t>
            </w:r>
          </w:p>
        </w:tc>
        <w:tc>
          <w:tcPr>
            <w:tcW w:w="772" w:type="dxa"/>
            <w:shd w:val="clear" w:color="auto" w:fill="auto"/>
            <w:noWrap/>
            <w:vAlign w:val="center"/>
            <w:hideMark/>
          </w:tcPr>
          <w:p w14:paraId="35A83F2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84</w:t>
            </w:r>
          </w:p>
        </w:tc>
        <w:tc>
          <w:tcPr>
            <w:tcW w:w="772" w:type="dxa"/>
            <w:shd w:val="clear" w:color="auto" w:fill="auto"/>
            <w:noWrap/>
            <w:vAlign w:val="center"/>
            <w:hideMark/>
          </w:tcPr>
          <w:p w14:paraId="128B060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88</w:t>
            </w:r>
          </w:p>
        </w:tc>
        <w:tc>
          <w:tcPr>
            <w:tcW w:w="772" w:type="dxa"/>
            <w:shd w:val="clear" w:color="auto" w:fill="auto"/>
            <w:noWrap/>
            <w:vAlign w:val="center"/>
            <w:hideMark/>
          </w:tcPr>
          <w:p w14:paraId="7A73B62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128</w:t>
            </w:r>
          </w:p>
        </w:tc>
        <w:tc>
          <w:tcPr>
            <w:tcW w:w="772" w:type="dxa"/>
            <w:shd w:val="clear" w:color="auto" w:fill="auto"/>
            <w:noWrap/>
            <w:vAlign w:val="center"/>
            <w:hideMark/>
          </w:tcPr>
          <w:p w14:paraId="441FCE0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50</w:t>
            </w:r>
          </w:p>
        </w:tc>
        <w:tc>
          <w:tcPr>
            <w:tcW w:w="772" w:type="dxa"/>
            <w:shd w:val="clear" w:color="auto" w:fill="auto"/>
            <w:noWrap/>
            <w:vAlign w:val="center"/>
            <w:hideMark/>
          </w:tcPr>
          <w:p w14:paraId="1330F1D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52</w:t>
            </w:r>
          </w:p>
        </w:tc>
        <w:tc>
          <w:tcPr>
            <w:tcW w:w="772" w:type="dxa"/>
            <w:shd w:val="clear" w:color="auto" w:fill="auto"/>
            <w:noWrap/>
            <w:vAlign w:val="center"/>
            <w:hideMark/>
          </w:tcPr>
          <w:p w14:paraId="57BA772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55</w:t>
            </w:r>
          </w:p>
        </w:tc>
        <w:tc>
          <w:tcPr>
            <w:tcW w:w="772" w:type="dxa"/>
            <w:shd w:val="clear" w:color="auto" w:fill="auto"/>
            <w:noWrap/>
            <w:vAlign w:val="center"/>
            <w:hideMark/>
          </w:tcPr>
          <w:p w14:paraId="277A204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56</w:t>
            </w:r>
          </w:p>
        </w:tc>
        <w:tc>
          <w:tcPr>
            <w:tcW w:w="772" w:type="dxa"/>
            <w:shd w:val="clear" w:color="auto" w:fill="auto"/>
            <w:noWrap/>
            <w:vAlign w:val="center"/>
            <w:hideMark/>
          </w:tcPr>
          <w:p w14:paraId="13345EF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59</w:t>
            </w:r>
          </w:p>
        </w:tc>
        <w:tc>
          <w:tcPr>
            <w:tcW w:w="772" w:type="dxa"/>
            <w:vAlign w:val="center"/>
          </w:tcPr>
          <w:p w14:paraId="5B2B0AA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57</w:t>
            </w:r>
          </w:p>
        </w:tc>
        <w:tc>
          <w:tcPr>
            <w:tcW w:w="773" w:type="dxa"/>
            <w:vAlign w:val="center"/>
          </w:tcPr>
          <w:p w14:paraId="1D44B75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57</w:t>
            </w:r>
          </w:p>
        </w:tc>
      </w:tr>
      <w:tr w:rsidR="00891C08" w:rsidRPr="00F55E0E" w14:paraId="1DDC1564" w14:textId="77777777" w:rsidTr="007B3C2D">
        <w:trPr>
          <w:trHeight w:val="325"/>
        </w:trPr>
        <w:tc>
          <w:tcPr>
            <w:tcW w:w="1858" w:type="dxa"/>
            <w:shd w:val="clear" w:color="auto" w:fill="auto"/>
            <w:noWrap/>
            <w:vAlign w:val="center"/>
            <w:hideMark/>
          </w:tcPr>
          <w:p w14:paraId="7DE09BDC"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Hiszpania</w:t>
            </w:r>
          </w:p>
        </w:tc>
        <w:tc>
          <w:tcPr>
            <w:tcW w:w="772" w:type="dxa"/>
            <w:shd w:val="clear" w:color="auto" w:fill="auto"/>
            <w:noWrap/>
            <w:vAlign w:val="center"/>
            <w:hideMark/>
          </w:tcPr>
          <w:p w14:paraId="2CC8373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112</w:t>
            </w:r>
          </w:p>
        </w:tc>
        <w:tc>
          <w:tcPr>
            <w:tcW w:w="772" w:type="dxa"/>
            <w:shd w:val="clear" w:color="auto" w:fill="auto"/>
            <w:noWrap/>
            <w:vAlign w:val="center"/>
            <w:hideMark/>
          </w:tcPr>
          <w:p w14:paraId="17FC03C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90</w:t>
            </w:r>
          </w:p>
        </w:tc>
        <w:tc>
          <w:tcPr>
            <w:tcW w:w="772" w:type="dxa"/>
            <w:shd w:val="clear" w:color="auto" w:fill="auto"/>
            <w:noWrap/>
            <w:vAlign w:val="center"/>
            <w:hideMark/>
          </w:tcPr>
          <w:p w14:paraId="3A2A340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98</w:t>
            </w:r>
          </w:p>
        </w:tc>
        <w:tc>
          <w:tcPr>
            <w:tcW w:w="772" w:type="dxa"/>
            <w:shd w:val="clear" w:color="auto" w:fill="auto"/>
            <w:noWrap/>
            <w:vAlign w:val="center"/>
            <w:hideMark/>
          </w:tcPr>
          <w:p w14:paraId="001B9E2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107</w:t>
            </w:r>
          </w:p>
        </w:tc>
        <w:tc>
          <w:tcPr>
            <w:tcW w:w="772" w:type="dxa"/>
            <w:shd w:val="clear" w:color="auto" w:fill="auto"/>
            <w:noWrap/>
            <w:vAlign w:val="center"/>
            <w:hideMark/>
          </w:tcPr>
          <w:p w14:paraId="3E8E35C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107</w:t>
            </w:r>
          </w:p>
        </w:tc>
        <w:tc>
          <w:tcPr>
            <w:tcW w:w="772" w:type="dxa"/>
            <w:shd w:val="clear" w:color="auto" w:fill="auto"/>
            <w:noWrap/>
            <w:vAlign w:val="center"/>
            <w:hideMark/>
          </w:tcPr>
          <w:p w14:paraId="70B2BCD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88</w:t>
            </w:r>
          </w:p>
        </w:tc>
        <w:tc>
          <w:tcPr>
            <w:tcW w:w="772" w:type="dxa"/>
            <w:shd w:val="clear" w:color="auto" w:fill="auto"/>
            <w:noWrap/>
            <w:vAlign w:val="center"/>
            <w:hideMark/>
          </w:tcPr>
          <w:p w14:paraId="14032AE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68</w:t>
            </w:r>
          </w:p>
        </w:tc>
        <w:tc>
          <w:tcPr>
            <w:tcW w:w="772" w:type="dxa"/>
            <w:shd w:val="clear" w:color="auto" w:fill="auto"/>
            <w:noWrap/>
            <w:vAlign w:val="center"/>
            <w:hideMark/>
          </w:tcPr>
          <w:p w14:paraId="589256C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78</w:t>
            </w:r>
          </w:p>
        </w:tc>
        <w:tc>
          <w:tcPr>
            <w:tcW w:w="772" w:type="dxa"/>
            <w:vAlign w:val="center"/>
          </w:tcPr>
          <w:p w14:paraId="01190A1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91</w:t>
            </w:r>
          </w:p>
        </w:tc>
        <w:tc>
          <w:tcPr>
            <w:tcW w:w="773" w:type="dxa"/>
            <w:vAlign w:val="center"/>
          </w:tcPr>
          <w:p w14:paraId="38A49B0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88</w:t>
            </w:r>
          </w:p>
        </w:tc>
      </w:tr>
      <w:tr w:rsidR="00891C08" w:rsidRPr="00F55E0E" w14:paraId="32B5AA8A" w14:textId="77777777" w:rsidTr="007B3C2D">
        <w:trPr>
          <w:trHeight w:val="325"/>
        </w:trPr>
        <w:tc>
          <w:tcPr>
            <w:tcW w:w="1858" w:type="dxa"/>
            <w:shd w:val="clear" w:color="auto" w:fill="auto"/>
            <w:noWrap/>
            <w:vAlign w:val="center"/>
            <w:hideMark/>
          </w:tcPr>
          <w:p w14:paraId="1F2D64F6"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Holandia</w:t>
            </w:r>
          </w:p>
        </w:tc>
        <w:tc>
          <w:tcPr>
            <w:tcW w:w="772" w:type="dxa"/>
            <w:shd w:val="clear" w:color="auto" w:fill="auto"/>
            <w:noWrap/>
            <w:vAlign w:val="center"/>
            <w:hideMark/>
          </w:tcPr>
          <w:p w14:paraId="2B86FDB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104</w:t>
            </w:r>
          </w:p>
        </w:tc>
        <w:tc>
          <w:tcPr>
            <w:tcW w:w="772" w:type="dxa"/>
            <w:shd w:val="clear" w:color="auto" w:fill="auto"/>
            <w:noWrap/>
            <w:vAlign w:val="center"/>
            <w:hideMark/>
          </w:tcPr>
          <w:p w14:paraId="74C0593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103</w:t>
            </w:r>
          </w:p>
        </w:tc>
        <w:tc>
          <w:tcPr>
            <w:tcW w:w="772" w:type="dxa"/>
            <w:shd w:val="clear" w:color="auto" w:fill="auto"/>
            <w:noWrap/>
            <w:vAlign w:val="center"/>
            <w:hideMark/>
          </w:tcPr>
          <w:p w14:paraId="122B062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93</w:t>
            </w:r>
          </w:p>
        </w:tc>
        <w:tc>
          <w:tcPr>
            <w:tcW w:w="772" w:type="dxa"/>
            <w:shd w:val="clear" w:color="auto" w:fill="auto"/>
            <w:noWrap/>
            <w:vAlign w:val="center"/>
            <w:hideMark/>
          </w:tcPr>
          <w:p w14:paraId="1798773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89</w:t>
            </w:r>
          </w:p>
        </w:tc>
        <w:tc>
          <w:tcPr>
            <w:tcW w:w="772" w:type="dxa"/>
            <w:shd w:val="clear" w:color="auto" w:fill="auto"/>
            <w:noWrap/>
            <w:vAlign w:val="center"/>
            <w:hideMark/>
          </w:tcPr>
          <w:p w14:paraId="4F22396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98</w:t>
            </w:r>
          </w:p>
        </w:tc>
        <w:tc>
          <w:tcPr>
            <w:tcW w:w="772" w:type="dxa"/>
            <w:shd w:val="clear" w:color="auto" w:fill="auto"/>
            <w:noWrap/>
            <w:vAlign w:val="center"/>
            <w:hideMark/>
          </w:tcPr>
          <w:p w14:paraId="6F019FC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116</w:t>
            </w:r>
          </w:p>
        </w:tc>
        <w:tc>
          <w:tcPr>
            <w:tcW w:w="772" w:type="dxa"/>
            <w:shd w:val="clear" w:color="auto" w:fill="auto"/>
            <w:noWrap/>
            <w:vAlign w:val="center"/>
            <w:hideMark/>
          </w:tcPr>
          <w:p w14:paraId="2C5C64D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105</w:t>
            </w:r>
          </w:p>
        </w:tc>
        <w:tc>
          <w:tcPr>
            <w:tcW w:w="772" w:type="dxa"/>
            <w:shd w:val="clear" w:color="auto" w:fill="auto"/>
            <w:noWrap/>
            <w:vAlign w:val="center"/>
            <w:hideMark/>
          </w:tcPr>
          <w:p w14:paraId="6F94B51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77</w:t>
            </w:r>
          </w:p>
        </w:tc>
        <w:tc>
          <w:tcPr>
            <w:tcW w:w="772" w:type="dxa"/>
            <w:vAlign w:val="center"/>
          </w:tcPr>
          <w:p w14:paraId="36F4F7C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69</w:t>
            </w:r>
          </w:p>
        </w:tc>
        <w:tc>
          <w:tcPr>
            <w:tcW w:w="773" w:type="dxa"/>
            <w:vAlign w:val="center"/>
          </w:tcPr>
          <w:p w14:paraId="6ED3141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72</w:t>
            </w:r>
          </w:p>
        </w:tc>
      </w:tr>
      <w:tr w:rsidR="00891C08" w:rsidRPr="00F55E0E" w14:paraId="37DCC661" w14:textId="77777777" w:rsidTr="007B3C2D">
        <w:trPr>
          <w:trHeight w:val="325"/>
        </w:trPr>
        <w:tc>
          <w:tcPr>
            <w:tcW w:w="1858" w:type="dxa"/>
            <w:shd w:val="clear" w:color="auto" w:fill="auto"/>
            <w:noWrap/>
            <w:vAlign w:val="center"/>
            <w:hideMark/>
          </w:tcPr>
          <w:p w14:paraId="7E5C4C5E"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Irlandia</w:t>
            </w:r>
          </w:p>
        </w:tc>
        <w:tc>
          <w:tcPr>
            <w:tcW w:w="772" w:type="dxa"/>
            <w:shd w:val="clear" w:color="auto" w:fill="auto"/>
            <w:noWrap/>
            <w:vAlign w:val="center"/>
            <w:hideMark/>
          </w:tcPr>
          <w:p w14:paraId="35EAA2F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120</w:t>
            </w:r>
          </w:p>
        </w:tc>
        <w:tc>
          <w:tcPr>
            <w:tcW w:w="772" w:type="dxa"/>
            <w:shd w:val="clear" w:color="auto" w:fill="auto"/>
            <w:noWrap/>
            <w:vAlign w:val="center"/>
            <w:hideMark/>
          </w:tcPr>
          <w:p w14:paraId="057BB30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84</w:t>
            </w:r>
          </w:p>
        </w:tc>
        <w:tc>
          <w:tcPr>
            <w:tcW w:w="772" w:type="dxa"/>
            <w:shd w:val="clear" w:color="auto" w:fill="auto"/>
            <w:noWrap/>
            <w:vAlign w:val="center"/>
            <w:hideMark/>
          </w:tcPr>
          <w:p w14:paraId="758FFBB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96</w:t>
            </w:r>
          </w:p>
        </w:tc>
        <w:tc>
          <w:tcPr>
            <w:tcW w:w="772" w:type="dxa"/>
            <w:shd w:val="clear" w:color="auto" w:fill="auto"/>
            <w:noWrap/>
            <w:vAlign w:val="center"/>
            <w:hideMark/>
          </w:tcPr>
          <w:p w14:paraId="2FB7A19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109</w:t>
            </w:r>
          </w:p>
        </w:tc>
        <w:tc>
          <w:tcPr>
            <w:tcW w:w="772" w:type="dxa"/>
            <w:shd w:val="clear" w:color="auto" w:fill="auto"/>
            <w:noWrap/>
            <w:vAlign w:val="center"/>
            <w:hideMark/>
          </w:tcPr>
          <w:p w14:paraId="32BE4A0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114</w:t>
            </w:r>
          </w:p>
        </w:tc>
        <w:tc>
          <w:tcPr>
            <w:tcW w:w="772" w:type="dxa"/>
            <w:shd w:val="clear" w:color="auto" w:fill="auto"/>
            <w:noWrap/>
            <w:vAlign w:val="center"/>
            <w:hideMark/>
          </w:tcPr>
          <w:p w14:paraId="492A251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105</w:t>
            </w:r>
          </w:p>
        </w:tc>
        <w:tc>
          <w:tcPr>
            <w:tcW w:w="772" w:type="dxa"/>
            <w:shd w:val="clear" w:color="auto" w:fill="auto"/>
            <w:noWrap/>
            <w:vAlign w:val="center"/>
            <w:hideMark/>
          </w:tcPr>
          <w:p w14:paraId="70DEA31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79</w:t>
            </w:r>
          </w:p>
        </w:tc>
        <w:tc>
          <w:tcPr>
            <w:tcW w:w="772" w:type="dxa"/>
            <w:shd w:val="clear" w:color="auto" w:fill="auto"/>
            <w:noWrap/>
            <w:vAlign w:val="center"/>
            <w:hideMark/>
          </w:tcPr>
          <w:p w14:paraId="2822EC1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69</w:t>
            </w:r>
          </w:p>
        </w:tc>
        <w:tc>
          <w:tcPr>
            <w:tcW w:w="772" w:type="dxa"/>
            <w:vAlign w:val="center"/>
          </w:tcPr>
          <w:p w14:paraId="5EC70BD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77</w:t>
            </w:r>
          </w:p>
        </w:tc>
        <w:tc>
          <w:tcPr>
            <w:tcW w:w="773" w:type="dxa"/>
            <w:vAlign w:val="center"/>
          </w:tcPr>
          <w:p w14:paraId="151DEB6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76</w:t>
            </w:r>
          </w:p>
        </w:tc>
      </w:tr>
      <w:tr w:rsidR="00891C08" w:rsidRPr="00F55E0E" w14:paraId="0F3E41A2" w14:textId="77777777" w:rsidTr="007B3C2D">
        <w:trPr>
          <w:trHeight w:val="325"/>
        </w:trPr>
        <w:tc>
          <w:tcPr>
            <w:tcW w:w="1858" w:type="dxa"/>
            <w:shd w:val="clear" w:color="auto" w:fill="auto"/>
            <w:noWrap/>
            <w:vAlign w:val="center"/>
            <w:hideMark/>
          </w:tcPr>
          <w:p w14:paraId="2BB349A9"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Litwa</w:t>
            </w:r>
          </w:p>
        </w:tc>
        <w:tc>
          <w:tcPr>
            <w:tcW w:w="772" w:type="dxa"/>
            <w:shd w:val="clear" w:color="auto" w:fill="auto"/>
            <w:noWrap/>
            <w:vAlign w:val="center"/>
            <w:hideMark/>
          </w:tcPr>
          <w:p w14:paraId="181DAAB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96</w:t>
            </w:r>
          </w:p>
        </w:tc>
        <w:tc>
          <w:tcPr>
            <w:tcW w:w="772" w:type="dxa"/>
            <w:shd w:val="clear" w:color="auto" w:fill="auto"/>
            <w:noWrap/>
            <w:vAlign w:val="center"/>
            <w:hideMark/>
          </w:tcPr>
          <w:p w14:paraId="452C066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102</w:t>
            </w:r>
          </w:p>
        </w:tc>
        <w:tc>
          <w:tcPr>
            <w:tcW w:w="772" w:type="dxa"/>
            <w:shd w:val="clear" w:color="auto" w:fill="auto"/>
            <w:noWrap/>
            <w:vAlign w:val="center"/>
            <w:hideMark/>
          </w:tcPr>
          <w:p w14:paraId="44FE6CE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102</w:t>
            </w:r>
          </w:p>
        </w:tc>
        <w:tc>
          <w:tcPr>
            <w:tcW w:w="772" w:type="dxa"/>
            <w:shd w:val="clear" w:color="auto" w:fill="auto"/>
            <w:noWrap/>
            <w:vAlign w:val="center"/>
            <w:hideMark/>
          </w:tcPr>
          <w:p w14:paraId="6FA5427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103</w:t>
            </w:r>
          </w:p>
        </w:tc>
        <w:tc>
          <w:tcPr>
            <w:tcW w:w="772" w:type="dxa"/>
            <w:shd w:val="clear" w:color="auto" w:fill="auto"/>
            <w:noWrap/>
            <w:vAlign w:val="center"/>
            <w:hideMark/>
          </w:tcPr>
          <w:p w14:paraId="31F4D4C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114</w:t>
            </w:r>
          </w:p>
        </w:tc>
        <w:tc>
          <w:tcPr>
            <w:tcW w:w="772" w:type="dxa"/>
            <w:shd w:val="clear" w:color="auto" w:fill="auto"/>
            <w:noWrap/>
            <w:vAlign w:val="center"/>
            <w:hideMark/>
          </w:tcPr>
          <w:p w14:paraId="1893E3F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138</w:t>
            </w:r>
          </w:p>
        </w:tc>
        <w:tc>
          <w:tcPr>
            <w:tcW w:w="772" w:type="dxa"/>
            <w:shd w:val="clear" w:color="auto" w:fill="auto"/>
            <w:noWrap/>
            <w:vAlign w:val="center"/>
            <w:hideMark/>
          </w:tcPr>
          <w:p w14:paraId="7C9E008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126</w:t>
            </w:r>
          </w:p>
        </w:tc>
        <w:tc>
          <w:tcPr>
            <w:tcW w:w="772" w:type="dxa"/>
            <w:shd w:val="clear" w:color="auto" w:fill="auto"/>
            <w:noWrap/>
            <w:vAlign w:val="center"/>
            <w:hideMark/>
          </w:tcPr>
          <w:p w14:paraId="54872DE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86</w:t>
            </w:r>
          </w:p>
        </w:tc>
        <w:tc>
          <w:tcPr>
            <w:tcW w:w="772" w:type="dxa"/>
            <w:vAlign w:val="center"/>
          </w:tcPr>
          <w:p w14:paraId="60F908A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94</w:t>
            </w:r>
          </w:p>
        </w:tc>
        <w:tc>
          <w:tcPr>
            <w:tcW w:w="773" w:type="dxa"/>
            <w:vAlign w:val="center"/>
          </w:tcPr>
          <w:p w14:paraId="4CCDD3A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99</w:t>
            </w:r>
          </w:p>
        </w:tc>
      </w:tr>
      <w:tr w:rsidR="00891C08" w:rsidRPr="00F55E0E" w14:paraId="33F96735" w14:textId="77777777" w:rsidTr="007B3C2D">
        <w:trPr>
          <w:trHeight w:val="325"/>
        </w:trPr>
        <w:tc>
          <w:tcPr>
            <w:tcW w:w="1858" w:type="dxa"/>
            <w:shd w:val="clear" w:color="auto" w:fill="auto"/>
            <w:noWrap/>
            <w:vAlign w:val="center"/>
            <w:hideMark/>
          </w:tcPr>
          <w:p w14:paraId="626896A7"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Luksemburg</w:t>
            </w:r>
          </w:p>
        </w:tc>
        <w:tc>
          <w:tcPr>
            <w:tcW w:w="772" w:type="dxa"/>
            <w:shd w:val="clear" w:color="auto" w:fill="auto"/>
            <w:noWrap/>
            <w:vAlign w:val="center"/>
            <w:hideMark/>
          </w:tcPr>
          <w:p w14:paraId="6168645A"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106</w:t>
            </w:r>
          </w:p>
        </w:tc>
        <w:tc>
          <w:tcPr>
            <w:tcW w:w="772" w:type="dxa"/>
            <w:shd w:val="clear" w:color="auto" w:fill="auto"/>
            <w:noWrap/>
            <w:vAlign w:val="center"/>
            <w:hideMark/>
          </w:tcPr>
          <w:p w14:paraId="7CDEA8C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95</w:t>
            </w:r>
          </w:p>
        </w:tc>
        <w:tc>
          <w:tcPr>
            <w:tcW w:w="772" w:type="dxa"/>
            <w:shd w:val="clear" w:color="auto" w:fill="auto"/>
            <w:noWrap/>
            <w:vAlign w:val="center"/>
            <w:hideMark/>
          </w:tcPr>
          <w:p w14:paraId="04FEFE6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99</w:t>
            </w:r>
          </w:p>
        </w:tc>
        <w:tc>
          <w:tcPr>
            <w:tcW w:w="772" w:type="dxa"/>
            <w:shd w:val="clear" w:color="auto" w:fill="auto"/>
            <w:noWrap/>
            <w:vAlign w:val="center"/>
            <w:hideMark/>
          </w:tcPr>
          <w:p w14:paraId="4573140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106</w:t>
            </w:r>
          </w:p>
        </w:tc>
        <w:tc>
          <w:tcPr>
            <w:tcW w:w="772" w:type="dxa"/>
            <w:shd w:val="clear" w:color="auto" w:fill="auto"/>
            <w:noWrap/>
            <w:vAlign w:val="center"/>
            <w:hideMark/>
          </w:tcPr>
          <w:p w14:paraId="6AD4437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101</w:t>
            </w:r>
          </w:p>
        </w:tc>
        <w:tc>
          <w:tcPr>
            <w:tcW w:w="772" w:type="dxa"/>
            <w:shd w:val="clear" w:color="auto" w:fill="auto"/>
            <w:noWrap/>
            <w:vAlign w:val="center"/>
            <w:hideMark/>
          </w:tcPr>
          <w:p w14:paraId="6C2DB7F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81</w:t>
            </w:r>
          </w:p>
        </w:tc>
        <w:tc>
          <w:tcPr>
            <w:tcW w:w="772" w:type="dxa"/>
            <w:shd w:val="clear" w:color="auto" w:fill="auto"/>
            <w:noWrap/>
            <w:vAlign w:val="center"/>
            <w:hideMark/>
          </w:tcPr>
          <w:p w14:paraId="30F6BF4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72</w:t>
            </w:r>
          </w:p>
        </w:tc>
        <w:tc>
          <w:tcPr>
            <w:tcW w:w="772" w:type="dxa"/>
            <w:shd w:val="clear" w:color="auto" w:fill="auto"/>
            <w:noWrap/>
            <w:vAlign w:val="center"/>
            <w:hideMark/>
          </w:tcPr>
          <w:p w14:paraId="0514736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62</w:t>
            </w:r>
          </w:p>
        </w:tc>
        <w:tc>
          <w:tcPr>
            <w:tcW w:w="772" w:type="dxa"/>
            <w:vAlign w:val="center"/>
          </w:tcPr>
          <w:p w14:paraId="7C9B751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50</w:t>
            </w:r>
          </w:p>
        </w:tc>
        <w:tc>
          <w:tcPr>
            <w:tcW w:w="773" w:type="dxa"/>
            <w:vAlign w:val="center"/>
          </w:tcPr>
          <w:p w14:paraId="72E7717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51</w:t>
            </w:r>
          </w:p>
        </w:tc>
      </w:tr>
      <w:tr w:rsidR="00891C08" w:rsidRPr="00F55E0E" w14:paraId="3FE598EA" w14:textId="77777777" w:rsidTr="007B3C2D">
        <w:trPr>
          <w:trHeight w:val="325"/>
        </w:trPr>
        <w:tc>
          <w:tcPr>
            <w:tcW w:w="1858" w:type="dxa"/>
            <w:shd w:val="clear" w:color="auto" w:fill="auto"/>
            <w:noWrap/>
            <w:vAlign w:val="center"/>
            <w:hideMark/>
          </w:tcPr>
          <w:p w14:paraId="01F928E9"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Łotwa</w:t>
            </w:r>
          </w:p>
        </w:tc>
        <w:tc>
          <w:tcPr>
            <w:tcW w:w="772" w:type="dxa"/>
            <w:shd w:val="clear" w:color="auto" w:fill="auto"/>
            <w:noWrap/>
            <w:vAlign w:val="center"/>
            <w:hideMark/>
          </w:tcPr>
          <w:p w14:paraId="4EA31F2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92</w:t>
            </w:r>
          </w:p>
        </w:tc>
        <w:tc>
          <w:tcPr>
            <w:tcW w:w="772" w:type="dxa"/>
            <w:shd w:val="clear" w:color="auto" w:fill="auto"/>
            <w:noWrap/>
            <w:vAlign w:val="center"/>
            <w:hideMark/>
          </w:tcPr>
          <w:p w14:paraId="62EEF0F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106</w:t>
            </w:r>
          </w:p>
        </w:tc>
        <w:tc>
          <w:tcPr>
            <w:tcW w:w="772" w:type="dxa"/>
            <w:shd w:val="clear" w:color="auto" w:fill="auto"/>
            <w:noWrap/>
            <w:vAlign w:val="center"/>
            <w:hideMark/>
          </w:tcPr>
          <w:p w14:paraId="039EFD6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102</w:t>
            </w:r>
          </w:p>
        </w:tc>
        <w:tc>
          <w:tcPr>
            <w:tcW w:w="772" w:type="dxa"/>
            <w:shd w:val="clear" w:color="auto" w:fill="auto"/>
            <w:noWrap/>
            <w:vAlign w:val="center"/>
            <w:hideMark/>
          </w:tcPr>
          <w:p w14:paraId="056B87A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119</w:t>
            </w:r>
          </w:p>
        </w:tc>
        <w:tc>
          <w:tcPr>
            <w:tcW w:w="772" w:type="dxa"/>
            <w:shd w:val="clear" w:color="auto" w:fill="auto"/>
            <w:noWrap/>
            <w:vAlign w:val="center"/>
            <w:hideMark/>
          </w:tcPr>
          <w:p w14:paraId="093FA62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128</w:t>
            </w:r>
          </w:p>
        </w:tc>
        <w:tc>
          <w:tcPr>
            <w:tcW w:w="772" w:type="dxa"/>
            <w:shd w:val="clear" w:color="auto" w:fill="auto"/>
            <w:noWrap/>
            <w:vAlign w:val="center"/>
            <w:hideMark/>
          </w:tcPr>
          <w:p w14:paraId="69D4E3A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146</w:t>
            </w:r>
          </w:p>
        </w:tc>
        <w:tc>
          <w:tcPr>
            <w:tcW w:w="772" w:type="dxa"/>
            <w:shd w:val="clear" w:color="auto" w:fill="auto"/>
            <w:noWrap/>
            <w:vAlign w:val="center"/>
            <w:hideMark/>
          </w:tcPr>
          <w:p w14:paraId="272E693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128</w:t>
            </w:r>
          </w:p>
        </w:tc>
        <w:tc>
          <w:tcPr>
            <w:tcW w:w="772" w:type="dxa"/>
            <w:shd w:val="clear" w:color="auto" w:fill="auto"/>
            <w:noWrap/>
            <w:vAlign w:val="center"/>
            <w:hideMark/>
          </w:tcPr>
          <w:p w14:paraId="3A86496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140</w:t>
            </w:r>
          </w:p>
        </w:tc>
        <w:tc>
          <w:tcPr>
            <w:tcW w:w="772" w:type="dxa"/>
            <w:vAlign w:val="center"/>
          </w:tcPr>
          <w:p w14:paraId="4CB9DA2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140</w:t>
            </w:r>
          </w:p>
        </w:tc>
        <w:tc>
          <w:tcPr>
            <w:tcW w:w="773" w:type="dxa"/>
            <w:vAlign w:val="center"/>
          </w:tcPr>
          <w:p w14:paraId="10F270F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161</w:t>
            </w:r>
          </w:p>
        </w:tc>
      </w:tr>
      <w:tr w:rsidR="00891C08" w:rsidRPr="00F55E0E" w14:paraId="4F131790" w14:textId="77777777" w:rsidTr="007B3C2D">
        <w:trPr>
          <w:trHeight w:val="325"/>
        </w:trPr>
        <w:tc>
          <w:tcPr>
            <w:tcW w:w="1858" w:type="dxa"/>
            <w:shd w:val="clear" w:color="auto" w:fill="auto"/>
            <w:noWrap/>
            <w:vAlign w:val="center"/>
            <w:hideMark/>
          </w:tcPr>
          <w:p w14:paraId="66281E46"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Malta</w:t>
            </w:r>
          </w:p>
        </w:tc>
        <w:tc>
          <w:tcPr>
            <w:tcW w:w="772" w:type="dxa"/>
            <w:shd w:val="clear" w:color="auto" w:fill="auto"/>
            <w:noWrap/>
            <w:vAlign w:val="center"/>
            <w:hideMark/>
          </w:tcPr>
          <w:p w14:paraId="2C1E586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90</w:t>
            </w:r>
          </w:p>
        </w:tc>
        <w:tc>
          <w:tcPr>
            <w:tcW w:w="772" w:type="dxa"/>
            <w:shd w:val="clear" w:color="auto" w:fill="auto"/>
            <w:noWrap/>
            <w:vAlign w:val="center"/>
            <w:hideMark/>
          </w:tcPr>
          <w:p w14:paraId="2331E2E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100</w:t>
            </w:r>
          </w:p>
        </w:tc>
        <w:tc>
          <w:tcPr>
            <w:tcW w:w="772" w:type="dxa"/>
            <w:shd w:val="clear" w:color="auto" w:fill="auto"/>
            <w:noWrap/>
            <w:vAlign w:val="center"/>
            <w:hideMark/>
          </w:tcPr>
          <w:p w14:paraId="4BDB557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110</w:t>
            </w:r>
          </w:p>
        </w:tc>
        <w:tc>
          <w:tcPr>
            <w:tcW w:w="772" w:type="dxa"/>
            <w:shd w:val="clear" w:color="auto" w:fill="auto"/>
            <w:noWrap/>
            <w:vAlign w:val="center"/>
            <w:hideMark/>
          </w:tcPr>
          <w:p w14:paraId="386ABF5A"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92</w:t>
            </w:r>
          </w:p>
        </w:tc>
        <w:tc>
          <w:tcPr>
            <w:tcW w:w="772" w:type="dxa"/>
            <w:shd w:val="clear" w:color="auto" w:fill="auto"/>
            <w:noWrap/>
            <w:vAlign w:val="center"/>
            <w:hideMark/>
          </w:tcPr>
          <w:p w14:paraId="723BA29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119</w:t>
            </w:r>
          </w:p>
        </w:tc>
        <w:tc>
          <w:tcPr>
            <w:tcW w:w="772" w:type="dxa"/>
            <w:shd w:val="clear" w:color="auto" w:fill="auto"/>
            <w:noWrap/>
            <w:vAlign w:val="center"/>
            <w:hideMark/>
          </w:tcPr>
          <w:p w14:paraId="74D9F60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76</w:t>
            </w:r>
          </w:p>
        </w:tc>
        <w:tc>
          <w:tcPr>
            <w:tcW w:w="772" w:type="dxa"/>
            <w:shd w:val="clear" w:color="auto" w:fill="auto"/>
            <w:noWrap/>
            <w:vAlign w:val="center"/>
            <w:hideMark/>
          </w:tcPr>
          <w:p w14:paraId="68BFCBE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91</w:t>
            </w:r>
          </w:p>
        </w:tc>
        <w:tc>
          <w:tcPr>
            <w:tcW w:w="772" w:type="dxa"/>
            <w:shd w:val="clear" w:color="auto" w:fill="auto"/>
            <w:noWrap/>
            <w:vAlign w:val="center"/>
            <w:hideMark/>
          </w:tcPr>
          <w:p w14:paraId="20FE054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81</w:t>
            </w:r>
          </w:p>
        </w:tc>
        <w:tc>
          <w:tcPr>
            <w:tcW w:w="772" w:type="dxa"/>
            <w:vAlign w:val="center"/>
          </w:tcPr>
          <w:p w14:paraId="4C1E578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72</w:t>
            </w:r>
          </w:p>
        </w:tc>
        <w:tc>
          <w:tcPr>
            <w:tcW w:w="773" w:type="dxa"/>
            <w:vAlign w:val="center"/>
          </w:tcPr>
          <w:p w14:paraId="430FC55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87</w:t>
            </w:r>
          </w:p>
        </w:tc>
      </w:tr>
      <w:tr w:rsidR="00891C08" w:rsidRPr="00F55E0E" w14:paraId="3724D452" w14:textId="77777777" w:rsidTr="007B3C2D">
        <w:trPr>
          <w:trHeight w:val="325"/>
        </w:trPr>
        <w:tc>
          <w:tcPr>
            <w:tcW w:w="1858" w:type="dxa"/>
            <w:shd w:val="clear" w:color="auto" w:fill="auto"/>
            <w:noWrap/>
            <w:vAlign w:val="center"/>
            <w:hideMark/>
          </w:tcPr>
          <w:p w14:paraId="2A7BD18C"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Niemcy</w:t>
            </w:r>
          </w:p>
        </w:tc>
        <w:tc>
          <w:tcPr>
            <w:tcW w:w="772" w:type="dxa"/>
            <w:shd w:val="clear" w:color="auto" w:fill="auto"/>
            <w:noWrap/>
            <w:vAlign w:val="center"/>
            <w:hideMark/>
          </w:tcPr>
          <w:p w14:paraId="6B22A05A"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106</w:t>
            </w:r>
          </w:p>
        </w:tc>
        <w:tc>
          <w:tcPr>
            <w:tcW w:w="772" w:type="dxa"/>
            <w:shd w:val="clear" w:color="auto" w:fill="auto"/>
            <w:noWrap/>
            <w:vAlign w:val="center"/>
            <w:hideMark/>
          </w:tcPr>
          <w:p w14:paraId="2A6E9B4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100</w:t>
            </w:r>
          </w:p>
        </w:tc>
        <w:tc>
          <w:tcPr>
            <w:tcW w:w="772" w:type="dxa"/>
            <w:shd w:val="clear" w:color="auto" w:fill="auto"/>
            <w:noWrap/>
            <w:vAlign w:val="center"/>
            <w:hideMark/>
          </w:tcPr>
          <w:p w14:paraId="7046B82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94</w:t>
            </w:r>
          </w:p>
        </w:tc>
        <w:tc>
          <w:tcPr>
            <w:tcW w:w="772" w:type="dxa"/>
            <w:shd w:val="clear" w:color="auto" w:fill="auto"/>
            <w:noWrap/>
            <w:vAlign w:val="center"/>
            <w:hideMark/>
          </w:tcPr>
          <w:p w14:paraId="641351B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96</w:t>
            </w:r>
          </w:p>
        </w:tc>
        <w:tc>
          <w:tcPr>
            <w:tcW w:w="772" w:type="dxa"/>
            <w:shd w:val="clear" w:color="auto" w:fill="auto"/>
            <w:noWrap/>
            <w:vAlign w:val="center"/>
            <w:hideMark/>
          </w:tcPr>
          <w:p w14:paraId="5433818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98</w:t>
            </w:r>
          </w:p>
        </w:tc>
        <w:tc>
          <w:tcPr>
            <w:tcW w:w="772" w:type="dxa"/>
            <w:shd w:val="clear" w:color="auto" w:fill="auto"/>
            <w:noWrap/>
            <w:vAlign w:val="center"/>
            <w:hideMark/>
          </w:tcPr>
          <w:p w14:paraId="56FCBE8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93</w:t>
            </w:r>
          </w:p>
        </w:tc>
        <w:tc>
          <w:tcPr>
            <w:tcW w:w="772" w:type="dxa"/>
            <w:shd w:val="clear" w:color="auto" w:fill="auto"/>
            <w:noWrap/>
            <w:vAlign w:val="center"/>
            <w:hideMark/>
          </w:tcPr>
          <w:p w14:paraId="3927355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91</w:t>
            </w:r>
          </w:p>
        </w:tc>
        <w:tc>
          <w:tcPr>
            <w:tcW w:w="772" w:type="dxa"/>
            <w:shd w:val="clear" w:color="auto" w:fill="auto"/>
            <w:noWrap/>
            <w:vAlign w:val="center"/>
            <w:hideMark/>
          </w:tcPr>
          <w:p w14:paraId="3036FA3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82</w:t>
            </w:r>
          </w:p>
        </w:tc>
        <w:tc>
          <w:tcPr>
            <w:tcW w:w="772" w:type="dxa"/>
            <w:vAlign w:val="center"/>
          </w:tcPr>
          <w:p w14:paraId="4829EA1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83</w:t>
            </w:r>
          </w:p>
        </w:tc>
        <w:tc>
          <w:tcPr>
            <w:tcW w:w="773" w:type="dxa"/>
            <w:vAlign w:val="center"/>
          </w:tcPr>
          <w:p w14:paraId="0B076E7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89</w:t>
            </w:r>
          </w:p>
        </w:tc>
      </w:tr>
      <w:tr w:rsidR="00891C08" w:rsidRPr="00F55E0E" w14:paraId="3E7211C5" w14:textId="77777777" w:rsidTr="007B3C2D">
        <w:trPr>
          <w:trHeight w:val="325"/>
        </w:trPr>
        <w:tc>
          <w:tcPr>
            <w:tcW w:w="1858" w:type="dxa"/>
            <w:shd w:val="clear" w:color="auto" w:fill="auto"/>
            <w:noWrap/>
            <w:vAlign w:val="center"/>
            <w:hideMark/>
          </w:tcPr>
          <w:p w14:paraId="1AF21D84" w14:textId="77777777" w:rsidR="00891C08" w:rsidRPr="00F55E0E" w:rsidRDefault="00891C08" w:rsidP="00891C08">
            <w:pPr>
              <w:spacing w:after="0" w:line="240" w:lineRule="auto"/>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Polska</w:t>
            </w:r>
          </w:p>
        </w:tc>
        <w:tc>
          <w:tcPr>
            <w:tcW w:w="772" w:type="dxa"/>
            <w:shd w:val="clear" w:color="auto" w:fill="auto"/>
            <w:noWrap/>
            <w:vAlign w:val="center"/>
            <w:hideMark/>
          </w:tcPr>
          <w:p w14:paraId="55630E9E"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115</w:t>
            </w:r>
          </w:p>
        </w:tc>
        <w:tc>
          <w:tcPr>
            <w:tcW w:w="772" w:type="dxa"/>
            <w:shd w:val="clear" w:color="auto" w:fill="auto"/>
            <w:noWrap/>
            <w:vAlign w:val="center"/>
            <w:hideMark/>
          </w:tcPr>
          <w:p w14:paraId="5434B00B"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94</w:t>
            </w:r>
          </w:p>
        </w:tc>
        <w:tc>
          <w:tcPr>
            <w:tcW w:w="772" w:type="dxa"/>
            <w:shd w:val="clear" w:color="auto" w:fill="auto"/>
            <w:noWrap/>
            <w:vAlign w:val="center"/>
            <w:hideMark/>
          </w:tcPr>
          <w:p w14:paraId="04527E60"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91</w:t>
            </w:r>
          </w:p>
        </w:tc>
        <w:tc>
          <w:tcPr>
            <w:tcW w:w="772" w:type="dxa"/>
            <w:shd w:val="clear" w:color="auto" w:fill="auto"/>
            <w:noWrap/>
            <w:vAlign w:val="center"/>
            <w:hideMark/>
          </w:tcPr>
          <w:p w14:paraId="6BC6DD53"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96</w:t>
            </w:r>
          </w:p>
        </w:tc>
        <w:tc>
          <w:tcPr>
            <w:tcW w:w="772" w:type="dxa"/>
            <w:shd w:val="clear" w:color="auto" w:fill="auto"/>
            <w:noWrap/>
            <w:vAlign w:val="center"/>
            <w:hideMark/>
          </w:tcPr>
          <w:p w14:paraId="472598B0"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98</w:t>
            </w:r>
          </w:p>
        </w:tc>
        <w:tc>
          <w:tcPr>
            <w:tcW w:w="772" w:type="dxa"/>
            <w:shd w:val="clear" w:color="auto" w:fill="auto"/>
            <w:noWrap/>
            <w:vAlign w:val="center"/>
            <w:hideMark/>
          </w:tcPr>
          <w:p w14:paraId="085F6232"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98</w:t>
            </w:r>
          </w:p>
        </w:tc>
        <w:tc>
          <w:tcPr>
            <w:tcW w:w="772" w:type="dxa"/>
            <w:shd w:val="clear" w:color="auto" w:fill="auto"/>
            <w:noWrap/>
            <w:vAlign w:val="center"/>
            <w:hideMark/>
          </w:tcPr>
          <w:p w14:paraId="4E46CBDD"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89</w:t>
            </w:r>
          </w:p>
        </w:tc>
        <w:tc>
          <w:tcPr>
            <w:tcW w:w="772" w:type="dxa"/>
            <w:shd w:val="clear" w:color="auto" w:fill="auto"/>
            <w:noWrap/>
            <w:vAlign w:val="center"/>
            <w:hideMark/>
          </w:tcPr>
          <w:p w14:paraId="0D07C3DE"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78</w:t>
            </w:r>
          </w:p>
        </w:tc>
        <w:tc>
          <w:tcPr>
            <w:tcW w:w="772" w:type="dxa"/>
            <w:vAlign w:val="center"/>
          </w:tcPr>
          <w:p w14:paraId="7DF1C24F"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81</w:t>
            </w:r>
          </w:p>
        </w:tc>
        <w:tc>
          <w:tcPr>
            <w:tcW w:w="773" w:type="dxa"/>
            <w:vAlign w:val="center"/>
          </w:tcPr>
          <w:p w14:paraId="3EB84669" w14:textId="77777777" w:rsidR="00891C08" w:rsidRPr="00F55E0E" w:rsidRDefault="00891C08" w:rsidP="00891C08">
            <w:pPr>
              <w:spacing w:after="0" w:line="240" w:lineRule="auto"/>
              <w:jc w:val="center"/>
              <w:rPr>
                <w:rFonts w:ascii="Times New Roman" w:eastAsia="Times New Roman" w:hAnsi="Times New Roman" w:cs="Times New Roman"/>
                <w:b/>
                <w:bCs/>
                <w:sz w:val="24"/>
                <w:szCs w:val="24"/>
                <w:lang w:eastAsia="pl-PL"/>
              </w:rPr>
            </w:pPr>
            <w:r w:rsidRPr="00F55E0E">
              <w:rPr>
                <w:rFonts w:ascii="Times New Roman" w:eastAsia="Times New Roman" w:hAnsi="Times New Roman" w:cs="Times New Roman"/>
                <w:b/>
                <w:bCs/>
                <w:szCs w:val="24"/>
                <w:lang w:eastAsia="pl-PL"/>
              </w:rPr>
              <w:t>83</w:t>
            </w:r>
          </w:p>
        </w:tc>
      </w:tr>
      <w:tr w:rsidR="00891C08" w:rsidRPr="00F55E0E" w14:paraId="070C6389" w14:textId="77777777" w:rsidTr="007B3C2D">
        <w:trPr>
          <w:trHeight w:val="325"/>
        </w:trPr>
        <w:tc>
          <w:tcPr>
            <w:tcW w:w="1858" w:type="dxa"/>
            <w:shd w:val="clear" w:color="auto" w:fill="auto"/>
            <w:noWrap/>
            <w:vAlign w:val="center"/>
            <w:hideMark/>
          </w:tcPr>
          <w:p w14:paraId="3920946C"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Portugalia</w:t>
            </w:r>
          </w:p>
        </w:tc>
        <w:tc>
          <w:tcPr>
            <w:tcW w:w="772" w:type="dxa"/>
            <w:shd w:val="clear" w:color="auto" w:fill="auto"/>
            <w:noWrap/>
            <w:vAlign w:val="center"/>
            <w:hideMark/>
          </w:tcPr>
          <w:p w14:paraId="31EAD59E"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115</w:t>
            </w:r>
          </w:p>
        </w:tc>
        <w:tc>
          <w:tcPr>
            <w:tcW w:w="772" w:type="dxa"/>
            <w:shd w:val="clear" w:color="auto" w:fill="auto"/>
            <w:noWrap/>
            <w:vAlign w:val="center"/>
            <w:hideMark/>
          </w:tcPr>
          <w:p w14:paraId="1911D4D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103</w:t>
            </w:r>
          </w:p>
        </w:tc>
        <w:tc>
          <w:tcPr>
            <w:tcW w:w="772" w:type="dxa"/>
            <w:shd w:val="clear" w:color="auto" w:fill="auto"/>
            <w:noWrap/>
            <w:vAlign w:val="center"/>
            <w:hideMark/>
          </w:tcPr>
          <w:p w14:paraId="5C1EBF5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82</w:t>
            </w:r>
          </w:p>
        </w:tc>
        <w:tc>
          <w:tcPr>
            <w:tcW w:w="772" w:type="dxa"/>
            <w:shd w:val="clear" w:color="auto" w:fill="auto"/>
            <w:noWrap/>
            <w:vAlign w:val="center"/>
            <w:hideMark/>
          </w:tcPr>
          <w:p w14:paraId="229ECC1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106</w:t>
            </w:r>
          </w:p>
        </w:tc>
        <w:tc>
          <w:tcPr>
            <w:tcW w:w="772" w:type="dxa"/>
            <w:shd w:val="clear" w:color="auto" w:fill="auto"/>
            <w:noWrap/>
            <w:vAlign w:val="center"/>
            <w:hideMark/>
          </w:tcPr>
          <w:p w14:paraId="4108484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93</w:t>
            </w:r>
          </w:p>
        </w:tc>
        <w:tc>
          <w:tcPr>
            <w:tcW w:w="772" w:type="dxa"/>
            <w:shd w:val="clear" w:color="auto" w:fill="auto"/>
            <w:noWrap/>
            <w:vAlign w:val="center"/>
            <w:hideMark/>
          </w:tcPr>
          <w:p w14:paraId="75C98EE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99</w:t>
            </w:r>
          </w:p>
        </w:tc>
        <w:tc>
          <w:tcPr>
            <w:tcW w:w="772" w:type="dxa"/>
            <w:shd w:val="clear" w:color="auto" w:fill="auto"/>
            <w:noWrap/>
            <w:vAlign w:val="center"/>
            <w:hideMark/>
          </w:tcPr>
          <w:p w14:paraId="507D10B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72</w:t>
            </w:r>
          </w:p>
        </w:tc>
        <w:tc>
          <w:tcPr>
            <w:tcW w:w="772" w:type="dxa"/>
            <w:shd w:val="clear" w:color="auto" w:fill="auto"/>
            <w:noWrap/>
            <w:vAlign w:val="center"/>
            <w:hideMark/>
          </w:tcPr>
          <w:p w14:paraId="68F6DE4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66</w:t>
            </w:r>
          </w:p>
        </w:tc>
        <w:tc>
          <w:tcPr>
            <w:tcW w:w="772" w:type="dxa"/>
            <w:vAlign w:val="center"/>
          </w:tcPr>
          <w:p w14:paraId="61B9FA3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75</w:t>
            </w:r>
          </w:p>
        </w:tc>
        <w:tc>
          <w:tcPr>
            <w:tcW w:w="773" w:type="dxa"/>
            <w:vAlign w:val="center"/>
          </w:tcPr>
          <w:p w14:paraId="36C0370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71</w:t>
            </w:r>
          </w:p>
        </w:tc>
      </w:tr>
      <w:tr w:rsidR="00891C08" w:rsidRPr="00F55E0E" w14:paraId="61D5DAF8" w14:textId="77777777" w:rsidTr="007B3C2D">
        <w:trPr>
          <w:trHeight w:val="325"/>
        </w:trPr>
        <w:tc>
          <w:tcPr>
            <w:tcW w:w="1858" w:type="dxa"/>
            <w:shd w:val="clear" w:color="auto" w:fill="auto"/>
            <w:noWrap/>
            <w:vAlign w:val="center"/>
            <w:hideMark/>
          </w:tcPr>
          <w:p w14:paraId="01533DA3"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Rumunia</w:t>
            </w:r>
          </w:p>
        </w:tc>
        <w:tc>
          <w:tcPr>
            <w:tcW w:w="772" w:type="dxa"/>
            <w:shd w:val="clear" w:color="auto" w:fill="auto"/>
            <w:noWrap/>
            <w:vAlign w:val="center"/>
            <w:hideMark/>
          </w:tcPr>
          <w:p w14:paraId="717058E6"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99</w:t>
            </w:r>
          </w:p>
        </w:tc>
        <w:tc>
          <w:tcPr>
            <w:tcW w:w="772" w:type="dxa"/>
            <w:shd w:val="clear" w:color="auto" w:fill="auto"/>
            <w:noWrap/>
            <w:vAlign w:val="center"/>
            <w:hideMark/>
          </w:tcPr>
          <w:p w14:paraId="7E0F62B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110</w:t>
            </w:r>
          </w:p>
        </w:tc>
        <w:tc>
          <w:tcPr>
            <w:tcW w:w="772" w:type="dxa"/>
            <w:shd w:val="clear" w:color="auto" w:fill="auto"/>
            <w:noWrap/>
            <w:vAlign w:val="center"/>
            <w:hideMark/>
          </w:tcPr>
          <w:p w14:paraId="2F4B194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91</w:t>
            </w:r>
          </w:p>
        </w:tc>
        <w:tc>
          <w:tcPr>
            <w:tcW w:w="772" w:type="dxa"/>
            <w:shd w:val="clear" w:color="auto" w:fill="auto"/>
            <w:noWrap/>
            <w:vAlign w:val="center"/>
            <w:hideMark/>
          </w:tcPr>
          <w:p w14:paraId="6F15193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45</w:t>
            </w:r>
          </w:p>
        </w:tc>
        <w:tc>
          <w:tcPr>
            <w:tcW w:w="772" w:type="dxa"/>
            <w:shd w:val="clear" w:color="auto" w:fill="auto"/>
            <w:noWrap/>
            <w:vAlign w:val="center"/>
            <w:hideMark/>
          </w:tcPr>
          <w:p w14:paraId="1776740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49</w:t>
            </w:r>
          </w:p>
        </w:tc>
        <w:tc>
          <w:tcPr>
            <w:tcW w:w="772" w:type="dxa"/>
            <w:shd w:val="clear" w:color="auto" w:fill="auto"/>
            <w:noWrap/>
            <w:vAlign w:val="center"/>
            <w:hideMark/>
          </w:tcPr>
          <w:p w14:paraId="364E315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48</w:t>
            </w:r>
          </w:p>
        </w:tc>
        <w:tc>
          <w:tcPr>
            <w:tcW w:w="772" w:type="dxa"/>
            <w:shd w:val="clear" w:color="auto" w:fill="auto"/>
            <w:noWrap/>
            <w:vAlign w:val="center"/>
            <w:hideMark/>
          </w:tcPr>
          <w:p w14:paraId="70C7E00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51</w:t>
            </w:r>
          </w:p>
        </w:tc>
        <w:tc>
          <w:tcPr>
            <w:tcW w:w="772" w:type="dxa"/>
            <w:shd w:val="clear" w:color="auto" w:fill="auto"/>
            <w:noWrap/>
            <w:vAlign w:val="center"/>
            <w:hideMark/>
          </w:tcPr>
          <w:p w14:paraId="3EEA24F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48</w:t>
            </w:r>
          </w:p>
        </w:tc>
        <w:tc>
          <w:tcPr>
            <w:tcW w:w="772" w:type="dxa"/>
            <w:vAlign w:val="center"/>
          </w:tcPr>
          <w:p w14:paraId="3798E90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38</w:t>
            </w:r>
          </w:p>
        </w:tc>
        <w:tc>
          <w:tcPr>
            <w:tcW w:w="773" w:type="dxa"/>
            <w:vAlign w:val="center"/>
          </w:tcPr>
          <w:p w14:paraId="00308E7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35</w:t>
            </w:r>
          </w:p>
        </w:tc>
      </w:tr>
      <w:tr w:rsidR="00891C08" w:rsidRPr="00F55E0E" w14:paraId="2B20BAB8" w14:textId="77777777" w:rsidTr="007B3C2D">
        <w:trPr>
          <w:trHeight w:val="325"/>
        </w:trPr>
        <w:tc>
          <w:tcPr>
            <w:tcW w:w="1858" w:type="dxa"/>
            <w:shd w:val="clear" w:color="auto" w:fill="auto"/>
            <w:noWrap/>
            <w:vAlign w:val="center"/>
            <w:hideMark/>
          </w:tcPr>
          <w:p w14:paraId="643E4C56"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Słowacja</w:t>
            </w:r>
          </w:p>
        </w:tc>
        <w:tc>
          <w:tcPr>
            <w:tcW w:w="772" w:type="dxa"/>
            <w:shd w:val="clear" w:color="auto" w:fill="auto"/>
            <w:noWrap/>
            <w:vAlign w:val="center"/>
            <w:hideMark/>
          </w:tcPr>
          <w:p w14:paraId="45036B3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97</w:t>
            </w:r>
          </w:p>
        </w:tc>
        <w:tc>
          <w:tcPr>
            <w:tcW w:w="772" w:type="dxa"/>
            <w:shd w:val="clear" w:color="auto" w:fill="auto"/>
            <w:noWrap/>
            <w:vAlign w:val="center"/>
            <w:hideMark/>
          </w:tcPr>
          <w:p w14:paraId="2F34ED0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112</w:t>
            </w:r>
          </w:p>
        </w:tc>
        <w:tc>
          <w:tcPr>
            <w:tcW w:w="772" w:type="dxa"/>
            <w:shd w:val="clear" w:color="auto" w:fill="auto"/>
            <w:noWrap/>
            <w:vAlign w:val="center"/>
            <w:hideMark/>
          </w:tcPr>
          <w:p w14:paraId="1C7518E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91</w:t>
            </w:r>
          </w:p>
        </w:tc>
        <w:tc>
          <w:tcPr>
            <w:tcW w:w="772" w:type="dxa"/>
            <w:shd w:val="clear" w:color="auto" w:fill="auto"/>
            <w:noWrap/>
            <w:vAlign w:val="center"/>
            <w:hideMark/>
          </w:tcPr>
          <w:p w14:paraId="5349321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81</w:t>
            </w:r>
          </w:p>
        </w:tc>
        <w:tc>
          <w:tcPr>
            <w:tcW w:w="772" w:type="dxa"/>
            <w:shd w:val="clear" w:color="auto" w:fill="auto"/>
            <w:noWrap/>
            <w:vAlign w:val="center"/>
            <w:hideMark/>
          </w:tcPr>
          <w:p w14:paraId="3A13132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82</w:t>
            </w:r>
          </w:p>
        </w:tc>
        <w:tc>
          <w:tcPr>
            <w:tcW w:w="772" w:type="dxa"/>
            <w:shd w:val="clear" w:color="auto" w:fill="auto"/>
            <w:noWrap/>
            <w:vAlign w:val="center"/>
            <w:hideMark/>
          </w:tcPr>
          <w:p w14:paraId="08D218C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78</w:t>
            </w:r>
          </w:p>
        </w:tc>
        <w:tc>
          <w:tcPr>
            <w:tcW w:w="772" w:type="dxa"/>
            <w:shd w:val="clear" w:color="auto" w:fill="auto"/>
            <w:noWrap/>
            <w:vAlign w:val="center"/>
            <w:hideMark/>
          </w:tcPr>
          <w:p w14:paraId="7F0E70A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79</w:t>
            </w:r>
          </w:p>
        </w:tc>
        <w:tc>
          <w:tcPr>
            <w:tcW w:w="772" w:type="dxa"/>
            <w:shd w:val="clear" w:color="auto" w:fill="auto"/>
            <w:noWrap/>
            <w:vAlign w:val="center"/>
            <w:hideMark/>
          </w:tcPr>
          <w:p w14:paraId="68056E8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84</w:t>
            </w:r>
          </w:p>
        </w:tc>
        <w:tc>
          <w:tcPr>
            <w:tcW w:w="772" w:type="dxa"/>
            <w:vAlign w:val="center"/>
          </w:tcPr>
          <w:p w14:paraId="336DBDD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78</w:t>
            </w:r>
          </w:p>
        </w:tc>
        <w:tc>
          <w:tcPr>
            <w:tcW w:w="773" w:type="dxa"/>
            <w:vAlign w:val="center"/>
          </w:tcPr>
          <w:p w14:paraId="141956B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77</w:t>
            </w:r>
          </w:p>
        </w:tc>
      </w:tr>
      <w:tr w:rsidR="00891C08" w:rsidRPr="00F55E0E" w14:paraId="39AA8028" w14:textId="77777777" w:rsidTr="007B3C2D">
        <w:trPr>
          <w:trHeight w:val="325"/>
        </w:trPr>
        <w:tc>
          <w:tcPr>
            <w:tcW w:w="1858" w:type="dxa"/>
            <w:shd w:val="clear" w:color="auto" w:fill="auto"/>
            <w:noWrap/>
            <w:vAlign w:val="center"/>
            <w:hideMark/>
          </w:tcPr>
          <w:p w14:paraId="21A7F193"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lastRenderedPageBreak/>
              <w:t>Słowenia</w:t>
            </w:r>
          </w:p>
        </w:tc>
        <w:tc>
          <w:tcPr>
            <w:tcW w:w="772" w:type="dxa"/>
            <w:shd w:val="clear" w:color="auto" w:fill="auto"/>
            <w:noWrap/>
            <w:vAlign w:val="center"/>
            <w:hideMark/>
          </w:tcPr>
          <w:p w14:paraId="42EB47E1"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111</w:t>
            </w:r>
          </w:p>
        </w:tc>
        <w:tc>
          <w:tcPr>
            <w:tcW w:w="772" w:type="dxa"/>
            <w:shd w:val="clear" w:color="auto" w:fill="auto"/>
            <w:noWrap/>
            <w:vAlign w:val="center"/>
            <w:hideMark/>
          </w:tcPr>
          <w:p w14:paraId="5731546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99</w:t>
            </w:r>
          </w:p>
        </w:tc>
        <w:tc>
          <w:tcPr>
            <w:tcW w:w="772" w:type="dxa"/>
            <w:shd w:val="clear" w:color="auto" w:fill="auto"/>
            <w:noWrap/>
            <w:vAlign w:val="center"/>
            <w:hideMark/>
          </w:tcPr>
          <w:p w14:paraId="1A80198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90</w:t>
            </w:r>
          </w:p>
        </w:tc>
        <w:tc>
          <w:tcPr>
            <w:tcW w:w="772" w:type="dxa"/>
            <w:shd w:val="clear" w:color="auto" w:fill="auto"/>
            <w:noWrap/>
            <w:vAlign w:val="center"/>
            <w:hideMark/>
          </w:tcPr>
          <w:p w14:paraId="3F606AF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99</w:t>
            </w:r>
          </w:p>
        </w:tc>
        <w:tc>
          <w:tcPr>
            <w:tcW w:w="772" w:type="dxa"/>
            <w:shd w:val="clear" w:color="auto" w:fill="auto"/>
            <w:noWrap/>
            <w:vAlign w:val="center"/>
            <w:hideMark/>
          </w:tcPr>
          <w:p w14:paraId="70F5846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103</w:t>
            </w:r>
          </w:p>
        </w:tc>
        <w:tc>
          <w:tcPr>
            <w:tcW w:w="772" w:type="dxa"/>
            <w:shd w:val="clear" w:color="auto" w:fill="auto"/>
            <w:noWrap/>
            <w:vAlign w:val="center"/>
            <w:hideMark/>
          </w:tcPr>
          <w:p w14:paraId="15E4BC4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113</w:t>
            </w:r>
          </w:p>
        </w:tc>
        <w:tc>
          <w:tcPr>
            <w:tcW w:w="772" w:type="dxa"/>
            <w:shd w:val="clear" w:color="auto" w:fill="auto"/>
            <w:noWrap/>
            <w:vAlign w:val="center"/>
            <w:hideMark/>
          </w:tcPr>
          <w:p w14:paraId="0318DD5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103</w:t>
            </w:r>
          </w:p>
        </w:tc>
        <w:tc>
          <w:tcPr>
            <w:tcW w:w="772" w:type="dxa"/>
            <w:shd w:val="clear" w:color="auto" w:fill="auto"/>
            <w:noWrap/>
            <w:vAlign w:val="center"/>
            <w:hideMark/>
          </w:tcPr>
          <w:p w14:paraId="6BF1419A"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109</w:t>
            </w:r>
          </w:p>
        </w:tc>
        <w:tc>
          <w:tcPr>
            <w:tcW w:w="772" w:type="dxa"/>
            <w:vAlign w:val="center"/>
          </w:tcPr>
          <w:p w14:paraId="216EA4B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81</w:t>
            </w:r>
          </w:p>
        </w:tc>
        <w:tc>
          <w:tcPr>
            <w:tcW w:w="773" w:type="dxa"/>
            <w:vAlign w:val="center"/>
          </w:tcPr>
          <w:p w14:paraId="2CB1BCF3"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80</w:t>
            </w:r>
          </w:p>
        </w:tc>
      </w:tr>
      <w:tr w:rsidR="00891C08" w:rsidRPr="00F55E0E" w14:paraId="6A5417F1" w14:textId="77777777" w:rsidTr="007B3C2D">
        <w:trPr>
          <w:trHeight w:val="325"/>
        </w:trPr>
        <w:tc>
          <w:tcPr>
            <w:tcW w:w="1858" w:type="dxa"/>
            <w:shd w:val="clear" w:color="auto" w:fill="auto"/>
            <w:noWrap/>
            <w:vAlign w:val="center"/>
            <w:hideMark/>
          </w:tcPr>
          <w:p w14:paraId="5D035C1E"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Szwecja</w:t>
            </w:r>
          </w:p>
        </w:tc>
        <w:tc>
          <w:tcPr>
            <w:tcW w:w="772" w:type="dxa"/>
            <w:shd w:val="clear" w:color="auto" w:fill="auto"/>
            <w:noWrap/>
            <w:vAlign w:val="center"/>
            <w:hideMark/>
          </w:tcPr>
          <w:p w14:paraId="64F1BFB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84</w:t>
            </w:r>
          </w:p>
        </w:tc>
        <w:tc>
          <w:tcPr>
            <w:tcW w:w="772" w:type="dxa"/>
            <w:shd w:val="clear" w:color="auto" w:fill="auto"/>
            <w:noWrap/>
            <w:vAlign w:val="center"/>
            <w:hideMark/>
          </w:tcPr>
          <w:p w14:paraId="2954C10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98</w:t>
            </w:r>
          </w:p>
        </w:tc>
        <w:tc>
          <w:tcPr>
            <w:tcW w:w="772" w:type="dxa"/>
            <w:shd w:val="clear" w:color="auto" w:fill="auto"/>
            <w:noWrap/>
            <w:vAlign w:val="center"/>
            <w:hideMark/>
          </w:tcPr>
          <w:p w14:paraId="337CD79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118</w:t>
            </w:r>
          </w:p>
        </w:tc>
        <w:tc>
          <w:tcPr>
            <w:tcW w:w="772" w:type="dxa"/>
            <w:shd w:val="clear" w:color="auto" w:fill="auto"/>
            <w:noWrap/>
            <w:vAlign w:val="center"/>
            <w:hideMark/>
          </w:tcPr>
          <w:p w14:paraId="5767BDB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78</w:t>
            </w:r>
          </w:p>
        </w:tc>
        <w:tc>
          <w:tcPr>
            <w:tcW w:w="772" w:type="dxa"/>
            <w:shd w:val="clear" w:color="auto" w:fill="auto"/>
            <w:noWrap/>
            <w:vAlign w:val="center"/>
            <w:hideMark/>
          </w:tcPr>
          <w:p w14:paraId="41E59A47"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73</w:t>
            </w:r>
          </w:p>
        </w:tc>
        <w:tc>
          <w:tcPr>
            <w:tcW w:w="772" w:type="dxa"/>
            <w:shd w:val="clear" w:color="auto" w:fill="auto"/>
            <w:noWrap/>
            <w:vAlign w:val="center"/>
            <w:hideMark/>
          </w:tcPr>
          <w:p w14:paraId="205C613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62</w:t>
            </w:r>
          </w:p>
        </w:tc>
        <w:tc>
          <w:tcPr>
            <w:tcW w:w="772" w:type="dxa"/>
            <w:shd w:val="clear" w:color="auto" w:fill="auto"/>
            <w:noWrap/>
            <w:vAlign w:val="center"/>
            <w:hideMark/>
          </w:tcPr>
          <w:p w14:paraId="130B845B"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64</w:t>
            </w:r>
          </w:p>
        </w:tc>
        <w:tc>
          <w:tcPr>
            <w:tcW w:w="772" w:type="dxa"/>
            <w:shd w:val="clear" w:color="auto" w:fill="auto"/>
            <w:noWrap/>
            <w:vAlign w:val="center"/>
            <w:hideMark/>
          </w:tcPr>
          <w:p w14:paraId="3BE16210"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56</w:t>
            </w:r>
          </w:p>
        </w:tc>
        <w:tc>
          <w:tcPr>
            <w:tcW w:w="772" w:type="dxa"/>
            <w:vAlign w:val="center"/>
          </w:tcPr>
          <w:p w14:paraId="507BD2D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64</w:t>
            </w:r>
          </w:p>
        </w:tc>
        <w:tc>
          <w:tcPr>
            <w:tcW w:w="773" w:type="dxa"/>
            <w:vAlign w:val="center"/>
          </w:tcPr>
          <w:p w14:paraId="3954191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73</w:t>
            </w:r>
          </w:p>
        </w:tc>
      </w:tr>
      <w:tr w:rsidR="00891C08" w:rsidRPr="00F55E0E" w14:paraId="21667BE0" w14:textId="77777777" w:rsidTr="007B3C2D">
        <w:trPr>
          <w:trHeight w:val="325"/>
        </w:trPr>
        <w:tc>
          <w:tcPr>
            <w:tcW w:w="1858" w:type="dxa"/>
            <w:shd w:val="clear" w:color="auto" w:fill="auto"/>
            <w:noWrap/>
            <w:vAlign w:val="center"/>
            <w:hideMark/>
          </w:tcPr>
          <w:p w14:paraId="37277169" w14:textId="77777777" w:rsidR="00891C08" w:rsidRPr="00F55E0E" w:rsidRDefault="00891C08" w:rsidP="00891C08">
            <w:pPr>
              <w:spacing w:after="0" w:line="240" w:lineRule="auto"/>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Węgry</w:t>
            </w:r>
          </w:p>
        </w:tc>
        <w:tc>
          <w:tcPr>
            <w:tcW w:w="772" w:type="dxa"/>
            <w:shd w:val="clear" w:color="auto" w:fill="auto"/>
            <w:noWrap/>
            <w:vAlign w:val="center"/>
            <w:hideMark/>
          </w:tcPr>
          <w:p w14:paraId="7F36A275"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112</w:t>
            </w:r>
          </w:p>
        </w:tc>
        <w:tc>
          <w:tcPr>
            <w:tcW w:w="772" w:type="dxa"/>
            <w:shd w:val="clear" w:color="auto" w:fill="auto"/>
            <w:noWrap/>
            <w:vAlign w:val="center"/>
            <w:hideMark/>
          </w:tcPr>
          <w:p w14:paraId="6E03501F"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104</w:t>
            </w:r>
          </w:p>
        </w:tc>
        <w:tc>
          <w:tcPr>
            <w:tcW w:w="772" w:type="dxa"/>
            <w:shd w:val="clear" w:color="auto" w:fill="auto"/>
            <w:noWrap/>
            <w:vAlign w:val="center"/>
            <w:hideMark/>
          </w:tcPr>
          <w:p w14:paraId="1025AB9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84</w:t>
            </w:r>
          </w:p>
        </w:tc>
        <w:tc>
          <w:tcPr>
            <w:tcW w:w="772" w:type="dxa"/>
            <w:shd w:val="clear" w:color="auto" w:fill="auto"/>
            <w:noWrap/>
            <w:vAlign w:val="center"/>
            <w:hideMark/>
          </w:tcPr>
          <w:p w14:paraId="1033F90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96</w:t>
            </w:r>
          </w:p>
        </w:tc>
        <w:tc>
          <w:tcPr>
            <w:tcW w:w="772" w:type="dxa"/>
            <w:shd w:val="clear" w:color="auto" w:fill="auto"/>
            <w:noWrap/>
            <w:vAlign w:val="center"/>
            <w:hideMark/>
          </w:tcPr>
          <w:p w14:paraId="34E6289D"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101</w:t>
            </w:r>
          </w:p>
        </w:tc>
        <w:tc>
          <w:tcPr>
            <w:tcW w:w="772" w:type="dxa"/>
            <w:shd w:val="clear" w:color="auto" w:fill="auto"/>
            <w:noWrap/>
            <w:vAlign w:val="center"/>
            <w:hideMark/>
          </w:tcPr>
          <w:p w14:paraId="7CB0CE0C"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102</w:t>
            </w:r>
          </w:p>
        </w:tc>
        <w:tc>
          <w:tcPr>
            <w:tcW w:w="772" w:type="dxa"/>
            <w:shd w:val="clear" w:color="auto" w:fill="auto"/>
            <w:noWrap/>
            <w:vAlign w:val="center"/>
            <w:hideMark/>
          </w:tcPr>
          <w:p w14:paraId="25DD9959"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99</w:t>
            </w:r>
          </w:p>
        </w:tc>
        <w:tc>
          <w:tcPr>
            <w:tcW w:w="772" w:type="dxa"/>
            <w:shd w:val="clear" w:color="auto" w:fill="auto"/>
            <w:noWrap/>
            <w:vAlign w:val="center"/>
            <w:hideMark/>
          </w:tcPr>
          <w:p w14:paraId="4150AFE4"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84</w:t>
            </w:r>
          </w:p>
        </w:tc>
        <w:tc>
          <w:tcPr>
            <w:tcW w:w="772" w:type="dxa"/>
            <w:vAlign w:val="center"/>
          </w:tcPr>
          <w:p w14:paraId="4F789F62"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76</w:t>
            </w:r>
          </w:p>
        </w:tc>
        <w:tc>
          <w:tcPr>
            <w:tcW w:w="773" w:type="dxa"/>
            <w:vAlign w:val="center"/>
          </w:tcPr>
          <w:p w14:paraId="61875F78" w14:textId="77777777" w:rsidR="00891C08" w:rsidRPr="00F55E0E" w:rsidRDefault="00891C08" w:rsidP="00891C08">
            <w:pPr>
              <w:spacing w:after="0" w:line="240" w:lineRule="auto"/>
              <w:jc w:val="center"/>
              <w:rPr>
                <w:rFonts w:ascii="Times New Roman" w:eastAsia="Times New Roman" w:hAnsi="Times New Roman" w:cs="Times New Roman"/>
                <w:bCs/>
                <w:sz w:val="24"/>
                <w:szCs w:val="24"/>
                <w:lang w:eastAsia="pl-PL"/>
              </w:rPr>
            </w:pPr>
            <w:r w:rsidRPr="00F55E0E">
              <w:rPr>
                <w:rFonts w:ascii="Times New Roman" w:eastAsia="Times New Roman" w:hAnsi="Times New Roman" w:cs="Times New Roman"/>
                <w:bCs/>
                <w:szCs w:val="24"/>
                <w:lang w:eastAsia="pl-PL"/>
              </w:rPr>
              <w:t>85</w:t>
            </w:r>
          </w:p>
        </w:tc>
      </w:tr>
    </w:tbl>
    <w:p w14:paraId="73AB0ED2" w14:textId="77777777" w:rsidR="00891C08" w:rsidRPr="00F55E0E" w:rsidRDefault="00891C08" w:rsidP="00891C08">
      <w:pPr>
        <w:spacing w:after="160"/>
        <w:jc w:val="both"/>
        <w:rPr>
          <w:rFonts w:ascii="Times New Roman" w:eastAsia="Times New Roman" w:hAnsi="Times New Roman" w:cs="Times New Roman"/>
          <w:i/>
          <w:sz w:val="20"/>
          <w:szCs w:val="24"/>
          <w:lang w:eastAsia="pl-PL"/>
        </w:rPr>
      </w:pPr>
      <w:r w:rsidRPr="00F55E0E">
        <w:rPr>
          <w:rFonts w:ascii="Times New Roman" w:eastAsia="Times New Roman" w:hAnsi="Times New Roman" w:cs="Times New Roman"/>
          <w:i/>
          <w:sz w:val="20"/>
          <w:szCs w:val="24"/>
          <w:lang w:eastAsia="pl-PL"/>
        </w:rPr>
        <w:t xml:space="preserve">Źródło: </w:t>
      </w:r>
      <w:hyperlink r:id="rId39" w:history="1">
        <w:r w:rsidRPr="00F55E0E">
          <w:rPr>
            <w:rFonts w:ascii="Times New Roman" w:eastAsia="Times New Roman" w:hAnsi="Times New Roman" w:cs="Times New Roman"/>
            <w:i/>
            <w:color w:val="0563C1"/>
            <w:sz w:val="20"/>
            <w:szCs w:val="24"/>
            <w:u w:val="single"/>
            <w:lang w:eastAsia="pl-PL"/>
          </w:rPr>
          <w:t>https://ec.europa.eu/eurostat/databrowser/view/aei_hri/default/bar?lang=en</w:t>
        </w:r>
      </w:hyperlink>
    </w:p>
    <w:p w14:paraId="1BDA9794" w14:textId="77777777" w:rsidR="007B3C2D" w:rsidRDefault="007B3C2D" w:rsidP="00502E1C">
      <w:pPr>
        <w:spacing w:before="120" w:after="0" w:line="240" w:lineRule="auto"/>
        <w:ind w:left="993" w:hanging="993"/>
        <w:jc w:val="center"/>
        <w:rPr>
          <w:rFonts w:ascii="Arial" w:eastAsia="Times New Roman" w:hAnsi="Arial" w:cs="Arial"/>
          <w:i/>
          <w:sz w:val="20"/>
          <w:szCs w:val="20"/>
          <w:lang w:eastAsia="pl-PL"/>
        </w:rPr>
      </w:pPr>
    </w:p>
    <w:p w14:paraId="489D6A7F" w14:textId="77777777" w:rsidR="00E436EE" w:rsidRDefault="00E436EE" w:rsidP="00502E1C">
      <w:pPr>
        <w:spacing w:before="120" w:after="0" w:line="240" w:lineRule="auto"/>
        <w:ind w:left="993" w:hanging="993"/>
        <w:jc w:val="center"/>
        <w:rPr>
          <w:rFonts w:ascii="Arial" w:eastAsia="Times New Roman" w:hAnsi="Arial" w:cs="Arial"/>
          <w:i/>
          <w:sz w:val="20"/>
          <w:szCs w:val="20"/>
          <w:lang w:eastAsia="pl-PL"/>
        </w:rPr>
      </w:pPr>
    </w:p>
    <w:p w14:paraId="0326B290" w14:textId="77777777" w:rsidR="00E436EE" w:rsidRDefault="00E436EE" w:rsidP="00502E1C">
      <w:pPr>
        <w:spacing w:before="120" w:after="0" w:line="240" w:lineRule="auto"/>
        <w:ind w:left="993" w:hanging="993"/>
        <w:jc w:val="center"/>
        <w:rPr>
          <w:rFonts w:ascii="Arial" w:eastAsia="Times New Roman" w:hAnsi="Arial" w:cs="Arial"/>
          <w:i/>
          <w:sz w:val="20"/>
          <w:szCs w:val="20"/>
          <w:lang w:eastAsia="pl-PL"/>
        </w:rPr>
      </w:pPr>
    </w:p>
    <w:p w14:paraId="675ED3C3" w14:textId="77777777" w:rsidR="00E436EE" w:rsidRDefault="00E436EE" w:rsidP="00502E1C">
      <w:pPr>
        <w:spacing w:before="120" w:after="0" w:line="240" w:lineRule="auto"/>
        <w:ind w:left="993" w:hanging="993"/>
        <w:jc w:val="center"/>
        <w:rPr>
          <w:rFonts w:ascii="Arial" w:eastAsia="Times New Roman" w:hAnsi="Arial" w:cs="Arial"/>
          <w:i/>
          <w:sz w:val="20"/>
          <w:szCs w:val="20"/>
          <w:lang w:eastAsia="pl-PL"/>
        </w:rPr>
      </w:pPr>
    </w:p>
    <w:p w14:paraId="50A69643" w14:textId="77777777" w:rsidR="00E436EE" w:rsidRDefault="00E436EE" w:rsidP="00502E1C">
      <w:pPr>
        <w:spacing w:before="120" w:after="0" w:line="240" w:lineRule="auto"/>
        <w:ind w:left="993" w:hanging="993"/>
        <w:jc w:val="center"/>
        <w:rPr>
          <w:rFonts w:ascii="Arial" w:eastAsia="Times New Roman" w:hAnsi="Arial" w:cs="Arial"/>
          <w:i/>
          <w:sz w:val="20"/>
          <w:szCs w:val="20"/>
          <w:lang w:eastAsia="pl-PL"/>
        </w:rPr>
      </w:pPr>
    </w:p>
    <w:p w14:paraId="11A991AE" w14:textId="77777777" w:rsidR="00E436EE" w:rsidRDefault="00E436EE" w:rsidP="00502E1C">
      <w:pPr>
        <w:spacing w:before="120" w:after="0" w:line="240" w:lineRule="auto"/>
        <w:ind w:left="993" w:hanging="993"/>
        <w:jc w:val="center"/>
        <w:rPr>
          <w:rFonts w:ascii="Arial" w:eastAsia="Times New Roman" w:hAnsi="Arial" w:cs="Arial"/>
          <w:i/>
          <w:sz w:val="20"/>
          <w:szCs w:val="20"/>
          <w:lang w:eastAsia="pl-PL"/>
        </w:rPr>
      </w:pPr>
    </w:p>
    <w:p w14:paraId="772CF478" w14:textId="77777777" w:rsidR="00E436EE" w:rsidRDefault="00E436EE" w:rsidP="00502E1C">
      <w:pPr>
        <w:spacing w:before="120" w:after="0" w:line="240" w:lineRule="auto"/>
        <w:ind w:left="993" w:hanging="993"/>
        <w:jc w:val="center"/>
        <w:rPr>
          <w:rFonts w:ascii="Arial" w:eastAsia="Times New Roman" w:hAnsi="Arial" w:cs="Arial"/>
          <w:i/>
          <w:sz w:val="20"/>
          <w:szCs w:val="20"/>
          <w:lang w:eastAsia="pl-PL"/>
        </w:rPr>
      </w:pPr>
    </w:p>
    <w:p w14:paraId="5A89049A" w14:textId="77777777" w:rsidR="00E436EE" w:rsidRDefault="00E436EE" w:rsidP="00502E1C">
      <w:pPr>
        <w:spacing w:before="120" w:after="0" w:line="240" w:lineRule="auto"/>
        <w:ind w:left="993" w:hanging="993"/>
        <w:jc w:val="center"/>
        <w:rPr>
          <w:rFonts w:ascii="Arial" w:eastAsia="Times New Roman" w:hAnsi="Arial" w:cs="Arial"/>
          <w:i/>
          <w:sz w:val="20"/>
          <w:szCs w:val="20"/>
          <w:lang w:eastAsia="pl-PL"/>
        </w:rPr>
      </w:pPr>
    </w:p>
    <w:p w14:paraId="053915D8" w14:textId="77777777" w:rsidR="00E436EE" w:rsidRDefault="00E436EE" w:rsidP="00502E1C">
      <w:pPr>
        <w:spacing w:before="120" w:after="0" w:line="240" w:lineRule="auto"/>
        <w:ind w:left="993" w:hanging="993"/>
        <w:jc w:val="center"/>
        <w:rPr>
          <w:rFonts w:ascii="Arial" w:eastAsia="Times New Roman" w:hAnsi="Arial" w:cs="Arial"/>
          <w:i/>
          <w:sz w:val="20"/>
          <w:szCs w:val="20"/>
          <w:lang w:eastAsia="pl-PL"/>
        </w:rPr>
      </w:pPr>
    </w:p>
    <w:p w14:paraId="13016FC1" w14:textId="77777777" w:rsidR="00E436EE" w:rsidRDefault="00E436EE" w:rsidP="00502E1C">
      <w:pPr>
        <w:spacing w:before="120" w:after="0" w:line="240" w:lineRule="auto"/>
        <w:ind w:left="993" w:hanging="993"/>
        <w:jc w:val="center"/>
        <w:rPr>
          <w:rFonts w:ascii="Arial" w:eastAsia="Times New Roman" w:hAnsi="Arial" w:cs="Arial"/>
          <w:i/>
          <w:sz w:val="20"/>
          <w:szCs w:val="20"/>
          <w:lang w:eastAsia="pl-PL"/>
        </w:rPr>
      </w:pPr>
    </w:p>
    <w:p w14:paraId="0B74ACBC" w14:textId="7A07A993" w:rsidR="00F55E0E" w:rsidRPr="00502E1C" w:rsidRDefault="00F55E0E" w:rsidP="00502E1C">
      <w:pPr>
        <w:spacing w:before="120" w:after="0" w:line="240" w:lineRule="auto"/>
        <w:ind w:left="993" w:hanging="993"/>
        <w:jc w:val="center"/>
        <w:rPr>
          <w:rFonts w:ascii="Arial" w:eastAsia="Times New Roman" w:hAnsi="Arial" w:cs="Arial"/>
          <w:i/>
          <w:sz w:val="20"/>
          <w:szCs w:val="20"/>
          <w:lang w:eastAsia="pl-PL"/>
        </w:rPr>
      </w:pPr>
      <w:r w:rsidRPr="00F55E0E">
        <w:rPr>
          <w:rFonts w:ascii="Arial" w:eastAsia="Times New Roman" w:hAnsi="Arial" w:cs="Arial"/>
          <w:i/>
          <w:sz w:val="20"/>
          <w:szCs w:val="20"/>
          <w:lang w:eastAsia="pl-PL"/>
        </w:rPr>
        <w:t xml:space="preserve">Rys. 1. Wartość wskaźnika HRI1 w 2020 </w:t>
      </w:r>
      <w:r w:rsidR="008B532E">
        <w:rPr>
          <w:rFonts w:ascii="Arial" w:eastAsia="Times New Roman" w:hAnsi="Arial" w:cs="Arial"/>
          <w:i/>
          <w:sz w:val="20"/>
          <w:szCs w:val="20"/>
          <w:lang w:eastAsia="pl-PL"/>
        </w:rPr>
        <w:t xml:space="preserve">r. </w:t>
      </w:r>
      <w:r w:rsidRPr="00F55E0E">
        <w:rPr>
          <w:rFonts w:ascii="Arial" w:eastAsia="Times New Roman" w:hAnsi="Arial" w:cs="Arial"/>
          <w:i/>
          <w:sz w:val="20"/>
          <w:szCs w:val="20"/>
          <w:lang w:eastAsia="pl-PL"/>
        </w:rPr>
        <w:t>w krajach Unii Europejskiej</w:t>
      </w:r>
    </w:p>
    <w:p w14:paraId="0F5979E5" w14:textId="77777777" w:rsidR="00502E1C" w:rsidRPr="00F55E0E" w:rsidRDefault="00502E1C" w:rsidP="00502E1C">
      <w:pPr>
        <w:spacing w:before="120" w:after="0" w:line="240" w:lineRule="auto"/>
        <w:ind w:left="993" w:hanging="993"/>
        <w:jc w:val="center"/>
        <w:rPr>
          <w:rFonts w:ascii="Arial" w:eastAsia="Times New Roman" w:hAnsi="Arial" w:cs="Arial"/>
          <w:i/>
          <w:sz w:val="20"/>
          <w:szCs w:val="20"/>
          <w:highlight w:val="green"/>
          <w:lang w:eastAsia="pl-PL"/>
        </w:rPr>
      </w:pPr>
    </w:p>
    <w:p w14:paraId="16135B07" w14:textId="26E91722" w:rsidR="00F55E0E" w:rsidRPr="00F55E0E" w:rsidRDefault="00F55E0E" w:rsidP="00F55E0E">
      <w:pPr>
        <w:spacing w:after="160"/>
        <w:jc w:val="both"/>
        <w:rPr>
          <w:rFonts w:ascii="Times New Roman" w:eastAsia="Times New Roman" w:hAnsi="Times New Roman" w:cs="Times New Roman"/>
          <w:sz w:val="24"/>
          <w:szCs w:val="24"/>
          <w:highlight w:val="green"/>
          <w:lang w:eastAsia="pl-PL"/>
        </w:rPr>
      </w:pPr>
      <w:r w:rsidRPr="00F55E0E">
        <w:rPr>
          <w:rFonts w:ascii="Times New Roman" w:eastAsia="Times New Roman" w:hAnsi="Times New Roman" w:cs="Times New Roman"/>
          <w:noProof/>
          <w:sz w:val="24"/>
          <w:szCs w:val="21"/>
          <w:highlight w:val="green"/>
          <w:lang w:eastAsia="pl-PL"/>
        </w:rPr>
        <w:drawing>
          <wp:inline distT="0" distB="0" distL="0" distR="0" wp14:anchorId="70DDE3AF" wp14:editId="1709EB28">
            <wp:extent cx="4743450" cy="3676650"/>
            <wp:effectExtent l="0" t="0" r="0" b="0"/>
            <wp:docPr id="14" name="Wykres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F97CDE4" w14:textId="098B5388" w:rsidR="00F55E0E" w:rsidRDefault="00F55E0E" w:rsidP="00502E1C">
      <w:pPr>
        <w:pStyle w:val="NormalnyWeb"/>
        <w:tabs>
          <w:tab w:val="left" w:pos="284"/>
        </w:tabs>
        <w:spacing w:beforeAutospacing="0" w:after="120" w:afterAutospacing="0" w:line="360" w:lineRule="auto"/>
        <w:ind w:firstLine="284"/>
        <w:jc w:val="both"/>
        <w:rPr>
          <w:rFonts w:ascii="Arial" w:hAnsi="Arial" w:cs="Arial"/>
        </w:rPr>
      </w:pPr>
      <w:r w:rsidRPr="00F55E0E">
        <w:rPr>
          <w:rFonts w:ascii="Arial" w:hAnsi="Arial" w:cs="Arial"/>
        </w:rPr>
        <w:t>Można zauważyć, że zmiany wartości wskaźnika dla Polski są zbliżone do zmian wartości dla średniej ze wszystkich krajów UE – co zostało zaprezentowane na poniższym wykresie (rysunek 2).</w:t>
      </w:r>
    </w:p>
    <w:p w14:paraId="584A1A27" w14:textId="15F11DD5" w:rsidR="00502E1C" w:rsidRDefault="00502E1C" w:rsidP="001D0A01">
      <w:pPr>
        <w:spacing w:before="120" w:after="0" w:line="240" w:lineRule="auto"/>
        <w:ind w:left="993" w:hanging="993"/>
        <w:jc w:val="center"/>
        <w:rPr>
          <w:rFonts w:ascii="Arial" w:eastAsia="Times New Roman" w:hAnsi="Arial" w:cs="Arial"/>
          <w:i/>
          <w:sz w:val="20"/>
          <w:szCs w:val="20"/>
          <w:lang w:eastAsia="pl-PL"/>
        </w:rPr>
      </w:pPr>
      <w:r w:rsidRPr="00502E1C">
        <w:rPr>
          <w:rFonts w:ascii="Arial" w:eastAsia="Times New Roman" w:hAnsi="Arial" w:cs="Arial"/>
          <w:i/>
          <w:sz w:val="20"/>
          <w:szCs w:val="20"/>
          <w:lang w:eastAsia="pl-PL"/>
        </w:rPr>
        <w:t>Rys. 2. Wskaźnik HRI1 – porównanie wartości dla UE i Polski w latach 2011-2020</w:t>
      </w:r>
    </w:p>
    <w:p w14:paraId="5E1224B5" w14:textId="77777777" w:rsidR="00A354EC" w:rsidRPr="00502E1C" w:rsidRDefault="00A354EC" w:rsidP="00502E1C">
      <w:pPr>
        <w:spacing w:before="120" w:after="0" w:line="240" w:lineRule="auto"/>
        <w:ind w:left="993" w:hanging="993"/>
        <w:rPr>
          <w:rFonts w:ascii="Arial" w:eastAsia="Times New Roman" w:hAnsi="Arial" w:cs="Arial"/>
          <w:i/>
          <w:sz w:val="20"/>
          <w:szCs w:val="20"/>
          <w:lang w:eastAsia="pl-PL"/>
        </w:rPr>
      </w:pPr>
    </w:p>
    <w:p w14:paraId="2DDA3E88" w14:textId="0577BB9E" w:rsidR="00502E1C" w:rsidRPr="00502E1C" w:rsidRDefault="00502E1C" w:rsidP="00502E1C">
      <w:pPr>
        <w:spacing w:after="160"/>
        <w:jc w:val="both"/>
        <w:rPr>
          <w:rFonts w:ascii="Times New Roman" w:eastAsia="Times New Roman" w:hAnsi="Times New Roman" w:cs="Times New Roman"/>
          <w:sz w:val="24"/>
          <w:szCs w:val="24"/>
          <w:highlight w:val="green"/>
          <w:lang w:eastAsia="pl-PL"/>
        </w:rPr>
      </w:pPr>
      <w:r w:rsidRPr="00502E1C">
        <w:rPr>
          <w:rFonts w:ascii="Times New Roman" w:eastAsia="Times New Roman" w:hAnsi="Times New Roman" w:cs="Times New Roman"/>
          <w:noProof/>
          <w:sz w:val="24"/>
          <w:szCs w:val="21"/>
          <w:highlight w:val="green"/>
          <w:lang w:eastAsia="pl-PL"/>
        </w:rPr>
        <w:drawing>
          <wp:inline distT="0" distB="0" distL="0" distR="0" wp14:anchorId="17DD289C" wp14:editId="6DFDCDD3">
            <wp:extent cx="5549900" cy="2565400"/>
            <wp:effectExtent l="0" t="0" r="12700" b="6350"/>
            <wp:docPr id="11266" name="Wykres 112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89DC49E" w14:textId="44B11AC9" w:rsidR="00502E1C"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lastRenderedPageBreak/>
        <w:t>Jak zostało to przedstawione na rysunku 3, po trzech latach wyraźnego spadku (lata 2016-2018) wartość wskaźnika ustabilizowała się na poziomie ok. 20 pkt poniżej wartości obliczonej dla lat bazowych (2011-2013).</w:t>
      </w:r>
    </w:p>
    <w:p w14:paraId="595D7460" w14:textId="77777777" w:rsidR="007B3C2D" w:rsidRPr="00502E1C" w:rsidRDefault="007B3C2D" w:rsidP="00A354EC">
      <w:pPr>
        <w:pStyle w:val="NormalnyWeb"/>
        <w:tabs>
          <w:tab w:val="left" w:pos="284"/>
        </w:tabs>
        <w:spacing w:beforeAutospacing="0" w:after="120" w:afterAutospacing="0" w:line="360" w:lineRule="auto"/>
        <w:ind w:firstLine="284"/>
        <w:jc w:val="both"/>
        <w:rPr>
          <w:rFonts w:ascii="Arial" w:hAnsi="Arial" w:cs="Arial"/>
        </w:rPr>
      </w:pPr>
    </w:p>
    <w:p w14:paraId="478CB9BD" w14:textId="77777777" w:rsidR="00502E1C" w:rsidRPr="00502E1C" w:rsidRDefault="00502E1C" w:rsidP="001D0A01">
      <w:pPr>
        <w:spacing w:before="120" w:after="0" w:line="240" w:lineRule="auto"/>
        <w:ind w:left="993" w:hanging="993"/>
        <w:jc w:val="center"/>
        <w:rPr>
          <w:rFonts w:ascii="Arial" w:eastAsia="Times New Roman" w:hAnsi="Arial" w:cs="Arial"/>
          <w:i/>
          <w:sz w:val="20"/>
          <w:szCs w:val="20"/>
          <w:lang w:eastAsia="pl-PL"/>
        </w:rPr>
      </w:pPr>
      <w:r w:rsidRPr="00502E1C">
        <w:rPr>
          <w:rFonts w:ascii="Arial" w:eastAsia="Times New Roman" w:hAnsi="Arial" w:cs="Arial"/>
          <w:i/>
          <w:sz w:val="20"/>
          <w:szCs w:val="20"/>
          <w:lang w:eastAsia="pl-PL"/>
        </w:rPr>
        <w:t>Rys. 3. Trend wartości wskaźnika HRI1 dla Polski (lata 2011-2020)</w:t>
      </w:r>
    </w:p>
    <w:p w14:paraId="7CBE676A" w14:textId="5F80280F" w:rsidR="00502E1C" w:rsidRPr="00502E1C" w:rsidRDefault="00502E1C" w:rsidP="00502E1C">
      <w:pPr>
        <w:shd w:val="clear" w:color="auto" w:fill="FFFFFF"/>
        <w:spacing w:after="0"/>
        <w:jc w:val="both"/>
        <w:textAlignment w:val="baseline"/>
        <w:rPr>
          <w:rFonts w:ascii="Times New Roman" w:eastAsia="Times New Roman" w:hAnsi="Times New Roman" w:cs="Times New Roman"/>
          <w:color w:val="1B1B1B"/>
          <w:sz w:val="28"/>
          <w:szCs w:val="24"/>
          <w:highlight w:val="green"/>
          <w:lang w:eastAsia="pl-PL"/>
        </w:rPr>
      </w:pPr>
      <w:r w:rsidRPr="00502E1C">
        <w:rPr>
          <w:rFonts w:ascii="Times New Roman" w:eastAsia="Times New Roman" w:hAnsi="Times New Roman" w:cs="Times New Roman"/>
          <w:noProof/>
          <w:sz w:val="24"/>
          <w:szCs w:val="21"/>
          <w:highlight w:val="green"/>
          <w:lang w:eastAsia="pl-PL"/>
        </w:rPr>
        <w:drawing>
          <wp:inline distT="0" distB="0" distL="0" distR="0" wp14:anchorId="1A6BB480" wp14:editId="6DF15CC0">
            <wp:extent cx="5511800" cy="3530600"/>
            <wp:effectExtent l="0" t="0" r="0" b="0"/>
            <wp:docPr id="11265" name="Obraz 11265" descr="C:\Users\sliwinski\AppData\Local\Microsoft\Windows\INetCache\Content.MSO\686E5B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C:\Users\sliwinski\AppData\Local\Microsoft\Windows\INetCache\Content.MSO\686E5B72.t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11800" cy="3530600"/>
                    </a:xfrm>
                    <a:prstGeom prst="rect">
                      <a:avLst/>
                    </a:prstGeom>
                    <a:noFill/>
                    <a:ln>
                      <a:noFill/>
                    </a:ln>
                  </pic:spPr>
                </pic:pic>
              </a:graphicData>
            </a:graphic>
          </wp:inline>
        </w:drawing>
      </w:r>
    </w:p>
    <w:p w14:paraId="2F9252F5" w14:textId="3CD8F19A" w:rsidR="00502E1C" w:rsidRPr="00502E1C"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t>Pomimo podobnej sprzedaży substancji czynnych w latach 2019 i 2020 można zaobserwować zmiany w asortymencie sprzedawanych substancji czynnych. Część substancji została wycofana ze sprzedaży lub ich sprzedaż znacznie zmalała (</w:t>
      </w:r>
      <w:proofErr w:type="spellStart"/>
      <w:r w:rsidRPr="00502E1C">
        <w:rPr>
          <w:rFonts w:ascii="Arial" w:hAnsi="Arial" w:cs="Arial"/>
        </w:rPr>
        <w:t>chloropyrifos</w:t>
      </w:r>
      <w:proofErr w:type="spellEnd"/>
      <w:r w:rsidRPr="00502E1C">
        <w:rPr>
          <w:rFonts w:ascii="Arial" w:hAnsi="Arial" w:cs="Arial"/>
        </w:rPr>
        <w:t xml:space="preserve">, </w:t>
      </w:r>
      <w:proofErr w:type="spellStart"/>
      <w:r w:rsidRPr="00502E1C">
        <w:rPr>
          <w:rFonts w:ascii="Arial" w:hAnsi="Arial" w:cs="Arial"/>
        </w:rPr>
        <w:t>dimetoat</w:t>
      </w:r>
      <w:proofErr w:type="spellEnd"/>
      <w:r w:rsidRPr="00502E1C">
        <w:rPr>
          <w:rFonts w:ascii="Arial" w:hAnsi="Arial" w:cs="Arial"/>
        </w:rPr>
        <w:t xml:space="preserve">, </w:t>
      </w:r>
      <w:proofErr w:type="spellStart"/>
      <w:r w:rsidRPr="00502E1C">
        <w:rPr>
          <w:rFonts w:ascii="Arial" w:hAnsi="Arial" w:cs="Arial"/>
        </w:rPr>
        <w:t>chlorotalonil</w:t>
      </w:r>
      <w:proofErr w:type="spellEnd"/>
      <w:r w:rsidRPr="00502E1C">
        <w:rPr>
          <w:rFonts w:ascii="Arial" w:hAnsi="Arial" w:cs="Arial"/>
        </w:rPr>
        <w:t xml:space="preserve">, </w:t>
      </w:r>
      <w:proofErr w:type="spellStart"/>
      <w:r w:rsidRPr="00502E1C">
        <w:rPr>
          <w:rFonts w:ascii="Arial" w:hAnsi="Arial" w:cs="Arial"/>
        </w:rPr>
        <w:t>propikonazol</w:t>
      </w:r>
      <w:proofErr w:type="spellEnd"/>
      <w:r w:rsidRPr="00502E1C">
        <w:rPr>
          <w:rFonts w:ascii="Arial" w:hAnsi="Arial" w:cs="Arial"/>
        </w:rPr>
        <w:t>), a</w:t>
      </w:r>
      <w:r w:rsidR="00A354EC">
        <w:rPr>
          <w:rFonts w:ascii="Arial" w:hAnsi="Arial" w:cs="Arial"/>
        </w:rPr>
        <w:t> </w:t>
      </w:r>
      <w:r w:rsidRPr="00502E1C">
        <w:rPr>
          <w:rFonts w:ascii="Arial" w:hAnsi="Arial" w:cs="Arial"/>
        </w:rPr>
        <w:t>równocześnie sprzedaż innych substancji wzrosła, niektórym z nich wygasł już okres zatwierdzenia (</w:t>
      </w:r>
      <w:proofErr w:type="spellStart"/>
      <w:r w:rsidRPr="00502E1C">
        <w:rPr>
          <w:rFonts w:ascii="Arial" w:hAnsi="Arial" w:cs="Arial"/>
        </w:rPr>
        <w:t>mankozeb</w:t>
      </w:r>
      <w:proofErr w:type="spellEnd"/>
      <w:r w:rsidRPr="00502E1C">
        <w:rPr>
          <w:rFonts w:ascii="Arial" w:hAnsi="Arial" w:cs="Arial"/>
        </w:rPr>
        <w:t xml:space="preserve">, </w:t>
      </w:r>
      <w:proofErr w:type="spellStart"/>
      <w:r w:rsidRPr="00502E1C">
        <w:rPr>
          <w:rFonts w:ascii="Arial" w:hAnsi="Arial" w:cs="Arial"/>
        </w:rPr>
        <w:t>prochloraz</w:t>
      </w:r>
      <w:proofErr w:type="spellEnd"/>
      <w:r w:rsidRPr="00502E1C">
        <w:rPr>
          <w:rFonts w:ascii="Arial" w:hAnsi="Arial" w:cs="Arial"/>
        </w:rPr>
        <w:t>).</w:t>
      </w:r>
    </w:p>
    <w:p w14:paraId="1B8547D0" w14:textId="689600B0" w:rsidR="00502E1C" w:rsidRPr="00502E1C"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t xml:space="preserve">Na niewielki wzrost wartości wskaźnika HRI1 z 81 (rok 2019) do 83 (w roku 2020) główny wpływ miało ponad 3-krotne zwiększenie sprzedaży </w:t>
      </w:r>
      <w:proofErr w:type="spellStart"/>
      <w:r w:rsidRPr="00502E1C">
        <w:rPr>
          <w:rFonts w:ascii="Arial" w:hAnsi="Arial" w:cs="Arial"/>
        </w:rPr>
        <w:t>mankozebu</w:t>
      </w:r>
      <w:proofErr w:type="spellEnd"/>
      <w:r w:rsidRPr="00502E1C">
        <w:rPr>
          <w:rFonts w:ascii="Arial" w:hAnsi="Arial" w:cs="Arial"/>
        </w:rPr>
        <w:t>, dla którego termin wycofania zezwoleń na wprowadzanie środków ochrony roślin do obrotu został ustalony na 04.07.2021. Wzrost sprzedaży w</w:t>
      </w:r>
      <w:r w:rsidR="00A354EC">
        <w:rPr>
          <w:rFonts w:ascii="Arial" w:hAnsi="Arial" w:cs="Arial"/>
        </w:rPr>
        <w:t> </w:t>
      </w:r>
      <w:r w:rsidRPr="00502E1C">
        <w:rPr>
          <w:rFonts w:ascii="Arial" w:hAnsi="Arial" w:cs="Arial"/>
        </w:rPr>
        <w:t xml:space="preserve">roku 2020 wynikał głównie z dużej skuteczności </w:t>
      </w:r>
      <w:proofErr w:type="spellStart"/>
      <w:r w:rsidRPr="00502E1C">
        <w:rPr>
          <w:rFonts w:ascii="Arial" w:hAnsi="Arial" w:cs="Arial"/>
        </w:rPr>
        <w:t>mankozebu</w:t>
      </w:r>
      <w:proofErr w:type="spellEnd"/>
      <w:r w:rsidRPr="00502E1C">
        <w:rPr>
          <w:rFonts w:ascii="Arial" w:hAnsi="Arial" w:cs="Arial"/>
        </w:rPr>
        <w:t xml:space="preserve"> w zwalczaniu chorób grzybowych i</w:t>
      </w:r>
      <w:r w:rsidR="00A354EC">
        <w:rPr>
          <w:rFonts w:ascii="Arial" w:hAnsi="Arial" w:cs="Arial"/>
        </w:rPr>
        <w:t> </w:t>
      </w:r>
      <w:r w:rsidRPr="00502E1C">
        <w:rPr>
          <w:rFonts w:ascii="Arial" w:hAnsi="Arial" w:cs="Arial"/>
        </w:rPr>
        <w:t xml:space="preserve">jednoczesnej wyprzedaży wielu popularnych i często stosowanych środków ochrony roślin, w których </w:t>
      </w:r>
      <w:proofErr w:type="spellStart"/>
      <w:r w:rsidRPr="00502E1C">
        <w:rPr>
          <w:rFonts w:ascii="Arial" w:hAnsi="Arial" w:cs="Arial"/>
        </w:rPr>
        <w:t>mankozeb</w:t>
      </w:r>
      <w:proofErr w:type="spellEnd"/>
      <w:r w:rsidRPr="00502E1C">
        <w:rPr>
          <w:rFonts w:ascii="Arial" w:hAnsi="Arial" w:cs="Arial"/>
        </w:rPr>
        <w:t xml:space="preserve"> był substancją czynną.</w:t>
      </w:r>
    </w:p>
    <w:p w14:paraId="6320C2FD" w14:textId="77777777" w:rsidR="00502E1C" w:rsidRPr="00502E1C"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t>Grupami substancji czynnych, których udział w wartości wskaźnika HRI1 wzrósł (sprzedaż ważona kategoriami ryzyka) są niektóre herbicydy oraz fungicydy.</w:t>
      </w:r>
    </w:p>
    <w:p w14:paraId="7AE5483C" w14:textId="77777777" w:rsidR="00502E1C" w:rsidRPr="00502E1C"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t>Wśród herbicydów wzrost zanotowały preparaty charakteryzujące się działaniem nieselektywnym. Wzrost sprzedaży tych środków wynika z kwestii takich jak: szeroki asortyment środków ochrony roślin zawierających takie substancje czynne oraz szeroki zakres terminu stosowania i zwalczanych roślin. Trudno jest jednoznacznie określić, które z zastosowań mogło mieć wpływ na wzrost sprzedaży środków opartych o te substancje czynne.</w:t>
      </w:r>
    </w:p>
    <w:p w14:paraId="49112E51" w14:textId="77777777" w:rsidR="00502E1C" w:rsidRPr="00502E1C"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lastRenderedPageBreak/>
        <w:t xml:space="preserve">Zwiększenie sprzedaży substancji czynnych z grupy triazoli jest prawdopodobnie wynikiem potrzeby zwiększenia zapasów magazynowych przez producentów rolnych. W związku z przeprowadzaną w tej grupie chemicznej ponowną oceną tych substancji, istniała obawa, że nie otrzymają one rekomendacji do stosowania w kolejnych latach. Substancje te są stosunkowo tanie i skutecznie ograniczają szereg grzybów chorobotwórczych występujących w wielu uprawach i przypuszczalnie to wpłynąć mogło na stwierdzony wzrost sprzedaży. Może także wynikać z wygaśnięcia zatwierdzeń dla substancji czynnych z tej samej grupy chemicznej takich jak: </w:t>
      </w:r>
      <w:proofErr w:type="spellStart"/>
      <w:r w:rsidRPr="00502E1C">
        <w:rPr>
          <w:rFonts w:ascii="Arial" w:hAnsi="Arial" w:cs="Arial"/>
        </w:rPr>
        <w:t>epoksykonazol</w:t>
      </w:r>
      <w:proofErr w:type="spellEnd"/>
      <w:r w:rsidRPr="00502E1C">
        <w:rPr>
          <w:rFonts w:ascii="Arial" w:hAnsi="Arial" w:cs="Arial"/>
        </w:rPr>
        <w:t xml:space="preserve">, a wcześniej </w:t>
      </w:r>
      <w:proofErr w:type="spellStart"/>
      <w:r w:rsidRPr="00502E1C">
        <w:rPr>
          <w:rFonts w:ascii="Arial" w:hAnsi="Arial" w:cs="Arial"/>
        </w:rPr>
        <w:t>propikonazol</w:t>
      </w:r>
      <w:proofErr w:type="spellEnd"/>
      <w:r w:rsidRPr="00502E1C">
        <w:rPr>
          <w:rFonts w:ascii="Arial" w:hAnsi="Arial" w:cs="Arial"/>
        </w:rPr>
        <w:t>.</w:t>
      </w:r>
    </w:p>
    <w:p w14:paraId="332AB178" w14:textId="77777777" w:rsidR="00502E1C" w:rsidRPr="00502E1C"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t xml:space="preserve">Wzrost sprzedaży niektórych preparatów miedziowych jest prawdopodobnie wynikiem możliwości ich zastosowania w uprawach ekologicznych. Również ze względu na sposób działania te substancje czynne wykorzystywane są w strategii </w:t>
      </w:r>
      <w:proofErr w:type="spellStart"/>
      <w:r w:rsidRPr="00502E1C">
        <w:rPr>
          <w:rFonts w:ascii="Arial" w:hAnsi="Arial" w:cs="Arial"/>
        </w:rPr>
        <w:t>antyodpornościowej</w:t>
      </w:r>
      <w:proofErr w:type="spellEnd"/>
      <w:r w:rsidRPr="00502E1C">
        <w:rPr>
          <w:rFonts w:ascii="Arial" w:hAnsi="Arial" w:cs="Arial"/>
        </w:rPr>
        <w:t>, co może wpływać na zwiększenie ich zużycia.</w:t>
      </w:r>
    </w:p>
    <w:p w14:paraId="07E70C7C" w14:textId="77777777" w:rsidR="00502E1C" w:rsidRPr="00502E1C"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t>Wzrost sprzedaży niektórych herbicydów jest prawdopodobnie związany z problemem biotypów chwastów odpornych na herbicydy w uprawie zbóż ozimych. Na powierzchniach, których stwierdzono występowanie biotypów miotły zbożowej (</w:t>
      </w:r>
      <w:proofErr w:type="spellStart"/>
      <w:r w:rsidRPr="00502E1C">
        <w:rPr>
          <w:rFonts w:ascii="Arial" w:hAnsi="Arial" w:cs="Arial"/>
        </w:rPr>
        <w:t>Apera</w:t>
      </w:r>
      <w:proofErr w:type="spellEnd"/>
      <w:r w:rsidRPr="00502E1C">
        <w:rPr>
          <w:rFonts w:ascii="Arial" w:hAnsi="Arial" w:cs="Arial"/>
        </w:rPr>
        <w:t xml:space="preserve"> </w:t>
      </w:r>
      <w:proofErr w:type="spellStart"/>
      <w:r w:rsidRPr="00502E1C">
        <w:rPr>
          <w:rFonts w:ascii="Arial" w:hAnsi="Arial" w:cs="Arial"/>
        </w:rPr>
        <w:t>spica-venti</w:t>
      </w:r>
      <w:proofErr w:type="spellEnd"/>
      <w:r w:rsidRPr="00502E1C">
        <w:rPr>
          <w:rFonts w:ascii="Arial" w:hAnsi="Arial" w:cs="Arial"/>
        </w:rPr>
        <w:t xml:space="preserve">) odpornej na herbicydy z grupy </w:t>
      </w:r>
      <w:proofErr w:type="spellStart"/>
      <w:r w:rsidRPr="00502E1C">
        <w:rPr>
          <w:rFonts w:ascii="Arial" w:hAnsi="Arial" w:cs="Arial"/>
        </w:rPr>
        <w:t>sulfonylomoczników</w:t>
      </w:r>
      <w:proofErr w:type="spellEnd"/>
      <w:r w:rsidRPr="00502E1C">
        <w:rPr>
          <w:rFonts w:ascii="Arial" w:hAnsi="Arial" w:cs="Arial"/>
        </w:rPr>
        <w:t xml:space="preserve"> (w/g klasyfikacji HRAC grupa B) należy stosować rotacyjnie herbicydy o innym skutecznym mechanizmie działania z innych grup chemicznych.</w:t>
      </w:r>
    </w:p>
    <w:p w14:paraId="45D693E3" w14:textId="77777777" w:rsidR="00502E1C" w:rsidRPr="00502E1C"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t>Bardzo ważnym elementem w analizie zharmonizowanego wskaźnika ryzyka jest poziom wyjściowy ochrony roślin (intensywności) w okresie bazowym – ilość używanych środków, liczba zabiegów i plon. Poziom 100 dla każdego kraju oznacza inną intensywność wyjściową. Średnie zużycie substancji czynnych w Polsce jest niższe niż średnia w UE. Zestawianie wskaźników HRI1 na poziomie krajów UE i porównywanie ich ze sobą może prowadzić do nieuzasadnionej presji na kraje, w których wartości wskaźnika niekoniecznie muszą być tak samo ograniczane.</w:t>
      </w:r>
    </w:p>
    <w:p w14:paraId="53F45710" w14:textId="77777777" w:rsidR="00502E1C" w:rsidRPr="00502E1C" w:rsidRDefault="00502E1C" w:rsidP="00A354EC">
      <w:pPr>
        <w:spacing w:after="0" w:line="360" w:lineRule="auto"/>
        <w:jc w:val="both"/>
        <w:rPr>
          <w:rFonts w:ascii="Arial" w:eastAsia="Times New Roman" w:hAnsi="Arial" w:cs="Arial"/>
          <w:b/>
          <w:sz w:val="20"/>
          <w:szCs w:val="20"/>
          <w:lang w:eastAsia="pl-PL"/>
        </w:rPr>
      </w:pPr>
      <w:r w:rsidRPr="00502E1C">
        <w:rPr>
          <w:rFonts w:ascii="Arial" w:eastAsia="Times New Roman" w:hAnsi="Arial" w:cs="Arial"/>
          <w:b/>
          <w:sz w:val="20"/>
          <w:szCs w:val="20"/>
          <w:lang w:eastAsia="pl-PL"/>
        </w:rPr>
        <w:t>5.2. Sprzedaż substancji czynnych w 2021</w:t>
      </w:r>
    </w:p>
    <w:p w14:paraId="5FBCD45B" w14:textId="1487A62E" w:rsidR="002918E0"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t xml:space="preserve">Sprzedaż substancji czynnych w 2021 </w:t>
      </w:r>
      <w:r w:rsidR="008B532E">
        <w:rPr>
          <w:rFonts w:ascii="Arial" w:hAnsi="Arial" w:cs="Arial"/>
        </w:rPr>
        <w:t xml:space="preserve">r. </w:t>
      </w:r>
      <w:r w:rsidRPr="00502E1C">
        <w:rPr>
          <w:rFonts w:ascii="Arial" w:hAnsi="Arial" w:cs="Arial"/>
        </w:rPr>
        <w:t>wyniosła 26972,68 tys. kg i wzrosła o 9,5% w stosunku do 2020</w:t>
      </w:r>
      <w:r w:rsidR="008B532E">
        <w:rPr>
          <w:rFonts w:ascii="Arial" w:hAnsi="Arial" w:cs="Arial"/>
        </w:rPr>
        <w:t xml:space="preserve"> r. W sprzedaży w </w:t>
      </w:r>
      <w:r w:rsidRPr="00502E1C">
        <w:rPr>
          <w:rFonts w:ascii="Arial" w:hAnsi="Arial" w:cs="Arial"/>
        </w:rPr>
        <w:t xml:space="preserve"> 2021 </w:t>
      </w:r>
      <w:r w:rsidR="008B532E">
        <w:rPr>
          <w:rFonts w:ascii="Arial" w:hAnsi="Arial" w:cs="Arial"/>
        </w:rPr>
        <w:t xml:space="preserve">r. </w:t>
      </w:r>
      <w:r w:rsidRPr="00502E1C">
        <w:rPr>
          <w:rFonts w:ascii="Arial" w:hAnsi="Arial" w:cs="Arial"/>
        </w:rPr>
        <w:t>znalazły się 242 chemiczne substancje czynne. Dla 176 substancji nastąpił wzrost sprzedaży. Analiza sprzedaży w podziale na grupy środków ochrony roślin (rys. 4) pokazuje na znaczny wzrost sprzedaży w ostatnich dwóch latach substancji czynnych z grupy herbicydów (PES_H) i fungicydów (PES_F). Sprzedaż herbicydów wzrosła o 12% w stosunku do roku 2020, a sprzedaż fungicydów o 8,3%.</w:t>
      </w:r>
    </w:p>
    <w:p w14:paraId="6A2B9533" w14:textId="77777777" w:rsidR="00502E1C" w:rsidRPr="00502E1C" w:rsidRDefault="00502E1C" w:rsidP="007B3C2D">
      <w:pPr>
        <w:spacing w:before="120" w:after="240" w:line="240" w:lineRule="auto"/>
        <w:ind w:left="993" w:hanging="993"/>
        <w:jc w:val="center"/>
        <w:rPr>
          <w:rFonts w:ascii="Arial" w:eastAsia="Times New Roman" w:hAnsi="Arial" w:cs="Arial"/>
          <w:i/>
          <w:sz w:val="20"/>
          <w:szCs w:val="20"/>
          <w:lang w:eastAsia="pl-PL"/>
        </w:rPr>
      </w:pPr>
      <w:r w:rsidRPr="00502E1C">
        <w:rPr>
          <w:rFonts w:ascii="Arial" w:eastAsia="Times New Roman" w:hAnsi="Arial" w:cs="Arial"/>
          <w:i/>
          <w:sz w:val="20"/>
          <w:szCs w:val="20"/>
          <w:lang w:eastAsia="pl-PL"/>
        </w:rPr>
        <w:t xml:space="preserve">Rys. 4. Sprzedaż substancji czynnych w podziale na grupy </w:t>
      </w:r>
      <w:proofErr w:type="spellStart"/>
      <w:r w:rsidRPr="00502E1C">
        <w:rPr>
          <w:rFonts w:ascii="Arial" w:eastAsia="Times New Roman" w:hAnsi="Arial" w:cs="Arial"/>
          <w:i/>
          <w:sz w:val="20"/>
          <w:szCs w:val="20"/>
          <w:lang w:eastAsia="pl-PL"/>
        </w:rPr>
        <w:t>śor</w:t>
      </w:r>
      <w:proofErr w:type="spellEnd"/>
      <w:r w:rsidRPr="00502E1C">
        <w:rPr>
          <w:rFonts w:ascii="Arial" w:eastAsia="Times New Roman" w:hAnsi="Arial" w:cs="Arial"/>
          <w:i/>
          <w:sz w:val="20"/>
          <w:szCs w:val="20"/>
          <w:lang w:eastAsia="pl-PL"/>
        </w:rPr>
        <w:t xml:space="preserve"> w latach 2011-2021 (w tys.kg)</w:t>
      </w:r>
    </w:p>
    <w:p w14:paraId="2507C62E" w14:textId="3B46F696" w:rsidR="00502E1C" w:rsidRPr="00502E1C" w:rsidRDefault="00502E1C" w:rsidP="001D0A01">
      <w:pPr>
        <w:spacing w:after="160" w:line="259" w:lineRule="auto"/>
        <w:jc w:val="center"/>
        <w:rPr>
          <w:rFonts w:ascii="Times New Roman" w:eastAsia="Calibri" w:hAnsi="Times New Roman" w:cs="Times New Roman"/>
          <w:szCs w:val="21"/>
          <w:highlight w:val="green"/>
          <w:lang w:eastAsia="pl-PL"/>
        </w:rPr>
      </w:pPr>
      <w:r w:rsidRPr="00502E1C">
        <w:rPr>
          <w:rFonts w:ascii="Times New Roman" w:eastAsia="Calibri" w:hAnsi="Times New Roman" w:cs="Times New Roman"/>
          <w:noProof/>
          <w:szCs w:val="21"/>
          <w:highlight w:val="green"/>
          <w:lang w:eastAsia="pl-PL"/>
        </w:rPr>
        <w:drawing>
          <wp:inline distT="0" distB="0" distL="0" distR="0" wp14:anchorId="30F86572" wp14:editId="5797C885">
            <wp:extent cx="4991100" cy="2203450"/>
            <wp:effectExtent l="0" t="0" r="0" b="6350"/>
            <wp:docPr id="11264" name="Wykres 112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30C1623" w14:textId="77777777" w:rsidR="004A01C3" w:rsidRDefault="004A01C3" w:rsidP="00A354EC">
      <w:pPr>
        <w:pStyle w:val="NormalnyWeb"/>
        <w:tabs>
          <w:tab w:val="left" w:pos="284"/>
        </w:tabs>
        <w:spacing w:beforeAutospacing="0" w:after="120" w:afterAutospacing="0" w:line="360" w:lineRule="auto"/>
        <w:ind w:firstLine="284"/>
        <w:jc w:val="both"/>
        <w:rPr>
          <w:rFonts w:ascii="Arial" w:hAnsi="Arial" w:cs="Arial"/>
        </w:rPr>
      </w:pPr>
    </w:p>
    <w:p w14:paraId="364AA7D5" w14:textId="49595484" w:rsidR="00502E1C" w:rsidRPr="00CD395A"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t>Na sumaryczny wzrost sprzedaży w roku 2021 główny wpływ miały duże wzrosty sprzedaży w</w:t>
      </w:r>
      <w:r w:rsidR="007B3C2D">
        <w:rPr>
          <w:rFonts w:ascii="Arial" w:hAnsi="Arial" w:cs="Arial"/>
        </w:rPr>
        <w:t> </w:t>
      </w:r>
      <w:r w:rsidRPr="00CD395A">
        <w:rPr>
          <w:rFonts w:ascii="Arial" w:hAnsi="Arial" w:cs="Arial"/>
        </w:rPr>
        <w:t>poniżej wymienionych klasach chemicznych (tabela 10).</w:t>
      </w:r>
    </w:p>
    <w:p w14:paraId="3AE6BFF7" w14:textId="6951CCA3" w:rsidR="00CD395A" w:rsidRPr="00CD395A" w:rsidRDefault="00502E1C" w:rsidP="007B3C2D">
      <w:pPr>
        <w:spacing w:before="120" w:after="240" w:line="240" w:lineRule="auto"/>
        <w:ind w:left="993" w:hanging="993"/>
        <w:jc w:val="center"/>
        <w:rPr>
          <w:rFonts w:ascii="Arial" w:eastAsia="Times New Roman" w:hAnsi="Arial" w:cs="Arial"/>
          <w:i/>
          <w:sz w:val="20"/>
          <w:szCs w:val="20"/>
          <w:lang w:eastAsia="pl-PL"/>
        </w:rPr>
      </w:pPr>
      <w:r w:rsidRPr="00CD395A">
        <w:rPr>
          <w:rFonts w:ascii="Arial" w:eastAsia="Times New Roman" w:hAnsi="Arial" w:cs="Arial"/>
          <w:i/>
          <w:sz w:val="20"/>
          <w:szCs w:val="20"/>
          <w:lang w:eastAsia="pl-PL"/>
        </w:rPr>
        <w:t>Tabela 10. Klasy chemiczne ze znaczącym wzrostem sprzedaży w roku 2021</w:t>
      </w:r>
    </w:p>
    <w:tbl>
      <w:tblPr>
        <w:tblW w:w="5882" w:type="dxa"/>
        <w:jc w:val="center"/>
        <w:tblCellMar>
          <w:left w:w="70" w:type="dxa"/>
          <w:right w:w="70" w:type="dxa"/>
        </w:tblCellMar>
        <w:tblLook w:val="04A0" w:firstRow="1" w:lastRow="0" w:firstColumn="1" w:lastColumn="0" w:noHBand="0" w:noVBand="1"/>
      </w:tblPr>
      <w:tblGrid>
        <w:gridCol w:w="1204"/>
        <w:gridCol w:w="4678"/>
      </w:tblGrid>
      <w:tr w:rsidR="00502E1C" w:rsidRPr="00CD395A" w14:paraId="3AE3A84E" w14:textId="77777777" w:rsidTr="00A354EC">
        <w:trPr>
          <w:trHeight w:val="300"/>
          <w:jc w:val="center"/>
        </w:trPr>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00594"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Kod klasy</w:t>
            </w:r>
          </w:p>
        </w:tc>
        <w:tc>
          <w:tcPr>
            <w:tcW w:w="4678" w:type="dxa"/>
            <w:tcBorders>
              <w:top w:val="single" w:sz="4" w:space="0" w:color="auto"/>
              <w:left w:val="nil"/>
              <w:bottom w:val="single" w:sz="4" w:space="0" w:color="auto"/>
              <w:right w:val="single" w:sz="4" w:space="0" w:color="auto"/>
            </w:tcBorders>
            <w:shd w:val="clear" w:color="auto" w:fill="auto"/>
            <w:noWrap/>
            <w:vAlign w:val="center"/>
          </w:tcPr>
          <w:p w14:paraId="6D42E8A3"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Nazwa klasy</w:t>
            </w:r>
          </w:p>
        </w:tc>
      </w:tr>
      <w:tr w:rsidR="00502E1C" w:rsidRPr="00CD395A" w14:paraId="2C618B35" w14:textId="77777777" w:rsidTr="00A354EC">
        <w:trPr>
          <w:trHeight w:val="300"/>
          <w:jc w:val="center"/>
        </w:trPr>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C922D"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F99_02</w:t>
            </w:r>
          </w:p>
        </w:tc>
        <w:tc>
          <w:tcPr>
            <w:tcW w:w="4678" w:type="dxa"/>
            <w:tcBorders>
              <w:top w:val="single" w:sz="4" w:space="0" w:color="auto"/>
              <w:left w:val="nil"/>
              <w:bottom w:val="single" w:sz="4" w:space="0" w:color="auto"/>
              <w:right w:val="single" w:sz="4" w:space="0" w:color="auto"/>
            </w:tcBorders>
            <w:shd w:val="clear" w:color="auto" w:fill="auto"/>
            <w:noWrap/>
            <w:vAlign w:val="center"/>
          </w:tcPr>
          <w:p w14:paraId="3F409A05"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FUNGICYDY AMIDOWE</w:t>
            </w:r>
          </w:p>
        </w:tc>
      </w:tr>
      <w:tr w:rsidR="00502E1C" w:rsidRPr="00CD395A" w14:paraId="50DE54AA" w14:textId="77777777" w:rsidTr="00A354EC">
        <w:trPr>
          <w:trHeight w:val="300"/>
          <w:jc w:val="center"/>
        </w:trPr>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35263E7B"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F99_12</w:t>
            </w:r>
          </w:p>
        </w:tc>
        <w:tc>
          <w:tcPr>
            <w:tcW w:w="4678" w:type="dxa"/>
            <w:tcBorders>
              <w:top w:val="nil"/>
              <w:left w:val="nil"/>
              <w:bottom w:val="single" w:sz="4" w:space="0" w:color="auto"/>
              <w:right w:val="single" w:sz="4" w:space="0" w:color="auto"/>
            </w:tcBorders>
            <w:shd w:val="clear" w:color="auto" w:fill="auto"/>
            <w:noWrap/>
            <w:vAlign w:val="center"/>
            <w:hideMark/>
          </w:tcPr>
          <w:p w14:paraId="1737C070"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FUNGICYDY NA BAZIE FTALMIDÓW</w:t>
            </w:r>
          </w:p>
        </w:tc>
      </w:tr>
      <w:tr w:rsidR="00502E1C" w:rsidRPr="00CD395A" w14:paraId="4E9DAAB9" w14:textId="77777777" w:rsidTr="00A354EC">
        <w:trPr>
          <w:trHeight w:val="300"/>
          <w:jc w:val="center"/>
        </w:trPr>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7C62DEA3"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F99_16</w:t>
            </w:r>
          </w:p>
        </w:tc>
        <w:tc>
          <w:tcPr>
            <w:tcW w:w="4678" w:type="dxa"/>
            <w:tcBorders>
              <w:top w:val="nil"/>
              <w:left w:val="nil"/>
              <w:bottom w:val="single" w:sz="4" w:space="0" w:color="auto"/>
              <w:right w:val="single" w:sz="4" w:space="0" w:color="auto"/>
            </w:tcBorders>
            <w:shd w:val="clear" w:color="auto" w:fill="auto"/>
            <w:noWrap/>
            <w:vAlign w:val="center"/>
            <w:hideMark/>
          </w:tcPr>
          <w:p w14:paraId="78040E18"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FUNGICYDY STROBILURYNOWE</w:t>
            </w:r>
          </w:p>
        </w:tc>
      </w:tr>
      <w:tr w:rsidR="00502E1C" w:rsidRPr="00CD395A" w14:paraId="0202E4C0" w14:textId="77777777" w:rsidTr="00A354EC">
        <w:trPr>
          <w:trHeight w:val="300"/>
          <w:jc w:val="center"/>
        </w:trPr>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11AB6CBA"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H01_01</w:t>
            </w:r>
          </w:p>
        </w:tc>
        <w:tc>
          <w:tcPr>
            <w:tcW w:w="4678" w:type="dxa"/>
            <w:tcBorders>
              <w:top w:val="nil"/>
              <w:left w:val="nil"/>
              <w:bottom w:val="single" w:sz="4" w:space="0" w:color="auto"/>
              <w:right w:val="single" w:sz="4" w:space="0" w:color="auto"/>
            </w:tcBorders>
            <w:shd w:val="clear" w:color="auto" w:fill="auto"/>
            <w:noWrap/>
            <w:vAlign w:val="center"/>
            <w:hideMark/>
          </w:tcPr>
          <w:p w14:paraId="7876D629"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HERBICYDY – POCHODNE KWASÓW FENOKSYALKANOKARBOKSYLOWYCH</w:t>
            </w:r>
          </w:p>
        </w:tc>
      </w:tr>
      <w:tr w:rsidR="00502E1C" w:rsidRPr="00CD395A" w14:paraId="32179872" w14:textId="77777777" w:rsidTr="00A354EC">
        <w:trPr>
          <w:trHeight w:val="300"/>
          <w:jc w:val="center"/>
        </w:trPr>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440E44FC"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H03_02</w:t>
            </w:r>
          </w:p>
        </w:tc>
        <w:tc>
          <w:tcPr>
            <w:tcW w:w="4678" w:type="dxa"/>
            <w:tcBorders>
              <w:top w:val="nil"/>
              <w:left w:val="nil"/>
              <w:bottom w:val="single" w:sz="4" w:space="0" w:color="auto"/>
              <w:right w:val="single" w:sz="4" w:space="0" w:color="auto"/>
            </w:tcBorders>
            <w:shd w:val="clear" w:color="auto" w:fill="auto"/>
            <w:noWrap/>
            <w:vAlign w:val="center"/>
            <w:hideMark/>
          </w:tcPr>
          <w:p w14:paraId="727949F8"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HERBICYDY NA BAZIE ANILIDÓW</w:t>
            </w:r>
          </w:p>
        </w:tc>
      </w:tr>
      <w:tr w:rsidR="00502E1C" w:rsidRPr="00CD395A" w14:paraId="4BDC4E06" w14:textId="77777777" w:rsidTr="00A354EC">
        <w:trPr>
          <w:trHeight w:val="300"/>
          <w:jc w:val="center"/>
        </w:trPr>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4E400FE0"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H06_03</w:t>
            </w:r>
          </w:p>
        </w:tc>
        <w:tc>
          <w:tcPr>
            <w:tcW w:w="4678" w:type="dxa"/>
            <w:tcBorders>
              <w:top w:val="nil"/>
              <w:left w:val="nil"/>
              <w:bottom w:val="single" w:sz="4" w:space="0" w:color="auto"/>
              <w:right w:val="single" w:sz="4" w:space="0" w:color="auto"/>
            </w:tcBorders>
            <w:shd w:val="clear" w:color="auto" w:fill="auto"/>
            <w:noWrap/>
            <w:vAlign w:val="center"/>
            <w:hideMark/>
          </w:tcPr>
          <w:p w14:paraId="0AADE2A3"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HERBICYDY MOCZNIKOWE</w:t>
            </w:r>
          </w:p>
        </w:tc>
      </w:tr>
      <w:tr w:rsidR="00502E1C" w:rsidRPr="00CD395A" w14:paraId="5E207D5F" w14:textId="77777777" w:rsidTr="00A354EC">
        <w:trPr>
          <w:trHeight w:val="300"/>
          <w:jc w:val="center"/>
        </w:trPr>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5DAA089B"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H99_02</w:t>
            </w:r>
          </w:p>
        </w:tc>
        <w:tc>
          <w:tcPr>
            <w:tcW w:w="4678" w:type="dxa"/>
            <w:tcBorders>
              <w:top w:val="nil"/>
              <w:left w:val="nil"/>
              <w:bottom w:val="single" w:sz="4" w:space="0" w:color="auto"/>
              <w:right w:val="single" w:sz="4" w:space="0" w:color="auto"/>
            </w:tcBorders>
            <w:shd w:val="clear" w:color="auto" w:fill="auto"/>
            <w:noWrap/>
            <w:vAlign w:val="center"/>
            <w:hideMark/>
          </w:tcPr>
          <w:p w14:paraId="5F1906A3"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HERBICYDY NA BAZIE BENZOFURANU</w:t>
            </w:r>
          </w:p>
        </w:tc>
      </w:tr>
      <w:tr w:rsidR="00502E1C" w:rsidRPr="00CD395A" w14:paraId="18E33B62" w14:textId="77777777" w:rsidTr="00A354EC">
        <w:trPr>
          <w:trHeight w:val="300"/>
          <w:jc w:val="center"/>
        </w:trPr>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1F767D68"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F04_01</w:t>
            </w:r>
          </w:p>
        </w:tc>
        <w:tc>
          <w:tcPr>
            <w:tcW w:w="4678" w:type="dxa"/>
            <w:tcBorders>
              <w:top w:val="nil"/>
              <w:left w:val="nil"/>
              <w:bottom w:val="single" w:sz="4" w:space="0" w:color="auto"/>
              <w:right w:val="single" w:sz="4" w:space="0" w:color="auto"/>
            </w:tcBorders>
            <w:shd w:val="clear" w:color="auto" w:fill="auto"/>
            <w:noWrap/>
            <w:vAlign w:val="center"/>
            <w:hideMark/>
          </w:tcPr>
          <w:p w14:paraId="1FB5B4BB"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FUNGICYDY KONAZOLOWE</w:t>
            </w:r>
          </w:p>
        </w:tc>
      </w:tr>
    </w:tbl>
    <w:p w14:paraId="6069E316" w14:textId="77777777" w:rsidR="00502E1C" w:rsidRPr="00CD395A" w:rsidRDefault="00502E1C" w:rsidP="00502E1C">
      <w:pPr>
        <w:spacing w:after="160" w:line="259" w:lineRule="auto"/>
        <w:jc w:val="both"/>
        <w:rPr>
          <w:rFonts w:ascii="Arial" w:eastAsia="Calibri" w:hAnsi="Arial" w:cs="Arial"/>
          <w:sz w:val="20"/>
          <w:szCs w:val="20"/>
          <w:highlight w:val="green"/>
          <w:lang w:eastAsia="pl-PL"/>
        </w:rPr>
      </w:pPr>
    </w:p>
    <w:p w14:paraId="59399D94" w14:textId="63C1F23B" w:rsidR="00502E1C" w:rsidRPr="00502E1C"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502E1C">
        <w:rPr>
          <w:rFonts w:ascii="Arial" w:hAnsi="Arial" w:cs="Arial"/>
        </w:rPr>
        <w:t xml:space="preserve">W 2021 </w:t>
      </w:r>
      <w:r w:rsidR="001D0A01">
        <w:rPr>
          <w:rFonts w:ascii="Arial" w:hAnsi="Arial" w:cs="Arial"/>
        </w:rPr>
        <w:t xml:space="preserve">r. </w:t>
      </w:r>
      <w:r w:rsidRPr="00502E1C">
        <w:rPr>
          <w:rFonts w:ascii="Arial" w:hAnsi="Arial" w:cs="Arial"/>
        </w:rPr>
        <w:t>zanotowano też znaczące spadki sprzedaży w trzech klasach chemicznych (tabela 11).</w:t>
      </w:r>
    </w:p>
    <w:p w14:paraId="125F27C3" w14:textId="63CF98BE" w:rsidR="00502E1C" w:rsidRPr="005445BE" w:rsidRDefault="00502E1C" w:rsidP="005445BE">
      <w:pPr>
        <w:spacing w:before="120" w:after="120" w:line="240" w:lineRule="auto"/>
        <w:ind w:left="993" w:hanging="993"/>
        <w:jc w:val="center"/>
        <w:rPr>
          <w:rFonts w:ascii="Arial" w:eastAsia="Times New Roman" w:hAnsi="Arial" w:cs="Arial"/>
          <w:i/>
          <w:sz w:val="20"/>
          <w:szCs w:val="20"/>
          <w:lang w:eastAsia="pl-PL"/>
        </w:rPr>
      </w:pPr>
      <w:r w:rsidRPr="005445BE">
        <w:rPr>
          <w:rFonts w:ascii="Arial" w:eastAsia="Times New Roman" w:hAnsi="Arial" w:cs="Arial"/>
          <w:i/>
          <w:sz w:val="20"/>
          <w:szCs w:val="20"/>
          <w:lang w:eastAsia="pl-PL"/>
        </w:rPr>
        <w:t>Tabela 11. Klasy chemiczne ze znaczącym spadkiem sprzedaży w 2021</w:t>
      </w:r>
      <w:r w:rsidR="008B532E">
        <w:rPr>
          <w:rFonts w:ascii="Arial" w:eastAsia="Times New Roman" w:hAnsi="Arial" w:cs="Arial"/>
          <w:i/>
          <w:sz w:val="20"/>
          <w:szCs w:val="20"/>
          <w:lang w:eastAsia="pl-PL"/>
        </w:rPr>
        <w:t xml:space="preserve"> r.</w:t>
      </w:r>
    </w:p>
    <w:tbl>
      <w:tblPr>
        <w:tblW w:w="5879" w:type="dxa"/>
        <w:jc w:val="center"/>
        <w:tblCellMar>
          <w:left w:w="70" w:type="dxa"/>
          <w:right w:w="70" w:type="dxa"/>
        </w:tblCellMar>
        <w:tblLook w:val="04A0" w:firstRow="1" w:lastRow="0" w:firstColumn="1" w:lastColumn="0" w:noHBand="0" w:noVBand="1"/>
      </w:tblPr>
      <w:tblGrid>
        <w:gridCol w:w="1202"/>
        <w:gridCol w:w="4677"/>
      </w:tblGrid>
      <w:tr w:rsidR="00502E1C" w:rsidRPr="00CD395A" w14:paraId="65DF7548" w14:textId="77777777" w:rsidTr="00A354EC">
        <w:trPr>
          <w:trHeight w:val="300"/>
          <w:jc w:val="center"/>
        </w:trPr>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51404"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Kod klasy</w:t>
            </w:r>
          </w:p>
        </w:tc>
        <w:tc>
          <w:tcPr>
            <w:tcW w:w="4677" w:type="dxa"/>
            <w:tcBorders>
              <w:top w:val="single" w:sz="4" w:space="0" w:color="auto"/>
              <w:left w:val="nil"/>
              <w:bottom w:val="single" w:sz="4" w:space="0" w:color="auto"/>
              <w:right w:val="single" w:sz="4" w:space="0" w:color="auto"/>
            </w:tcBorders>
            <w:shd w:val="clear" w:color="auto" w:fill="auto"/>
            <w:noWrap/>
            <w:vAlign w:val="center"/>
          </w:tcPr>
          <w:p w14:paraId="775DD5C9"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Nazwa klasy</w:t>
            </w:r>
          </w:p>
        </w:tc>
      </w:tr>
      <w:tr w:rsidR="00502E1C" w:rsidRPr="00CD395A" w14:paraId="5772F100" w14:textId="77777777" w:rsidTr="00A354EC">
        <w:trPr>
          <w:trHeight w:val="300"/>
          <w:jc w:val="center"/>
        </w:trPr>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32F56"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F03_01</w:t>
            </w:r>
          </w:p>
        </w:tc>
        <w:tc>
          <w:tcPr>
            <w:tcW w:w="4677" w:type="dxa"/>
            <w:tcBorders>
              <w:top w:val="single" w:sz="4" w:space="0" w:color="auto"/>
              <w:left w:val="nil"/>
              <w:bottom w:val="single" w:sz="4" w:space="0" w:color="auto"/>
              <w:right w:val="single" w:sz="4" w:space="0" w:color="auto"/>
            </w:tcBorders>
            <w:shd w:val="clear" w:color="auto" w:fill="auto"/>
            <w:noWrap/>
            <w:vAlign w:val="center"/>
          </w:tcPr>
          <w:p w14:paraId="375BCA76"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FUNGICYDY BENZIMIDAZOLOWE</w:t>
            </w:r>
          </w:p>
        </w:tc>
      </w:tr>
      <w:tr w:rsidR="00502E1C" w:rsidRPr="00CD395A" w14:paraId="57028A3E" w14:textId="77777777" w:rsidTr="00A354EC">
        <w:trPr>
          <w:trHeight w:val="300"/>
          <w:jc w:val="center"/>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6F94688F"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F02_03</w:t>
            </w:r>
          </w:p>
        </w:tc>
        <w:tc>
          <w:tcPr>
            <w:tcW w:w="4677" w:type="dxa"/>
            <w:tcBorders>
              <w:top w:val="nil"/>
              <w:left w:val="nil"/>
              <w:bottom w:val="single" w:sz="4" w:space="0" w:color="auto"/>
              <w:right w:val="single" w:sz="4" w:space="0" w:color="auto"/>
            </w:tcBorders>
            <w:shd w:val="clear" w:color="auto" w:fill="auto"/>
            <w:noWrap/>
            <w:vAlign w:val="center"/>
            <w:hideMark/>
          </w:tcPr>
          <w:p w14:paraId="2B7C34CE"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FUNGICYDY DITIOKARBAMINIANOWE</w:t>
            </w:r>
          </w:p>
        </w:tc>
      </w:tr>
      <w:tr w:rsidR="00502E1C" w:rsidRPr="00CD395A" w14:paraId="26E3611A" w14:textId="77777777" w:rsidTr="00A354EC">
        <w:trPr>
          <w:trHeight w:val="300"/>
          <w:jc w:val="center"/>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177E4A56"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F05_01</w:t>
            </w:r>
          </w:p>
        </w:tc>
        <w:tc>
          <w:tcPr>
            <w:tcW w:w="4677" w:type="dxa"/>
            <w:tcBorders>
              <w:top w:val="nil"/>
              <w:left w:val="nil"/>
              <w:bottom w:val="single" w:sz="4" w:space="0" w:color="auto"/>
              <w:right w:val="single" w:sz="4" w:space="0" w:color="auto"/>
            </w:tcBorders>
            <w:shd w:val="clear" w:color="auto" w:fill="auto"/>
            <w:noWrap/>
            <w:vAlign w:val="center"/>
            <w:hideMark/>
          </w:tcPr>
          <w:p w14:paraId="62F6889A" w14:textId="77777777" w:rsidR="00502E1C" w:rsidRPr="00CD395A" w:rsidRDefault="00502E1C" w:rsidP="00502E1C">
            <w:pPr>
              <w:suppressAutoHyphens/>
              <w:spacing w:after="0" w:line="240" w:lineRule="auto"/>
              <w:rPr>
                <w:rFonts w:ascii="Arial" w:eastAsia="Lucida Sans Unicode" w:hAnsi="Arial" w:cs="Arial"/>
                <w:kern w:val="2"/>
                <w:sz w:val="20"/>
                <w:szCs w:val="20"/>
              </w:rPr>
            </w:pPr>
            <w:r w:rsidRPr="00CD395A">
              <w:rPr>
                <w:rFonts w:ascii="Arial" w:eastAsia="Lucida Sans Unicode" w:hAnsi="Arial" w:cs="Arial"/>
                <w:kern w:val="2"/>
                <w:sz w:val="20"/>
                <w:szCs w:val="20"/>
              </w:rPr>
              <w:t>FUNGICYDY NA BAZIE MORFOLIN</w:t>
            </w:r>
          </w:p>
        </w:tc>
      </w:tr>
    </w:tbl>
    <w:p w14:paraId="220562B4" w14:textId="77777777" w:rsidR="00502E1C" w:rsidRPr="00CD395A" w:rsidRDefault="00502E1C" w:rsidP="00502E1C">
      <w:pPr>
        <w:spacing w:after="160" w:line="259" w:lineRule="auto"/>
        <w:jc w:val="both"/>
        <w:rPr>
          <w:rFonts w:ascii="Times New Roman" w:eastAsia="Calibri" w:hAnsi="Times New Roman" w:cs="Times New Roman"/>
          <w:szCs w:val="21"/>
          <w:lang w:eastAsia="pl-PL"/>
        </w:rPr>
      </w:pPr>
    </w:p>
    <w:p w14:paraId="43A8467E" w14:textId="77777777" w:rsidR="00502E1C" w:rsidRPr="00CD395A" w:rsidRDefault="00502E1C" w:rsidP="00502E1C">
      <w:pPr>
        <w:spacing w:after="160"/>
        <w:jc w:val="both"/>
        <w:rPr>
          <w:rFonts w:ascii="Times New Roman" w:eastAsia="Times New Roman" w:hAnsi="Times New Roman" w:cs="Times New Roman"/>
          <w:b/>
          <w:sz w:val="24"/>
          <w:szCs w:val="24"/>
          <w:lang w:eastAsia="pl-PL"/>
        </w:rPr>
      </w:pPr>
      <w:r w:rsidRPr="00CD395A">
        <w:rPr>
          <w:rFonts w:ascii="Times New Roman" w:eastAsia="Times New Roman" w:hAnsi="Times New Roman" w:cs="Times New Roman"/>
          <w:b/>
          <w:sz w:val="24"/>
          <w:szCs w:val="24"/>
          <w:lang w:eastAsia="pl-PL"/>
        </w:rPr>
        <w:t>5.3. Zharmonizowany wskaźnika ryzyka HRI1 – rok 2021</w:t>
      </w:r>
    </w:p>
    <w:p w14:paraId="29A524F8" w14:textId="0770F484" w:rsidR="002918E0" w:rsidRDefault="001D0A01" w:rsidP="00A354EC">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w:t>
      </w:r>
      <w:r w:rsidR="00502E1C" w:rsidRPr="00CD395A">
        <w:rPr>
          <w:rFonts w:ascii="Arial" w:hAnsi="Arial" w:cs="Arial"/>
        </w:rPr>
        <w:t xml:space="preserve">2022 </w:t>
      </w:r>
      <w:r>
        <w:rPr>
          <w:rFonts w:ascii="Arial" w:hAnsi="Arial" w:cs="Arial"/>
        </w:rPr>
        <w:t xml:space="preserve">r. </w:t>
      </w:r>
      <w:r w:rsidR="00502E1C" w:rsidRPr="00CD395A">
        <w:rPr>
          <w:rFonts w:ascii="Arial" w:hAnsi="Arial" w:cs="Arial"/>
        </w:rPr>
        <w:t xml:space="preserve">przeprowadzono obliczenia wskaźnika HRI1 za lata 2011-2021 na poziomie krajowym (tabela 14) wraz z analizą danych o sprzedaży substancji czynnych mających największy wpływ na zmiany wartości wskaźnika. </w:t>
      </w:r>
    </w:p>
    <w:p w14:paraId="136114CB" w14:textId="77777777" w:rsidR="002918E0" w:rsidRDefault="002918E0">
      <w:pPr>
        <w:spacing w:after="0" w:line="240" w:lineRule="auto"/>
        <w:rPr>
          <w:rFonts w:ascii="Arial" w:eastAsia="Times New Roman" w:hAnsi="Arial" w:cs="Arial"/>
          <w:sz w:val="20"/>
          <w:szCs w:val="20"/>
          <w:lang w:eastAsia="pl-PL"/>
        </w:rPr>
      </w:pPr>
      <w:r>
        <w:rPr>
          <w:rFonts w:ascii="Arial" w:hAnsi="Arial" w:cs="Arial"/>
        </w:rPr>
        <w:br w:type="page"/>
      </w:r>
    </w:p>
    <w:p w14:paraId="5397F3CD" w14:textId="77777777" w:rsidR="00502E1C" w:rsidRPr="00CD395A" w:rsidRDefault="00502E1C" w:rsidP="00A354EC">
      <w:pPr>
        <w:pStyle w:val="NormalnyWeb"/>
        <w:tabs>
          <w:tab w:val="left" w:pos="284"/>
        </w:tabs>
        <w:spacing w:beforeAutospacing="0" w:after="120" w:afterAutospacing="0" w:line="360" w:lineRule="auto"/>
        <w:ind w:firstLine="284"/>
        <w:jc w:val="both"/>
        <w:rPr>
          <w:rFonts w:ascii="Arial" w:hAnsi="Arial" w:cs="Arial"/>
        </w:rPr>
      </w:pPr>
    </w:p>
    <w:p w14:paraId="3F8805BA" w14:textId="42FC1D28" w:rsidR="00502E1C" w:rsidRPr="00CD395A" w:rsidRDefault="00502E1C" w:rsidP="005445BE">
      <w:pPr>
        <w:spacing w:before="120" w:after="120" w:line="240" w:lineRule="auto"/>
        <w:ind w:left="993" w:hanging="993"/>
        <w:jc w:val="center"/>
        <w:rPr>
          <w:rFonts w:ascii="Times New Roman" w:eastAsia="Times New Roman" w:hAnsi="Times New Roman" w:cs="Times New Roman"/>
          <w:i/>
          <w:sz w:val="24"/>
          <w:szCs w:val="21"/>
          <w:lang w:eastAsia="pl-PL"/>
        </w:rPr>
      </w:pPr>
      <w:r w:rsidRPr="00CD395A">
        <w:rPr>
          <w:rFonts w:ascii="Times New Roman" w:eastAsia="Times New Roman" w:hAnsi="Times New Roman" w:cs="Times New Roman"/>
          <w:i/>
          <w:sz w:val="24"/>
          <w:szCs w:val="21"/>
          <w:lang w:eastAsia="pl-PL"/>
        </w:rPr>
        <w:t>Tabela 14. Obliczenia wskaźnika HRI1 według klasyfikacji substancji z 2021</w:t>
      </w:r>
      <w:r w:rsidR="001D0A01">
        <w:rPr>
          <w:rFonts w:ascii="Times New Roman" w:eastAsia="Times New Roman" w:hAnsi="Times New Roman" w:cs="Times New Roman"/>
          <w:i/>
          <w:sz w:val="24"/>
          <w:szCs w:val="21"/>
          <w:lang w:eastAsia="pl-PL"/>
        </w:rPr>
        <w:t xml:space="preserve"> r.</w:t>
      </w:r>
    </w:p>
    <w:tbl>
      <w:tblPr>
        <w:tblW w:w="9067" w:type="dxa"/>
        <w:tblInd w:w="75" w:type="dxa"/>
        <w:tblLayout w:type="fixed"/>
        <w:tblCellMar>
          <w:left w:w="70" w:type="dxa"/>
          <w:right w:w="70" w:type="dxa"/>
        </w:tblCellMar>
        <w:tblLook w:val="04A0" w:firstRow="1" w:lastRow="0" w:firstColumn="1" w:lastColumn="0" w:noHBand="0" w:noVBand="1"/>
      </w:tblPr>
      <w:tblGrid>
        <w:gridCol w:w="1180"/>
        <w:gridCol w:w="1095"/>
        <w:gridCol w:w="1096"/>
        <w:gridCol w:w="1095"/>
        <w:gridCol w:w="1096"/>
        <w:gridCol w:w="1096"/>
        <w:gridCol w:w="1134"/>
        <w:gridCol w:w="1275"/>
      </w:tblGrid>
      <w:tr w:rsidR="00502E1C" w:rsidRPr="00CD395A" w14:paraId="5A4E1F00" w14:textId="77777777" w:rsidTr="00A354EC">
        <w:trPr>
          <w:trHeight w:val="402"/>
        </w:trPr>
        <w:tc>
          <w:tcPr>
            <w:tcW w:w="1180"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60507CEC"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Rok</w:t>
            </w:r>
          </w:p>
        </w:tc>
        <w:tc>
          <w:tcPr>
            <w:tcW w:w="5478" w:type="dxa"/>
            <w:gridSpan w:val="5"/>
            <w:tcBorders>
              <w:top w:val="single" w:sz="4" w:space="0" w:color="auto"/>
              <w:left w:val="nil"/>
              <w:bottom w:val="single" w:sz="4" w:space="0" w:color="auto"/>
              <w:right w:val="single" w:sz="4" w:space="0" w:color="000000"/>
            </w:tcBorders>
            <w:shd w:val="clear" w:color="000000" w:fill="F2F2F2"/>
            <w:noWrap/>
            <w:vAlign w:val="center"/>
            <w:hideMark/>
          </w:tcPr>
          <w:p w14:paraId="0AD5471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Sprzedaż substancji czynnych [w tonach]</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331549FF"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Sprzedaż ważona</w:t>
            </w:r>
          </w:p>
        </w:tc>
        <w:tc>
          <w:tcPr>
            <w:tcW w:w="1275"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52C49327" w14:textId="77777777" w:rsidR="00502E1C" w:rsidRPr="00FA2BD7" w:rsidRDefault="00502E1C" w:rsidP="00502E1C">
            <w:pPr>
              <w:spacing w:after="0" w:line="240" w:lineRule="auto"/>
              <w:jc w:val="center"/>
              <w:rPr>
                <w:rFonts w:ascii="Arial" w:eastAsia="Times New Roman" w:hAnsi="Arial" w:cs="Arial"/>
                <w:b/>
                <w:color w:val="000000"/>
                <w:sz w:val="20"/>
                <w:szCs w:val="20"/>
                <w:lang w:eastAsia="pl-PL"/>
              </w:rPr>
            </w:pPr>
            <w:r w:rsidRPr="00FA2BD7">
              <w:rPr>
                <w:rFonts w:ascii="Arial" w:eastAsia="Times New Roman" w:hAnsi="Arial" w:cs="Arial"/>
                <w:b/>
                <w:color w:val="000000"/>
                <w:sz w:val="20"/>
                <w:szCs w:val="20"/>
                <w:lang w:eastAsia="pl-PL"/>
              </w:rPr>
              <w:t>Wartość wskaźnika HRI1</w:t>
            </w:r>
          </w:p>
        </w:tc>
      </w:tr>
      <w:tr w:rsidR="00502E1C" w:rsidRPr="00CD395A" w14:paraId="7301DCF6" w14:textId="77777777" w:rsidTr="00A354EC">
        <w:trPr>
          <w:trHeight w:val="270"/>
        </w:trPr>
        <w:tc>
          <w:tcPr>
            <w:tcW w:w="1180" w:type="dxa"/>
            <w:vMerge/>
            <w:tcBorders>
              <w:top w:val="single" w:sz="4" w:space="0" w:color="auto"/>
              <w:left w:val="single" w:sz="4" w:space="0" w:color="auto"/>
              <w:bottom w:val="single" w:sz="4" w:space="0" w:color="000000"/>
              <w:right w:val="single" w:sz="4" w:space="0" w:color="auto"/>
            </w:tcBorders>
            <w:vAlign w:val="center"/>
            <w:hideMark/>
          </w:tcPr>
          <w:p w14:paraId="0208290E"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p>
        </w:tc>
        <w:tc>
          <w:tcPr>
            <w:tcW w:w="1095" w:type="dxa"/>
            <w:tcBorders>
              <w:top w:val="nil"/>
              <w:left w:val="nil"/>
              <w:bottom w:val="single" w:sz="4" w:space="0" w:color="auto"/>
              <w:right w:val="single" w:sz="4" w:space="0" w:color="auto"/>
            </w:tcBorders>
            <w:shd w:val="clear" w:color="000000" w:fill="F2F2F2"/>
            <w:noWrap/>
            <w:vAlign w:val="center"/>
            <w:hideMark/>
          </w:tcPr>
          <w:p w14:paraId="0E1BC0B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Gr.1</w:t>
            </w:r>
          </w:p>
        </w:tc>
        <w:tc>
          <w:tcPr>
            <w:tcW w:w="1096" w:type="dxa"/>
            <w:tcBorders>
              <w:top w:val="nil"/>
              <w:left w:val="nil"/>
              <w:bottom w:val="single" w:sz="4" w:space="0" w:color="auto"/>
              <w:right w:val="single" w:sz="4" w:space="0" w:color="auto"/>
            </w:tcBorders>
            <w:shd w:val="clear" w:color="000000" w:fill="F2F2F2"/>
            <w:noWrap/>
            <w:vAlign w:val="center"/>
            <w:hideMark/>
          </w:tcPr>
          <w:p w14:paraId="59BC58DD"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Gr.2</w:t>
            </w:r>
          </w:p>
        </w:tc>
        <w:tc>
          <w:tcPr>
            <w:tcW w:w="1095" w:type="dxa"/>
            <w:tcBorders>
              <w:top w:val="nil"/>
              <w:left w:val="nil"/>
              <w:bottom w:val="single" w:sz="4" w:space="0" w:color="auto"/>
              <w:right w:val="single" w:sz="4" w:space="0" w:color="auto"/>
            </w:tcBorders>
            <w:shd w:val="clear" w:color="000000" w:fill="F2F2F2"/>
            <w:noWrap/>
            <w:vAlign w:val="center"/>
            <w:hideMark/>
          </w:tcPr>
          <w:p w14:paraId="29A9EBDB"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Gr.3</w:t>
            </w:r>
          </w:p>
        </w:tc>
        <w:tc>
          <w:tcPr>
            <w:tcW w:w="1096" w:type="dxa"/>
            <w:tcBorders>
              <w:top w:val="nil"/>
              <w:left w:val="nil"/>
              <w:bottom w:val="single" w:sz="4" w:space="0" w:color="auto"/>
              <w:right w:val="single" w:sz="4" w:space="0" w:color="auto"/>
            </w:tcBorders>
            <w:shd w:val="clear" w:color="000000" w:fill="F2F2F2"/>
            <w:noWrap/>
            <w:vAlign w:val="center"/>
            <w:hideMark/>
          </w:tcPr>
          <w:p w14:paraId="76C9F4A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Gr.4</w:t>
            </w:r>
          </w:p>
        </w:tc>
        <w:tc>
          <w:tcPr>
            <w:tcW w:w="1096" w:type="dxa"/>
            <w:tcBorders>
              <w:top w:val="nil"/>
              <w:left w:val="single" w:sz="4" w:space="0" w:color="auto"/>
              <w:bottom w:val="single" w:sz="4" w:space="0" w:color="000000"/>
              <w:right w:val="single" w:sz="4" w:space="0" w:color="auto"/>
            </w:tcBorders>
            <w:shd w:val="clear" w:color="000000" w:fill="F2F2F2"/>
            <w:noWrap/>
            <w:vAlign w:val="center"/>
            <w:hideMark/>
          </w:tcPr>
          <w:p w14:paraId="3CBC223B"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Suma</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7A10AC"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1DDE44CB" w14:textId="77777777" w:rsidR="00502E1C" w:rsidRPr="00FA2BD7" w:rsidRDefault="00502E1C" w:rsidP="00502E1C">
            <w:pPr>
              <w:spacing w:after="0" w:line="240" w:lineRule="auto"/>
              <w:jc w:val="center"/>
              <w:rPr>
                <w:rFonts w:ascii="Arial" w:eastAsia="Times New Roman" w:hAnsi="Arial" w:cs="Arial"/>
                <w:b/>
                <w:color w:val="000000"/>
                <w:sz w:val="20"/>
                <w:szCs w:val="20"/>
                <w:lang w:eastAsia="pl-PL"/>
              </w:rPr>
            </w:pPr>
          </w:p>
        </w:tc>
      </w:tr>
      <w:tr w:rsidR="00502E1C" w:rsidRPr="00CD395A" w14:paraId="4870B6C6" w14:textId="77777777" w:rsidTr="00A354EC">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986B291"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2011-2013</w:t>
            </w:r>
          </w:p>
        </w:tc>
        <w:tc>
          <w:tcPr>
            <w:tcW w:w="1095" w:type="dxa"/>
            <w:tcBorders>
              <w:top w:val="nil"/>
              <w:left w:val="nil"/>
              <w:bottom w:val="single" w:sz="4" w:space="0" w:color="auto"/>
              <w:right w:val="single" w:sz="4" w:space="0" w:color="auto"/>
            </w:tcBorders>
            <w:shd w:val="clear" w:color="auto" w:fill="auto"/>
            <w:noWrap/>
            <w:vAlign w:val="center"/>
          </w:tcPr>
          <w:p w14:paraId="2F7D3F6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w:t>
            </w:r>
          </w:p>
        </w:tc>
        <w:tc>
          <w:tcPr>
            <w:tcW w:w="1096" w:type="dxa"/>
            <w:tcBorders>
              <w:top w:val="nil"/>
              <w:left w:val="nil"/>
              <w:bottom w:val="single" w:sz="4" w:space="0" w:color="auto"/>
              <w:right w:val="single" w:sz="4" w:space="0" w:color="auto"/>
            </w:tcBorders>
            <w:shd w:val="clear" w:color="auto" w:fill="auto"/>
            <w:noWrap/>
            <w:vAlign w:val="center"/>
          </w:tcPr>
          <w:p w14:paraId="72F69E12"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w:t>
            </w:r>
          </w:p>
        </w:tc>
        <w:tc>
          <w:tcPr>
            <w:tcW w:w="1095" w:type="dxa"/>
            <w:tcBorders>
              <w:top w:val="nil"/>
              <w:left w:val="nil"/>
              <w:bottom w:val="single" w:sz="4" w:space="0" w:color="auto"/>
              <w:right w:val="single" w:sz="4" w:space="0" w:color="auto"/>
            </w:tcBorders>
            <w:shd w:val="clear" w:color="auto" w:fill="auto"/>
            <w:noWrap/>
            <w:vAlign w:val="center"/>
          </w:tcPr>
          <w:p w14:paraId="7A1B0D3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w:t>
            </w:r>
          </w:p>
        </w:tc>
        <w:tc>
          <w:tcPr>
            <w:tcW w:w="1096" w:type="dxa"/>
            <w:tcBorders>
              <w:top w:val="nil"/>
              <w:left w:val="nil"/>
              <w:bottom w:val="single" w:sz="4" w:space="0" w:color="auto"/>
              <w:right w:val="single" w:sz="4" w:space="0" w:color="auto"/>
            </w:tcBorders>
            <w:shd w:val="clear" w:color="auto" w:fill="auto"/>
            <w:noWrap/>
            <w:vAlign w:val="center"/>
          </w:tcPr>
          <w:p w14:paraId="7AD656AF"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w:t>
            </w:r>
          </w:p>
        </w:tc>
        <w:tc>
          <w:tcPr>
            <w:tcW w:w="1096" w:type="dxa"/>
            <w:tcBorders>
              <w:top w:val="nil"/>
              <w:left w:val="nil"/>
              <w:bottom w:val="single" w:sz="4" w:space="0" w:color="auto"/>
              <w:right w:val="single" w:sz="4" w:space="0" w:color="auto"/>
            </w:tcBorders>
            <w:shd w:val="clear" w:color="auto" w:fill="auto"/>
            <w:noWrap/>
            <w:vAlign w:val="center"/>
          </w:tcPr>
          <w:p w14:paraId="0BC86CD7"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w:t>
            </w:r>
          </w:p>
        </w:tc>
        <w:tc>
          <w:tcPr>
            <w:tcW w:w="1134" w:type="dxa"/>
            <w:tcBorders>
              <w:top w:val="nil"/>
              <w:left w:val="nil"/>
              <w:bottom w:val="single" w:sz="4" w:space="0" w:color="auto"/>
              <w:right w:val="single" w:sz="4" w:space="0" w:color="auto"/>
            </w:tcBorders>
            <w:shd w:val="clear" w:color="auto" w:fill="auto"/>
            <w:noWrap/>
            <w:vAlign w:val="center"/>
          </w:tcPr>
          <w:p w14:paraId="230431EC"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400089,5</w:t>
            </w:r>
          </w:p>
        </w:tc>
        <w:tc>
          <w:tcPr>
            <w:tcW w:w="1275" w:type="dxa"/>
            <w:tcBorders>
              <w:top w:val="nil"/>
              <w:left w:val="nil"/>
              <w:bottom w:val="single" w:sz="4" w:space="0" w:color="auto"/>
              <w:right w:val="single" w:sz="4" w:space="0" w:color="auto"/>
            </w:tcBorders>
            <w:shd w:val="clear" w:color="auto" w:fill="auto"/>
            <w:noWrap/>
            <w:vAlign w:val="center"/>
          </w:tcPr>
          <w:p w14:paraId="72FBFEF3" w14:textId="77777777" w:rsidR="00502E1C" w:rsidRPr="00FA2BD7" w:rsidRDefault="00502E1C" w:rsidP="00502E1C">
            <w:pPr>
              <w:spacing w:after="0" w:line="240" w:lineRule="auto"/>
              <w:jc w:val="center"/>
              <w:rPr>
                <w:rFonts w:ascii="Arial" w:eastAsia="Times New Roman" w:hAnsi="Arial" w:cs="Arial"/>
                <w:b/>
                <w:color w:val="000000"/>
                <w:sz w:val="20"/>
                <w:szCs w:val="20"/>
                <w:lang w:eastAsia="pl-PL"/>
              </w:rPr>
            </w:pPr>
            <w:r w:rsidRPr="00FA2BD7">
              <w:rPr>
                <w:rFonts w:ascii="Arial" w:eastAsia="Times New Roman" w:hAnsi="Arial" w:cs="Arial"/>
                <w:b/>
                <w:color w:val="000000"/>
                <w:sz w:val="20"/>
                <w:szCs w:val="20"/>
                <w:lang w:eastAsia="pl-PL"/>
              </w:rPr>
              <w:t>100</w:t>
            </w:r>
          </w:p>
        </w:tc>
      </w:tr>
      <w:tr w:rsidR="00502E1C" w:rsidRPr="00CD395A" w14:paraId="26F28678" w14:textId="77777777" w:rsidTr="00A354EC">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720A592"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2011</w:t>
            </w:r>
          </w:p>
        </w:tc>
        <w:tc>
          <w:tcPr>
            <w:tcW w:w="1095" w:type="dxa"/>
            <w:tcBorders>
              <w:top w:val="nil"/>
              <w:left w:val="nil"/>
              <w:bottom w:val="single" w:sz="4" w:space="0" w:color="auto"/>
              <w:right w:val="single" w:sz="4" w:space="0" w:color="auto"/>
            </w:tcBorders>
            <w:shd w:val="clear" w:color="auto" w:fill="auto"/>
            <w:noWrap/>
            <w:vAlign w:val="center"/>
          </w:tcPr>
          <w:p w14:paraId="2A7C8B2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1,9</w:t>
            </w:r>
          </w:p>
        </w:tc>
        <w:tc>
          <w:tcPr>
            <w:tcW w:w="1096" w:type="dxa"/>
            <w:tcBorders>
              <w:top w:val="nil"/>
              <w:left w:val="nil"/>
              <w:bottom w:val="single" w:sz="4" w:space="0" w:color="auto"/>
              <w:right w:val="single" w:sz="4" w:space="0" w:color="auto"/>
            </w:tcBorders>
            <w:shd w:val="clear" w:color="auto" w:fill="auto"/>
            <w:noWrap/>
            <w:vAlign w:val="center"/>
          </w:tcPr>
          <w:p w14:paraId="06F280EE"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15290,4</w:t>
            </w:r>
          </w:p>
        </w:tc>
        <w:tc>
          <w:tcPr>
            <w:tcW w:w="1095" w:type="dxa"/>
            <w:tcBorders>
              <w:top w:val="nil"/>
              <w:left w:val="nil"/>
              <w:bottom w:val="single" w:sz="4" w:space="0" w:color="auto"/>
              <w:right w:val="single" w:sz="4" w:space="0" w:color="auto"/>
            </w:tcBorders>
            <w:shd w:val="clear" w:color="auto" w:fill="auto"/>
            <w:noWrap/>
            <w:vAlign w:val="center"/>
          </w:tcPr>
          <w:p w14:paraId="2048DB51"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2142,1</w:t>
            </w:r>
          </w:p>
        </w:tc>
        <w:tc>
          <w:tcPr>
            <w:tcW w:w="1096" w:type="dxa"/>
            <w:tcBorders>
              <w:top w:val="nil"/>
              <w:left w:val="nil"/>
              <w:bottom w:val="single" w:sz="4" w:space="0" w:color="auto"/>
              <w:right w:val="single" w:sz="4" w:space="0" w:color="auto"/>
            </w:tcBorders>
            <w:shd w:val="clear" w:color="auto" w:fill="auto"/>
            <w:noWrap/>
            <w:vAlign w:val="center"/>
          </w:tcPr>
          <w:p w14:paraId="2612766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4301,3</w:t>
            </w:r>
          </w:p>
        </w:tc>
        <w:tc>
          <w:tcPr>
            <w:tcW w:w="1096" w:type="dxa"/>
            <w:tcBorders>
              <w:top w:val="nil"/>
              <w:left w:val="nil"/>
              <w:bottom w:val="single" w:sz="4" w:space="0" w:color="auto"/>
              <w:right w:val="single" w:sz="4" w:space="0" w:color="auto"/>
            </w:tcBorders>
            <w:shd w:val="clear" w:color="auto" w:fill="auto"/>
            <w:noWrap/>
            <w:vAlign w:val="center"/>
          </w:tcPr>
          <w:p w14:paraId="2D548424"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21735,7</w:t>
            </w:r>
          </w:p>
        </w:tc>
        <w:tc>
          <w:tcPr>
            <w:tcW w:w="1134" w:type="dxa"/>
            <w:tcBorders>
              <w:top w:val="nil"/>
              <w:left w:val="nil"/>
              <w:bottom w:val="single" w:sz="4" w:space="0" w:color="auto"/>
              <w:right w:val="single" w:sz="4" w:space="0" w:color="auto"/>
            </w:tcBorders>
            <w:shd w:val="clear" w:color="auto" w:fill="auto"/>
            <w:noWrap/>
            <w:vAlign w:val="center"/>
          </w:tcPr>
          <w:p w14:paraId="1E5E1A31"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431883,4</w:t>
            </w:r>
          </w:p>
        </w:tc>
        <w:tc>
          <w:tcPr>
            <w:tcW w:w="1275" w:type="dxa"/>
            <w:tcBorders>
              <w:top w:val="nil"/>
              <w:left w:val="nil"/>
              <w:bottom w:val="single" w:sz="4" w:space="0" w:color="auto"/>
              <w:right w:val="single" w:sz="4" w:space="0" w:color="auto"/>
            </w:tcBorders>
            <w:shd w:val="clear" w:color="auto" w:fill="auto"/>
            <w:noWrap/>
            <w:vAlign w:val="center"/>
          </w:tcPr>
          <w:p w14:paraId="1B1F9DB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108</w:t>
            </w:r>
          </w:p>
        </w:tc>
      </w:tr>
      <w:tr w:rsidR="00502E1C" w:rsidRPr="00CD395A" w14:paraId="51799D9E" w14:textId="77777777" w:rsidTr="00A354EC">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11D6F47"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2012</w:t>
            </w:r>
          </w:p>
        </w:tc>
        <w:tc>
          <w:tcPr>
            <w:tcW w:w="1095" w:type="dxa"/>
            <w:tcBorders>
              <w:top w:val="nil"/>
              <w:left w:val="nil"/>
              <w:bottom w:val="single" w:sz="4" w:space="0" w:color="auto"/>
              <w:right w:val="single" w:sz="4" w:space="0" w:color="auto"/>
            </w:tcBorders>
            <w:shd w:val="clear" w:color="auto" w:fill="auto"/>
            <w:noWrap/>
            <w:vAlign w:val="center"/>
          </w:tcPr>
          <w:p w14:paraId="2142CDC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p>
        </w:tc>
        <w:tc>
          <w:tcPr>
            <w:tcW w:w="1096" w:type="dxa"/>
            <w:tcBorders>
              <w:top w:val="nil"/>
              <w:left w:val="nil"/>
              <w:bottom w:val="single" w:sz="4" w:space="0" w:color="auto"/>
              <w:right w:val="single" w:sz="4" w:space="0" w:color="auto"/>
            </w:tcBorders>
            <w:shd w:val="clear" w:color="auto" w:fill="auto"/>
            <w:noWrap/>
            <w:vAlign w:val="center"/>
          </w:tcPr>
          <w:p w14:paraId="1ADD6D71"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16137,9</w:t>
            </w:r>
          </w:p>
        </w:tc>
        <w:tc>
          <w:tcPr>
            <w:tcW w:w="1095" w:type="dxa"/>
            <w:tcBorders>
              <w:top w:val="nil"/>
              <w:left w:val="nil"/>
              <w:bottom w:val="single" w:sz="4" w:space="0" w:color="auto"/>
              <w:right w:val="single" w:sz="4" w:space="0" w:color="auto"/>
            </w:tcBorders>
            <w:shd w:val="clear" w:color="auto" w:fill="auto"/>
            <w:noWrap/>
            <w:vAlign w:val="center"/>
          </w:tcPr>
          <w:p w14:paraId="3BBC3E3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2289,8</w:t>
            </w:r>
          </w:p>
        </w:tc>
        <w:tc>
          <w:tcPr>
            <w:tcW w:w="1096" w:type="dxa"/>
            <w:tcBorders>
              <w:top w:val="nil"/>
              <w:left w:val="nil"/>
              <w:bottom w:val="single" w:sz="4" w:space="0" w:color="auto"/>
              <w:right w:val="single" w:sz="4" w:space="0" w:color="auto"/>
            </w:tcBorders>
            <w:shd w:val="clear" w:color="auto" w:fill="auto"/>
            <w:noWrap/>
            <w:vAlign w:val="center"/>
          </w:tcPr>
          <w:p w14:paraId="3FABF70F"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3456,3</w:t>
            </w:r>
          </w:p>
        </w:tc>
        <w:tc>
          <w:tcPr>
            <w:tcW w:w="1096" w:type="dxa"/>
            <w:tcBorders>
              <w:top w:val="nil"/>
              <w:left w:val="nil"/>
              <w:bottom w:val="single" w:sz="4" w:space="0" w:color="auto"/>
              <w:right w:val="single" w:sz="4" w:space="0" w:color="auto"/>
            </w:tcBorders>
            <w:shd w:val="clear" w:color="auto" w:fill="auto"/>
            <w:noWrap/>
            <w:vAlign w:val="center"/>
          </w:tcPr>
          <w:p w14:paraId="4331D8EF"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21884,0</w:t>
            </w:r>
          </w:p>
        </w:tc>
        <w:tc>
          <w:tcPr>
            <w:tcW w:w="1134" w:type="dxa"/>
            <w:tcBorders>
              <w:top w:val="nil"/>
              <w:left w:val="nil"/>
              <w:bottom w:val="single" w:sz="4" w:space="0" w:color="auto"/>
              <w:right w:val="single" w:sz="4" w:space="0" w:color="auto"/>
            </w:tcBorders>
            <w:shd w:val="clear" w:color="auto" w:fill="auto"/>
            <w:noWrap/>
            <w:vAlign w:val="center"/>
          </w:tcPr>
          <w:p w14:paraId="6A5C248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386944,2</w:t>
            </w:r>
          </w:p>
        </w:tc>
        <w:tc>
          <w:tcPr>
            <w:tcW w:w="1275" w:type="dxa"/>
            <w:tcBorders>
              <w:top w:val="nil"/>
              <w:left w:val="nil"/>
              <w:bottom w:val="single" w:sz="4" w:space="0" w:color="auto"/>
              <w:right w:val="single" w:sz="4" w:space="0" w:color="auto"/>
            </w:tcBorders>
            <w:shd w:val="clear" w:color="auto" w:fill="auto"/>
            <w:noWrap/>
            <w:vAlign w:val="center"/>
          </w:tcPr>
          <w:p w14:paraId="6BF28232"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97</w:t>
            </w:r>
          </w:p>
        </w:tc>
      </w:tr>
      <w:tr w:rsidR="00502E1C" w:rsidRPr="00CD395A" w14:paraId="7D578A8A" w14:textId="77777777" w:rsidTr="00A354EC">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1A08E24"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2013</w:t>
            </w:r>
          </w:p>
        </w:tc>
        <w:tc>
          <w:tcPr>
            <w:tcW w:w="1095" w:type="dxa"/>
            <w:tcBorders>
              <w:top w:val="nil"/>
              <w:left w:val="nil"/>
              <w:bottom w:val="single" w:sz="4" w:space="0" w:color="auto"/>
              <w:right w:val="single" w:sz="4" w:space="0" w:color="auto"/>
            </w:tcBorders>
            <w:shd w:val="clear" w:color="auto" w:fill="auto"/>
            <w:noWrap/>
            <w:vAlign w:val="center"/>
          </w:tcPr>
          <w:p w14:paraId="4779C974"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0,6</w:t>
            </w:r>
          </w:p>
        </w:tc>
        <w:tc>
          <w:tcPr>
            <w:tcW w:w="1096" w:type="dxa"/>
            <w:tcBorders>
              <w:top w:val="nil"/>
              <w:left w:val="nil"/>
              <w:bottom w:val="single" w:sz="4" w:space="0" w:color="auto"/>
              <w:right w:val="single" w:sz="4" w:space="0" w:color="auto"/>
            </w:tcBorders>
            <w:shd w:val="clear" w:color="auto" w:fill="auto"/>
            <w:noWrap/>
            <w:vAlign w:val="center"/>
          </w:tcPr>
          <w:p w14:paraId="263240D5"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16401,2</w:t>
            </w:r>
          </w:p>
        </w:tc>
        <w:tc>
          <w:tcPr>
            <w:tcW w:w="1095" w:type="dxa"/>
            <w:tcBorders>
              <w:top w:val="nil"/>
              <w:left w:val="nil"/>
              <w:bottom w:val="single" w:sz="4" w:space="0" w:color="auto"/>
              <w:right w:val="single" w:sz="4" w:space="0" w:color="auto"/>
            </w:tcBorders>
            <w:shd w:val="clear" w:color="auto" w:fill="auto"/>
            <w:noWrap/>
            <w:vAlign w:val="center"/>
          </w:tcPr>
          <w:p w14:paraId="70EDEF1D"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2523,7</w:t>
            </w:r>
          </w:p>
        </w:tc>
        <w:tc>
          <w:tcPr>
            <w:tcW w:w="1096" w:type="dxa"/>
            <w:tcBorders>
              <w:top w:val="nil"/>
              <w:left w:val="nil"/>
              <w:bottom w:val="single" w:sz="4" w:space="0" w:color="auto"/>
              <w:right w:val="single" w:sz="4" w:space="0" w:color="auto"/>
            </w:tcBorders>
            <w:shd w:val="clear" w:color="auto" w:fill="auto"/>
            <w:noWrap/>
            <w:vAlign w:val="center"/>
          </w:tcPr>
          <w:p w14:paraId="72FB0D2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3278,9</w:t>
            </w:r>
          </w:p>
        </w:tc>
        <w:tc>
          <w:tcPr>
            <w:tcW w:w="1096" w:type="dxa"/>
            <w:tcBorders>
              <w:top w:val="nil"/>
              <w:left w:val="nil"/>
              <w:bottom w:val="single" w:sz="4" w:space="0" w:color="auto"/>
              <w:right w:val="single" w:sz="4" w:space="0" w:color="auto"/>
            </w:tcBorders>
            <w:shd w:val="clear" w:color="auto" w:fill="auto"/>
            <w:noWrap/>
            <w:vAlign w:val="center"/>
          </w:tcPr>
          <w:p w14:paraId="2434F82D"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22204,4</w:t>
            </w:r>
          </w:p>
        </w:tc>
        <w:tc>
          <w:tcPr>
            <w:tcW w:w="1134" w:type="dxa"/>
            <w:tcBorders>
              <w:top w:val="nil"/>
              <w:left w:val="nil"/>
              <w:bottom w:val="single" w:sz="4" w:space="0" w:color="auto"/>
              <w:right w:val="single" w:sz="4" w:space="0" w:color="auto"/>
            </w:tcBorders>
            <w:shd w:val="clear" w:color="auto" w:fill="auto"/>
            <w:noWrap/>
            <w:vAlign w:val="center"/>
          </w:tcPr>
          <w:p w14:paraId="1F2189D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381440,8</w:t>
            </w:r>
          </w:p>
        </w:tc>
        <w:tc>
          <w:tcPr>
            <w:tcW w:w="1275" w:type="dxa"/>
            <w:tcBorders>
              <w:top w:val="nil"/>
              <w:left w:val="nil"/>
              <w:bottom w:val="single" w:sz="4" w:space="0" w:color="auto"/>
              <w:right w:val="single" w:sz="4" w:space="0" w:color="auto"/>
            </w:tcBorders>
            <w:shd w:val="clear" w:color="auto" w:fill="auto"/>
            <w:noWrap/>
            <w:vAlign w:val="center"/>
          </w:tcPr>
          <w:p w14:paraId="64B1355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95</w:t>
            </w:r>
          </w:p>
        </w:tc>
      </w:tr>
      <w:tr w:rsidR="00502E1C" w:rsidRPr="00CD395A" w14:paraId="49BA278D" w14:textId="77777777" w:rsidTr="00A354EC">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26AC4B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2014</w:t>
            </w:r>
          </w:p>
        </w:tc>
        <w:tc>
          <w:tcPr>
            <w:tcW w:w="1095" w:type="dxa"/>
            <w:tcBorders>
              <w:top w:val="nil"/>
              <w:left w:val="nil"/>
              <w:bottom w:val="single" w:sz="4" w:space="0" w:color="auto"/>
              <w:right w:val="single" w:sz="4" w:space="0" w:color="auto"/>
            </w:tcBorders>
            <w:shd w:val="clear" w:color="auto" w:fill="auto"/>
            <w:noWrap/>
            <w:vAlign w:val="center"/>
          </w:tcPr>
          <w:p w14:paraId="7509B8F5"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0,1</w:t>
            </w:r>
          </w:p>
        </w:tc>
        <w:tc>
          <w:tcPr>
            <w:tcW w:w="1096" w:type="dxa"/>
            <w:tcBorders>
              <w:top w:val="nil"/>
              <w:left w:val="nil"/>
              <w:bottom w:val="single" w:sz="4" w:space="0" w:color="auto"/>
              <w:right w:val="single" w:sz="4" w:space="0" w:color="auto"/>
            </w:tcBorders>
            <w:shd w:val="clear" w:color="auto" w:fill="auto"/>
            <w:noWrap/>
            <w:vAlign w:val="center"/>
          </w:tcPr>
          <w:p w14:paraId="1109815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16761,5</w:t>
            </w:r>
          </w:p>
        </w:tc>
        <w:tc>
          <w:tcPr>
            <w:tcW w:w="1095" w:type="dxa"/>
            <w:tcBorders>
              <w:top w:val="nil"/>
              <w:left w:val="nil"/>
              <w:bottom w:val="single" w:sz="4" w:space="0" w:color="auto"/>
              <w:right w:val="single" w:sz="4" w:space="0" w:color="auto"/>
            </w:tcBorders>
            <w:shd w:val="clear" w:color="auto" w:fill="auto"/>
            <w:noWrap/>
            <w:vAlign w:val="center"/>
          </w:tcPr>
          <w:p w14:paraId="34B3EE00"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3299,0</w:t>
            </w:r>
          </w:p>
        </w:tc>
        <w:tc>
          <w:tcPr>
            <w:tcW w:w="1096" w:type="dxa"/>
            <w:tcBorders>
              <w:top w:val="nil"/>
              <w:left w:val="nil"/>
              <w:bottom w:val="single" w:sz="4" w:space="0" w:color="auto"/>
              <w:right w:val="single" w:sz="4" w:space="0" w:color="auto"/>
            </w:tcBorders>
            <w:shd w:val="clear" w:color="auto" w:fill="auto"/>
            <w:noWrap/>
            <w:vAlign w:val="center"/>
          </w:tcPr>
          <w:p w14:paraId="75BE5874"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3495,4</w:t>
            </w:r>
          </w:p>
        </w:tc>
        <w:tc>
          <w:tcPr>
            <w:tcW w:w="1096" w:type="dxa"/>
            <w:tcBorders>
              <w:top w:val="nil"/>
              <w:left w:val="nil"/>
              <w:bottom w:val="single" w:sz="4" w:space="0" w:color="auto"/>
              <w:right w:val="single" w:sz="4" w:space="0" w:color="auto"/>
            </w:tcBorders>
            <w:shd w:val="clear" w:color="auto" w:fill="auto"/>
            <w:noWrap/>
            <w:vAlign w:val="center"/>
          </w:tcPr>
          <w:p w14:paraId="22544DE8"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23556,0</w:t>
            </w:r>
          </w:p>
        </w:tc>
        <w:tc>
          <w:tcPr>
            <w:tcW w:w="1134" w:type="dxa"/>
            <w:tcBorders>
              <w:top w:val="nil"/>
              <w:left w:val="nil"/>
              <w:bottom w:val="single" w:sz="4" w:space="0" w:color="auto"/>
              <w:right w:val="single" w:sz="4" w:space="0" w:color="auto"/>
            </w:tcBorders>
            <w:shd w:val="clear" w:color="auto" w:fill="auto"/>
            <w:noWrap/>
            <w:vAlign w:val="center"/>
          </w:tcPr>
          <w:p w14:paraId="173D8930"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410581,2</w:t>
            </w:r>
          </w:p>
        </w:tc>
        <w:tc>
          <w:tcPr>
            <w:tcW w:w="1275" w:type="dxa"/>
            <w:tcBorders>
              <w:top w:val="nil"/>
              <w:left w:val="nil"/>
              <w:bottom w:val="single" w:sz="4" w:space="0" w:color="auto"/>
              <w:right w:val="single" w:sz="4" w:space="0" w:color="auto"/>
            </w:tcBorders>
            <w:shd w:val="clear" w:color="auto" w:fill="auto"/>
            <w:noWrap/>
            <w:vAlign w:val="center"/>
          </w:tcPr>
          <w:p w14:paraId="2EC4A9FD"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103</w:t>
            </w:r>
          </w:p>
        </w:tc>
      </w:tr>
      <w:tr w:rsidR="00502E1C" w:rsidRPr="00CD395A" w14:paraId="08B972D3" w14:textId="77777777" w:rsidTr="00A354EC">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58C217F"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2015</w:t>
            </w:r>
          </w:p>
        </w:tc>
        <w:tc>
          <w:tcPr>
            <w:tcW w:w="1095" w:type="dxa"/>
            <w:tcBorders>
              <w:top w:val="nil"/>
              <w:left w:val="nil"/>
              <w:bottom w:val="single" w:sz="4" w:space="0" w:color="auto"/>
              <w:right w:val="single" w:sz="4" w:space="0" w:color="auto"/>
            </w:tcBorders>
            <w:shd w:val="clear" w:color="auto" w:fill="auto"/>
            <w:noWrap/>
            <w:vAlign w:val="center"/>
          </w:tcPr>
          <w:p w14:paraId="6BEDAD5F"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0,0</w:t>
            </w:r>
          </w:p>
        </w:tc>
        <w:tc>
          <w:tcPr>
            <w:tcW w:w="1096" w:type="dxa"/>
            <w:tcBorders>
              <w:top w:val="nil"/>
              <w:left w:val="nil"/>
              <w:bottom w:val="single" w:sz="4" w:space="0" w:color="auto"/>
              <w:right w:val="single" w:sz="4" w:space="0" w:color="auto"/>
            </w:tcBorders>
            <w:shd w:val="clear" w:color="auto" w:fill="auto"/>
            <w:noWrap/>
            <w:vAlign w:val="center"/>
          </w:tcPr>
          <w:p w14:paraId="1821041C"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17116,0</w:t>
            </w:r>
          </w:p>
        </w:tc>
        <w:tc>
          <w:tcPr>
            <w:tcW w:w="1095" w:type="dxa"/>
            <w:tcBorders>
              <w:top w:val="nil"/>
              <w:left w:val="nil"/>
              <w:bottom w:val="single" w:sz="4" w:space="0" w:color="auto"/>
              <w:right w:val="single" w:sz="4" w:space="0" w:color="auto"/>
            </w:tcBorders>
            <w:shd w:val="clear" w:color="auto" w:fill="auto"/>
            <w:noWrap/>
            <w:vAlign w:val="center"/>
          </w:tcPr>
          <w:p w14:paraId="45A75D8B"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3077,8</w:t>
            </w:r>
          </w:p>
        </w:tc>
        <w:tc>
          <w:tcPr>
            <w:tcW w:w="1096" w:type="dxa"/>
            <w:tcBorders>
              <w:top w:val="nil"/>
              <w:left w:val="nil"/>
              <w:bottom w:val="single" w:sz="4" w:space="0" w:color="auto"/>
              <w:right w:val="single" w:sz="4" w:space="0" w:color="auto"/>
            </w:tcBorders>
            <w:shd w:val="clear" w:color="auto" w:fill="auto"/>
            <w:noWrap/>
            <w:vAlign w:val="center"/>
          </w:tcPr>
          <w:p w14:paraId="40BC8040"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3811,4</w:t>
            </w:r>
          </w:p>
        </w:tc>
        <w:tc>
          <w:tcPr>
            <w:tcW w:w="1096" w:type="dxa"/>
            <w:tcBorders>
              <w:top w:val="nil"/>
              <w:left w:val="nil"/>
              <w:bottom w:val="single" w:sz="4" w:space="0" w:color="auto"/>
              <w:right w:val="single" w:sz="4" w:space="0" w:color="auto"/>
            </w:tcBorders>
            <w:shd w:val="clear" w:color="auto" w:fill="auto"/>
            <w:noWrap/>
            <w:vAlign w:val="center"/>
          </w:tcPr>
          <w:p w14:paraId="1A910087"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24005,3</w:t>
            </w:r>
          </w:p>
        </w:tc>
        <w:tc>
          <w:tcPr>
            <w:tcW w:w="1134" w:type="dxa"/>
            <w:tcBorders>
              <w:top w:val="nil"/>
              <w:left w:val="nil"/>
              <w:bottom w:val="single" w:sz="4" w:space="0" w:color="auto"/>
              <w:right w:val="single" w:sz="4" w:space="0" w:color="auto"/>
            </w:tcBorders>
            <w:shd w:val="clear" w:color="auto" w:fill="auto"/>
            <w:noWrap/>
            <w:vAlign w:val="center"/>
          </w:tcPr>
          <w:p w14:paraId="47CDF66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430102,6</w:t>
            </w:r>
          </w:p>
        </w:tc>
        <w:tc>
          <w:tcPr>
            <w:tcW w:w="1275" w:type="dxa"/>
            <w:tcBorders>
              <w:top w:val="nil"/>
              <w:left w:val="nil"/>
              <w:bottom w:val="single" w:sz="4" w:space="0" w:color="auto"/>
              <w:right w:val="single" w:sz="4" w:space="0" w:color="auto"/>
            </w:tcBorders>
            <w:shd w:val="clear" w:color="auto" w:fill="auto"/>
            <w:noWrap/>
            <w:vAlign w:val="center"/>
          </w:tcPr>
          <w:p w14:paraId="4372086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108</w:t>
            </w:r>
          </w:p>
        </w:tc>
      </w:tr>
      <w:tr w:rsidR="00502E1C" w:rsidRPr="00CD395A" w14:paraId="3764760A" w14:textId="77777777" w:rsidTr="00A354EC">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D76B17D"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2016</w:t>
            </w:r>
          </w:p>
        </w:tc>
        <w:tc>
          <w:tcPr>
            <w:tcW w:w="1095" w:type="dxa"/>
            <w:tcBorders>
              <w:top w:val="nil"/>
              <w:left w:val="nil"/>
              <w:bottom w:val="single" w:sz="4" w:space="0" w:color="auto"/>
              <w:right w:val="single" w:sz="4" w:space="0" w:color="auto"/>
            </w:tcBorders>
            <w:shd w:val="clear" w:color="auto" w:fill="auto"/>
            <w:noWrap/>
            <w:vAlign w:val="center"/>
          </w:tcPr>
          <w:p w14:paraId="5D83E206"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0,2</w:t>
            </w:r>
          </w:p>
        </w:tc>
        <w:tc>
          <w:tcPr>
            <w:tcW w:w="1096" w:type="dxa"/>
            <w:tcBorders>
              <w:top w:val="nil"/>
              <w:left w:val="nil"/>
              <w:bottom w:val="single" w:sz="4" w:space="0" w:color="auto"/>
              <w:right w:val="single" w:sz="4" w:space="0" w:color="auto"/>
            </w:tcBorders>
            <w:shd w:val="clear" w:color="auto" w:fill="auto"/>
            <w:noWrap/>
            <w:vAlign w:val="center"/>
          </w:tcPr>
          <w:p w14:paraId="2782E350"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17716,8</w:t>
            </w:r>
          </w:p>
        </w:tc>
        <w:tc>
          <w:tcPr>
            <w:tcW w:w="1095" w:type="dxa"/>
            <w:tcBorders>
              <w:top w:val="nil"/>
              <w:left w:val="nil"/>
              <w:bottom w:val="single" w:sz="4" w:space="0" w:color="auto"/>
              <w:right w:val="single" w:sz="4" w:space="0" w:color="auto"/>
            </w:tcBorders>
            <w:shd w:val="clear" w:color="auto" w:fill="auto"/>
            <w:noWrap/>
            <w:vAlign w:val="center"/>
          </w:tcPr>
          <w:p w14:paraId="6357337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3079,1</w:t>
            </w:r>
          </w:p>
        </w:tc>
        <w:tc>
          <w:tcPr>
            <w:tcW w:w="1096" w:type="dxa"/>
            <w:tcBorders>
              <w:top w:val="nil"/>
              <w:left w:val="nil"/>
              <w:bottom w:val="single" w:sz="4" w:space="0" w:color="auto"/>
              <w:right w:val="single" w:sz="4" w:space="0" w:color="auto"/>
            </w:tcBorders>
            <w:shd w:val="clear" w:color="auto" w:fill="auto"/>
            <w:noWrap/>
            <w:vAlign w:val="center"/>
          </w:tcPr>
          <w:p w14:paraId="235DB63E"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3666,5</w:t>
            </w:r>
          </w:p>
        </w:tc>
        <w:tc>
          <w:tcPr>
            <w:tcW w:w="1096" w:type="dxa"/>
            <w:tcBorders>
              <w:top w:val="nil"/>
              <w:left w:val="nil"/>
              <w:bottom w:val="single" w:sz="4" w:space="0" w:color="auto"/>
              <w:right w:val="single" w:sz="4" w:space="0" w:color="auto"/>
            </w:tcBorders>
            <w:shd w:val="clear" w:color="auto" w:fill="auto"/>
            <w:noWrap/>
            <w:vAlign w:val="center"/>
          </w:tcPr>
          <w:p w14:paraId="5D253ED7"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24462,5</w:t>
            </w:r>
          </w:p>
        </w:tc>
        <w:tc>
          <w:tcPr>
            <w:tcW w:w="1134" w:type="dxa"/>
            <w:tcBorders>
              <w:top w:val="nil"/>
              <w:left w:val="nil"/>
              <w:bottom w:val="single" w:sz="4" w:space="0" w:color="auto"/>
              <w:right w:val="single" w:sz="4" w:space="0" w:color="auto"/>
            </w:tcBorders>
            <w:shd w:val="clear" w:color="auto" w:fill="auto"/>
            <w:noWrap/>
            <w:vAlign w:val="center"/>
          </w:tcPr>
          <w:p w14:paraId="78E8A188"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425655,1</w:t>
            </w:r>
          </w:p>
        </w:tc>
        <w:tc>
          <w:tcPr>
            <w:tcW w:w="1275" w:type="dxa"/>
            <w:tcBorders>
              <w:top w:val="nil"/>
              <w:left w:val="nil"/>
              <w:bottom w:val="single" w:sz="4" w:space="0" w:color="auto"/>
              <w:right w:val="single" w:sz="4" w:space="0" w:color="auto"/>
            </w:tcBorders>
            <w:shd w:val="clear" w:color="auto" w:fill="auto"/>
            <w:noWrap/>
            <w:vAlign w:val="center"/>
          </w:tcPr>
          <w:p w14:paraId="0F89E00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106</w:t>
            </w:r>
          </w:p>
        </w:tc>
      </w:tr>
      <w:tr w:rsidR="00502E1C" w:rsidRPr="00CD395A" w14:paraId="7BA4E0E3" w14:textId="77777777" w:rsidTr="00A354EC">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4111D06"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2017</w:t>
            </w:r>
          </w:p>
        </w:tc>
        <w:tc>
          <w:tcPr>
            <w:tcW w:w="1095" w:type="dxa"/>
            <w:tcBorders>
              <w:top w:val="nil"/>
              <w:left w:val="nil"/>
              <w:bottom w:val="single" w:sz="4" w:space="0" w:color="auto"/>
              <w:right w:val="single" w:sz="4" w:space="0" w:color="auto"/>
            </w:tcBorders>
            <w:shd w:val="clear" w:color="auto" w:fill="auto"/>
            <w:noWrap/>
            <w:vAlign w:val="center"/>
          </w:tcPr>
          <w:p w14:paraId="3F933C48"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0,4</w:t>
            </w:r>
          </w:p>
        </w:tc>
        <w:tc>
          <w:tcPr>
            <w:tcW w:w="1096" w:type="dxa"/>
            <w:tcBorders>
              <w:top w:val="nil"/>
              <w:left w:val="nil"/>
              <w:bottom w:val="single" w:sz="4" w:space="0" w:color="auto"/>
              <w:right w:val="single" w:sz="4" w:space="0" w:color="auto"/>
            </w:tcBorders>
            <w:shd w:val="clear" w:color="auto" w:fill="auto"/>
            <w:noWrap/>
            <w:vAlign w:val="center"/>
          </w:tcPr>
          <w:p w14:paraId="0E7C6C7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18857,5</w:t>
            </w:r>
          </w:p>
        </w:tc>
        <w:tc>
          <w:tcPr>
            <w:tcW w:w="1095" w:type="dxa"/>
            <w:tcBorders>
              <w:top w:val="nil"/>
              <w:left w:val="nil"/>
              <w:bottom w:val="single" w:sz="4" w:space="0" w:color="auto"/>
              <w:right w:val="single" w:sz="4" w:space="0" w:color="auto"/>
            </w:tcBorders>
            <w:shd w:val="clear" w:color="auto" w:fill="auto"/>
            <w:noWrap/>
            <w:vAlign w:val="center"/>
          </w:tcPr>
          <w:p w14:paraId="565A416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3024,4</w:t>
            </w:r>
          </w:p>
        </w:tc>
        <w:tc>
          <w:tcPr>
            <w:tcW w:w="1096" w:type="dxa"/>
            <w:tcBorders>
              <w:top w:val="nil"/>
              <w:left w:val="nil"/>
              <w:bottom w:val="single" w:sz="4" w:space="0" w:color="auto"/>
              <w:right w:val="single" w:sz="4" w:space="0" w:color="auto"/>
            </w:tcBorders>
            <w:shd w:val="clear" w:color="auto" w:fill="auto"/>
            <w:noWrap/>
            <w:vAlign w:val="center"/>
          </w:tcPr>
          <w:p w14:paraId="5F8B4E3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3192,8</w:t>
            </w:r>
          </w:p>
        </w:tc>
        <w:tc>
          <w:tcPr>
            <w:tcW w:w="1096" w:type="dxa"/>
            <w:tcBorders>
              <w:top w:val="nil"/>
              <w:left w:val="nil"/>
              <w:bottom w:val="single" w:sz="4" w:space="0" w:color="auto"/>
              <w:right w:val="single" w:sz="4" w:space="0" w:color="auto"/>
            </w:tcBorders>
            <w:shd w:val="clear" w:color="auto" w:fill="auto"/>
            <w:noWrap/>
            <w:vAlign w:val="center"/>
          </w:tcPr>
          <w:p w14:paraId="7E44EA0C"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25075,1</w:t>
            </w:r>
          </w:p>
        </w:tc>
        <w:tc>
          <w:tcPr>
            <w:tcW w:w="1134" w:type="dxa"/>
            <w:tcBorders>
              <w:top w:val="nil"/>
              <w:left w:val="nil"/>
              <w:bottom w:val="single" w:sz="4" w:space="0" w:color="auto"/>
              <w:right w:val="single" w:sz="4" w:space="0" w:color="auto"/>
            </w:tcBorders>
            <w:shd w:val="clear" w:color="auto" w:fill="auto"/>
            <w:noWrap/>
            <w:vAlign w:val="center"/>
          </w:tcPr>
          <w:p w14:paraId="34D3CC8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403587,7</w:t>
            </w:r>
          </w:p>
        </w:tc>
        <w:tc>
          <w:tcPr>
            <w:tcW w:w="1275" w:type="dxa"/>
            <w:tcBorders>
              <w:top w:val="nil"/>
              <w:left w:val="nil"/>
              <w:bottom w:val="single" w:sz="4" w:space="0" w:color="auto"/>
              <w:right w:val="single" w:sz="4" w:space="0" w:color="auto"/>
            </w:tcBorders>
            <w:shd w:val="clear" w:color="auto" w:fill="auto"/>
            <w:noWrap/>
            <w:vAlign w:val="center"/>
          </w:tcPr>
          <w:p w14:paraId="3C5A9F7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101</w:t>
            </w:r>
          </w:p>
        </w:tc>
      </w:tr>
      <w:tr w:rsidR="00502E1C" w:rsidRPr="00CD395A" w14:paraId="09FC31C6" w14:textId="77777777" w:rsidTr="00A354EC">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F544EEF"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2018</w:t>
            </w:r>
          </w:p>
        </w:tc>
        <w:tc>
          <w:tcPr>
            <w:tcW w:w="1095" w:type="dxa"/>
            <w:tcBorders>
              <w:top w:val="nil"/>
              <w:left w:val="nil"/>
              <w:bottom w:val="single" w:sz="4" w:space="0" w:color="auto"/>
              <w:right w:val="single" w:sz="4" w:space="0" w:color="auto"/>
            </w:tcBorders>
            <w:shd w:val="clear" w:color="auto" w:fill="auto"/>
            <w:noWrap/>
            <w:vAlign w:val="center"/>
          </w:tcPr>
          <w:p w14:paraId="60652B5F"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1,7</w:t>
            </w:r>
          </w:p>
        </w:tc>
        <w:tc>
          <w:tcPr>
            <w:tcW w:w="1096" w:type="dxa"/>
            <w:tcBorders>
              <w:top w:val="nil"/>
              <w:left w:val="nil"/>
              <w:bottom w:val="single" w:sz="4" w:space="0" w:color="auto"/>
              <w:right w:val="single" w:sz="4" w:space="0" w:color="auto"/>
            </w:tcBorders>
            <w:shd w:val="clear" w:color="auto" w:fill="auto"/>
            <w:noWrap/>
            <w:vAlign w:val="center"/>
          </w:tcPr>
          <w:p w14:paraId="243DC1C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16660,9</w:t>
            </w:r>
          </w:p>
        </w:tc>
        <w:tc>
          <w:tcPr>
            <w:tcW w:w="1095" w:type="dxa"/>
            <w:tcBorders>
              <w:top w:val="nil"/>
              <w:left w:val="nil"/>
              <w:bottom w:val="single" w:sz="4" w:space="0" w:color="auto"/>
              <w:right w:val="single" w:sz="4" w:space="0" w:color="auto"/>
            </w:tcBorders>
            <w:shd w:val="clear" w:color="auto" w:fill="auto"/>
            <w:noWrap/>
            <w:vAlign w:val="center"/>
          </w:tcPr>
          <w:p w14:paraId="704039E5"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3808,4</w:t>
            </w:r>
          </w:p>
        </w:tc>
        <w:tc>
          <w:tcPr>
            <w:tcW w:w="1096" w:type="dxa"/>
            <w:tcBorders>
              <w:top w:val="nil"/>
              <w:left w:val="nil"/>
              <w:bottom w:val="single" w:sz="4" w:space="0" w:color="auto"/>
              <w:right w:val="single" w:sz="4" w:space="0" w:color="auto"/>
            </w:tcBorders>
            <w:shd w:val="clear" w:color="auto" w:fill="auto"/>
            <w:noWrap/>
            <w:vAlign w:val="center"/>
          </w:tcPr>
          <w:p w14:paraId="6AFA0C6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2707,4</w:t>
            </w:r>
          </w:p>
        </w:tc>
        <w:tc>
          <w:tcPr>
            <w:tcW w:w="1096" w:type="dxa"/>
            <w:tcBorders>
              <w:top w:val="nil"/>
              <w:left w:val="nil"/>
              <w:bottom w:val="single" w:sz="4" w:space="0" w:color="auto"/>
              <w:right w:val="single" w:sz="4" w:space="0" w:color="auto"/>
            </w:tcBorders>
            <w:shd w:val="clear" w:color="auto" w:fill="auto"/>
            <w:noWrap/>
            <w:vAlign w:val="center"/>
          </w:tcPr>
          <w:p w14:paraId="15BA1818"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23178,4</w:t>
            </w:r>
          </w:p>
        </w:tc>
        <w:tc>
          <w:tcPr>
            <w:tcW w:w="1134" w:type="dxa"/>
            <w:tcBorders>
              <w:top w:val="nil"/>
              <w:left w:val="nil"/>
              <w:bottom w:val="single" w:sz="4" w:space="0" w:color="auto"/>
              <w:right w:val="single" w:sz="4" w:space="0" w:color="auto"/>
            </w:tcBorders>
            <w:shd w:val="clear" w:color="auto" w:fill="auto"/>
            <w:noWrap/>
            <w:vAlign w:val="center"/>
          </w:tcPr>
          <w:p w14:paraId="1F3B1A60"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367495,4</w:t>
            </w:r>
          </w:p>
        </w:tc>
        <w:tc>
          <w:tcPr>
            <w:tcW w:w="1275" w:type="dxa"/>
            <w:tcBorders>
              <w:top w:val="nil"/>
              <w:left w:val="nil"/>
              <w:bottom w:val="single" w:sz="4" w:space="0" w:color="auto"/>
              <w:right w:val="single" w:sz="4" w:space="0" w:color="auto"/>
            </w:tcBorders>
            <w:shd w:val="clear" w:color="auto" w:fill="auto"/>
            <w:noWrap/>
            <w:vAlign w:val="center"/>
          </w:tcPr>
          <w:p w14:paraId="396F9D8E"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92</w:t>
            </w:r>
          </w:p>
        </w:tc>
      </w:tr>
      <w:tr w:rsidR="00502E1C" w:rsidRPr="00CD395A" w14:paraId="1BAB39B3" w14:textId="77777777" w:rsidTr="00A354EC">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B0E1C9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2019</w:t>
            </w:r>
          </w:p>
        </w:tc>
        <w:tc>
          <w:tcPr>
            <w:tcW w:w="1095" w:type="dxa"/>
            <w:tcBorders>
              <w:top w:val="nil"/>
              <w:left w:val="nil"/>
              <w:bottom w:val="single" w:sz="4" w:space="0" w:color="auto"/>
              <w:right w:val="single" w:sz="4" w:space="0" w:color="auto"/>
            </w:tcBorders>
            <w:shd w:val="clear" w:color="auto" w:fill="auto"/>
            <w:noWrap/>
            <w:vAlign w:val="center"/>
          </w:tcPr>
          <w:p w14:paraId="576BDEBD"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2,8</w:t>
            </w:r>
          </w:p>
        </w:tc>
        <w:tc>
          <w:tcPr>
            <w:tcW w:w="1096" w:type="dxa"/>
            <w:tcBorders>
              <w:top w:val="nil"/>
              <w:left w:val="nil"/>
              <w:bottom w:val="single" w:sz="4" w:space="0" w:color="auto"/>
              <w:right w:val="single" w:sz="4" w:space="0" w:color="auto"/>
            </w:tcBorders>
            <w:shd w:val="clear" w:color="auto" w:fill="auto"/>
            <w:noWrap/>
            <w:vAlign w:val="center"/>
          </w:tcPr>
          <w:p w14:paraId="604CEB99"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16650,3</w:t>
            </w:r>
          </w:p>
        </w:tc>
        <w:tc>
          <w:tcPr>
            <w:tcW w:w="1095" w:type="dxa"/>
            <w:tcBorders>
              <w:top w:val="nil"/>
              <w:left w:val="nil"/>
              <w:bottom w:val="single" w:sz="4" w:space="0" w:color="auto"/>
              <w:right w:val="single" w:sz="4" w:space="0" w:color="auto"/>
            </w:tcBorders>
            <w:shd w:val="clear" w:color="auto" w:fill="auto"/>
            <w:noWrap/>
            <w:vAlign w:val="center"/>
          </w:tcPr>
          <w:p w14:paraId="01F73ED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4106,0</w:t>
            </w:r>
          </w:p>
        </w:tc>
        <w:tc>
          <w:tcPr>
            <w:tcW w:w="1096" w:type="dxa"/>
            <w:tcBorders>
              <w:top w:val="nil"/>
              <w:left w:val="nil"/>
              <w:bottom w:val="single" w:sz="4" w:space="0" w:color="auto"/>
              <w:right w:val="single" w:sz="4" w:space="0" w:color="auto"/>
            </w:tcBorders>
            <w:shd w:val="clear" w:color="auto" w:fill="auto"/>
            <w:noWrap/>
            <w:vAlign w:val="center"/>
          </w:tcPr>
          <w:p w14:paraId="0532E4C0"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3521,5</w:t>
            </w:r>
          </w:p>
        </w:tc>
        <w:tc>
          <w:tcPr>
            <w:tcW w:w="1096" w:type="dxa"/>
            <w:tcBorders>
              <w:top w:val="nil"/>
              <w:left w:val="nil"/>
              <w:bottom w:val="single" w:sz="4" w:space="0" w:color="auto"/>
              <w:right w:val="single" w:sz="4" w:space="0" w:color="auto"/>
            </w:tcBorders>
            <w:shd w:val="clear" w:color="auto" w:fill="auto"/>
            <w:noWrap/>
            <w:vAlign w:val="center"/>
          </w:tcPr>
          <w:p w14:paraId="0C7E4C08"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24280,7</w:t>
            </w:r>
          </w:p>
        </w:tc>
        <w:tc>
          <w:tcPr>
            <w:tcW w:w="1134" w:type="dxa"/>
            <w:tcBorders>
              <w:top w:val="nil"/>
              <w:left w:val="nil"/>
              <w:bottom w:val="single" w:sz="4" w:space="0" w:color="auto"/>
              <w:right w:val="single" w:sz="4" w:space="0" w:color="auto"/>
            </w:tcBorders>
            <w:shd w:val="clear" w:color="auto" w:fill="auto"/>
            <w:noWrap/>
            <w:vAlign w:val="center"/>
          </w:tcPr>
          <w:p w14:paraId="643794CE"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424280,4</w:t>
            </w:r>
          </w:p>
        </w:tc>
        <w:tc>
          <w:tcPr>
            <w:tcW w:w="1275" w:type="dxa"/>
            <w:tcBorders>
              <w:top w:val="nil"/>
              <w:left w:val="nil"/>
              <w:bottom w:val="single" w:sz="4" w:space="0" w:color="auto"/>
              <w:right w:val="single" w:sz="4" w:space="0" w:color="auto"/>
            </w:tcBorders>
            <w:shd w:val="clear" w:color="auto" w:fill="auto"/>
            <w:noWrap/>
            <w:vAlign w:val="center"/>
          </w:tcPr>
          <w:p w14:paraId="43547F7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106</w:t>
            </w:r>
          </w:p>
        </w:tc>
      </w:tr>
      <w:tr w:rsidR="00502E1C" w:rsidRPr="00CD395A" w14:paraId="345B8B54" w14:textId="77777777" w:rsidTr="00A354EC">
        <w:trPr>
          <w:trHeight w:val="397"/>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13B5B"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2020</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7FDED5C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2,7</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22BCAE61"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18959,5</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3B7A8CCA"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5169,8</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6777FB25"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496,0</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0EAAB8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24628,0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5C277BD"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266138,8</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0785B83"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67</w:t>
            </w:r>
          </w:p>
        </w:tc>
      </w:tr>
      <w:tr w:rsidR="00502E1C" w:rsidRPr="00CD395A" w14:paraId="78D04771" w14:textId="77777777" w:rsidTr="00A354EC">
        <w:trPr>
          <w:trHeight w:val="397"/>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CEE15"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2021</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204669EE"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12,9</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485AA22E"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20667,8</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580CACEE"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6285,3</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795307B7"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6,7</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15BEED8" w14:textId="77777777" w:rsidR="00502E1C" w:rsidRPr="00FA2BD7" w:rsidRDefault="00502E1C" w:rsidP="00502E1C">
            <w:pPr>
              <w:spacing w:after="0" w:line="240" w:lineRule="auto"/>
              <w:jc w:val="center"/>
              <w:rPr>
                <w:rFonts w:ascii="Arial" w:eastAsia="Times New Roman" w:hAnsi="Arial" w:cs="Arial"/>
                <w:b/>
                <w:color w:val="000000"/>
                <w:sz w:val="20"/>
                <w:szCs w:val="20"/>
                <w:lang w:eastAsia="pl-PL"/>
              </w:rPr>
            </w:pPr>
            <w:r w:rsidRPr="00FA2BD7">
              <w:rPr>
                <w:rFonts w:ascii="Arial" w:eastAsia="Times New Roman" w:hAnsi="Arial" w:cs="Arial"/>
                <w:b/>
                <w:color w:val="000000"/>
                <w:sz w:val="20"/>
                <w:szCs w:val="20"/>
                <w:lang w:eastAsia="pl-PL"/>
              </w:rPr>
              <w:t>26972,7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EE69595" w14:textId="77777777" w:rsidR="00502E1C" w:rsidRPr="00FA2BD7" w:rsidRDefault="00502E1C" w:rsidP="00502E1C">
            <w:pPr>
              <w:spacing w:after="0" w:line="240" w:lineRule="auto"/>
              <w:jc w:val="center"/>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266350,7</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F05490D" w14:textId="77777777" w:rsidR="00502E1C" w:rsidRPr="00FA2BD7" w:rsidRDefault="00502E1C" w:rsidP="00502E1C">
            <w:pPr>
              <w:spacing w:after="0" w:line="240" w:lineRule="auto"/>
              <w:jc w:val="center"/>
              <w:rPr>
                <w:rFonts w:ascii="Arial" w:eastAsia="Times New Roman" w:hAnsi="Arial" w:cs="Arial"/>
                <w:b/>
                <w:color w:val="000000"/>
                <w:sz w:val="20"/>
                <w:szCs w:val="20"/>
                <w:lang w:eastAsia="pl-PL"/>
              </w:rPr>
            </w:pPr>
            <w:r w:rsidRPr="00FA2BD7">
              <w:rPr>
                <w:rFonts w:ascii="Arial" w:eastAsia="Times New Roman" w:hAnsi="Arial" w:cs="Arial"/>
                <w:b/>
                <w:color w:val="000000"/>
                <w:sz w:val="20"/>
                <w:szCs w:val="20"/>
                <w:lang w:eastAsia="pl-PL"/>
              </w:rPr>
              <w:t>67</w:t>
            </w:r>
          </w:p>
        </w:tc>
      </w:tr>
    </w:tbl>
    <w:p w14:paraId="6951C471" w14:textId="77777777" w:rsidR="00502E1C" w:rsidRPr="00CD395A" w:rsidRDefault="00502E1C" w:rsidP="00502E1C">
      <w:pPr>
        <w:spacing w:after="160"/>
        <w:ind w:firstLine="708"/>
        <w:jc w:val="both"/>
        <w:rPr>
          <w:rFonts w:ascii="Times New Roman" w:eastAsia="Times New Roman" w:hAnsi="Times New Roman" w:cs="Times New Roman"/>
          <w:noProof/>
          <w:sz w:val="24"/>
          <w:szCs w:val="24"/>
          <w:lang w:eastAsia="pl-PL"/>
        </w:rPr>
      </w:pPr>
    </w:p>
    <w:p w14:paraId="00EA0FC7" w14:textId="21C570B5" w:rsidR="00502E1C" w:rsidRPr="00CD395A"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CD395A">
        <w:rPr>
          <w:rFonts w:ascii="Arial" w:hAnsi="Arial" w:cs="Arial"/>
        </w:rPr>
        <w:t xml:space="preserve">Wskaźnik HRI1 dla 2021 </w:t>
      </w:r>
      <w:r w:rsidR="001D0A01">
        <w:rPr>
          <w:rFonts w:ascii="Arial" w:hAnsi="Arial" w:cs="Arial"/>
        </w:rPr>
        <w:t xml:space="preserve">r. </w:t>
      </w:r>
      <w:r w:rsidRPr="00CD395A">
        <w:rPr>
          <w:rFonts w:ascii="Arial" w:hAnsi="Arial" w:cs="Arial"/>
        </w:rPr>
        <w:t>ma wartość 67. To o 16 punktów mniej niż wartość dla</w:t>
      </w:r>
      <w:r w:rsidR="005445BE">
        <w:rPr>
          <w:rFonts w:ascii="Arial" w:hAnsi="Arial" w:cs="Arial"/>
        </w:rPr>
        <w:t xml:space="preserve"> </w:t>
      </w:r>
      <w:r w:rsidRPr="00CD395A">
        <w:rPr>
          <w:rFonts w:ascii="Arial" w:hAnsi="Arial" w:cs="Arial"/>
        </w:rPr>
        <w:t xml:space="preserve">2020 </w:t>
      </w:r>
      <w:r w:rsidR="005445BE">
        <w:rPr>
          <w:rFonts w:ascii="Arial" w:hAnsi="Arial" w:cs="Arial"/>
        </w:rPr>
        <w:t xml:space="preserve">r. </w:t>
      </w:r>
      <w:r w:rsidRPr="00CD395A">
        <w:rPr>
          <w:rFonts w:ascii="Arial" w:hAnsi="Arial" w:cs="Arial"/>
        </w:rPr>
        <w:t>(według klasyfikacji z 2020</w:t>
      </w:r>
      <w:r w:rsidR="001D0A01">
        <w:rPr>
          <w:rFonts w:ascii="Arial" w:hAnsi="Arial" w:cs="Arial"/>
        </w:rPr>
        <w:t xml:space="preserve"> r.</w:t>
      </w:r>
      <w:r w:rsidRPr="00CD395A">
        <w:rPr>
          <w:rFonts w:ascii="Arial" w:hAnsi="Arial" w:cs="Arial"/>
        </w:rPr>
        <w:t>), która wynosiła 83. Tak znaczne obniżenie wartości wskaźnika wynika ze zwiększenia wartości bazowej z lat 2011-2013 (sprzedaż ważona). Wartość bazowa wzrosła z powodu wycofania z obrotu sporej grupy substancji czynnych i przeliczenia ich sprzedaży ważonej w okresie bazowym (wg klasyfikacji z 2021</w:t>
      </w:r>
      <w:r w:rsidR="000D3601">
        <w:rPr>
          <w:rFonts w:ascii="Arial" w:hAnsi="Arial" w:cs="Arial"/>
        </w:rPr>
        <w:t xml:space="preserve"> r.</w:t>
      </w:r>
      <w:r w:rsidRPr="00CD395A">
        <w:rPr>
          <w:rFonts w:ascii="Arial" w:hAnsi="Arial" w:cs="Arial"/>
        </w:rPr>
        <w:t>) z wagą 64.</w:t>
      </w:r>
    </w:p>
    <w:p w14:paraId="2E6BE7E9" w14:textId="30D59E97" w:rsidR="00502E1C" w:rsidRPr="005445BE" w:rsidRDefault="00502E1C" w:rsidP="001D0A01">
      <w:pPr>
        <w:spacing w:before="120" w:after="120" w:line="240" w:lineRule="auto"/>
        <w:ind w:left="993" w:hanging="993"/>
        <w:jc w:val="center"/>
        <w:rPr>
          <w:rFonts w:ascii="Arial" w:eastAsia="Times New Roman" w:hAnsi="Arial" w:cs="Arial"/>
          <w:i/>
          <w:sz w:val="20"/>
          <w:szCs w:val="20"/>
          <w:lang w:eastAsia="pl-PL"/>
        </w:rPr>
      </w:pPr>
      <w:r w:rsidRPr="005445BE">
        <w:rPr>
          <w:rFonts w:ascii="Arial" w:eastAsia="Times New Roman" w:hAnsi="Arial" w:cs="Arial"/>
          <w:i/>
          <w:sz w:val="20"/>
          <w:szCs w:val="20"/>
          <w:lang w:eastAsia="pl-PL"/>
        </w:rPr>
        <w:t>Tabela 15. Substancje czynne, których wycofanie z obrotu miało największy wpływ na obniżenie wartości wskaźnika HRI1 dla klasyfikacji z 2021</w:t>
      </w:r>
      <w:r w:rsidR="000D3601">
        <w:rPr>
          <w:rFonts w:ascii="Arial" w:eastAsia="Times New Roman" w:hAnsi="Arial" w:cs="Arial"/>
          <w:i/>
          <w:sz w:val="20"/>
          <w:szCs w:val="20"/>
          <w:lang w:eastAsia="pl-PL"/>
        </w:rPr>
        <w:t xml:space="preserve"> r.</w:t>
      </w:r>
    </w:p>
    <w:tbl>
      <w:tblPr>
        <w:tblW w:w="5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2174"/>
      </w:tblGrid>
      <w:tr w:rsidR="00502E1C" w:rsidRPr="00CD395A" w14:paraId="7AA8BE02" w14:textId="77777777" w:rsidTr="00A354EC">
        <w:trPr>
          <w:trHeight w:val="300"/>
          <w:jc w:val="center"/>
        </w:trPr>
        <w:tc>
          <w:tcPr>
            <w:tcW w:w="2835" w:type="dxa"/>
            <w:shd w:val="clear" w:color="auto" w:fill="auto"/>
            <w:noWrap/>
            <w:vAlign w:val="center"/>
          </w:tcPr>
          <w:p w14:paraId="7CACAC56"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Nazwa substancji czynnej</w:t>
            </w:r>
          </w:p>
        </w:tc>
        <w:tc>
          <w:tcPr>
            <w:tcW w:w="2174" w:type="dxa"/>
            <w:shd w:val="clear" w:color="auto" w:fill="auto"/>
            <w:vAlign w:val="center"/>
          </w:tcPr>
          <w:p w14:paraId="075C4AA8"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Grupa HRI1 przed wycofaniem</w:t>
            </w:r>
          </w:p>
        </w:tc>
      </w:tr>
      <w:tr w:rsidR="00502E1C" w:rsidRPr="00CD395A" w14:paraId="36B78BB7" w14:textId="77777777" w:rsidTr="00A354EC">
        <w:trPr>
          <w:trHeight w:val="300"/>
          <w:jc w:val="center"/>
        </w:trPr>
        <w:tc>
          <w:tcPr>
            <w:tcW w:w="2835" w:type="dxa"/>
            <w:shd w:val="clear" w:color="auto" w:fill="auto"/>
            <w:noWrap/>
            <w:vAlign w:val="center"/>
          </w:tcPr>
          <w:p w14:paraId="368E4EA9"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CHLOROPIRYFOS</w:t>
            </w:r>
          </w:p>
        </w:tc>
        <w:tc>
          <w:tcPr>
            <w:tcW w:w="2174" w:type="dxa"/>
            <w:shd w:val="clear" w:color="auto" w:fill="auto"/>
            <w:vAlign w:val="center"/>
          </w:tcPr>
          <w:p w14:paraId="0C6C6DA8"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2</w:t>
            </w:r>
          </w:p>
        </w:tc>
      </w:tr>
      <w:tr w:rsidR="00502E1C" w:rsidRPr="00CD395A" w14:paraId="1E464C6A" w14:textId="77777777" w:rsidTr="00A354EC">
        <w:trPr>
          <w:trHeight w:val="300"/>
          <w:jc w:val="center"/>
        </w:trPr>
        <w:tc>
          <w:tcPr>
            <w:tcW w:w="2835" w:type="dxa"/>
            <w:shd w:val="clear" w:color="auto" w:fill="auto"/>
            <w:noWrap/>
            <w:vAlign w:val="center"/>
          </w:tcPr>
          <w:p w14:paraId="3A77C279"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TIURAM</w:t>
            </w:r>
          </w:p>
        </w:tc>
        <w:tc>
          <w:tcPr>
            <w:tcW w:w="2174" w:type="dxa"/>
            <w:shd w:val="clear" w:color="auto" w:fill="auto"/>
            <w:vAlign w:val="center"/>
          </w:tcPr>
          <w:p w14:paraId="1F6C7161"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2</w:t>
            </w:r>
          </w:p>
        </w:tc>
      </w:tr>
      <w:tr w:rsidR="00502E1C" w:rsidRPr="00CD395A" w14:paraId="23B3EB7A" w14:textId="77777777" w:rsidTr="00A354EC">
        <w:trPr>
          <w:trHeight w:val="300"/>
          <w:jc w:val="center"/>
        </w:trPr>
        <w:tc>
          <w:tcPr>
            <w:tcW w:w="2835" w:type="dxa"/>
            <w:shd w:val="clear" w:color="auto" w:fill="auto"/>
            <w:noWrap/>
            <w:vAlign w:val="center"/>
            <w:hideMark/>
          </w:tcPr>
          <w:p w14:paraId="09EE3E80"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DIMETOAT</w:t>
            </w:r>
          </w:p>
        </w:tc>
        <w:tc>
          <w:tcPr>
            <w:tcW w:w="2174" w:type="dxa"/>
            <w:shd w:val="clear" w:color="auto" w:fill="auto"/>
            <w:vAlign w:val="center"/>
          </w:tcPr>
          <w:p w14:paraId="13E06CA0"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3</w:t>
            </w:r>
          </w:p>
        </w:tc>
      </w:tr>
      <w:tr w:rsidR="00502E1C" w:rsidRPr="00CD395A" w14:paraId="2B92F0AE" w14:textId="77777777" w:rsidTr="00A354EC">
        <w:trPr>
          <w:trHeight w:val="300"/>
          <w:jc w:val="center"/>
        </w:trPr>
        <w:tc>
          <w:tcPr>
            <w:tcW w:w="2835" w:type="dxa"/>
            <w:shd w:val="clear" w:color="auto" w:fill="auto"/>
            <w:noWrap/>
            <w:vAlign w:val="center"/>
            <w:hideMark/>
          </w:tcPr>
          <w:p w14:paraId="485D6762"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CHLOROTALONIL</w:t>
            </w:r>
          </w:p>
        </w:tc>
        <w:tc>
          <w:tcPr>
            <w:tcW w:w="2174" w:type="dxa"/>
            <w:shd w:val="clear" w:color="auto" w:fill="auto"/>
            <w:vAlign w:val="center"/>
          </w:tcPr>
          <w:p w14:paraId="4254000E"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2</w:t>
            </w:r>
          </w:p>
        </w:tc>
      </w:tr>
      <w:tr w:rsidR="00502E1C" w:rsidRPr="00CD395A" w14:paraId="703ABC25" w14:textId="77777777" w:rsidTr="00A354EC">
        <w:trPr>
          <w:trHeight w:val="300"/>
          <w:jc w:val="center"/>
        </w:trPr>
        <w:tc>
          <w:tcPr>
            <w:tcW w:w="2835" w:type="dxa"/>
            <w:shd w:val="clear" w:color="auto" w:fill="auto"/>
            <w:noWrap/>
            <w:vAlign w:val="center"/>
          </w:tcPr>
          <w:p w14:paraId="3F2803A6"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FENPROPIMORF</w:t>
            </w:r>
          </w:p>
        </w:tc>
        <w:tc>
          <w:tcPr>
            <w:tcW w:w="2174" w:type="dxa"/>
            <w:shd w:val="clear" w:color="auto" w:fill="auto"/>
            <w:vAlign w:val="center"/>
          </w:tcPr>
          <w:p w14:paraId="7D20D93C"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2</w:t>
            </w:r>
          </w:p>
        </w:tc>
      </w:tr>
      <w:tr w:rsidR="00502E1C" w:rsidRPr="00CD395A" w14:paraId="53CF8068" w14:textId="77777777" w:rsidTr="00A354EC">
        <w:trPr>
          <w:trHeight w:val="300"/>
          <w:jc w:val="center"/>
        </w:trPr>
        <w:tc>
          <w:tcPr>
            <w:tcW w:w="2835" w:type="dxa"/>
            <w:shd w:val="clear" w:color="auto" w:fill="auto"/>
            <w:noWrap/>
            <w:vAlign w:val="center"/>
          </w:tcPr>
          <w:p w14:paraId="1850C045"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PROPIKONAZOL</w:t>
            </w:r>
          </w:p>
        </w:tc>
        <w:tc>
          <w:tcPr>
            <w:tcW w:w="2174" w:type="dxa"/>
            <w:shd w:val="clear" w:color="auto" w:fill="auto"/>
            <w:vAlign w:val="center"/>
          </w:tcPr>
          <w:p w14:paraId="6CECCF09"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3</w:t>
            </w:r>
          </w:p>
        </w:tc>
      </w:tr>
      <w:tr w:rsidR="00502E1C" w:rsidRPr="00CD395A" w14:paraId="5C42E519" w14:textId="77777777" w:rsidTr="00A354EC">
        <w:trPr>
          <w:trHeight w:val="300"/>
          <w:jc w:val="center"/>
        </w:trPr>
        <w:tc>
          <w:tcPr>
            <w:tcW w:w="2835" w:type="dxa"/>
            <w:shd w:val="clear" w:color="auto" w:fill="auto"/>
            <w:noWrap/>
            <w:vAlign w:val="center"/>
          </w:tcPr>
          <w:p w14:paraId="5A7E0499"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EPOKSYKONAZOL</w:t>
            </w:r>
          </w:p>
        </w:tc>
        <w:tc>
          <w:tcPr>
            <w:tcW w:w="2174" w:type="dxa"/>
            <w:shd w:val="clear" w:color="auto" w:fill="auto"/>
            <w:vAlign w:val="center"/>
          </w:tcPr>
          <w:p w14:paraId="2F835439"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3</w:t>
            </w:r>
          </w:p>
        </w:tc>
      </w:tr>
      <w:tr w:rsidR="00502E1C" w:rsidRPr="00CD395A" w14:paraId="0CD6BD03" w14:textId="77777777" w:rsidTr="00A354EC">
        <w:trPr>
          <w:trHeight w:val="300"/>
          <w:jc w:val="center"/>
        </w:trPr>
        <w:tc>
          <w:tcPr>
            <w:tcW w:w="2835" w:type="dxa"/>
            <w:shd w:val="clear" w:color="auto" w:fill="auto"/>
            <w:noWrap/>
            <w:vAlign w:val="center"/>
            <w:hideMark/>
          </w:tcPr>
          <w:p w14:paraId="0D5BDA7C"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DESMEDIFAM</w:t>
            </w:r>
          </w:p>
        </w:tc>
        <w:tc>
          <w:tcPr>
            <w:tcW w:w="2174" w:type="dxa"/>
            <w:shd w:val="clear" w:color="auto" w:fill="auto"/>
            <w:vAlign w:val="center"/>
          </w:tcPr>
          <w:p w14:paraId="17D977D4"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2</w:t>
            </w:r>
          </w:p>
        </w:tc>
      </w:tr>
      <w:tr w:rsidR="00502E1C" w:rsidRPr="00CD395A" w14:paraId="4E4EF6D0" w14:textId="77777777" w:rsidTr="00A354EC">
        <w:trPr>
          <w:trHeight w:val="300"/>
          <w:jc w:val="center"/>
        </w:trPr>
        <w:tc>
          <w:tcPr>
            <w:tcW w:w="2835" w:type="dxa"/>
            <w:shd w:val="clear" w:color="auto" w:fill="auto"/>
            <w:noWrap/>
            <w:vAlign w:val="center"/>
          </w:tcPr>
          <w:p w14:paraId="251DCA06"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TIAKLOPRYD</w:t>
            </w:r>
          </w:p>
        </w:tc>
        <w:tc>
          <w:tcPr>
            <w:tcW w:w="2174" w:type="dxa"/>
            <w:shd w:val="clear" w:color="auto" w:fill="auto"/>
            <w:vAlign w:val="center"/>
          </w:tcPr>
          <w:p w14:paraId="02DC08EC"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3</w:t>
            </w:r>
          </w:p>
        </w:tc>
      </w:tr>
      <w:tr w:rsidR="00502E1C" w:rsidRPr="00CD395A" w14:paraId="19D4BB77" w14:textId="77777777" w:rsidTr="00A354EC">
        <w:trPr>
          <w:trHeight w:val="300"/>
          <w:jc w:val="center"/>
        </w:trPr>
        <w:tc>
          <w:tcPr>
            <w:tcW w:w="2835" w:type="dxa"/>
            <w:shd w:val="clear" w:color="auto" w:fill="auto"/>
            <w:noWrap/>
            <w:vAlign w:val="center"/>
          </w:tcPr>
          <w:p w14:paraId="465F626E"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DIKWAT</w:t>
            </w:r>
          </w:p>
        </w:tc>
        <w:tc>
          <w:tcPr>
            <w:tcW w:w="2174" w:type="dxa"/>
            <w:shd w:val="clear" w:color="auto" w:fill="auto"/>
            <w:vAlign w:val="center"/>
          </w:tcPr>
          <w:p w14:paraId="544FF0C6" w14:textId="77777777" w:rsidR="00502E1C" w:rsidRPr="00FA2BD7" w:rsidRDefault="00502E1C" w:rsidP="00502E1C">
            <w:pPr>
              <w:suppressAutoHyphens/>
              <w:spacing w:after="0" w:line="240" w:lineRule="auto"/>
              <w:jc w:val="center"/>
              <w:rPr>
                <w:rFonts w:ascii="Arial" w:eastAsia="Lucida Sans Unicode" w:hAnsi="Arial" w:cs="Arial"/>
                <w:kern w:val="2"/>
                <w:sz w:val="20"/>
                <w:szCs w:val="20"/>
              </w:rPr>
            </w:pPr>
            <w:r w:rsidRPr="00FA2BD7">
              <w:rPr>
                <w:rFonts w:ascii="Arial" w:eastAsia="Lucida Sans Unicode" w:hAnsi="Arial" w:cs="Arial"/>
                <w:kern w:val="2"/>
                <w:sz w:val="20"/>
                <w:szCs w:val="20"/>
              </w:rPr>
              <w:t>3</w:t>
            </w:r>
          </w:p>
        </w:tc>
      </w:tr>
    </w:tbl>
    <w:p w14:paraId="11288E6A" w14:textId="77777777" w:rsidR="00502E1C" w:rsidRPr="00CD395A" w:rsidRDefault="00502E1C" w:rsidP="00502E1C">
      <w:pPr>
        <w:spacing w:after="160" w:line="259" w:lineRule="auto"/>
        <w:jc w:val="both"/>
        <w:rPr>
          <w:rFonts w:ascii="Times New Roman" w:eastAsia="Calibri" w:hAnsi="Times New Roman" w:cs="Times New Roman"/>
          <w:szCs w:val="21"/>
          <w:lang w:eastAsia="pl-PL"/>
        </w:rPr>
      </w:pPr>
    </w:p>
    <w:p w14:paraId="5BEC253D" w14:textId="13773A9B" w:rsidR="00502E1C" w:rsidRPr="00CD395A"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CD395A">
        <w:rPr>
          <w:rFonts w:ascii="Arial" w:hAnsi="Arial" w:cs="Arial"/>
        </w:rPr>
        <w:t xml:space="preserve">Analiza szczegółowych danych pokazuje, że 75% wartości wskaźnika wynika ze sprzedaży tylko 20 substancji. Kolejne 60 substancji ma udział równy 20%, natomiast pozostałe 181 substancje mają udział </w:t>
      </w:r>
      <w:r w:rsidRPr="00CD395A">
        <w:rPr>
          <w:rFonts w:ascii="Arial" w:hAnsi="Arial" w:cs="Arial"/>
        </w:rPr>
        <w:lastRenderedPageBreak/>
        <w:t>tylko 5%. Jeśli weźmiemy pod uwagę grupy potencjalnego zagrożenia to ogółem w sprzedaży było 9</w:t>
      </w:r>
      <w:r w:rsidR="00FA2BD7">
        <w:rPr>
          <w:rFonts w:ascii="Arial" w:hAnsi="Arial" w:cs="Arial"/>
        </w:rPr>
        <w:t> </w:t>
      </w:r>
      <w:r w:rsidRPr="00CD395A">
        <w:rPr>
          <w:rFonts w:ascii="Arial" w:hAnsi="Arial" w:cs="Arial"/>
        </w:rPr>
        <w:t>substancji z grupy 1, 201 z grupy 2, 48 z grupy 3 i 3 substancje z grupy 4. W pierwszej dwudziestce pod względem największego udziału w wartości wskaźnika znajduje się 9 substancji z grupy 3 i 11 z</w:t>
      </w:r>
      <w:r w:rsidR="001D0A01">
        <w:rPr>
          <w:rFonts w:ascii="Arial" w:hAnsi="Arial" w:cs="Arial"/>
        </w:rPr>
        <w:t> </w:t>
      </w:r>
      <w:r w:rsidRPr="00CD395A">
        <w:rPr>
          <w:rFonts w:ascii="Arial" w:hAnsi="Arial" w:cs="Arial"/>
        </w:rPr>
        <w:t>grupy 2 (identycznie jak w 2020</w:t>
      </w:r>
      <w:r w:rsidR="000D3601">
        <w:rPr>
          <w:rFonts w:ascii="Arial" w:hAnsi="Arial" w:cs="Arial"/>
        </w:rPr>
        <w:t xml:space="preserve"> r.</w:t>
      </w:r>
      <w:r w:rsidRPr="00CD395A">
        <w:rPr>
          <w:rFonts w:ascii="Arial" w:hAnsi="Arial" w:cs="Arial"/>
        </w:rPr>
        <w:t>). Udział poszczególnych grup substancji czynnych w sprzedaży i</w:t>
      </w:r>
      <w:r w:rsidR="000D3601">
        <w:rPr>
          <w:rFonts w:ascii="Arial" w:hAnsi="Arial" w:cs="Arial"/>
        </w:rPr>
        <w:t> </w:t>
      </w:r>
      <w:r w:rsidRPr="00CD395A">
        <w:rPr>
          <w:rFonts w:ascii="Arial" w:hAnsi="Arial" w:cs="Arial"/>
        </w:rPr>
        <w:t xml:space="preserve">wartości wskaźnika w 2021 </w:t>
      </w:r>
      <w:r w:rsidR="000D3601">
        <w:rPr>
          <w:rFonts w:ascii="Arial" w:hAnsi="Arial" w:cs="Arial"/>
        </w:rPr>
        <w:t xml:space="preserve">r. </w:t>
      </w:r>
      <w:r w:rsidRPr="00CD395A">
        <w:rPr>
          <w:rFonts w:ascii="Arial" w:hAnsi="Arial" w:cs="Arial"/>
        </w:rPr>
        <w:t>zawiera tabela 16.</w:t>
      </w:r>
    </w:p>
    <w:p w14:paraId="0D5D7FDD" w14:textId="28AADF7D" w:rsidR="00502E1C" w:rsidRPr="005445BE" w:rsidRDefault="00502E1C" w:rsidP="005445BE">
      <w:pPr>
        <w:spacing w:before="120" w:after="120" w:line="240" w:lineRule="auto"/>
        <w:ind w:left="993" w:hanging="993"/>
        <w:jc w:val="center"/>
        <w:rPr>
          <w:rFonts w:ascii="Arial" w:eastAsia="Times New Roman" w:hAnsi="Arial" w:cs="Arial"/>
          <w:i/>
          <w:sz w:val="20"/>
          <w:szCs w:val="20"/>
          <w:lang w:eastAsia="pl-PL"/>
        </w:rPr>
      </w:pPr>
      <w:r w:rsidRPr="005445BE">
        <w:rPr>
          <w:rFonts w:ascii="Arial" w:eastAsia="Times New Roman" w:hAnsi="Arial" w:cs="Arial"/>
          <w:i/>
          <w:sz w:val="20"/>
          <w:szCs w:val="20"/>
          <w:lang w:eastAsia="pl-PL"/>
        </w:rPr>
        <w:t>Tabela 16. Udział grup ryzyka substancji czynnych w wartości wskaźnika HRI1 w 2021</w:t>
      </w:r>
      <w:r w:rsidR="000D3601">
        <w:rPr>
          <w:rFonts w:ascii="Arial" w:eastAsia="Times New Roman" w:hAnsi="Arial" w:cs="Arial"/>
          <w:i/>
          <w:sz w:val="20"/>
          <w:szCs w:val="20"/>
          <w:lang w:eastAsia="pl-PL"/>
        </w:rPr>
        <w:t xml:space="preserve"> r.</w:t>
      </w:r>
    </w:p>
    <w:tbl>
      <w:tblPr>
        <w:tblW w:w="4922" w:type="pct"/>
        <w:jc w:val="center"/>
        <w:tblCellMar>
          <w:left w:w="0" w:type="dxa"/>
          <w:right w:w="0" w:type="dxa"/>
        </w:tblCellMar>
        <w:tblLook w:val="0600" w:firstRow="0" w:lastRow="0" w:firstColumn="0" w:lastColumn="0" w:noHBand="1" w:noVBand="1"/>
      </w:tblPr>
      <w:tblGrid>
        <w:gridCol w:w="4180"/>
        <w:gridCol w:w="1581"/>
        <w:gridCol w:w="1581"/>
        <w:gridCol w:w="1579"/>
      </w:tblGrid>
      <w:tr w:rsidR="00502E1C" w:rsidRPr="00CD395A" w14:paraId="40A24441" w14:textId="77777777" w:rsidTr="00A354EC">
        <w:trPr>
          <w:trHeight w:val="2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56FEE793"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bCs/>
                <w:sz w:val="20"/>
                <w:szCs w:val="20"/>
                <w:lang w:eastAsia="pl-PL"/>
              </w:rPr>
              <w:t>Grupa substancji czynnych</w:t>
            </w:r>
          </w:p>
        </w:tc>
        <w:tc>
          <w:tcPr>
            <w:tcW w:w="886" w:type="pct"/>
            <w:tcBorders>
              <w:top w:val="single" w:sz="4" w:space="0" w:color="000000"/>
              <w:left w:val="single" w:sz="4" w:space="0" w:color="000000"/>
              <w:bottom w:val="single" w:sz="4" w:space="0" w:color="000000"/>
              <w:right w:val="single" w:sz="4" w:space="0" w:color="000000"/>
            </w:tcBorders>
            <w:vAlign w:val="center"/>
          </w:tcPr>
          <w:p w14:paraId="0C06C547" w14:textId="77777777" w:rsidR="00502E1C" w:rsidRPr="00FA2BD7" w:rsidRDefault="00502E1C" w:rsidP="00502E1C">
            <w:pPr>
              <w:spacing w:after="0" w:line="240" w:lineRule="auto"/>
              <w:jc w:val="center"/>
              <w:rPr>
                <w:rFonts w:ascii="Arial" w:eastAsia="Times New Roman" w:hAnsi="Arial" w:cs="Arial"/>
                <w:bCs/>
                <w:sz w:val="20"/>
                <w:szCs w:val="20"/>
                <w:lang w:eastAsia="pl-PL"/>
              </w:rPr>
            </w:pPr>
            <w:r w:rsidRPr="00FA2BD7">
              <w:rPr>
                <w:rFonts w:ascii="Arial" w:eastAsia="Times New Roman" w:hAnsi="Arial" w:cs="Arial"/>
                <w:bCs/>
                <w:sz w:val="20"/>
                <w:szCs w:val="20"/>
                <w:lang w:eastAsia="pl-PL"/>
              </w:rPr>
              <w:t>Sprzedaż</w:t>
            </w:r>
          </w:p>
          <w:p w14:paraId="7ACAE438" w14:textId="77777777" w:rsidR="00502E1C" w:rsidRPr="00FA2BD7" w:rsidRDefault="00502E1C" w:rsidP="00502E1C">
            <w:pPr>
              <w:spacing w:after="0" w:line="240" w:lineRule="auto"/>
              <w:jc w:val="center"/>
              <w:rPr>
                <w:rFonts w:ascii="Arial" w:eastAsia="Times New Roman" w:hAnsi="Arial" w:cs="Arial"/>
                <w:bCs/>
                <w:sz w:val="20"/>
                <w:szCs w:val="20"/>
                <w:lang w:eastAsia="pl-PL"/>
              </w:rPr>
            </w:pPr>
            <w:r w:rsidRPr="00FA2BD7">
              <w:rPr>
                <w:rFonts w:ascii="Arial" w:eastAsia="Times New Roman" w:hAnsi="Arial" w:cs="Arial"/>
                <w:bCs/>
                <w:sz w:val="20"/>
                <w:szCs w:val="20"/>
                <w:lang w:eastAsia="pl-PL"/>
              </w:rPr>
              <w:t>w 2021</w:t>
            </w:r>
          </w:p>
          <w:p w14:paraId="54A237B9" w14:textId="77777777" w:rsidR="00502E1C" w:rsidRPr="00FA2BD7" w:rsidRDefault="00502E1C" w:rsidP="00502E1C">
            <w:pPr>
              <w:spacing w:after="0" w:line="240" w:lineRule="auto"/>
              <w:jc w:val="center"/>
              <w:rPr>
                <w:rFonts w:ascii="Arial" w:eastAsia="Times New Roman" w:hAnsi="Arial" w:cs="Arial"/>
                <w:bCs/>
                <w:sz w:val="20"/>
                <w:szCs w:val="20"/>
                <w:lang w:eastAsia="pl-PL"/>
              </w:rPr>
            </w:pPr>
            <w:r w:rsidRPr="00FA2BD7">
              <w:rPr>
                <w:rFonts w:ascii="Arial" w:eastAsia="Times New Roman" w:hAnsi="Arial" w:cs="Arial"/>
                <w:bCs/>
                <w:sz w:val="20"/>
                <w:szCs w:val="20"/>
                <w:lang w:eastAsia="pl-PL"/>
              </w:rPr>
              <w:t>[w tonach]</w:t>
            </w:r>
          </w:p>
        </w:tc>
        <w:tc>
          <w:tcPr>
            <w:tcW w:w="886" w:type="pct"/>
            <w:tcBorders>
              <w:top w:val="single" w:sz="4" w:space="0" w:color="000000"/>
              <w:left w:val="single" w:sz="4" w:space="0" w:color="000000"/>
              <w:bottom w:val="single" w:sz="4" w:space="0" w:color="000000"/>
              <w:right w:val="single" w:sz="4" w:space="0" w:color="000000"/>
            </w:tcBorders>
            <w:vAlign w:val="center"/>
          </w:tcPr>
          <w:p w14:paraId="6E4085F4"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bCs/>
                <w:sz w:val="20"/>
                <w:szCs w:val="20"/>
                <w:lang w:eastAsia="pl-PL"/>
              </w:rPr>
              <w:t>Udział w sprzedaży</w:t>
            </w:r>
          </w:p>
        </w:tc>
        <w:tc>
          <w:tcPr>
            <w:tcW w:w="885" w:type="pct"/>
            <w:tcBorders>
              <w:top w:val="single" w:sz="4" w:space="0" w:color="000000"/>
              <w:left w:val="single" w:sz="4" w:space="0" w:color="000000"/>
              <w:bottom w:val="single" w:sz="4" w:space="0" w:color="000000"/>
              <w:right w:val="single" w:sz="4" w:space="0" w:color="000000"/>
            </w:tcBorders>
            <w:vAlign w:val="center"/>
          </w:tcPr>
          <w:p w14:paraId="3C5FC200" w14:textId="77777777" w:rsidR="00502E1C" w:rsidRPr="00FA2BD7" w:rsidRDefault="00502E1C" w:rsidP="00502E1C">
            <w:pPr>
              <w:spacing w:after="0" w:line="240" w:lineRule="auto"/>
              <w:jc w:val="center"/>
              <w:rPr>
                <w:rFonts w:ascii="Arial" w:eastAsia="Times New Roman" w:hAnsi="Arial" w:cs="Arial"/>
                <w:bCs/>
                <w:sz w:val="20"/>
                <w:szCs w:val="20"/>
                <w:lang w:eastAsia="pl-PL"/>
              </w:rPr>
            </w:pPr>
            <w:r w:rsidRPr="00FA2BD7">
              <w:rPr>
                <w:rFonts w:ascii="Arial" w:eastAsia="Times New Roman" w:hAnsi="Arial" w:cs="Arial"/>
                <w:bCs/>
                <w:sz w:val="20"/>
                <w:szCs w:val="20"/>
                <w:lang w:eastAsia="pl-PL"/>
              </w:rPr>
              <w:t>Udział w wartości wskaźnika</w:t>
            </w:r>
          </w:p>
        </w:tc>
      </w:tr>
      <w:tr w:rsidR="00502E1C" w:rsidRPr="00CD395A" w14:paraId="29411A96" w14:textId="77777777" w:rsidTr="00A354EC">
        <w:trPr>
          <w:trHeight w:val="2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2C214BAE" w14:textId="77777777" w:rsidR="00502E1C" w:rsidRPr="00FA2BD7" w:rsidRDefault="00502E1C" w:rsidP="00502E1C">
            <w:pPr>
              <w:spacing w:after="0" w:line="240" w:lineRule="auto"/>
              <w:rPr>
                <w:rFonts w:ascii="Arial" w:eastAsia="Times New Roman" w:hAnsi="Arial" w:cs="Arial"/>
                <w:sz w:val="20"/>
                <w:szCs w:val="20"/>
                <w:lang w:eastAsia="pl-PL"/>
              </w:rPr>
            </w:pPr>
            <w:r w:rsidRPr="00FA2BD7">
              <w:rPr>
                <w:rFonts w:ascii="Arial" w:eastAsia="Times New Roman" w:hAnsi="Arial" w:cs="Arial"/>
                <w:sz w:val="20"/>
                <w:szCs w:val="20"/>
                <w:lang w:eastAsia="pl-PL"/>
              </w:rPr>
              <w:t>Grupa 1 – substancje o niskim ryzyku</w:t>
            </w:r>
          </w:p>
        </w:tc>
        <w:tc>
          <w:tcPr>
            <w:tcW w:w="886" w:type="pct"/>
            <w:tcBorders>
              <w:top w:val="single" w:sz="4" w:space="0" w:color="000000"/>
              <w:left w:val="single" w:sz="4" w:space="0" w:color="000000"/>
              <w:bottom w:val="single" w:sz="4" w:space="0" w:color="000000"/>
              <w:right w:val="single" w:sz="4" w:space="0" w:color="000000"/>
            </w:tcBorders>
            <w:vAlign w:val="center"/>
          </w:tcPr>
          <w:p w14:paraId="1461126D"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12,86</w:t>
            </w:r>
          </w:p>
        </w:tc>
        <w:tc>
          <w:tcPr>
            <w:tcW w:w="886" w:type="pct"/>
            <w:tcBorders>
              <w:top w:val="single" w:sz="4" w:space="0" w:color="000000"/>
              <w:left w:val="single" w:sz="4" w:space="0" w:color="000000"/>
              <w:bottom w:val="single" w:sz="4" w:space="0" w:color="000000"/>
              <w:right w:val="single" w:sz="4" w:space="0" w:color="000000"/>
            </w:tcBorders>
            <w:vAlign w:val="center"/>
          </w:tcPr>
          <w:p w14:paraId="6B0CAC9F"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0,05%</w:t>
            </w:r>
          </w:p>
        </w:tc>
        <w:tc>
          <w:tcPr>
            <w:tcW w:w="885" w:type="pct"/>
            <w:tcBorders>
              <w:top w:val="single" w:sz="4" w:space="0" w:color="000000"/>
              <w:left w:val="single" w:sz="4" w:space="0" w:color="000000"/>
              <w:bottom w:val="single" w:sz="4" w:space="0" w:color="000000"/>
              <w:right w:val="single" w:sz="4" w:space="0" w:color="000000"/>
            </w:tcBorders>
            <w:vAlign w:val="center"/>
          </w:tcPr>
          <w:p w14:paraId="60474579"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0,005%</w:t>
            </w:r>
          </w:p>
        </w:tc>
      </w:tr>
      <w:tr w:rsidR="00502E1C" w:rsidRPr="00CD395A" w14:paraId="3A7C0475" w14:textId="77777777" w:rsidTr="00A354EC">
        <w:trPr>
          <w:trHeight w:val="2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41A5A7FC" w14:textId="77777777" w:rsidR="00502E1C" w:rsidRPr="00FA2BD7" w:rsidRDefault="00502E1C" w:rsidP="00502E1C">
            <w:pPr>
              <w:spacing w:after="0" w:line="240" w:lineRule="auto"/>
              <w:rPr>
                <w:rFonts w:ascii="Arial" w:eastAsia="Times New Roman" w:hAnsi="Arial" w:cs="Arial"/>
                <w:sz w:val="20"/>
                <w:szCs w:val="20"/>
                <w:lang w:eastAsia="pl-PL"/>
              </w:rPr>
            </w:pPr>
            <w:r w:rsidRPr="00FA2BD7">
              <w:rPr>
                <w:rFonts w:ascii="Arial" w:eastAsia="Times New Roman" w:hAnsi="Arial" w:cs="Arial"/>
                <w:sz w:val="20"/>
                <w:szCs w:val="20"/>
                <w:lang w:eastAsia="pl-PL"/>
              </w:rPr>
              <w:t>Grupa 2 – substancje dopuszczone</w:t>
            </w:r>
          </w:p>
          <w:p w14:paraId="0B2A50EE" w14:textId="77777777" w:rsidR="00502E1C" w:rsidRPr="00FA2BD7" w:rsidRDefault="00502E1C" w:rsidP="00502E1C">
            <w:pPr>
              <w:spacing w:after="0" w:line="240" w:lineRule="auto"/>
              <w:rPr>
                <w:rFonts w:ascii="Arial" w:eastAsia="Times New Roman" w:hAnsi="Arial" w:cs="Arial"/>
                <w:sz w:val="20"/>
                <w:szCs w:val="20"/>
                <w:lang w:eastAsia="pl-PL"/>
              </w:rPr>
            </w:pPr>
            <w:r w:rsidRPr="00FA2BD7">
              <w:rPr>
                <w:rFonts w:ascii="Arial" w:eastAsia="Times New Roman" w:hAnsi="Arial" w:cs="Arial"/>
                <w:sz w:val="20"/>
                <w:szCs w:val="20"/>
                <w:lang w:eastAsia="pl-PL"/>
              </w:rPr>
              <w:t>– inne niż w grupie 1 i 3</w:t>
            </w:r>
          </w:p>
        </w:tc>
        <w:tc>
          <w:tcPr>
            <w:tcW w:w="886" w:type="pct"/>
            <w:tcBorders>
              <w:top w:val="single" w:sz="4" w:space="0" w:color="000000"/>
              <w:left w:val="single" w:sz="4" w:space="0" w:color="000000"/>
              <w:bottom w:val="single" w:sz="4" w:space="0" w:color="000000"/>
              <w:right w:val="single" w:sz="4" w:space="0" w:color="000000"/>
            </w:tcBorders>
            <w:vAlign w:val="center"/>
          </w:tcPr>
          <w:p w14:paraId="716F80E4"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20 667,78</w:t>
            </w:r>
          </w:p>
        </w:tc>
        <w:tc>
          <w:tcPr>
            <w:tcW w:w="886" w:type="pct"/>
            <w:tcBorders>
              <w:top w:val="single" w:sz="4" w:space="0" w:color="000000"/>
              <w:left w:val="single" w:sz="4" w:space="0" w:color="000000"/>
              <w:bottom w:val="single" w:sz="4" w:space="0" w:color="000000"/>
              <w:right w:val="single" w:sz="4" w:space="0" w:color="000000"/>
            </w:tcBorders>
            <w:vAlign w:val="center"/>
          </w:tcPr>
          <w:p w14:paraId="5DB0A123"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76,62%</w:t>
            </w:r>
          </w:p>
        </w:tc>
        <w:tc>
          <w:tcPr>
            <w:tcW w:w="885" w:type="pct"/>
            <w:tcBorders>
              <w:top w:val="single" w:sz="4" w:space="0" w:color="000000"/>
              <w:left w:val="single" w:sz="4" w:space="0" w:color="000000"/>
              <w:bottom w:val="single" w:sz="4" w:space="0" w:color="000000"/>
              <w:right w:val="single" w:sz="4" w:space="0" w:color="000000"/>
            </w:tcBorders>
            <w:vAlign w:val="center"/>
          </w:tcPr>
          <w:p w14:paraId="5C22B4B9"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62,08%</w:t>
            </w:r>
          </w:p>
        </w:tc>
      </w:tr>
      <w:tr w:rsidR="00502E1C" w:rsidRPr="00CD395A" w14:paraId="2138233D" w14:textId="77777777" w:rsidTr="00A354EC">
        <w:trPr>
          <w:trHeight w:val="2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42C3E1E2" w14:textId="77777777" w:rsidR="00502E1C" w:rsidRPr="00FA2BD7" w:rsidRDefault="00502E1C" w:rsidP="00502E1C">
            <w:pPr>
              <w:spacing w:after="0" w:line="240" w:lineRule="auto"/>
              <w:rPr>
                <w:rFonts w:ascii="Arial" w:eastAsia="Times New Roman" w:hAnsi="Arial" w:cs="Arial"/>
                <w:sz w:val="20"/>
                <w:szCs w:val="20"/>
                <w:lang w:eastAsia="pl-PL"/>
              </w:rPr>
            </w:pPr>
            <w:r w:rsidRPr="00FA2BD7">
              <w:rPr>
                <w:rFonts w:ascii="Arial" w:eastAsia="Times New Roman" w:hAnsi="Arial" w:cs="Arial"/>
                <w:sz w:val="20"/>
                <w:szCs w:val="20"/>
                <w:lang w:eastAsia="pl-PL"/>
              </w:rPr>
              <w:t>Grupa 3 – substancje kwalifikujące się do zastąpienia</w:t>
            </w:r>
          </w:p>
        </w:tc>
        <w:tc>
          <w:tcPr>
            <w:tcW w:w="886" w:type="pct"/>
            <w:tcBorders>
              <w:top w:val="single" w:sz="4" w:space="0" w:color="000000"/>
              <w:left w:val="single" w:sz="4" w:space="0" w:color="000000"/>
              <w:bottom w:val="single" w:sz="4" w:space="0" w:color="000000"/>
              <w:right w:val="single" w:sz="4" w:space="0" w:color="000000"/>
            </w:tcBorders>
            <w:vAlign w:val="center"/>
          </w:tcPr>
          <w:p w14:paraId="6FBD6BB9"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6 285,32</w:t>
            </w:r>
          </w:p>
        </w:tc>
        <w:tc>
          <w:tcPr>
            <w:tcW w:w="886" w:type="pct"/>
            <w:tcBorders>
              <w:top w:val="single" w:sz="4" w:space="0" w:color="000000"/>
              <w:left w:val="single" w:sz="4" w:space="0" w:color="000000"/>
              <w:bottom w:val="single" w:sz="4" w:space="0" w:color="000000"/>
              <w:right w:val="single" w:sz="4" w:space="0" w:color="000000"/>
            </w:tcBorders>
            <w:vAlign w:val="center"/>
          </w:tcPr>
          <w:p w14:paraId="50DA8321"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23,30%</w:t>
            </w:r>
          </w:p>
        </w:tc>
        <w:tc>
          <w:tcPr>
            <w:tcW w:w="885" w:type="pct"/>
            <w:tcBorders>
              <w:top w:val="single" w:sz="4" w:space="0" w:color="000000"/>
              <w:left w:val="single" w:sz="4" w:space="0" w:color="000000"/>
              <w:bottom w:val="single" w:sz="4" w:space="0" w:color="000000"/>
              <w:right w:val="single" w:sz="4" w:space="0" w:color="000000"/>
            </w:tcBorders>
            <w:vAlign w:val="center"/>
          </w:tcPr>
          <w:p w14:paraId="69E56A9E"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37,76%</w:t>
            </w:r>
          </w:p>
        </w:tc>
      </w:tr>
      <w:tr w:rsidR="00502E1C" w:rsidRPr="00CD395A" w14:paraId="2F8A774F" w14:textId="77777777" w:rsidTr="00A354EC">
        <w:trPr>
          <w:trHeight w:val="2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01ACADF6" w14:textId="77777777" w:rsidR="00502E1C" w:rsidRPr="00FA2BD7" w:rsidRDefault="00502E1C" w:rsidP="00502E1C">
            <w:pPr>
              <w:spacing w:after="0" w:line="240" w:lineRule="auto"/>
              <w:rPr>
                <w:rFonts w:ascii="Arial" w:eastAsia="Times New Roman" w:hAnsi="Arial" w:cs="Arial"/>
                <w:sz w:val="20"/>
                <w:szCs w:val="20"/>
                <w:lang w:eastAsia="pl-PL"/>
              </w:rPr>
            </w:pPr>
            <w:r w:rsidRPr="00FA2BD7">
              <w:rPr>
                <w:rFonts w:ascii="Arial" w:eastAsia="Times New Roman" w:hAnsi="Arial" w:cs="Arial"/>
                <w:sz w:val="20"/>
                <w:szCs w:val="20"/>
                <w:lang w:val="en-GB" w:eastAsia="pl-PL"/>
              </w:rPr>
              <w:t>Gr</w:t>
            </w:r>
            <w:r w:rsidRPr="00FA2BD7">
              <w:rPr>
                <w:rFonts w:ascii="Arial" w:eastAsia="Times New Roman" w:hAnsi="Arial" w:cs="Arial"/>
                <w:sz w:val="20"/>
                <w:szCs w:val="20"/>
                <w:lang w:eastAsia="pl-PL"/>
              </w:rPr>
              <w:t>u</w:t>
            </w:r>
            <w:r w:rsidRPr="00FA2BD7">
              <w:rPr>
                <w:rFonts w:ascii="Arial" w:eastAsia="Times New Roman" w:hAnsi="Arial" w:cs="Arial"/>
                <w:sz w:val="20"/>
                <w:szCs w:val="20"/>
                <w:lang w:val="en-GB" w:eastAsia="pl-PL"/>
              </w:rPr>
              <w:t>p</w:t>
            </w:r>
            <w:r w:rsidRPr="00FA2BD7">
              <w:rPr>
                <w:rFonts w:ascii="Arial" w:eastAsia="Times New Roman" w:hAnsi="Arial" w:cs="Arial"/>
                <w:sz w:val="20"/>
                <w:szCs w:val="20"/>
                <w:lang w:eastAsia="pl-PL"/>
              </w:rPr>
              <w:t>a</w:t>
            </w:r>
            <w:r w:rsidRPr="00FA2BD7">
              <w:rPr>
                <w:rFonts w:ascii="Arial" w:eastAsia="Times New Roman" w:hAnsi="Arial" w:cs="Arial"/>
                <w:sz w:val="20"/>
                <w:szCs w:val="20"/>
                <w:lang w:val="en-GB" w:eastAsia="pl-PL"/>
              </w:rPr>
              <w:t xml:space="preserve"> 4 – </w:t>
            </w:r>
            <w:r w:rsidRPr="00FA2BD7">
              <w:rPr>
                <w:rFonts w:ascii="Arial" w:eastAsia="Times New Roman" w:hAnsi="Arial" w:cs="Arial"/>
                <w:sz w:val="20"/>
                <w:szCs w:val="20"/>
                <w:lang w:eastAsia="pl-PL"/>
              </w:rPr>
              <w:t>substancje niedopuszczone</w:t>
            </w:r>
          </w:p>
        </w:tc>
        <w:tc>
          <w:tcPr>
            <w:tcW w:w="886" w:type="pct"/>
            <w:tcBorders>
              <w:top w:val="single" w:sz="4" w:space="0" w:color="000000"/>
              <w:left w:val="single" w:sz="4" w:space="0" w:color="000000"/>
              <w:bottom w:val="single" w:sz="4" w:space="0" w:color="000000"/>
              <w:right w:val="single" w:sz="4" w:space="0" w:color="000000"/>
            </w:tcBorders>
            <w:vAlign w:val="center"/>
          </w:tcPr>
          <w:p w14:paraId="589A5ED4"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6,73</w:t>
            </w:r>
          </w:p>
        </w:tc>
        <w:tc>
          <w:tcPr>
            <w:tcW w:w="886" w:type="pct"/>
            <w:tcBorders>
              <w:top w:val="single" w:sz="4" w:space="0" w:color="000000"/>
              <w:left w:val="single" w:sz="4" w:space="0" w:color="000000"/>
              <w:bottom w:val="single" w:sz="4" w:space="0" w:color="000000"/>
              <w:right w:val="single" w:sz="4" w:space="0" w:color="000000"/>
            </w:tcBorders>
            <w:vAlign w:val="center"/>
          </w:tcPr>
          <w:p w14:paraId="3534C828"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0,02%</w:t>
            </w:r>
          </w:p>
        </w:tc>
        <w:tc>
          <w:tcPr>
            <w:tcW w:w="885" w:type="pct"/>
            <w:tcBorders>
              <w:top w:val="single" w:sz="4" w:space="0" w:color="000000"/>
              <w:left w:val="single" w:sz="4" w:space="0" w:color="000000"/>
              <w:bottom w:val="single" w:sz="4" w:space="0" w:color="000000"/>
              <w:right w:val="single" w:sz="4" w:space="0" w:color="000000"/>
            </w:tcBorders>
            <w:vAlign w:val="center"/>
          </w:tcPr>
          <w:p w14:paraId="44EF688B"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0,16%</w:t>
            </w:r>
          </w:p>
        </w:tc>
      </w:tr>
      <w:tr w:rsidR="00502E1C" w:rsidRPr="00CD395A" w14:paraId="5DA7C40E" w14:textId="77777777" w:rsidTr="00A354EC">
        <w:trPr>
          <w:trHeight w:val="2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6E0FF13B" w14:textId="77777777" w:rsidR="00502E1C" w:rsidRPr="00FA2BD7" w:rsidRDefault="00502E1C" w:rsidP="00502E1C">
            <w:pPr>
              <w:spacing w:after="0" w:line="240" w:lineRule="auto"/>
              <w:rPr>
                <w:rFonts w:ascii="Arial" w:eastAsia="Times New Roman" w:hAnsi="Arial" w:cs="Arial"/>
                <w:sz w:val="20"/>
                <w:szCs w:val="20"/>
                <w:lang w:eastAsia="pl-PL"/>
              </w:rPr>
            </w:pPr>
            <w:r w:rsidRPr="00FA2BD7">
              <w:rPr>
                <w:rFonts w:ascii="Arial" w:eastAsia="Times New Roman" w:hAnsi="Arial" w:cs="Arial"/>
                <w:bCs/>
                <w:sz w:val="20"/>
                <w:szCs w:val="20"/>
                <w:lang w:eastAsia="pl-PL"/>
              </w:rPr>
              <w:t>Suma</w:t>
            </w:r>
          </w:p>
        </w:tc>
        <w:tc>
          <w:tcPr>
            <w:tcW w:w="886" w:type="pct"/>
            <w:tcBorders>
              <w:top w:val="single" w:sz="4" w:space="0" w:color="000000"/>
              <w:left w:val="single" w:sz="4" w:space="0" w:color="000000"/>
              <w:bottom w:val="single" w:sz="4" w:space="0" w:color="000000"/>
              <w:right w:val="single" w:sz="4" w:space="0" w:color="000000"/>
            </w:tcBorders>
            <w:vAlign w:val="bottom"/>
          </w:tcPr>
          <w:p w14:paraId="74A654F9"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26 972,68</w:t>
            </w:r>
          </w:p>
        </w:tc>
        <w:tc>
          <w:tcPr>
            <w:tcW w:w="886" w:type="pct"/>
            <w:tcBorders>
              <w:top w:val="single" w:sz="4" w:space="0" w:color="000000"/>
              <w:left w:val="single" w:sz="4" w:space="0" w:color="000000"/>
              <w:bottom w:val="single" w:sz="4" w:space="0" w:color="000000"/>
              <w:right w:val="single" w:sz="4" w:space="0" w:color="000000"/>
            </w:tcBorders>
            <w:vAlign w:val="bottom"/>
          </w:tcPr>
          <w:p w14:paraId="2C16CE11"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100%</w:t>
            </w:r>
          </w:p>
        </w:tc>
        <w:tc>
          <w:tcPr>
            <w:tcW w:w="885" w:type="pct"/>
            <w:tcBorders>
              <w:top w:val="single" w:sz="4" w:space="0" w:color="000000"/>
              <w:left w:val="single" w:sz="4" w:space="0" w:color="000000"/>
              <w:bottom w:val="single" w:sz="4" w:space="0" w:color="000000"/>
              <w:right w:val="single" w:sz="4" w:space="0" w:color="000000"/>
            </w:tcBorders>
            <w:vAlign w:val="center"/>
          </w:tcPr>
          <w:p w14:paraId="01EC3487"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bCs/>
                <w:sz w:val="20"/>
                <w:szCs w:val="20"/>
                <w:lang w:eastAsia="pl-PL"/>
              </w:rPr>
              <w:t>100%</w:t>
            </w:r>
          </w:p>
        </w:tc>
      </w:tr>
    </w:tbl>
    <w:p w14:paraId="081942F4" w14:textId="77777777" w:rsidR="00502E1C" w:rsidRPr="00CD395A" w:rsidRDefault="00502E1C" w:rsidP="00502E1C">
      <w:pPr>
        <w:spacing w:after="160"/>
        <w:ind w:firstLine="708"/>
        <w:jc w:val="both"/>
        <w:rPr>
          <w:rFonts w:ascii="Times New Roman" w:eastAsia="Times New Roman" w:hAnsi="Times New Roman" w:cs="Times New Roman"/>
          <w:sz w:val="24"/>
          <w:szCs w:val="24"/>
          <w:lang w:eastAsia="pl-PL"/>
        </w:rPr>
      </w:pPr>
      <w:r w:rsidRPr="00CD395A">
        <w:rPr>
          <w:rFonts w:ascii="Times New Roman" w:eastAsia="Times New Roman" w:hAnsi="Times New Roman" w:cs="Times New Roman"/>
          <w:sz w:val="24"/>
          <w:szCs w:val="24"/>
          <w:lang w:eastAsia="pl-PL"/>
        </w:rPr>
        <w:t xml:space="preserve">W tabeli 17 zestawiono wartości sprzedaży substancji czynnych i wyliczone wartości wskaźnika HRI1 dla lat 2020 i 2021. </w:t>
      </w:r>
    </w:p>
    <w:p w14:paraId="4C2A4A67" w14:textId="77777777" w:rsidR="00502E1C" w:rsidRPr="005347D4" w:rsidRDefault="00502E1C" w:rsidP="005347D4">
      <w:pPr>
        <w:spacing w:before="120" w:after="120" w:line="240" w:lineRule="auto"/>
        <w:ind w:left="993" w:hanging="993"/>
        <w:jc w:val="center"/>
        <w:rPr>
          <w:rFonts w:ascii="Arial" w:eastAsia="Times New Roman" w:hAnsi="Arial" w:cs="Arial"/>
          <w:i/>
          <w:sz w:val="20"/>
          <w:szCs w:val="20"/>
          <w:lang w:eastAsia="pl-PL"/>
        </w:rPr>
      </w:pPr>
      <w:r w:rsidRPr="005347D4">
        <w:rPr>
          <w:rFonts w:ascii="Arial" w:eastAsia="Times New Roman" w:hAnsi="Arial" w:cs="Arial"/>
          <w:i/>
          <w:sz w:val="20"/>
          <w:szCs w:val="20"/>
          <w:lang w:eastAsia="pl-PL"/>
        </w:rPr>
        <w:t>Tabela 17. Sprzedaż substancji czynnych i wskaźnik HRI1 w latach 2020-2021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20" w:firstRow="1" w:lastRow="0" w:firstColumn="0" w:lastColumn="0" w:noHBand="0" w:noVBand="1"/>
      </w:tblPr>
      <w:tblGrid>
        <w:gridCol w:w="2376"/>
        <w:gridCol w:w="1772"/>
        <w:gridCol w:w="1772"/>
      </w:tblGrid>
      <w:tr w:rsidR="00502E1C" w:rsidRPr="00CD395A" w14:paraId="754C9281" w14:textId="77777777" w:rsidTr="00A354EC">
        <w:trPr>
          <w:trHeight w:val="283"/>
          <w:jc w:val="center"/>
        </w:trPr>
        <w:tc>
          <w:tcPr>
            <w:tcW w:w="2376" w:type="dxa"/>
            <w:shd w:val="clear" w:color="auto" w:fill="auto"/>
            <w:vAlign w:val="center"/>
            <w:hideMark/>
          </w:tcPr>
          <w:p w14:paraId="0D75415D"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Rok sprzedaży</w:t>
            </w:r>
          </w:p>
        </w:tc>
        <w:tc>
          <w:tcPr>
            <w:tcW w:w="1772" w:type="dxa"/>
            <w:shd w:val="clear" w:color="auto" w:fill="auto"/>
            <w:vAlign w:val="center"/>
            <w:hideMark/>
          </w:tcPr>
          <w:p w14:paraId="66594E7F"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Sprzedaż</w:t>
            </w:r>
          </w:p>
          <w:p w14:paraId="0B254371"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[w tonach]</w:t>
            </w:r>
          </w:p>
        </w:tc>
        <w:tc>
          <w:tcPr>
            <w:tcW w:w="1772" w:type="dxa"/>
            <w:shd w:val="clear" w:color="auto" w:fill="auto"/>
            <w:vAlign w:val="center"/>
            <w:hideMark/>
          </w:tcPr>
          <w:p w14:paraId="2F990FB5"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HRI1</w:t>
            </w:r>
          </w:p>
          <w:p w14:paraId="1DFC5B70"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(2011-2013)</w:t>
            </w:r>
          </w:p>
        </w:tc>
      </w:tr>
      <w:tr w:rsidR="00502E1C" w:rsidRPr="00CD395A" w14:paraId="23A24427" w14:textId="77777777" w:rsidTr="00A354EC">
        <w:trPr>
          <w:trHeight w:val="283"/>
          <w:jc w:val="center"/>
        </w:trPr>
        <w:tc>
          <w:tcPr>
            <w:tcW w:w="2376" w:type="dxa"/>
            <w:shd w:val="clear" w:color="auto" w:fill="auto"/>
            <w:vAlign w:val="center"/>
          </w:tcPr>
          <w:p w14:paraId="159D4F42"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2020</w:t>
            </w:r>
          </w:p>
        </w:tc>
        <w:tc>
          <w:tcPr>
            <w:tcW w:w="1772" w:type="dxa"/>
            <w:shd w:val="clear" w:color="auto" w:fill="auto"/>
            <w:vAlign w:val="center"/>
          </w:tcPr>
          <w:p w14:paraId="4EF65C23"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24628,0</w:t>
            </w:r>
          </w:p>
        </w:tc>
        <w:tc>
          <w:tcPr>
            <w:tcW w:w="1772" w:type="dxa"/>
            <w:shd w:val="clear" w:color="auto" w:fill="auto"/>
            <w:vAlign w:val="center"/>
          </w:tcPr>
          <w:p w14:paraId="5C39774A"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66,52</w:t>
            </w:r>
          </w:p>
        </w:tc>
      </w:tr>
      <w:tr w:rsidR="00502E1C" w:rsidRPr="00CD395A" w14:paraId="13C3B207" w14:textId="77777777" w:rsidTr="00A354EC">
        <w:trPr>
          <w:trHeight w:val="283"/>
          <w:jc w:val="center"/>
        </w:trPr>
        <w:tc>
          <w:tcPr>
            <w:tcW w:w="2376" w:type="dxa"/>
            <w:shd w:val="clear" w:color="auto" w:fill="auto"/>
            <w:vAlign w:val="center"/>
            <w:hideMark/>
          </w:tcPr>
          <w:p w14:paraId="231D3FB9"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2021</w:t>
            </w:r>
          </w:p>
        </w:tc>
        <w:tc>
          <w:tcPr>
            <w:tcW w:w="1772" w:type="dxa"/>
            <w:shd w:val="clear" w:color="auto" w:fill="auto"/>
            <w:vAlign w:val="center"/>
            <w:hideMark/>
          </w:tcPr>
          <w:p w14:paraId="34224E7C"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26972,7</w:t>
            </w:r>
          </w:p>
        </w:tc>
        <w:tc>
          <w:tcPr>
            <w:tcW w:w="1772" w:type="dxa"/>
            <w:shd w:val="clear" w:color="auto" w:fill="auto"/>
            <w:vAlign w:val="center"/>
            <w:hideMark/>
          </w:tcPr>
          <w:p w14:paraId="2329C051" w14:textId="77777777" w:rsidR="00502E1C" w:rsidRPr="00FA2BD7" w:rsidRDefault="00502E1C" w:rsidP="00502E1C">
            <w:pPr>
              <w:spacing w:after="0" w:line="240" w:lineRule="auto"/>
              <w:jc w:val="center"/>
              <w:rPr>
                <w:rFonts w:ascii="Arial" w:eastAsia="Times New Roman" w:hAnsi="Arial" w:cs="Arial"/>
                <w:sz w:val="20"/>
                <w:szCs w:val="20"/>
                <w:lang w:eastAsia="pl-PL"/>
              </w:rPr>
            </w:pPr>
            <w:r w:rsidRPr="00FA2BD7">
              <w:rPr>
                <w:rFonts w:ascii="Arial" w:eastAsia="Times New Roman" w:hAnsi="Arial" w:cs="Arial"/>
                <w:sz w:val="20"/>
                <w:szCs w:val="20"/>
                <w:lang w:eastAsia="pl-PL"/>
              </w:rPr>
              <w:t>66,57</w:t>
            </w:r>
          </w:p>
        </w:tc>
      </w:tr>
    </w:tbl>
    <w:p w14:paraId="55917EC6" w14:textId="77777777" w:rsidR="00502E1C" w:rsidRPr="00CD395A" w:rsidRDefault="00502E1C" w:rsidP="00502E1C">
      <w:pPr>
        <w:spacing w:after="160" w:line="259" w:lineRule="auto"/>
        <w:jc w:val="both"/>
        <w:rPr>
          <w:rFonts w:ascii="Times New Roman" w:eastAsia="Calibri" w:hAnsi="Times New Roman" w:cs="Times New Roman"/>
          <w:szCs w:val="21"/>
          <w:lang w:eastAsia="pl-PL"/>
        </w:rPr>
      </w:pPr>
    </w:p>
    <w:p w14:paraId="49B94FAA" w14:textId="14BF9C32" w:rsidR="00502E1C" w:rsidRPr="00CD395A" w:rsidRDefault="00502E1C" w:rsidP="00A354EC">
      <w:pPr>
        <w:pStyle w:val="NormalnyWeb"/>
        <w:tabs>
          <w:tab w:val="left" w:pos="284"/>
        </w:tabs>
        <w:spacing w:beforeAutospacing="0" w:after="120" w:afterAutospacing="0" w:line="360" w:lineRule="auto"/>
        <w:ind w:firstLine="284"/>
        <w:jc w:val="both"/>
        <w:rPr>
          <w:rFonts w:ascii="Arial" w:hAnsi="Arial" w:cs="Arial"/>
        </w:rPr>
      </w:pPr>
      <w:r w:rsidRPr="00CD395A">
        <w:rPr>
          <w:rFonts w:ascii="Arial" w:hAnsi="Arial" w:cs="Arial"/>
        </w:rPr>
        <w:t xml:space="preserve">Jak widać pomimo wzrostu sprzedaży pomiędzy rokiem 2021 i 2020 o 9,5% (2334,7 ton) wskaźnik HRI1 pozostaje na tym samym poziomie (67). Analizując sprzedaż ważoną można zauważyć, że udział wzrostu sprzedaży substancji w wartości wskaźnika HRI1 został zredukowany poprzez wycofanie ze sprzedaży i/lub zmniejszenie sprzedaży innych substancji. </w:t>
      </w:r>
      <w:r w:rsidR="009732A1">
        <w:rPr>
          <w:rFonts w:ascii="Arial" w:hAnsi="Arial" w:cs="Arial"/>
        </w:rPr>
        <w:t>M.in. w</w:t>
      </w:r>
      <w:r w:rsidRPr="00CD395A">
        <w:rPr>
          <w:rFonts w:ascii="Arial" w:hAnsi="Arial" w:cs="Arial"/>
        </w:rPr>
        <w:t xml:space="preserve">ycofanie substancji takich jak </w:t>
      </w:r>
      <w:proofErr w:type="spellStart"/>
      <w:r w:rsidRPr="00CD395A">
        <w:rPr>
          <w:rFonts w:ascii="Arial" w:hAnsi="Arial" w:cs="Arial"/>
        </w:rPr>
        <w:t>fenpropimorf</w:t>
      </w:r>
      <w:proofErr w:type="spellEnd"/>
      <w:r w:rsidRPr="00CD395A">
        <w:rPr>
          <w:rFonts w:ascii="Arial" w:hAnsi="Arial" w:cs="Arial"/>
        </w:rPr>
        <w:t xml:space="preserve">, </w:t>
      </w:r>
      <w:proofErr w:type="spellStart"/>
      <w:r w:rsidRPr="00CD395A">
        <w:rPr>
          <w:rFonts w:ascii="Arial" w:hAnsi="Arial" w:cs="Arial"/>
        </w:rPr>
        <w:t>epoksykonazol</w:t>
      </w:r>
      <w:proofErr w:type="spellEnd"/>
      <w:r w:rsidRPr="00CD395A">
        <w:rPr>
          <w:rFonts w:ascii="Arial" w:hAnsi="Arial" w:cs="Arial"/>
        </w:rPr>
        <w:t xml:space="preserve">, </w:t>
      </w:r>
      <w:proofErr w:type="spellStart"/>
      <w:r w:rsidRPr="00CD395A">
        <w:rPr>
          <w:rFonts w:ascii="Arial" w:hAnsi="Arial" w:cs="Arial"/>
        </w:rPr>
        <w:t>tiaklopryd</w:t>
      </w:r>
      <w:proofErr w:type="spellEnd"/>
      <w:r w:rsidRPr="00CD395A">
        <w:rPr>
          <w:rFonts w:ascii="Arial" w:hAnsi="Arial" w:cs="Arial"/>
        </w:rPr>
        <w:t xml:space="preserve"> zmniejsza sprzedaż ważoną co powoduje prawie identyczną wartość wskaźnika HRI1 w latach 2020-2021.</w:t>
      </w:r>
    </w:p>
    <w:p w14:paraId="2C69CFB2" w14:textId="77777777" w:rsidR="00502E1C" w:rsidRPr="00CD395A" w:rsidRDefault="00502E1C" w:rsidP="00502E1C">
      <w:pPr>
        <w:spacing w:after="160"/>
        <w:jc w:val="both"/>
        <w:rPr>
          <w:rFonts w:ascii="Times New Roman" w:eastAsia="Times New Roman" w:hAnsi="Times New Roman" w:cs="Times New Roman"/>
          <w:b/>
          <w:sz w:val="24"/>
          <w:szCs w:val="24"/>
          <w:lang w:eastAsia="pl-PL"/>
        </w:rPr>
      </w:pPr>
      <w:r w:rsidRPr="00CD395A">
        <w:rPr>
          <w:rFonts w:ascii="Times New Roman" w:eastAsia="Times New Roman" w:hAnsi="Times New Roman" w:cs="Times New Roman"/>
          <w:b/>
          <w:sz w:val="24"/>
          <w:szCs w:val="24"/>
          <w:lang w:eastAsia="pl-PL"/>
        </w:rPr>
        <w:t>5.4. Sprzedaż substancji czynnych kwalifikujących się do zastąpienia – wskaźnik F2F 2</w:t>
      </w:r>
    </w:p>
    <w:p w14:paraId="72519A41" w14:textId="291E68C2" w:rsidR="002918E0" w:rsidRDefault="00502E1C" w:rsidP="005347D4">
      <w:pPr>
        <w:pStyle w:val="NormalnyWeb"/>
        <w:tabs>
          <w:tab w:val="left" w:pos="284"/>
        </w:tabs>
        <w:spacing w:beforeAutospacing="0" w:after="120" w:afterAutospacing="0" w:line="360" w:lineRule="auto"/>
        <w:ind w:firstLine="284"/>
        <w:jc w:val="both"/>
        <w:rPr>
          <w:rFonts w:ascii="Arial" w:hAnsi="Arial" w:cs="Arial"/>
        </w:rPr>
      </w:pPr>
      <w:r w:rsidRPr="005347D4">
        <w:rPr>
          <w:rFonts w:ascii="Arial" w:hAnsi="Arial" w:cs="Arial"/>
        </w:rPr>
        <w:t xml:space="preserve">Substancje czynne kwalifikujące się do zastąpienia w latach 2015–2017 stanowią zestaw bazowy substancji używany do obliczeń wskaźnika Farm to </w:t>
      </w:r>
      <w:proofErr w:type="spellStart"/>
      <w:r w:rsidRPr="005347D4">
        <w:rPr>
          <w:rFonts w:ascii="Arial" w:hAnsi="Arial" w:cs="Arial"/>
        </w:rPr>
        <w:t>Fork</w:t>
      </w:r>
      <w:proofErr w:type="spellEnd"/>
      <w:r w:rsidRPr="005347D4">
        <w:rPr>
          <w:rFonts w:ascii="Arial" w:hAnsi="Arial" w:cs="Arial"/>
        </w:rPr>
        <w:t xml:space="preserve"> 2 (F2F 2). Od 2018 </w:t>
      </w:r>
      <w:r w:rsidR="000D3601">
        <w:rPr>
          <w:rFonts w:ascii="Arial" w:hAnsi="Arial" w:cs="Arial"/>
        </w:rPr>
        <w:t xml:space="preserve">r. </w:t>
      </w:r>
      <w:r w:rsidRPr="005347D4">
        <w:rPr>
          <w:rFonts w:ascii="Arial" w:hAnsi="Arial" w:cs="Arial"/>
        </w:rPr>
        <w:t xml:space="preserve">można zaobserwować rosnący trend w wielkości sprzedaży tych substancji (rysunek 5). </w:t>
      </w:r>
    </w:p>
    <w:p w14:paraId="0EA5918D" w14:textId="77777777" w:rsidR="002918E0" w:rsidRDefault="002918E0">
      <w:pPr>
        <w:spacing w:after="0" w:line="240" w:lineRule="auto"/>
        <w:rPr>
          <w:rFonts w:ascii="Arial" w:eastAsia="Times New Roman" w:hAnsi="Arial" w:cs="Arial"/>
          <w:sz w:val="20"/>
          <w:szCs w:val="20"/>
          <w:lang w:eastAsia="pl-PL"/>
        </w:rPr>
      </w:pPr>
      <w:r>
        <w:rPr>
          <w:rFonts w:ascii="Arial" w:hAnsi="Arial" w:cs="Arial"/>
        </w:rPr>
        <w:br w:type="page"/>
      </w:r>
    </w:p>
    <w:p w14:paraId="29908A82" w14:textId="77777777" w:rsidR="00502E1C" w:rsidRPr="005347D4" w:rsidRDefault="00502E1C" w:rsidP="005347D4">
      <w:pPr>
        <w:pStyle w:val="NormalnyWeb"/>
        <w:tabs>
          <w:tab w:val="left" w:pos="284"/>
        </w:tabs>
        <w:spacing w:beforeAutospacing="0" w:after="120" w:afterAutospacing="0" w:line="360" w:lineRule="auto"/>
        <w:ind w:firstLine="284"/>
        <w:jc w:val="both"/>
        <w:rPr>
          <w:rFonts w:ascii="Arial" w:hAnsi="Arial" w:cs="Arial"/>
        </w:rPr>
      </w:pPr>
    </w:p>
    <w:p w14:paraId="3F97B177" w14:textId="77777777" w:rsidR="00502E1C" w:rsidRPr="00CD395A" w:rsidRDefault="00502E1C" w:rsidP="00FA2BD7">
      <w:pPr>
        <w:spacing w:before="120" w:after="100" w:afterAutospacing="1" w:line="240" w:lineRule="auto"/>
        <w:ind w:left="993" w:hanging="993"/>
        <w:rPr>
          <w:rFonts w:ascii="Times New Roman" w:eastAsia="Times New Roman" w:hAnsi="Times New Roman" w:cs="Times New Roman"/>
          <w:i/>
          <w:sz w:val="24"/>
          <w:szCs w:val="21"/>
          <w:lang w:eastAsia="pl-PL"/>
        </w:rPr>
      </w:pPr>
      <w:r w:rsidRPr="00CD395A">
        <w:rPr>
          <w:rFonts w:ascii="Times New Roman" w:eastAsia="Times New Roman" w:hAnsi="Times New Roman" w:cs="Times New Roman"/>
          <w:i/>
          <w:sz w:val="24"/>
          <w:szCs w:val="21"/>
          <w:lang w:eastAsia="pl-PL"/>
        </w:rPr>
        <w:t>Rys. 5. Sprzedaż substancji czynnych kwalifikujących się do zastąpienia – zestaw z lat 2015-2017 (w tys.kg)</w:t>
      </w:r>
    </w:p>
    <w:p w14:paraId="397FF3D4" w14:textId="39086C9E" w:rsidR="00502E1C" w:rsidRPr="00CD395A" w:rsidRDefault="00502E1C" w:rsidP="00502E1C">
      <w:pPr>
        <w:shd w:val="clear" w:color="auto" w:fill="FFFFFF"/>
        <w:spacing w:after="120"/>
        <w:jc w:val="center"/>
        <w:textAlignment w:val="baseline"/>
        <w:rPr>
          <w:rFonts w:ascii="Times New Roman" w:eastAsia="Times New Roman" w:hAnsi="Times New Roman" w:cs="Times New Roman"/>
          <w:color w:val="1B1B1B"/>
          <w:sz w:val="24"/>
          <w:szCs w:val="21"/>
          <w:lang w:eastAsia="pl-PL"/>
        </w:rPr>
      </w:pPr>
      <w:r w:rsidRPr="00CD395A">
        <w:rPr>
          <w:rFonts w:ascii="Times New Roman" w:eastAsia="Times New Roman" w:hAnsi="Times New Roman" w:cs="Times New Roman"/>
          <w:noProof/>
          <w:sz w:val="24"/>
          <w:szCs w:val="21"/>
          <w:lang w:eastAsia="pl-PL"/>
        </w:rPr>
        <w:drawing>
          <wp:inline distT="0" distB="0" distL="0" distR="0" wp14:anchorId="4458A32D" wp14:editId="3DC7E77D">
            <wp:extent cx="5251450" cy="2743200"/>
            <wp:effectExtent l="0" t="0" r="6350" b="0"/>
            <wp:docPr id="31" name="Wykres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CB9DE6F" w14:textId="1978C40D" w:rsidR="00502E1C" w:rsidRPr="005347D4" w:rsidRDefault="00502E1C" w:rsidP="005347D4">
      <w:pPr>
        <w:pStyle w:val="NormalnyWeb"/>
        <w:tabs>
          <w:tab w:val="left" w:pos="284"/>
        </w:tabs>
        <w:spacing w:beforeAutospacing="0" w:after="120" w:afterAutospacing="0" w:line="360" w:lineRule="auto"/>
        <w:ind w:firstLine="284"/>
        <w:jc w:val="both"/>
        <w:rPr>
          <w:rFonts w:ascii="Arial" w:hAnsi="Arial" w:cs="Arial"/>
        </w:rPr>
      </w:pPr>
      <w:r w:rsidRPr="005347D4">
        <w:rPr>
          <w:rFonts w:ascii="Arial" w:hAnsi="Arial" w:cs="Arial"/>
        </w:rPr>
        <w:t>W 2020</w:t>
      </w:r>
      <w:r w:rsidR="005347D4">
        <w:rPr>
          <w:rFonts w:ascii="Arial" w:hAnsi="Arial" w:cs="Arial"/>
        </w:rPr>
        <w:t xml:space="preserve"> r.</w:t>
      </w:r>
      <w:r w:rsidRPr="005347D4">
        <w:rPr>
          <w:rFonts w:ascii="Arial" w:hAnsi="Arial" w:cs="Arial"/>
        </w:rPr>
        <w:t xml:space="preserve"> było to 5</w:t>
      </w:r>
      <w:r w:rsidR="000D3601">
        <w:rPr>
          <w:rFonts w:ascii="Arial" w:hAnsi="Arial" w:cs="Arial"/>
        </w:rPr>
        <w:t xml:space="preserve"> </w:t>
      </w:r>
      <w:r w:rsidRPr="005347D4">
        <w:rPr>
          <w:rFonts w:ascii="Arial" w:hAnsi="Arial" w:cs="Arial"/>
        </w:rPr>
        <w:t xml:space="preserve">370 ton, a w 2021 </w:t>
      </w:r>
      <w:r w:rsidR="000D3601">
        <w:rPr>
          <w:rFonts w:ascii="Arial" w:hAnsi="Arial" w:cs="Arial"/>
        </w:rPr>
        <w:t xml:space="preserve">r. </w:t>
      </w:r>
      <w:r w:rsidRPr="005347D4">
        <w:rPr>
          <w:rFonts w:ascii="Arial" w:hAnsi="Arial" w:cs="Arial"/>
        </w:rPr>
        <w:t xml:space="preserve">sprzedaż substancji z tej grupy wzrosła do 6264 ton. Udział w całości sprzedaży substancji czynnych w Polsce również jest większy i wynosi 23,3% (21,8% w roku 2020). </w:t>
      </w:r>
    </w:p>
    <w:p w14:paraId="0197410A" w14:textId="77777777" w:rsidR="00502E1C" w:rsidRPr="005347D4" w:rsidRDefault="00502E1C" w:rsidP="005347D4">
      <w:pPr>
        <w:pStyle w:val="NormalnyWeb"/>
        <w:tabs>
          <w:tab w:val="left" w:pos="284"/>
        </w:tabs>
        <w:spacing w:beforeAutospacing="0" w:after="120" w:afterAutospacing="0" w:line="360" w:lineRule="auto"/>
        <w:ind w:firstLine="284"/>
        <w:jc w:val="both"/>
        <w:rPr>
          <w:rFonts w:ascii="Arial" w:hAnsi="Arial" w:cs="Arial"/>
        </w:rPr>
      </w:pPr>
      <w:r w:rsidRPr="005347D4">
        <w:rPr>
          <w:rFonts w:ascii="Arial" w:hAnsi="Arial" w:cs="Arial"/>
        </w:rPr>
        <w:t>Można jednak zakładać, że substancje z grupy kwalifikującej się do zastąpienia będą w kolejnych latach sukcesywnie wycofywane z obrotu i w przyszłości ich sprzedaż znacząco spadnie.</w:t>
      </w:r>
    </w:p>
    <w:p w14:paraId="7262ACAC" w14:textId="77777777" w:rsidR="00502E1C" w:rsidRPr="00CD395A" w:rsidRDefault="00502E1C" w:rsidP="00502E1C">
      <w:pPr>
        <w:spacing w:after="160"/>
        <w:jc w:val="both"/>
        <w:rPr>
          <w:rFonts w:ascii="Times New Roman" w:eastAsia="Times New Roman" w:hAnsi="Times New Roman" w:cs="Times New Roman"/>
          <w:b/>
          <w:sz w:val="24"/>
          <w:szCs w:val="24"/>
          <w:lang w:eastAsia="pl-PL"/>
        </w:rPr>
      </w:pPr>
      <w:r w:rsidRPr="00CD395A">
        <w:rPr>
          <w:rFonts w:ascii="Times New Roman" w:eastAsia="Times New Roman" w:hAnsi="Times New Roman" w:cs="Times New Roman"/>
          <w:b/>
          <w:sz w:val="24"/>
          <w:szCs w:val="24"/>
          <w:lang w:eastAsia="pl-PL"/>
        </w:rPr>
        <w:t>5.5 Wartość wskaźnika HRI1 w kolejnych latach</w:t>
      </w:r>
    </w:p>
    <w:p w14:paraId="4E873F5A" w14:textId="70329677" w:rsidR="00502E1C" w:rsidRPr="005347D4" w:rsidRDefault="00502E1C" w:rsidP="005347D4">
      <w:pPr>
        <w:pStyle w:val="NormalnyWeb"/>
        <w:tabs>
          <w:tab w:val="left" w:pos="284"/>
        </w:tabs>
        <w:spacing w:beforeAutospacing="0" w:after="120" w:afterAutospacing="0" w:line="360" w:lineRule="auto"/>
        <w:ind w:firstLine="284"/>
        <w:jc w:val="both"/>
        <w:rPr>
          <w:rFonts w:ascii="Arial" w:hAnsi="Arial" w:cs="Arial"/>
        </w:rPr>
      </w:pPr>
      <w:r w:rsidRPr="005347D4">
        <w:rPr>
          <w:rFonts w:ascii="Arial" w:hAnsi="Arial" w:cs="Arial"/>
        </w:rPr>
        <w:t>Na rysunku 6 pokazano porównanie wartości wskaźnika HRI1 według klasyfikacji substancji z 2020</w:t>
      </w:r>
      <w:r w:rsidR="000D3601">
        <w:rPr>
          <w:rFonts w:ascii="Arial" w:hAnsi="Arial" w:cs="Arial"/>
        </w:rPr>
        <w:t xml:space="preserve"> r. </w:t>
      </w:r>
      <w:r w:rsidRPr="005347D4">
        <w:rPr>
          <w:rFonts w:ascii="Arial" w:hAnsi="Arial" w:cs="Arial"/>
        </w:rPr>
        <w:t>i 2021</w:t>
      </w:r>
      <w:r w:rsidR="000D3601">
        <w:rPr>
          <w:rFonts w:ascii="Arial" w:hAnsi="Arial" w:cs="Arial"/>
        </w:rPr>
        <w:t xml:space="preserve"> r</w:t>
      </w:r>
      <w:r w:rsidRPr="005347D4">
        <w:rPr>
          <w:rFonts w:ascii="Arial" w:hAnsi="Arial" w:cs="Arial"/>
        </w:rPr>
        <w:t>. Uwzględnienie w klasyfikacji z 2021</w:t>
      </w:r>
      <w:r w:rsidR="000D3601">
        <w:rPr>
          <w:rFonts w:ascii="Arial" w:hAnsi="Arial" w:cs="Arial"/>
        </w:rPr>
        <w:t> r.</w:t>
      </w:r>
      <w:r w:rsidRPr="005347D4">
        <w:rPr>
          <w:rFonts w:ascii="Arial" w:hAnsi="Arial" w:cs="Arial"/>
        </w:rPr>
        <w:t xml:space="preserve"> kolejnych substancji jako wycofane z obrotu spowodowało ich przeniesienie do grupy 4 w sprzedaży w poprzednich latach i przeliczenie z wagą 64 (grupa 4) ich sprzedaży. Taka zmiana powoduje przeliczenie wskaźnika HRI1 (począwszy od okresu bazowego) i spadek jego wartości od 2020 </w:t>
      </w:r>
      <w:r w:rsidR="000D3601">
        <w:rPr>
          <w:rFonts w:ascii="Arial" w:hAnsi="Arial" w:cs="Arial"/>
        </w:rPr>
        <w:t xml:space="preserve">r. </w:t>
      </w:r>
      <w:r w:rsidRPr="005347D4">
        <w:rPr>
          <w:rFonts w:ascii="Arial" w:hAnsi="Arial" w:cs="Arial"/>
        </w:rPr>
        <w:t>do wartości 67.</w:t>
      </w:r>
    </w:p>
    <w:p w14:paraId="190FC185" w14:textId="716B13B6" w:rsidR="005347D4" w:rsidRDefault="005347D4" w:rsidP="00502E1C">
      <w:pPr>
        <w:spacing w:before="120" w:after="0" w:line="240" w:lineRule="auto"/>
        <w:ind w:left="993" w:hanging="993"/>
        <w:rPr>
          <w:rFonts w:ascii="Times New Roman" w:eastAsia="Times New Roman" w:hAnsi="Times New Roman" w:cs="Times New Roman"/>
          <w:i/>
          <w:sz w:val="24"/>
          <w:szCs w:val="21"/>
          <w:lang w:eastAsia="pl-PL"/>
        </w:rPr>
      </w:pPr>
    </w:p>
    <w:p w14:paraId="33E02DEC" w14:textId="604DF71D" w:rsidR="002918E0" w:rsidRDefault="002918E0">
      <w:pPr>
        <w:spacing w:after="0" w:line="240" w:lineRule="auto"/>
        <w:rPr>
          <w:rFonts w:ascii="Times New Roman" w:eastAsia="Times New Roman" w:hAnsi="Times New Roman" w:cs="Times New Roman"/>
          <w:i/>
          <w:sz w:val="24"/>
          <w:szCs w:val="21"/>
          <w:lang w:eastAsia="pl-PL"/>
        </w:rPr>
      </w:pPr>
      <w:r>
        <w:rPr>
          <w:rFonts w:ascii="Times New Roman" w:eastAsia="Times New Roman" w:hAnsi="Times New Roman" w:cs="Times New Roman"/>
          <w:i/>
          <w:sz w:val="24"/>
          <w:szCs w:val="21"/>
          <w:lang w:eastAsia="pl-PL"/>
        </w:rPr>
        <w:br w:type="page"/>
      </w:r>
    </w:p>
    <w:p w14:paraId="2A0E0A26" w14:textId="77777777" w:rsidR="00FA2BD7" w:rsidRDefault="00FA2BD7" w:rsidP="00502E1C">
      <w:pPr>
        <w:spacing w:before="120" w:after="0" w:line="240" w:lineRule="auto"/>
        <w:ind w:left="993" w:hanging="993"/>
        <w:rPr>
          <w:rFonts w:ascii="Times New Roman" w:eastAsia="Times New Roman" w:hAnsi="Times New Roman" w:cs="Times New Roman"/>
          <w:i/>
          <w:sz w:val="24"/>
          <w:szCs w:val="21"/>
          <w:lang w:eastAsia="pl-PL"/>
        </w:rPr>
      </w:pPr>
    </w:p>
    <w:p w14:paraId="3596417A" w14:textId="5F23D988" w:rsidR="00502E1C" w:rsidRPr="00CD395A" w:rsidRDefault="00502E1C" w:rsidP="00FA2BD7">
      <w:pPr>
        <w:spacing w:before="120" w:after="0" w:line="240" w:lineRule="auto"/>
        <w:ind w:left="993" w:hanging="993"/>
        <w:jc w:val="center"/>
        <w:rPr>
          <w:rFonts w:ascii="Times New Roman" w:eastAsia="Times New Roman" w:hAnsi="Times New Roman" w:cs="Times New Roman"/>
          <w:i/>
          <w:sz w:val="24"/>
          <w:szCs w:val="21"/>
          <w:lang w:eastAsia="pl-PL"/>
        </w:rPr>
      </w:pPr>
      <w:r w:rsidRPr="00CD395A">
        <w:rPr>
          <w:rFonts w:ascii="Times New Roman" w:eastAsia="Times New Roman" w:hAnsi="Times New Roman" w:cs="Times New Roman"/>
          <w:i/>
          <w:sz w:val="24"/>
          <w:szCs w:val="21"/>
          <w:lang w:eastAsia="pl-PL"/>
        </w:rPr>
        <w:t>Rys. 6. Porównanie wartości wskaźnika HRI1 według klasyfikacji substancji z 2020</w:t>
      </w:r>
      <w:r w:rsidR="005347D4">
        <w:rPr>
          <w:rFonts w:ascii="Times New Roman" w:eastAsia="Times New Roman" w:hAnsi="Times New Roman" w:cs="Times New Roman"/>
          <w:i/>
          <w:sz w:val="24"/>
          <w:szCs w:val="21"/>
          <w:lang w:eastAsia="pl-PL"/>
        </w:rPr>
        <w:t xml:space="preserve"> r. i</w:t>
      </w:r>
      <w:r w:rsidR="00FA2BD7">
        <w:rPr>
          <w:rFonts w:ascii="Times New Roman" w:eastAsia="Times New Roman" w:hAnsi="Times New Roman" w:cs="Times New Roman"/>
          <w:i/>
          <w:sz w:val="24"/>
          <w:szCs w:val="21"/>
          <w:lang w:eastAsia="pl-PL"/>
        </w:rPr>
        <w:t> </w:t>
      </w:r>
      <w:r w:rsidRPr="00CD395A">
        <w:rPr>
          <w:rFonts w:ascii="Times New Roman" w:eastAsia="Times New Roman" w:hAnsi="Times New Roman" w:cs="Times New Roman"/>
          <w:i/>
          <w:sz w:val="24"/>
          <w:szCs w:val="21"/>
          <w:lang w:eastAsia="pl-PL"/>
        </w:rPr>
        <w:t>2021</w:t>
      </w:r>
      <w:r w:rsidR="005347D4">
        <w:rPr>
          <w:rFonts w:ascii="Times New Roman" w:eastAsia="Times New Roman" w:hAnsi="Times New Roman" w:cs="Times New Roman"/>
          <w:i/>
          <w:sz w:val="24"/>
          <w:szCs w:val="21"/>
          <w:lang w:eastAsia="pl-PL"/>
        </w:rPr>
        <w:t> r.</w:t>
      </w:r>
    </w:p>
    <w:p w14:paraId="605AC0BB" w14:textId="282F28F4" w:rsidR="00502E1C" w:rsidRPr="00502E1C" w:rsidRDefault="00502E1C" w:rsidP="00502E1C">
      <w:pPr>
        <w:spacing w:after="240"/>
        <w:jc w:val="both"/>
        <w:rPr>
          <w:rFonts w:ascii="Times New Roman" w:eastAsia="Calibri" w:hAnsi="Times New Roman" w:cs="Times New Roman"/>
          <w:b/>
          <w:sz w:val="24"/>
          <w:szCs w:val="21"/>
          <w:highlight w:val="green"/>
          <w:lang w:eastAsia="pl-PL"/>
        </w:rPr>
      </w:pPr>
      <w:r w:rsidRPr="00502E1C">
        <w:rPr>
          <w:rFonts w:ascii="Times New Roman" w:eastAsia="Times New Roman" w:hAnsi="Times New Roman" w:cs="Times New Roman"/>
          <w:noProof/>
          <w:sz w:val="24"/>
          <w:szCs w:val="21"/>
          <w:highlight w:val="green"/>
          <w:lang w:eastAsia="pl-PL"/>
        </w:rPr>
        <w:drawing>
          <wp:inline distT="0" distB="0" distL="0" distR="0" wp14:anchorId="1778CA3F" wp14:editId="5398CE4C">
            <wp:extent cx="5759450" cy="3594735"/>
            <wp:effectExtent l="0" t="0" r="12700" b="5715"/>
            <wp:docPr id="27" name="Wykres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4A0B6DA" w14:textId="728F26E2" w:rsidR="00502E1C" w:rsidRDefault="00502E1C" w:rsidP="005347D4">
      <w:pPr>
        <w:pStyle w:val="NormalnyWeb"/>
        <w:tabs>
          <w:tab w:val="left" w:pos="284"/>
        </w:tabs>
        <w:spacing w:beforeAutospacing="0" w:after="120" w:afterAutospacing="0" w:line="360" w:lineRule="auto"/>
        <w:ind w:firstLine="284"/>
        <w:jc w:val="both"/>
        <w:rPr>
          <w:rFonts w:ascii="Arial" w:hAnsi="Arial" w:cs="Arial"/>
        </w:rPr>
      </w:pPr>
      <w:r w:rsidRPr="005347D4">
        <w:rPr>
          <w:rFonts w:ascii="Arial" w:hAnsi="Arial" w:cs="Arial"/>
        </w:rPr>
        <w:t>Wpływ na wartość wskaźnika w kolejnych latach będzie miało wycofanie z obrotu w  2022</w:t>
      </w:r>
      <w:r w:rsidR="000D3601">
        <w:rPr>
          <w:rFonts w:ascii="Arial" w:hAnsi="Arial" w:cs="Arial"/>
        </w:rPr>
        <w:t xml:space="preserve">r. </w:t>
      </w:r>
      <w:r w:rsidRPr="005347D4">
        <w:rPr>
          <w:rFonts w:ascii="Arial" w:hAnsi="Arial" w:cs="Arial"/>
        </w:rPr>
        <w:t xml:space="preserve"> kolejnych substancji czynnych (tabela 17). W 2023 </w:t>
      </w:r>
      <w:r w:rsidR="000D3601">
        <w:rPr>
          <w:rFonts w:ascii="Arial" w:hAnsi="Arial" w:cs="Arial"/>
        </w:rPr>
        <w:t xml:space="preserve">r. </w:t>
      </w:r>
      <w:r w:rsidRPr="005347D4">
        <w:rPr>
          <w:rFonts w:ascii="Arial" w:hAnsi="Arial" w:cs="Arial"/>
        </w:rPr>
        <w:t xml:space="preserve">nie będzie w sprzedaży również </w:t>
      </w:r>
      <w:proofErr w:type="spellStart"/>
      <w:r w:rsidRPr="005347D4">
        <w:rPr>
          <w:rFonts w:ascii="Arial" w:hAnsi="Arial" w:cs="Arial"/>
        </w:rPr>
        <w:t>prochloraz</w:t>
      </w:r>
      <w:proofErr w:type="spellEnd"/>
      <w:r w:rsidRPr="005347D4">
        <w:rPr>
          <w:rFonts w:ascii="Arial" w:hAnsi="Arial" w:cs="Arial"/>
        </w:rPr>
        <w:t xml:space="preserve"> – aktualnie znaczący wzrost sprzedaży.</w:t>
      </w:r>
    </w:p>
    <w:p w14:paraId="172B86D6" w14:textId="77777777" w:rsidR="00E4045C" w:rsidRPr="005347D4" w:rsidRDefault="00E4045C" w:rsidP="005347D4">
      <w:pPr>
        <w:pStyle w:val="NormalnyWeb"/>
        <w:tabs>
          <w:tab w:val="left" w:pos="284"/>
        </w:tabs>
        <w:spacing w:beforeAutospacing="0" w:after="120" w:afterAutospacing="0" w:line="360" w:lineRule="auto"/>
        <w:ind w:firstLine="284"/>
        <w:jc w:val="both"/>
        <w:rPr>
          <w:rFonts w:ascii="Arial" w:hAnsi="Arial" w:cs="Arial"/>
        </w:rPr>
      </w:pPr>
    </w:p>
    <w:p w14:paraId="749398C4" w14:textId="5178F18C" w:rsidR="00502E1C" w:rsidRPr="005347D4" w:rsidRDefault="00502E1C" w:rsidP="007B3C2D">
      <w:pPr>
        <w:spacing w:before="120" w:after="240" w:line="240" w:lineRule="auto"/>
        <w:ind w:left="993" w:hanging="993"/>
        <w:jc w:val="center"/>
        <w:rPr>
          <w:rFonts w:ascii="Arial" w:eastAsia="Times New Roman" w:hAnsi="Arial" w:cs="Arial"/>
          <w:i/>
          <w:sz w:val="20"/>
          <w:szCs w:val="20"/>
          <w:lang w:eastAsia="pl-PL"/>
        </w:rPr>
      </w:pPr>
      <w:r w:rsidRPr="005347D4">
        <w:rPr>
          <w:rFonts w:ascii="Arial" w:eastAsia="Times New Roman" w:hAnsi="Arial" w:cs="Arial"/>
          <w:i/>
          <w:sz w:val="20"/>
          <w:szCs w:val="20"/>
          <w:lang w:eastAsia="pl-PL"/>
        </w:rPr>
        <w:t>Tabela 17. Substancje czynne, które nie mogą być w sprzedaży i dystrybucji w 2022</w:t>
      </w:r>
      <w:r w:rsidR="000D3601">
        <w:rPr>
          <w:rFonts w:ascii="Arial" w:eastAsia="Times New Roman" w:hAnsi="Arial" w:cs="Arial"/>
          <w:i/>
          <w:sz w:val="20"/>
          <w:szCs w:val="20"/>
          <w:lang w:eastAsia="pl-PL"/>
        </w:rPr>
        <w:t xml:space="preserve"> 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tblGrid>
      <w:tr w:rsidR="00502E1C" w:rsidRPr="00CD395A" w14:paraId="2A2588FF" w14:textId="77777777" w:rsidTr="00FA2BD7">
        <w:trPr>
          <w:trHeight w:val="325"/>
          <w:jc w:val="center"/>
        </w:trPr>
        <w:tc>
          <w:tcPr>
            <w:tcW w:w="3649" w:type="dxa"/>
            <w:shd w:val="clear" w:color="auto" w:fill="auto"/>
          </w:tcPr>
          <w:p w14:paraId="5D5893A8" w14:textId="77777777" w:rsidR="00502E1C" w:rsidRPr="00FA2BD7" w:rsidRDefault="00502E1C" w:rsidP="00502E1C">
            <w:pPr>
              <w:spacing w:after="0" w:line="240" w:lineRule="auto"/>
              <w:jc w:val="both"/>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BENALAKSYL</w:t>
            </w:r>
          </w:p>
        </w:tc>
      </w:tr>
      <w:tr w:rsidR="00502E1C" w:rsidRPr="00CD395A" w14:paraId="53483062" w14:textId="77777777" w:rsidTr="00FA2BD7">
        <w:trPr>
          <w:trHeight w:val="325"/>
          <w:jc w:val="center"/>
        </w:trPr>
        <w:tc>
          <w:tcPr>
            <w:tcW w:w="3649" w:type="dxa"/>
            <w:shd w:val="clear" w:color="auto" w:fill="auto"/>
          </w:tcPr>
          <w:p w14:paraId="7D0566DD" w14:textId="77777777" w:rsidR="00502E1C" w:rsidRPr="00FA2BD7" w:rsidRDefault="00502E1C" w:rsidP="00502E1C">
            <w:pPr>
              <w:spacing w:after="0" w:line="240" w:lineRule="auto"/>
              <w:jc w:val="both"/>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BETA-CYFLUTRYNA</w:t>
            </w:r>
          </w:p>
        </w:tc>
      </w:tr>
      <w:tr w:rsidR="00502E1C" w:rsidRPr="00CD395A" w14:paraId="0AEB2635" w14:textId="77777777" w:rsidTr="00FA2BD7">
        <w:trPr>
          <w:trHeight w:val="325"/>
          <w:jc w:val="center"/>
        </w:trPr>
        <w:tc>
          <w:tcPr>
            <w:tcW w:w="3649" w:type="dxa"/>
            <w:shd w:val="clear" w:color="auto" w:fill="auto"/>
          </w:tcPr>
          <w:p w14:paraId="1375026F" w14:textId="77777777" w:rsidR="00502E1C" w:rsidRPr="00FA2BD7" w:rsidRDefault="00502E1C" w:rsidP="00502E1C">
            <w:pPr>
              <w:spacing w:after="0" w:line="240" w:lineRule="auto"/>
              <w:jc w:val="both"/>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BROMOKSYNIL</w:t>
            </w:r>
          </w:p>
        </w:tc>
      </w:tr>
      <w:tr w:rsidR="00502E1C" w:rsidRPr="00CD395A" w14:paraId="0A3EFB25" w14:textId="77777777" w:rsidTr="00FA2BD7">
        <w:trPr>
          <w:trHeight w:val="325"/>
          <w:jc w:val="center"/>
        </w:trPr>
        <w:tc>
          <w:tcPr>
            <w:tcW w:w="3649" w:type="dxa"/>
            <w:shd w:val="clear" w:color="auto" w:fill="auto"/>
          </w:tcPr>
          <w:p w14:paraId="7A257679" w14:textId="77777777" w:rsidR="00502E1C" w:rsidRPr="00FA2BD7" w:rsidRDefault="00502E1C" w:rsidP="00502E1C">
            <w:pPr>
              <w:spacing w:after="0" w:line="240" w:lineRule="auto"/>
              <w:jc w:val="both"/>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HALOKSYFOP-P – grupa 3</w:t>
            </w:r>
          </w:p>
        </w:tc>
      </w:tr>
      <w:tr w:rsidR="00502E1C" w:rsidRPr="00CD395A" w14:paraId="73933B63" w14:textId="77777777" w:rsidTr="00FA2BD7">
        <w:trPr>
          <w:trHeight w:val="325"/>
          <w:jc w:val="center"/>
        </w:trPr>
        <w:tc>
          <w:tcPr>
            <w:tcW w:w="3649" w:type="dxa"/>
            <w:shd w:val="clear" w:color="auto" w:fill="auto"/>
          </w:tcPr>
          <w:p w14:paraId="2D355F3C" w14:textId="77777777" w:rsidR="00502E1C" w:rsidRPr="00FA2BD7" w:rsidRDefault="00502E1C" w:rsidP="00502E1C">
            <w:pPr>
              <w:spacing w:after="0" w:line="240" w:lineRule="auto"/>
              <w:jc w:val="both"/>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IMIDAKLOPRYD</w:t>
            </w:r>
          </w:p>
        </w:tc>
      </w:tr>
      <w:tr w:rsidR="00502E1C" w:rsidRPr="00CD395A" w14:paraId="0C5B9187" w14:textId="77777777" w:rsidTr="00FA2BD7">
        <w:trPr>
          <w:trHeight w:val="325"/>
          <w:jc w:val="center"/>
        </w:trPr>
        <w:tc>
          <w:tcPr>
            <w:tcW w:w="3649" w:type="dxa"/>
            <w:shd w:val="clear" w:color="auto" w:fill="auto"/>
          </w:tcPr>
          <w:p w14:paraId="725A46D0" w14:textId="77777777" w:rsidR="00502E1C" w:rsidRPr="00FA2BD7" w:rsidRDefault="00502E1C" w:rsidP="00502E1C">
            <w:pPr>
              <w:spacing w:after="0" w:line="240" w:lineRule="auto"/>
              <w:jc w:val="both"/>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MANKOZEB</w:t>
            </w:r>
          </w:p>
        </w:tc>
      </w:tr>
      <w:tr w:rsidR="00502E1C" w:rsidRPr="00CD395A" w14:paraId="55435BA9" w14:textId="77777777" w:rsidTr="00FA2BD7">
        <w:trPr>
          <w:trHeight w:val="325"/>
          <w:jc w:val="center"/>
        </w:trPr>
        <w:tc>
          <w:tcPr>
            <w:tcW w:w="3649" w:type="dxa"/>
            <w:shd w:val="clear" w:color="auto" w:fill="auto"/>
          </w:tcPr>
          <w:p w14:paraId="2FEA942D" w14:textId="77777777" w:rsidR="00502E1C" w:rsidRPr="00FA2BD7" w:rsidRDefault="00502E1C" w:rsidP="00502E1C">
            <w:pPr>
              <w:spacing w:after="0" w:line="240" w:lineRule="auto"/>
              <w:jc w:val="both"/>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PENCYKURON</w:t>
            </w:r>
          </w:p>
        </w:tc>
      </w:tr>
      <w:tr w:rsidR="00502E1C" w:rsidRPr="00CD395A" w14:paraId="36AA7954" w14:textId="77777777" w:rsidTr="00FA2BD7">
        <w:trPr>
          <w:trHeight w:val="325"/>
          <w:jc w:val="center"/>
        </w:trPr>
        <w:tc>
          <w:tcPr>
            <w:tcW w:w="3649" w:type="dxa"/>
            <w:shd w:val="clear" w:color="auto" w:fill="auto"/>
          </w:tcPr>
          <w:p w14:paraId="14205005" w14:textId="77777777" w:rsidR="00502E1C" w:rsidRPr="00FA2BD7" w:rsidRDefault="00502E1C" w:rsidP="00502E1C">
            <w:pPr>
              <w:spacing w:after="0" w:line="240" w:lineRule="auto"/>
              <w:jc w:val="both"/>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TIOFANAT METYLU</w:t>
            </w:r>
          </w:p>
        </w:tc>
      </w:tr>
      <w:tr w:rsidR="00502E1C" w:rsidRPr="00CD395A" w14:paraId="4603FE4D" w14:textId="77777777" w:rsidTr="00FA2BD7">
        <w:trPr>
          <w:trHeight w:val="325"/>
          <w:jc w:val="center"/>
        </w:trPr>
        <w:tc>
          <w:tcPr>
            <w:tcW w:w="3649" w:type="dxa"/>
            <w:shd w:val="clear" w:color="auto" w:fill="auto"/>
          </w:tcPr>
          <w:p w14:paraId="44FD571E" w14:textId="77777777" w:rsidR="00502E1C" w:rsidRPr="00FA2BD7" w:rsidRDefault="00502E1C" w:rsidP="00502E1C">
            <w:pPr>
              <w:spacing w:after="0" w:line="240" w:lineRule="auto"/>
              <w:jc w:val="both"/>
              <w:rPr>
                <w:rFonts w:ascii="Arial" w:eastAsia="Times New Roman" w:hAnsi="Arial" w:cs="Arial"/>
                <w:color w:val="000000"/>
                <w:sz w:val="20"/>
                <w:szCs w:val="20"/>
                <w:lang w:eastAsia="pl-PL"/>
              </w:rPr>
            </w:pPr>
            <w:r w:rsidRPr="00FA2BD7">
              <w:rPr>
                <w:rFonts w:ascii="Arial" w:eastAsia="Times New Roman" w:hAnsi="Arial" w:cs="Arial"/>
                <w:color w:val="000000"/>
                <w:sz w:val="20"/>
                <w:szCs w:val="20"/>
                <w:lang w:eastAsia="pl-PL"/>
              </w:rPr>
              <w:t>ZETA-CYPERMETRYNA</w:t>
            </w:r>
          </w:p>
        </w:tc>
      </w:tr>
    </w:tbl>
    <w:p w14:paraId="223FB919" w14:textId="77777777" w:rsidR="00502E1C" w:rsidRPr="00CD395A" w:rsidRDefault="00502E1C" w:rsidP="00502E1C">
      <w:pPr>
        <w:shd w:val="clear" w:color="auto" w:fill="FFFFFF"/>
        <w:spacing w:after="0"/>
        <w:ind w:firstLine="708"/>
        <w:jc w:val="both"/>
        <w:textAlignment w:val="baseline"/>
        <w:rPr>
          <w:rFonts w:ascii="Times New Roman" w:eastAsia="Times New Roman" w:hAnsi="Times New Roman" w:cs="Times New Roman"/>
          <w:color w:val="1B1B1B"/>
          <w:sz w:val="24"/>
          <w:szCs w:val="21"/>
          <w:lang w:eastAsia="pl-PL"/>
        </w:rPr>
      </w:pPr>
    </w:p>
    <w:p w14:paraId="01ACC7DB" w14:textId="1F6C6D36" w:rsidR="00502E1C" w:rsidRPr="005347D4" w:rsidRDefault="00502E1C" w:rsidP="005347D4">
      <w:pPr>
        <w:pStyle w:val="NormalnyWeb"/>
        <w:tabs>
          <w:tab w:val="left" w:pos="284"/>
        </w:tabs>
        <w:spacing w:beforeAutospacing="0" w:after="120" w:afterAutospacing="0" w:line="360" w:lineRule="auto"/>
        <w:ind w:firstLine="284"/>
        <w:jc w:val="both"/>
        <w:rPr>
          <w:rFonts w:ascii="Arial" w:hAnsi="Arial" w:cs="Arial"/>
        </w:rPr>
      </w:pPr>
      <w:r w:rsidRPr="005347D4">
        <w:rPr>
          <w:rFonts w:ascii="Arial" w:hAnsi="Arial" w:cs="Arial"/>
        </w:rPr>
        <w:t>Można w związku z tym spodziewać się dalszego spadku wartości wskaźnika. Nie można jednak przewidzieć dokładnie jego wartości, ze względu na to, że w 2021 substancje te były jeszcze w</w:t>
      </w:r>
      <w:r w:rsidR="00FA2BD7">
        <w:rPr>
          <w:rFonts w:ascii="Arial" w:hAnsi="Arial" w:cs="Arial"/>
        </w:rPr>
        <w:t> </w:t>
      </w:r>
      <w:r w:rsidRPr="005347D4">
        <w:rPr>
          <w:rFonts w:ascii="Arial" w:hAnsi="Arial" w:cs="Arial"/>
        </w:rPr>
        <w:t>sprzedaży i nie wiadomo jakimi substancjami zostaną zastąpione w przyszłości.</w:t>
      </w:r>
    </w:p>
    <w:p w14:paraId="5C7BD2E1" w14:textId="77777777" w:rsidR="00502E1C" w:rsidRPr="005347D4" w:rsidRDefault="00502E1C" w:rsidP="005347D4">
      <w:pPr>
        <w:pStyle w:val="NormalnyWeb"/>
        <w:tabs>
          <w:tab w:val="left" w:pos="284"/>
        </w:tabs>
        <w:spacing w:beforeAutospacing="0" w:after="120" w:afterAutospacing="0" w:line="360" w:lineRule="auto"/>
        <w:ind w:firstLine="284"/>
        <w:jc w:val="both"/>
        <w:rPr>
          <w:rFonts w:ascii="Arial" w:hAnsi="Arial" w:cs="Arial"/>
        </w:rPr>
      </w:pPr>
      <w:r w:rsidRPr="005347D4">
        <w:rPr>
          <w:rFonts w:ascii="Arial" w:hAnsi="Arial" w:cs="Arial"/>
        </w:rPr>
        <w:t xml:space="preserve">Warto wspomnieć, że do obliczeń wskaźnika HRI1 przyjmuje się dane pochodzące ze sprzedaży </w:t>
      </w:r>
      <w:r w:rsidRPr="005347D4">
        <w:rPr>
          <w:rFonts w:ascii="Arial" w:hAnsi="Arial" w:cs="Arial"/>
        </w:rPr>
        <w:lastRenderedPageBreak/>
        <w:t>środków ochrony roślin (wprowadzone do obrotu). Nie oznacza to tylko środków używanych w ochronie płodów rolnych. Pozarolnicze stosowanie środków oraz ochrona nie związana bezpośrednio z uprawą stanowi z pewnością znaczącą część sprzedawanych środków w Polsce.</w:t>
      </w:r>
    </w:p>
    <w:p w14:paraId="1DCC57CA" w14:textId="77777777" w:rsidR="00502E1C" w:rsidRPr="00CD395A" w:rsidRDefault="00502E1C" w:rsidP="00FA2BD7">
      <w:pPr>
        <w:spacing w:after="120"/>
        <w:jc w:val="both"/>
        <w:rPr>
          <w:rFonts w:ascii="Times New Roman" w:eastAsia="Times New Roman" w:hAnsi="Times New Roman" w:cs="Times New Roman"/>
          <w:b/>
          <w:sz w:val="24"/>
          <w:szCs w:val="24"/>
          <w:lang w:eastAsia="pl-PL"/>
        </w:rPr>
      </w:pPr>
      <w:r w:rsidRPr="00CD395A">
        <w:rPr>
          <w:rFonts w:ascii="Times New Roman" w:eastAsia="Times New Roman" w:hAnsi="Times New Roman" w:cs="Times New Roman"/>
          <w:b/>
          <w:sz w:val="24"/>
          <w:szCs w:val="24"/>
          <w:lang w:eastAsia="pl-PL"/>
        </w:rPr>
        <w:t>6.</w:t>
      </w:r>
      <w:r w:rsidRPr="00CD395A">
        <w:rPr>
          <w:rFonts w:ascii="Times New Roman" w:eastAsia="Times New Roman" w:hAnsi="Times New Roman" w:cs="Times New Roman"/>
          <w:b/>
          <w:sz w:val="24"/>
          <w:szCs w:val="24"/>
          <w:lang w:eastAsia="pl-PL"/>
        </w:rPr>
        <w:tab/>
      </w:r>
      <w:r w:rsidRPr="00CD395A">
        <w:rPr>
          <w:rFonts w:ascii="Times New Roman" w:eastAsia="Times New Roman" w:hAnsi="Times New Roman" w:cs="Times New Roman"/>
          <w:b/>
          <w:sz w:val="24"/>
          <w:szCs w:val="24"/>
          <w:u w:val="single"/>
          <w:lang w:eastAsia="pl-PL"/>
        </w:rPr>
        <w:t>Podsumowanie</w:t>
      </w:r>
    </w:p>
    <w:p w14:paraId="4350B3C7" w14:textId="77777777" w:rsidR="00502E1C" w:rsidRPr="005347D4" w:rsidRDefault="00502E1C" w:rsidP="005347D4">
      <w:pPr>
        <w:pStyle w:val="NormalnyWeb"/>
        <w:tabs>
          <w:tab w:val="left" w:pos="284"/>
        </w:tabs>
        <w:spacing w:beforeAutospacing="0" w:after="120" w:afterAutospacing="0" w:line="360" w:lineRule="auto"/>
        <w:ind w:firstLine="284"/>
        <w:jc w:val="both"/>
        <w:rPr>
          <w:rFonts w:ascii="Arial" w:hAnsi="Arial" w:cs="Arial"/>
        </w:rPr>
      </w:pPr>
      <w:r w:rsidRPr="005347D4">
        <w:rPr>
          <w:rFonts w:ascii="Arial" w:hAnsi="Arial" w:cs="Arial"/>
        </w:rPr>
        <w:t>Należy zaznaczyć, że dane pochodzące z analizy krajowych wskaźników ryzyka pestycydowego i zharmonizowanego wskaźnika ryzyka HRI1 służą do analizy trendów w wartościach określanych jako potencjalne zagrożenia. Na rysunku 7 zaprezentowano zmianę wartości poszczególnych wskaźników pomiędzy rokiem 2021 i średnią z lat 2016-2020.</w:t>
      </w:r>
    </w:p>
    <w:p w14:paraId="0A0DB981" w14:textId="75F9E18F" w:rsidR="00502E1C" w:rsidRPr="00CD395A" w:rsidRDefault="00502E1C" w:rsidP="005347D4">
      <w:pPr>
        <w:spacing w:before="120" w:after="160" w:line="240" w:lineRule="auto"/>
        <w:ind w:left="993" w:hanging="993"/>
        <w:jc w:val="center"/>
        <w:rPr>
          <w:rFonts w:ascii="Times New Roman" w:eastAsia="Times New Roman" w:hAnsi="Times New Roman" w:cs="Times New Roman"/>
          <w:i/>
          <w:sz w:val="24"/>
          <w:szCs w:val="21"/>
          <w:lang w:eastAsia="pl-PL"/>
        </w:rPr>
      </w:pPr>
      <w:r w:rsidRPr="00CD395A">
        <w:rPr>
          <w:rFonts w:ascii="Times New Roman" w:eastAsia="Times New Roman" w:hAnsi="Times New Roman" w:cs="Times New Roman"/>
          <w:i/>
          <w:sz w:val="24"/>
          <w:szCs w:val="21"/>
          <w:lang w:eastAsia="pl-PL"/>
        </w:rPr>
        <w:t xml:space="preserve">Rys. 7 Wskaźniki ryzyka pestycydowego – zmiana wartości w 2021 </w:t>
      </w:r>
      <w:r w:rsidR="000D3601">
        <w:rPr>
          <w:rFonts w:ascii="Times New Roman" w:eastAsia="Times New Roman" w:hAnsi="Times New Roman" w:cs="Times New Roman"/>
          <w:i/>
          <w:sz w:val="24"/>
          <w:szCs w:val="21"/>
          <w:lang w:eastAsia="pl-PL"/>
        </w:rPr>
        <w:t xml:space="preserve">r. </w:t>
      </w:r>
      <w:r w:rsidRPr="00CD395A">
        <w:rPr>
          <w:rFonts w:ascii="Times New Roman" w:eastAsia="Times New Roman" w:hAnsi="Times New Roman" w:cs="Times New Roman"/>
          <w:i/>
          <w:sz w:val="24"/>
          <w:szCs w:val="21"/>
          <w:lang w:eastAsia="pl-PL"/>
        </w:rPr>
        <w:t>w porównaniu do średniej z lat 2016–2020</w:t>
      </w:r>
    </w:p>
    <w:p w14:paraId="4B924608" w14:textId="2347C340" w:rsidR="00502E1C" w:rsidRPr="00CD395A" w:rsidRDefault="00502E1C" w:rsidP="00502E1C">
      <w:pPr>
        <w:spacing w:after="0"/>
        <w:jc w:val="center"/>
        <w:rPr>
          <w:rFonts w:ascii="Times New Roman" w:eastAsia="Times New Roman" w:hAnsi="Times New Roman" w:cs="Times New Roman"/>
          <w:color w:val="333333"/>
          <w:sz w:val="24"/>
          <w:szCs w:val="24"/>
          <w:lang w:eastAsia="pl-PL"/>
        </w:rPr>
      </w:pPr>
      <w:r w:rsidRPr="00CD395A">
        <w:rPr>
          <w:rFonts w:ascii="Times New Roman" w:eastAsia="Times New Roman" w:hAnsi="Times New Roman" w:cs="Times New Roman"/>
          <w:noProof/>
          <w:sz w:val="24"/>
          <w:szCs w:val="21"/>
          <w:lang w:eastAsia="pl-PL"/>
        </w:rPr>
        <w:drawing>
          <wp:inline distT="0" distB="0" distL="0" distR="0" wp14:anchorId="0FF37EA6" wp14:editId="59FEE944">
            <wp:extent cx="5759450" cy="4536440"/>
            <wp:effectExtent l="0" t="0" r="12700" b="16510"/>
            <wp:docPr id="26" name="Wykres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5957547" w14:textId="77777777" w:rsidR="00502E1C" w:rsidRPr="00CD395A" w:rsidRDefault="00502E1C" w:rsidP="00502E1C">
      <w:pPr>
        <w:spacing w:after="0"/>
        <w:ind w:firstLine="708"/>
        <w:jc w:val="both"/>
        <w:rPr>
          <w:rFonts w:ascii="Times New Roman" w:eastAsia="Times New Roman" w:hAnsi="Times New Roman" w:cs="Times New Roman"/>
          <w:color w:val="333333"/>
          <w:sz w:val="24"/>
          <w:szCs w:val="24"/>
          <w:lang w:eastAsia="pl-PL"/>
        </w:rPr>
      </w:pPr>
    </w:p>
    <w:p w14:paraId="11C0EC81" w14:textId="624B9DEF" w:rsidR="00502E1C" w:rsidRPr="00CD395A" w:rsidRDefault="00502E1C" w:rsidP="00FA2BD7">
      <w:pPr>
        <w:pStyle w:val="NormalnyWeb"/>
        <w:tabs>
          <w:tab w:val="left" w:pos="284"/>
        </w:tabs>
        <w:spacing w:beforeAutospacing="0" w:after="120" w:afterAutospacing="0" w:line="360" w:lineRule="auto"/>
        <w:ind w:firstLine="284"/>
        <w:jc w:val="both"/>
        <w:rPr>
          <w:color w:val="333333"/>
          <w:sz w:val="24"/>
          <w:szCs w:val="24"/>
        </w:rPr>
      </w:pPr>
      <w:r w:rsidRPr="00CD395A">
        <w:rPr>
          <w:color w:val="333333"/>
          <w:sz w:val="24"/>
          <w:szCs w:val="24"/>
        </w:rPr>
        <w:t xml:space="preserve">Na podstawie obliczonych wskaźników można stwierdzić, że w 2021 </w:t>
      </w:r>
      <w:r w:rsidR="000D3601">
        <w:rPr>
          <w:color w:val="333333"/>
          <w:sz w:val="24"/>
          <w:szCs w:val="24"/>
        </w:rPr>
        <w:t xml:space="preserve">r. </w:t>
      </w:r>
      <w:r w:rsidRPr="00CD395A">
        <w:rPr>
          <w:color w:val="333333"/>
          <w:sz w:val="24"/>
          <w:szCs w:val="24"/>
        </w:rPr>
        <w:t>w</w:t>
      </w:r>
      <w:r w:rsidR="000D3601">
        <w:rPr>
          <w:color w:val="333333"/>
          <w:sz w:val="24"/>
          <w:szCs w:val="24"/>
        </w:rPr>
        <w:t xml:space="preserve"> </w:t>
      </w:r>
      <w:r w:rsidRPr="00CD395A">
        <w:rPr>
          <w:color w:val="333333"/>
          <w:sz w:val="24"/>
          <w:szCs w:val="24"/>
        </w:rPr>
        <w:t>porównaniu do poprzednich 5 lat:</w:t>
      </w:r>
    </w:p>
    <w:p w14:paraId="313DBDD2" w14:textId="06B9FD39" w:rsidR="00502E1C" w:rsidRPr="00FA2BD7" w:rsidRDefault="009732A1" w:rsidP="00FA2BD7">
      <w:pPr>
        <w:pStyle w:val="NormalnyWeb"/>
        <w:numPr>
          <w:ilvl w:val="0"/>
          <w:numId w:val="14"/>
        </w:numPr>
        <w:tabs>
          <w:tab w:val="left" w:pos="284"/>
        </w:tabs>
        <w:spacing w:beforeAutospacing="0" w:after="120" w:afterAutospacing="0" w:line="360" w:lineRule="auto"/>
        <w:jc w:val="both"/>
        <w:rPr>
          <w:rFonts w:ascii="Arial" w:hAnsi="Arial" w:cs="Arial"/>
        </w:rPr>
      </w:pPr>
      <w:r>
        <w:rPr>
          <w:rFonts w:ascii="Arial" w:hAnsi="Arial" w:cs="Arial"/>
        </w:rPr>
        <w:t>z</w:t>
      </w:r>
      <w:r w:rsidR="00502E1C" w:rsidRPr="00FA2BD7">
        <w:rPr>
          <w:rFonts w:ascii="Arial" w:hAnsi="Arial" w:cs="Arial"/>
        </w:rPr>
        <w:t>większył</w:t>
      </w:r>
      <w:r>
        <w:rPr>
          <w:rFonts w:ascii="Arial" w:hAnsi="Arial" w:cs="Arial"/>
        </w:rPr>
        <w:t>a się wartość wskaźnika</w:t>
      </w:r>
      <w:r w:rsidR="00502E1C" w:rsidRPr="00FA2BD7">
        <w:rPr>
          <w:rFonts w:ascii="Arial" w:hAnsi="Arial" w:cs="Arial"/>
        </w:rPr>
        <w:t xml:space="preserve"> pozostałości </w:t>
      </w:r>
      <w:proofErr w:type="spellStart"/>
      <w:r w:rsidR="00502E1C" w:rsidRPr="00FA2BD7">
        <w:rPr>
          <w:rFonts w:ascii="Arial" w:hAnsi="Arial" w:cs="Arial"/>
        </w:rPr>
        <w:t>ś.o.r</w:t>
      </w:r>
      <w:proofErr w:type="spellEnd"/>
      <w:r w:rsidR="00502E1C" w:rsidRPr="00FA2BD7">
        <w:rPr>
          <w:rFonts w:ascii="Arial" w:hAnsi="Arial" w:cs="Arial"/>
        </w:rPr>
        <w:t>. w płodach rolnych,</w:t>
      </w:r>
    </w:p>
    <w:p w14:paraId="28A7FA88" w14:textId="0C96BC61" w:rsidR="00502E1C" w:rsidRPr="00FA2BD7" w:rsidRDefault="009732A1" w:rsidP="00FA2BD7">
      <w:pPr>
        <w:pStyle w:val="NormalnyWeb"/>
        <w:numPr>
          <w:ilvl w:val="0"/>
          <w:numId w:val="14"/>
        </w:numPr>
        <w:tabs>
          <w:tab w:val="left" w:pos="284"/>
        </w:tabs>
        <w:spacing w:beforeAutospacing="0" w:after="120" w:afterAutospacing="0" w:line="360" w:lineRule="auto"/>
        <w:jc w:val="both"/>
        <w:rPr>
          <w:rFonts w:ascii="Arial" w:hAnsi="Arial" w:cs="Arial"/>
        </w:rPr>
      </w:pPr>
      <w:r>
        <w:rPr>
          <w:rFonts w:ascii="Arial" w:hAnsi="Arial" w:cs="Arial"/>
        </w:rPr>
        <w:t>z</w:t>
      </w:r>
      <w:r w:rsidRPr="00FA2BD7">
        <w:rPr>
          <w:rFonts w:ascii="Arial" w:hAnsi="Arial" w:cs="Arial"/>
        </w:rPr>
        <w:t>większył</w:t>
      </w:r>
      <w:r>
        <w:rPr>
          <w:rFonts w:ascii="Arial" w:hAnsi="Arial" w:cs="Arial"/>
        </w:rPr>
        <w:t>a się wartość wskaźnika</w:t>
      </w:r>
      <w:r w:rsidRPr="00FA2BD7">
        <w:rPr>
          <w:rFonts w:ascii="Arial" w:hAnsi="Arial" w:cs="Arial"/>
        </w:rPr>
        <w:t xml:space="preserve"> </w:t>
      </w:r>
      <w:r w:rsidR="00502E1C" w:rsidRPr="00FA2BD7">
        <w:rPr>
          <w:rFonts w:ascii="Arial" w:hAnsi="Arial" w:cs="Arial"/>
        </w:rPr>
        <w:t xml:space="preserve">nieprawidłowości w stosowaniu </w:t>
      </w:r>
      <w:proofErr w:type="spellStart"/>
      <w:r w:rsidR="00502E1C" w:rsidRPr="00FA2BD7">
        <w:rPr>
          <w:rFonts w:ascii="Arial" w:hAnsi="Arial" w:cs="Arial"/>
        </w:rPr>
        <w:t>ś.o.r</w:t>
      </w:r>
      <w:proofErr w:type="spellEnd"/>
      <w:r w:rsidR="00502E1C" w:rsidRPr="00FA2BD7">
        <w:rPr>
          <w:rFonts w:ascii="Arial" w:hAnsi="Arial" w:cs="Arial"/>
        </w:rPr>
        <w:t>.,</w:t>
      </w:r>
    </w:p>
    <w:p w14:paraId="4F42F3B2" w14:textId="77777777" w:rsidR="00502E1C" w:rsidRPr="00FA2BD7" w:rsidRDefault="00502E1C" w:rsidP="00FA2BD7">
      <w:pPr>
        <w:pStyle w:val="NormalnyWeb"/>
        <w:numPr>
          <w:ilvl w:val="0"/>
          <w:numId w:val="14"/>
        </w:numPr>
        <w:tabs>
          <w:tab w:val="left" w:pos="284"/>
        </w:tabs>
        <w:spacing w:beforeAutospacing="0" w:after="120" w:afterAutospacing="0" w:line="360" w:lineRule="auto"/>
        <w:jc w:val="both"/>
        <w:rPr>
          <w:rFonts w:ascii="Arial" w:hAnsi="Arial" w:cs="Arial"/>
        </w:rPr>
      </w:pPr>
      <w:r w:rsidRPr="00FA2BD7">
        <w:rPr>
          <w:rFonts w:ascii="Arial" w:hAnsi="Arial" w:cs="Arial"/>
        </w:rPr>
        <w:t>zmniejszyły się zagrożenia wynikające z zanieczyszczenia wód powierzchniowych,</w:t>
      </w:r>
    </w:p>
    <w:p w14:paraId="568BC7A8" w14:textId="77777777" w:rsidR="00502E1C" w:rsidRPr="00FA2BD7" w:rsidRDefault="00502E1C" w:rsidP="00FA2BD7">
      <w:pPr>
        <w:pStyle w:val="NormalnyWeb"/>
        <w:numPr>
          <w:ilvl w:val="0"/>
          <w:numId w:val="14"/>
        </w:numPr>
        <w:tabs>
          <w:tab w:val="left" w:pos="284"/>
        </w:tabs>
        <w:spacing w:beforeAutospacing="0" w:after="120" w:afterAutospacing="0" w:line="360" w:lineRule="auto"/>
        <w:jc w:val="both"/>
        <w:rPr>
          <w:rFonts w:ascii="Arial" w:hAnsi="Arial" w:cs="Arial"/>
        </w:rPr>
      </w:pPr>
      <w:r w:rsidRPr="00FA2BD7">
        <w:rPr>
          <w:rFonts w:ascii="Arial" w:hAnsi="Arial" w:cs="Arial"/>
        </w:rPr>
        <w:t xml:space="preserve">zmniejszyły się zagrożenia wynikające ze struktury szkodliwości sprzedaży </w:t>
      </w:r>
      <w:proofErr w:type="spellStart"/>
      <w:r w:rsidRPr="00FA2BD7">
        <w:rPr>
          <w:rFonts w:ascii="Arial" w:hAnsi="Arial" w:cs="Arial"/>
        </w:rPr>
        <w:t>ś.o.r</w:t>
      </w:r>
      <w:proofErr w:type="spellEnd"/>
      <w:r w:rsidRPr="00FA2BD7">
        <w:rPr>
          <w:rFonts w:ascii="Arial" w:hAnsi="Arial" w:cs="Arial"/>
        </w:rPr>
        <w:t>.,</w:t>
      </w:r>
    </w:p>
    <w:p w14:paraId="4B77699F" w14:textId="2A04686D" w:rsidR="00502E1C" w:rsidRPr="00FA2BD7" w:rsidRDefault="00502E1C" w:rsidP="00FA2BD7">
      <w:pPr>
        <w:pStyle w:val="NormalnyWeb"/>
        <w:numPr>
          <w:ilvl w:val="0"/>
          <w:numId w:val="14"/>
        </w:numPr>
        <w:tabs>
          <w:tab w:val="left" w:pos="284"/>
        </w:tabs>
        <w:spacing w:beforeAutospacing="0" w:after="120" w:afterAutospacing="0" w:line="360" w:lineRule="auto"/>
        <w:jc w:val="both"/>
        <w:rPr>
          <w:rFonts w:ascii="Arial" w:hAnsi="Arial" w:cs="Arial"/>
        </w:rPr>
      </w:pPr>
      <w:r w:rsidRPr="00FA2BD7">
        <w:rPr>
          <w:rFonts w:ascii="Arial" w:hAnsi="Arial" w:cs="Arial"/>
        </w:rPr>
        <w:lastRenderedPageBreak/>
        <w:t>zwiększył</w:t>
      </w:r>
      <w:r w:rsidR="009732A1">
        <w:rPr>
          <w:rFonts w:ascii="Arial" w:hAnsi="Arial" w:cs="Arial"/>
        </w:rPr>
        <w:t xml:space="preserve">a </w:t>
      </w:r>
      <w:r w:rsidRPr="00FA2BD7">
        <w:rPr>
          <w:rFonts w:ascii="Arial" w:hAnsi="Arial" w:cs="Arial"/>
        </w:rPr>
        <w:t>się wielkoś</w:t>
      </w:r>
      <w:r w:rsidR="009732A1">
        <w:rPr>
          <w:rFonts w:ascii="Arial" w:hAnsi="Arial" w:cs="Arial"/>
        </w:rPr>
        <w:t>ć</w:t>
      </w:r>
      <w:r w:rsidRPr="00FA2BD7">
        <w:rPr>
          <w:rFonts w:ascii="Arial" w:hAnsi="Arial" w:cs="Arial"/>
        </w:rPr>
        <w:t xml:space="preserve"> sprzedaży </w:t>
      </w:r>
      <w:proofErr w:type="spellStart"/>
      <w:r w:rsidRPr="00FA2BD7">
        <w:rPr>
          <w:rFonts w:ascii="Arial" w:hAnsi="Arial" w:cs="Arial"/>
        </w:rPr>
        <w:t>ś.o.r</w:t>
      </w:r>
      <w:proofErr w:type="spellEnd"/>
      <w:r w:rsidRPr="00FA2BD7">
        <w:rPr>
          <w:rFonts w:ascii="Arial" w:hAnsi="Arial" w:cs="Arial"/>
        </w:rPr>
        <w:t>.,</w:t>
      </w:r>
    </w:p>
    <w:p w14:paraId="3F1BE0B0" w14:textId="77777777" w:rsidR="00502E1C" w:rsidRPr="00FA2BD7" w:rsidRDefault="00502E1C" w:rsidP="00FA2BD7">
      <w:pPr>
        <w:pStyle w:val="NormalnyWeb"/>
        <w:numPr>
          <w:ilvl w:val="0"/>
          <w:numId w:val="14"/>
        </w:numPr>
        <w:tabs>
          <w:tab w:val="left" w:pos="284"/>
        </w:tabs>
        <w:spacing w:beforeAutospacing="0" w:after="120" w:afterAutospacing="0" w:line="360" w:lineRule="auto"/>
        <w:jc w:val="both"/>
        <w:rPr>
          <w:rFonts w:ascii="Arial" w:hAnsi="Arial" w:cs="Arial"/>
        </w:rPr>
      </w:pPr>
      <w:r w:rsidRPr="00FA2BD7">
        <w:rPr>
          <w:rFonts w:ascii="Arial" w:hAnsi="Arial" w:cs="Arial"/>
        </w:rPr>
        <w:t>zmniejszyły się zagrożenia związane ze sprzedażą substancji priorytetowych w dziedzinie polityki wodnej,</w:t>
      </w:r>
    </w:p>
    <w:p w14:paraId="2B87974E" w14:textId="682C4893" w:rsidR="00502E1C" w:rsidRPr="00FA2BD7" w:rsidRDefault="009732A1" w:rsidP="00FA2BD7">
      <w:pPr>
        <w:pStyle w:val="NormalnyWeb"/>
        <w:numPr>
          <w:ilvl w:val="0"/>
          <w:numId w:val="14"/>
        </w:numPr>
        <w:tabs>
          <w:tab w:val="left" w:pos="284"/>
        </w:tabs>
        <w:spacing w:beforeAutospacing="0" w:after="120" w:afterAutospacing="0" w:line="360" w:lineRule="auto"/>
        <w:jc w:val="both"/>
        <w:rPr>
          <w:rFonts w:ascii="Arial" w:hAnsi="Arial" w:cs="Arial"/>
        </w:rPr>
      </w:pPr>
      <w:r>
        <w:rPr>
          <w:rFonts w:ascii="Arial" w:hAnsi="Arial" w:cs="Arial"/>
        </w:rPr>
        <w:t>z</w:t>
      </w:r>
      <w:r w:rsidRPr="00FA2BD7">
        <w:rPr>
          <w:rFonts w:ascii="Arial" w:hAnsi="Arial" w:cs="Arial"/>
        </w:rPr>
        <w:t>większył</w:t>
      </w:r>
      <w:r>
        <w:rPr>
          <w:rFonts w:ascii="Arial" w:hAnsi="Arial" w:cs="Arial"/>
        </w:rPr>
        <w:t>a się wartość wskaźnika</w:t>
      </w:r>
      <w:r w:rsidRPr="00FA2BD7">
        <w:rPr>
          <w:rFonts w:ascii="Arial" w:hAnsi="Arial" w:cs="Arial"/>
        </w:rPr>
        <w:t xml:space="preserve"> </w:t>
      </w:r>
      <w:r>
        <w:rPr>
          <w:rFonts w:ascii="Arial" w:hAnsi="Arial" w:cs="Arial"/>
        </w:rPr>
        <w:t>sprzedaży</w:t>
      </w:r>
      <w:r w:rsidR="00502E1C" w:rsidRPr="00FA2BD7">
        <w:rPr>
          <w:rFonts w:ascii="Arial" w:hAnsi="Arial" w:cs="Arial"/>
        </w:rPr>
        <w:t xml:space="preserve"> substancji czynnych wymagających programów monitorowania,</w:t>
      </w:r>
    </w:p>
    <w:p w14:paraId="0BC45D3C" w14:textId="77777777" w:rsidR="00502E1C" w:rsidRPr="00FA2BD7" w:rsidRDefault="00502E1C" w:rsidP="00FA2BD7">
      <w:pPr>
        <w:pStyle w:val="NormalnyWeb"/>
        <w:numPr>
          <w:ilvl w:val="0"/>
          <w:numId w:val="14"/>
        </w:numPr>
        <w:tabs>
          <w:tab w:val="left" w:pos="284"/>
        </w:tabs>
        <w:spacing w:beforeAutospacing="0" w:after="120" w:afterAutospacing="0" w:line="360" w:lineRule="auto"/>
        <w:jc w:val="both"/>
        <w:rPr>
          <w:rFonts w:ascii="Arial" w:hAnsi="Arial" w:cs="Arial"/>
        </w:rPr>
      </w:pPr>
      <w:r w:rsidRPr="00FA2BD7">
        <w:rPr>
          <w:rFonts w:ascii="Arial" w:hAnsi="Arial" w:cs="Arial"/>
        </w:rPr>
        <w:t>wartość zharmonizowanego wskaźnika ryzyka pestycydowego HRI1 wynosi 67 i jest niższa o 33 punkty w stosunku do okresu bazowego 2011-2013,</w:t>
      </w:r>
    </w:p>
    <w:p w14:paraId="07398EBB" w14:textId="0C8C07C9" w:rsidR="00502E1C" w:rsidRPr="00FA2BD7" w:rsidRDefault="009732A1" w:rsidP="00FA2BD7">
      <w:pPr>
        <w:pStyle w:val="NormalnyWeb"/>
        <w:numPr>
          <w:ilvl w:val="0"/>
          <w:numId w:val="14"/>
        </w:numPr>
        <w:tabs>
          <w:tab w:val="left" w:pos="284"/>
        </w:tabs>
        <w:spacing w:beforeAutospacing="0" w:after="120" w:afterAutospacing="0" w:line="360" w:lineRule="auto"/>
        <w:jc w:val="both"/>
        <w:rPr>
          <w:rFonts w:ascii="Arial" w:hAnsi="Arial" w:cs="Arial"/>
        </w:rPr>
      </w:pPr>
      <w:r>
        <w:rPr>
          <w:rFonts w:ascii="Arial" w:hAnsi="Arial" w:cs="Arial"/>
        </w:rPr>
        <w:t>z</w:t>
      </w:r>
      <w:r w:rsidRPr="00FA2BD7">
        <w:rPr>
          <w:rFonts w:ascii="Arial" w:hAnsi="Arial" w:cs="Arial"/>
        </w:rPr>
        <w:t>większył</w:t>
      </w:r>
      <w:r>
        <w:rPr>
          <w:rFonts w:ascii="Arial" w:hAnsi="Arial" w:cs="Arial"/>
        </w:rPr>
        <w:t>a się wartość wskaźnika</w:t>
      </w:r>
      <w:r w:rsidRPr="00FA2BD7">
        <w:rPr>
          <w:rFonts w:ascii="Arial" w:hAnsi="Arial" w:cs="Arial"/>
        </w:rPr>
        <w:t xml:space="preserve"> </w:t>
      </w:r>
      <w:r>
        <w:rPr>
          <w:rFonts w:ascii="Arial" w:hAnsi="Arial" w:cs="Arial"/>
        </w:rPr>
        <w:t>sprzedaży</w:t>
      </w:r>
      <w:r w:rsidR="00502E1C" w:rsidRPr="00FA2BD7">
        <w:rPr>
          <w:rFonts w:ascii="Arial" w:hAnsi="Arial" w:cs="Arial"/>
        </w:rPr>
        <w:t xml:space="preserve"> substancji czynnych kwalifikujących się do zastąpienia (wskaźnik F2F-2).</w:t>
      </w:r>
    </w:p>
    <w:p w14:paraId="65FDE971" w14:textId="77777777" w:rsidR="00502E1C" w:rsidRPr="00F55E0E" w:rsidRDefault="00502E1C" w:rsidP="00502E1C">
      <w:pPr>
        <w:pStyle w:val="NormalnyWeb"/>
        <w:tabs>
          <w:tab w:val="left" w:pos="284"/>
        </w:tabs>
        <w:spacing w:beforeAutospacing="0" w:after="120" w:afterAutospacing="0" w:line="360" w:lineRule="auto"/>
        <w:ind w:firstLine="284"/>
        <w:jc w:val="both"/>
        <w:rPr>
          <w:rFonts w:ascii="Arial" w:hAnsi="Arial" w:cs="Arial"/>
        </w:rPr>
      </w:pPr>
    </w:p>
    <w:p w14:paraId="46B2C10A" w14:textId="77777777" w:rsidR="00056846" w:rsidRPr="00925BCD" w:rsidRDefault="00E54725">
      <w:pPr>
        <w:rPr>
          <w:rFonts w:ascii="Arial" w:hAnsi="Arial" w:cs="Arial"/>
          <w:bCs/>
          <w:kern w:val="2"/>
        </w:rPr>
      </w:pPr>
      <w:bookmarkStart w:id="140" w:name="_Hlk94708637"/>
      <w:r w:rsidRPr="00925BCD">
        <w:br w:type="page"/>
      </w:r>
    </w:p>
    <w:bookmarkEnd w:id="140"/>
    <w:p w14:paraId="52A47400" w14:textId="77777777" w:rsidR="00056846" w:rsidRPr="00925BCD" w:rsidRDefault="00E54725">
      <w:pPr>
        <w:rPr>
          <w:rFonts w:ascii="Arial" w:hAnsi="Arial" w:cs="Arial"/>
          <w:bCs/>
          <w:kern w:val="2"/>
        </w:rPr>
      </w:pPr>
      <w:r w:rsidRPr="00925BCD">
        <w:rPr>
          <w:rFonts w:ascii="Arial" w:hAnsi="Arial" w:cs="Arial"/>
          <w:bCs/>
          <w:kern w:val="2"/>
        </w:rPr>
        <w:lastRenderedPageBreak/>
        <w:t xml:space="preserve">Załącznik nr 1 </w:t>
      </w:r>
    </w:p>
    <w:p w14:paraId="54D6BD45" w14:textId="5AE84DAE"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w:t>
      </w:r>
      <w:r w:rsidRPr="00925BCD">
        <w:rPr>
          <w:rFonts w:ascii="Arial" w:hAnsi="Arial" w:cs="Arial"/>
          <w:b/>
        </w:rPr>
        <w:t>w Instytucie Ochrony Roślin – PIB</w:t>
      </w:r>
      <w:r w:rsidRPr="00925BCD">
        <w:rPr>
          <w:rFonts w:ascii="Arial" w:hAnsi="Arial" w:cs="Arial"/>
        </w:rPr>
        <w:t xml:space="preserve"> zbierano informacje na temat braku skuteczności zabiegów chemicznych. Prowadzono liczne lustracje terenowe, a otrzymywane informacje analizowano pod kątem ewentualnego wystąpienia zjawiska odporności agrofagów. Z różnych miejsc na terenie Polski zbierano agrofagi i przeznaczano do doświadczeń nad odpornością w ścisłych warunkach kontrolowanych. Monitoring odporności agrofagów obejmował doświadczenia polowe, laboratoryjne i</w:t>
      </w:r>
      <w:r w:rsidR="00C46640">
        <w:rPr>
          <w:rFonts w:ascii="Arial" w:hAnsi="Arial" w:cs="Arial"/>
        </w:rPr>
        <w:t> </w:t>
      </w:r>
      <w:r w:rsidRPr="00925BCD">
        <w:rPr>
          <w:rFonts w:ascii="Arial" w:hAnsi="Arial" w:cs="Arial"/>
        </w:rPr>
        <w:t xml:space="preserve">szklarniowe. </w:t>
      </w:r>
    </w:p>
    <w:p w14:paraId="4D27F34E"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Wśród szkodników prowadzono doświadczenia polowe nad odpornością behawioralną, etologiczną zwierząt łownych na repelenty stosowane do ich odstraszania. Wyniki tych doświadczeń wskazują na utrzymującą się odporność zwierząt na wszystkie, stosowane obecnie na rynku repelenty zapachowe. Porównywano również odporność zwierząt na stosowane do ich odstraszania repelenty zapachowe na terenach zajmowanych i nie zajmowanych przez wilka. Nie zaobserwowano jednak istotnych różnic w skuteczności repelentów, a odporność zwierząt wciąż była wysoka. Pewne różnice otrzymywano natomiast porównując zachowanie zwierząt w odpowiedzi na repelenty zapachowe, gdy w pobliżu chronionego pola znajdują się lub brak jest poletek żerowych zwierząt. Zaobserwowano, że zwierzęta szybciej pojawiają się na poletkach żerowych (oszczędzając tym samym pola), gdy na polach stosowane są repelenty zapachowe. Istnieje więc ograniczona możliwość wykorzystania repelentów do sterowania zachowaniem zwierząt w kombinacji z innymi, </w:t>
      </w:r>
      <w:proofErr w:type="spellStart"/>
      <w:r w:rsidRPr="00925BCD">
        <w:rPr>
          <w:rFonts w:ascii="Arial" w:hAnsi="Arial" w:cs="Arial"/>
        </w:rPr>
        <w:t>niechemicznymi</w:t>
      </w:r>
      <w:proofErr w:type="spellEnd"/>
      <w:r w:rsidRPr="00925BCD">
        <w:rPr>
          <w:rFonts w:ascii="Arial" w:hAnsi="Arial" w:cs="Arial"/>
        </w:rPr>
        <w:t xml:space="preserve"> metodami ochrony. </w:t>
      </w:r>
    </w:p>
    <w:p w14:paraId="10ADDF1D"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Doświadczenia nad odpornością </w:t>
      </w:r>
      <w:r w:rsidRPr="00925BCD">
        <w:rPr>
          <w:rFonts w:ascii="Arial" w:hAnsi="Arial" w:cs="Arial"/>
          <w:b/>
        </w:rPr>
        <w:t xml:space="preserve">chowaczy łodygowych (chowacz </w:t>
      </w:r>
      <w:proofErr w:type="spellStart"/>
      <w:r w:rsidRPr="00925BCD">
        <w:rPr>
          <w:rFonts w:ascii="Arial" w:hAnsi="Arial" w:cs="Arial"/>
          <w:b/>
        </w:rPr>
        <w:t>brukwiaczek</w:t>
      </w:r>
      <w:proofErr w:type="spellEnd"/>
      <w:r w:rsidRPr="00925BCD">
        <w:rPr>
          <w:rFonts w:ascii="Arial" w:hAnsi="Arial" w:cs="Arial"/>
          <w:b/>
        </w:rPr>
        <w:t xml:space="preserve"> i chowacz czterozębny) </w:t>
      </w:r>
      <w:r w:rsidRPr="00925BCD">
        <w:rPr>
          <w:rFonts w:ascii="Arial" w:hAnsi="Arial" w:cs="Arial"/>
        </w:rPr>
        <w:t xml:space="preserve">wykazały znaczny poziom odporności szkodników na </w:t>
      </w:r>
      <w:proofErr w:type="spellStart"/>
      <w:r w:rsidRPr="00925BCD">
        <w:rPr>
          <w:rFonts w:ascii="Arial" w:hAnsi="Arial" w:cs="Arial"/>
        </w:rPr>
        <w:t>indoksakarb</w:t>
      </w:r>
      <w:proofErr w:type="spellEnd"/>
      <w:r w:rsidRPr="00925BCD">
        <w:rPr>
          <w:rFonts w:ascii="Arial" w:hAnsi="Arial" w:cs="Arial"/>
        </w:rPr>
        <w:t xml:space="preserve"> z grupy </w:t>
      </w:r>
      <w:proofErr w:type="spellStart"/>
      <w:r w:rsidRPr="00925BCD">
        <w:rPr>
          <w:rFonts w:ascii="Arial" w:hAnsi="Arial" w:cs="Arial"/>
        </w:rPr>
        <w:t>oksadiazyn</w:t>
      </w:r>
      <w:proofErr w:type="spellEnd"/>
      <w:r w:rsidRPr="00925BCD">
        <w:rPr>
          <w:rFonts w:ascii="Arial" w:hAnsi="Arial" w:cs="Arial"/>
        </w:rPr>
        <w:t xml:space="preserve">, natomiast wysoką skuteczność substancji czynnych z grupy </w:t>
      </w:r>
      <w:proofErr w:type="spellStart"/>
      <w:r w:rsidRPr="00925BCD">
        <w:rPr>
          <w:rFonts w:ascii="Arial" w:hAnsi="Arial" w:cs="Arial"/>
        </w:rPr>
        <w:t>pyretroidów</w:t>
      </w:r>
      <w:proofErr w:type="spellEnd"/>
      <w:r w:rsidRPr="00925BCD">
        <w:rPr>
          <w:rFonts w:ascii="Arial" w:hAnsi="Arial" w:cs="Arial"/>
        </w:rPr>
        <w:t xml:space="preserve"> i dość wysoką </w:t>
      </w:r>
      <w:proofErr w:type="spellStart"/>
      <w:r w:rsidRPr="00925BCD">
        <w:rPr>
          <w:rFonts w:ascii="Arial" w:hAnsi="Arial" w:cs="Arial"/>
        </w:rPr>
        <w:t>neonikotynoidów</w:t>
      </w:r>
      <w:proofErr w:type="spellEnd"/>
      <w:r w:rsidRPr="00925BCD">
        <w:rPr>
          <w:rFonts w:ascii="Arial" w:hAnsi="Arial" w:cs="Arial"/>
        </w:rPr>
        <w:t xml:space="preserve">. Odporność chowaczy łodygowych na </w:t>
      </w:r>
      <w:proofErr w:type="spellStart"/>
      <w:r w:rsidRPr="00925BCD">
        <w:rPr>
          <w:rFonts w:ascii="Arial" w:hAnsi="Arial" w:cs="Arial"/>
        </w:rPr>
        <w:t>indoksakarb</w:t>
      </w:r>
      <w:proofErr w:type="spellEnd"/>
      <w:r w:rsidRPr="00925BCD">
        <w:rPr>
          <w:rFonts w:ascii="Arial" w:hAnsi="Arial" w:cs="Arial"/>
        </w:rPr>
        <w:t xml:space="preserve"> i </w:t>
      </w:r>
      <w:proofErr w:type="spellStart"/>
      <w:r w:rsidRPr="00925BCD">
        <w:rPr>
          <w:rFonts w:ascii="Arial" w:hAnsi="Arial" w:cs="Arial"/>
        </w:rPr>
        <w:t>neonikotynoidy</w:t>
      </w:r>
      <w:proofErr w:type="spellEnd"/>
      <w:r w:rsidRPr="00925BCD">
        <w:rPr>
          <w:rFonts w:ascii="Arial" w:hAnsi="Arial" w:cs="Arial"/>
        </w:rPr>
        <w:t xml:space="preserve"> była niższa niż odporność chowacza </w:t>
      </w:r>
      <w:proofErr w:type="spellStart"/>
      <w:r w:rsidRPr="00925BCD">
        <w:rPr>
          <w:rFonts w:ascii="Arial" w:hAnsi="Arial" w:cs="Arial"/>
        </w:rPr>
        <w:t>podobnika</w:t>
      </w:r>
      <w:proofErr w:type="spellEnd"/>
      <w:r w:rsidRPr="00925BCD">
        <w:rPr>
          <w:rFonts w:ascii="Arial" w:hAnsi="Arial" w:cs="Arial"/>
        </w:rPr>
        <w:t xml:space="preserve"> na te same substancje czynne. Wyniki doświadczeń dotyczących odporności </w:t>
      </w:r>
      <w:r w:rsidRPr="00925BCD">
        <w:rPr>
          <w:rFonts w:ascii="Arial" w:hAnsi="Arial" w:cs="Arial"/>
          <w:b/>
        </w:rPr>
        <w:t>słodyszka rzepakowego</w:t>
      </w:r>
      <w:r w:rsidRPr="00925BCD">
        <w:rPr>
          <w:rFonts w:ascii="Arial" w:hAnsi="Arial" w:cs="Arial"/>
        </w:rPr>
        <w:t xml:space="preserve"> wskazują na bardzo wysoką odporność szkodnika na wszystkie substancje z grupy </w:t>
      </w:r>
      <w:proofErr w:type="spellStart"/>
      <w:r w:rsidRPr="00925BCD">
        <w:rPr>
          <w:rFonts w:ascii="Arial" w:hAnsi="Arial" w:cs="Arial"/>
        </w:rPr>
        <w:t>pyretroidów</w:t>
      </w:r>
      <w:proofErr w:type="spellEnd"/>
      <w:r w:rsidRPr="00925BCD">
        <w:rPr>
          <w:rFonts w:ascii="Arial" w:hAnsi="Arial" w:cs="Arial"/>
        </w:rPr>
        <w:t xml:space="preserve">, niewielki poziom odporności na </w:t>
      </w:r>
      <w:proofErr w:type="spellStart"/>
      <w:r w:rsidRPr="00925BCD">
        <w:rPr>
          <w:rFonts w:ascii="Arial" w:hAnsi="Arial" w:cs="Arial"/>
        </w:rPr>
        <w:t>neonikotynoidy</w:t>
      </w:r>
      <w:proofErr w:type="spellEnd"/>
      <w:r w:rsidRPr="00925BCD">
        <w:rPr>
          <w:rFonts w:ascii="Arial" w:hAnsi="Arial" w:cs="Arial"/>
        </w:rPr>
        <w:t xml:space="preserve"> i zróżnicowany poziom odporności na różne substancje z grupy związków fosforoorganicznych. Wykazano wyższy niż w 2017 r. poziom odporności szkodnika na tau-</w:t>
      </w:r>
      <w:proofErr w:type="spellStart"/>
      <w:r w:rsidRPr="00925BCD">
        <w:rPr>
          <w:rFonts w:ascii="Arial" w:hAnsi="Arial" w:cs="Arial"/>
        </w:rPr>
        <w:t>fluwalinat</w:t>
      </w:r>
      <w:proofErr w:type="spellEnd"/>
      <w:r w:rsidRPr="00925BCD">
        <w:rPr>
          <w:rFonts w:ascii="Arial" w:hAnsi="Arial" w:cs="Arial"/>
        </w:rPr>
        <w:t xml:space="preserve"> z grupy </w:t>
      </w:r>
      <w:proofErr w:type="spellStart"/>
      <w:r w:rsidRPr="00925BCD">
        <w:rPr>
          <w:rFonts w:ascii="Arial" w:hAnsi="Arial" w:cs="Arial"/>
        </w:rPr>
        <w:t>pyretroidów</w:t>
      </w:r>
      <w:proofErr w:type="spellEnd"/>
      <w:r w:rsidRPr="00925BCD">
        <w:rPr>
          <w:rFonts w:ascii="Arial" w:hAnsi="Arial" w:cs="Arial"/>
        </w:rPr>
        <w:t>. Wykazano również wpływ różnych formulacji lambda-</w:t>
      </w:r>
      <w:proofErr w:type="spellStart"/>
      <w:r w:rsidRPr="00925BCD">
        <w:rPr>
          <w:rFonts w:ascii="Arial" w:hAnsi="Arial" w:cs="Arial"/>
        </w:rPr>
        <w:t>cyhalotryny</w:t>
      </w:r>
      <w:proofErr w:type="spellEnd"/>
      <w:r w:rsidRPr="00925BCD">
        <w:rPr>
          <w:rFonts w:ascii="Arial" w:hAnsi="Arial" w:cs="Arial"/>
        </w:rPr>
        <w:t xml:space="preserve"> (</w:t>
      </w:r>
      <w:proofErr w:type="spellStart"/>
      <w:r w:rsidRPr="00925BCD">
        <w:rPr>
          <w:rFonts w:ascii="Arial" w:hAnsi="Arial" w:cs="Arial"/>
        </w:rPr>
        <w:t>pyretroidy</w:t>
      </w:r>
      <w:proofErr w:type="spellEnd"/>
      <w:r w:rsidRPr="00925BCD">
        <w:rPr>
          <w:rFonts w:ascii="Arial" w:hAnsi="Arial" w:cs="Arial"/>
        </w:rPr>
        <w:t xml:space="preserve">) na poziom odporności szkodnika. Niższy poziom odporności notowano stosując </w:t>
      </w:r>
      <w:proofErr w:type="spellStart"/>
      <w:r w:rsidRPr="00925BCD">
        <w:rPr>
          <w:rFonts w:ascii="Arial" w:hAnsi="Arial" w:cs="Arial"/>
        </w:rPr>
        <w:t>formulację</w:t>
      </w:r>
      <w:proofErr w:type="spellEnd"/>
      <w:r w:rsidRPr="00925BCD">
        <w:rPr>
          <w:rFonts w:ascii="Arial" w:hAnsi="Arial" w:cs="Arial"/>
        </w:rPr>
        <w:t xml:space="preserve"> WG, wyższy natomiast w przypadku formulacji CS. W grupie </w:t>
      </w:r>
      <w:proofErr w:type="spellStart"/>
      <w:r w:rsidRPr="00925BCD">
        <w:rPr>
          <w:rFonts w:ascii="Arial" w:hAnsi="Arial" w:cs="Arial"/>
        </w:rPr>
        <w:t>neonikotynoidów</w:t>
      </w:r>
      <w:proofErr w:type="spellEnd"/>
      <w:r w:rsidRPr="00925BCD">
        <w:rPr>
          <w:rFonts w:ascii="Arial" w:hAnsi="Arial" w:cs="Arial"/>
        </w:rPr>
        <w:t xml:space="preserve"> odporność szkodnika na </w:t>
      </w:r>
      <w:proofErr w:type="spellStart"/>
      <w:r w:rsidRPr="00925BCD">
        <w:rPr>
          <w:rFonts w:ascii="Arial" w:hAnsi="Arial" w:cs="Arial"/>
        </w:rPr>
        <w:t>acetamipryd</w:t>
      </w:r>
      <w:proofErr w:type="spellEnd"/>
      <w:r w:rsidRPr="00925BCD">
        <w:rPr>
          <w:rFonts w:ascii="Arial" w:hAnsi="Arial" w:cs="Arial"/>
        </w:rPr>
        <w:t xml:space="preserve"> była w większości populacji niższa niż odporność na </w:t>
      </w:r>
      <w:proofErr w:type="spellStart"/>
      <w:r w:rsidRPr="00925BCD">
        <w:rPr>
          <w:rFonts w:ascii="Arial" w:hAnsi="Arial" w:cs="Arial"/>
        </w:rPr>
        <w:t>tiachlopryd</w:t>
      </w:r>
      <w:proofErr w:type="spellEnd"/>
      <w:r w:rsidRPr="00925BCD">
        <w:rPr>
          <w:rFonts w:ascii="Arial" w:hAnsi="Arial" w:cs="Arial"/>
        </w:rPr>
        <w:t xml:space="preserve">. W grupie związków fosforoorganicznych wykazano przesunięcie poziomu wrażliwości szkodnika w kierunku narastania odporności na substancję czynną </w:t>
      </w:r>
      <w:proofErr w:type="spellStart"/>
      <w:r w:rsidRPr="00925BCD">
        <w:rPr>
          <w:rFonts w:ascii="Arial" w:hAnsi="Arial" w:cs="Arial"/>
        </w:rPr>
        <w:t>malation</w:t>
      </w:r>
      <w:proofErr w:type="spellEnd"/>
      <w:r w:rsidRPr="00925BCD">
        <w:rPr>
          <w:rFonts w:ascii="Arial" w:hAnsi="Arial" w:cs="Arial"/>
        </w:rPr>
        <w:t xml:space="preserve"> i </w:t>
      </w:r>
      <w:proofErr w:type="spellStart"/>
      <w:r w:rsidRPr="00925BCD">
        <w:rPr>
          <w:rFonts w:ascii="Arial" w:hAnsi="Arial" w:cs="Arial"/>
        </w:rPr>
        <w:t>fosmet</w:t>
      </w:r>
      <w:proofErr w:type="spellEnd"/>
      <w:r w:rsidRPr="00925BCD">
        <w:rPr>
          <w:rFonts w:ascii="Arial" w:hAnsi="Arial" w:cs="Arial"/>
        </w:rPr>
        <w:t xml:space="preserve">. W przypadku </w:t>
      </w:r>
      <w:proofErr w:type="spellStart"/>
      <w:r w:rsidRPr="00925BCD">
        <w:rPr>
          <w:rFonts w:ascii="Arial" w:hAnsi="Arial" w:cs="Arial"/>
        </w:rPr>
        <w:t>fosmetu</w:t>
      </w:r>
      <w:proofErr w:type="spellEnd"/>
      <w:r w:rsidRPr="00925BCD">
        <w:rPr>
          <w:rFonts w:ascii="Arial" w:hAnsi="Arial" w:cs="Arial"/>
        </w:rPr>
        <w:t xml:space="preserve"> pojedyncze populacje już wykazywały niski poziom odporności. Jest to sytuacja niebezpieczna, wykazująca niekorzystne trendy w kierunku narastania odporności słodyszka rzepakowego na substancje z grupy związków fosforoorganicznych. Przeprowadzono również doświadczenia nad odpornością gąsienic </w:t>
      </w:r>
      <w:proofErr w:type="spellStart"/>
      <w:r w:rsidRPr="00925BCD">
        <w:rPr>
          <w:rFonts w:ascii="Arial" w:hAnsi="Arial" w:cs="Arial"/>
          <w:b/>
        </w:rPr>
        <w:t>tantnisia</w:t>
      </w:r>
      <w:proofErr w:type="spellEnd"/>
      <w:r w:rsidRPr="00925BCD">
        <w:rPr>
          <w:rFonts w:ascii="Arial" w:hAnsi="Arial" w:cs="Arial"/>
          <w:b/>
        </w:rPr>
        <w:t xml:space="preserve"> krzyżowiaczka</w:t>
      </w:r>
      <w:r w:rsidRPr="00925BCD">
        <w:rPr>
          <w:rFonts w:ascii="Arial" w:hAnsi="Arial" w:cs="Arial"/>
        </w:rPr>
        <w:t xml:space="preserve"> wykazując odporność szkodnika na wszystkie testowane substancje czynne ze wszystkich grup chemicznych: </w:t>
      </w:r>
      <w:proofErr w:type="spellStart"/>
      <w:r w:rsidRPr="00925BCD">
        <w:rPr>
          <w:rFonts w:ascii="Arial" w:hAnsi="Arial" w:cs="Arial"/>
        </w:rPr>
        <w:t>pyretroidy</w:t>
      </w:r>
      <w:proofErr w:type="spellEnd"/>
      <w:r w:rsidRPr="00925BCD">
        <w:rPr>
          <w:rFonts w:ascii="Arial" w:hAnsi="Arial" w:cs="Arial"/>
        </w:rPr>
        <w:t xml:space="preserve">, </w:t>
      </w:r>
      <w:proofErr w:type="spellStart"/>
      <w:r w:rsidRPr="00925BCD">
        <w:rPr>
          <w:rFonts w:ascii="Arial" w:hAnsi="Arial" w:cs="Arial"/>
        </w:rPr>
        <w:t>neonikotynoidy</w:t>
      </w:r>
      <w:proofErr w:type="spellEnd"/>
      <w:r w:rsidRPr="00925BCD">
        <w:rPr>
          <w:rFonts w:ascii="Arial" w:hAnsi="Arial" w:cs="Arial"/>
        </w:rPr>
        <w:t xml:space="preserve">, związki fosforoorganiczne i </w:t>
      </w:r>
      <w:proofErr w:type="spellStart"/>
      <w:r w:rsidRPr="00925BCD">
        <w:rPr>
          <w:rFonts w:ascii="Arial" w:hAnsi="Arial" w:cs="Arial"/>
        </w:rPr>
        <w:t>oksadiazyny</w:t>
      </w:r>
      <w:proofErr w:type="spellEnd"/>
      <w:r w:rsidRPr="00925BCD">
        <w:rPr>
          <w:rFonts w:ascii="Arial" w:hAnsi="Arial" w:cs="Arial"/>
        </w:rPr>
        <w:t xml:space="preserve">. Sytuację taką prawdopodobnie wywołała intensywna ochrona </w:t>
      </w:r>
      <w:r w:rsidRPr="00925BCD">
        <w:rPr>
          <w:rFonts w:ascii="Arial" w:hAnsi="Arial" w:cs="Arial"/>
        </w:rPr>
        <w:lastRenderedPageBreak/>
        <w:t xml:space="preserve">chemiczna stosowana w celu zwalczania jesiennych szkodników rzepaku ozimego, po wycofaniu ze stosowania zapraw </w:t>
      </w:r>
      <w:proofErr w:type="spellStart"/>
      <w:r w:rsidRPr="00925BCD">
        <w:rPr>
          <w:rFonts w:ascii="Arial" w:hAnsi="Arial" w:cs="Arial"/>
        </w:rPr>
        <w:t>neonikotynoidowych</w:t>
      </w:r>
      <w:proofErr w:type="spellEnd"/>
      <w:r w:rsidRPr="00925BCD">
        <w:rPr>
          <w:rFonts w:ascii="Arial" w:hAnsi="Arial" w:cs="Arial"/>
        </w:rPr>
        <w:t xml:space="preserve">. Doświadczenia nad odpornością </w:t>
      </w:r>
      <w:r w:rsidRPr="00925BCD">
        <w:rPr>
          <w:rFonts w:ascii="Arial" w:hAnsi="Arial" w:cs="Arial"/>
          <w:b/>
        </w:rPr>
        <w:t xml:space="preserve">chowacza </w:t>
      </w:r>
      <w:proofErr w:type="spellStart"/>
      <w:r w:rsidRPr="00925BCD">
        <w:rPr>
          <w:rFonts w:ascii="Arial" w:hAnsi="Arial" w:cs="Arial"/>
          <w:b/>
        </w:rPr>
        <w:t>podobnika</w:t>
      </w:r>
      <w:proofErr w:type="spellEnd"/>
      <w:r w:rsidRPr="00925BCD">
        <w:rPr>
          <w:rFonts w:ascii="Arial" w:hAnsi="Arial" w:cs="Arial"/>
        </w:rPr>
        <w:t xml:space="preserve"> wykazały narastanie odporności na </w:t>
      </w:r>
      <w:proofErr w:type="spellStart"/>
      <w:r w:rsidRPr="00925BCD">
        <w:rPr>
          <w:rFonts w:ascii="Arial" w:hAnsi="Arial" w:cs="Arial"/>
        </w:rPr>
        <w:t>pyretroidy</w:t>
      </w:r>
      <w:proofErr w:type="spellEnd"/>
      <w:r w:rsidRPr="00925BCD">
        <w:rPr>
          <w:rFonts w:ascii="Arial" w:hAnsi="Arial" w:cs="Arial"/>
        </w:rPr>
        <w:t xml:space="preserve"> – dotychczas bardzo skuteczne w zwalczaniu tego gatunku chowacza. Zaobserwowane zjawisko, oprócz wykazanego w latach ubiegłych tau-</w:t>
      </w:r>
      <w:proofErr w:type="spellStart"/>
      <w:r w:rsidRPr="00925BCD">
        <w:rPr>
          <w:rFonts w:ascii="Arial" w:hAnsi="Arial" w:cs="Arial"/>
        </w:rPr>
        <w:t>fluwalinatu</w:t>
      </w:r>
      <w:proofErr w:type="spellEnd"/>
      <w:r w:rsidRPr="00925BCD">
        <w:rPr>
          <w:rFonts w:ascii="Arial" w:hAnsi="Arial" w:cs="Arial"/>
        </w:rPr>
        <w:t xml:space="preserve">, narasta również w odniesieniu do dwóch innych substancji czynnych z grupy </w:t>
      </w:r>
      <w:proofErr w:type="spellStart"/>
      <w:r w:rsidRPr="00925BCD">
        <w:rPr>
          <w:rFonts w:ascii="Arial" w:hAnsi="Arial" w:cs="Arial"/>
        </w:rPr>
        <w:t>pyretroidów</w:t>
      </w:r>
      <w:proofErr w:type="spellEnd"/>
      <w:r w:rsidRPr="00925BCD">
        <w:rPr>
          <w:rFonts w:ascii="Arial" w:hAnsi="Arial" w:cs="Arial"/>
        </w:rPr>
        <w:t xml:space="preserve">: </w:t>
      </w:r>
      <w:proofErr w:type="spellStart"/>
      <w:r w:rsidRPr="00925BCD">
        <w:rPr>
          <w:rFonts w:ascii="Arial" w:hAnsi="Arial" w:cs="Arial"/>
        </w:rPr>
        <w:t>deltametryny</w:t>
      </w:r>
      <w:proofErr w:type="spellEnd"/>
      <w:r w:rsidRPr="00925BCD">
        <w:rPr>
          <w:rFonts w:ascii="Arial" w:hAnsi="Arial" w:cs="Arial"/>
        </w:rPr>
        <w:t xml:space="preserve"> (znaczne obniżenie wrażliwości, ale jeszcze nie odporność) oraz zeta-</w:t>
      </w:r>
      <w:proofErr w:type="spellStart"/>
      <w:r w:rsidRPr="00925BCD">
        <w:rPr>
          <w:rFonts w:ascii="Arial" w:hAnsi="Arial" w:cs="Arial"/>
        </w:rPr>
        <w:t>cypermetryny</w:t>
      </w:r>
      <w:proofErr w:type="spellEnd"/>
      <w:r w:rsidRPr="00925BCD">
        <w:rPr>
          <w:rFonts w:ascii="Arial" w:hAnsi="Arial" w:cs="Arial"/>
        </w:rPr>
        <w:t xml:space="preserve"> (pojedyncze, słabo odporne populacje). Jest to nowa sytuacja, po raz pierwszy zaobserwowana w 2018 r. Badania poziomu wrażliwości wybranych populacji </w:t>
      </w:r>
      <w:r w:rsidRPr="00925BCD">
        <w:rPr>
          <w:rFonts w:ascii="Arial" w:hAnsi="Arial" w:cs="Arial"/>
          <w:b/>
        </w:rPr>
        <w:t>mszycy zbożowej i grochowej</w:t>
      </w:r>
      <w:r w:rsidRPr="00925BCD">
        <w:rPr>
          <w:rFonts w:ascii="Arial" w:hAnsi="Arial" w:cs="Arial"/>
        </w:rPr>
        <w:t xml:space="preserve"> z różnych regionów kraju wykazały większą odporność obydwu gatunków na lambda-</w:t>
      </w:r>
      <w:proofErr w:type="spellStart"/>
      <w:r w:rsidRPr="00925BCD">
        <w:rPr>
          <w:rFonts w:ascii="Arial" w:hAnsi="Arial" w:cs="Arial"/>
        </w:rPr>
        <w:t>cyhalotrynę</w:t>
      </w:r>
      <w:proofErr w:type="spellEnd"/>
      <w:r w:rsidRPr="00925BCD">
        <w:rPr>
          <w:rFonts w:ascii="Arial" w:hAnsi="Arial" w:cs="Arial"/>
        </w:rPr>
        <w:t xml:space="preserve"> i </w:t>
      </w:r>
      <w:proofErr w:type="spellStart"/>
      <w:r w:rsidRPr="00925BCD">
        <w:rPr>
          <w:rFonts w:ascii="Arial" w:hAnsi="Arial" w:cs="Arial"/>
        </w:rPr>
        <w:t>deltametrynę</w:t>
      </w:r>
      <w:proofErr w:type="spellEnd"/>
      <w:r w:rsidRPr="00925BCD">
        <w:rPr>
          <w:rFonts w:ascii="Arial" w:hAnsi="Arial" w:cs="Arial"/>
        </w:rPr>
        <w:t xml:space="preserve">, szczególnie populacji pochodzących z rejonu województwa wielkopolskiego i zachodnio-pomorskiego. Z kolei większą wrażliwość wykazano u populacji mszyc pochodzących z regionu lubelskiego i podkarpackiego. Natomiast w każdym z przypadków stwierdzono wysoką wrażliwość obu gatunków mszyc na </w:t>
      </w:r>
      <w:proofErr w:type="spellStart"/>
      <w:r w:rsidRPr="00925BCD">
        <w:rPr>
          <w:rFonts w:ascii="Arial" w:hAnsi="Arial" w:cs="Arial"/>
        </w:rPr>
        <w:t>acetamipryd</w:t>
      </w:r>
      <w:proofErr w:type="spellEnd"/>
      <w:r w:rsidRPr="00925BCD">
        <w:rPr>
          <w:rFonts w:ascii="Arial" w:hAnsi="Arial" w:cs="Arial"/>
        </w:rPr>
        <w:t xml:space="preserve"> i </w:t>
      </w:r>
      <w:proofErr w:type="spellStart"/>
      <w:r w:rsidRPr="00925BCD">
        <w:rPr>
          <w:rFonts w:ascii="Arial" w:hAnsi="Arial" w:cs="Arial"/>
        </w:rPr>
        <w:t>chloropiryfos</w:t>
      </w:r>
      <w:proofErr w:type="spellEnd"/>
      <w:r w:rsidRPr="00925BCD">
        <w:rPr>
          <w:rFonts w:ascii="Arial" w:hAnsi="Arial" w:cs="Arial"/>
        </w:rPr>
        <w:t xml:space="preserve"> (blisko 100% śmiertelność). Doświadczenia nad poziomem odporności </w:t>
      </w:r>
      <w:r w:rsidRPr="00925BCD">
        <w:rPr>
          <w:rFonts w:ascii="Arial" w:hAnsi="Arial" w:cs="Arial"/>
          <w:b/>
        </w:rPr>
        <w:t>mszycy brzoskwiniowej</w:t>
      </w:r>
      <w:r w:rsidRPr="00925BCD">
        <w:rPr>
          <w:rFonts w:ascii="Arial" w:hAnsi="Arial" w:cs="Arial"/>
        </w:rPr>
        <w:t xml:space="preserve"> wykazały wysoki poziom odporności szkodnika na wszystkie badane substancje czynne z grupy </w:t>
      </w:r>
      <w:proofErr w:type="spellStart"/>
      <w:r w:rsidRPr="00925BCD">
        <w:rPr>
          <w:rFonts w:ascii="Arial" w:hAnsi="Arial" w:cs="Arial"/>
        </w:rPr>
        <w:t>pyretroidów</w:t>
      </w:r>
      <w:proofErr w:type="spellEnd"/>
      <w:r w:rsidRPr="00925BCD">
        <w:rPr>
          <w:rFonts w:ascii="Arial" w:hAnsi="Arial" w:cs="Arial"/>
        </w:rPr>
        <w:t xml:space="preserve">. Bardzo wysoka była również odporność szkodnika na </w:t>
      </w:r>
      <w:proofErr w:type="spellStart"/>
      <w:r w:rsidRPr="00925BCD">
        <w:rPr>
          <w:rFonts w:ascii="Arial" w:hAnsi="Arial" w:cs="Arial"/>
        </w:rPr>
        <w:t>indoksakarb</w:t>
      </w:r>
      <w:proofErr w:type="spellEnd"/>
      <w:r w:rsidRPr="00925BCD">
        <w:rPr>
          <w:rFonts w:ascii="Arial" w:hAnsi="Arial" w:cs="Arial"/>
        </w:rPr>
        <w:t xml:space="preserve"> z grupy </w:t>
      </w:r>
      <w:proofErr w:type="spellStart"/>
      <w:r w:rsidRPr="00925BCD">
        <w:rPr>
          <w:rFonts w:ascii="Arial" w:hAnsi="Arial" w:cs="Arial"/>
        </w:rPr>
        <w:t>oksadiazyn</w:t>
      </w:r>
      <w:proofErr w:type="spellEnd"/>
      <w:r w:rsidRPr="00925BCD">
        <w:rPr>
          <w:rFonts w:ascii="Arial" w:hAnsi="Arial" w:cs="Arial"/>
        </w:rPr>
        <w:t xml:space="preserve">. Szkodnik wykazywał natomiast wrażliwość na </w:t>
      </w:r>
      <w:proofErr w:type="spellStart"/>
      <w:r w:rsidRPr="00925BCD">
        <w:rPr>
          <w:rFonts w:ascii="Arial" w:hAnsi="Arial" w:cs="Arial"/>
        </w:rPr>
        <w:t>neonikotynoidy</w:t>
      </w:r>
      <w:proofErr w:type="spellEnd"/>
      <w:r w:rsidRPr="00925BCD">
        <w:rPr>
          <w:rFonts w:ascii="Arial" w:hAnsi="Arial" w:cs="Arial"/>
        </w:rPr>
        <w:t xml:space="preserve">, przy czym wyższą wrażliwość odnotowano w odniesieniu do </w:t>
      </w:r>
      <w:proofErr w:type="spellStart"/>
      <w:r w:rsidRPr="00925BCD">
        <w:rPr>
          <w:rFonts w:ascii="Arial" w:hAnsi="Arial" w:cs="Arial"/>
        </w:rPr>
        <w:t>acetamiprydu</w:t>
      </w:r>
      <w:proofErr w:type="spellEnd"/>
      <w:r w:rsidRPr="00925BCD">
        <w:rPr>
          <w:rFonts w:ascii="Arial" w:hAnsi="Arial" w:cs="Arial"/>
        </w:rPr>
        <w:t xml:space="preserve"> niż w odniesieniu do </w:t>
      </w:r>
      <w:proofErr w:type="spellStart"/>
      <w:r w:rsidRPr="00925BCD">
        <w:rPr>
          <w:rFonts w:ascii="Arial" w:hAnsi="Arial" w:cs="Arial"/>
        </w:rPr>
        <w:t>tiachloprydu</w:t>
      </w:r>
      <w:proofErr w:type="spellEnd"/>
      <w:r w:rsidRPr="00925BCD">
        <w:rPr>
          <w:rFonts w:ascii="Arial" w:hAnsi="Arial" w:cs="Arial"/>
        </w:rPr>
        <w:t xml:space="preserve">. Problem pojawił się również w grupie związków fosforoorganicznych. Pojedyncze populacje wykazywały już niski poziom odporności na </w:t>
      </w:r>
      <w:proofErr w:type="spellStart"/>
      <w:r w:rsidRPr="00925BCD">
        <w:rPr>
          <w:rFonts w:ascii="Arial" w:hAnsi="Arial" w:cs="Arial"/>
        </w:rPr>
        <w:t>chloropiryfos</w:t>
      </w:r>
      <w:proofErr w:type="spellEnd"/>
      <w:r w:rsidRPr="00925BCD">
        <w:rPr>
          <w:rFonts w:ascii="Arial" w:hAnsi="Arial" w:cs="Arial"/>
        </w:rPr>
        <w:t xml:space="preserve">, natomiast odporność na </w:t>
      </w:r>
      <w:proofErr w:type="spellStart"/>
      <w:r w:rsidRPr="00925BCD">
        <w:rPr>
          <w:rFonts w:ascii="Arial" w:hAnsi="Arial" w:cs="Arial"/>
        </w:rPr>
        <w:t>fosmet</w:t>
      </w:r>
      <w:proofErr w:type="spellEnd"/>
      <w:r w:rsidRPr="00925BCD">
        <w:rPr>
          <w:rFonts w:ascii="Arial" w:hAnsi="Arial" w:cs="Arial"/>
        </w:rPr>
        <w:t xml:space="preserve"> była wysoka. Porównano otrzymane wyniki badań laboratoryjnych z doświadczeniami polowymi. Wykazano, iż w warunkach polowych, na skutek silnego, systemicznego działania </w:t>
      </w:r>
      <w:proofErr w:type="spellStart"/>
      <w:r w:rsidRPr="00925BCD">
        <w:rPr>
          <w:rFonts w:ascii="Arial" w:hAnsi="Arial" w:cs="Arial"/>
        </w:rPr>
        <w:t>acetamiprydu</w:t>
      </w:r>
      <w:proofErr w:type="spellEnd"/>
      <w:r w:rsidRPr="00925BCD">
        <w:rPr>
          <w:rFonts w:ascii="Arial" w:hAnsi="Arial" w:cs="Arial"/>
        </w:rPr>
        <w:t xml:space="preserve">, różnica w skuteczności </w:t>
      </w:r>
      <w:proofErr w:type="spellStart"/>
      <w:r w:rsidRPr="00925BCD">
        <w:rPr>
          <w:rFonts w:ascii="Arial" w:hAnsi="Arial" w:cs="Arial"/>
        </w:rPr>
        <w:t>acetamiprydu</w:t>
      </w:r>
      <w:proofErr w:type="spellEnd"/>
      <w:r w:rsidRPr="00925BCD">
        <w:rPr>
          <w:rFonts w:ascii="Arial" w:hAnsi="Arial" w:cs="Arial"/>
        </w:rPr>
        <w:t xml:space="preserve"> w porównaniu z </w:t>
      </w:r>
      <w:proofErr w:type="spellStart"/>
      <w:r w:rsidRPr="00925BCD">
        <w:rPr>
          <w:rFonts w:ascii="Arial" w:hAnsi="Arial" w:cs="Arial"/>
        </w:rPr>
        <w:t>chloropiryfosem</w:t>
      </w:r>
      <w:proofErr w:type="spellEnd"/>
      <w:r w:rsidRPr="00925BCD">
        <w:rPr>
          <w:rFonts w:ascii="Arial" w:hAnsi="Arial" w:cs="Arial"/>
        </w:rPr>
        <w:t xml:space="preserve">, była jeszcze wyższa niż w przypadku doświadczeń laboratoryjnych. W odniesieniu do mszycy brzoskwiniowej prowadzone były również doświadczenia z użyciem </w:t>
      </w:r>
      <w:proofErr w:type="spellStart"/>
      <w:r w:rsidRPr="00925BCD">
        <w:rPr>
          <w:rFonts w:ascii="Arial" w:hAnsi="Arial" w:cs="Arial"/>
        </w:rPr>
        <w:t>blokerów</w:t>
      </w:r>
      <w:proofErr w:type="spellEnd"/>
      <w:r w:rsidRPr="00925BCD">
        <w:rPr>
          <w:rFonts w:ascii="Arial" w:hAnsi="Arial" w:cs="Arial"/>
        </w:rPr>
        <w:t xml:space="preserve"> enzymów (enzymów oksydacyjnych, esteraz i transferaz </w:t>
      </w:r>
      <w:proofErr w:type="spellStart"/>
      <w:r w:rsidRPr="00925BCD">
        <w:rPr>
          <w:rFonts w:ascii="Arial" w:hAnsi="Arial" w:cs="Arial"/>
        </w:rPr>
        <w:t>glutationu</w:t>
      </w:r>
      <w:proofErr w:type="spellEnd"/>
      <w:r w:rsidRPr="00925BCD">
        <w:rPr>
          <w:rFonts w:ascii="Arial" w:hAnsi="Arial" w:cs="Arial"/>
        </w:rPr>
        <w:t xml:space="preserve">) nad mechanizmami odporności na </w:t>
      </w:r>
      <w:proofErr w:type="spellStart"/>
      <w:r w:rsidRPr="00925BCD">
        <w:rPr>
          <w:rFonts w:ascii="Arial" w:hAnsi="Arial" w:cs="Arial"/>
        </w:rPr>
        <w:t>pyretroidy</w:t>
      </w:r>
      <w:proofErr w:type="spellEnd"/>
      <w:r w:rsidRPr="00925BCD">
        <w:rPr>
          <w:rFonts w:ascii="Arial" w:hAnsi="Arial" w:cs="Arial"/>
        </w:rPr>
        <w:t xml:space="preserve">. Doświadczenia te nie wykazały istotnego wypływu żadnej z testowanych grup enzymów na poziom odporności szkodnika na </w:t>
      </w:r>
      <w:proofErr w:type="spellStart"/>
      <w:r w:rsidRPr="00925BCD">
        <w:rPr>
          <w:rFonts w:ascii="Arial" w:hAnsi="Arial" w:cs="Arial"/>
        </w:rPr>
        <w:t>pyretroidy</w:t>
      </w:r>
      <w:proofErr w:type="spellEnd"/>
      <w:r w:rsidRPr="00925BCD">
        <w:rPr>
          <w:rFonts w:ascii="Arial" w:hAnsi="Arial" w:cs="Arial"/>
        </w:rPr>
        <w:t xml:space="preserve">. Prowadzone były również doświadczenia nad odpornością </w:t>
      </w:r>
      <w:r w:rsidRPr="00925BCD">
        <w:rPr>
          <w:rFonts w:ascii="Arial" w:hAnsi="Arial" w:cs="Arial"/>
          <w:b/>
        </w:rPr>
        <w:t>stonki ziemniaczanej</w:t>
      </w:r>
      <w:r w:rsidRPr="00925BCD">
        <w:rPr>
          <w:rFonts w:ascii="Arial" w:hAnsi="Arial" w:cs="Arial"/>
        </w:rPr>
        <w:t xml:space="preserve"> - podobnie jak w poprzednim przypadku wykazano dość znaczny poziom odporności stonki ziemniaczanej na substancje z grupy </w:t>
      </w:r>
      <w:proofErr w:type="spellStart"/>
      <w:r w:rsidRPr="00925BCD">
        <w:rPr>
          <w:rFonts w:ascii="Arial" w:hAnsi="Arial" w:cs="Arial"/>
        </w:rPr>
        <w:t>pyretroidów</w:t>
      </w:r>
      <w:proofErr w:type="spellEnd"/>
      <w:r w:rsidRPr="00925BCD">
        <w:rPr>
          <w:rFonts w:ascii="Arial" w:hAnsi="Arial" w:cs="Arial"/>
        </w:rPr>
        <w:t xml:space="preserve"> oraz na </w:t>
      </w:r>
      <w:proofErr w:type="spellStart"/>
      <w:r w:rsidRPr="00925BCD">
        <w:rPr>
          <w:rFonts w:ascii="Arial" w:hAnsi="Arial" w:cs="Arial"/>
        </w:rPr>
        <w:t>indoksakarb</w:t>
      </w:r>
      <w:proofErr w:type="spellEnd"/>
      <w:r w:rsidRPr="00925BCD">
        <w:rPr>
          <w:rFonts w:ascii="Arial" w:hAnsi="Arial" w:cs="Arial"/>
        </w:rPr>
        <w:t xml:space="preserve"> z grupy </w:t>
      </w:r>
      <w:proofErr w:type="spellStart"/>
      <w:r w:rsidRPr="00925BCD">
        <w:rPr>
          <w:rFonts w:ascii="Arial" w:hAnsi="Arial" w:cs="Arial"/>
        </w:rPr>
        <w:t>oksadiazyn</w:t>
      </w:r>
      <w:proofErr w:type="spellEnd"/>
      <w:r w:rsidRPr="00925BCD">
        <w:rPr>
          <w:rFonts w:ascii="Arial" w:hAnsi="Arial" w:cs="Arial"/>
        </w:rPr>
        <w:t xml:space="preserve">. Nie wykazano odporności szkodnika na </w:t>
      </w:r>
      <w:proofErr w:type="spellStart"/>
      <w:r w:rsidRPr="00925BCD">
        <w:rPr>
          <w:rFonts w:ascii="Arial" w:hAnsi="Arial" w:cs="Arial"/>
        </w:rPr>
        <w:t>neonikotynoidy</w:t>
      </w:r>
      <w:proofErr w:type="spellEnd"/>
      <w:r w:rsidRPr="00925BCD">
        <w:rPr>
          <w:rFonts w:ascii="Arial" w:hAnsi="Arial" w:cs="Arial"/>
        </w:rPr>
        <w:t xml:space="preserve">, natomiast w grupie związków fosforoorganicznych zaobserwowano niski poziom odporności na </w:t>
      </w:r>
      <w:proofErr w:type="spellStart"/>
      <w:r w:rsidRPr="00925BCD">
        <w:rPr>
          <w:rFonts w:ascii="Arial" w:hAnsi="Arial" w:cs="Arial"/>
        </w:rPr>
        <w:t>chloropiryfos</w:t>
      </w:r>
      <w:proofErr w:type="spellEnd"/>
      <w:r w:rsidRPr="00925BCD">
        <w:rPr>
          <w:rFonts w:ascii="Arial" w:hAnsi="Arial" w:cs="Arial"/>
        </w:rPr>
        <w:t xml:space="preserve"> i wysoki poziom odporności na </w:t>
      </w:r>
      <w:proofErr w:type="spellStart"/>
      <w:r w:rsidRPr="00925BCD">
        <w:rPr>
          <w:rFonts w:ascii="Arial" w:hAnsi="Arial" w:cs="Arial"/>
        </w:rPr>
        <w:t>malation</w:t>
      </w:r>
      <w:proofErr w:type="spellEnd"/>
      <w:r w:rsidRPr="00925BCD">
        <w:rPr>
          <w:rFonts w:ascii="Arial" w:hAnsi="Arial" w:cs="Arial"/>
        </w:rPr>
        <w:t xml:space="preserve">. Zmiany w poziomie odporności w porównaniu z latami poprzednimi zaobserwowano w przypadku </w:t>
      </w:r>
      <w:r w:rsidRPr="00925BCD">
        <w:rPr>
          <w:rFonts w:ascii="Arial" w:hAnsi="Arial" w:cs="Arial"/>
          <w:b/>
        </w:rPr>
        <w:t>zachodniej kukurydzianej stonki korzeniowej</w:t>
      </w:r>
      <w:r w:rsidRPr="00925BCD">
        <w:rPr>
          <w:rFonts w:ascii="Arial" w:hAnsi="Arial" w:cs="Arial"/>
        </w:rPr>
        <w:t xml:space="preserve">. Wykazano zróżnicowany poziom odporności szkodnika na różne substancje czynne z grupy </w:t>
      </w:r>
      <w:proofErr w:type="spellStart"/>
      <w:r w:rsidRPr="00925BCD">
        <w:rPr>
          <w:rFonts w:ascii="Arial" w:hAnsi="Arial" w:cs="Arial"/>
        </w:rPr>
        <w:t>pyretroidów</w:t>
      </w:r>
      <w:proofErr w:type="spellEnd"/>
      <w:r w:rsidRPr="00925BCD">
        <w:rPr>
          <w:rFonts w:ascii="Arial" w:hAnsi="Arial" w:cs="Arial"/>
        </w:rPr>
        <w:t xml:space="preserve">. Od niskiego w odniesieniu do </w:t>
      </w:r>
      <w:proofErr w:type="spellStart"/>
      <w:r w:rsidRPr="00925BCD">
        <w:rPr>
          <w:rFonts w:ascii="Arial" w:hAnsi="Arial" w:cs="Arial"/>
        </w:rPr>
        <w:t>deltametryny</w:t>
      </w:r>
      <w:proofErr w:type="spellEnd"/>
      <w:r w:rsidRPr="00925BCD">
        <w:rPr>
          <w:rFonts w:ascii="Arial" w:hAnsi="Arial" w:cs="Arial"/>
        </w:rPr>
        <w:t xml:space="preserve"> do wysokiego w odniesieniu do tau-</w:t>
      </w:r>
      <w:proofErr w:type="spellStart"/>
      <w:r w:rsidRPr="00925BCD">
        <w:rPr>
          <w:rFonts w:ascii="Arial" w:hAnsi="Arial" w:cs="Arial"/>
        </w:rPr>
        <w:t>fluwalinatu</w:t>
      </w:r>
      <w:proofErr w:type="spellEnd"/>
      <w:r w:rsidRPr="00925BCD">
        <w:rPr>
          <w:rFonts w:ascii="Arial" w:hAnsi="Arial" w:cs="Arial"/>
        </w:rPr>
        <w:t xml:space="preserve">. Pojedyncze populacje wykazywały też już niski poziom odporności na </w:t>
      </w:r>
      <w:proofErr w:type="spellStart"/>
      <w:r w:rsidRPr="00925BCD">
        <w:rPr>
          <w:rFonts w:ascii="Arial" w:hAnsi="Arial" w:cs="Arial"/>
        </w:rPr>
        <w:t>indoksakarb</w:t>
      </w:r>
      <w:proofErr w:type="spellEnd"/>
      <w:r w:rsidRPr="00925BCD">
        <w:rPr>
          <w:rFonts w:ascii="Arial" w:hAnsi="Arial" w:cs="Arial"/>
        </w:rPr>
        <w:t xml:space="preserve">, czego nie było w poprzednich latach. Skuteczne były </w:t>
      </w:r>
      <w:proofErr w:type="spellStart"/>
      <w:r w:rsidRPr="00925BCD">
        <w:rPr>
          <w:rFonts w:ascii="Arial" w:hAnsi="Arial" w:cs="Arial"/>
        </w:rPr>
        <w:t>neonikotynoidy</w:t>
      </w:r>
      <w:proofErr w:type="spellEnd"/>
      <w:r w:rsidRPr="00925BCD">
        <w:rPr>
          <w:rFonts w:ascii="Arial" w:hAnsi="Arial" w:cs="Arial"/>
        </w:rPr>
        <w:t xml:space="preserve"> i związki fosforoorganiczne. U stonki kukurydzianej, w przeciwieństwie do pozostałych, badanych gatunków owadów wyraźnie zaznaczyły się różnice terytorialne w występowaniu odporności. Wspomniane powyżej informacje dotyczą populacji z Polski wschodniej. Natomiast populacje pochodzące ze Śląska nie wykazywały odporności na żadne z testowanych substancji czynnych, co jest związane ze znacznie mniejszą intensyfikacją ochrony </w:t>
      </w:r>
      <w:r w:rsidRPr="00925BCD">
        <w:rPr>
          <w:rFonts w:ascii="Arial" w:hAnsi="Arial" w:cs="Arial"/>
        </w:rPr>
        <w:lastRenderedPageBreak/>
        <w:t>chemicznej upraw kukurydzy przed szkodnikami w tym rejonie. Doświadczenia nad mechanizmami odporności chrząszczy stonki kukurydzianej nie wykazały, podobnie, jak w przypadku mszycy brzoskwiniowej, udziału żadnej z badanych grup enzymów w odporności na tau-</w:t>
      </w:r>
      <w:proofErr w:type="spellStart"/>
      <w:r w:rsidRPr="00925BCD">
        <w:rPr>
          <w:rFonts w:ascii="Arial" w:hAnsi="Arial" w:cs="Arial"/>
        </w:rPr>
        <w:t>fluwalinat</w:t>
      </w:r>
      <w:proofErr w:type="spellEnd"/>
      <w:r w:rsidRPr="00925BCD">
        <w:rPr>
          <w:rFonts w:ascii="Arial" w:hAnsi="Arial" w:cs="Arial"/>
        </w:rPr>
        <w:t xml:space="preserve">. Wśród owadów, prowadzono również doświadczenia monitoringowe nad poziomem odporności pszczoły miodnej i trzmieli – dwóch, ważnych gospodarczo gatunków zapylających, których wrażliwość na insektycydy, w sytuacji panującego obecnie syndromu ginięcia pszczół, musi być uwzględniana w strategiach redukcji ryzyka odporności. Badania prowadzono w dużych izolatorach polowych pokrytych przewiewnym materiałem. Doświadczenia nad odpornością trzmieli wykazały odporność tych owadów na </w:t>
      </w:r>
      <w:proofErr w:type="spellStart"/>
      <w:r w:rsidRPr="00925BCD">
        <w:rPr>
          <w:rFonts w:ascii="Arial" w:hAnsi="Arial" w:cs="Arial"/>
        </w:rPr>
        <w:t>acetamipryd</w:t>
      </w:r>
      <w:proofErr w:type="spellEnd"/>
      <w:r w:rsidRPr="00925BCD">
        <w:rPr>
          <w:rFonts w:ascii="Arial" w:hAnsi="Arial" w:cs="Arial"/>
        </w:rPr>
        <w:t xml:space="preserve">, </w:t>
      </w:r>
      <w:proofErr w:type="spellStart"/>
      <w:r w:rsidRPr="00925BCD">
        <w:rPr>
          <w:rFonts w:ascii="Arial" w:hAnsi="Arial" w:cs="Arial"/>
        </w:rPr>
        <w:t>deltametrynę</w:t>
      </w:r>
      <w:proofErr w:type="spellEnd"/>
      <w:r w:rsidRPr="00925BCD">
        <w:rPr>
          <w:rFonts w:ascii="Arial" w:hAnsi="Arial" w:cs="Arial"/>
        </w:rPr>
        <w:t>, lambda-</w:t>
      </w:r>
      <w:proofErr w:type="spellStart"/>
      <w:r w:rsidRPr="00925BCD">
        <w:rPr>
          <w:rFonts w:ascii="Arial" w:hAnsi="Arial" w:cs="Arial"/>
        </w:rPr>
        <w:t>cyhalotrynę</w:t>
      </w:r>
      <w:proofErr w:type="spellEnd"/>
      <w:r w:rsidRPr="00925BCD">
        <w:rPr>
          <w:rFonts w:ascii="Arial" w:hAnsi="Arial" w:cs="Arial"/>
        </w:rPr>
        <w:t xml:space="preserve"> i </w:t>
      </w:r>
      <w:proofErr w:type="spellStart"/>
      <w:r w:rsidRPr="00925BCD">
        <w:rPr>
          <w:rFonts w:ascii="Arial" w:hAnsi="Arial" w:cs="Arial"/>
        </w:rPr>
        <w:t>indoksakarb</w:t>
      </w:r>
      <w:proofErr w:type="spellEnd"/>
      <w:r w:rsidRPr="00925BCD">
        <w:rPr>
          <w:rFonts w:ascii="Arial" w:hAnsi="Arial" w:cs="Arial"/>
        </w:rPr>
        <w:t>. Badania nad odpornością pszczoły miodnej nie wykazały żadnych oznak toksyczności po zastosowaniu lambda-</w:t>
      </w:r>
      <w:proofErr w:type="spellStart"/>
      <w:r w:rsidRPr="00925BCD">
        <w:rPr>
          <w:rFonts w:ascii="Arial" w:hAnsi="Arial" w:cs="Arial"/>
        </w:rPr>
        <w:t>cyhalotryny</w:t>
      </w:r>
      <w:proofErr w:type="spellEnd"/>
      <w:r w:rsidRPr="00925BCD">
        <w:rPr>
          <w:rFonts w:ascii="Arial" w:hAnsi="Arial" w:cs="Arial"/>
        </w:rPr>
        <w:t xml:space="preserve">, </w:t>
      </w:r>
      <w:proofErr w:type="spellStart"/>
      <w:r w:rsidRPr="00925BCD">
        <w:rPr>
          <w:rFonts w:ascii="Arial" w:hAnsi="Arial" w:cs="Arial"/>
        </w:rPr>
        <w:t>deltametryny</w:t>
      </w:r>
      <w:proofErr w:type="spellEnd"/>
      <w:r w:rsidRPr="00925BCD">
        <w:rPr>
          <w:rFonts w:ascii="Arial" w:hAnsi="Arial" w:cs="Arial"/>
        </w:rPr>
        <w:t xml:space="preserve">, </w:t>
      </w:r>
      <w:proofErr w:type="spellStart"/>
      <w:r w:rsidRPr="00925BCD">
        <w:rPr>
          <w:rFonts w:ascii="Arial" w:hAnsi="Arial" w:cs="Arial"/>
        </w:rPr>
        <w:t>acetamiprydu</w:t>
      </w:r>
      <w:proofErr w:type="spellEnd"/>
      <w:r w:rsidRPr="00925BCD">
        <w:rPr>
          <w:rFonts w:ascii="Arial" w:hAnsi="Arial" w:cs="Arial"/>
        </w:rPr>
        <w:t xml:space="preserve"> i </w:t>
      </w:r>
      <w:proofErr w:type="spellStart"/>
      <w:r w:rsidRPr="00925BCD">
        <w:rPr>
          <w:rFonts w:ascii="Arial" w:hAnsi="Arial" w:cs="Arial"/>
        </w:rPr>
        <w:t>indoksakarbu</w:t>
      </w:r>
      <w:proofErr w:type="spellEnd"/>
      <w:r w:rsidRPr="00925BCD">
        <w:rPr>
          <w:rFonts w:ascii="Arial" w:hAnsi="Arial" w:cs="Arial"/>
        </w:rPr>
        <w:t xml:space="preserve">. W przypadku </w:t>
      </w:r>
      <w:proofErr w:type="spellStart"/>
      <w:r w:rsidRPr="00925BCD">
        <w:rPr>
          <w:rFonts w:ascii="Arial" w:hAnsi="Arial" w:cs="Arial"/>
        </w:rPr>
        <w:t>chloropiryfosu</w:t>
      </w:r>
      <w:proofErr w:type="spellEnd"/>
      <w:r w:rsidRPr="00925BCD">
        <w:rPr>
          <w:rFonts w:ascii="Arial" w:hAnsi="Arial" w:cs="Arial"/>
        </w:rPr>
        <w:t xml:space="preserve">, w jednym doświadczeniu zaobserwowano ubytki pszczół, lecz po pewnym czasie rodzina wróciła do normalnego funkcjonowania. Badano również toksyczność najgroźniejszych </w:t>
      </w:r>
      <w:proofErr w:type="spellStart"/>
      <w:r w:rsidRPr="00925BCD">
        <w:rPr>
          <w:rFonts w:ascii="Arial" w:hAnsi="Arial" w:cs="Arial"/>
        </w:rPr>
        <w:t>neonikotynoidów</w:t>
      </w:r>
      <w:proofErr w:type="spellEnd"/>
      <w:r w:rsidRPr="00925BCD">
        <w:rPr>
          <w:rFonts w:ascii="Arial" w:hAnsi="Arial" w:cs="Arial"/>
        </w:rPr>
        <w:t xml:space="preserve">: </w:t>
      </w:r>
      <w:proofErr w:type="spellStart"/>
      <w:r w:rsidRPr="00925BCD">
        <w:rPr>
          <w:rFonts w:ascii="Arial" w:hAnsi="Arial" w:cs="Arial"/>
        </w:rPr>
        <w:t>chlotianidyny</w:t>
      </w:r>
      <w:proofErr w:type="spellEnd"/>
      <w:r w:rsidRPr="00925BCD">
        <w:rPr>
          <w:rFonts w:ascii="Arial" w:hAnsi="Arial" w:cs="Arial"/>
        </w:rPr>
        <w:t xml:space="preserve">, </w:t>
      </w:r>
      <w:proofErr w:type="spellStart"/>
      <w:r w:rsidRPr="00925BCD">
        <w:rPr>
          <w:rFonts w:ascii="Arial" w:hAnsi="Arial" w:cs="Arial"/>
        </w:rPr>
        <w:t>tiametoksamu</w:t>
      </w:r>
      <w:proofErr w:type="spellEnd"/>
      <w:r w:rsidRPr="00925BCD">
        <w:rPr>
          <w:rFonts w:ascii="Arial" w:hAnsi="Arial" w:cs="Arial"/>
        </w:rPr>
        <w:t xml:space="preserve"> i </w:t>
      </w:r>
      <w:proofErr w:type="spellStart"/>
      <w:r w:rsidRPr="00925BCD">
        <w:rPr>
          <w:rFonts w:ascii="Arial" w:hAnsi="Arial" w:cs="Arial"/>
        </w:rPr>
        <w:t>imidachlorpydu</w:t>
      </w:r>
      <w:proofErr w:type="spellEnd"/>
      <w:r w:rsidRPr="00925BCD">
        <w:rPr>
          <w:rFonts w:ascii="Arial" w:hAnsi="Arial" w:cs="Arial"/>
        </w:rPr>
        <w:t xml:space="preserve">. Należy w tym miejscu podkreślić, że w poniższym opisie zawarto wyniki dotyczące reakcji pszczół na zabiegi opryskiwania roślin dawkami zalecanymi insektycydów, a pszczoły w doświadczeniach mają kontakt z opryskanymi roślinami zaledwie kilka godzin po zabiegu. W jednym doświadczeniu z </w:t>
      </w:r>
      <w:proofErr w:type="spellStart"/>
      <w:r w:rsidRPr="00925BCD">
        <w:rPr>
          <w:rFonts w:ascii="Arial" w:hAnsi="Arial" w:cs="Arial"/>
        </w:rPr>
        <w:t>chlotianidyną</w:t>
      </w:r>
      <w:proofErr w:type="spellEnd"/>
      <w:r w:rsidRPr="00925BCD">
        <w:rPr>
          <w:rFonts w:ascii="Arial" w:hAnsi="Arial" w:cs="Arial"/>
        </w:rPr>
        <w:t xml:space="preserve"> doszło do upadku ula, natomiast w jednym doświadczeniu z </w:t>
      </w:r>
      <w:proofErr w:type="spellStart"/>
      <w:r w:rsidRPr="00925BCD">
        <w:rPr>
          <w:rFonts w:ascii="Arial" w:hAnsi="Arial" w:cs="Arial"/>
        </w:rPr>
        <w:t>imidachloprydem</w:t>
      </w:r>
      <w:proofErr w:type="spellEnd"/>
      <w:r w:rsidRPr="00925BCD">
        <w:rPr>
          <w:rFonts w:ascii="Arial" w:hAnsi="Arial" w:cs="Arial"/>
        </w:rPr>
        <w:t xml:space="preserve"> nie zaobserwowano żadnych oznak toksyczności. W pozostałych doświadczeniach z </w:t>
      </w:r>
      <w:proofErr w:type="spellStart"/>
      <w:r w:rsidRPr="00925BCD">
        <w:rPr>
          <w:rFonts w:ascii="Arial" w:hAnsi="Arial" w:cs="Arial"/>
        </w:rPr>
        <w:t>imidachloprydem</w:t>
      </w:r>
      <w:proofErr w:type="spellEnd"/>
      <w:r w:rsidRPr="00925BCD">
        <w:rPr>
          <w:rFonts w:ascii="Arial" w:hAnsi="Arial" w:cs="Arial"/>
        </w:rPr>
        <w:t xml:space="preserve">, </w:t>
      </w:r>
      <w:proofErr w:type="spellStart"/>
      <w:r w:rsidRPr="00925BCD">
        <w:rPr>
          <w:rFonts w:ascii="Arial" w:hAnsi="Arial" w:cs="Arial"/>
        </w:rPr>
        <w:t>chlotianidyną</w:t>
      </w:r>
      <w:proofErr w:type="spellEnd"/>
      <w:r w:rsidRPr="00925BCD">
        <w:rPr>
          <w:rFonts w:ascii="Arial" w:hAnsi="Arial" w:cs="Arial"/>
        </w:rPr>
        <w:t xml:space="preserve"> i </w:t>
      </w:r>
      <w:proofErr w:type="spellStart"/>
      <w:r w:rsidRPr="00925BCD">
        <w:rPr>
          <w:rFonts w:ascii="Arial" w:hAnsi="Arial" w:cs="Arial"/>
        </w:rPr>
        <w:t>tiametoksamem</w:t>
      </w:r>
      <w:proofErr w:type="spellEnd"/>
      <w:r w:rsidRPr="00925BCD">
        <w:rPr>
          <w:rFonts w:ascii="Arial" w:hAnsi="Arial" w:cs="Arial"/>
        </w:rPr>
        <w:t xml:space="preserve"> obserwowano zwiększoną śmiertelność pszczół i zmiany w ich zachowaniu, jednak po pewnym czasie objawy zatrucia ustępowały, a pszczoły powracały do normalnego funkcjonowania.</w:t>
      </w:r>
    </w:p>
    <w:p w14:paraId="795524F6"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nad odpornością patogenów grzybowych na substancje czynne fungicydów wymagają izolacji grzyba z zebranego materiału i jego hodowli w warunkach laboratoryjnych. Kontynuowano badania laboratoryjne nad odpornością </w:t>
      </w:r>
      <w:proofErr w:type="spellStart"/>
      <w:r w:rsidRPr="00925BCD">
        <w:rPr>
          <w:rFonts w:ascii="Arial" w:hAnsi="Arial" w:cs="Arial"/>
          <w:b/>
        </w:rPr>
        <w:t>Cercospora</w:t>
      </w:r>
      <w:proofErr w:type="spellEnd"/>
      <w:r w:rsidRPr="00925BCD">
        <w:rPr>
          <w:rFonts w:ascii="Arial" w:hAnsi="Arial" w:cs="Arial"/>
          <w:b/>
        </w:rPr>
        <w:t xml:space="preserve"> </w:t>
      </w:r>
      <w:proofErr w:type="spellStart"/>
      <w:r w:rsidRPr="00925BCD">
        <w:rPr>
          <w:rFonts w:ascii="Arial" w:hAnsi="Arial" w:cs="Arial"/>
          <w:b/>
        </w:rPr>
        <w:t>beticola</w:t>
      </w:r>
      <w:proofErr w:type="spellEnd"/>
      <w:r w:rsidRPr="00925BCD">
        <w:rPr>
          <w:rFonts w:ascii="Arial" w:hAnsi="Arial" w:cs="Arial"/>
        </w:rPr>
        <w:t xml:space="preserve"> na substancje czynne fungicydów z grupy </w:t>
      </w:r>
      <w:proofErr w:type="spellStart"/>
      <w:r w:rsidRPr="00925BCD">
        <w:rPr>
          <w:rFonts w:ascii="Arial" w:hAnsi="Arial" w:cs="Arial"/>
        </w:rPr>
        <w:t>benzimidazoli</w:t>
      </w:r>
      <w:proofErr w:type="spellEnd"/>
      <w:r w:rsidRPr="00925BCD">
        <w:rPr>
          <w:rFonts w:ascii="Arial" w:hAnsi="Arial" w:cs="Arial"/>
        </w:rPr>
        <w:t xml:space="preserve">, triazoli i </w:t>
      </w:r>
      <w:proofErr w:type="spellStart"/>
      <w:r w:rsidRPr="00925BCD">
        <w:rPr>
          <w:rFonts w:ascii="Arial" w:hAnsi="Arial" w:cs="Arial"/>
        </w:rPr>
        <w:t>strobiluryn</w:t>
      </w:r>
      <w:proofErr w:type="spellEnd"/>
      <w:r w:rsidRPr="00925BCD">
        <w:rPr>
          <w:rFonts w:ascii="Arial" w:hAnsi="Arial" w:cs="Arial"/>
        </w:rPr>
        <w:t xml:space="preserve"> oraz mieszankę triazoli i </w:t>
      </w:r>
      <w:proofErr w:type="spellStart"/>
      <w:r w:rsidRPr="00925BCD">
        <w:rPr>
          <w:rFonts w:ascii="Arial" w:hAnsi="Arial" w:cs="Arial"/>
        </w:rPr>
        <w:t>strobiluryn</w:t>
      </w:r>
      <w:proofErr w:type="spellEnd"/>
      <w:r w:rsidRPr="00925BCD">
        <w:rPr>
          <w:rFonts w:ascii="Arial" w:hAnsi="Arial" w:cs="Arial"/>
        </w:rPr>
        <w:t xml:space="preserve">, a także triazoli i </w:t>
      </w:r>
      <w:proofErr w:type="spellStart"/>
      <w:r w:rsidRPr="00925BCD">
        <w:rPr>
          <w:rFonts w:ascii="Arial" w:hAnsi="Arial" w:cs="Arial"/>
        </w:rPr>
        <w:t>benzimidazoli</w:t>
      </w:r>
      <w:proofErr w:type="spellEnd"/>
      <w:r w:rsidRPr="00925BCD">
        <w:rPr>
          <w:rFonts w:ascii="Arial" w:hAnsi="Arial" w:cs="Arial"/>
        </w:rPr>
        <w:t xml:space="preserve">. Po raz pierwszy przebadano wrażliwość C. </w:t>
      </w:r>
      <w:proofErr w:type="spellStart"/>
      <w:r w:rsidRPr="00925BCD">
        <w:rPr>
          <w:rFonts w:ascii="Arial" w:hAnsi="Arial" w:cs="Arial"/>
        </w:rPr>
        <w:t>beticola</w:t>
      </w:r>
      <w:proofErr w:type="spellEnd"/>
      <w:r w:rsidRPr="00925BCD">
        <w:rPr>
          <w:rFonts w:ascii="Arial" w:hAnsi="Arial" w:cs="Arial"/>
        </w:rPr>
        <w:t xml:space="preserve"> na </w:t>
      </w:r>
      <w:proofErr w:type="spellStart"/>
      <w:r w:rsidRPr="00925BCD">
        <w:rPr>
          <w:rFonts w:ascii="Arial" w:hAnsi="Arial" w:cs="Arial"/>
        </w:rPr>
        <w:t>difenokonazol</w:t>
      </w:r>
      <w:proofErr w:type="spellEnd"/>
      <w:r w:rsidRPr="00925BCD">
        <w:rPr>
          <w:rFonts w:ascii="Arial" w:hAnsi="Arial" w:cs="Arial"/>
        </w:rPr>
        <w:t xml:space="preserve">, a także na substancję z grupy </w:t>
      </w:r>
      <w:proofErr w:type="spellStart"/>
      <w:r w:rsidRPr="00925BCD">
        <w:rPr>
          <w:rFonts w:ascii="Arial" w:hAnsi="Arial" w:cs="Arial"/>
        </w:rPr>
        <w:t>morfolin</w:t>
      </w:r>
      <w:proofErr w:type="spellEnd"/>
      <w:r w:rsidRPr="00925BCD">
        <w:rPr>
          <w:rFonts w:ascii="Arial" w:hAnsi="Arial" w:cs="Arial"/>
        </w:rPr>
        <w:t xml:space="preserve"> – </w:t>
      </w:r>
      <w:proofErr w:type="spellStart"/>
      <w:r w:rsidRPr="00925BCD">
        <w:rPr>
          <w:rFonts w:ascii="Arial" w:hAnsi="Arial" w:cs="Arial"/>
        </w:rPr>
        <w:t>fenpropidynę</w:t>
      </w:r>
      <w:proofErr w:type="spellEnd"/>
      <w:r w:rsidRPr="00925BCD">
        <w:rPr>
          <w:rFonts w:ascii="Arial" w:hAnsi="Arial" w:cs="Arial"/>
        </w:rPr>
        <w:t xml:space="preserve"> oraz preparat zawierający połączenie </w:t>
      </w:r>
      <w:proofErr w:type="spellStart"/>
      <w:r w:rsidRPr="00925BCD">
        <w:rPr>
          <w:rFonts w:ascii="Arial" w:hAnsi="Arial" w:cs="Arial"/>
        </w:rPr>
        <w:t>fenpropidyny</w:t>
      </w:r>
      <w:proofErr w:type="spellEnd"/>
      <w:r w:rsidRPr="00925BCD">
        <w:rPr>
          <w:rFonts w:ascii="Arial" w:hAnsi="Arial" w:cs="Arial"/>
        </w:rPr>
        <w:t xml:space="preserve"> i </w:t>
      </w:r>
      <w:proofErr w:type="spellStart"/>
      <w:r w:rsidRPr="00925BCD">
        <w:rPr>
          <w:rFonts w:ascii="Arial" w:hAnsi="Arial" w:cs="Arial"/>
        </w:rPr>
        <w:t>difenokonazolu</w:t>
      </w:r>
      <w:proofErr w:type="spellEnd"/>
      <w:r w:rsidRPr="00925BCD">
        <w:rPr>
          <w:rFonts w:ascii="Arial" w:hAnsi="Arial" w:cs="Arial"/>
        </w:rPr>
        <w:t xml:space="preserve">. Stwierdzono utrzymywanie się bardzo wysokiej odporności </w:t>
      </w:r>
      <w:proofErr w:type="spellStart"/>
      <w:r w:rsidRPr="00925BCD">
        <w:rPr>
          <w:rFonts w:ascii="Arial" w:hAnsi="Arial" w:cs="Arial"/>
        </w:rPr>
        <w:t>izolatów</w:t>
      </w:r>
      <w:proofErr w:type="spellEnd"/>
      <w:r w:rsidRPr="00925BCD">
        <w:rPr>
          <w:rFonts w:ascii="Arial" w:hAnsi="Arial" w:cs="Arial"/>
        </w:rPr>
        <w:t xml:space="preserve"> </w:t>
      </w:r>
      <w:proofErr w:type="spellStart"/>
      <w:r w:rsidRPr="00925BCD">
        <w:rPr>
          <w:rFonts w:ascii="Arial" w:hAnsi="Arial" w:cs="Arial"/>
        </w:rPr>
        <w:t>patogena</w:t>
      </w:r>
      <w:proofErr w:type="spellEnd"/>
      <w:r w:rsidRPr="00925BCD">
        <w:rPr>
          <w:rFonts w:ascii="Arial" w:hAnsi="Arial" w:cs="Arial"/>
        </w:rPr>
        <w:t xml:space="preserve"> na </w:t>
      </w:r>
      <w:proofErr w:type="spellStart"/>
      <w:r w:rsidRPr="00925BCD">
        <w:rPr>
          <w:rFonts w:ascii="Arial" w:hAnsi="Arial" w:cs="Arial"/>
        </w:rPr>
        <w:t>benzymidazole</w:t>
      </w:r>
      <w:proofErr w:type="spellEnd"/>
      <w:r w:rsidRPr="00925BCD">
        <w:rPr>
          <w:rFonts w:ascii="Arial" w:hAnsi="Arial" w:cs="Arial"/>
        </w:rPr>
        <w:t xml:space="preserve">, którą wykazały prawie wszystkie badane próby. Połowa przetestowanych </w:t>
      </w:r>
      <w:proofErr w:type="spellStart"/>
      <w:r w:rsidRPr="00925BCD">
        <w:rPr>
          <w:rFonts w:ascii="Arial" w:hAnsi="Arial" w:cs="Arial"/>
        </w:rPr>
        <w:t>izolatów</w:t>
      </w:r>
      <w:proofErr w:type="spellEnd"/>
      <w:r w:rsidRPr="00925BCD">
        <w:rPr>
          <w:rFonts w:ascii="Arial" w:hAnsi="Arial" w:cs="Arial"/>
        </w:rPr>
        <w:t xml:space="preserve"> wykazywała odporność na </w:t>
      </w:r>
      <w:proofErr w:type="spellStart"/>
      <w:r w:rsidRPr="00925BCD">
        <w:rPr>
          <w:rFonts w:ascii="Arial" w:hAnsi="Arial" w:cs="Arial"/>
        </w:rPr>
        <w:t>strobiluryny</w:t>
      </w:r>
      <w:proofErr w:type="spellEnd"/>
      <w:r w:rsidRPr="00925BCD">
        <w:rPr>
          <w:rFonts w:ascii="Arial" w:hAnsi="Arial" w:cs="Arial"/>
        </w:rPr>
        <w:t xml:space="preserve">. Oznacza to, że odporność na tę grupę związków przestała gwałtownie rosnąć (w latach 2013–2016 wzrosła dziesięciokrotnie) i od 2 sezonów utrzymuje się na podobnym poziomie. </w:t>
      </w:r>
      <w:r w:rsidRPr="00925BCD">
        <w:rPr>
          <w:rFonts w:ascii="Arial" w:hAnsi="Arial" w:cs="Arial"/>
        </w:rPr>
        <w:tab/>
        <w:t xml:space="preserve">Zdiagnozowano umiarkowaną odporność C. </w:t>
      </w:r>
      <w:proofErr w:type="spellStart"/>
      <w:r w:rsidRPr="00925BCD">
        <w:rPr>
          <w:rFonts w:ascii="Arial" w:hAnsi="Arial" w:cs="Arial"/>
        </w:rPr>
        <w:t>beticola</w:t>
      </w:r>
      <w:proofErr w:type="spellEnd"/>
      <w:r w:rsidRPr="00925BCD">
        <w:rPr>
          <w:rFonts w:ascii="Arial" w:hAnsi="Arial" w:cs="Arial"/>
        </w:rPr>
        <w:t xml:space="preserve"> na </w:t>
      </w:r>
      <w:proofErr w:type="spellStart"/>
      <w:r w:rsidRPr="00925BCD">
        <w:rPr>
          <w:rFonts w:ascii="Arial" w:hAnsi="Arial" w:cs="Arial"/>
        </w:rPr>
        <w:t>epoksykonazol</w:t>
      </w:r>
      <w:proofErr w:type="spellEnd"/>
      <w:r w:rsidRPr="00925BCD">
        <w:rPr>
          <w:rFonts w:ascii="Arial" w:hAnsi="Arial" w:cs="Arial"/>
        </w:rPr>
        <w:t xml:space="preserve"> (triazole). </w:t>
      </w:r>
      <w:proofErr w:type="spellStart"/>
      <w:r w:rsidRPr="00925BCD">
        <w:rPr>
          <w:rFonts w:ascii="Arial" w:hAnsi="Arial" w:cs="Arial"/>
        </w:rPr>
        <w:t>Izolaty</w:t>
      </w:r>
      <w:proofErr w:type="spellEnd"/>
      <w:r w:rsidRPr="00925BCD">
        <w:rPr>
          <w:rFonts w:ascii="Arial" w:hAnsi="Arial" w:cs="Arial"/>
        </w:rPr>
        <w:t xml:space="preserve"> wrażliwe oraz bardzo odporne na tę substancję czynną występują rzadko. Po raz pierwszy testowano także wrażliwość na inny związek z grupy triazoli – </w:t>
      </w:r>
      <w:proofErr w:type="spellStart"/>
      <w:r w:rsidRPr="00925BCD">
        <w:rPr>
          <w:rFonts w:ascii="Arial" w:hAnsi="Arial" w:cs="Arial"/>
        </w:rPr>
        <w:t>difenokonazol</w:t>
      </w:r>
      <w:proofErr w:type="spellEnd"/>
      <w:r w:rsidRPr="00925BCD">
        <w:rPr>
          <w:rFonts w:ascii="Arial" w:hAnsi="Arial" w:cs="Arial"/>
        </w:rPr>
        <w:t xml:space="preserve">. Znaleziono szczepy wykazujące umiarkowaną odporność, jednak większość </w:t>
      </w:r>
      <w:proofErr w:type="spellStart"/>
      <w:r w:rsidRPr="00925BCD">
        <w:rPr>
          <w:rFonts w:ascii="Arial" w:hAnsi="Arial" w:cs="Arial"/>
        </w:rPr>
        <w:t>izolatów</w:t>
      </w:r>
      <w:proofErr w:type="spellEnd"/>
      <w:r w:rsidRPr="00925BCD">
        <w:rPr>
          <w:rFonts w:ascii="Arial" w:hAnsi="Arial" w:cs="Arial"/>
        </w:rPr>
        <w:t xml:space="preserve"> była podatna na tę substancję. W 2018 r. wykonano pierwsze badania odporności C. </w:t>
      </w:r>
      <w:proofErr w:type="spellStart"/>
      <w:r w:rsidRPr="00925BCD">
        <w:rPr>
          <w:rFonts w:ascii="Arial" w:hAnsi="Arial" w:cs="Arial"/>
        </w:rPr>
        <w:t>beticola</w:t>
      </w:r>
      <w:proofErr w:type="spellEnd"/>
      <w:r w:rsidRPr="00925BCD">
        <w:rPr>
          <w:rFonts w:ascii="Arial" w:hAnsi="Arial" w:cs="Arial"/>
        </w:rPr>
        <w:t xml:space="preserve"> na </w:t>
      </w:r>
      <w:proofErr w:type="spellStart"/>
      <w:r w:rsidRPr="00925BCD">
        <w:rPr>
          <w:rFonts w:ascii="Arial" w:hAnsi="Arial" w:cs="Arial"/>
        </w:rPr>
        <w:t>fenpropidynę</w:t>
      </w:r>
      <w:proofErr w:type="spellEnd"/>
      <w:r w:rsidRPr="00925BCD">
        <w:rPr>
          <w:rFonts w:ascii="Arial" w:hAnsi="Arial" w:cs="Arial"/>
        </w:rPr>
        <w:t xml:space="preserve">, związek z grupy </w:t>
      </w:r>
      <w:proofErr w:type="spellStart"/>
      <w:r w:rsidRPr="00925BCD">
        <w:rPr>
          <w:rFonts w:ascii="Arial" w:hAnsi="Arial" w:cs="Arial"/>
        </w:rPr>
        <w:t>morfolin</w:t>
      </w:r>
      <w:proofErr w:type="spellEnd"/>
      <w:r w:rsidRPr="00925BCD">
        <w:rPr>
          <w:rFonts w:ascii="Arial" w:hAnsi="Arial" w:cs="Arial"/>
        </w:rPr>
        <w:t xml:space="preserve">. Co trzeci testowany </w:t>
      </w:r>
      <w:proofErr w:type="spellStart"/>
      <w:r w:rsidRPr="00925BCD">
        <w:rPr>
          <w:rFonts w:ascii="Arial" w:hAnsi="Arial" w:cs="Arial"/>
        </w:rPr>
        <w:t>izolat</w:t>
      </w:r>
      <w:proofErr w:type="spellEnd"/>
      <w:r w:rsidRPr="00925BCD">
        <w:rPr>
          <w:rFonts w:ascii="Arial" w:hAnsi="Arial" w:cs="Arial"/>
        </w:rPr>
        <w:t xml:space="preserve"> wykazywał umiarkowaną odporność na tę substancję, a pozostałe szczepy były podatne. Analizowano także odporność grzyba na preparaty dwuskładnikowe. Ponad połowa przebadanych </w:t>
      </w:r>
      <w:proofErr w:type="spellStart"/>
      <w:r w:rsidRPr="00925BCD">
        <w:rPr>
          <w:rFonts w:ascii="Arial" w:hAnsi="Arial" w:cs="Arial"/>
        </w:rPr>
        <w:t>izolatów</w:t>
      </w:r>
      <w:proofErr w:type="spellEnd"/>
      <w:r w:rsidRPr="00925BCD">
        <w:rPr>
          <w:rFonts w:ascii="Arial" w:hAnsi="Arial" w:cs="Arial"/>
        </w:rPr>
        <w:t xml:space="preserve"> wykazywała odporność na połączenie </w:t>
      </w:r>
      <w:proofErr w:type="spellStart"/>
      <w:r w:rsidRPr="00925BCD">
        <w:rPr>
          <w:rFonts w:ascii="Arial" w:hAnsi="Arial" w:cs="Arial"/>
        </w:rPr>
        <w:t>benzimidazoli</w:t>
      </w:r>
      <w:proofErr w:type="spellEnd"/>
      <w:r w:rsidRPr="00925BCD">
        <w:rPr>
          <w:rFonts w:ascii="Arial" w:hAnsi="Arial" w:cs="Arial"/>
        </w:rPr>
        <w:t xml:space="preserve"> z triazolami. Nie wykryto szczepów wysoko odpornych na preparat zawierający </w:t>
      </w:r>
      <w:proofErr w:type="spellStart"/>
      <w:r w:rsidRPr="00925BCD">
        <w:rPr>
          <w:rFonts w:ascii="Arial" w:hAnsi="Arial" w:cs="Arial"/>
        </w:rPr>
        <w:t>piraklostrobinę</w:t>
      </w:r>
      <w:proofErr w:type="spellEnd"/>
      <w:r w:rsidRPr="00925BCD">
        <w:rPr>
          <w:rFonts w:ascii="Arial" w:hAnsi="Arial" w:cs="Arial"/>
        </w:rPr>
        <w:t xml:space="preserve"> (</w:t>
      </w:r>
      <w:proofErr w:type="spellStart"/>
      <w:r w:rsidRPr="00925BCD">
        <w:rPr>
          <w:rFonts w:ascii="Arial" w:hAnsi="Arial" w:cs="Arial"/>
        </w:rPr>
        <w:t>strobiluryny</w:t>
      </w:r>
      <w:proofErr w:type="spellEnd"/>
      <w:r w:rsidRPr="00925BCD">
        <w:rPr>
          <w:rFonts w:ascii="Arial" w:hAnsi="Arial" w:cs="Arial"/>
        </w:rPr>
        <w:t xml:space="preserve">) i </w:t>
      </w:r>
      <w:proofErr w:type="spellStart"/>
      <w:r w:rsidRPr="00925BCD">
        <w:rPr>
          <w:rFonts w:ascii="Arial" w:hAnsi="Arial" w:cs="Arial"/>
        </w:rPr>
        <w:t>epoksykonazol</w:t>
      </w:r>
      <w:proofErr w:type="spellEnd"/>
      <w:r w:rsidRPr="00925BCD">
        <w:rPr>
          <w:rFonts w:ascii="Arial" w:hAnsi="Arial" w:cs="Arial"/>
        </w:rPr>
        <w:t xml:space="preserve"> </w:t>
      </w:r>
      <w:r w:rsidRPr="00925BCD">
        <w:rPr>
          <w:rFonts w:ascii="Arial" w:hAnsi="Arial" w:cs="Arial"/>
        </w:rPr>
        <w:lastRenderedPageBreak/>
        <w:t xml:space="preserve">(triazole). Większość przebadanych szczepów wykazywała umiarkowaną odporność na tę mieszankę jednak odsetek takich szczepów stale wzrasta. Stwierdzono także, iż większość przebadanych </w:t>
      </w:r>
      <w:proofErr w:type="spellStart"/>
      <w:r w:rsidRPr="00925BCD">
        <w:rPr>
          <w:rFonts w:ascii="Arial" w:hAnsi="Arial" w:cs="Arial"/>
        </w:rPr>
        <w:t>izolatów</w:t>
      </w:r>
      <w:proofErr w:type="spellEnd"/>
      <w:r w:rsidRPr="00925BCD">
        <w:rPr>
          <w:rFonts w:ascii="Arial" w:hAnsi="Arial" w:cs="Arial"/>
        </w:rPr>
        <w:t xml:space="preserve"> </w:t>
      </w:r>
      <w:proofErr w:type="spellStart"/>
      <w:r w:rsidRPr="00925BCD">
        <w:rPr>
          <w:rFonts w:ascii="Arial" w:hAnsi="Arial" w:cs="Arial"/>
        </w:rPr>
        <w:t>patogena</w:t>
      </w:r>
      <w:proofErr w:type="spellEnd"/>
      <w:r w:rsidRPr="00925BCD">
        <w:rPr>
          <w:rFonts w:ascii="Arial" w:hAnsi="Arial" w:cs="Arial"/>
        </w:rPr>
        <w:t xml:space="preserve"> była podatna na preparat łączący </w:t>
      </w:r>
      <w:proofErr w:type="spellStart"/>
      <w:r w:rsidRPr="00925BCD">
        <w:rPr>
          <w:rFonts w:ascii="Arial" w:hAnsi="Arial" w:cs="Arial"/>
        </w:rPr>
        <w:t>fenpropidynę</w:t>
      </w:r>
      <w:proofErr w:type="spellEnd"/>
      <w:r w:rsidRPr="00925BCD">
        <w:rPr>
          <w:rFonts w:ascii="Arial" w:hAnsi="Arial" w:cs="Arial"/>
        </w:rPr>
        <w:t xml:space="preserve"> z </w:t>
      </w:r>
      <w:proofErr w:type="spellStart"/>
      <w:r w:rsidRPr="00925BCD">
        <w:rPr>
          <w:rFonts w:ascii="Arial" w:hAnsi="Arial" w:cs="Arial"/>
        </w:rPr>
        <w:t>difenokonazolem</w:t>
      </w:r>
      <w:proofErr w:type="spellEnd"/>
      <w:r w:rsidRPr="00925BCD">
        <w:rPr>
          <w:rFonts w:ascii="Arial" w:hAnsi="Arial" w:cs="Arial"/>
        </w:rPr>
        <w:t xml:space="preserve">, który wykorzystano do testów po raz pierwszy. Wykryto jednak </w:t>
      </w:r>
      <w:proofErr w:type="spellStart"/>
      <w:r w:rsidRPr="00925BCD">
        <w:rPr>
          <w:rFonts w:ascii="Arial" w:hAnsi="Arial" w:cs="Arial"/>
        </w:rPr>
        <w:t>izolaty</w:t>
      </w:r>
      <w:proofErr w:type="spellEnd"/>
      <w:r w:rsidRPr="00925BCD">
        <w:rPr>
          <w:rFonts w:ascii="Arial" w:hAnsi="Arial" w:cs="Arial"/>
        </w:rPr>
        <w:t xml:space="preserve"> wykazujące umiarkowaną odporność na takie połączenie. Badania nad odpornością patogenu wywołującego </w:t>
      </w:r>
      <w:r w:rsidRPr="00925BCD">
        <w:rPr>
          <w:rFonts w:ascii="Arial" w:hAnsi="Arial" w:cs="Arial"/>
          <w:b/>
        </w:rPr>
        <w:t xml:space="preserve">zgniliznę </w:t>
      </w:r>
      <w:proofErr w:type="spellStart"/>
      <w:r w:rsidRPr="00925BCD">
        <w:rPr>
          <w:rFonts w:ascii="Arial" w:hAnsi="Arial" w:cs="Arial"/>
          <w:b/>
        </w:rPr>
        <w:t>twardzikową</w:t>
      </w:r>
      <w:proofErr w:type="spellEnd"/>
      <w:r w:rsidRPr="00925BCD">
        <w:rPr>
          <w:rFonts w:ascii="Arial" w:hAnsi="Arial" w:cs="Arial"/>
        </w:rPr>
        <w:t xml:space="preserve"> objęły </w:t>
      </w:r>
      <w:proofErr w:type="spellStart"/>
      <w:r w:rsidRPr="00925BCD">
        <w:rPr>
          <w:rFonts w:ascii="Arial" w:hAnsi="Arial" w:cs="Arial"/>
        </w:rPr>
        <w:t>azoksystrobinę</w:t>
      </w:r>
      <w:proofErr w:type="spellEnd"/>
      <w:r w:rsidRPr="00925BCD">
        <w:rPr>
          <w:rFonts w:ascii="Arial" w:hAnsi="Arial" w:cs="Arial"/>
        </w:rPr>
        <w:t xml:space="preserve"> (</w:t>
      </w:r>
      <w:proofErr w:type="spellStart"/>
      <w:r w:rsidRPr="00925BCD">
        <w:rPr>
          <w:rFonts w:ascii="Arial" w:hAnsi="Arial" w:cs="Arial"/>
        </w:rPr>
        <w:t>strobiluryny</w:t>
      </w:r>
      <w:proofErr w:type="spellEnd"/>
      <w:r w:rsidRPr="00925BCD">
        <w:rPr>
          <w:rFonts w:ascii="Arial" w:hAnsi="Arial" w:cs="Arial"/>
        </w:rPr>
        <w:t xml:space="preserve">), </w:t>
      </w:r>
      <w:proofErr w:type="spellStart"/>
      <w:r w:rsidRPr="00925BCD">
        <w:rPr>
          <w:rFonts w:ascii="Arial" w:hAnsi="Arial" w:cs="Arial"/>
        </w:rPr>
        <w:t>boskalid</w:t>
      </w:r>
      <w:proofErr w:type="spellEnd"/>
      <w:r w:rsidRPr="00925BCD">
        <w:rPr>
          <w:rFonts w:ascii="Arial" w:hAnsi="Arial" w:cs="Arial"/>
        </w:rPr>
        <w:t xml:space="preserve"> (</w:t>
      </w:r>
      <w:proofErr w:type="spellStart"/>
      <w:r w:rsidRPr="00925BCD">
        <w:rPr>
          <w:rFonts w:ascii="Arial" w:hAnsi="Arial" w:cs="Arial"/>
        </w:rPr>
        <w:t>karboksyamidy</w:t>
      </w:r>
      <w:proofErr w:type="spellEnd"/>
      <w:r w:rsidRPr="00925BCD">
        <w:rPr>
          <w:rFonts w:ascii="Arial" w:hAnsi="Arial" w:cs="Arial"/>
        </w:rPr>
        <w:t xml:space="preserve">), </w:t>
      </w:r>
      <w:proofErr w:type="spellStart"/>
      <w:r w:rsidRPr="00925BCD">
        <w:rPr>
          <w:rFonts w:ascii="Arial" w:hAnsi="Arial" w:cs="Arial"/>
        </w:rPr>
        <w:t>prochloraz</w:t>
      </w:r>
      <w:proofErr w:type="spellEnd"/>
      <w:r w:rsidRPr="00925BCD">
        <w:rPr>
          <w:rFonts w:ascii="Arial" w:hAnsi="Arial" w:cs="Arial"/>
        </w:rPr>
        <w:t xml:space="preserve"> (</w:t>
      </w:r>
      <w:proofErr w:type="spellStart"/>
      <w:r w:rsidRPr="00925BCD">
        <w:rPr>
          <w:rFonts w:ascii="Arial" w:hAnsi="Arial" w:cs="Arial"/>
        </w:rPr>
        <w:t>imidazole</w:t>
      </w:r>
      <w:proofErr w:type="spellEnd"/>
      <w:r w:rsidRPr="00925BCD">
        <w:rPr>
          <w:rFonts w:ascii="Arial" w:hAnsi="Arial" w:cs="Arial"/>
        </w:rPr>
        <w:t xml:space="preserve">), </w:t>
      </w:r>
      <w:proofErr w:type="spellStart"/>
      <w:r w:rsidRPr="00925BCD">
        <w:rPr>
          <w:rFonts w:ascii="Arial" w:hAnsi="Arial" w:cs="Arial"/>
        </w:rPr>
        <w:t>tebukonazol</w:t>
      </w:r>
      <w:proofErr w:type="spellEnd"/>
      <w:r w:rsidRPr="00925BCD">
        <w:rPr>
          <w:rFonts w:ascii="Arial" w:hAnsi="Arial" w:cs="Arial"/>
        </w:rPr>
        <w:t xml:space="preserve"> (triazole) oraz </w:t>
      </w:r>
      <w:proofErr w:type="spellStart"/>
      <w:r w:rsidRPr="00925BCD">
        <w:rPr>
          <w:rFonts w:ascii="Arial" w:hAnsi="Arial" w:cs="Arial"/>
        </w:rPr>
        <w:t>tiofanat</w:t>
      </w:r>
      <w:proofErr w:type="spellEnd"/>
      <w:r w:rsidRPr="00925BCD">
        <w:rPr>
          <w:rFonts w:ascii="Arial" w:hAnsi="Arial" w:cs="Arial"/>
        </w:rPr>
        <w:t xml:space="preserve"> metylowy (</w:t>
      </w:r>
      <w:proofErr w:type="spellStart"/>
      <w:r w:rsidRPr="00925BCD">
        <w:rPr>
          <w:rFonts w:ascii="Arial" w:hAnsi="Arial" w:cs="Arial"/>
        </w:rPr>
        <w:t>benzimidazole</w:t>
      </w:r>
      <w:proofErr w:type="spellEnd"/>
      <w:r w:rsidRPr="00925BCD">
        <w:rPr>
          <w:rFonts w:ascii="Arial" w:hAnsi="Arial" w:cs="Arial"/>
        </w:rPr>
        <w:t xml:space="preserve">). Badano ich wpływ na ograniczanie wzrostu grzybni gatunku </w:t>
      </w:r>
      <w:proofErr w:type="spellStart"/>
      <w:r w:rsidRPr="00925BCD">
        <w:rPr>
          <w:rFonts w:ascii="Arial" w:hAnsi="Arial" w:cs="Arial"/>
        </w:rPr>
        <w:t>Sclerotinia</w:t>
      </w:r>
      <w:proofErr w:type="spellEnd"/>
      <w:r w:rsidRPr="00925BCD">
        <w:rPr>
          <w:rFonts w:ascii="Arial" w:hAnsi="Arial" w:cs="Arial"/>
        </w:rPr>
        <w:t xml:space="preserve"> </w:t>
      </w:r>
      <w:proofErr w:type="spellStart"/>
      <w:r w:rsidRPr="00925BCD">
        <w:rPr>
          <w:rFonts w:ascii="Arial" w:hAnsi="Arial" w:cs="Arial"/>
        </w:rPr>
        <w:t>sclerotiorum</w:t>
      </w:r>
      <w:proofErr w:type="spellEnd"/>
      <w:r w:rsidRPr="00925BCD">
        <w:rPr>
          <w:rFonts w:ascii="Arial" w:hAnsi="Arial" w:cs="Arial"/>
        </w:rPr>
        <w:t xml:space="preserve">. Zaobserwowano zmniejszenie się wrażliwości wyżej wymienionego gatunku grzyba na substancje z grupy </w:t>
      </w:r>
      <w:proofErr w:type="spellStart"/>
      <w:r w:rsidRPr="00925BCD">
        <w:rPr>
          <w:rFonts w:ascii="Arial" w:hAnsi="Arial" w:cs="Arial"/>
        </w:rPr>
        <w:t>benzimidazoli</w:t>
      </w:r>
      <w:proofErr w:type="spellEnd"/>
      <w:r w:rsidRPr="00925BCD">
        <w:rPr>
          <w:rFonts w:ascii="Arial" w:hAnsi="Arial" w:cs="Arial"/>
        </w:rPr>
        <w:t xml:space="preserve"> oraz </w:t>
      </w:r>
      <w:proofErr w:type="spellStart"/>
      <w:r w:rsidRPr="00925BCD">
        <w:rPr>
          <w:rFonts w:ascii="Arial" w:hAnsi="Arial" w:cs="Arial"/>
        </w:rPr>
        <w:t>karboksyamidów</w:t>
      </w:r>
      <w:proofErr w:type="spellEnd"/>
      <w:r w:rsidRPr="00925BCD">
        <w:rPr>
          <w:rFonts w:ascii="Arial" w:hAnsi="Arial" w:cs="Arial"/>
        </w:rPr>
        <w:t xml:space="preserve">. Zależności tej nie odnotowano w przypadku substancji czynnych z grupy </w:t>
      </w:r>
      <w:proofErr w:type="spellStart"/>
      <w:r w:rsidRPr="00925BCD">
        <w:rPr>
          <w:rFonts w:ascii="Arial" w:hAnsi="Arial" w:cs="Arial"/>
        </w:rPr>
        <w:t>strobiluryn</w:t>
      </w:r>
      <w:proofErr w:type="spellEnd"/>
      <w:r w:rsidRPr="00925BCD">
        <w:rPr>
          <w:rFonts w:ascii="Arial" w:hAnsi="Arial" w:cs="Arial"/>
        </w:rPr>
        <w:t xml:space="preserve"> i </w:t>
      </w:r>
      <w:proofErr w:type="spellStart"/>
      <w:r w:rsidRPr="00925BCD">
        <w:rPr>
          <w:rFonts w:ascii="Arial" w:hAnsi="Arial" w:cs="Arial"/>
        </w:rPr>
        <w:t>dikarboksyamidów</w:t>
      </w:r>
      <w:proofErr w:type="spellEnd"/>
      <w:r w:rsidRPr="00925BCD">
        <w:rPr>
          <w:rFonts w:ascii="Arial" w:hAnsi="Arial" w:cs="Arial"/>
        </w:rPr>
        <w:t xml:space="preserve">. Obserwacje polowe prowadzone równolegle do prac laboratoryjnych potwierdzają zaobserwowaną tendencję. </w:t>
      </w:r>
    </w:p>
    <w:p w14:paraId="5277F1DE"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Wykonano badania szklarniowe z biotypami </w:t>
      </w:r>
      <w:r w:rsidRPr="00925BCD">
        <w:rPr>
          <w:rFonts w:ascii="Arial" w:hAnsi="Arial" w:cs="Arial"/>
          <w:b/>
        </w:rPr>
        <w:t>stokłosy żytniej</w:t>
      </w:r>
      <w:r w:rsidRPr="00925BCD">
        <w:rPr>
          <w:rFonts w:ascii="Arial" w:hAnsi="Arial" w:cs="Arial"/>
        </w:rPr>
        <w:t xml:space="preserve"> (</w:t>
      </w:r>
      <w:proofErr w:type="spellStart"/>
      <w:r w:rsidRPr="00925BCD">
        <w:rPr>
          <w:rFonts w:ascii="Arial" w:hAnsi="Arial" w:cs="Arial"/>
        </w:rPr>
        <w:t>Bromus</w:t>
      </w:r>
      <w:proofErr w:type="spellEnd"/>
      <w:r w:rsidRPr="00925BCD">
        <w:rPr>
          <w:rFonts w:ascii="Arial" w:hAnsi="Arial" w:cs="Arial"/>
        </w:rPr>
        <w:t xml:space="preserve"> </w:t>
      </w:r>
      <w:proofErr w:type="spellStart"/>
      <w:r w:rsidRPr="00925BCD">
        <w:rPr>
          <w:rFonts w:ascii="Arial" w:hAnsi="Arial" w:cs="Arial"/>
        </w:rPr>
        <w:t>secalinus</w:t>
      </w:r>
      <w:proofErr w:type="spellEnd"/>
      <w:r w:rsidRPr="00925BCD">
        <w:rPr>
          <w:rFonts w:ascii="Arial" w:hAnsi="Arial" w:cs="Arial"/>
        </w:rPr>
        <w:t xml:space="preserve">) i </w:t>
      </w:r>
      <w:r w:rsidRPr="00925BCD">
        <w:rPr>
          <w:rFonts w:ascii="Arial" w:hAnsi="Arial" w:cs="Arial"/>
          <w:b/>
        </w:rPr>
        <w:t>stokłosy płonnej</w:t>
      </w:r>
      <w:r w:rsidRPr="00925BCD">
        <w:rPr>
          <w:rFonts w:ascii="Arial" w:hAnsi="Arial" w:cs="Arial"/>
        </w:rPr>
        <w:t xml:space="preserve"> (</w:t>
      </w:r>
      <w:proofErr w:type="spellStart"/>
      <w:r w:rsidRPr="00925BCD">
        <w:rPr>
          <w:rFonts w:ascii="Arial" w:hAnsi="Arial" w:cs="Arial"/>
        </w:rPr>
        <w:t>Bromus</w:t>
      </w:r>
      <w:proofErr w:type="spellEnd"/>
      <w:r w:rsidRPr="00925BCD">
        <w:rPr>
          <w:rFonts w:ascii="Arial" w:hAnsi="Arial" w:cs="Arial"/>
        </w:rPr>
        <w:t xml:space="preserve"> </w:t>
      </w:r>
      <w:proofErr w:type="spellStart"/>
      <w:r w:rsidRPr="00925BCD">
        <w:rPr>
          <w:rFonts w:ascii="Arial" w:hAnsi="Arial" w:cs="Arial"/>
        </w:rPr>
        <w:t>sterilis</w:t>
      </w:r>
      <w:proofErr w:type="spellEnd"/>
      <w:r w:rsidRPr="00925BCD">
        <w:rPr>
          <w:rFonts w:ascii="Arial" w:hAnsi="Arial" w:cs="Arial"/>
        </w:rPr>
        <w:t>). W ostatnich latach obserwuje się wzrost zachwaszczenia stokłosami spowodowany m. in. stosowaniem uproszczeń w agrotechnice (zrezygnowanie z orki) – stokłosa płonna, ale także wykorzystywaniem słabo doczyszczonego materiału siewnego – stokłosa żytnia.</w:t>
      </w:r>
      <w:r w:rsidR="00156CB7" w:rsidRPr="00925BCD">
        <w:rPr>
          <w:rFonts w:ascii="Arial" w:hAnsi="Arial" w:cs="Arial"/>
        </w:rPr>
        <w:t xml:space="preserve"> </w:t>
      </w:r>
      <w:r w:rsidRPr="00925BCD">
        <w:rPr>
          <w:rFonts w:ascii="Arial" w:hAnsi="Arial" w:cs="Arial"/>
        </w:rPr>
        <w:t xml:space="preserve">W pierwszej serii doświadczeń szklarniowych użyto herbicydów zawierających </w:t>
      </w:r>
      <w:proofErr w:type="spellStart"/>
      <w:r w:rsidRPr="00925BCD">
        <w:rPr>
          <w:rFonts w:ascii="Arial" w:hAnsi="Arial" w:cs="Arial"/>
        </w:rPr>
        <w:t>propoksykarbazon</w:t>
      </w:r>
      <w:proofErr w:type="spellEnd"/>
      <w:r w:rsidRPr="00925BCD">
        <w:rPr>
          <w:rFonts w:ascii="Arial" w:hAnsi="Arial" w:cs="Arial"/>
        </w:rPr>
        <w:t xml:space="preserve"> sodowy, </w:t>
      </w:r>
      <w:proofErr w:type="spellStart"/>
      <w:r w:rsidRPr="00925BCD">
        <w:rPr>
          <w:rFonts w:ascii="Arial" w:hAnsi="Arial" w:cs="Arial"/>
        </w:rPr>
        <w:t>flupyrsulfuron</w:t>
      </w:r>
      <w:proofErr w:type="spellEnd"/>
      <w:r w:rsidRPr="00925BCD">
        <w:rPr>
          <w:rFonts w:ascii="Arial" w:hAnsi="Arial" w:cs="Arial"/>
        </w:rPr>
        <w:t xml:space="preserve"> metylowy, </w:t>
      </w:r>
      <w:proofErr w:type="spellStart"/>
      <w:r w:rsidRPr="00925BCD">
        <w:rPr>
          <w:rFonts w:ascii="Arial" w:hAnsi="Arial" w:cs="Arial"/>
        </w:rPr>
        <w:t>florasulam</w:t>
      </w:r>
      <w:proofErr w:type="spellEnd"/>
      <w:r w:rsidRPr="00925BCD">
        <w:rPr>
          <w:rFonts w:ascii="Arial" w:hAnsi="Arial" w:cs="Arial"/>
        </w:rPr>
        <w:t xml:space="preserve"> + </w:t>
      </w:r>
      <w:proofErr w:type="spellStart"/>
      <w:r w:rsidRPr="00925BCD">
        <w:rPr>
          <w:rFonts w:ascii="Arial" w:hAnsi="Arial" w:cs="Arial"/>
        </w:rPr>
        <w:t>aminopyralid</w:t>
      </w:r>
      <w:proofErr w:type="spellEnd"/>
      <w:r w:rsidRPr="00925BCD">
        <w:rPr>
          <w:rFonts w:ascii="Arial" w:hAnsi="Arial" w:cs="Arial"/>
        </w:rPr>
        <w:t xml:space="preserve"> + </w:t>
      </w:r>
      <w:proofErr w:type="spellStart"/>
      <w:r w:rsidRPr="00925BCD">
        <w:rPr>
          <w:rFonts w:ascii="Arial" w:hAnsi="Arial" w:cs="Arial"/>
        </w:rPr>
        <w:t>pyroksysulam</w:t>
      </w:r>
      <w:proofErr w:type="spellEnd"/>
      <w:r w:rsidRPr="00925BCD">
        <w:rPr>
          <w:rFonts w:ascii="Arial" w:hAnsi="Arial" w:cs="Arial"/>
        </w:rPr>
        <w:t xml:space="preserve">, </w:t>
      </w:r>
      <w:proofErr w:type="spellStart"/>
      <w:r w:rsidRPr="00925BCD">
        <w:rPr>
          <w:rFonts w:ascii="Arial" w:hAnsi="Arial" w:cs="Arial"/>
        </w:rPr>
        <w:t>pyroksysulam</w:t>
      </w:r>
      <w:proofErr w:type="spellEnd"/>
      <w:r w:rsidRPr="00925BCD">
        <w:rPr>
          <w:rFonts w:ascii="Arial" w:hAnsi="Arial" w:cs="Arial"/>
        </w:rPr>
        <w:t xml:space="preserve">, </w:t>
      </w:r>
      <w:proofErr w:type="spellStart"/>
      <w:r w:rsidRPr="00925BCD">
        <w:rPr>
          <w:rFonts w:ascii="Arial" w:hAnsi="Arial" w:cs="Arial"/>
        </w:rPr>
        <w:t>prosulfokarb</w:t>
      </w:r>
      <w:proofErr w:type="spellEnd"/>
      <w:r w:rsidRPr="00925BCD">
        <w:rPr>
          <w:rFonts w:ascii="Arial" w:hAnsi="Arial" w:cs="Arial"/>
        </w:rPr>
        <w:t xml:space="preserve">, </w:t>
      </w:r>
      <w:proofErr w:type="spellStart"/>
      <w:r w:rsidRPr="00925BCD">
        <w:rPr>
          <w:rFonts w:ascii="Arial" w:hAnsi="Arial" w:cs="Arial"/>
        </w:rPr>
        <w:t>flurochloridon</w:t>
      </w:r>
      <w:proofErr w:type="spellEnd"/>
      <w:r w:rsidRPr="00925BCD">
        <w:rPr>
          <w:rFonts w:ascii="Arial" w:hAnsi="Arial" w:cs="Arial"/>
        </w:rPr>
        <w:t xml:space="preserve">, </w:t>
      </w:r>
      <w:proofErr w:type="spellStart"/>
      <w:r w:rsidRPr="00925BCD">
        <w:rPr>
          <w:rFonts w:ascii="Arial" w:hAnsi="Arial" w:cs="Arial"/>
        </w:rPr>
        <w:t>pendimetalinę</w:t>
      </w:r>
      <w:proofErr w:type="spellEnd"/>
      <w:r w:rsidRPr="00925BCD">
        <w:rPr>
          <w:rFonts w:ascii="Arial" w:hAnsi="Arial" w:cs="Arial"/>
        </w:rPr>
        <w:t xml:space="preserve"> + </w:t>
      </w:r>
      <w:proofErr w:type="spellStart"/>
      <w:r w:rsidRPr="00925BCD">
        <w:rPr>
          <w:rFonts w:ascii="Arial" w:hAnsi="Arial" w:cs="Arial"/>
        </w:rPr>
        <w:t>izoproturon</w:t>
      </w:r>
      <w:proofErr w:type="spellEnd"/>
      <w:r w:rsidRPr="00925BCD">
        <w:rPr>
          <w:rFonts w:ascii="Arial" w:hAnsi="Arial" w:cs="Arial"/>
        </w:rPr>
        <w:t xml:space="preserve">, </w:t>
      </w:r>
      <w:proofErr w:type="spellStart"/>
      <w:r w:rsidRPr="00925BCD">
        <w:rPr>
          <w:rFonts w:ascii="Arial" w:hAnsi="Arial" w:cs="Arial"/>
        </w:rPr>
        <w:t>sulfosulfuron</w:t>
      </w:r>
      <w:proofErr w:type="spellEnd"/>
      <w:r w:rsidRPr="00925BCD">
        <w:rPr>
          <w:rFonts w:ascii="Arial" w:hAnsi="Arial" w:cs="Arial"/>
        </w:rPr>
        <w:t xml:space="preserve">, </w:t>
      </w:r>
      <w:proofErr w:type="spellStart"/>
      <w:r w:rsidRPr="00925BCD">
        <w:rPr>
          <w:rFonts w:ascii="Arial" w:hAnsi="Arial" w:cs="Arial"/>
        </w:rPr>
        <w:t>diflufenikan</w:t>
      </w:r>
      <w:proofErr w:type="spellEnd"/>
      <w:r w:rsidRPr="00925BCD">
        <w:rPr>
          <w:rFonts w:ascii="Arial" w:hAnsi="Arial" w:cs="Arial"/>
        </w:rPr>
        <w:t xml:space="preserve"> + </w:t>
      </w:r>
      <w:proofErr w:type="spellStart"/>
      <w:r w:rsidRPr="00925BCD">
        <w:rPr>
          <w:rFonts w:ascii="Arial" w:hAnsi="Arial" w:cs="Arial"/>
        </w:rPr>
        <w:t>chlorotoluron</w:t>
      </w:r>
      <w:proofErr w:type="spellEnd"/>
      <w:r w:rsidRPr="00925BCD">
        <w:rPr>
          <w:rFonts w:ascii="Arial" w:hAnsi="Arial" w:cs="Arial"/>
        </w:rPr>
        <w:t xml:space="preserve"> + </w:t>
      </w:r>
      <w:proofErr w:type="spellStart"/>
      <w:r w:rsidRPr="00925BCD">
        <w:rPr>
          <w:rFonts w:ascii="Arial" w:hAnsi="Arial" w:cs="Arial"/>
        </w:rPr>
        <w:t>pendimetalinę</w:t>
      </w:r>
      <w:proofErr w:type="spellEnd"/>
      <w:r w:rsidRPr="00925BCD">
        <w:rPr>
          <w:rFonts w:ascii="Arial" w:hAnsi="Arial" w:cs="Arial"/>
        </w:rPr>
        <w:t xml:space="preserve">. W drugiej serii doświadczeń zastosowano dodatkowo preparaty zawierające </w:t>
      </w:r>
      <w:proofErr w:type="spellStart"/>
      <w:r w:rsidRPr="00925BCD">
        <w:rPr>
          <w:rFonts w:ascii="Arial" w:hAnsi="Arial" w:cs="Arial"/>
        </w:rPr>
        <w:t>fenoksaprop</w:t>
      </w:r>
      <w:proofErr w:type="spellEnd"/>
      <w:r w:rsidRPr="00925BCD">
        <w:rPr>
          <w:rFonts w:ascii="Arial" w:hAnsi="Arial" w:cs="Arial"/>
        </w:rPr>
        <w:t xml:space="preserve">-P-etylu, </w:t>
      </w:r>
      <w:proofErr w:type="spellStart"/>
      <w:r w:rsidRPr="00925BCD">
        <w:rPr>
          <w:rFonts w:ascii="Arial" w:hAnsi="Arial" w:cs="Arial"/>
        </w:rPr>
        <w:t>chlorotoluron</w:t>
      </w:r>
      <w:proofErr w:type="spellEnd"/>
      <w:r w:rsidRPr="00925BCD">
        <w:rPr>
          <w:rFonts w:ascii="Arial" w:hAnsi="Arial" w:cs="Arial"/>
        </w:rPr>
        <w:t xml:space="preserve">, </w:t>
      </w:r>
      <w:proofErr w:type="spellStart"/>
      <w:r w:rsidRPr="00925BCD">
        <w:rPr>
          <w:rFonts w:ascii="Arial" w:hAnsi="Arial" w:cs="Arial"/>
        </w:rPr>
        <w:t>pinoksaden</w:t>
      </w:r>
      <w:proofErr w:type="spellEnd"/>
      <w:r w:rsidRPr="00925BCD">
        <w:rPr>
          <w:rFonts w:ascii="Arial" w:hAnsi="Arial" w:cs="Arial"/>
        </w:rPr>
        <w:t xml:space="preserve">, </w:t>
      </w:r>
      <w:proofErr w:type="spellStart"/>
      <w:r w:rsidRPr="00925BCD">
        <w:rPr>
          <w:rFonts w:ascii="Arial" w:hAnsi="Arial" w:cs="Arial"/>
        </w:rPr>
        <w:t>jodosulfuron</w:t>
      </w:r>
      <w:proofErr w:type="spellEnd"/>
      <w:r w:rsidRPr="00925BCD">
        <w:rPr>
          <w:rFonts w:ascii="Arial" w:hAnsi="Arial" w:cs="Arial"/>
        </w:rPr>
        <w:t xml:space="preserve"> </w:t>
      </w:r>
      <w:proofErr w:type="spellStart"/>
      <w:r w:rsidRPr="00925BCD">
        <w:rPr>
          <w:rFonts w:ascii="Arial" w:hAnsi="Arial" w:cs="Arial"/>
        </w:rPr>
        <w:t>metylosodowy</w:t>
      </w:r>
      <w:proofErr w:type="spellEnd"/>
      <w:r w:rsidRPr="00925BCD">
        <w:rPr>
          <w:rFonts w:ascii="Arial" w:hAnsi="Arial" w:cs="Arial"/>
        </w:rPr>
        <w:t xml:space="preserve"> + </w:t>
      </w:r>
      <w:proofErr w:type="spellStart"/>
      <w:r w:rsidRPr="00925BCD">
        <w:rPr>
          <w:rFonts w:ascii="Arial" w:hAnsi="Arial" w:cs="Arial"/>
        </w:rPr>
        <w:t>mezosulfuron</w:t>
      </w:r>
      <w:proofErr w:type="spellEnd"/>
      <w:r w:rsidRPr="00925BCD">
        <w:rPr>
          <w:rFonts w:ascii="Arial" w:hAnsi="Arial" w:cs="Arial"/>
        </w:rPr>
        <w:t xml:space="preserve"> metylowy. Wyniki badań wskazują na bardzo słabą skuteczność herbicydów lub też całkowity brak działania na rośliny stokłosy płonnej i żytniej. W przypadku stokłosy żytniej stwierdzono całkowity brak wrażliwości wszystkich biotypów na wszystkie badane herbicydy i skuteczność zwalczania oceniono na 0%. U stokłosy płonnej pojawiły się nieznaczne różnice między biotypami. Niektóre okazały się całkowicie niewrażliwe na pełną i podwójną dawkę herbicydu zawierającego </w:t>
      </w:r>
      <w:proofErr w:type="spellStart"/>
      <w:r w:rsidRPr="00925BCD">
        <w:rPr>
          <w:rFonts w:ascii="Arial" w:hAnsi="Arial" w:cs="Arial"/>
        </w:rPr>
        <w:t>pyroksysulam</w:t>
      </w:r>
      <w:proofErr w:type="spellEnd"/>
      <w:r w:rsidRPr="00925BCD">
        <w:rPr>
          <w:rFonts w:ascii="Arial" w:hAnsi="Arial" w:cs="Arial"/>
        </w:rPr>
        <w:t xml:space="preserve">, a także preparatu, którego składnikiem jest </w:t>
      </w:r>
      <w:proofErr w:type="spellStart"/>
      <w:r w:rsidRPr="00925BCD">
        <w:rPr>
          <w:rFonts w:ascii="Arial" w:hAnsi="Arial" w:cs="Arial"/>
        </w:rPr>
        <w:t>prosulfokarb</w:t>
      </w:r>
      <w:proofErr w:type="spellEnd"/>
      <w:r w:rsidRPr="00925BCD">
        <w:rPr>
          <w:rFonts w:ascii="Arial" w:hAnsi="Arial" w:cs="Arial"/>
        </w:rPr>
        <w:t xml:space="preserve">. Na ten drugi herbicyd, a także na  </w:t>
      </w:r>
      <w:proofErr w:type="spellStart"/>
      <w:r w:rsidRPr="00925BCD">
        <w:rPr>
          <w:rFonts w:ascii="Arial" w:hAnsi="Arial" w:cs="Arial"/>
        </w:rPr>
        <w:t>flupyrsulfuron</w:t>
      </w:r>
      <w:proofErr w:type="spellEnd"/>
      <w:r w:rsidRPr="00925BCD">
        <w:rPr>
          <w:rFonts w:ascii="Arial" w:hAnsi="Arial" w:cs="Arial"/>
        </w:rPr>
        <w:t xml:space="preserve"> metylowy i </w:t>
      </w:r>
      <w:proofErr w:type="spellStart"/>
      <w:r w:rsidRPr="00925BCD">
        <w:rPr>
          <w:rFonts w:ascii="Arial" w:hAnsi="Arial" w:cs="Arial"/>
        </w:rPr>
        <w:t>florasulam</w:t>
      </w:r>
      <w:proofErr w:type="spellEnd"/>
      <w:r w:rsidRPr="00925BCD">
        <w:rPr>
          <w:rFonts w:ascii="Arial" w:hAnsi="Arial" w:cs="Arial"/>
        </w:rPr>
        <w:t xml:space="preserve"> + </w:t>
      </w:r>
      <w:proofErr w:type="spellStart"/>
      <w:r w:rsidRPr="00925BCD">
        <w:rPr>
          <w:rFonts w:ascii="Arial" w:hAnsi="Arial" w:cs="Arial"/>
        </w:rPr>
        <w:t>aminopyralid</w:t>
      </w:r>
      <w:proofErr w:type="spellEnd"/>
      <w:r w:rsidRPr="00925BCD">
        <w:rPr>
          <w:rFonts w:ascii="Arial" w:hAnsi="Arial" w:cs="Arial"/>
        </w:rPr>
        <w:t xml:space="preserve"> + </w:t>
      </w:r>
      <w:proofErr w:type="spellStart"/>
      <w:r w:rsidRPr="00925BCD">
        <w:rPr>
          <w:rFonts w:ascii="Arial" w:hAnsi="Arial" w:cs="Arial"/>
        </w:rPr>
        <w:t>pyroksysulam</w:t>
      </w:r>
      <w:proofErr w:type="spellEnd"/>
      <w:r w:rsidRPr="00925BCD">
        <w:rPr>
          <w:rFonts w:ascii="Arial" w:hAnsi="Arial" w:cs="Arial"/>
        </w:rPr>
        <w:t xml:space="preserve"> okazały się niewrażliwe także niektóre inne biotypy – 0% skuteczności. Jeszcze inne okazały się niewrażliwe na </w:t>
      </w:r>
      <w:proofErr w:type="spellStart"/>
      <w:r w:rsidRPr="00925BCD">
        <w:rPr>
          <w:rFonts w:ascii="Arial" w:hAnsi="Arial" w:cs="Arial"/>
        </w:rPr>
        <w:t>propoksykarbazon</w:t>
      </w:r>
      <w:proofErr w:type="spellEnd"/>
      <w:r w:rsidRPr="00925BCD">
        <w:rPr>
          <w:rFonts w:ascii="Arial" w:hAnsi="Arial" w:cs="Arial"/>
        </w:rPr>
        <w:t xml:space="preserve"> sodowy oraz </w:t>
      </w:r>
      <w:proofErr w:type="spellStart"/>
      <w:r w:rsidRPr="00925BCD">
        <w:rPr>
          <w:rFonts w:ascii="Arial" w:hAnsi="Arial" w:cs="Arial"/>
        </w:rPr>
        <w:t>flupyrsulfuron</w:t>
      </w:r>
      <w:proofErr w:type="spellEnd"/>
      <w:r w:rsidRPr="00925BCD">
        <w:rPr>
          <w:rFonts w:ascii="Arial" w:hAnsi="Arial" w:cs="Arial"/>
        </w:rPr>
        <w:t xml:space="preserve"> metylowy. W pozostałych przypadkach dla wszystkich biotypów odnotowano  skuteczność działania wszystkich herbicydów na poziomie 20–30%. Jest to skuteczność bardzo niska i może świadczyć o rozwijającej się odporności. Z uwagi na fakt, iż stokłosy bardzo łatwo mogą się krzyżować, a w Polsce występuje około 25 gatunków lub podgatunków stokłos, nie można wykluczyć, iż zebrane próby nasion pochodziły od różnych form botanicznych. Wyłącznie na podstawie testów szklarniowych nie można stwierdzić, iż w tym przypadku wystąpiła odporność. W celu poszerzenia wiedzy w tym zakresie konieczne jest przeprowadzenie bardziej szczegółowych analiz. Testowano również odporność zebranych z terenu całego kraju różnych biotypów </w:t>
      </w:r>
      <w:r w:rsidRPr="00925BCD">
        <w:rPr>
          <w:rFonts w:ascii="Arial" w:hAnsi="Arial" w:cs="Arial"/>
          <w:b/>
        </w:rPr>
        <w:t>miotły zbożowej</w:t>
      </w:r>
      <w:r w:rsidRPr="00925BCD">
        <w:rPr>
          <w:rFonts w:ascii="Arial" w:hAnsi="Arial" w:cs="Arial"/>
        </w:rPr>
        <w:t xml:space="preserve"> na substancje czynne herbicydów. Najwyższą odporność, podobnie do lat ubiegłych, z tendencją jednak do narastania, odnotowano w odniesieniu do herbicydów z grupy inhibitorów </w:t>
      </w:r>
      <w:proofErr w:type="spellStart"/>
      <w:r w:rsidRPr="00925BCD">
        <w:rPr>
          <w:rFonts w:ascii="Arial" w:hAnsi="Arial" w:cs="Arial"/>
        </w:rPr>
        <w:t>syntazy</w:t>
      </w:r>
      <w:proofErr w:type="spellEnd"/>
      <w:r w:rsidRPr="00925BCD">
        <w:rPr>
          <w:rFonts w:ascii="Arial" w:hAnsi="Arial" w:cs="Arial"/>
        </w:rPr>
        <w:t xml:space="preserve"> </w:t>
      </w:r>
      <w:proofErr w:type="spellStart"/>
      <w:r w:rsidRPr="00925BCD">
        <w:rPr>
          <w:rFonts w:ascii="Arial" w:hAnsi="Arial" w:cs="Arial"/>
        </w:rPr>
        <w:t>acetylomleczanowej</w:t>
      </w:r>
      <w:proofErr w:type="spellEnd"/>
      <w:r w:rsidRPr="00925BCD">
        <w:rPr>
          <w:rFonts w:ascii="Arial" w:hAnsi="Arial" w:cs="Arial"/>
        </w:rPr>
        <w:t xml:space="preserve"> oraz inhibitorów inhibitory karboksylazy </w:t>
      </w:r>
      <w:proofErr w:type="spellStart"/>
      <w:r w:rsidRPr="00925BCD">
        <w:rPr>
          <w:rFonts w:ascii="Arial" w:hAnsi="Arial" w:cs="Arial"/>
        </w:rPr>
        <w:t>acetylo</w:t>
      </w:r>
      <w:proofErr w:type="spellEnd"/>
      <w:r w:rsidRPr="00925BCD">
        <w:rPr>
          <w:rFonts w:ascii="Arial" w:hAnsi="Arial" w:cs="Arial"/>
        </w:rPr>
        <w:t xml:space="preserve"> </w:t>
      </w:r>
      <w:proofErr w:type="spellStart"/>
      <w:r w:rsidRPr="00925BCD">
        <w:rPr>
          <w:rFonts w:ascii="Arial" w:hAnsi="Arial" w:cs="Arial"/>
        </w:rPr>
        <w:t>CoA</w:t>
      </w:r>
      <w:proofErr w:type="spellEnd"/>
      <w:r w:rsidRPr="00925BCD">
        <w:rPr>
          <w:rFonts w:ascii="Arial" w:hAnsi="Arial" w:cs="Arial"/>
        </w:rPr>
        <w:t xml:space="preserve">. Głównie dotyczyło to takich substancji, jak </w:t>
      </w:r>
      <w:proofErr w:type="spellStart"/>
      <w:r w:rsidRPr="00925BCD">
        <w:rPr>
          <w:rFonts w:ascii="Arial" w:hAnsi="Arial" w:cs="Arial"/>
        </w:rPr>
        <w:t>chlorosulfuron</w:t>
      </w:r>
      <w:proofErr w:type="spellEnd"/>
      <w:r w:rsidRPr="00925BCD">
        <w:rPr>
          <w:rFonts w:ascii="Arial" w:hAnsi="Arial" w:cs="Arial"/>
        </w:rPr>
        <w:t xml:space="preserve">, </w:t>
      </w:r>
      <w:proofErr w:type="spellStart"/>
      <w:r w:rsidRPr="00925BCD">
        <w:rPr>
          <w:rFonts w:ascii="Arial" w:hAnsi="Arial" w:cs="Arial"/>
        </w:rPr>
        <w:t>jodosulfuron</w:t>
      </w:r>
      <w:proofErr w:type="spellEnd"/>
      <w:r w:rsidRPr="00925BCD">
        <w:rPr>
          <w:rFonts w:ascii="Arial" w:hAnsi="Arial" w:cs="Arial"/>
        </w:rPr>
        <w:t xml:space="preserve">, </w:t>
      </w:r>
      <w:proofErr w:type="spellStart"/>
      <w:r w:rsidRPr="00925BCD">
        <w:rPr>
          <w:rFonts w:ascii="Arial" w:hAnsi="Arial" w:cs="Arial"/>
        </w:rPr>
        <w:t>flupyrsulfuron</w:t>
      </w:r>
      <w:proofErr w:type="spellEnd"/>
      <w:r w:rsidRPr="00925BCD">
        <w:rPr>
          <w:rFonts w:ascii="Arial" w:hAnsi="Arial" w:cs="Arial"/>
        </w:rPr>
        <w:t xml:space="preserve">, </w:t>
      </w:r>
      <w:proofErr w:type="spellStart"/>
      <w:r w:rsidRPr="00925BCD">
        <w:rPr>
          <w:rFonts w:ascii="Arial" w:hAnsi="Arial" w:cs="Arial"/>
        </w:rPr>
        <w:t>mezosulfuron</w:t>
      </w:r>
      <w:proofErr w:type="spellEnd"/>
      <w:r w:rsidRPr="00925BCD">
        <w:rPr>
          <w:rFonts w:ascii="Arial" w:hAnsi="Arial" w:cs="Arial"/>
        </w:rPr>
        <w:t xml:space="preserve">, </w:t>
      </w:r>
      <w:proofErr w:type="spellStart"/>
      <w:r w:rsidRPr="00925BCD">
        <w:rPr>
          <w:rFonts w:ascii="Arial" w:hAnsi="Arial" w:cs="Arial"/>
        </w:rPr>
        <w:t>piroksysulam</w:t>
      </w:r>
      <w:proofErr w:type="spellEnd"/>
      <w:r w:rsidRPr="00925BCD">
        <w:rPr>
          <w:rFonts w:ascii="Arial" w:hAnsi="Arial" w:cs="Arial"/>
        </w:rPr>
        <w:t xml:space="preserve">, </w:t>
      </w:r>
      <w:proofErr w:type="spellStart"/>
      <w:r w:rsidRPr="00925BCD">
        <w:rPr>
          <w:rFonts w:ascii="Arial" w:hAnsi="Arial" w:cs="Arial"/>
        </w:rPr>
        <w:t>propoksykarbazon</w:t>
      </w:r>
      <w:proofErr w:type="spellEnd"/>
      <w:r w:rsidRPr="00925BCD">
        <w:rPr>
          <w:rFonts w:ascii="Arial" w:hAnsi="Arial" w:cs="Arial"/>
        </w:rPr>
        <w:t xml:space="preserve"> i </w:t>
      </w:r>
      <w:proofErr w:type="spellStart"/>
      <w:r w:rsidRPr="00925BCD">
        <w:rPr>
          <w:rFonts w:ascii="Arial" w:hAnsi="Arial" w:cs="Arial"/>
        </w:rPr>
        <w:t>sulfosulfurontifen</w:t>
      </w:r>
      <w:proofErr w:type="spellEnd"/>
      <w:r w:rsidRPr="00925BCD">
        <w:rPr>
          <w:rFonts w:ascii="Arial" w:hAnsi="Arial" w:cs="Arial"/>
        </w:rPr>
        <w:t xml:space="preserve">. Dość wysoką odporność zanotowano również na </w:t>
      </w:r>
      <w:proofErr w:type="spellStart"/>
      <w:r w:rsidRPr="00925BCD">
        <w:rPr>
          <w:rFonts w:ascii="Arial" w:hAnsi="Arial" w:cs="Arial"/>
        </w:rPr>
        <w:lastRenderedPageBreak/>
        <w:t>fenoksaprop</w:t>
      </w:r>
      <w:proofErr w:type="spellEnd"/>
      <w:r w:rsidRPr="00925BCD">
        <w:rPr>
          <w:rFonts w:ascii="Arial" w:hAnsi="Arial" w:cs="Arial"/>
        </w:rPr>
        <w:t xml:space="preserve">-P-etylu i </w:t>
      </w:r>
      <w:proofErr w:type="spellStart"/>
      <w:r w:rsidRPr="00925BCD">
        <w:rPr>
          <w:rFonts w:ascii="Arial" w:hAnsi="Arial" w:cs="Arial"/>
        </w:rPr>
        <w:t>pinoksaden</w:t>
      </w:r>
      <w:proofErr w:type="spellEnd"/>
      <w:r w:rsidRPr="00925BCD">
        <w:rPr>
          <w:rFonts w:ascii="Arial" w:hAnsi="Arial" w:cs="Arial"/>
        </w:rPr>
        <w:t xml:space="preserve">. Poziom odporności miotły zbożowej na substancje z innych grup (inhibitory fotosyntezy w </w:t>
      </w:r>
      <w:proofErr w:type="spellStart"/>
      <w:r w:rsidRPr="00925BCD">
        <w:rPr>
          <w:rFonts w:ascii="Arial" w:hAnsi="Arial" w:cs="Arial"/>
        </w:rPr>
        <w:t>fotosystemie</w:t>
      </w:r>
      <w:proofErr w:type="spellEnd"/>
      <w:r w:rsidRPr="00925BCD">
        <w:rPr>
          <w:rFonts w:ascii="Arial" w:hAnsi="Arial" w:cs="Arial"/>
        </w:rPr>
        <w:t xml:space="preserve"> II, inhibitory syntezy barwników, inhibitory tworzenia </w:t>
      </w:r>
      <w:proofErr w:type="spellStart"/>
      <w:r w:rsidRPr="00925BCD">
        <w:rPr>
          <w:rFonts w:ascii="Arial" w:hAnsi="Arial" w:cs="Arial"/>
        </w:rPr>
        <w:t>mikrotubuli</w:t>
      </w:r>
      <w:proofErr w:type="spellEnd"/>
      <w:r w:rsidRPr="00925BCD">
        <w:rPr>
          <w:rFonts w:ascii="Arial" w:hAnsi="Arial" w:cs="Arial"/>
        </w:rPr>
        <w:t xml:space="preserve">, VLCFA i inhibitory syntezy lipidów) był niski lub bardzo niski, ale nie zaobserwowano w odniesieniu do nich pełnej wrażliwości badanych biotypów chwastów. </w:t>
      </w:r>
    </w:p>
    <w:p w14:paraId="5E86BF44" w14:textId="77777777" w:rsidR="00281A9F" w:rsidRPr="00925BCD" w:rsidRDefault="00281A9F"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t>
      </w:r>
      <w:bookmarkStart w:id="141" w:name="_Hlk92713200"/>
      <w:r w:rsidRPr="00925BCD">
        <w:rPr>
          <w:rFonts w:ascii="Arial" w:hAnsi="Arial" w:cs="Arial"/>
          <w:b/>
        </w:rPr>
        <w:t>w Instytucie Ochrony Roślin – PIB</w:t>
      </w:r>
      <w:r w:rsidRPr="00925BCD">
        <w:rPr>
          <w:rFonts w:ascii="Arial" w:hAnsi="Arial" w:cs="Arial"/>
        </w:rPr>
        <w:t xml:space="preserve"> </w:t>
      </w:r>
      <w:bookmarkEnd w:id="141"/>
      <w:r w:rsidRPr="00925BCD">
        <w:rPr>
          <w:rFonts w:ascii="Arial" w:hAnsi="Arial" w:cs="Arial"/>
        </w:rPr>
        <w:t>zbierano informacje na temat braku skuteczności zabiegów chemicznych. Prowadzono liczne lustracje terenowe, a otrzymywane informacje analizowano pod kątem ewentualnego wystąpienia zjawiska odporności agrofagów. Z różnych miejsc na terenie Polski zbierano agrofagi i przeznaczano do doświadczeń nad odpornością w ścisłych warunkach kontrolowanych. Monitoring odporności agrofagów obejmował doświadczenia polowe, laboratoryjne i</w:t>
      </w:r>
      <w:r w:rsidR="00DD0731" w:rsidRPr="00925BCD">
        <w:rPr>
          <w:rFonts w:ascii="Arial" w:hAnsi="Arial" w:cs="Arial"/>
        </w:rPr>
        <w:t> </w:t>
      </w:r>
      <w:r w:rsidRPr="00925BCD">
        <w:rPr>
          <w:rFonts w:ascii="Arial" w:hAnsi="Arial" w:cs="Arial"/>
        </w:rPr>
        <w:t>szklarniowe.</w:t>
      </w:r>
    </w:p>
    <w:p w14:paraId="726489F0" w14:textId="77777777" w:rsidR="00DD0731" w:rsidRPr="00925BCD" w:rsidRDefault="00DD0731"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Wśród szkodników prowadzono doświadczenia polowe nad odpornością etologiczną zwierząt łownych na repelenty stosowane do ich odstraszania. Doświadczenia potwierdzają utrzymująca się od wielu lat wysoką odporność zwierząt na repelenty zapachowe, z czym związane są znaczne problemy z ochroną upraw przed szkodami powodowanymi przez zwierzęta łowne. Zauważalne w ostatnich latach uodparnianie się zwierząt łownych na repelenty i związane z tym ich zbliżenie się do miast, wsi i osad ludzkich, znacznie zwiększa ryzyko przenoszenia przez nie chorób niebezpiecznych dla ludzi i zwierząt hodowlanych. Przykładowo, przebywanie dzików w obrębie lasów, pól i innych biotopów w pobliżu miast, zwiększa ryzyko przenoszenia wirusa afrykańskiego pomoru świń (ASF), boreliozy, zapalenia mózgu i wielu innych. Stąd konieczność stałego monitorowania odporności zwierząt łownych i poszukiwania nowych, skutecznych substancji. W przypadku zwierząt łownych, nabywanie odporności związane jest z procesami uczenia się i zapamiętywania. Stąd też znaczne różnice w poziomie wrażliwości różnych populacji na te same repelenty zapachowe. Dotyczy to całego kraju i w związku z tym nie ma możliwości wskazania rejonów o wyższej lub niższej odporności na te same repelenty, ponieważ populacje o różnych stopniach odporności są ze sobą wymieszane. Doświadczenia nad odpornością </w:t>
      </w:r>
      <w:r w:rsidRPr="00925BCD">
        <w:rPr>
          <w:rFonts w:ascii="Arial" w:hAnsi="Arial" w:cs="Arial"/>
          <w:b/>
        </w:rPr>
        <w:t>chowaczy łodygowych</w:t>
      </w:r>
      <w:r w:rsidRPr="00925BCD">
        <w:rPr>
          <w:rFonts w:ascii="Arial" w:hAnsi="Arial" w:cs="Arial"/>
        </w:rPr>
        <w:t xml:space="preserve"> wykazały wzrost poziomu odporności szkodników (w porównaniu z rokiem poprzednim) na </w:t>
      </w:r>
      <w:proofErr w:type="spellStart"/>
      <w:r w:rsidRPr="00925BCD">
        <w:rPr>
          <w:rFonts w:ascii="Arial" w:hAnsi="Arial" w:cs="Arial"/>
        </w:rPr>
        <w:t>indoksakarb</w:t>
      </w:r>
      <w:proofErr w:type="spellEnd"/>
      <w:r w:rsidRPr="00925BCD">
        <w:rPr>
          <w:rFonts w:ascii="Arial" w:hAnsi="Arial" w:cs="Arial"/>
        </w:rPr>
        <w:t xml:space="preserve"> z grupy </w:t>
      </w:r>
      <w:proofErr w:type="spellStart"/>
      <w:r w:rsidRPr="00925BCD">
        <w:rPr>
          <w:rFonts w:ascii="Arial" w:hAnsi="Arial" w:cs="Arial"/>
        </w:rPr>
        <w:t>oksadiazyn</w:t>
      </w:r>
      <w:proofErr w:type="spellEnd"/>
      <w:r w:rsidRPr="00925BCD">
        <w:rPr>
          <w:rFonts w:ascii="Arial" w:hAnsi="Arial" w:cs="Arial"/>
        </w:rPr>
        <w:t xml:space="preserve">. Odnotowano również spadek poziomu wrażliwości na substancje z grupy </w:t>
      </w:r>
      <w:proofErr w:type="spellStart"/>
      <w:r w:rsidRPr="00925BCD">
        <w:rPr>
          <w:rFonts w:ascii="Arial" w:hAnsi="Arial" w:cs="Arial"/>
        </w:rPr>
        <w:t>pyretroidów</w:t>
      </w:r>
      <w:proofErr w:type="spellEnd"/>
      <w:r w:rsidRPr="00925BCD">
        <w:rPr>
          <w:rFonts w:ascii="Arial" w:hAnsi="Arial" w:cs="Arial"/>
        </w:rPr>
        <w:t xml:space="preserve">. Badania dotyczące odporności </w:t>
      </w:r>
      <w:r w:rsidRPr="00925BCD">
        <w:rPr>
          <w:rFonts w:ascii="Arial" w:hAnsi="Arial" w:cs="Arial"/>
          <w:b/>
        </w:rPr>
        <w:t>słodyszka rzepakowego</w:t>
      </w:r>
      <w:r w:rsidRPr="00925BCD">
        <w:rPr>
          <w:rFonts w:ascii="Arial" w:hAnsi="Arial" w:cs="Arial"/>
        </w:rPr>
        <w:t xml:space="preserve"> wykazały szczególny wzrost odporności szkodnika na dwie substancje z grupy </w:t>
      </w:r>
      <w:proofErr w:type="spellStart"/>
      <w:r w:rsidRPr="00925BCD">
        <w:rPr>
          <w:rFonts w:ascii="Arial" w:hAnsi="Arial" w:cs="Arial"/>
        </w:rPr>
        <w:t>pyretroidów</w:t>
      </w:r>
      <w:proofErr w:type="spellEnd"/>
      <w:r w:rsidRPr="00925BCD">
        <w:rPr>
          <w:rFonts w:ascii="Arial" w:hAnsi="Arial" w:cs="Arial"/>
        </w:rPr>
        <w:t>: alfa-</w:t>
      </w:r>
      <w:proofErr w:type="spellStart"/>
      <w:r w:rsidRPr="00925BCD">
        <w:rPr>
          <w:rFonts w:ascii="Arial" w:hAnsi="Arial" w:cs="Arial"/>
        </w:rPr>
        <w:t>cypermetrynę</w:t>
      </w:r>
      <w:proofErr w:type="spellEnd"/>
      <w:r w:rsidRPr="00925BCD">
        <w:rPr>
          <w:rFonts w:ascii="Arial" w:hAnsi="Arial" w:cs="Arial"/>
        </w:rPr>
        <w:t xml:space="preserve"> i tau-</w:t>
      </w:r>
      <w:proofErr w:type="spellStart"/>
      <w:r w:rsidRPr="00925BCD">
        <w:rPr>
          <w:rFonts w:ascii="Arial" w:hAnsi="Arial" w:cs="Arial"/>
        </w:rPr>
        <w:t>fluwalinat</w:t>
      </w:r>
      <w:proofErr w:type="spellEnd"/>
      <w:r w:rsidRPr="00925BCD">
        <w:rPr>
          <w:rFonts w:ascii="Arial" w:hAnsi="Arial" w:cs="Arial"/>
        </w:rPr>
        <w:t xml:space="preserve">. Po raz pierwszy zarejestrowano też pojedyncze przypadki niewysokiej odporności słodyszka rzepakowego na </w:t>
      </w:r>
      <w:proofErr w:type="spellStart"/>
      <w:r w:rsidRPr="00925BCD">
        <w:rPr>
          <w:rFonts w:ascii="Arial" w:hAnsi="Arial" w:cs="Arial"/>
        </w:rPr>
        <w:t>indoksakarb</w:t>
      </w:r>
      <w:proofErr w:type="spellEnd"/>
      <w:r w:rsidRPr="00925BCD">
        <w:rPr>
          <w:rFonts w:ascii="Arial" w:hAnsi="Arial" w:cs="Arial"/>
        </w:rPr>
        <w:t xml:space="preserve"> – substancję w odniesieniu do której dotychczas nie notowano żadnych przypadków odporności. Poziom wrażliwości na </w:t>
      </w:r>
      <w:proofErr w:type="spellStart"/>
      <w:r w:rsidRPr="00925BCD">
        <w:rPr>
          <w:rFonts w:ascii="Arial" w:hAnsi="Arial" w:cs="Arial"/>
        </w:rPr>
        <w:t>neonikotynoidy</w:t>
      </w:r>
      <w:proofErr w:type="spellEnd"/>
      <w:r w:rsidRPr="00925BCD">
        <w:rPr>
          <w:rFonts w:ascii="Arial" w:hAnsi="Arial" w:cs="Arial"/>
        </w:rPr>
        <w:t xml:space="preserve"> oscylował wokół niewielkiej odporności i nie zmienił się w porównaniu z rokiem ubiegłym. Testy nad poziomem wrażliwości szkodnika na nie zarejestrowane do jego zwalczania substancje czynne z innych grup chemicznych: </w:t>
      </w:r>
      <w:proofErr w:type="spellStart"/>
      <w:r w:rsidRPr="00925BCD">
        <w:rPr>
          <w:rFonts w:ascii="Arial" w:hAnsi="Arial" w:cs="Arial"/>
        </w:rPr>
        <w:t>sulfoksafloru</w:t>
      </w:r>
      <w:proofErr w:type="spellEnd"/>
      <w:r w:rsidRPr="00925BCD">
        <w:rPr>
          <w:rFonts w:ascii="Arial" w:hAnsi="Arial" w:cs="Arial"/>
        </w:rPr>
        <w:t xml:space="preserve"> i </w:t>
      </w:r>
      <w:proofErr w:type="spellStart"/>
      <w:r w:rsidRPr="00925BCD">
        <w:rPr>
          <w:rFonts w:ascii="Arial" w:hAnsi="Arial" w:cs="Arial"/>
        </w:rPr>
        <w:t>chlorantraniliprolu</w:t>
      </w:r>
      <w:proofErr w:type="spellEnd"/>
      <w:r w:rsidRPr="00925BCD">
        <w:rPr>
          <w:rFonts w:ascii="Arial" w:hAnsi="Arial" w:cs="Arial"/>
        </w:rPr>
        <w:t xml:space="preserve">, wykazały bardzo słabą wrażliwość szkodnika na te substancje czynne. Celem takich doświadczeń jest poszukiwanie nowych substancji umożliwiających realizację podstawowej zasady strategii zapobiegania odporności, jaką jest rotacja substancji czynnych o różnych mechanizmach działania. Doświadczenia nad odpornością </w:t>
      </w:r>
      <w:proofErr w:type="spellStart"/>
      <w:r w:rsidRPr="00925BCD">
        <w:rPr>
          <w:rFonts w:ascii="Arial" w:hAnsi="Arial" w:cs="Arial"/>
          <w:b/>
        </w:rPr>
        <w:t>tantnisia</w:t>
      </w:r>
      <w:proofErr w:type="spellEnd"/>
      <w:r w:rsidRPr="00925BCD">
        <w:rPr>
          <w:rFonts w:ascii="Arial" w:hAnsi="Arial" w:cs="Arial"/>
          <w:b/>
        </w:rPr>
        <w:t xml:space="preserve"> krzyżowiaczka</w:t>
      </w:r>
      <w:r w:rsidRPr="00925BCD">
        <w:rPr>
          <w:rFonts w:ascii="Arial" w:hAnsi="Arial" w:cs="Arial"/>
        </w:rPr>
        <w:t xml:space="preserve"> wykazały dość znaczny poziom odporności szkodnika na substancje z grupy </w:t>
      </w:r>
      <w:proofErr w:type="spellStart"/>
      <w:r w:rsidRPr="00925BCD">
        <w:rPr>
          <w:rFonts w:ascii="Arial" w:hAnsi="Arial" w:cs="Arial"/>
        </w:rPr>
        <w:t>pyretroidów</w:t>
      </w:r>
      <w:proofErr w:type="spellEnd"/>
      <w:r w:rsidRPr="00925BCD">
        <w:rPr>
          <w:rFonts w:ascii="Arial" w:hAnsi="Arial" w:cs="Arial"/>
        </w:rPr>
        <w:t xml:space="preserve">, </w:t>
      </w:r>
      <w:proofErr w:type="spellStart"/>
      <w:r w:rsidRPr="00925BCD">
        <w:rPr>
          <w:rFonts w:ascii="Arial" w:hAnsi="Arial" w:cs="Arial"/>
        </w:rPr>
        <w:t>neonikotynoidów</w:t>
      </w:r>
      <w:proofErr w:type="spellEnd"/>
      <w:r w:rsidRPr="00925BCD">
        <w:rPr>
          <w:rFonts w:ascii="Arial" w:hAnsi="Arial" w:cs="Arial"/>
        </w:rPr>
        <w:t xml:space="preserve"> i związków fosforoorganicznych. Dużym problemem w wiosennej ochronie rzepaku ozimego i jarego staje się narastanie odporności </w:t>
      </w:r>
      <w:r w:rsidRPr="00925BCD">
        <w:rPr>
          <w:rFonts w:ascii="Arial" w:hAnsi="Arial" w:cs="Arial"/>
          <w:b/>
        </w:rPr>
        <w:t xml:space="preserve">chowacza </w:t>
      </w:r>
      <w:proofErr w:type="spellStart"/>
      <w:r w:rsidRPr="00925BCD">
        <w:rPr>
          <w:rFonts w:ascii="Arial" w:hAnsi="Arial" w:cs="Arial"/>
          <w:b/>
        </w:rPr>
        <w:t>podobnika</w:t>
      </w:r>
      <w:proofErr w:type="spellEnd"/>
      <w:r w:rsidRPr="00925BCD">
        <w:rPr>
          <w:rFonts w:ascii="Arial" w:hAnsi="Arial" w:cs="Arial"/>
        </w:rPr>
        <w:t xml:space="preserve"> na coraz więcej substancji z grupy </w:t>
      </w:r>
      <w:proofErr w:type="spellStart"/>
      <w:r w:rsidRPr="00925BCD">
        <w:rPr>
          <w:rFonts w:ascii="Arial" w:hAnsi="Arial" w:cs="Arial"/>
        </w:rPr>
        <w:t>pyretroidów</w:t>
      </w:r>
      <w:proofErr w:type="spellEnd"/>
      <w:r w:rsidRPr="00925BCD">
        <w:rPr>
          <w:rFonts w:ascii="Arial" w:hAnsi="Arial" w:cs="Arial"/>
        </w:rPr>
        <w:t xml:space="preserve"> – </w:t>
      </w:r>
      <w:r w:rsidRPr="00925BCD">
        <w:rPr>
          <w:rFonts w:ascii="Arial" w:hAnsi="Arial" w:cs="Arial"/>
        </w:rPr>
        <w:lastRenderedPageBreak/>
        <w:t xml:space="preserve">dotychczas bardzo skutecznych w zwalczaniu tego gatunku chowacza. Jest to niestety bezpośrednio związane z koniecznością doboru substancji zapewniających bezpieczeństwo pszczół, które w tym okresie pojawiają się na polach rzepaku. Ogranicza to ilość substancji możliwych do zastosowania w poszczególnych fazach rozwoju rzepaku, zwiększając tym samym nacisk selekcyjny niektórych z nich. Doświadczenia przeprowadzone w 2019 r. wykazały znaczne zmiany w poziomie wrażliwości na </w:t>
      </w:r>
      <w:proofErr w:type="spellStart"/>
      <w:r w:rsidRPr="00925BCD">
        <w:rPr>
          <w:rFonts w:ascii="Arial" w:hAnsi="Arial" w:cs="Arial"/>
        </w:rPr>
        <w:t>pyretroidy</w:t>
      </w:r>
      <w:proofErr w:type="spellEnd"/>
      <w:r w:rsidRPr="00925BCD">
        <w:rPr>
          <w:rFonts w:ascii="Arial" w:hAnsi="Arial" w:cs="Arial"/>
        </w:rPr>
        <w:t xml:space="preserve">. Nie wyodrębniono ani jednej substancji z tej grupy chemicznej, na którą szkodnik nie wykształcił odporności. W odniesieniu do </w:t>
      </w:r>
      <w:proofErr w:type="spellStart"/>
      <w:r w:rsidRPr="00925BCD">
        <w:rPr>
          <w:rFonts w:ascii="Arial" w:hAnsi="Arial" w:cs="Arial"/>
        </w:rPr>
        <w:t>taufluwalinatu</w:t>
      </w:r>
      <w:proofErr w:type="spellEnd"/>
      <w:r w:rsidRPr="00925BCD">
        <w:rPr>
          <w:rFonts w:ascii="Arial" w:hAnsi="Arial" w:cs="Arial"/>
        </w:rPr>
        <w:t xml:space="preserve"> wszystkie populacje wykazywały wysoką odporność. Podobnie jak w przypadku słodyszka rzepakowego, testowano również poziom wrażliwości </w:t>
      </w:r>
      <w:r w:rsidRPr="00925BCD">
        <w:rPr>
          <w:rFonts w:ascii="Arial" w:hAnsi="Arial" w:cs="Arial"/>
          <w:b/>
        </w:rPr>
        <w:t xml:space="preserve">chowacza </w:t>
      </w:r>
      <w:proofErr w:type="spellStart"/>
      <w:r w:rsidRPr="00925BCD">
        <w:rPr>
          <w:rFonts w:ascii="Arial" w:hAnsi="Arial" w:cs="Arial"/>
          <w:b/>
        </w:rPr>
        <w:t>podobnika</w:t>
      </w:r>
      <w:proofErr w:type="spellEnd"/>
      <w:r w:rsidRPr="00925BCD">
        <w:rPr>
          <w:rFonts w:ascii="Arial" w:hAnsi="Arial" w:cs="Arial"/>
        </w:rPr>
        <w:t xml:space="preserve"> na </w:t>
      </w:r>
      <w:proofErr w:type="spellStart"/>
      <w:r w:rsidRPr="00925BCD">
        <w:rPr>
          <w:rFonts w:ascii="Arial" w:hAnsi="Arial" w:cs="Arial"/>
        </w:rPr>
        <w:t>sulfoksaflor</w:t>
      </w:r>
      <w:proofErr w:type="spellEnd"/>
      <w:r w:rsidRPr="00925BCD">
        <w:rPr>
          <w:rFonts w:ascii="Arial" w:hAnsi="Arial" w:cs="Arial"/>
        </w:rPr>
        <w:t xml:space="preserve"> i </w:t>
      </w:r>
      <w:proofErr w:type="spellStart"/>
      <w:r w:rsidRPr="00925BCD">
        <w:rPr>
          <w:rFonts w:ascii="Arial" w:hAnsi="Arial" w:cs="Arial"/>
        </w:rPr>
        <w:t>chlorantraniliprol</w:t>
      </w:r>
      <w:proofErr w:type="spellEnd"/>
      <w:r w:rsidRPr="00925BCD">
        <w:rPr>
          <w:rFonts w:ascii="Arial" w:hAnsi="Arial" w:cs="Arial"/>
        </w:rPr>
        <w:t xml:space="preserve">. Wykazano odporność szkodnika, co wyklucza ewentualne wykorzystanie tych substancji w zwalczaniu tego gatunku. Doświadczenia nad poziomem odporności </w:t>
      </w:r>
      <w:r w:rsidRPr="00925BCD">
        <w:rPr>
          <w:rFonts w:ascii="Arial" w:hAnsi="Arial" w:cs="Arial"/>
          <w:b/>
        </w:rPr>
        <w:t>mszycy brzoskwiniowej</w:t>
      </w:r>
      <w:r w:rsidRPr="00925BCD">
        <w:rPr>
          <w:rFonts w:ascii="Arial" w:hAnsi="Arial" w:cs="Arial"/>
        </w:rPr>
        <w:t xml:space="preserve"> nie tylko wykazały wzrost odporności szkodnika na różne substancje czynne, oprócz </w:t>
      </w:r>
      <w:proofErr w:type="spellStart"/>
      <w:r w:rsidRPr="00925BCD">
        <w:rPr>
          <w:rFonts w:ascii="Arial" w:hAnsi="Arial" w:cs="Arial"/>
        </w:rPr>
        <w:t>neonikotynoidów</w:t>
      </w:r>
      <w:proofErr w:type="spellEnd"/>
      <w:r w:rsidRPr="00925BCD">
        <w:rPr>
          <w:rFonts w:ascii="Arial" w:hAnsi="Arial" w:cs="Arial"/>
        </w:rPr>
        <w:t xml:space="preserve">, ale również odporność na substancje z grupy </w:t>
      </w:r>
      <w:proofErr w:type="spellStart"/>
      <w:r w:rsidRPr="00925BCD">
        <w:rPr>
          <w:rFonts w:ascii="Arial" w:hAnsi="Arial" w:cs="Arial"/>
        </w:rPr>
        <w:t>diamidów</w:t>
      </w:r>
      <w:proofErr w:type="spellEnd"/>
      <w:r w:rsidRPr="00925BCD">
        <w:rPr>
          <w:rFonts w:ascii="Arial" w:hAnsi="Arial" w:cs="Arial"/>
        </w:rPr>
        <w:t xml:space="preserve"> – jedyne obecnie dopuszczone do stosowania w zaprawach na rzepaku ozimym. Taka sytuacja wyklucza możliwości skutecznej ochrony plantacji rzepaku ozimego jesienią przed mszycą brzoskwiniową. Poza odpornością nad </w:t>
      </w:r>
      <w:proofErr w:type="spellStart"/>
      <w:r w:rsidRPr="00925BCD">
        <w:rPr>
          <w:rFonts w:ascii="Arial" w:hAnsi="Arial" w:cs="Arial"/>
        </w:rPr>
        <w:t>diamidy</w:t>
      </w:r>
      <w:proofErr w:type="spellEnd"/>
      <w:r w:rsidRPr="00925BCD">
        <w:rPr>
          <w:rFonts w:ascii="Arial" w:hAnsi="Arial" w:cs="Arial"/>
        </w:rPr>
        <w:t xml:space="preserve">, odporność zaobserwowano również w odniesieniu do </w:t>
      </w:r>
      <w:proofErr w:type="spellStart"/>
      <w:r w:rsidRPr="00925BCD">
        <w:rPr>
          <w:rFonts w:ascii="Arial" w:hAnsi="Arial" w:cs="Arial"/>
        </w:rPr>
        <w:t>pyretroidów</w:t>
      </w:r>
      <w:proofErr w:type="spellEnd"/>
      <w:r w:rsidRPr="00925BCD">
        <w:rPr>
          <w:rFonts w:ascii="Arial" w:hAnsi="Arial" w:cs="Arial"/>
        </w:rPr>
        <w:t xml:space="preserve">, </w:t>
      </w:r>
      <w:proofErr w:type="spellStart"/>
      <w:r w:rsidRPr="00925BCD">
        <w:rPr>
          <w:rFonts w:ascii="Arial" w:hAnsi="Arial" w:cs="Arial"/>
        </w:rPr>
        <w:t>indoksakarbu</w:t>
      </w:r>
      <w:proofErr w:type="spellEnd"/>
      <w:r w:rsidRPr="00925BCD">
        <w:rPr>
          <w:rFonts w:ascii="Arial" w:hAnsi="Arial" w:cs="Arial"/>
        </w:rPr>
        <w:t xml:space="preserve"> z grupy </w:t>
      </w:r>
      <w:proofErr w:type="spellStart"/>
      <w:r w:rsidRPr="00925BCD">
        <w:rPr>
          <w:rFonts w:ascii="Arial" w:hAnsi="Arial" w:cs="Arial"/>
        </w:rPr>
        <w:t>oksadiazyn</w:t>
      </w:r>
      <w:proofErr w:type="spellEnd"/>
      <w:r w:rsidRPr="00925BCD">
        <w:rPr>
          <w:rFonts w:ascii="Arial" w:hAnsi="Arial" w:cs="Arial"/>
        </w:rPr>
        <w:t xml:space="preserve">, </w:t>
      </w:r>
      <w:proofErr w:type="spellStart"/>
      <w:r w:rsidRPr="00925BCD">
        <w:rPr>
          <w:rFonts w:ascii="Arial" w:hAnsi="Arial" w:cs="Arial"/>
        </w:rPr>
        <w:t>flonikamidu</w:t>
      </w:r>
      <w:proofErr w:type="spellEnd"/>
      <w:r w:rsidRPr="00925BCD">
        <w:rPr>
          <w:rFonts w:ascii="Arial" w:hAnsi="Arial" w:cs="Arial"/>
        </w:rPr>
        <w:t xml:space="preserve"> oraz </w:t>
      </w:r>
      <w:proofErr w:type="spellStart"/>
      <w:r w:rsidRPr="00925BCD">
        <w:rPr>
          <w:rFonts w:ascii="Arial" w:hAnsi="Arial" w:cs="Arial"/>
        </w:rPr>
        <w:t>fosmetu</w:t>
      </w:r>
      <w:proofErr w:type="spellEnd"/>
      <w:r w:rsidRPr="00925BCD">
        <w:rPr>
          <w:rFonts w:ascii="Arial" w:hAnsi="Arial" w:cs="Arial"/>
        </w:rPr>
        <w:t xml:space="preserve"> z grupy związków fosforoorganicznych. Nie zaobserwowano natomiast odporności szkodnika na </w:t>
      </w:r>
      <w:proofErr w:type="spellStart"/>
      <w:r w:rsidRPr="00925BCD">
        <w:rPr>
          <w:rFonts w:ascii="Arial" w:hAnsi="Arial" w:cs="Arial"/>
        </w:rPr>
        <w:t>sulfoksaflor</w:t>
      </w:r>
      <w:proofErr w:type="spellEnd"/>
      <w:r w:rsidRPr="00925BCD">
        <w:rPr>
          <w:rFonts w:ascii="Arial" w:hAnsi="Arial" w:cs="Arial"/>
        </w:rPr>
        <w:t xml:space="preserve">. Testowano również poziom odporności </w:t>
      </w:r>
      <w:r w:rsidRPr="00925BCD">
        <w:rPr>
          <w:rFonts w:ascii="Arial" w:hAnsi="Arial" w:cs="Arial"/>
          <w:b/>
        </w:rPr>
        <w:t>stonki ziemniaczanej</w:t>
      </w:r>
      <w:r w:rsidRPr="00925BCD">
        <w:rPr>
          <w:rFonts w:ascii="Arial" w:hAnsi="Arial" w:cs="Arial"/>
        </w:rPr>
        <w:t xml:space="preserve">. Wykazano niski poziom odporności szkodnika na </w:t>
      </w:r>
      <w:proofErr w:type="spellStart"/>
      <w:r w:rsidRPr="00925BCD">
        <w:rPr>
          <w:rFonts w:ascii="Arial" w:hAnsi="Arial" w:cs="Arial"/>
        </w:rPr>
        <w:t>chlorantraniliprol</w:t>
      </w:r>
      <w:proofErr w:type="spellEnd"/>
      <w:r w:rsidRPr="00925BCD">
        <w:rPr>
          <w:rFonts w:ascii="Arial" w:hAnsi="Arial" w:cs="Arial"/>
        </w:rPr>
        <w:t xml:space="preserve"> z grupy </w:t>
      </w:r>
      <w:proofErr w:type="spellStart"/>
      <w:r w:rsidRPr="00925BCD">
        <w:rPr>
          <w:rFonts w:ascii="Arial" w:hAnsi="Arial" w:cs="Arial"/>
        </w:rPr>
        <w:t>diamidów</w:t>
      </w:r>
      <w:proofErr w:type="spellEnd"/>
      <w:r w:rsidRPr="00925BCD">
        <w:rPr>
          <w:rFonts w:ascii="Arial" w:hAnsi="Arial" w:cs="Arial"/>
        </w:rPr>
        <w:t xml:space="preserve"> – substancję niedawno zarejestrowaną do zwalczania szkodnika. Wynik taki pozwala na założenie szybkiego narastania problemu odporności szkodnika na tą substancję czynną. Po okresowym spadku odporności szkodnika na </w:t>
      </w:r>
      <w:proofErr w:type="spellStart"/>
      <w:r w:rsidRPr="00925BCD">
        <w:rPr>
          <w:rFonts w:ascii="Arial" w:hAnsi="Arial" w:cs="Arial"/>
        </w:rPr>
        <w:t>pyretroidy</w:t>
      </w:r>
      <w:proofErr w:type="spellEnd"/>
      <w:r w:rsidRPr="00925BCD">
        <w:rPr>
          <w:rFonts w:ascii="Arial" w:hAnsi="Arial" w:cs="Arial"/>
        </w:rPr>
        <w:t xml:space="preserve"> w latach ubiegłych, w 2019 r. zaobserwowano jej ponowny wzrost. Natomiast badania nad skutecznością działania </w:t>
      </w:r>
      <w:proofErr w:type="spellStart"/>
      <w:r w:rsidRPr="00925BCD">
        <w:rPr>
          <w:rFonts w:ascii="Arial" w:hAnsi="Arial" w:cs="Arial"/>
        </w:rPr>
        <w:t>sulfoksafloru</w:t>
      </w:r>
      <w:proofErr w:type="spellEnd"/>
      <w:r w:rsidRPr="00925BCD">
        <w:rPr>
          <w:rFonts w:ascii="Arial" w:hAnsi="Arial" w:cs="Arial"/>
        </w:rPr>
        <w:t xml:space="preserve"> również wykazały odporność szkodnika. Wzrost odporności na </w:t>
      </w:r>
      <w:proofErr w:type="spellStart"/>
      <w:r w:rsidRPr="00925BCD">
        <w:rPr>
          <w:rFonts w:ascii="Arial" w:hAnsi="Arial" w:cs="Arial"/>
        </w:rPr>
        <w:t>pyretroidy</w:t>
      </w:r>
      <w:proofErr w:type="spellEnd"/>
      <w:r w:rsidRPr="00925BCD">
        <w:rPr>
          <w:rFonts w:ascii="Arial" w:hAnsi="Arial" w:cs="Arial"/>
        </w:rPr>
        <w:t xml:space="preserve"> zaobserwowano również u </w:t>
      </w:r>
      <w:r w:rsidRPr="00925BCD">
        <w:rPr>
          <w:rFonts w:ascii="Arial" w:hAnsi="Arial" w:cs="Arial"/>
          <w:b/>
        </w:rPr>
        <w:t>zachodniej kukurydzianej stonki korzeniowej,</w:t>
      </w:r>
      <w:r w:rsidRPr="00925BCD">
        <w:rPr>
          <w:rFonts w:ascii="Arial" w:hAnsi="Arial" w:cs="Arial"/>
        </w:rPr>
        <w:t xml:space="preserve"> w porównaniu z rokiem ubiegłym. Biorąc pod uwagę słabą skuteczność działania </w:t>
      </w:r>
      <w:proofErr w:type="spellStart"/>
      <w:r w:rsidRPr="00925BCD">
        <w:rPr>
          <w:rFonts w:ascii="Arial" w:hAnsi="Arial" w:cs="Arial"/>
        </w:rPr>
        <w:t>indoksakarbu</w:t>
      </w:r>
      <w:proofErr w:type="spellEnd"/>
      <w:r w:rsidRPr="00925BCD">
        <w:rPr>
          <w:rFonts w:ascii="Arial" w:hAnsi="Arial" w:cs="Arial"/>
        </w:rPr>
        <w:t xml:space="preserve"> w 2018 r., w 2019 r. porównano poziom wrażliwości na tą substancję czynną przy zastosowaniu dwóch preparatów handlowych o dwóch różnych </w:t>
      </w:r>
      <w:proofErr w:type="spellStart"/>
      <w:r w:rsidRPr="00925BCD">
        <w:rPr>
          <w:rFonts w:ascii="Arial" w:hAnsi="Arial" w:cs="Arial"/>
        </w:rPr>
        <w:t>formulacjach</w:t>
      </w:r>
      <w:proofErr w:type="spellEnd"/>
      <w:r w:rsidRPr="00925BCD">
        <w:rPr>
          <w:rFonts w:ascii="Arial" w:hAnsi="Arial" w:cs="Arial"/>
        </w:rPr>
        <w:t xml:space="preserve">: EC i WG. Wykazano brak odporności szkodnika w przypadku formulacji WG i niewielką odporność w przypadku formulacji EC. W przypadku tego szkodnika, wyraźnie zaznaczyła się rejonizacja polegająca na odporności szkodnika na terenach Polski południowo-wschodniej i braku tej odporności u populacji śląskich. </w:t>
      </w:r>
    </w:p>
    <w:p w14:paraId="160CAE28" w14:textId="2B211EC0" w:rsidR="00DD0731" w:rsidRPr="00925BCD" w:rsidRDefault="00DD0731"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Wśród owadów, prowadzono również doświadczenia monitoringowe nad poziomem odporności pszczoły miodnej – ważnego gospodarczo gatunku zapylającego, którego wrażliwość na insektycydy, w sytuacji panującego obecnie syndromu ginięcia pszczół, musi być uwzględniana w strategiach redukcji ryzyka odporności. Doświadczenia objęły badania pszczół na roślinach poddawanych zabiegom opryskiwania w izolatorach (w tym substancjami obecnymi w zaprawach </w:t>
      </w:r>
      <w:proofErr w:type="spellStart"/>
      <w:r w:rsidRPr="00925BCD">
        <w:rPr>
          <w:rFonts w:ascii="Arial" w:hAnsi="Arial" w:cs="Arial"/>
        </w:rPr>
        <w:t>neonikotynoidowych</w:t>
      </w:r>
      <w:proofErr w:type="spellEnd"/>
      <w:r w:rsidRPr="00925BCD">
        <w:rPr>
          <w:rFonts w:ascii="Arial" w:hAnsi="Arial" w:cs="Arial"/>
        </w:rPr>
        <w:t xml:space="preserve">) oraz badania na zaprawionym </w:t>
      </w:r>
      <w:proofErr w:type="spellStart"/>
      <w:r w:rsidRPr="00925BCD">
        <w:rPr>
          <w:rFonts w:ascii="Arial" w:hAnsi="Arial" w:cs="Arial"/>
        </w:rPr>
        <w:t>neonikotynoidami</w:t>
      </w:r>
      <w:proofErr w:type="spellEnd"/>
      <w:r w:rsidRPr="00925BCD">
        <w:rPr>
          <w:rFonts w:ascii="Arial" w:hAnsi="Arial" w:cs="Arial"/>
        </w:rPr>
        <w:t xml:space="preserve"> rzepaku (również prowadzone w</w:t>
      </w:r>
      <w:r w:rsidR="00764881" w:rsidRPr="00925BCD">
        <w:rPr>
          <w:rFonts w:ascii="Arial" w:hAnsi="Arial" w:cs="Arial"/>
        </w:rPr>
        <w:t> </w:t>
      </w:r>
      <w:r w:rsidRPr="00925BCD">
        <w:rPr>
          <w:rFonts w:ascii="Arial" w:hAnsi="Arial" w:cs="Arial"/>
        </w:rPr>
        <w:t xml:space="preserve"> izolatorach polowych dla uzyskania pewności, iż żadna inna, niż testowana, substancja czynna nie mogła mieć wpływu na zachowanie i śmiertelność pszczół, które są w stanie wykonywać loty do 5 km). W doświadczeniach na opryskiwanych roślinach nie wykazano jakiegokolwiek toksycznego działania </w:t>
      </w:r>
      <w:proofErr w:type="spellStart"/>
      <w:r w:rsidRPr="00925BCD">
        <w:rPr>
          <w:rFonts w:ascii="Arial" w:hAnsi="Arial" w:cs="Arial"/>
        </w:rPr>
        <w:t>sulfoksafloru</w:t>
      </w:r>
      <w:proofErr w:type="spellEnd"/>
      <w:r w:rsidRPr="00925BCD">
        <w:rPr>
          <w:rFonts w:ascii="Arial" w:hAnsi="Arial" w:cs="Arial"/>
        </w:rPr>
        <w:t xml:space="preserve">. Wyniki wykazały najwyższą wrażliwość owadów pożytecznych na </w:t>
      </w:r>
      <w:proofErr w:type="spellStart"/>
      <w:r w:rsidRPr="00925BCD">
        <w:rPr>
          <w:rFonts w:ascii="Arial" w:hAnsi="Arial" w:cs="Arial"/>
        </w:rPr>
        <w:t>chlotianidynę</w:t>
      </w:r>
      <w:proofErr w:type="spellEnd"/>
      <w:r w:rsidRPr="00925BCD">
        <w:rPr>
          <w:rFonts w:ascii="Arial" w:hAnsi="Arial" w:cs="Arial"/>
        </w:rPr>
        <w:t xml:space="preserve">. </w:t>
      </w:r>
      <w:proofErr w:type="spellStart"/>
      <w:r w:rsidRPr="00925BCD">
        <w:rPr>
          <w:rFonts w:ascii="Arial" w:hAnsi="Arial" w:cs="Arial"/>
        </w:rPr>
        <w:lastRenderedPageBreak/>
        <w:t>Tiametoksam</w:t>
      </w:r>
      <w:proofErr w:type="spellEnd"/>
      <w:r w:rsidRPr="00925BCD">
        <w:rPr>
          <w:rFonts w:ascii="Arial" w:hAnsi="Arial" w:cs="Arial"/>
        </w:rPr>
        <w:t xml:space="preserve"> i </w:t>
      </w:r>
      <w:proofErr w:type="spellStart"/>
      <w:r w:rsidRPr="00925BCD">
        <w:rPr>
          <w:rFonts w:ascii="Arial" w:hAnsi="Arial" w:cs="Arial"/>
        </w:rPr>
        <w:t>imidachlopryd</w:t>
      </w:r>
      <w:proofErr w:type="spellEnd"/>
      <w:r w:rsidRPr="00925BCD">
        <w:rPr>
          <w:rFonts w:ascii="Arial" w:hAnsi="Arial" w:cs="Arial"/>
        </w:rPr>
        <w:t xml:space="preserve"> nie wykazywały wysoce toksycznego działania w doświadczeniach,</w:t>
      </w:r>
      <w:r w:rsidR="00764881" w:rsidRPr="00925BCD">
        <w:rPr>
          <w:rFonts w:ascii="Arial" w:hAnsi="Arial" w:cs="Arial"/>
        </w:rPr>
        <w:t xml:space="preserve"> </w:t>
      </w:r>
      <w:r w:rsidRPr="00925BCD">
        <w:rPr>
          <w:rFonts w:ascii="Arial" w:hAnsi="Arial" w:cs="Arial"/>
        </w:rPr>
        <w:t>w</w:t>
      </w:r>
      <w:r w:rsidR="00764881" w:rsidRPr="00925BCD">
        <w:rPr>
          <w:rFonts w:ascii="Arial" w:hAnsi="Arial" w:cs="Arial"/>
        </w:rPr>
        <w:t> </w:t>
      </w:r>
      <w:r w:rsidRPr="00925BCD">
        <w:rPr>
          <w:rFonts w:ascii="Arial" w:hAnsi="Arial" w:cs="Arial"/>
        </w:rPr>
        <w:t>których znajdujące się w izolatorach rośliny były poddawane zabiegom opryskiwania, a pszczoły w</w:t>
      </w:r>
      <w:r w:rsidR="00764881" w:rsidRPr="00925BCD">
        <w:rPr>
          <w:rFonts w:ascii="Arial" w:hAnsi="Arial" w:cs="Arial"/>
        </w:rPr>
        <w:t> </w:t>
      </w:r>
      <w:r w:rsidRPr="00925BCD">
        <w:rPr>
          <w:rFonts w:ascii="Arial" w:hAnsi="Arial" w:cs="Arial"/>
        </w:rPr>
        <w:t>ulach wewnątrz izolatorów miały styczność z roślinami już kilka godzin po zabiegu. Badania nad odpornością patogenów grzybowych na substancje czynne fungicydów wymagają izolacji grzyba z</w:t>
      </w:r>
      <w:r w:rsidR="00156CB7" w:rsidRPr="00925BCD">
        <w:rPr>
          <w:rFonts w:ascii="Arial" w:hAnsi="Arial" w:cs="Arial"/>
        </w:rPr>
        <w:t> </w:t>
      </w:r>
      <w:r w:rsidRPr="00925BCD">
        <w:rPr>
          <w:rFonts w:ascii="Arial" w:hAnsi="Arial" w:cs="Arial"/>
        </w:rPr>
        <w:t xml:space="preserve">zebranego materiału i jego hodowli w warunkach laboratoryjnych. Kontynuowano badania laboratoryjne nad odpornością </w:t>
      </w:r>
      <w:proofErr w:type="spellStart"/>
      <w:r w:rsidRPr="00925BCD">
        <w:rPr>
          <w:rFonts w:ascii="Arial" w:hAnsi="Arial" w:cs="Arial"/>
        </w:rPr>
        <w:t>Cercospora</w:t>
      </w:r>
      <w:proofErr w:type="spellEnd"/>
      <w:r w:rsidRPr="00925BCD">
        <w:rPr>
          <w:rFonts w:ascii="Arial" w:hAnsi="Arial" w:cs="Arial"/>
        </w:rPr>
        <w:t xml:space="preserve"> </w:t>
      </w:r>
      <w:proofErr w:type="spellStart"/>
      <w:r w:rsidRPr="00925BCD">
        <w:rPr>
          <w:rFonts w:ascii="Arial" w:hAnsi="Arial" w:cs="Arial"/>
        </w:rPr>
        <w:t>beticola</w:t>
      </w:r>
      <w:proofErr w:type="spellEnd"/>
      <w:r w:rsidRPr="00925BCD">
        <w:rPr>
          <w:rFonts w:ascii="Arial" w:hAnsi="Arial" w:cs="Arial"/>
        </w:rPr>
        <w:t xml:space="preserve"> na substancje czynne fungicydów. Materiał roślinny, z którego pozyskano </w:t>
      </w:r>
      <w:proofErr w:type="spellStart"/>
      <w:r w:rsidRPr="00925BCD">
        <w:rPr>
          <w:rFonts w:ascii="Arial" w:hAnsi="Arial" w:cs="Arial"/>
        </w:rPr>
        <w:t>izolaty</w:t>
      </w:r>
      <w:proofErr w:type="spellEnd"/>
      <w:r w:rsidRPr="00925BCD">
        <w:rPr>
          <w:rFonts w:ascii="Arial" w:hAnsi="Arial" w:cs="Arial"/>
        </w:rPr>
        <w:t xml:space="preserve"> grzyba pochodził z rejonów upraw siedmiu cukrowni należących do Krajowej Spółki Cukrowej S.A.. Najwięcej </w:t>
      </w:r>
      <w:proofErr w:type="spellStart"/>
      <w:r w:rsidRPr="00925BCD">
        <w:rPr>
          <w:rFonts w:ascii="Arial" w:hAnsi="Arial" w:cs="Arial"/>
        </w:rPr>
        <w:t>izolatów</w:t>
      </w:r>
      <w:proofErr w:type="spellEnd"/>
      <w:r w:rsidRPr="00925BCD">
        <w:rPr>
          <w:rFonts w:ascii="Arial" w:hAnsi="Arial" w:cs="Arial"/>
        </w:rPr>
        <w:t xml:space="preserve"> (blisko 60%) wykazywało odporność na </w:t>
      </w:r>
      <w:proofErr w:type="spellStart"/>
      <w:r w:rsidRPr="00925BCD">
        <w:rPr>
          <w:rFonts w:ascii="Arial" w:hAnsi="Arial" w:cs="Arial"/>
        </w:rPr>
        <w:t>azoksystrobinę</w:t>
      </w:r>
      <w:proofErr w:type="spellEnd"/>
      <w:r w:rsidRPr="00925BCD">
        <w:rPr>
          <w:rFonts w:ascii="Arial" w:hAnsi="Arial" w:cs="Arial"/>
        </w:rPr>
        <w:t xml:space="preserve">. Taki poziom odporność utrzymuje się w populacji grzyba od dwóch lat. Odporność stwierdzono również na </w:t>
      </w:r>
      <w:proofErr w:type="spellStart"/>
      <w:r w:rsidRPr="00925BCD">
        <w:rPr>
          <w:rFonts w:ascii="Arial" w:hAnsi="Arial" w:cs="Arial"/>
        </w:rPr>
        <w:t>epoksykonazol</w:t>
      </w:r>
      <w:proofErr w:type="spellEnd"/>
      <w:r w:rsidRPr="00925BCD">
        <w:rPr>
          <w:rFonts w:ascii="Arial" w:hAnsi="Arial" w:cs="Arial"/>
        </w:rPr>
        <w:t xml:space="preserve">. Stwierdzono spadek odporności </w:t>
      </w:r>
      <w:r w:rsidRPr="00925BCD">
        <w:rPr>
          <w:rFonts w:ascii="Arial" w:hAnsi="Arial" w:cs="Arial"/>
          <w:b/>
        </w:rPr>
        <w:t xml:space="preserve">C. </w:t>
      </w:r>
      <w:proofErr w:type="spellStart"/>
      <w:r w:rsidRPr="00925BCD">
        <w:rPr>
          <w:rFonts w:ascii="Arial" w:hAnsi="Arial" w:cs="Arial"/>
          <w:b/>
        </w:rPr>
        <w:t>beticola</w:t>
      </w:r>
      <w:proofErr w:type="spellEnd"/>
      <w:r w:rsidRPr="00925BCD">
        <w:rPr>
          <w:rFonts w:ascii="Arial" w:hAnsi="Arial" w:cs="Arial"/>
        </w:rPr>
        <w:t xml:space="preserve"> na </w:t>
      </w:r>
      <w:proofErr w:type="spellStart"/>
      <w:r w:rsidRPr="00925BCD">
        <w:rPr>
          <w:rFonts w:ascii="Arial" w:hAnsi="Arial" w:cs="Arial"/>
        </w:rPr>
        <w:t>difenokonazol</w:t>
      </w:r>
      <w:proofErr w:type="spellEnd"/>
      <w:r w:rsidRPr="00925BCD">
        <w:rPr>
          <w:rFonts w:ascii="Arial" w:hAnsi="Arial" w:cs="Arial"/>
        </w:rPr>
        <w:t xml:space="preserve">. Najwięcej </w:t>
      </w:r>
      <w:proofErr w:type="spellStart"/>
      <w:r w:rsidRPr="00925BCD">
        <w:rPr>
          <w:rFonts w:ascii="Arial" w:hAnsi="Arial" w:cs="Arial"/>
        </w:rPr>
        <w:t>izolatów</w:t>
      </w:r>
      <w:proofErr w:type="spellEnd"/>
      <w:r w:rsidRPr="00925BCD">
        <w:rPr>
          <w:rFonts w:ascii="Arial" w:hAnsi="Arial" w:cs="Arial"/>
        </w:rPr>
        <w:t xml:space="preserve"> odpornych zdiagnozowano w południowo-wschodniej Polsce (co czwarty przebadany </w:t>
      </w:r>
      <w:proofErr w:type="spellStart"/>
      <w:r w:rsidRPr="00925BCD">
        <w:rPr>
          <w:rFonts w:ascii="Arial" w:hAnsi="Arial" w:cs="Arial"/>
        </w:rPr>
        <w:t>izolat</w:t>
      </w:r>
      <w:proofErr w:type="spellEnd"/>
      <w:r w:rsidRPr="00925BCD">
        <w:rPr>
          <w:rFonts w:ascii="Arial" w:hAnsi="Arial" w:cs="Arial"/>
        </w:rPr>
        <w:t xml:space="preserve">). Na pozostałym obszarze kraju tylko 8% testowanych </w:t>
      </w:r>
      <w:proofErr w:type="spellStart"/>
      <w:r w:rsidRPr="00925BCD">
        <w:rPr>
          <w:rFonts w:ascii="Arial" w:hAnsi="Arial" w:cs="Arial"/>
        </w:rPr>
        <w:t>izolatów</w:t>
      </w:r>
      <w:proofErr w:type="spellEnd"/>
      <w:r w:rsidRPr="00925BCD">
        <w:rPr>
          <w:rFonts w:ascii="Arial" w:hAnsi="Arial" w:cs="Arial"/>
        </w:rPr>
        <w:t xml:space="preserve"> wykazywało odporność na ten związek. Warto dodać, że co piąty przebadany </w:t>
      </w:r>
      <w:proofErr w:type="spellStart"/>
      <w:r w:rsidRPr="00925BCD">
        <w:rPr>
          <w:rFonts w:ascii="Arial" w:hAnsi="Arial" w:cs="Arial"/>
        </w:rPr>
        <w:t>izolat</w:t>
      </w:r>
      <w:proofErr w:type="spellEnd"/>
      <w:r w:rsidRPr="00925BCD">
        <w:rPr>
          <w:rFonts w:ascii="Arial" w:hAnsi="Arial" w:cs="Arial"/>
        </w:rPr>
        <w:t xml:space="preserve"> był odporny na choć jeden z</w:t>
      </w:r>
      <w:r w:rsidR="00764881" w:rsidRPr="00925BCD">
        <w:rPr>
          <w:rFonts w:ascii="Arial" w:hAnsi="Arial" w:cs="Arial"/>
        </w:rPr>
        <w:t> </w:t>
      </w:r>
      <w:r w:rsidRPr="00925BCD">
        <w:rPr>
          <w:rFonts w:ascii="Arial" w:hAnsi="Arial" w:cs="Arial"/>
        </w:rPr>
        <w:t xml:space="preserve">testowanych triazoli. Spadł również odsetek </w:t>
      </w:r>
      <w:proofErr w:type="spellStart"/>
      <w:r w:rsidRPr="00925BCD">
        <w:rPr>
          <w:rFonts w:ascii="Arial" w:hAnsi="Arial" w:cs="Arial"/>
        </w:rPr>
        <w:t>izolatów</w:t>
      </w:r>
      <w:proofErr w:type="spellEnd"/>
      <w:r w:rsidRPr="00925BCD">
        <w:rPr>
          <w:rFonts w:ascii="Arial" w:hAnsi="Arial" w:cs="Arial"/>
        </w:rPr>
        <w:t xml:space="preserve"> wykazujących odporność na </w:t>
      </w:r>
      <w:proofErr w:type="spellStart"/>
      <w:r w:rsidRPr="00925BCD">
        <w:rPr>
          <w:rFonts w:ascii="Arial" w:hAnsi="Arial" w:cs="Arial"/>
        </w:rPr>
        <w:t>fenpropidynę</w:t>
      </w:r>
      <w:proofErr w:type="spellEnd"/>
      <w:r w:rsidRPr="00925BCD">
        <w:rPr>
          <w:rFonts w:ascii="Arial" w:hAnsi="Arial" w:cs="Arial"/>
        </w:rPr>
        <w:t xml:space="preserve">. Jednak po raz pierwszy wykryto nieliczne </w:t>
      </w:r>
      <w:proofErr w:type="spellStart"/>
      <w:r w:rsidRPr="00925BCD">
        <w:rPr>
          <w:rFonts w:ascii="Arial" w:hAnsi="Arial" w:cs="Arial"/>
        </w:rPr>
        <w:t>izolaty</w:t>
      </w:r>
      <w:proofErr w:type="spellEnd"/>
      <w:r w:rsidRPr="00925BCD">
        <w:rPr>
          <w:rFonts w:ascii="Arial" w:hAnsi="Arial" w:cs="Arial"/>
        </w:rPr>
        <w:t xml:space="preserve"> (trzy w skali całego kraju) wykazujące wysoką odporność na ten związek. Podobnie jak w </w:t>
      </w:r>
      <w:r w:rsidR="000D3601">
        <w:rPr>
          <w:rFonts w:ascii="Arial" w:hAnsi="Arial" w:cs="Arial"/>
        </w:rPr>
        <w:t>2018 </w:t>
      </w:r>
      <w:r w:rsidRPr="00925BCD">
        <w:rPr>
          <w:rFonts w:ascii="Arial" w:hAnsi="Arial" w:cs="Arial"/>
        </w:rPr>
        <w:t>r</w:t>
      </w:r>
      <w:r w:rsidR="000D3601">
        <w:rPr>
          <w:rFonts w:ascii="Arial" w:hAnsi="Arial" w:cs="Arial"/>
        </w:rPr>
        <w:t>.</w:t>
      </w:r>
      <w:r w:rsidRPr="00925BCD">
        <w:rPr>
          <w:rFonts w:ascii="Arial" w:hAnsi="Arial" w:cs="Arial"/>
        </w:rPr>
        <w:t xml:space="preserve"> na preparat zawierający </w:t>
      </w:r>
      <w:proofErr w:type="spellStart"/>
      <w:r w:rsidRPr="00925BCD">
        <w:rPr>
          <w:rFonts w:ascii="Arial" w:hAnsi="Arial" w:cs="Arial"/>
        </w:rPr>
        <w:t>piraklostrobinę</w:t>
      </w:r>
      <w:proofErr w:type="spellEnd"/>
      <w:r w:rsidRPr="00925BCD">
        <w:rPr>
          <w:rFonts w:ascii="Arial" w:hAnsi="Arial" w:cs="Arial"/>
        </w:rPr>
        <w:t xml:space="preserve"> i</w:t>
      </w:r>
      <w:r w:rsidR="00764881" w:rsidRPr="00925BCD">
        <w:rPr>
          <w:rFonts w:ascii="Arial" w:hAnsi="Arial" w:cs="Arial"/>
        </w:rPr>
        <w:t> </w:t>
      </w:r>
      <w:proofErr w:type="spellStart"/>
      <w:r w:rsidRPr="00925BCD">
        <w:rPr>
          <w:rFonts w:ascii="Arial" w:hAnsi="Arial" w:cs="Arial"/>
        </w:rPr>
        <w:t>epoksykonazol</w:t>
      </w:r>
      <w:proofErr w:type="spellEnd"/>
      <w:r w:rsidRPr="00925BCD">
        <w:rPr>
          <w:rFonts w:ascii="Arial" w:hAnsi="Arial" w:cs="Arial"/>
        </w:rPr>
        <w:t xml:space="preserve"> jednocześnie, odporność wykazywał co trzeci badany </w:t>
      </w:r>
      <w:proofErr w:type="spellStart"/>
      <w:r w:rsidRPr="00925BCD">
        <w:rPr>
          <w:rFonts w:ascii="Arial" w:hAnsi="Arial" w:cs="Arial"/>
        </w:rPr>
        <w:t>izolat</w:t>
      </w:r>
      <w:proofErr w:type="spellEnd"/>
      <w:r w:rsidRPr="00925BCD">
        <w:rPr>
          <w:rFonts w:ascii="Arial" w:hAnsi="Arial" w:cs="Arial"/>
        </w:rPr>
        <w:t xml:space="preserve">. Jednak po raz pierwszy wykryto szczep wykazujący wysoką odporność na taką mieszaninę. Badania nad odpornością patogenu wywołującego </w:t>
      </w:r>
      <w:r w:rsidRPr="00925BCD">
        <w:rPr>
          <w:rFonts w:ascii="Arial" w:hAnsi="Arial" w:cs="Arial"/>
          <w:b/>
        </w:rPr>
        <w:t xml:space="preserve">zgniliznę </w:t>
      </w:r>
      <w:proofErr w:type="spellStart"/>
      <w:r w:rsidRPr="00925BCD">
        <w:rPr>
          <w:rFonts w:ascii="Arial" w:hAnsi="Arial" w:cs="Arial"/>
          <w:b/>
        </w:rPr>
        <w:t>twardzikową</w:t>
      </w:r>
      <w:proofErr w:type="spellEnd"/>
      <w:r w:rsidRPr="00925BCD">
        <w:rPr>
          <w:rFonts w:ascii="Arial" w:hAnsi="Arial" w:cs="Arial"/>
        </w:rPr>
        <w:t xml:space="preserve"> rzepaku wykazały niski poziom odporności </w:t>
      </w:r>
      <w:proofErr w:type="spellStart"/>
      <w:r w:rsidRPr="00925BCD">
        <w:rPr>
          <w:rFonts w:ascii="Arial" w:hAnsi="Arial" w:cs="Arial"/>
        </w:rPr>
        <w:t>patogena</w:t>
      </w:r>
      <w:proofErr w:type="spellEnd"/>
      <w:r w:rsidRPr="00925BCD">
        <w:rPr>
          <w:rFonts w:ascii="Arial" w:hAnsi="Arial" w:cs="Arial"/>
        </w:rPr>
        <w:t xml:space="preserve"> na </w:t>
      </w:r>
      <w:proofErr w:type="spellStart"/>
      <w:r w:rsidRPr="00925BCD">
        <w:rPr>
          <w:rFonts w:ascii="Arial" w:hAnsi="Arial" w:cs="Arial"/>
        </w:rPr>
        <w:t>azoksystrobinę</w:t>
      </w:r>
      <w:proofErr w:type="spellEnd"/>
      <w:r w:rsidRPr="00925BCD">
        <w:rPr>
          <w:rFonts w:ascii="Arial" w:hAnsi="Arial" w:cs="Arial"/>
        </w:rPr>
        <w:t xml:space="preserve"> i </w:t>
      </w:r>
      <w:proofErr w:type="spellStart"/>
      <w:r w:rsidRPr="00925BCD">
        <w:rPr>
          <w:rFonts w:ascii="Arial" w:hAnsi="Arial" w:cs="Arial"/>
        </w:rPr>
        <w:t>tebukonazol</w:t>
      </w:r>
      <w:proofErr w:type="spellEnd"/>
      <w:r w:rsidRPr="00925BCD">
        <w:rPr>
          <w:rFonts w:ascii="Arial" w:hAnsi="Arial" w:cs="Arial"/>
        </w:rPr>
        <w:t xml:space="preserve">. </w:t>
      </w:r>
    </w:p>
    <w:p w14:paraId="7F81F2A5" w14:textId="77777777" w:rsidR="00DD0731" w:rsidRPr="00925BCD" w:rsidRDefault="00DD0731"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w:t>
      </w:r>
      <w:r w:rsidR="00764881" w:rsidRPr="00925BCD">
        <w:rPr>
          <w:rFonts w:ascii="Arial" w:hAnsi="Arial" w:cs="Arial"/>
        </w:rPr>
        <w:t>.</w:t>
      </w:r>
      <w:r w:rsidRPr="00925BCD">
        <w:rPr>
          <w:rFonts w:ascii="Arial" w:hAnsi="Arial" w:cs="Arial"/>
        </w:rPr>
        <w:t xml:space="preserve"> przebadano biotypy </w:t>
      </w:r>
      <w:r w:rsidRPr="00925BCD">
        <w:rPr>
          <w:rFonts w:ascii="Arial" w:hAnsi="Arial" w:cs="Arial"/>
          <w:b/>
        </w:rPr>
        <w:t>szarłatu szorstkiego</w:t>
      </w:r>
      <w:r w:rsidRPr="00925BCD">
        <w:rPr>
          <w:rFonts w:ascii="Arial" w:hAnsi="Arial" w:cs="Arial"/>
        </w:rPr>
        <w:t xml:space="preserve"> pobranego z pól kukurydzy. Szarłat jest gatunkiem bardzo groźnym dla kukurydzy, może spowodować znaczną obniżkę plonu. Szacuje się, że występując w nasileniu 2, 10 i 20 szt./1m2 powoduje straty plonu kukurydzy wynoszące 7, 20 i 32%. Celem sprawdzenia możliwości wystąpienia odporności w doświadczeniach przebadano skuteczność herbicydów pochodzących z różnych grup chemicznych. Herbicydy zastosowano w najwyższych zalecanych dawkach. Badania potwierdziły zmniejszoną wrażliwość szarłatu szorstkiego pobranego z</w:t>
      </w:r>
      <w:r w:rsidR="00764881" w:rsidRPr="00925BCD">
        <w:rPr>
          <w:rFonts w:ascii="Arial" w:hAnsi="Arial" w:cs="Arial"/>
        </w:rPr>
        <w:t> </w:t>
      </w:r>
      <w:r w:rsidRPr="00925BCD">
        <w:rPr>
          <w:rFonts w:ascii="Arial" w:hAnsi="Arial" w:cs="Arial"/>
        </w:rPr>
        <w:t xml:space="preserve">miejscowości </w:t>
      </w:r>
      <w:proofErr w:type="spellStart"/>
      <w:r w:rsidRPr="00925BCD">
        <w:rPr>
          <w:rFonts w:ascii="Arial" w:hAnsi="Arial" w:cs="Arial"/>
        </w:rPr>
        <w:t>Charbłowo</w:t>
      </w:r>
      <w:proofErr w:type="spellEnd"/>
      <w:r w:rsidRPr="00925BCD">
        <w:rPr>
          <w:rFonts w:ascii="Arial" w:hAnsi="Arial" w:cs="Arial"/>
        </w:rPr>
        <w:t xml:space="preserve"> (biotyp 2), </w:t>
      </w:r>
      <w:proofErr w:type="spellStart"/>
      <w:r w:rsidRPr="00925BCD">
        <w:rPr>
          <w:rFonts w:ascii="Arial" w:hAnsi="Arial" w:cs="Arial"/>
        </w:rPr>
        <w:t>Dychlino</w:t>
      </w:r>
      <w:proofErr w:type="spellEnd"/>
      <w:r w:rsidRPr="00925BCD">
        <w:rPr>
          <w:rFonts w:ascii="Arial" w:hAnsi="Arial" w:cs="Arial"/>
        </w:rPr>
        <w:t xml:space="preserve"> (biotyp 1) i Sarbsk (biotyp 1) na herbicydy zawierające </w:t>
      </w:r>
      <w:proofErr w:type="spellStart"/>
      <w:r w:rsidRPr="00925BCD">
        <w:rPr>
          <w:rFonts w:ascii="Arial" w:hAnsi="Arial" w:cs="Arial"/>
        </w:rPr>
        <w:t>nikosulfuron</w:t>
      </w:r>
      <w:proofErr w:type="spellEnd"/>
      <w:r w:rsidRPr="00925BCD">
        <w:rPr>
          <w:rFonts w:ascii="Arial" w:hAnsi="Arial" w:cs="Arial"/>
        </w:rPr>
        <w:t xml:space="preserve"> i </w:t>
      </w:r>
      <w:proofErr w:type="spellStart"/>
      <w:r w:rsidRPr="00925BCD">
        <w:rPr>
          <w:rFonts w:ascii="Arial" w:hAnsi="Arial" w:cs="Arial"/>
        </w:rPr>
        <w:t>rimsulfuron</w:t>
      </w:r>
      <w:proofErr w:type="spellEnd"/>
      <w:r w:rsidRPr="00925BCD">
        <w:rPr>
          <w:rFonts w:ascii="Arial" w:hAnsi="Arial" w:cs="Arial"/>
        </w:rPr>
        <w:t xml:space="preserve"> (</w:t>
      </w:r>
      <w:proofErr w:type="spellStart"/>
      <w:r w:rsidRPr="00925BCD">
        <w:rPr>
          <w:rFonts w:ascii="Arial" w:hAnsi="Arial" w:cs="Arial"/>
        </w:rPr>
        <w:t>sulfonylomoczniki</w:t>
      </w:r>
      <w:proofErr w:type="spellEnd"/>
      <w:r w:rsidRPr="00925BCD">
        <w:rPr>
          <w:rFonts w:ascii="Arial" w:hAnsi="Arial" w:cs="Arial"/>
        </w:rPr>
        <w:t xml:space="preserve">). Zniszczenie szarłatu pochodzącego z tych lokalizacji przez pełne dawki herbicydów wynosiło tylko 40–60%. Zastosowanie dawek podwójnych podwyższyło skuteczność zwalczania do 75%–80%. Próby pochodzące z Winnej Góry i będące obiektami kontrolnymi przez pełne dawki </w:t>
      </w:r>
      <w:proofErr w:type="spellStart"/>
      <w:r w:rsidRPr="00925BCD">
        <w:rPr>
          <w:rFonts w:ascii="Arial" w:hAnsi="Arial" w:cs="Arial"/>
        </w:rPr>
        <w:t>sulfonylomoczników</w:t>
      </w:r>
      <w:proofErr w:type="spellEnd"/>
      <w:r w:rsidRPr="00925BCD">
        <w:rPr>
          <w:rFonts w:ascii="Arial" w:hAnsi="Arial" w:cs="Arial"/>
        </w:rPr>
        <w:t xml:space="preserve"> zostały zniszczone na poziomie od 98% (dawka normalna) do 100% (dawka podwójna). Uzyskane wyniki wskazują na zagrożenie pojawienia się odporności szarłatu szorstkiego na herbicydy </w:t>
      </w:r>
      <w:proofErr w:type="spellStart"/>
      <w:r w:rsidRPr="00925BCD">
        <w:rPr>
          <w:rFonts w:ascii="Arial" w:hAnsi="Arial" w:cs="Arial"/>
        </w:rPr>
        <w:t>sulfonylomocznikowe</w:t>
      </w:r>
      <w:proofErr w:type="spellEnd"/>
      <w:r w:rsidR="00A319FE" w:rsidRPr="00925BCD">
        <w:rPr>
          <w:rFonts w:ascii="Arial" w:hAnsi="Arial" w:cs="Arial"/>
        </w:rPr>
        <w:t>.</w:t>
      </w:r>
    </w:p>
    <w:p w14:paraId="61F303C2" w14:textId="787DE033" w:rsidR="00E84120" w:rsidRPr="00125F0E" w:rsidRDefault="00E84120" w:rsidP="00E84120">
      <w:pPr>
        <w:autoSpaceDE w:val="0"/>
        <w:autoSpaceDN w:val="0"/>
        <w:adjustRightInd w:val="0"/>
        <w:spacing w:line="360" w:lineRule="auto"/>
        <w:ind w:firstLine="708"/>
        <w:jc w:val="both"/>
        <w:rPr>
          <w:rFonts w:ascii="Arial" w:hAnsi="Arial" w:cs="Arial"/>
          <w:sz w:val="20"/>
          <w:szCs w:val="20"/>
        </w:rPr>
      </w:pPr>
      <w:r w:rsidRPr="005A305D">
        <w:rPr>
          <w:rFonts w:ascii="Arial" w:hAnsi="Arial" w:cs="Arial"/>
          <w:b/>
          <w:bCs/>
          <w:sz w:val="20"/>
          <w:szCs w:val="20"/>
        </w:rPr>
        <w:t>W 2020 r. w Instytucie</w:t>
      </w:r>
      <w:r w:rsidRPr="00E84120">
        <w:rPr>
          <w:rFonts w:ascii="Arial" w:hAnsi="Arial" w:cs="Arial"/>
          <w:b/>
          <w:sz w:val="20"/>
          <w:szCs w:val="20"/>
        </w:rPr>
        <w:t xml:space="preserve"> Ochrony Roślin – PIB</w:t>
      </w:r>
      <w:r>
        <w:rPr>
          <w:rFonts w:ascii="Arial" w:hAnsi="Arial" w:cs="Arial"/>
          <w:sz w:val="20"/>
          <w:szCs w:val="20"/>
        </w:rPr>
        <w:t xml:space="preserve"> kontynuowano </w:t>
      </w:r>
      <w:r w:rsidRPr="00125F0E">
        <w:rPr>
          <w:rFonts w:ascii="Arial" w:hAnsi="Arial" w:cs="Arial"/>
          <w:sz w:val="20"/>
          <w:szCs w:val="20"/>
        </w:rPr>
        <w:t>zbiera</w:t>
      </w:r>
      <w:r>
        <w:rPr>
          <w:rFonts w:ascii="Arial" w:hAnsi="Arial" w:cs="Arial"/>
          <w:sz w:val="20"/>
          <w:szCs w:val="20"/>
        </w:rPr>
        <w:t>nie</w:t>
      </w:r>
      <w:r w:rsidRPr="00125F0E">
        <w:rPr>
          <w:rFonts w:ascii="Arial" w:hAnsi="Arial" w:cs="Arial"/>
          <w:sz w:val="20"/>
          <w:szCs w:val="20"/>
        </w:rPr>
        <w:t xml:space="preserve"> informacj</w:t>
      </w:r>
      <w:r>
        <w:rPr>
          <w:rFonts w:ascii="Arial" w:hAnsi="Arial" w:cs="Arial"/>
          <w:sz w:val="20"/>
          <w:szCs w:val="20"/>
        </w:rPr>
        <w:t>i</w:t>
      </w:r>
      <w:r w:rsidRPr="00125F0E">
        <w:rPr>
          <w:rFonts w:ascii="Arial" w:hAnsi="Arial" w:cs="Arial"/>
          <w:sz w:val="20"/>
          <w:szCs w:val="20"/>
        </w:rPr>
        <w:t xml:space="preserve"> na temat braku skuteczności zabiegów chemicznych, które mogą sugerować wystąpienie odporności agrofagów na środki ochrony roślin. </w:t>
      </w:r>
      <w:r>
        <w:rPr>
          <w:rFonts w:ascii="Arial" w:hAnsi="Arial" w:cs="Arial"/>
          <w:sz w:val="20"/>
          <w:szCs w:val="20"/>
        </w:rPr>
        <w:t>P</w:t>
      </w:r>
      <w:r w:rsidRPr="00125F0E">
        <w:rPr>
          <w:rFonts w:ascii="Arial" w:hAnsi="Arial" w:cs="Arial"/>
          <w:sz w:val="20"/>
          <w:szCs w:val="20"/>
        </w:rPr>
        <w:t xml:space="preserve">rowadzono liczne lustracje terenowe zgłoszonych przypadków nieskuteczności zabiegów w całym </w:t>
      </w:r>
      <w:r>
        <w:rPr>
          <w:rFonts w:ascii="Arial" w:hAnsi="Arial" w:cs="Arial"/>
          <w:sz w:val="20"/>
          <w:szCs w:val="20"/>
        </w:rPr>
        <w:t>k</w:t>
      </w:r>
      <w:r w:rsidRPr="00125F0E">
        <w:rPr>
          <w:rFonts w:ascii="Arial" w:hAnsi="Arial" w:cs="Arial"/>
          <w:sz w:val="20"/>
          <w:szCs w:val="20"/>
        </w:rPr>
        <w:t xml:space="preserve">raju. Po weryfikacji otrzymanych informacji w terenie, w przypadku podejrzenia wystąpienia odporności agrofaga, zbierano materiał do badań w ścisłych warunkach kontrolowanych. Szczególną uwagę zwrócono na zbiór agrofagów, których odporność wzrasta </w:t>
      </w:r>
      <w:r w:rsidR="00B46BD3" w:rsidRPr="00125F0E">
        <w:rPr>
          <w:rFonts w:ascii="Arial" w:hAnsi="Arial" w:cs="Arial"/>
          <w:sz w:val="20"/>
          <w:szCs w:val="20"/>
        </w:rPr>
        <w:lastRenderedPageBreak/>
        <w:t>w</w:t>
      </w:r>
      <w:r w:rsidR="00B46BD3">
        <w:rPr>
          <w:rFonts w:ascii="Arial" w:hAnsi="Arial" w:cs="Arial"/>
          <w:sz w:val="20"/>
          <w:szCs w:val="20"/>
        </w:rPr>
        <w:t> </w:t>
      </w:r>
      <w:r w:rsidRPr="00125F0E">
        <w:rPr>
          <w:rFonts w:ascii="Arial" w:hAnsi="Arial" w:cs="Arial"/>
          <w:sz w:val="20"/>
          <w:szCs w:val="20"/>
        </w:rPr>
        <w:t xml:space="preserve">związku z wycofywaniem ze stosowania zapraw </w:t>
      </w:r>
      <w:proofErr w:type="spellStart"/>
      <w:r w:rsidRPr="00125F0E">
        <w:rPr>
          <w:rFonts w:ascii="Arial" w:hAnsi="Arial" w:cs="Arial"/>
          <w:sz w:val="20"/>
          <w:szCs w:val="20"/>
        </w:rPr>
        <w:t>neonikotynoidowych</w:t>
      </w:r>
      <w:proofErr w:type="spellEnd"/>
      <w:r w:rsidRPr="00125F0E">
        <w:rPr>
          <w:rFonts w:ascii="Arial" w:hAnsi="Arial" w:cs="Arial"/>
          <w:sz w:val="20"/>
          <w:szCs w:val="20"/>
        </w:rPr>
        <w:t xml:space="preserve"> oraz w związku </w:t>
      </w:r>
      <w:r w:rsidR="00B46BD3" w:rsidRPr="00125F0E">
        <w:rPr>
          <w:rFonts w:ascii="Arial" w:hAnsi="Arial" w:cs="Arial"/>
          <w:sz w:val="20"/>
          <w:szCs w:val="20"/>
        </w:rPr>
        <w:t>z</w:t>
      </w:r>
      <w:r w:rsidR="00B46BD3">
        <w:rPr>
          <w:rFonts w:ascii="Arial" w:hAnsi="Arial" w:cs="Arial"/>
          <w:sz w:val="20"/>
          <w:szCs w:val="20"/>
        </w:rPr>
        <w:t> </w:t>
      </w:r>
      <w:r w:rsidRPr="00125F0E">
        <w:rPr>
          <w:rFonts w:ascii="Arial" w:hAnsi="Arial" w:cs="Arial"/>
          <w:sz w:val="20"/>
          <w:szCs w:val="20"/>
        </w:rPr>
        <w:t xml:space="preserve">ograniczeniami stosowania spowodowanymi koniecznością zachowania bezpieczeństwa pszczół. </w:t>
      </w:r>
    </w:p>
    <w:p w14:paraId="42E425DC" w14:textId="36A32FF0" w:rsidR="00E84120"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Wśród </w:t>
      </w:r>
      <w:r w:rsidRPr="00125F0E">
        <w:rPr>
          <w:rFonts w:ascii="Arial" w:hAnsi="Arial" w:cs="Arial"/>
          <w:b/>
          <w:sz w:val="20"/>
          <w:szCs w:val="20"/>
        </w:rPr>
        <w:t>szkodników</w:t>
      </w:r>
      <w:r w:rsidRPr="00125F0E">
        <w:rPr>
          <w:rFonts w:ascii="Arial" w:hAnsi="Arial" w:cs="Arial"/>
          <w:sz w:val="20"/>
          <w:szCs w:val="20"/>
        </w:rPr>
        <w:t xml:space="preserve"> prowadzono doświadczenia polowe nad odpornością etologiczną </w:t>
      </w:r>
      <w:r w:rsidRPr="00125F0E">
        <w:rPr>
          <w:rFonts w:ascii="Arial" w:hAnsi="Arial" w:cs="Arial"/>
          <w:b/>
          <w:sz w:val="20"/>
          <w:szCs w:val="20"/>
        </w:rPr>
        <w:t>zwierząt łownych</w:t>
      </w:r>
      <w:r w:rsidRPr="00125F0E">
        <w:rPr>
          <w:rFonts w:ascii="Arial" w:hAnsi="Arial" w:cs="Arial"/>
          <w:sz w:val="20"/>
          <w:szCs w:val="20"/>
        </w:rPr>
        <w:t xml:space="preserve"> na repelenty stosowane do ich odstraszania. Doświadczenia wykazały utrzymującą się wysoka odporność zwierząt na repelenty zapachowe, z czym związane są znaczne problemy z ochroną upraw przed szkodami powodowanymi przez zwierzęta łowne. Zauważalne w ostatnich latach uodparnianie się zwierząt łownych na repelenty i związane z tym ich zbliżenie się do miast, wsi i osad ludzkich, znacznie zwiększa ryzyko przenoszenia przez nie chorób niebezpiecznych dla ludzi i zwierząt hodowlanych. Przykładowo, przebywanie dzików w obrębie lasów, pól i innych biotopów w pobliżu miast, zwiększa ryzyko przenoszenia wirusa afrykańskiego pomoru świń (ASF), boreliozy, zapalenia mózgu </w:t>
      </w:r>
      <w:r w:rsidR="00B46BD3" w:rsidRPr="00125F0E">
        <w:rPr>
          <w:rFonts w:ascii="Arial" w:hAnsi="Arial" w:cs="Arial"/>
          <w:sz w:val="20"/>
          <w:szCs w:val="20"/>
        </w:rPr>
        <w:t>i</w:t>
      </w:r>
      <w:r w:rsidR="00B46BD3">
        <w:rPr>
          <w:rFonts w:ascii="Arial" w:hAnsi="Arial" w:cs="Arial"/>
          <w:sz w:val="20"/>
          <w:szCs w:val="20"/>
        </w:rPr>
        <w:t> </w:t>
      </w:r>
      <w:r w:rsidRPr="00125F0E">
        <w:rPr>
          <w:rFonts w:ascii="Arial" w:hAnsi="Arial" w:cs="Arial"/>
          <w:sz w:val="20"/>
          <w:szCs w:val="20"/>
        </w:rPr>
        <w:t xml:space="preserve">wielu innych. Stąd konieczność stałego monitorowania odporności zwierząt łownych i poszukiwania nowych, skutecznych substancji. W związku z wycofaniem </w:t>
      </w:r>
      <w:proofErr w:type="spellStart"/>
      <w:r w:rsidRPr="00125F0E">
        <w:rPr>
          <w:rFonts w:ascii="Arial" w:hAnsi="Arial" w:cs="Arial"/>
          <w:sz w:val="20"/>
          <w:szCs w:val="20"/>
        </w:rPr>
        <w:t>metiokarbu</w:t>
      </w:r>
      <w:proofErr w:type="spellEnd"/>
      <w:r w:rsidRPr="00125F0E">
        <w:rPr>
          <w:rFonts w:ascii="Arial" w:hAnsi="Arial" w:cs="Arial"/>
          <w:sz w:val="20"/>
          <w:szCs w:val="20"/>
        </w:rPr>
        <w:t xml:space="preserve">, który był stosowany </w:t>
      </w:r>
      <w:r w:rsidR="00B46BD3" w:rsidRPr="00125F0E">
        <w:rPr>
          <w:rFonts w:ascii="Arial" w:hAnsi="Arial" w:cs="Arial"/>
          <w:sz w:val="20"/>
          <w:szCs w:val="20"/>
        </w:rPr>
        <w:t>w</w:t>
      </w:r>
      <w:r w:rsidR="00B46BD3">
        <w:rPr>
          <w:rFonts w:ascii="Arial" w:hAnsi="Arial" w:cs="Arial"/>
          <w:sz w:val="20"/>
          <w:szCs w:val="20"/>
        </w:rPr>
        <w:t> </w:t>
      </w:r>
      <w:r w:rsidRPr="00125F0E">
        <w:rPr>
          <w:rFonts w:ascii="Arial" w:hAnsi="Arial" w:cs="Arial"/>
          <w:sz w:val="20"/>
          <w:szCs w:val="20"/>
        </w:rPr>
        <w:t xml:space="preserve">zaprawach nasiennych, również do odstraszania dzików i ptactwa, w 2020 </w:t>
      </w:r>
      <w:r w:rsidR="008325D4">
        <w:rPr>
          <w:rFonts w:ascii="Arial" w:hAnsi="Arial" w:cs="Arial"/>
          <w:sz w:val="20"/>
          <w:szCs w:val="20"/>
        </w:rPr>
        <w:t xml:space="preserve">r. </w:t>
      </w:r>
      <w:r w:rsidRPr="00125F0E">
        <w:rPr>
          <w:rFonts w:ascii="Arial" w:hAnsi="Arial" w:cs="Arial"/>
          <w:sz w:val="20"/>
          <w:szCs w:val="20"/>
        </w:rPr>
        <w:t xml:space="preserve">prowadzono badania nad nowymi, eksperymentalnymi środkami, które dały już wstępne, obiecujące wyniki. </w:t>
      </w:r>
    </w:p>
    <w:p w14:paraId="458D307A" w14:textId="759B30C4"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Badania dotyczące odporności </w:t>
      </w:r>
      <w:r w:rsidRPr="00125F0E">
        <w:rPr>
          <w:rFonts w:ascii="Arial" w:hAnsi="Arial" w:cs="Arial"/>
          <w:b/>
          <w:sz w:val="20"/>
          <w:szCs w:val="20"/>
        </w:rPr>
        <w:t>słodyszka rzepakowego</w:t>
      </w:r>
      <w:r w:rsidRPr="00125F0E">
        <w:rPr>
          <w:rFonts w:ascii="Arial" w:hAnsi="Arial" w:cs="Arial"/>
          <w:sz w:val="20"/>
          <w:szCs w:val="20"/>
        </w:rPr>
        <w:t xml:space="preserve"> wykazały postępujący problem narastania odporności szkodnika na wiele substancji czynnych insektycydów. Problemy z odpornością są bezpośrednio związane z koniecznością doboru substancji zapewniających bezpieczeństwo pszczół, które w tym okresie pojawiają się na polach rzepaku. Ogranicza to ilość substancji możliwych do zastosowania w poszczególnych fazach rozwoju rzepaku, zwiększając tym samym nacisk selekcyjny niektórych z nich i wzrost odporności szkodnika. W 2020</w:t>
      </w:r>
      <w:r w:rsidR="008325D4">
        <w:rPr>
          <w:rFonts w:ascii="Arial" w:hAnsi="Arial" w:cs="Arial"/>
          <w:sz w:val="20"/>
          <w:szCs w:val="20"/>
        </w:rPr>
        <w:t xml:space="preserve"> r.</w:t>
      </w:r>
      <w:r w:rsidRPr="00125F0E">
        <w:rPr>
          <w:rFonts w:ascii="Arial" w:hAnsi="Arial" w:cs="Arial"/>
          <w:sz w:val="20"/>
          <w:szCs w:val="20"/>
        </w:rPr>
        <w:t xml:space="preserve"> wykazano wysoką odporność szkodnika na wszystkie substancje czynne z grupy </w:t>
      </w:r>
      <w:proofErr w:type="spellStart"/>
      <w:r w:rsidRPr="00125F0E">
        <w:rPr>
          <w:rFonts w:ascii="Arial" w:hAnsi="Arial" w:cs="Arial"/>
          <w:sz w:val="20"/>
          <w:szCs w:val="20"/>
        </w:rPr>
        <w:t>pyretroidów</w:t>
      </w:r>
      <w:proofErr w:type="spellEnd"/>
      <w:r w:rsidRPr="00125F0E">
        <w:rPr>
          <w:rFonts w:ascii="Arial" w:hAnsi="Arial" w:cs="Arial"/>
          <w:sz w:val="20"/>
          <w:szCs w:val="20"/>
        </w:rPr>
        <w:t>, oprócz tau-</w:t>
      </w:r>
      <w:proofErr w:type="spellStart"/>
      <w:r w:rsidRPr="00125F0E">
        <w:rPr>
          <w:rFonts w:ascii="Arial" w:hAnsi="Arial" w:cs="Arial"/>
          <w:sz w:val="20"/>
          <w:szCs w:val="20"/>
        </w:rPr>
        <w:t>fluwalinatu</w:t>
      </w:r>
      <w:proofErr w:type="spellEnd"/>
      <w:r w:rsidRPr="00125F0E">
        <w:rPr>
          <w:rFonts w:ascii="Arial" w:hAnsi="Arial" w:cs="Arial"/>
          <w:sz w:val="20"/>
          <w:szCs w:val="20"/>
        </w:rPr>
        <w:t>, dla którego wykazano odporność niską lub średnią, co również pozwala zaliczyć t</w:t>
      </w:r>
      <w:r w:rsidR="00BB3E9A">
        <w:rPr>
          <w:rFonts w:ascii="Arial" w:hAnsi="Arial" w:cs="Arial"/>
          <w:sz w:val="20"/>
          <w:szCs w:val="20"/>
        </w:rPr>
        <w:t>ę</w:t>
      </w:r>
      <w:r w:rsidRPr="00125F0E">
        <w:rPr>
          <w:rFonts w:ascii="Arial" w:hAnsi="Arial" w:cs="Arial"/>
          <w:sz w:val="20"/>
          <w:szCs w:val="20"/>
        </w:rPr>
        <w:t xml:space="preserve"> substancję do grupy insektycydów, które nie są w stanie zapewnić skutecznej ochrony upraw rzepaku przed słodyszkiem rzepakowym. Badania potwierdziły narastanie odporności szkodnika również na </w:t>
      </w:r>
      <w:proofErr w:type="spellStart"/>
      <w:r w:rsidRPr="00125F0E">
        <w:rPr>
          <w:rFonts w:ascii="Arial" w:hAnsi="Arial" w:cs="Arial"/>
          <w:sz w:val="20"/>
          <w:szCs w:val="20"/>
        </w:rPr>
        <w:t>indoksakarb</w:t>
      </w:r>
      <w:proofErr w:type="spellEnd"/>
      <w:r w:rsidRPr="00125F0E">
        <w:rPr>
          <w:rFonts w:ascii="Arial" w:hAnsi="Arial" w:cs="Arial"/>
          <w:sz w:val="20"/>
          <w:szCs w:val="20"/>
        </w:rPr>
        <w:t xml:space="preserve"> z grupy </w:t>
      </w:r>
      <w:proofErr w:type="spellStart"/>
      <w:r w:rsidRPr="00125F0E">
        <w:rPr>
          <w:rFonts w:ascii="Arial" w:hAnsi="Arial" w:cs="Arial"/>
          <w:sz w:val="20"/>
          <w:szCs w:val="20"/>
        </w:rPr>
        <w:t>oksadiazyn</w:t>
      </w:r>
      <w:proofErr w:type="spellEnd"/>
      <w:r w:rsidRPr="00125F0E">
        <w:rPr>
          <w:rFonts w:ascii="Arial" w:hAnsi="Arial" w:cs="Arial"/>
          <w:sz w:val="20"/>
          <w:szCs w:val="20"/>
        </w:rPr>
        <w:t xml:space="preserve">. </w:t>
      </w:r>
      <w:r w:rsidR="00B46BD3" w:rsidRPr="00125F0E">
        <w:rPr>
          <w:rFonts w:ascii="Arial" w:hAnsi="Arial" w:cs="Arial"/>
          <w:sz w:val="20"/>
          <w:szCs w:val="20"/>
        </w:rPr>
        <w:t>W</w:t>
      </w:r>
      <w:r w:rsidR="00B46BD3">
        <w:rPr>
          <w:rFonts w:ascii="Arial" w:hAnsi="Arial" w:cs="Arial"/>
          <w:sz w:val="20"/>
          <w:szCs w:val="20"/>
        </w:rPr>
        <w:t> </w:t>
      </w:r>
      <w:r w:rsidRPr="00125F0E">
        <w:rPr>
          <w:rFonts w:ascii="Arial" w:hAnsi="Arial" w:cs="Arial"/>
          <w:sz w:val="20"/>
          <w:szCs w:val="20"/>
        </w:rPr>
        <w:t xml:space="preserve">porównaniu z rokiem </w:t>
      </w:r>
      <w:r w:rsidR="008325D4">
        <w:rPr>
          <w:rFonts w:ascii="Arial" w:hAnsi="Arial" w:cs="Arial"/>
          <w:sz w:val="20"/>
          <w:szCs w:val="20"/>
        </w:rPr>
        <w:t>2019</w:t>
      </w:r>
      <w:r w:rsidRPr="00125F0E">
        <w:rPr>
          <w:rFonts w:ascii="Arial" w:hAnsi="Arial" w:cs="Arial"/>
          <w:sz w:val="20"/>
          <w:szCs w:val="20"/>
        </w:rPr>
        <w:t>, nie zanotowano ani jednej populacji o wysokiej wrażliwości. Wzrosła natomiast liczba populacji o niskiej odporności na t</w:t>
      </w:r>
      <w:r w:rsidR="00BB3E9A">
        <w:rPr>
          <w:rFonts w:ascii="Arial" w:hAnsi="Arial" w:cs="Arial"/>
          <w:sz w:val="20"/>
          <w:szCs w:val="20"/>
        </w:rPr>
        <w:t>ę</w:t>
      </w:r>
      <w:r w:rsidRPr="00125F0E">
        <w:rPr>
          <w:rFonts w:ascii="Arial" w:hAnsi="Arial" w:cs="Arial"/>
          <w:sz w:val="20"/>
          <w:szCs w:val="20"/>
        </w:rPr>
        <w:t xml:space="preserve"> substancję czynną. Na podobnym poziomie (wrażliwość lub niska odporność) utrzymywała się wrażliwość szkodnika na </w:t>
      </w:r>
      <w:proofErr w:type="spellStart"/>
      <w:r w:rsidRPr="00125F0E">
        <w:rPr>
          <w:rFonts w:ascii="Arial" w:hAnsi="Arial" w:cs="Arial"/>
          <w:sz w:val="20"/>
          <w:szCs w:val="20"/>
        </w:rPr>
        <w:t>acetamipryd</w:t>
      </w:r>
      <w:proofErr w:type="spellEnd"/>
      <w:r w:rsidRPr="00125F0E">
        <w:rPr>
          <w:rFonts w:ascii="Arial" w:hAnsi="Arial" w:cs="Arial"/>
          <w:sz w:val="20"/>
          <w:szCs w:val="20"/>
        </w:rPr>
        <w:t xml:space="preserve">. Wysoką wrażliwość lub wrażliwość szkodnika odnotowano w odniesieniu do </w:t>
      </w:r>
      <w:proofErr w:type="spellStart"/>
      <w:r w:rsidRPr="00125F0E">
        <w:rPr>
          <w:rFonts w:ascii="Arial" w:hAnsi="Arial" w:cs="Arial"/>
          <w:sz w:val="20"/>
          <w:szCs w:val="20"/>
        </w:rPr>
        <w:t>fosmetu</w:t>
      </w:r>
      <w:proofErr w:type="spellEnd"/>
      <w:r w:rsidRPr="00125F0E">
        <w:rPr>
          <w:rFonts w:ascii="Arial" w:hAnsi="Arial" w:cs="Arial"/>
          <w:sz w:val="20"/>
          <w:szCs w:val="20"/>
        </w:rPr>
        <w:t xml:space="preserve"> z grupy związków fosforoorganicznych. Natomiast badania nad wykorzystaniem nowych substancji czynnych z różnych grup chemicznych (</w:t>
      </w:r>
      <w:proofErr w:type="spellStart"/>
      <w:r w:rsidRPr="00125F0E">
        <w:rPr>
          <w:rFonts w:ascii="Arial" w:hAnsi="Arial" w:cs="Arial"/>
          <w:sz w:val="20"/>
          <w:szCs w:val="20"/>
        </w:rPr>
        <w:t>sulfoksaflor</w:t>
      </w:r>
      <w:proofErr w:type="spellEnd"/>
      <w:r w:rsidRPr="00125F0E">
        <w:rPr>
          <w:rFonts w:ascii="Arial" w:hAnsi="Arial" w:cs="Arial"/>
          <w:sz w:val="20"/>
          <w:szCs w:val="20"/>
        </w:rPr>
        <w:t xml:space="preserve">, </w:t>
      </w:r>
      <w:proofErr w:type="spellStart"/>
      <w:r w:rsidRPr="00125F0E">
        <w:rPr>
          <w:rFonts w:ascii="Arial" w:hAnsi="Arial" w:cs="Arial"/>
          <w:sz w:val="20"/>
          <w:szCs w:val="20"/>
        </w:rPr>
        <w:t>flupyradifuron</w:t>
      </w:r>
      <w:proofErr w:type="spellEnd"/>
      <w:r w:rsidRPr="00125F0E">
        <w:rPr>
          <w:rFonts w:ascii="Arial" w:hAnsi="Arial" w:cs="Arial"/>
          <w:sz w:val="20"/>
          <w:szCs w:val="20"/>
        </w:rPr>
        <w:t xml:space="preserve">, </w:t>
      </w:r>
      <w:proofErr w:type="spellStart"/>
      <w:r w:rsidRPr="00125F0E">
        <w:rPr>
          <w:rFonts w:ascii="Arial" w:hAnsi="Arial" w:cs="Arial"/>
          <w:sz w:val="20"/>
          <w:szCs w:val="20"/>
        </w:rPr>
        <w:t>chlorantraniliprol</w:t>
      </w:r>
      <w:proofErr w:type="spellEnd"/>
      <w:r w:rsidRPr="00125F0E">
        <w:rPr>
          <w:rFonts w:ascii="Arial" w:hAnsi="Arial" w:cs="Arial"/>
          <w:sz w:val="20"/>
          <w:szCs w:val="20"/>
        </w:rPr>
        <w:t xml:space="preserve">) nie wykazały ich ewentualnej przydatności do ochrony rzepaku przed słodyszkiem rzepakowym. Doświadczenia nad odpornością </w:t>
      </w:r>
      <w:r w:rsidRPr="00125F0E">
        <w:rPr>
          <w:rFonts w:ascii="Arial" w:hAnsi="Arial" w:cs="Arial"/>
          <w:b/>
          <w:sz w:val="20"/>
          <w:szCs w:val="20"/>
        </w:rPr>
        <w:t xml:space="preserve">chowacza </w:t>
      </w:r>
      <w:proofErr w:type="spellStart"/>
      <w:r w:rsidRPr="00125F0E">
        <w:rPr>
          <w:rFonts w:ascii="Arial" w:hAnsi="Arial" w:cs="Arial"/>
          <w:b/>
          <w:sz w:val="20"/>
          <w:szCs w:val="20"/>
        </w:rPr>
        <w:t>podobnika</w:t>
      </w:r>
      <w:proofErr w:type="spellEnd"/>
      <w:r w:rsidRPr="00125F0E">
        <w:rPr>
          <w:rFonts w:ascii="Arial" w:hAnsi="Arial" w:cs="Arial"/>
          <w:sz w:val="20"/>
          <w:szCs w:val="20"/>
        </w:rPr>
        <w:t xml:space="preserve"> wykazały narastanie problemu odporności na </w:t>
      </w:r>
      <w:proofErr w:type="spellStart"/>
      <w:r w:rsidRPr="00125F0E">
        <w:rPr>
          <w:rFonts w:ascii="Arial" w:hAnsi="Arial" w:cs="Arial"/>
          <w:sz w:val="20"/>
          <w:szCs w:val="20"/>
        </w:rPr>
        <w:t>pyretroidy</w:t>
      </w:r>
      <w:proofErr w:type="spellEnd"/>
      <w:r w:rsidRPr="00125F0E">
        <w:rPr>
          <w:rFonts w:ascii="Arial" w:hAnsi="Arial" w:cs="Arial"/>
          <w:sz w:val="20"/>
          <w:szCs w:val="20"/>
        </w:rPr>
        <w:t xml:space="preserve"> u tego szkodnika. Wykazano wrażliwość lub niską odporność w odniesieniu do wszystkich substancji z tej grupy, która do niedawna była bardzo skuteczna w zwalczaniu tego szkodnika. W odniesieniu do tau-</w:t>
      </w:r>
      <w:proofErr w:type="spellStart"/>
      <w:r w:rsidRPr="00125F0E">
        <w:rPr>
          <w:rFonts w:ascii="Arial" w:hAnsi="Arial" w:cs="Arial"/>
          <w:sz w:val="20"/>
          <w:szCs w:val="20"/>
        </w:rPr>
        <w:t>fluwalinatu</w:t>
      </w:r>
      <w:proofErr w:type="spellEnd"/>
      <w:r w:rsidRPr="00125F0E">
        <w:rPr>
          <w:rFonts w:ascii="Arial" w:hAnsi="Arial" w:cs="Arial"/>
          <w:sz w:val="20"/>
          <w:szCs w:val="20"/>
        </w:rPr>
        <w:t xml:space="preserve"> natomiast wykazano wysoką odporność wszystkich badanych populacji. Wrażliwość i niską odporność wykazano również w odniesieniu do </w:t>
      </w:r>
      <w:proofErr w:type="spellStart"/>
      <w:r w:rsidRPr="00125F0E">
        <w:rPr>
          <w:rFonts w:ascii="Arial" w:hAnsi="Arial" w:cs="Arial"/>
          <w:sz w:val="20"/>
          <w:szCs w:val="20"/>
        </w:rPr>
        <w:t>acetamiprydu</w:t>
      </w:r>
      <w:proofErr w:type="spellEnd"/>
      <w:r w:rsidRPr="00125F0E">
        <w:rPr>
          <w:rFonts w:ascii="Arial" w:hAnsi="Arial" w:cs="Arial"/>
          <w:sz w:val="20"/>
          <w:szCs w:val="20"/>
        </w:rPr>
        <w:t xml:space="preserve">, wysoką odporność w odniesieniu do </w:t>
      </w:r>
      <w:proofErr w:type="spellStart"/>
      <w:r w:rsidRPr="00125F0E">
        <w:rPr>
          <w:rFonts w:ascii="Arial" w:hAnsi="Arial" w:cs="Arial"/>
          <w:sz w:val="20"/>
          <w:szCs w:val="20"/>
        </w:rPr>
        <w:t>indoksakarbu</w:t>
      </w:r>
      <w:proofErr w:type="spellEnd"/>
      <w:r w:rsidRPr="00125F0E">
        <w:rPr>
          <w:rFonts w:ascii="Arial" w:hAnsi="Arial" w:cs="Arial"/>
          <w:sz w:val="20"/>
          <w:szCs w:val="20"/>
        </w:rPr>
        <w:t xml:space="preserve">, a wysoką wrażliwość w odniesieniu do </w:t>
      </w:r>
      <w:proofErr w:type="spellStart"/>
      <w:r w:rsidRPr="00125F0E">
        <w:rPr>
          <w:rFonts w:ascii="Arial" w:hAnsi="Arial" w:cs="Arial"/>
          <w:sz w:val="20"/>
          <w:szCs w:val="20"/>
        </w:rPr>
        <w:t>fosmetu</w:t>
      </w:r>
      <w:proofErr w:type="spellEnd"/>
      <w:r w:rsidRPr="00125F0E">
        <w:rPr>
          <w:rFonts w:ascii="Arial" w:hAnsi="Arial" w:cs="Arial"/>
          <w:sz w:val="20"/>
          <w:szCs w:val="20"/>
        </w:rPr>
        <w:t xml:space="preserve">. Wykazano również, iż pewną alternatywą w strategii zapobiegania odporności chowacza </w:t>
      </w:r>
      <w:proofErr w:type="spellStart"/>
      <w:r w:rsidRPr="00125F0E">
        <w:rPr>
          <w:rFonts w:ascii="Arial" w:hAnsi="Arial" w:cs="Arial"/>
          <w:sz w:val="20"/>
          <w:szCs w:val="20"/>
        </w:rPr>
        <w:t>podobnika</w:t>
      </w:r>
      <w:proofErr w:type="spellEnd"/>
      <w:r w:rsidRPr="00125F0E">
        <w:rPr>
          <w:rFonts w:ascii="Arial" w:hAnsi="Arial" w:cs="Arial"/>
          <w:sz w:val="20"/>
          <w:szCs w:val="20"/>
        </w:rPr>
        <w:t xml:space="preserve"> mogłoby być wymienne stosowanie </w:t>
      </w:r>
      <w:proofErr w:type="spellStart"/>
      <w:r w:rsidRPr="00125F0E">
        <w:rPr>
          <w:rFonts w:ascii="Arial" w:hAnsi="Arial" w:cs="Arial"/>
          <w:sz w:val="20"/>
          <w:szCs w:val="20"/>
        </w:rPr>
        <w:t>sulfoksafloru</w:t>
      </w:r>
      <w:proofErr w:type="spellEnd"/>
      <w:r w:rsidRPr="00125F0E">
        <w:rPr>
          <w:rFonts w:ascii="Arial" w:hAnsi="Arial" w:cs="Arial"/>
          <w:sz w:val="20"/>
          <w:szCs w:val="20"/>
        </w:rPr>
        <w:t xml:space="preserve"> </w:t>
      </w:r>
      <w:r w:rsidR="00B46BD3" w:rsidRPr="00125F0E">
        <w:rPr>
          <w:rFonts w:ascii="Arial" w:hAnsi="Arial" w:cs="Arial"/>
          <w:sz w:val="20"/>
          <w:szCs w:val="20"/>
        </w:rPr>
        <w:t>i</w:t>
      </w:r>
      <w:r w:rsidR="00B46BD3">
        <w:rPr>
          <w:rFonts w:ascii="Arial" w:hAnsi="Arial" w:cs="Arial"/>
          <w:sz w:val="20"/>
          <w:szCs w:val="20"/>
        </w:rPr>
        <w:t> </w:t>
      </w:r>
      <w:proofErr w:type="spellStart"/>
      <w:r w:rsidRPr="00125F0E">
        <w:rPr>
          <w:rFonts w:ascii="Arial" w:hAnsi="Arial" w:cs="Arial"/>
          <w:sz w:val="20"/>
          <w:szCs w:val="20"/>
        </w:rPr>
        <w:t>flupyradifuronu</w:t>
      </w:r>
      <w:proofErr w:type="spellEnd"/>
      <w:r w:rsidRPr="00125F0E">
        <w:rPr>
          <w:rFonts w:ascii="Arial" w:hAnsi="Arial" w:cs="Arial"/>
          <w:sz w:val="20"/>
          <w:szCs w:val="20"/>
        </w:rPr>
        <w:t xml:space="preserve">. W przypadku </w:t>
      </w:r>
      <w:r w:rsidRPr="00125F0E">
        <w:rPr>
          <w:rFonts w:ascii="Arial" w:hAnsi="Arial" w:cs="Arial"/>
          <w:b/>
          <w:sz w:val="20"/>
          <w:szCs w:val="20"/>
        </w:rPr>
        <w:t>stonki ziemniaczanej</w:t>
      </w:r>
      <w:r w:rsidRPr="00125F0E">
        <w:rPr>
          <w:rFonts w:ascii="Arial" w:hAnsi="Arial" w:cs="Arial"/>
          <w:sz w:val="20"/>
          <w:szCs w:val="20"/>
        </w:rPr>
        <w:t xml:space="preserve"> wykazano wrażliwość lub niską odporność szkodnika na </w:t>
      </w:r>
      <w:proofErr w:type="spellStart"/>
      <w:r w:rsidRPr="00125F0E">
        <w:rPr>
          <w:rFonts w:ascii="Arial" w:hAnsi="Arial" w:cs="Arial"/>
          <w:sz w:val="20"/>
          <w:szCs w:val="20"/>
        </w:rPr>
        <w:t>fosmet</w:t>
      </w:r>
      <w:proofErr w:type="spellEnd"/>
      <w:r w:rsidRPr="00125F0E">
        <w:rPr>
          <w:rFonts w:ascii="Arial" w:hAnsi="Arial" w:cs="Arial"/>
          <w:sz w:val="20"/>
          <w:szCs w:val="20"/>
        </w:rPr>
        <w:t xml:space="preserve"> z grupy związków fosforoorganicznych oraz </w:t>
      </w:r>
      <w:proofErr w:type="spellStart"/>
      <w:r w:rsidRPr="00125F0E">
        <w:rPr>
          <w:rFonts w:ascii="Arial" w:hAnsi="Arial" w:cs="Arial"/>
          <w:sz w:val="20"/>
          <w:szCs w:val="20"/>
        </w:rPr>
        <w:t>acetamipryd</w:t>
      </w:r>
      <w:proofErr w:type="spellEnd"/>
      <w:r w:rsidRPr="00125F0E">
        <w:rPr>
          <w:rFonts w:ascii="Arial" w:hAnsi="Arial" w:cs="Arial"/>
          <w:sz w:val="20"/>
          <w:szCs w:val="20"/>
        </w:rPr>
        <w:t xml:space="preserve"> z grupy </w:t>
      </w:r>
      <w:proofErr w:type="spellStart"/>
      <w:r w:rsidRPr="00125F0E">
        <w:rPr>
          <w:rFonts w:ascii="Arial" w:hAnsi="Arial" w:cs="Arial"/>
          <w:sz w:val="20"/>
          <w:szCs w:val="20"/>
        </w:rPr>
        <w:t>neonikotynoidów</w:t>
      </w:r>
      <w:proofErr w:type="spellEnd"/>
      <w:r w:rsidRPr="00125F0E">
        <w:rPr>
          <w:rFonts w:ascii="Arial" w:hAnsi="Arial" w:cs="Arial"/>
          <w:sz w:val="20"/>
          <w:szCs w:val="20"/>
        </w:rPr>
        <w:t xml:space="preserve">. </w:t>
      </w:r>
      <w:r w:rsidRPr="00125F0E">
        <w:rPr>
          <w:rFonts w:ascii="Arial" w:hAnsi="Arial" w:cs="Arial"/>
          <w:sz w:val="20"/>
          <w:szCs w:val="20"/>
        </w:rPr>
        <w:lastRenderedPageBreak/>
        <w:t xml:space="preserve">W odniesieniu do substancji ze wszystkich pozostałych grup chemicznych, stonka ziemniaczana wykazywała wyłącznie zróżnicowany poziom odporności, włączając w to stosunkowo nową substancję zalecaną do zwalczania szkodnika – </w:t>
      </w:r>
      <w:proofErr w:type="spellStart"/>
      <w:r w:rsidRPr="00125F0E">
        <w:rPr>
          <w:rFonts w:ascii="Arial" w:hAnsi="Arial" w:cs="Arial"/>
          <w:sz w:val="20"/>
          <w:szCs w:val="20"/>
        </w:rPr>
        <w:t>chlorantraniliprol</w:t>
      </w:r>
      <w:proofErr w:type="spellEnd"/>
      <w:r w:rsidRPr="00125F0E">
        <w:rPr>
          <w:rFonts w:ascii="Arial" w:hAnsi="Arial" w:cs="Arial"/>
          <w:sz w:val="20"/>
          <w:szCs w:val="20"/>
        </w:rPr>
        <w:t xml:space="preserve">. </w:t>
      </w:r>
      <w:r w:rsidRPr="00125F0E">
        <w:rPr>
          <w:rFonts w:ascii="Arial" w:hAnsi="Arial" w:cs="Arial"/>
          <w:b/>
          <w:sz w:val="20"/>
          <w:szCs w:val="20"/>
        </w:rPr>
        <w:t>Stonka kukurydziana</w:t>
      </w:r>
      <w:r w:rsidRPr="00125F0E">
        <w:rPr>
          <w:rFonts w:ascii="Arial" w:hAnsi="Arial" w:cs="Arial"/>
          <w:sz w:val="20"/>
          <w:szCs w:val="20"/>
        </w:rPr>
        <w:t xml:space="preserve"> wykazywała wysoką wrażliwość na </w:t>
      </w:r>
      <w:proofErr w:type="spellStart"/>
      <w:r w:rsidRPr="00125F0E">
        <w:rPr>
          <w:rFonts w:ascii="Arial" w:hAnsi="Arial" w:cs="Arial"/>
          <w:sz w:val="20"/>
          <w:szCs w:val="20"/>
        </w:rPr>
        <w:t>fosmet</w:t>
      </w:r>
      <w:proofErr w:type="spellEnd"/>
      <w:r w:rsidRPr="00125F0E">
        <w:rPr>
          <w:rFonts w:ascii="Arial" w:hAnsi="Arial" w:cs="Arial"/>
          <w:sz w:val="20"/>
          <w:szCs w:val="20"/>
        </w:rPr>
        <w:t xml:space="preserve"> z grupy związków fosforoorganicznych oraz wrażliwość na </w:t>
      </w:r>
      <w:proofErr w:type="spellStart"/>
      <w:r w:rsidRPr="00125F0E">
        <w:rPr>
          <w:rFonts w:ascii="Arial" w:hAnsi="Arial" w:cs="Arial"/>
          <w:sz w:val="20"/>
          <w:szCs w:val="20"/>
        </w:rPr>
        <w:t>acetamipryd</w:t>
      </w:r>
      <w:proofErr w:type="spellEnd"/>
      <w:r w:rsidRPr="00125F0E">
        <w:rPr>
          <w:rFonts w:ascii="Arial" w:hAnsi="Arial" w:cs="Arial"/>
          <w:sz w:val="20"/>
          <w:szCs w:val="20"/>
        </w:rPr>
        <w:t xml:space="preserve"> z grupy </w:t>
      </w:r>
      <w:proofErr w:type="spellStart"/>
      <w:r w:rsidRPr="00125F0E">
        <w:rPr>
          <w:rFonts w:ascii="Arial" w:hAnsi="Arial" w:cs="Arial"/>
          <w:sz w:val="20"/>
          <w:szCs w:val="20"/>
        </w:rPr>
        <w:t>neonikotynoidów</w:t>
      </w:r>
      <w:proofErr w:type="spellEnd"/>
      <w:r w:rsidRPr="00125F0E">
        <w:rPr>
          <w:rFonts w:ascii="Arial" w:hAnsi="Arial" w:cs="Arial"/>
          <w:sz w:val="20"/>
          <w:szCs w:val="20"/>
        </w:rPr>
        <w:t xml:space="preserve">. Żadna z wymienionych dwóch substancji nie jest jednak zalecana do zwalczania stonki kukurydzianej. W odniesieniu do skutecznych do tej pory </w:t>
      </w:r>
      <w:proofErr w:type="spellStart"/>
      <w:r w:rsidRPr="00125F0E">
        <w:rPr>
          <w:rFonts w:ascii="Arial" w:hAnsi="Arial" w:cs="Arial"/>
          <w:sz w:val="20"/>
          <w:szCs w:val="20"/>
        </w:rPr>
        <w:t>pyretroidów</w:t>
      </w:r>
      <w:proofErr w:type="spellEnd"/>
      <w:r w:rsidRPr="00125F0E">
        <w:rPr>
          <w:rFonts w:ascii="Arial" w:hAnsi="Arial" w:cs="Arial"/>
          <w:sz w:val="20"/>
          <w:szCs w:val="20"/>
        </w:rPr>
        <w:t xml:space="preserve"> oraz </w:t>
      </w:r>
      <w:proofErr w:type="spellStart"/>
      <w:r w:rsidRPr="00125F0E">
        <w:rPr>
          <w:rFonts w:ascii="Arial" w:hAnsi="Arial" w:cs="Arial"/>
          <w:sz w:val="20"/>
          <w:szCs w:val="20"/>
        </w:rPr>
        <w:t>indoksakarbu</w:t>
      </w:r>
      <w:proofErr w:type="spellEnd"/>
      <w:r w:rsidRPr="00125F0E">
        <w:rPr>
          <w:rFonts w:ascii="Arial" w:hAnsi="Arial" w:cs="Arial"/>
          <w:sz w:val="20"/>
          <w:szCs w:val="20"/>
        </w:rPr>
        <w:t xml:space="preserve">, coraz częściej notowano niski poziom odporności szkodnika. </w:t>
      </w:r>
      <w:r w:rsidRPr="00125F0E">
        <w:rPr>
          <w:rFonts w:ascii="Arial" w:hAnsi="Arial" w:cs="Arial"/>
          <w:b/>
          <w:sz w:val="20"/>
          <w:szCs w:val="20"/>
        </w:rPr>
        <w:t>Mszyca brzoskwiniowa</w:t>
      </w:r>
      <w:r w:rsidRPr="00125F0E">
        <w:rPr>
          <w:rFonts w:ascii="Arial" w:hAnsi="Arial" w:cs="Arial"/>
          <w:sz w:val="20"/>
          <w:szCs w:val="20"/>
        </w:rPr>
        <w:t xml:space="preserve"> wykazywała już wyłącznie wysoki poziom odporności na wszystkie substancje czynne z grupy </w:t>
      </w:r>
      <w:proofErr w:type="spellStart"/>
      <w:r w:rsidRPr="00125F0E">
        <w:rPr>
          <w:rFonts w:ascii="Arial" w:hAnsi="Arial" w:cs="Arial"/>
          <w:sz w:val="20"/>
          <w:szCs w:val="20"/>
        </w:rPr>
        <w:t>pyretroidów</w:t>
      </w:r>
      <w:proofErr w:type="spellEnd"/>
      <w:r w:rsidRPr="00125F0E">
        <w:rPr>
          <w:rFonts w:ascii="Arial" w:hAnsi="Arial" w:cs="Arial"/>
          <w:sz w:val="20"/>
          <w:szCs w:val="20"/>
        </w:rPr>
        <w:t xml:space="preserve">. Wysoką odporność zanotowano również w odniesieniu do </w:t>
      </w:r>
      <w:proofErr w:type="spellStart"/>
      <w:r w:rsidRPr="00125F0E">
        <w:rPr>
          <w:rFonts w:ascii="Arial" w:hAnsi="Arial" w:cs="Arial"/>
          <w:sz w:val="20"/>
          <w:szCs w:val="20"/>
        </w:rPr>
        <w:t>indoksakarbu</w:t>
      </w:r>
      <w:proofErr w:type="spellEnd"/>
      <w:r w:rsidRPr="00125F0E">
        <w:rPr>
          <w:rFonts w:ascii="Arial" w:hAnsi="Arial" w:cs="Arial"/>
          <w:sz w:val="20"/>
          <w:szCs w:val="20"/>
        </w:rPr>
        <w:t xml:space="preserve"> (</w:t>
      </w:r>
      <w:proofErr w:type="spellStart"/>
      <w:r w:rsidRPr="00125F0E">
        <w:rPr>
          <w:rFonts w:ascii="Arial" w:hAnsi="Arial" w:cs="Arial"/>
          <w:sz w:val="20"/>
          <w:szCs w:val="20"/>
        </w:rPr>
        <w:t>oksadiazyny</w:t>
      </w:r>
      <w:proofErr w:type="spellEnd"/>
      <w:r w:rsidRPr="00125F0E">
        <w:rPr>
          <w:rFonts w:ascii="Arial" w:hAnsi="Arial" w:cs="Arial"/>
          <w:sz w:val="20"/>
          <w:szCs w:val="20"/>
        </w:rPr>
        <w:t xml:space="preserve">), </w:t>
      </w:r>
      <w:proofErr w:type="spellStart"/>
      <w:r w:rsidRPr="00125F0E">
        <w:rPr>
          <w:rFonts w:ascii="Arial" w:hAnsi="Arial" w:cs="Arial"/>
          <w:sz w:val="20"/>
          <w:szCs w:val="20"/>
        </w:rPr>
        <w:t>fosmetu</w:t>
      </w:r>
      <w:proofErr w:type="spellEnd"/>
      <w:r w:rsidRPr="00125F0E">
        <w:rPr>
          <w:rFonts w:ascii="Arial" w:hAnsi="Arial" w:cs="Arial"/>
          <w:sz w:val="20"/>
          <w:szCs w:val="20"/>
        </w:rPr>
        <w:t xml:space="preserve"> (fosforoorganiczne) oraz </w:t>
      </w:r>
      <w:proofErr w:type="spellStart"/>
      <w:r w:rsidRPr="00125F0E">
        <w:rPr>
          <w:rFonts w:ascii="Arial" w:hAnsi="Arial" w:cs="Arial"/>
          <w:sz w:val="20"/>
          <w:szCs w:val="20"/>
        </w:rPr>
        <w:t>chlorantraniliprolu</w:t>
      </w:r>
      <w:proofErr w:type="spellEnd"/>
      <w:r w:rsidRPr="00125F0E">
        <w:rPr>
          <w:rFonts w:ascii="Arial" w:hAnsi="Arial" w:cs="Arial"/>
          <w:sz w:val="20"/>
          <w:szCs w:val="20"/>
        </w:rPr>
        <w:t xml:space="preserve"> (</w:t>
      </w:r>
      <w:proofErr w:type="spellStart"/>
      <w:r w:rsidRPr="00125F0E">
        <w:rPr>
          <w:rFonts w:ascii="Arial" w:hAnsi="Arial" w:cs="Arial"/>
          <w:sz w:val="20"/>
          <w:szCs w:val="20"/>
        </w:rPr>
        <w:t>diamidy</w:t>
      </w:r>
      <w:proofErr w:type="spellEnd"/>
      <w:r w:rsidRPr="00125F0E">
        <w:rPr>
          <w:rFonts w:ascii="Arial" w:hAnsi="Arial" w:cs="Arial"/>
          <w:sz w:val="20"/>
          <w:szCs w:val="20"/>
        </w:rPr>
        <w:t xml:space="preserve">). Skutecznymi substancjami w zwalczaniu mszycy brzoskwiniowej, mogą być wyłącznie </w:t>
      </w:r>
      <w:proofErr w:type="spellStart"/>
      <w:r w:rsidRPr="00125F0E">
        <w:rPr>
          <w:rFonts w:ascii="Arial" w:hAnsi="Arial" w:cs="Arial"/>
          <w:sz w:val="20"/>
          <w:szCs w:val="20"/>
        </w:rPr>
        <w:t>acetamipryd</w:t>
      </w:r>
      <w:proofErr w:type="spellEnd"/>
      <w:r w:rsidRPr="00125F0E">
        <w:rPr>
          <w:rFonts w:ascii="Arial" w:hAnsi="Arial" w:cs="Arial"/>
          <w:sz w:val="20"/>
          <w:szCs w:val="20"/>
        </w:rPr>
        <w:t xml:space="preserve"> i </w:t>
      </w:r>
      <w:proofErr w:type="spellStart"/>
      <w:r w:rsidRPr="00125F0E">
        <w:rPr>
          <w:rFonts w:ascii="Arial" w:hAnsi="Arial" w:cs="Arial"/>
          <w:sz w:val="20"/>
          <w:szCs w:val="20"/>
        </w:rPr>
        <w:t>sulfoksaflor</w:t>
      </w:r>
      <w:proofErr w:type="spellEnd"/>
      <w:r w:rsidRPr="00125F0E">
        <w:rPr>
          <w:rFonts w:ascii="Arial" w:hAnsi="Arial" w:cs="Arial"/>
          <w:sz w:val="20"/>
          <w:szCs w:val="20"/>
        </w:rPr>
        <w:t xml:space="preserve">. W badaniach nad mechanizmami odporności wykazano toksyczność </w:t>
      </w:r>
      <w:proofErr w:type="spellStart"/>
      <w:r w:rsidRPr="00125F0E">
        <w:rPr>
          <w:rFonts w:ascii="Arial" w:hAnsi="Arial" w:cs="Arial"/>
          <w:sz w:val="20"/>
          <w:szCs w:val="20"/>
        </w:rPr>
        <w:t>blokera</w:t>
      </w:r>
      <w:proofErr w:type="spellEnd"/>
      <w:r w:rsidRPr="00125F0E">
        <w:rPr>
          <w:rFonts w:ascii="Arial" w:hAnsi="Arial" w:cs="Arial"/>
          <w:sz w:val="20"/>
          <w:szCs w:val="20"/>
        </w:rPr>
        <w:t xml:space="preserve"> oksydaz i transferaz w odniesieniu do słodyszka rzepakowego, </w:t>
      </w:r>
      <w:proofErr w:type="spellStart"/>
      <w:r w:rsidRPr="00125F0E">
        <w:rPr>
          <w:rFonts w:ascii="Arial" w:hAnsi="Arial" w:cs="Arial"/>
          <w:sz w:val="20"/>
          <w:szCs w:val="20"/>
        </w:rPr>
        <w:t>blokera</w:t>
      </w:r>
      <w:proofErr w:type="spellEnd"/>
      <w:r w:rsidRPr="00125F0E">
        <w:rPr>
          <w:rFonts w:ascii="Arial" w:hAnsi="Arial" w:cs="Arial"/>
          <w:sz w:val="20"/>
          <w:szCs w:val="20"/>
        </w:rPr>
        <w:t xml:space="preserve"> oksydaz, esteraz i transferaz w odniesieniu do stonki kukurydzianej oraz </w:t>
      </w:r>
      <w:proofErr w:type="spellStart"/>
      <w:r w:rsidRPr="00125F0E">
        <w:rPr>
          <w:rFonts w:ascii="Arial" w:hAnsi="Arial" w:cs="Arial"/>
          <w:sz w:val="20"/>
          <w:szCs w:val="20"/>
        </w:rPr>
        <w:t>blokera</w:t>
      </w:r>
      <w:proofErr w:type="spellEnd"/>
      <w:r w:rsidRPr="00125F0E">
        <w:rPr>
          <w:rFonts w:ascii="Arial" w:hAnsi="Arial" w:cs="Arial"/>
          <w:sz w:val="20"/>
          <w:szCs w:val="20"/>
        </w:rPr>
        <w:t xml:space="preserve"> esteraz w odniesieniu do mszycy brzoskwiniowej. Wyniki takie mogą zostać wykorzystane do opracowywania metod zapobiegających występowaniu odporności u wymienionych szkodników. Dla każdego z testowanych szkodników opracowano, na podstawie otrzymanych wyników, strategie zapobiegania odporności. </w:t>
      </w:r>
    </w:p>
    <w:p w14:paraId="5489A411" w14:textId="77777777"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Wśród owadów, prowadzono również doświadczenia monitoringowe nad poziomem odporności </w:t>
      </w:r>
      <w:r w:rsidRPr="00125F0E">
        <w:rPr>
          <w:rFonts w:ascii="Arial" w:hAnsi="Arial" w:cs="Arial"/>
          <w:b/>
          <w:sz w:val="20"/>
          <w:szCs w:val="20"/>
        </w:rPr>
        <w:t>pszczoły miodnej</w:t>
      </w:r>
      <w:r w:rsidRPr="00125F0E">
        <w:rPr>
          <w:rFonts w:ascii="Arial" w:hAnsi="Arial" w:cs="Arial"/>
          <w:sz w:val="20"/>
          <w:szCs w:val="20"/>
        </w:rPr>
        <w:t xml:space="preserve"> – ważnego gospodarczo gatunku zapylającego, którego wrażliwość na insektycydy, w sytuacji panującego obecnie syndromu ginięcia pszczół, musi być uwzględniana w strategiach redukcji ryzyka odporności. Doświadczenia prowadzono na pszczołach funkcjonujących na roślinach poddawanych zabiegom opryskiwania w izolatorach (w tym substancjami obecnymi w zaprawach </w:t>
      </w:r>
      <w:proofErr w:type="spellStart"/>
      <w:r w:rsidRPr="00125F0E">
        <w:rPr>
          <w:rFonts w:ascii="Arial" w:hAnsi="Arial" w:cs="Arial"/>
          <w:sz w:val="20"/>
          <w:szCs w:val="20"/>
        </w:rPr>
        <w:t>neonikotynoidowych</w:t>
      </w:r>
      <w:proofErr w:type="spellEnd"/>
      <w:r w:rsidRPr="00125F0E">
        <w:rPr>
          <w:rFonts w:ascii="Arial" w:hAnsi="Arial" w:cs="Arial"/>
          <w:sz w:val="20"/>
          <w:szCs w:val="20"/>
        </w:rPr>
        <w:t xml:space="preserve">) oraz na pszczołach funkcjonujących na zaprawionym </w:t>
      </w:r>
      <w:proofErr w:type="spellStart"/>
      <w:r w:rsidRPr="00125F0E">
        <w:rPr>
          <w:rFonts w:ascii="Arial" w:hAnsi="Arial" w:cs="Arial"/>
          <w:sz w:val="20"/>
          <w:szCs w:val="20"/>
        </w:rPr>
        <w:t>neonikotynoidami</w:t>
      </w:r>
      <w:proofErr w:type="spellEnd"/>
      <w:r w:rsidRPr="00125F0E">
        <w:rPr>
          <w:rFonts w:ascii="Arial" w:hAnsi="Arial" w:cs="Arial"/>
          <w:sz w:val="20"/>
          <w:szCs w:val="20"/>
        </w:rPr>
        <w:t xml:space="preserve"> rzepaku jarym. W pierwszej grupie doświadczeń wykazano brak toksyczności </w:t>
      </w:r>
      <w:proofErr w:type="spellStart"/>
      <w:r w:rsidRPr="00125F0E">
        <w:rPr>
          <w:rFonts w:ascii="Arial" w:hAnsi="Arial" w:cs="Arial"/>
          <w:sz w:val="20"/>
          <w:szCs w:val="20"/>
        </w:rPr>
        <w:t>deltametryny</w:t>
      </w:r>
      <w:proofErr w:type="spellEnd"/>
      <w:r w:rsidRPr="00125F0E">
        <w:rPr>
          <w:rFonts w:ascii="Arial" w:hAnsi="Arial" w:cs="Arial"/>
          <w:sz w:val="20"/>
          <w:szCs w:val="20"/>
        </w:rPr>
        <w:t>, alfa-</w:t>
      </w:r>
      <w:proofErr w:type="spellStart"/>
      <w:r w:rsidRPr="00125F0E">
        <w:rPr>
          <w:rFonts w:ascii="Arial" w:hAnsi="Arial" w:cs="Arial"/>
          <w:sz w:val="20"/>
          <w:szCs w:val="20"/>
        </w:rPr>
        <w:t>cypermetryny</w:t>
      </w:r>
      <w:proofErr w:type="spellEnd"/>
      <w:r w:rsidRPr="00125F0E">
        <w:rPr>
          <w:rFonts w:ascii="Arial" w:hAnsi="Arial" w:cs="Arial"/>
          <w:sz w:val="20"/>
          <w:szCs w:val="20"/>
        </w:rPr>
        <w:t>, tau-</w:t>
      </w:r>
      <w:proofErr w:type="spellStart"/>
      <w:r w:rsidRPr="00125F0E">
        <w:rPr>
          <w:rFonts w:ascii="Arial" w:hAnsi="Arial" w:cs="Arial"/>
          <w:sz w:val="20"/>
          <w:szCs w:val="20"/>
        </w:rPr>
        <w:t>fluwalinatu</w:t>
      </w:r>
      <w:proofErr w:type="spellEnd"/>
      <w:r w:rsidRPr="00125F0E">
        <w:rPr>
          <w:rFonts w:ascii="Arial" w:hAnsi="Arial" w:cs="Arial"/>
          <w:sz w:val="20"/>
          <w:szCs w:val="20"/>
        </w:rPr>
        <w:t xml:space="preserve">, </w:t>
      </w:r>
      <w:proofErr w:type="spellStart"/>
      <w:r w:rsidRPr="00125F0E">
        <w:rPr>
          <w:rFonts w:ascii="Arial" w:hAnsi="Arial" w:cs="Arial"/>
          <w:sz w:val="20"/>
          <w:szCs w:val="20"/>
        </w:rPr>
        <w:t>acetamiprydu</w:t>
      </w:r>
      <w:proofErr w:type="spellEnd"/>
      <w:r w:rsidRPr="00125F0E">
        <w:rPr>
          <w:rFonts w:ascii="Arial" w:hAnsi="Arial" w:cs="Arial"/>
          <w:sz w:val="20"/>
          <w:szCs w:val="20"/>
        </w:rPr>
        <w:t xml:space="preserve">, </w:t>
      </w:r>
      <w:proofErr w:type="spellStart"/>
      <w:r w:rsidRPr="00125F0E">
        <w:rPr>
          <w:rFonts w:ascii="Arial" w:hAnsi="Arial" w:cs="Arial"/>
          <w:sz w:val="20"/>
          <w:szCs w:val="20"/>
        </w:rPr>
        <w:t>sulfoksafloru</w:t>
      </w:r>
      <w:proofErr w:type="spellEnd"/>
      <w:r w:rsidRPr="00125F0E">
        <w:rPr>
          <w:rFonts w:ascii="Arial" w:hAnsi="Arial" w:cs="Arial"/>
          <w:sz w:val="20"/>
          <w:szCs w:val="20"/>
        </w:rPr>
        <w:t xml:space="preserve"> oraz </w:t>
      </w:r>
      <w:proofErr w:type="spellStart"/>
      <w:r w:rsidRPr="00125F0E">
        <w:rPr>
          <w:rFonts w:ascii="Arial" w:hAnsi="Arial" w:cs="Arial"/>
          <w:sz w:val="20"/>
          <w:szCs w:val="20"/>
        </w:rPr>
        <w:t>flupyradifuronu</w:t>
      </w:r>
      <w:proofErr w:type="spellEnd"/>
      <w:r w:rsidRPr="00125F0E">
        <w:rPr>
          <w:rFonts w:ascii="Arial" w:hAnsi="Arial" w:cs="Arial"/>
          <w:sz w:val="20"/>
          <w:szCs w:val="20"/>
        </w:rPr>
        <w:t xml:space="preserve"> w odniesieniu do pszczoły miodnej. Przejściowe zaburzenia w funkcjonowaniu rodzin, wystąpiły w przypadku zastosowania lambda-</w:t>
      </w:r>
      <w:proofErr w:type="spellStart"/>
      <w:r w:rsidRPr="00125F0E">
        <w:rPr>
          <w:rFonts w:ascii="Arial" w:hAnsi="Arial" w:cs="Arial"/>
          <w:sz w:val="20"/>
          <w:szCs w:val="20"/>
        </w:rPr>
        <w:t>cyhalotryny</w:t>
      </w:r>
      <w:proofErr w:type="spellEnd"/>
      <w:r w:rsidRPr="00125F0E">
        <w:rPr>
          <w:rFonts w:ascii="Arial" w:hAnsi="Arial" w:cs="Arial"/>
          <w:sz w:val="20"/>
          <w:szCs w:val="20"/>
        </w:rPr>
        <w:t xml:space="preserve">, </w:t>
      </w:r>
      <w:proofErr w:type="spellStart"/>
      <w:r w:rsidRPr="00125F0E">
        <w:rPr>
          <w:rFonts w:ascii="Arial" w:hAnsi="Arial" w:cs="Arial"/>
          <w:sz w:val="20"/>
          <w:szCs w:val="20"/>
        </w:rPr>
        <w:t>indoksakarbu</w:t>
      </w:r>
      <w:proofErr w:type="spellEnd"/>
      <w:r w:rsidRPr="00125F0E">
        <w:rPr>
          <w:rFonts w:ascii="Arial" w:hAnsi="Arial" w:cs="Arial"/>
          <w:sz w:val="20"/>
          <w:szCs w:val="20"/>
        </w:rPr>
        <w:t xml:space="preserve"> oraz </w:t>
      </w:r>
      <w:proofErr w:type="spellStart"/>
      <w:r w:rsidRPr="00125F0E">
        <w:rPr>
          <w:rFonts w:ascii="Arial" w:hAnsi="Arial" w:cs="Arial"/>
          <w:sz w:val="20"/>
          <w:szCs w:val="20"/>
        </w:rPr>
        <w:t>imidachloprydu</w:t>
      </w:r>
      <w:proofErr w:type="spellEnd"/>
      <w:r w:rsidRPr="00125F0E">
        <w:rPr>
          <w:rFonts w:ascii="Arial" w:hAnsi="Arial" w:cs="Arial"/>
          <w:sz w:val="20"/>
          <w:szCs w:val="20"/>
        </w:rPr>
        <w:t xml:space="preserve"> i </w:t>
      </w:r>
      <w:proofErr w:type="spellStart"/>
      <w:r w:rsidRPr="00125F0E">
        <w:rPr>
          <w:rFonts w:ascii="Arial" w:hAnsi="Arial" w:cs="Arial"/>
          <w:sz w:val="20"/>
          <w:szCs w:val="20"/>
        </w:rPr>
        <w:t>chlotianidyny</w:t>
      </w:r>
      <w:proofErr w:type="spellEnd"/>
      <w:r w:rsidRPr="00125F0E">
        <w:rPr>
          <w:rFonts w:ascii="Arial" w:hAnsi="Arial" w:cs="Arial"/>
          <w:sz w:val="20"/>
          <w:szCs w:val="20"/>
        </w:rPr>
        <w:t xml:space="preserve">. W żadnym jednak przypadku nie doszło do upadku ula. Pszczoły były w stanie </w:t>
      </w:r>
      <w:proofErr w:type="spellStart"/>
      <w:r w:rsidRPr="00125F0E">
        <w:rPr>
          <w:rFonts w:ascii="Arial" w:hAnsi="Arial" w:cs="Arial"/>
          <w:sz w:val="20"/>
          <w:szCs w:val="20"/>
        </w:rPr>
        <w:t>zmetabolizować</w:t>
      </w:r>
      <w:proofErr w:type="spellEnd"/>
      <w:r w:rsidRPr="00125F0E">
        <w:rPr>
          <w:rFonts w:ascii="Arial" w:hAnsi="Arial" w:cs="Arial"/>
          <w:sz w:val="20"/>
          <w:szCs w:val="20"/>
        </w:rPr>
        <w:t xml:space="preserve"> również obecne kiedyś w zaprawach </w:t>
      </w:r>
      <w:proofErr w:type="spellStart"/>
      <w:r w:rsidRPr="00125F0E">
        <w:rPr>
          <w:rFonts w:ascii="Arial" w:hAnsi="Arial" w:cs="Arial"/>
          <w:sz w:val="20"/>
          <w:szCs w:val="20"/>
        </w:rPr>
        <w:t>neonikotynoidy</w:t>
      </w:r>
      <w:proofErr w:type="spellEnd"/>
      <w:r w:rsidRPr="00125F0E">
        <w:rPr>
          <w:rFonts w:ascii="Arial" w:hAnsi="Arial" w:cs="Arial"/>
          <w:sz w:val="20"/>
          <w:szCs w:val="20"/>
        </w:rPr>
        <w:t xml:space="preserve"> i wrócić do normalnego funkcjonowania. Należy zwrócić uwagę, że wyniki te dotyczą zabiegów opryskiwania, w których pszczoły miały kontakt z insektycydami zaledwie kilka godzin po ich aplikacji. W doświadczeniach z wykorzystaniem zapraw nasiennych zawierających </w:t>
      </w:r>
      <w:proofErr w:type="spellStart"/>
      <w:r w:rsidRPr="00125F0E">
        <w:rPr>
          <w:rFonts w:ascii="Arial" w:hAnsi="Arial" w:cs="Arial"/>
          <w:sz w:val="20"/>
          <w:szCs w:val="20"/>
        </w:rPr>
        <w:t>chlotianidynę</w:t>
      </w:r>
      <w:proofErr w:type="spellEnd"/>
      <w:r w:rsidRPr="00125F0E">
        <w:rPr>
          <w:rFonts w:ascii="Arial" w:hAnsi="Arial" w:cs="Arial"/>
          <w:sz w:val="20"/>
          <w:szCs w:val="20"/>
        </w:rPr>
        <w:t xml:space="preserve">, </w:t>
      </w:r>
      <w:proofErr w:type="spellStart"/>
      <w:r w:rsidRPr="00125F0E">
        <w:rPr>
          <w:rFonts w:ascii="Arial" w:hAnsi="Arial" w:cs="Arial"/>
          <w:sz w:val="20"/>
          <w:szCs w:val="20"/>
        </w:rPr>
        <w:t>tiametoksam</w:t>
      </w:r>
      <w:proofErr w:type="spellEnd"/>
      <w:r w:rsidRPr="00125F0E">
        <w:rPr>
          <w:rFonts w:ascii="Arial" w:hAnsi="Arial" w:cs="Arial"/>
          <w:sz w:val="20"/>
          <w:szCs w:val="20"/>
        </w:rPr>
        <w:t xml:space="preserve"> lub </w:t>
      </w:r>
      <w:proofErr w:type="spellStart"/>
      <w:r w:rsidRPr="00125F0E">
        <w:rPr>
          <w:rFonts w:ascii="Arial" w:hAnsi="Arial" w:cs="Arial"/>
          <w:sz w:val="20"/>
          <w:szCs w:val="20"/>
        </w:rPr>
        <w:t>imidachlopryd</w:t>
      </w:r>
      <w:proofErr w:type="spellEnd"/>
      <w:r w:rsidRPr="00125F0E">
        <w:rPr>
          <w:rFonts w:ascii="Arial" w:hAnsi="Arial" w:cs="Arial"/>
          <w:sz w:val="20"/>
          <w:szCs w:val="20"/>
        </w:rPr>
        <w:t xml:space="preserve">, nie wykazano jakiegokolwiek działania wymienionych substancji na pszczoły. Badania pozostałości również nie wykazały obecności tych substancji ani w tkankach roślin ani w organizmach pszczół. </w:t>
      </w:r>
    </w:p>
    <w:p w14:paraId="3F6801A8" w14:textId="51C0F27E"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Kontynuowano badania laboratoryjne nad odpornością </w:t>
      </w:r>
      <w:proofErr w:type="spellStart"/>
      <w:r w:rsidRPr="00125F0E">
        <w:rPr>
          <w:rFonts w:ascii="Arial" w:hAnsi="Arial" w:cs="Arial"/>
          <w:b/>
          <w:i/>
          <w:sz w:val="20"/>
          <w:szCs w:val="20"/>
        </w:rPr>
        <w:t>Cercospora</w:t>
      </w:r>
      <w:proofErr w:type="spellEnd"/>
      <w:r w:rsidRPr="00125F0E">
        <w:rPr>
          <w:rFonts w:ascii="Arial" w:hAnsi="Arial" w:cs="Arial"/>
          <w:b/>
          <w:i/>
          <w:sz w:val="20"/>
          <w:szCs w:val="20"/>
        </w:rPr>
        <w:t xml:space="preserve"> </w:t>
      </w:r>
      <w:proofErr w:type="spellStart"/>
      <w:r w:rsidRPr="00125F0E">
        <w:rPr>
          <w:rFonts w:ascii="Arial" w:hAnsi="Arial" w:cs="Arial"/>
          <w:b/>
          <w:i/>
          <w:sz w:val="20"/>
          <w:szCs w:val="20"/>
        </w:rPr>
        <w:t>beticola</w:t>
      </w:r>
      <w:proofErr w:type="spellEnd"/>
      <w:r w:rsidRPr="00125F0E">
        <w:rPr>
          <w:rFonts w:ascii="Arial" w:hAnsi="Arial" w:cs="Arial"/>
          <w:b/>
          <w:sz w:val="20"/>
          <w:szCs w:val="20"/>
        </w:rPr>
        <w:t xml:space="preserve"> </w:t>
      </w:r>
      <w:r w:rsidRPr="00125F0E">
        <w:rPr>
          <w:rFonts w:ascii="Arial" w:hAnsi="Arial" w:cs="Arial"/>
          <w:sz w:val="20"/>
          <w:szCs w:val="20"/>
        </w:rPr>
        <w:t>na substancje czynne fungicydów</w:t>
      </w:r>
      <w:r w:rsidRPr="00125F0E">
        <w:rPr>
          <w:rFonts w:ascii="Arial" w:hAnsi="Arial" w:cs="Arial"/>
          <w:i/>
          <w:sz w:val="20"/>
          <w:szCs w:val="20"/>
        </w:rPr>
        <w:t xml:space="preserve">. </w:t>
      </w:r>
      <w:r w:rsidRPr="00125F0E">
        <w:rPr>
          <w:rFonts w:ascii="Arial" w:hAnsi="Arial" w:cs="Arial"/>
          <w:sz w:val="20"/>
          <w:szCs w:val="20"/>
        </w:rPr>
        <w:t xml:space="preserve">Wykazano wysoki odsetek </w:t>
      </w:r>
      <w:proofErr w:type="spellStart"/>
      <w:r w:rsidRPr="00125F0E">
        <w:rPr>
          <w:rFonts w:ascii="Arial" w:hAnsi="Arial" w:cs="Arial"/>
          <w:sz w:val="20"/>
          <w:szCs w:val="20"/>
        </w:rPr>
        <w:t>izolatów</w:t>
      </w:r>
      <w:proofErr w:type="spellEnd"/>
      <w:r w:rsidRPr="00125F0E">
        <w:rPr>
          <w:rFonts w:ascii="Arial" w:hAnsi="Arial" w:cs="Arial"/>
          <w:sz w:val="20"/>
          <w:szCs w:val="20"/>
        </w:rPr>
        <w:t xml:space="preserve"> odpornych na </w:t>
      </w:r>
      <w:proofErr w:type="spellStart"/>
      <w:r w:rsidRPr="00125F0E">
        <w:rPr>
          <w:rFonts w:ascii="Arial" w:hAnsi="Arial" w:cs="Arial"/>
          <w:sz w:val="20"/>
          <w:szCs w:val="20"/>
        </w:rPr>
        <w:t>azoksystrobinę</w:t>
      </w:r>
      <w:proofErr w:type="spellEnd"/>
      <w:r w:rsidRPr="00125F0E">
        <w:rPr>
          <w:rFonts w:ascii="Arial" w:hAnsi="Arial" w:cs="Arial"/>
          <w:sz w:val="20"/>
          <w:szCs w:val="20"/>
        </w:rPr>
        <w:t xml:space="preserve"> (</w:t>
      </w:r>
      <w:proofErr w:type="spellStart"/>
      <w:r w:rsidRPr="00125F0E">
        <w:rPr>
          <w:rFonts w:ascii="Arial" w:hAnsi="Arial" w:cs="Arial"/>
          <w:sz w:val="20"/>
          <w:szCs w:val="20"/>
        </w:rPr>
        <w:t>strobiluryny</w:t>
      </w:r>
      <w:proofErr w:type="spellEnd"/>
      <w:r w:rsidRPr="00125F0E">
        <w:rPr>
          <w:rFonts w:ascii="Arial" w:hAnsi="Arial" w:cs="Arial"/>
          <w:sz w:val="20"/>
          <w:szCs w:val="20"/>
        </w:rPr>
        <w:t xml:space="preserve">), </w:t>
      </w:r>
      <w:proofErr w:type="spellStart"/>
      <w:r w:rsidRPr="00125F0E">
        <w:rPr>
          <w:rFonts w:ascii="Arial" w:hAnsi="Arial" w:cs="Arial"/>
          <w:sz w:val="20"/>
          <w:szCs w:val="20"/>
        </w:rPr>
        <w:t>epoksykonazol</w:t>
      </w:r>
      <w:proofErr w:type="spellEnd"/>
      <w:r w:rsidRPr="00125F0E">
        <w:rPr>
          <w:rFonts w:ascii="Arial" w:hAnsi="Arial" w:cs="Arial"/>
          <w:sz w:val="20"/>
          <w:szCs w:val="20"/>
        </w:rPr>
        <w:t xml:space="preserve">, </w:t>
      </w:r>
      <w:proofErr w:type="spellStart"/>
      <w:r w:rsidRPr="00125F0E">
        <w:rPr>
          <w:rFonts w:ascii="Arial" w:hAnsi="Arial" w:cs="Arial"/>
          <w:sz w:val="20"/>
          <w:szCs w:val="20"/>
        </w:rPr>
        <w:t>difenokonazol</w:t>
      </w:r>
      <w:proofErr w:type="spellEnd"/>
      <w:r w:rsidRPr="00125F0E">
        <w:rPr>
          <w:rFonts w:ascii="Arial" w:hAnsi="Arial" w:cs="Arial"/>
          <w:sz w:val="20"/>
          <w:szCs w:val="20"/>
        </w:rPr>
        <w:t xml:space="preserve"> (triazole) oraz </w:t>
      </w:r>
      <w:proofErr w:type="spellStart"/>
      <w:r w:rsidRPr="00125F0E">
        <w:rPr>
          <w:rFonts w:ascii="Arial" w:hAnsi="Arial" w:cs="Arial"/>
          <w:sz w:val="20"/>
          <w:szCs w:val="20"/>
        </w:rPr>
        <w:t>fenpropidynę</w:t>
      </w:r>
      <w:proofErr w:type="spellEnd"/>
      <w:r w:rsidRPr="00125F0E">
        <w:rPr>
          <w:rFonts w:ascii="Arial" w:hAnsi="Arial" w:cs="Arial"/>
          <w:sz w:val="20"/>
          <w:szCs w:val="20"/>
        </w:rPr>
        <w:t xml:space="preserve"> (</w:t>
      </w:r>
      <w:proofErr w:type="spellStart"/>
      <w:r w:rsidRPr="00125F0E">
        <w:rPr>
          <w:rFonts w:ascii="Arial" w:hAnsi="Arial" w:cs="Arial"/>
          <w:sz w:val="20"/>
          <w:szCs w:val="20"/>
        </w:rPr>
        <w:t>morfoliny</w:t>
      </w:r>
      <w:proofErr w:type="spellEnd"/>
      <w:r w:rsidRPr="00125F0E">
        <w:rPr>
          <w:rFonts w:ascii="Arial" w:hAnsi="Arial" w:cs="Arial"/>
          <w:sz w:val="20"/>
          <w:szCs w:val="20"/>
        </w:rPr>
        <w:t xml:space="preserve">). Brak skuteczności działania notowano także w przypadku mieszanin </w:t>
      </w:r>
      <w:proofErr w:type="spellStart"/>
      <w:r w:rsidRPr="00125F0E">
        <w:rPr>
          <w:rFonts w:ascii="Arial" w:hAnsi="Arial" w:cs="Arial"/>
          <w:sz w:val="20"/>
          <w:szCs w:val="20"/>
        </w:rPr>
        <w:t>tiofanatu</w:t>
      </w:r>
      <w:proofErr w:type="spellEnd"/>
      <w:r w:rsidRPr="00125F0E">
        <w:rPr>
          <w:rFonts w:ascii="Arial" w:hAnsi="Arial" w:cs="Arial"/>
          <w:sz w:val="20"/>
          <w:szCs w:val="20"/>
        </w:rPr>
        <w:t xml:space="preserve"> metylowego, </w:t>
      </w:r>
      <w:proofErr w:type="spellStart"/>
      <w:r w:rsidRPr="00125F0E">
        <w:rPr>
          <w:rFonts w:ascii="Arial" w:hAnsi="Arial" w:cs="Arial"/>
          <w:sz w:val="20"/>
          <w:szCs w:val="20"/>
        </w:rPr>
        <w:t>piraklostrobiny</w:t>
      </w:r>
      <w:proofErr w:type="spellEnd"/>
      <w:r w:rsidRPr="00125F0E">
        <w:rPr>
          <w:rFonts w:ascii="Arial" w:hAnsi="Arial" w:cs="Arial"/>
          <w:sz w:val="20"/>
          <w:szCs w:val="20"/>
        </w:rPr>
        <w:t xml:space="preserve"> lub </w:t>
      </w:r>
      <w:proofErr w:type="spellStart"/>
      <w:r w:rsidRPr="00125F0E">
        <w:rPr>
          <w:rFonts w:ascii="Arial" w:hAnsi="Arial" w:cs="Arial"/>
          <w:sz w:val="20"/>
          <w:szCs w:val="20"/>
        </w:rPr>
        <w:t>fenpropidyny</w:t>
      </w:r>
      <w:proofErr w:type="spellEnd"/>
      <w:r w:rsidRPr="00125F0E">
        <w:rPr>
          <w:rFonts w:ascii="Arial" w:hAnsi="Arial" w:cs="Arial"/>
          <w:sz w:val="20"/>
          <w:szCs w:val="20"/>
        </w:rPr>
        <w:t xml:space="preserve"> z</w:t>
      </w:r>
      <w:r w:rsidR="00261EE7">
        <w:rPr>
          <w:rFonts w:ascii="Arial" w:hAnsi="Arial" w:cs="Arial"/>
          <w:sz w:val="20"/>
          <w:szCs w:val="20"/>
        </w:rPr>
        <w:t> </w:t>
      </w:r>
      <w:proofErr w:type="spellStart"/>
      <w:r w:rsidRPr="00125F0E">
        <w:rPr>
          <w:rFonts w:ascii="Arial" w:hAnsi="Arial" w:cs="Arial"/>
          <w:sz w:val="20"/>
          <w:szCs w:val="20"/>
        </w:rPr>
        <w:t>epoksykonazolem</w:t>
      </w:r>
      <w:proofErr w:type="spellEnd"/>
      <w:r w:rsidRPr="00125F0E">
        <w:rPr>
          <w:rFonts w:ascii="Arial" w:hAnsi="Arial" w:cs="Arial"/>
          <w:sz w:val="20"/>
          <w:szCs w:val="20"/>
        </w:rPr>
        <w:t xml:space="preserve">. Wśród polskich populacji </w:t>
      </w:r>
      <w:proofErr w:type="spellStart"/>
      <w:r w:rsidRPr="00125F0E">
        <w:rPr>
          <w:rFonts w:ascii="Arial" w:hAnsi="Arial" w:cs="Arial"/>
          <w:i/>
          <w:sz w:val="20"/>
          <w:szCs w:val="20"/>
        </w:rPr>
        <w:t>Cercospora</w:t>
      </w:r>
      <w:proofErr w:type="spellEnd"/>
      <w:r w:rsidRPr="00125F0E">
        <w:rPr>
          <w:rFonts w:ascii="Arial" w:hAnsi="Arial" w:cs="Arial"/>
          <w:i/>
          <w:sz w:val="20"/>
          <w:szCs w:val="20"/>
        </w:rPr>
        <w:t xml:space="preserve"> </w:t>
      </w:r>
      <w:proofErr w:type="spellStart"/>
      <w:r w:rsidRPr="00125F0E">
        <w:rPr>
          <w:rFonts w:ascii="Arial" w:hAnsi="Arial" w:cs="Arial"/>
          <w:i/>
          <w:sz w:val="20"/>
          <w:szCs w:val="20"/>
        </w:rPr>
        <w:t>beticola</w:t>
      </w:r>
      <w:proofErr w:type="spellEnd"/>
      <w:r w:rsidRPr="00125F0E">
        <w:rPr>
          <w:rFonts w:ascii="Arial" w:hAnsi="Arial" w:cs="Arial"/>
          <w:sz w:val="20"/>
          <w:szCs w:val="20"/>
        </w:rPr>
        <w:t xml:space="preserve"> obserwowany jest wzrost odporności na działające systemicznie grzybobójcze substancje czynne. W przypadku </w:t>
      </w:r>
      <w:proofErr w:type="spellStart"/>
      <w:r w:rsidRPr="00125F0E">
        <w:rPr>
          <w:rFonts w:ascii="Arial" w:hAnsi="Arial" w:cs="Arial"/>
          <w:sz w:val="20"/>
          <w:szCs w:val="20"/>
        </w:rPr>
        <w:t>strobiluryn</w:t>
      </w:r>
      <w:proofErr w:type="spellEnd"/>
      <w:r w:rsidRPr="00125F0E">
        <w:rPr>
          <w:rFonts w:ascii="Arial" w:hAnsi="Arial" w:cs="Arial"/>
          <w:sz w:val="20"/>
          <w:szCs w:val="20"/>
        </w:rPr>
        <w:t xml:space="preserve"> sięga </w:t>
      </w:r>
      <w:r w:rsidRPr="00125F0E">
        <w:rPr>
          <w:rFonts w:ascii="Arial" w:hAnsi="Arial" w:cs="Arial"/>
          <w:sz w:val="20"/>
          <w:szCs w:val="20"/>
        </w:rPr>
        <w:lastRenderedPageBreak/>
        <w:t>on nawet 80%, a triazoli od 20 (</w:t>
      </w:r>
      <w:proofErr w:type="spellStart"/>
      <w:r w:rsidRPr="00125F0E">
        <w:rPr>
          <w:rFonts w:ascii="Arial" w:hAnsi="Arial" w:cs="Arial"/>
          <w:sz w:val="20"/>
          <w:szCs w:val="20"/>
        </w:rPr>
        <w:t>difekonazol</w:t>
      </w:r>
      <w:proofErr w:type="spellEnd"/>
      <w:r w:rsidRPr="00125F0E">
        <w:rPr>
          <w:rFonts w:ascii="Arial" w:hAnsi="Arial" w:cs="Arial"/>
          <w:sz w:val="20"/>
          <w:szCs w:val="20"/>
        </w:rPr>
        <w:t>) do 50% (</w:t>
      </w:r>
      <w:proofErr w:type="spellStart"/>
      <w:r w:rsidRPr="00125F0E">
        <w:rPr>
          <w:rFonts w:ascii="Arial" w:hAnsi="Arial" w:cs="Arial"/>
          <w:sz w:val="20"/>
          <w:szCs w:val="20"/>
        </w:rPr>
        <w:t>epoksykonazol</w:t>
      </w:r>
      <w:proofErr w:type="spellEnd"/>
      <w:r w:rsidRPr="00125F0E">
        <w:rPr>
          <w:rFonts w:ascii="Arial" w:hAnsi="Arial" w:cs="Arial"/>
          <w:sz w:val="20"/>
          <w:szCs w:val="20"/>
        </w:rPr>
        <w:t xml:space="preserve">). To samo dotyczy preparatów zawierających mieszanki substancji czynnych z obu grup. Pojawiają się także pierwsze przypadki odporności na </w:t>
      </w:r>
      <w:proofErr w:type="spellStart"/>
      <w:r w:rsidRPr="00125F0E">
        <w:rPr>
          <w:rFonts w:ascii="Arial" w:hAnsi="Arial" w:cs="Arial"/>
          <w:sz w:val="20"/>
          <w:szCs w:val="20"/>
        </w:rPr>
        <w:t>morfoliny</w:t>
      </w:r>
      <w:proofErr w:type="spellEnd"/>
      <w:r w:rsidRPr="00125F0E">
        <w:rPr>
          <w:rFonts w:ascii="Arial" w:hAnsi="Arial" w:cs="Arial"/>
          <w:sz w:val="20"/>
          <w:szCs w:val="20"/>
        </w:rPr>
        <w:t xml:space="preserve">. Może być to przyczyną niepowodzenia w ochronie buraka przed tym patogenem w warunkach polowych, szczególnie w przypadku zbyt późno podjętej decyzji o ochronie chemicznej. W systemie ochrony musi być uwzględniony dodatek miedzi – nawet w formie nawozu nalistnego, co znacząco pozwala ograniczyć to niekorzystne zjawisko.  Badania nad odpornością patogenu wywołującego zgniliznę </w:t>
      </w:r>
      <w:proofErr w:type="spellStart"/>
      <w:r w:rsidRPr="00125F0E">
        <w:rPr>
          <w:rFonts w:ascii="Arial" w:hAnsi="Arial" w:cs="Arial"/>
          <w:sz w:val="20"/>
          <w:szCs w:val="20"/>
        </w:rPr>
        <w:t>twardzikową</w:t>
      </w:r>
      <w:proofErr w:type="spellEnd"/>
      <w:r w:rsidRPr="00125F0E">
        <w:rPr>
          <w:rFonts w:ascii="Arial" w:hAnsi="Arial" w:cs="Arial"/>
          <w:sz w:val="20"/>
          <w:szCs w:val="20"/>
        </w:rPr>
        <w:t xml:space="preserve"> rzepaku wykazały wrażliwość na </w:t>
      </w:r>
      <w:proofErr w:type="spellStart"/>
      <w:r w:rsidRPr="00125F0E">
        <w:rPr>
          <w:rFonts w:ascii="Arial" w:hAnsi="Arial" w:cs="Arial"/>
          <w:sz w:val="20"/>
          <w:szCs w:val="20"/>
        </w:rPr>
        <w:t>tebukonazol</w:t>
      </w:r>
      <w:proofErr w:type="spellEnd"/>
      <w:r w:rsidRPr="00125F0E">
        <w:rPr>
          <w:rFonts w:ascii="Arial" w:hAnsi="Arial" w:cs="Arial"/>
          <w:sz w:val="20"/>
          <w:szCs w:val="20"/>
        </w:rPr>
        <w:t xml:space="preserve">, </w:t>
      </w:r>
      <w:proofErr w:type="spellStart"/>
      <w:r w:rsidRPr="00125F0E">
        <w:rPr>
          <w:rFonts w:ascii="Arial" w:hAnsi="Arial" w:cs="Arial"/>
          <w:sz w:val="20"/>
          <w:szCs w:val="20"/>
        </w:rPr>
        <w:t>metkonazol</w:t>
      </w:r>
      <w:proofErr w:type="spellEnd"/>
      <w:r w:rsidRPr="00125F0E">
        <w:rPr>
          <w:rFonts w:ascii="Arial" w:hAnsi="Arial" w:cs="Arial"/>
          <w:sz w:val="20"/>
          <w:szCs w:val="20"/>
        </w:rPr>
        <w:t xml:space="preserve">, </w:t>
      </w:r>
      <w:proofErr w:type="spellStart"/>
      <w:r w:rsidRPr="00125F0E">
        <w:rPr>
          <w:rFonts w:ascii="Arial" w:hAnsi="Arial" w:cs="Arial"/>
          <w:sz w:val="20"/>
          <w:szCs w:val="20"/>
        </w:rPr>
        <w:t>prochloraz</w:t>
      </w:r>
      <w:proofErr w:type="spellEnd"/>
      <w:r w:rsidRPr="00125F0E">
        <w:rPr>
          <w:rFonts w:ascii="Arial" w:hAnsi="Arial" w:cs="Arial"/>
          <w:sz w:val="20"/>
          <w:szCs w:val="20"/>
        </w:rPr>
        <w:t xml:space="preserve"> i </w:t>
      </w:r>
      <w:proofErr w:type="spellStart"/>
      <w:r w:rsidRPr="00125F0E">
        <w:rPr>
          <w:rFonts w:ascii="Arial" w:hAnsi="Arial" w:cs="Arial"/>
          <w:sz w:val="20"/>
          <w:szCs w:val="20"/>
        </w:rPr>
        <w:t>tiofanat</w:t>
      </w:r>
      <w:proofErr w:type="spellEnd"/>
      <w:r w:rsidRPr="00125F0E">
        <w:rPr>
          <w:rFonts w:ascii="Arial" w:hAnsi="Arial" w:cs="Arial"/>
          <w:sz w:val="20"/>
          <w:szCs w:val="20"/>
        </w:rPr>
        <w:t xml:space="preserve"> metylowy, niską odporność na </w:t>
      </w:r>
      <w:proofErr w:type="spellStart"/>
      <w:r w:rsidRPr="00125F0E">
        <w:rPr>
          <w:rFonts w:ascii="Arial" w:hAnsi="Arial" w:cs="Arial"/>
          <w:sz w:val="20"/>
          <w:szCs w:val="20"/>
        </w:rPr>
        <w:t>propiokonazol</w:t>
      </w:r>
      <w:proofErr w:type="spellEnd"/>
      <w:r w:rsidRPr="00125F0E">
        <w:rPr>
          <w:rFonts w:ascii="Arial" w:hAnsi="Arial" w:cs="Arial"/>
          <w:sz w:val="20"/>
          <w:szCs w:val="20"/>
        </w:rPr>
        <w:t xml:space="preserve"> i średnią odporność na </w:t>
      </w:r>
      <w:proofErr w:type="spellStart"/>
      <w:r w:rsidRPr="00125F0E">
        <w:rPr>
          <w:rFonts w:ascii="Arial" w:hAnsi="Arial" w:cs="Arial"/>
          <w:sz w:val="20"/>
          <w:szCs w:val="20"/>
        </w:rPr>
        <w:t>azoksystrobinę</w:t>
      </w:r>
      <w:proofErr w:type="spellEnd"/>
      <w:r w:rsidRPr="00125F0E">
        <w:rPr>
          <w:rFonts w:ascii="Arial" w:hAnsi="Arial" w:cs="Arial"/>
          <w:sz w:val="20"/>
          <w:szCs w:val="20"/>
        </w:rPr>
        <w:t xml:space="preserve">. W przypadku sprawcy czerni krzyżowych, na </w:t>
      </w:r>
      <w:proofErr w:type="spellStart"/>
      <w:r w:rsidRPr="00125F0E">
        <w:rPr>
          <w:rFonts w:ascii="Arial" w:hAnsi="Arial" w:cs="Arial"/>
          <w:sz w:val="20"/>
          <w:szCs w:val="20"/>
        </w:rPr>
        <w:t>tiofanat</w:t>
      </w:r>
      <w:proofErr w:type="spellEnd"/>
      <w:r w:rsidRPr="00125F0E">
        <w:rPr>
          <w:rFonts w:ascii="Arial" w:hAnsi="Arial" w:cs="Arial"/>
          <w:sz w:val="20"/>
          <w:szCs w:val="20"/>
        </w:rPr>
        <w:t xml:space="preserve"> metylowy i </w:t>
      </w:r>
      <w:proofErr w:type="spellStart"/>
      <w:r w:rsidRPr="00125F0E">
        <w:rPr>
          <w:rFonts w:ascii="Arial" w:hAnsi="Arial" w:cs="Arial"/>
          <w:sz w:val="20"/>
          <w:szCs w:val="20"/>
        </w:rPr>
        <w:t>propiokonazol</w:t>
      </w:r>
      <w:proofErr w:type="spellEnd"/>
      <w:r w:rsidRPr="00125F0E">
        <w:rPr>
          <w:rFonts w:ascii="Arial" w:hAnsi="Arial" w:cs="Arial"/>
          <w:sz w:val="20"/>
          <w:szCs w:val="20"/>
        </w:rPr>
        <w:t xml:space="preserve">, rejestrowano średni poziom odporności, natomiast w odniesieniu do </w:t>
      </w:r>
      <w:proofErr w:type="spellStart"/>
      <w:r w:rsidRPr="00125F0E">
        <w:rPr>
          <w:rFonts w:ascii="Arial" w:hAnsi="Arial" w:cs="Arial"/>
          <w:sz w:val="20"/>
          <w:szCs w:val="20"/>
        </w:rPr>
        <w:t>azoksystrobiny</w:t>
      </w:r>
      <w:proofErr w:type="spellEnd"/>
      <w:r w:rsidRPr="00125F0E">
        <w:rPr>
          <w:rFonts w:ascii="Arial" w:hAnsi="Arial" w:cs="Arial"/>
          <w:sz w:val="20"/>
          <w:szCs w:val="20"/>
        </w:rPr>
        <w:t xml:space="preserve">, bardzo wysoki poziom odporności. </w:t>
      </w:r>
    </w:p>
    <w:p w14:paraId="14146FF0" w14:textId="77777777"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W badaniach nad odpornością </w:t>
      </w:r>
      <w:r w:rsidRPr="00125F0E">
        <w:rPr>
          <w:rFonts w:ascii="Arial" w:hAnsi="Arial" w:cs="Arial"/>
          <w:b/>
          <w:sz w:val="20"/>
          <w:szCs w:val="20"/>
        </w:rPr>
        <w:t>chwastów</w:t>
      </w:r>
      <w:r w:rsidRPr="00125F0E">
        <w:rPr>
          <w:rFonts w:ascii="Arial" w:hAnsi="Arial" w:cs="Arial"/>
          <w:sz w:val="20"/>
          <w:szCs w:val="20"/>
        </w:rPr>
        <w:t xml:space="preserve"> testowano odporność różnych biotypów </w:t>
      </w:r>
      <w:r w:rsidRPr="00125F0E">
        <w:rPr>
          <w:rFonts w:ascii="Arial" w:hAnsi="Arial" w:cs="Arial"/>
          <w:b/>
          <w:sz w:val="20"/>
          <w:szCs w:val="20"/>
        </w:rPr>
        <w:t>wyczyńca polnego</w:t>
      </w:r>
      <w:r w:rsidRPr="00125F0E">
        <w:rPr>
          <w:rFonts w:ascii="Arial" w:hAnsi="Arial" w:cs="Arial"/>
          <w:sz w:val="20"/>
          <w:szCs w:val="20"/>
        </w:rPr>
        <w:t xml:space="preserve"> – gatunku jednoliściennego czyniącego znaczne szkody w uprawach zbóż. Wykazano odporność na substancje z grupy inhibitorów syntezy aminokwasów (ALS), zwłaszcza na </w:t>
      </w:r>
      <w:proofErr w:type="spellStart"/>
      <w:r w:rsidRPr="00125F0E">
        <w:rPr>
          <w:rFonts w:ascii="Arial" w:hAnsi="Arial" w:cs="Arial"/>
          <w:sz w:val="20"/>
          <w:szCs w:val="20"/>
        </w:rPr>
        <w:t>sulfonylomoczniki</w:t>
      </w:r>
      <w:proofErr w:type="spellEnd"/>
      <w:r w:rsidRPr="00125F0E">
        <w:rPr>
          <w:rFonts w:ascii="Arial" w:hAnsi="Arial" w:cs="Arial"/>
          <w:sz w:val="20"/>
          <w:szCs w:val="20"/>
        </w:rPr>
        <w:t xml:space="preserve"> oraz na substancje z grupy inhibitorów </w:t>
      </w:r>
      <w:proofErr w:type="spellStart"/>
      <w:r w:rsidRPr="00125F0E">
        <w:rPr>
          <w:rFonts w:ascii="Arial" w:hAnsi="Arial" w:cs="Arial"/>
          <w:sz w:val="20"/>
          <w:szCs w:val="20"/>
        </w:rPr>
        <w:t>acetylokoenzymu</w:t>
      </w:r>
      <w:proofErr w:type="spellEnd"/>
      <w:r w:rsidRPr="00125F0E">
        <w:rPr>
          <w:rFonts w:ascii="Arial" w:hAnsi="Arial" w:cs="Arial"/>
          <w:sz w:val="20"/>
          <w:szCs w:val="20"/>
        </w:rPr>
        <w:t xml:space="preserve"> A. Uodpornione biotypy tego gatunku identyfikowano głównie w województwach: lubuskim, kujawsko-pomorskim, zachodnio-pomorskim, warmińsko-mazurskim, dolnośląskim i wielkopolskim. Na podstawie analizy wywiadów przeprowadzonych z rolnikami, obserwacji dokonanych w polu, a także na podstawie wyników uzyskanych w badaniach szklarniowych, wytypowano istotne czynniki związane z ryzykiem powstawania form odpornych, tj. stopień zachwaszczenia, metody zwalczania, uprawa roli i in. Na tej podstawie opracowano ankietę dla producentów rolnych, umożliwiającą samodzielną ocenę przyczyn nieskuteczności zabiegów i decyzję, czy jest nią zjawisko odporności, czy czynnik związany z błędami użytkownika.</w:t>
      </w:r>
    </w:p>
    <w:p w14:paraId="76F2D06E" w14:textId="77777777" w:rsidR="00281A9F" w:rsidRPr="00925BCD" w:rsidRDefault="00281A9F">
      <w:pPr>
        <w:pStyle w:val="NormalnyWeb"/>
        <w:tabs>
          <w:tab w:val="left" w:pos="284"/>
        </w:tabs>
        <w:spacing w:before="280" w:beforeAutospacing="0" w:after="120" w:afterAutospacing="0" w:line="360" w:lineRule="auto"/>
        <w:ind w:firstLine="284"/>
        <w:jc w:val="both"/>
        <w:rPr>
          <w:rFonts w:ascii="Arial" w:hAnsi="Arial" w:cs="Arial"/>
        </w:rPr>
      </w:pPr>
    </w:p>
    <w:p w14:paraId="5C32FCBA" w14:textId="77777777" w:rsidR="00056846" w:rsidRPr="00925BCD" w:rsidRDefault="00E54725">
      <w:pPr>
        <w:rPr>
          <w:rFonts w:ascii="Arial" w:hAnsi="Arial" w:cs="Arial"/>
          <w:bCs/>
          <w:kern w:val="2"/>
        </w:rPr>
      </w:pPr>
      <w:r w:rsidRPr="00925BCD">
        <w:br w:type="page"/>
      </w:r>
    </w:p>
    <w:p w14:paraId="2B1653A6" w14:textId="77777777"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rFonts w:ascii="Arial" w:hAnsi="Arial" w:cs="Arial"/>
        </w:rPr>
        <w:lastRenderedPageBreak/>
        <w:t>Załącznik nr 2</w:t>
      </w:r>
    </w:p>
    <w:p w14:paraId="1293C63F" w14:textId="56AA49DA" w:rsidR="00056846" w:rsidRPr="00925BCD" w:rsidRDefault="00E54725" w:rsidP="00CA77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Monitoring odporności agrofagów na środki ochrony roślin prowadzony był </w:t>
      </w:r>
      <w:r w:rsidRPr="00925BCD">
        <w:rPr>
          <w:rFonts w:ascii="Arial" w:hAnsi="Arial" w:cs="Arial"/>
          <w:b/>
        </w:rPr>
        <w:t>w 2018 r.</w:t>
      </w:r>
      <w:r w:rsidRPr="00925BCD">
        <w:rPr>
          <w:rFonts w:ascii="Arial" w:hAnsi="Arial" w:cs="Arial"/>
        </w:rPr>
        <w:t xml:space="preserve"> również przez </w:t>
      </w:r>
      <w:r w:rsidRPr="00925BCD">
        <w:rPr>
          <w:rFonts w:ascii="Arial" w:hAnsi="Arial" w:cs="Arial"/>
          <w:b/>
        </w:rPr>
        <w:t>Instytut Ogrodnictwa</w:t>
      </w:r>
      <w:r w:rsidR="005045A8">
        <w:rPr>
          <w:rFonts w:ascii="Arial" w:hAnsi="Arial" w:cs="Arial"/>
          <w:b/>
        </w:rPr>
        <w:t xml:space="preserve"> </w:t>
      </w:r>
      <w:r w:rsidR="005045A8" w:rsidRPr="005045A8">
        <w:rPr>
          <w:rFonts w:ascii="Arial" w:hAnsi="Arial" w:cs="Arial"/>
          <w:b/>
        </w:rPr>
        <w:t>– PIB</w:t>
      </w:r>
      <w:r w:rsidRPr="00925BCD">
        <w:rPr>
          <w:rFonts w:ascii="Arial" w:hAnsi="Arial" w:cs="Arial"/>
        </w:rPr>
        <w:t>. Oceniono skuteczność działania, fitotoksyczność i wpływ na faunę pożyteczną wybranych preparatów w uprawach roślin:</w:t>
      </w:r>
    </w:p>
    <w:p w14:paraId="4A29288A" w14:textId="77777777" w:rsidR="00056846" w:rsidRPr="00925BCD" w:rsidRDefault="00E54725"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sadowniczych: </w:t>
      </w:r>
      <w:r w:rsidRPr="00925BCD">
        <w:rPr>
          <w:rFonts w:ascii="Arial" w:hAnsi="Arial" w:cs="Arial"/>
          <w:u w:val="single"/>
        </w:rPr>
        <w:t>grusza</w:t>
      </w:r>
      <w:r w:rsidRPr="00925BCD">
        <w:rPr>
          <w:rFonts w:ascii="Arial" w:hAnsi="Arial" w:cs="Arial"/>
        </w:rPr>
        <w:t xml:space="preserve"> – MOVENTO 100 SC, KANEMITE 150 SC, ENVIDOR 240 SC, EMULPAR’ 940 EC do zwalczania szpeciela </w:t>
      </w:r>
      <w:proofErr w:type="spellStart"/>
      <w:r w:rsidRPr="00925BCD">
        <w:rPr>
          <w:rFonts w:ascii="Arial" w:hAnsi="Arial" w:cs="Arial"/>
        </w:rPr>
        <w:t>podskórnika</w:t>
      </w:r>
      <w:proofErr w:type="spellEnd"/>
      <w:r w:rsidRPr="00925BCD">
        <w:rPr>
          <w:rFonts w:ascii="Arial" w:hAnsi="Arial" w:cs="Arial"/>
        </w:rPr>
        <w:t xml:space="preserve"> gruszowego </w:t>
      </w:r>
      <w:proofErr w:type="spellStart"/>
      <w:r w:rsidRPr="00925BCD">
        <w:rPr>
          <w:rFonts w:ascii="Arial" w:hAnsi="Arial" w:cs="Arial"/>
          <w:i/>
        </w:rPr>
        <w:t>Eriophyes</w:t>
      </w:r>
      <w:proofErr w:type="spellEnd"/>
      <w:r w:rsidRPr="00925BCD">
        <w:rPr>
          <w:rFonts w:ascii="Arial" w:hAnsi="Arial" w:cs="Arial"/>
          <w:i/>
        </w:rPr>
        <w:t xml:space="preserve"> </w:t>
      </w:r>
      <w:proofErr w:type="spellStart"/>
      <w:r w:rsidRPr="00925BCD">
        <w:rPr>
          <w:rFonts w:ascii="Arial" w:hAnsi="Arial" w:cs="Arial"/>
          <w:i/>
        </w:rPr>
        <w:t>pyri</w:t>
      </w:r>
      <w:proofErr w:type="spellEnd"/>
      <w:r w:rsidRPr="00925BCD">
        <w:rPr>
          <w:rFonts w:ascii="Arial" w:hAnsi="Arial" w:cs="Arial"/>
        </w:rPr>
        <w:t xml:space="preserve">; </w:t>
      </w:r>
      <w:r w:rsidRPr="00925BCD">
        <w:rPr>
          <w:rFonts w:ascii="Arial" w:hAnsi="Arial" w:cs="Arial"/>
          <w:u w:val="single"/>
        </w:rPr>
        <w:t>borówka wysoka</w:t>
      </w:r>
      <w:r w:rsidRPr="00925BCD">
        <w:rPr>
          <w:rFonts w:ascii="Arial" w:hAnsi="Arial" w:cs="Arial"/>
        </w:rPr>
        <w:t xml:space="preserve"> – AFFIRM 095 SG (benzoesan </w:t>
      </w:r>
      <w:proofErr w:type="spellStart"/>
      <w:r w:rsidRPr="00925BCD">
        <w:rPr>
          <w:rFonts w:ascii="Arial" w:hAnsi="Arial" w:cs="Arial"/>
        </w:rPr>
        <w:t>emamektyny</w:t>
      </w:r>
      <w:proofErr w:type="spellEnd"/>
      <w:r w:rsidRPr="00925BCD">
        <w:rPr>
          <w:rFonts w:ascii="Arial" w:hAnsi="Arial" w:cs="Arial"/>
        </w:rPr>
        <w:t xml:space="preserve">) do zwalczania muszki plamoskrzydłej </w:t>
      </w:r>
      <w:proofErr w:type="spellStart"/>
      <w:r w:rsidRPr="00925BCD">
        <w:rPr>
          <w:rFonts w:ascii="Arial" w:hAnsi="Arial" w:cs="Arial"/>
          <w:i/>
        </w:rPr>
        <w:t>Drosophila</w:t>
      </w:r>
      <w:proofErr w:type="spellEnd"/>
      <w:r w:rsidRPr="00925BCD">
        <w:rPr>
          <w:rFonts w:ascii="Arial" w:hAnsi="Arial" w:cs="Arial"/>
        </w:rPr>
        <w:t>;</w:t>
      </w:r>
    </w:p>
    <w:p w14:paraId="2805252E" w14:textId="77777777" w:rsidR="00056846" w:rsidRPr="00925BCD" w:rsidRDefault="00E54725"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warzywnych: </w:t>
      </w:r>
      <w:r w:rsidRPr="00925BCD">
        <w:rPr>
          <w:rFonts w:ascii="Arial" w:hAnsi="Arial" w:cs="Arial"/>
          <w:u w:val="single"/>
        </w:rPr>
        <w:t>fasola szparagowa</w:t>
      </w:r>
      <w:r w:rsidRPr="00925BCD">
        <w:rPr>
          <w:rFonts w:ascii="Arial" w:hAnsi="Arial" w:cs="Arial"/>
        </w:rPr>
        <w:t xml:space="preserve"> – SIGNUM 33 WG (</w:t>
      </w:r>
      <w:proofErr w:type="spellStart"/>
      <w:r w:rsidRPr="00925BCD">
        <w:rPr>
          <w:rFonts w:ascii="Arial" w:hAnsi="Arial" w:cs="Arial"/>
        </w:rPr>
        <w:t>piraklostrobina</w:t>
      </w:r>
      <w:proofErr w:type="spellEnd"/>
      <w:r w:rsidRPr="00925BCD">
        <w:rPr>
          <w:rFonts w:ascii="Arial" w:hAnsi="Arial" w:cs="Arial"/>
        </w:rPr>
        <w:t xml:space="preserve"> + </w:t>
      </w:r>
      <w:proofErr w:type="spellStart"/>
      <w:r w:rsidRPr="00925BCD">
        <w:rPr>
          <w:rFonts w:ascii="Arial" w:hAnsi="Arial" w:cs="Arial"/>
        </w:rPr>
        <w:t>boskalid</w:t>
      </w:r>
      <w:proofErr w:type="spellEnd"/>
      <w:r w:rsidRPr="00925BCD">
        <w:rPr>
          <w:rFonts w:ascii="Arial" w:hAnsi="Arial" w:cs="Arial"/>
        </w:rPr>
        <w:t xml:space="preserve">) do ograniczania zgnilizny </w:t>
      </w:r>
      <w:proofErr w:type="spellStart"/>
      <w:r w:rsidRPr="00925BCD">
        <w:rPr>
          <w:rFonts w:ascii="Arial" w:hAnsi="Arial" w:cs="Arial"/>
        </w:rPr>
        <w:t>twardzikowej</w:t>
      </w:r>
      <w:proofErr w:type="spellEnd"/>
      <w:r w:rsidRPr="00925BCD">
        <w:rPr>
          <w:rFonts w:ascii="Arial" w:hAnsi="Arial" w:cs="Arial"/>
        </w:rPr>
        <w:t xml:space="preserve"> (</w:t>
      </w:r>
      <w:proofErr w:type="spellStart"/>
      <w:r w:rsidRPr="00925BCD">
        <w:rPr>
          <w:rFonts w:ascii="Arial" w:hAnsi="Arial" w:cs="Arial"/>
          <w:i/>
        </w:rPr>
        <w:t>Sclerotinia</w:t>
      </w:r>
      <w:proofErr w:type="spellEnd"/>
      <w:r w:rsidRPr="00925BCD">
        <w:rPr>
          <w:rFonts w:ascii="Arial" w:hAnsi="Arial" w:cs="Arial"/>
          <w:i/>
        </w:rPr>
        <w:t xml:space="preserve"> </w:t>
      </w:r>
      <w:proofErr w:type="spellStart"/>
      <w:r w:rsidRPr="00925BCD">
        <w:rPr>
          <w:rFonts w:ascii="Arial" w:hAnsi="Arial" w:cs="Arial"/>
          <w:i/>
        </w:rPr>
        <w:t>sclerotiorum</w:t>
      </w:r>
      <w:proofErr w:type="spellEnd"/>
      <w:r w:rsidRPr="00925BCD">
        <w:rPr>
          <w:rFonts w:ascii="Arial" w:hAnsi="Arial" w:cs="Arial"/>
        </w:rPr>
        <w:t xml:space="preserve">); </w:t>
      </w:r>
      <w:r w:rsidRPr="00925BCD">
        <w:rPr>
          <w:rFonts w:ascii="Arial" w:hAnsi="Arial" w:cs="Arial"/>
          <w:u w:val="single"/>
        </w:rPr>
        <w:t>rzodkiewka</w:t>
      </w:r>
      <w:r w:rsidRPr="00925BCD">
        <w:rPr>
          <w:rFonts w:ascii="Arial" w:hAnsi="Arial" w:cs="Arial"/>
        </w:rPr>
        <w:t xml:space="preserve"> – KARATE ZEON 050 CS, DECIS MEGA 50 EW, SPINTOR 240 CS, NEEM AZAL T/S do zwalczania śmietki kapuścianej i pchełek; </w:t>
      </w:r>
      <w:r w:rsidRPr="00925BCD">
        <w:rPr>
          <w:rFonts w:ascii="Arial" w:hAnsi="Arial" w:cs="Arial"/>
          <w:u w:val="single"/>
        </w:rPr>
        <w:t>burak ćwikłowy</w:t>
      </w:r>
      <w:r w:rsidRPr="00925BCD">
        <w:rPr>
          <w:rFonts w:ascii="Arial" w:hAnsi="Arial" w:cs="Arial"/>
        </w:rPr>
        <w:t xml:space="preserve"> – DECIS MEGA 50 EW, KARATE ZEON 050 CS, NEEM AZAL T/S do zwalczania śmietki </w:t>
      </w:r>
      <w:proofErr w:type="spellStart"/>
      <w:r w:rsidRPr="00925BCD">
        <w:rPr>
          <w:rFonts w:ascii="Arial" w:hAnsi="Arial" w:cs="Arial"/>
        </w:rPr>
        <w:t>ćwiklanki</w:t>
      </w:r>
      <w:proofErr w:type="spellEnd"/>
      <w:r w:rsidRPr="00925BCD">
        <w:rPr>
          <w:rFonts w:ascii="Arial" w:hAnsi="Arial" w:cs="Arial"/>
        </w:rPr>
        <w:t xml:space="preserve"> (</w:t>
      </w:r>
      <w:proofErr w:type="spellStart"/>
      <w:r w:rsidRPr="00925BCD">
        <w:rPr>
          <w:rFonts w:ascii="Arial" w:hAnsi="Arial" w:cs="Arial"/>
          <w:i/>
        </w:rPr>
        <w:t>Pegomyia</w:t>
      </w:r>
      <w:proofErr w:type="spellEnd"/>
      <w:r w:rsidRPr="00925BCD">
        <w:rPr>
          <w:rFonts w:ascii="Arial" w:hAnsi="Arial" w:cs="Arial"/>
          <w:i/>
        </w:rPr>
        <w:t xml:space="preserve"> </w:t>
      </w:r>
      <w:proofErr w:type="spellStart"/>
      <w:r w:rsidRPr="00925BCD">
        <w:rPr>
          <w:rFonts w:ascii="Arial" w:hAnsi="Arial" w:cs="Arial"/>
          <w:i/>
        </w:rPr>
        <w:t>hyoscyami</w:t>
      </w:r>
      <w:proofErr w:type="spellEnd"/>
      <w:r w:rsidRPr="00925BCD">
        <w:rPr>
          <w:rFonts w:ascii="Arial" w:hAnsi="Arial" w:cs="Arial"/>
        </w:rPr>
        <w:t>) i mszycy burakowej (</w:t>
      </w:r>
      <w:proofErr w:type="spellStart"/>
      <w:r w:rsidRPr="00925BCD">
        <w:rPr>
          <w:rFonts w:ascii="Arial" w:hAnsi="Arial" w:cs="Arial"/>
          <w:i/>
        </w:rPr>
        <w:t>Aphis</w:t>
      </w:r>
      <w:proofErr w:type="spellEnd"/>
      <w:r w:rsidRPr="00925BCD">
        <w:rPr>
          <w:rFonts w:ascii="Arial" w:hAnsi="Arial" w:cs="Arial"/>
          <w:i/>
        </w:rPr>
        <w:t xml:space="preserve"> </w:t>
      </w:r>
      <w:proofErr w:type="spellStart"/>
      <w:r w:rsidRPr="00925BCD">
        <w:rPr>
          <w:rFonts w:ascii="Arial" w:hAnsi="Arial" w:cs="Arial"/>
          <w:i/>
        </w:rPr>
        <w:t>fabae</w:t>
      </w:r>
      <w:proofErr w:type="spellEnd"/>
      <w:r w:rsidRPr="00925BCD">
        <w:rPr>
          <w:rFonts w:ascii="Arial" w:hAnsi="Arial" w:cs="Arial"/>
        </w:rPr>
        <w:t xml:space="preserve">; </w:t>
      </w:r>
      <w:r w:rsidRPr="00925BCD">
        <w:rPr>
          <w:rFonts w:ascii="Arial" w:hAnsi="Arial" w:cs="Arial"/>
          <w:u w:val="single"/>
        </w:rPr>
        <w:t>szpinak</w:t>
      </w:r>
      <w:r w:rsidRPr="00925BCD">
        <w:rPr>
          <w:rFonts w:ascii="Arial" w:hAnsi="Arial" w:cs="Arial"/>
        </w:rPr>
        <w:t xml:space="preserve"> – </w:t>
      </w:r>
      <w:proofErr w:type="spellStart"/>
      <w:r w:rsidRPr="00925BCD">
        <w:rPr>
          <w:rFonts w:ascii="Arial" w:hAnsi="Arial" w:cs="Arial"/>
        </w:rPr>
        <w:t>Goltix</w:t>
      </w:r>
      <w:proofErr w:type="spellEnd"/>
      <w:r w:rsidRPr="00925BCD">
        <w:rPr>
          <w:rFonts w:ascii="Arial" w:hAnsi="Arial" w:cs="Arial"/>
        </w:rPr>
        <w:t xml:space="preserve"> 700 SC (</w:t>
      </w:r>
      <w:proofErr w:type="spellStart"/>
      <w:r w:rsidRPr="00925BCD">
        <w:rPr>
          <w:rFonts w:ascii="Arial" w:hAnsi="Arial" w:cs="Arial"/>
        </w:rPr>
        <w:t>metamitron</w:t>
      </w:r>
      <w:proofErr w:type="spellEnd"/>
      <w:r w:rsidRPr="00925BCD">
        <w:rPr>
          <w:rFonts w:ascii="Arial" w:hAnsi="Arial" w:cs="Arial"/>
        </w:rPr>
        <w:t xml:space="preserve">) do zwalczania chwastów w uprawie szpinaku; </w:t>
      </w:r>
      <w:r w:rsidRPr="00925BCD">
        <w:rPr>
          <w:rFonts w:ascii="Arial" w:hAnsi="Arial" w:cs="Arial"/>
          <w:u w:val="single"/>
        </w:rPr>
        <w:t>kapusta głowiasta</w:t>
      </w:r>
      <w:r w:rsidRPr="00925BCD">
        <w:rPr>
          <w:rFonts w:ascii="Arial" w:hAnsi="Arial" w:cs="Arial"/>
        </w:rPr>
        <w:t xml:space="preserve"> ‘Kamienna Głowa’ – LUMIPOSA 625 FS (</w:t>
      </w:r>
      <w:proofErr w:type="spellStart"/>
      <w:r w:rsidRPr="00925BCD">
        <w:rPr>
          <w:rFonts w:ascii="Arial" w:hAnsi="Arial" w:cs="Arial"/>
        </w:rPr>
        <w:t>cyjanotraniliprol</w:t>
      </w:r>
      <w:proofErr w:type="spellEnd"/>
      <w:r w:rsidRPr="00925BCD">
        <w:rPr>
          <w:rFonts w:ascii="Arial" w:hAnsi="Arial" w:cs="Arial"/>
        </w:rPr>
        <w:t xml:space="preserve">) – zaprawa nasienna do zwalczania śmietki; </w:t>
      </w:r>
    </w:p>
    <w:p w14:paraId="68701087" w14:textId="77777777" w:rsidR="00056846" w:rsidRPr="00925BCD" w:rsidRDefault="00E54725"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ozdobnych:  </w:t>
      </w:r>
      <w:r w:rsidRPr="00925BCD">
        <w:rPr>
          <w:rFonts w:ascii="Arial" w:hAnsi="Arial" w:cs="Arial"/>
          <w:u w:val="single"/>
        </w:rPr>
        <w:t>goździk</w:t>
      </w:r>
      <w:r w:rsidRPr="00925BCD">
        <w:rPr>
          <w:rFonts w:ascii="Arial" w:hAnsi="Arial" w:cs="Arial"/>
        </w:rPr>
        <w:t xml:space="preserve"> (</w:t>
      </w:r>
      <w:proofErr w:type="spellStart"/>
      <w:r w:rsidRPr="00925BCD">
        <w:rPr>
          <w:rFonts w:ascii="Arial" w:hAnsi="Arial" w:cs="Arial"/>
          <w:i/>
        </w:rPr>
        <w:t>Dianthus</w:t>
      </w:r>
      <w:proofErr w:type="spellEnd"/>
      <w:r w:rsidRPr="00925BCD">
        <w:rPr>
          <w:rFonts w:ascii="Arial" w:hAnsi="Arial" w:cs="Arial"/>
          <w:i/>
        </w:rPr>
        <w:t xml:space="preserve"> </w:t>
      </w:r>
      <w:proofErr w:type="spellStart"/>
      <w:r w:rsidRPr="00925BCD">
        <w:rPr>
          <w:rFonts w:ascii="Arial" w:hAnsi="Arial" w:cs="Arial"/>
          <w:i/>
        </w:rPr>
        <w:t>caryophyllus</w:t>
      </w:r>
      <w:proofErr w:type="spellEnd"/>
      <w:r w:rsidRPr="00925BCD">
        <w:rPr>
          <w:rFonts w:ascii="Arial" w:hAnsi="Arial" w:cs="Arial"/>
        </w:rPr>
        <w:t xml:space="preserve">) – SIGNUM 33 WG do ochrony przed </w:t>
      </w:r>
      <w:proofErr w:type="spellStart"/>
      <w:r w:rsidRPr="00925BCD">
        <w:rPr>
          <w:rFonts w:ascii="Arial" w:hAnsi="Arial" w:cs="Arial"/>
          <w:i/>
        </w:rPr>
        <w:t>Fusarium</w:t>
      </w:r>
      <w:proofErr w:type="spellEnd"/>
      <w:r w:rsidRPr="00925BCD">
        <w:rPr>
          <w:rFonts w:ascii="Arial" w:hAnsi="Arial" w:cs="Arial"/>
          <w:i/>
        </w:rPr>
        <w:t xml:space="preserve"> </w:t>
      </w:r>
      <w:proofErr w:type="spellStart"/>
      <w:r w:rsidRPr="00925BCD">
        <w:rPr>
          <w:rFonts w:ascii="Arial" w:hAnsi="Arial" w:cs="Arial"/>
          <w:i/>
        </w:rPr>
        <w:t>oxysporum</w:t>
      </w:r>
      <w:proofErr w:type="spellEnd"/>
      <w:r w:rsidRPr="00925BCD">
        <w:rPr>
          <w:rFonts w:ascii="Arial" w:hAnsi="Arial" w:cs="Arial"/>
        </w:rPr>
        <w:t xml:space="preserve"> f. sp. </w:t>
      </w:r>
      <w:proofErr w:type="spellStart"/>
      <w:r w:rsidRPr="00925BCD">
        <w:rPr>
          <w:rFonts w:ascii="Arial" w:hAnsi="Arial" w:cs="Arial"/>
          <w:i/>
        </w:rPr>
        <w:t>dianthi</w:t>
      </w:r>
      <w:proofErr w:type="spellEnd"/>
      <w:r w:rsidRPr="00925BCD">
        <w:rPr>
          <w:rFonts w:ascii="Arial" w:hAnsi="Arial" w:cs="Arial"/>
        </w:rPr>
        <w:t xml:space="preserve">; </w:t>
      </w:r>
      <w:r w:rsidRPr="00925BCD">
        <w:rPr>
          <w:rFonts w:ascii="Arial" w:hAnsi="Arial" w:cs="Arial"/>
          <w:u w:val="single"/>
        </w:rPr>
        <w:t>lawenda</w:t>
      </w:r>
      <w:r w:rsidRPr="00925BCD">
        <w:rPr>
          <w:rFonts w:ascii="Arial" w:hAnsi="Arial" w:cs="Arial"/>
        </w:rPr>
        <w:t xml:space="preserve"> (</w:t>
      </w:r>
      <w:proofErr w:type="spellStart"/>
      <w:r w:rsidRPr="00925BCD">
        <w:rPr>
          <w:rFonts w:ascii="Arial" w:hAnsi="Arial" w:cs="Arial"/>
          <w:i/>
        </w:rPr>
        <w:t>Lavandula</w:t>
      </w:r>
      <w:proofErr w:type="spellEnd"/>
      <w:r w:rsidRPr="00925BCD">
        <w:rPr>
          <w:rFonts w:ascii="Arial" w:hAnsi="Arial" w:cs="Arial"/>
          <w:i/>
        </w:rPr>
        <w:t xml:space="preserve"> </w:t>
      </w:r>
      <w:proofErr w:type="spellStart"/>
      <w:r w:rsidRPr="00925BCD">
        <w:rPr>
          <w:rFonts w:ascii="Arial" w:hAnsi="Arial" w:cs="Arial"/>
          <w:i/>
        </w:rPr>
        <w:t>angustifolia</w:t>
      </w:r>
      <w:proofErr w:type="spellEnd"/>
      <w:r w:rsidRPr="00925BCD">
        <w:rPr>
          <w:rFonts w:ascii="Arial" w:hAnsi="Arial" w:cs="Arial"/>
        </w:rPr>
        <w:t xml:space="preserve">) – ACROBAT MZ 69 WG do ochrony przed </w:t>
      </w:r>
      <w:proofErr w:type="spellStart"/>
      <w:r w:rsidRPr="00925BCD">
        <w:rPr>
          <w:rFonts w:ascii="Arial" w:hAnsi="Arial" w:cs="Arial"/>
          <w:i/>
        </w:rPr>
        <w:t>Phytophthora</w:t>
      </w:r>
      <w:proofErr w:type="spellEnd"/>
      <w:r w:rsidRPr="00925BCD">
        <w:rPr>
          <w:rFonts w:ascii="Arial" w:hAnsi="Arial" w:cs="Arial"/>
        </w:rPr>
        <w:t xml:space="preserve"> sp.; </w:t>
      </w:r>
      <w:r w:rsidRPr="00925BCD">
        <w:rPr>
          <w:rFonts w:ascii="Arial" w:hAnsi="Arial" w:cs="Arial"/>
          <w:u w:val="single"/>
        </w:rPr>
        <w:t>tawuła japońska</w:t>
      </w:r>
      <w:r w:rsidRPr="00925BCD">
        <w:rPr>
          <w:rFonts w:ascii="Arial" w:hAnsi="Arial" w:cs="Arial"/>
        </w:rPr>
        <w:t xml:space="preserve"> – MILBEKNOCK 10 EC, MOVENTO 100 SC, EMULPAR 940 KANEMITE 150 SC do zwalczania </w:t>
      </w:r>
      <w:proofErr w:type="spellStart"/>
      <w:r w:rsidRPr="00925BCD">
        <w:rPr>
          <w:rFonts w:ascii="Arial" w:hAnsi="Arial" w:cs="Arial"/>
        </w:rPr>
        <w:t>przebarwiacza</w:t>
      </w:r>
      <w:proofErr w:type="spellEnd"/>
      <w:r w:rsidRPr="00925BCD">
        <w:rPr>
          <w:rFonts w:ascii="Arial" w:hAnsi="Arial" w:cs="Arial"/>
        </w:rPr>
        <w:t xml:space="preserve"> tawułowego (</w:t>
      </w:r>
      <w:proofErr w:type="spellStart"/>
      <w:r w:rsidRPr="00925BCD">
        <w:rPr>
          <w:rFonts w:ascii="Arial" w:hAnsi="Arial" w:cs="Arial"/>
          <w:i/>
        </w:rPr>
        <w:t>Phyllocoptes</w:t>
      </w:r>
      <w:proofErr w:type="spellEnd"/>
      <w:r w:rsidRPr="00925BCD">
        <w:rPr>
          <w:rFonts w:ascii="Arial" w:hAnsi="Arial" w:cs="Arial"/>
          <w:i/>
        </w:rPr>
        <w:t xml:space="preserve"> </w:t>
      </w:r>
      <w:proofErr w:type="spellStart"/>
      <w:r w:rsidRPr="00925BCD">
        <w:rPr>
          <w:rFonts w:ascii="Arial" w:hAnsi="Arial" w:cs="Arial"/>
          <w:i/>
        </w:rPr>
        <w:t>spiraeae</w:t>
      </w:r>
      <w:proofErr w:type="spellEnd"/>
      <w:r w:rsidRPr="00925BCD">
        <w:rPr>
          <w:rFonts w:ascii="Arial" w:hAnsi="Arial" w:cs="Arial"/>
        </w:rPr>
        <w:t xml:space="preserve">); </w:t>
      </w:r>
      <w:proofErr w:type="spellStart"/>
      <w:r w:rsidRPr="00925BCD">
        <w:rPr>
          <w:rFonts w:ascii="Arial" w:hAnsi="Arial" w:cs="Arial"/>
          <w:i/>
          <w:iCs/>
          <w:u w:val="single"/>
        </w:rPr>
        <w:t>Sundaville</w:t>
      </w:r>
      <w:proofErr w:type="spellEnd"/>
      <w:r w:rsidRPr="00925BCD">
        <w:rPr>
          <w:rFonts w:ascii="Arial" w:hAnsi="Arial" w:cs="Arial"/>
          <w:u w:val="single"/>
        </w:rPr>
        <w:t xml:space="preserve">, </w:t>
      </w:r>
      <w:proofErr w:type="spellStart"/>
      <w:r w:rsidRPr="00925BCD">
        <w:rPr>
          <w:rFonts w:ascii="Arial" w:hAnsi="Arial" w:cs="Arial"/>
          <w:i/>
          <w:u w:val="single"/>
        </w:rPr>
        <w:t>Dipladenia</w:t>
      </w:r>
      <w:proofErr w:type="spellEnd"/>
      <w:r w:rsidRPr="00925BCD">
        <w:rPr>
          <w:rFonts w:ascii="Arial" w:hAnsi="Arial" w:cs="Arial"/>
        </w:rPr>
        <w:t xml:space="preserve"> – MOVENTO 100 EC, MILBEKNOCK 10 EC, EMULPAR 940 EC do zwalczania przędziorka chmielowca (</w:t>
      </w:r>
      <w:proofErr w:type="spellStart"/>
      <w:r w:rsidRPr="00925BCD">
        <w:rPr>
          <w:rFonts w:ascii="Arial" w:hAnsi="Arial" w:cs="Arial"/>
          <w:i/>
        </w:rPr>
        <w:t>Tetranychus</w:t>
      </w:r>
      <w:proofErr w:type="spellEnd"/>
      <w:r w:rsidRPr="00925BCD">
        <w:rPr>
          <w:rFonts w:ascii="Arial" w:hAnsi="Arial" w:cs="Arial"/>
          <w:i/>
        </w:rPr>
        <w:t xml:space="preserve"> </w:t>
      </w:r>
      <w:proofErr w:type="spellStart"/>
      <w:r w:rsidRPr="00925BCD">
        <w:rPr>
          <w:rFonts w:ascii="Arial" w:hAnsi="Arial" w:cs="Arial"/>
          <w:i/>
        </w:rPr>
        <w:t>urticae</w:t>
      </w:r>
      <w:proofErr w:type="spellEnd"/>
      <w:r w:rsidRPr="00925BCD">
        <w:rPr>
          <w:rFonts w:ascii="Arial" w:hAnsi="Arial" w:cs="Arial"/>
        </w:rPr>
        <w:t xml:space="preserve">); </w:t>
      </w:r>
      <w:r w:rsidRPr="00925BCD">
        <w:rPr>
          <w:rFonts w:ascii="Arial" w:hAnsi="Arial" w:cs="Arial"/>
          <w:u w:val="single"/>
        </w:rPr>
        <w:t>aster jesienny</w:t>
      </w:r>
      <w:r w:rsidRPr="00925BCD">
        <w:rPr>
          <w:rFonts w:ascii="Arial" w:hAnsi="Arial" w:cs="Arial"/>
        </w:rPr>
        <w:t xml:space="preserve"> - MOVENTO 100 SC, KANEMITE 150 SC, MILBEKNOCK 10 EC, EMULPAR 940 EC – środki badane, do zwalczania roztocza </w:t>
      </w:r>
      <w:proofErr w:type="spellStart"/>
      <w:r w:rsidRPr="00925BCD">
        <w:rPr>
          <w:rFonts w:ascii="Arial" w:hAnsi="Arial" w:cs="Arial"/>
        </w:rPr>
        <w:t>astrowca</w:t>
      </w:r>
      <w:proofErr w:type="spellEnd"/>
      <w:r w:rsidRPr="00925BCD">
        <w:rPr>
          <w:rFonts w:ascii="Arial" w:hAnsi="Arial" w:cs="Arial"/>
        </w:rPr>
        <w:t xml:space="preserve"> (</w:t>
      </w:r>
      <w:proofErr w:type="spellStart"/>
      <w:r w:rsidRPr="00925BCD">
        <w:rPr>
          <w:rFonts w:ascii="Arial" w:hAnsi="Arial" w:cs="Arial"/>
          <w:i/>
        </w:rPr>
        <w:t>Phytonemus</w:t>
      </w:r>
      <w:proofErr w:type="spellEnd"/>
      <w:r w:rsidRPr="00925BCD">
        <w:rPr>
          <w:rFonts w:ascii="Arial" w:hAnsi="Arial" w:cs="Arial"/>
          <w:i/>
        </w:rPr>
        <w:t xml:space="preserve"> </w:t>
      </w:r>
      <w:proofErr w:type="spellStart"/>
      <w:r w:rsidRPr="00925BCD">
        <w:rPr>
          <w:rFonts w:ascii="Arial" w:hAnsi="Arial" w:cs="Arial"/>
          <w:i/>
        </w:rPr>
        <w:t>pallidus</w:t>
      </w:r>
      <w:proofErr w:type="spellEnd"/>
      <w:r w:rsidRPr="00925BCD">
        <w:rPr>
          <w:rFonts w:ascii="Arial" w:hAnsi="Arial" w:cs="Arial"/>
          <w:i/>
        </w:rPr>
        <w:t xml:space="preserve"> </w:t>
      </w:r>
      <w:proofErr w:type="spellStart"/>
      <w:r w:rsidRPr="00925BCD">
        <w:rPr>
          <w:rFonts w:ascii="Arial" w:hAnsi="Arial" w:cs="Arial"/>
        </w:rPr>
        <w:t>subsp</w:t>
      </w:r>
      <w:proofErr w:type="spellEnd"/>
      <w:r w:rsidRPr="00925BCD">
        <w:rPr>
          <w:rFonts w:ascii="Arial" w:hAnsi="Arial" w:cs="Arial"/>
        </w:rPr>
        <w:t>.</w:t>
      </w:r>
      <w:r w:rsidRPr="00925BCD">
        <w:rPr>
          <w:rFonts w:ascii="Arial" w:hAnsi="Arial" w:cs="Arial"/>
          <w:i/>
        </w:rPr>
        <w:t xml:space="preserve"> </w:t>
      </w:r>
      <w:proofErr w:type="spellStart"/>
      <w:r w:rsidRPr="00925BCD">
        <w:rPr>
          <w:rFonts w:ascii="Arial" w:hAnsi="Arial" w:cs="Arial"/>
          <w:i/>
        </w:rPr>
        <w:t>asteris</w:t>
      </w:r>
      <w:proofErr w:type="spellEnd"/>
      <w:r w:rsidRPr="00925BCD">
        <w:rPr>
          <w:rFonts w:ascii="Arial" w:hAnsi="Arial" w:cs="Arial"/>
        </w:rPr>
        <w:t>).</w:t>
      </w:r>
    </w:p>
    <w:p w14:paraId="2E36FB70" w14:textId="3BA8FB79" w:rsidR="00CA7701" w:rsidRPr="00925BCD" w:rsidRDefault="00CA7701" w:rsidP="00CA77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 xml:space="preserve">W Instytucie Ogrodnictwa </w:t>
      </w:r>
      <w:r w:rsidR="005045A8" w:rsidRPr="005045A8">
        <w:rPr>
          <w:rFonts w:ascii="Arial" w:hAnsi="Arial" w:cs="Arial"/>
          <w:b/>
        </w:rPr>
        <w:t xml:space="preserve">– PIB </w:t>
      </w:r>
      <w:r w:rsidRPr="00925BCD">
        <w:rPr>
          <w:rFonts w:ascii="Arial" w:hAnsi="Arial" w:cs="Arial"/>
          <w:b/>
        </w:rPr>
        <w:t>w 2019 r.</w:t>
      </w:r>
      <w:r w:rsidRPr="00925BCD">
        <w:rPr>
          <w:rFonts w:ascii="Arial" w:hAnsi="Arial" w:cs="Arial"/>
        </w:rPr>
        <w:t xml:space="preserve"> kontynuowano badania nad oceną skuteczności działania, fitotoksycznością i wpływem na faunę pożyteczną wybranych preparatów w uprawach roślin: </w:t>
      </w:r>
    </w:p>
    <w:p w14:paraId="0E58BCDA" w14:textId="77777777" w:rsidR="00CA7701" w:rsidRPr="00925BCD" w:rsidRDefault="00CA7701"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sadowniczych: </w:t>
      </w:r>
      <w:r w:rsidRPr="00925BCD">
        <w:rPr>
          <w:rFonts w:ascii="Arial" w:hAnsi="Arial" w:cs="Arial"/>
          <w:u w:val="single"/>
        </w:rPr>
        <w:t>grusza</w:t>
      </w:r>
      <w:r w:rsidRPr="00925BCD">
        <w:rPr>
          <w:rFonts w:ascii="Arial" w:hAnsi="Arial" w:cs="Arial"/>
        </w:rPr>
        <w:t xml:space="preserve"> –CLOSER, BENEVIA 100 OD, ENVIDOR 240 SC (środki badane) SIVANTO PRIME i LIMOCIDE (środki referencyjne) w zwalczaniu miodówki gruszowej plamistej; </w:t>
      </w:r>
      <w:r w:rsidRPr="00925BCD">
        <w:rPr>
          <w:rFonts w:ascii="Arial" w:hAnsi="Arial" w:cs="Arial"/>
          <w:u w:val="single"/>
        </w:rPr>
        <w:t>borówka wysoka</w:t>
      </w:r>
      <w:r w:rsidRPr="00925BCD">
        <w:rPr>
          <w:rFonts w:ascii="Arial" w:hAnsi="Arial" w:cs="Arial"/>
        </w:rPr>
        <w:t xml:space="preserve"> – BENEVIA 100 OD w zwalczaniu muszki plamoskrzydłej (</w:t>
      </w:r>
      <w:proofErr w:type="spellStart"/>
      <w:r w:rsidRPr="00925BCD">
        <w:rPr>
          <w:rFonts w:ascii="Arial" w:hAnsi="Arial" w:cs="Arial"/>
        </w:rPr>
        <w:t>Drosophila</w:t>
      </w:r>
      <w:proofErr w:type="spellEnd"/>
      <w:r w:rsidRPr="00925BCD">
        <w:rPr>
          <w:rFonts w:ascii="Arial" w:hAnsi="Arial" w:cs="Arial"/>
        </w:rPr>
        <w:t xml:space="preserve"> </w:t>
      </w:r>
      <w:proofErr w:type="spellStart"/>
      <w:r w:rsidRPr="00925BCD">
        <w:rPr>
          <w:rFonts w:ascii="Arial" w:hAnsi="Arial" w:cs="Arial"/>
        </w:rPr>
        <w:t>suzukii</w:t>
      </w:r>
      <w:proofErr w:type="spellEnd"/>
      <w:r w:rsidRPr="00925BCD">
        <w:rPr>
          <w:rFonts w:ascii="Arial" w:hAnsi="Arial" w:cs="Arial"/>
        </w:rPr>
        <w:t xml:space="preserve">); </w:t>
      </w:r>
    </w:p>
    <w:p w14:paraId="7D519D68" w14:textId="77777777" w:rsidR="00CA7701" w:rsidRPr="00925BCD" w:rsidRDefault="00CA7701"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warzywnych: </w:t>
      </w:r>
      <w:r w:rsidRPr="00925BCD">
        <w:rPr>
          <w:rFonts w:ascii="Arial" w:hAnsi="Arial" w:cs="Arial"/>
          <w:u w:val="single"/>
        </w:rPr>
        <w:t>cebula</w:t>
      </w:r>
      <w:r w:rsidRPr="00925BCD">
        <w:rPr>
          <w:rFonts w:ascii="Arial" w:hAnsi="Arial" w:cs="Arial"/>
        </w:rPr>
        <w:t xml:space="preserve"> – ocena skuteczności środków: FUNDAND 450 SC, RANMAN TOP 160 SC (środki badane), SIGNUM 33 WG, ACROBAT MZ 69 WG (środki referencyjne) w ochronie przed mączniakiem rzekomym (</w:t>
      </w:r>
      <w:proofErr w:type="spellStart"/>
      <w:r w:rsidRPr="00925BCD">
        <w:rPr>
          <w:rFonts w:ascii="Arial" w:hAnsi="Arial" w:cs="Arial"/>
        </w:rPr>
        <w:t>Peronospora</w:t>
      </w:r>
      <w:proofErr w:type="spellEnd"/>
      <w:r w:rsidRPr="00925BCD">
        <w:rPr>
          <w:rFonts w:ascii="Arial" w:hAnsi="Arial" w:cs="Arial"/>
        </w:rPr>
        <w:t xml:space="preserve"> </w:t>
      </w:r>
      <w:proofErr w:type="spellStart"/>
      <w:r w:rsidRPr="00925BCD">
        <w:rPr>
          <w:rFonts w:ascii="Arial" w:hAnsi="Arial" w:cs="Arial"/>
        </w:rPr>
        <w:t>destructor</w:t>
      </w:r>
      <w:proofErr w:type="spellEnd"/>
      <w:r w:rsidRPr="00925BCD">
        <w:rPr>
          <w:rFonts w:ascii="Arial" w:hAnsi="Arial" w:cs="Arial"/>
        </w:rPr>
        <w:t xml:space="preserve">); </w:t>
      </w:r>
      <w:r w:rsidRPr="00925BCD">
        <w:rPr>
          <w:rFonts w:ascii="Arial" w:hAnsi="Arial" w:cs="Arial"/>
          <w:u w:val="single"/>
        </w:rPr>
        <w:t>kapusta głowiasta</w:t>
      </w:r>
      <w:r w:rsidRPr="00925BCD">
        <w:rPr>
          <w:rFonts w:ascii="Arial" w:hAnsi="Arial" w:cs="Arial"/>
        </w:rPr>
        <w:t xml:space="preserve"> – ocena skuteczności środka LUMIPOSA 625 FS (</w:t>
      </w:r>
      <w:proofErr w:type="spellStart"/>
      <w:r w:rsidRPr="00925BCD">
        <w:rPr>
          <w:rFonts w:ascii="Arial" w:hAnsi="Arial" w:cs="Arial"/>
        </w:rPr>
        <w:t>cyjanotraniliprol</w:t>
      </w:r>
      <w:proofErr w:type="spellEnd"/>
      <w:r w:rsidRPr="00925BCD">
        <w:rPr>
          <w:rFonts w:ascii="Arial" w:hAnsi="Arial" w:cs="Arial"/>
        </w:rPr>
        <w:t>) – zaprawa nasienna (20 ml/500 tys. nasion i 40 ml/500 tys. nasion) (środek badany), VERIMARK 200 SC (</w:t>
      </w:r>
      <w:proofErr w:type="spellStart"/>
      <w:r w:rsidRPr="00925BCD">
        <w:rPr>
          <w:rFonts w:ascii="Arial" w:hAnsi="Arial" w:cs="Arial"/>
        </w:rPr>
        <w:t>cyjanotraniliprol</w:t>
      </w:r>
      <w:proofErr w:type="spellEnd"/>
      <w:r w:rsidRPr="00925BCD">
        <w:rPr>
          <w:rFonts w:ascii="Arial" w:hAnsi="Arial" w:cs="Arial"/>
        </w:rPr>
        <w:t xml:space="preserve">), KARATE ZEON 050 CS (środki referencyjne) w ograniczaniu liczebności szkodników wcześnie zasiedlających uprawę oraz w zwalczaniu śmietki kapuścianej (Delia </w:t>
      </w:r>
      <w:proofErr w:type="spellStart"/>
      <w:r w:rsidRPr="00925BCD">
        <w:rPr>
          <w:rFonts w:ascii="Arial" w:hAnsi="Arial" w:cs="Arial"/>
        </w:rPr>
        <w:t>radicum</w:t>
      </w:r>
      <w:proofErr w:type="spellEnd"/>
      <w:r w:rsidRPr="00925BCD">
        <w:rPr>
          <w:rFonts w:ascii="Arial" w:hAnsi="Arial" w:cs="Arial"/>
        </w:rPr>
        <w:t xml:space="preserve"> L) - w uprawie kapusty głowiastej białej odmiany ‘</w:t>
      </w:r>
      <w:proofErr w:type="spellStart"/>
      <w:r w:rsidRPr="00925BCD">
        <w:rPr>
          <w:rFonts w:ascii="Arial" w:hAnsi="Arial" w:cs="Arial"/>
        </w:rPr>
        <w:t>Ditmarska</w:t>
      </w:r>
      <w:proofErr w:type="spellEnd"/>
      <w:r w:rsidRPr="00925BCD">
        <w:rPr>
          <w:rFonts w:ascii="Arial" w:hAnsi="Arial" w:cs="Arial"/>
        </w:rPr>
        <w:t xml:space="preserve">’ (wczesnej), w uprawie </w:t>
      </w:r>
      <w:r w:rsidRPr="00925BCD">
        <w:rPr>
          <w:rFonts w:ascii="Arial" w:hAnsi="Arial" w:cs="Arial"/>
        </w:rPr>
        <w:lastRenderedPageBreak/>
        <w:t>kapusty głowiastej odmiany ‘Kamienna Głowa’ (późnej);</w:t>
      </w:r>
    </w:p>
    <w:p w14:paraId="3F10910C" w14:textId="11532921" w:rsidR="00056846" w:rsidRDefault="00CA7701"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ozdobnych: </w:t>
      </w:r>
      <w:r w:rsidRPr="00925BCD">
        <w:rPr>
          <w:rFonts w:ascii="Arial" w:hAnsi="Arial" w:cs="Arial"/>
          <w:u w:val="single"/>
        </w:rPr>
        <w:t>wierzba</w:t>
      </w:r>
      <w:r w:rsidRPr="00925BCD">
        <w:rPr>
          <w:rFonts w:ascii="Arial" w:hAnsi="Arial" w:cs="Arial"/>
        </w:rPr>
        <w:t xml:space="preserve"> - ocena skuteczności wybranych środków: DOMARK 100 EC; LUNA EXPERIENCE 400 SC; LUNA SENSATION 500 SC; SERCADIS; SIGNUM 33 WG i VIVANDO 500 SC (środki badane), DITHANE NEOTEC 75 WG (środek referencyjny) w ochronie wierzby przed rdzą (</w:t>
      </w:r>
      <w:proofErr w:type="spellStart"/>
      <w:r w:rsidRPr="00925BCD">
        <w:rPr>
          <w:rFonts w:ascii="Arial" w:hAnsi="Arial" w:cs="Arial"/>
        </w:rPr>
        <w:t>Melampsora</w:t>
      </w:r>
      <w:proofErr w:type="spellEnd"/>
      <w:r w:rsidRPr="00925BCD">
        <w:rPr>
          <w:rFonts w:ascii="Arial" w:hAnsi="Arial" w:cs="Arial"/>
        </w:rPr>
        <w:t xml:space="preserve"> </w:t>
      </w:r>
      <w:proofErr w:type="spellStart"/>
      <w:r w:rsidRPr="00925BCD">
        <w:rPr>
          <w:rFonts w:ascii="Arial" w:hAnsi="Arial" w:cs="Arial"/>
        </w:rPr>
        <w:t>epitea</w:t>
      </w:r>
      <w:proofErr w:type="spellEnd"/>
      <w:r w:rsidRPr="00925BCD">
        <w:rPr>
          <w:rFonts w:ascii="Arial" w:hAnsi="Arial" w:cs="Arial"/>
        </w:rPr>
        <w:t xml:space="preserve">); </w:t>
      </w:r>
      <w:r w:rsidRPr="00925BCD">
        <w:rPr>
          <w:rFonts w:ascii="Arial" w:hAnsi="Arial" w:cs="Arial"/>
          <w:u w:val="single"/>
        </w:rPr>
        <w:t>mieczyk</w:t>
      </w:r>
      <w:r w:rsidRPr="00925BCD">
        <w:rPr>
          <w:rFonts w:ascii="Arial" w:hAnsi="Arial" w:cs="Arial"/>
        </w:rPr>
        <w:t xml:space="preserve"> </w:t>
      </w:r>
      <w:bookmarkStart w:id="142" w:name="_Hlk97287540"/>
      <w:r w:rsidRPr="00925BCD">
        <w:rPr>
          <w:rFonts w:ascii="Arial" w:hAnsi="Arial" w:cs="Arial"/>
        </w:rPr>
        <w:t>–</w:t>
      </w:r>
      <w:bookmarkEnd w:id="142"/>
      <w:r w:rsidRPr="00925BCD">
        <w:rPr>
          <w:rFonts w:ascii="Arial" w:hAnsi="Arial" w:cs="Arial"/>
        </w:rPr>
        <w:t xml:space="preserve"> ocena skuteczności środków: CLOSER, BENEVIA 100 OD, MOVENTO 100 SC (środki badane) LIMOCIDE (środek referencyjny) w zwalczaniu wciornastka </w:t>
      </w:r>
      <w:proofErr w:type="spellStart"/>
      <w:r w:rsidRPr="00925BCD">
        <w:rPr>
          <w:rFonts w:ascii="Arial" w:hAnsi="Arial" w:cs="Arial"/>
        </w:rPr>
        <w:t>mieczykowca</w:t>
      </w:r>
      <w:proofErr w:type="spellEnd"/>
      <w:r w:rsidRPr="00925BCD">
        <w:rPr>
          <w:rFonts w:ascii="Arial" w:hAnsi="Arial" w:cs="Arial"/>
        </w:rPr>
        <w:t xml:space="preserve"> (</w:t>
      </w:r>
      <w:proofErr w:type="spellStart"/>
      <w:r w:rsidRPr="00925BCD">
        <w:rPr>
          <w:rFonts w:ascii="Arial" w:hAnsi="Arial" w:cs="Arial"/>
        </w:rPr>
        <w:t>Thrips</w:t>
      </w:r>
      <w:proofErr w:type="spellEnd"/>
      <w:r w:rsidRPr="00925BCD">
        <w:rPr>
          <w:rFonts w:ascii="Arial" w:hAnsi="Arial" w:cs="Arial"/>
        </w:rPr>
        <w:t xml:space="preserve"> </w:t>
      </w:r>
      <w:proofErr w:type="spellStart"/>
      <w:r w:rsidRPr="00925BCD">
        <w:rPr>
          <w:rFonts w:ascii="Arial" w:hAnsi="Arial" w:cs="Arial"/>
        </w:rPr>
        <w:t>simplex</w:t>
      </w:r>
      <w:proofErr w:type="spellEnd"/>
      <w:r w:rsidRPr="00925BCD">
        <w:rPr>
          <w:rFonts w:ascii="Arial" w:hAnsi="Arial" w:cs="Arial"/>
        </w:rPr>
        <w:t xml:space="preserve">); </w:t>
      </w:r>
      <w:r w:rsidRPr="00925BCD">
        <w:rPr>
          <w:rFonts w:ascii="Arial" w:hAnsi="Arial" w:cs="Arial"/>
          <w:u w:val="single"/>
        </w:rPr>
        <w:t>niecierpek nowogwinejski</w:t>
      </w:r>
      <w:r w:rsidRPr="00925BCD">
        <w:rPr>
          <w:rFonts w:ascii="Arial" w:hAnsi="Arial" w:cs="Arial"/>
        </w:rPr>
        <w:t xml:space="preserve"> – ocena skuteczności środków MOVENTO 100 SC i SANMITE 10 SC, EMULPAR 940 EC (środki badane), SILTAC (środek referencyjny) w zwalczaniu roztocza </w:t>
      </w:r>
      <w:proofErr w:type="spellStart"/>
      <w:r w:rsidRPr="00925BCD">
        <w:rPr>
          <w:rFonts w:ascii="Arial" w:hAnsi="Arial" w:cs="Arial"/>
        </w:rPr>
        <w:t>szklarniowca</w:t>
      </w:r>
      <w:proofErr w:type="spellEnd"/>
      <w:r w:rsidRPr="00925BCD">
        <w:rPr>
          <w:rFonts w:ascii="Arial" w:hAnsi="Arial" w:cs="Arial"/>
        </w:rPr>
        <w:t xml:space="preserve">. </w:t>
      </w:r>
    </w:p>
    <w:p w14:paraId="624AE903" w14:textId="71D733F0" w:rsidR="00EE214F" w:rsidRPr="009B3F86" w:rsidRDefault="00EE214F" w:rsidP="009B3F86">
      <w:pPr>
        <w:pStyle w:val="NormalnyWeb"/>
        <w:tabs>
          <w:tab w:val="left" w:pos="284"/>
        </w:tabs>
        <w:spacing w:beforeAutospacing="0" w:after="120" w:afterAutospacing="0" w:line="360" w:lineRule="auto"/>
        <w:ind w:firstLine="284"/>
        <w:jc w:val="both"/>
        <w:rPr>
          <w:rFonts w:ascii="Arial" w:hAnsi="Arial" w:cs="Arial"/>
          <w:bCs/>
        </w:rPr>
      </w:pPr>
      <w:r w:rsidRPr="009B3F86">
        <w:rPr>
          <w:rFonts w:ascii="Arial" w:hAnsi="Arial" w:cs="Arial"/>
          <w:b/>
        </w:rPr>
        <w:t xml:space="preserve">W Instytucie Ogrodnictwa </w:t>
      </w:r>
      <w:r w:rsidR="00336C50" w:rsidRPr="00336C50">
        <w:rPr>
          <w:rFonts w:ascii="Arial" w:hAnsi="Arial" w:cs="Arial"/>
          <w:b/>
          <w:bCs/>
        </w:rPr>
        <w:t>– PIB</w:t>
      </w:r>
      <w:r w:rsidR="00336C50">
        <w:rPr>
          <w:rFonts w:ascii="Arial" w:hAnsi="Arial" w:cs="Arial"/>
        </w:rPr>
        <w:t xml:space="preserve"> </w:t>
      </w:r>
      <w:r w:rsidRPr="009B3F86">
        <w:rPr>
          <w:rFonts w:ascii="Arial" w:hAnsi="Arial" w:cs="Arial"/>
          <w:b/>
        </w:rPr>
        <w:t xml:space="preserve">w 2020 r. </w:t>
      </w:r>
      <w:r w:rsidRPr="009B3F86">
        <w:rPr>
          <w:rFonts w:ascii="Arial" w:hAnsi="Arial" w:cs="Arial"/>
          <w:bCs/>
        </w:rPr>
        <w:t xml:space="preserve">kontynuowano badania nad oceną skuteczności działania, fitotoksycznością i wpływem na faunę pożyteczną wybranych preparatów w uprawach roślin: </w:t>
      </w:r>
    </w:p>
    <w:p w14:paraId="6EDA04A9" w14:textId="77777777" w:rsidR="00EE214F" w:rsidRPr="009B3F86" w:rsidRDefault="00EE214F" w:rsidP="009B3F86">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B3F86">
        <w:rPr>
          <w:rFonts w:ascii="Arial" w:hAnsi="Arial" w:cs="Arial"/>
        </w:rPr>
        <w:t>sadowniczych: grusza – porównanie skuteczności programów ochrony przed miodówką gruszową plamistą z wykorzystaniem preparatów: LIMOCIDE, CLOSER, BENEVIA 100 OD, ENVIDOR 240 SC (środki badane) SIVANTO PRIME, MOVENTO 100 SC (środki referencyjne) w zwalczaniu miodówki gruszowej plamistej; borówka wysoka – ocena skuteczności środka SIVANTO PRIME 200 SL (środek badany) w zwalczaniu mszyc; MOSPILAN 20 SP, DECIS MEGA 50 EW, SILTAC EC (środki referencyjne);</w:t>
      </w:r>
    </w:p>
    <w:p w14:paraId="3CF1A8CD" w14:textId="77777777" w:rsidR="00EE214F" w:rsidRPr="009B3F86" w:rsidRDefault="00EE214F" w:rsidP="009B3F86">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B3F86">
        <w:rPr>
          <w:rFonts w:ascii="Arial" w:hAnsi="Arial" w:cs="Arial"/>
        </w:rPr>
        <w:t xml:space="preserve">warzywnych: cukinia – ocena skuteczności środka AGIL- S 100 EC w zwalczaniu chwastów jednoliściennych; pomidor – ocena skuteczności środków: EKONOM DUO 72,5 WP, PROPLANT 722 S i CABRIO DUO 112 EC (środki badane), ACROBAT MZ 69 WG (środek referencyjny) w ochronie przed zarazą ziemniaka </w:t>
      </w:r>
      <w:proofErr w:type="spellStart"/>
      <w:r w:rsidRPr="009B3F86">
        <w:rPr>
          <w:rFonts w:ascii="Arial" w:hAnsi="Arial" w:cs="Arial"/>
        </w:rPr>
        <w:t>Phytophthora</w:t>
      </w:r>
      <w:proofErr w:type="spellEnd"/>
      <w:r w:rsidRPr="009B3F86">
        <w:rPr>
          <w:rFonts w:ascii="Arial" w:hAnsi="Arial" w:cs="Arial"/>
        </w:rPr>
        <w:t xml:space="preserve"> </w:t>
      </w:r>
      <w:proofErr w:type="spellStart"/>
      <w:r w:rsidRPr="009B3F86">
        <w:rPr>
          <w:rFonts w:ascii="Arial" w:hAnsi="Arial" w:cs="Arial"/>
        </w:rPr>
        <w:t>infestans</w:t>
      </w:r>
      <w:proofErr w:type="spellEnd"/>
      <w:r w:rsidRPr="009B3F86">
        <w:rPr>
          <w:rFonts w:ascii="Arial" w:hAnsi="Arial" w:cs="Arial"/>
        </w:rPr>
        <w:t xml:space="preserve">; por – ocena skuteczności środków: AZATIN SC, BENEVIA 100 OD i MOVENTO 100 SC (środki badane), SPIN TOR 240 (środek referencyjny) w zwalczaniu wciornastka </w:t>
      </w:r>
      <w:proofErr w:type="spellStart"/>
      <w:r w:rsidRPr="009B3F86">
        <w:rPr>
          <w:rFonts w:ascii="Arial" w:hAnsi="Arial" w:cs="Arial"/>
        </w:rPr>
        <w:t>tytoniowca</w:t>
      </w:r>
      <w:proofErr w:type="spellEnd"/>
      <w:r w:rsidRPr="009B3F86">
        <w:rPr>
          <w:rFonts w:ascii="Arial" w:hAnsi="Arial" w:cs="Arial"/>
        </w:rPr>
        <w:t xml:space="preserve"> (</w:t>
      </w:r>
      <w:proofErr w:type="spellStart"/>
      <w:r w:rsidRPr="009B3F86">
        <w:rPr>
          <w:rFonts w:ascii="Arial" w:hAnsi="Arial" w:cs="Arial"/>
        </w:rPr>
        <w:t>Thrips</w:t>
      </w:r>
      <w:proofErr w:type="spellEnd"/>
      <w:r w:rsidRPr="009B3F86">
        <w:rPr>
          <w:rFonts w:ascii="Arial" w:hAnsi="Arial" w:cs="Arial"/>
        </w:rPr>
        <w:t xml:space="preserve"> </w:t>
      </w:r>
      <w:proofErr w:type="spellStart"/>
      <w:r w:rsidRPr="009B3F86">
        <w:rPr>
          <w:rFonts w:ascii="Arial" w:hAnsi="Arial" w:cs="Arial"/>
        </w:rPr>
        <w:t>tabaci</w:t>
      </w:r>
      <w:proofErr w:type="spellEnd"/>
      <w:r w:rsidRPr="009B3F86">
        <w:rPr>
          <w:rFonts w:ascii="Arial" w:hAnsi="Arial" w:cs="Arial"/>
        </w:rPr>
        <w:t xml:space="preserve">); sałata (pod osłonami) – ocena skuteczności środków: CLOSER, SIVANTO PRIME (środki badane), MOVENTO 100 SC  i </w:t>
      </w:r>
      <w:proofErr w:type="spellStart"/>
      <w:r w:rsidRPr="009B3F86">
        <w:rPr>
          <w:rFonts w:ascii="Arial" w:hAnsi="Arial" w:cs="Arial"/>
        </w:rPr>
        <w:t>Azatin</w:t>
      </w:r>
      <w:proofErr w:type="spellEnd"/>
      <w:r w:rsidRPr="009B3F86">
        <w:rPr>
          <w:rFonts w:ascii="Arial" w:hAnsi="Arial" w:cs="Arial"/>
        </w:rPr>
        <w:t xml:space="preserve"> S C (środki referencyjne) w zwalczaniu mszyc, </w:t>
      </w:r>
    </w:p>
    <w:p w14:paraId="0A1F5CF2" w14:textId="168A1CA3" w:rsidR="00056846" w:rsidRDefault="00EE214F" w:rsidP="00D041C0">
      <w:pPr>
        <w:pStyle w:val="NormalnyWeb"/>
        <w:numPr>
          <w:ilvl w:val="0"/>
          <w:numId w:val="20"/>
        </w:numPr>
        <w:tabs>
          <w:tab w:val="left" w:pos="284"/>
        </w:tabs>
        <w:spacing w:before="280" w:beforeAutospacing="0" w:after="120" w:afterAutospacing="0" w:line="360" w:lineRule="auto"/>
        <w:ind w:left="1003" w:hanging="357"/>
        <w:jc w:val="both"/>
        <w:rPr>
          <w:rFonts w:ascii="Arial" w:hAnsi="Arial" w:cs="Arial"/>
        </w:rPr>
      </w:pPr>
      <w:r w:rsidRPr="00561BC0">
        <w:rPr>
          <w:rFonts w:ascii="Arial" w:hAnsi="Arial" w:cs="Arial"/>
        </w:rPr>
        <w:t>ozdobnych: pelargonia rabatowa – ocena skuteczności wybranych środków: AMISTAR 250 SC, LUNA EXPERIENCE 400 SC, LUNA SENSATION 500 SC, ACTIFOS, PROLECTUS 50 WG, SOLFAN PK (środki badane), BISZOP 80 WG (środek referencyjny) w ochronie przed szarą pleśnią (</w:t>
      </w:r>
      <w:proofErr w:type="spellStart"/>
      <w:r w:rsidRPr="00561BC0">
        <w:rPr>
          <w:rFonts w:ascii="Arial" w:hAnsi="Arial" w:cs="Arial"/>
        </w:rPr>
        <w:t>Botrytis</w:t>
      </w:r>
      <w:proofErr w:type="spellEnd"/>
      <w:r w:rsidRPr="00561BC0">
        <w:rPr>
          <w:rFonts w:ascii="Arial" w:hAnsi="Arial" w:cs="Arial"/>
        </w:rPr>
        <w:t xml:space="preserve"> </w:t>
      </w:r>
      <w:proofErr w:type="spellStart"/>
      <w:r w:rsidRPr="00561BC0">
        <w:rPr>
          <w:rFonts w:ascii="Arial" w:hAnsi="Arial" w:cs="Arial"/>
        </w:rPr>
        <w:t>cinerea</w:t>
      </w:r>
      <w:proofErr w:type="spellEnd"/>
      <w:r w:rsidRPr="00561BC0">
        <w:rPr>
          <w:rFonts w:ascii="Arial" w:hAnsi="Arial" w:cs="Arial"/>
        </w:rPr>
        <w:t>); róża pod osłonami - ocena skuteczności wybranych środków: LUNA EXPERIENCE 400 SC; LUNA SENSATION 500 SC; SERCADIS; VIVANDO 500 SC (środki badane), DITHANE NEOTEC 75 WG (środek referencyjny) w ochronie róży przed mączniakiem prawdziwym (</w:t>
      </w:r>
      <w:proofErr w:type="spellStart"/>
      <w:r w:rsidRPr="00561BC0">
        <w:rPr>
          <w:rFonts w:ascii="Arial" w:hAnsi="Arial" w:cs="Arial"/>
        </w:rPr>
        <w:t>Podosphaera</w:t>
      </w:r>
      <w:proofErr w:type="spellEnd"/>
      <w:r w:rsidRPr="00561BC0">
        <w:rPr>
          <w:rFonts w:ascii="Arial" w:hAnsi="Arial" w:cs="Arial"/>
        </w:rPr>
        <w:t xml:space="preserve"> </w:t>
      </w:r>
      <w:proofErr w:type="spellStart"/>
      <w:r w:rsidRPr="00561BC0">
        <w:rPr>
          <w:rFonts w:ascii="Arial" w:hAnsi="Arial" w:cs="Arial"/>
        </w:rPr>
        <w:t>pannosa</w:t>
      </w:r>
      <w:proofErr w:type="spellEnd"/>
      <w:r w:rsidRPr="00561BC0">
        <w:rPr>
          <w:rFonts w:ascii="Arial" w:hAnsi="Arial" w:cs="Arial"/>
        </w:rPr>
        <w:t xml:space="preserve">), bukszpan wiecznie zielony – ocena skuteczności środków: AFFIRM 095SG, CORAGEN 200 SC i STEWARD  30 WG (środki badane), </w:t>
      </w:r>
      <w:proofErr w:type="spellStart"/>
      <w:r w:rsidRPr="00561BC0">
        <w:rPr>
          <w:rFonts w:ascii="Arial" w:hAnsi="Arial" w:cs="Arial"/>
        </w:rPr>
        <w:t>DiPel</w:t>
      </w:r>
      <w:proofErr w:type="spellEnd"/>
      <w:r w:rsidRPr="00561BC0">
        <w:rPr>
          <w:rFonts w:ascii="Arial" w:hAnsi="Arial" w:cs="Arial"/>
        </w:rPr>
        <w:t xml:space="preserve"> DF (środek referencyjny) w zwalczaniu ćmy bukszpanowej (</w:t>
      </w:r>
      <w:proofErr w:type="spellStart"/>
      <w:r w:rsidRPr="00561BC0">
        <w:rPr>
          <w:rFonts w:ascii="Arial" w:hAnsi="Arial" w:cs="Arial"/>
        </w:rPr>
        <w:t>Cydalima</w:t>
      </w:r>
      <w:proofErr w:type="spellEnd"/>
      <w:r w:rsidRPr="00561BC0">
        <w:rPr>
          <w:rFonts w:ascii="Arial" w:hAnsi="Arial" w:cs="Arial"/>
        </w:rPr>
        <w:t xml:space="preserve"> </w:t>
      </w:r>
      <w:proofErr w:type="spellStart"/>
      <w:r w:rsidRPr="00561BC0">
        <w:rPr>
          <w:rFonts w:ascii="Arial" w:hAnsi="Arial" w:cs="Arial"/>
        </w:rPr>
        <w:t>perspectalis</w:t>
      </w:r>
      <w:proofErr w:type="spellEnd"/>
      <w:r w:rsidRPr="00561BC0">
        <w:rPr>
          <w:rFonts w:ascii="Arial" w:hAnsi="Arial" w:cs="Arial"/>
        </w:rPr>
        <w:t xml:space="preserve">); petunia </w:t>
      </w:r>
      <w:r w:rsidRPr="009B3F86">
        <w:t>– ocena skuteczności środków: MOVENTO 100 S,</w:t>
      </w:r>
      <w:r w:rsidRPr="00561BC0">
        <w:rPr>
          <w:rFonts w:ascii="Arial" w:hAnsi="Arial" w:cs="Arial"/>
        </w:rPr>
        <w:t xml:space="preserve"> SIVANTO PRIME, CLOSER </w:t>
      </w:r>
      <w:r w:rsidRPr="009B3F86">
        <w:t>(środki badane)</w:t>
      </w:r>
      <w:r w:rsidRPr="00561BC0">
        <w:rPr>
          <w:rFonts w:ascii="Arial" w:hAnsi="Arial" w:cs="Arial"/>
        </w:rPr>
        <w:t>, MOSPILAN 20 SP (środek referencyjny w zwalczaniu mączlika szklarniowego)</w:t>
      </w:r>
      <w:r w:rsidR="009B3F86" w:rsidRPr="00561BC0">
        <w:rPr>
          <w:rFonts w:ascii="Arial" w:hAnsi="Arial" w:cs="Arial"/>
        </w:rPr>
        <w:t>.</w:t>
      </w:r>
    </w:p>
    <w:p w14:paraId="789B0A74" w14:textId="0BD18CB1" w:rsidR="004908A7" w:rsidRPr="004623AD" w:rsidRDefault="004908A7" w:rsidP="004623AD">
      <w:pPr>
        <w:pStyle w:val="NormalnyWeb"/>
        <w:tabs>
          <w:tab w:val="left" w:pos="284"/>
        </w:tabs>
        <w:spacing w:beforeAutospacing="0" w:after="120" w:afterAutospacing="0" w:line="360" w:lineRule="auto"/>
        <w:ind w:firstLine="284"/>
        <w:jc w:val="both"/>
        <w:rPr>
          <w:rFonts w:ascii="Arial" w:hAnsi="Arial" w:cs="Arial"/>
          <w:bCs/>
        </w:rPr>
      </w:pPr>
      <w:r w:rsidRPr="004623AD">
        <w:rPr>
          <w:rFonts w:ascii="Arial" w:hAnsi="Arial" w:cs="Arial"/>
          <w:b/>
        </w:rPr>
        <w:lastRenderedPageBreak/>
        <w:t xml:space="preserve">W Instytucie Ogrodnictwa – PIB w 2021 r. </w:t>
      </w:r>
      <w:r w:rsidRPr="004623AD">
        <w:rPr>
          <w:rFonts w:ascii="Arial" w:hAnsi="Arial" w:cs="Arial"/>
          <w:bCs/>
        </w:rPr>
        <w:t xml:space="preserve">kontynuowano </w:t>
      </w:r>
      <w:r w:rsidR="00115B42">
        <w:rPr>
          <w:rFonts w:ascii="Arial" w:hAnsi="Arial" w:cs="Arial"/>
          <w:bCs/>
        </w:rPr>
        <w:t xml:space="preserve">również </w:t>
      </w:r>
      <w:r w:rsidRPr="004623AD">
        <w:rPr>
          <w:rFonts w:ascii="Arial" w:hAnsi="Arial" w:cs="Arial"/>
          <w:bCs/>
        </w:rPr>
        <w:t xml:space="preserve">badania nad oceną skuteczności działania, fitotoksycznością i wpływem na faunę pożyteczną wybranych preparatów w uprawach roślin: </w:t>
      </w:r>
    </w:p>
    <w:p w14:paraId="6EECF25C" w14:textId="77777777" w:rsidR="004908A7" w:rsidRPr="004E2469" w:rsidRDefault="004908A7" w:rsidP="004E2469">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4E2469">
        <w:rPr>
          <w:rFonts w:ascii="Arial" w:hAnsi="Arial" w:cs="Arial"/>
        </w:rPr>
        <w:t xml:space="preserve">sadowniczych: jabłoń – ocena skuteczności środków ochrony w zwalczaniu bawełnicy korówki,   mieszaniny badane: </w:t>
      </w:r>
      <w:proofErr w:type="spellStart"/>
      <w:r w:rsidRPr="004E2469">
        <w:rPr>
          <w:rFonts w:ascii="Arial" w:hAnsi="Arial" w:cs="Arial"/>
        </w:rPr>
        <w:t>Movento</w:t>
      </w:r>
      <w:proofErr w:type="spellEnd"/>
      <w:r w:rsidRPr="004E2469">
        <w:rPr>
          <w:rFonts w:ascii="Arial" w:hAnsi="Arial" w:cs="Arial"/>
        </w:rPr>
        <w:t xml:space="preserve"> 100 SC ( 2,25 l/ha) + </w:t>
      </w:r>
      <w:proofErr w:type="spellStart"/>
      <w:r w:rsidRPr="004E2469">
        <w:rPr>
          <w:rFonts w:ascii="Arial" w:hAnsi="Arial" w:cs="Arial"/>
        </w:rPr>
        <w:t>Emulpar</w:t>
      </w:r>
      <w:proofErr w:type="spellEnd"/>
      <w:r w:rsidRPr="004E2469">
        <w:rPr>
          <w:rFonts w:ascii="Arial" w:hAnsi="Arial" w:cs="Arial"/>
        </w:rPr>
        <w:t xml:space="preserve"> 940 EC (1%); </w:t>
      </w:r>
      <w:proofErr w:type="spellStart"/>
      <w:r w:rsidRPr="004E2469">
        <w:rPr>
          <w:rFonts w:ascii="Arial" w:hAnsi="Arial" w:cs="Arial"/>
        </w:rPr>
        <w:t>Movento</w:t>
      </w:r>
      <w:proofErr w:type="spellEnd"/>
      <w:r w:rsidRPr="004E2469">
        <w:rPr>
          <w:rFonts w:ascii="Arial" w:hAnsi="Arial" w:cs="Arial"/>
        </w:rPr>
        <w:t xml:space="preserve"> 100 SC (2,25 l/ha) + </w:t>
      </w:r>
      <w:proofErr w:type="spellStart"/>
      <w:r w:rsidRPr="004E2469">
        <w:rPr>
          <w:rFonts w:ascii="Arial" w:hAnsi="Arial" w:cs="Arial"/>
        </w:rPr>
        <w:t>Siltac</w:t>
      </w:r>
      <w:proofErr w:type="spellEnd"/>
      <w:r w:rsidRPr="004E2469">
        <w:rPr>
          <w:rFonts w:ascii="Arial" w:hAnsi="Arial" w:cs="Arial"/>
        </w:rPr>
        <w:t xml:space="preserve"> EC (0,15%); </w:t>
      </w:r>
      <w:proofErr w:type="spellStart"/>
      <w:r w:rsidRPr="004E2469">
        <w:rPr>
          <w:rFonts w:ascii="Arial" w:hAnsi="Arial" w:cs="Arial"/>
        </w:rPr>
        <w:t>Teppeki</w:t>
      </w:r>
      <w:proofErr w:type="spellEnd"/>
      <w:r w:rsidRPr="004E2469">
        <w:rPr>
          <w:rFonts w:ascii="Arial" w:hAnsi="Arial" w:cs="Arial"/>
        </w:rPr>
        <w:t xml:space="preserve"> 50 WG (0,14 kg/ha); </w:t>
      </w:r>
      <w:proofErr w:type="spellStart"/>
      <w:r w:rsidRPr="004E2469">
        <w:rPr>
          <w:rFonts w:ascii="Arial" w:hAnsi="Arial" w:cs="Arial"/>
        </w:rPr>
        <w:t>Teppeki</w:t>
      </w:r>
      <w:proofErr w:type="spellEnd"/>
      <w:r w:rsidRPr="004E2469">
        <w:rPr>
          <w:rFonts w:ascii="Arial" w:hAnsi="Arial" w:cs="Arial"/>
        </w:rPr>
        <w:t xml:space="preserve"> 50 WG (0,14 kg/ha)+ </w:t>
      </w:r>
      <w:proofErr w:type="spellStart"/>
      <w:r w:rsidRPr="004E2469">
        <w:rPr>
          <w:rFonts w:ascii="Arial" w:hAnsi="Arial" w:cs="Arial"/>
        </w:rPr>
        <w:t>Emulpar</w:t>
      </w:r>
      <w:proofErr w:type="spellEnd"/>
      <w:r w:rsidRPr="004E2469">
        <w:rPr>
          <w:rFonts w:ascii="Arial" w:hAnsi="Arial" w:cs="Arial"/>
        </w:rPr>
        <w:t xml:space="preserve"> 940 EC (1%); </w:t>
      </w:r>
      <w:proofErr w:type="spellStart"/>
      <w:r w:rsidRPr="004E2469">
        <w:rPr>
          <w:rFonts w:ascii="Arial" w:hAnsi="Arial" w:cs="Arial"/>
        </w:rPr>
        <w:t>Teppeki</w:t>
      </w:r>
      <w:proofErr w:type="spellEnd"/>
      <w:r w:rsidRPr="004E2469">
        <w:rPr>
          <w:rFonts w:ascii="Arial" w:hAnsi="Arial" w:cs="Arial"/>
        </w:rPr>
        <w:t xml:space="preserve"> 50 WG (0,14 kg/ha)+ </w:t>
      </w:r>
      <w:proofErr w:type="spellStart"/>
      <w:r w:rsidRPr="004E2469">
        <w:rPr>
          <w:rFonts w:ascii="Arial" w:hAnsi="Arial" w:cs="Arial"/>
        </w:rPr>
        <w:t>Siltac</w:t>
      </w:r>
      <w:proofErr w:type="spellEnd"/>
      <w:r w:rsidRPr="004E2469">
        <w:rPr>
          <w:rFonts w:ascii="Arial" w:hAnsi="Arial" w:cs="Arial"/>
        </w:rPr>
        <w:t xml:space="preserve"> EC (0,15%); </w:t>
      </w:r>
      <w:proofErr w:type="spellStart"/>
      <w:r w:rsidRPr="004E2469">
        <w:rPr>
          <w:rFonts w:ascii="Arial" w:hAnsi="Arial" w:cs="Arial"/>
        </w:rPr>
        <w:t>Movento</w:t>
      </w:r>
      <w:proofErr w:type="spellEnd"/>
      <w:r w:rsidRPr="004E2469">
        <w:rPr>
          <w:rFonts w:ascii="Arial" w:hAnsi="Arial" w:cs="Arial"/>
        </w:rPr>
        <w:t xml:space="preserve"> 100 SC (2,25 l/ha), </w:t>
      </w:r>
      <w:proofErr w:type="spellStart"/>
      <w:r w:rsidRPr="004E2469">
        <w:rPr>
          <w:rFonts w:ascii="Arial" w:hAnsi="Arial" w:cs="Arial"/>
        </w:rPr>
        <w:t>Siltac</w:t>
      </w:r>
      <w:proofErr w:type="spellEnd"/>
      <w:r w:rsidRPr="004E2469">
        <w:rPr>
          <w:rFonts w:ascii="Arial" w:hAnsi="Arial" w:cs="Arial"/>
        </w:rPr>
        <w:t xml:space="preserve"> EC (0,15%) i </w:t>
      </w:r>
      <w:proofErr w:type="spellStart"/>
      <w:r w:rsidRPr="004E2469">
        <w:rPr>
          <w:rFonts w:ascii="Arial" w:hAnsi="Arial" w:cs="Arial"/>
        </w:rPr>
        <w:t>Emulpar</w:t>
      </w:r>
      <w:proofErr w:type="spellEnd"/>
      <w:r w:rsidRPr="004E2469">
        <w:rPr>
          <w:rFonts w:ascii="Arial" w:hAnsi="Arial" w:cs="Arial"/>
        </w:rPr>
        <w:t xml:space="preserve"> 940 EC (1%); borówka wysoka – ocena skuteczności środków ochrony w zwalczaniu misecznika </w:t>
      </w:r>
      <w:proofErr w:type="spellStart"/>
      <w:r w:rsidRPr="004E2469">
        <w:rPr>
          <w:rFonts w:ascii="Arial" w:hAnsi="Arial" w:cs="Arial"/>
        </w:rPr>
        <w:t>śliwowca,badane</w:t>
      </w:r>
      <w:proofErr w:type="spellEnd"/>
      <w:r w:rsidRPr="004E2469">
        <w:rPr>
          <w:rFonts w:ascii="Arial" w:hAnsi="Arial" w:cs="Arial"/>
        </w:rPr>
        <w:t xml:space="preserve"> mieszaniny: </w:t>
      </w:r>
      <w:proofErr w:type="spellStart"/>
      <w:r w:rsidRPr="004E2469">
        <w:rPr>
          <w:rFonts w:ascii="Arial" w:hAnsi="Arial" w:cs="Arial"/>
        </w:rPr>
        <w:t>Movento</w:t>
      </w:r>
      <w:proofErr w:type="spellEnd"/>
      <w:r w:rsidRPr="004E2469">
        <w:rPr>
          <w:rFonts w:ascii="Arial" w:hAnsi="Arial" w:cs="Arial"/>
        </w:rPr>
        <w:t xml:space="preserve"> 100 SC (0,75 l/ha) + </w:t>
      </w:r>
      <w:proofErr w:type="spellStart"/>
      <w:r w:rsidRPr="004E2469">
        <w:rPr>
          <w:rFonts w:ascii="Arial" w:hAnsi="Arial" w:cs="Arial"/>
        </w:rPr>
        <w:t>Siltac</w:t>
      </w:r>
      <w:proofErr w:type="spellEnd"/>
      <w:r w:rsidRPr="004E2469">
        <w:rPr>
          <w:rFonts w:ascii="Arial" w:hAnsi="Arial" w:cs="Arial"/>
        </w:rPr>
        <w:t xml:space="preserve"> EC (0,15%); </w:t>
      </w:r>
      <w:proofErr w:type="spellStart"/>
      <w:r w:rsidRPr="004E2469">
        <w:rPr>
          <w:rFonts w:ascii="Arial" w:hAnsi="Arial" w:cs="Arial"/>
        </w:rPr>
        <w:t>Movento</w:t>
      </w:r>
      <w:proofErr w:type="spellEnd"/>
      <w:r w:rsidRPr="004E2469">
        <w:rPr>
          <w:rFonts w:ascii="Arial" w:hAnsi="Arial" w:cs="Arial"/>
        </w:rPr>
        <w:t xml:space="preserve"> 100 SC (0,75 l/ha) + </w:t>
      </w:r>
      <w:proofErr w:type="spellStart"/>
      <w:r w:rsidRPr="004E2469">
        <w:rPr>
          <w:rFonts w:ascii="Arial" w:hAnsi="Arial" w:cs="Arial"/>
        </w:rPr>
        <w:t>Emulpar</w:t>
      </w:r>
      <w:proofErr w:type="spellEnd"/>
      <w:r w:rsidRPr="004E2469">
        <w:rPr>
          <w:rFonts w:ascii="Arial" w:hAnsi="Arial" w:cs="Arial"/>
        </w:rPr>
        <w:t xml:space="preserve"> 940 EC (1,2%); środki referencyjne: </w:t>
      </w:r>
      <w:proofErr w:type="spellStart"/>
      <w:r w:rsidRPr="004E2469">
        <w:rPr>
          <w:rFonts w:ascii="Arial" w:hAnsi="Arial" w:cs="Arial"/>
        </w:rPr>
        <w:t>Movento</w:t>
      </w:r>
      <w:proofErr w:type="spellEnd"/>
      <w:r w:rsidRPr="004E2469">
        <w:rPr>
          <w:rFonts w:ascii="Arial" w:hAnsi="Arial" w:cs="Arial"/>
        </w:rPr>
        <w:t xml:space="preserve"> 100 SC (0,75 l/ha), </w:t>
      </w:r>
      <w:proofErr w:type="spellStart"/>
      <w:r w:rsidRPr="004E2469">
        <w:rPr>
          <w:rFonts w:ascii="Arial" w:hAnsi="Arial" w:cs="Arial"/>
        </w:rPr>
        <w:t>Siltac</w:t>
      </w:r>
      <w:proofErr w:type="spellEnd"/>
      <w:r w:rsidRPr="004E2469">
        <w:rPr>
          <w:rFonts w:ascii="Arial" w:hAnsi="Arial" w:cs="Arial"/>
        </w:rPr>
        <w:t xml:space="preserve"> EC (0,15%) i </w:t>
      </w:r>
      <w:proofErr w:type="spellStart"/>
      <w:r w:rsidRPr="004E2469">
        <w:rPr>
          <w:rFonts w:ascii="Arial" w:hAnsi="Arial" w:cs="Arial"/>
        </w:rPr>
        <w:t>Emulpar</w:t>
      </w:r>
      <w:proofErr w:type="spellEnd"/>
      <w:r w:rsidRPr="004E2469">
        <w:rPr>
          <w:rFonts w:ascii="Arial" w:hAnsi="Arial" w:cs="Arial"/>
        </w:rPr>
        <w:t xml:space="preserve"> 940 EC (1,2%);</w:t>
      </w:r>
    </w:p>
    <w:p w14:paraId="131A94C2" w14:textId="77777777" w:rsidR="004908A7" w:rsidRPr="004E2469" w:rsidRDefault="004908A7" w:rsidP="004E2469">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4E2469">
        <w:rPr>
          <w:rFonts w:ascii="Arial" w:hAnsi="Arial" w:cs="Arial"/>
        </w:rPr>
        <w:t>warzywnych: kapusta brukselska – ocena skuteczności środków w ochronie przed czernią krzyżowych (</w:t>
      </w:r>
      <w:proofErr w:type="spellStart"/>
      <w:r w:rsidRPr="004E2469">
        <w:rPr>
          <w:rFonts w:ascii="Arial" w:hAnsi="Arial" w:cs="Arial"/>
        </w:rPr>
        <w:t>Alternaria</w:t>
      </w:r>
      <w:proofErr w:type="spellEnd"/>
      <w:r w:rsidRPr="004E2469">
        <w:rPr>
          <w:rFonts w:ascii="Arial" w:hAnsi="Arial" w:cs="Arial"/>
        </w:rPr>
        <w:t xml:space="preserve"> </w:t>
      </w:r>
      <w:proofErr w:type="spellStart"/>
      <w:r w:rsidRPr="004E2469">
        <w:rPr>
          <w:rFonts w:ascii="Arial" w:hAnsi="Arial" w:cs="Arial"/>
        </w:rPr>
        <w:t>spp</w:t>
      </w:r>
      <w:proofErr w:type="spellEnd"/>
      <w:r w:rsidRPr="004E2469">
        <w:rPr>
          <w:rFonts w:ascii="Arial" w:hAnsi="Arial" w:cs="Arial"/>
        </w:rPr>
        <w:t>.) i szarą pleśnią (</w:t>
      </w:r>
      <w:proofErr w:type="spellStart"/>
      <w:r w:rsidRPr="004E2469">
        <w:rPr>
          <w:rFonts w:ascii="Arial" w:hAnsi="Arial" w:cs="Arial"/>
        </w:rPr>
        <w:t>Botrytis</w:t>
      </w:r>
      <w:proofErr w:type="spellEnd"/>
      <w:r w:rsidRPr="004E2469">
        <w:rPr>
          <w:rFonts w:ascii="Arial" w:hAnsi="Arial" w:cs="Arial"/>
        </w:rPr>
        <w:t xml:space="preserve"> </w:t>
      </w:r>
      <w:proofErr w:type="spellStart"/>
      <w:r w:rsidRPr="004E2469">
        <w:rPr>
          <w:rFonts w:ascii="Arial" w:hAnsi="Arial" w:cs="Arial"/>
        </w:rPr>
        <w:t>cinerea</w:t>
      </w:r>
      <w:proofErr w:type="spellEnd"/>
      <w:r w:rsidRPr="004E2469">
        <w:rPr>
          <w:rFonts w:ascii="Arial" w:hAnsi="Arial" w:cs="Arial"/>
        </w:rPr>
        <w:t xml:space="preserve">), badane środki: </w:t>
      </w:r>
      <w:proofErr w:type="spellStart"/>
      <w:r w:rsidRPr="004E2469">
        <w:rPr>
          <w:rFonts w:ascii="Arial" w:hAnsi="Arial" w:cs="Arial"/>
        </w:rPr>
        <w:t>Actifos</w:t>
      </w:r>
      <w:proofErr w:type="spellEnd"/>
      <w:r w:rsidRPr="004E2469">
        <w:rPr>
          <w:rFonts w:ascii="Arial" w:hAnsi="Arial" w:cs="Arial"/>
        </w:rPr>
        <w:t xml:space="preserve"> (nawóz), Agro-</w:t>
      </w:r>
      <w:proofErr w:type="spellStart"/>
      <w:r w:rsidRPr="004E2469">
        <w:rPr>
          <w:rFonts w:ascii="Arial" w:hAnsi="Arial" w:cs="Arial"/>
        </w:rPr>
        <w:t>Sorb</w:t>
      </w:r>
      <w:proofErr w:type="spellEnd"/>
      <w:r w:rsidRPr="004E2469">
        <w:rPr>
          <w:rFonts w:ascii="Arial" w:hAnsi="Arial" w:cs="Arial"/>
        </w:rPr>
        <w:t xml:space="preserve"> L-</w:t>
      </w:r>
      <w:proofErr w:type="spellStart"/>
      <w:r w:rsidRPr="004E2469">
        <w:rPr>
          <w:rFonts w:ascii="Arial" w:hAnsi="Arial" w:cs="Arial"/>
        </w:rPr>
        <w:t>Amino</w:t>
      </w:r>
      <w:proofErr w:type="spellEnd"/>
      <w:r w:rsidRPr="004E2469">
        <w:rPr>
          <w:rFonts w:ascii="Arial" w:hAnsi="Arial" w:cs="Arial"/>
        </w:rPr>
        <w:t xml:space="preserve">+ (stymulator) w programie przemiennego stosowania ze środkami: Afrodyta 250 EC i </w:t>
      </w:r>
      <w:proofErr w:type="spellStart"/>
      <w:r w:rsidRPr="004E2469">
        <w:rPr>
          <w:rFonts w:ascii="Arial" w:hAnsi="Arial" w:cs="Arial"/>
        </w:rPr>
        <w:t>Serenade</w:t>
      </w:r>
      <w:proofErr w:type="spellEnd"/>
      <w:r w:rsidRPr="004E2469">
        <w:rPr>
          <w:rFonts w:ascii="Arial" w:hAnsi="Arial" w:cs="Arial"/>
        </w:rPr>
        <w:t xml:space="preserve"> ASO; </w:t>
      </w:r>
      <w:proofErr w:type="spellStart"/>
      <w:r w:rsidRPr="004E2469">
        <w:rPr>
          <w:rFonts w:ascii="Arial" w:hAnsi="Arial" w:cs="Arial"/>
        </w:rPr>
        <w:t>Serenade</w:t>
      </w:r>
      <w:proofErr w:type="spellEnd"/>
      <w:r w:rsidRPr="004E2469">
        <w:rPr>
          <w:rFonts w:ascii="Arial" w:hAnsi="Arial" w:cs="Arial"/>
        </w:rPr>
        <w:t xml:space="preserve"> ASO (biologiczny środek referencyjny) i Afrodyta 250 EC (chemiczny środek referencyjny); sałata w uprawie pod osłonami – ocena skuteczności środków w ochronie przed szarą pleśnią (</w:t>
      </w:r>
      <w:proofErr w:type="spellStart"/>
      <w:r w:rsidRPr="004E2469">
        <w:rPr>
          <w:rFonts w:ascii="Arial" w:hAnsi="Arial" w:cs="Arial"/>
        </w:rPr>
        <w:t>Botrytis</w:t>
      </w:r>
      <w:proofErr w:type="spellEnd"/>
      <w:r w:rsidRPr="004E2469">
        <w:rPr>
          <w:rFonts w:ascii="Arial" w:hAnsi="Arial" w:cs="Arial"/>
        </w:rPr>
        <w:t xml:space="preserve"> </w:t>
      </w:r>
      <w:proofErr w:type="spellStart"/>
      <w:r w:rsidRPr="004E2469">
        <w:rPr>
          <w:rFonts w:ascii="Arial" w:hAnsi="Arial" w:cs="Arial"/>
        </w:rPr>
        <w:t>cinerea</w:t>
      </w:r>
      <w:proofErr w:type="spellEnd"/>
      <w:r w:rsidRPr="004E2469">
        <w:rPr>
          <w:rFonts w:ascii="Arial" w:hAnsi="Arial" w:cs="Arial"/>
        </w:rPr>
        <w:t xml:space="preserve">) i zgnilizną </w:t>
      </w:r>
      <w:proofErr w:type="spellStart"/>
      <w:r w:rsidRPr="004E2469">
        <w:rPr>
          <w:rFonts w:ascii="Arial" w:hAnsi="Arial" w:cs="Arial"/>
        </w:rPr>
        <w:t>twardzikową</w:t>
      </w:r>
      <w:proofErr w:type="spellEnd"/>
      <w:r w:rsidRPr="004E2469">
        <w:rPr>
          <w:rFonts w:ascii="Arial" w:hAnsi="Arial" w:cs="Arial"/>
        </w:rPr>
        <w:t xml:space="preserve"> (</w:t>
      </w:r>
      <w:proofErr w:type="spellStart"/>
      <w:r w:rsidRPr="004E2469">
        <w:rPr>
          <w:rFonts w:ascii="Arial" w:hAnsi="Arial" w:cs="Arial"/>
        </w:rPr>
        <w:t>Sclerotinia</w:t>
      </w:r>
      <w:proofErr w:type="spellEnd"/>
      <w:r w:rsidRPr="004E2469">
        <w:rPr>
          <w:rFonts w:ascii="Arial" w:hAnsi="Arial" w:cs="Arial"/>
        </w:rPr>
        <w:t xml:space="preserve"> </w:t>
      </w:r>
      <w:proofErr w:type="spellStart"/>
      <w:r w:rsidRPr="004E2469">
        <w:rPr>
          <w:rFonts w:ascii="Arial" w:hAnsi="Arial" w:cs="Arial"/>
        </w:rPr>
        <w:t>sclerotiorum</w:t>
      </w:r>
      <w:proofErr w:type="spellEnd"/>
      <w:r w:rsidRPr="004E2469">
        <w:rPr>
          <w:rFonts w:ascii="Arial" w:hAnsi="Arial" w:cs="Arial"/>
        </w:rPr>
        <w:t xml:space="preserve">), badane środki: </w:t>
      </w:r>
      <w:proofErr w:type="spellStart"/>
      <w:r w:rsidRPr="004E2469">
        <w:rPr>
          <w:rFonts w:ascii="Arial" w:hAnsi="Arial" w:cs="Arial"/>
        </w:rPr>
        <w:t>Actifos</w:t>
      </w:r>
      <w:proofErr w:type="spellEnd"/>
      <w:r w:rsidRPr="004E2469">
        <w:rPr>
          <w:rFonts w:ascii="Arial" w:hAnsi="Arial" w:cs="Arial"/>
        </w:rPr>
        <w:t xml:space="preserve"> (nawóz), Agro-</w:t>
      </w:r>
      <w:proofErr w:type="spellStart"/>
      <w:r w:rsidRPr="004E2469">
        <w:rPr>
          <w:rFonts w:ascii="Arial" w:hAnsi="Arial" w:cs="Arial"/>
        </w:rPr>
        <w:t>Sorb</w:t>
      </w:r>
      <w:proofErr w:type="spellEnd"/>
      <w:r w:rsidRPr="004E2469">
        <w:rPr>
          <w:rFonts w:ascii="Arial" w:hAnsi="Arial" w:cs="Arial"/>
        </w:rPr>
        <w:t xml:space="preserve"> L-</w:t>
      </w:r>
      <w:proofErr w:type="spellStart"/>
      <w:r w:rsidRPr="004E2469">
        <w:rPr>
          <w:rFonts w:ascii="Arial" w:hAnsi="Arial" w:cs="Arial"/>
        </w:rPr>
        <w:t>Amino</w:t>
      </w:r>
      <w:proofErr w:type="spellEnd"/>
      <w:r w:rsidRPr="004E2469">
        <w:rPr>
          <w:rFonts w:ascii="Arial" w:hAnsi="Arial" w:cs="Arial"/>
        </w:rPr>
        <w:t xml:space="preserve">+ (stymulator) stosowane w programie z przemienną aplikacją </w:t>
      </w:r>
      <w:proofErr w:type="spellStart"/>
      <w:r w:rsidRPr="004E2469">
        <w:rPr>
          <w:rFonts w:ascii="Arial" w:hAnsi="Arial" w:cs="Arial"/>
        </w:rPr>
        <w:t>Signum</w:t>
      </w:r>
      <w:proofErr w:type="spellEnd"/>
      <w:r w:rsidRPr="004E2469">
        <w:rPr>
          <w:rFonts w:ascii="Arial" w:hAnsi="Arial" w:cs="Arial"/>
        </w:rPr>
        <w:t xml:space="preserve"> 33 WG i </w:t>
      </w:r>
      <w:proofErr w:type="spellStart"/>
      <w:r w:rsidRPr="004E2469">
        <w:rPr>
          <w:rFonts w:ascii="Arial" w:hAnsi="Arial" w:cs="Arial"/>
        </w:rPr>
        <w:t>Serenade</w:t>
      </w:r>
      <w:proofErr w:type="spellEnd"/>
      <w:r w:rsidRPr="004E2469">
        <w:rPr>
          <w:rFonts w:ascii="Arial" w:hAnsi="Arial" w:cs="Arial"/>
        </w:rPr>
        <w:t xml:space="preserve"> ASO; </w:t>
      </w:r>
      <w:proofErr w:type="spellStart"/>
      <w:r w:rsidRPr="004E2469">
        <w:rPr>
          <w:rFonts w:ascii="Arial" w:hAnsi="Arial" w:cs="Arial"/>
        </w:rPr>
        <w:t>Serenade</w:t>
      </w:r>
      <w:proofErr w:type="spellEnd"/>
      <w:r w:rsidRPr="004E2469">
        <w:rPr>
          <w:rFonts w:ascii="Arial" w:hAnsi="Arial" w:cs="Arial"/>
        </w:rPr>
        <w:t xml:space="preserve"> ASO (biologiczny środek referencyjny); </w:t>
      </w:r>
      <w:proofErr w:type="spellStart"/>
      <w:r w:rsidRPr="004E2469">
        <w:rPr>
          <w:rFonts w:ascii="Arial" w:hAnsi="Arial" w:cs="Arial"/>
        </w:rPr>
        <w:t>Signum</w:t>
      </w:r>
      <w:proofErr w:type="spellEnd"/>
      <w:r w:rsidRPr="004E2469">
        <w:rPr>
          <w:rFonts w:ascii="Arial" w:hAnsi="Arial" w:cs="Arial"/>
        </w:rPr>
        <w:t xml:space="preserve"> 33 WG (chemiczny środek referencyjny); pomidor pod osłonami – ocena skuteczności środków w zwalczaniu mączlika szklarniowego, badane środki: </w:t>
      </w:r>
      <w:proofErr w:type="spellStart"/>
      <w:r w:rsidRPr="004E2469">
        <w:rPr>
          <w:rFonts w:ascii="Arial" w:hAnsi="Arial" w:cs="Arial"/>
        </w:rPr>
        <w:t>Sivanto</w:t>
      </w:r>
      <w:proofErr w:type="spellEnd"/>
      <w:r w:rsidRPr="004E2469">
        <w:rPr>
          <w:rFonts w:ascii="Arial" w:hAnsi="Arial" w:cs="Arial"/>
        </w:rPr>
        <w:t xml:space="preserve"> </w:t>
      </w:r>
      <w:proofErr w:type="spellStart"/>
      <w:r w:rsidRPr="004E2469">
        <w:rPr>
          <w:rFonts w:ascii="Arial" w:hAnsi="Arial" w:cs="Arial"/>
        </w:rPr>
        <w:t>Prime</w:t>
      </w:r>
      <w:proofErr w:type="spellEnd"/>
      <w:r w:rsidRPr="004E2469">
        <w:rPr>
          <w:rFonts w:ascii="Arial" w:hAnsi="Arial" w:cs="Arial"/>
        </w:rPr>
        <w:t xml:space="preserve"> (0,56l/ha) + </w:t>
      </w:r>
      <w:proofErr w:type="spellStart"/>
      <w:r w:rsidRPr="004E2469">
        <w:rPr>
          <w:rFonts w:ascii="Arial" w:hAnsi="Arial" w:cs="Arial"/>
        </w:rPr>
        <w:t>Siltac</w:t>
      </w:r>
      <w:proofErr w:type="spellEnd"/>
      <w:r w:rsidRPr="004E2469">
        <w:rPr>
          <w:rFonts w:ascii="Arial" w:hAnsi="Arial" w:cs="Arial"/>
        </w:rPr>
        <w:t xml:space="preserve"> (0,15%); </w:t>
      </w:r>
      <w:proofErr w:type="spellStart"/>
      <w:r w:rsidRPr="004E2469">
        <w:rPr>
          <w:rFonts w:ascii="Arial" w:hAnsi="Arial" w:cs="Arial"/>
        </w:rPr>
        <w:t>Neem</w:t>
      </w:r>
      <w:proofErr w:type="spellEnd"/>
      <w:r w:rsidRPr="004E2469">
        <w:rPr>
          <w:rFonts w:ascii="Arial" w:hAnsi="Arial" w:cs="Arial"/>
        </w:rPr>
        <w:t xml:space="preserve"> </w:t>
      </w:r>
      <w:proofErr w:type="spellStart"/>
      <w:r w:rsidRPr="004E2469">
        <w:rPr>
          <w:rFonts w:ascii="Arial" w:hAnsi="Arial" w:cs="Arial"/>
        </w:rPr>
        <w:t>Azal</w:t>
      </w:r>
      <w:proofErr w:type="spellEnd"/>
      <w:r w:rsidRPr="004E2469">
        <w:rPr>
          <w:rFonts w:ascii="Arial" w:hAnsi="Arial" w:cs="Arial"/>
        </w:rPr>
        <w:t xml:space="preserve"> T/S (3l/ha)+</w:t>
      </w:r>
      <w:proofErr w:type="spellStart"/>
      <w:r w:rsidRPr="004E2469">
        <w:rPr>
          <w:rFonts w:ascii="Arial" w:hAnsi="Arial" w:cs="Arial"/>
        </w:rPr>
        <w:t>Siltac</w:t>
      </w:r>
      <w:proofErr w:type="spellEnd"/>
      <w:r w:rsidRPr="004E2469">
        <w:rPr>
          <w:rFonts w:ascii="Arial" w:hAnsi="Arial" w:cs="Arial"/>
        </w:rPr>
        <w:t xml:space="preserve"> (0,15%) </w:t>
      </w:r>
      <w:proofErr w:type="spellStart"/>
      <w:r w:rsidRPr="004E2469">
        <w:rPr>
          <w:rFonts w:ascii="Arial" w:hAnsi="Arial" w:cs="Arial"/>
        </w:rPr>
        <w:t>Pyregard</w:t>
      </w:r>
      <w:proofErr w:type="spellEnd"/>
      <w:r w:rsidRPr="004E2469">
        <w:rPr>
          <w:rFonts w:ascii="Arial" w:hAnsi="Arial" w:cs="Arial"/>
        </w:rPr>
        <w:t xml:space="preserve"> (0,75 l/ha)+ </w:t>
      </w:r>
      <w:proofErr w:type="spellStart"/>
      <w:r w:rsidRPr="004E2469">
        <w:rPr>
          <w:rFonts w:ascii="Arial" w:hAnsi="Arial" w:cs="Arial"/>
        </w:rPr>
        <w:t>Emulpar</w:t>
      </w:r>
      <w:proofErr w:type="spellEnd"/>
      <w:r w:rsidRPr="004E2469">
        <w:rPr>
          <w:rFonts w:ascii="Arial" w:hAnsi="Arial" w:cs="Arial"/>
        </w:rPr>
        <w:t xml:space="preserve"> 940 EC (0,9%); </w:t>
      </w:r>
      <w:proofErr w:type="spellStart"/>
      <w:r w:rsidRPr="004E2469">
        <w:rPr>
          <w:rFonts w:ascii="Arial" w:hAnsi="Arial" w:cs="Arial"/>
        </w:rPr>
        <w:t>Eradicoat</w:t>
      </w:r>
      <w:proofErr w:type="spellEnd"/>
      <w:r w:rsidRPr="004E2469">
        <w:rPr>
          <w:rFonts w:ascii="Arial" w:hAnsi="Arial" w:cs="Arial"/>
        </w:rPr>
        <w:t xml:space="preserve"> Max (20ml/l); </w:t>
      </w:r>
      <w:proofErr w:type="spellStart"/>
      <w:r w:rsidRPr="004E2469">
        <w:rPr>
          <w:rFonts w:ascii="Arial" w:hAnsi="Arial" w:cs="Arial"/>
        </w:rPr>
        <w:t>Admiral</w:t>
      </w:r>
      <w:proofErr w:type="spellEnd"/>
      <w:r w:rsidRPr="004E2469">
        <w:rPr>
          <w:rFonts w:ascii="Arial" w:hAnsi="Arial" w:cs="Arial"/>
        </w:rPr>
        <w:t xml:space="preserve"> 100 EC (0,075%); </w:t>
      </w:r>
      <w:proofErr w:type="spellStart"/>
      <w:r w:rsidRPr="004E2469">
        <w:rPr>
          <w:rFonts w:ascii="Arial" w:hAnsi="Arial" w:cs="Arial"/>
        </w:rPr>
        <w:t>Pyregard</w:t>
      </w:r>
      <w:proofErr w:type="spellEnd"/>
      <w:r w:rsidRPr="004E2469">
        <w:rPr>
          <w:rFonts w:ascii="Arial" w:hAnsi="Arial" w:cs="Arial"/>
        </w:rPr>
        <w:t xml:space="preserve"> (0,075 l/ha); papryka pod osłonami – ocena skuteczności środków w zwalczaniu przędziorka chmielowca (</w:t>
      </w:r>
      <w:proofErr w:type="spellStart"/>
      <w:r w:rsidRPr="004E2469">
        <w:rPr>
          <w:rFonts w:ascii="Arial" w:hAnsi="Arial" w:cs="Arial"/>
        </w:rPr>
        <w:t>Tetranychus</w:t>
      </w:r>
      <w:proofErr w:type="spellEnd"/>
      <w:r w:rsidRPr="004E2469">
        <w:rPr>
          <w:rFonts w:ascii="Arial" w:hAnsi="Arial" w:cs="Arial"/>
        </w:rPr>
        <w:t xml:space="preserve"> </w:t>
      </w:r>
      <w:proofErr w:type="spellStart"/>
      <w:r w:rsidRPr="004E2469">
        <w:rPr>
          <w:rFonts w:ascii="Arial" w:hAnsi="Arial" w:cs="Arial"/>
        </w:rPr>
        <w:t>urticae</w:t>
      </w:r>
      <w:proofErr w:type="spellEnd"/>
      <w:r w:rsidRPr="004E2469">
        <w:rPr>
          <w:rFonts w:ascii="Arial" w:hAnsi="Arial" w:cs="Arial"/>
        </w:rPr>
        <w:t xml:space="preserve">), badane środki: </w:t>
      </w:r>
      <w:proofErr w:type="spellStart"/>
      <w:r w:rsidRPr="004E2469">
        <w:rPr>
          <w:rFonts w:ascii="Arial" w:hAnsi="Arial" w:cs="Arial"/>
        </w:rPr>
        <w:t>Vertimec</w:t>
      </w:r>
      <w:proofErr w:type="spellEnd"/>
      <w:r w:rsidRPr="004E2469">
        <w:rPr>
          <w:rFonts w:ascii="Arial" w:hAnsi="Arial" w:cs="Arial"/>
        </w:rPr>
        <w:t xml:space="preserve"> 018 EC + </w:t>
      </w:r>
      <w:proofErr w:type="spellStart"/>
      <w:r w:rsidRPr="004E2469">
        <w:rPr>
          <w:rFonts w:ascii="Arial" w:hAnsi="Arial" w:cs="Arial"/>
        </w:rPr>
        <w:t>Emulpar</w:t>
      </w:r>
      <w:proofErr w:type="spellEnd"/>
      <w:r w:rsidRPr="004E2469">
        <w:rPr>
          <w:rFonts w:ascii="Arial" w:hAnsi="Arial" w:cs="Arial"/>
        </w:rPr>
        <w:t xml:space="preserve"> 940 EC; </w:t>
      </w:r>
      <w:proofErr w:type="spellStart"/>
      <w:r w:rsidRPr="004E2469">
        <w:rPr>
          <w:rFonts w:ascii="Arial" w:hAnsi="Arial" w:cs="Arial"/>
        </w:rPr>
        <w:t>Vertimec</w:t>
      </w:r>
      <w:proofErr w:type="spellEnd"/>
      <w:r w:rsidRPr="004E2469">
        <w:rPr>
          <w:rFonts w:ascii="Arial" w:hAnsi="Arial" w:cs="Arial"/>
        </w:rPr>
        <w:t xml:space="preserve"> + </w:t>
      </w:r>
      <w:proofErr w:type="spellStart"/>
      <w:r w:rsidRPr="004E2469">
        <w:rPr>
          <w:rFonts w:ascii="Arial" w:hAnsi="Arial" w:cs="Arial"/>
        </w:rPr>
        <w:t>Siltac</w:t>
      </w:r>
      <w:proofErr w:type="spellEnd"/>
      <w:r w:rsidRPr="004E2469">
        <w:rPr>
          <w:rFonts w:ascii="Arial" w:hAnsi="Arial" w:cs="Arial"/>
        </w:rPr>
        <w:t xml:space="preserve">; Requiem </w:t>
      </w:r>
      <w:proofErr w:type="spellStart"/>
      <w:r w:rsidRPr="004E2469">
        <w:rPr>
          <w:rFonts w:ascii="Arial" w:hAnsi="Arial" w:cs="Arial"/>
        </w:rPr>
        <w:t>Prime</w:t>
      </w:r>
      <w:proofErr w:type="spellEnd"/>
      <w:r w:rsidRPr="004E2469">
        <w:rPr>
          <w:rFonts w:ascii="Arial" w:hAnsi="Arial" w:cs="Arial"/>
        </w:rPr>
        <w:t xml:space="preserve">+ </w:t>
      </w:r>
      <w:proofErr w:type="spellStart"/>
      <w:r w:rsidRPr="004E2469">
        <w:rPr>
          <w:rFonts w:ascii="Arial" w:hAnsi="Arial" w:cs="Arial"/>
        </w:rPr>
        <w:t>Siltac</w:t>
      </w:r>
      <w:proofErr w:type="spellEnd"/>
      <w:r w:rsidRPr="004E2469">
        <w:rPr>
          <w:rFonts w:ascii="Arial" w:hAnsi="Arial" w:cs="Arial"/>
        </w:rPr>
        <w:t xml:space="preserve"> Requiem </w:t>
      </w:r>
      <w:proofErr w:type="spellStart"/>
      <w:r w:rsidRPr="004E2469">
        <w:rPr>
          <w:rFonts w:ascii="Arial" w:hAnsi="Arial" w:cs="Arial"/>
        </w:rPr>
        <w:t>Prime</w:t>
      </w:r>
      <w:proofErr w:type="spellEnd"/>
      <w:r w:rsidRPr="004E2469">
        <w:rPr>
          <w:rFonts w:ascii="Arial" w:hAnsi="Arial" w:cs="Arial"/>
        </w:rPr>
        <w:t xml:space="preserve">; </w:t>
      </w:r>
      <w:proofErr w:type="spellStart"/>
      <w:r w:rsidRPr="004E2469">
        <w:rPr>
          <w:rFonts w:ascii="Arial" w:hAnsi="Arial" w:cs="Arial"/>
        </w:rPr>
        <w:t>Eradicoat</w:t>
      </w:r>
      <w:proofErr w:type="spellEnd"/>
      <w:r w:rsidRPr="004E2469">
        <w:rPr>
          <w:rFonts w:ascii="Arial" w:hAnsi="Arial" w:cs="Arial"/>
        </w:rPr>
        <w:t xml:space="preserve"> Max ; </w:t>
      </w:r>
      <w:proofErr w:type="spellStart"/>
      <w:r w:rsidRPr="004E2469">
        <w:rPr>
          <w:rFonts w:ascii="Arial" w:hAnsi="Arial" w:cs="Arial"/>
        </w:rPr>
        <w:t>Neem</w:t>
      </w:r>
      <w:proofErr w:type="spellEnd"/>
      <w:r w:rsidRPr="004E2469">
        <w:rPr>
          <w:rFonts w:ascii="Arial" w:hAnsi="Arial" w:cs="Arial"/>
        </w:rPr>
        <w:t xml:space="preserve"> </w:t>
      </w:r>
      <w:proofErr w:type="spellStart"/>
      <w:r w:rsidRPr="004E2469">
        <w:rPr>
          <w:rFonts w:ascii="Arial" w:hAnsi="Arial" w:cs="Arial"/>
        </w:rPr>
        <w:t>Azal</w:t>
      </w:r>
      <w:proofErr w:type="spellEnd"/>
      <w:r w:rsidRPr="004E2469">
        <w:rPr>
          <w:rFonts w:ascii="Arial" w:hAnsi="Arial" w:cs="Arial"/>
        </w:rPr>
        <w:t xml:space="preserve"> T/S + </w:t>
      </w:r>
      <w:proofErr w:type="spellStart"/>
      <w:r w:rsidRPr="004E2469">
        <w:rPr>
          <w:rFonts w:ascii="Arial" w:hAnsi="Arial" w:cs="Arial"/>
        </w:rPr>
        <w:t>Siltac</w:t>
      </w:r>
      <w:proofErr w:type="spellEnd"/>
      <w:r w:rsidRPr="004E2469">
        <w:rPr>
          <w:rFonts w:ascii="Arial" w:hAnsi="Arial" w:cs="Arial"/>
        </w:rPr>
        <w:t xml:space="preserve">; </w:t>
      </w:r>
      <w:proofErr w:type="spellStart"/>
      <w:r w:rsidRPr="004E2469">
        <w:rPr>
          <w:rFonts w:ascii="Arial" w:hAnsi="Arial" w:cs="Arial"/>
        </w:rPr>
        <w:t>Emulpar</w:t>
      </w:r>
      <w:proofErr w:type="spellEnd"/>
      <w:r w:rsidRPr="004E2469">
        <w:rPr>
          <w:rFonts w:ascii="Arial" w:hAnsi="Arial" w:cs="Arial"/>
        </w:rPr>
        <w:t xml:space="preserve"> 940 EC.</w:t>
      </w:r>
    </w:p>
    <w:p w14:paraId="7DC98827" w14:textId="77777777" w:rsidR="004908A7" w:rsidRPr="004E2469" w:rsidRDefault="004908A7" w:rsidP="004E2469">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4E2469">
        <w:rPr>
          <w:rFonts w:ascii="Arial" w:hAnsi="Arial" w:cs="Arial"/>
        </w:rPr>
        <w:t xml:space="preserve">ozdobnych: rojnik – ocena skuteczności środków w ochronie przed </w:t>
      </w:r>
      <w:proofErr w:type="spellStart"/>
      <w:r w:rsidRPr="004E2469">
        <w:rPr>
          <w:rFonts w:ascii="Arial" w:hAnsi="Arial" w:cs="Arial"/>
        </w:rPr>
        <w:t>fytoftorozą</w:t>
      </w:r>
      <w:proofErr w:type="spellEnd"/>
      <w:r w:rsidRPr="004E2469">
        <w:rPr>
          <w:rFonts w:ascii="Arial" w:hAnsi="Arial" w:cs="Arial"/>
        </w:rPr>
        <w:t xml:space="preserve"> (</w:t>
      </w:r>
      <w:proofErr w:type="spellStart"/>
      <w:r w:rsidRPr="004E2469">
        <w:rPr>
          <w:rFonts w:ascii="Arial" w:hAnsi="Arial" w:cs="Arial"/>
        </w:rPr>
        <w:t>Phytophthora</w:t>
      </w:r>
      <w:proofErr w:type="spellEnd"/>
      <w:r w:rsidRPr="004E2469">
        <w:rPr>
          <w:rFonts w:ascii="Arial" w:hAnsi="Arial" w:cs="Arial"/>
        </w:rPr>
        <w:t xml:space="preserve"> sp.), preparaty badane: Agro-</w:t>
      </w:r>
      <w:proofErr w:type="spellStart"/>
      <w:r w:rsidRPr="004E2469">
        <w:rPr>
          <w:rFonts w:ascii="Arial" w:hAnsi="Arial" w:cs="Arial"/>
        </w:rPr>
        <w:t>Sorb</w:t>
      </w:r>
      <w:proofErr w:type="spellEnd"/>
      <w:r w:rsidRPr="004E2469">
        <w:rPr>
          <w:rFonts w:ascii="Arial" w:hAnsi="Arial" w:cs="Arial"/>
        </w:rPr>
        <w:t xml:space="preserve"> L-</w:t>
      </w:r>
      <w:proofErr w:type="spellStart"/>
      <w:r w:rsidRPr="004E2469">
        <w:rPr>
          <w:rFonts w:ascii="Arial" w:hAnsi="Arial" w:cs="Arial"/>
        </w:rPr>
        <w:t>Amino</w:t>
      </w:r>
      <w:proofErr w:type="spellEnd"/>
      <w:r w:rsidRPr="004E2469">
        <w:rPr>
          <w:rFonts w:ascii="Arial" w:hAnsi="Arial" w:cs="Arial"/>
        </w:rPr>
        <w:t xml:space="preserve">, </w:t>
      </w:r>
      <w:proofErr w:type="spellStart"/>
      <w:r w:rsidRPr="004E2469">
        <w:rPr>
          <w:rFonts w:ascii="Arial" w:hAnsi="Arial" w:cs="Arial"/>
        </w:rPr>
        <w:t>Magnicur</w:t>
      </w:r>
      <w:proofErr w:type="spellEnd"/>
      <w:r w:rsidRPr="004E2469">
        <w:rPr>
          <w:rFonts w:ascii="Arial" w:hAnsi="Arial" w:cs="Arial"/>
        </w:rPr>
        <w:t xml:space="preserve"> Energy, </w:t>
      </w:r>
      <w:proofErr w:type="spellStart"/>
      <w:r w:rsidRPr="004E2469">
        <w:rPr>
          <w:rFonts w:ascii="Arial" w:hAnsi="Arial" w:cs="Arial"/>
        </w:rPr>
        <w:t>Ridomil</w:t>
      </w:r>
      <w:proofErr w:type="spellEnd"/>
      <w:r w:rsidRPr="004E2469">
        <w:rPr>
          <w:rFonts w:ascii="Arial" w:hAnsi="Arial" w:cs="Arial"/>
        </w:rPr>
        <w:t xml:space="preserve"> Gold MZ </w:t>
      </w:r>
      <w:proofErr w:type="spellStart"/>
      <w:r w:rsidRPr="004E2469">
        <w:rPr>
          <w:rFonts w:ascii="Arial" w:hAnsi="Arial" w:cs="Arial"/>
        </w:rPr>
        <w:t>Pepite</w:t>
      </w:r>
      <w:proofErr w:type="spellEnd"/>
      <w:r w:rsidRPr="004E2469">
        <w:rPr>
          <w:rFonts w:ascii="Arial" w:hAnsi="Arial" w:cs="Arial"/>
        </w:rPr>
        <w:t xml:space="preserve"> 67,8 WG i </w:t>
      </w:r>
      <w:proofErr w:type="spellStart"/>
      <w:r w:rsidRPr="004E2469">
        <w:rPr>
          <w:rFonts w:ascii="Arial" w:hAnsi="Arial" w:cs="Arial"/>
        </w:rPr>
        <w:t>Nordox</w:t>
      </w:r>
      <w:proofErr w:type="spellEnd"/>
      <w:r w:rsidRPr="004E2469">
        <w:rPr>
          <w:rFonts w:ascii="Arial" w:hAnsi="Arial" w:cs="Arial"/>
        </w:rPr>
        <w:t xml:space="preserve"> 75 WG. Preparat </w:t>
      </w:r>
      <w:proofErr w:type="spellStart"/>
      <w:r w:rsidRPr="004E2469">
        <w:rPr>
          <w:rFonts w:ascii="Arial" w:hAnsi="Arial" w:cs="Arial"/>
        </w:rPr>
        <w:t>Ridomil</w:t>
      </w:r>
      <w:proofErr w:type="spellEnd"/>
      <w:r w:rsidRPr="004E2469">
        <w:rPr>
          <w:rFonts w:ascii="Arial" w:hAnsi="Arial" w:cs="Arial"/>
        </w:rPr>
        <w:t xml:space="preserve"> Gold MZ </w:t>
      </w:r>
      <w:proofErr w:type="spellStart"/>
      <w:r w:rsidRPr="004E2469">
        <w:rPr>
          <w:rFonts w:ascii="Arial" w:hAnsi="Arial" w:cs="Arial"/>
        </w:rPr>
        <w:t>Pepite</w:t>
      </w:r>
      <w:proofErr w:type="spellEnd"/>
      <w:r w:rsidRPr="004E2469">
        <w:rPr>
          <w:rFonts w:ascii="Arial" w:hAnsi="Arial" w:cs="Arial"/>
        </w:rPr>
        <w:t xml:space="preserve"> 67,87 WG zastosowano przemiennie ze stymulatorem wzrostu roślin Agro-</w:t>
      </w:r>
      <w:proofErr w:type="spellStart"/>
      <w:r w:rsidRPr="004E2469">
        <w:rPr>
          <w:rFonts w:ascii="Arial" w:hAnsi="Arial" w:cs="Arial"/>
        </w:rPr>
        <w:t>Sorb</w:t>
      </w:r>
      <w:proofErr w:type="spellEnd"/>
      <w:r w:rsidRPr="004E2469">
        <w:rPr>
          <w:rFonts w:ascii="Arial" w:hAnsi="Arial" w:cs="Arial"/>
        </w:rPr>
        <w:t xml:space="preserve"> L-</w:t>
      </w:r>
      <w:proofErr w:type="spellStart"/>
      <w:r w:rsidRPr="004E2469">
        <w:rPr>
          <w:rFonts w:ascii="Arial" w:hAnsi="Arial" w:cs="Arial"/>
        </w:rPr>
        <w:t>Amino</w:t>
      </w:r>
      <w:proofErr w:type="spellEnd"/>
      <w:r w:rsidRPr="004E2469">
        <w:rPr>
          <w:rFonts w:ascii="Arial" w:hAnsi="Arial" w:cs="Arial"/>
        </w:rPr>
        <w:t xml:space="preserve">, w celu ograniczenia zabiegów chemicznych. Natomiast preparat </w:t>
      </w:r>
      <w:proofErr w:type="spellStart"/>
      <w:r w:rsidRPr="004E2469">
        <w:rPr>
          <w:rFonts w:ascii="Arial" w:hAnsi="Arial" w:cs="Arial"/>
        </w:rPr>
        <w:t>Magnicur</w:t>
      </w:r>
      <w:proofErr w:type="spellEnd"/>
      <w:r w:rsidRPr="004E2469">
        <w:rPr>
          <w:rFonts w:ascii="Arial" w:hAnsi="Arial" w:cs="Arial"/>
        </w:rPr>
        <w:t xml:space="preserve"> Energy zastosowano w niższej dawce; floks – ocena skuteczności środków w ochronie przed mączniakiem prawdziwym (</w:t>
      </w:r>
      <w:proofErr w:type="spellStart"/>
      <w:r w:rsidRPr="004E2469">
        <w:rPr>
          <w:rFonts w:ascii="Arial" w:hAnsi="Arial" w:cs="Arial"/>
        </w:rPr>
        <w:t>Erysiphe</w:t>
      </w:r>
      <w:proofErr w:type="spellEnd"/>
      <w:r w:rsidRPr="004E2469">
        <w:rPr>
          <w:rFonts w:ascii="Arial" w:hAnsi="Arial" w:cs="Arial"/>
        </w:rPr>
        <w:t xml:space="preserve"> </w:t>
      </w:r>
      <w:proofErr w:type="spellStart"/>
      <w:r w:rsidRPr="004E2469">
        <w:rPr>
          <w:rFonts w:ascii="Arial" w:hAnsi="Arial" w:cs="Arial"/>
        </w:rPr>
        <w:t>cichoracearum</w:t>
      </w:r>
      <w:proofErr w:type="spellEnd"/>
      <w:r w:rsidRPr="004E2469">
        <w:rPr>
          <w:rFonts w:ascii="Arial" w:hAnsi="Arial" w:cs="Arial"/>
        </w:rPr>
        <w:t xml:space="preserve">), preparaty badane: </w:t>
      </w:r>
      <w:proofErr w:type="spellStart"/>
      <w:r w:rsidRPr="004E2469">
        <w:rPr>
          <w:rFonts w:ascii="Arial" w:hAnsi="Arial" w:cs="Arial"/>
        </w:rPr>
        <w:t>Actifos</w:t>
      </w:r>
      <w:proofErr w:type="spellEnd"/>
      <w:r w:rsidRPr="004E2469">
        <w:rPr>
          <w:rFonts w:ascii="Arial" w:hAnsi="Arial" w:cs="Arial"/>
        </w:rPr>
        <w:t xml:space="preserve">, </w:t>
      </w:r>
      <w:proofErr w:type="spellStart"/>
      <w:r w:rsidRPr="004E2469">
        <w:rPr>
          <w:rFonts w:ascii="Arial" w:hAnsi="Arial" w:cs="Arial"/>
        </w:rPr>
        <w:t>Scorpion</w:t>
      </w:r>
      <w:proofErr w:type="spellEnd"/>
      <w:r w:rsidRPr="004E2469">
        <w:rPr>
          <w:rFonts w:ascii="Arial" w:hAnsi="Arial" w:cs="Arial"/>
        </w:rPr>
        <w:t xml:space="preserve"> 325 SC, </w:t>
      </w:r>
      <w:proofErr w:type="spellStart"/>
      <w:r w:rsidRPr="004E2469">
        <w:rPr>
          <w:rFonts w:ascii="Arial" w:hAnsi="Arial" w:cs="Arial"/>
        </w:rPr>
        <w:t>Signum</w:t>
      </w:r>
      <w:proofErr w:type="spellEnd"/>
      <w:r w:rsidRPr="004E2469">
        <w:rPr>
          <w:rFonts w:ascii="Arial" w:hAnsi="Arial" w:cs="Arial"/>
        </w:rPr>
        <w:t xml:space="preserve"> 33 WG i </w:t>
      </w:r>
      <w:proofErr w:type="spellStart"/>
      <w:r w:rsidRPr="004E2469">
        <w:rPr>
          <w:rFonts w:ascii="Arial" w:hAnsi="Arial" w:cs="Arial"/>
        </w:rPr>
        <w:t>Serenade</w:t>
      </w:r>
      <w:proofErr w:type="spellEnd"/>
      <w:r w:rsidRPr="004E2469">
        <w:rPr>
          <w:rFonts w:ascii="Arial" w:hAnsi="Arial" w:cs="Arial"/>
        </w:rPr>
        <w:t xml:space="preserve"> ASO. Preparat </w:t>
      </w:r>
      <w:proofErr w:type="spellStart"/>
      <w:r w:rsidRPr="004E2469">
        <w:rPr>
          <w:rFonts w:ascii="Arial" w:hAnsi="Arial" w:cs="Arial"/>
        </w:rPr>
        <w:t>Signum</w:t>
      </w:r>
      <w:proofErr w:type="spellEnd"/>
      <w:r w:rsidRPr="004E2469">
        <w:rPr>
          <w:rFonts w:ascii="Arial" w:hAnsi="Arial" w:cs="Arial"/>
        </w:rPr>
        <w:t xml:space="preserve"> 33 WG stosowano przemiennie z nawozem </w:t>
      </w:r>
      <w:proofErr w:type="spellStart"/>
      <w:r w:rsidRPr="004E2469">
        <w:rPr>
          <w:rFonts w:ascii="Arial" w:hAnsi="Arial" w:cs="Arial"/>
        </w:rPr>
        <w:t>Actifos</w:t>
      </w:r>
      <w:proofErr w:type="spellEnd"/>
      <w:r w:rsidRPr="004E2469">
        <w:rPr>
          <w:rFonts w:ascii="Arial" w:hAnsi="Arial" w:cs="Arial"/>
        </w:rPr>
        <w:t xml:space="preserve">, w celu ograniczenia zabiegów chemicznych. Preparat </w:t>
      </w:r>
      <w:proofErr w:type="spellStart"/>
      <w:r w:rsidRPr="004E2469">
        <w:rPr>
          <w:rFonts w:ascii="Arial" w:hAnsi="Arial" w:cs="Arial"/>
        </w:rPr>
        <w:t>Scorpion</w:t>
      </w:r>
      <w:proofErr w:type="spellEnd"/>
      <w:r w:rsidRPr="004E2469">
        <w:rPr>
          <w:rFonts w:ascii="Arial" w:hAnsi="Arial" w:cs="Arial"/>
        </w:rPr>
        <w:t xml:space="preserve"> 325 SC zastosowano w niższej dawce; modrzew – ocena skuteczności środków w zwalczaniu ochojnika świerkowo-modrzewiowego, badane mieszaniny: </w:t>
      </w:r>
      <w:proofErr w:type="spellStart"/>
      <w:r w:rsidRPr="004E2469">
        <w:rPr>
          <w:rFonts w:ascii="Arial" w:hAnsi="Arial" w:cs="Arial"/>
        </w:rPr>
        <w:t>Movento</w:t>
      </w:r>
      <w:proofErr w:type="spellEnd"/>
      <w:r w:rsidRPr="004E2469">
        <w:rPr>
          <w:rFonts w:ascii="Arial" w:hAnsi="Arial" w:cs="Arial"/>
        </w:rPr>
        <w:t xml:space="preserve"> 100 SC+ </w:t>
      </w:r>
      <w:proofErr w:type="spellStart"/>
      <w:r w:rsidRPr="004E2469">
        <w:rPr>
          <w:rFonts w:ascii="Arial" w:hAnsi="Arial" w:cs="Arial"/>
        </w:rPr>
        <w:t>Siltac</w:t>
      </w:r>
      <w:proofErr w:type="spellEnd"/>
      <w:r w:rsidRPr="004E2469">
        <w:rPr>
          <w:rFonts w:ascii="Arial" w:hAnsi="Arial" w:cs="Arial"/>
        </w:rPr>
        <w:t xml:space="preserve"> EC; </w:t>
      </w:r>
      <w:proofErr w:type="spellStart"/>
      <w:r w:rsidRPr="004E2469">
        <w:rPr>
          <w:rFonts w:ascii="Arial" w:hAnsi="Arial" w:cs="Arial"/>
        </w:rPr>
        <w:t>Movento</w:t>
      </w:r>
      <w:proofErr w:type="spellEnd"/>
      <w:r w:rsidRPr="004E2469">
        <w:rPr>
          <w:rFonts w:ascii="Arial" w:hAnsi="Arial" w:cs="Arial"/>
        </w:rPr>
        <w:t xml:space="preserve"> +</w:t>
      </w:r>
      <w:proofErr w:type="spellStart"/>
      <w:r w:rsidRPr="004E2469">
        <w:rPr>
          <w:rFonts w:ascii="Arial" w:hAnsi="Arial" w:cs="Arial"/>
        </w:rPr>
        <w:t>Emulpar</w:t>
      </w:r>
      <w:proofErr w:type="spellEnd"/>
      <w:r w:rsidRPr="004E2469">
        <w:rPr>
          <w:rFonts w:ascii="Arial" w:hAnsi="Arial" w:cs="Arial"/>
        </w:rPr>
        <w:t xml:space="preserve"> 940 </w:t>
      </w:r>
      <w:r w:rsidRPr="004E2469">
        <w:rPr>
          <w:rFonts w:ascii="Arial" w:hAnsi="Arial" w:cs="Arial"/>
        </w:rPr>
        <w:lastRenderedPageBreak/>
        <w:t xml:space="preserve">EC; </w:t>
      </w:r>
      <w:proofErr w:type="spellStart"/>
      <w:r w:rsidRPr="004E2469">
        <w:rPr>
          <w:rFonts w:ascii="Arial" w:hAnsi="Arial" w:cs="Arial"/>
        </w:rPr>
        <w:t>Spruzit</w:t>
      </w:r>
      <w:proofErr w:type="spellEnd"/>
      <w:r w:rsidRPr="004E2469">
        <w:rPr>
          <w:rFonts w:ascii="Arial" w:hAnsi="Arial" w:cs="Arial"/>
        </w:rPr>
        <w:t xml:space="preserve"> Koncentrat na szkodniki EC; </w:t>
      </w:r>
      <w:proofErr w:type="spellStart"/>
      <w:r w:rsidRPr="004E2469">
        <w:rPr>
          <w:rFonts w:ascii="Arial" w:hAnsi="Arial" w:cs="Arial"/>
        </w:rPr>
        <w:t>Mospilan</w:t>
      </w:r>
      <w:proofErr w:type="spellEnd"/>
      <w:r w:rsidRPr="004E2469">
        <w:rPr>
          <w:rFonts w:ascii="Arial" w:hAnsi="Arial" w:cs="Arial"/>
        </w:rPr>
        <w:t xml:space="preserve"> 20 SP + </w:t>
      </w:r>
      <w:proofErr w:type="spellStart"/>
      <w:r w:rsidRPr="004E2469">
        <w:rPr>
          <w:rFonts w:ascii="Arial" w:hAnsi="Arial" w:cs="Arial"/>
        </w:rPr>
        <w:t>Emulpar</w:t>
      </w:r>
      <w:proofErr w:type="spellEnd"/>
      <w:r w:rsidRPr="004E2469">
        <w:rPr>
          <w:rFonts w:ascii="Arial" w:hAnsi="Arial" w:cs="Arial"/>
        </w:rPr>
        <w:t xml:space="preserve"> 940 EC; </w:t>
      </w:r>
      <w:proofErr w:type="spellStart"/>
      <w:r w:rsidRPr="004E2469">
        <w:rPr>
          <w:rFonts w:ascii="Arial" w:hAnsi="Arial" w:cs="Arial"/>
        </w:rPr>
        <w:t>Teppeki</w:t>
      </w:r>
      <w:proofErr w:type="spellEnd"/>
      <w:r w:rsidRPr="004E2469">
        <w:rPr>
          <w:rFonts w:ascii="Arial" w:hAnsi="Arial" w:cs="Arial"/>
        </w:rPr>
        <w:t xml:space="preserve"> 50 WG + </w:t>
      </w:r>
      <w:proofErr w:type="spellStart"/>
      <w:r w:rsidRPr="004E2469">
        <w:rPr>
          <w:rFonts w:ascii="Arial" w:hAnsi="Arial" w:cs="Arial"/>
        </w:rPr>
        <w:t>Emulpar</w:t>
      </w:r>
      <w:proofErr w:type="spellEnd"/>
      <w:r w:rsidRPr="004E2469">
        <w:rPr>
          <w:rFonts w:ascii="Arial" w:hAnsi="Arial" w:cs="Arial"/>
        </w:rPr>
        <w:t xml:space="preserve"> 940 EC; </w:t>
      </w:r>
      <w:proofErr w:type="spellStart"/>
      <w:r w:rsidRPr="004E2469">
        <w:rPr>
          <w:rFonts w:ascii="Arial" w:hAnsi="Arial" w:cs="Arial"/>
        </w:rPr>
        <w:t>Mospilan</w:t>
      </w:r>
      <w:proofErr w:type="spellEnd"/>
      <w:r w:rsidRPr="004E2469">
        <w:rPr>
          <w:rFonts w:ascii="Arial" w:hAnsi="Arial" w:cs="Arial"/>
        </w:rPr>
        <w:t xml:space="preserve"> 20 SP; </w:t>
      </w:r>
      <w:proofErr w:type="spellStart"/>
      <w:r w:rsidRPr="004E2469">
        <w:rPr>
          <w:rFonts w:ascii="Arial" w:hAnsi="Arial" w:cs="Arial"/>
        </w:rPr>
        <w:t>Movento</w:t>
      </w:r>
      <w:proofErr w:type="spellEnd"/>
      <w:r w:rsidRPr="004E2469">
        <w:rPr>
          <w:rFonts w:ascii="Arial" w:hAnsi="Arial" w:cs="Arial"/>
        </w:rPr>
        <w:t xml:space="preserve"> 100 S.C.; chryzantema – ocena skuteczności środków w zwalczaniu wciornastka zachodniego, preparaty badane: </w:t>
      </w:r>
      <w:proofErr w:type="spellStart"/>
      <w:r w:rsidRPr="004E2469">
        <w:rPr>
          <w:rFonts w:ascii="Arial" w:hAnsi="Arial" w:cs="Arial"/>
        </w:rPr>
        <w:t>Vertimec</w:t>
      </w:r>
      <w:proofErr w:type="spellEnd"/>
      <w:r w:rsidRPr="004E2469">
        <w:rPr>
          <w:rFonts w:ascii="Arial" w:hAnsi="Arial" w:cs="Arial"/>
        </w:rPr>
        <w:t xml:space="preserve"> 018 EC+ </w:t>
      </w:r>
      <w:proofErr w:type="spellStart"/>
      <w:r w:rsidRPr="004E2469">
        <w:rPr>
          <w:rFonts w:ascii="Arial" w:hAnsi="Arial" w:cs="Arial"/>
        </w:rPr>
        <w:t>Siltac</w:t>
      </w:r>
      <w:proofErr w:type="spellEnd"/>
      <w:r w:rsidRPr="004E2469">
        <w:rPr>
          <w:rFonts w:ascii="Arial" w:hAnsi="Arial" w:cs="Arial"/>
        </w:rPr>
        <w:t xml:space="preserve"> EC + cukier; </w:t>
      </w:r>
      <w:proofErr w:type="spellStart"/>
      <w:r w:rsidRPr="004E2469">
        <w:rPr>
          <w:rFonts w:ascii="Arial" w:hAnsi="Arial" w:cs="Arial"/>
        </w:rPr>
        <w:t>NeemaAzal</w:t>
      </w:r>
      <w:proofErr w:type="spellEnd"/>
      <w:r w:rsidRPr="004E2469">
        <w:rPr>
          <w:rFonts w:ascii="Arial" w:hAnsi="Arial" w:cs="Arial"/>
        </w:rPr>
        <w:t xml:space="preserve"> –TS +</w:t>
      </w:r>
      <w:proofErr w:type="spellStart"/>
      <w:r w:rsidRPr="004E2469">
        <w:rPr>
          <w:rFonts w:ascii="Arial" w:hAnsi="Arial" w:cs="Arial"/>
        </w:rPr>
        <w:t>Siltac</w:t>
      </w:r>
      <w:proofErr w:type="spellEnd"/>
      <w:r w:rsidRPr="004E2469">
        <w:rPr>
          <w:rFonts w:ascii="Arial" w:hAnsi="Arial" w:cs="Arial"/>
        </w:rPr>
        <w:t xml:space="preserve"> +cukier; Requiem </w:t>
      </w:r>
      <w:proofErr w:type="spellStart"/>
      <w:r w:rsidRPr="004E2469">
        <w:rPr>
          <w:rFonts w:ascii="Arial" w:hAnsi="Arial" w:cs="Arial"/>
        </w:rPr>
        <w:t>Prime</w:t>
      </w:r>
      <w:proofErr w:type="spellEnd"/>
      <w:r w:rsidRPr="004E2469">
        <w:rPr>
          <w:rFonts w:ascii="Arial" w:hAnsi="Arial" w:cs="Arial"/>
        </w:rPr>
        <w:t xml:space="preserve"> + </w:t>
      </w:r>
      <w:proofErr w:type="spellStart"/>
      <w:r w:rsidRPr="004E2469">
        <w:rPr>
          <w:rFonts w:ascii="Arial" w:hAnsi="Arial" w:cs="Arial"/>
        </w:rPr>
        <w:t>Emulpar</w:t>
      </w:r>
      <w:proofErr w:type="spellEnd"/>
      <w:r w:rsidRPr="004E2469">
        <w:rPr>
          <w:rFonts w:ascii="Arial" w:hAnsi="Arial" w:cs="Arial"/>
        </w:rPr>
        <w:t xml:space="preserve"> 940+cukier; </w:t>
      </w:r>
      <w:proofErr w:type="spellStart"/>
      <w:r w:rsidRPr="004E2469">
        <w:rPr>
          <w:rFonts w:ascii="Arial" w:hAnsi="Arial" w:cs="Arial"/>
        </w:rPr>
        <w:t>Dicarzol</w:t>
      </w:r>
      <w:proofErr w:type="spellEnd"/>
      <w:r w:rsidRPr="004E2469">
        <w:rPr>
          <w:rFonts w:ascii="Arial" w:hAnsi="Arial" w:cs="Arial"/>
        </w:rPr>
        <w:t xml:space="preserve"> 50 SP + </w:t>
      </w:r>
      <w:proofErr w:type="spellStart"/>
      <w:r w:rsidRPr="004E2469">
        <w:rPr>
          <w:rFonts w:ascii="Arial" w:hAnsi="Arial" w:cs="Arial"/>
        </w:rPr>
        <w:t>Siltac</w:t>
      </w:r>
      <w:proofErr w:type="spellEnd"/>
      <w:r w:rsidRPr="004E2469">
        <w:rPr>
          <w:rFonts w:ascii="Arial" w:hAnsi="Arial" w:cs="Arial"/>
        </w:rPr>
        <w:t xml:space="preserve"> EC+ cukier; </w:t>
      </w:r>
      <w:proofErr w:type="spellStart"/>
      <w:r w:rsidRPr="004E2469">
        <w:rPr>
          <w:rFonts w:ascii="Arial" w:hAnsi="Arial" w:cs="Arial"/>
        </w:rPr>
        <w:t>NeemAzal</w:t>
      </w:r>
      <w:proofErr w:type="spellEnd"/>
      <w:r w:rsidRPr="004E2469">
        <w:rPr>
          <w:rFonts w:ascii="Arial" w:hAnsi="Arial" w:cs="Arial"/>
        </w:rPr>
        <w:t xml:space="preserve"> –TS; Requiem </w:t>
      </w:r>
      <w:proofErr w:type="spellStart"/>
      <w:r w:rsidRPr="004E2469">
        <w:rPr>
          <w:rFonts w:ascii="Arial" w:hAnsi="Arial" w:cs="Arial"/>
        </w:rPr>
        <w:t>Prime</w:t>
      </w:r>
      <w:proofErr w:type="spellEnd"/>
      <w:r w:rsidRPr="004E2469">
        <w:rPr>
          <w:rFonts w:ascii="Arial" w:hAnsi="Arial" w:cs="Arial"/>
        </w:rPr>
        <w:t xml:space="preserve">. </w:t>
      </w:r>
    </w:p>
    <w:p w14:paraId="113F8AD4" w14:textId="77777777" w:rsidR="004908A7" w:rsidRPr="00561BC0" w:rsidRDefault="004908A7" w:rsidP="004908A7">
      <w:pPr>
        <w:pStyle w:val="NormalnyWeb"/>
        <w:tabs>
          <w:tab w:val="left" w:pos="284"/>
        </w:tabs>
        <w:spacing w:before="280" w:beforeAutospacing="0" w:after="120" w:afterAutospacing="0" w:line="360" w:lineRule="auto"/>
        <w:jc w:val="both"/>
        <w:rPr>
          <w:rFonts w:ascii="Arial" w:hAnsi="Arial" w:cs="Arial"/>
        </w:rPr>
      </w:pPr>
    </w:p>
    <w:sectPr w:rsidR="004908A7" w:rsidRPr="00561BC0">
      <w:footerReference w:type="default" r:id="rId47"/>
      <w:pgSz w:w="11906" w:h="16838"/>
      <w:pgMar w:top="1417" w:right="1417" w:bottom="1417" w:left="1417"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3AAAA" w14:textId="77777777" w:rsidR="009B42AB" w:rsidRDefault="009B42AB">
      <w:r>
        <w:separator/>
      </w:r>
    </w:p>
  </w:endnote>
  <w:endnote w:type="continuationSeparator" w:id="0">
    <w:p w14:paraId="45086A8B" w14:textId="77777777" w:rsidR="009B42AB" w:rsidRDefault="009B4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w:panose1 w:val="020B0602040502020204"/>
    <w:charset w:val="EE"/>
    <w:family w:val="swiss"/>
    <w:pitch w:val="variable"/>
    <w:sig w:usb0="8100AAF7" w:usb1="0000807B" w:usb2="00000008" w:usb3="00000000" w:csb0="000100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
    <w:altName w:val="Calibri"/>
    <w:charset w:val="00"/>
    <w:family w:val="auto"/>
    <w:pitch w:val="variable"/>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50A5" w14:textId="77777777" w:rsidR="006763DD" w:rsidRDefault="006763DD" w:rsidP="00901482">
    <w:pPr>
      <w:pStyle w:val="Stopka"/>
      <w:rPr>
        <w:rFonts w:ascii="Arial" w:hAnsi="Arial" w:cs="Arial"/>
        <w:sz w:val="22"/>
      </w:rPr>
    </w:pPr>
    <w:r>
      <w:rPr>
        <w:rFonts w:ascii="Arial" w:hAnsi="Arial" w:cs="Arial"/>
        <w:noProof/>
        <w:sz w:val="22"/>
      </w:rPr>
      <mc:AlternateContent>
        <mc:Choice Requires="wps">
          <w:drawing>
            <wp:anchor distT="0" distB="0" distL="0" distR="0" simplePos="0" relativeHeight="96" behindDoc="1" locked="0" layoutInCell="1" allowOverlap="1" wp14:anchorId="65055AD1" wp14:editId="74A9BB4A">
              <wp:simplePos x="0" y="0"/>
              <wp:positionH relativeFrom="margin">
                <wp:posOffset>2291080</wp:posOffset>
              </wp:positionH>
              <wp:positionV relativeFrom="paragraph">
                <wp:posOffset>5080</wp:posOffset>
              </wp:positionV>
              <wp:extent cx="1143000" cy="238125"/>
              <wp:effectExtent l="0" t="0" r="0" b="9525"/>
              <wp:wrapSquare wrapText="largest"/>
              <wp:docPr id="15" name="Ramka1"/>
              <wp:cNvGraphicFramePr/>
              <a:graphic xmlns:a="http://schemas.openxmlformats.org/drawingml/2006/main">
                <a:graphicData uri="http://schemas.microsoft.com/office/word/2010/wordprocessingShape">
                  <wps:wsp>
                    <wps:cNvSpPr/>
                    <wps:spPr>
                      <a:xfrm>
                        <a:off x="0" y="0"/>
                        <a:ext cx="1143000" cy="238125"/>
                      </a:xfrm>
                      <a:prstGeom prst="rect">
                        <a:avLst/>
                      </a:prstGeom>
                      <a:noFill/>
                      <a:ln>
                        <a:noFill/>
                      </a:ln>
                    </wps:spPr>
                    <wps:style>
                      <a:lnRef idx="0">
                        <a:scrgbClr r="0" g="0" b="0"/>
                      </a:lnRef>
                      <a:fillRef idx="0">
                        <a:scrgbClr r="0" g="0" b="0"/>
                      </a:fillRef>
                      <a:effectRef idx="0">
                        <a:scrgbClr r="0" g="0" b="0"/>
                      </a:effectRef>
                      <a:fontRef idx="minor"/>
                    </wps:style>
                    <wps:txbx>
                      <w:txbxContent>
                        <w:p w14:paraId="77176D83" w14:textId="2B0D3DEC" w:rsidR="006763DD" w:rsidRDefault="006763DD" w:rsidP="00901482">
                          <w:pPr>
                            <w:pStyle w:val="Stopka"/>
                            <w:jc w:val="center"/>
                            <w:rPr>
                              <w:rFonts w:ascii="Arial" w:hAnsi="Arial" w:cs="Arial"/>
                              <w:sz w:val="22"/>
                            </w:rPr>
                          </w:pPr>
                          <w:r>
                            <w:rPr>
                              <w:rStyle w:val="Numerstrony"/>
                              <w:rFonts w:ascii="Arial" w:hAnsi="Arial" w:cs="Arial"/>
                              <w:color w:val="000000"/>
                              <w:sz w:val="22"/>
                            </w:rPr>
                            <w:fldChar w:fldCharType="begin"/>
                          </w:r>
                          <w:r>
                            <w:rPr>
                              <w:rStyle w:val="Numerstrony"/>
                              <w:rFonts w:ascii="Arial" w:hAnsi="Arial" w:cs="Arial"/>
                              <w:sz w:val="22"/>
                            </w:rPr>
                            <w:instrText>PAGE</w:instrText>
                          </w:r>
                          <w:r>
                            <w:rPr>
                              <w:rStyle w:val="Numerstrony"/>
                              <w:rFonts w:ascii="Arial" w:hAnsi="Arial" w:cs="Arial"/>
                              <w:sz w:val="22"/>
                            </w:rPr>
                            <w:fldChar w:fldCharType="separate"/>
                          </w:r>
                          <w:r w:rsidR="00026868">
                            <w:rPr>
                              <w:rStyle w:val="Numerstrony"/>
                              <w:rFonts w:ascii="Arial" w:hAnsi="Arial" w:cs="Arial"/>
                              <w:noProof/>
                              <w:sz w:val="22"/>
                            </w:rPr>
                            <w:t>2</w:t>
                          </w:r>
                          <w:r>
                            <w:rPr>
                              <w:rStyle w:val="Numerstrony"/>
                              <w:rFonts w:ascii="Arial" w:hAnsi="Arial" w:cs="Arial"/>
                              <w:sz w:val="22"/>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65055AD1" id="Ramka1" o:spid="_x0000_s1026" style="position:absolute;margin-left:180.4pt;margin-top:.4pt;width:90pt;height:18.75pt;z-index:-5033163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" filled="f" stroked="f">
              <v:textbox inset="0,0,0,0">
                <w:txbxContent>
                  <w:p w14:paraId="77176D83" w14:textId="2B0D3DEC" w:rsidR="006763DD" w:rsidRDefault="006763DD" w:rsidP="00901482">
                    <w:pPr>
                      <w:pStyle w:val="Stopka"/>
                      <w:jc w:val="center"/>
                      <w:rPr>
                        <w:rFonts w:ascii="Arial" w:hAnsi="Arial" w:cs="Arial"/>
                        <w:sz w:val="22"/>
                      </w:rPr>
                    </w:pPr>
                    <w:r>
                      <w:rPr>
                        <w:rStyle w:val="Numerstrony"/>
                        <w:rFonts w:ascii="Arial" w:hAnsi="Arial" w:cs="Arial"/>
                        <w:color w:val="000000"/>
                        <w:sz w:val="22"/>
                      </w:rPr>
                      <w:fldChar w:fldCharType="begin"/>
                    </w:r>
                    <w:r>
                      <w:rPr>
                        <w:rStyle w:val="Numerstrony"/>
                        <w:rFonts w:ascii="Arial" w:hAnsi="Arial" w:cs="Arial"/>
                        <w:sz w:val="22"/>
                      </w:rPr>
                      <w:instrText>PAGE</w:instrText>
                    </w:r>
                    <w:r>
                      <w:rPr>
                        <w:rStyle w:val="Numerstrony"/>
                        <w:rFonts w:ascii="Arial" w:hAnsi="Arial" w:cs="Arial"/>
                        <w:sz w:val="22"/>
                      </w:rPr>
                      <w:fldChar w:fldCharType="separate"/>
                    </w:r>
                    <w:r w:rsidR="00026868">
                      <w:rPr>
                        <w:rStyle w:val="Numerstrony"/>
                        <w:rFonts w:ascii="Arial" w:hAnsi="Arial" w:cs="Arial"/>
                        <w:noProof/>
                        <w:sz w:val="22"/>
                      </w:rPr>
                      <w:t>2</w:t>
                    </w:r>
                    <w:r>
                      <w:rPr>
                        <w:rStyle w:val="Numerstrony"/>
                        <w:rFonts w:ascii="Arial" w:hAnsi="Arial" w:cs="Arial"/>
                        <w:sz w:val="22"/>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52769" w14:textId="77777777" w:rsidR="009B42AB" w:rsidRDefault="009B42AB">
      <w:r>
        <w:separator/>
      </w:r>
    </w:p>
  </w:footnote>
  <w:footnote w:type="continuationSeparator" w:id="0">
    <w:p w14:paraId="76225019" w14:textId="77777777" w:rsidR="009B42AB" w:rsidRDefault="009B42AB">
      <w:r>
        <w:continuationSeparator/>
      </w:r>
    </w:p>
  </w:footnote>
  <w:footnote w:id="1">
    <w:p w14:paraId="4BD8F8D6" w14:textId="6CA89560" w:rsidR="006763DD" w:rsidRDefault="006763DD">
      <w:pPr>
        <w:pStyle w:val="Tekstprzypisudolnego"/>
      </w:pPr>
      <w:r>
        <w:rPr>
          <w:rStyle w:val="Odwoanieprzypisudolnego"/>
        </w:rPr>
        <w:footnoteRef/>
      </w:r>
      <w:r>
        <w:t xml:space="preserve"> </w:t>
      </w:r>
      <w:r w:rsidRPr="006763DD">
        <w:rPr>
          <w:rFonts w:ascii="Arial" w:eastAsia="Times New Roman" w:hAnsi="Arial" w:cs="Arial"/>
        </w:rPr>
        <w:t xml:space="preserve">DEET jest popularnym repelentem stosowanym </w:t>
      </w:r>
      <w:r>
        <w:rPr>
          <w:rFonts w:ascii="Arial" w:eastAsia="Times New Roman" w:hAnsi="Arial" w:cs="Arial"/>
        </w:rPr>
        <w:t xml:space="preserve">w ochronie </w:t>
      </w:r>
      <w:r w:rsidRPr="006763DD">
        <w:rPr>
          <w:rFonts w:ascii="Arial" w:eastAsia="Times New Roman" w:hAnsi="Arial" w:cs="Arial"/>
        </w:rPr>
        <w:t xml:space="preserve">przeciwko </w:t>
      </w:r>
      <w:r>
        <w:rPr>
          <w:rFonts w:ascii="Arial" w:eastAsia="Times New Roman" w:hAnsi="Arial" w:cs="Arial"/>
        </w:rPr>
        <w:t xml:space="preserve">komarom i kleszczom, nie jest stosowany w środkach ochrony roślin.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5C87"/>
    <w:multiLevelType w:val="multilevel"/>
    <w:tmpl w:val="EC38E28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 w15:restartNumberingAfterBreak="0">
    <w:nsid w:val="02750417"/>
    <w:multiLevelType w:val="multilevel"/>
    <w:tmpl w:val="3BACAFD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 w15:restartNumberingAfterBreak="0">
    <w:nsid w:val="04320FB8"/>
    <w:multiLevelType w:val="hybridMultilevel"/>
    <w:tmpl w:val="7E086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F00950"/>
    <w:multiLevelType w:val="hybridMultilevel"/>
    <w:tmpl w:val="E7F418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D9A06E6"/>
    <w:multiLevelType w:val="multilevel"/>
    <w:tmpl w:val="97AAF50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 w15:restartNumberingAfterBreak="0">
    <w:nsid w:val="0EB560A6"/>
    <w:multiLevelType w:val="multilevel"/>
    <w:tmpl w:val="35A67D6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 w15:restartNumberingAfterBreak="0">
    <w:nsid w:val="10AB2005"/>
    <w:multiLevelType w:val="hybridMultilevel"/>
    <w:tmpl w:val="0B9E0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D22ACC"/>
    <w:multiLevelType w:val="hybridMultilevel"/>
    <w:tmpl w:val="0378802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51A3472"/>
    <w:multiLevelType w:val="hybridMultilevel"/>
    <w:tmpl w:val="4D9A9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296A9F"/>
    <w:multiLevelType w:val="hybridMultilevel"/>
    <w:tmpl w:val="6A9EA49C"/>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6876B94"/>
    <w:multiLevelType w:val="hybridMultilevel"/>
    <w:tmpl w:val="F9E21BDA"/>
    <w:lvl w:ilvl="0" w:tplc="62A26A6A">
      <w:numFmt w:val="bullet"/>
      <w:lvlText w:val="•"/>
      <w:lvlJc w:val="left"/>
      <w:pPr>
        <w:ind w:left="674" w:hanging="390"/>
      </w:pPr>
      <w:rPr>
        <w:rFonts w:ascii="Arial" w:eastAsia="Times New Roman" w:hAnsi="Arial" w:cs="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19383660"/>
    <w:multiLevelType w:val="hybridMultilevel"/>
    <w:tmpl w:val="886C36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CBF0CDC"/>
    <w:multiLevelType w:val="multilevel"/>
    <w:tmpl w:val="2BDCF116"/>
    <w:lvl w:ilvl="0">
      <w:start w:val="1"/>
      <w:numFmt w:val="decimal"/>
      <w:lvlText w:val="%1)"/>
      <w:lvlJc w:val="left"/>
      <w:pPr>
        <w:tabs>
          <w:tab w:val="num" w:pos="1077"/>
        </w:tabs>
        <w:ind w:left="1077" w:hanging="360"/>
      </w:p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cs="Wingdings"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13" w15:restartNumberingAfterBreak="0">
    <w:nsid w:val="2048204F"/>
    <w:multiLevelType w:val="multilevel"/>
    <w:tmpl w:val="5226E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6A1507"/>
    <w:multiLevelType w:val="multilevel"/>
    <w:tmpl w:val="CF6ABD9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E34663"/>
    <w:multiLevelType w:val="multilevel"/>
    <w:tmpl w:val="ECAE5B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C04495F"/>
    <w:multiLevelType w:val="multilevel"/>
    <w:tmpl w:val="28DA9762"/>
    <w:lvl w:ilvl="0">
      <w:start w:val="1"/>
      <w:numFmt w:val="bullet"/>
      <w:lvlText w:val=""/>
      <w:lvlJc w:val="left"/>
      <w:pPr>
        <w:ind w:left="1996" w:hanging="360"/>
      </w:pPr>
      <w:rPr>
        <w:rFonts w:ascii="Wingdings" w:hAnsi="Wingdings" w:cs="Wingdings"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cs="Wingdings" w:hint="default"/>
      </w:rPr>
    </w:lvl>
    <w:lvl w:ilvl="3">
      <w:start w:val="1"/>
      <w:numFmt w:val="bullet"/>
      <w:lvlText w:val=""/>
      <w:lvlJc w:val="left"/>
      <w:pPr>
        <w:ind w:left="4156" w:hanging="360"/>
      </w:pPr>
      <w:rPr>
        <w:rFonts w:ascii="Symbol" w:hAnsi="Symbol" w:cs="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cs="Wingdings" w:hint="default"/>
      </w:rPr>
    </w:lvl>
    <w:lvl w:ilvl="6">
      <w:start w:val="1"/>
      <w:numFmt w:val="bullet"/>
      <w:lvlText w:val=""/>
      <w:lvlJc w:val="left"/>
      <w:pPr>
        <w:ind w:left="6316" w:hanging="360"/>
      </w:pPr>
      <w:rPr>
        <w:rFonts w:ascii="Symbol" w:hAnsi="Symbol" w:cs="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cs="Wingdings" w:hint="default"/>
      </w:rPr>
    </w:lvl>
  </w:abstractNum>
  <w:abstractNum w:abstractNumId="17" w15:restartNumberingAfterBreak="0">
    <w:nsid w:val="2D607A90"/>
    <w:multiLevelType w:val="hybridMultilevel"/>
    <w:tmpl w:val="9788DCC2"/>
    <w:lvl w:ilvl="0" w:tplc="FECEC7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D1117F"/>
    <w:multiLevelType w:val="hybridMultilevel"/>
    <w:tmpl w:val="DEBA0782"/>
    <w:lvl w:ilvl="0" w:tplc="1A06CB04">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3AD36D14"/>
    <w:multiLevelType w:val="multilevel"/>
    <w:tmpl w:val="B11E77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B200749"/>
    <w:multiLevelType w:val="multilevel"/>
    <w:tmpl w:val="5226E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AB12CF"/>
    <w:multiLevelType w:val="multilevel"/>
    <w:tmpl w:val="73702FF2"/>
    <w:lvl w:ilvl="0">
      <w:start w:val="1"/>
      <w:numFmt w:val="bullet"/>
      <w:lvlText w:val=""/>
      <w:lvlJc w:val="left"/>
      <w:pPr>
        <w:ind w:left="1065" w:hanging="360"/>
      </w:pPr>
      <w:rPr>
        <w:rFonts w:ascii="Symbol" w:hAnsi="Symbol" w:cs="Symbol" w:hint="default"/>
      </w:rPr>
    </w:lvl>
    <w:lvl w:ilvl="1">
      <w:start w:val="1"/>
      <w:numFmt w:val="bullet"/>
      <w:lvlText w:val="o"/>
      <w:lvlJc w:val="left"/>
      <w:pPr>
        <w:ind w:left="1785" w:hanging="360"/>
      </w:pPr>
      <w:rPr>
        <w:rFonts w:ascii="Courier New" w:hAnsi="Courier New" w:cs="Courier New" w:hint="default"/>
      </w:rPr>
    </w:lvl>
    <w:lvl w:ilvl="2">
      <w:start w:val="1"/>
      <w:numFmt w:val="bullet"/>
      <w:lvlText w:val=""/>
      <w:lvlJc w:val="left"/>
      <w:pPr>
        <w:ind w:left="2505" w:hanging="360"/>
      </w:pPr>
      <w:rPr>
        <w:rFonts w:ascii="Wingdings" w:hAnsi="Wingdings" w:cs="Wingdings" w:hint="default"/>
      </w:rPr>
    </w:lvl>
    <w:lvl w:ilvl="3">
      <w:start w:val="1"/>
      <w:numFmt w:val="bullet"/>
      <w:lvlText w:val=""/>
      <w:lvlJc w:val="left"/>
      <w:pPr>
        <w:ind w:left="3225" w:hanging="360"/>
      </w:pPr>
      <w:rPr>
        <w:rFonts w:ascii="Symbol" w:hAnsi="Symbol" w:cs="Symbol" w:hint="default"/>
      </w:rPr>
    </w:lvl>
    <w:lvl w:ilvl="4">
      <w:start w:val="1"/>
      <w:numFmt w:val="bullet"/>
      <w:lvlText w:val="o"/>
      <w:lvlJc w:val="left"/>
      <w:pPr>
        <w:ind w:left="3945" w:hanging="360"/>
      </w:pPr>
      <w:rPr>
        <w:rFonts w:ascii="Courier New" w:hAnsi="Courier New" w:cs="Courier New" w:hint="default"/>
      </w:rPr>
    </w:lvl>
    <w:lvl w:ilvl="5">
      <w:start w:val="1"/>
      <w:numFmt w:val="bullet"/>
      <w:lvlText w:val=""/>
      <w:lvlJc w:val="left"/>
      <w:pPr>
        <w:ind w:left="4665" w:hanging="360"/>
      </w:pPr>
      <w:rPr>
        <w:rFonts w:ascii="Wingdings" w:hAnsi="Wingdings" w:cs="Wingdings" w:hint="default"/>
      </w:rPr>
    </w:lvl>
    <w:lvl w:ilvl="6">
      <w:start w:val="1"/>
      <w:numFmt w:val="bullet"/>
      <w:lvlText w:val=""/>
      <w:lvlJc w:val="left"/>
      <w:pPr>
        <w:ind w:left="5385" w:hanging="360"/>
      </w:pPr>
      <w:rPr>
        <w:rFonts w:ascii="Symbol" w:hAnsi="Symbol" w:cs="Symbol" w:hint="default"/>
      </w:rPr>
    </w:lvl>
    <w:lvl w:ilvl="7">
      <w:start w:val="1"/>
      <w:numFmt w:val="bullet"/>
      <w:lvlText w:val="o"/>
      <w:lvlJc w:val="left"/>
      <w:pPr>
        <w:ind w:left="6105" w:hanging="360"/>
      </w:pPr>
      <w:rPr>
        <w:rFonts w:ascii="Courier New" w:hAnsi="Courier New" w:cs="Courier New" w:hint="default"/>
      </w:rPr>
    </w:lvl>
    <w:lvl w:ilvl="8">
      <w:start w:val="1"/>
      <w:numFmt w:val="bullet"/>
      <w:lvlText w:val=""/>
      <w:lvlJc w:val="left"/>
      <w:pPr>
        <w:ind w:left="6825" w:hanging="360"/>
      </w:pPr>
      <w:rPr>
        <w:rFonts w:ascii="Wingdings" w:hAnsi="Wingdings" w:cs="Wingdings" w:hint="default"/>
      </w:rPr>
    </w:lvl>
  </w:abstractNum>
  <w:abstractNum w:abstractNumId="22" w15:restartNumberingAfterBreak="0">
    <w:nsid w:val="409A0FA2"/>
    <w:multiLevelType w:val="hybridMultilevel"/>
    <w:tmpl w:val="BBD211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3400A3"/>
    <w:multiLevelType w:val="multilevel"/>
    <w:tmpl w:val="343A031A"/>
    <w:lvl w:ilvl="0">
      <w:start w:val="1"/>
      <w:numFmt w:val="bullet"/>
      <w:lvlText w:val=""/>
      <w:lvlJc w:val="left"/>
      <w:pPr>
        <w:ind w:left="1789" w:hanging="360"/>
      </w:pPr>
      <w:rPr>
        <w:rFonts w:ascii="Symbol" w:hAnsi="Symbol" w:cs="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cs="Wingdings" w:hint="default"/>
      </w:rPr>
    </w:lvl>
    <w:lvl w:ilvl="3">
      <w:start w:val="1"/>
      <w:numFmt w:val="bullet"/>
      <w:lvlText w:val=""/>
      <w:lvlJc w:val="left"/>
      <w:pPr>
        <w:ind w:left="3949" w:hanging="360"/>
      </w:pPr>
      <w:rPr>
        <w:rFonts w:ascii="Symbol" w:hAnsi="Symbol" w:cs="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cs="Wingdings" w:hint="default"/>
      </w:rPr>
    </w:lvl>
    <w:lvl w:ilvl="6">
      <w:start w:val="1"/>
      <w:numFmt w:val="bullet"/>
      <w:lvlText w:val=""/>
      <w:lvlJc w:val="left"/>
      <w:pPr>
        <w:ind w:left="6109" w:hanging="360"/>
      </w:pPr>
      <w:rPr>
        <w:rFonts w:ascii="Symbol" w:hAnsi="Symbol" w:cs="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cs="Wingdings" w:hint="default"/>
      </w:rPr>
    </w:lvl>
  </w:abstractNum>
  <w:abstractNum w:abstractNumId="24" w15:restartNumberingAfterBreak="0">
    <w:nsid w:val="43F84095"/>
    <w:multiLevelType w:val="multilevel"/>
    <w:tmpl w:val="B6CC5C46"/>
    <w:lvl w:ilvl="0">
      <w:start w:val="1"/>
      <w:numFmt w:val="decimal"/>
      <w:lvlText w:val="%1)"/>
      <w:lvlJc w:val="left"/>
      <w:pPr>
        <w:ind w:left="1757" w:hanging="360"/>
      </w:pPr>
    </w:lvl>
    <w:lvl w:ilvl="1">
      <w:start w:val="1"/>
      <w:numFmt w:val="lowerLetter"/>
      <w:lvlText w:val="%2."/>
      <w:lvlJc w:val="left"/>
      <w:pPr>
        <w:ind w:left="2477" w:hanging="360"/>
      </w:pPr>
    </w:lvl>
    <w:lvl w:ilvl="2">
      <w:start w:val="1"/>
      <w:numFmt w:val="lowerRoman"/>
      <w:lvlText w:val="%3."/>
      <w:lvlJc w:val="right"/>
      <w:pPr>
        <w:ind w:left="3197" w:hanging="180"/>
      </w:pPr>
    </w:lvl>
    <w:lvl w:ilvl="3">
      <w:start w:val="1"/>
      <w:numFmt w:val="decimal"/>
      <w:lvlText w:val="%4."/>
      <w:lvlJc w:val="left"/>
      <w:pPr>
        <w:ind w:left="3917" w:hanging="360"/>
      </w:pPr>
    </w:lvl>
    <w:lvl w:ilvl="4">
      <w:start w:val="1"/>
      <w:numFmt w:val="lowerLetter"/>
      <w:lvlText w:val="%5."/>
      <w:lvlJc w:val="left"/>
      <w:pPr>
        <w:ind w:left="4637" w:hanging="360"/>
      </w:pPr>
    </w:lvl>
    <w:lvl w:ilvl="5">
      <w:start w:val="1"/>
      <w:numFmt w:val="lowerRoman"/>
      <w:lvlText w:val="%6."/>
      <w:lvlJc w:val="right"/>
      <w:pPr>
        <w:ind w:left="5357" w:hanging="180"/>
      </w:pPr>
    </w:lvl>
    <w:lvl w:ilvl="6">
      <w:start w:val="1"/>
      <w:numFmt w:val="decimal"/>
      <w:lvlText w:val="%7."/>
      <w:lvlJc w:val="left"/>
      <w:pPr>
        <w:ind w:left="6077" w:hanging="360"/>
      </w:pPr>
    </w:lvl>
    <w:lvl w:ilvl="7">
      <w:start w:val="1"/>
      <w:numFmt w:val="lowerLetter"/>
      <w:lvlText w:val="%8."/>
      <w:lvlJc w:val="left"/>
      <w:pPr>
        <w:ind w:left="6797" w:hanging="360"/>
      </w:pPr>
    </w:lvl>
    <w:lvl w:ilvl="8">
      <w:start w:val="1"/>
      <w:numFmt w:val="lowerRoman"/>
      <w:lvlText w:val="%9."/>
      <w:lvlJc w:val="right"/>
      <w:pPr>
        <w:ind w:left="7517" w:hanging="180"/>
      </w:pPr>
    </w:lvl>
  </w:abstractNum>
  <w:abstractNum w:abstractNumId="25" w15:restartNumberingAfterBreak="0">
    <w:nsid w:val="46FD22BD"/>
    <w:multiLevelType w:val="multilevel"/>
    <w:tmpl w:val="D17AC9A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6" w15:restartNumberingAfterBreak="0">
    <w:nsid w:val="48C02266"/>
    <w:multiLevelType w:val="multilevel"/>
    <w:tmpl w:val="BDB20D98"/>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7" w15:restartNumberingAfterBreak="0">
    <w:nsid w:val="4C2C09EF"/>
    <w:multiLevelType w:val="multilevel"/>
    <w:tmpl w:val="719246A0"/>
    <w:lvl w:ilvl="0">
      <w:start w:val="1"/>
      <w:numFmt w:val="decimal"/>
      <w:pStyle w:val="Nagwek3"/>
      <w:lvlText w:val="%1."/>
      <w:lvlJc w:val="left"/>
      <w:pPr>
        <w:ind w:left="-72" w:hanging="360"/>
      </w:pPr>
      <w:rPr>
        <w:rFonts w:cs="Times New Roman"/>
        <w:sz w:val="20"/>
      </w:rPr>
    </w:lvl>
    <w:lvl w:ilvl="1">
      <w:start w:val="1"/>
      <w:numFmt w:val="decimal"/>
      <w:pStyle w:val="Nagwek4"/>
      <w:lvlText w:val="%1.%2."/>
      <w:lvlJc w:val="left"/>
      <w:pPr>
        <w:tabs>
          <w:tab w:val="num" w:pos="360"/>
        </w:tabs>
        <w:ind w:left="360" w:hanging="432"/>
      </w:pPr>
      <w:rPr>
        <w:rFonts w:cs="Times New Roman"/>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50DF364D"/>
    <w:multiLevelType w:val="multilevel"/>
    <w:tmpl w:val="A8BCBC5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9" w15:restartNumberingAfterBreak="0">
    <w:nsid w:val="566D64E1"/>
    <w:multiLevelType w:val="hybridMultilevel"/>
    <w:tmpl w:val="9EB61598"/>
    <w:lvl w:ilvl="0" w:tplc="6548D2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9415175"/>
    <w:multiLevelType w:val="multilevel"/>
    <w:tmpl w:val="5D5895B0"/>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1" w15:restartNumberingAfterBreak="0">
    <w:nsid w:val="59B00832"/>
    <w:multiLevelType w:val="hybridMultilevel"/>
    <w:tmpl w:val="5C52259C"/>
    <w:lvl w:ilvl="0" w:tplc="5EE4C0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A122DA9"/>
    <w:multiLevelType w:val="multilevel"/>
    <w:tmpl w:val="EC3C7616"/>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3" w15:restartNumberingAfterBreak="0">
    <w:nsid w:val="5AF76D48"/>
    <w:multiLevelType w:val="multilevel"/>
    <w:tmpl w:val="5F9C719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4" w15:restartNumberingAfterBreak="0">
    <w:nsid w:val="5B4B1F9D"/>
    <w:multiLevelType w:val="hybridMultilevel"/>
    <w:tmpl w:val="FC4C80AC"/>
    <w:lvl w:ilvl="0" w:tplc="5EE4C0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C3D5D3A"/>
    <w:multiLevelType w:val="multilevel"/>
    <w:tmpl w:val="AAEEFE88"/>
    <w:lvl w:ilvl="0">
      <w:start w:val="1"/>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36" w15:restartNumberingAfterBreak="0">
    <w:nsid w:val="5C9E5F95"/>
    <w:multiLevelType w:val="multilevel"/>
    <w:tmpl w:val="465E0E16"/>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37" w15:restartNumberingAfterBreak="0">
    <w:nsid w:val="60F90DA3"/>
    <w:multiLevelType w:val="multilevel"/>
    <w:tmpl w:val="C2D4B1DA"/>
    <w:lvl w:ilvl="0">
      <w:start w:val="1"/>
      <w:numFmt w:val="decimal"/>
      <w:lvlText w:val="%1)"/>
      <w:lvlJc w:val="left"/>
      <w:pPr>
        <w:tabs>
          <w:tab w:val="num" w:pos="360"/>
        </w:tabs>
        <w:ind w:left="360" w:hanging="360"/>
      </w:pPr>
      <w:rPr>
        <w:rFonts w:eastAsia="Times New Roman" w:cs="Times New Roman"/>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8" w15:restartNumberingAfterBreak="0">
    <w:nsid w:val="62830087"/>
    <w:multiLevelType w:val="hybridMultilevel"/>
    <w:tmpl w:val="E2B4C91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66773E4A"/>
    <w:multiLevelType w:val="multilevel"/>
    <w:tmpl w:val="971458F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0" w15:restartNumberingAfterBreak="0">
    <w:nsid w:val="67452168"/>
    <w:multiLevelType w:val="hybridMultilevel"/>
    <w:tmpl w:val="8CD8D2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8359F3"/>
    <w:multiLevelType w:val="hybridMultilevel"/>
    <w:tmpl w:val="F888FB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A76572"/>
    <w:multiLevelType w:val="multilevel"/>
    <w:tmpl w:val="25AC86E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3" w15:restartNumberingAfterBreak="0">
    <w:nsid w:val="70456875"/>
    <w:multiLevelType w:val="hybridMultilevel"/>
    <w:tmpl w:val="13D29B88"/>
    <w:lvl w:ilvl="0" w:tplc="1A06CB04">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7186046D"/>
    <w:multiLevelType w:val="hybridMultilevel"/>
    <w:tmpl w:val="0F6C1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9B6143"/>
    <w:multiLevelType w:val="multilevel"/>
    <w:tmpl w:val="01021D52"/>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46" w15:restartNumberingAfterBreak="0">
    <w:nsid w:val="78360CA9"/>
    <w:multiLevelType w:val="multilevel"/>
    <w:tmpl w:val="C0C6E7EA"/>
    <w:lvl w:ilvl="0">
      <w:start w:val="1"/>
      <w:numFmt w:val="decimal"/>
      <w:lvlText w:val="%1)"/>
      <w:lvlJc w:val="left"/>
      <w:pPr>
        <w:tabs>
          <w:tab w:val="num" w:pos="1068"/>
        </w:tabs>
        <w:ind w:left="1068" w:hanging="360"/>
      </w:pPr>
      <w:rPr>
        <w:rFonts w:cs="Times New Roman"/>
      </w:rPr>
    </w:lvl>
    <w:lvl w:ilvl="1">
      <w:start w:val="1"/>
      <w:numFmt w:val="lowerLetter"/>
      <w:lvlText w:val="%2."/>
      <w:lvlJc w:val="left"/>
      <w:pPr>
        <w:tabs>
          <w:tab w:val="num" w:pos="1428"/>
        </w:tabs>
        <w:ind w:left="1428" w:hanging="360"/>
      </w:pPr>
      <w:rPr>
        <w:rFonts w:cs="Times New Roman"/>
      </w:rPr>
    </w:lvl>
    <w:lvl w:ilvl="2">
      <w:start w:val="1"/>
      <w:numFmt w:val="lowerRoman"/>
      <w:lvlText w:val="%3."/>
      <w:lvlJc w:val="right"/>
      <w:pPr>
        <w:tabs>
          <w:tab w:val="num" w:pos="2148"/>
        </w:tabs>
        <w:ind w:left="2148" w:hanging="180"/>
      </w:pPr>
      <w:rPr>
        <w:rFonts w:cs="Times New Roman"/>
      </w:rPr>
    </w:lvl>
    <w:lvl w:ilvl="3">
      <w:start w:val="1"/>
      <w:numFmt w:val="decimal"/>
      <w:lvlText w:val="%4."/>
      <w:lvlJc w:val="left"/>
      <w:pPr>
        <w:tabs>
          <w:tab w:val="num" w:pos="2868"/>
        </w:tabs>
        <w:ind w:left="2868" w:hanging="360"/>
      </w:pPr>
      <w:rPr>
        <w:rFonts w:cs="Times New Roman"/>
      </w:rPr>
    </w:lvl>
    <w:lvl w:ilvl="4">
      <w:start w:val="1"/>
      <w:numFmt w:val="lowerLetter"/>
      <w:lvlText w:val="%5."/>
      <w:lvlJc w:val="left"/>
      <w:pPr>
        <w:tabs>
          <w:tab w:val="num" w:pos="3588"/>
        </w:tabs>
        <w:ind w:left="3588" w:hanging="360"/>
      </w:pPr>
      <w:rPr>
        <w:rFonts w:cs="Times New Roman"/>
      </w:rPr>
    </w:lvl>
    <w:lvl w:ilvl="5">
      <w:start w:val="1"/>
      <w:numFmt w:val="lowerRoman"/>
      <w:lvlText w:val="%6."/>
      <w:lvlJc w:val="right"/>
      <w:pPr>
        <w:tabs>
          <w:tab w:val="num" w:pos="4308"/>
        </w:tabs>
        <w:ind w:left="4308" w:hanging="180"/>
      </w:pPr>
      <w:rPr>
        <w:rFonts w:cs="Times New Roman"/>
      </w:rPr>
    </w:lvl>
    <w:lvl w:ilvl="6">
      <w:start w:val="1"/>
      <w:numFmt w:val="decimal"/>
      <w:lvlText w:val="%7."/>
      <w:lvlJc w:val="left"/>
      <w:pPr>
        <w:tabs>
          <w:tab w:val="num" w:pos="5028"/>
        </w:tabs>
        <w:ind w:left="5028" w:hanging="360"/>
      </w:pPr>
      <w:rPr>
        <w:rFonts w:cs="Times New Roman"/>
      </w:rPr>
    </w:lvl>
    <w:lvl w:ilvl="7">
      <w:start w:val="1"/>
      <w:numFmt w:val="lowerLetter"/>
      <w:lvlText w:val="%8."/>
      <w:lvlJc w:val="left"/>
      <w:pPr>
        <w:tabs>
          <w:tab w:val="num" w:pos="5748"/>
        </w:tabs>
        <w:ind w:left="5748" w:hanging="360"/>
      </w:pPr>
      <w:rPr>
        <w:rFonts w:cs="Times New Roman"/>
      </w:rPr>
    </w:lvl>
    <w:lvl w:ilvl="8">
      <w:start w:val="1"/>
      <w:numFmt w:val="lowerRoman"/>
      <w:lvlText w:val="%9."/>
      <w:lvlJc w:val="right"/>
      <w:pPr>
        <w:tabs>
          <w:tab w:val="num" w:pos="6468"/>
        </w:tabs>
        <w:ind w:left="6468" w:hanging="180"/>
      </w:pPr>
      <w:rPr>
        <w:rFonts w:cs="Times New Roman"/>
      </w:rPr>
    </w:lvl>
  </w:abstractNum>
  <w:abstractNum w:abstractNumId="47" w15:restartNumberingAfterBreak="0">
    <w:nsid w:val="7A1546F0"/>
    <w:multiLevelType w:val="multilevel"/>
    <w:tmpl w:val="3448374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8" w15:restartNumberingAfterBreak="0">
    <w:nsid w:val="7D8116C0"/>
    <w:multiLevelType w:val="multilevel"/>
    <w:tmpl w:val="F01AA93A"/>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num w:numId="1" w16cid:durableId="102923312">
    <w:abstractNumId w:val="27"/>
  </w:num>
  <w:num w:numId="2" w16cid:durableId="621690158">
    <w:abstractNumId w:val="46"/>
  </w:num>
  <w:num w:numId="3" w16cid:durableId="2019694143">
    <w:abstractNumId w:val="37"/>
  </w:num>
  <w:num w:numId="4" w16cid:durableId="951588686">
    <w:abstractNumId w:val="19"/>
  </w:num>
  <w:num w:numId="5" w16cid:durableId="921908280">
    <w:abstractNumId w:val="25"/>
  </w:num>
  <w:num w:numId="6" w16cid:durableId="413088557">
    <w:abstractNumId w:val="48"/>
  </w:num>
  <w:num w:numId="7" w16cid:durableId="164364460">
    <w:abstractNumId w:val="36"/>
  </w:num>
  <w:num w:numId="8" w16cid:durableId="969021500">
    <w:abstractNumId w:val="32"/>
  </w:num>
  <w:num w:numId="9" w16cid:durableId="1136869739">
    <w:abstractNumId w:val="35"/>
  </w:num>
  <w:num w:numId="10" w16cid:durableId="586231015">
    <w:abstractNumId w:val="12"/>
  </w:num>
  <w:num w:numId="11" w16cid:durableId="736899978">
    <w:abstractNumId w:val="24"/>
  </w:num>
  <w:num w:numId="12" w16cid:durableId="482238246">
    <w:abstractNumId w:val="23"/>
  </w:num>
  <w:num w:numId="13" w16cid:durableId="1230460780">
    <w:abstractNumId w:val="15"/>
  </w:num>
  <w:num w:numId="14" w16cid:durableId="1112939532">
    <w:abstractNumId w:val="21"/>
  </w:num>
  <w:num w:numId="15" w16cid:durableId="1539009591">
    <w:abstractNumId w:val="33"/>
  </w:num>
  <w:num w:numId="16" w16cid:durableId="1253657819">
    <w:abstractNumId w:val="26"/>
  </w:num>
  <w:num w:numId="17" w16cid:durableId="365177914">
    <w:abstractNumId w:val="1"/>
  </w:num>
  <w:num w:numId="18" w16cid:durableId="694116415">
    <w:abstractNumId w:val="45"/>
  </w:num>
  <w:num w:numId="19" w16cid:durableId="1382367428">
    <w:abstractNumId w:val="16"/>
  </w:num>
  <w:num w:numId="20" w16cid:durableId="498278426">
    <w:abstractNumId w:val="4"/>
  </w:num>
  <w:num w:numId="21" w16cid:durableId="1389497149">
    <w:abstractNumId w:val="47"/>
  </w:num>
  <w:num w:numId="22" w16cid:durableId="1365670816">
    <w:abstractNumId w:val="28"/>
  </w:num>
  <w:num w:numId="23" w16cid:durableId="1270891412">
    <w:abstractNumId w:val="39"/>
  </w:num>
  <w:num w:numId="24" w16cid:durableId="1963412447">
    <w:abstractNumId w:val="42"/>
  </w:num>
  <w:num w:numId="25" w16cid:durableId="394399023">
    <w:abstractNumId w:val="5"/>
  </w:num>
  <w:num w:numId="26" w16cid:durableId="333411156">
    <w:abstractNumId w:val="14"/>
  </w:num>
  <w:num w:numId="27" w16cid:durableId="364720056">
    <w:abstractNumId w:val="30"/>
  </w:num>
  <w:num w:numId="28" w16cid:durableId="1456214352">
    <w:abstractNumId w:val="0"/>
  </w:num>
  <w:num w:numId="29" w16cid:durableId="1907449555">
    <w:abstractNumId w:val="13"/>
  </w:num>
  <w:num w:numId="30" w16cid:durableId="1314261646">
    <w:abstractNumId w:val="7"/>
  </w:num>
  <w:num w:numId="31" w16cid:durableId="438911913">
    <w:abstractNumId w:val="38"/>
  </w:num>
  <w:num w:numId="32" w16cid:durableId="1801655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8707069">
    <w:abstractNumId w:val="20"/>
  </w:num>
  <w:num w:numId="34" w16cid:durableId="239680596">
    <w:abstractNumId w:val="34"/>
  </w:num>
  <w:num w:numId="35" w16cid:durableId="1548058440">
    <w:abstractNumId w:val="29"/>
  </w:num>
  <w:num w:numId="36" w16cid:durableId="1764493000">
    <w:abstractNumId w:val="6"/>
  </w:num>
  <w:num w:numId="37" w16cid:durableId="486673319">
    <w:abstractNumId w:val="11"/>
  </w:num>
  <w:num w:numId="38" w16cid:durableId="679702638">
    <w:abstractNumId w:val="8"/>
  </w:num>
  <w:num w:numId="39" w16cid:durableId="1844971679">
    <w:abstractNumId w:val="9"/>
  </w:num>
  <w:num w:numId="40" w16cid:durableId="2054959289">
    <w:abstractNumId w:val="41"/>
  </w:num>
  <w:num w:numId="41" w16cid:durableId="558828446">
    <w:abstractNumId w:val="31"/>
  </w:num>
  <w:num w:numId="42" w16cid:durableId="245068622">
    <w:abstractNumId w:val="40"/>
  </w:num>
  <w:num w:numId="43" w16cid:durableId="927232031">
    <w:abstractNumId w:val="43"/>
  </w:num>
  <w:num w:numId="44" w16cid:durableId="1646426772">
    <w:abstractNumId w:val="18"/>
  </w:num>
  <w:num w:numId="45" w16cid:durableId="884946317">
    <w:abstractNumId w:val="10"/>
  </w:num>
  <w:num w:numId="46" w16cid:durableId="1208837894">
    <w:abstractNumId w:val="22"/>
  </w:num>
  <w:num w:numId="47" w16cid:durableId="93063067">
    <w:abstractNumId w:val="44"/>
  </w:num>
  <w:num w:numId="48" w16cid:durableId="556665949">
    <w:abstractNumId w:val="17"/>
  </w:num>
  <w:num w:numId="49" w16cid:durableId="793449576">
    <w:abstractNumId w:val="2"/>
  </w:num>
  <w:num w:numId="50" w16cid:durableId="629631306">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defaultTabStop w:val="68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846"/>
    <w:rsid w:val="00000CDD"/>
    <w:rsid w:val="00000E22"/>
    <w:rsid w:val="000016AE"/>
    <w:rsid w:val="00002A0D"/>
    <w:rsid w:val="00002AC0"/>
    <w:rsid w:val="00002B8D"/>
    <w:rsid w:val="00003711"/>
    <w:rsid w:val="00004427"/>
    <w:rsid w:val="000052CF"/>
    <w:rsid w:val="00005310"/>
    <w:rsid w:val="000079E5"/>
    <w:rsid w:val="00007B31"/>
    <w:rsid w:val="000123AA"/>
    <w:rsid w:val="0001263E"/>
    <w:rsid w:val="000137AB"/>
    <w:rsid w:val="00013F02"/>
    <w:rsid w:val="00017A7A"/>
    <w:rsid w:val="000201A1"/>
    <w:rsid w:val="00020969"/>
    <w:rsid w:val="00021416"/>
    <w:rsid w:val="0002241C"/>
    <w:rsid w:val="000233F1"/>
    <w:rsid w:val="0002472D"/>
    <w:rsid w:val="0002522B"/>
    <w:rsid w:val="00025BD5"/>
    <w:rsid w:val="00026868"/>
    <w:rsid w:val="000271E2"/>
    <w:rsid w:val="0002775D"/>
    <w:rsid w:val="00027EA4"/>
    <w:rsid w:val="00030896"/>
    <w:rsid w:val="000315E7"/>
    <w:rsid w:val="0003253D"/>
    <w:rsid w:val="000325DB"/>
    <w:rsid w:val="000331F6"/>
    <w:rsid w:val="00033732"/>
    <w:rsid w:val="0003479C"/>
    <w:rsid w:val="00043919"/>
    <w:rsid w:val="00043DFB"/>
    <w:rsid w:val="0004504F"/>
    <w:rsid w:val="000463B0"/>
    <w:rsid w:val="000468A8"/>
    <w:rsid w:val="00047DAD"/>
    <w:rsid w:val="000503DA"/>
    <w:rsid w:val="0005222E"/>
    <w:rsid w:val="00052F4D"/>
    <w:rsid w:val="00056846"/>
    <w:rsid w:val="00062637"/>
    <w:rsid w:val="00063842"/>
    <w:rsid w:val="0006766A"/>
    <w:rsid w:val="0006773E"/>
    <w:rsid w:val="00070C65"/>
    <w:rsid w:val="000712D7"/>
    <w:rsid w:val="00072A46"/>
    <w:rsid w:val="0007438F"/>
    <w:rsid w:val="00074D76"/>
    <w:rsid w:val="00076DC9"/>
    <w:rsid w:val="000779DC"/>
    <w:rsid w:val="00080FA9"/>
    <w:rsid w:val="00083525"/>
    <w:rsid w:val="00084BE8"/>
    <w:rsid w:val="00085EB1"/>
    <w:rsid w:val="0008768B"/>
    <w:rsid w:val="000907AA"/>
    <w:rsid w:val="00091B33"/>
    <w:rsid w:val="000936BA"/>
    <w:rsid w:val="00096902"/>
    <w:rsid w:val="000A0EA1"/>
    <w:rsid w:val="000A0EEF"/>
    <w:rsid w:val="000A166E"/>
    <w:rsid w:val="000A19E3"/>
    <w:rsid w:val="000A425F"/>
    <w:rsid w:val="000A4AA1"/>
    <w:rsid w:val="000A50AF"/>
    <w:rsid w:val="000B071C"/>
    <w:rsid w:val="000B36AB"/>
    <w:rsid w:val="000B3B92"/>
    <w:rsid w:val="000B4C2B"/>
    <w:rsid w:val="000B68CF"/>
    <w:rsid w:val="000B6B56"/>
    <w:rsid w:val="000B7589"/>
    <w:rsid w:val="000C04FF"/>
    <w:rsid w:val="000C10C6"/>
    <w:rsid w:val="000C2711"/>
    <w:rsid w:val="000C3563"/>
    <w:rsid w:val="000C3877"/>
    <w:rsid w:val="000C3B88"/>
    <w:rsid w:val="000C4A21"/>
    <w:rsid w:val="000C53C7"/>
    <w:rsid w:val="000D3601"/>
    <w:rsid w:val="000D3BB0"/>
    <w:rsid w:val="000D465C"/>
    <w:rsid w:val="000E172B"/>
    <w:rsid w:val="000E28C9"/>
    <w:rsid w:val="000E409C"/>
    <w:rsid w:val="000E4336"/>
    <w:rsid w:val="000E5C3A"/>
    <w:rsid w:val="000E659E"/>
    <w:rsid w:val="000E710C"/>
    <w:rsid w:val="000F05E7"/>
    <w:rsid w:val="000F2310"/>
    <w:rsid w:val="000F363A"/>
    <w:rsid w:val="000F44D8"/>
    <w:rsid w:val="000F4A82"/>
    <w:rsid w:val="000F4B47"/>
    <w:rsid w:val="000F6AD2"/>
    <w:rsid w:val="000F763A"/>
    <w:rsid w:val="000F76EF"/>
    <w:rsid w:val="00101B45"/>
    <w:rsid w:val="00102197"/>
    <w:rsid w:val="001028C1"/>
    <w:rsid w:val="001055D9"/>
    <w:rsid w:val="0010642B"/>
    <w:rsid w:val="001065CB"/>
    <w:rsid w:val="00106891"/>
    <w:rsid w:val="0011087A"/>
    <w:rsid w:val="0011257F"/>
    <w:rsid w:val="00114188"/>
    <w:rsid w:val="0011487A"/>
    <w:rsid w:val="00114D52"/>
    <w:rsid w:val="00115335"/>
    <w:rsid w:val="00115B42"/>
    <w:rsid w:val="00117951"/>
    <w:rsid w:val="00120461"/>
    <w:rsid w:val="00120D90"/>
    <w:rsid w:val="001212E1"/>
    <w:rsid w:val="001228E1"/>
    <w:rsid w:val="00122D8C"/>
    <w:rsid w:val="00123162"/>
    <w:rsid w:val="001257C5"/>
    <w:rsid w:val="00126273"/>
    <w:rsid w:val="00126AC2"/>
    <w:rsid w:val="001306FB"/>
    <w:rsid w:val="0013228F"/>
    <w:rsid w:val="001329E8"/>
    <w:rsid w:val="001332F5"/>
    <w:rsid w:val="001339A8"/>
    <w:rsid w:val="00134609"/>
    <w:rsid w:val="001352DF"/>
    <w:rsid w:val="0013710C"/>
    <w:rsid w:val="00137331"/>
    <w:rsid w:val="00140D7F"/>
    <w:rsid w:val="0014429F"/>
    <w:rsid w:val="00150B5A"/>
    <w:rsid w:val="00152B42"/>
    <w:rsid w:val="00152D30"/>
    <w:rsid w:val="00153BED"/>
    <w:rsid w:val="00153F07"/>
    <w:rsid w:val="00155FB6"/>
    <w:rsid w:val="00156128"/>
    <w:rsid w:val="00156CB7"/>
    <w:rsid w:val="001570A5"/>
    <w:rsid w:val="00157B42"/>
    <w:rsid w:val="0016145F"/>
    <w:rsid w:val="00162AA0"/>
    <w:rsid w:val="001647A8"/>
    <w:rsid w:val="00164E4D"/>
    <w:rsid w:val="00164F4D"/>
    <w:rsid w:val="00165778"/>
    <w:rsid w:val="00167372"/>
    <w:rsid w:val="001676D9"/>
    <w:rsid w:val="00173F41"/>
    <w:rsid w:val="00175A6C"/>
    <w:rsid w:val="00177207"/>
    <w:rsid w:val="0017784B"/>
    <w:rsid w:val="00177FBF"/>
    <w:rsid w:val="00181C94"/>
    <w:rsid w:val="001831F3"/>
    <w:rsid w:val="0018569E"/>
    <w:rsid w:val="00194986"/>
    <w:rsid w:val="001953B3"/>
    <w:rsid w:val="00195A30"/>
    <w:rsid w:val="001A2A6D"/>
    <w:rsid w:val="001A314E"/>
    <w:rsid w:val="001B1D12"/>
    <w:rsid w:val="001B1E76"/>
    <w:rsid w:val="001B204D"/>
    <w:rsid w:val="001B4131"/>
    <w:rsid w:val="001B4C76"/>
    <w:rsid w:val="001B5068"/>
    <w:rsid w:val="001B52B0"/>
    <w:rsid w:val="001B67C1"/>
    <w:rsid w:val="001C093C"/>
    <w:rsid w:val="001C18BB"/>
    <w:rsid w:val="001C2794"/>
    <w:rsid w:val="001C4522"/>
    <w:rsid w:val="001C5EFD"/>
    <w:rsid w:val="001C66A7"/>
    <w:rsid w:val="001C7032"/>
    <w:rsid w:val="001C7825"/>
    <w:rsid w:val="001D0A01"/>
    <w:rsid w:val="001D3A19"/>
    <w:rsid w:val="001D61E8"/>
    <w:rsid w:val="001D78EA"/>
    <w:rsid w:val="001E2906"/>
    <w:rsid w:val="001E3A21"/>
    <w:rsid w:val="001E50D5"/>
    <w:rsid w:val="001E5D83"/>
    <w:rsid w:val="001E75A3"/>
    <w:rsid w:val="001F0DB0"/>
    <w:rsid w:val="001F2797"/>
    <w:rsid w:val="001F2799"/>
    <w:rsid w:val="001F28F9"/>
    <w:rsid w:val="001F2C6A"/>
    <w:rsid w:val="001F41B3"/>
    <w:rsid w:val="001F4DC2"/>
    <w:rsid w:val="001F597C"/>
    <w:rsid w:val="0020084E"/>
    <w:rsid w:val="0021025C"/>
    <w:rsid w:val="00210F38"/>
    <w:rsid w:val="0021132C"/>
    <w:rsid w:val="002149F4"/>
    <w:rsid w:val="00217E15"/>
    <w:rsid w:val="00217EB4"/>
    <w:rsid w:val="00220800"/>
    <w:rsid w:val="00222502"/>
    <w:rsid w:val="0022277D"/>
    <w:rsid w:val="00224183"/>
    <w:rsid w:val="002248E0"/>
    <w:rsid w:val="00224C0C"/>
    <w:rsid w:val="00224F7C"/>
    <w:rsid w:val="00226753"/>
    <w:rsid w:val="0022738E"/>
    <w:rsid w:val="0023005C"/>
    <w:rsid w:val="0023184B"/>
    <w:rsid w:val="00231D7E"/>
    <w:rsid w:val="0023200B"/>
    <w:rsid w:val="00232B0E"/>
    <w:rsid w:val="00233466"/>
    <w:rsid w:val="00233F96"/>
    <w:rsid w:val="002342B3"/>
    <w:rsid w:val="0023710E"/>
    <w:rsid w:val="002408E6"/>
    <w:rsid w:val="00244888"/>
    <w:rsid w:val="002453F9"/>
    <w:rsid w:val="00245E4A"/>
    <w:rsid w:val="00246488"/>
    <w:rsid w:val="002467C9"/>
    <w:rsid w:val="00247414"/>
    <w:rsid w:val="002477BC"/>
    <w:rsid w:val="002520BA"/>
    <w:rsid w:val="00253AD3"/>
    <w:rsid w:val="002540AD"/>
    <w:rsid w:val="002619E5"/>
    <w:rsid w:val="00261EE7"/>
    <w:rsid w:val="00263E48"/>
    <w:rsid w:val="002669F0"/>
    <w:rsid w:val="00266FEA"/>
    <w:rsid w:val="00272340"/>
    <w:rsid w:val="00274A8C"/>
    <w:rsid w:val="00274EA5"/>
    <w:rsid w:val="0027553C"/>
    <w:rsid w:val="00281A9F"/>
    <w:rsid w:val="00285B2B"/>
    <w:rsid w:val="00285E71"/>
    <w:rsid w:val="002918E0"/>
    <w:rsid w:val="002952AD"/>
    <w:rsid w:val="00295467"/>
    <w:rsid w:val="002961B7"/>
    <w:rsid w:val="00297B50"/>
    <w:rsid w:val="002A0142"/>
    <w:rsid w:val="002A0788"/>
    <w:rsid w:val="002A0A71"/>
    <w:rsid w:val="002A0C0B"/>
    <w:rsid w:val="002A2CFC"/>
    <w:rsid w:val="002A331E"/>
    <w:rsid w:val="002A4217"/>
    <w:rsid w:val="002A5DD1"/>
    <w:rsid w:val="002B1A37"/>
    <w:rsid w:val="002B2514"/>
    <w:rsid w:val="002B3EF9"/>
    <w:rsid w:val="002B4C45"/>
    <w:rsid w:val="002B6DFD"/>
    <w:rsid w:val="002C0F82"/>
    <w:rsid w:val="002C1980"/>
    <w:rsid w:val="002C2375"/>
    <w:rsid w:val="002C4E22"/>
    <w:rsid w:val="002C4FB4"/>
    <w:rsid w:val="002C52C6"/>
    <w:rsid w:val="002C7FDF"/>
    <w:rsid w:val="002D3CB1"/>
    <w:rsid w:val="002D45CF"/>
    <w:rsid w:val="002D491C"/>
    <w:rsid w:val="002E12BC"/>
    <w:rsid w:val="002E184D"/>
    <w:rsid w:val="002E51A8"/>
    <w:rsid w:val="002E626F"/>
    <w:rsid w:val="002E6742"/>
    <w:rsid w:val="002E740C"/>
    <w:rsid w:val="002E7FFA"/>
    <w:rsid w:val="002F12D8"/>
    <w:rsid w:val="002F2B00"/>
    <w:rsid w:val="002F4A33"/>
    <w:rsid w:val="002F5377"/>
    <w:rsid w:val="002F57B4"/>
    <w:rsid w:val="002F734A"/>
    <w:rsid w:val="0030409F"/>
    <w:rsid w:val="003063CD"/>
    <w:rsid w:val="00307DBA"/>
    <w:rsid w:val="00313B72"/>
    <w:rsid w:val="00314F75"/>
    <w:rsid w:val="00315404"/>
    <w:rsid w:val="00315A70"/>
    <w:rsid w:val="003179CD"/>
    <w:rsid w:val="00317CAE"/>
    <w:rsid w:val="00320FA4"/>
    <w:rsid w:val="00321C09"/>
    <w:rsid w:val="003225E4"/>
    <w:rsid w:val="00331758"/>
    <w:rsid w:val="00332C6D"/>
    <w:rsid w:val="00334F22"/>
    <w:rsid w:val="00335A02"/>
    <w:rsid w:val="003362B3"/>
    <w:rsid w:val="00336C50"/>
    <w:rsid w:val="0033725E"/>
    <w:rsid w:val="00337682"/>
    <w:rsid w:val="00340372"/>
    <w:rsid w:val="00341900"/>
    <w:rsid w:val="00342F17"/>
    <w:rsid w:val="00343C67"/>
    <w:rsid w:val="00344471"/>
    <w:rsid w:val="00347710"/>
    <w:rsid w:val="00352091"/>
    <w:rsid w:val="00352EDD"/>
    <w:rsid w:val="00354E55"/>
    <w:rsid w:val="00355B98"/>
    <w:rsid w:val="00357956"/>
    <w:rsid w:val="00361197"/>
    <w:rsid w:val="003614DA"/>
    <w:rsid w:val="00362E8C"/>
    <w:rsid w:val="00364344"/>
    <w:rsid w:val="00366515"/>
    <w:rsid w:val="00370932"/>
    <w:rsid w:val="00373590"/>
    <w:rsid w:val="003736FE"/>
    <w:rsid w:val="00374B97"/>
    <w:rsid w:val="0037569C"/>
    <w:rsid w:val="0038098C"/>
    <w:rsid w:val="0038236F"/>
    <w:rsid w:val="00384394"/>
    <w:rsid w:val="00384522"/>
    <w:rsid w:val="00384FC3"/>
    <w:rsid w:val="00391EED"/>
    <w:rsid w:val="00394EC7"/>
    <w:rsid w:val="003959C3"/>
    <w:rsid w:val="0039644C"/>
    <w:rsid w:val="003973B1"/>
    <w:rsid w:val="00397952"/>
    <w:rsid w:val="00397A7C"/>
    <w:rsid w:val="003A0A04"/>
    <w:rsid w:val="003A0A0D"/>
    <w:rsid w:val="003A0BD7"/>
    <w:rsid w:val="003A1F25"/>
    <w:rsid w:val="003A4437"/>
    <w:rsid w:val="003A6096"/>
    <w:rsid w:val="003A6AB4"/>
    <w:rsid w:val="003A7738"/>
    <w:rsid w:val="003A78F6"/>
    <w:rsid w:val="003B1641"/>
    <w:rsid w:val="003B2B48"/>
    <w:rsid w:val="003B4871"/>
    <w:rsid w:val="003C08B5"/>
    <w:rsid w:val="003C1FB0"/>
    <w:rsid w:val="003C28C2"/>
    <w:rsid w:val="003C2D51"/>
    <w:rsid w:val="003C4929"/>
    <w:rsid w:val="003C4AFB"/>
    <w:rsid w:val="003C70A5"/>
    <w:rsid w:val="003C7321"/>
    <w:rsid w:val="003C73F7"/>
    <w:rsid w:val="003D00DD"/>
    <w:rsid w:val="003D1152"/>
    <w:rsid w:val="003D11BC"/>
    <w:rsid w:val="003D3A0B"/>
    <w:rsid w:val="003D515C"/>
    <w:rsid w:val="003D6052"/>
    <w:rsid w:val="003D74DD"/>
    <w:rsid w:val="003E0CEB"/>
    <w:rsid w:val="003E2C6D"/>
    <w:rsid w:val="003E2E33"/>
    <w:rsid w:val="003E6281"/>
    <w:rsid w:val="003E6F9B"/>
    <w:rsid w:val="003E7555"/>
    <w:rsid w:val="003F1C6A"/>
    <w:rsid w:val="003F41AA"/>
    <w:rsid w:val="003F4DF6"/>
    <w:rsid w:val="003F59C1"/>
    <w:rsid w:val="003F5A29"/>
    <w:rsid w:val="003F5AD9"/>
    <w:rsid w:val="003F5C1D"/>
    <w:rsid w:val="00401764"/>
    <w:rsid w:val="00402624"/>
    <w:rsid w:val="004026C9"/>
    <w:rsid w:val="00402F1F"/>
    <w:rsid w:val="00404F67"/>
    <w:rsid w:val="00405A95"/>
    <w:rsid w:val="00407C5E"/>
    <w:rsid w:val="00410D56"/>
    <w:rsid w:val="00410EB7"/>
    <w:rsid w:val="00413C81"/>
    <w:rsid w:val="00414DDE"/>
    <w:rsid w:val="00415449"/>
    <w:rsid w:val="004169D1"/>
    <w:rsid w:val="00417A22"/>
    <w:rsid w:val="004200F0"/>
    <w:rsid w:val="00420A8B"/>
    <w:rsid w:val="00421923"/>
    <w:rsid w:val="004219CD"/>
    <w:rsid w:val="004220C1"/>
    <w:rsid w:val="00424DCA"/>
    <w:rsid w:val="00425426"/>
    <w:rsid w:val="00425789"/>
    <w:rsid w:val="00430BA4"/>
    <w:rsid w:val="0043329B"/>
    <w:rsid w:val="0043425E"/>
    <w:rsid w:val="0043443F"/>
    <w:rsid w:val="00434F6A"/>
    <w:rsid w:val="00436783"/>
    <w:rsid w:val="004438F3"/>
    <w:rsid w:val="00443E8A"/>
    <w:rsid w:val="00444F02"/>
    <w:rsid w:val="004450F9"/>
    <w:rsid w:val="00445328"/>
    <w:rsid w:val="0044685B"/>
    <w:rsid w:val="00446ED2"/>
    <w:rsid w:val="00447246"/>
    <w:rsid w:val="00447DD4"/>
    <w:rsid w:val="00450399"/>
    <w:rsid w:val="004510F0"/>
    <w:rsid w:val="00452C9D"/>
    <w:rsid w:val="00453314"/>
    <w:rsid w:val="00453F40"/>
    <w:rsid w:val="00455E98"/>
    <w:rsid w:val="004570E6"/>
    <w:rsid w:val="004579E1"/>
    <w:rsid w:val="00460A32"/>
    <w:rsid w:val="004623AD"/>
    <w:rsid w:val="0046312A"/>
    <w:rsid w:val="004647A8"/>
    <w:rsid w:val="004678FF"/>
    <w:rsid w:val="00472C65"/>
    <w:rsid w:val="00481AB1"/>
    <w:rsid w:val="00481D6E"/>
    <w:rsid w:val="00481DDD"/>
    <w:rsid w:val="0048395C"/>
    <w:rsid w:val="004849DE"/>
    <w:rsid w:val="00485172"/>
    <w:rsid w:val="004860C3"/>
    <w:rsid w:val="00486EEA"/>
    <w:rsid w:val="004908A7"/>
    <w:rsid w:val="004914FD"/>
    <w:rsid w:val="00492800"/>
    <w:rsid w:val="00492D79"/>
    <w:rsid w:val="004934C2"/>
    <w:rsid w:val="0049392A"/>
    <w:rsid w:val="0049641A"/>
    <w:rsid w:val="00497BF9"/>
    <w:rsid w:val="004A01C3"/>
    <w:rsid w:val="004A04DB"/>
    <w:rsid w:val="004A1341"/>
    <w:rsid w:val="004A1767"/>
    <w:rsid w:val="004A370C"/>
    <w:rsid w:val="004A4985"/>
    <w:rsid w:val="004A49B2"/>
    <w:rsid w:val="004A547D"/>
    <w:rsid w:val="004A707B"/>
    <w:rsid w:val="004B13FF"/>
    <w:rsid w:val="004B1C74"/>
    <w:rsid w:val="004B45E9"/>
    <w:rsid w:val="004B606D"/>
    <w:rsid w:val="004B6893"/>
    <w:rsid w:val="004C0235"/>
    <w:rsid w:val="004C0D79"/>
    <w:rsid w:val="004C17BA"/>
    <w:rsid w:val="004C18B9"/>
    <w:rsid w:val="004C43C0"/>
    <w:rsid w:val="004C5DE8"/>
    <w:rsid w:val="004C606B"/>
    <w:rsid w:val="004D24D5"/>
    <w:rsid w:val="004D343C"/>
    <w:rsid w:val="004D4667"/>
    <w:rsid w:val="004D5F7F"/>
    <w:rsid w:val="004E022B"/>
    <w:rsid w:val="004E0DA3"/>
    <w:rsid w:val="004E2469"/>
    <w:rsid w:val="004E28AC"/>
    <w:rsid w:val="004E3716"/>
    <w:rsid w:val="004E403F"/>
    <w:rsid w:val="004E4817"/>
    <w:rsid w:val="004E56F1"/>
    <w:rsid w:val="004E5DE7"/>
    <w:rsid w:val="004F0DA3"/>
    <w:rsid w:val="004F30B8"/>
    <w:rsid w:val="004F3CB3"/>
    <w:rsid w:val="004F4C23"/>
    <w:rsid w:val="004F4FF3"/>
    <w:rsid w:val="004F5FE7"/>
    <w:rsid w:val="004F7880"/>
    <w:rsid w:val="0050225C"/>
    <w:rsid w:val="005026C0"/>
    <w:rsid w:val="00502E1C"/>
    <w:rsid w:val="005045A8"/>
    <w:rsid w:val="00505924"/>
    <w:rsid w:val="00505D15"/>
    <w:rsid w:val="005066B5"/>
    <w:rsid w:val="00507F25"/>
    <w:rsid w:val="00511BF1"/>
    <w:rsid w:val="00511CCD"/>
    <w:rsid w:val="00511E7D"/>
    <w:rsid w:val="00513085"/>
    <w:rsid w:val="005135CB"/>
    <w:rsid w:val="00516342"/>
    <w:rsid w:val="005164AA"/>
    <w:rsid w:val="00517482"/>
    <w:rsid w:val="00521818"/>
    <w:rsid w:val="00521A7D"/>
    <w:rsid w:val="00523053"/>
    <w:rsid w:val="005235BF"/>
    <w:rsid w:val="005235CE"/>
    <w:rsid w:val="00523902"/>
    <w:rsid w:val="00524598"/>
    <w:rsid w:val="0052583C"/>
    <w:rsid w:val="005261DE"/>
    <w:rsid w:val="00527738"/>
    <w:rsid w:val="005300C2"/>
    <w:rsid w:val="005306D2"/>
    <w:rsid w:val="00531463"/>
    <w:rsid w:val="00532290"/>
    <w:rsid w:val="00532351"/>
    <w:rsid w:val="00532653"/>
    <w:rsid w:val="005332FE"/>
    <w:rsid w:val="00533C38"/>
    <w:rsid w:val="00533C8F"/>
    <w:rsid w:val="00534399"/>
    <w:rsid w:val="005347D4"/>
    <w:rsid w:val="00535843"/>
    <w:rsid w:val="00535B16"/>
    <w:rsid w:val="005445BE"/>
    <w:rsid w:val="0054463F"/>
    <w:rsid w:val="00544899"/>
    <w:rsid w:val="005467AF"/>
    <w:rsid w:val="00547BF7"/>
    <w:rsid w:val="005509EE"/>
    <w:rsid w:val="00553961"/>
    <w:rsid w:val="00557E92"/>
    <w:rsid w:val="00557F07"/>
    <w:rsid w:val="005604B6"/>
    <w:rsid w:val="005607F7"/>
    <w:rsid w:val="00561BC0"/>
    <w:rsid w:val="0056373E"/>
    <w:rsid w:val="005638AA"/>
    <w:rsid w:val="0056428F"/>
    <w:rsid w:val="0056476E"/>
    <w:rsid w:val="00565DF1"/>
    <w:rsid w:val="005702B0"/>
    <w:rsid w:val="0057185D"/>
    <w:rsid w:val="005733C2"/>
    <w:rsid w:val="0057374A"/>
    <w:rsid w:val="00574930"/>
    <w:rsid w:val="005754FE"/>
    <w:rsid w:val="0057609B"/>
    <w:rsid w:val="00580E01"/>
    <w:rsid w:val="00580F8D"/>
    <w:rsid w:val="005816A6"/>
    <w:rsid w:val="00582080"/>
    <w:rsid w:val="00586144"/>
    <w:rsid w:val="0058662B"/>
    <w:rsid w:val="00586C89"/>
    <w:rsid w:val="005877FF"/>
    <w:rsid w:val="00587AAE"/>
    <w:rsid w:val="005909A6"/>
    <w:rsid w:val="00593E71"/>
    <w:rsid w:val="005942DC"/>
    <w:rsid w:val="00594326"/>
    <w:rsid w:val="005967B7"/>
    <w:rsid w:val="00596938"/>
    <w:rsid w:val="00596ACB"/>
    <w:rsid w:val="005971DF"/>
    <w:rsid w:val="00597E59"/>
    <w:rsid w:val="005A12F7"/>
    <w:rsid w:val="005A305D"/>
    <w:rsid w:val="005A3419"/>
    <w:rsid w:val="005A3EC6"/>
    <w:rsid w:val="005A3F70"/>
    <w:rsid w:val="005A40D1"/>
    <w:rsid w:val="005A4E1F"/>
    <w:rsid w:val="005B257C"/>
    <w:rsid w:val="005B7749"/>
    <w:rsid w:val="005C2031"/>
    <w:rsid w:val="005D058C"/>
    <w:rsid w:val="005D0B4F"/>
    <w:rsid w:val="005D2453"/>
    <w:rsid w:val="005D2592"/>
    <w:rsid w:val="005D301E"/>
    <w:rsid w:val="005D3D7C"/>
    <w:rsid w:val="005D5A17"/>
    <w:rsid w:val="005D5EC6"/>
    <w:rsid w:val="005D6D06"/>
    <w:rsid w:val="005E004B"/>
    <w:rsid w:val="005E0D5F"/>
    <w:rsid w:val="005E2FD6"/>
    <w:rsid w:val="005E3114"/>
    <w:rsid w:val="005E336C"/>
    <w:rsid w:val="005E34CC"/>
    <w:rsid w:val="005E37EA"/>
    <w:rsid w:val="005E4627"/>
    <w:rsid w:val="005E4F52"/>
    <w:rsid w:val="005E509D"/>
    <w:rsid w:val="005E512D"/>
    <w:rsid w:val="005E78FC"/>
    <w:rsid w:val="005F0E4B"/>
    <w:rsid w:val="005F1D89"/>
    <w:rsid w:val="005F4518"/>
    <w:rsid w:val="005F4A60"/>
    <w:rsid w:val="005F5A20"/>
    <w:rsid w:val="005F7930"/>
    <w:rsid w:val="00601D37"/>
    <w:rsid w:val="00603C49"/>
    <w:rsid w:val="006047AE"/>
    <w:rsid w:val="0060643A"/>
    <w:rsid w:val="006109E9"/>
    <w:rsid w:val="00612EE3"/>
    <w:rsid w:val="00613CBD"/>
    <w:rsid w:val="00617E50"/>
    <w:rsid w:val="00620461"/>
    <w:rsid w:val="00621136"/>
    <w:rsid w:val="00621A2B"/>
    <w:rsid w:val="00622EAC"/>
    <w:rsid w:val="006255D1"/>
    <w:rsid w:val="00625E40"/>
    <w:rsid w:val="00626BB1"/>
    <w:rsid w:val="0062732E"/>
    <w:rsid w:val="00627469"/>
    <w:rsid w:val="006340CA"/>
    <w:rsid w:val="00635299"/>
    <w:rsid w:val="00635475"/>
    <w:rsid w:val="006363D6"/>
    <w:rsid w:val="006407DA"/>
    <w:rsid w:val="00640929"/>
    <w:rsid w:val="00644711"/>
    <w:rsid w:val="0064518B"/>
    <w:rsid w:val="00645E54"/>
    <w:rsid w:val="006462C2"/>
    <w:rsid w:val="006462EF"/>
    <w:rsid w:val="00651C2B"/>
    <w:rsid w:val="00651FD3"/>
    <w:rsid w:val="006524C7"/>
    <w:rsid w:val="0065264B"/>
    <w:rsid w:val="00652DB6"/>
    <w:rsid w:val="00654902"/>
    <w:rsid w:val="006549D5"/>
    <w:rsid w:val="00657758"/>
    <w:rsid w:val="00660BD5"/>
    <w:rsid w:val="00663FF8"/>
    <w:rsid w:val="00664A0F"/>
    <w:rsid w:val="00667801"/>
    <w:rsid w:val="00670DEC"/>
    <w:rsid w:val="006722E3"/>
    <w:rsid w:val="006738C9"/>
    <w:rsid w:val="00675C11"/>
    <w:rsid w:val="006763DD"/>
    <w:rsid w:val="00676EE0"/>
    <w:rsid w:val="0068161E"/>
    <w:rsid w:val="00684C68"/>
    <w:rsid w:val="006850FC"/>
    <w:rsid w:val="0069021B"/>
    <w:rsid w:val="00690EFE"/>
    <w:rsid w:val="00691804"/>
    <w:rsid w:val="00694088"/>
    <w:rsid w:val="006A029D"/>
    <w:rsid w:val="006A0FC6"/>
    <w:rsid w:val="006A1E58"/>
    <w:rsid w:val="006A1E81"/>
    <w:rsid w:val="006A4420"/>
    <w:rsid w:val="006A453C"/>
    <w:rsid w:val="006A49D8"/>
    <w:rsid w:val="006A655E"/>
    <w:rsid w:val="006B0237"/>
    <w:rsid w:val="006B0238"/>
    <w:rsid w:val="006B0A38"/>
    <w:rsid w:val="006B19AA"/>
    <w:rsid w:val="006B370D"/>
    <w:rsid w:val="006B408D"/>
    <w:rsid w:val="006B5994"/>
    <w:rsid w:val="006C1155"/>
    <w:rsid w:val="006C2900"/>
    <w:rsid w:val="006C4723"/>
    <w:rsid w:val="006C4771"/>
    <w:rsid w:val="006C574E"/>
    <w:rsid w:val="006C5A2D"/>
    <w:rsid w:val="006C6C20"/>
    <w:rsid w:val="006C7545"/>
    <w:rsid w:val="006D1D30"/>
    <w:rsid w:val="006D3E06"/>
    <w:rsid w:val="006D4173"/>
    <w:rsid w:val="006D4341"/>
    <w:rsid w:val="006D456B"/>
    <w:rsid w:val="006D5497"/>
    <w:rsid w:val="006D646F"/>
    <w:rsid w:val="006D7150"/>
    <w:rsid w:val="006E048E"/>
    <w:rsid w:val="006E154F"/>
    <w:rsid w:val="006E3C73"/>
    <w:rsid w:val="006E5CAD"/>
    <w:rsid w:val="006E6A8D"/>
    <w:rsid w:val="006F1133"/>
    <w:rsid w:val="006F133E"/>
    <w:rsid w:val="006F2C40"/>
    <w:rsid w:val="006F3871"/>
    <w:rsid w:val="006F38A8"/>
    <w:rsid w:val="006F56EB"/>
    <w:rsid w:val="006F5D57"/>
    <w:rsid w:val="007003AB"/>
    <w:rsid w:val="0070402C"/>
    <w:rsid w:val="00710690"/>
    <w:rsid w:val="007110A5"/>
    <w:rsid w:val="00711838"/>
    <w:rsid w:val="007141D9"/>
    <w:rsid w:val="00714E13"/>
    <w:rsid w:val="007150B5"/>
    <w:rsid w:val="007222EB"/>
    <w:rsid w:val="0072348B"/>
    <w:rsid w:val="00723954"/>
    <w:rsid w:val="00725920"/>
    <w:rsid w:val="00725DBF"/>
    <w:rsid w:val="00730B21"/>
    <w:rsid w:val="007322D1"/>
    <w:rsid w:val="00732A0B"/>
    <w:rsid w:val="0073348A"/>
    <w:rsid w:val="007335D7"/>
    <w:rsid w:val="00736BA3"/>
    <w:rsid w:val="00737AAB"/>
    <w:rsid w:val="00740A87"/>
    <w:rsid w:val="0074114A"/>
    <w:rsid w:val="00741CD7"/>
    <w:rsid w:val="00743253"/>
    <w:rsid w:val="00744559"/>
    <w:rsid w:val="007447B1"/>
    <w:rsid w:val="00744B52"/>
    <w:rsid w:val="007474D1"/>
    <w:rsid w:val="00750CBF"/>
    <w:rsid w:val="00750F60"/>
    <w:rsid w:val="007512F4"/>
    <w:rsid w:val="007531CD"/>
    <w:rsid w:val="007543E2"/>
    <w:rsid w:val="007565D3"/>
    <w:rsid w:val="00757E3C"/>
    <w:rsid w:val="0076135A"/>
    <w:rsid w:val="00761BBC"/>
    <w:rsid w:val="00762709"/>
    <w:rsid w:val="0076295B"/>
    <w:rsid w:val="00763E6D"/>
    <w:rsid w:val="00764881"/>
    <w:rsid w:val="0076529D"/>
    <w:rsid w:val="00765980"/>
    <w:rsid w:val="00771B1D"/>
    <w:rsid w:val="00771E4F"/>
    <w:rsid w:val="00772A61"/>
    <w:rsid w:val="00773E76"/>
    <w:rsid w:val="00774A6E"/>
    <w:rsid w:val="007757DB"/>
    <w:rsid w:val="007769B4"/>
    <w:rsid w:val="00780291"/>
    <w:rsid w:val="007814E6"/>
    <w:rsid w:val="007851CA"/>
    <w:rsid w:val="007856F3"/>
    <w:rsid w:val="00786295"/>
    <w:rsid w:val="007866B2"/>
    <w:rsid w:val="00790F13"/>
    <w:rsid w:val="00792F86"/>
    <w:rsid w:val="00793962"/>
    <w:rsid w:val="007939A7"/>
    <w:rsid w:val="00794F78"/>
    <w:rsid w:val="007A2948"/>
    <w:rsid w:val="007A2D69"/>
    <w:rsid w:val="007A4EBD"/>
    <w:rsid w:val="007B05C2"/>
    <w:rsid w:val="007B14E6"/>
    <w:rsid w:val="007B2CBF"/>
    <w:rsid w:val="007B3C2D"/>
    <w:rsid w:val="007B5611"/>
    <w:rsid w:val="007B5AF5"/>
    <w:rsid w:val="007B6A2F"/>
    <w:rsid w:val="007C134D"/>
    <w:rsid w:val="007C19B1"/>
    <w:rsid w:val="007C1FFA"/>
    <w:rsid w:val="007C2063"/>
    <w:rsid w:val="007C21A7"/>
    <w:rsid w:val="007C39FC"/>
    <w:rsid w:val="007C3E75"/>
    <w:rsid w:val="007C53DB"/>
    <w:rsid w:val="007C7862"/>
    <w:rsid w:val="007C7C32"/>
    <w:rsid w:val="007D0835"/>
    <w:rsid w:val="007D39ED"/>
    <w:rsid w:val="007D4953"/>
    <w:rsid w:val="007D5421"/>
    <w:rsid w:val="007D66C8"/>
    <w:rsid w:val="007D7366"/>
    <w:rsid w:val="007D7FE1"/>
    <w:rsid w:val="007E0278"/>
    <w:rsid w:val="007E1F76"/>
    <w:rsid w:val="007E22E3"/>
    <w:rsid w:val="007E6C2C"/>
    <w:rsid w:val="007E6EBF"/>
    <w:rsid w:val="007F26F2"/>
    <w:rsid w:val="007F33C7"/>
    <w:rsid w:val="007F5A8E"/>
    <w:rsid w:val="007F5D0D"/>
    <w:rsid w:val="007F713A"/>
    <w:rsid w:val="00800331"/>
    <w:rsid w:val="00801AA6"/>
    <w:rsid w:val="008026BD"/>
    <w:rsid w:val="00802F14"/>
    <w:rsid w:val="00803056"/>
    <w:rsid w:val="00803AA8"/>
    <w:rsid w:val="00803AAE"/>
    <w:rsid w:val="00804D7A"/>
    <w:rsid w:val="008055AC"/>
    <w:rsid w:val="00806977"/>
    <w:rsid w:val="00807085"/>
    <w:rsid w:val="00807DAE"/>
    <w:rsid w:val="00807FF7"/>
    <w:rsid w:val="008102F5"/>
    <w:rsid w:val="00812F0B"/>
    <w:rsid w:val="008132E9"/>
    <w:rsid w:val="00813E3C"/>
    <w:rsid w:val="008152FF"/>
    <w:rsid w:val="0081600F"/>
    <w:rsid w:val="00816716"/>
    <w:rsid w:val="0081721A"/>
    <w:rsid w:val="00822363"/>
    <w:rsid w:val="00822856"/>
    <w:rsid w:val="00823352"/>
    <w:rsid w:val="008248E1"/>
    <w:rsid w:val="00826E1A"/>
    <w:rsid w:val="00826F6B"/>
    <w:rsid w:val="0082798E"/>
    <w:rsid w:val="00832058"/>
    <w:rsid w:val="008325D4"/>
    <w:rsid w:val="00833B20"/>
    <w:rsid w:val="00834B8F"/>
    <w:rsid w:val="00840448"/>
    <w:rsid w:val="00841163"/>
    <w:rsid w:val="00841B04"/>
    <w:rsid w:val="00843034"/>
    <w:rsid w:val="00845AA3"/>
    <w:rsid w:val="008463F8"/>
    <w:rsid w:val="008468EA"/>
    <w:rsid w:val="00847172"/>
    <w:rsid w:val="00847AF6"/>
    <w:rsid w:val="008510AB"/>
    <w:rsid w:val="00851208"/>
    <w:rsid w:val="00851920"/>
    <w:rsid w:val="00851ECA"/>
    <w:rsid w:val="0085251F"/>
    <w:rsid w:val="0085358E"/>
    <w:rsid w:val="00853E94"/>
    <w:rsid w:val="00857B59"/>
    <w:rsid w:val="008604CC"/>
    <w:rsid w:val="008608BC"/>
    <w:rsid w:val="00860F93"/>
    <w:rsid w:val="00861A01"/>
    <w:rsid w:val="0086597B"/>
    <w:rsid w:val="00866393"/>
    <w:rsid w:val="0086664B"/>
    <w:rsid w:val="00867817"/>
    <w:rsid w:val="00871B35"/>
    <w:rsid w:val="0087442D"/>
    <w:rsid w:val="00874EDC"/>
    <w:rsid w:val="00875233"/>
    <w:rsid w:val="008752B6"/>
    <w:rsid w:val="00877025"/>
    <w:rsid w:val="00877F2D"/>
    <w:rsid w:val="00880439"/>
    <w:rsid w:val="008813B8"/>
    <w:rsid w:val="00882BE9"/>
    <w:rsid w:val="00882DBB"/>
    <w:rsid w:val="00885E34"/>
    <w:rsid w:val="00886C89"/>
    <w:rsid w:val="00886EC9"/>
    <w:rsid w:val="008876A9"/>
    <w:rsid w:val="00891C08"/>
    <w:rsid w:val="0089310C"/>
    <w:rsid w:val="0089404E"/>
    <w:rsid w:val="00895436"/>
    <w:rsid w:val="008960F8"/>
    <w:rsid w:val="0089635E"/>
    <w:rsid w:val="00896DE4"/>
    <w:rsid w:val="0089728D"/>
    <w:rsid w:val="008972A8"/>
    <w:rsid w:val="00897F67"/>
    <w:rsid w:val="008A01D3"/>
    <w:rsid w:val="008A0D29"/>
    <w:rsid w:val="008A1179"/>
    <w:rsid w:val="008A1F3A"/>
    <w:rsid w:val="008A75FA"/>
    <w:rsid w:val="008A7A19"/>
    <w:rsid w:val="008B151E"/>
    <w:rsid w:val="008B2ADD"/>
    <w:rsid w:val="008B2C94"/>
    <w:rsid w:val="008B2D46"/>
    <w:rsid w:val="008B329A"/>
    <w:rsid w:val="008B532E"/>
    <w:rsid w:val="008B7383"/>
    <w:rsid w:val="008C1881"/>
    <w:rsid w:val="008C20F5"/>
    <w:rsid w:val="008C2DB8"/>
    <w:rsid w:val="008C521C"/>
    <w:rsid w:val="008C6249"/>
    <w:rsid w:val="008C6D36"/>
    <w:rsid w:val="008C7B79"/>
    <w:rsid w:val="008C7CAA"/>
    <w:rsid w:val="008D56A9"/>
    <w:rsid w:val="008D6760"/>
    <w:rsid w:val="008D7A04"/>
    <w:rsid w:val="008E02C4"/>
    <w:rsid w:val="008E4B31"/>
    <w:rsid w:val="008E5071"/>
    <w:rsid w:val="008E5B6F"/>
    <w:rsid w:val="008E681A"/>
    <w:rsid w:val="008E70E1"/>
    <w:rsid w:val="008F1FF4"/>
    <w:rsid w:val="008F2AD9"/>
    <w:rsid w:val="008F383A"/>
    <w:rsid w:val="008F5F8F"/>
    <w:rsid w:val="008F7F6D"/>
    <w:rsid w:val="00901482"/>
    <w:rsid w:val="00901CF3"/>
    <w:rsid w:val="00904727"/>
    <w:rsid w:val="00904C6A"/>
    <w:rsid w:val="00905AB4"/>
    <w:rsid w:val="00905BC2"/>
    <w:rsid w:val="00906EE4"/>
    <w:rsid w:val="0090792F"/>
    <w:rsid w:val="00910CE0"/>
    <w:rsid w:val="00912ACA"/>
    <w:rsid w:val="00913349"/>
    <w:rsid w:val="009137CA"/>
    <w:rsid w:val="009153C2"/>
    <w:rsid w:val="00921241"/>
    <w:rsid w:val="00921665"/>
    <w:rsid w:val="00925BCD"/>
    <w:rsid w:val="00925C9A"/>
    <w:rsid w:val="00935947"/>
    <w:rsid w:val="00935FF2"/>
    <w:rsid w:val="009369A0"/>
    <w:rsid w:val="00936F8F"/>
    <w:rsid w:val="00937E77"/>
    <w:rsid w:val="00941AE3"/>
    <w:rsid w:val="0094269B"/>
    <w:rsid w:val="00943551"/>
    <w:rsid w:val="009439D5"/>
    <w:rsid w:val="00944E84"/>
    <w:rsid w:val="009472AA"/>
    <w:rsid w:val="0094778A"/>
    <w:rsid w:val="00950E23"/>
    <w:rsid w:val="00953787"/>
    <w:rsid w:val="0095392C"/>
    <w:rsid w:val="00955813"/>
    <w:rsid w:val="00956159"/>
    <w:rsid w:val="009571ED"/>
    <w:rsid w:val="009621AF"/>
    <w:rsid w:val="00965171"/>
    <w:rsid w:val="009679A0"/>
    <w:rsid w:val="00971B1E"/>
    <w:rsid w:val="009727A8"/>
    <w:rsid w:val="00972CD7"/>
    <w:rsid w:val="009732A1"/>
    <w:rsid w:val="00980271"/>
    <w:rsid w:val="00980764"/>
    <w:rsid w:val="009837B4"/>
    <w:rsid w:val="009865C1"/>
    <w:rsid w:val="00987891"/>
    <w:rsid w:val="00990D8B"/>
    <w:rsid w:val="0099131F"/>
    <w:rsid w:val="00991723"/>
    <w:rsid w:val="009941E3"/>
    <w:rsid w:val="00994492"/>
    <w:rsid w:val="00995C95"/>
    <w:rsid w:val="00996919"/>
    <w:rsid w:val="00996B14"/>
    <w:rsid w:val="009A3796"/>
    <w:rsid w:val="009A3AF0"/>
    <w:rsid w:val="009B0530"/>
    <w:rsid w:val="009B0585"/>
    <w:rsid w:val="009B38E9"/>
    <w:rsid w:val="009B3ECB"/>
    <w:rsid w:val="009B3F86"/>
    <w:rsid w:val="009B42AB"/>
    <w:rsid w:val="009B455C"/>
    <w:rsid w:val="009B57E0"/>
    <w:rsid w:val="009B5BDA"/>
    <w:rsid w:val="009B7208"/>
    <w:rsid w:val="009B75C6"/>
    <w:rsid w:val="009C0235"/>
    <w:rsid w:val="009C02BF"/>
    <w:rsid w:val="009C03FF"/>
    <w:rsid w:val="009C10E9"/>
    <w:rsid w:val="009C34D8"/>
    <w:rsid w:val="009C4ECB"/>
    <w:rsid w:val="009C5312"/>
    <w:rsid w:val="009C59FD"/>
    <w:rsid w:val="009C6F59"/>
    <w:rsid w:val="009C7B7A"/>
    <w:rsid w:val="009C7F3C"/>
    <w:rsid w:val="009D065F"/>
    <w:rsid w:val="009D0FCC"/>
    <w:rsid w:val="009D20A2"/>
    <w:rsid w:val="009D21DC"/>
    <w:rsid w:val="009D3353"/>
    <w:rsid w:val="009D33A6"/>
    <w:rsid w:val="009D7921"/>
    <w:rsid w:val="009E34C0"/>
    <w:rsid w:val="009E358D"/>
    <w:rsid w:val="009E3F47"/>
    <w:rsid w:val="009E5912"/>
    <w:rsid w:val="009F0F8C"/>
    <w:rsid w:val="009F136A"/>
    <w:rsid w:val="009F4EBD"/>
    <w:rsid w:val="009F6075"/>
    <w:rsid w:val="009F70D8"/>
    <w:rsid w:val="00A002EF"/>
    <w:rsid w:val="00A00A1A"/>
    <w:rsid w:val="00A02310"/>
    <w:rsid w:val="00A0276A"/>
    <w:rsid w:val="00A0559B"/>
    <w:rsid w:val="00A05AB0"/>
    <w:rsid w:val="00A0617D"/>
    <w:rsid w:val="00A11119"/>
    <w:rsid w:val="00A121E1"/>
    <w:rsid w:val="00A1314F"/>
    <w:rsid w:val="00A13755"/>
    <w:rsid w:val="00A16004"/>
    <w:rsid w:val="00A1705C"/>
    <w:rsid w:val="00A17119"/>
    <w:rsid w:val="00A1791C"/>
    <w:rsid w:val="00A20B2A"/>
    <w:rsid w:val="00A20E17"/>
    <w:rsid w:val="00A21471"/>
    <w:rsid w:val="00A21892"/>
    <w:rsid w:val="00A2283C"/>
    <w:rsid w:val="00A236AF"/>
    <w:rsid w:val="00A237D3"/>
    <w:rsid w:val="00A259AA"/>
    <w:rsid w:val="00A2773F"/>
    <w:rsid w:val="00A27C39"/>
    <w:rsid w:val="00A300D9"/>
    <w:rsid w:val="00A319FE"/>
    <w:rsid w:val="00A31BA4"/>
    <w:rsid w:val="00A3375D"/>
    <w:rsid w:val="00A33AF1"/>
    <w:rsid w:val="00A354EC"/>
    <w:rsid w:val="00A358AF"/>
    <w:rsid w:val="00A363F8"/>
    <w:rsid w:val="00A405AE"/>
    <w:rsid w:val="00A41FE3"/>
    <w:rsid w:val="00A43699"/>
    <w:rsid w:val="00A43B9E"/>
    <w:rsid w:val="00A4749B"/>
    <w:rsid w:val="00A501BD"/>
    <w:rsid w:val="00A50A04"/>
    <w:rsid w:val="00A5100B"/>
    <w:rsid w:val="00A5279B"/>
    <w:rsid w:val="00A52FBA"/>
    <w:rsid w:val="00A533BA"/>
    <w:rsid w:val="00A55537"/>
    <w:rsid w:val="00A560AB"/>
    <w:rsid w:val="00A5703B"/>
    <w:rsid w:val="00A61439"/>
    <w:rsid w:val="00A62F5E"/>
    <w:rsid w:val="00A63593"/>
    <w:rsid w:val="00A64499"/>
    <w:rsid w:val="00A645EC"/>
    <w:rsid w:val="00A64C76"/>
    <w:rsid w:val="00A65410"/>
    <w:rsid w:val="00A65625"/>
    <w:rsid w:val="00A6761E"/>
    <w:rsid w:val="00A71575"/>
    <w:rsid w:val="00A750D8"/>
    <w:rsid w:val="00A76616"/>
    <w:rsid w:val="00A81516"/>
    <w:rsid w:val="00A82E96"/>
    <w:rsid w:val="00A83312"/>
    <w:rsid w:val="00A842FD"/>
    <w:rsid w:val="00A848EC"/>
    <w:rsid w:val="00A86B79"/>
    <w:rsid w:val="00A87675"/>
    <w:rsid w:val="00A876F6"/>
    <w:rsid w:val="00A9013B"/>
    <w:rsid w:val="00A905AB"/>
    <w:rsid w:val="00A917DC"/>
    <w:rsid w:val="00A921E2"/>
    <w:rsid w:val="00A9399B"/>
    <w:rsid w:val="00A965C3"/>
    <w:rsid w:val="00A96F41"/>
    <w:rsid w:val="00A975DD"/>
    <w:rsid w:val="00A97A1D"/>
    <w:rsid w:val="00AA03CF"/>
    <w:rsid w:val="00AA0BA3"/>
    <w:rsid w:val="00AA1454"/>
    <w:rsid w:val="00AA14B3"/>
    <w:rsid w:val="00AA4404"/>
    <w:rsid w:val="00AA5B2C"/>
    <w:rsid w:val="00AA6CDB"/>
    <w:rsid w:val="00AB0EA3"/>
    <w:rsid w:val="00AB3CE6"/>
    <w:rsid w:val="00AB45DC"/>
    <w:rsid w:val="00AB534B"/>
    <w:rsid w:val="00AC093B"/>
    <w:rsid w:val="00AC0A2A"/>
    <w:rsid w:val="00AC0A96"/>
    <w:rsid w:val="00AC1936"/>
    <w:rsid w:val="00AC20D9"/>
    <w:rsid w:val="00AC2ABF"/>
    <w:rsid w:val="00AC594E"/>
    <w:rsid w:val="00AC7685"/>
    <w:rsid w:val="00AD06FD"/>
    <w:rsid w:val="00AD2B3E"/>
    <w:rsid w:val="00AD2F63"/>
    <w:rsid w:val="00AD3D8F"/>
    <w:rsid w:val="00AD4BC9"/>
    <w:rsid w:val="00AD5D1A"/>
    <w:rsid w:val="00AD7E59"/>
    <w:rsid w:val="00AE1379"/>
    <w:rsid w:val="00AE3CCE"/>
    <w:rsid w:val="00AE494D"/>
    <w:rsid w:val="00AE6895"/>
    <w:rsid w:val="00AE6D86"/>
    <w:rsid w:val="00AE76C0"/>
    <w:rsid w:val="00AF13DC"/>
    <w:rsid w:val="00AF15C5"/>
    <w:rsid w:val="00AF1B13"/>
    <w:rsid w:val="00AF4A02"/>
    <w:rsid w:val="00AF5954"/>
    <w:rsid w:val="00AF5E8D"/>
    <w:rsid w:val="00AF73BF"/>
    <w:rsid w:val="00B00991"/>
    <w:rsid w:val="00B0453D"/>
    <w:rsid w:val="00B046C3"/>
    <w:rsid w:val="00B067EC"/>
    <w:rsid w:val="00B07384"/>
    <w:rsid w:val="00B0755A"/>
    <w:rsid w:val="00B075F3"/>
    <w:rsid w:val="00B1043B"/>
    <w:rsid w:val="00B105EE"/>
    <w:rsid w:val="00B110EF"/>
    <w:rsid w:val="00B131E6"/>
    <w:rsid w:val="00B1335E"/>
    <w:rsid w:val="00B14AF5"/>
    <w:rsid w:val="00B16E80"/>
    <w:rsid w:val="00B171E7"/>
    <w:rsid w:val="00B20451"/>
    <w:rsid w:val="00B2286C"/>
    <w:rsid w:val="00B230E9"/>
    <w:rsid w:val="00B23F6F"/>
    <w:rsid w:val="00B24301"/>
    <w:rsid w:val="00B24E10"/>
    <w:rsid w:val="00B26309"/>
    <w:rsid w:val="00B2660F"/>
    <w:rsid w:val="00B27CD5"/>
    <w:rsid w:val="00B3153A"/>
    <w:rsid w:val="00B31767"/>
    <w:rsid w:val="00B3226E"/>
    <w:rsid w:val="00B3335B"/>
    <w:rsid w:val="00B35F41"/>
    <w:rsid w:val="00B37F50"/>
    <w:rsid w:val="00B40473"/>
    <w:rsid w:val="00B40925"/>
    <w:rsid w:val="00B4291C"/>
    <w:rsid w:val="00B43490"/>
    <w:rsid w:val="00B44447"/>
    <w:rsid w:val="00B44C93"/>
    <w:rsid w:val="00B465E6"/>
    <w:rsid w:val="00B46B00"/>
    <w:rsid w:val="00B46BD3"/>
    <w:rsid w:val="00B512AF"/>
    <w:rsid w:val="00B53E55"/>
    <w:rsid w:val="00B543B3"/>
    <w:rsid w:val="00B54CB3"/>
    <w:rsid w:val="00B54D9A"/>
    <w:rsid w:val="00B5570A"/>
    <w:rsid w:val="00B56C2A"/>
    <w:rsid w:val="00B5723A"/>
    <w:rsid w:val="00B65B4A"/>
    <w:rsid w:val="00B70BBE"/>
    <w:rsid w:val="00B7178D"/>
    <w:rsid w:val="00B71A9D"/>
    <w:rsid w:val="00B73B85"/>
    <w:rsid w:val="00B75570"/>
    <w:rsid w:val="00B76CE2"/>
    <w:rsid w:val="00B7751B"/>
    <w:rsid w:val="00B7781F"/>
    <w:rsid w:val="00B778C6"/>
    <w:rsid w:val="00B77967"/>
    <w:rsid w:val="00B77FE7"/>
    <w:rsid w:val="00B83B83"/>
    <w:rsid w:val="00B84D1D"/>
    <w:rsid w:val="00B85773"/>
    <w:rsid w:val="00B8675E"/>
    <w:rsid w:val="00B87D97"/>
    <w:rsid w:val="00B91AA7"/>
    <w:rsid w:val="00B943DC"/>
    <w:rsid w:val="00B94AE6"/>
    <w:rsid w:val="00B95A40"/>
    <w:rsid w:val="00B97D14"/>
    <w:rsid w:val="00BA2BC9"/>
    <w:rsid w:val="00BA2DCD"/>
    <w:rsid w:val="00BA3936"/>
    <w:rsid w:val="00BA4686"/>
    <w:rsid w:val="00BA655A"/>
    <w:rsid w:val="00BB28A0"/>
    <w:rsid w:val="00BB2A5C"/>
    <w:rsid w:val="00BB2EA9"/>
    <w:rsid w:val="00BB2F27"/>
    <w:rsid w:val="00BB3E9A"/>
    <w:rsid w:val="00BB5237"/>
    <w:rsid w:val="00BC1A55"/>
    <w:rsid w:val="00BC2450"/>
    <w:rsid w:val="00BD1866"/>
    <w:rsid w:val="00BD23CE"/>
    <w:rsid w:val="00BD2891"/>
    <w:rsid w:val="00BD3E0C"/>
    <w:rsid w:val="00BD630A"/>
    <w:rsid w:val="00BE1CE9"/>
    <w:rsid w:val="00BE2E45"/>
    <w:rsid w:val="00BE6ED0"/>
    <w:rsid w:val="00BE74FD"/>
    <w:rsid w:val="00BF05E4"/>
    <w:rsid w:val="00BF1364"/>
    <w:rsid w:val="00BF142D"/>
    <w:rsid w:val="00BF3DEF"/>
    <w:rsid w:val="00BF46F2"/>
    <w:rsid w:val="00BF579B"/>
    <w:rsid w:val="00BF6133"/>
    <w:rsid w:val="00BF698E"/>
    <w:rsid w:val="00BF7548"/>
    <w:rsid w:val="00BF7967"/>
    <w:rsid w:val="00C0080C"/>
    <w:rsid w:val="00C01E81"/>
    <w:rsid w:val="00C03711"/>
    <w:rsid w:val="00C03D4A"/>
    <w:rsid w:val="00C04AF3"/>
    <w:rsid w:val="00C05EF2"/>
    <w:rsid w:val="00C06C30"/>
    <w:rsid w:val="00C06F92"/>
    <w:rsid w:val="00C07265"/>
    <w:rsid w:val="00C07CD6"/>
    <w:rsid w:val="00C102A5"/>
    <w:rsid w:val="00C1142E"/>
    <w:rsid w:val="00C126AE"/>
    <w:rsid w:val="00C13612"/>
    <w:rsid w:val="00C13DEE"/>
    <w:rsid w:val="00C14594"/>
    <w:rsid w:val="00C14671"/>
    <w:rsid w:val="00C146B6"/>
    <w:rsid w:val="00C14BE8"/>
    <w:rsid w:val="00C16260"/>
    <w:rsid w:val="00C17666"/>
    <w:rsid w:val="00C20A0E"/>
    <w:rsid w:val="00C2109B"/>
    <w:rsid w:val="00C241BA"/>
    <w:rsid w:val="00C2570A"/>
    <w:rsid w:val="00C25BAD"/>
    <w:rsid w:val="00C27818"/>
    <w:rsid w:val="00C3018B"/>
    <w:rsid w:val="00C30F84"/>
    <w:rsid w:val="00C328B5"/>
    <w:rsid w:val="00C33599"/>
    <w:rsid w:val="00C33A4D"/>
    <w:rsid w:val="00C35D79"/>
    <w:rsid w:val="00C374B6"/>
    <w:rsid w:val="00C43F69"/>
    <w:rsid w:val="00C44720"/>
    <w:rsid w:val="00C44B9D"/>
    <w:rsid w:val="00C46640"/>
    <w:rsid w:val="00C519A1"/>
    <w:rsid w:val="00C51AD6"/>
    <w:rsid w:val="00C5270B"/>
    <w:rsid w:val="00C52C4E"/>
    <w:rsid w:val="00C54497"/>
    <w:rsid w:val="00C5577E"/>
    <w:rsid w:val="00C561B2"/>
    <w:rsid w:val="00C56353"/>
    <w:rsid w:val="00C566E1"/>
    <w:rsid w:val="00C5767D"/>
    <w:rsid w:val="00C57896"/>
    <w:rsid w:val="00C579CF"/>
    <w:rsid w:val="00C601D7"/>
    <w:rsid w:val="00C629A7"/>
    <w:rsid w:val="00C63166"/>
    <w:rsid w:val="00C649F5"/>
    <w:rsid w:val="00C6716C"/>
    <w:rsid w:val="00C70252"/>
    <w:rsid w:val="00C71481"/>
    <w:rsid w:val="00C714A5"/>
    <w:rsid w:val="00C71BAC"/>
    <w:rsid w:val="00C71D5A"/>
    <w:rsid w:val="00C7299F"/>
    <w:rsid w:val="00C72E7B"/>
    <w:rsid w:val="00C73D18"/>
    <w:rsid w:val="00C743DD"/>
    <w:rsid w:val="00C75506"/>
    <w:rsid w:val="00C76063"/>
    <w:rsid w:val="00C77575"/>
    <w:rsid w:val="00C77C0E"/>
    <w:rsid w:val="00C87F4E"/>
    <w:rsid w:val="00C91801"/>
    <w:rsid w:val="00C922F5"/>
    <w:rsid w:val="00C92B56"/>
    <w:rsid w:val="00C92C97"/>
    <w:rsid w:val="00C9423B"/>
    <w:rsid w:val="00C952C3"/>
    <w:rsid w:val="00C95C7A"/>
    <w:rsid w:val="00C962BB"/>
    <w:rsid w:val="00C970EA"/>
    <w:rsid w:val="00C97CC8"/>
    <w:rsid w:val="00CA19AD"/>
    <w:rsid w:val="00CA283E"/>
    <w:rsid w:val="00CA2BDE"/>
    <w:rsid w:val="00CA3B99"/>
    <w:rsid w:val="00CA3D6B"/>
    <w:rsid w:val="00CA410E"/>
    <w:rsid w:val="00CA4E2A"/>
    <w:rsid w:val="00CA5561"/>
    <w:rsid w:val="00CA7701"/>
    <w:rsid w:val="00CA7F5B"/>
    <w:rsid w:val="00CB2064"/>
    <w:rsid w:val="00CB5E2E"/>
    <w:rsid w:val="00CB6393"/>
    <w:rsid w:val="00CB6422"/>
    <w:rsid w:val="00CB64C7"/>
    <w:rsid w:val="00CB6D06"/>
    <w:rsid w:val="00CB73E8"/>
    <w:rsid w:val="00CC027E"/>
    <w:rsid w:val="00CC078F"/>
    <w:rsid w:val="00CC4983"/>
    <w:rsid w:val="00CC5DFC"/>
    <w:rsid w:val="00CC6271"/>
    <w:rsid w:val="00CC79AB"/>
    <w:rsid w:val="00CD011C"/>
    <w:rsid w:val="00CD0934"/>
    <w:rsid w:val="00CD1242"/>
    <w:rsid w:val="00CD395A"/>
    <w:rsid w:val="00CD567A"/>
    <w:rsid w:val="00CD5A0C"/>
    <w:rsid w:val="00CD5EF9"/>
    <w:rsid w:val="00CE064D"/>
    <w:rsid w:val="00CE6E6E"/>
    <w:rsid w:val="00CE7855"/>
    <w:rsid w:val="00CE7A02"/>
    <w:rsid w:val="00CE7A8F"/>
    <w:rsid w:val="00CE7CD3"/>
    <w:rsid w:val="00CF054A"/>
    <w:rsid w:val="00CF124E"/>
    <w:rsid w:val="00CF4B15"/>
    <w:rsid w:val="00CF4E09"/>
    <w:rsid w:val="00CF6F63"/>
    <w:rsid w:val="00D041C0"/>
    <w:rsid w:val="00D05230"/>
    <w:rsid w:val="00D07DF5"/>
    <w:rsid w:val="00D1095E"/>
    <w:rsid w:val="00D121DF"/>
    <w:rsid w:val="00D1332E"/>
    <w:rsid w:val="00D139BE"/>
    <w:rsid w:val="00D20C4D"/>
    <w:rsid w:val="00D23179"/>
    <w:rsid w:val="00D2494D"/>
    <w:rsid w:val="00D25C07"/>
    <w:rsid w:val="00D25F0C"/>
    <w:rsid w:val="00D260C8"/>
    <w:rsid w:val="00D261FC"/>
    <w:rsid w:val="00D272A2"/>
    <w:rsid w:val="00D2763E"/>
    <w:rsid w:val="00D308C4"/>
    <w:rsid w:val="00D32699"/>
    <w:rsid w:val="00D32DE1"/>
    <w:rsid w:val="00D3303E"/>
    <w:rsid w:val="00D330CA"/>
    <w:rsid w:val="00D341C8"/>
    <w:rsid w:val="00D3442C"/>
    <w:rsid w:val="00D34D37"/>
    <w:rsid w:val="00D37225"/>
    <w:rsid w:val="00D40062"/>
    <w:rsid w:val="00D402BE"/>
    <w:rsid w:val="00D406E9"/>
    <w:rsid w:val="00D41054"/>
    <w:rsid w:val="00D4448C"/>
    <w:rsid w:val="00D44E93"/>
    <w:rsid w:val="00D45943"/>
    <w:rsid w:val="00D46923"/>
    <w:rsid w:val="00D46CF6"/>
    <w:rsid w:val="00D515EF"/>
    <w:rsid w:val="00D53055"/>
    <w:rsid w:val="00D5577E"/>
    <w:rsid w:val="00D60F59"/>
    <w:rsid w:val="00D63263"/>
    <w:rsid w:val="00D63714"/>
    <w:rsid w:val="00D63AAB"/>
    <w:rsid w:val="00D65312"/>
    <w:rsid w:val="00D6559E"/>
    <w:rsid w:val="00D655D4"/>
    <w:rsid w:val="00D67738"/>
    <w:rsid w:val="00D7167A"/>
    <w:rsid w:val="00D71994"/>
    <w:rsid w:val="00D72D91"/>
    <w:rsid w:val="00D72E31"/>
    <w:rsid w:val="00D74BFE"/>
    <w:rsid w:val="00D76443"/>
    <w:rsid w:val="00D77B6B"/>
    <w:rsid w:val="00D77FDC"/>
    <w:rsid w:val="00D806FB"/>
    <w:rsid w:val="00D80D2E"/>
    <w:rsid w:val="00D810F3"/>
    <w:rsid w:val="00D829FC"/>
    <w:rsid w:val="00D8548F"/>
    <w:rsid w:val="00D86C0C"/>
    <w:rsid w:val="00D86D2F"/>
    <w:rsid w:val="00D90460"/>
    <w:rsid w:val="00D9100C"/>
    <w:rsid w:val="00D91036"/>
    <w:rsid w:val="00D91B60"/>
    <w:rsid w:val="00D94084"/>
    <w:rsid w:val="00D94159"/>
    <w:rsid w:val="00D94EF1"/>
    <w:rsid w:val="00D95B2B"/>
    <w:rsid w:val="00D97C44"/>
    <w:rsid w:val="00D97EC3"/>
    <w:rsid w:val="00DA217D"/>
    <w:rsid w:val="00DA483E"/>
    <w:rsid w:val="00DA4C6A"/>
    <w:rsid w:val="00DA54F4"/>
    <w:rsid w:val="00DB15EB"/>
    <w:rsid w:val="00DB398B"/>
    <w:rsid w:val="00DB4503"/>
    <w:rsid w:val="00DC07AD"/>
    <w:rsid w:val="00DC148C"/>
    <w:rsid w:val="00DC222D"/>
    <w:rsid w:val="00DC2CB8"/>
    <w:rsid w:val="00DC3817"/>
    <w:rsid w:val="00DC3F8B"/>
    <w:rsid w:val="00DC4412"/>
    <w:rsid w:val="00DC48AF"/>
    <w:rsid w:val="00DC4F3B"/>
    <w:rsid w:val="00DC569F"/>
    <w:rsid w:val="00DC6EA1"/>
    <w:rsid w:val="00DC71EF"/>
    <w:rsid w:val="00DC74DD"/>
    <w:rsid w:val="00DC7ACF"/>
    <w:rsid w:val="00DC7E4D"/>
    <w:rsid w:val="00DD0731"/>
    <w:rsid w:val="00DD239B"/>
    <w:rsid w:val="00DD2872"/>
    <w:rsid w:val="00DD4212"/>
    <w:rsid w:val="00DE0286"/>
    <w:rsid w:val="00DE1591"/>
    <w:rsid w:val="00DE26F9"/>
    <w:rsid w:val="00DE413A"/>
    <w:rsid w:val="00DE524C"/>
    <w:rsid w:val="00DF0E3D"/>
    <w:rsid w:val="00DF2ADE"/>
    <w:rsid w:val="00DF391F"/>
    <w:rsid w:val="00DF4672"/>
    <w:rsid w:val="00DF6C50"/>
    <w:rsid w:val="00DF7916"/>
    <w:rsid w:val="00DF7E3E"/>
    <w:rsid w:val="00E02B0D"/>
    <w:rsid w:val="00E0318F"/>
    <w:rsid w:val="00E0381E"/>
    <w:rsid w:val="00E03AED"/>
    <w:rsid w:val="00E05076"/>
    <w:rsid w:val="00E06F82"/>
    <w:rsid w:val="00E13D1F"/>
    <w:rsid w:val="00E146B9"/>
    <w:rsid w:val="00E1574C"/>
    <w:rsid w:val="00E1669B"/>
    <w:rsid w:val="00E21283"/>
    <w:rsid w:val="00E22F85"/>
    <w:rsid w:val="00E244AB"/>
    <w:rsid w:val="00E25CEF"/>
    <w:rsid w:val="00E26ECB"/>
    <w:rsid w:val="00E270F0"/>
    <w:rsid w:val="00E27378"/>
    <w:rsid w:val="00E330CC"/>
    <w:rsid w:val="00E332A2"/>
    <w:rsid w:val="00E34439"/>
    <w:rsid w:val="00E4045C"/>
    <w:rsid w:val="00E40553"/>
    <w:rsid w:val="00E436EE"/>
    <w:rsid w:val="00E43A58"/>
    <w:rsid w:val="00E43D44"/>
    <w:rsid w:val="00E44F81"/>
    <w:rsid w:val="00E459BB"/>
    <w:rsid w:val="00E500F8"/>
    <w:rsid w:val="00E50AB3"/>
    <w:rsid w:val="00E51450"/>
    <w:rsid w:val="00E52902"/>
    <w:rsid w:val="00E52C61"/>
    <w:rsid w:val="00E5438C"/>
    <w:rsid w:val="00E54725"/>
    <w:rsid w:val="00E552F6"/>
    <w:rsid w:val="00E560D4"/>
    <w:rsid w:val="00E56951"/>
    <w:rsid w:val="00E570F6"/>
    <w:rsid w:val="00E57857"/>
    <w:rsid w:val="00E62D85"/>
    <w:rsid w:val="00E64D08"/>
    <w:rsid w:val="00E67BD1"/>
    <w:rsid w:val="00E760CA"/>
    <w:rsid w:val="00E763C5"/>
    <w:rsid w:val="00E76B18"/>
    <w:rsid w:val="00E8051C"/>
    <w:rsid w:val="00E80E30"/>
    <w:rsid w:val="00E83896"/>
    <w:rsid w:val="00E83AAF"/>
    <w:rsid w:val="00E84120"/>
    <w:rsid w:val="00E8429E"/>
    <w:rsid w:val="00E854EB"/>
    <w:rsid w:val="00E8586E"/>
    <w:rsid w:val="00E904D9"/>
    <w:rsid w:val="00E90B33"/>
    <w:rsid w:val="00E91DE5"/>
    <w:rsid w:val="00E93535"/>
    <w:rsid w:val="00E9528D"/>
    <w:rsid w:val="00E95ED9"/>
    <w:rsid w:val="00E95FEC"/>
    <w:rsid w:val="00E97386"/>
    <w:rsid w:val="00E97A02"/>
    <w:rsid w:val="00E97C86"/>
    <w:rsid w:val="00EA0199"/>
    <w:rsid w:val="00EA109D"/>
    <w:rsid w:val="00EA1380"/>
    <w:rsid w:val="00EA45A4"/>
    <w:rsid w:val="00EA5F44"/>
    <w:rsid w:val="00EA7144"/>
    <w:rsid w:val="00EA7943"/>
    <w:rsid w:val="00EB0D9F"/>
    <w:rsid w:val="00EB2D35"/>
    <w:rsid w:val="00EB4B5D"/>
    <w:rsid w:val="00EB67D1"/>
    <w:rsid w:val="00EB6AA4"/>
    <w:rsid w:val="00EC0466"/>
    <w:rsid w:val="00EC1374"/>
    <w:rsid w:val="00EC1AEC"/>
    <w:rsid w:val="00EC2F01"/>
    <w:rsid w:val="00EC379A"/>
    <w:rsid w:val="00EC523A"/>
    <w:rsid w:val="00ED07A6"/>
    <w:rsid w:val="00ED17AC"/>
    <w:rsid w:val="00ED19A8"/>
    <w:rsid w:val="00ED318F"/>
    <w:rsid w:val="00ED485B"/>
    <w:rsid w:val="00ED4DBC"/>
    <w:rsid w:val="00ED65D4"/>
    <w:rsid w:val="00EE087C"/>
    <w:rsid w:val="00EE214F"/>
    <w:rsid w:val="00EE372A"/>
    <w:rsid w:val="00EE3E04"/>
    <w:rsid w:val="00EE4054"/>
    <w:rsid w:val="00EE4516"/>
    <w:rsid w:val="00EF6867"/>
    <w:rsid w:val="00EF70EE"/>
    <w:rsid w:val="00F00437"/>
    <w:rsid w:val="00F006D5"/>
    <w:rsid w:val="00F03DE7"/>
    <w:rsid w:val="00F06EA2"/>
    <w:rsid w:val="00F06F48"/>
    <w:rsid w:val="00F0749D"/>
    <w:rsid w:val="00F11EE8"/>
    <w:rsid w:val="00F13B50"/>
    <w:rsid w:val="00F158E8"/>
    <w:rsid w:val="00F16910"/>
    <w:rsid w:val="00F2022A"/>
    <w:rsid w:val="00F21430"/>
    <w:rsid w:val="00F22E27"/>
    <w:rsid w:val="00F27DD8"/>
    <w:rsid w:val="00F40B85"/>
    <w:rsid w:val="00F4225A"/>
    <w:rsid w:val="00F42506"/>
    <w:rsid w:val="00F47CCE"/>
    <w:rsid w:val="00F51780"/>
    <w:rsid w:val="00F52CB7"/>
    <w:rsid w:val="00F5317D"/>
    <w:rsid w:val="00F53F7E"/>
    <w:rsid w:val="00F5574F"/>
    <w:rsid w:val="00F55E0E"/>
    <w:rsid w:val="00F61826"/>
    <w:rsid w:val="00F64BB0"/>
    <w:rsid w:val="00F656CE"/>
    <w:rsid w:val="00F6788E"/>
    <w:rsid w:val="00F71FA0"/>
    <w:rsid w:val="00F72822"/>
    <w:rsid w:val="00F73BA5"/>
    <w:rsid w:val="00F74662"/>
    <w:rsid w:val="00F77AEF"/>
    <w:rsid w:val="00F801E0"/>
    <w:rsid w:val="00F80402"/>
    <w:rsid w:val="00F808DA"/>
    <w:rsid w:val="00F8105D"/>
    <w:rsid w:val="00F852FB"/>
    <w:rsid w:val="00F87514"/>
    <w:rsid w:val="00F912D8"/>
    <w:rsid w:val="00F92F3E"/>
    <w:rsid w:val="00F92FFC"/>
    <w:rsid w:val="00F93E6A"/>
    <w:rsid w:val="00F9459D"/>
    <w:rsid w:val="00FA063A"/>
    <w:rsid w:val="00FA2048"/>
    <w:rsid w:val="00FA26B8"/>
    <w:rsid w:val="00FA2BD7"/>
    <w:rsid w:val="00FA3A7C"/>
    <w:rsid w:val="00FA44AE"/>
    <w:rsid w:val="00FA5565"/>
    <w:rsid w:val="00FA6D28"/>
    <w:rsid w:val="00FA7521"/>
    <w:rsid w:val="00FB002C"/>
    <w:rsid w:val="00FB2122"/>
    <w:rsid w:val="00FB3380"/>
    <w:rsid w:val="00FB351D"/>
    <w:rsid w:val="00FB402B"/>
    <w:rsid w:val="00FB4A76"/>
    <w:rsid w:val="00FB5BC0"/>
    <w:rsid w:val="00FB6559"/>
    <w:rsid w:val="00FC104C"/>
    <w:rsid w:val="00FC4894"/>
    <w:rsid w:val="00FC51E5"/>
    <w:rsid w:val="00FC5F42"/>
    <w:rsid w:val="00FC68E6"/>
    <w:rsid w:val="00FC7A9D"/>
    <w:rsid w:val="00FC7CC2"/>
    <w:rsid w:val="00FD0691"/>
    <w:rsid w:val="00FD164C"/>
    <w:rsid w:val="00FD4211"/>
    <w:rsid w:val="00FD7160"/>
    <w:rsid w:val="00FE0C1F"/>
    <w:rsid w:val="00FE1F8F"/>
    <w:rsid w:val="00FE3533"/>
    <w:rsid w:val="00FE3D95"/>
    <w:rsid w:val="00FE424D"/>
    <w:rsid w:val="00FE5D57"/>
    <w:rsid w:val="00FE5D99"/>
    <w:rsid w:val="00FE61FA"/>
    <w:rsid w:val="00FE6585"/>
    <w:rsid w:val="00FE694D"/>
    <w:rsid w:val="00FE7F78"/>
    <w:rsid w:val="00FF0AB0"/>
    <w:rsid w:val="00FF38A8"/>
    <w:rsid w:val="00FF543E"/>
    <w:rsid w:val="00FF60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4C373"/>
  <w15:docId w15:val="{4DBBA730-C200-4E1C-B2DD-E449449B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768B"/>
    <w:pPr>
      <w:spacing w:after="200" w:line="276" w:lineRule="auto"/>
    </w:pPr>
    <w:rPr>
      <w:rFonts w:asciiTheme="minorHAnsi" w:eastAsiaTheme="minorHAnsi" w:hAnsiTheme="minorHAnsi" w:cstheme="minorBidi"/>
      <w:sz w:val="22"/>
      <w:szCs w:val="22"/>
      <w:lang w:eastAsia="en-US"/>
    </w:rPr>
  </w:style>
  <w:style w:type="paragraph" w:styleId="Nagwek1">
    <w:name w:val="heading 1"/>
    <w:basedOn w:val="Normalny"/>
    <w:next w:val="Normalny"/>
    <w:link w:val="Nagwek1Znak"/>
    <w:qFormat/>
    <w:rsid w:val="00A4133B"/>
    <w:pPr>
      <w:keepNext/>
      <w:widowControl w:val="0"/>
      <w:spacing w:before="240" w:after="240" w:line="240" w:lineRule="auto"/>
      <w:outlineLvl w:val="0"/>
    </w:pPr>
    <w:rPr>
      <w:rFonts w:ascii="Arial" w:eastAsia="Times New Roman" w:hAnsi="Arial" w:cs="Arial"/>
      <w:b/>
      <w:bCs/>
      <w:i/>
      <w:kern w:val="2"/>
      <w:sz w:val="20"/>
      <w:szCs w:val="20"/>
      <w:lang w:eastAsia="pl-PL"/>
    </w:rPr>
  </w:style>
  <w:style w:type="paragraph" w:styleId="Nagwek2">
    <w:name w:val="heading 2"/>
    <w:basedOn w:val="Normalny"/>
    <w:next w:val="Normalny"/>
    <w:link w:val="Nagwek2Znak"/>
    <w:qFormat/>
    <w:rsid w:val="00A4133B"/>
    <w:pPr>
      <w:keepNext/>
      <w:widowControl w:val="0"/>
      <w:spacing w:before="240" w:after="240" w:line="240" w:lineRule="auto"/>
      <w:outlineLvl w:val="1"/>
    </w:pPr>
    <w:rPr>
      <w:rFonts w:ascii="Arial" w:eastAsia="Times New Roman" w:hAnsi="Arial" w:cs="Arial"/>
      <w:b/>
      <w:bCs/>
      <w:i/>
      <w:iCs/>
      <w:lang w:eastAsia="pl-PL"/>
    </w:rPr>
  </w:style>
  <w:style w:type="paragraph" w:styleId="Nagwek3">
    <w:name w:val="heading 3"/>
    <w:basedOn w:val="Normalny"/>
    <w:next w:val="Normalny"/>
    <w:link w:val="Nagwek3Znak"/>
    <w:qFormat/>
    <w:rsid w:val="00A4133B"/>
    <w:pPr>
      <w:keepNext/>
      <w:widowControl w:val="0"/>
      <w:numPr>
        <w:numId w:val="1"/>
      </w:numPr>
      <w:spacing w:before="240" w:after="60" w:line="240" w:lineRule="auto"/>
      <w:outlineLvl w:val="2"/>
    </w:pPr>
    <w:rPr>
      <w:rFonts w:ascii="Arial" w:eastAsia="Times New Roman" w:hAnsi="Arial" w:cs="Arial"/>
      <w:b/>
      <w:bCs/>
      <w:i/>
      <w:szCs w:val="26"/>
      <w:lang w:eastAsia="pl-PL"/>
    </w:rPr>
  </w:style>
  <w:style w:type="paragraph" w:styleId="Nagwek4">
    <w:name w:val="heading 4"/>
    <w:basedOn w:val="Nagwek3"/>
    <w:next w:val="Normalny"/>
    <w:link w:val="Nagwek4Znak"/>
    <w:qFormat/>
    <w:rsid w:val="00A4133B"/>
    <w:pPr>
      <w:numPr>
        <w:ilvl w:val="1"/>
      </w:numPr>
      <w:outlineLvl w:val="3"/>
    </w:pPr>
  </w:style>
  <w:style w:type="paragraph" w:styleId="Nagwek5">
    <w:name w:val="heading 5"/>
    <w:basedOn w:val="Normalny"/>
    <w:next w:val="Normalny"/>
    <w:link w:val="Nagwek5Znak"/>
    <w:qFormat/>
    <w:rsid w:val="003D2A8E"/>
    <w:pPr>
      <w:widowControl w:val="0"/>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qFormat/>
    <w:locked/>
    <w:rsid w:val="00ED07A6"/>
    <w:pPr>
      <w:keepNext/>
      <w:spacing w:after="0" w:line="240" w:lineRule="auto"/>
      <w:jc w:val="center"/>
      <w:outlineLvl w:val="5"/>
    </w:pPr>
    <w:rPr>
      <w:rFonts w:ascii="Times New Roman" w:eastAsia="Times New Roman" w:hAnsi="Times New Roman" w:cs="Times New Roman"/>
      <w:b/>
      <w:szCs w:val="20"/>
      <w:lang w:eastAsia="pl-PL"/>
    </w:rPr>
  </w:style>
  <w:style w:type="paragraph" w:styleId="Nagwek7">
    <w:name w:val="heading 7"/>
    <w:basedOn w:val="Normalny"/>
    <w:next w:val="Normalny"/>
    <w:link w:val="Nagwek7Znak"/>
    <w:qFormat/>
    <w:locked/>
    <w:rsid w:val="00ED07A6"/>
    <w:pPr>
      <w:keepNext/>
      <w:spacing w:after="0" w:line="240" w:lineRule="auto"/>
      <w:jc w:val="center"/>
      <w:outlineLvl w:val="6"/>
    </w:pPr>
    <w:rPr>
      <w:rFonts w:ascii="Times New Roman" w:eastAsia="Times New Roman" w:hAnsi="Times New Roman" w:cs="Times New Roman"/>
      <w:sz w:val="24"/>
      <w:szCs w:val="20"/>
      <w:lang w:eastAsia="pl-PL"/>
    </w:rPr>
  </w:style>
  <w:style w:type="paragraph" w:styleId="Nagwek8">
    <w:name w:val="heading 8"/>
    <w:basedOn w:val="Normalny"/>
    <w:next w:val="Normalny"/>
    <w:link w:val="Nagwek8Znak"/>
    <w:semiHidden/>
    <w:unhideWhenUsed/>
    <w:qFormat/>
    <w:locked/>
    <w:rsid w:val="0016482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qFormat/>
    <w:locked/>
    <w:rsid w:val="00ED07A6"/>
    <w:pPr>
      <w:keepNext/>
      <w:spacing w:after="0" w:line="240" w:lineRule="auto"/>
      <w:ind w:left="284"/>
      <w:jc w:val="center"/>
      <w:outlineLvl w:val="8"/>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B42B53"/>
    <w:rPr>
      <w:rFonts w:ascii="Cambria" w:hAnsi="Cambria" w:cs="Times New Roman"/>
      <w:b/>
      <w:bCs/>
      <w:kern w:val="2"/>
      <w:sz w:val="32"/>
      <w:szCs w:val="32"/>
    </w:rPr>
  </w:style>
  <w:style w:type="character" w:customStyle="1" w:styleId="Nagwek2Znak">
    <w:name w:val="Nagłówek 2 Znak"/>
    <w:link w:val="Nagwek2"/>
    <w:uiPriority w:val="99"/>
    <w:semiHidden/>
    <w:qFormat/>
    <w:locked/>
    <w:rsid w:val="00B42B53"/>
    <w:rPr>
      <w:rFonts w:ascii="Cambria" w:hAnsi="Cambria" w:cs="Times New Roman"/>
      <w:b/>
      <w:bCs/>
      <w:i/>
      <w:iCs/>
      <w:sz w:val="28"/>
      <w:szCs w:val="28"/>
    </w:rPr>
  </w:style>
  <w:style w:type="character" w:customStyle="1" w:styleId="Nagwek3Znak">
    <w:name w:val="Nagłówek 3 Znak"/>
    <w:link w:val="Nagwek3"/>
    <w:qFormat/>
    <w:locked/>
    <w:rsid w:val="00B42B53"/>
    <w:rPr>
      <w:rFonts w:ascii="Arial" w:hAnsi="Arial" w:cs="Arial"/>
      <w:b/>
      <w:bCs/>
      <w:i/>
      <w:sz w:val="22"/>
      <w:szCs w:val="26"/>
    </w:rPr>
  </w:style>
  <w:style w:type="character" w:customStyle="1" w:styleId="Nagwek4Znak">
    <w:name w:val="Nagłówek 4 Znak"/>
    <w:link w:val="Nagwek4"/>
    <w:qFormat/>
    <w:locked/>
    <w:rsid w:val="00A4133B"/>
    <w:rPr>
      <w:rFonts w:ascii="Arial" w:hAnsi="Arial" w:cs="Arial"/>
      <w:b/>
      <w:bCs/>
      <w:i/>
      <w:sz w:val="22"/>
      <w:szCs w:val="26"/>
    </w:rPr>
  </w:style>
  <w:style w:type="character" w:customStyle="1" w:styleId="Nagwek5Znak">
    <w:name w:val="Nagłówek 5 Znak"/>
    <w:link w:val="Nagwek5"/>
    <w:uiPriority w:val="99"/>
    <w:semiHidden/>
    <w:qFormat/>
    <w:locked/>
    <w:rsid w:val="00B42B53"/>
    <w:rPr>
      <w:rFonts w:ascii="Calibri" w:hAnsi="Calibri" w:cs="Times New Roman"/>
      <w:b/>
      <w:bCs/>
      <w:i/>
      <w:iCs/>
      <w:sz w:val="26"/>
      <w:szCs w:val="26"/>
    </w:rPr>
  </w:style>
  <w:style w:type="character" w:customStyle="1" w:styleId="NagwekZnak">
    <w:name w:val="Nagłówek Znak"/>
    <w:link w:val="Nagwek"/>
    <w:uiPriority w:val="99"/>
    <w:qFormat/>
    <w:locked/>
    <w:rsid w:val="00566AE1"/>
    <w:rPr>
      <w:rFonts w:cs="Times New Roman"/>
      <w:lang w:val="pl-PL" w:eastAsia="pl-PL"/>
    </w:rPr>
  </w:style>
  <w:style w:type="character" w:customStyle="1" w:styleId="napakapitZnak">
    <w:name w:val="nap_akapit Znak"/>
    <w:uiPriority w:val="99"/>
    <w:qFormat/>
    <w:locked/>
    <w:rsid w:val="00D21058"/>
    <w:rPr>
      <w:rFonts w:ascii="Arial" w:hAnsi="Arial"/>
      <w:lang w:val="pl-PL" w:eastAsia="pl-PL"/>
    </w:rPr>
  </w:style>
  <w:style w:type="character" w:styleId="Odwoaniedokomentarza">
    <w:name w:val="annotation reference"/>
    <w:uiPriority w:val="99"/>
    <w:semiHidden/>
    <w:qFormat/>
    <w:rsid w:val="00F158D3"/>
    <w:rPr>
      <w:rFonts w:cs="Times New Roman"/>
      <w:sz w:val="16"/>
    </w:rPr>
  </w:style>
  <w:style w:type="character" w:customStyle="1" w:styleId="TekstkomentarzaZnak">
    <w:name w:val="Tekst komentarza Znak"/>
    <w:link w:val="Tekstkomentarza"/>
    <w:uiPriority w:val="99"/>
    <w:semiHidden/>
    <w:qFormat/>
    <w:locked/>
    <w:rsid w:val="00F158D3"/>
    <w:rPr>
      <w:rFonts w:cs="Times New Roman"/>
      <w:lang w:val="pl-PL" w:eastAsia="pl-PL"/>
    </w:rPr>
  </w:style>
  <w:style w:type="character" w:customStyle="1" w:styleId="TekstdymkaZnak">
    <w:name w:val="Tekst dymka Znak"/>
    <w:link w:val="Tekstdymka"/>
    <w:uiPriority w:val="99"/>
    <w:semiHidden/>
    <w:qFormat/>
    <w:locked/>
    <w:rsid w:val="00B42B53"/>
    <w:rPr>
      <w:rFonts w:cs="Times New Roman"/>
      <w:sz w:val="2"/>
    </w:rPr>
  </w:style>
  <w:style w:type="character" w:customStyle="1" w:styleId="Wyrnienie">
    <w:name w:val="Wyróżnienie"/>
    <w:uiPriority w:val="99"/>
    <w:qFormat/>
    <w:rsid w:val="006D5C2C"/>
    <w:rPr>
      <w:rFonts w:cs="Times New Roman"/>
      <w:i/>
    </w:rPr>
  </w:style>
  <w:style w:type="character" w:customStyle="1" w:styleId="TekstpodstawowyZnak">
    <w:name w:val="Tekst podstawowy Znak"/>
    <w:link w:val="Tekstpodstawowy"/>
    <w:uiPriority w:val="99"/>
    <w:qFormat/>
    <w:locked/>
    <w:rsid w:val="006D5C2C"/>
    <w:rPr>
      <w:rFonts w:cs="Times New Roman"/>
      <w:sz w:val="24"/>
      <w:lang w:val="pl-PL" w:eastAsia="pl-PL"/>
    </w:rPr>
  </w:style>
  <w:style w:type="character" w:customStyle="1" w:styleId="StopkaZnak">
    <w:name w:val="Stopka Znak"/>
    <w:link w:val="Stopka"/>
    <w:uiPriority w:val="99"/>
    <w:qFormat/>
    <w:locked/>
    <w:rsid w:val="00B42B53"/>
    <w:rPr>
      <w:rFonts w:cs="Times New Roman"/>
      <w:sz w:val="24"/>
      <w:szCs w:val="24"/>
    </w:rPr>
  </w:style>
  <w:style w:type="character" w:styleId="Numerstrony">
    <w:name w:val="page number"/>
    <w:uiPriority w:val="99"/>
    <w:qFormat/>
    <w:rsid w:val="00AF59DE"/>
    <w:rPr>
      <w:rFonts w:cs="Times New Roman"/>
    </w:rPr>
  </w:style>
  <w:style w:type="character" w:customStyle="1" w:styleId="czeinternetowe">
    <w:name w:val="Łącze internetowe"/>
    <w:basedOn w:val="Domylnaczcionkaakapitu"/>
    <w:uiPriority w:val="99"/>
    <w:unhideWhenUsed/>
    <w:rsid w:val="00256EAC"/>
    <w:rPr>
      <w:color w:val="0000FF" w:themeColor="hyperlink"/>
      <w:u w:val="single"/>
    </w:rPr>
  </w:style>
  <w:style w:type="character" w:customStyle="1" w:styleId="1naglowekZnak">
    <w:name w:val="1 naglowek Znak"/>
    <w:link w:val="1naglowek"/>
    <w:uiPriority w:val="99"/>
    <w:qFormat/>
    <w:locked/>
    <w:rsid w:val="0035176C"/>
    <w:rPr>
      <w:rFonts w:ascii="Arial" w:hAnsi="Arial"/>
      <w:b/>
      <w:caps/>
      <w:sz w:val="24"/>
    </w:rPr>
  </w:style>
  <w:style w:type="character" w:customStyle="1" w:styleId="TematkomentarzaZnak">
    <w:name w:val="Temat komentarza Znak"/>
    <w:link w:val="Tematkomentarza"/>
    <w:uiPriority w:val="99"/>
    <w:semiHidden/>
    <w:qFormat/>
    <w:locked/>
    <w:rsid w:val="00B42B53"/>
    <w:rPr>
      <w:rFonts w:cs="Times New Roman"/>
      <w:b/>
      <w:bCs/>
      <w:sz w:val="20"/>
      <w:szCs w:val="20"/>
      <w:lang w:val="pl-PL" w:eastAsia="pl-PL"/>
    </w:rPr>
  </w:style>
  <w:style w:type="character" w:customStyle="1" w:styleId="MapadokumentuZnak">
    <w:name w:val="Mapa dokumentu Znak"/>
    <w:link w:val="Mapadokumentu"/>
    <w:uiPriority w:val="99"/>
    <w:semiHidden/>
    <w:qFormat/>
    <w:locked/>
    <w:rsid w:val="00B42B53"/>
    <w:rPr>
      <w:rFonts w:cs="Times New Roman"/>
      <w:sz w:val="2"/>
    </w:rPr>
  </w:style>
  <w:style w:type="character" w:customStyle="1" w:styleId="TekstprzypisukocowegoZnak">
    <w:name w:val="Tekst przypisu końcowego Znak"/>
    <w:basedOn w:val="Domylnaczcionkaakapitu"/>
    <w:link w:val="Tekstprzypisukocowego"/>
    <w:uiPriority w:val="99"/>
    <w:semiHidden/>
    <w:qFormat/>
    <w:rsid w:val="0030252F"/>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30252F"/>
    <w:rPr>
      <w:vertAlign w:val="superscript"/>
    </w:rPr>
  </w:style>
  <w:style w:type="character" w:customStyle="1" w:styleId="Nagwek8Znak">
    <w:name w:val="Nagłówek 8 Znak"/>
    <w:basedOn w:val="Domylnaczcionkaakapitu"/>
    <w:link w:val="Nagwek8"/>
    <w:semiHidden/>
    <w:qFormat/>
    <w:rsid w:val="0016482F"/>
    <w:rPr>
      <w:rFonts w:asciiTheme="majorHAnsi" w:eastAsiaTheme="majorEastAsia" w:hAnsiTheme="majorHAnsi" w:cstheme="majorBidi"/>
      <w:color w:val="272727" w:themeColor="text1" w:themeTint="D8"/>
      <w:sz w:val="21"/>
      <w:szCs w:val="21"/>
    </w:rPr>
  </w:style>
  <w:style w:type="character" w:customStyle="1" w:styleId="Odwiedzoneczeinternetowe">
    <w:name w:val="Odwiedzone łącze internetowe"/>
    <w:basedOn w:val="Domylnaczcionkaakapitu"/>
    <w:uiPriority w:val="99"/>
    <w:semiHidden/>
    <w:unhideWhenUsed/>
    <w:rsid w:val="006C60D4"/>
    <w:rPr>
      <w:color w:val="800080" w:themeColor="followedHyperlink"/>
      <w:u w:val="single"/>
    </w:rPr>
  </w:style>
  <w:style w:type="character" w:customStyle="1" w:styleId="TekstprzypisudolnegoZnak">
    <w:name w:val="Tekst przypisu dolnego Znak"/>
    <w:basedOn w:val="Domylnaczcionkaakapitu"/>
    <w:link w:val="Tekstprzypisudolnego"/>
    <w:uiPriority w:val="99"/>
    <w:qFormat/>
    <w:rsid w:val="004F5F22"/>
    <w:rPr>
      <w:rFonts w:eastAsia="Calibri"/>
    </w:rPr>
  </w:style>
  <w:style w:type="character" w:customStyle="1" w:styleId="Zakotwiczenieprzypisudolnego">
    <w:name w:val="Zakotwiczenie przypisu dolnego"/>
    <w:rPr>
      <w:rFonts w:cs="Times New Roman"/>
      <w:vertAlign w:val="superscript"/>
    </w:rPr>
  </w:style>
  <w:style w:type="character" w:customStyle="1" w:styleId="FootnoteCharacters">
    <w:name w:val="Footnote Characters"/>
    <w:basedOn w:val="Domylnaczcionkaakapitu"/>
    <w:qFormat/>
    <w:rsid w:val="004F5F22"/>
    <w:rPr>
      <w:rFonts w:cs="Times New Roman"/>
      <w:vertAlign w:val="superscript"/>
    </w:rPr>
  </w:style>
  <w:style w:type="character" w:customStyle="1" w:styleId="Tekstpodstawowy2Znak">
    <w:name w:val="Tekst podstawowy 2 Znak"/>
    <w:basedOn w:val="Domylnaczcionkaakapitu"/>
    <w:link w:val="Tekstpodstawowy2"/>
    <w:uiPriority w:val="99"/>
    <w:semiHidden/>
    <w:qFormat/>
    <w:rsid w:val="003B20B9"/>
  </w:style>
  <w:style w:type="character" w:customStyle="1" w:styleId="h2">
    <w:name w:val="h2"/>
    <w:qFormat/>
    <w:rsid w:val="00BB66AD"/>
  </w:style>
  <w:style w:type="character" w:customStyle="1" w:styleId="czeindeksu">
    <w:name w:val="Łącze indeksu"/>
    <w:qFormat/>
  </w:style>
  <w:style w:type="character" w:customStyle="1" w:styleId="st">
    <w:name w:val="st"/>
    <w:qFormat/>
  </w:style>
  <w:style w:type="character" w:customStyle="1" w:styleId="PlandokumentuZnak">
    <w:name w:val="Plan dokumentu Znak"/>
    <w:qFormat/>
    <w:rPr>
      <w:rFonts w:eastAsia="Times New Roman"/>
      <w:szCs w:val="2"/>
    </w:rPr>
  </w:style>
  <w:style w:type="character" w:customStyle="1" w:styleId="WW8Num2z0">
    <w:name w:val="WW8Num2z0"/>
    <w:qFormat/>
    <w:rPr>
      <w:rFonts w:ascii="Arial" w:eastAsia="Arial" w:hAnsi="Arial" w:cs="Arial"/>
      <w:b w:val="0"/>
      <w:bCs w:val="0"/>
      <w:i w:val="0"/>
      <w:iCs w:val="0"/>
      <w:caps w:val="0"/>
      <w:smallCaps w:val="0"/>
      <w:strike w:val="0"/>
      <w:dstrike w:val="0"/>
      <w:color w:val="000000"/>
      <w:spacing w:val="0"/>
      <w:w w:val="100"/>
      <w:position w:val="0"/>
      <w:sz w:val="20"/>
      <w:szCs w:val="20"/>
      <w:u w:val="none"/>
      <w:shd w:val="clear" w:color="auto" w:fill="auto"/>
      <w:vertAlign w:val="baseline"/>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0">
    <w:name w:val="WW8Num1z0"/>
    <w:qFormat/>
    <w:rPr>
      <w:rFonts w:ascii="Arial" w:eastAsia="Arial" w:hAnsi="Arial" w:cs="Arial"/>
      <w:b w:val="0"/>
      <w:bCs w:val="0"/>
      <w:i w:val="0"/>
      <w:iCs w:val="0"/>
      <w:caps w:val="0"/>
      <w:smallCaps w:val="0"/>
      <w:strike w:val="0"/>
      <w:dstrike w:val="0"/>
      <w:color w:val="000000"/>
      <w:spacing w:val="0"/>
      <w:w w:val="100"/>
      <w:position w:val="0"/>
      <w:sz w:val="20"/>
      <w:szCs w:val="20"/>
      <w:u w:val="none"/>
      <w:shd w:val="clear" w:color="auto" w:fill="auto"/>
      <w:vertAlign w:val="baseline"/>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Nierozpoznanawzmianka1">
    <w:name w:val="Nierozpoznana wzmianka1"/>
    <w:qFormat/>
    <w:rPr>
      <w:color w:val="605E5C"/>
      <w:shd w:val="clear" w:color="auto" w:fill="E1DFDD"/>
    </w:rPr>
  </w:style>
  <w:style w:type="character" w:customStyle="1" w:styleId="apple-converted-space">
    <w:name w:val="apple-converted-space"/>
    <w:qFormat/>
  </w:style>
  <w:style w:type="character" w:styleId="Pogrubienie">
    <w:name w:val="Strong"/>
    <w:qFormat/>
    <w:rPr>
      <w:b/>
    </w:rPr>
  </w:style>
  <w:style w:type="paragraph" w:styleId="Nagwek">
    <w:name w:val="header"/>
    <w:basedOn w:val="Normalny"/>
    <w:next w:val="Tekstpodstawowy"/>
    <w:link w:val="NagwekZnak"/>
    <w:uiPriority w:val="99"/>
    <w:rsid w:val="00566AE1"/>
    <w:pPr>
      <w:widowControl w:val="0"/>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styleId="Tekstpodstawowy">
    <w:name w:val="Body Text"/>
    <w:basedOn w:val="Normalny"/>
    <w:link w:val="TekstpodstawowyZnak"/>
    <w:uiPriority w:val="99"/>
    <w:rsid w:val="006D5C2C"/>
    <w:pPr>
      <w:widowControl w:val="0"/>
      <w:spacing w:after="120" w:line="240" w:lineRule="auto"/>
    </w:pPr>
    <w:rPr>
      <w:rFonts w:ascii="Times New Roman" w:eastAsia="Times New Roman" w:hAnsi="Times New Roman" w:cs="Times New Roman"/>
      <w:sz w:val="20"/>
      <w:szCs w:val="20"/>
      <w:lang w:eastAsia="pl-PL"/>
    </w:rPr>
  </w:style>
  <w:style w:type="paragraph" w:styleId="Lista">
    <w:name w:val="List"/>
    <w:basedOn w:val="Tekstpodstawowy"/>
    <w:rPr>
      <w:rFonts w:cs="Lucida Sans"/>
    </w:rPr>
  </w:style>
  <w:style w:type="paragraph" w:styleId="Legenda">
    <w:name w:val="caption"/>
    <w:basedOn w:val="Normalny"/>
    <w:next w:val="Normalny"/>
    <w:uiPriority w:val="99"/>
    <w:qFormat/>
    <w:rsid w:val="005C7587"/>
    <w:pPr>
      <w:widowControl w:val="0"/>
      <w:spacing w:line="240" w:lineRule="auto"/>
      <w:jc w:val="both"/>
    </w:pPr>
    <w:rPr>
      <w:rFonts w:ascii="Arial" w:eastAsia="Times New Roman" w:hAnsi="Arial" w:cs="Arial"/>
      <w:b/>
      <w:bCs/>
      <w:sz w:val="20"/>
      <w:szCs w:val="18"/>
      <w:lang w:eastAsia="pl-PL"/>
    </w:rPr>
  </w:style>
  <w:style w:type="paragraph" w:customStyle="1" w:styleId="Indeks">
    <w:name w:val="Indeks"/>
    <w:basedOn w:val="Normalny"/>
    <w:qFormat/>
    <w:pPr>
      <w:widowControl w:val="0"/>
      <w:suppressLineNumbers/>
      <w:spacing w:after="0" w:line="240" w:lineRule="auto"/>
    </w:pPr>
    <w:rPr>
      <w:rFonts w:ascii="Times New Roman" w:eastAsia="Times New Roman" w:hAnsi="Times New Roman" w:cs="Lucida Sans"/>
      <w:sz w:val="20"/>
      <w:szCs w:val="20"/>
      <w:lang w:eastAsia="pl-PL"/>
    </w:rPr>
  </w:style>
  <w:style w:type="paragraph" w:customStyle="1" w:styleId="Gwkaistopka">
    <w:name w:val="Główka i stopka"/>
    <w:basedOn w:val="Normalny"/>
    <w:qFormat/>
    <w:pPr>
      <w:widowControl w:val="0"/>
      <w:spacing w:after="0" w:line="240" w:lineRule="auto"/>
    </w:pPr>
    <w:rPr>
      <w:rFonts w:ascii="Times New Roman" w:eastAsia="Times New Roman" w:hAnsi="Times New Roman" w:cs="Times New Roman"/>
      <w:sz w:val="20"/>
      <w:szCs w:val="20"/>
      <w:lang w:eastAsia="pl-PL"/>
    </w:rPr>
  </w:style>
  <w:style w:type="paragraph" w:customStyle="1" w:styleId="napakapit">
    <w:name w:val="nap_akapit"/>
    <w:basedOn w:val="Nagwek"/>
    <w:qFormat/>
    <w:rsid w:val="00D21058"/>
    <w:pPr>
      <w:spacing w:before="120" w:after="120" w:line="360" w:lineRule="auto"/>
      <w:ind w:firstLine="360"/>
      <w:jc w:val="both"/>
    </w:pPr>
    <w:rPr>
      <w:rFonts w:ascii="Arial" w:hAnsi="Arial"/>
    </w:rPr>
  </w:style>
  <w:style w:type="paragraph" w:customStyle="1" w:styleId="Nag5ten">
    <w:name w:val="Nagł 5_ten"/>
    <w:basedOn w:val="Nagwek4"/>
    <w:uiPriority w:val="99"/>
    <w:qFormat/>
    <w:rsid w:val="005C1E5E"/>
    <w:pPr>
      <w:numPr>
        <w:ilvl w:val="0"/>
        <w:numId w:val="0"/>
      </w:numPr>
    </w:pPr>
  </w:style>
  <w:style w:type="paragraph" w:styleId="Tekstkomentarza">
    <w:name w:val="annotation text"/>
    <w:basedOn w:val="Normalny"/>
    <w:link w:val="TekstkomentarzaZnak"/>
    <w:uiPriority w:val="99"/>
    <w:semiHidden/>
    <w:qFormat/>
    <w:rsid w:val="00F158D3"/>
  </w:style>
  <w:style w:type="paragraph" w:styleId="Tekstdymka">
    <w:name w:val="Balloon Text"/>
    <w:basedOn w:val="Normalny"/>
    <w:link w:val="TekstdymkaZnak"/>
    <w:semiHidden/>
    <w:qFormat/>
    <w:rsid w:val="00F158D3"/>
    <w:pPr>
      <w:widowControl w:val="0"/>
      <w:spacing w:after="0" w:line="240" w:lineRule="auto"/>
    </w:pPr>
    <w:rPr>
      <w:rFonts w:ascii="Tahoma" w:eastAsia="Times New Roman" w:hAnsi="Tahoma" w:cs="Tahoma"/>
      <w:sz w:val="16"/>
      <w:szCs w:val="16"/>
      <w:lang w:eastAsia="pl-PL"/>
    </w:rPr>
  </w:style>
  <w:style w:type="paragraph" w:styleId="Stopka">
    <w:name w:val="footer"/>
    <w:basedOn w:val="Normalny"/>
    <w:link w:val="StopkaZnak"/>
    <w:uiPriority w:val="99"/>
    <w:rsid w:val="00AF59DE"/>
    <w:pPr>
      <w:widowControl w:val="0"/>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customStyle="1" w:styleId="1naglowek">
    <w:name w:val="1 naglowek"/>
    <w:basedOn w:val="Nagwek"/>
    <w:link w:val="1naglowekZnak"/>
    <w:uiPriority w:val="99"/>
    <w:qFormat/>
    <w:rsid w:val="0035176C"/>
    <w:pPr>
      <w:tabs>
        <w:tab w:val="clear" w:pos="4536"/>
        <w:tab w:val="clear" w:pos="9072"/>
      </w:tabs>
      <w:spacing w:line="360" w:lineRule="auto"/>
      <w:jc w:val="both"/>
      <w:outlineLvl w:val="0"/>
    </w:pPr>
    <w:rPr>
      <w:rFonts w:ascii="Arial" w:hAnsi="Arial"/>
      <w:b/>
      <w:caps/>
      <w:sz w:val="24"/>
    </w:rPr>
  </w:style>
  <w:style w:type="paragraph" w:customStyle="1" w:styleId="2naglowek">
    <w:name w:val="2 naglowek"/>
    <w:basedOn w:val="1naglowek"/>
    <w:uiPriority w:val="99"/>
    <w:qFormat/>
    <w:rsid w:val="0035176C"/>
    <w:pPr>
      <w:tabs>
        <w:tab w:val="left" w:pos="1500"/>
      </w:tabs>
      <w:ind w:left="1500"/>
    </w:pPr>
    <w:rPr>
      <w:caps w:val="0"/>
    </w:rPr>
  </w:style>
  <w:style w:type="paragraph" w:customStyle="1" w:styleId="3naglowek">
    <w:name w:val="3 naglowek"/>
    <w:basedOn w:val="2naglowek"/>
    <w:uiPriority w:val="99"/>
    <w:qFormat/>
    <w:rsid w:val="0035176C"/>
    <w:pPr>
      <w:tabs>
        <w:tab w:val="left" w:pos="2220"/>
      </w:tabs>
      <w:spacing w:before="240" w:after="240"/>
      <w:ind w:left="2220"/>
    </w:pPr>
    <w:rPr>
      <w:b w:val="0"/>
    </w:rPr>
  </w:style>
  <w:style w:type="paragraph" w:customStyle="1" w:styleId="4naglowek">
    <w:name w:val="4 naglowek"/>
    <w:basedOn w:val="3naglowek"/>
    <w:uiPriority w:val="99"/>
    <w:qFormat/>
    <w:rsid w:val="0035176C"/>
    <w:pPr>
      <w:tabs>
        <w:tab w:val="left" w:pos="2940"/>
      </w:tabs>
      <w:ind w:left="2940"/>
    </w:pPr>
  </w:style>
  <w:style w:type="paragraph" w:styleId="NormalnyWeb">
    <w:name w:val="Normal (Web)"/>
    <w:basedOn w:val="Normalny"/>
    <w:uiPriority w:val="99"/>
    <w:qFormat/>
    <w:rsid w:val="0035176C"/>
    <w:pPr>
      <w:widowControl w:val="0"/>
      <w:spacing w:beforeAutospacing="1" w:after="0" w:afterAutospacing="1" w:line="240" w:lineRule="auto"/>
    </w:pPr>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39"/>
    <w:rsid w:val="008E5A29"/>
    <w:pPr>
      <w:widowControl w:val="0"/>
      <w:tabs>
        <w:tab w:val="left" w:pos="709"/>
        <w:tab w:val="right" w:leader="dot" w:pos="9062"/>
      </w:tabs>
      <w:spacing w:after="0" w:line="240" w:lineRule="auto"/>
      <w:ind w:left="709" w:hanging="425"/>
    </w:pPr>
    <w:rPr>
      <w:rFonts w:ascii="Times New Roman" w:eastAsia="Times New Roman" w:hAnsi="Times New Roman" w:cs="Times New Roman"/>
      <w:b/>
      <w:bCs/>
      <w:caps/>
      <w:sz w:val="20"/>
      <w:szCs w:val="20"/>
      <w:lang w:eastAsia="pl-PL"/>
    </w:rPr>
  </w:style>
  <w:style w:type="paragraph" w:styleId="Spistreci2">
    <w:name w:val="toc 2"/>
    <w:basedOn w:val="Normalny"/>
    <w:next w:val="Normalny"/>
    <w:autoRedefine/>
    <w:uiPriority w:val="39"/>
    <w:rsid w:val="00816E94"/>
    <w:pPr>
      <w:widowControl w:val="0"/>
      <w:tabs>
        <w:tab w:val="right" w:leader="dot" w:pos="9062"/>
      </w:tabs>
      <w:spacing w:after="0" w:line="240" w:lineRule="auto"/>
      <w:ind w:left="709"/>
    </w:pPr>
    <w:rPr>
      <w:rFonts w:ascii="Times New Roman" w:eastAsia="Times New Roman" w:hAnsi="Times New Roman" w:cs="Times New Roman"/>
      <w:smallCaps/>
      <w:sz w:val="18"/>
      <w:szCs w:val="18"/>
      <w:lang w:eastAsia="pl-PL"/>
    </w:rPr>
  </w:style>
  <w:style w:type="paragraph" w:styleId="Spistreci3">
    <w:name w:val="toc 3"/>
    <w:basedOn w:val="Normalny"/>
    <w:next w:val="Normalny"/>
    <w:autoRedefine/>
    <w:uiPriority w:val="39"/>
    <w:rsid w:val="009F2865"/>
    <w:pPr>
      <w:widowControl w:val="0"/>
      <w:tabs>
        <w:tab w:val="right" w:leader="dot" w:pos="9062"/>
      </w:tabs>
      <w:spacing w:after="0" w:line="240" w:lineRule="auto"/>
      <w:ind w:left="993"/>
    </w:pPr>
    <w:rPr>
      <w:rFonts w:ascii="Times New Roman" w:eastAsia="Times New Roman" w:hAnsi="Times New Roman" w:cs="Times New Roman"/>
      <w:iCs/>
      <w:sz w:val="20"/>
      <w:szCs w:val="20"/>
      <w:lang w:eastAsia="pl-PL"/>
    </w:rPr>
  </w:style>
  <w:style w:type="paragraph" w:styleId="Spistreci4">
    <w:name w:val="toc 4"/>
    <w:basedOn w:val="Normalny"/>
    <w:next w:val="Normalny"/>
    <w:autoRedefine/>
    <w:uiPriority w:val="39"/>
    <w:rsid w:val="00521EB7"/>
    <w:pPr>
      <w:widowControl w:val="0"/>
      <w:spacing w:after="0" w:line="240" w:lineRule="auto"/>
      <w:ind w:left="720"/>
    </w:pPr>
    <w:rPr>
      <w:rFonts w:ascii="Times New Roman" w:eastAsia="Times New Roman" w:hAnsi="Times New Roman" w:cs="Times New Roman"/>
      <w:sz w:val="18"/>
      <w:szCs w:val="18"/>
      <w:lang w:eastAsia="pl-PL"/>
    </w:rPr>
  </w:style>
  <w:style w:type="paragraph" w:styleId="Spistreci5">
    <w:name w:val="toc 5"/>
    <w:basedOn w:val="Normalny"/>
    <w:next w:val="Normalny"/>
    <w:autoRedefine/>
    <w:uiPriority w:val="39"/>
    <w:rsid w:val="00521EB7"/>
    <w:pPr>
      <w:widowControl w:val="0"/>
      <w:spacing w:after="0" w:line="240" w:lineRule="auto"/>
      <w:ind w:left="960"/>
    </w:pPr>
    <w:rPr>
      <w:rFonts w:ascii="Times New Roman" w:eastAsia="Times New Roman" w:hAnsi="Times New Roman" w:cs="Times New Roman"/>
      <w:sz w:val="18"/>
      <w:szCs w:val="18"/>
      <w:lang w:eastAsia="pl-PL"/>
    </w:rPr>
  </w:style>
  <w:style w:type="paragraph" w:styleId="Spistreci6">
    <w:name w:val="toc 6"/>
    <w:basedOn w:val="Normalny"/>
    <w:next w:val="Normalny"/>
    <w:autoRedefine/>
    <w:uiPriority w:val="39"/>
    <w:rsid w:val="002E2508"/>
    <w:pPr>
      <w:widowControl w:val="0"/>
      <w:spacing w:after="0" w:line="240" w:lineRule="auto"/>
      <w:ind w:left="1200"/>
    </w:pPr>
    <w:rPr>
      <w:rFonts w:ascii="Times New Roman" w:eastAsia="Times New Roman" w:hAnsi="Times New Roman" w:cs="Times New Roman"/>
      <w:sz w:val="18"/>
      <w:szCs w:val="18"/>
      <w:lang w:eastAsia="pl-PL"/>
    </w:rPr>
  </w:style>
  <w:style w:type="paragraph" w:styleId="Spistreci7">
    <w:name w:val="toc 7"/>
    <w:basedOn w:val="Normalny"/>
    <w:next w:val="Normalny"/>
    <w:autoRedefine/>
    <w:uiPriority w:val="39"/>
    <w:rsid w:val="002E2508"/>
    <w:pPr>
      <w:widowControl w:val="0"/>
      <w:spacing w:after="0" w:line="240" w:lineRule="auto"/>
      <w:ind w:left="1440"/>
    </w:pPr>
    <w:rPr>
      <w:rFonts w:ascii="Times New Roman" w:eastAsia="Times New Roman" w:hAnsi="Times New Roman" w:cs="Times New Roman"/>
      <w:sz w:val="18"/>
      <w:szCs w:val="18"/>
      <w:lang w:eastAsia="pl-PL"/>
    </w:rPr>
  </w:style>
  <w:style w:type="paragraph" w:styleId="Spistreci8">
    <w:name w:val="toc 8"/>
    <w:basedOn w:val="Normalny"/>
    <w:next w:val="Normalny"/>
    <w:autoRedefine/>
    <w:uiPriority w:val="39"/>
    <w:rsid w:val="002E2508"/>
    <w:pPr>
      <w:widowControl w:val="0"/>
      <w:spacing w:after="0" w:line="240" w:lineRule="auto"/>
      <w:ind w:left="1680"/>
    </w:pPr>
    <w:rPr>
      <w:rFonts w:ascii="Times New Roman" w:eastAsia="Times New Roman" w:hAnsi="Times New Roman" w:cs="Times New Roman"/>
      <w:sz w:val="18"/>
      <w:szCs w:val="18"/>
      <w:lang w:eastAsia="pl-PL"/>
    </w:rPr>
  </w:style>
  <w:style w:type="paragraph" w:styleId="Spistreci9">
    <w:name w:val="toc 9"/>
    <w:basedOn w:val="Normalny"/>
    <w:next w:val="Normalny"/>
    <w:autoRedefine/>
    <w:uiPriority w:val="39"/>
    <w:rsid w:val="002E2508"/>
    <w:pPr>
      <w:widowControl w:val="0"/>
      <w:spacing w:after="0" w:line="240" w:lineRule="auto"/>
      <w:ind w:left="1920"/>
    </w:pPr>
    <w:rPr>
      <w:rFonts w:ascii="Times New Roman" w:eastAsia="Times New Roman" w:hAnsi="Times New Roman" w:cs="Times New Roman"/>
      <w:sz w:val="18"/>
      <w:szCs w:val="18"/>
      <w:lang w:eastAsia="pl-PL"/>
    </w:rPr>
  </w:style>
  <w:style w:type="paragraph" w:customStyle="1" w:styleId="Default">
    <w:name w:val="Default"/>
    <w:qFormat/>
    <w:rsid w:val="00D66AB6"/>
    <w:rPr>
      <w:color w:val="000000"/>
      <w:sz w:val="24"/>
      <w:szCs w:val="24"/>
    </w:rPr>
  </w:style>
  <w:style w:type="paragraph" w:styleId="Tematkomentarza">
    <w:name w:val="annotation subject"/>
    <w:basedOn w:val="Tekstkomentarza"/>
    <w:next w:val="Tekstkomentarza"/>
    <w:link w:val="TematkomentarzaZnak"/>
    <w:uiPriority w:val="99"/>
    <w:semiHidden/>
    <w:qFormat/>
    <w:rsid w:val="00D66AB6"/>
    <w:rPr>
      <w:b/>
      <w:bCs/>
    </w:rPr>
  </w:style>
  <w:style w:type="paragraph" w:styleId="Mapadokumentu">
    <w:name w:val="Document Map"/>
    <w:basedOn w:val="Normalny"/>
    <w:link w:val="MapadokumentuZnak"/>
    <w:semiHidden/>
    <w:qFormat/>
    <w:rsid w:val="00E33F50"/>
    <w:pPr>
      <w:shd w:val="clear" w:color="auto" w:fill="000080"/>
    </w:pPr>
    <w:rPr>
      <w:rFonts w:ascii="Tahoma" w:hAnsi="Tahoma" w:cs="Tahoma"/>
    </w:rPr>
  </w:style>
  <w:style w:type="paragraph" w:customStyle="1" w:styleId="nag-5">
    <w:name w:val="nag-5"/>
    <w:basedOn w:val="Nagwek4"/>
    <w:uiPriority w:val="99"/>
    <w:qFormat/>
    <w:rsid w:val="00A4133B"/>
    <w:pPr>
      <w:numPr>
        <w:ilvl w:val="0"/>
        <w:numId w:val="0"/>
      </w:numPr>
    </w:pPr>
  </w:style>
  <w:style w:type="paragraph" w:styleId="Tekstprzypisukocowego">
    <w:name w:val="endnote text"/>
    <w:basedOn w:val="Normalny"/>
    <w:link w:val="TekstprzypisukocowegoZnak"/>
    <w:uiPriority w:val="99"/>
    <w:semiHidden/>
    <w:unhideWhenUsed/>
    <w:rsid w:val="0030252F"/>
  </w:style>
  <w:style w:type="paragraph" w:styleId="Akapitzlist">
    <w:name w:val="List Paragraph"/>
    <w:aliases w:val="Dot pt,F5 List Paragraph,Listaszerű bekezdés1,List Paragraph à moi,Numbered Para 1,No Spacing1,List Paragraph Char Char Char,Indicator Text,Bullet Points,MAIN CONTENT,IFCL - List Paragraph,List Paragraph12,OBC Bullet,LIST,List Paragraph1"/>
    <w:basedOn w:val="Normalny"/>
    <w:link w:val="AkapitzlistZnak"/>
    <w:uiPriority w:val="34"/>
    <w:qFormat/>
    <w:rsid w:val="00503112"/>
    <w:pPr>
      <w:widowControl w:val="0"/>
      <w:spacing w:after="160" w:line="259" w:lineRule="auto"/>
      <w:ind w:left="720"/>
      <w:contextualSpacing/>
    </w:pPr>
  </w:style>
  <w:style w:type="paragraph" w:styleId="Tekstprzypisudolnego">
    <w:name w:val="footnote text"/>
    <w:basedOn w:val="Normalny"/>
    <w:link w:val="TekstprzypisudolnegoZnak"/>
    <w:uiPriority w:val="99"/>
    <w:rsid w:val="004F5F22"/>
    <w:pPr>
      <w:widowControl w:val="0"/>
      <w:spacing w:after="0" w:line="240" w:lineRule="auto"/>
    </w:pPr>
    <w:rPr>
      <w:rFonts w:ascii="Times New Roman" w:eastAsia="Calibri" w:hAnsi="Times New Roman" w:cs="Times New Roman"/>
      <w:sz w:val="20"/>
      <w:szCs w:val="20"/>
      <w:lang w:eastAsia="pl-PL"/>
    </w:rPr>
  </w:style>
  <w:style w:type="paragraph" w:styleId="Poprawka">
    <w:name w:val="Revision"/>
    <w:uiPriority w:val="99"/>
    <w:semiHidden/>
    <w:qFormat/>
    <w:rsid w:val="002E1327"/>
    <w:rPr>
      <w:sz w:val="24"/>
      <w:szCs w:val="24"/>
    </w:rPr>
  </w:style>
  <w:style w:type="paragraph" w:styleId="Tekstpodstawowy2">
    <w:name w:val="Body Text 2"/>
    <w:basedOn w:val="Normalny"/>
    <w:link w:val="Tekstpodstawowy2Znak"/>
    <w:uiPriority w:val="99"/>
    <w:semiHidden/>
    <w:unhideWhenUsed/>
    <w:qFormat/>
    <w:rsid w:val="003B20B9"/>
    <w:pPr>
      <w:spacing w:after="120" w:line="480" w:lineRule="auto"/>
    </w:pPr>
  </w:style>
  <w:style w:type="paragraph" w:styleId="Indeks3">
    <w:name w:val="index 3"/>
    <w:basedOn w:val="Normalny"/>
    <w:next w:val="Normalny"/>
    <w:autoRedefine/>
    <w:semiHidden/>
    <w:qFormat/>
    <w:rsid w:val="00DF3C4F"/>
    <w:pPr>
      <w:spacing w:after="0" w:line="240" w:lineRule="auto"/>
      <w:ind w:left="720" w:hanging="240"/>
    </w:pPr>
    <w:rPr>
      <w:rFonts w:ascii="Times New Roman" w:eastAsia="Times New Roman" w:hAnsi="Times New Roman" w:cs="Times New Roman"/>
      <w:sz w:val="24"/>
      <w:szCs w:val="24"/>
      <w:lang w:eastAsia="pl-PL"/>
    </w:rPr>
  </w:style>
  <w:style w:type="paragraph" w:customStyle="1" w:styleId="Standard">
    <w:name w:val="Standard"/>
    <w:qFormat/>
    <w:rsid w:val="00606E0A"/>
    <w:pPr>
      <w:suppressAutoHyphens/>
      <w:spacing w:after="80" w:line="360" w:lineRule="auto"/>
    </w:pPr>
    <w:rPr>
      <w:rFonts w:eastAsia="Lucida Sans Unicode" w:cs="F"/>
      <w:kern w:val="2"/>
      <w:sz w:val="24"/>
      <w:szCs w:val="22"/>
      <w:lang w:eastAsia="en-US"/>
    </w:rPr>
  </w:style>
  <w:style w:type="paragraph" w:customStyle="1" w:styleId="Zawartoramki">
    <w:name w:val="Zawartość ramki"/>
    <w:basedOn w:val="Normalny"/>
    <w:qFormat/>
    <w:pPr>
      <w:widowControl w:val="0"/>
      <w:spacing w:after="0" w:line="240" w:lineRule="auto"/>
    </w:pPr>
    <w:rPr>
      <w:rFonts w:ascii="Times New Roman" w:eastAsia="Times New Roman" w:hAnsi="Times New Roman" w:cs="Times New Roman"/>
      <w:sz w:val="20"/>
      <w:szCs w:val="20"/>
      <w:lang w:eastAsia="pl-PL"/>
    </w:rPr>
  </w:style>
  <w:style w:type="paragraph" w:customStyle="1" w:styleId="Teksttreci">
    <w:name w:val="Tekst treści"/>
    <w:basedOn w:val="Normalny"/>
    <w:qFormat/>
    <w:pPr>
      <w:widowControl w:val="0"/>
      <w:spacing w:after="80" w:line="360" w:lineRule="auto"/>
      <w:ind w:firstLine="300"/>
    </w:pPr>
    <w:rPr>
      <w:rFonts w:ascii="Arial" w:eastAsia="Arial" w:hAnsi="Arial" w:cs="Arial"/>
      <w:sz w:val="20"/>
      <w:szCs w:val="20"/>
      <w:lang w:eastAsia="pl-PL"/>
    </w:rPr>
  </w:style>
  <w:style w:type="paragraph" w:customStyle="1" w:styleId="Podstawowyakapit">
    <w:name w:val="[Podstawowy akapit]"/>
    <w:basedOn w:val="Normalny"/>
    <w:qFormat/>
    <w:pPr>
      <w:widowControl w:val="0"/>
      <w:spacing w:after="0" w:line="288" w:lineRule="auto"/>
      <w:textAlignment w:val="center"/>
    </w:pPr>
    <w:rPr>
      <w:rFonts w:ascii="Arial" w:eastAsia="Arial" w:hAnsi="Arial" w:cs="Times New Roman"/>
      <w:color w:val="000000"/>
      <w:sz w:val="20"/>
      <w:szCs w:val="20"/>
      <w:lang w:eastAsia="pl-PL"/>
    </w:rPr>
  </w:style>
  <w:style w:type="numbering" w:styleId="111111">
    <w:name w:val="Outline List 2"/>
    <w:uiPriority w:val="99"/>
    <w:semiHidden/>
    <w:unhideWhenUsed/>
    <w:qFormat/>
    <w:rsid w:val="00E02F9A"/>
  </w:style>
  <w:style w:type="numbering" w:customStyle="1" w:styleId="WW8Num2">
    <w:name w:val="WW8Num2"/>
    <w:qFormat/>
  </w:style>
  <w:style w:type="numbering" w:customStyle="1" w:styleId="WW8Num1">
    <w:name w:val="WW8Num1"/>
    <w:qFormat/>
  </w:style>
  <w:style w:type="table" w:styleId="Tabela-Siatka">
    <w:name w:val="Table Grid"/>
    <w:basedOn w:val="Standardowy"/>
    <w:rsid w:val="00354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99"/>
    <w:rsid w:val="00F37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4F671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Dot pt Znak,F5 List Paragraph Znak,Listaszerű bekezdés1 Znak,List Paragraph à moi Znak,Numbered Para 1 Znak,No Spacing1 Znak,List Paragraph Char Char Char Znak,Indicator Text Znak,Bullet Points Znak,MAIN CONTENT Znak,OBC Bullet Znak"/>
    <w:link w:val="Akapitzlist"/>
    <w:uiPriority w:val="34"/>
    <w:qFormat/>
    <w:locked/>
    <w:rsid w:val="004F4FF3"/>
    <w:rPr>
      <w:rFonts w:asciiTheme="minorHAnsi" w:eastAsiaTheme="minorHAnsi" w:hAnsiTheme="minorHAnsi" w:cstheme="minorBidi"/>
      <w:sz w:val="22"/>
      <w:szCs w:val="22"/>
      <w:lang w:eastAsia="en-US"/>
    </w:rPr>
  </w:style>
  <w:style w:type="character" w:styleId="Hipercze">
    <w:name w:val="Hyperlink"/>
    <w:basedOn w:val="Domylnaczcionkaakapitu"/>
    <w:uiPriority w:val="99"/>
    <w:unhideWhenUsed/>
    <w:rsid w:val="008510AB"/>
    <w:rPr>
      <w:color w:val="0000FF" w:themeColor="hyperlink"/>
      <w:u w:val="single"/>
    </w:rPr>
  </w:style>
  <w:style w:type="character" w:customStyle="1" w:styleId="h11">
    <w:name w:val="h11"/>
    <w:rsid w:val="00443E8A"/>
    <w:rPr>
      <w:rFonts w:ascii="Verdana" w:hAnsi="Verdana" w:hint="default"/>
      <w:b/>
      <w:bCs/>
      <w:i w:val="0"/>
      <w:iCs w:val="0"/>
      <w:sz w:val="23"/>
      <w:szCs w:val="23"/>
    </w:rPr>
  </w:style>
  <w:style w:type="character" w:customStyle="1" w:styleId="Nierozpoznanawzmianka2">
    <w:name w:val="Nierozpoznana wzmianka2"/>
    <w:basedOn w:val="Domylnaczcionkaakapitu"/>
    <w:uiPriority w:val="99"/>
    <w:semiHidden/>
    <w:unhideWhenUsed/>
    <w:rsid w:val="00622EAC"/>
    <w:rPr>
      <w:color w:val="605E5C"/>
      <w:shd w:val="clear" w:color="auto" w:fill="E1DFDD"/>
    </w:rPr>
  </w:style>
  <w:style w:type="character" w:customStyle="1" w:styleId="Nagwek6Znak">
    <w:name w:val="Nagłówek 6 Znak"/>
    <w:basedOn w:val="Domylnaczcionkaakapitu"/>
    <w:link w:val="Nagwek6"/>
    <w:rsid w:val="00ED07A6"/>
    <w:rPr>
      <w:b/>
      <w:sz w:val="22"/>
    </w:rPr>
  </w:style>
  <w:style w:type="character" w:customStyle="1" w:styleId="Nagwek7Znak">
    <w:name w:val="Nagłówek 7 Znak"/>
    <w:basedOn w:val="Domylnaczcionkaakapitu"/>
    <w:link w:val="Nagwek7"/>
    <w:rsid w:val="00ED07A6"/>
    <w:rPr>
      <w:sz w:val="24"/>
    </w:rPr>
  </w:style>
  <w:style w:type="character" w:customStyle="1" w:styleId="Nagwek9Znak">
    <w:name w:val="Nagłówek 9 Znak"/>
    <w:basedOn w:val="Domylnaczcionkaakapitu"/>
    <w:link w:val="Nagwek9"/>
    <w:rsid w:val="00ED07A6"/>
    <w:rPr>
      <w:b/>
      <w:sz w:val="24"/>
    </w:rPr>
  </w:style>
  <w:style w:type="numbering" w:customStyle="1" w:styleId="Bezlisty1">
    <w:name w:val="Bez listy1"/>
    <w:next w:val="Bezlisty"/>
    <w:uiPriority w:val="99"/>
    <w:semiHidden/>
    <w:unhideWhenUsed/>
    <w:rsid w:val="00ED07A6"/>
  </w:style>
  <w:style w:type="character" w:customStyle="1" w:styleId="Nierozpoznanawzmianka3">
    <w:name w:val="Nierozpoznana wzmianka3"/>
    <w:basedOn w:val="Domylnaczcionkaakapitu"/>
    <w:uiPriority w:val="99"/>
    <w:semiHidden/>
    <w:unhideWhenUsed/>
    <w:rsid w:val="00C922F5"/>
    <w:rPr>
      <w:color w:val="605E5C"/>
      <w:shd w:val="clear" w:color="auto" w:fill="E1DFDD"/>
    </w:rPr>
  </w:style>
  <w:style w:type="character" w:styleId="Odwoanieprzypisudolnego">
    <w:name w:val="footnote reference"/>
    <w:basedOn w:val="Domylnaczcionkaakapitu"/>
    <w:uiPriority w:val="99"/>
    <w:semiHidden/>
    <w:unhideWhenUsed/>
    <w:rsid w:val="006763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5877">
      <w:bodyDiv w:val="1"/>
      <w:marLeft w:val="0"/>
      <w:marRight w:val="0"/>
      <w:marTop w:val="0"/>
      <w:marBottom w:val="0"/>
      <w:divBdr>
        <w:top w:val="none" w:sz="0" w:space="0" w:color="auto"/>
        <w:left w:val="none" w:sz="0" w:space="0" w:color="auto"/>
        <w:bottom w:val="none" w:sz="0" w:space="0" w:color="auto"/>
        <w:right w:val="none" w:sz="0" w:space="0" w:color="auto"/>
      </w:divBdr>
    </w:div>
    <w:div w:id="156654409">
      <w:bodyDiv w:val="1"/>
      <w:marLeft w:val="0"/>
      <w:marRight w:val="0"/>
      <w:marTop w:val="0"/>
      <w:marBottom w:val="0"/>
      <w:divBdr>
        <w:top w:val="none" w:sz="0" w:space="0" w:color="auto"/>
        <w:left w:val="none" w:sz="0" w:space="0" w:color="auto"/>
        <w:bottom w:val="none" w:sz="0" w:space="0" w:color="auto"/>
        <w:right w:val="none" w:sz="0" w:space="0" w:color="auto"/>
      </w:divBdr>
    </w:div>
    <w:div w:id="271210230">
      <w:bodyDiv w:val="1"/>
      <w:marLeft w:val="0"/>
      <w:marRight w:val="0"/>
      <w:marTop w:val="0"/>
      <w:marBottom w:val="0"/>
      <w:divBdr>
        <w:top w:val="none" w:sz="0" w:space="0" w:color="auto"/>
        <w:left w:val="none" w:sz="0" w:space="0" w:color="auto"/>
        <w:bottom w:val="none" w:sz="0" w:space="0" w:color="auto"/>
        <w:right w:val="none" w:sz="0" w:space="0" w:color="auto"/>
      </w:divBdr>
    </w:div>
    <w:div w:id="273289652">
      <w:bodyDiv w:val="1"/>
      <w:marLeft w:val="0"/>
      <w:marRight w:val="0"/>
      <w:marTop w:val="0"/>
      <w:marBottom w:val="0"/>
      <w:divBdr>
        <w:top w:val="none" w:sz="0" w:space="0" w:color="auto"/>
        <w:left w:val="none" w:sz="0" w:space="0" w:color="auto"/>
        <w:bottom w:val="none" w:sz="0" w:space="0" w:color="auto"/>
        <w:right w:val="none" w:sz="0" w:space="0" w:color="auto"/>
      </w:divBdr>
    </w:div>
    <w:div w:id="300312016">
      <w:bodyDiv w:val="1"/>
      <w:marLeft w:val="0"/>
      <w:marRight w:val="0"/>
      <w:marTop w:val="0"/>
      <w:marBottom w:val="0"/>
      <w:divBdr>
        <w:top w:val="none" w:sz="0" w:space="0" w:color="auto"/>
        <w:left w:val="none" w:sz="0" w:space="0" w:color="auto"/>
        <w:bottom w:val="none" w:sz="0" w:space="0" w:color="auto"/>
        <w:right w:val="none" w:sz="0" w:space="0" w:color="auto"/>
      </w:divBdr>
    </w:div>
    <w:div w:id="437482924">
      <w:bodyDiv w:val="1"/>
      <w:marLeft w:val="0"/>
      <w:marRight w:val="0"/>
      <w:marTop w:val="0"/>
      <w:marBottom w:val="0"/>
      <w:divBdr>
        <w:top w:val="none" w:sz="0" w:space="0" w:color="auto"/>
        <w:left w:val="none" w:sz="0" w:space="0" w:color="auto"/>
        <w:bottom w:val="none" w:sz="0" w:space="0" w:color="auto"/>
        <w:right w:val="none" w:sz="0" w:space="0" w:color="auto"/>
      </w:divBdr>
    </w:div>
    <w:div w:id="454519007">
      <w:bodyDiv w:val="1"/>
      <w:marLeft w:val="0"/>
      <w:marRight w:val="0"/>
      <w:marTop w:val="0"/>
      <w:marBottom w:val="0"/>
      <w:divBdr>
        <w:top w:val="none" w:sz="0" w:space="0" w:color="auto"/>
        <w:left w:val="none" w:sz="0" w:space="0" w:color="auto"/>
        <w:bottom w:val="none" w:sz="0" w:space="0" w:color="auto"/>
        <w:right w:val="none" w:sz="0" w:space="0" w:color="auto"/>
      </w:divBdr>
    </w:div>
    <w:div w:id="463624391">
      <w:bodyDiv w:val="1"/>
      <w:marLeft w:val="0"/>
      <w:marRight w:val="0"/>
      <w:marTop w:val="0"/>
      <w:marBottom w:val="0"/>
      <w:divBdr>
        <w:top w:val="none" w:sz="0" w:space="0" w:color="auto"/>
        <w:left w:val="none" w:sz="0" w:space="0" w:color="auto"/>
        <w:bottom w:val="none" w:sz="0" w:space="0" w:color="auto"/>
        <w:right w:val="none" w:sz="0" w:space="0" w:color="auto"/>
      </w:divBdr>
    </w:div>
    <w:div w:id="472210270">
      <w:bodyDiv w:val="1"/>
      <w:marLeft w:val="0"/>
      <w:marRight w:val="0"/>
      <w:marTop w:val="0"/>
      <w:marBottom w:val="0"/>
      <w:divBdr>
        <w:top w:val="none" w:sz="0" w:space="0" w:color="auto"/>
        <w:left w:val="none" w:sz="0" w:space="0" w:color="auto"/>
        <w:bottom w:val="none" w:sz="0" w:space="0" w:color="auto"/>
        <w:right w:val="none" w:sz="0" w:space="0" w:color="auto"/>
      </w:divBdr>
    </w:div>
    <w:div w:id="709231358">
      <w:bodyDiv w:val="1"/>
      <w:marLeft w:val="0"/>
      <w:marRight w:val="0"/>
      <w:marTop w:val="0"/>
      <w:marBottom w:val="0"/>
      <w:divBdr>
        <w:top w:val="none" w:sz="0" w:space="0" w:color="auto"/>
        <w:left w:val="none" w:sz="0" w:space="0" w:color="auto"/>
        <w:bottom w:val="none" w:sz="0" w:space="0" w:color="auto"/>
        <w:right w:val="none" w:sz="0" w:space="0" w:color="auto"/>
      </w:divBdr>
      <w:divsChild>
        <w:div w:id="914513318">
          <w:marLeft w:val="0"/>
          <w:marRight w:val="0"/>
          <w:marTop w:val="0"/>
          <w:marBottom w:val="0"/>
          <w:divBdr>
            <w:top w:val="none" w:sz="0" w:space="0" w:color="auto"/>
            <w:left w:val="none" w:sz="0" w:space="0" w:color="auto"/>
            <w:bottom w:val="none" w:sz="0" w:space="0" w:color="auto"/>
            <w:right w:val="none" w:sz="0" w:space="0" w:color="auto"/>
          </w:divBdr>
          <w:divsChild>
            <w:div w:id="219561068">
              <w:marLeft w:val="0"/>
              <w:marRight w:val="0"/>
              <w:marTop w:val="0"/>
              <w:marBottom w:val="0"/>
              <w:divBdr>
                <w:top w:val="none" w:sz="0" w:space="0" w:color="auto"/>
                <w:left w:val="none" w:sz="0" w:space="0" w:color="auto"/>
                <w:bottom w:val="none" w:sz="0" w:space="0" w:color="auto"/>
                <w:right w:val="none" w:sz="0" w:space="0" w:color="auto"/>
              </w:divBdr>
            </w:div>
            <w:div w:id="516309033">
              <w:marLeft w:val="0"/>
              <w:marRight w:val="0"/>
              <w:marTop w:val="0"/>
              <w:marBottom w:val="0"/>
              <w:divBdr>
                <w:top w:val="none" w:sz="0" w:space="0" w:color="auto"/>
                <w:left w:val="none" w:sz="0" w:space="0" w:color="auto"/>
                <w:bottom w:val="none" w:sz="0" w:space="0" w:color="auto"/>
                <w:right w:val="none" w:sz="0" w:space="0" w:color="auto"/>
              </w:divBdr>
            </w:div>
            <w:div w:id="2089959867">
              <w:marLeft w:val="0"/>
              <w:marRight w:val="0"/>
              <w:marTop w:val="0"/>
              <w:marBottom w:val="0"/>
              <w:divBdr>
                <w:top w:val="none" w:sz="0" w:space="0" w:color="auto"/>
                <w:left w:val="none" w:sz="0" w:space="0" w:color="auto"/>
                <w:bottom w:val="none" w:sz="0" w:space="0" w:color="auto"/>
                <w:right w:val="none" w:sz="0" w:space="0" w:color="auto"/>
              </w:divBdr>
            </w:div>
            <w:div w:id="897983445">
              <w:marLeft w:val="0"/>
              <w:marRight w:val="0"/>
              <w:marTop w:val="0"/>
              <w:marBottom w:val="0"/>
              <w:divBdr>
                <w:top w:val="none" w:sz="0" w:space="0" w:color="auto"/>
                <w:left w:val="none" w:sz="0" w:space="0" w:color="auto"/>
                <w:bottom w:val="none" w:sz="0" w:space="0" w:color="auto"/>
                <w:right w:val="none" w:sz="0" w:space="0" w:color="auto"/>
              </w:divBdr>
            </w:div>
          </w:divsChild>
        </w:div>
        <w:div w:id="1124424047">
          <w:marLeft w:val="0"/>
          <w:marRight w:val="0"/>
          <w:marTop w:val="0"/>
          <w:marBottom w:val="0"/>
          <w:divBdr>
            <w:top w:val="none" w:sz="0" w:space="0" w:color="auto"/>
            <w:left w:val="none" w:sz="0" w:space="0" w:color="auto"/>
            <w:bottom w:val="none" w:sz="0" w:space="0" w:color="auto"/>
            <w:right w:val="none" w:sz="0" w:space="0" w:color="auto"/>
          </w:divBdr>
        </w:div>
      </w:divsChild>
    </w:div>
    <w:div w:id="762654116">
      <w:bodyDiv w:val="1"/>
      <w:marLeft w:val="0"/>
      <w:marRight w:val="0"/>
      <w:marTop w:val="0"/>
      <w:marBottom w:val="0"/>
      <w:divBdr>
        <w:top w:val="none" w:sz="0" w:space="0" w:color="auto"/>
        <w:left w:val="none" w:sz="0" w:space="0" w:color="auto"/>
        <w:bottom w:val="none" w:sz="0" w:space="0" w:color="auto"/>
        <w:right w:val="none" w:sz="0" w:space="0" w:color="auto"/>
      </w:divBdr>
    </w:div>
    <w:div w:id="802768252">
      <w:bodyDiv w:val="1"/>
      <w:marLeft w:val="0"/>
      <w:marRight w:val="0"/>
      <w:marTop w:val="0"/>
      <w:marBottom w:val="0"/>
      <w:divBdr>
        <w:top w:val="none" w:sz="0" w:space="0" w:color="auto"/>
        <w:left w:val="none" w:sz="0" w:space="0" w:color="auto"/>
        <w:bottom w:val="none" w:sz="0" w:space="0" w:color="auto"/>
        <w:right w:val="none" w:sz="0" w:space="0" w:color="auto"/>
      </w:divBdr>
    </w:div>
    <w:div w:id="833448885">
      <w:bodyDiv w:val="1"/>
      <w:marLeft w:val="0"/>
      <w:marRight w:val="0"/>
      <w:marTop w:val="0"/>
      <w:marBottom w:val="0"/>
      <w:divBdr>
        <w:top w:val="none" w:sz="0" w:space="0" w:color="auto"/>
        <w:left w:val="none" w:sz="0" w:space="0" w:color="auto"/>
        <w:bottom w:val="none" w:sz="0" w:space="0" w:color="auto"/>
        <w:right w:val="none" w:sz="0" w:space="0" w:color="auto"/>
      </w:divBdr>
    </w:div>
    <w:div w:id="861168711">
      <w:bodyDiv w:val="1"/>
      <w:marLeft w:val="0"/>
      <w:marRight w:val="0"/>
      <w:marTop w:val="0"/>
      <w:marBottom w:val="0"/>
      <w:divBdr>
        <w:top w:val="none" w:sz="0" w:space="0" w:color="auto"/>
        <w:left w:val="none" w:sz="0" w:space="0" w:color="auto"/>
        <w:bottom w:val="none" w:sz="0" w:space="0" w:color="auto"/>
        <w:right w:val="none" w:sz="0" w:space="0" w:color="auto"/>
      </w:divBdr>
    </w:div>
    <w:div w:id="881210406">
      <w:bodyDiv w:val="1"/>
      <w:marLeft w:val="0"/>
      <w:marRight w:val="0"/>
      <w:marTop w:val="0"/>
      <w:marBottom w:val="0"/>
      <w:divBdr>
        <w:top w:val="none" w:sz="0" w:space="0" w:color="auto"/>
        <w:left w:val="none" w:sz="0" w:space="0" w:color="auto"/>
        <w:bottom w:val="none" w:sz="0" w:space="0" w:color="auto"/>
        <w:right w:val="none" w:sz="0" w:space="0" w:color="auto"/>
      </w:divBdr>
    </w:div>
    <w:div w:id="985013606">
      <w:bodyDiv w:val="1"/>
      <w:marLeft w:val="0"/>
      <w:marRight w:val="0"/>
      <w:marTop w:val="0"/>
      <w:marBottom w:val="0"/>
      <w:divBdr>
        <w:top w:val="none" w:sz="0" w:space="0" w:color="auto"/>
        <w:left w:val="none" w:sz="0" w:space="0" w:color="auto"/>
        <w:bottom w:val="none" w:sz="0" w:space="0" w:color="auto"/>
        <w:right w:val="none" w:sz="0" w:space="0" w:color="auto"/>
      </w:divBdr>
    </w:div>
    <w:div w:id="1027827189">
      <w:bodyDiv w:val="1"/>
      <w:marLeft w:val="0"/>
      <w:marRight w:val="0"/>
      <w:marTop w:val="0"/>
      <w:marBottom w:val="0"/>
      <w:divBdr>
        <w:top w:val="none" w:sz="0" w:space="0" w:color="auto"/>
        <w:left w:val="none" w:sz="0" w:space="0" w:color="auto"/>
        <w:bottom w:val="none" w:sz="0" w:space="0" w:color="auto"/>
        <w:right w:val="none" w:sz="0" w:space="0" w:color="auto"/>
      </w:divBdr>
    </w:div>
    <w:div w:id="1133207759">
      <w:bodyDiv w:val="1"/>
      <w:marLeft w:val="0"/>
      <w:marRight w:val="0"/>
      <w:marTop w:val="0"/>
      <w:marBottom w:val="0"/>
      <w:divBdr>
        <w:top w:val="none" w:sz="0" w:space="0" w:color="auto"/>
        <w:left w:val="none" w:sz="0" w:space="0" w:color="auto"/>
        <w:bottom w:val="none" w:sz="0" w:space="0" w:color="auto"/>
        <w:right w:val="none" w:sz="0" w:space="0" w:color="auto"/>
      </w:divBdr>
    </w:div>
    <w:div w:id="1205364488">
      <w:bodyDiv w:val="1"/>
      <w:marLeft w:val="0"/>
      <w:marRight w:val="0"/>
      <w:marTop w:val="0"/>
      <w:marBottom w:val="0"/>
      <w:divBdr>
        <w:top w:val="none" w:sz="0" w:space="0" w:color="auto"/>
        <w:left w:val="none" w:sz="0" w:space="0" w:color="auto"/>
        <w:bottom w:val="none" w:sz="0" w:space="0" w:color="auto"/>
        <w:right w:val="none" w:sz="0" w:space="0" w:color="auto"/>
      </w:divBdr>
    </w:div>
    <w:div w:id="1220628029">
      <w:bodyDiv w:val="1"/>
      <w:marLeft w:val="0"/>
      <w:marRight w:val="0"/>
      <w:marTop w:val="0"/>
      <w:marBottom w:val="0"/>
      <w:divBdr>
        <w:top w:val="none" w:sz="0" w:space="0" w:color="auto"/>
        <w:left w:val="none" w:sz="0" w:space="0" w:color="auto"/>
        <w:bottom w:val="none" w:sz="0" w:space="0" w:color="auto"/>
        <w:right w:val="none" w:sz="0" w:space="0" w:color="auto"/>
      </w:divBdr>
    </w:div>
    <w:div w:id="1287661142">
      <w:bodyDiv w:val="1"/>
      <w:marLeft w:val="0"/>
      <w:marRight w:val="0"/>
      <w:marTop w:val="0"/>
      <w:marBottom w:val="0"/>
      <w:divBdr>
        <w:top w:val="none" w:sz="0" w:space="0" w:color="auto"/>
        <w:left w:val="none" w:sz="0" w:space="0" w:color="auto"/>
        <w:bottom w:val="none" w:sz="0" w:space="0" w:color="auto"/>
        <w:right w:val="none" w:sz="0" w:space="0" w:color="auto"/>
      </w:divBdr>
    </w:div>
    <w:div w:id="1292782998">
      <w:bodyDiv w:val="1"/>
      <w:marLeft w:val="0"/>
      <w:marRight w:val="0"/>
      <w:marTop w:val="0"/>
      <w:marBottom w:val="0"/>
      <w:divBdr>
        <w:top w:val="none" w:sz="0" w:space="0" w:color="auto"/>
        <w:left w:val="none" w:sz="0" w:space="0" w:color="auto"/>
        <w:bottom w:val="none" w:sz="0" w:space="0" w:color="auto"/>
        <w:right w:val="none" w:sz="0" w:space="0" w:color="auto"/>
      </w:divBdr>
    </w:div>
    <w:div w:id="1316643536">
      <w:bodyDiv w:val="1"/>
      <w:marLeft w:val="0"/>
      <w:marRight w:val="0"/>
      <w:marTop w:val="0"/>
      <w:marBottom w:val="0"/>
      <w:divBdr>
        <w:top w:val="none" w:sz="0" w:space="0" w:color="auto"/>
        <w:left w:val="none" w:sz="0" w:space="0" w:color="auto"/>
        <w:bottom w:val="none" w:sz="0" w:space="0" w:color="auto"/>
        <w:right w:val="none" w:sz="0" w:space="0" w:color="auto"/>
      </w:divBdr>
    </w:div>
    <w:div w:id="1366904273">
      <w:bodyDiv w:val="1"/>
      <w:marLeft w:val="0"/>
      <w:marRight w:val="0"/>
      <w:marTop w:val="0"/>
      <w:marBottom w:val="0"/>
      <w:divBdr>
        <w:top w:val="none" w:sz="0" w:space="0" w:color="auto"/>
        <w:left w:val="none" w:sz="0" w:space="0" w:color="auto"/>
        <w:bottom w:val="none" w:sz="0" w:space="0" w:color="auto"/>
        <w:right w:val="none" w:sz="0" w:space="0" w:color="auto"/>
      </w:divBdr>
    </w:div>
    <w:div w:id="1427967864">
      <w:bodyDiv w:val="1"/>
      <w:marLeft w:val="0"/>
      <w:marRight w:val="0"/>
      <w:marTop w:val="0"/>
      <w:marBottom w:val="0"/>
      <w:divBdr>
        <w:top w:val="none" w:sz="0" w:space="0" w:color="auto"/>
        <w:left w:val="none" w:sz="0" w:space="0" w:color="auto"/>
        <w:bottom w:val="none" w:sz="0" w:space="0" w:color="auto"/>
        <w:right w:val="none" w:sz="0" w:space="0" w:color="auto"/>
      </w:divBdr>
    </w:div>
    <w:div w:id="1500998397">
      <w:bodyDiv w:val="1"/>
      <w:marLeft w:val="0"/>
      <w:marRight w:val="0"/>
      <w:marTop w:val="0"/>
      <w:marBottom w:val="0"/>
      <w:divBdr>
        <w:top w:val="none" w:sz="0" w:space="0" w:color="auto"/>
        <w:left w:val="none" w:sz="0" w:space="0" w:color="auto"/>
        <w:bottom w:val="none" w:sz="0" w:space="0" w:color="auto"/>
        <w:right w:val="none" w:sz="0" w:space="0" w:color="auto"/>
      </w:divBdr>
    </w:div>
    <w:div w:id="1502968931">
      <w:bodyDiv w:val="1"/>
      <w:marLeft w:val="0"/>
      <w:marRight w:val="0"/>
      <w:marTop w:val="0"/>
      <w:marBottom w:val="0"/>
      <w:divBdr>
        <w:top w:val="none" w:sz="0" w:space="0" w:color="auto"/>
        <w:left w:val="none" w:sz="0" w:space="0" w:color="auto"/>
        <w:bottom w:val="none" w:sz="0" w:space="0" w:color="auto"/>
        <w:right w:val="none" w:sz="0" w:space="0" w:color="auto"/>
      </w:divBdr>
    </w:div>
    <w:div w:id="1533574350">
      <w:bodyDiv w:val="1"/>
      <w:marLeft w:val="0"/>
      <w:marRight w:val="0"/>
      <w:marTop w:val="0"/>
      <w:marBottom w:val="0"/>
      <w:divBdr>
        <w:top w:val="none" w:sz="0" w:space="0" w:color="auto"/>
        <w:left w:val="none" w:sz="0" w:space="0" w:color="auto"/>
        <w:bottom w:val="none" w:sz="0" w:space="0" w:color="auto"/>
        <w:right w:val="none" w:sz="0" w:space="0" w:color="auto"/>
      </w:divBdr>
    </w:div>
    <w:div w:id="1607420924">
      <w:bodyDiv w:val="1"/>
      <w:marLeft w:val="0"/>
      <w:marRight w:val="0"/>
      <w:marTop w:val="0"/>
      <w:marBottom w:val="0"/>
      <w:divBdr>
        <w:top w:val="none" w:sz="0" w:space="0" w:color="auto"/>
        <w:left w:val="none" w:sz="0" w:space="0" w:color="auto"/>
        <w:bottom w:val="none" w:sz="0" w:space="0" w:color="auto"/>
        <w:right w:val="none" w:sz="0" w:space="0" w:color="auto"/>
      </w:divBdr>
    </w:div>
    <w:div w:id="1650132641">
      <w:bodyDiv w:val="1"/>
      <w:marLeft w:val="0"/>
      <w:marRight w:val="0"/>
      <w:marTop w:val="0"/>
      <w:marBottom w:val="0"/>
      <w:divBdr>
        <w:top w:val="none" w:sz="0" w:space="0" w:color="auto"/>
        <w:left w:val="none" w:sz="0" w:space="0" w:color="auto"/>
        <w:bottom w:val="none" w:sz="0" w:space="0" w:color="auto"/>
        <w:right w:val="none" w:sz="0" w:space="0" w:color="auto"/>
      </w:divBdr>
      <w:divsChild>
        <w:div w:id="530463109">
          <w:marLeft w:val="0"/>
          <w:marRight w:val="0"/>
          <w:marTop w:val="0"/>
          <w:marBottom w:val="0"/>
          <w:divBdr>
            <w:top w:val="none" w:sz="0" w:space="0" w:color="auto"/>
            <w:left w:val="none" w:sz="0" w:space="0" w:color="auto"/>
            <w:bottom w:val="none" w:sz="0" w:space="0" w:color="auto"/>
            <w:right w:val="none" w:sz="0" w:space="0" w:color="auto"/>
          </w:divBdr>
          <w:divsChild>
            <w:div w:id="163322859">
              <w:marLeft w:val="0"/>
              <w:marRight w:val="0"/>
              <w:marTop w:val="0"/>
              <w:marBottom w:val="0"/>
              <w:divBdr>
                <w:top w:val="none" w:sz="0" w:space="0" w:color="auto"/>
                <w:left w:val="none" w:sz="0" w:space="0" w:color="auto"/>
                <w:bottom w:val="none" w:sz="0" w:space="0" w:color="auto"/>
                <w:right w:val="none" w:sz="0" w:space="0" w:color="auto"/>
              </w:divBdr>
            </w:div>
            <w:div w:id="263925624">
              <w:marLeft w:val="0"/>
              <w:marRight w:val="0"/>
              <w:marTop w:val="0"/>
              <w:marBottom w:val="0"/>
              <w:divBdr>
                <w:top w:val="none" w:sz="0" w:space="0" w:color="auto"/>
                <w:left w:val="none" w:sz="0" w:space="0" w:color="auto"/>
                <w:bottom w:val="none" w:sz="0" w:space="0" w:color="auto"/>
                <w:right w:val="none" w:sz="0" w:space="0" w:color="auto"/>
              </w:divBdr>
            </w:div>
            <w:div w:id="479274767">
              <w:marLeft w:val="0"/>
              <w:marRight w:val="0"/>
              <w:marTop w:val="0"/>
              <w:marBottom w:val="0"/>
              <w:divBdr>
                <w:top w:val="none" w:sz="0" w:space="0" w:color="auto"/>
                <w:left w:val="none" w:sz="0" w:space="0" w:color="auto"/>
                <w:bottom w:val="none" w:sz="0" w:space="0" w:color="auto"/>
                <w:right w:val="none" w:sz="0" w:space="0" w:color="auto"/>
              </w:divBdr>
            </w:div>
            <w:div w:id="1960143293">
              <w:marLeft w:val="0"/>
              <w:marRight w:val="0"/>
              <w:marTop w:val="0"/>
              <w:marBottom w:val="0"/>
              <w:divBdr>
                <w:top w:val="none" w:sz="0" w:space="0" w:color="auto"/>
                <w:left w:val="none" w:sz="0" w:space="0" w:color="auto"/>
                <w:bottom w:val="none" w:sz="0" w:space="0" w:color="auto"/>
                <w:right w:val="none" w:sz="0" w:space="0" w:color="auto"/>
              </w:divBdr>
            </w:div>
          </w:divsChild>
        </w:div>
        <w:div w:id="1272586682">
          <w:marLeft w:val="0"/>
          <w:marRight w:val="0"/>
          <w:marTop w:val="0"/>
          <w:marBottom w:val="0"/>
          <w:divBdr>
            <w:top w:val="none" w:sz="0" w:space="0" w:color="auto"/>
            <w:left w:val="none" w:sz="0" w:space="0" w:color="auto"/>
            <w:bottom w:val="none" w:sz="0" w:space="0" w:color="auto"/>
            <w:right w:val="none" w:sz="0" w:space="0" w:color="auto"/>
          </w:divBdr>
        </w:div>
      </w:divsChild>
    </w:div>
    <w:div w:id="1651590396">
      <w:bodyDiv w:val="1"/>
      <w:marLeft w:val="0"/>
      <w:marRight w:val="0"/>
      <w:marTop w:val="0"/>
      <w:marBottom w:val="0"/>
      <w:divBdr>
        <w:top w:val="none" w:sz="0" w:space="0" w:color="auto"/>
        <w:left w:val="none" w:sz="0" w:space="0" w:color="auto"/>
        <w:bottom w:val="none" w:sz="0" w:space="0" w:color="auto"/>
        <w:right w:val="none" w:sz="0" w:space="0" w:color="auto"/>
      </w:divBdr>
      <w:divsChild>
        <w:div w:id="497960413">
          <w:marLeft w:val="0"/>
          <w:marRight w:val="0"/>
          <w:marTop w:val="0"/>
          <w:marBottom w:val="0"/>
          <w:divBdr>
            <w:top w:val="none" w:sz="0" w:space="0" w:color="auto"/>
            <w:left w:val="none" w:sz="0" w:space="0" w:color="auto"/>
            <w:bottom w:val="none" w:sz="0" w:space="0" w:color="auto"/>
            <w:right w:val="none" w:sz="0" w:space="0" w:color="auto"/>
          </w:divBdr>
          <w:divsChild>
            <w:div w:id="2132161979">
              <w:marLeft w:val="0"/>
              <w:marRight w:val="0"/>
              <w:marTop w:val="0"/>
              <w:marBottom w:val="0"/>
              <w:divBdr>
                <w:top w:val="none" w:sz="0" w:space="0" w:color="auto"/>
                <w:left w:val="none" w:sz="0" w:space="0" w:color="auto"/>
                <w:bottom w:val="none" w:sz="0" w:space="0" w:color="auto"/>
                <w:right w:val="none" w:sz="0" w:space="0" w:color="auto"/>
              </w:divBdr>
            </w:div>
            <w:div w:id="1840193457">
              <w:marLeft w:val="0"/>
              <w:marRight w:val="0"/>
              <w:marTop w:val="0"/>
              <w:marBottom w:val="0"/>
              <w:divBdr>
                <w:top w:val="none" w:sz="0" w:space="0" w:color="auto"/>
                <w:left w:val="none" w:sz="0" w:space="0" w:color="auto"/>
                <w:bottom w:val="none" w:sz="0" w:space="0" w:color="auto"/>
                <w:right w:val="none" w:sz="0" w:space="0" w:color="auto"/>
              </w:divBdr>
            </w:div>
            <w:div w:id="1203783263">
              <w:marLeft w:val="0"/>
              <w:marRight w:val="0"/>
              <w:marTop w:val="0"/>
              <w:marBottom w:val="0"/>
              <w:divBdr>
                <w:top w:val="none" w:sz="0" w:space="0" w:color="auto"/>
                <w:left w:val="none" w:sz="0" w:space="0" w:color="auto"/>
                <w:bottom w:val="none" w:sz="0" w:space="0" w:color="auto"/>
                <w:right w:val="none" w:sz="0" w:space="0" w:color="auto"/>
              </w:divBdr>
            </w:div>
            <w:div w:id="1266882666">
              <w:marLeft w:val="0"/>
              <w:marRight w:val="0"/>
              <w:marTop w:val="0"/>
              <w:marBottom w:val="0"/>
              <w:divBdr>
                <w:top w:val="none" w:sz="0" w:space="0" w:color="auto"/>
                <w:left w:val="none" w:sz="0" w:space="0" w:color="auto"/>
                <w:bottom w:val="none" w:sz="0" w:space="0" w:color="auto"/>
                <w:right w:val="none" w:sz="0" w:space="0" w:color="auto"/>
              </w:divBdr>
            </w:div>
          </w:divsChild>
        </w:div>
        <w:div w:id="1546524783">
          <w:marLeft w:val="0"/>
          <w:marRight w:val="0"/>
          <w:marTop w:val="0"/>
          <w:marBottom w:val="0"/>
          <w:divBdr>
            <w:top w:val="none" w:sz="0" w:space="0" w:color="auto"/>
            <w:left w:val="none" w:sz="0" w:space="0" w:color="auto"/>
            <w:bottom w:val="none" w:sz="0" w:space="0" w:color="auto"/>
            <w:right w:val="none" w:sz="0" w:space="0" w:color="auto"/>
          </w:divBdr>
        </w:div>
      </w:divsChild>
    </w:div>
    <w:div w:id="1711681018">
      <w:bodyDiv w:val="1"/>
      <w:marLeft w:val="0"/>
      <w:marRight w:val="0"/>
      <w:marTop w:val="0"/>
      <w:marBottom w:val="0"/>
      <w:divBdr>
        <w:top w:val="none" w:sz="0" w:space="0" w:color="auto"/>
        <w:left w:val="none" w:sz="0" w:space="0" w:color="auto"/>
        <w:bottom w:val="none" w:sz="0" w:space="0" w:color="auto"/>
        <w:right w:val="none" w:sz="0" w:space="0" w:color="auto"/>
      </w:divBdr>
    </w:div>
    <w:div w:id="1792016756">
      <w:bodyDiv w:val="1"/>
      <w:marLeft w:val="0"/>
      <w:marRight w:val="0"/>
      <w:marTop w:val="0"/>
      <w:marBottom w:val="0"/>
      <w:divBdr>
        <w:top w:val="none" w:sz="0" w:space="0" w:color="auto"/>
        <w:left w:val="none" w:sz="0" w:space="0" w:color="auto"/>
        <w:bottom w:val="none" w:sz="0" w:space="0" w:color="auto"/>
        <w:right w:val="none" w:sz="0" w:space="0" w:color="auto"/>
      </w:divBdr>
    </w:div>
    <w:div w:id="1798643472">
      <w:bodyDiv w:val="1"/>
      <w:marLeft w:val="0"/>
      <w:marRight w:val="0"/>
      <w:marTop w:val="0"/>
      <w:marBottom w:val="0"/>
      <w:divBdr>
        <w:top w:val="none" w:sz="0" w:space="0" w:color="auto"/>
        <w:left w:val="none" w:sz="0" w:space="0" w:color="auto"/>
        <w:bottom w:val="none" w:sz="0" w:space="0" w:color="auto"/>
        <w:right w:val="none" w:sz="0" w:space="0" w:color="auto"/>
      </w:divBdr>
    </w:div>
    <w:div w:id="1830487264">
      <w:bodyDiv w:val="1"/>
      <w:marLeft w:val="0"/>
      <w:marRight w:val="0"/>
      <w:marTop w:val="0"/>
      <w:marBottom w:val="0"/>
      <w:divBdr>
        <w:top w:val="none" w:sz="0" w:space="0" w:color="auto"/>
        <w:left w:val="none" w:sz="0" w:space="0" w:color="auto"/>
        <w:bottom w:val="none" w:sz="0" w:space="0" w:color="auto"/>
        <w:right w:val="none" w:sz="0" w:space="0" w:color="auto"/>
      </w:divBdr>
    </w:div>
    <w:div w:id="1834562988">
      <w:bodyDiv w:val="1"/>
      <w:marLeft w:val="0"/>
      <w:marRight w:val="0"/>
      <w:marTop w:val="0"/>
      <w:marBottom w:val="0"/>
      <w:divBdr>
        <w:top w:val="none" w:sz="0" w:space="0" w:color="auto"/>
        <w:left w:val="none" w:sz="0" w:space="0" w:color="auto"/>
        <w:bottom w:val="none" w:sz="0" w:space="0" w:color="auto"/>
        <w:right w:val="none" w:sz="0" w:space="0" w:color="auto"/>
      </w:divBdr>
    </w:div>
    <w:div w:id="2008827047">
      <w:bodyDiv w:val="1"/>
      <w:marLeft w:val="0"/>
      <w:marRight w:val="0"/>
      <w:marTop w:val="0"/>
      <w:marBottom w:val="0"/>
      <w:divBdr>
        <w:top w:val="none" w:sz="0" w:space="0" w:color="auto"/>
        <w:left w:val="none" w:sz="0" w:space="0" w:color="auto"/>
        <w:bottom w:val="none" w:sz="0" w:space="0" w:color="auto"/>
        <w:right w:val="none" w:sz="0" w:space="0" w:color="auto"/>
      </w:divBdr>
    </w:div>
    <w:div w:id="2049644858">
      <w:bodyDiv w:val="1"/>
      <w:marLeft w:val="0"/>
      <w:marRight w:val="0"/>
      <w:marTop w:val="0"/>
      <w:marBottom w:val="0"/>
      <w:divBdr>
        <w:top w:val="none" w:sz="0" w:space="0" w:color="auto"/>
        <w:left w:val="none" w:sz="0" w:space="0" w:color="auto"/>
        <w:bottom w:val="none" w:sz="0" w:space="0" w:color="auto"/>
        <w:right w:val="none" w:sz="0" w:space="0" w:color="auto"/>
      </w:divBdr>
    </w:div>
    <w:div w:id="2077824798">
      <w:bodyDiv w:val="1"/>
      <w:marLeft w:val="0"/>
      <w:marRight w:val="0"/>
      <w:marTop w:val="0"/>
      <w:marBottom w:val="0"/>
      <w:divBdr>
        <w:top w:val="none" w:sz="0" w:space="0" w:color="auto"/>
        <w:left w:val="none" w:sz="0" w:space="0" w:color="auto"/>
        <w:bottom w:val="none" w:sz="0" w:space="0" w:color="auto"/>
        <w:right w:val="none" w:sz="0" w:space="0" w:color="auto"/>
      </w:divBdr>
    </w:div>
    <w:div w:id="2099715753">
      <w:bodyDiv w:val="1"/>
      <w:marLeft w:val="0"/>
      <w:marRight w:val="0"/>
      <w:marTop w:val="0"/>
      <w:marBottom w:val="0"/>
      <w:divBdr>
        <w:top w:val="none" w:sz="0" w:space="0" w:color="auto"/>
        <w:left w:val="none" w:sz="0" w:space="0" w:color="auto"/>
        <w:bottom w:val="none" w:sz="0" w:space="0" w:color="auto"/>
        <w:right w:val="none" w:sz="0" w:space="0" w:color="auto"/>
      </w:divBdr>
    </w:div>
    <w:div w:id="2135633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6.xml"/><Relationship Id="rId26" Type="http://schemas.openxmlformats.org/officeDocument/2006/relationships/image" Target="media/image11.png"/><Relationship Id="rId39" Type="http://schemas.openxmlformats.org/officeDocument/2006/relationships/hyperlink" Target="https://ec.europa.eu/eurostat/databrowser/view/aei_hri/default/bar?lang=en" TargetMode="External"/><Relationship Id="rId21" Type="http://schemas.openxmlformats.org/officeDocument/2006/relationships/image" Target="media/image7.wmf"/><Relationship Id="rId34" Type="http://schemas.openxmlformats.org/officeDocument/2006/relationships/image" Target="media/image15.jpeg"/><Relationship Id="rId42" Type="http://schemas.openxmlformats.org/officeDocument/2006/relationships/image" Target="media/image17.pn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2.wmf"/><Relationship Id="rId11" Type="http://schemas.openxmlformats.org/officeDocument/2006/relationships/chart" Target="charts/chart3.xml"/><Relationship Id="rId24" Type="http://schemas.openxmlformats.org/officeDocument/2006/relationships/image" Target="media/image10.png"/><Relationship Id="rId32" Type="http://schemas.openxmlformats.org/officeDocument/2006/relationships/image" Target="media/image14.jpeg"/><Relationship Id="rId37" Type="http://schemas.openxmlformats.org/officeDocument/2006/relationships/image" Target="media/image16.emf"/><Relationship Id="rId40" Type="http://schemas.openxmlformats.org/officeDocument/2006/relationships/chart" Target="charts/chart10.xml"/><Relationship Id="rId45"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9.jpeg"/><Relationship Id="rId28" Type="http://schemas.openxmlformats.org/officeDocument/2006/relationships/hyperlink" Target="https://www.agrofagi.com.pl/" TargetMode="External"/><Relationship Id="rId36" Type="http://schemas.openxmlformats.org/officeDocument/2006/relationships/chart" Target="charts/chart8.xml"/><Relationship Id="rId49"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s://radiopoznan.fm/audycja/berwinskiego-5/berwinskiego-5-profesor-dr-hab-anna-tratwal" TargetMode="External"/><Relationship Id="rId31" Type="http://schemas.openxmlformats.org/officeDocument/2006/relationships/hyperlink" Target="http://www.coboru.pl/" TargetMode="External"/><Relationship Id="rId44"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hyperlink" Target="http://hortiochrona.inhort.pl/" TargetMode="External"/><Relationship Id="rId30" Type="http://schemas.openxmlformats.org/officeDocument/2006/relationships/image" Target="media/image13.wmf"/><Relationship Id="rId35" Type="http://schemas.openxmlformats.org/officeDocument/2006/relationships/chart" Target="charts/chart7.xml"/><Relationship Id="rId43" Type="http://schemas.openxmlformats.org/officeDocument/2006/relationships/chart" Target="charts/chart12.xml"/><Relationship Id="rId48" Type="http://schemas.openxmlformats.org/officeDocument/2006/relationships/fontTable" Target="fontTable.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hyperlink" Target="http://www.agrofagi.com.pl/" TargetMode="External"/><Relationship Id="rId33" Type="http://schemas.openxmlformats.org/officeDocument/2006/relationships/hyperlink" Target="http://piorin.gov.pl/integrowana-produkcja" TargetMode="External"/><Relationship Id="rId38" Type="http://schemas.openxmlformats.org/officeDocument/2006/relationships/chart" Target="charts/chart9.xml"/><Relationship Id="rId46" Type="http://schemas.openxmlformats.org/officeDocument/2006/relationships/chart" Target="charts/chart15.xml"/><Relationship Id="rId20" Type="http://schemas.openxmlformats.org/officeDocument/2006/relationships/image" Target="media/image6.wmf"/><Relationship Id="rId41"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SERWER5\Dane\HOMES\sliwinski\PROJEKTY\PW%202022\zadanie%201.9\WSKA&#377;NIKI\Wska&#378;nik%20HRI1\wykresy%20do%20analizy%20-%20miernika%20HRI1.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SERWER5\Dane\HOMES\sliwinski\PROJEKTY\PW%202022\zadanie%201.9\WSKA&#377;NIKI\Wska&#378;nik%20HRI1\wykresy%20do%20analizy%20-%20miernika%20HRI1.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SERWER5\Dane\HOMES\sliwinski\PROJEKTY\projekt_HRI1\2022\HRI_f2f-2021_analizaPL.xlsm"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SERWER5\Dane\HOMES\sliwinski\PROJEKTY\projekt_HRI1\2022\HRI_f2f-2021_analizaPL.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SERWER5\Dane\HOMES\sliwinski\PROJEKTY\PW%202022\zadanie%201.9\WSKA&#377;NIKI\Wska&#378;nik%20HRI1\obliczenie%20HRI1%20klasyfikacja%202021.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SERWER5\Dane\HOMES\sliwinski\PROJEKTY\PW%202022\zadanie%201.9\dane%20do%20sprawozdania\tabela%20-%20kompleksowa%20ocena.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oleObject" Target="Zeszyt1"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Zeszyt1"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Liczba osób przeszkolonych</c:v>
                </c:pt>
              </c:strCache>
            </c:strRef>
          </c:tx>
          <c:spPr>
            <a:solidFill>
              <a:srgbClr val="9BBB59"/>
            </a:solidFill>
            <a:ln>
              <a:noFill/>
            </a:ln>
            <a:effectLst/>
            <a:sp3d/>
          </c:spPr>
          <c:invertIfNegative val="0"/>
          <c:dLbls>
            <c:dLbl>
              <c:idx val="0"/>
              <c:layout>
                <c:manualLayout>
                  <c:x val="0"/>
                  <c:y val="-5.8823529411764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F6-48A6-B105-86CB63D04299}"/>
                </c:ext>
              </c:extLst>
            </c:dLbl>
            <c:dLbl>
              <c:idx val="1"/>
              <c:layout>
                <c:manualLayout>
                  <c:x val="2.5236593059936676E-3"/>
                  <c:y val="-3.0112923462986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F6-48A6-B105-86CB63D04299}"/>
                </c:ext>
              </c:extLst>
            </c:dLbl>
            <c:dLbl>
              <c:idx val="2"/>
              <c:layout>
                <c:manualLayout>
                  <c:x val="-3.9464259062638662E-17"/>
                  <c:y val="-4.247104247104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F6-48A6-B105-86CB63D04299}"/>
                </c:ext>
              </c:extLst>
            </c:dLbl>
            <c:dLbl>
              <c:idx val="4"/>
              <c:layout>
                <c:manualLayout>
                  <c:x val="0"/>
                  <c:y val="-6.7873303167420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F6-48A6-B105-86CB63D04299}"/>
                </c:ext>
              </c:extLst>
            </c:dLbl>
            <c:dLbl>
              <c:idx val="6"/>
              <c:layout>
                <c:manualLayout>
                  <c:x val="0"/>
                  <c:y val="-5.4298642533936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F6-48A6-B105-86CB63D04299}"/>
                </c:ext>
              </c:extLst>
            </c:dLbl>
            <c:dLbl>
              <c:idx val="8"/>
              <c:layout>
                <c:manualLayout>
                  <c:x val="0"/>
                  <c:y val="-3.8610038610038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F6-48A6-B105-86CB63D04299}"/>
                </c:ext>
              </c:extLst>
            </c:dLbl>
            <c:dLbl>
              <c:idx val="9"/>
              <c:layout>
                <c:manualLayout>
                  <c:x val="2.523659305993691E-3"/>
                  <c:y val="-5.01882057716436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9F6-48A6-B105-86CB63D04299}"/>
                </c:ext>
              </c:extLst>
            </c:dLbl>
            <c:dLbl>
              <c:idx val="10"/>
              <c:layout>
                <c:manualLayout>
                  <c:x val="1.4778765557530169E-3"/>
                  <c:y val="-4.7459015941157354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9.4068671743900864E-2"/>
                      <c:h val="0.1411190554230092"/>
                    </c:manualLayout>
                  </c15:layout>
                </c:ext>
                <c:ext xmlns:c16="http://schemas.microsoft.com/office/drawing/2014/chart" uri="{C3380CC4-5D6E-409C-BE32-E72D297353CC}">
                  <c16:uniqueId val="{00000007-69F6-48A6-B105-86CB63D0429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Arkusz1!$A$2:$A$14</c:f>
              <c:numCache>
                <c:formatCode>General</c:formatCode>
                <c:ptCount val="13"/>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Arkusz1!$B$2:$B$14</c:f>
              <c:numCache>
                <c:formatCode>#,##0</c:formatCode>
                <c:ptCount val="13"/>
                <c:pt idx="0">
                  <c:v>109715</c:v>
                </c:pt>
                <c:pt idx="1">
                  <c:v>59360</c:v>
                </c:pt>
                <c:pt idx="2">
                  <c:v>68083</c:v>
                </c:pt>
                <c:pt idx="3">
                  <c:v>68667</c:v>
                </c:pt>
                <c:pt idx="4">
                  <c:v>91290</c:v>
                </c:pt>
                <c:pt idx="5">
                  <c:v>140285</c:v>
                </c:pt>
                <c:pt idx="6">
                  <c:v>73088</c:v>
                </c:pt>
                <c:pt idx="7">
                  <c:v>59060</c:v>
                </c:pt>
                <c:pt idx="8">
                  <c:v>66300</c:v>
                </c:pt>
                <c:pt idx="9">
                  <c:v>76723</c:v>
                </c:pt>
                <c:pt idx="10" formatCode="General">
                  <c:v>93905</c:v>
                </c:pt>
                <c:pt idx="11" formatCode="General">
                  <c:v>62675</c:v>
                </c:pt>
                <c:pt idx="12" formatCode="General">
                  <c:v>53996</c:v>
                </c:pt>
              </c:numCache>
            </c:numRef>
          </c:val>
          <c:extLst>
            <c:ext xmlns:c16="http://schemas.microsoft.com/office/drawing/2014/chart" uri="{C3380CC4-5D6E-409C-BE32-E72D297353CC}">
              <c16:uniqueId val="{00000008-69F6-48A6-B105-86CB63D04299}"/>
            </c:ext>
          </c:extLst>
        </c:ser>
        <c:dLbls>
          <c:showLegendKey val="0"/>
          <c:showVal val="0"/>
          <c:showCatName val="0"/>
          <c:showSerName val="0"/>
          <c:showPercent val="0"/>
          <c:showBubbleSize val="0"/>
        </c:dLbls>
        <c:gapWidth val="150"/>
        <c:shape val="box"/>
        <c:axId val="576549760"/>
        <c:axId val="576550152"/>
        <c:axId val="0"/>
      </c:bar3DChart>
      <c:catAx>
        <c:axId val="57654976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576550152"/>
        <c:crosses val="autoZero"/>
        <c:auto val="1"/>
        <c:lblAlgn val="ctr"/>
        <c:lblOffset val="100"/>
        <c:noMultiLvlLbl val="0"/>
      </c:catAx>
      <c:valAx>
        <c:axId val="57655015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576549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Pt>
            <c:idx val="10"/>
            <c:invertIfNegative val="0"/>
            <c:bubble3D val="0"/>
            <c:spPr>
              <a:solidFill>
                <a:srgbClr val="00B050"/>
              </a:solidFill>
              <a:ln>
                <a:noFill/>
              </a:ln>
              <a:effectLst/>
            </c:spPr>
            <c:extLst>
              <c:ext xmlns:c16="http://schemas.microsoft.com/office/drawing/2014/chart" uri="{C3380CC4-5D6E-409C-BE32-E72D297353CC}">
                <c16:uniqueId val="{00000001-5C8B-4D4E-81D9-DF4415EF7D91}"/>
              </c:ext>
            </c:extLst>
          </c:dPt>
          <c:dPt>
            <c:idx val="12"/>
            <c:invertIfNegative val="0"/>
            <c:bubble3D val="0"/>
            <c:spPr>
              <a:solidFill>
                <a:srgbClr val="FF0000"/>
              </a:solidFill>
              <a:ln>
                <a:noFill/>
              </a:ln>
              <a:effectLst/>
            </c:spPr>
            <c:extLst>
              <c:ext xmlns:c16="http://schemas.microsoft.com/office/drawing/2014/chart" uri="{C3380CC4-5D6E-409C-BE32-E72D297353CC}">
                <c16:uniqueId val="{00000003-5C8B-4D4E-81D9-DF4415EF7D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wykres1!$A$2:$A$29</c:f>
              <c:strCache>
                <c:ptCount val="28"/>
                <c:pt idx="0">
                  <c:v>Łotwa</c:v>
                </c:pt>
                <c:pt idx="1">
                  <c:v>Estonia</c:v>
                </c:pt>
                <c:pt idx="2">
                  <c:v>Finlandia</c:v>
                </c:pt>
                <c:pt idx="3">
                  <c:v>Austria</c:v>
                </c:pt>
                <c:pt idx="4">
                  <c:v>Litwa</c:v>
                </c:pt>
                <c:pt idx="5">
                  <c:v>Cypr</c:v>
                </c:pt>
                <c:pt idx="6">
                  <c:v>Niemcy</c:v>
                </c:pt>
                <c:pt idx="7">
                  <c:v>Hiszpania</c:v>
                </c:pt>
                <c:pt idx="8">
                  <c:v>Malta</c:v>
                </c:pt>
                <c:pt idx="9">
                  <c:v>Węgry</c:v>
                </c:pt>
                <c:pt idx="10">
                  <c:v>Polska</c:v>
                </c:pt>
                <c:pt idx="11">
                  <c:v>Słowenia</c:v>
                </c:pt>
                <c:pt idx="12">
                  <c:v>Unia Europejska - 27 krajów</c:v>
                </c:pt>
                <c:pt idx="13">
                  <c:v>Słowacja</c:v>
                </c:pt>
                <c:pt idx="14">
                  <c:v>Francja</c:v>
                </c:pt>
                <c:pt idx="15">
                  <c:v>Irlandia</c:v>
                </c:pt>
                <c:pt idx="16">
                  <c:v>Szwecja</c:v>
                </c:pt>
                <c:pt idx="17">
                  <c:v>Włochy</c:v>
                </c:pt>
                <c:pt idx="18">
                  <c:v>Holandia</c:v>
                </c:pt>
                <c:pt idx="19">
                  <c:v>Portugalia</c:v>
                </c:pt>
                <c:pt idx="20">
                  <c:v>Bułgaria</c:v>
                </c:pt>
                <c:pt idx="21">
                  <c:v>Dania</c:v>
                </c:pt>
                <c:pt idx="22">
                  <c:v>Belgia</c:v>
                </c:pt>
                <c:pt idx="23">
                  <c:v>Grecja</c:v>
                </c:pt>
                <c:pt idx="24">
                  <c:v>Chorwacja</c:v>
                </c:pt>
                <c:pt idx="25">
                  <c:v>Luksemburg</c:v>
                </c:pt>
                <c:pt idx="26">
                  <c:v>Czechy</c:v>
                </c:pt>
                <c:pt idx="27">
                  <c:v>Rumunia</c:v>
                </c:pt>
              </c:strCache>
            </c:strRef>
          </c:cat>
          <c:val>
            <c:numRef>
              <c:f>wykres1!$B$2:$B$29</c:f>
              <c:numCache>
                <c:formatCode>General</c:formatCode>
                <c:ptCount val="28"/>
                <c:pt idx="0">
                  <c:v>161</c:v>
                </c:pt>
                <c:pt idx="1">
                  <c:v>153</c:v>
                </c:pt>
                <c:pt idx="2">
                  <c:v>144</c:v>
                </c:pt>
                <c:pt idx="3">
                  <c:v>135</c:v>
                </c:pt>
                <c:pt idx="4">
                  <c:v>99</c:v>
                </c:pt>
                <c:pt idx="5">
                  <c:v>93</c:v>
                </c:pt>
                <c:pt idx="6">
                  <c:v>89</c:v>
                </c:pt>
                <c:pt idx="7">
                  <c:v>88</c:v>
                </c:pt>
                <c:pt idx="8">
                  <c:v>87</c:v>
                </c:pt>
                <c:pt idx="9">
                  <c:v>85</c:v>
                </c:pt>
                <c:pt idx="10">
                  <c:v>83</c:v>
                </c:pt>
                <c:pt idx="11">
                  <c:v>80</c:v>
                </c:pt>
                <c:pt idx="12" formatCode="#,##0">
                  <c:v>78</c:v>
                </c:pt>
                <c:pt idx="13">
                  <c:v>77</c:v>
                </c:pt>
                <c:pt idx="14">
                  <c:v>76</c:v>
                </c:pt>
                <c:pt idx="15">
                  <c:v>76</c:v>
                </c:pt>
                <c:pt idx="16">
                  <c:v>73</c:v>
                </c:pt>
                <c:pt idx="17">
                  <c:v>73</c:v>
                </c:pt>
                <c:pt idx="18">
                  <c:v>72</c:v>
                </c:pt>
                <c:pt idx="19">
                  <c:v>71</c:v>
                </c:pt>
                <c:pt idx="20">
                  <c:v>65</c:v>
                </c:pt>
                <c:pt idx="21">
                  <c:v>61</c:v>
                </c:pt>
                <c:pt idx="22" formatCode="#,##0">
                  <c:v>58</c:v>
                </c:pt>
                <c:pt idx="23">
                  <c:v>57</c:v>
                </c:pt>
                <c:pt idx="24">
                  <c:v>56</c:v>
                </c:pt>
                <c:pt idx="25">
                  <c:v>51</c:v>
                </c:pt>
                <c:pt idx="26">
                  <c:v>49</c:v>
                </c:pt>
                <c:pt idx="27">
                  <c:v>35</c:v>
                </c:pt>
              </c:numCache>
            </c:numRef>
          </c:val>
          <c:extLst>
            <c:ext xmlns:c16="http://schemas.microsoft.com/office/drawing/2014/chart" uri="{C3380CC4-5D6E-409C-BE32-E72D297353CC}">
              <c16:uniqueId val="{00000004-5C8B-4D4E-81D9-DF4415EF7D91}"/>
            </c:ext>
          </c:extLst>
        </c:ser>
        <c:dLbls>
          <c:showLegendKey val="0"/>
          <c:showVal val="0"/>
          <c:showCatName val="0"/>
          <c:showSerName val="0"/>
          <c:showPercent val="0"/>
          <c:showBubbleSize val="0"/>
        </c:dLbls>
        <c:gapWidth val="182"/>
        <c:axId val="490909432"/>
        <c:axId val="490917960"/>
      </c:barChart>
      <c:catAx>
        <c:axId val="490909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490917960"/>
        <c:crosses val="autoZero"/>
        <c:auto val="1"/>
        <c:lblAlgn val="ctr"/>
        <c:lblOffset val="100"/>
        <c:noMultiLvlLbl val="0"/>
      </c:catAx>
      <c:valAx>
        <c:axId val="490917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0909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wykres2!$A$2</c:f>
              <c:strCache>
                <c:ptCount val="1"/>
                <c:pt idx="0">
                  <c:v>Unia Europejska - 27 krajów (od 2020)</c:v>
                </c:pt>
              </c:strCache>
            </c:strRef>
          </c:tx>
          <c:spPr>
            <a:ln w="28575" cap="rnd">
              <a:solidFill>
                <a:schemeClr val="accent1"/>
              </a:solidFill>
              <a:round/>
            </a:ln>
            <a:effectLst/>
          </c:spPr>
          <c:marker>
            <c:symbol val="none"/>
          </c:marker>
          <c:cat>
            <c:numRef>
              <c:f>wykres2!$B$1:$K$1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wykres2!$B$2:$K$2</c:f>
              <c:numCache>
                <c:formatCode>General</c:formatCode>
                <c:ptCount val="10"/>
                <c:pt idx="0">
                  <c:v>110</c:v>
                </c:pt>
                <c:pt idx="1">
                  <c:v>97</c:v>
                </c:pt>
                <c:pt idx="2">
                  <c:v>93</c:v>
                </c:pt>
                <c:pt idx="3">
                  <c:v>95</c:v>
                </c:pt>
                <c:pt idx="4">
                  <c:v>97</c:v>
                </c:pt>
                <c:pt idx="5">
                  <c:v>92</c:v>
                </c:pt>
                <c:pt idx="6">
                  <c:v>83</c:v>
                </c:pt>
                <c:pt idx="7">
                  <c:v>83</c:v>
                </c:pt>
                <c:pt idx="8">
                  <c:v>79</c:v>
                </c:pt>
                <c:pt idx="9">
                  <c:v>78</c:v>
                </c:pt>
              </c:numCache>
            </c:numRef>
          </c:val>
          <c:smooth val="0"/>
          <c:extLst>
            <c:ext xmlns:c16="http://schemas.microsoft.com/office/drawing/2014/chart" uri="{C3380CC4-5D6E-409C-BE32-E72D297353CC}">
              <c16:uniqueId val="{00000000-D6C6-4FC4-8880-E13A352DAE47}"/>
            </c:ext>
          </c:extLst>
        </c:ser>
        <c:ser>
          <c:idx val="1"/>
          <c:order val="1"/>
          <c:tx>
            <c:strRef>
              <c:f>wykres2!$A$3</c:f>
              <c:strCache>
                <c:ptCount val="1"/>
                <c:pt idx="0">
                  <c:v>Polska</c:v>
                </c:pt>
              </c:strCache>
            </c:strRef>
          </c:tx>
          <c:spPr>
            <a:ln w="28575" cap="rnd">
              <a:solidFill>
                <a:schemeClr val="accent2"/>
              </a:solidFill>
              <a:round/>
            </a:ln>
            <a:effectLst/>
          </c:spPr>
          <c:marker>
            <c:symbol val="none"/>
          </c:marker>
          <c:cat>
            <c:numRef>
              <c:f>wykres2!$B$1:$K$1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wykres2!$B$3:$K$3</c:f>
              <c:numCache>
                <c:formatCode>General</c:formatCode>
                <c:ptCount val="10"/>
                <c:pt idx="0">
                  <c:v>115</c:v>
                </c:pt>
                <c:pt idx="1">
                  <c:v>94</c:v>
                </c:pt>
                <c:pt idx="2">
                  <c:v>91</c:v>
                </c:pt>
                <c:pt idx="3">
                  <c:v>96</c:v>
                </c:pt>
                <c:pt idx="4">
                  <c:v>98</c:v>
                </c:pt>
                <c:pt idx="5">
                  <c:v>98</c:v>
                </c:pt>
                <c:pt idx="6">
                  <c:v>89</c:v>
                </c:pt>
                <c:pt idx="7">
                  <c:v>78</c:v>
                </c:pt>
                <c:pt idx="8">
                  <c:v>81</c:v>
                </c:pt>
                <c:pt idx="9">
                  <c:v>83</c:v>
                </c:pt>
              </c:numCache>
            </c:numRef>
          </c:val>
          <c:smooth val="0"/>
          <c:extLst>
            <c:ext xmlns:c16="http://schemas.microsoft.com/office/drawing/2014/chart" uri="{C3380CC4-5D6E-409C-BE32-E72D297353CC}">
              <c16:uniqueId val="{00000001-D6C6-4FC4-8880-E13A352DAE47}"/>
            </c:ext>
          </c:extLst>
        </c:ser>
        <c:dLbls>
          <c:showLegendKey val="0"/>
          <c:showVal val="0"/>
          <c:showCatName val="0"/>
          <c:showSerName val="0"/>
          <c:showPercent val="0"/>
          <c:showBubbleSize val="0"/>
        </c:dLbls>
        <c:smooth val="0"/>
        <c:axId val="498766760"/>
        <c:axId val="498759216"/>
      </c:lineChart>
      <c:catAx>
        <c:axId val="498766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8759216"/>
        <c:crosses val="autoZero"/>
        <c:auto val="1"/>
        <c:lblAlgn val="ctr"/>
        <c:lblOffset val="100"/>
        <c:noMultiLvlLbl val="0"/>
      </c:catAx>
      <c:valAx>
        <c:axId val="49875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8766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692038495188102E-2"/>
          <c:y val="6.3256111832111245E-2"/>
          <c:w val="0.90286351706036749"/>
          <c:h val="0.75569047008485812"/>
        </c:manualLayout>
      </c:layout>
      <c:lineChart>
        <c:grouping val="standard"/>
        <c:varyColors val="0"/>
        <c:ser>
          <c:idx val="0"/>
          <c:order val="0"/>
          <c:tx>
            <c:strRef>
              <c:f>grupy_sprzedaz!$A$2</c:f>
              <c:strCache>
                <c:ptCount val="1"/>
                <c:pt idx="0">
                  <c:v>PES_F</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grupy_sprzedaz!$C$1:$M$1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grupy_sprzedaz!$C$2:$M$2</c:f>
              <c:numCache>
                <c:formatCode>General</c:formatCode>
                <c:ptCount val="11"/>
                <c:pt idx="0">
                  <c:v>6091357.0999999996</c:v>
                </c:pt>
                <c:pt idx="1">
                  <c:v>6137732.0199999996</c:v>
                </c:pt>
                <c:pt idx="2">
                  <c:v>6482974.3399999999</c:v>
                </c:pt>
                <c:pt idx="3">
                  <c:v>7454024.2400000002</c:v>
                </c:pt>
                <c:pt idx="4">
                  <c:v>7752240.5499999998</c:v>
                </c:pt>
                <c:pt idx="5">
                  <c:v>7546973.7800000003</c:v>
                </c:pt>
                <c:pt idx="6">
                  <c:v>6941087.3300000001</c:v>
                </c:pt>
                <c:pt idx="7">
                  <c:v>8015891.9699999997</c:v>
                </c:pt>
                <c:pt idx="8">
                  <c:v>6867741.7300000004</c:v>
                </c:pt>
                <c:pt idx="9">
                  <c:v>9278346.5399999991</c:v>
                </c:pt>
                <c:pt idx="10">
                  <c:v>10051369.210000001</c:v>
                </c:pt>
              </c:numCache>
            </c:numRef>
          </c:val>
          <c:smooth val="0"/>
          <c:extLst>
            <c:ext xmlns:c16="http://schemas.microsoft.com/office/drawing/2014/chart" uri="{C3380CC4-5D6E-409C-BE32-E72D297353CC}">
              <c16:uniqueId val="{00000000-9082-49DC-826C-C9E5D71A741A}"/>
            </c:ext>
          </c:extLst>
        </c:ser>
        <c:ser>
          <c:idx val="1"/>
          <c:order val="1"/>
          <c:tx>
            <c:strRef>
              <c:f>grupy_sprzedaz!$A$3</c:f>
              <c:strCache>
                <c:ptCount val="1"/>
                <c:pt idx="0">
                  <c:v>PES_H</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grupy_sprzedaz!$C$1:$M$1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grupy_sprzedaz!$C$3:$M$3</c:f>
              <c:numCache>
                <c:formatCode>General</c:formatCode>
                <c:ptCount val="11"/>
                <c:pt idx="0">
                  <c:v>12463242.300000001</c:v>
                </c:pt>
                <c:pt idx="1">
                  <c:v>12661789.029999999</c:v>
                </c:pt>
                <c:pt idx="2">
                  <c:v>12524460.029999999</c:v>
                </c:pt>
                <c:pt idx="3">
                  <c:v>12080637.25</c:v>
                </c:pt>
                <c:pt idx="4">
                  <c:v>12200100.710000001</c:v>
                </c:pt>
                <c:pt idx="5">
                  <c:v>12706536.220000001</c:v>
                </c:pt>
                <c:pt idx="6">
                  <c:v>13664113.93</c:v>
                </c:pt>
                <c:pt idx="7">
                  <c:v>11383209.75</c:v>
                </c:pt>
                <c:pt idx="8">
                  <c:v>11705375.42</c:v>
                </c:pt>
                <c:pt idx="9">
                  <c:v>12811478.4</c:v>
                </c:pt>
                <c:pt idx="10">
                  <c:v>14353522.48</c:v>
                </c:pt>
              </c:numCache>
            </c:numRef>
          </c:val>
          <c:smooth val="0"/>
          <c:extLst>
            <c:ext xmlns:c16="http://schemas.microsoft.com/office/drawing/2014/chart" uri="{C3380CC4-5D6E-409C-BE32-E72D297353CC}">
              <c16:uniqueId val="{00000001-9082-49DC-826C-C9E5D71A741A}"/>
            </c:ext>
          </c:extLst>
        </c:ser>
        <c:ser>
          <c:idx val="2"/>
          <c:order val="2"/>
          <c:tx>
            <c:strRef>
              <c:f>grupy_sprzedaz!$A$4</c:f>
              <c:strCache>
                <c:ptCount val="1"/>
                <c:pt idx="0">
                  <c:v>PES_I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grupy_sprzedaz!$C$1:$M$1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grupy_sprzedaz!$C$4:$M$4</c:f>
              <c:numCache>
                <c:formatCode>General</c:formatCode>
                <c:ptCount val="11"/>
                <c:pt idx="0">
                  <c:v>1025178.8</c:v>
                </c:pt>
                <c:pt idx="1">
                  <c:v>1320929.45</c:v>
                </c:pt>
                <c:pt idx="2">
                  <c:v>1305943.8</c:v>
                </c:pt>
                <c:pt idx="3">
                  <c:v>1478880.7</c:v>
                </c:pt>
                <c:pt idx="4">
                  <c:v>1537866.83</c:v>
                </c:pt>
                <c:pt idx="5">
                  <c:v>1481508.79</c:v>
                </c:pt>
                <c:pt idx="6">
                  <c:v>1816931.09</c:v>
                </c:pt>
                <c:pt idx="7">
                  <c:v>1760489.3</c:v>
                </c:pt>
                <c:pt idx="8">
                  <c:v>2724633.45</c:v>
                </c:pt>
                <c:pt idx="9">
                  <c:v>618121.14</c:v>
                </c:pt>
                <c:pt idx="10">
                  <c:v>646455.1</c:v>
                </c:pt>
              </c:numCache>
            </c:numRef>
          </c:val>
          <c:smooth val="0"/>
          <c:extLst>
            <c:ext xmlns:c16="http://schemas.microsoft.com/office/drawing/2014/chart" uri="{C3380CC4-5D6E-409C-BE32-E72D297353CC}">
              <c16:uniqueId val="{00000002-9082-49DC-826C-C9E5D71A741A}"/>
            </c:ext>
          </c:extLst>
        </c:ser>
        <c:ser>
          <c:idx val="3"/>
          <c:order val="3"/>
          <c:tx>
            <c:strRef>
              <c:f>grupy_sprzedaz!$A$5</c:f>
              <c:strCache>
                <c:ptCount val="1"/>
                <c:pt idx="0">
                  <c:v>PES_M</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grupy_sprzedaz!$C$1:$M$1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grupy_sprzedaz!$C$5:$M$5</c:f>
              <c:numCache>
                <c:formatCode>General</c:formatCode>
                <c:ptCount val="11"/>
                <c:pt idx="0">
                  <c:v>12226.5</c:v>
                </c:pt>
                <c:pt idx="1">
                  <c:v>6731.21</c:v>
                </c:pt>
                <c:pt idx="2">
                  <c:v>7737.94</c:v>
                </c:pt>
                <c:pt idx="3">
                  <c:v>35279.94</c:v>
                </c:pt>
                <c:pt idx="4">
                  <c:v>9798.8700000000008</c:v>
                </c:pt>
                <c:pt idx="5">
                  <c:v>7535.05</c:v>
                </c:pt>
                <c:pt idx="6">
                  <c:v>7184.3</c:v>
                </c:pt>
                <c:pt idx="7">
                  <c:v>16173.26</c:v>
                </c:pt>
                <c:pt idx="8">
                  <c:v>23612.22</c:v>
                </c:pt>
                <c:pt idx="9">
                  <c:v>29225.75</c:v>
                </c:pt>
                <c:pt idx="10">
                  <c:v>27923.19</c:v>
                </c:pt>
              </c:numCache>
            </c:numRef>
          </c:val>
          <c:smooth val="0"/>
          <c:extLst>
            <c:ext xmlns:c16="http://schemas.microsoft.com/office/drawing/2014/chart" uri="{C3380CC4-5D6E-409C-BE32-E72D297353CC}">
              <c16:uniqueId val="{00000003-9082-49DC-826C-C9E5D71A741A}"/>
            </c:ext>
          </c:extLst>
        </c:ser>
        <c:ser>
          <c:idx val="4"/>
          <c:order val="4"/>
          <c:tx>
            <c:strRef>
              <c:f>grupy_sprzedaz!$A$6</c:f>
              <c:strCache>
                <c:ptCount val="1"/>
                <c:pt idx="0">
                  <c:v>PES_PGR</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grupy_sprzedaz!$C$1:$M$1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grupy_sprzedaz!$C$6:$M$6</c:f>
              <c:numCache>
                <c:formatCode>General</c:formatCode>
                <c:ptCount val="11"/>
                <c:pt idx="0">
                  <c:v>1589132.5</c:v>
                </c:pt>
                <c:pt idx="1">
                  <c:v>1358484.16</c:v>
                </c:pt>
                <c:pt idx="2">
                  <c:v>1494733.3</c:v>
                </c:pt>
                <c:pt idx="3">
                  <c:v>2120748.12</c:v>
                </c:pt>
                <c:pt idx="4">
                  <c:v>2147878.41</c:v>
                </c:pt>
                <c:pt idx="5">
                  <c:v>2167138.5699999998</c:v>
                </c:pt>
                <c:pt idx="6">
                  <c:v>2141817.44</c:v>
                </c:pt>
                <c:pt idx="7">
                  <c:v>1596563.7</c:v>
                </c:pt>
                <c:pt idx="8">
                  <c:v>2353388.89</c:v>
                </c:pt>
                <c:pt idx="9">
                  <c:v>1201373.98</c:v>
                </c:pt>
                <c:pt idx="10">
                  <c:v>1364946.95</c:v>
                </c:pt>
              </c:numCache>
            </c:numRef>
          </c:val>
          <c:smooth val="0"/>
          <c:extLst>
            <c:ext xmlns:c16="http://schemas.microsoft.com/office/drawing/2014/chart" uri="{C3380CC4-5D6E-409C-BE32-E72D297353CC}">
              <c16:uniqueId val="{00000004-9082-49DC-826C-C9E5D71A741A}"/>
            </c:ext>
          </c:extLst>
        </c:ser>
        <c:ser>
          <c:idx val="5"/>
          <c:order val="5"/>
          <c:tx>
            <c:strRef>
              <c:f>grupy_sprzedaz!$A$7</c:f>
              <c:strCache>
                <c:ptCount val="1"/>
                <c:pt idx="0">
                  <c:v>PES_ZR</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grupy_sprzedaz!$C$1:$M$1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grupy_sprzedaz!$C$7:$M$7</c:f>
              <c:numCache>
                <c:formatCode>General</c:formatCode>
                <c:ptCount val="11"/>
                <c:pt idx="0">
                  <c:v>551037.30000000005</c:v>
                </c:pt>
                <c:pt idx="1">
                  <c:v>386598.40000000002</c:v>
                </c:pt>
                <c:pt idx="2">
                  <c:v>376120.88</c:v>
                </c:pt>
                <c:pt idx="3">
                  <c:v>380832.4</c:v>
                </c:pt>
                <c:pt idx="4">
                  <c:v>357365.6</c:v>
                </c:pt>
                <c:pt idx="5">
                  <c:v>549657.71</c:v>
                </c:pt>
                <c:pt idx="6">
                  <c:v>502622.86</c:v>
                </c:pt>
                <c:pt idx="7">
                  <c:v>400609.45</c:v>
                </c:pt>
                <c:pt idx="8">
                  <c:v>579061.51</c:v>
                </c:pt>
                <c:pt idx="9">
                  <c:v>679343.83</c:v>
                </c:pt>
                <c:pt idx="10">
                  <c:v>508476.83</c:v>
                </c:pt>
              </c:numCache>
            </c:numRef>
          </c:val>
          <c:smooth val="0"/>
          <c:extLst>
            <c:ext xmlns:c16="http://schemas.microsoft.com/office/drawing/2014/chart" uri="{C3380CC4-5D6E-409C-BE32-E72D297353CC}">
              <c16:uniqueId val="{00000005-9082-49DC-826C-C9E5D71A741A}"/>
            </c:ext>
          </c:extLst>
        </c:ser>
        <c:dLbls>
          <c:showLegendKey val="0"/>
          <c:showVal val="0"/>
          <c:showCatName val="0"/>
          <c:showSerName val="0"/>
          <c:showPercent val="0"/>
          <c:showBubbleSize val="0"/>
        </c:dLbls>
        <c:marker val="1"/>
        <c:smooth val="0"/>
        <c:axId val="328687336"/>
        <c:axId val="328689304"/>
      </c:lineChart>
      <c:catAx>
        <c:axId val="328687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8689304"/>
        <c:crosses val="autoZero"/>
        <c:auto val="1"/>
        <c:lblAlgn val="ctr"/>
        <c:lblOffset val="100"/>
        <c:noMultiLvlLbl val="0"/>
      </c:catAx>
      <c:valAx>
        <c:axId val="328689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8687336"/>
        <c:crosses val="autoZero"/>
        <c:crossBetween val="between"/>
        <c:dispUnits>
          <c:builtInUnit val="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dispUnitsLbl>
        </c:dispUnits>
      </c:valAx>
      <c:spPr>
        <a:noFill/>
        <a:ln>
          <a:noFill/>
        </a:ln>
        <a:effectLst/>
      </c:spPr>
    </c:plotArea>
    <c:legend>
      <c:legendPos val="b"/>
      <c:layout>
        <c:manualLayout>
          <c:xMode val="edge"/>
          <c:yMode val="edge"/>
          <c:x val="0.12625809295317722"/>
          <c:y val="0.89705143152130284"/>
          <c:w val="0.76482799049621075"/>
          <c:h val="4.94508841508155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2"/>
          <c:order val="0"/>
          <c:spPr>
            <a:ln w="22225" cap="rnd" cmpd="sng" algn="ctr">
              <a:solidFill>
                <a:schemeClr val="accent2">
                  <a:tint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wykres!$B$2:$B$12</c:f>
              <c:numCache>
                <c:formatCode>0</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wykres!$D$2:$D$12</c:f>
              <c:numCache>
                <c:formatCode>_-* #\ ##0_-;\-* #\ ##0_-;_-* "-"??_-;_-@_-</c:formatCode>
                <c:ptCount val="11"/>
                <c:pt idx="0">
                  <c:v>3867.2040999999999</c:v>
                </c:pt>
                <c:pt idx="1">
                  <c:v>3894.0174999999999</c:v>
                </c:pt>
                <c:pt idx="2">
                  <c:v>4145.2517200000002</c:v>
                </c:pt>
                <c:pt idx="3">
                  <c:v>4945.9282199999998</c:v>
                </c:pt>
                <c:pt idx="4">
                  <c:v>4850.5673299999999</c:v>
                </c:pt>
                <c:pt idx="5">
                  <c:v>4732.3761299999996</c:v>
                </c:pt>
                <c:pt idx="6">
                  <c:v>4192.7619100000002</c:v>
                </c:pt>
                <c:pt idx="7">
                  <c:v>4623.8578499999994</c:v>
                </c:pt>
                <c:pt idx="8">
                  <c:v>4915.4158799999996</c:v>
                </c:pt>
                <c:pt idx="9">
                  <c:v>5369.7722899999999</c:v>
                </c:pt>
                <c:pt idx="10">
                  <c:v>6263.5272300000006</c:v>
                </c:pt>
              </c:numCache>
            </c:numRef>
          </c:val>
          <c:smooth val="0"/>
          <c:extLst>
            <c:ext xmlns:c16="http://schemas.microsoft.com/office/drawing/2014/chart" uri="{C3380CC4-5D6E-409C-BE32-E72D297353CC}">
              <c16:uniqueId val="{00000000-461C-4E56-82D4-596067E212E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52250160"/>
        <c:axId val="452251800"/>
      </c:lineChart>
      <c:catAx>
        <c:axId val="452250160"/>
        <c:scaling>
          <c:orientation val="minMax"/>
        </c:scaling>
        <c:delete val="0"/>
        <c:axPos val="b"/>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l-PL"/>
          </a:p>
        </c:txPr>
        <c:crossAx val="452251800"/>
        <c:crosses val="autoZero"/>
        <c:auto val="1"/>
        <c:lblAlgn val="ctr"/>
        <c:lblOffset val="100"/>
        <c:noMultiLvlLbl val="0"/>
      </c:catAx>
      <c:valAx>
        <c:axId val="452251800"/>
        <c:scaling>
          <c:orientation val="minMax"/>
        </c:scaling>
        <c:delete val="0"/>
        <c:axPos val="l"/>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l-PL"/>
          </a:p>
        </c:txPr>
        <c:crossAx val="45225016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wyniki!$C$36</c:f>
              <c:strCache>
                <c:ptCount val="1"/>
                <c:pt idx="0">
                  <c:v>HRI1 klasyfikacja 2020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3242424242424242E-2"/>
                  <c:y val="-4.0774181955861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AA-4AA7-BDF1-3D526AC133A5}"/>
                </c:ext>
              </c:extLst>
            </c:dLbl>
            <c:dLbl>
              <c:idx val="9"/>
              <c:layout>
                <c:manualLayout>
                  <c:x val="-1.8272727272727274E-2"/>
                  <c:y val="-3.75141982557803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AA-4AA7-BDF1-3D526AC133A5}"/>
                </c:ext>
              </c:extLst>
            </c:dLbl>
            <c:spPr>
              <a:solidFill>
                <a:schemeClr val="accent1">
                  <a:lumMod val="40000"/>
                  <a:lumOff val="6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[1]grupy!$Q$14:$AA$14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wyniki!$D$36:$N$36</c:f>
              <c:numCache>
                <c:formatCode>General</c:formatCode>
                <c:ptCount val="11"/>
                <c:pt idx="0">
                  <c:v>115</c:v>
                </c:pt>
                <c:pt idx="1">
                  <c:v>94</c:v>
                </c:pt>
                <c:pt idx="2">
                  <c:v>91</c:v>
                </c:pt>
                <c:pt idx="3">
                  <c:v>96</c:v>
                </c:pt>
                <c:pt idx="4">
                  <c:v>98</c:v>
                </c:pt>
                <c:pt idx="5">
                  <c:v>98</c:v>
                </c:pt>
                <c:pt idx="6">
                  <c:v>89</c:v>
                </c:pt>
                <c:pt idx="7">
                  <c:v>78</c:v>
                </c:pt>
                <c:pt idx="8">
                  <c:v>81</c:v>
                </c:pt>
                <c:pt idx="9">
                  <c:v>83</c:v>
                </c:pt>
              </c:numCache>
            </c:numRef>
          </c:val>
          <c:smooth val="0"/>
          <c:extLst>
            <c:ext xmlns:c16="http://schemas.microsoft.com/office/drawing/2014/chart" uri="{C3380CC4-5D6E-409C-BE32-E72D297353CC}">
              <c16:uniqueId val="{00000002-59AA-4AA7-BDF1-3D526AC133A5}"/>
            </c:ext>
          </c:extLst>
        </c:ser>
        <c:ser>
          <c:idx val="1"/>
          <c:order val="1"/>
          <c:tx>
            <c:strRef>
              <c:f>wyniki!$C$37</c:f>
              <c:strCache>
                <c:ptCount val="1"/>
                <c:pt idx="0">
                  <c:v>HRI1 klasyfikacja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3242424242424242E-2"/>
                  <c:y val="5.0554133056106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AA-4AA7-BDF1-3D526AC133A5}"/>
                </c:ext>
              </c:extLst>
            </c:dLbl>
            <c:spPr>
              <a:solidFill>
                <a:schemeClr val="accent2">
                  <a:lumMod val="40000"/>
                  <a:lumOff val="6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[1]grupy!$Q$14:$AA$14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wyniki!$D$37:$N$37</c:f>
              <c:numCache>
                <c:formatCode>General</c:formatCode>
                <c:ptCount val="11"/>
                <c:pt idx="0">
                  <c:v>108</c:v>
                </c:pt>
                <c:pt idx="1">
                  <c:v>97</c:v>
                </c:pt>
                <c:pt idx="2">
                  <c:v>95</c:v>
                </c:pt>
                <c:pt idx="3">
                  <c:v>103</c:v>
                </c:pt>
                <c:pt idx="4">
                  <c:v>108</c:v>
                </c:pt>
                <c:pt idx="5">
                  <c:v>106</c:v>
                </c:pt>
                <c:pt idx="6">
                  <c:v>101</c:v>
                </c:pt>
                <c:pt idx="7">
                  <c:v>92</c:v>
                </c:pt>
                <c:pt idx="8">
                  <c:v>106</c:v>
                </c:pt>
                <c:pt idx="9">
                  <c:v>67</c:v>
                </c:pt>
                <c:pt idx="10">
                  <c:v>67</c:v>
                </c:pt>
              </c:numCache>
            </c:numRef>
          </c:val>
          <c:smooth val="0"/>
          <c:extLst>
            <c:ext xmlns:c16="http://schemas.microsoft.com/office/drawing/2014/chart" uri="{C3380CC4-5D6E-409C-BE32-E72D297353CC}">
              <c16:uniqueId val="{00000004-59AA-4AA7-BDF1-3D526AC133A5}"/>
            </c:ext>
          </c:extLst>
        </c:ser>
        <c:dLbls>
          <c:showLegendKey val="0"/>
          <c:showVal val="0"/>
          <c:showCatName val="0"/>
          <c:showSerName val="0"/>
          <c:showPercent val="0"/>
          <c:showBubbleSize val="0"/>
        </c:dLbls>
        <c:marker val="1"/>
        <c:smooth val="0"/>
        <c:axId val="470528912"/>
        <c:axId val="470525304"/>
      </c:lineChart>
      <c:catAx>
        <c:axId val="47052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525304"/>
        <c:crosses val="autoZero"/>
        <c:auto val="1"/>
        <c:lblAlgn val="ctr"/>
        <c:lblOffset val="100"/>
        <c:noMultiLvlLbl val="0"/>
      </c:catAx>
      <c:valAx>
        <c:axId val="470525304"/>
        <c:scaling>
          <c:orientation val="minMax"/>
          <c:max val="130"/>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52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4F33-4ED6-A67B-5D08B51D2FFE}"/>
              </c:ext>
            </c:extLst>
          </c:dPt>
          <c:dPt>
            <c:idx val="1"/>
            <c:invertIfNegative val="0"/>
            <c:bubble3D val="0"/>
            <c:spPr>
              <a:solidFill>
                <a:srgbClr val="92D050"/>
              </a:solidFill>
              <a:ln>
                <a:noFill/>
              </a:ln>
              <a:effectLst/>
            </c:spPr>
            <c:extLst>
              <c:ext xmlns:c16="http://schemas.microsoft.com/office/drawing/2014/chart" uri="{C3380CC4-5D6E-409C-BE32-E72D297353CC}">
                <c16:uniqueId val="{00000003-4F33-4ED6-A67B-5D08B51D2FFE}"/>
              </c:ext>
            </c:extLst>
          </c:dPt>
          <c:dPt>
            <c:idx val="2"/>
            <c:invertIfNegative val="0"/>
            <c:bubble3D val="0"/>
            <c:spPr>
              <a:solidFill>
                <a:srgbClr val="92D050"/>
              </a:solidFill>
              <a:ln>
                <a:noFill/>
              </a:ln>
              <a:effectLst/>
            </c:spPr>
            <c:extLst>
              <c:ext xmlns:c16="http://schemas.microsoft.com/office/drawing/2014/chart" uri="{C3380CC4-5D6E-409C-BE32-E72D297353CC}">
                <c16:uniqueId val="{00000005-4F33-4ED6-A67B-5D08B51D2FFE}"/>
              </c:ext>
            </c:extLst>
          </c:dPt>
          <c:dPt>
            <c:idx val="3"/>
            <c:invertIfNegative val="0"/>
            <c:bubble3D val="0"/>
            <c:spPr>
              <a:solidFill>
                <a:srgbClr val="FF0000"/>
              </a:solidFill>
              <a:ln>
                <a:noFill/>
              </a:ln>
              <a:effectLst/>
            </c:spPr>
            <c:extLst>
              <c:ext xmlns:c16="http://schemas.microsoft.com/office/drawing/2014/chart" uri="{C3380CC4-5D6E-409C-BE32-E72D297353CC}">
                <c16:uniqueId val="{00000007-4F33-4ED6-A67B-5D08B51D2FFE}"/>
              </c:ext>
            </c:extLst>
          </c:dPt>
          <c:dPt>
            <c:idx val="4"/>
            <c:invertIfNegative val="0"/>
            <c:bubble3D val="0"/>
            <c:spPr>
              <a:solidFill>
                <a:srgbClr val="92D050"/>
              </a:solidFill>
              <a:ln>
                <a:noFill/>
              </a:ln>
              <a:effectLst/>
            </c:spPr>
            <c:extLst>
              <c:ext xmlns:c16="http://schemas.microsoft.com/office/drawing/2014/chart" uri="{C3380CC4-5D6E-409C-BE32-E72D297353CC}">
                <c16:uniqueId val="{00000009-4F33-4ED6-A67B-5D08B51D2FFE}"/>
              </c:ext>
            </c:extLst>
          </c:dPt>
          <c:dPt>
            <c:idx val="5"/>
            <c:invertIfNegative val="0"/>
            <c:bubble3D val="0"/>
            <c:spPr>
              <a:solidFill>
                <a:srgbClr val="92D050"/>
              </a:solidFill>
              <a:ln>
                <a:noFill/>
              </a:ln>
              <a:effectLst/>
            </c:spPr>
            <c:extLst>
              <c:ext xmlns:c16="http://schemas.microsoft.com/office/drawing/2014/chart" uri="{C3380CC4-5D6E-409C-BE32-E72D297353CC}">
                <c16:uniqueId val="{0000000B-4F33-4ED6-A67B-5D08B51D2FFE}"/>
              </c:ext>
            </c:extLst>
          </c:dPt>
          <c:dPt>
            <c:idx val="6"/>
            <c:invertIfNegative val="0"/>
            <c:bubble3D val="0"/>
            <c:spPr>
              <a:solidFill>
                <a:srgbClr val="FF0000"/>
              </a:solidFill>
              <a:ln>
                <a:noFill/>
              </a:ln>
              <a:effectLst/>
            </c:spPr>
            <c:extLst>
              <c:ext xmlns:c16="http://schemas.microsoft.com/office/drawing/2014/chart" uri="{C3380CC4-5D6E-409C-BE32-E72D297353CC}">
                <c16:uniqueId val="{0000000D-4F33-4ED6-A67B-5D08B51D2FFE}"/>
              </c:ext>
            </c:extLst>
          </c:dPt>
          <c:dPt>
            <c:idx val="7"/>
            <c:invertIfNegative val="0"/>
            <c:bubble3D val="0"/>
            <c:spPr>
              <a:solidFill>
                <a:srgbClr val="92D050"/>
              </a:solidFill>
              <a:ln>
                <a:noFill/>
              </a:ln>
              <a:effectLst/>
            </c:spPr>
            <c:extLst>
              <c:ext xmlns:c16="http://schemas.microsoft.com/office/drawing/2014/chart" uri="{C3380CC4-5D6E-409C-BE32-E72D297353CC}">
                <c16:uniqueId val="{0000000F-4F33-4ED6-A67B-5D08B51D2FFE}"/>
              </c:ext>
            </c:extLst>
          </c:dPt>
          <c:dPt>
            <c:idx val="8"/>
            <c:invertIfNegative val="0"/>
            <c:bubble3D val="0"/>
            <c:spPr>
              <a:solidFill>
                <a:srgbClr val="FF0000"/>
              </a:solidFill>
              <a:ln>
                <a:noFill/>
              </a:ln>
              <a:effectLst/>
            </c:spPr>
            <c:extLst>
              <c:ext xmlns:c16="http://schemas.microsoft.com/office/drawing/2014/chart" uri="{C3380CC4-5D6E-409C-BE32-E72D297353CC}">
                <c16:uniqueId val="{00000011-4F33-4ED6-A67B-5D08B51D2FFE}"/>
              </c:ext>
            </c:extLst>
          </c:dPt>
          <c:dPt>
            <c:idx val="9"/>
            <c:invertIfNegative val="0"/>
            <c:bubble3D val="0"/>
            <c:spPr>
              <a:solidFill>
                <a:srgbClr val="92D050"/>
              </a:solidFill>
              <a:ln>
                <a:noFill/>
              </a:ln>
              <a:effectLst/>
            </c:spPr>
            <c:extLst>
              <c:ext xmlns:c16="http://schemas.microsoft.com/office/drawing/2014/chart" uri="{C3380CC4-5D6E-409C-BE32-E72D297353CC}">
                <c16:uniqueId val="{00000013-4F33-4ED6-A67B-5D08B51D2FFE}"/>
              </c:ext>
            </c:extLst>
          </c:dPt>
          <c:dPt>
            <c:idx val="10"/>
            <c:invertIfNegative val="0"/>
            <c:bubble3D val="0"/>
            <c:spPr>
              <a:solidFill>
                <a:srgbClr val="FF0000"/>
              </a:solidFill>
              <a:ln>
                <a:noFill/>
              </a:ln>
              <a:effectLst/>
            </c:spPr>
            <c:extLst>
              <c:ext xmlns:c16="http://schemas.microsoft.com/office/drawing/2014/chart" uri="{C3380CC4-5D6E-409C-BE32-E72D297353CC}">
                <c16:uniqueId val="{00000015-4F33-4ED6-A67B-5D08B51D2F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Arkusz1!$J$2:$J$12</c:f>
              <c:strCache>
                <c:ptCount val="11"/>
                <c:pt idx="0">
                  <c:v>Wskaźnik pozostałości pestycydowych w płodach rolnych przeznaczonych do spożycia i przetwórstwa</c:v>
                </c:pt>
                <c:pt idx="1">
                  <c:v>Wskaźnik wykryć przekroczeń NDP w kontroli pozostałości ś.o.r. </c:v>
                </c:pt>
                <c:pt idx="2">
                  <c:v>Wskaźnik wykryć substancji niedopuszczonych do stosowania w kontroli pozostałości ś.o.r. </c:v>
                </c:pt>
                <c:pt idx="3">
                  <c:v>Wskaźnik wykryć nieprawidłowości w kontroli stosowania ś.o.r. </c:v>
                </c:pt>
                <c:pt idx="4">
                  <c:v>Wskaźnik obciążenia pestycydowego wód powierzchniowych</c:v>
                </c:pt>
                <c:pt idx="5">
                  <c:v>Wskaźnik struktury sprzedaży pod względem potencjalnych zagrożeń dla zdrowia i dla środowiska</c:v>
                </c:pt>
                <c:pt idx="6">
                  <c:v>Wskaźnik sprzedaży pod względem potencjalnych zagrożeń dla zdrowia i dla środowiska</c:v>
                </c:pt>
                <c:pt idx="7">
                  <c:v>Wskaźnik sprzedaży substancji priorytetowych w dziedzinie polityki wodnej</c:v>
                </c:pt>
                <c:pt idx="8">
                  <c:v>Wskaźnik sprzedaży substancji czynnych wymagających programów monitorowania</c:v>
                </c:pt>
                <c:pt idx="9">
                  <c:v>Wskaźnik ryzyka pestycydowego HRI-1</c:v>
                </c:pt>
                <c:pt idx="10">
                  <c:v>Wskaźnik sprzedaży substancji kwalifikujących się do zastąpienia F2F-2</c:v>
                </c:pt>
              </c:strCache>
            </c:strRef>
          </c:cat>
          <c:val>
            <c:numRef>
              <c:f>Arkusz1!$K$2:$K$12</c:f>
              <c:numCache>
                <c:formatCode>0%</c:formatCode>
                <c:ptCount val="11"/>
                <c:pt idx="0">
                  <c:v>0.21970443349753688</c:v>
                </c:pt>
                <c:pt idx="1">
                  <c:v>-0.17974683544303804</c:v>
                </c:pt>
                <c:pt idx="2">
                  <c:v>-0.25133689839572204</c:v>
                </c:pt>
                <c:pt idx="3">
                  <c:v>0.15006775067750677</c:v>
                </c:pt>
                <c:pt idx="4">
                  <c:v>-9.7609561752988072E-2</c:v>
                </c:pt>
                <c:pt idx="5">
                  <c:v>-4.4629923432434437E-2</c:v>
                </c:pt>
                <c:pt idx="6">
                  <c:v>9.7010109701010983E-2</c:v>
                </c:pt>
                <c:pt idx="7">
                  <c:v>-0.83356002836099496</c:v>
                </c:pt>
                <c:pt idx="8">
                  <c:v>0.37498730560059412</c:v>
                </c:pt>
                <c:pt idx="9">
                  <c:v>-0.2902542372881356</c:v>
                </c:pt>
                <c:pt idx="10">
                  <c:v>0.31397978932952841</c:v>
                </c:pt>
              </c:numCache>
            </c:numRef>
          </c:val>
          <c:extLst>
            <c:ext xmlns:c16="http://schemas.microsoft.com/office/drawing/2014/chart" uri="{C3380CC4-5D6E-409C-BE32-E72D297353CC}">
              <c16:uniqueId val="{00000016-4F33-4ED6-A67B-5D08B51D2FFE}"/>
            </c:ext>
          </c:extLst>
        </c:ser>
        <c:dLbls>
          <c:showLegendKey val="0"/>
          <c:showVal val="0"/>
          <c:showCatName val="0"/>
          <c:showSerName val="0"/>
          <c:showPercent val="0"/>
          <c:showBubbleSize val="0"/>
        </c:dLbls>
        <c:gapWidth val="219"/>
        <c:axId val="457051976"/>
        <c:axId val="457049352"/>
      </c:barChart>
      <c:catAx>
        <c:axId val="457051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457049352"/>
        <c:crosses val="autoZero"/>
        <c:auto val="1"/>
        <c:lblAlgn val="ctr"/>
        <c:lblOffset val="100"/>
        <c:noMultiLvlLbl val="0"/>
      </c:catAx>
      <c:valAx>
        <c:axId val="457049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cross"/>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7051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1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773549139690866E-2"/>
          <c:y val="4.3650793650793648E-2"/>
          <c:w val="0.85424376640419952"/>
          <c:h val="0.72917260342457191"/>
        </c:manualLayout>
      </c:layout>
      <c:bar3DChart>
        <c:barDir val="col"/>
        <c:grouping val="clustered"/>
        <c:varyColors val="0"/>
        <c:ser>
          <c:idx val="0"/>
          <c:order val="0"/>
          <c:tx>
            <c:strRef>
              <c:f>Arkusz1!$B$1</c:f>
              <c:strCache>
                <c:ptCount val="1"/>
                <c:pt idx="0">
                  <c:v>2013</c:v>
                </c:pt>
              </c:strCache>
            </c:strRef>
          </c:tx>
          <c:spPr>
            <a:solidFill>
              <a:schemeClr val="accent1"/>
            </a:solidFill>
            <a:ln>
              <a:noFill/>
            </a:ln>
            <a:effectLst/>
            <a:sp3d/>
          </c:spPr>
          <c:invertIfNegative val="0"/>
          <c:cat>
            <c:strRef>
              <c:f>Arkusz1!$A$2:$A$3</c:f>
              <c:strCache>
                <c:ptCount val="2"/>
                <c:pt idx="0">
                  <c:v>zatrucia</c:v>
                </c:pt>
                <c:pt idx="1">
                  <c:v>konieczność leczenia szpitalnego</c:v>
                </c:pt>
              </c:strCache>
            </c:strRef>
          </c:cat>
          <c:val>
            <c:numRef>
              <c:f>Arkusz1!$B$2:$B$3</c:f>
              <c:numCache>
                <c:formatCode>General</c:formatCode>
                <c:ptCount val="2"/>
                <c:pt idx="0">
                  <c:v>616</c:v>
                </c:pt>
                <c:pt idx="1">
                  <c:v>383</c:v>
                </c:pt>
              </c:numCache>
            </c:numRef>
          </c:val>
          <c:extLst>
            <c:ext xmlns:c16="http://schemas.microsoft.com/office/drawing/2014/chart" uri="{C3380CC4-5D6E-409C-BE32-E72D297353CC}">
              <c16:uniqueId val="{00000000-3FFE-47A6-9A3D-1A19AC9F9EF5}"/>
            </c:ext>
          </c:extLst>
        </c:ser>
        <c:ser>
          <c:idx val="1"/>
          <c:order val="1"/>
          <c:tx>
            <c:strRef>
              <c:f>Arkusz1!$C$1</c:f>
              <c:strCache>
                <c:ptCount val="1"/>
                <c:pt idx="0">
                  <c:v>2014</c:v>
                </c:pt>
              </c:strCache>
            </c:strRef>
          </c:tx>
          <c:spPr>
            <a:solidFill>
              <a:schemeClr val="accent2"/>
            </a:solidFill>
            <a:ln>
              <a:noFill/>
            </a:ln>
            <a:effectLst/>
            <a:sp3d/>
          </c:spPr>
          <c:invertIfNegative val="0"/>
          <c:cat>
            <c:strRef>
              <c:f>Arkusz1!$A$2:$A$3</c:f>
              <c:strCache>
                <c:ptCount val="2"/>
                <c:pt idx="0">
                  <c:v>zatrucia</c:v>
                </c:pt>
                <c:pt idx="1">
                  <c:v>konieczność leczenia szpitalnego</c:v>
                </c:pt>
              </c:strCache>
            </c:strRef>
          </c:cat>
          <c:val>
            <c:numRef>
              <c:f>Arkusz1!$C$2:$C$3</c:f>
              <c:numCache>
                <c:formatCode>General</c:formatCode>
                <c:ptCount val="2"/>
                <c:pt idx="0">
                  <c:v>593</c:v>
                </c:pt>
                <c:pt idx="1">
                  <c:v>370</c:v>
                </c:pt>
              </c:numCache>
            </c:numRef>
          </c:val>
          <c:extLst>
            <c:ext xmlns:c16="http://schemas.microsoft.com/office/drawing/2014/chart" uri="{C3380CC4-5D6E-409C-BE32-E72D297353CC}">
              <c16:uniqueId val="{00000001-3FFE-47A6-9A3D-1A19AC9F9EF5}"/>
            </c:ext>
          </c:extLst>
        </c:ser>
        <c:ser>
          <c:idx val="2"/>
          <c:order val="2"/>
          <c:tx>
            <c:strRef>
              <c:f>Arkusz1!$D$1</c:f>
              <c:strCache>
                <c:ptCount val="1"/>
                <c:pt idx="0">
                  <c:v>2015</c:v>
                </c:pt>
              </c:strCache>
            </c:strRef>
          </c:tx>
          <c:spPr>
            <a:solidFill>
              <a:schemeClr val="accent3"/>
            </a:solidFill>
            <a:ln>
              <a:noFill/>
            </a:ln>
            <a:effectLst/>
            <a:sp3d/>
          </c:spPr>
          <c:invertIfNegative val="0"/>
          <c:cat>
            <c:strRef>
              <c:f>Arkusz1!$A$2:$A$3</c:f>
              <c:strCache>
                <c:ptCount val="2"/>
                <c:pt idx="0">
                  <c:v>zatrucia</c:v>
                </c:pt>
                <c:pt idx="1">
                  <c:v>konieczność leczenia szpitalnego</c:v>
                </c:pt>
              </c:strCache>
            </c:strRef>
          </c:cat>
          <c:val>
            <c:numRef>
              <c:f>Arkusz1!$D$2:$D$3</c:f>
              <c:numCache>
                <c:formatCode>General</c:formatCode>
                <c:ptCount val="2"/>
                <c:pt idx="0">
                  <c:v>512</c:v>
                </c:pt>
                <c:pt idx="1">
                  <c:v>323</c:v>
                </c:pt>
              </c:numCache>
            </c:numRef>
          </c:val>
          <c:extLst>
            <c:ext xmlns:c16="http://schemas.microsoft.com/office/drawing/2014/chart" uri="{C3380CC4-5D6E-409C-BE32-E72D297353CC}">
              <c16:uniqueId val="{00000002-3FFE-47A6-9A3D-1A19AC9F9EF5}"/>
            </c:ext>
          </c:extLst>
        </c:ser>
        <c:ser>
          <c:idx val="3"/>
          <c:order val="3"/>
          <c:tx>
            <c:strRef>
              <c:f>Arkusz1!$E$1</c:f>
              <c:strCache>
                <c:ptCount val="1"/>
                <c:pt idx="0">
                  <c:v>2016</c:v>
                </c:pt>
              </c:strCache>
            </c:strRef>
          </c:tx>
          <c:spPr>
            <a:solidFill>
              <a:schemeClr val="accent4"/>
            </a:solidFill>
            <a:ln>
              <a:noFill/>
            </a:ln>
            <a:effectLst/>
            <a:sp3d/>
          </c:spPr>
          <c:invertIfNegative val="0"/>
          <c:cat>
            <c:strRef>
              <c:f>Arkusz1!$A$2:$A$3</c:f>
              <c:strCache>
                <c:ptCount val="2"/>
                <c:pt idx="0">
                  <c:v>zatrucia</c:v>
                </c:pt>
                <c:pt idx="1">
                  <c:v>konieczność leczenia szpitalnego</c:v>
                </c:pt>
              </c:strCache>
            </c:strRef>
          </c:cat>
          <c:val>
            <c:numRef>
              <c:f>Arkusz1!$E$2:$E$3</c:f>
              <c:numCache>
                <c:formatCode>General</c:formatCode>
                <c:ptCount val="2"/>
                <c:pt idx="0">
                  <c:v>450</c:v>
                </c:pt>
                <c:pt idx="1">
                  <c:v>295</c:v>
                </c:pt>
              </c:numCache>
            </c:numRef>
          </c:val>
          <c:extLst>
            <c:ext xmlns:c16="http://schemas.microsoft.com/office/drawing/2014/chart" uri="{C3380CC4-5D6E-409C-BE32-E72D297353CC}">
              <c16:uniqueId val="{00000003-3FFE-47A6-9A3D-1A19AC9F9EF5}"/>
            </c:ext>
          </c:extLst>
        </c:ser>
        <c:ser>
          <c:idx val="4"/>
          <c:order val="4"/>
          <c:tx>
            <c:strRef>
              <c:f>Arkusz1!$F$1</c:f>
              <c:strCache>
                <c:ptCount val="1"/>
                <c:pt idx="0">
                  <c:v>2017</c:v>
                </c:pt>
              </c:strCache>
            </c:strRef>
          </c:tx>
          <c:spPr>
            <a:solidFill>
              <a:schemeClr val="accent5"/>
            </a:solidFill>
            <a:ln>
              <a:noFill/>
            </a:ln>
            <a:effectLst/>
            <a:sp3d/>
          </c:spPr>
          <c:invertIfNegative val="0"/>
          <c:cat>
            <c:strRef>
              <c:f>Arkusz1!$A$2:$A$3</c:f>
              <c:strCache>
                <c:ptCount val="2"/>
                <c:pt idx="0">
                  <c:v>zatrucia</c:v>
                </c:pt>
                <c:pt idx="1">
                  <c:v>konieczność leczenia szpitalnego</c:v>
                </c:pt>
              </c:strCache>
            </c:strRef>
          </c:cat>
          <c:val>
            <c:numRef>
              <c:f>Arkusz1!$F$2:$F$3</c:f>
              <c:numCache>
                <c:formatCode>General</c:formatCode>
                <c:ptCount val="2"/>
                <c:pt idx="0">
                  <c:v>440</c:v>
                </c:pt>
                <c:pt idx="1">
                  <c:v>236</c:v>
                </c:pt>
              </c:numCache>
            </c:numRef>
          </c:val>
          <c:extLst>
            <c:ext xmlns:c16="http://schemas.microsoft.com/office/drawing/2014/chart" uri="{C3380CC4-5D6E-409C-BE32-E72D297353CC}">
              <c16:uniqueId val="{00000004-3FFE-47A6-9A3D-1A19AC9F9EF5}"/>
            </c:ext>
          </c:extLst>
        </c:ser>
        <c:ser>
          <c:idx val="5"/>
          <c:order val="5"/>
          <c:tx>
            <c:strRef>
              <c:f>Arkusz1!$G$1</c:f>
              <c:strCache>
                <c:ptCount val="1"/>
                <c:pt idx="0">
                  <c:v>2018</c:v>
                </c:pt>
              </c:strCache>
            </c:strRef>
          </c:tx>
          <c:spPr>
            <a:solidFill>
              <a:schemeClr val="accent6"/>
            </a:solidFill>
            <a:ln>
              <a:noFill/>
            </a:ln>
            <a:effectLst/>
            <a:sp3d/>
          </c:spPr>
          <c:invertIfNegative val="0"/>
          <c:cat>
            <c:strRef>
              <c:f>Arkusz1!$A$2:$A$3</c:f>
              <c:strCache>
                <c:ptCount val="2"/>
                <c:pt idx="0">
                  <c:v>zatrucia</c:v>
                </c:pt>
                <c:pt idx="1">
                  <c:v>konieczność leczenia szpitalnego</c:v>
                </c:pt>
              </c:strCache>
            </c:strRef>
          </c:cat>
          <c:val>
            <c:numRef>
              <c:f>Arkusz1!$G$2:$G$3</c:f>
              <c:numCache>
                <c:formatCode>General</c:formatCode>
                <c:ptCount val="2"/>
                <c:pt idx="0">
                  <c:v>492</c:v>
                </c:pt>
                <c:pt idx="1">
                  <c:v>260</c:v>
                </c:pt>
              </c:numCache>
            </c:numRef>
          </c:val>
          <c:extLst>
            <c:ext xmlns:c16="http://schemas.microsoft.com/office/drawing/2014/chart" uri="{C3380CC4-5D6E-409C-BE32-E72D297353CC}">
              <c16:uniqueId val="{00000005-3FFE-47A6-9A3D-1A19AC9F9EF5}"/>
            </c:ext>
          </c:extLst>
        </c:ser>
        <c:ser>
          <c:idx val="6"/>
          <c:order val="6"/>
          <c:tx>
            <c:strRef>
              <c:f>Arkusz1!$H$1</c:f>
              <c:strCache>
                <c:ptCount val="1"/>
                <c:pt idx="0">
                  <c:v>2019</c:v>
                </c:pt>
              </c:strCache>
            </c:strRef>
          </c:tx>
          <c:invertIfNegative val="0"/>
          <c:cat>
            <c:strRef>
              <c:f>Arkusz1!$A$2:$A$3</c:f>
              <c:strCache>
                <c:ptCount val="2"/>
                <c:pt idx="0">
                  <c:v>zatrucia</c:v>
                </c:pt>
                <c:pt idx="1">
                  <c:v>konieczność leczenia szpitalnego</c:v>
                </c:pt>
              </c:strCache>
            </c:strRef>
          </c:cat>
          <c:val>
            <c:numRef>
              <c:f>Arkusz1!$H$2:$H$3</c:f>
              <c:numCache>
                <c:formatCode>General</c:formatCode>
                <c:ptCount val="2"/>
                <c:pt idx="0">
                  <c:v>393</c:v>
                </c:pt>
                <c:pt idx="1">
                  <c:v>215</c:v>
                </c:pt>
              </c:numCache>
            </c:numRef>
          </c:val>
          <c:extLst>
            <c:ext xmlns:c16="http://schemas.microsoft.com/office/drawing/2014/chart" uri="{C3380CC4-5D6E-409C-BE32-E72D297353CC}">
              <c16:uniqueId val="{00000006-3FFE-47A6-9A3D-1A19AC9F9EF5}"/>
            </c:ext>
          </c:extLst>
        </c:ser>
        <c:ser>
          <c:idx val="7"/>
          <c:order val="7"/>
          <c:tx>
            <c:strRef>
              <c:f>Arkusz1!$I$1</c:f>
              <c:strCache>
                <c:ptCount val="1"/>
                <c:pt idx="0">
                  <c:v>2020</c:v>
                </c:pt>
              </c:strCache>
            </c:strRef>
          </c:tx>
          <c:invertIfNegative val="0"/>
          <c:cat>
            <c:strRef>
              <c:f>Arkusz1!$A$2:$A$3</c:f>
              <c:strCache>
                <c:ptCount val="2"/>
                <c:pt idx="0">
                  <c:v>zatrucia</c:v>
                </c:pt>
                <c:pt idx="1">
                  <c:v>konieczność leczenia szpitalnego</c:v>
                </c:pt>
              </c:strCache>
            </c:strRef>
          </c:cat>
          <c:val>
            <c:numRef>
              <c:f>Arkusz1!$I$2:$I$3</c:f>
              <c:numCache>
                <c:formatCode>General</c:formatCode>
                <c:ptCount val="2"/>
                <c:pt idx="0">
                  <c:v>249</c:v>
                </c:pt>
                <c:pt idx="1">
                  <c:v>152</c:v>
                </c:pt>
              </c:numCache>
            </c:numRef>
          </c:val>
          <c:extLst>
            <c:ext xmlns:c16="http://schemas.microsoft.com/office/drawing/2014/chart" uri="{C3380CC4-5D6E-409C-BE32-E72D297353CC}">
              <c16:uniqueId val="{00000000-4DC1-4199-A3D8-9ED95136C5AE}"/>
            </c:ext>
          </c:extLst>
        </c:ser>
        <c:ser>
          <c:idx val="8"/>
          <c:order val="8"/>
          <c:tx>
            <c:strRef>
              <c:f>Arkusz1!$J$1</c:f>
              <c:strCache>
                <c:ptCount val="1"/>
                <c:pt idx="0">
                  <c:v>2021</c:v>
                </c:pt>
              </c:strCache>
            </c:strRef>
          </c:tx>
          <c:invertIfNegative val="0"/>
          <c:cat>
            <c:strRef>
              <c:f>Arkusz1!$A$2:$A$3</c:f>
              <c:strCache>
                <c:ptCount val="2"/>
                <c:pt idx="0">
                  <c:v>zatrucia</c:v>
                </c:pt>
                <c:pt idx="1">
                  <c:v>konieczność leczenia szpitalnego</c:v>
                </c:pt>
              </c:strCache>
            </c:strRef>
          </c:cat>
          <c:val>
            <c:numRef>
              <c:f>Arkusz1!$J$2:$J$3</c:f>
              <c:numCache>
                <c:formatCode>General</c:formatCode>
                <c:ptCount val="2"/>
                <c:pt idx="0">
                  <c:v>226</c:v>
                </c:pt>
                <c:pt idx="1">
                  <c:v>152</c:v>
                </c:pt>
              </c:numCache>
            </c:numRef>
          </c:val>
          <c:extLst>
            <c:ext xmlns:c16="http://schemas.microsoft.com/office/drawing/2014/chart" uri="{C3380CC4-5D6E-409C-BE32-E72D297353CC}">
              <c16:uniqueId val="{00000000-B064-4E15-9368-2D6CCB1D0070}"/>
            </c:ext>
          </c:extLst>
        </c:ser>
        <c:dLbls>
          <c:showLegendKey val="0"/>
          <c:showVal val="0"/>
          <c:showCatName val="0"/>
          <c:showSerName val="0"/>
          <c:showPercent val="0"/>
          <c:showBubbleSize val="0"/>
        </c:dLbls>
        <c:gapWidth val="219"/>
        <c:shape val="box"/>
        <c:axId val="576551328"/>
        <c:axId val="576551720"/>
        <c:axId val="0"/>
      </c:bar3DChart>
      <c:catAx>
        <c:axId val="576551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layout>
            <c:manualLayout>
              <c:xMode val="edge"/>
              <c:yMode val="edge"/>
              <c:x val="0.47314650772820066"/>
              <c:y val="0.8435208098987626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6551720"/>
        <c:crosses val="autoZero"/>
        <c:auto val="1"/>
        <c:lblAlgn val="ctr"/>
        <c:lblOffset val="100"/>
        <c:noMultiLvlLbl val="0"/>
      </c:catAx>
      <c:valAx>
        <c:axId val="576551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osób</a:t>
                </a:r>
              </a:p>
            </c:rich>
          </c:tx>
          <c:layout>
            <c:manualLayout>
              <c:xMode val="edge"/>
              <c:yMode val="edge"/>
              <c:x val="2.0185464294601815E-2"/>
              <c:y val="0.2505915021491878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6551328"/>
        <c:crosses val="autoZero"/>
        <c:crossBetween val="between"/>
      </c:valAx>
      <c:spPr>
        <a:noFill/>
        <a:ln>
          <a:noFill/>
        </a:ln>
        <a:effectLst/>
      </c:spPr>
    </c:plotArea>
    <c:legend>
      <c:legendPos val="b"/>
      <c:layout>
        <c:manualLayout>
          <c:xMode val="edge"/>
          <c:yMode val="edge"/>
          <c:x val="0.17797886176571398"/>
          <c:y val="0.88949218304233713"/>
          <c:w val="0.72454749059766455"/>
          <c:h val="8.152230971128610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pl-PL"/>
              <a:t>Liczba badań w poszczególnych latach</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pl-PL"/>
        </a:p>
      </c:txPr>
    </c:title>
    <c:autoTitleDeleted val="0"/>
    <c:plotArea>
      <c:layout/>
      <c:barChart>
        <c:barDir val="col"/>
        <c:grouping val="clustered"/>
        <c:varyColors val="0"/>
        <c:ser>
          <c:idx val="0"/>
          <c:order val="0"/>
          <c:tx>
            <c:strRef>
              <c:f>Arkusz1!$B$1</c:f>
              <c:strCache>
                <c:ptCount val="1"/>
                <c:pt idx="0">
                  <c:v>liczba badań</c:v>
                </c:pt>
              </c:strCache>
            </c:strRef>
          </c:tx>
          <c:spPr>
            <a:solidFill>
              <a:schemeClr val="accent3">
                <a:shade val="65000"/>
                <a:alpha val="70000"/>
              </a:schemeClr>
            </a:solidFill>
            <a:ln>
              <a:noFill/>
            </a:ln>
            <a:effectLst/>
          </c:spPr>
          <c:invertIfNegative val="0"/>
          <c:cat>
            <c:numRef>
              <c:f>Arkusz1!$A$2:$A$10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Arkusz1!$B$2:$B$10</c:f>
              <c:numCache>
                <c:formatCode>General</c:formatCode>
                <c:ptCount val="9"/>
                <c:pt idx="0">
                  <c:v>64221</c:v>
                </c:pt>
                <c:pt idx="1">
                  <c:v>66689</c:v>
                </c:pt>
                <c:pt idx="2">
                  <c:v>60329</c:v>
                </c:pt>
                <c:pt idx="3">
                  <c:v>75215</c:v>
                </c:pt>
                <c:pt idx="4">
                  <c:v>84444</c:v>
                </c:pt>
                <c:pt idx="5">
                  <c:v>64955</c:v>
                </c:pt>
                <c:pt idx="6">
                  <c:v>73489</c:v>
                </c:pt>
                <c:pt idx="7">
                  <c:v>68478</c:v>
                </c:pt>
                <c:pt idx="8">
                  <c:v>58748</c:v>
                </c:pt>
              </c:numCache>
            </c:numRef>
          </c:val>
          <c:extLst>
            <c:ext xmlns:c16="http://schemas.microsoft.com/office/drawing/2014/chart" uri="{C3380CC4-5D6E-409C-BE32-E72D297353CC}">
              <c16:uniqueId val="{00000000-2032-4630-8E23-C2111BE071CA}"/>
            </c:ext>
          </c:extLst>
        </c:ser>
        <c:ser>
          <c:idx val="1"/>
          <c:order val="1"/>
          <c:tx>
            <c:strRef>
              <c:f>Arkusz1!$C$1</c:f>
              <c:strCache>
                <c:ptCount val="1"/>
                <c:pt idx="0">
                  <c:v>Kolumna1</c:v>
                </c:pt>
              </c:strCache>
            </c:strRef>
          </c:tx>
          <c:spPr>
            <a:solidFill>
              <a:schemeClr val="accent3">
                <a:alpha val="70000"/>
              </a:schemeClr>
            </a:solidFill>
            <a:ln>
              <a:noFill/>
            </a:ln>
            <a:effectLst/>
          </c:spPr>
          <c:invertIfNegative val="0"/>
          <c:cat>
            <c:numRef>
              <c:f>Arkusz1!$A$2:$A$10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Arkusz1!$C$2:$C$10</c:f>
              <c:numCache>
                <c:formatCode>General</c:formatCode>
                <c:ptCount val="9"/>
              </c:numCache>
            </c:numRef>
          </c:val>
          <c:extLst>
            <c:ext xmlns:c16="http://schemas.microsoft.com/office/drawing/2014/chart" uri="{C3380CC4-5D6E-409C-BE32-E72D297353CC}">
              <c16:uniqueId val="{00000001-2032-4630-8E23-C2111BE071CA}"/>
            </c:ext>
          </c:extLst>
        </c:ser>
        <c:ser>
          <c:idx val="2"/>
          <c:order val="2"/>
          <c:tx>
            <c:strRef>
              <c:f>Arkusz1!$D$1</c:f>
              <c:strCache>
                <c:ptCount val="1"/>
                <c:pt idx="0">
                  <c:v>Kolumna2</c:v>
                </c:pt>
              </c:strCache>
            </c:strRef>
          </c:tx>
          <c:spPr>
            <a:solidFill>
              <a:schemeClr val="accent3">
                <a:tint val="65000"/>
                <a:alpha val="70000"/>
              </a:schemeClr>
            </a:solidFill>
            <a:ln>
              <a:noFill/>
            </a:ln>
            <a:effectLst/>
          </c:spPr>
          <c:invertIfNegative val="0"/>
          <c:cat>
            <c:numRef>
              <c:f>Arkusz1!$A$2:$A$10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Arkusz1!$D$2:$D$10</c:f>
              <c:numCache>
                <c:formatCode>General</c:formatCode>
                <c:ptCount val="9"/>
              </c:numCache>
            </c:numRef>
          </c:val>
          <c:extLst>
            <c:ext xmlns:c16="http://schemas.microsoft.com/office/drawing/2014/chart" uri="{C3380CC4-5D6E-409C-BE32-E72D297353CC}">
              <c16:uniqueId val="{00000002-2032-4630-8E23-C2111BE071CA}"/>
            </c:ext>
          </c:extLst>
        </c:ser>
        <c:dLbls>
          <c:showLegendKey val="0"/>
          <c:showVal val="0"/>
          <c:showCatName val="0"/>
          <c:showSerName val="0"/>
          <c:showPercent val="0"/>
          <c:showBubbleSize val="0"/>
        </c:dLbls>
        <c:gapWidth val="80"/>
        <c:overlap val="25"/>
        <c:axId val="61107408"/>
        <c:axId val="61110544"/>
      </c:barChart>
      <c:catAx>
        <c:axId val="6110740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pl-PL"/>
          </a:p>
        </c:txPr>
        <c:crossAx val="61110544"/>
        <c:crosses val="autoZero"/>
        <c:auto val="1"/>
        <c:lblAlgn val="ctr"/>
        <c:lblOffset val="100"/>
        <c:noMultiLvlLbl val="0"/>
      </c:catAx>
      <c:valAx>
        <c:axId val="6111054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pl-PL"/>
          </a:p>
        </c:txPr>
        <c:crossAx val="6110740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69"/>
      <c:rAngAx val="0"/>
      <c:perspective val="20"/>
    </c:view3D>
    <c:floor>
      <c:thickness val="0"/>
    </c:floor>
    <c:sideWall>
      <c:thickness val="0"/>
    </c:sideWall>
    <c:backWall>
      <c:thickness val="0"/>
    </c:backWall>
    <c:plotArea>
      <c:layout>
        <c:manualLayout>
          <c:layoutTarget val="inner"/>
          <c:xMode val="edge"/>
          <c:yMode val="edge"/>
          <c:x val="7.690791776027997E-2"/>
          <c:y val="6.7129629629629636E-2"/>
          <c:w val="0.68782349081364824"/>
          <c:h val="0.88657407407407407"/>
        </c:manualLayout>
      </c:layout>
      <c:pie3DChart>
        <c:varyColors val="1"/>
        <c:ser>
          <c:idx val="0"/>
          <c:order val="0"/>
          <c:tx>
            <c:strRef>
              <c:f>Arkusz1!$D$8</c:f>
              <c:strCache>
                <c:ptCount val="1"/>
                <c:pt idx="0">
                  <c:v>ilość próbek</c:v>
                </c:pt>
              </c:strCache>
            </c:strRef>
          </c:tx>
          <c:explosion val="25"/>
          <c:dPt>
            <c:idx val="0"/>
            <c:bubble3D val="0"/>
            <c:explosion val="11"/>
            <c:extLst>
              <c:ext xmlns:c16="http://schemas.microsoft.com/office/drawing/2014/chart" uri="{C3380CC4-5D6E-409C-BE32-E72D297353CC}">
                <c16:uniqueId val="{00000001-FE5F-4341-9C19-C50654A84025}"/>
              </c:ext>
            </c:extLst>
          </c:dPt>
          <c:dLbls>
            <c:dLbl>
              <c:idx val="0"/>
              <c:layout>
                <c:manualLayout>
                  <c:x val="2.1789151356080491E-3"/>
                  <c:y val="-1.1084864391951006E-2"/>
                </c:manualLayout>
              </c:layout>
              <c:tx>
                <c:rich>
                  <a:bodyPr/>
                  <a:lstStyle/>
                  <a:p>
                    <a:r>
                      <a:rPr lang="en-US"/>
                      <a:t>96%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E5F-4341-9C19-C50654A84025}"/>
                </c:ext>
              </c:extLst>
            </c:dLbl>
            <c:dLbl>
              <c:idx val="1"/>
              <c:layout>
                <c:manualLayout>
                  <c:x val="1.9433945756780403E-2"/>
                  <c:y val="-0.1063743073782443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E5F-4341-9C19-C50654A84025}"/>
                </c:ext>
              </c:extLst>
            </c:dLbl>
            <c:dLbl>
              <c:idx val="2"/>
              <c:layout>
                <c:manualLayout>
                  <c:x val="-2.0477909011373577E-3"/>
                  <c:y val="-6.8456547098279382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E5F-4341-9C19-C50654A84025}"/>
                </c:ext>
              </c:extLst>
            </c:dLbl>
            <c:dLbl>
              <c:idx val="3"/>
              <c:layout>
                <c:manualLayout>
                  <c:x val="-4.9264326334208221E-2"/>
                  <c:y val="-9.297900262467191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E5F-4341-9C19-C50654A84025}"/>
                </c:ext>
              </c:extLst>
            </c:dLbl>
            <c:spPr>
              <a:noFill/>
              <a:ln>
                <a:noFill/>
              </a:ln>
              <a:effectLst/>
            </c:spPr>
            <c:txPr>
              <a:bodyPr/>
              <a:lstStyle/>
              <a:p>
                <a:pPr>
                  <a:defRPr b="1"/>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Arkusz1!$E$7:$H$7</c:f>
              <c:strCache>
                <c:ptCount val="4"/>
                <c:pt idx="0">
                  <c:v>Kategoria A1</c:v>
                </c:pt>
                <c:pt idx="1">
                  <c:v>Kategoria A2</c:v>
                </c:pt>
                <c:pt idx="2">
                  <c:v>Kategoria A3</c:v>
                </c:pt>
                <c:pt idx="3">
                  <c:v>poza kategoriami</c:v>
                </c:pt>
              </c:strCache>
            </c:strRef>
          </c:cat>
          <c:val>
            <c:numRef>
              <c:f>Arkusz1!$E$8:$H$8</c:f>
              <c:numCache>
                <c:formatCode>General</c:formatCode>
                <c:ptCount val="4"/>
                <c:pt idx="0">
                  <c:v>472</c:v>
                </c:pt>
                <c:pt idx="1">
                  <c:v>10</c:v>
                </c:pt>
                <c:pt idx="2">
                  <c:v>5</c:v>
                </c:pt>
                <c:pt idx="3">
                  <c:v>5</c:v>
                </c:pt>
              </c:numCache>
            </c:numRef>
          </c:val>
          <c:extLst>
            <c:ext xmlns:c16="http://schemas.microsoft.com/office/drawing/2014/chart" uri="{C3380CC4-5D6E-409C-BE32-E72D297353CC}">
              <c16:uniqueId val="{00000005-FE5F-4341-9C19-C50654A84025}"/>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69"/>
      <c:rAngAx val="0"/>
      <c:perspective val="20"/>
    </c:view3D>
    <c:floor>
      <c:thickness val="0"/>
    </c:floor>
    <c:sideWall>
      <c:thickness val="0"/>
    </c:sideWall>
    <c:backWall>
      <c:thickness val="0"/>
    </c:backWall>
    <c:plotArea>
      <c:layout>
        <c:manualLayout>
          <c:layoutTarget val="inner"/>
          <c:xMode val="edge"/>
          <c:yMode val="edge"/>
          <c:x val="7.690791776027997E-2"/>
          <c:y val="6.7129629629629636E-2"/>
          <c:w val="0.68782349081364824"/>
          <c:h val="0.88657407407407407"/>
        </c:manualLayout>
      </c:layout>
      <c:pie3DChart>
        <c:varyColors val="1"/>
        <c:ser>
          <c:idx val="0"/>
          <c:order val="0"/>
          <c:tx>
            <c:strRef>
              <c:f>Arkusz1!$D$8</c:f>
              <c:strCache>
                <c:ptCount val="1"/>
                <c:pt idx="0">
                  <c:v>ilość próbek</c:v>
                </c:pt>
              </c:strCache>
            </c:strRef>
          </c:tx>
          <c:explosion val="25"/>
          <c:dPt>
            <c:idx val="0"/>
            <c:bubble3D val="0"/>
            <c:explosion val="11"/>
            <c:extLst>
              <c:ext xmlns:c16="http://schemas.microsoft.com/office/drawing/2014/chart" uri="{C3380CC4-5D6E-409C-BE32-E72D297353CC}">
                <c16:uniqueId val="{00000001-6487-4FE1-BA09-183E5F79CEC1}"/>
              </c:ext>
            </c:extLst>
          </c:dPt>
          <c:dLbls>
            <c:dLbl>
              <c:idx val="0"/>
              <c:layout>
                <c:manualLayout>
                  <c:x val="2.1789151356080491E-3"/>
                  <c:y val="-1.1084864391951006E-2"/>
                </c:manualLayout>
              </c:layout>
              <c:tx>
                <c:rich>
                  <a:bodyPr/>
                  <a:lstStyle/>
                  <a:p>
                    <a:r>
                      <a:rPr lang="en-US"/>
                      <a:t>95,6%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6487-4FE1-BA09-183E5F79CEC1}"/>
                </c:ext>
              </c:extLst>
            </c:dLbl>
            <c:dLbl>
              <c:idx val="1"/>
              <c:layout>
                <c:manualLayout>
                  <c:x val="1.9433945756780403E-2"/>
                  <c:y val="-0.10637430737824438"/>
                </c:manualLayout>
              </c:layout>
              <c:tx>
                <c:rich>
                  <a:bodyPr/>
                  <a:lstStyle/>
                  <a:p>
                    <a:r>
                      <a:rPr lang="en-US"/>
                      <a:t>2,8%</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6487-4FE1-BA09-183E5F79CEC1}"/>
                </c:ext>
              </c:extLst>
            </c:dLbl>
            <c:dLbl>
              <c:idx val="2"/>
              <c:layout>
                <c:manualLayout>
                  <c:x val="-2.0477909011373577E-3"/>
                  <c:y val="-6.8456547098279382E-3"/>
                </c:manualLayout>
              </c:layout>
              <c:tx>
                <c:rich>
                  <a:bodyPr/>
                  <a:lstStyle/>
                  <a:p>
                    <a:r>
                      <a:rPr lang="en-US"/>
                      <a:t>1,5%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487-4FE1-BA09-183E5F79CEC1}"/>
                </c:ext>
              </c:extLst>
            </c:dLbl>
            <c:dLbl>
              <c:idx val="3"/>
              <c:layout>
                <c:manualLayout>
                  <c:x val="-4.9264326334208221E-2"/>
                  <c:y val="-9.2979002624671916E-3"/>
                </c:manualLayout>
              </c:layout>
              <c:tx>
                <c:rich>
                  <a:bodyPr/>
                  <a:lstStyle/>
                  <a:p>
                    <a:r>
                      <a:rPr lang="en-US"/>
                      <a:t>0,</a:t>
                    </a:r>
                    <a:fld id="{6453922D-D35A-4229-A749-AF81A0CA81D3}" type="PERCENTAGE">
                      <a:rPr lang="en-US"/>
                      <a:pPr/>
                      <a:t>[PROCENTOWE]</a:t>
                    </a:fld>
                    <a:endParaRPr lang="en-US"/>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487-4FE1-BA09-183E5F79CEC1}"/>
                </c:ext>
              </c:extLst>
            </c:dLbl>
            <c:spPr>
              <a:noFill/>
              <a:ln>
                <a:noFill/>
              </a:ln>
              <a:effectLst/>
            </c:spPr>
            <c:txPr>
              <a:bodyPr/>
              <a:lstStyle/>
              <a:p>
                <a:pPr>
                  <a:defRPr b="1"/>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Arkusz1!$E$7:$H$7</c:f>
              <c:strCache>
                <c:ptCount val="4"/>
                <c:pt idx="0">
                  <c:v>Kategoria A1</c:v>
                </c:pt>
                <c:pt idx="1">
                  <c:v>Kategoria A2</c:v>
                </c:pt>
                <c:pt idx="2">
                  <c:v>Kategoria A3</c:v>
                </c:pt>
                <c:pt idx="3">
                  <c:v>poza kategoriami</c:v>
                </c:pt>
              </c:strCache>
            </c:strRef>
          </c:cat>
          <c:val>
            <c:numRef>
              <c:f>Arkusz1!$E$8:$H$8</c:f>
              <c:numCache>
                <c:formatCode>General</c:formatCode>
                <c:ptCount val="4"/>
                <c:pt idx="0">
                  <c:v>472</c:v>
                </c:pt>
                <c:pt idx="1">
                  <c:v>10</c:v>
                </c:pt>
                <c:pt idx="2">
                  <c:v>5</c:v>
                </c:pt>
                <c:pt idx="3">
                  <c:v>5</c:v>
                </c:pt>
              </c:numCache>
            </c:numRef>
          </c:val>
          <c:extLst>
            <c:ext xmlns:c16="http://schemas.microsoft.com/office/drawing/2014/chart" uri="{C3380CC4-5D6E-409C-BE32-E72D297353CC}">
              <c16:uniqueId val="{00000005-6487-4FE1-BA09-183E5F79CEC1}"/>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l-PL"/>
  <c:roundedCorners val="0"/>
  <c:style val="2"/>
  <c:chart>
    <c:autoTitleDeleted val="1"/>
    <c:view3D>
      <c:rotX val="40"/>
      <c:rotY val="90"/>
      <c:rAngAx val="0"/>
    </c:view3D>
    <c:floor>
      <c:thickness val="0"/>
      <c:spPr>
        <a:solidFill>
          <a:srgbClr val="D9D9D9"/>
        </a:solidFill>
        <a:ln>
          <a:noFill/>
        </a:ln>
      </c:spPr>
    </c:floor>
    <c:sideWall>
      <c:thickness val="0"/>
      <c:spPr>
        <a:solidFill>
          <a:srgbClr val="D9D9D9"/>
        </a:solidFill>
        <a:ln>
          <a:noFill/>
        </a:ln>
      </c:spPr>
    </c:sideWall>
    <c:backWall>
      <c:thickness val="0"/>
      <c:spPr>
        <a:solidFill>
          <a:srgbClr val="D9D9D9"/>
        </a:solidFill>
        <a:ln>
          <a:noFill/>
        </a:ln>
      </c:spPr>
    </c:backWall>
    <c:plotArea>
      <c:layout/>
      <c:pie3DChart>
        <c:varyColors val="1"/>
        <c:ser>
          <c:idx val="0"/>
          <c:order val="0"/>
          <c:tx>
            <c:strRef>
              <c:f>label 0</c:f>
              <c:strCache>
                <c:ptCount val="1"/>
                <c:pt idx="0">
                  <c:v>Sprzedaż</c:v>
                </c:pt>
              </c:strCache>
            </c:strRef>
          </c:tx>
          <c:spPr>
            <a:solidFill>
              <a:srgbClr val="4F81BD"/>
            </a:solidFill>
            <a:ln>
              <a:noFill/>
            </a:ln>
          </c:spPr>
          <c:explosion val="11"/>
          <c:dPt>
            <c:idx val="0"/>
            <c:bubble3D val="0"/>
            <c:explosion val="15"/>
            <c:spPr>
              <a:solidFill>
                <a:srgbClr val="95B3D7"/>
              </a:solidFill>
              <a:ln>
                <a:noFill/>
              </a:ln>
            </c:spPr>
            <c:extLst>
              <c:ext xmlns:c16="http://schemas.microsoft.com/office/drawing/2014/chart" uri="{C3380CC4-5D6E-409C-BE32-E72D297353CC}">
                <c16:uniqueId val="{00000001-5FB0-45AD-A489-DBB547CEC07A}"/>
              </c:ext>
            </c:extLst>
          </c:dPt>
          <c:dPt>
            <c:idx val="1"/>
            <c:bubble3D val="0"/>
            <c:spPr>
              <a:solidFill>
                <a:srgbClr val="92D050"/>
              </a:solidFill>
              <a:ln>
                <a:noFill/>
              </a:ln>
            </c:spPr>
            <c:extLst>
              <c:ext xmlns:c16="http://schemas.microsoft.com/office/drawing/2014/chart" uri="{C3380CC4-5D6E-409C-BE32-E72D297353CC}">
                <c16:uniqueId val="{00000003-5FB0-45AD-A489-DBB547CEC07A}"/>
              </c:ext>
            </c:extLst>
          </c:dPt>
          <c:dPt>
            <c:idx val="2"/>
            <c:bubble3D val="0"/>
            <c:spPr>
              <a:solidFill>
                <a:srgbClr val="E46C0A"/>
              </a:solidFill>
              <a:ln>
                <a:noFill/>
              </a:ln>
            </c:spPr>
            <c:extLst>
              <c:ext xmlns:c16="http://schemas.microsoft.com/office/drawing/2014/chart" uri="{C3380CC4-5D6E-409C-BE32-E72D297353CC}">
                <c16:uniqueId val="{00000005-5FB0-45AD-A489-DBB547CEC07A}"/>
              </c:ext>
            </c:extLst>
          </c:dPt>
          <c:dPt>
            <c:idx val="3"/>
            <c:bubble3D val="0"/>
            <c:spPr>
              <a:solidFill>
                <a:srgbClr val="002060"/>
              </a:solidFill>
              <a:ln>
                <a:noFill/>
              </a:ln>
            </c:spPr>
            <c:extLst>
              <c:ext xmlns:c16="http://schemas.microsoft.com/office/drawing/2014/chart" uri="{C3380CC4-5D6E-409C-BE32-E72D297353CC}">
                <c16:uniqueId val="{00000007-5FB0-45AD-A489-DBB547CEC07A}"/>
              </c:ext>
            </c:extLst>
          </c:dPt>
          <c:dPt>
            <c:idx val="4"/>
            <c:bubble3D val="0"/>
            <c:spPr>
              <a:solidFill>
                <a:srgbClr val="FFC000"/>
              </a:solidFill>
              <a:ln>
                <a:noFill/>
              </a:ln>
            </c:spPr>
            <c:extLst>
              <c:ext xmlns:c16="http://schemas.microsoft.com/office/drawing/2014/chart" uri="{C3380CC4-5D6E-409C-BE32-E72D297353CC}">
                <c16:uniqueId val="{00000009-5FB0-45AD-A489-DBB547CEC07A}"/>
              </c:ext>
            </c:extLst>
          </c:dPt>
          <c:dPt>
            <c:idx val="5"/>
            <c:bubble3D val="0"/>
            <c:explosion val="45"/>
            <c:spPr>
              <a:solidFill>
                <a:srgbClr val="FF0000"/>
              </a:solidFill>
              <a:ln>
                <a:noFill/>
              </a:ln>
            </c:spPr>
            <c:extLst>
              <c:ext xmlns:c16="http://schemas.microsoft.com/office/drawing/2014/chart" uri="{C3380CC4-5D6E-409C-BE32-E72D297353CC}">
                <c16:uniqueId val="{0000000B-5FB0-45AD-A489-DBB547CEC07A}"/>
              </c:ext>
            </c:extLst>
          </c:dPt>
          <c:dLbls>
            <c:dLbl>
              <c:idx val="0"/>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5FB0-45AD-A489-DBB547CEC07A}"/>
                </c:ext>
              </c:extLst>
            </c:dLbl>
            <c:dLbl>
              <c:idx val="1"/>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5FB0-45AD-A489-DBB547CEC07A}"/>
                </c:ext>
              </c:extLst>
            </c:dLbl>
            <c:dLbl>
              <c:idx val="2"/>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5FB0-45AD-A489-DBB547CEC07A}"/>
                </c:ext>
              </c:extLst>
            </c:dLbl>
            <c:dLbl>
              <c:idx val="3"/>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7-5FB0-45AD-A489-DBB547CEC07A}"/>
                </c:ext>
              </c:extLst>
            </c:dLbl>
            <c:dLbl>
              <c:idx val="4"/>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9-5FB0-45AD-A489-DBB547CEC07A}"/>
                </c:ext>
              </c:extLst>
            </c:dLbl>
            <c:dLbl>
              <c:idx val="5"/>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B-5FB0-45AD-A489-DBB547CEC07A}"/>
                </c:ext>
              </c:extLst>
            </c:dLbl>
            <c:spPr>
              <a:noFill/>
              <a:ln>
                <a:noFill/>
              </a:ln>
              <a:effectLst/>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6"/>
                <c:pt idx="0">
                  <c:v>Brak wykryć</c:v>
                </c:pt>
                <c:pt idx="1">
                  <c:v>do 0,1 ug/L</c:v>
                </c:pt>
                <c:pt idx="2">
                  <c:v>do 0,5 ug/L</c:v>
                </c:pt>
                <c:pt idx="3">
                  <c:v>do 1 ug/L</c:v>
                </c:pt>
                <c:pt idx="4">
                  <c:v>powyżej 1 ug/l (A2)</c:v>
                </c:pt>
                <c:pt idx="5">
                  <c:v>powyżej 2,5  ug/l </c:v>
                </c:pt>
              </c:strCache>
            </c:strRef>
          </c:cat>
          <c:val>
            <c:numRef>
              <c:f>0</c:f>
              <c:numCache>
                <c:formatCode>General</c:formatCode>
                <c:ptCount val="6"/>
                <c:pt idx="0">
                  <c:v>22</c:v>
                </c:pt>
                <c:pt idx="1">
                  <c:v>23</c:v>
                </c:pt>
                <c:pt idx="2">
                  <c:v>40</c:v>
                </c:pt>
                <c:pt idx="3">
                  <c:v>11</c:v>
                </c:pt>
                <c:pt idx="4">
                  <c:v>3</c:v>
                </c:pt>
                <c:pt idx="5">
                  <c:v>1</c:v>
                </c:pt>
              </c:numCache>
            </c:numRef>
          </c:val>
          <c:extLst>
            <c:ext xmlns:c16="http://schemas.microsoft.com/office/drawing/2014/chart" uri="{C3380CC4-5D6E-409C-BE32-E72D297353CC}">
              <c16:uniqueId val="{0000000C-5FB0-45AD-A489-DBB547CEC07A}"/>
            </c:ext>
          </c:extLst>
        </c:ser>
        <c:dLbls>
          <c:showLegendKey val="0"/>
          <c:showVal val="0"/>
          <c:showCatName val="0"/>
          <c:showSerName val="0"/>
          <c:showPercent val="0"/>
          <c:showBubbleSize val="0"/>
          <c:showLeaderLines val="0"/>
        </c:dLbls>
      </c:pie3DChart>
    </c:plotArea>
    <c:legend>
      <c:legendPos val="b"/>
      <c:layout>
        <c:manualLayout>
          <c:xMode val="edge"/>
          <c:yMode val="edge"/>
          <c:x val="0.1769375"/>
          <c:y val="0.745"/>
          <c:w val="0.71360710044377795"/>
          <c:h val="0.227247471941327"/>
        </c:manualLayout>
      </c:layout>
      <c:overlay val="0"/>
      <c:spPr>
        <a:noFill/>
        <a:ln>
          <a:noFill/>
        </a:ln>
      </c:spPr>
      <c:txPr>
        <a:bodyPr/>
        <a:lstStyle/>
        <a:p>
          <a:pPr>
            <a:defRPr sz="1000" b="0" strike="noStrike" spc="-1">
              <a:solidFill>
                <a:srgbClr val="000000"/>
              </a:solidFill>
              <a:latin typeface="Calibri"/>
            </a:defRPr>
          </a:pPr>
          <a:endParaRPr lang="pl-PL"/>
        </a:p>
      </c:txPr>
    </c:legend>
    <c:plotVisOnly val="1"/>
    <c:dispBlanksAs val="gap"/>
    <c:showDLblsOverMax val="1"/>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035521432638875E-2"/>
          <c:y val="5.6161063699372911E-2"/>
          <c:w val="0.9169894162232215"/>
          <c:h val="0.83904805112881942"/>
        </c:manualLayout>
      </c:layout>
      <c:barChart>
        <c:barDir val="col"/>
        <c:grouping val="clustered"/>
        <c:varyColors val="0"/>
        <c:ser>
          <c:idx val="1"/>
          <c:order val="0"/>
          <c:spPr>
            <a:solidFill>
              <a:schemeClr val="accent6">
                <a:lumMod val="60000"/>
                <a:lumOff val="40000"/>
              </a:schemeClr>
            </a:solidFill>
            <a:ln>
              <a:noFill/>
            </a:ln>
            <a:effectLst/>
          </c:spPr>
          <c:invertIfNegative val="0"/>
          <c:dLbls>
            <c:dLbl>
              <c:idx val="13"/>
              <c:layout>
                <c:manualLayout>
                  <c:x val="6.5453164865876965E-8"/>
                  <c:y val="-3.3826630969656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90-4FE3-9322-8350670E58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2"/>
                </a:solidFill>
                <a:prstDash val="sysDot"/>
              </a:ln>
              <a:effectLst/>
            </c:spPr>
            <c:trendlineType val="linear"/>
            <c:dispRSqr val="0"/>
            <c:dispEq val="0"/>
          </c:trendline>
          <c:cat>
            <c:numRef>
              <c:f>zest3!$I$11:$R$11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zest3!$I$12:$R$12</c:f>
              <c:numCache>
                <c:formatCode>General</c:formatCode>
                <c:ptCount val="10"/>
                <c:pt idx="0">
                  <c:v>21886</c:v>
                </c:pt>
                <c:pt idx="1">
                  <c:v>22204</c:v>
                </c:pt>
                <c:pt idx="2">
                  <c:v>23557</c:v>
                </c:pt>
                <c:pt idx="3">
                  <c:v>24006</c:v>
                </c:pt>
                <c:pt idx="4">
                  <c:v>24463</c:v>
                </c:pt>
                <c:pt idx="5">
                  <c:v>25075</c:v>
                </c:pt>
                <c:pt idx="6">
                  <c:v>23178</c:v>
                </c:pt>
                <c:pt idx="7">
                  <c:v>24281</c:v>
                </c:pt>
                <c:pt idx="8">
                  <c:v>24628</c:v>
                </c:pt>
                <c:pt idx="9">
                  <c:v>26973</c:v>
                </c:pt>
              </c:numCache>
            </c:numRef>
          </c:val>
          <c:extLst>
            <c:ext xmlns:c16="http://schemas.microsoft.com/office/drawing/2014/chart" uri="{C3380CC4-5D6E-409C-BE32-E72D297353CC}">
              <c16:uniqueId val="{00000002-D790-4FE3-9322-8350670E589A}"/>
            </c:ext>
          </c:extLst>
        </c:ser>
        <c:dLbls>
          <c:showLegendKey val="0"/>
          <c:showVal val="1"/>
          <c:showCatName val="0"/>
          <c:showSerName val="0"/>
          <c:showPercent val="0"/>
          <c:showBubbleSize val="0"/>
        </c:dLbls>
        <c:gapWidth val="219"/>
        <c:overlap val="-27"/>
        <c:axId val="335749256"/>
        <c:axId val="335747688"/>
      </c:barChart>
      <c:catAx>
        <c:axId val="335749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35747688"/>
        <c:crosses val="autoZero"/>
        <c:auto val="1"/>
        <c:lblAlgn val="ctr"/>
        <c:lblOffset val="100"/>
        <c:noMultiLvlLbl val="0"/>
      </c:catAx>
      <c:valAx>
        <c:axId val="335747688"/>
        <c:scaling>
          <c:orientation val="minMax"/>
          <c:max val="28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35749256"/>
        <c:crosses val="autoZero"/>
        <c:crossBetween val="between"/>
        <c:majorUnit val="2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92966510042819"/>
          <c:y val="3.4029389017788084E-2"/>
          <c:w val="0.56297172697972342"/>
          <c:h val="0.89849449793253799"/>
        </c:manualLayout>
      </c:layout>
      <c:lineChart>
        <c:grouping val="standard"/>
        <c:varyColors val="0"/>
        <c:ser>
          <c:idx val="0"/>
          <c:order val="0"/>
          <c:tx>
            <c:strRef>
              <c:f>zest3!$A$4</c:f>
              <c:strCache>
                <c:ptCount val="1"/>
                <c:pt idx="0">
                  <c:v>Fungicydy i bakteriocydy</c:v>
                </c:pt>
              </c:strCache>
            </c:strRef>
          </c:tx>
          <c:spPr>
            <a:ln w="25400" cap="rnd" cmpd="sng" algn="ctr">
              <a:solidFill>
                <a:schemeClr val="accent1"/>
              </a:solidFill>
              <a:prstDash val="solid"/>
              <a:round/>
            </a:ln>
            <a:effectLst/>
          </c:spPr>
          <c:marker>
            <c:symbol val="none"/>
          </c:marker>
          <c:cat>
            <c:numRef>
              <c:f>zest3!$M$3:$R$3</c:f>
              <c:numCache>
                <c:formatCode>General</c:formatCode>
                <c:ptCount val="6"/>
                <c:pt idx="0">
                  <c:v>2016</c:v>
                </c:pt>
                <c:pt idx="1">
                  <c:v>2017</c:v>
                </c:pt>
                <c:pt idx="2">
                  <c:v>2018</c:v>
                </c:pt>
                <c:pt idx="3">
                  <c:v>2019</c:v>
                </c:pt>
                <c:pt idx="4">
                  <c:v>2020</c:v>
                </c:pt>
                <c:pt idx="5">
                  <c:v>2021</c:v>
                </c:pt>
              </c:numCache>
            </c:numRef>
          </c:cat>
          <c:val>
            <c:numRef>
              <c:f>zest3!$M$4:$R$4</c:f>
              <c:numCache>
                <c:formatCode>#,##0</c:formatCode>
                <c:ptCount val="6"/>
                <c:pt idx="0">
                  <c:v>7534.5981300000003</c:v>
                </c:pt>
                <c:pt idx="1">
                  <c:v>6927.7668800000001</c:v>
                </c:pt>
                <c:pt idx="2" formatCode="0">
                  <c:v>7993.2805499999995</c:v>
                </c:pt>
                <c:pt idx="3" formatCode="_-* #\ ##0\ _z_ł_-;\-* #\ ##0\ _z_ł_-;_-* &quot;-&quot;??\ _z_ł_-;_-@_-">
                  <c:v>6869.2564299999995</c:v>
                </c:pt>
                <c:pt idx="4">
                  <c:v>9279.7823599999992</c:v>
                </c:pt>
                <c:pt idx="5">
                  <c:v>10055.403460000001</c:v>
                </c:pt>
              </c:numCache>
            </c:numRef>
          </c:val>
          <c:smooth val="0"/>
          <c:extLst>
            <c:ext xmlns:c16="http://schemas.microsoft.com/office/drawing/2014/chart" uri="{C3380CC4-5D6E-409C-BE32-E72D297353CC}">
              <c16:uniqueId val="{00000000-68ED-4C4D-8F30-A1C6A8377353}"/>
            </c:ext>
          </c:extLst>
        </c:ser>
        <c:ser>
          <c:idx val="1"/>
          <c:order val="1"/>
          <c:tx>
            <c:strRef>
              <c:f>zest3!$A$5</c:f>
              <c:strCache>
                <c:ptCount val="1"/>
                <c:pt idx="0">
                  <c:v>Herbicydy, związki ograniczające rozwój łodyg i związki mchobójcze</c:v>
                </c:pt>
              </c:strCache>
            </c:strRef>
          </c:tx>
          <c:spPr>
            <a:ln w="25400" cap="rnd" cmpd="sng" algn="ctr">
              <a:solidFill>
                <a:schemeClr val="accent2"/>
              </a:solidFill>
              <a:prstDash val="solid"/>
              <a:round/>
            </a:ln>
            <a:effectLst/>
          </c:spPr>
          <c:marker>
            <c:symbol val="none"/>
          </c:marker>
          <c:cat>
            <c:numRef>
              <c:f>zest3!$M$3:$R$3</c:f>
              <c:numCache>
                <c:formatCode>General</c:formatCode>
                <c:ptCount val="6"/>
                <c:pt idx="0">
                  <c:v>2016</c:v>
                </c:pt>
                <c:pt idx="1">
                  <c:v>2017</c:v>
                </c:pt>
                <c:pt idx="2">
                  <c:v>2018</c:v>
                </c:pt>
                <c:pt idx="3">
                  <c:v>2019</c:v>
                </c:pt>
                <c:pt idx="4">
                  <c:v>2020</c:v>
                </c:pt>
                <c:pt idx="5">
                  <c:v>2021</c:v>
                </c:pt>
              </c:numCache>
            </c:numRef>
          </c:cat>
          <c:val>
            <c:numRef>
              <c:f>zest3!$M$5:$R$5</c:f>
              <c:numCache>
                <c:formatCode>#,##0</c:formatCode>
                <c:ptCount val="6"/>
                <c:pt idx="0">
                  <c:v>12693.320089999999</c:v>
                </c:pt>
                <c:pt idx="1">
                  <c:v>13655.47782</c:v>
                </c:pt>
                <c:pt idx="2" formatCode="0">
                  <c:v>11370.743759999999</c:v>
                </c:pt>
                <c:pt idx="3" formatCode="_-* #\ ##0\ _z_ł_-;\-* #\ ##0\ _z_ł_-;_-* &quot;-&quot;??\ _z_ł_-;_-@_-">
                  <c:v>11705.37542</c:v>
                </c:pt>
                <c:pt idx="4">
                  <c:v>12809.34809</c:v>
                </c:pt>
                <c:pt idx="5">
                  <c:v>14353.52248</c:v>
                </c:pt>
              </c:numCache>
            </c:numRef>
          </c:val>
          <c:smooth val="0"/>
          <c:extLst>
            <c:ext xmlns:c16="http://schemas.microsoft.com/office/drawing/2014/chart" uri="{C3380CC4-5D6E-409C-BE32-E72D297353CC}">
              <c16:uniqueId val="{00000001-68ED-4C4D-8F30-A1C6A8377353}"/>
            </c:ext>
          </c:extLst>
        </c:ser>
        <c:ser>
          <c:idx val="2"/>
          <c:order val="2"/>
          <c:tx>
            <c:strRef>
              <c:f>zest3!$A$6</c:f>
              <c:strCache>
                <c:ptCount val="1"/>
                <c:pt idx="0">
                  <c:v>Insektycydy i akarycydy</c:v>
                </c:pt>
              </c:strCache>
            </c:strRef>
          </c:tx>
          <c:spPr>
            <a:ln w="25400" cap="rnd" cmpd="sng" algn="ctr">
              <a:solidFill>
                <a:schemeClr val="accent3"/>
              </a:solidFill>
              <a:prstDash val="solid"/>
              <a:round/>
            </a:ln>
            <a:effectLst/>
          </c:spPr>
          <c:marker>
            <c:symbol val="none"/>
          </c:marker>
          <c:cat>
            <c:numRef>
              <c:f>zest3!$M$3:$R$3</c:f>
              <c:numCache>
                <c:formatCode>General</c:formatCode>
                <c:ptCount val="6"/>
                <c:pt idx="0">
                  <c:v>2016</c:v>
                </c:pt>
                <c:pt idx="1">
                  <c:v>2017</c:v>
                </c:pt>
                <c:pt idx="2">
                  <c:v>2018</c:v>
                </c:pt>
                <c:pt idx="3">
                  <c:v>2019</c:v>
                </c:pt>
                <c:pt idx="4">
                  <c:v>2020</c:v>
                </c:pt>
                <c:pt idx="5">
                  <c:v>2021</c:v>
                </c:pt>
              </c:numCache>
            </c:numRef>
          </c:cat>
          <c:val>
            <c:numRef>
              <c:f>zest3!$M$6:$R$6</c:f>
              <c:numCache>
                <c:formatCode>#,##0</c:formatCode>
                <c:ptCount val="6"/>
                <c:pt idx="0">
                  <c:v>1484.6067700000001</c:v>
                </c:pt>
                <c:pt idx="1">
                  <c:v>1820.13228</c:v>
                </c:pt>
                <c:pt idx="2" formatCode="0">
                  <c:v>1774.1845000000001</c:v>
                </c:pt>
                <c:pt idx="3" formatCode="_-* #\ ##0\ _z_ł_-;\-* #\ ##0\ _z_ł_-;_-* &quot;-&quot;??\ _z_ł_-;_-@_-">
                  <c:v>2749.8249700000001</c:v>
                </c:pt>
                <c:pt idx="4">
                  <c:v>628.81339000000003</c:v>
                </c:pt>
                <c:pt idx="5">
                  <c:v>662.25850000000003</c:v>
                </c:pt>
              </c:numCache>
            </c:numRef>
          </c:val>
          <c:smooth val="0"/>
          <c:extLst>
            <c:ext xmlns:c16="http://schemas.microsoft.com/office/drawing/2014/chart" uri="{C3380CC4-5D6E-409C-BE32-E72D297353CC}">
              <c16:uniqueId val="{00000002-68ED-4C4D-8F30-A1C6A8377353}"/>
            </c:ext>
          </c:extLst>
        </c:ser>
        <c:ser>
          <c:idx val="4"/>
          <c:order val="3"/>
          <c:tx>
            <c:strRef>
              <c:f>zest3!$A$7</c:f>
              <c:strCache>
                <c:ptCount val="1"/>
                <c:pt idx="0">
                  <c:v>Moluskocydy</c:v>
                </c:pt>
              </c:strCache>
            </c:strRef>
          </c:tx>
          <c:spPr>
            <a:ln w="25400" cap="rnd" cmpd="sng" algn="ctr">
              <a:solidFill>
                <a:schemeClr val="accent5"/>
              </a:solidFill>
              <a:prstDash val="solid"/>
              <a:round/>
            </a:ln>
            <a:effectLst/>
          </c:spPr>
          <c:marker>
            <c:symbol val="none"/>
          </c:marker>
          <c:cat>
            <c:numRef>
              <c:f>zest3!$M$3:$R$3</c:f>
              <c:numCache>
                <c:formatCode>General</c:formatCode>
                <c:ptCount val="6"/>
                <c:pt idx="0">
                  <c:v>2016</c:v>
                </c:pt>
                <c:pt idx="1">
                  <c:v>2017</c:v>
                </c:pt>
                <c:pt idx="2">
                  <c:v>2018</c:v>
                </c:pt>
                <c:pt idx="3">
                  <c:v>2019</c:v>
                </c:pt>
                <c:pt idx="4">
                  <c:v>2020</c:v>
                </c:pt>
                <c:pt idx="5">
                  <c:v>2021</c:v>
                </c:pt>
              </c:numCache>
            </c:numRef>
          </c:cat>
          <c:val>
            <c:numRef>
              <c:f>zest3!$M$7:$R$7</c:f>
              <c:numCache>
                <c:formatCode>#,##0</c:formatCode>
                <c:ptCount val="6"/>
                <c:pt idx="0">
                  <c:v>7.53505</c:v>
                </c:pt>
                <c:pt idx="1">
                  <c:v>7.1843000000000004</c:v>
                </c:pt>
                <c:pt idx="2" formatCode="0">
                  <c:v>16.173259999999999</c:v>
                </c:pt>
                <c:pt idx="3" formatCode="_-* #\ ##0\ _z_ł_-;\-* #\ ##0\ _z_ł_-;_-* &quot;-&quot;??\ _z_ł_-;_-@_-">
                  <c:v>23.612220000000001</c:v>
                </c:pt>
                <c:pt idx="4">
                  <c:v>29.225750000000001</c:v>
                </c:pt>
                <c:pt idx="5">
                  <c:v>27.923189999999998</c:v>
                </c:pt>
              </c:numCache>
            </c:numRef>
          </c:val>
          <c:smooth val="0"/>
          <c:extLst>
            <c:ext xmlns:c16="http://schemas.microsoft.com/office/drawing/2014/chart" uri="{C3380CC4-5D6E-409C-BE32-E72D297353CC}">
              <c16:uniqueId val="{00000003-68ED-4C4D-8F30-A1C6A8377353}"/>
            </c:ext>
          </c:extLst>
        </c:ser>
        <c:ser>
          <c:idx val="3"/>
          <c:order val="4"/>
          <c:tx>
            <c:strRef>
              <c:f>zest3!$A$8</c:f>
              <c:strCache>
                <c:ptCount val="1"/>
                <c:pt idx="0">
                  <c:v>Regulatory wzrostu</c:v>
                </c:pt>
              </c:strCache>
            </c:strRef>
          </c:tx>
          <c:spPr>
            <a:ln w="25400" cap="rnd" cmpd="sng" algn="ctr">
              <a:solidFill>
                <a:schemeClr val="accent4"/>
              </a:solidFill>
              <a:prstDash val="solid"/>
              <a:round/>
            </a:ln>
            <a:effectLst/>
          </c:spPr>
          <c:marker>
            <c:symbol val="none"/>
          </c:marker>
          <c:cat>
            <c:numRef>
              <c:f>zest3!$M$3:$R$3</c:f>
              <c:numCache>
                <c:formatCode>General</c:formatCode>
                <c:ptCount val="6"/>
                <c:pt idx="0">
                  <c:v>2016</c:v>
                </c:pt>
                <c:pt idx="1">
                  <c:v>2017</c:v>
                </c:pt>
                <c:pt idx="2">
                  <c:v>2018</c:v>
                </c:pt>
                <c:pt idx="3">
                  <c:v>2019</c:v>
                </c:pt>
                <c:pt idx="4">
                  <c:v>2020</c:v>
                </c:pt>
                <c:pt idx="5">
                  <c:v>2021</c:v>
                </c:pt>
              </c:numCache>
            </c:numRef>
          </c:cat>
          <c:val>
            <c:numRef>
              <c:f>zest3!$M$8:$R$8</c:f>
              <c:numCache>
                <c:formatCode>#,##0</c:formatCode>
                <c:ptCount val="6"/>
                <c:pt idx="0">
                  <c:v>2180.3547000000003</c:v>
                </c:pt>
                <c:pt idx="1">
                  <c:v>2150.4535499999997</c:v>
                </c:pt>
                <c:pt idx="2" formatCode="0">
                  <c:v>1609.0296899999998</c:v>
                </c:pt>
                <c:pt idx="3" formatCode="_-* #\ ##0\ _z_ł_-;\-* #\ ##0\ _z_ł_-;_-* &quot;-&quot;??\ _z_ł_-;_-@_-">
                  <c:v>2353.3888900000002</c:v>
                </c:pt>
                <c:pt idx="4">
                  <c:v>1201.3739800000001</c:v>
                </c:pt>
                <c:pt idx="5">
                  <c:v>1364.94695</c:v>
                </c:pt>
              </c:numCache>
            </c:numRef>
          </c:val>
          <c:smooth val="0"/>
          <c:extLst>
            <c:ext xmlns:c16="http://schemas.microsoft.com/office/drawing/2014/chart" uri="{C3380CC4-5D6E-409C-BE32-E72D297353CC}">
              <c16:uniqueId val="{00000004-68ED-4C4D-8F30-A1C6A8377353}"/>
            </c:ext>
          </c:extLst>
        </c:ser>
        <c:ser>
          <c:idx val="5"/>
          <c:order val="5"/>
          <c:tx>
            <c:strRef>
              <c:f>zest3!$A$9</c:f>
              <c:strCache>
                <c:ptCount val="1"/>
                <c:pt idx="0">
                  <c:v>Inne środki ochrony roślin</c:v>
                </c:pt>
              </c:strCache>
            </c:strRef>
          </c:tx>
          <c:spPr>
            <a:ln w="25400" cap="rnd" cmpd="sng" algn="ctr">
              <a:solidFill>
                <a:schemeClr val="accent6"/>
              </a:solidFill>
              <a:prstDash val="solid"/>
              <a:round/>
            </a:ln>
            <a:effectLst/>
          </c:spPr>
          <c:marker>
            <c:symbol val="none"/>
          </c:marker>
          <c:cat>
            <c:numRef>
              <c:f>zest3!$M$3:$R$3</c:f>
              <c:numCache>
                <c:formatCode>General</c:formatCode>
                <c:ptCount val="6"/>
                <c:pt idx="0">
                  <c:v>2016</c:v>
                </c:pt>
                <c:pt idx="1">
                  <c:v>2017</c:v>
                </c:pt>
                <c:pt idx="2">
                  <c:v>2018</c:v>
                </c:pt>
                <c:pt idx="3">
                  <c:v>2019</c:v>
                </c:pt>
                <c:pt idx="4">
                  <c:v>2020</c:v>
                </c:pt>
                <c:pt idx="5">
                  <c:v>2021</c:v>
                </c:pt>
              </c:numCache>
            </c:numRef>
          </c:cat>
          <c:val>
            <c:numRef>
              <c:f>zest3!$M$9:$R$9</c:f>
              <c:numCache>
                <c:formatCode>#,##0</c:formatCode>
                <c:ptCount val="6"/>
                <c:pt idx="0">
                  <c:v>562.09510999999998</c:v>
                </c:pt>
                <c:pt idx="1">
                  <c:v>514.06646000000001</c:v>
                </c:pt>
                <c:pt idx="2" formatCode="0">
                  <c:v>415.01539000000002</c:v>
                </c:pt>
                <c:pt idx="3" formatCode="_-* #\ ##0\ _z_ł_-;\-* #\ ##0\ _z_ł_-;_-* &quot;-&quot;??\ _z_ł_-;_-@_-">
                  <c:v>579.20293000000004</c:v>
                </c:pt>
                <c:pt idx="4">
                  <c:v>679.47020999999995</c:v>
                </c:pt>
                <c:pt idx="5">
                  <c:v>508.62126000000001</c:v>
                </c:pt>
              </c:numCache>
            </c:numRef>
          </c:val>
          <c:smooth val="0"/>
          <c:extLst>
            <c:ext xmlns:c16="http://schemas.microsoft.com/office/drawing/2014/chart" uri="{C3380CC4-5D6E-409C-BE32-E72D297353CC}">
              <c16:uniqueId val="{00000005-68ED-4C4D-8F30-A1C6A8377353}"/>
            </c:ext>
          </c:extLst>
        </c:ser>
        <c:dLbls>
          <c:showLegendKey val="0"/>
          <c:showVal val="0"/>
          <c:showCatName val="0"/>
          <c:showSerName val="0"/>
          <c:showPercent val="0"/>
          <c:showBubbleSize val="0"/>
        </c:dLbls>
        <c:smooth val="0"/>
        <c:axId val="335742984"/>
        <c:axId val="335743376"/>
      </c:lineChart>
      <c:catAx>
        <c:axId val="335742984"/>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335743376"/>
        <c:crosses val="autoZero"/>
        <c:auto val="1"/>
        <c:lblAlgn val="ctr"/>
        <c:lblOffset val="100"/>
        <c:noMultiLvlLbl val="0"/>
      </c:catAx>
      <c:valAx>
        <c:axId val="335743376"/>
        <c:scaling>
          <c:orientation val="minMax"/>
          <c:max val="16000"/>
          <c:min val="0"/>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pl-PL" sz="900" b="0">
                    <a:latin typeface="Arial" panose="020B0604020202020204" pitchFamily="34" charset="0"/>
                    <a:cs typeface="Arial" panose="020B0604020202020204" pitchFamily="34" charset="0"/>
                  </a:rPr>
                  <a:t>w</a:t>
                </a:r>
                <a:r>
                  <a:rPr lang="pl-PL" sz="900" b="0" baseline="0">
                    <a:latin typeface="Arial" panose="020B0604020202020204" pitchFamily="34" charset="0"/>
                    <a:cs typeface="Arial" panose="020B0604020202020204" pitchFamily="34" charset="0"/>
                  </a:rPr>
                  <a:t> tonach </a:t>
                </a:r>
                <a:r>
                  <a:rPr lang="pl-PL" sz="900" b="0">
                    <a:latin typeface="Arial" panose="020B0604020202020204" pitchFamily="34" charset="0"/>
                    <a:cs typeface="Arial" panose="020B0604020202020204" pitchFamily="34" charset="0"/>
                  </a:rPr>
                  <a:t> s.cz.</a:t>
                </a:r>
              </a:p>
            </c:rich>
          </c:tx>
          <c:layout>
            <c:manualLayout>
              <c:xMode val="edge"/>
              <c:yMode val="edge"/>
              <c:x val="1.8154538341158058E-2"/>
              <c:y val="0.3641877777777777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title>
        <c:numFmt formatCode="#,##0"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335742984"/>
        <c:crosses val="autoZero"/>
        <c:crossBetween val="between"/>
      </c:valAx>
      <c:spPr>
        <a:solidFill>
          <a:schemeClr val="bg1"/>
        </a:solidFill>
        <a:ln>
          <a:noFill/>
        </a:ln>
        <a:effectLst/>
      </c:spPr>
    </c:plotArea>
    <c:legend>
      <c:legendPos val="r"/>
      <c:layout>
        <c:manualLayout>
          <c:xMode val="edge"/>
          <c:yMode val="edge"/>
          <c:x val="0.69470155388331944"/>
          <c:y val="1.9753259886890754E-2"/>
          <c:w val="0.29666385131469414"/>
          <c:h val="0.980246740113109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1000">
                <a:latin typeface="Arial" panose="020B0604020202020204" pitchFamily="34" charset="0"/>
                <a:cs typeface="Arial" panose="020B0604020202020204" pitchFamily="34" charset="0"/>
              </a:rPr>
              <a:t>liczba środków ochrony roślin dopuszczonych do stosowania w rolnictwie ekologicznym </a:t>
            </a:r>
            <a:endParaRPr lang="en-US" sz="10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1"/>
          <c:order val="1"/>
          <c:spPr>
            <a:solidFill>
              <a:schemeClr val="accent2"/>
            </a:solidFill>
            <a:ln>
              <a:noFill/>
            </a:ln>
            <a:effectLst/>
            <a:sp3d/>
          </c:spPr>
          <c:invertIfNegative val="0"/>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96</c:v>
                </c:pt>
                <c:pt idx="1">
                  <c:v>110</c:v>
                </c:pt>
                <c:pt idx="2">
                  <c:v>123</c:v>
                </c:pt>
                <c:pt idx="3">
                  <c:v>123</c:v>
                </c:pt>
              </c:numCache>
            </c:numRef>
          </c:val>
          <c:extLst>
            <c:ext xmlns:c16="http://schemas.microsoft.com/office/drawing/2014/chart" uri="{C3380CC4-5D6E-409C-BE32-E72D297353CC}">
              <c16:uniqueId val="{00000001-5461-43DE-9189-E33B650BA105}"/>
            </c:ext>
          </c:extLst>
        </c:ser>
        <c:dLbls>
          <c:showLegendKey val="0"/>
          <c:showVal val="0"/>
          <c:showCatName val="0"/>
          <c:showSerName val="0"/>
          <c:showPercent val="0"/>
          <c:showBubbleSize val="0"/>
        </c:dLbls>
        <c:gapWidth val="150"/>
        <c:shape val="box"/>
        <c:axId val="685609352"/>
        <c:axId val="685611320"/>
        <c:axId val="0"/>
        <c:extLst>
          <c:ext xmlns:c15="http://schemas.microsoft.com/office/drawing/2012/chart" uri="{02D57815-91ED-43cb-92C2-25804820EDAC}">
            <c15:filteredBarSeries>
              <c15:ser>
                <c:idx val="0"/>
                <c:order val="0"/>
                <c:spPr>
                  <a:solidFill>
                    <a:schemeClr val="accent1"/>
                  </a:solidFill>
                  <a:ln>
                    <a:noFill/>
                  </a:ln>
                  <a:effectLst/>
                  <a:sp3d/>
                </c:spPr>
                <c:invertIfNegative val="0"/>
                <c:cat>
                  <c:numRef>
                    <c:extLst>
                      <c:ext uri="{02D57815-91ED-43cb-92C2-25804820EDAC}">
                        <c15:formulaRef>
                          <c15:sqref>Arkusz1!$A$2:$A$5</c15:sqref>
                        </c15:formulaRef>
                      </c:ext>
                    </c:extLst>
                    <c:numCache>
                      <c:formatCode>General</c:formatCode>
                      <c:ptCount val="4"/>
                      <c:pt idx="0">
                        <c:v>2018</c:v>
                      </c:pt>
                      <c:pt idx="1">
                        <c:v>2019</c:v>
                      </c:pt>
                      <c:pt idx="2">
                        <c:v>2020</c:v>
                      </c:pt>
                      <c:pt idx="3">
                        <c:v>2021</c:v>
                      </c:pt>
                    </c:numCache>
                  </c:numRef>
                </c:cat>
                <c:val>
                  <c:numRef>
                    <c:extLst>
                      <c:ext uri="{02D57815-91ED-43cb-92C2-25804820EDAC}">
                        <c15:formulaRef>
                          <c15:sqref>Arkusz1!$A$2:$A$5</c15:sqref>
                        </c15:formulaRef>
                      </c:ext>
                    </c:extLst>
                    <c:numCache>
                      <c:formatCode>General</c:formatCode>
                      <c:ptCount val="4"/>
                      <c:pt idx="0">
                        <c:v>2018</c:v>
                      </c:pt>
                      <c:pt idx="1">
                        <c:v>2019</c:v>
                      </c:pt>
                      <c:pt idx="2">
                        <c:v>2020</c:v>
                      </c:pt>
                      <c:pt idx="3">
                        <c:v>2021</c:v>
                      </c:pt>
                    </c:numCache>
                  </c:numRef>
                </c:val>
                <c:extLst>
                  <c:ext xmlns:c16="http://schemas.microsoft.com/office/drawing/2014/chart" uri="{C3380CC4-5D6E-409C-BE32-E72D297353CC}">
                    <c16:uniqueId val="{00000000-B039-45CB-8C4F-DEF1B83FB2A2}"/>
                  </c:ext>
                </c:extLst>
              </c15:ser>
            </c15:filteredBarSeries>
          </c:ext>
        </c:extLst>
      </c:bar3DChart>
      <c:catAx>
        <c:axId val="685609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5611320"/>
        <c:crosses val="autoZero"/>
        <c:auto val="1"/>
        <c:lblAlgn val="ctr"/>
        <c:lblOffset val="100"/>
        <c:noMultiLvlLbl val="0"/>
      </c:catAx>
      <c:valAx>
        <c:axId val="685611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5609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31EA7-AE30-41D4-96F3-53BB0171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146</Pages>
  <Words>56546</Words>
  <Characters>339279</Characters>
  <Application>Microsoft Office Word</Application>
  <DocSecurity>0</DocSecurity>
  <Lines>2827</Lines>
  <Paragraphs>790</Paragraphs>
  <ScaleCrop>false</ScaleCrop>
  <HeadingPairs>
    <vt:vector size="2" baseType="variant">
      <vt:variant>
        <vt:lpstr>Tytuł</vt:lpstr>
      </vt:variant>
      <vt:variant>
        <vt:i4>1</vt:i4>
      </vt:variant>
    </vt:vector>
  </HeadingPairs>
  <TitlesOfParts>
    <vt:vector size="1" baseType="lpstr">
      <vt:lpstr>KRAJOWY PLAN DZIAŁANIA</vt:lpstr>
    </vt:vector>
  </TitlesOfParts>
  <Company>MRiRW</Company>
  <LinksUpToDate>false</LinksUpToDate>
  <CharactersWithSpaces>395035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KRAJOWY PLAN DZIAŁANIA</dc:title>
  <dc:creator>mmalec</dc:creator>
  <cp:lastModifiedBy>Malec Małgorzata</cp:lastModifiedBy>
  <cp:revision>17</cp:revision>
  <cp:lastPrinted>2023-05-04T11:00:00Z</cp:lastPrinted>
  <dcterms:created xsi:type="dcterms:W3CDTF">2023-05-04T10:47:00Z</dcterms:created>
  <dcterms:modified xsi:type="dcterms:W3CDTF">2023-05-04T11:27:00Z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MRiRW</vt:lpwstr>
  </property>
  <property fmtid="{D5CDD505-2E9C-101B-9397-08002B2CF9AE}" pid="4" name="ContentTypeId">
    <vt:lpwstr>0x010100C5F273A6547D24478A81E97FF08E55B7</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