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1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12 września 2022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ustanowienia planu ochrony dla rezerwatu przyrody „Łąki Ślesińskie”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19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(Dz. U. z 2022, poz. 916 i 1726)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Ustanawia się  plan ochrony dla rezerwatu przyrody „Łąki Ślesińskie” zwanego  dalej „rezerwatem”.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Plan ochrony rezerwatu uwzględnia zakres planu zadań ochronnych dla części obszaru Natura 2000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Dolina Środkowej Noteci i Kanału Bydgoskiego PLB300001, zwanego dalej obszarem Natura 2000, pokrywającego się z rezerwatem.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Celem  ochrony w rezerwacie jest zachowanie stanowiska reliktowej brzozy niskiej </w:t>
      </w:r>
      <w:r>
        <w:rPr>
          <w:rFonts w:ascii="Times New Roman" w:eastAsia="Times New Roman" w:hAnsi="Times New Roman" w:cs="Times New Roman"/>
          <w:b w:val="0"/>
          <w:i/>
          <w:caps w:val="0"/>
          <w:strike w:val="0"/>
          <w:color w:val="000000"/>
          <w:sz w:val="24"/>
          <w:u w:val="none" w:color="000000"/>
          <w:vertAlign w:val="baseline"/>
        </w:rPr>
        <w:t>Betula humilis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Przyrodniczymi  i społecznymi  uwarunkowaniami  realizacji  celu  ochrony,  o którym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mowa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 1, są: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rezerwatu na gruntach prywatnych należących do Fundacji Potulickiej;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ekosystemów nieleśnych w zachodniej części rezerwatu, o roślinności charakteryzującej się mozaikowatością drobnopowierzchniowych zbiorowisk roślinnych;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położenie wtórnego drzewostanu z dominacją brzozy omszonej </w:t>
      </w:r>
      <w:r>
        <w:rPr>
          <w:rFonts w:ascii="Times New Roman" w:eastAsia="Times New Roman" w:hAnsi="Times New Roman" w:cs="Times New Roman"/>
          <w:b w:val="0"/>
          <w:i/>
          <w:caps w:val="0"/>
          <w:strike w:val="0"/>
          <w:color w:val="000000"/>
          <w:sz w:val="24"/>
          <w:u w:val="none" w:color="000000"/>
          <w:vertAlign w:val="baseline"/>
        </w:rPr>
        <w:t xml:space="preserve">Betula pubescens 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we wschodniej części rezerwatu; 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rezerwatu na terenie obszaru Natura 2000 Dolina Noteci PLH300004;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rezerwatu na terenie obszaru Natura 2000 Dolina Środkowej Noteci i Kanału Bydgoskiego PLB300001.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Identyfikację oraz określenie sposobów eliminacji i ograniczania istniejących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potencjalnych zagrożeń wewnętrznych i zewnętrznych oraz ich skutków na obszarze rezerwatu przedstawia tabela stanowiąca załącznik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Ochronie ścisłej podlega cały obszar rezerwatu.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Określenie działań ochronnych na obszarze ochrony ścisłej, z podaniem ich rodzaju, zakresu i lokalizacji, przedstawia tabela stanowiąca załącznik nr 2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6.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Opis granic obszaru Natura 2000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Dolina Środkowej Noteci i Kanału Bydgoskiego PLB300001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części pokrywającej się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rezerwatem,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postaci współrzędnych punktów ich załamania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układzie współrzędnych płaskich prostokątnych PL-1992, stanowi załącznik nr 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7.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Mapa obszaru Natura 2000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Dolina Środkowej Noteci i Kanału Bydgoskiego PLB300001 wraz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leżącym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jego granicach rezerwatem przyrody „Łąki Ślesińskie”, stanowi załącznik nr 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8.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po upływie 14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 od dnia ogłoszenia.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Identyfikacja oraz określenie sposobów eliminacji lub ograniczania istniejących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potencjalnych zagrożeń wewnętrznych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zewnętrznych oraz ich skutków na obszarze rezerwatu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32"/>
        <w:gridCol w:w="4960"/>
        <w:gridCol w:w="449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Lp.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Identyfikacja zagrożeń istniejących i potencjalnych zagrożeń wewnętrznych i zewnętrznych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Sposób eliminacji lub ograniczania istniejących i potencjalnych zagrożeń wewnętrznych i zewnętrznych oraz ich skutków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7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Eutrofizacja (naturalna), wyschnięcie (obniżenie poziomu wód gruntowych), nagromadzenie materii organicznej (zagrożenie istniejące, wewnętrzne i zewnętrzne).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Brak możliwości eliminacji zagrożenia. Nie ma realnych sposobów zatrzymania procesu, w ramach zarządzania rezerwatem przyrody.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163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Zanik populacji brzozy niskiej </w:t>
            </w:r>
            <w:r>
              <w:rPr>
                <w:i/>
              </w:rPr>
              <w:t xml:space="preserve">Betula humilis </w:t>
            </w:r>
            <w:r>
              <w:t>w związku ze zmianami stosunków wodnych, przejawiającymi się obniżeniem poziomu wód gruntowych i ich konsekwencjami. Podłoże torfowe podlega sukcesywnemu murszeniu, zwiększa się dostępność azotu dla roślin, co przejawia się dominacją gatunków nitrofilnych na terenach niezadrzewionych rezerwatu, zachodzi zatem kierunkowa, systematyczna i nieodwracalna zmiana charakteru siedliska brzozy niskiej (zagrożenie istniejące, wewnętrzne).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Brak możliwości eliminacji zagrożenia. Nie ma realnych sposobów zatrzymania procesu, w ramach zarządzania rezerwatem przyrody. Wskazane monitorowanie stanu populacji brzozy niskiej </w:t>
            </w:r>
            <w:r>
              <w:rPr>
                <w:i/>
              </w:rPr>
              <w:t>Betula humilis.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Określenie działań ochronnych na obszarze ochrony ścisłej,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podaniem ich rodzaju, zakresu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lokalizacji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87"/>
        <w:gridCol w:w="1982"/>
        <w:gridCol w:w="4058"/>
        <w:gridCol w:w="335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Lp.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Rodzaj działań ochronnych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Zakres działań ochronnych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Lokalizacja działań</w:t>
            </w:r>
          </w:p>
          <w:p>
            <w:pPr>
              <w:jc w:val="left"/>
            </w:pPr>
            <w:r>
              <w:rPr>
                <w:b/>
              </w:rPr>
              <w:t xml:space="preserve">ochronnych 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64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Monitoring stanu populacji brzozy niskiej </w:t>
            </w:r>
            <w:r>
              <w:rPr>
                <w:i/>
              </w:rPr>
              <w:t>Betula humilis.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Monitoring stanu populacji brzozy niskiej </w:t>
            </w:r>
            <w:r>
              <w:rPr>
                <w:i/>
              </w:rPr>
              <w:t xml:space="preserve">Betula humilis </w:t>
            </w:r>
            <w:r>
              <w:t>nie rzadziej niż co 5 lat w trakcie obowiązywania planu ochrony.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Rezerwat przyrody Łąki Ślesińskie ze szczególnym uwzględnieniem stanowiska (kilka osobników brzozy  niskiej) w układzie PUWG 1992:</w:t>
            </w:r>
          </w:p>
          <w:p>
            <w:pPr>
              <w:jc w:val="left"/>
            </w:pPr>
            <w:r>
              <w:t>X 586177,01</w:t>
            </w:r>
          </w:p>
          <w:p>
            <w:pPr>
              <w:jc w:val="left"/>
            </w:pPr>
            <w:r>
              <w:t>Y 410911,97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Opis granic obszaru Natura 2000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Dolina Środkowej Noteci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Kanału Bydgoskiego PLB300001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części pokrywającej się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rezerwatem,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współrzędnych punktów ich załamania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 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928"/>
        <w:gridCol w:w="4077"/>
        <w:gridCol w:w="407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Nr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x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586489,67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412390,35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586240,16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412110,62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586115,41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410891,69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586347,46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410870,90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586355,58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410890,66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586466,07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411833,01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586475,82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411854,32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586547,56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411943,80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586825,32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412300,88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586803,05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412342,30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6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586489,67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412390,35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Mapa obszaru Natura 2000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Dolina Środkowej Noteci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Kanału Bydgoskiego PLB300001 wraz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leżącym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granicach rezerwatem przyrody Łąki Ślesińskie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4861" cy="771361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4861" cy="77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/>
        <w:keepLines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0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Plan ochrony dla rezerwatu przyrody „</w:t>
      </w:r>
      <w:r>
        <w:rPr>
          <w:color w:val="000000"/>
          <w:szCs w:val="20"/>
          <w:shd w:val="clear" w:color="auto" w:fill="FFFFFF"/>
        </w:rPr>
        <w:t>Łąki Ślesińskie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je</w:t>
      </w:r>
      <w:r>
        <w:rPr>
          <w:color w:val="000000"/>
          <w:szCs w:val="20"/>
          <w:shd w:val="clear" w:color="auto" w:fill="FFFFFF"/>
          <w:lang w:val="x-none" w:eastAsia="en-US" w:bidi="ar-SA"/>
        </w:rPr>
        <w:t>st dokumentem określającym spos</w:t>
      </w:r>
      <w:r>
        <w:rPr>
          <w:color w:val="000000"/>
          <w:szCs w:val="20"/>
          <w:shd w:val="clear" w:color="auto" w:fill="FFFFFF"/>
        </w:rPr>
        <w:t>ób ochrony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stanowisk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reliktowej brzozy niskiej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Betula humilis</w:t>
      </w:r>
      <w:r>
        <w:rPr>
          <w:color w:val="000000"/>
          <w:szCs w:val="20"/>
          <w:shd w:val="clear" w:color="auto" w:fill="FFFFFF"/>
        </w:rPr>
        <w:t xml:space="preserve"> stanowiących przedmiot ochrony w rezerwacie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Rezerwat przyrody został ustanowiony </w:t>
      </w:r>
      <w:r>
        <w:rPr>
          <w:color w:val="000000"/>
          <w:szCs w:val="20"/>
          <w:shd w:val="clear" w:color="auto" w:fill="FFFFFF"/>
        </w:rPr>
        <w:t>z</w:t>
      </w:r>
      <w:r>
        <w:rPr>
          <w:color w:val="000000"/>
          <w:szCs w:val="20"/>
          <w:shd w:val="clear" w:color="auto" w:fill="FFFFFF"/>
          <w:lang w:val="x-none" w:eastAsia="en-US" w:bidi="ar-SA"/>
        </w:rPr>
        <w:t>arządzenie</w:t>
      </w:r>
      <w:r>
        <w:rPr>
          <w:color w:val="000000"/>
          <w:szCs w:val="20"/>
          <w:shd w:val="clear" w:color="auto" w:fill="FFFFFF"/>
        </w:rPr>
        <w:t>m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Ministra Leśnictwa i Przemysłu Drzewnego z dnia 26 marca 1975 r. w sprawie uznania za rezerwaty przyrody (M. P. nr 11, poz. 64)</w:t>
      </w:r>
      <w:r>
        <w:rPr>
          <w:color w:val="000000"/>
          <w:szCs w:val="20"/>
          <w:shd w:val="clear" w:color="auto" w:fill="FFFFFF"/>
        </w:rPr>
        <w:t>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Aktualnie obowiązuje z</w:t>
      </w:r>
      <w:r>
        <w:rPr>
          <w:color w:val="000000"/>
          <w:szCs w:val="20"/>
          <w:shd w:val="clear" w:color="auto" w:fill="FFFFFF"/>
          <w:lang w:val="x-none" w:eastAsia="en-US" w:bidi="ar-SA"/>
        </w:rPr>
        <w:t>arządzenie Regionalnego Dyrektora Ochrony Środowiska w Bydgoszczy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 z dnia 20 czerwca 2016 r. w sprawie rezerwatu przyrody Łąki Ślesińskie (Dz. Urz. Woj. Kuj-Pom. poz. 2116)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Dla właściwego funkcjonowania rezerwatu i jego ochrony plan ochrony zgodnie z art. 20 ustawy z dnia 16 kwietnia 2004 roku o 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2022, poz. 916</w:t>
      </w:r>
      <w:r>
        <w:rPr>
          <w:color w:val="000000"/>
          <w:szCs w:val="20"/>
          <w:shd w:val="clear" w:color="auto" w:fill="FFFFFF"/>
        </w:rPr>
        <w:t xml:space="preserve">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sporządza się na okres 20 lat. Zgodnie z art. 19 ust. 6 ustawy o ochronie przyrody Regionalny Dyrektor Ochrony Środowiska ustanawia w drodze zarządzenia plan ochrony dla rezerwatu przyrody, sporządzony na podstawie w art. 20 ww. ustawy.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ar-SA" w:eastAsia="ar-SA" w:bidi="ar-SA"/>
        </w:rPr>
        <w:t>P</w:t>
      </w:r>
      <w:r>
        <w:rPr>
          <w:color w:val="000000"/>
          <w:szCs w:val="20"/>
          <w:shd w:val="clear" w:color="auto" w:fill="FFFFFF"/>
        </w:rPr>
        <w:t>rojekt planu ochrony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dla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Łąki Ślesińskie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został zaopiniowan</w:t>
      </w:r>
      <w:r>
        <w:rPr>
          <w:color w:val="000000"/>
          <w:szCs w:val="20"/>
          <w:shd w:val="clear" w:color="auto" w:fill="FFFFFF"/>
        </w:rPr>
        <w:t>y pozytywnie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przez </w:t>
      </w:r>
      <w:r>
        <w:rPr>
          <w:color w:val="000000"/>
          <w:szCs w:val="20"/>
          <w:shd w:val="clear" w:color="auto" w:fill="FFFFFF"/>
        </w:rPr>
        <w:t>właściciela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terenu </w:t>
      </w:r>
      <w:r>
        <w:rPr>
          <w:color w:val="000000"/>
          <w:szCs w:val="20"/>
          <w:shd w:val="clear" w:color="auto" w:fill="FFFFFF"/>
        </w:rPr>
        <w:t>rezerwatu Fundację Potulicką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pismem z dnia 8 lutego </w:t>
      </w:r>
      <w:r>
        <w:rPr>
          <w:color w:val="000000"/>
          <w:szCs w:val="20"/>
          <w:shd w:val="clear" w:color="auto" w:fill="FFFFFF"/>
          <w:lang w:val="ar-SA" w:eastAsia="ar-SA" w:bidi="ar-SA"/>
        </w:rPr>
        <w:t>202</w:t>
      </w:r>
      <w:r>
        <w:rPr>
          <w:color w:val="000000"/>
          <w:szCs w:val="20"/>
          <w:shd w:val="clear" w:color="auto" w:fill="FFFFFF"/>
        </w:rPr>
        <w:t>2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r.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Projekt zarządzenia w sprawie ustanowienia planu ochrony dla rezerwatu przyrody „</w:t>
      </w:r>
      <w:r>
        <w:rPr>
          <w:color w:val="000000"/>
          <w:szCs w:val="20"/>
          <w:shd w:val="clear" w:color="auto" w:fill="FFFFFF"/>
        </w:rPr>
        <w:t>Łąki Ślesińskie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został zaopiniowany </w:t>
      </w:r>
      <w:r>
        <w:rPr>
          <w:color w:val="000000"/>
          <w:szCs w:val="20"/>
          <w:shd w:val="clear" w:color="auto" w:fill="FFFFFF"/>
        </w:rPr>
        <w:t xml:space="preserve">pozytywnie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przez Radę </w:t>
      </w:r>
      <w:r>
        <w:rPr>
          <w:color w:val="000000"/>
          <w:szCs w:val="20"/>
          <w:shd w:val="clear" w:color="auto" w:fill="FFFFFF"/>
        </w:rPr>
        <w:t>Miejską w Nakle nad Notecią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uchwałą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nr XLVIII/1008/2022 z dnia 24 marca 2022 r.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 </w:t>
      </w:r>
      <w:r>
        <w:rPr>
          <w:color w:val="000000"/>
          <w:szCs w:val="20"/>
          <w:shd w:val="clear" w:color="auto" w:fill="FFFFFF"/>
        </w:rPr>
        <w:t xml:space="preserve">pozytywnie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przez Regionalną Radę Ochrony Przyrody w Bydgoszczy uchwałą </w:t>
      </w:r>
      <w:r>
        <w:rPr>
          <w:color w:val="000000"/>
          <w:szCs w:val="20"/>
          <w:shd w:val="clear" w:color="auto" w:fill="FFFFFF"/>
        </w:rPr>
        <w:t>n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 </w:t>
      </w:r>
      <w:r>
        <w:rPr>
          <w:color w:val="000000"/>
          <w:szCs w:val="20"/>
          <w:shd w:val="clear" w:color="auto" w:fill="FFFFFF"/>
        </w:rPr>
        <w:t>5/2022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z dnia </w:t>
      </w:r>
      <w:r>
        <w:rPr>
          <w:color w:val="000000"/>
          <w:szCs w:val="20"/>
          <w:shd w:val="clear" w:color="auto" w:fill="FFFFFF"/>
        </w:rPr>
        <w:t>10 sierpnia 2022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 podstawie art. 59 ust. 2 ustawy z dnia 23 stycznia 2009 r. o wojewodzie i administracji rządowej w województwie (Dz. U. z 20</w:t>
      </w:r>
      <w:r>
        <w:rPr>
          <w:color w:val="000000"/>
          <w:szCs w:val="20"/>
          <w:shd w:val="clear" w:color="auto" w:fill="FFFFFF"/>
        </w:rPr>
        <w:t>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135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 projekt zarządzenia został uzgodniony przez Wojewodę Kujawsko-Pomorskiego pismem znak: </w:t>
      </w:r>
      <w:r>
        <w:rPr>
          <w:color w:val="000000"/>
          <w:szCs w:val="20"/>
          <w:shd w:val="clear" w:color="auto" w:fill="FFFFFF"/>
        </w:rPr>
        <w:t>WIR.IX.710.46.2022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, z dnia </w:t>
      </w:r>
      <w:r>
        <w:rPr>
          <w:color w:val="000000"/>
          <w:szCs w:val="20"/>
          <w:shd w:val="clear" w:color="auto" w:fill="FFFFFF"/>
        </w:rPr>
        <w:t xml:space="preserve">8 września 2022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Obwieszczeniem z dnia 28 stycznia 2021 r., znak WOP.6202.3.2021.KLD, Regionalny Dyrektor Ochrony Środowiska w Bydgoszczy zawiadomił o przystąpieniu do sporządzenia projektu planu ochrony dla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Łąki Ślesińskie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Obwieszczeniem z dnia </w:t>
      </w:r>
      <w:r>
        <w:rPr>
          <w:color w:val="000000"/>
          <w:szCs w:val="20"/>
          <w:shd w:val="clear" w:color="auto" w:fill="FFFFFF"/>
        </w:rPr>
        <w:t>1 lutego 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znak </w:t>
      </w:r>
      <w:r>
        <w:rPr>
          <w:color w:val="000000"/>
          <w:szCs w:val="20"/>
          <w:shd w:val="clear" w:color="auto" w:fill="FFFFFF"/>
        </w:rPr>
        <w:t>WOP.6202.6-8.2022.KLD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Regionalny Dyrektor Ochrony Środowiska w Bydgoszczy zawiadomił o możliwości udziału społeczeństwa w postępowaniu poprzez zapoznanie się z projektem planu ochrony i </w:t>
      </w:r>
      <w:r>
        <w:rPr>
          <w:color w:val="000000"/>
          <w:szCs w:val="20"/>
          <w:shd w:val="clear" w:color="auto" w:fill="FFFFFF"/>
        </w:rPr>
        <w:t xml:space="preserve">o </w:t>
      </w:r>
      <w:r>
        <w:rPr>
          <w:color w:val="000000"/>
          <w:szCs w:val="20"/>
          <w:shd w:val="clear" w:color="auto" w:fill="FFFFFF"/>
          <w:lang w:val="x-none" w:eastAsia="en-US" w:bidi="ar-SA"/>
        </w:rPr>
        <w:t>możliwoś</w:t>
      </w:r>
      <w:r>
        <w:rPr>
          <w:color w:val="000000"/>
          <w:szCs w:val="20"/>
          <w:shd w:val="clear" w:color="auto" w:fill="FFFFFF"/>
        </w:rPr>
        <w:t>ci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składania uwag i wniosków. Informacja została podana do publicznej wiadomości zgodnie z</w:t>
      </w:r>
      <w:r>
        <w:rPr>
          <w:color w:val="000000"/>
          <w:szCs w:val="20"/>
          <w:shd w:val="clear" w:color="auto" w:fill="FFFFFF"/>
        </w:rPr>
        <w:t xml:space="preserve"> art. 19 ust. 1a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ustawy z dnia 16 kwietnia 2004 roku o 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2022, poz. 916</w:t>
      </w:r>
      <w:r>
        <w:rPr>
          <w:color w:val="000000"/>
          <w:szCs w:val="20"/>
          <w:shd w:val="clear" w:color="auto" w:fill="FFFFFF"/>
        </w:rPr>
        <w:t xml:space="preserve">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art. 3 ust. 1 pkt 11, art. 39 ustawy z dnia 3 października 2008 roku o udostępnieniu informacji o środowisku i jego ochronie, udziale społeczeństwa w ochronie środowiska oraz o ocenach oddziaływania na środowisko (Dz. U. z 202</w:t>
      </w:r>
      <w:r>
        <w:rPr>
          <w:color w:val="000000"/>
          <w:szCs w:val="20"/>
          <w:shd w:val="clear" w:color="auto" w:fill="FFFFFF"/>
        </w:rPr>
        <w:t>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r., poz. </w:t>
      </w:r>
      <w:r>
        <w:rPr>
          <w:color w:val="000000"/>
          <w:szCs w:val="20"/>
          <w:shd w:val="clear" w:color="auto" w:fill="FFFFFF"/>
        </w:rPr>
        <w:t>1029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ze zm.) i rozporządzeniem Ministra Środowiska z dnia 12 maja 2005 r. w sprawie sporządzenia projektu planu ochrony dla parku narodowego, rezerwatu przyrody i parku krajobrazowego, dokonania zmian w tym planie oraz ochrony zasobów, tworów i składników przyrody (Dz. U. Nr 94, poz. 794)</w:t>
      </w:r>
      <w:r>
        <w:rPr>
          <w:color w:val="000000"/>
          <w:szCs w:val="20"/>
          <w:shd w:val="clear" w:color="auto" w:fill="FFFFFF"/>
        </w:rPr>
        <w:t xml:space="preserve"> oraz art. 49 ustawy z dnia 14 czerwca 1960 r. Kodeks postępowania administracyjnego (Dz. U. z 2021 r., poz. 735, ze zm.)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  <w:r>
        <w:rPr>
          <w:color w:val="000000"/>
          <w:szCs w:val="20"/>
          <w:shd w:val="clear" w:color="auto" w:fill="FFFFFF"/>
        </w:rPr>
        <w:t xml:space="preserve"> Projekt zarządzenia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był podan</w:t>
      </w:r>
      <w:r>
        <w:rPr>
          <w:color w:val="000000"/>
          <w:szCs w:val="20"/>
          <w:shd w:val="clear" w:color="auto" w:fill="FFFFFF"/>
        </w:rPr>
        <w:t>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 publicznej wiadomości również poprzez ogłoszenie w prasie o odpowiednim do rodzaju dokumentu zasięgu</w:t>
      </w:r>
      <w:r>
        <w:rPr>
          <w:color w:val="000000"/>
          <w:szCs w:val="20"/>
          <w:shd w:val="clear" w:color="auto" w:fill="FFFFFF"/>
        </w:rPr>
        <w:t>. Projekt planu ochrony zamieszczono również w publicznie dostępnym wykazie danych na Ekoportalu (nr karty: 42/2022). W trakcie przeprowadzonych konsultacji społecznych nie wpłynęły do tut. Urzędu uwagi do przedmiotowego projektu planu ochrony.</w:t>
      </w:r>
    </w:p>
    <w:p>
      <w:pPr>
        <w:keepNext w:val="0"/>
        <w:keepLines w:val="0"/>
        <w:widowControl/>
        <w:suppressLineNumbers/>
        <w:shd w:val="clear" w:color="auto" w:fill="auto"/>
        <w:suppressAutoHyphens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</w:rPr>
        <w:t>Na terenie rezerwatu stwierdzono zagrożenia polegające na: e</w:t>
      </w:r>
      <w:r>
        <w:rPr>
          <w:color w:val="000000"/>
          <w:szCs w:val="20"/>
          <w:shd w:val="clear" w:color="auto" w:fill="FFFFFF"/>
        </w:rPr>
        <w:t>utrofizacji (naturalnej), wyschnięciu (</w:t>
      </w:r>
      <w:r>
        <w:rPr>
          <w:color w:val="000000"/>
          <w:szCs w:val="20"/>
          <w:shd w:val="clear" w:color="auto" w:fill="FFFFFF"/>
          <w:lang w:val="en-US" w:eastAsia="en-US" w:bidi="en-US"/>
        </w:rPr>
        <w:t>obniżeni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poziomu wód gruntowych</w:t>
      </w:r>
      <w:r>
        <w:rPr>
          <w:color w:val="000000"/>
          <w:szCs w:val="20"/>
          <w:shd w:val="clear" w:color="auto" w:fill="FFFFFF"/>
        </w:rPr>
        <w:t>), nagromadzeniu materii organicznej i z</w:t>
      </w:r>
      <w:r>
        <w:rPr>
          <w:color w:val="000000"/>
          <w:szCs w:val="20"/>
          <w:shd w:val="clear" w:color="auto" w:fill="FFFFFF"/>
          <w:lang w:val="en-US" w:eastAsia="en-US" w:bidi="en-US"/>
        </w:rPr>
        <w:t>anik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populacji brzozy niskiej </w:t>
      </w:r>
      <w:r>
        <w:rPr>
          <w:i/>
          <w:color w:val="000000"/>
          <w:szCs w:val="20"/>
          <w:shd w:val="clear" w:color="auto" w:fill="FFFFFF"/>
          <w:lang w:val="en-US" w:eastAsia="en-US" w:bidi="en-US"/>
        </w:rPr>
        <w:t>Betula humilis</w:t>
      </w:r>
      <w:r>
        <w:rPr>
          <w:i/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w związku </w:t>
      </w:r>
      <w:r>
        <w:rPr>
          <w:color w:val="000000"/>
          <w:szCs w:val="20"/>
          <w:shd w:val="clear" w:color="auto" w:fill="FFFFFF"/>
          <w:lang w:val="en-US" w:eastAsia="en-US" w:bidi="en-US"/>
        </w:rPr>
        <w:t>ze zmianami stosunków wodnych, przejawiającymi się obniżeniem poziomu wód gruntowych i ich konsekwencjami (podłoże torfowe podlega sukcesywnemu murszeniu, zwiększa się dostępność azotu dla roślin, co przejawia się dominacją gatunków nitrofilnych na terenach niezadrzewionych rezerwatu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zachodzi zatem kierunkowa, systematyczna i nieodwracalna zmiana charakteru siedliska brzozy niskiej)</w:t>
      </w:r>
      <w:r>
        <w:rPr>
          <w:color w:val="000000"/>
          <w:szCs w:val="20"/>
          <w:shd w:val="clear" w:color="auto" w:fill="FFFFFF"/>
        </w:rPr>
        <w:t>. W odniesieniu do powyższych zagrożeń brak jest możliwości ich eliminacji, nie ma realnych sposobów zatrzymania procesu, w ramach zarządzania rezerwatem przyrody. W związku z powyższym n</w:t>
      </w:r>
      <w:r>
        <w:rPr>
          <w:color w:val="000000"/>
          <w:szCs w:val="20"/>
          <w:shd w:val="clear" w:color="auto" w:fill="FFFFFF"/>
        </w:rPr>
        <w:t>a terenie całego rezerwatu przyrody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„</w:t>
      </w:r>
      <w:r>
        <w:rPr>
          <w:color w:val="000000"/>
          <w:szCs w:val="20"/>
          <w:shd w:val="clear" w:color="auto" w:fill="FFFFFF"/>
        </w:rPr>
        <w:t>Łąki Ślesińskie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 wyznaczono obszar ochrony ścisłej</w:t>
      </w:r>
      <w:r>
        <w:rPr>
          <w:color w:val="000000"/>
          <w:szCs w:val="20"/>
          <w:shd w:val="clear" w:color="auto" w:fill="FFFFFF"/>
        </w:rPr>
        <w:t xml:space="preserve"> na okres 20 lat.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Ochronę ścisłą zaplanowano, gdyż nie przewiduje się potrzeby działań ochronnych z zakresu ochrony czynnej i umożliwia się zachodzenie naturalnych procesów w siedliskach</w:t>
      </w:r>
      <w:r>
        <w:rPr>
          <w:color w:val="000000"/>
          <w:szCs w:val="20"/>
          <w:shd w:val="clear" w:color="auto" w:fill="FFFFFF"/>
        </w:rPr>
        <w:t xml:space="preserve"> przyrodniczych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rezerwatu</w:t>
      </w:r>
      <w:r>
        <w:rPr>
          <w:color w:val="000000"/>
          <w:szCs w:val="20"/>
          <w:shd w:val="clear" w:color="auto" w:fill="FFFFFF"/>
        </w:rPr>
        <w:t>. Jednocześnie zaplanowano m</w:t>
      </w:r>
      <w:r>
        <w:rPr>
          <w:color w:val="000000"/>
          <w:szCs w:val="20"/>
          <w:shd w:val="clear" w:color="auto" w:fill="FFFFFF"/>
        </w:rPr>
        <w:t xml:space="preserve">onitoring stanu populacji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brzozy niskiej </w:t>
      </w:r>
      <w:r>
        <w:rPr>
          <w:i/>
          <w:color w:val="000000"/>
          <w:szCs w:val="20"/>
          <w:shd w:val="clear" w:color="auto" w:fill="FFFFFF"/>
          <w:lang w:val="en-US" w:eastAsia="en-US" w:bidi="en-US"/>
        </w:rPr>
        <w:t>Betula humilis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nie rzadziej niż co 5 lat w trakcie obowiązywania planu ochrony. Ze względu na uwarunkowanie przyrodnicze rezerwatu nie wskazano miejsc, w których może być prowadzona działalność wytwórcza, handlowa i rolnicza, jak również nie wskazano obszarów udostępnianych do celów naukowych, edukacyjnych, rekreacyjnych, sportowych, amatorskiego połowu ryb i rybactwa. Udostępnianie rezerwatu w celu badań naukowych należy rozpatrywać na podstawie art. 15 ust. 1 pkt. 24 ustawy o ochronie przyrody. Uzyskanie indywidualnej zgody na prowadzenie ww. czynności gwarantuje nadzór nad ich rodzajem i metodyką, mając na uwadze dbałość o zachowanie celu ochrony rezerwatu przyrody we właściwym stanie. 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dostępnienie rezerwatu przyrody dla celów edukacyjnych i turystycznych może nastąpić jedynie w formie odrębnego zarządzenia na podstawie ar. 15 ust. 1 pkt </w:t>
      </w:r>
      <w:r>
        <w:rPr>
          <w:color w:val="000000"/>
          <w:szCs w:val="20"/>
          <w:shd w:val="clear" w:color="auto" w:fill="FFFFFF"/>
        </w:rPr>
        <w:t>1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ustawy z dnia 16 kwietnia 2004 r. o ochronie przyrody, a nie zarządzeniem w sprawie ustanowienia planu ochrony rezerwatu.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Nie wprowadzono dodatkowych ustaleń do studiów uwarunkowań i kierunków zagospodarowania przestrzennego gminy Nakło nad Notecią, planów zagospodarowania przestrzennego województwa kujawsko-pomorskiego dotyczących eliminacji lub ograniczenia zagrożeń wewnętrznych i zewnętrznych. Brak ustaleń wynika z braku zagrożeń, którym można by przeciwdziałać poprzez ww. ustalenia.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Zgodnie z art. 20 ust. 6 ustawy o ochronie przyrody niniejszy plan ochrony dla rezerwatu nie zawiera zakresu planu zadań ochronnych obszaru Natura 2000 </w:t>
      </w:r>
      <w:r>
        <w:rPr>
          <w:color w:val="000000"/>
          <w:szCs w:val="20"/>
          <w:shd w:val="clear" w:color="auto" w:fill="FFFFFF"/>
        </w:rPr>
        <w:t>Dolina Noteci PLH300004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ponieważ dla tego obszaru Natura 2000 ustanowiono plan zadań ochronnych zarządzeniem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Regionalnego Dyrektora Ochrony Środowiska w Bydgoszczy i Regionalnego Dyrektora Ochrony Środowiska w Poznaniu z dnia 28 kwietnia 2014 r. w sprawie ustanowienia planu zadań ochronnych dla obszaru Natura 2000 Dolina Noteci PLH300004 (Dz. Urz. Woj. Kuj-Pom. poz. 1477, z późn. zm.)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którego zakres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obejmuj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obszar rezerwatu przyrody „</w:t>
      </w:r>
      <w:r>
        <w:rPr>
          <w:color w:val="000000"/>
          <w:szCs w:val="20"/>
          <w:shd w:val="clear" w:color="auto" w:fill="FFFFFF"/>
        </w:rPr>
        <w:t xml:space="preserve">Łąki </w:t>
      </w:r>
      <w:r>
        <w:rPr>
          <w:color w:val="000000"/>
          <w:szCs w:val="20"/>
          <w:shd w:val="clear" w:color="auto" w:fill="FFFFFF"/>
        </w:rPr>
        <w:t>Ślesińskie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R</w:t>
      </w:r>
      <w:r>
        <w:rPr>
          <w:color w:val="000000"/>
          <w:szCs w:val="20"/>
          <w:shd w:val="clear" w:color="auto" w:fill="FFFFFF"/>
          <w:lang w:val="x-none" w:eastAsia="en-US" w:bidi="ar-SA"/>
        </w:rPr>
        <w:t>ezerwat przyrody ,,</w:t>
      </w:r>
      <w:r>
        <w:rPr>
          <w:color w:val="000000"/>
          <w:szCs w:val="20"/>
          <w:shd w:val="clear" w:color="auto" w:fill="FFFFFF"/>
        </w:rPr>
        <w:t>Łąki Ślesińskie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położony jest na terenie </w:t>
      </w:r>
      <w:r>
        <w:rPr>
          <w:color w:val="000000"/>
          <w:szCs w:val="20"/>
          <w:shd w:val="clear" w:color="auto" w:fill="FFFFFF"/>
        </w:rPr>
        <w:t>obszaru Natura 2000 Dolina Środkowej Noteci i Kanału Bydgoskiego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PL</w:t>
      </w:r>
      <w:r>
        <w:rPr>
          <w:color w:val="000000"/>
          <w:szCs w:val="20"/>
          <w:shd w:val="clear" w:color="auto" w:fill="FFFFFF"/>
        </w:rPr>
        <w:t>B300001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dla kt</w:t>
      </w:r>
      <w:r>
        <w:rPr>
          <w:color w:val="000000"/>
          <w:szCs w:val="20"/>
          <w:shd w:val="clear" w:color="auto" w:fill="FFFFFF"/>
        </w:rPr>
        <w:t>óre</w:t>
      </w:r>
      <w:r>
        <w:rPr>
          <w:color w:val="000000"/>
          <w:szCs w:val="20"/>
          <w:shd w:val="clear" w:color="auto" w:fill="FFFFFF"/>
          <w:lang w:val="x-none" w:eastAsia="en-US" w:bidi="ar-SA"/>
        </w:rPr>
        <w:t>go ni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zosta</w:t>
      </w:r>
      <w:r>
        <w:rPr>
          <w:color w:val="000000"/>
          <w:szCs w:val="20"/>
          <w:shd w:val="clear" w:color="auto" w:fill="FFFFFF"/>
        </w:rPr>
        <w:t>ł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ustanowiony plan zad</w:t>
      </w:r>
      <w:r>
        <w:rPr>
          <w:color w:val="000000"/>
          <w:szCs w:val="20"/>
          <w:shd w:val="clear" w:color="auto" w:fill="FFFFFF"/>
        </w:rPr>
        <w:t>ań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ochronnych, </w:t>
      </w:r>
      <w:r>
        <w:rPr>
          <w:color w:val="000000"/>
          <w:szCs w:val="20"/>
          <w:shd w:val="clear" w:color="auto" w:fill="FFFFFF"/>
        </w:rPr>
        <w:t xml:space="preserve">o którym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mowa </w:t>
      </w:r>
      <w:r>
        <w:rPr>
          <w:color w:val="000000"/>
          <w:szCs w:val="20"/>
          <w:shd w:val="clear" w:color="auto" w:fill="FFFFFF"/>
        </w:rPr>
        <w:t>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art. 28 ustawy </w:t>
      </w:r>
      <w:r>
        <w:rPr>
          <w:color w:val="000000"/>
          <w:szCs w:val="20"/>
          <w:shd w:val="clear" w:color="auto" w:fill="FFFFFF"/>
        </w:rPr>
        <w:t>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ochronie przyrody oraz plan ochrony </w:t>
      </w:r>
      <w:r>
        <w:rPr>
          <w:color w:val="000000"/>
          <w:szCs w:val="20"/>
          <w:shd w:val="clear" w:color="auto" w:fill="FFFFFF"/>
        </w:rPr>
        <w:t>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kt</w:t>
      </w:r>
      <w:r>
        <w:rPr>
          <w:color w:val="000000"/>
          <w:szCs w:val="20"/>
          <w:shd w:val="clear" w:color="auto" w:fill="FFFFFF"/>
        </w:rPr>
        <w:t>ó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rym mowa </w:t>
      </w:r>
      <w:r>
        <w:rPr>
          <w:color w:val="000000"/>
          <w:szCs w:val="20"/>
          <w:shd w:val="clear" w:color="auto" w:fill="FFFFFF"/>
        </w:rPr>
        <w:t>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art. 29 </w:t>
      </w:r>
      <w:r>
        <w:rPr>
          <w:color w:val="000000"/>
          <w:szCs w:val="20"/>
          <w:shd w:val="clear" w:color="auto" w:fill="FFFFFF"/>
        </w:rPr>
        <w:t xml:space="preserve">ww.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ustawy. Zgodnie z art. 20 ust. 5 ustawy </w:t>
      </w:r>
      <w:r>
        <w:rPr>
          <w:color w:val="000000"/>
          <w:szCs w:val="20"/>
          <w:shd w:val="clear" w:color="auto" w:fill="FFFFFF"/>
        </w:rPr>
        <w:t>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ochronie przyrody plan ochrony dla rezerwatu przyrody</w:t>
      </w:r>
      <w:r>
        <w:rPr>
          <w:color w:val="000000"/>
          <w:szCs w:val="20"/>
          <w:shd w:val="clear" w:color="auto" w:fill="FFFFFF"/>
        </w:rPr>
        <w:t xml:space="preserve"> w części pokrywającej się z obszarem Natura 2000 powinien uwzględniać zakres planu zadań ochronnych dla obszaru Natura 2000, o którym mowa w art. 28, bądź zakres planu ochrony dla obszaru Natura 2000, o którym mowa w art. 29.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W niniejszym zarz</w:t>
      </w:r>
      <w:r>
        <w:rPr>
          <w:color w:val="000000"/>
          <w:szCs w:val="20"/>
          <w:shd w:val="clear" w:color="auto" w:fill="FFFFFF"/>
        </w:rPr>
        <w:t>ą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dzeniu uwzg</w:t>
      </w:r>
      <w:r>
        <w:rPr>
          <w:color w:val="000000"/>
          <w:szCs w:val="20"/>
          <w:shd w:val="clear" w:color="auto" w:fill="FFFFFF"/>
        </w:rPr>
        <w:t>lędniono 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planie ochrony dla</w:t>
      </w:r>
      <w:r>
        <w:rPr>
          <w:color w:val="000000"/>
          <w:szCs w:val="20"/>
          <w:shd w:val="clear" w:color="auto" w:fill="FFFFFF"/>
        </w:rPr>
        <w:t xml:space="preserve"> ww.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rezerwatu przyrody zakres planu zad</w:t>
      </w:r>
      <w:r>
        <w:rPr>
          <w:color w:val="000000"/>
          <w:szCs w:val="20"/>
          <w:shd w:val="clear" w:color="auto" w:fill="FFFFFF"/>
        </w:rPr>
        <w:t>ań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ochronnych dla obszaru Natura 2000 </w:t>
      </w:r>
      <w:r>
        <w:rPr>
          <w:color w:val="000000"/>
          <w:szCs w:val="20"/>
          <w:shd w:val="clear" w:color="auto" w:fill="FFFFFF"/>
        </w:rPr>
        <w:t>Dolina Środkowej Noteci i Kanału Bydgoskiego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PL</w:t>
      </w:r>
      <w:r>
        <w:rPr>
          <w:color w:val="000000"/>
          <w:szCs w:val="20"/>
          <w:shd w:val="clear" w:color="auto" w:fill="FFFFFF"/>
        </w:rPr>
        <w:t xml:space="preserve">B300001, w części pokrywającej się z rezerwatem (tj. na powierzchni 43,62 ha), w postaci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współrzędnych punktów ich załamania</w:t>
      </w:r>
      <w:r>
        <w:rPr>
          <w:color w:val="000000"/>
          <w:szCs w:val="20"/>
          <w:u w:color="000000"/>
          <w:shd w:val="clear" w:color="auto" w:fill="FFFFFF"/>
        </w:rPr>
        <w:t xml:space="preserve"> oraz załączając mapę obszaru Natura 2000 oraz znajdującego się na jego terenie rezerwatu.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Nie </w:t>
      </w:r>
      <w:r>
        <w:rPr>
          <w:color w:val="000000"/>
          <w:szCs w:val="20"/>
          <w:shd w:val="clear" w:color="auto" w:fill="FFFFFF"/>
        </w:rPr>
        <w:t>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skazano </w:t>
      </w:r>
      <w:r>
        <w:rPr>
          <w:color w:val="000000"/>
          <w:szCs w:val="20"/>
          <w:shd w:val="clear" w:color="auto" w:fill="FFFFFF"/>
        </w:rPr>
        <w:t xml:space="preserve">zagrożeń celów działań ochronnych, działań ochronnych oraz ustaleń do dokumentów planistycznych z uwagi na brak przedmiotów ochrony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obszaru Natura 2000 </w:t>
      </w:r>
      <w:r>
        <w:rPr>
          <w:color w:val="000000"/>
          <w:szCs w:val="20"/>
          <w:shd w:val="clear" w:color="auto" w:fill="FFFFFF"/>
        </w:rPr>
        <w:t>Dolina Środkowej Noteci i Kanału Bydgoskiego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PL</w:t>
      </w:r>
      <w:r>
        <w:rPr>
          <w:color w:val="000000"/>
          <w:szCs w:val="20"/>
          <w:shd w:val="clear" w:color="auto" w:fill="FFFFFF"/>
        </w:rPr>
        <w:t>B300001 na obszarze rezerwatu pokrywającym się z ww. obszarem Natura 2000. R</w:t>
      </w:r>
      <w:r>
        <w:rPr>
          <w:color w:val="000000"/>
          <w:szCs w:val="20"/>
          <w:shd w:val="clear" w:color="auto" w:fill="FFFFFF"/>
        </w:rPr>
        <w:t xml:space="preserve">ezerwat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,,</w:t>
      </w:r>
      <w:r>
        <w:rPr>
          <w:color w:val="000000"/>
          <w:szCs w:val="20"/>
          <w:shd w:val="clear" w:color="auto" w:fill="FFFFFF"/>
        </w:rPr>
        <w:t>Łąki Ślesińskie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stanowi 0,13% powierzchni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obszaru Natura 2000 </w:t>
      </w:r>
      <w:r>
        <w:rPr>
          <w:color w:val="000000"/>
          <w:szCs w:val="20"/>
          <w:shd w:val="clear" w:color="auto" w:fill="FFFFFF"/>
        </w:rPr>
        <w:t>Dolina Środkowej Noteci i Kanału Bydgoskiego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PL</w:t>
      </w:r>
      <w:r>
        <w:rPr>
          <w:color w:val="000000"/>
          <w:szCs w:val="20"/>
          <w:shd w:val="clear" w:color="auto" w:fill="FFFFFF"/>
        </w:rPr>
        <w:t>B300001.</w:t>
      </w:r>
    </w:p>
    <w:tbl>
      <w:tblPr>
        <w:tblStyle w:val="TableSimple1"/>
        <w:tblW w:w="8640" w:type="dxa"/>
        <w:tblInd w:w="93" w:type="dxa"/>
        <w:tblBorders>
          <w:top w:val="nil"/>
          <w:left w:val="nil"/>
          <w:bottom w:val="nil"/>
          <w:right w:val="nil"/>
        </w:tblBorders>
        <w:tblLook w:val="04A0"/>
      </w:tblPr>
      <w:tblGrid>
        <w:gridCol w:w="5081"/>
        <w:gridCol w:w="3559"/>
      </w:tblGrid>
      <w:tr>
        <w:tblPrEx>
          <w:tblW w:w="8640" w:type="dxa"/>
          <w:tblInd w:w="93" w:type="dxa"/>
          <w:tblBorders>
            <w:top w:val="nil"/>
            <w:left w:val="nil"/>
            <w:bottom w:val="nil"/>
            <w:right w:val="nil"/>
          </w:tblBorders>
          <w:tblLook w:val="04A0"/>
        </w:tblPrEx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12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SIGNATURE_0_1_FUNCTION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szCs w:val="20"/>
                <w:u w:color="000000"/>
              </w:rPr>
              <w:t xml:space="preserve">Regionalny Dyrektor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 xml:space="preserve">Ochrony Środowiska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>w Bydgoszczy</w:t>
            </w:r>
            <w:r>
              <w:rPr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SIGNATURE_0_1_FIRSTNAME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b/>
                <w:szCs w:val="20"/>
                <w:u w:color="000000"/>
              </w:rPr>
              <w:t xml:space="preserve">Szymon </w:t>
            </w:r>
            <w:r>
              <w:rPr>
                <w:szCs w:val="20"/>
                <w:u w:color="000000"/>
              </w:rPr>
              <w:fldChar w:fldCharType="end"/>
            </w: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SIGNATURE_0_1_LASTNAME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b/>
                <w:szCs w:val="20"/>
                <w:u w:color="000000"/>
              </w:rPr>
              <w:t>Kosmalski</w:t>
            </w:r>
            <w:r>
              <w:rPr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tabs>
          <w:tab w:val="left" w:pos="680"/>
          <w:tab w:val="left" w:pos="709"/>
        </w:tabs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</w:p>
    <w:sectPr>
      <w:footerReference w:type="default" r:id="rId11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5897775C-71D9-446C-AC53-4FC699547798.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5897775C-71D9-446C-AC53-4FC699547798.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5897775C-71D9-446C-AC53-4FC699547798.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5897775C-71D9-446C-AC53-4FC699547798.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5897775C-71D9-446C-AC53-4FC699547798.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5897775C-71D9-446C-AC53-4FC699547798. Uchwalony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rPr>
      <w:color w:val="000000"/>
      <w:sz w:val="22"/>
      <w:shd w:val="clear" w:color="auto" w:fill="FFFFFF"/>
      <w:lang w:val="x-none"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image" Target="media/image1.png" /><Relationship Id="rId9" Type="http://schemas.openxmlformats.org/officeDocument/2006/relationships/image" Target="ZalacznikADCCF93F-5AAF-4430-AFB0-3855F1936092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12 września 2022 r.</dc:title>
  <dc:subject>w^sprawie ustanowienia planu ochrony dla rezerwatu przyrody „Łąki Ślesińskie”</dc:subject>
  <dc:creator>kleszczynska</dc:creator>
  <cp:lastModifiedBy>kleszczynska</cp:lastModifiedBy>
  <cp:revision>1</cp:revision>
  <dcterms:created xsi:type="dcterms:W3CDTF">2022-09-13T10:07:52Z</dcterms:created>
  <dcterms:modified xsi:type="dcterms:W3CDTF">2022-09-13T10:07:52Z</dcterms:modified>
  <cp:category>Akt prawny</cp:category>
</cp:coreProperties>
</file>