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0104" w14:textId="77777777" w:rsidR="00317C25" w:rsidRPr="00785411" w:rsidRDefault="00317C25" w:rsidP="0028571A">
      <w:pPr>
        <w:autoSpaceDE w:val="0"/>
        <w:autoSpaceDN w:val="0"/>
        <w:adjustRightInd w:val="0"/>
        <w:spacing w:after="0" w:line="320" w:lineRule="exact"/>
        <w:jc w:val="center"/>
        <w:rPr>
          <w:rFonts w:ascii="Arial" w:hAnsi="Arial" w:cs="Arial"/>
          <w:b/>
          <w:bCs/>
          <w:sz w:val="20"/>
          <w:szCs w:val="20"/>
        </w:rPr>
      </w:pPr>
    </w:p>
    <w:p w14:paraId="7A88BFFA" w14:textId="77777777" w:rsidR="009915D0" w:rsidRDefault="009915D0" w:rsidP="00D66697">
      <w:pPr>
        <w:autoSpaceDE w:val="0"/>
        <w:autoSpaceDN w:val="0"/>
        <w:adjustRightInd w:val="0"/>
        <w:spacing w:after="0" w:line="320" w:lineRule="exact"/>
        <w:rPr>
          <w:rFonts w:ascii="Arial" w:hAnsi="Arial" w:cs="Arial"/>
          <w:b/>
          <w:bCs/>
          <w:sz w:val="20"/>
          <w:szCs w:val="20"/>
        </w:rPr>
      </w:pPr>
    </w:p>
    <w:p w14:paraId="6B39C0B2" w14:textId="77777777" w:rsidR="008B66C1" w:rsidRPr="00785411" w:rsidRDefault="008B66C1" w:rsidP="0028571A">
      <w:pPr>
        <w:autoSpaceDE w:val="0"/>
        <w:autoSpaceDN w:val="0"/>
        <w:adjustRightInd w:val="0"/>
        <w:spacing w:after="0" w:line="320" w:lineRule="exact"/>
        <w:jc w:val="center"/>
        <w:rPr>
          <w:rFonts w:ascii="Arial" w:hAnsi="Arial" w:cs="Arial"/>
          <w:b/>
          <w:bCs/>
          <w:sz w:val="20"/>
          <w:szCs w:val="20"/>
        </w:rPr>
      </w:pPr>
      <w:r w:rsidRPr="00785411">
        <w:rPr>
          <w:rFonts w:ascii="Arial" w:hAnsi="Arial" w:cs="Arial"/>
          <w:b/>
          <w:bCs/>
          <w:sz w:val="20"/>
          <w:szCs w:val="20"/>
        </w:rPr>
        <w:t>Polityka przeciwdziałania i zwalczania nadużyć finansowych</w:t>
      </w:r>
    </w:p>
    <w:p w14:paraId="6BBC3A7C" w14:textId="47F4E35D" w:rsidR="008B66C1" w:rsidRPr="00785411" w:rsidRDefault="008B66C1" w:rsidP="00715D2D">
      <w:pPr>
        <w:autoSpaceDE w:val="0"/>
        <w:autoSpaceDN w:val="0"/>
        <w:adjustRightInd w:val="0"/>
        <w:spacing w:after="0" w:line="320" w:lineRule="exact"/>
        <w:jc w:val="center"/>
        <w:rPr>
          <w:rFonts w:ascii="Arial" w:hAnsi="Arial" w:cs="Arial"/>
          <w:b/>
          <w:bCs/>
          <w:i/>
          <w:sz w:val="20"/>
          <w:szCs w:val="20"/>
        </w:rPr>
      </w:pPr>
      <w:r w:rsidRPr="00785411">
        <w:rPr>
          <w:rFonts w:ascii="Arial" w:hAnsi="Arial" w:cs="Arial"/>
          <w:b/>
          <w:bCs/>
          <w:sz w:val="20"/>
          <w:szCs w:val="20"/>
        </w:rPr>
        <w:t xml:space="preserve">w Instytucji Pośredniczącej </w:t>
      </w:r>
      <w:r w:rsidR="00715D2D">
        <w:rPr>
          <w:rFonts w:ascii="Arial" w:hAnsi="Arial" w:cs="Arial"/>
          <w:b/>
          <w:bCs/>
          <w:sz w:val="20"/>
          <w:szCs w:val="20"/>
        </w:rPr>
        <w:t>- Kancelarii Prezesa Rady Ministrów</w:t>
      </w:r>
    </w:p>
    <w:p w14:paraId="2F1C92F2" w14:textId="77777777" w:rsidR="004A7389" w:rsidRDefault="004A7389" w:rsidP="00785411">
      <w:pPr>
        <w:pStyle w:val="Default"/>
        <w:spacing w:line="320" w:lineRule="exact"/>
        <w:jc w:val="center"/>
        <w:rPr>
          <w:rFonts w:ascii="Arial" w:hAnsi="Arial" w:cs="Arial"/>
          <w:b/>
          <w:bCs/>
          <w:color w:val="auto"/>
          <w:sz w:val="20"/>
          <w:szCs w:val="20"/>
        </w:rPr>
      </w:pPr>
    </w:p>
    <w:p w14:paraId="470405C1" w14:textId="77777777" w:rsidR="008E489E" w:rsidRPr="00785411" w:rsidRDefault="008E489E" w:rsidP="0028571A">
      <w:pPr>
        <w:pStyle w:val="Default"/>
        <w:spacing w:line="320" w:lineRule="exact"/>
        <w:jc w:val="both"/>
        <w:rPr>
          <w:rFonts w:ascii="Arial" w:hAnsi="Arial" w:cs="Arial"/>
          <w:b/>
          <w:bCs/>
          <w:color w:val="auto"/>
          <w:sz w:val="20"/>
          <w:szCs w:val="20"/>
        </w:rPr>
      </w:pPr>
    </w:p>
    <w:p w14:paraId="005D990E" w14:textId="77777777" w:rsidR="004A7389" w:rsidRPr="00785411" w:rsidRDefault="00D23380" w:rsidP="00D23380">
      <w:pPr>
        <w:pStyle w:val="Default"/>
        <w:spacing w:after="120" w:line="320" w:lineRule="exact"/>
        <w:ind w:left="284"/>
        <w:jc w:val="center"/>
        <w:rPr>
          <w:rFonts w:ascii="Arial" w:hAnsi="Arial" w:cs="Arial"/>
          <w:b/>
          <w:bCs/>
          <w:color w:val="auto"/>
          <w:sz w:val="20"/>
          <w:szCs w:val="20"/>
          <w:u w:val="single"/>
        </w:rPr>
      </w:pPr>
      <w:r w:rsidRPr="00785411">
        <w:rPr>
          <w:rFonts w:ascii="Arial" w:hAnsi="Arial" w:cs="Arial"/>
          <w:b/>
          <w:bCs/>
          <w:color w:val="auto"/>
          <w:sz w:val="20"/>
          <w:szCs w:val="20"/>
          <w:u w:val="single"/>
        </w:rPr>
        <w:t>Postanowienia ogólne</w:t>
      </w:r>
    </w:p>
    <w:p w14:paraId="21C55CB2" w14:textId="77777777" w:rsidR="00D23380" w:rsidRPr="00785411" w:rsidRDefault="00D23380" w:rsidP="00D23380">
      <w:pPr>
        <w:pStyle w:val="Default"/>
        <w:spacing w:after="120" w:line="320" w:lineRule="exact"/>
        <w:ind w:left="284"/>
        <w:jc w:val="center"/>
        <w:rPr>
          <w:rFonts w:ascii="Arial" w:hAnsi="Arial" w:cs="Arial"/>
          <w:color w:val="auto"/>
          <w:sz w:val="20"/>
          <w:szCs w:val="20"/>
        </w:rPr>
      </w:pPr>
      <w:r w:rsidRPr="00785411">
        <w:rPr>
          <w:rFonts w:ascii="Arial" w:hAnsi="Arial" w:cs="Arial"/>
          <w:b/>
          <w:bCs/>
          <w:color w:val="auto"/>
          <w:sz w:val="20"/>
          <w:szCs w:val="20"/>
        </w:rPr>
        <w:t>§ 1</w:t>
      </w:r>
    </w:p>
    <w:p w14:paraId="2B81CB65" w14:textId="5324387B" w:rsidR="002011C4" w:rsidRPr="00785411" w:rsidRDefault="0028571A" w:rsidP="002011C4">
      <w:pPr>
        <w:pStyle w:val="Default"/>
        <w:numPr>
          <w:ilvl w:val="0"/>
          <w:numId w:val="2"/>
        </w:numPr>
        <w:spacing w:after="240" w:line="320" w:lineRule="exact"/>
        <w:ind w:left="425" w:hanging="425"/>
        <w:jc w:val="both"/>
        <w:rPr>
          <w:rFonts w:ascii="Arial" w:hAnsi="Arial" w:cs="Arial"/>
          <w:color w:val="auto"/>
          <w:sz w:val="20"/>
          <w:szCs w:val="20"/>
        </w:rPr>
      </w:pPr>
      <w:r w:rsidRPr="00785411">
        <w:rPr>
          <w:rFonts w:ascii="Arial" w:hAnsi="Arial" w:cs="Arial"/>
          <w:color w:val="auto"/>
          <w:sz w:val="20"/>
          <w:szCs w:val="20"/>
        </w:rPr>
        <w:t xml:space="preserve">Celem </w:t>
      </w:r>
      <w:r w:rsidRPr="00785411">
        <w:rPr>
          <w:rFonts w:ascii="Arial" w:hAnsi="Arial" w:cs="Arial"/>
          <w:i/>
          <w:color w:val="auto"/>
          <w:sz w:val="20"/>
          <w:szCs w:val="20"/>
        </w:rPr>
        <w:t>Polityki przeciwdziałania i zwalczania nadużyć finansowych</w:t>
      </w:r>
      <w:r w:rsidR="00266C3B" w:rsidRPr="00785411">
        <w:rPr>
          <w:rFonts w:ascii="Arial" w:hAnsi="Arial" w:cs="Arial"/>
          <w:i/>
          <w:color w:val="auto"/>
          <w:sz w:val="20"/>
          <w:szCs w:val="20"/>
        </w:rPr>
        <w:t xml:space="preserve"> </w:t>
      </w:r>
      <w:r w:rsidR="007F7E87" w:rsidRPr="00785411">
        <w:rPr>
          <w:rFonts w:ascii="Arial" w:hAnsi="Arial" w:cs="Arial"/>
          <w:i/>
          <w:color w:val="auto"/>
          <w:sz w:val="20"/>
          <w:szCs w:val="20"/>
        </w:rPr>
        <w:t xml:space="preserve">w </w:t>
      </w:r>
      <w:r w:rsidR="00571277" w:rsidRPr="00785411">
        <w:rPr>
          <w:rFonts w:ascii="Arial" w:hAnsi="Arial" w:cs="Arial"/>
          <w:i/>
          <w:color w:val="auto"/>
          <w:sz w:val="20"/>
          <w:szCs w:val="20"/>
        </w:rPr>
        <w:t xml:space="preserve">Instytucji Pośredniczącej </w:t>
      </w:r>
      <w:r w:rsidR="00715D2D">
        <w:rPr>
          <w:rFonts w:ascii="Arial" w:hAnsi="Arial" w:cs="Arial"/>
          <w:i/>
          <w:color w:val="auto"/>
          <w:sz w:val="20"/>
          <w:szCs w:val="20"/>
        </w:rPr>
        <w:t>- Kancelarii Prezesa Rady Ministrów</w:t>
      </w:r>
      <w:r w:rsidR="00C26F2D" w:rsidRPr="00785411">
        <w:rPr>
          <w:rFonts w:ascii="Arial" w:hAnsi="Arial" w:cs="Arial"/>
          <w:i/>
          <w:color w:val="auto"/>
          <w:sz w:val="20"/>
          <w:szCs w:val="20"/>
        </w:rPr>
        <w:t>,</w:t>
      </w:r>
      <w:r w:rsidRPr="00785411">
        <w:rPr>
          <w:rFonts w:ascii="Arial" w:hAnsi="Arial" w:cs="Arial"/>
          <w:color w:val="auto"/>
          <w:sz w:val="20"/>
          <w:szCs w:val="20"/>
        </w:rPr>
        <w:t xml:space="preserve"> zwanej dalej „Polityką”</w:t>
      </w:r>
      <w:r w:rsidR="008B66C1" w:rsidRPr="00785411">
        <w:rPr>
          <w:rFonts w:ascii="Arial" w:hAnsi="Arial" w:cs="Arial"/>
          <w:color w:val="auto"/>
          <w:sz w:val="20"/>
          <w:szCs w:val="20"/>
        </w:rPr>
        <w:t>,</w:t>
      </w:r>
      <w:r w:rsidRPr="00785411">
        <w:rPr>
          <w:rFonts w:ascii="Arial" w:hAnsi="Arial" w:cs="Arial"/>
          <w:color w:val="auto"/>
          <w:sz w:val="20"/>
          <w:szCs w:val="20"/>
        </w:rPr>
        <w:t xml:space="preserve"> jest propagowanie kultury zniechęcającej do</w:t>
      </w:r>
      <w:r w:rsidR="00785411">
        <w:rPr>
          <w:rFonts w:ascii="Arial" w:hAnsi="Arial" w:cs="Arial"/>
          <w:color w:val="auto"/>
          <w:sz w:val="20"/>
          <w:szCs w:val="20"/>
        </w:rPr>
        <w:t> </w:t>
      </w:r>
      <w:r w:rsidRPr="00785411">
        <w:rPr>
          <w:rFonts w:ascii="Arial" w:hAnsi="Arial" w:cs="Arial"/>
          <w:color w:val="auto"/>
          <w:sz w:val="20"/>
          <w:szCs w:val="20"/>
        </w:rPr>
        <w:t>nieuczciwych zachowań oraz ułatwienie zapobiegania nadużyciom finansowym i ich wykrywania</w:t>
      </w:r>
      <w:r w:rsidR="002011C4" w:rsidRPr="00785411">
        <w:rPr>
          <w:rFonts w:ascii="Arial" w:hAnsi="Arial" w:cs="Arial"/>
          <w:color w:val="auto"/>
          <w:sz w:val="20"/>
          <w:szCs w:val="20"/>
        </w:rPr>
        <w:t>.</w:t>
      </w:r>
    </w:p>
    <w:p w14:paraId="2D64A26E" w14:textId="5D6ABAC8" w:rsidR="002011C4" w:rsidRDefault="00715D2D" w:rsidP="002011C4">
      <w:pPr>
        <w:pStyle w:val="Default"/>
        <w:numPr>
          <w:ilvl w:val="0"/>
          <w:numId w:val="2"/>
        </w:numPr>
        <w:spacing w:line="320" w:lineRule="exact"/>
        <w:ind w:left="426" w:hanging="426"/>
        <w:jc w:val="both"/>
        <w:rPr>
          <w:rFonts w:ascii="Arial" w:hAnsi="Arial" w:cs="Arial"/>
          <w:color w:val="auto"/>
          <w:sz w:val="20"/>
          <w:szCs w:val="20"/>
        </w:rPr>
      </w:pPr>
      <w:r>
        <w:rPr>
          <w:rFonts w:ascii="Arial" w:hAnsi="Arial" w:cs="Arial"/>
          <w:color w:val="auto"/>
          <w:sz w:val="20"/>
          <w:szCs w:val="20"/>
        </w:rPr>
        <w:t xml:space="preserve">Kancelaria Prezesa Rady Ministrów, jako </w:t>
      </w:r>
      <w:r w:rsidR="002011C4" w:rsidRPr="00785411">
        <w:rPr>
          <w:rFonts w:ascii="Arial" w:hAnsi="Arial" w:cs="Arial"/>
          <w:color w:val="auto"/>
          <w:sz w:val="20"/>
          <w:szCs w:val="20"/>
        </w:rPr>
        <w:t xml:space="preserve">Instytucja Pośrednicząca </w:t>
      </w:r>
      <w:r w:rsidR="00CE5700">
        <w:rPr>
          <w:rFonts w:ascii="Arial" w:hAnsi="Arial" w:cs="Arial"/>
          <w:color w:val="auto"/>
          <w:sz w:val="20"/>
          <w:szCs w:val="20"/>
        </w:rPr>
        <w:t xml:space="preserve">realizująca </w:t>
      </w:r>
      <w:r w:rsidRPr="00715D2D">
        <w:rPr>
          <w:rFonts w:ascii="Arial" w:hAnsi="Arial" w:cs="Arial"/>
          <w:color w:val="auto"/>
          <w:sz w:val="20"/>
          <w:szCs w:val="20"/>
        </w:rPr>
        <w:t>Działa</w:t>
      </w:r>
      <w:r w:rsidR="00CE5700">
        <w:rPr>
          <w:rFonts w:ascii="Arial" w:hAnsi="Arial" w:cs="Arial"/>
          <w:color w:val="auto"/>
          <w:sz w:val="20"/>
          <w:szCs w:val="20"/>
        </w:rPr>
        <w:t>nia</w:t>
      </w:r>
      <w:r w:rsidRPr="00715D2D">
        <w:rPr>
          <w:rFonts w:ascii="Arial" w:hAnsi="Arial" w:cs="Arial"/>
          <w:color w:val="auto"/>
          <w:sz w:val="20"/>
          <w:szCs w:val="20"/>
        </w:rPr>
        <w:t xml:space="preserve"> 04.06, 04.07 i 04.12 w ramach Programu Fundusze Europejskie dla Rozwoju Społecznego 2021-2027</w:t>
      </w:r>
      <w:r w:rsidR="00C26F2D" w:rsidRPr="00785411">
        <w:rPr>
          <w:rFonts w:ascii="Arial" w:hAnsi="Arial" w:cs="Arial"/>
          <w:i/>
          <w:color w:val="auto"/>
          <w:sz w:val="20"/>
          <w:szCs w:val="20"/>
        </w:rPr>
        <w:t>,</w:t>
      </w:r>
      <w:r w:rsidR="005A2B04" w:rsidRPr="00785411">
        <w:rPr>
          <w:rFonts w:ascii="Arial" w:hAnsi="Arial" w:cs="Arial"/>
          <w:color w:val="auto"/>
          <w:sz w:val="20"/>
          <w:szCs w:val="20"/>
        </w:rPr>
        <w:t xml:space="preserve"> </w:t>
      </w:r>
      <w:r w:rsidR="00885C17" w:rsidRPr="00785411">
        <w:rPr>
          <w:rFonts w:ascii="Arial" w:hAnsi="Arial" w:cs="Arial"/>
          <w:color w:val="auto"/>
          <w:sz w:val="20"/>
          <w:szCs w:val="20"/>
        </w:rPr>
        <w:t xml:space="preserve">zwana </w:t>
      </w:r>
      <w:r w:rsidR="0060662B" w:rsidRPr="00785411">
        <w:rPr>
          <w:rFonts w:ascii="Arial" w:hAnsi="Arial" w:cs="Arial"/>
          <w:color w:val="auto"/>
          <w:sz w:val="20"/>
          <w:szCs w:val="20"/>
        </w:rPr>
        <w:t xml:space="preserve">dalej </w:t>
      </w:r>
      <w:r w:rsidR="005A2B04" w:rsidRPr="00785411">
        <w:rPr>
          <w:rFonts w:ascii="Arial" w:hAnsi="Arial" w:cs="Arial"/>
          <w:color w:val="auto"/>
          <w:sz w:val="20"/>
          <w:szCs w:val="20"/>
        </w:rPr>
        <w:t>„</w:t>
      </w:r>
      <w:r w:rsidR="0060662B" w:rsidRPr="00785411">
        <w:rPr>
          <w:rFonts w:ascii="Arial" w:hAnsi="Arial" w:cs="Arial"/>
          <w:color w:val="auto"/>
          <w:sz w:val="20"/>
          <w:szCs w:val="20"/>
        </w:rPr>
        <w:t>Instytucją Po</w:t>
      </w:r>
      <w:r w:rsidR="00710050" w:rsidRPr="00785411">
        <w:rPr>
          <w:rFonts w:ascii="Arial" w:hAnsi="Arial" w:cs="Arial"/>
          <w:color w:val="auto"/>
          <w:sz w:val="20"/>
          <w:szCs w:val="20"/>
        </w:rPr>
        <w:t>ś</w:t>
      </w:r>
      <w:r w:rsidR="0060662B" w:rsidRPr="00785411">
        <w:rPr>
          <w:rFonts w:ascii="Arial" w:hAnsi="Arial" w:cs="Arial"/>
          <w:color w:val="auto"/>
          <w:sz w:val="20"/>
          <w:szCs w:val="20"/>
        </w:rPr>
        <w:t>redniczącą</w:t>
      </w:r>
      <w:r w:rsidR="005A2B04" w:rsidRPr="00785411">
        <w:rPr>
          <w:rFonts w:ascii="Arial" w:hAnsi="Arial" w:cs="Arial"/>
          <w:color w:val="auto"/>
          <w:sz w:val="20"/>
          <w:szCs w:val="20"/>
        </w:rPr>
        <w:t>”,</w:t>
      </w:r>
      <w:r w:rsidR="002011C4" w:rsidRPr="00785411">
        <w:rPr>
          <w:rFonts w:ascii="Arial" w:hAnsi="Arial" w:cs="Arial"/>
          <w:color w:val="auto"/>
          <w:sz w:val="20"/>
          <w:szCs w:val="20"/>
        </w:rPr>
        <w:t xml:space="preserve"> zobowiązuje się przestrzegać norm prawnych, etycznych i moralnych na</w:t>
      </w:r>
      <w:r w:rsidR="00347D90" w:rsidRPr="00785411">
        <w:rPr>
          <w:rFonts w:ascii="Arial" w:hAnsi="Arial" w:cs="Arial"/>
          <w:color w:val="auto"/>
          <w:sz w:val="20"/>
          <w:szCs w:val="20"/>
        </w:rPr>
        <w:t> </w:t>
      </w:r>
      <w:r w:rsidR="002011C4" w:rsidRPr="00785411">
        <w:rPr>
          <w:rFonts w:ascii="Arial" w:hAnsi="Arial" w:cs="Arial"/>
          <w:color w:val="auto"/>
          <w:sz w:val="20"/>
          <w:szCs w:val="20"/>
        </w:rPr>
        <w:t xml:space="preserve">najwyższym poziomie, zasad rzetelności, obiektywizmu i uczciwości oraz pragnie być postrzegana jako </w:t>
      </w:r>
      <w:r w:rsidR="00865B61" w:rsidRPr="00785411">
        <w:rPr>
          <w:rFonts w:ascii="Arial" w:hAnsi="Arial" w:cs="Arial"/>
          <w:bCs/>
          <w:color w:val="auto"/>
          <w:sz w:val="20"/>
          <w:szCs w:val="20"/>
        </w:rPr>
        <w:t xml:space="preserve">skutecznie </w:t>
      </w:r>
      <w:r w:rsidR="002B76A0" w:rsidRPr="00785411">
        <w:rPr>
          <w:rFonts w:ascii="Arial" w:hAnsi="Arial" w:cs="Arial"/>
          <w:bCs/>
          <w:color w:val="auto"/>
          <w:sz w:val="20"/>
          <w:szCs w:val="20"/>
        </w:rPr>
        <w:t>przeciwdziałająca</w:t>
      </w:r>
      <w:r w:rsidR="00865B61" w:rsidRPr="00785411">
        <w:rPr>
          <w:rFonts w:ascii="Arial" w:hAnsi="Arial" w:cs="Arial"/>
          <w:bCs/>
          <w:color w:val="auto"/>
          <w:sz w:val="20"/>
          <w:szCs w:val="20"/>
        </w:rPr>
        <w:t xml:space="preserve"> </w:t>
      </w:r>
      <w:r w:rsidR="002011C4" w:rsidRPr="00785411">
        <w:rPr>
          <w:rFonts w:ascii="Arial" w:hAnsi="Arial" w:cs="Arial"/>
          <w:bCs/>
          <w:color w:val="auto"/>
          <w:sz w:val="20"/>
          <w:szCs w:val="20"/>
        </w:rPr>
        <w:t>nadużyciom</w:t>
      </w:r>
      <w:r w:rsidR="00297D0F" w:rsidRPr="00785411">
        <w:rPr>
          <w:rFonts w:ascii="Arial" w:hAnsi="Arial" w:cs="Arial"/>
          <w:bCs/>
          <w:color w:val="auto"/>
          <w:sz w:val="20"/>
          <w:szCs w:val="20"/>
        </w:rPr>
        <w:t xml:space="preserve"> finansowym</w:t>
      </w:r>
      <w:r w:rsidR="002011C4" w:rsidRPr="00785411">
        <w:rPr>
          <w:rFonts w:ascii="Arial" w:hAnsi="Arial" w:cs="Arial"/>
          <w:bCs/>
          <w:color w:val="auto"/>
          <w:sz w:val="20"/>
          <w:szCs w:val="20"/>
        </w:rPr>
        <w:t xml:space="preserve"> i korupcji</w:t>
      </w:r>
      <w:r w:rsidR="002011C4" w:rsidRPr="00785411">
        <w:rPr>
          <w:rFonts w:ascii="Arial" w:hAnsi="Arial" w:cs="Arial"/>
          <w:b/>
          <w:bCs/>
          <w:color w:val="auto"/>
          <w:sz w:val="20"/>
          <w:szCs w:val="20"/>
        </w:rPr>
        <w:t xml:space="preserve"> </w:t>
      </w:r>
      <w:r w:rsidR="002011C4" w:rsidRPr="00785411">
        <w:rPr>
          <w:rFonts w:ascii="Arial" w:hAnsi="Arial" w:cs="Arial"/>
          <w:color w:val="auto"/>
          <w:sz w:val="20"/>
          <w:szCs w:val="20"/>
        </w:rPr>
        <w:t>w</w:t>
      </w:r>
      <w:r w:rsidR="00785411">
        <w:rPr>
          <w:rFonts w:ascii="Arial" w:hAnsi="Arial" w:cs="Arial"/>
          <w:color w:val="auto"/>
          <w:sz w:val="20"/>
          <w:szCs w:val="20"/>
        </w:rPr>
        <w:t> </w:t>
      </w:r>
      <w:r w:rsidR="002011C4" w:rsidRPr="00785411">
        <w:rPr>
          <w:rFonts w:ascii="Arial" w:hAnsi="Arial" w:cs="Arial"/>
          <w:color w:val="auto"/>
          <w:sz w:val="20"/>
          <w:szCs w:val="20"/>
        </w:rPr>
        <w:t xml:space="preserve">sposobie prowadzenia swojej działalności. </w:t>
      </w:r>
    </w:p>
    <w:p w14:paraId="08B82D68" w14:textId="77777777" w:rsidR="00785411" w:rsidRPr="00785411" w:rsidRDefault="00785411" w:rsidP="00785411">
      <w:pPr>
        <w:pStyle w:val="Default"/>
        <w:spacing w:line="320" w:lineRule="exact"/>
        <w:ind w:left="426"/>
        <w:jc w:val="both"/>
        <w:rPr>
          <w:rFonts w:ascii="Arial" w:hAnsi="Arial" w:cs="Arial"/>
          <w:color w:val="auto"/>
          <w:sz w:val="20"/>
          <w:szCs w:val="20"/>
        </w:rPr>
      </w:pPr>
    </w:p>
    <w:p w14:paraId="1CB2A149" w14:textId="77777777" w:rsidR="002011C4" w:rsidRPr="00785411" w:rsidRDefault="002011C4" w:rsidP="00317C25">
      <w:pPr>
        <w:pStyle w:val="Default"/>
        <w:spacing w:after="240" w:line="320" w:lineRule="exact"/>
        <w:ind w:left="425"/>
        <w:jc w:val="both"/>
        <w:rPr>
          <w:rFonts w:ascii="Arial" w:hAnsi="Arial" w:cs="Arial"/>
          <w:color w:val="auto"/>
          <w:sz w:val="20"/>
          <w:szCs w:val="20"/>
        </w:rPr>
      </w:pPr>
      <w:r w:rsidRPr="00785411">
        <w:rPr>
          <w:rFonts w:ascii="Arial" w:hAnsi="Arial" w:cs="Arial"/>
          <w:color w:val="auto"/>
          <w:sz w:val="20"/>
          <w:szCs w:val="20"/>
        </w:rPr>
        <w:t>Zobowiązania tego oczekuje się od wszystkich pracowników Instytucji Pośredniczącej.</w:t>
      </w:r>
    </w:p>
    <w:p w14:paraId="0BE23155" w14:textId="77777777" w:rsidR="00785411" w:rsidRDefault="00785411" w:rsidP="00D2000C">
      <w:pPr>
        <w:pStyle w:val="Default"/>
        <w:spacing w:after="120" w:line="320" w:lineRule="exact"/>
        <w:ind w:left="284"/>
        <w:jc w:val="center"/>
        <w:rPr>
          <w:rFonts w:ascii="Arial" w:hAnsi="Arial" w:cs="Arial"/>
          <w:b/>
          <w:bCs/>
          <w:color w:val="auto"/>
          <w:sz w:val="20"/>
          <w:szCs w:val="20"/>
        </w:rPr>
      </w:pPr>
    </w:p>
    <w:p w14:paraId="7F8B4C1D" w14:textId="77777777" w:rsidR="00D2000C" w:rsidRPr="00785411" w:rsidRDefault="00D2000C" w:rsidP="00D2000C">
      <w:pPr>
        <w:pStyle w:val="Default"/>
        <w:spacing w:after="120" w:line="320" w:lineRule="exact"/>
        <w:ind w:left="284"/>
        <w:jc w:val="center"/>
        <w:rPr>
          <w:rFonts w:ascii="Arial" w:hAnsi="Arial" w:cs="Arial"/>
          <w:color w:val="auto"/>
          <w:sz w:val="20"/>
          <w:szCs w:val="20"/>
        </w:rPr>
      </w:pPr>
      <w:r w:rsidRPr="00785411">
        <w:rPr>
          <w:rFonts w:ascii="Arial" w:hAnsi="Arial" w:cs="Arial"/>
          <w:b/>
          <w:bCs/>
          <w:color w:val="auto"/>
          <w:sz w:val="20"/>
          <w:szCs w:val="20"/>
        </w:rPr>
        <w:t>§ 2</w:t>
      </w:r>
    </w:p>
    <w:p w14:paraId="1DF3E441" w14:textId="49EC0603" w:rsidR="00D2000C" w:rsidRPr="00785411" w:rsidRDefault="00D2000C" w:rsidP="007552A8">
      <w:pPr>
        <w:pStyle w:val="Default"/>
        <w:spacing w:after="240" w:line="320" w:lineRule="exact"/>
        <w:ind w:left="426"/>
        <w:jc w:val="both"/>
        <w:rPr>
          <w:rFonts w:ascii="Arial" w:hAnsi="Arial" w:cs="Arial"/>
          <w:color w:val="auto"/>
          <w:sz w:val="20"/>
          <w:szCs w:val="20"/>
        </w:rPr>
      </w:pPr>
      <w:r w:rsidRPr="00785411">
        <w:rPr>
          <w:rFonts w:ascii="Arial" w:hAnsi="Arial" w:cs="Arial"/>
          <w:color w:val="auto"/>
          <w:sz w:val="20"/>
          <w:szCs w:val="20"/>
        </w:rPr>
        <w:t xml:space="preserve">Niniejsza Polityka pozostaje w zgodności z </w:t>
      </w:r>
      <w:r w:rsidR="00A60FC7" w:rsidRPr="00785411">
        <w:rPr>
          <w:rFonts w:ascii="Arial" w:hAnsi="Arial" w:cs="Arial"/>
          <w:color w:val="auto"/>
          <w:sz w:val="20"/>
          <w:szCs w:val="20"/>
        </w:rPr>
        <w:t>przepisami wewnętrznymi obowiązującymi w Kancelarii Prezesa Rady Ministrów</w:t>
      </w:r>
      <w:r w:rsidR="00710050" w:rsidRPr="00785411">
        <w:rPr>
          <w:rFonts w:ascii="Arial" w:hAnsi="Arial" w:cs="Arial"/>
          <w:color w:val="auto"/>
          <w:sz w:val="20"/>
          <w:szCs w:val="20"/>
        </w:rPr>
        <w:t xml:space="preserve"> (KPRM)</w:t>
      </w:r>
      <w:r w:rsidR="00A60FC7" w:rsidRPr="00785411">
        <w:rPr>
          <w:rFonts w:ascii="Arial" w:hAnsi="Arial" w:cs="Arial"/>
          <w:color w:val="auto"/>
          <w:sz w:val="20"/>
          <w:szCs w:val="20"/>
        </w:rPr>
        <w:t xml:space="preserve"> oraz </w:t>
      </w:r>
      <w:r w:rsidRPr="00785411">
        <w:rPr>
          <w:rFonts w:ascii="Arial" w:hAnsi="Arial" w:cs="Arial"/>
          <w:color w:val="auto"/>
          <w:sz w:val="20"/>
          <w:szCs w:val="20"/>
        </w:rPr>
        <w:t>zewnętrznymi uregulowaniami prawnymi</w:t>
      </w:r>
      <w:r w:rsidR="00A60FC7" w:rsidRPr="00785411">
        <w:rPr>
          <w:rFonts w:ascii="Arial" w:hAnsi="Arial" w:cs="Arial"/>
          <w:color w:val="auto"/>
          <w:sz w:val="20"/>
          <w:szCs w:val="20"/>
        </w:rPr>
        <w:t xml:space="preserve">, w szczególności </w:t>
      </w:r>
      <w:r w:rsidR="00A60FC7" w:rsidRPr="00785411">
        <w:rPr>
          <w:rFonts w:ascii="Arial" w:hAnsi="Arial" w:cs="Arial"/>
          <w:sz w:val="20"/>
          <w:szCs w:val="20"/>
        </w:rPr>
        <w:t>z wytycznymi Komisji Europejskiej dla państw członkowskich i</w:t>
      </w:r>
      <w:r w:rsidR="002B76A0" w:rsidRPr="00785411">
        <w:rPr>
          <w:rFonts w:ascii="Arial" w:hAnsi="Arial" w:cs="Arial"/>
          <w:sz w:val="20"/>
          <w:szCs w:val="20"/>
        </w:rPr>
        <w:t xml:space="preserve"> </w:t>
      </w:r>
      <w:r w:rsidR="00A60FC7" w:rsidRPr="00785411">
        <w:rPr>
          <w:rFonts w:ascii="Arial" w:hAnsi="Arial" w:cs="Arial"/>
          <w:sz w:val="20"/>
          <w:szCs w:val="20"/>
        </w:rPr>
        <w:t>instytucji wdrażających programy pt. </w:t>
      </w:r>
      <w:r w:rsidR="00A60FC7" w:rsidRPr="00785411">
        <w:rPr>
          <w:rFonts w:ascii="Arial" w:hAnsi="Arial" w:cs="Arial"/>
          <w:i/>
          <w:sz w:val="20"/>
          <w:szCs w:val="20"/>
        </w:rPr>
        <w:t>Ocena ryzyka nadużyć finansowych oraz skuteczne i proporcjonalne środki zwalczania nadużyć finansowych</w:t>
      </w:r>
      <w:r w:rsidR="00A60FC7" w:rsidRPr="00785411">
        <w:rPr>
          <w:rStyle w:val="Odwoanieprzypisudolnego"/>
          <w:rFonts w:ascii="Arial" w:hAnsi="Arial" w:cs="Arial"/>
          <w:sz w:val="20"/>
          <w:szCs w:val="20"/>
        </w:rPr>
        <w:footnoteReference w:id="1"/>
      </w:r>
      <w:r w:rsidR="00715D2D">
        <w:rPr>
          <w:rFonts w:ascii="Arial" w:hAnsi="Arial" w:cs="Arial"/>
          <w:i/>
          <w:sz w:val="20"/>
          <w:szCs w:val="20"/>
        </w:rPr>
        <w:t>.</w:t>
      </w:r>
    </w:p>
    <w:p w14:paraId="308864DC" w14:textId="77777777" w:rsidR="00785411" w:rsidRDefault="00785411" w:rsidP="007552A8">
      <w:pPr>
        <w:pStyle w:val="Default"/>
        <w:spacing w:after="240" w:line="320" w:lineRule="exact"/>
        <w:ind w:left="426"/>
        <w:jc w:val="center"/>
        <w:rPr>
          <w:rFonts w:ascii="Arial" w:hAnsi="Arial" w:cs="Arial"/>
          <w:b/>
          <w:color w:val="auto"/>
          <w:sz w:val="20"/>
          <w:szCs w:val="20"/>
        </w:rPr>
      </w:pPr>
    </w:p>
    <w:p w14:paraId="7B921E31" w14:textId="77777777" w:rsidR="001478C0" w:rsidRPr="00D66697" w:rsidRDefault="001478C0" w:rsidP="007552A8">
      <w:pPr>
        <w:pStyle w:val="Default"/>
        <w:spacing w:after="240" w:line="320" w:lineRule="exact"/>
        <w:ind w:left="426"/>
        <w:jc w:val="center"/>
        <w:rPr>
          <w:rFonts w:ascii="Arial" w:hAnsi="Arial" w:cs="Arial"/>
          <w:b/>
          <w:color w:val="auto"/>
          <w:sz w:val="20"/>
          <w:szCs w:val="20"/>
        </w:rPr>
      </w:pPr>
      <w:r w:rsidRPr="00D66697">
        <w:rPr>
          <w:rFonts w:ascii="Arial" w:hAnsi="Arial" w:cs="Arial"/>
          <w:b/>
          <w:color w:val="auto"/>
          <w:sz w:val="20"/>
          <w:szCs w:val="20"/>
        </w:rPr>
        <w:t>§ 3</w:t>
      </w:r>
    </w:p>
    <w:p w14:paraId="286BA1A1" w14:textId="16523480" w:rsidR="00AD1C34" w:rsidRPr="00D66697" w:rsidRDefault="00A63D93" w:rsidP="008E4D84">
      <w:pPr>
        <w:pStyle w:val="Default"/>
        <w:numPr>
          <w:ilvl w:val="0"/>
          <w:numId w:val="35"/>
        </w:numPr>
        <w:spacing w:after="240" w:line="320" w:lineRule="exact"/>
        <w:jc w:val="both"/>
        <w:rPr>
          <w:rFonts w:ascii="Arial" w:hAnsi="Arial" w:cs="Arial"/>
          <w:color w:val="548DD4" w:themeColor="text2" w:themeTint="99"/>
          <w:sz w:val="20"/>
          <w:szCs w:val="20"/>
        </w:rPr>
      </w:pPr>
      <w:r w:rsidRPr="00D66697">
        <w:rPr>
          <w:rFonts w:ascii="Arial" w:hAnsi="Arial" w:cs="Arial"/>
          <w:color w:val="auto"/>
          <w:sz w:val="20"/>
          <w:szCs w:val="20"/>
        </w:rPr>
        <w:t>Kierownictwo KPRM zapewnia</w:t>
      </w:r>
      <w:r w:rsidR="006A3CD5" w:rsidRPr="00D66697">
        <w:rPr>
          <w:rFonts w:ascii="Arial" w:hAnsi="Arial" w:cs="Arial"/>
          <w:color w:val="auto"/>
          <w:sz w:val="20"/>
          <w:szCs w:val="20"/>
        </w:rPr>
        <w:t xml:space="preserve"> efektywny system kontroli zarządczej</w:t>
      </w:r>
      <w:r w:rsidR="00E1646E" w:rsidRPr="00D66697">
        <w:rPr>
          <w:rFonts w:ascii="Arial" w:hAnsi="Arial" w:cs="Arial"/>
          <w:color w:val="auto"/>
          <w:sz w:val="20"/>
          <w:szCs w:val="20"/>
        </w:rPr>
        <w:t>,</w:t>
      </w:r>
      <w:r w:rsidR="006A3CD5" w:rsidRPr="00D66697">
        <w:rPr>
          <w:rFonts w:ascii="Arial" w:hAnsi="Arial" w:cs="Arial"/>
          <w:color w:val="auto"/>
          <w:sz w:val="20"/>
          <w:szCs w:val="20"/>
        </w:rPr>
        <w:t xml:space="preserve"> </w:t>
      </w:r>
      <w:r w:rsidR="006E47F9" w:rsidRPr="00D66697">
        <w:rPr>
          <w:rFonts w:ascii="Arial" w:hAnsi="Arial" w:cs="Arial"/>
          <w:color w:val="auto"/>
          <w:sz w:val="20"/>
          <w:szCs w:val="20"/>
        </w:rPr>
        <w:t xml:space="preserve">skierowany na skuteczne zarządzanie ryzykiem, który jest </w:t>
      </w:r>
      <w:r w:rsidR="006A3CD5" w:rsidRPr="00D66697">
        <w:rPr>
          <w:rFonts w:ascii="Arial" w:hAnsi="Arial" w:cs="Arial"/>
          <w:color w:val="auto"/>
          <w:sz w:val="20"/>
          <w:szCs w:val="20"/>
        </w:rPr>
        <w:t>zgodny ze standardami</w:t>
      </w:r>
      <w:r w:rsidR="00B1540F" w:rsidRPr="00D66697">
        <w:rPr>
          <w:rFonts w:ascii="Arial" w:hAnsi="Arial" w:cs="Arial"/>
          <w:color w:val="auto"/>
          <w:sz w:val="20"/>
          <w:szCs w:val="20"/>
        </w:rPr>
        <w:t xml:space="preserve"> kontroli zarządczej</w:t>
      </w:r>
      <w:r w:rsidR="00715D2D" w:rsidRPr="00D66697">
        <w:rPr>
          <w:rFonts w:ascii="Arial" w:hAnsi="Arial" w:cs="Arial"/>
          <w:color w:val="auto"/>
          <w:sz w:val="20"/>
          <w:szCs w:val="20"/>
        </w:rPr>
        <w:t xml:space="preserve"> oraz wytycznymi w</w:t>
      </w:r>
      <w:r w:rsidR="001F2F4A">
        <w:rPr>
          <w:rFonts w:ascii="Arial" w:hAnsi="Arial" w:cs="Arial"/>
          <w:color w:val="auto"/>
          <w:sz w:val="20"/>
          <w:szCs w:val="20"/>
        </w:rPr>
        <w:t> </w:t>
      </w:r>
      <w:r w:rsidR="00715D2D" w:rsidRPr="00D66697">
        <w:rPr>
          <w:rFonts w:ascii="Arial" w:hAnsi="Arial" w:cs="Arial"/>
          <w:color w:val="auto"/>
          <w:sz w:val="20"/>
          <w:szCs w:val="20"/>
        </w:rPr>
        <w:t>zakresie planowania i zarządzania ryzykiem</w:t>
      </w:r>
      <w:r w:rsidR="006A3CD5" w:rsidRPr="00D66697">
        <w:rPr>
          <w:rFonts w:ascii="Arial" w:hAnsi="Arial" w:cs="Arial"/>
          <w:color w:val="auto"/>
          <w:sz w:val="20"/>
          <w:szCs w:val="20"/>
        </w:rPr>
        <w:t>,</w:t>
      </w:r>
      <w:r w:rsidR="00B1540F" w:rsidRPr="00D66697">
        <w:rPr>
          <w:rFonts w:ascii="Arial" w:hAnsi="Arial" w:cs="Arial"/>
          <w:color w:val="auto"/>
          <w:sz w:val="20"/>
          <w:szCs w:val="20"/>
        </w:rPr>
        <w:t xml:space="preserve"> </w:t>
      </w:r>
      <w:r w:rsidR="006A3CD5" w:rsidRPr="00D66697">
        <w:rPr>
          <w:rFonts w:ascii="Arial" w:hAnsi="Arial" w:cs="Arial"/>
          <w:color w:val="auto"/>
          <w:sz w:val="20"/>
          <w:szCs w:val="20"/>
        </w:rPr>
        <w:t>określonymi</w:t>
      </w:r>
      <w:r w:rsidR="00B1540F" w:rsidRPr="00D66697">
        <w:rPr>
          <w:rFonts w:ascii="Arial" w:hAnsi="Arial" w:cs="Arial"/>
          <w:color w:val="auto"/>
          <w:sz w:val="20"/>
          <w:szCs w:val="20"/>
        </w:rPr>
        <w:t xml:space="preserve"> </w:t>
      </w:r>
      <w:r w:rsidR="006A3CD5" w:rsidRPr="00D66697">
        <w:rPr>
          <w:rFonts w:ascii="Arial" w:hAnsi="Arial" w:cs="Arial"/>
          <w:color w:val="auto"/>
          <w:sz w:val="20"/>
          <w:szCs w:val="20"/>
        </w:rPr>
        <w:t>w formie komunikatu</w:t>
      </w:r>
      <w:r w:rsidR="00B1540F" w:rsidRPr="00D66697">
        <w:rPr>
          <w:rFonts w:ascii="Arial" w:hAnsi="Arial" w:cs="Arial"/>
          <w:color w:val="auto"/>
          <w:sz w:val="20"/>
          <w:szCs w:val="20"/>
        </w:rPr>
        <w:t xml:space="preserve"> Ministra </w:t>
      </w:r>
      <w:r w:rsidR="00B1540F" w:rsidRPr="00D66697">
        <w:rPr>
          <w:rFonts w:ascii="Arial" w:hAnsi="Arial" w:cs="Arial"/>
          <w:color w:val="auto"/>
          <w:sz w:val="20"/>
          <w:szCs w:val="20"/>
        </w:rPr>
        <w:lastRenderedPageBreak/>
        <w:t>Finansów</w:t>
      </w:r>
      <w:r w:rsidR="00B1540F" w:rsidRPr="00D66697">
        <w:rPr>
          <w:rStyle w:val="Odwoanieprzypisudolnego"/>
          <w:rFonts w:ascii="Arial" w:hAnsi="Arial" w:cs="Arial"/>
          <w:color w:val="auto"/>
          <w:sz w:val="20"/>
          <w:szCs w:val="20"/>
        </w:rPr>
        <w:footnoteReference w:id="2"/>
      </w:r>
      <w:r w:rsidR="006A3CD5" w:rsidRPr="00D66697">
        <w:rPr>
          <w:rFonts w:ascii="Arial" w:hAnsi="Arial" w:cs="Arial"/>
          <w:color w:val="auto"/>
          <w:sz w:val="20"/>
          <w:szCs w:val="20"/>
        </w:rPr>
        <w:t xml:space="preserve">. </w:t>
      </w:r>
      <w:r w:rsidR="008E4D84" w:rsidRPr="00D66697">
        <w:rPr>
          <w:rFonts w:ascii="Arial" w:hAnsi="Arial" w:cs="Arial"/>
          <w:color w:val="auto"/>
          <w:sz w:val="20"/>
          <w:szCs w:val="20"/>
        </w:rPr>
        <w:t xml:space="preserve">Kontrola zarządcza to ogół działań </w:t>
      </w:r>
      <w:r w:rsidR="00AD1C34" w:rsidRPr="00D66697">
        <w:rPr>
          <w:rFonts w:ascii="Arial" w:hAnsi="Arial" w:cs="Arial"/>
          <w:b/>
          <w:bCs/>
          <w:color w:val="548DD4" w:themeColor="text2" w:themeTint="99"/>
          <w:sz w:val="20"/>
          <w:szCs w:val="20"/>
        </w:rPr>
        <w:t xml:space="preserve"> </w:t>
      </w:r>
      <w:r w:rsidR="00AD1C34" w:rsidRPr="00D66697">
        <w:rPr>
          <w:rFonts w:ascii="Arial" w:hAnsi="Arial" w:cs="Arial"/>
          <w:color w:val="auto"/>
          <w:sz w:val="20"/>
          <w:szCs w:val="20"/>
        </w:rPr>
        <w:t>podejmowanych w KPRM, aby cele i</w:t>
      </w:r>
      <w:r w:rsidR="003F539F" w:rsidRPr="00D66697">
        <w:rPr>
          <w:rFonts w:ascii="Arial" w:hAnsi="Arial" w:cs="Arial"/>
          <w:color w:val="auto"/>
          <w:sz w:val="20"/>
          <w:szCs w:val="20"/>
        </w:rPr>
        <w:t> </w:t>
      </w:r>
      <w:r w:rsidR="00AD1C34" w:rsidRPr="00D66697">
        <w:rPr>
          <w:rFonts w:ascii="Arial" w:hAnsi="Arial" w:cs="Arial"/>
          <w:color w:val="auto"/>
          <w:sz w:val="20"/>
          <w:szCs w:val="20"/>
        </w:rPr>
        <w:t xml:space="preserve">zadania były realizowane zgodnie z prawem, efektywnie, oszczędnie i terminowo. </w:t>
      </w:r>
    </w:p>
    <w:p w14:paraId="422E6F4A" w14:textId="39ECE847" w:rsidR="00AD1C34" w:rsidRPr="00D66697" w:rsidRDefault="00AD1C34" w:rsidP="008E4D84">
      <w:pPr>
        <w:pStyle w:val="Default"/>
        <w:numPr>
          <w:ilvl w:val="0"/>
          <w:numId w:val="35"/>
        </w:numPr>
        <w:spacing w:after="240" w:line="320" w:lineRule="exact"/>
        <w:jc w:val="both"/>
        <w:rPr>
          <w:rFonts w:ascii="Arial" w:hAnsi="Arial" w:cs="Arial"/>
          <w:color w:val="auto"/>
          <w:sz w:val="20"/>
          <w:szCs w:val="20"/>
        </w:rPr>
      </w:pPr>
      <w:r w:rsidRPr="00D66697">
        <w:rPr>
          <w:rFonts w:ascii="Arial" w:hAnsi="Arial" w:cs="Arial"/>
          <w:color w:val="auto"/>
          <w:sz w:val="20"/>
          <w:szCs w:val="20"/>
        </w:rPr>
        <w:t>Jednym z elementów funkcjonującego w KPRM systemu kontroli wewnętrznej jest audyt wewnętrzny. Audyt wewnętrzny jest działalnością niezależną i obiektywną, której celem jest wspieranie kierownika jednostki w realizacji celów i zadań przez systematyczną ocenę kontroli zarządczej oraz czynności doradcze. Podstawową funkcją audytu wewnętrznego jest wzmacnianie ładu organizacyjnego, zarządzania ryzykiem i procesów kontroli. Audyt wewnętrzny przyczynia się do ogólnej stabilności i zrównoważonego rozwoju organizacji, pomaga wzmacniać jej efektywność operacyjną, wiarygodność sprawozdań, zgodność z</w:t>
      </w:r>
      <w:r w:rsidR="003F539F" w:rsidRPr="00D66697">
        <w:rPr>
          <w:rFonts w:ascii="Arial" w:hAnsi="Arial" w:cs="Arial"/>
          <w:color w:val="auto"/>
          <w:sz w:val="20"/>
          <w:szCs w:val="20"/>
        </w:rPr>
        <w:t> </w:t>
      </w:r>
      <w:r w:rsidRPr="00D66697">
        <w:rPr>
          <w:rFonts w:ascii="Arial" w:hAnsi="Arial" w:cs="Arial"/>
          <w:color w:val="auto"/>
          <w:sz w:val="20"/>
          <w:szCs w:val="20"/>
        </w:rPr>
        <w:t>przepisami prawa, ochronę aktywów i kulturę etyczną. Audyt wewnętrzny w KPRM działa na</w:t>
      </w:r>
      <w:r w:rsidR="002670C1">
        <w:rPr>
          <w:rFonts w:ascii="Arial" w:hAnsi="Arial" w:cs="Arial"/>
          <w:color w:val="auto"/>
          <w:sz w:val="20"/>
          <w:szCs w:val="20"/>
        </w:rPr>
        <w:t> </w:t>
      </w:r>
      <w:r w:rsidRPr="00D66697">
        <w:rPr>
          <w:rFonts w:ascii="Arial" w:hAnsi="Arial" w:cs="Arial"/>
          <w:color w:val="auto"/>
          <w:sz w:val="20"/>
          <w:szCs w:val="20"/>
        </w:rPr>
        <w:t>podstawie przepisów ustawy o finansach publicznych i aktów wykonawczych wydanych na</w:t>
      </w:r>
      <w:r w:rsidR="002670C1">
        <w:rPr>
          <w:rFonts w:ascii="Arial" w:hAnsi="Arial" w:cs="Arial"/>
          <w:color w:val="auto"/>
          <w:sz w:val="20"/>
          <w:szCs w:val="20"/>
        </w:rPr>
        <w:t> </w:t>
      </w:r>
      <w:r w:rsidRPr="00D66697">
        <w:rPr>
          <w:rFonts w:ascii="Arial" w:hAnsi="Arial" w:cs="Arial"/>
          <w:color w:val="auto"/>
          <w:sz w:val="20"/>
          <w:szCs w:val="20"/>
        </w:rPr>
        <w:t xml:space="preserve">jej podstawie oraz międzynarodowych standardów praktyki zawodowej audytu wewnętrznego, opracowanych przez The </w:t>
      </w:r>
      <w:proofErr w:type="spellStart"/>
      <w:r w:rsidRPr="00D66697">
        <w:rPr>
          <w:rFonts w:ascii="Arial" w:hAnsi="Arial" w:cs="Arial"/>
          <w:color w:val="auto"/>
          <w:sz w:val="20"/>
          <w:szCs w:val="20"/>
        </w:rPr>
        <w:t>Institute</w:t>
      </w:r>
      <w:proofErr w:type="spellEnd"/>
      <w:r w:rsidRPr="00D66697">
        <w:rPr>
          <w:rFonts w:ascii="Arial" w:hAnsi="Arial" w:cs="Arial"/>
          <w:color w:val="auto"/>
          <w:sz w:val="20"/>
          <w:szCs w:val="20"/>
        </w:rPr>
        <w:t xml:space="preserve"> of </w:t>
      </w:r>
      <w:proofErr w:type="spellStart"/>
      <w:r w:rsidRPr="00D66697">
        <w:rPr>
          <w:rFonts w:ascii="Arial" w:hAnsi="Arial" w:cs="Arial"/>
          <w:color w:val="auto"/>
          <w:sz w:val="20"/>
          <w:szCs w:val="20"/>
        </w:rPr>
        <w:t>Internal</w:t>
      </w:r>
      <w:proofErr w:type="spellEnd"/>
      <w:r w:rsidRPr="00D66697">
        <w:rPr>
          <w:rFonts w:ascii="Arial" w:hAnsi="Arial" w:cs="Arial"/>
          <w:color w:val="auto"/>
          <w:sz w:val="20"/>
          <w:szCs w:val="20"/>
        </w:rPr>
        <w:t xml:space="preserve"> </w:t>
      </w:r>
      <w:proofErr w:type="spellStart"/>
      <w:r w:rsidRPr="00D66697">
        <w:rPr>
          <w:rFonts w:ascii="Arial" w:hAnsi="Arial" w:cs="Arial"/>
          <w:color w:val="auto"/>
          <w:sz w:val="20"/>
          <w:szCs w:val="20"/>
        </w:rPr>
        <w:t>Auditors</w:t>
      </w:r>
      <w:proofErr w:type="spellEnd"/>
      <w:r w:rsidRPr="00D66697">
        <w:rPr>
          <w:rFonts w:ascii="Arial" w:hAnsi="Arial" w:cs="Arial"/>
          <w:color w:val="auto"/>
          <w:sz w:val="20"/>
          <w:szCs w:val="20"/>
        </w:rPr>
        <w:t>.</w:t>
      </w:r>
    </w:p>
    <w:p w14:paraId="7B5D6E3B" w14:textId="5C5477FB" w:rsidR="008E4D84" w:rsidRPr="00D66697" w:rsidRDefault="008E4D84" w:rsidP="008E4D84">
      <w:pPr>
        <w:pStyle w:val="Default"/>
        <w:numPr>
          <w:ilvl w:val="0"/>
          <w:numId w:val="35"/>
        </w:numPr>
        <w:spacing w:after="240" w:line="320" w:lineRule="exact"/>
        <w:jc w:val="both"/>
        <w:rPr>
          <w:rFonts w:ascii="Arial" w:hAnsi="Arial" w:cs="Arial"/>
          <w:color w:val="auto"/>
          <w:sz w:val="20"/>
          <w:szCs w:val="20"/>
        </w:rPr>
      </w:pPr>
      <w:r w:rsidRPr="00D66697">
        <w:rPr>
          <w:rFonts w:ascii="Arial" w:hAnsi="Arial" w:cs="Arial"/>
          <w:color w:val="auto"/>
          <w:sz w:val="20"/>
          <w:szCs w:val="20"/>
        </w:rPr>
        <w:t>Za funkcjonowanie kontroli zarządczej i audytu wewnętrznego odpowiada Dyrektor Generalny KPRM.</w:t>
      </w:r>
    </w:p>
    <w:p w14:paraId="3B2A6319" w14:textId="77777777" w:rsidR="00785411" w:rsidRPr="00D66697" w:rsidRDefault="00785411" w:rsidP="008E489E">
      <w:pPr>
        <w:pStyle w:val="Default"/>
        <w:spacing w:after="240" w:line="320" w:lineRule="exact"/>
        <w:ind w:left="426"/>
        <w:jc w:val="both"/>
        <w:rPr>
          <w:rFonts w:ascii="Arial" w:hAnsi="Arial" w:cs="Arial"/>
          <w:color w:val="auto"/>
          <w:sz w:val="20"/>
          <w:szCs w:val="20"/>
        </w:rPr>
      </w:pPr>
    </w:p>
    <w:p w14:paraId="64288BCC" w14:textId="1C3D2E09" w:rsidR="00EE61EF" w:rsidRPr="00D66697" w:rsidRDefault="005B6156" w:rsidP="00EE61EF">
      <w:pPr>
        <w:pStyle w:val="Default"/>
        <w:spacing w:after="120" w:line="320" w:lineRule="exact"/>
        <w:ind w:left="284"/>
        <w:jc w:val="center"/>
        <w:rPr>
          <w:rFonts w:ascii="Arial" w:hAnsi="Arial" w:cs="Arial"/>
          <w:b/>
          <w:bCs/>
          <w:color w:val="auto"/>
          <w:sz w:val="20"/>
          <w:szCs w:val="20"/>
          <w:u w:val="single"/>
        </w:rPr>
      </w:pPr>
      <w:r w:rsidRPr="00D66697">
        <w:rPr>
          <w:rFonts w:ascii="Arial" w:hAnsi="Arial" w:cs="Arial"/>
          <w:b/>
          <w:bCs/>
          <w:color w:val="auto"/>
          <w:sz w:val="20"/>
          <w:szCs w:val="20"/>
          <w:u w:val="single"/>
        </w:rPr>
        <w:t>Nadużycie finansowe</w:t>
      </w:r>
    </w:p>
    <w:p w14:paraId="02880986" w14:textId="77777777" w:rsidR="00EE61EF" w:rsidRPr="00D66697" w:rsidRDefault="00EE61EF" w:rsidP="00EE61EF">
      <w:pPr>
        <w:pStyle w:val="Default"/>
        <w:spacing w:after="120" w:line="320" w:lineRule="exact"/>
        <w:ind w:left="284"/>
        <w:jc w:val="center"/>
        <w:rPr>
          <w:rFonts w:ascii="Arial" w:hAnsi="Arial" w:cs="Arial"/>
          <w:color w:val="auto"/>
          <w:sz w:val="20"/>
          <w:szCs w:val="20"/>
        </w:rPr>
      </w:pPr>
      <w:r w:rsidRPr="00D66697">
        <w:rPr>
          <w:rFonts w:ascii="Arial" w:hAnsi="Arial" w:cs="Arial"/>
          <w:b/>
          <w:bCs/>
          <w:color w:val="auto"/>
          <w:sz w:val="20"/>
          <w:szCs w:val="20"/>
        </w:rPr>
        <w:t xml:space="preserve">§ </w:t>
      </w:r>
      <w:r w:rsidR="001478C0" w:rsidRPr="00D66697">
        <w:rPr>
          <w:rFonts w:ascii="Arial" w:hAnsi="Arial" w:cs="Arial"/>
          <w:b/>
          <w:bCs/>
          <w:color w:val="auto"/>
          <w:sz w:val="20"/>
          <w:szCs w:val="20"/>
        </w:rPr>
        <w:t>4</w:t>
      </w:r>
    </w:p>
    <w:p w14:paraId="34042A53" w14:textId="63B539F4" w:rsidR="00AD1C34" w:rsidRPr="00D66697" w:rsidRDefault="005B6156" w:rsidP="005B6156">
      <w:pPr>
        <w:pStyle w:val="Default"/>
        <w:numPr>
          <w:ilvl w:val="0"/>
          <w:numId w:val="18"/>
        </w:numPr>
        <w:spacing w:after="240" w:line="320" w:lineRule="exact"/>
        <w:jc w:val="both"/>
        <w:rPr>
          <w:rFonts w:ascii="Arial" w:hAnsi="Arial" w:cs="Arial"/>
          <w:color w:val="000000" w:themeColor="text1"/>
          <w:sz w:val="20"/>
          <w:szCs w:val="20"/>
        </w:rPr>
      </w:pPr>
      <w:r w:rsidRPr="00D66697">
        <w:rPr>
          <w:rFonts w:ascii="Arial" w:hAnsi="Arial" w:cs="Arial"/>
          <w:color w:val="000000" w:themeColor="text1"/>
          <w:sz w:val="20"/>
          <w:szCs w:val="20"/>
        </w:rPr>
        <w:t>Z</w:t>
      </w:r>
      <w:r w:rsidR="00AD1C34" w:rsidRPr="00D66697">
        <w:rPr>
          <w:rFonts w:ascii="Arial" w:hAnsi="Arial" w:cs="Arial"/>
          <w:color w:val="000000" w:themeColor="text1"/>
          <w:sz w:val="20"/>
          <w:szCs w:val="20"/>
        </w:rPr>
        <w:t>godnie z art. 3 ust. 2 Dyrektywy Parlamentu Europejskiego i Rady (UE) 2017/1371 z dnia 5</w:t>
      </w:r>
      <w:r w:rsidR="003F539F" w:rsidRPr="00D66697">
        <w:rPr>
          <w:rFonts w:ascii="Arial" w:hAnsi="Arial" w:cs="Arial"/>
          <w:color w:val="000000" w:themeColor="text1"/>
          <w:sz w:val="20"/>
          <w:szCs w:val="20"/>
        </w:rPr>
        <w:t> </w:t>
      </w:r>
      <w:r w:rsidR="00AD1C34" w:rsidRPr="00D66697">
        <w:rPr>
          <w:rFonts w:ascii="Arial" w:hAnsi="Arial" w:cs="Arial"/>
          <w:color w:val="000000" w:themeColor="text1"/>
          <w:sz w:val="20"/>
          <w:szCs w:val="20"/>
        </w:rPr>
        <w:t>lipca 2017 r. w sprawie zwalczania za pośrednictwem prawa karnego nadużyć na szkodę interesów finansowych Unii</w:t>
      </w:r>
      <w:r w:rsidR="002B3842">
        <w:rPr>
          <w:rFonts w:ascii="Arial" w:hAnsi="Arial" w:cs="Arial"/>
          <w:color w:val="000000" w:themeColor="text1"/>
          <w:sz w:val="20"/>
          <w:szCs w:val="20"/>
        </w:rPr>
        <w:t>,</w:t>
      </w:r>
      <w:r w:rsidR="00AD1C34" w:rsidRPr="00D66697">
        <w:rPr>
          <w:rFonts w:ascii="Arial" w:hAnsi="Arial" w:cs="Arial"/>
          <w:color w:val="000000" w:themeColor="text1"/>
          <w:sz w:val="20"/>
          <w:szCs w:val="20"/>
        </w:rPr>
        <w:t xml:space="preserve"> </w:t>
      </w:r>
      <w:r w:rsidR="001F2F4A">
        <w:rPr>
          <w:rFonts w:ascii="Arial" w:hAnsi="Arial" w:cs="Arial"/>
          <w:color w:val="000000" w:themeColor="text1"/>
          <w:sz w:val="20"/>
          <w:szCs w:val="20"/>
        </w:rPr>
        <w:t>z</w:t>
      </w:r>
      <w:r w:rsidR="00AD1C34" w:rsidRPr="00D66697">
        <w:rPr>
          <w:rFonts w:ascii="Arial" w:hAnsi="Arial" w:cs="Arial"/>
          <w:color w:val="000000" w:themeColor="text1"/>
          <w:sz w:val="20"/>
          <w:szCs w:val="20"/>
        </w:rPr>
        <w:t>a nadużycie naruszające interesy finansowe Unii uważa się:</w:t>
      </w:r>
    </w:p>
    <w:p w14:paraId="1ED8810E" w14:textId="77C7053F"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a) w odniesieniu do wydatków niewiązanych z zamówieniami publicznymi – działanie lub</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zaniechanie odnoszące się do:</w:t>
      </w:r>
    </w:p>
    <w:p w14:paraId="72DBB3D3" w14:textId="0CDC9234"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i. wykorzystywania lub przedstawiania nieprawdziwych, niepoprawnych lub niepełnych oświadczeń lub dokumentów, skutkującego sprzeniewierzeniem lub bezprawnym zatrzymaniem środków finansowych lub aktywów z budżetu Unii lub z budżetów, którymi Unia zarządza lub</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którymi zarządza się w jej imieniu;</w:t>
      </w:r>
    </w:p>
    <w:p w14:paraId="718E9944" w14:textId="77777777"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ii. nieujawnienia informacji z naruszeniem szczególnego obowiązku, z tym samym skutkiem;</w:t>
      </w:r>
    </w:p>
    <w:p w14:paraId="069AAA09" w14:textId="77777777"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lub</w:t>
      </w:r>
    </w:p>
    <w:p w14:paraId="148D425C" w14:textId="175951F3" w:rsidR="00AD1C34" w:rsidRPr="00D66697" w:rsidRDefault="00AD1C34" w:rsidP="00D66697">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iii. niewłaściwego wykorzystania takich środków finansowych lub aktywów do celów innych niż</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te, na które pierwotnie zostały przyznane;</w:t>
      </w:r>
    </w:p>
    <w:p w14:paraId="0A3778B3" w14:textId="5B1260E2"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lastRenderedPageBreak/>
        <w:t>b) w odniesieniu do wydatków związanych z zamówieniami publicznymi, co najmniej w</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przypadkach, w których dopuszczono się ich w celu uzyskania przez sprawcę lub inną osobę bezprawnych korzyści powodujących stratę w interesach finansowych Unii – działanie lub</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zaniechanie odnoszące się do:</w:t>
      </w:r>
    </w:p>
    <w:p w14:paraId="0D1E2420" w14:textId="09C591D8"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i. wykorzystywania lub przedstawiania nieprawdziwych, niepoprawnych lub niepełnych oświadczeń lub dokumentów, skutkującego sprzeniewierzeniem lub bezprawnym zatrzymaniem środków finansowych lub aktywów z budżetu Unii lub z budżetów, którymi Unia zarządza lub</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którymi zarządza się w jej imieniu;</w:t>
      </w:r>
    </w:p>
    <w:p w14:paraId="585CA2D6" w14:textId="77777777"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ii. nieujawnienia informacji z naruszeniem szczególnego obowiązku, z tym samym skutkiem;</w:t>
      </w:r>
    </w:p>
    <w:p w14:paraId="74DFC2F5" w14:textId="77777777"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lub</w:t>
      </w:r>
    </w:p>
    <w:p w14:paraId="47471B54" w14:textId="6A734774" w:rsidR="00AD1C34" w:rsidRPr="00D66697" w:rsidRDefault="00AD1C34" w:rsidP="00AD1C34">
      <w:pPr>
        <w:pStyle w:val="Default"/>
        <w:spacing w:after="120" w:line="360" w:lineRule="auto"/>
        <w:ind w:left="644"/>
        <w:jc w:val="both"/>
        <w:rPr>
          <w:rFonts w:ascii="Arial" w:hAnsi="Arial" w:cs="Arial"/>
          <w:color w:val="000000" w:themeColor="text1"/>
          <w:sz w:val="20"/>
          <w:szCs w:val="20"/>
        </w:rPr>
      </w:pPr>
      <w:r w:rsidRPr="00D66697">
        <w:rPr>
          <w:rFonts w:ascii="Arial" w:hAnsi="Arial" w:cs="Arial"/>
          <w:color w:val="000000" w:themeColor="text1"/>
          <w:sz w:val="20"/>
          <w:szCs w:val="20"/>
        </w:rPr>
        <w:t>iii. niewłaściwego wykorzystania takich środków finansowych lub aktywów do celów innych niż</w:t>
      </w:r>
      <w:r w:rsidR="003F539F" w:rsidRPr="00D66697">
        <w:rPr>
          <w:rFonts w:ascii="Arial" w:hAnsi="Arial" w:cs="Arial"/>
          <w:color w:val="000000" w:themeColor="text1"/>
          <w:sz w:val="20"/>
          <w:szCs w:val="20"/>
        </w:rPr>
        <w:t> </w:t>
      </w:r>
      <w:r w:rsidRPr="00D66697">
        <w:rPr>
          <w:rFonts w:ascii="Arial" w:hAnsi="Arial" w:cs="Arial"/>
          <w:color w:val="000000" w:themeColor="text1"/>
          <w:sz w:val="20"/>
          <w:szCs w:val="20"/>
        </w:rPr>
        <w:t>te, na które pierwotnie zostały przyznane, ze szkodą dla interesów finansowych Unii.</w:t>
      </w:r>
    </w:p>
    <w:p w14:paraId="6A684EA3" w14:textId="002557A3" w:rsidR="00C47896" w:rsidRDefault="005B6156" w:rsidP="005B6156">
      <w:pPr>
        <w:pStyle w:val="Default"/>
        <w:numPr>
          <w:ilvl w:val="0"/>
          <w:numId w:val="18"/>
        </w:numPr>
        <w:spacing w:after="240" w:line="320" w:lineRule="exact"/>
        <w:jc w:val="both"/>
        <w:rPr>
          <w:rFonts w:ascii="Arial" w:hAnsi="Arial" w:cs="Arial"/>
          <w:color w:val="auto"/>
          <w:sz w:val="20"/>
          <w:szCs w:val="20"/>
        </w:rPr>
      </w:pPr>
      <w:r>
        <w:rPr>
          <w:rFonts w:ascii="Arial" w:hAnsi="Arial" w:cs="Arial"/>
          <w:color w:val="auto"/>
          <w:sz w:val="20"/>
          <w:szCs w:val="20"/>
        </w:rPr>
        <w:t>O</w:t>
      </w:r>
      <w:r w:rsidR="00C47896" w:rsidRPr="00785411">
        <w:rPr>
          <w:rFonts w:ascii="Arial" w:hAnsi="Arial" w:cs="Arial"/>
          <w:color w:val="auto"/>
          <w:sz w:val="20"/>
          <w:szCs w:val="20"/>
        </w:rPr>
        <w:t xml:space="preserve">kreślenie „nadużycie finansowe” należy również rozumieć w jego potocznym </w:t>
      </w:r>
      <w:r w:rsidR="00C47896" w:rsidRPr="005B6156">
        <w:rPr>
          <w:rFonts w:ascii="Arial" w:hAnsi="Arial" w:cs="Arial"/>
          <w:color w:val="auto"/>
          <w:sz w:val="20"/>
          <w:szCs w:val="20"/>
        </w:rPr>
        <w:t>znaczeniu</w:t>
      </w:r>
      <w:r w:rsidR="00C47896" w:rsidRPr="00785411">
        <w:rPr>
          <w:rFonts w:ascii="Arial" w:hAnsi="Arial" w:cs="Arial"/>
          <w:color w:val="auto"/>
          <w:sz w:val="20"/>
          <w:szCs w:val="20"/>
        </w:rPr>
        <w:t xml:space="preserve">, tj. jako szereg różnych czynów zabronionych, takich jak: kradzież, korupcja, przywłaszczenie, fałszerstwo, wprowadzenie w błąd, zmowa, pranie pieniędzy oraz zatajenie istotnych faktów, przy czym może mieć na celu osiągnięcie osobistych korzyści, zapewnienie korzyści powiązanej osobie czy też narażenie kogoś na stratę.  </w:t>
      </w:r>
    </w:p>
    <w:p w14:paraId="04803699" w14:textId="77777777" w:rsidR="005B6156" w:rsidRDefault="005B6156" w:rsidP="005B6156">
      <w:pPr>
        <w:pStyle w:val="Default"/>
        <w:numPr>
          <w:ilvl w:val="0"/>
          <w:numId w:val="18"/>
        </w:numPr>
        <w:spacing w:after="240" w:line="320" w:lineRule="exact"/>
        <w:jc w:val="both"/>
        <w:rPr>
          <w:rFonts w:ascii="Arial" w:hAnsi="Arial" w:cs="Arial"/>
          <w:bCs/>
          <w:color w:val="auto"/>
          <w:sz w:val="20"/>
          <w:szCs w:val="20"/>
        </w:rPr>
      </w:pPr>
      <w:r w:rsidRPr="00D66697">
        <w:rPr>
          <w:rFonts w:ascii="Arial" w:hAnsi="Arial" w:cs="Arial"/>
          <w:color w:val="auto"/>
          <w:sz w:val="20"/>
          <w:szCs w:val="20"/>
        </w:rPr>
        <w:t>Niniejsza</w:t>
      </w:r>
      <w:r w:rsidRPr="00D66697">
        <w:rPr>
          <w:rFonts w:ascii="Arial" w:hAnsi="Arial" w:cs="Arial"/>
          <w:bCs/>
          <w:color w:val="auto"/>
          <w:sz w:val="20"/>
          <w:szCs w:val="20"/>
        </w:rPr>
        <w:t xml:space="preserve"> </w:t>
      </w:r>
      <w:r w:rsidRPr="00D66697">
        <w:rPr>
          <w:rFonts w:ascii="Arial" w:hAnsi="Arial" w:cs="Arial"/>
          <w:color w:val="auto"/>
          <w:sz w:val="20"/>
          <w:szCs w:val="20"/>
        </w:rPr>
        <w:t>Polityka</w:t>
      </w:r>
      <w:r w:rsidRPr="00D66697">
        <w:rPr>
          <w:rFonts w:ascii="Arial" w:hAnsi="Arial" w:cs="Arial"/>
          <w:bCs/>
          <w:color w:val="auto"/>
          <w:sz w:val="20"/>
          <w:szCs w:val="20"/>
        </w:rPr>
        <w:t xml:space="preserve"> ma zastosowanie do nadużyć finansowych w zakresie działań z obszaru wdrażania funduszy Unii Europejskiej, za które odpowiada Szef KPRM, jak również sytuacji, w których istnieje podejrzenie zaistnienia nadużycia finansowego. </w:t>
      </w:r>
    </w:p>
    <w:p w14:paraId="78FDBD55" w14:textId="77777777" w:rsidR="005B6156" w:rsidRPr="00D66697" w:rsidRDefault="005B6156" w:rsidP="00C47896">
      <w:pPr>
        <w:pStyle w:val="Default"/>
        <w:spacing w:after="120" w:line="276" w:lineRule="auto"/>
        <w:ind w:left="644"/>
        <w:jc w:val="both"/>
        <w:rPr>
          <w:rFonts w:ascii="Arial" w:hAnsi="Arial" w:cs="Arial"/>
          <w:color w:val="000000" w:themeColor="text1"/>
          <w:sz w:val="20"/>
          <w:szCs w:val="20"/>
        </w:rPr>
      </w:pPr>
    </w:p>
    <w:p w14:paraId="38EC2A06" w14:textId="6DE75B0B" w:rsidR="005B6156" w:rsidRPr="00D66697" w:rsidRDefault="005B6156" w:rsidP="005B6156">
      <w:pPr>
        <w:pStyle w:val="Default"/>
        <w:spacing w:after="120" w:line="320" w:lineRule="exact"/>
        <w:ind w:left="284"/>
        <w:jc w:val="center"/>
        <w:rPr>
          <w:rFonts w:ascii="Arial" w:hAnsi="Arial" w:cs="Arial"/>
          <w:b/>
          <w:bCs/>
          <w:color w:val="000000" w:themeColor="text1"/>
          <w:sz w:val="20"/>
          <w:szCs w:val="20"/>
          <w:u w:val="single"/>
        </w:rPr>
      </w:pPr>
      <w:r w:rsidRPr="00D66697">
        <w:rPr>
          <w:rFonts w:ascii="Arial" w:hAnsi="Arial" w:cs="Arial"/>
          <w:b/>
          <w:bCs/>
          <w:color w:val="000000" w:themeColor="text1"/>
          <w:sz w:val="20"/>
          <w:szCs w:val="20"/>
          <w:u w:val="single"/>
        </w:rPr>
        <w:t>Korupcja</w:t>
      </w:r>
    </w:p>
    <w:p w14:paraId="57150AC9" w14:textId="1FBA9C42" w:rsidR="005B6156" w:rsidRPr="00D66697" w:rsidRDefault="005B6156" w:rsidP="005B6156">
      <w:pPr>
        <w:pStyle w:val="Default"/>
        <w:spacing w:after="120" w:line="320" w:lineRule="exact"/>
        <w:ind w:left="284"/>
        <w:jc w:val="center"/>
        <w:rPr>
          <w:rFonts w:ascii="Arial" w:hAnsi="Arial" w:cs="Arial"/>
          <w:color w:val="000000" w:themeColor="text1"/>
          <w:sz w:val="20"/>
          <w:szCs w:val="20"/>
        </w:rPr>
      </w:pPr>
      <w:r w:rsidRPr="00D66697">
        <w:rPr>
          <w:rFonts w:ascii="Arial" w:hAnsi="Arial" w:cs="Arial"/>
          <w:b/>
          <w:bCs/>
          <w:color w:val="000000" w:themeColor="text1"/>
          <w:sz w:val="20"/>
          <w:szCs w:val="20"/>
        </w:rPr>
        <w:t>§ 5</w:t>
      </w:r>
    </w:p>
    <w:p w14:paraId="397CBE8A" w14:textId="1BA6F8B0" w:rsidR="00AD1C34" w:rsidRPr="00D66697" w:rsidRDefault="005B6156" w:rsidP="005B6156">
      <w:pPr>
        <w:pStyle w:val="Default"/>
        <w:spacing w:after="120" w:line="320" w:lineRule="exact"/>
        <w:ind w:left="644"/>
        <w:jc w:val="both"/>
        <w:rPr>
          <w:rFonts w:ascii="Arial" w:hAnsi="Arial" w:cs="Arial"/>
          <w:color w:val="000000" w:themeColor="text1"/>
          <w:sz w:val="20"/>
          <w:szCs w:val="20"/>
        </w:rPr>
      </w:pPr>
      <w:r w:rsidRPr="00D66697">
        <w:rPr>
          <w:rFonts w:ascii="Arial" w:hAnsi="Arial" w:cs="Arial"/>
          <w:color w:val="000000" w:themeColor="text1"/>
          <w:sz w:val="20"/>
          <w:szCs w:val="20"/>
        </w:rPr>
        <w:t>Z</w:t>
      </w:r>
      <w:r w:rsidR="00AD1C34" w:rsidRPr="00D66697">
        <w:rPr>
          <w:rFonts w:ascii="Arial" w:hAnsi="Arial" w:cs="Arial"/>
          <w:color w:val="000000" w:themeColor="text1"/>
          <w:sz w:val="20"/>
          <w:szCs w:val="20"/>
        </w:rPr>
        <w:t>godnie z art. 1 ust. 3a ustawy o Centralnym Biurze Antykorupcyjnym, korupcja oznacza czyn:</w:t>
      </w:r>
    </w:p>
    <w:p w14:paraId="01A681FD" w14:textId="77777777" w:rsidR="00AD1C34" w:rsidRPr="00D66697" w:rsidRDefault="00AD1C34" w:rsidP="00AD1C34">
      <w:pPr>
        <w:pStyle w:val="Default"/>
        <w:spacing w:after="240" w:line="320" w:lineRule="exact"/>
        <w:ind w:left="644"/>
        <w:jc w:val="both"/>
        <w:rPr>
          <w:rFonts w:ascii="Arial" w:hAnsi="Arial" w:cs="Arial"/>
          <w:bCs/>
          <w:color w:val="000000" w:themeColor="text1"/>
          <w:sz w:val="20"/>
          <w:szCs w:val="20"/>
        </w:rPr>
      </w:pPr>
      <w:r w:rsidRPr="00D66697">
        <w:rPr>
          <w:rFonts w:ascii="Arial" w:hAnsi="Arial" w:cs="Arial"/>
          <w:bCs/>
          <w:color w:val="000000" w:themeColor="text1"/>
          <w:sz w:val="20"/>
          <w:szCs w:val="20"/>
        </w:rPr>
        <w:t xml:space="preserve">a) polegający na obiecywaniu, proponowaniu lub wręczaniu przez jakąkolwiek osobę, bezpośrednio lub pośrednio, jakichkolwiek nienależnych korzyści osobie pełniącej funkcję publiczną dla niej samej lub dla jakiejkolwiek innej osoby, w zamian za działanie lub zaniechanie działania w wykonywaniu jej funkcji; </w:t>
      </w:r>
    </w:p>
    <w:p w14:paraId="6BD56FD2" w14:textId="77777777" w:rsidR="00AD1C34" w:rsidRPr="00D66697" w:rsidRDefault="00AD1C34" w:rsidP="00AD1C34">
      <w:pPr>
        <w:pStyle w:val="Default"/>
        <w:spacing w:after="240" w:line="320" w:lineRule="exact"/>
        <w:ind w:left="644"/>
        <w:jc w:val="both"/>
        <w:rPr>
          <w:rFonts w:ascii="Arial" w:hAnsi="Arial" w:cs="Arial"/>
          <w:bCs/>
          <w:color w:val="000000" w:themeColor="text1"/>
          <w:sz w:val="20"/>
          <w:szCs w:val="20"/>
        </w:rPr>
      </w:pPr>
      <w:r w:rsidRPr="00D66697">
        <w:rPr>
          <w:rFonts w:ascii="Arial" w:hAnsi="Arial" w:cs="Arial"/>
          <w:bCs/>
          <w:color w:val="000000" w:themeColor="text1"/>
          <w:sz w:val="20"/>
          <w:szCs w:val="20"/>
        </w:rPr>
        <w:t>b) polegający na żądaniu lub przyjmowaniu przez osobę pełniącą funkcję publiczną bezpośrednio, lub pośrednio, jakichkolwiek nienależnych korzyści, dla niej samej lub dla jakiejkolwiek innej osoby, lub przyjmowaniu propozycji lub obietnicy takich korzyści, w zamian za działanie lub zaniechanie działania w wykonywaniu jej funkcji;</w:t>
      </w:r>
    </w:p>
    <w:p w14:paraId="762FABDF" w14:textId="5CED2D38" w:rsidR="00AD1C34" w:rsidRPr="00D66697" w:rsidRDefault="00AD1C34" w:rsidP="00AD1C34">
      <w:pPr>
        <w:pStyle w:val="Default"/>
        <w:spacing w:after="240" w:line="320" w:lineRule="exact"/>
        <w:ind w:left="644"/>
        <w:jc w:val="both"/>
        <w:rPr>
          <w:rFonts w:ascii="Arial" w:hAnsi="Arial" w:cs="Arial"/>
          <w:bCs/>
          <w:color w:val="000000" w:themeColor="text1"/>
          <w:sz w:val="20"/>
          <w:szCs w:val="20"/>
        </w:rPr>
      </w:pPr>
      <w:r w:rsidRPr="00D66697">
        <w:rPr>
          <w:rFonts w:ascii="Arial" w:hAnsi="Arial" w:cs="Arial"/>
          <w:bCs/>
          <w:color w:val="000000" w:themeColor="text1"/>
          <w:sz w:val="20"/>
          <w:szCs w:val="20"/>
        </w:rPr>
        <w:t xml:space="preserve">c) popełniany w toku działalności gospodarczej, obejmującej realizację zobowiązań względem władzy (instytucji) publicznej, polegający na obiecywaniu, proponowaniu lub wręczaniu, </w:t>
      </w:r>
      <w:r w:rsidRPr="00D66697">
        <w:rPr>
          <w:rFonts w:ascii="Arial" w:hAnsi="Arial" w:cs="Arial"/>
          <w:bCs/>
          <w:color w:val="000000" w:themeColor="text1"/>
          <w:sz w:val="20"/>
          <w:szCs w:val="20"/>
        </w:rPr>
        <w:lastRenderedPageBreak/>
        <w:t>bezpośrednio lub pośrednio, osobie kierującej jednostką niezaliczaną do sektora finansów publicznych lub pracującej w jakimkolwiek charakterze na rzecz takiej jednostki, jakichkolwiek nienależnych korzyści, dla niej samej lub na rzecz jakiejkolwiek innej osoby, w zamian za</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działanie lub zaniechanie działania, które narusza jej obowiązki i stanowi społecznie szkodliwe odwzajemnienie;</w:t>
      </w:r>
    </w:p>
    <w:p w14:paraId="1DE174A3" w14:textId="15BE88A4" w:rsidR="00AD1C34" w:rsidRPr="00D66697" w:rsidRDefault="00AD1C34" w:rsidP="00AD1C34">
      <w:pPr>
        <w:pStyle w:val="Default"/>
        <w:spacing w:after="240" w:line="320" w:lineRule="exact"/>
        <w:ind w:left="644"/>
        <w:jc w:val="both"/>
        <w:rPr>
          <w:rFonts w:ascii="Arial" w:hAnsi="Arial" w:cs="Arial"/>
          <w:bCs/>
          <w:color w:val="000000" w:themeColor="text1"/>
          <w:sz w:val="20"/>
          <w:szCs w:val="20"/>
        </w:rPr>
      </w:pPr>
      <w:r w:rsidRPr="00D66697">
        <w:rPr>
          <w:rFonts w:ascii="Arial" w:hAnsi="Arial" w:cs="Arial"/>
          <w:bCs/>
          <w:color w:val="000000" w:themeColor="text1"/>
          <w:sz w:val="20"/>
          <w:szCs w:val="20"/>
        </w:rPr>
        <w:t>d) popełniany w toku działalności gospodarczej obejmującej realizację zobowiązań względem władzy (instytucji) publicznej, polegający na żądaniu lub przyjmowaniu bezpośrednio lub</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pośrednio przez osobę kierującą jednostką niezaliczaną do sektora finansów publicznych lub</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pracującą w jakimkolwiek charakterze na rzecz takiej jednostki, jakichkolwiek nienależnych korzyści lub przyjmowaniu propozycji lub obietnicy takich korzyści dla niej samej lub</w:t>
      </w:r>
      <w:r w:rsidR="00387B3D">
        <w:rPr>
          <w:rFonts w:ascii="Arial" w:hAnsi="Arial" w:cs="Arial"/>
          <w:bCs/>
          <w:color w:val="000000" w:themeColor="text1"/>
          <w:sz w:val="20"/>
          <w:szCs w:val="20"/>
        </w:rPr>
        <w:t> </w:t>
      </w:r>
      <w:r w:rsidRPr="00D66697">
        <w:rPr>
          <w:rFonts w:ascii="Arial" w:hAnsi="Arial" w:cs="Arial"/>
          <w:bCs/>
          <w:color w:val="000000" w:themeColor="text1"/>
          <w:sz w:val="20"/>
          <w:szCs w:val="20"/>
        </w:rPr>
        <w:t>dla</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jakiejkolwiek innej osoby, w zamian za działanie lub zaniechanie działania, które narusza jej</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 xml:space="preserve">obowiązki i stanowi społecznie szkodliwe odwzajemnienie. </w:t>
      </w:r>
    </w:p>
    <w:p w14:paraId="1E083863" w14:textId="77777777" w:rsidR="001F2F4A" w:rsidRDefault="001F2F4A" w:rsidP="005B6156">
      <w:pPr>
        <w:pStyle w:val="Default"/>
        <w:spacing w:after="120" w:line="320" w:lineRule="exact"/>
        <w:ind w:left="284"/>
        <w:jc w:val="center"/>
        <w:rPr>
          <w:rFonts w:ascii="Arial" w:hAnsi="Arial" w:cs="Arial"/>
          <w:b/>
          <w:bCs/>
          <w:color w:val="auto"/>
          <w:sz w:val="20"/>
          <w:szCs w:val="20"/>
          <w:u w:val="single"/>
        </w:rPr>
      </w:pPr>
    </w:p>
    <w:p w14:paraId="4CDF064E" w14:textId="63891C1C" w:rsidR="005B6156" w:rsidRPr="00785411" w:rsidRDefault="005B6156" w:rsidP="005B6156">
      <w:pPr>
        <w:pStyle w:val="Default"/>
        <w:spacing w:after="120" w:line="320" w:lineRule="exact"/>
        <w:ind w:left="284"/>
        <w:jc w:val="center"/>
        <w:rPr>
          <w:rFonts w:ascii="Arial" w:hAnsi="Arial" w:cs="Arial"/>
          <w:b/>
          <w:bCs/>
          <w:color w:val="auto"/>
          <w:sz w:val="20"/>
          <w:szCs w:val="20"/>
          <w:u w:val="single"/>
        </w:rPr>
      </w:pPr>
      <w:r>
        <w:rPr>
          <w:rFonts w:ascii="Arial" w:hAnsi="Arial" w:cs="Arial"/>
          <w:b/>
          <w:bCs/>
          <w:color w:val="auto"/>
          <w:sz w:val="20"/>
          <w:szCs w:val="20"/>
          <w:u w:val="single"/>
        </w:rPr>
        <w:t>Podwójne finansowanie</w:t>
      </w:r>
    </w:p>
    <w:p w14:paraId="2301CA62" w14:textId="183752C9" w:rsidR="005B6156" w:rsidRPr="00785411" w:rsidRDefault="005B6156" w:rsidP="005B6156">
      <w:pPr>
        <w:pStyle w:val="Default"/>
        <w:spacing w:after="120" w:line="320" w:lineRule="exact"/>
        <w:ind w:left="284"/>
        <w:jc w:val="center"/>
        <w:rPr>
          <w:rFonts w:ascii="Arial" w:hAnsi="Arial" w:cs="Arial"/>
          <w:color w:val="auto"/>
          <w:sz w:val="20"/>
          <w:szCs w:val="20"/>
        </w:rPr>
      </w:pPr>
      <w:r w:rsidRPr="00785411">
        <w:rPr>
          <w:rFonts w:ascii="Arial" w:hAnsi="Arial" w:cs="Arial"/>
          <w:b/>
          <w:bCs/>
          <w:color w:val="auto"/>
          <w:sz w:val="20"/>
          <w:szCs w:val="20"/>
        </w:rPr>
        <w:t xml:space="preserve">§ </w:t>
      </w:r>
      <w:r>
        <w:rPr>
          <w:rFonts w:ascii="Arial" w:hAnsi="Arial" w:cs="Arial"/>
          <w:b/>
          <w:bCs/>
          <w:color w:val="auto"/>
          <w:sz w:val="20"/>
          <w:szCs w:val="20"/>
        </w:rPr>
        <w:t>6</w:t>
      </w:r>
    </w:p>
    <w:p w14:paraId="52DE1506" w14:textId="77777777" w:rsidR="00F82274" w:rsidRPr="00D66697" w:rsidRDefault="00F82274" w:rsidP="00D66697">
      <w:pPr>
        <w:pStyle w:val="Default"/>
        <w:spacing w:after="240" w:line="320" w:lineRule="exact"/>
        <w:ind w:left="644"/>
        <w:jc w:val="both"/>
        <w:rPr>
          <w:rFonts w:ascii="Arial" w:hAnsi="Arial" w:cs="Arial"/>
          <w:bCs/>
          <w:color w:val="000000" w:themeColor="text1"/>
          <w:sz w:val="20"/>
          <w:szCs w:val="20"/>
        </w:rPr>
      </w:pPr>
      <w:r w:rsidRPr="00D66697">
        <w:rPr>
          <w:rFonts w:ascii="Arial" w:hAnsi="Arial" w:cs="Arial"/>
          <w:color w:val="auto"/>
          <w:sz w:val="20"/>
          <w:szCs w:val="20"/>
        </w:rPr>
        <w:t>Podwójne</w:t>
      </w:r>
      <w:r w:rsidRPr="00D66697">
        <w:rPr>
          <w:rFonts w:ascii="Arial" w:hAnsi="Arial" w:cs="Arial"/>
          <w:b/>
          <w:color w:val="548DD4" w:themeColor="text2" w:themeTint="99"/>
          <w:sz w:val="20"/>
          <w:szCs w:val="20"/>
        </w:rPr>
        <w:t xml:space="preserve"> </w:t>
      </w:r>
      <w:r w:rsidRPr="00D66697">
        <w:rPr>
          <w:rFonts w:ascii="Arial" w:hAnsi="Arial" w:cs="Arial"/>
          <w:bCs/>
          <w:color w:val="000000" w:themeColor="text1"/>
          <w:sz w:val="20"/>
          <w:szCs w:val="20"/>
        </w:rPr>
        <w:t>finansowanie wydatku oznacza w szczególności:</w:t>
      </w:r>
    </w:p>
    <w:p w14:paraId="2CD96823" w14:textId="77777777" w:rsidR="00F82274" w:rsidRPr="00D66697" w:rsidRDefault="00F82274" w:rsidP="00F82274">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a) więcej niż jednokrotne przedstawienie do rozliczenia tego samego wydatku albo tej samej części wydatku ze środków UE w jakiejkolwiek formie (w szczególności dotacji, pożyczki, gwarancji/poręczenia),</w:t>
      </w:r>
    </w:p>
    <w:p w14:paraId="2B7CE234" w14:textId="4F780561" w:rsidR="00F82274" w:rsidRPr="00D66697" w:rsidRDefault="00F82274" w:rsidP="00F82274">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b) rozliczenie zakupu używanego środka trwałego, który był uprzednio współfinansowany z</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udziałem środków UE,</w:t>
      </w:r>
    </w:p>
    <w:p w14:paraId="70FEB669" w14:textId="77777777" w:rsidR="00F82274" w:rsidRPr="00D66697" w:rsidRDefault="00F82274" w:rsidP="00F82274">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c) rozliczenie kosztów amortyzacji środka trwałego uprzednio zakupionego z udziałem środków UE,</w:t>
      </w:r>
    </w:p>
    <w:p w14:paraId="76A8CBF5" w14:textId="63109342" w:rsidR="00F82274" w:rsidRPr="00D66697" w:rsidRDefault="00F82274" w:rsidP="00F82274">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d) rozliczenie wydatku poniesionego przez leasingodawcę na zakup przedmiotu leasingu w</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ramach leasingu finansowego, a następnie rozliczenie rat opłacanych przez beneficjenta w</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związku z leasingiem tego przedmiotu,</w:t>
      </w:r>
    </w:p>
    <w:p w14:paraId="44A572E9" w14:textId="50EBD648" w:rsidR="00F82274" w:rsidRPr="00D66697" w:rsidRDefault="00F82274" w:rsidP="00F82274">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e) objęcie kosztów kwalifikowalnych jednocześnie wsparciem w formie pożyczki i</w:t>
      </w:r>
      <w:r w:rsidR="003F539F" w:rsidRPr="00D66697">
        <w:rPr>
          <w:rFonts w:ascii="Arial" w:hAnsi="Arial" w:cs="Arial"/>
          <w:bCs/>
          <w:color w:val="000000" w:themeColor="text1"/>
          <w:sz w:val="20"/>
          <w:szCs w:val="20"/>
        </w:rPr>
        <w:t> </w:t>
      </w:r>
      <w:r w:rsidRPr="00D66697">
        <w:rPr>
          <w:rFonts w:ascii="Arial" w:hAnsi="Arial" w:cs="Arial"/>
          <w:bCs/>
          <w:color w:val="000000" w:themeColor="text1"/>
          <w:sz w:val="20"/>
          <w:szCs w:val="20"/>
        </w:rPr>
        <w:t>gwarancji/poręczenia,</w:t>
      </w:r>
    </w:p>
    <w:p w14:paraId="1A3626B2" w14:textId="77777777" w:rsidR="00F82274" w:rsidRPr="00D66697" w:rsidRDefault="00F82274" w:rsidP="00F82274">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f) rozliczenie tego samego wydatku w kosztach pośrednich projektu oraz kosztach bezpośrednich projektu,</w:t>
      </w:r>
    </w:p>
    <w:p w14:paraId="14AAFE76" w14:textId="3B0A0EE6" w:rsidR="00D66697" w:rsidRPr="000B571A" w:rsidRDefault="00F82274" w:rsidP="000B571A">
      <w:pPr>
        <w:pStyle w:val="Default"/>
        <w:spacing w:after="240" w:line="320" w:lineRule="exact"/>
        <w:ind w:left="720"/>
        <w:jc w:val="both"/>
        <w:rPr>
          <w:rFonts w:ascii="Arial" w:hAnsi="Arial" w:cs="Arial"/>
          <w:bCs/>
          <w:color w:val="000000" w:themeColor="text1"/>
          <w:sz w:val="20"/>
          <w:szCs w:val="20"/>
        </w:rPr>
      </w:pPr>
      <w:r w:rsidRPr="00D66697">
        <w:rPr>
          <w:rFonts w:ascii="Arial" w:hAnsi="Arial" w:cs="Arial"/>
          <w:bCs/>
          <w:color w:val="000000" w:themeColor="text1"/>
          <w:sz w:val="20"/>
          <w:szCs w:val="20"/>
        </w:rPr>
        <w:t>g) otrzymanie na wydatki kwalifikowalne danego projektu lub części projektu dotacji z kilku źródeł (krajowych, unijnych lub innych) w wysokości łącznie wyższej niż 100% wydatków kwalifikowalnych projektu lub części projektu.</w:t>
      </w:r>
    </w:p>
    <w:p w14:paraId="16F7BA8B" w14:textId="77777777" w:rsidR="001F2F4A" w:rsidRDefault="001F2F4A" w:rsidP="00D8080C">
      <w:pPr>
        <w:pStyle w:val="Default"/>
        <w:spacing w:after="120" w:line="320" w:lineRule="exact"/>
        <w:jc w:val="center"/>
        <w:rPr>
          <w:rFonts w:ascii="Arial" w:hAnsi="Arial" w:cs="Arial"/>
          <w:b/>
          <w:bCs/>
          <w:color w:val="auto"/>
          <w:sz w:val="20"/>
          <w:szCs w:val="20"/>
          <w:u w:val="single"/>
        </w:rPr>
      </w:pPr>
    </w:p>
    <w:p w14:paraId="7C8EE068" w14:textId="5100638B" w:rsidR="00D8080C" w:rsidRPr="00785411" w:rsidRDefault="00D8080C" w:rsidP="00D8080C">
      <w:pPr>
        <w:pStyle w:val="Default"/>
        <w:spacing w:after="120" w:line="320" w:lineRule="exact"/>
        <w:jc w:val="center"/>
        <w:rPr>
          <w:rFonts w:ascii="Arial" w:hAnsi="Arial" w:cs="Arial"/>
          <w:b/>
          <w:bCs/>
          <w:color w:val="auto"/>
          <w:sz w:val="20"/>
          <w:szCs w:val="20"/>
          <w:u w:val="single"/>
        </w:rPr>
      </w:pPr>
      <w:r w:rsidRPr="00785411">
        <w:rPr>
          <w:rFonts w:ascii="Arial" w:hAnsi="Arial" w:cs="Arial"/>
          <w:b/>
          <w:bCs/>
          <w:color w:val="auto"/>
          <w:sz w:val="20"/>
          <w:szCs w:val="20"/>
          <w:u w:val="single"/>
        </w:rPr>
        <w:t>Konflikt interesów</w:t>
      </w:r>
    </w:p>
    <w:p w14:paraId="1043E9B3" w14:textId="0E251A4D" w:rsidR="00D8080C" w:rsidRPr="00785411" w:rsidRDefault="00D8080C" w:rsidP="00D8080C">
      <w:pPr>
        <w:pStyle w:val="Default"/>
        <w:spacing w:after="120" w:line="320" w:lineRule="exact"/>
        <w:jc w:val="center"/>
        <w:rPr>
          <w:rFonts w:ascii="Arial" w:hAnsi="Arial" w:cs="Arial"/>
          <w:b/>
          <w:bCs/>
          <w:color w:val="auto"/>
          <w:sz w:val="20"/>
          <w:szCs w:val="20"/>
        </w:rPr>
      </w:pPr>
      <w:r w:rsidRPr="00785411">
        <w:rPr>
          <w:rFonts w:ascii="Arial" w:hAnsi="Arial" w:cs="Arial"/>
          <w:b/>
          <w:bCs/>
          <w:color w:val="auto"/>
          <w:sz w:val="20"/>
          <w:szCs w:val="20"/>
        </w:rPr>
        <w:t xml:space="preserve">§ </w:t>
      </w:r>
      <w:r w:rsidR="003F539F">
        <w:rPr>
          <w:rFonts w:ascii="Arial" w:hAnsi="Arial" w:cs="Arial"/>
          <w:b/>
          <w:bCs/>
          <w:color w:val="auto"/>
          <w:sz w:val="20"/>
          <w:szCs w:val="20"/>
        </w:rPr>
        <w:t>7</w:t>
      </w:r>
    </w:p>
    <w:p w14:paraId="18692B81" w14:textId="77777777" w:rsidR="00785411" w:rsidRDefault="000F0952" w:rsidP="00D8080C">
      <w:pPr>
        <w:pStyle w:val="Default"/>
        <w:numPr>
          <w:ilvl w:val="0"/>
          <w:numId w:val="26"/>
        </w:numPr>
        <w:spacing w:after="120" w:line="320" w:lineRule="exact"/>
        <w:jc w:val="both"/>
        <w:rPr>
          <w:rFonts w:ascii="Arial" w:hAnsi="Arial" w:cs="Arial"/>
          <w:bCs/>
          <w:color w:val="auto"/>
          <w:sz w:val="20"/>
          <w:szCs w:val="20"/>
        </w:rPr>
      </w:pPr>
      <w:r>
        <w:rPr>
          <w:rFonts w:ascii="Arial" w:hAnsi="Arial" w:cs="Arial"/>
          <w:bCs/>
          <w:color w:val="auto"/>
          <w:sz w:val="20"/>
          <w:szCs w:val="20"/>
        </w:rPr>
        <w:t>Konflikt interesów należy w szczególności rozumieć zgodnie z art. 61 rozporządzenia finansowego.</w:t>
      </w:r>
      <w:r>
        <w:rPr>
          <w:rStyle w:val="Odwoanieprzypisudolnego"/>
          <w:rFonts w:ascii="Arial" w:hAnsi="Arial" w:cs="Arial"/>
          <w:bCs/>
          <w:color w:val="auto"/>
          <w:sz w:val="20"/>
          <w:szCs w:val="20"/>
        </w:rPr>
        <w:footnoteReference w:id="3"/>
      </w:r>
      <w:r>
        <w:rPr>
          <w:rFonts w:ascii="Arial" w:hAnsi="Arial" w:cs="Arial"/>
          <w:bCs/>
          <w:color w:val="auto"/>
          <w:sz w:val="20"/>
          <w:szCs w:val="20"/>
        </w:rPr>
        <w:t xml:space="preserve"> Oznacza to zakaz jakichkolwiek działań, które mogą powodować powstanie konfliktu interesów z</w:t>
      </w:r>
      <w:r w:rsidR="00DE64B3">
        <w:rPr>
          <w:rFonts w:ascii="Arial" w:hAnsi="Arial" w:cs="Arial"/>
          <w:bCs/>
          <w:color w:val="auto"/>
          <w:sz w:val="20"/>
          <w:szCs w:val="20"/>
        </w:rPr>
        <w:t> </w:t>
      </w:r>
      <w:r>
        <w:rPr>
          <w:rFonts w:ascii="Arial" w:hAnsi="Arial" w:cs="Arial"/>
          <w:bCs/>
          <w:color w:val="auto"/>
          <w:sz w:val="20"/>
          <w:szCs w:val="20"/>
        </w:rPr>
        <w:t xml:space="preserve">interesami Unii Europejskiej, a także konieczność podejmowania odpowiednich środków, </w:t>
      </w:r>
      <w:r w:rsidRPr="000F0952">
        <w:rPr>
          <w:rFonts w:ascii="Arial" w:hAnsi="Arial" w:cs="Arial"/>
          <w:bCs/>
          <w:color w:val="auto"/>
          <w:sz w:val="20"/>
          <w:szCs w:val="20"/>
        </w:rPr>
        <w:t>aby zapobiegać powstaniu konfliktu interesów oraz aby zareagować na sytuacje, które obiektywnie można postrzegać jako konflikt interesów.</w:t>
      </w:r>
    </w:p>
    <w:p w14:paraId="15B6C58A" w14:textId="5E7AA2D0" w:rsidR="000F0952" w:rsidRDefault="000F0952" w:rsidP="00D8080C">
      <w:pPr>
        <w:pStyle w:val="Default"/>
        <w:numPr>
          <w:ilvl w:val="0"/>
          <w:numId w:val="26"/>
        </w:numPr>
        <w:spacing w:after="120" w:line="320" w:lineRule="exact"/>
        <w:jc w:val="both"/>
        <w:rPr>
          <w:rFonts w:ascii="Arial" w:hAnsi="Arial" w:cs="Arial"/>
          <w:bCs/>
          <w:color w:val="auto"/>
          <w:sz w:val="20"/>
          <w:szCs w:val="20"/>
        </w:rPr>
      </w:pPr>
      <w:r w:rsidRPr="000F0952">
        <w:rPr>
          <w:rFonts w:ascii="Arial" w:hAnsi="Arial" w:cs="Arial"/>
          <w:bCs/>
          <w:color w:val="auto"/>
          <w:sz w:val="20"/>
          <w:szCs w:val="20"/>
        </w:rPr>
        <w:t xml:space="preserve">Konflikt interesów istnieje wówczas, gdy bezstronne i obiektywne pełnienie funkcji </w:t>
      </w:r>
      <w:r w:rsidR="00B848BD">
        <w:rPr>
          <w:rFonts w:ascii="Arial" w:hAnsi="Arial" w:cs="Arial"/>
          <w:bCs/>
          <w:color w:val="auto"/>
          <w:sz w:val="20"/>
          <w:szCs w:val="20"/>
        </w:rPr>
        <w:t>Instytucji Pośredniczącej</w:t>
      </w:r>
      <w:r w:rsidRPr="000F0952">
        <w:rPr>
          <w:rFonts w:ascii="Arial" w:hAnsi="Arial" w:cs="Arial"/>
          <w:bCs/>
          <w:color w:val="auto"/>
          <w:sz w:val="20"/>
          <w:szCs w:val="20"/>
        </w:rPr>
        <w:t xml:space="preserve"> jest zagrożone z uwagi na względy rodzinne, emocjonalne, sympatie polityczne lub</w:t>
      </w:r>
      <w:r w:rsidR="003F539F">
        <w:rPr>
          <w:rFonts w:ascii="Arial" w:hAnsi="Arial" w:cs="Arial"/>
          <w:bCs/>
          <w:color w:val="auto"/>
          <w:sz w:val="20"/>
          <w:szCs w:val="20"/>
        </w:rPr>
        <w:t> </w:t>
      </w:r>
      <w:r w:rsidRPr="000F0952">
        <w:rPr>
          <w:rFonts w:ascii="Arial" w:hAnsi="Arial" w:cs="Arial"/>
          <w:bCs/>
          <w:color w:val="auto"/>
          <w:sz w:val="20"/>
          <w:szCs w:val="20"/>
        </w:rPr>
        <w:t xml:space="preserve">związki z jakimkolwiek krajem, interes gospodarczy lub jakiekolwiek inne bezpośrednie </w:t>
      </w:r>
      <w:r w:rsidR="00B848BD">
        <w:rPr>
          <w:rFonts w:ascii="Arial" w:hAnsi="Arial" w:cs="Arial"/>
          <w:bCs/>
          <w:color w:val="auto"/>
          <w:sz w:val="20"/>
          <w:szCs w:val="20"/>
        </w:rPr>
        <w:t>lub</w:t>
      </w:r>
      <w:r w:rsidR="003F539F">
        <w:rPr>
          <w:rFonts w:ascii="Arial" w:hAnsi="Arial" w:cs="Arial"/>
          <w:bCs/>
          <w:color w:val="auto"/>
          <w:sz w:val="20"/>
          <w:szCs w:val="20"/>
        </w:rPr>
        <w:t> </w:t>
      </w:r>
      <w:r w:rsidR="00B848BD">
        <w:rPr>
          <w:rFonts w:ascii="Arial" w:hAnsi="Arial" w:cs="Arial"/>
          <w:bCs/>
          <w:color w:val="auto"/>
          <w:sz w:val="20"/>
          <w:szCs w:val="20"/>
        </w:rPr>
        <w:t>pośrednie interesy osobiste</w:t>
      </w:r>
      <w:r w:rsidRPr="000F0952">
        <w:rPr>
          <w:rFonts w:ascii="Arial" w:hAnsi="Arial" w:cs="Arial"/>
          <w:bCs/>
          <w:color w:val="auto"/>
          <w:sz w:val="20"/>
          <w:szCs w:val="20"/>
        </w:rPr>
        <w:t>.</w:t>
      </w:r>
    </w:p>
    <w:p w14:paraId="1FC4F229" w14:textId="37038733" w:rsidR="00B848BD" w:rsidRDefault="00B848BD" w:rsidP="00D8080C">
      <w:pPr>
        <w:pStyle w:val="Default"/>
        <w:numPr>
          <w:ilvl w:val="0"/>
          <w:numId w:val="26"/>
        </w:numPr>
        <w:spacing w:after="120" w:line="320" w:lineRule="exact"/>
        <w:jc w:val="both"/>
        <w:rPr>
          <w:rFonts w:ascii="Arial" w:hAnsi="Arial" w:cs="Arial"/>
          <w:bCs/>
          <w:color w:val="auto"/>
          <w:sz w:val="20"/>
          <w:szCs w:val="20"/>
        </w:rPr>
      </w:pPr>
      <w:r>
        <w:rPr>
          <w:rFonts w:ascii="Arial" w:hAnsi="Arial" w:cs="Arial"/>
          <w:bCs/>
          <w:color w:val="auto"/>
          <w:sz w:val="20"/>
          <w:szCs w:val="20"/>
        </w:rPr>
        <w:t xml:space="preserve">W przypadku </w:t>
      </w:r>
      <w:r w:rsidR="007603DB">
        <w:rPr>
          <w:rFonts w:ascii="Arial" w:hAnsi="Arial" w:cs="Arial"/>
          <w:bCs/>
          <w:color w:val="auto"/>
          <w:sz w:val="20"/>
          <w:szCs w:val="20"/>
        </w:rPr>
        <w:t xml:space="preserve">wystąpienia </w:t>
      </w:r>
      <w:r>
        <w:rPr>
          <w:rFonts w:ascii="Arial" w:hAnsi="Arial" w:cs="Arial"/>
          <w:bCs/>
          <w:color w:val="auto"/>
          <w:sz w:val="20"/>
          <w:szCs w:val="20"/>
        </w:rPr>
        <w:t>ryzyka konfliktu interesów</w:t>
      </w:r>
      <w:r w:rsidR="00F72533">
        <w:rPr>
          <w:rFonts w:ascii="Arial" w:hAnsi="Arial" w:cs="Arial"/>
          <w:bCs/>
          <w:color w:val="auto"/>
          <w:sz w:val="20"/>
          <w:szCs w:val="20"/>
        </w:rPr>
        <w:t>,</w:t>
      </w:r>
      <w:r>
        <w:rPr>
          <w:rFonts w:ascii="Arial" w:hAnsi="Arial" w:cs="Arial"/>
          <w:bCs/>
          <w:color w:val="auto"/>
          <w:sz w:val="20"/>
          <w:szCs w:val="20"/>
        </w:rPr>
        <w:t xml:space="preserve"> </w:t>
      </w:r>
      <w:r w:rsidR="007603DB">
        <w:rPr>
          <w:rFonts w:ascii="Arial" w:hAnsi="Arial" w:cs="Arial"/>
          <w:bCs/>
          <w:color w:val="auto"/>
          <w:sz w:val="20"/>
          <w:szCs w:val="20"/>
        </w:rPr>
        <w:t>IP zobowiązuje pracowników do</w:t>
      </w:r>
      <w:r w:rsidR="00230C4B">
        <w:rPr>
          <w:rFonts w:ascii="Arial" w:hAnsi="Arial" w:cs="Arial"/>
          <w:bCs/>
          <w:color w:val="auto"/>
          <w:sz w:val="20"/>
          <w:szCs w:val="20"/>
        </w:rPr>
        <w:t> </w:t>
      </w:r>
      <w:r w:rsidR="007603DB" w:rsidRPr="007603DB">
        <w:rPr>
          <w:rFonts w:ascii="Arial" w:hAnsi="Arial" w:cs="Arial"/>
          <w:bCs/>
          <w:color w:val="auto"/>
          <w:sz w:val="20"/>
          <w:szCs w:val="20"/>
        </w:rPr>
        <w:t>bezzwłocznego poinformowania bezpośredniego przełożonego o możliwości wystąpienia konfliktu interesów, celem ewentualnego wyłączenia pracownika z wykonywania danej czynności służbowej.</w:t>
      </w:r>
      <w:r w:rsidR="007603DB">
        <w:rPr>
          <w:rFonts w:ascii="Arial" w:hAnsi="Arial" w:cs="Arial"/>
          <w:bCs/>
          <w:color w:val="auto"/>
          <w:sz w:val="20"/>
          <w:szCs w:val="20"/>
        </w:rPr>
        <w:t xml:space="preserve"> </w:t>
      </w:r>
    </w:p>
    <w:p w14:paraId="618ADD1E" w14:textId="75763A80" w:rsidR="00D8080C" w:rsidRPr="00785411" w:rsidRDefault="00D8080C" w:rsidP="00D8080C">
      <w:pPr>
        <w:pStyle w:val="Default"/>
        <w:numPr>
          <w:ilvl w:val="0"/>
          <w:numId w:val="26"/>
        </w:numPr>
        <w:spacing w:after="120" w:line="320" w:lineRule="exact"/>
        <w:jc w:val="both"/>
        <w:rPr>
          <w:rFonts w:ascii="Arial" w:hAnsi="Arial" w:cs="Arial"/>
          <w:bCs/>
          <w:color w:val="auto"/>
          <w:sz w:val="20"/>
          <w:szCs w:val="20"/>
        </w:rPr>
      </w:pPr>
      <w:r w:rsidRPr="00785411">
        <w:rPr>
          <w:rFonts w:ascii="Arial" w:hAnsi="Arial" w:cs="Arial"/>
          <w:bCs/>
          <w:color w:val="auto"/>
          <w:sz w:val="20"/>
          <w:szCs w:val="20"/>
        </w:rPr>
        <w:t>W celu umożliwienia obiektywnego i bezstronnego podejmowania decyzji przez pracowników niezależnie od ich powiązań rodzinnych, względów emocjonalnych, sympatii politycznych lub</w:t>
      </w:r>
      <w:r w:rsidR="003F539F">
        <w:rPr>
          <w:rFonts w:ascii="Arial" w:hAnsi="Arial" w:cs="Arial"/>
          <w:bCs/>
          <w:color w:val="auto"/>
          <w:sz w:val="20"/>
          <w:szCs w:val="20"/>
        </w:rPr>
        <w:t> </w:t>
      </w:r>
      <w:r w:rsidRPr="00785411">
        <w:rPr>
          <w:rFonts w:ascii="Arial" w:hAnsi="Arial" w:cs="Arial"/>
          <w:bCs/>
          <w:color w:val="auto"/>
          <w:sz w:val="20"/>
          <w:szCs w:val="20"/>
        </w:rPr>
        <w:t>jakichkolwiek innych interesów wspólnych z beneficjentem, w obszarze kompete</w:t>
      </w:r>
      <w:r w:rsidR="006B3F30" w:rsidRPr="00785411">
        <w:rPr>
          <w:rFonts w:ascii="Arial" w:hAnsi="Arial" w:cs="Arial"/>
          <w:bCs/>
          <w:color w:val="auto"/>
          <w:sz w:val="20"/>
          <w:szCs w:val="20"/>
        </w:rPr>
        <w:t xml:space="preserve">ncji Instytucji Pośredniczącej </w:t>
      </w:r>
      <w:r w:rsidRPr="00785411">
        <w:rPr>
          <w:rFonts w:ascii="Arial" w:hAnsi="Arial" w:cs="Arial"/>
          <w:bCs/>
          <w:color w:val="auto"/>
          <w:sz w:val="20"/>
          <w:szCs w:val="20"/>
        </w:rPr>
        <w:t>identyfikuje się następujące procesy, w ramach których może wystąpić konflikt interesów:</w:t>
      </w:r>
    </w:p>
    <w:p w14:paraId="2751BA04" w14:textId="77777777" w:rsidR="00D8080C" w:rsidRPr="00785411" w:rsidRDefault="00D8080C" w:rsidP="00D8080C">
      <w:pPr>
        <w:pStyle w:val="Default"/>
        <w:numPr>
          <w:ilvl w:val="0"/>
          <w:numId w:val="25"/>
        </w:numPr>
        <w:spacing w:line="320" w:lineRule="exact"/>
        <w:ind w:left="1417" w:hanging="357"/>
        <w:contextualSpacing/>
        <w:jc w:val="both"/>
        <w:rPr>
          <w:rFonts w:ascii="Arial" w:hAnsi="Arial" w:cs="Arial"/>
          <w:bCs/>
          <w:color w:val="auto"/>
          <w:sz w:val="20"/>
          <w:szCs w:val="20"/>
        </w:rPr>
      </w:pPr>
      <w:r w:rsidRPr="00785411">
        <w:rPr>
          <w:rFonts w:ascii="Arial" w:hAnsi="Arial" w:cs="Arial"/>
          <w:bCs/>
          <w:color w:val="auto"/>
          <w:sz w:val="20"/>
          <w:szCs w:val="20"/>
        </w:rPr>
        <w:t>wybór i zatwierdzanie projektów do dofinansowania,</w:t>
      </w:r>
    </w:p>
    <w:p w14:paraId="0559F76F" w14:textId="77777777" w:rsidR="00D8080C" w:rsidRPr="00785411" w:rsidRDefault="00D8080C" w:rsidP="00D8080C">
      <w:pPr>
        <w:pStyle w:val="Default"/>
        <w:numPr>
          <w:ilvl w:val="0"/>
          <w:numId w:val="25"/>
        </w:numPr>
        <w:spacing w:line="320" w:lineRule="exact"/>
        <w:ind w:left="1417" w:hanging="357"/>
        <w:contextualSpacing/>
        <w:jc w:val="both"/>
        <w:rPr>
          <w:rFonts w:ascii="Arial" w:hAnsi="Arial" w:cs="Arial"/>
          <w:bCs/>
          <w:color w:val="auto"/>
          <w:sz w:val="20"/>
          <w:szCs w:val="20"/>
        </w:rPr>
      </w:pPr>
      <w:r w:rsidRPr="00785411">
        <w:rPr>
          <w:rFonts w:ascii="Arial" w:hAnsi="Arial" w:cs="Arial"/>
          <w:bCs/>
          <w:color w:val="auto"/>
          <w:sz w:val="20"/>
          <w:szCs w:val="20"/>
        </w:rPr>
        <w:t>realizacja działań kontrolnych u beneficjenta,</w:t>
      </w:r>
    </w:p>
    <w:p w14:paraId="677617D7" w14:textId="77777777" w:rsidR="00D8080C" w:rsidRPr="00785411" w:rsidRDefault="00D8080C" w:rsidP="00D8080C">
      <w:pPr>
        <w:pStyle w:val="Default"/>
        <w:numPr>
          <w:ilvl w:val="0"/>
          <w:numId w:val="25"/>
        </w:numPr>
        <w:spacing w:line="320" w:lineRule="exact"/>
        <w:ind w:left="1417" w:hanging="357"/>
        <w:contextualSpacing/>
        <w:jc w:val="both"/>
        <w:rPr>
          <w:rFonts w:ascii="Arial" w:hAnsi="Arial" w:cs="Arial"/>
          <w:bCs/>
          <w:color w:val="auto"/>
          <w:sz w:val="20"/>
          <w:szCs w:val="20"/>
        </w:rPr>
      </w:pPr>
      <w:r w:rsidRPr="00785411">
        <w:rPr>
          <w:rFonts w:ascii="Arial" w:hAnsi="Arial" w:cs="Arial"/>
          <w:bCs/>
          <w:color w:val="auto"/>
          <w:sz w:val="20"/>
          <w:szCs w:val="20"/>
        </w:rPr>
        <w:t>wydawanie decyzji administracyjnych o zwrocie środków,</w:t>
      </w:r>
    </w:p>
    <w:p w14:paraId="387D8DFD" w14:textId="77777777" w:rsidR="00D8080C" w:rsidRPr="00785411" w:rsidRDefault="00DF5A78" w:rsidP="002879CF">
      <w:pPr>
        <w:pStyle w:val="Default"/>
        <w:numPr>
          <w:ilvl w:val="0"/>
          <w:numId w:val="25"/>
        </w:numPr>
        <w:spacing w:after="120" w:line="320" w:lineRule="exact"/>
        <w:ind w:left="1417" w:hanging="357"/>
        <w:jc w:val="both"/>
        <w:rPr>
          <w:rFonts w:ascii="Arial" w:hAnsi="Arial" w:cs="Arial"/>
          <w:bCs/>
          <w:color w:val="auto"/>
          <w:sz w:val="20"/>
          <w:szCs w:val="20"/>
        </w:rPr>
      </w:pPr>
      <w:r w:rsidRPr="00785411">
        <w:rPr>
          <w:rFonts w:ascii="Arial" w:hAnsi="Arial" w:cs="Arial"/>
          <w:bCs/>
          <w:color w:val="auto"/>
          <w:sz w:val="20"/>
          <w:szCs w:val="20"/>
        </w:rPr>
        <w:t xml:space="preserve">udzielanie </w:t>
      </w:r>
      <w:r w:rsidR="00D8080C" w:rsidRPr="00785411">
        <w:rPr>
          <w:rFonts w:ascii="Arial" w:hAnsi="Arial" w:cs="Arial"/>
          <w:bCs/>
          <w:color w:val="auto"/>
          <w:sz w:val="20"/>
          <w:szCs w:val="20"/>
        </w:rPr>
        <w:t>zamówień publicznych.</w:t>
      </w:r>
    </w:p>
    <w:p w14:paraId="43BCF88E" w14:textId="3FA57516" w:rsidR="0033074E" w:rsidRPr="0099725C" w:rsidRDefault="00D8080C" w:rsidP="0099725C">
      <w:pPr>
        <w:pStyle w:val="Default"/>
        <w:numPr>
          <w:ilvl w:val="0"/>
          <w:numId w:val="26"/>
        </w:numPr>
        <w:spacing w:after="120" w:line="320" w:lineRule="exact"/>
        <w:jc w:val="both"/>
        <w:rPr>
          <w:rFonts w:ascii="Arial" w:hAnsi="Arial" w:cs="Arial"/>
          <w:bCs/>
          <w:color w:val="auto"/>
          <w:sz w:val="20"/>
          <w:szCs w:val="20"/>
        </w:rPr>
      </w:pPr>
      <w:r w:rsidRPr="0099725C">
        <w:rPr>
          <w:rFonts w:ascii="Arial" w:hAnsi="Arial" w:cs="Arial"/>
          <w:bCs/>
          <w:color w:val="auto"/>
          <w:sz w:val="20"/>
          <w:szCs w:val="20"/>
        </w:rPr>
        <w:t xml:space="preserve">W celu zapobiegania wystąpieniu konfliktu interesów w procesach wymienionych </w:t>
      </w:r>
      <w:r w:rsidRPr="0099725C">
        <w:rPr>
          <w:rFonts w:ascii="Arial" w:hAnsi="Arial" w:cs="Arial"/>
          <w:bCs/>
          <w:color w:val="auto"/>
          <w:sz w:val="20"/>
          <w:szCs w:val="20"/>
        </w:rPr>
        <w:br/>
        <w:t xml:space="preserve">w pkt </w:t>
      </w:r>
      <w:r w:rsidR="00216775" w:rsidRPr="0099725C">
        <w:rPr>
          <w:rFonts w:ascii="Arial" w:hAnsi="Arial" w:cs="Arial"/>
          <w:bCs/>
          <w:color w:val="auto"/>
          <w:sz w:val="20"/>
          <w:szCs w:val="20"/>
        </w:rPr>
        <w:t>4</w:t>
      </w:r>
      <w:r w:rsidRPr="0099725C">
        <w:rPr>
          <w:rFonts w:ascii="Arial" w:hAnsi="Arial" w:cs="Arial"/>
          <w:bCs/>
          <w:color w:val="auto"/>
          <w:sz w:val="20"/>
          <w:szCs w:val="20"/>
        </w:rPr>
        <w:t xml:space="preserve">. w działalności Instytucji Pośredniczącej w KPRM wprowadzono procedury </w:t>
      </w:r>
      <w:r w:rsidRPr="0099725C">
        <w:rPr>
          <w:rFonts w:ascii="Arial" w:hAnsi="Arial" w:cs="Arial"/>
          <w:bCs/>
          <w:color w:val="auto"/>
          <w:sz w:val="20"/>
          <w:szCs w:val="20"/>
        </w:rPr>
        <w:br/>
        <w:t xml:space="preserve">i mechanizmy dotyczące wdrażania, realizacji i rozliczania projektów, które są częścią </w:t>
      </w:r>
      <w:r w:rsidR="0099725C" w:rsidRPr="0099725C">
        <w:rPr>
          <w:rFonts w:ascii="Arial" w:hAnsi="Arial" w:cs="Arial"/>
          <w:bCs/>
          <w:i/>
          <w:color w:val="auto"/>
          <w:sz w:val="20"/>
          <w:szCs w:val="20"/>
        </w:rPr>
        <w:t>Instrukcj</w:t>
      </w:r>
      <w:r w:rsidR="00F17BA4">
        <w:rPr>
          <w:rFonts w:ascii="Arial" w:hAnsi="Arial" w:cs="Arial"/>
          <w:bCs/>
          <w:i/>
          <w:color w:val="auto"/>
          <w:sz w:val="20"/>
          <w:szCs w:val="20"/>
        </w:rPr>
        <w:t>i</w:t>
      </w:r>
      <w:r w:rsidR="0099725C" w:rsidRPr="0099725C">
        <w:rPr>
          <w:rFonts w:ascii="Arial" w:hAnsi="Arial" w:cs="Arial"/>
          <w:bCs/>
          <w:i/>
          <w:color w:val="auto"/>
          <w:sz w:val="20"/>
          <w:szCs w:val="20"/>
        </w:rPr>
        <w:t xml:space="preserve"> wykonawczych Instytucji Pośredniczącej – Kancelarii Prezesa Rady Ministrów – w ramach Programu Fundusze Europejskie dla Rozwoju Społecznego 2021-2027</w:t>
      </w:r>
      <w:r w:rsidR="0099725C">
        <w:rPr>
          <w:rFonts w:ascii="Arial" w:hAnsi="Arial" w:cs="Arial"/>
          <w:bCs/>
          <w:color w:val="auto"/>
          <w:sz w:val="20"/>
          <w:szCs w:val="20"/>
        </w:rPr>
        <w:t xml:space="preserve">, </w:t>
      </w:r>
      <w:r w:rsidRPr="0099725C">
        <w:rPr>
          <w:rFonts w:ascii="Arial" w:hAnsi="Arial" w:cs="Arial"/>
          <w:bCs/>
          <w:color w:val="auto"/>
          <w:sz w:val="20"/>
          <w:szCs w:val="20"/>
        </w:rPr>
        <w:t>zwanych dalej</w:t>
      </w:r>
      <w:r w:rsidRPr="0099725C">
        <w:rPr>
          <w:rFonts w:ascii="Arial" w:hAnsi="Arial" w:cs="Arial"/>
          <w:bCs/>
          <w:i/>
          <w:color w:val="auto"/>
          <w:sz w:val="20"/>
          <w:szCs w:val="20"/>
        </w:rPr>
        <w:t xml:space="preserve"> Instrukcjami wykonawczy</w:t>
      </w:r>
      <w:r w:rsidR="006B3F30" w:rsidRPr="0099725C">
        <w:rPr>
          <w:rFonts w:ascii="Arial" w:hAnsi="Arial" w:cs="Arial"/>
          <w:bCs/>
          <w:i/>
          <w:color w:val="auto"/>
          <w:sz w:val="20"/>
          <w:szCs w:val="20"/>
        </w:rPr>
        <w:t>mi</w:t>
      </w:r>
      <w:r w:rsidR="0033074E" w:rsidRPr="0099725C">
        <w:rPr>
          <w:rFonts w:ascii="Arial" w:hAnsi="Arial" w:cs="Arial"/>
          <w:bCs/>
          <w:i/>
          <w:color w:val="auto"/>
          <w:sz w:val="20"/>
          <w:szCs w:val="20"/>
        </w:rPr>
        <w:t xml:space="preserve">, </w:t>
      </w:r>
      <w:r w:rsidR="0033074E" w:rsidRPr="0099725C">
        <w:rPr>
          <w:rFonts w:ascii="Arial" w:hAnsi="Arial" w:cs="Arial"/>
          <w:bCs/>
          <w:color w:val="auto"/>
          <w:sz w:val="20"/>
          <w:szCs w:val="20"/>
        </w:rPr>
        <w:t>w tym</w:t>
      </w:r>
      <w:r w:rsidR="0033074E" w:rsidRPr="0099725C">
        <w:rPr>
          <w:rFonts w:ascii="Arial" w:hAnsi="Arial" w:cs="Arial"/>
          <w:bCs/>
          <w:i/>
          <w:color w:val="auto"/>
          <w:sz w:val="20"/>
          <w:szCs w:val="20"/>
        </w:rPr>
        <w:t>:</w:t>
      </w:r>
    </w:p>
    <w:p w14:paraId="43982AAA" w14:textId="6DA31965" w:rsidR="0033074E" w:rsidRPr="00785411" w:rsidRDefault="0033074E" w:rsidP="00AB3D2E">
      <w:pPr>
        <w:pStyle w:val="Default"/>
        <w:numPr>
          <w:ilvl w:val="1"/>
          <w:numId w:val="26"/>
        </w:numPr>
        <w:tabs>
          <w:tab w:val="left" w:pos="1560"/>
        </w:tabs>
        <w:spacing w:after="120" w:line="320" w:lineRule="exact"/>
        <w:ind w:left="1077" w:hanging="357"/>
        <w:contextualSpacing/>
        <w:jc w:val="both"/>
        <w:rPr>
          <w:rFonts w:ascii="Arial" w:hAnsi="Arial" w:cs="Arial"/>
          <w:bCs/>
          <w:color w:val="auto"/>
          <w:sz w:val="20"/>
          <w:szCs w:val="20"/>
        </w:rPr>
      </w:pPr>
      <w:r w:rsidRPr="00785411">
        <w:rPr>
          <w:rFonts w:ascii="Arial" w:hAnsi="Arial" w:cs="Arial"/>
          <w:bCs/>
          <w:color w:val="auto"/>
          <w:sz w:val="20"/>
          <w:szCs w:val="20"/>
        </w:rPr>
        <w:t xml:space="preserve">podpisywanie deklaracji/oświadczeń o bezstronności w procesach dotyczących wyboru projektów, kontroli, weryfikacji wniosków o płatność, </w:t>
      </w:r>
      <w:r w:rsidR="00262C69">
        <w:rPr>
          <w:rFonts w:ascii="Arial" w:hAnsi="Arial" w:cs="Arial"/>
          <w:bCs/>
          <w:color w:val="auto"/>
          <w:sz w:val="20"/>
          <w:szCs w:val="20"/>
        </w:rPr>
        <w:t>oraz stosowani</w:t>
      </w:r>
      <w:r w:rsidR="00B25504">
        <w:rPr>
          <w:rFonts w:ascii="Arial" w:hAnsi="Arial" w:cs="Arial"/>
          <w:bCs/>
          <w:color w:val="auto"/>
          <w:sz w:val="20"/>
          <w:szCs w:val="20"/>
        </w:rPr>
        <w:t>e</w:t>
      </w:r>
      <w:r w:rsidR="00262C69">
        <w:rPr>
          <w:rFonts w:ascii="Arial" w:hAnsi="Arial" w:cs="Arial"/>
          <w:bCs/>
          <w:color w:val="auto"/>
          <w:sz w:val="20"/>
          <w:szCs w:val="20"/>
        </w:rPr>
        <w:t xml:space="preserve"> „zasady wykluczenia” </w:t>
      </w:r>
      <w:r w:rsidR="00262C69">
        <w:rPr>
          <w:rFonts w:ascii="Arial" w:hAnsi="Arial" w:cs="Arial"/>
          <w:bCs/>
          <w:color w:val="auto"/>
          <w:sz w:val="20"/>
          <w:szCs w:val="20"/>
        </w:rPr>
        <w:lastRenderedPageBreak/>
        <w:t xml:space="preserve">(tj. pracownik kontrolujący projekt, nie mógł wcześniej uczestniczyć w jego wyborze oraz brać udziału w weryfikacji wniosków o płatność danego projektu). </w:t>
      </w:r>
    </w:p>
    <w:p w14:paraId="3FA995BF" w14:textId="4DF673B0" w:rsidR="0033074E" w:rsidRPr="00785411" w:rsidRDefault="0033074E" w:rsidP="00AB3D2E">
      <w:pPr>
        <w:pStyle w:val="Default"/>
        <w:numPr>
          <w:ilvl w:val="1"/>
          <w:numId w:val="26"/>
        </w:numPr>
        <w:tabs>
          <w:tab w:val="left" w:pos="1560"/>
        </w:tabs>
        <w:spacing w:after="120" w:line="320" w:lineRule="exact"/>
        <w:contextualSpacing/>
        <w:jc w:val="both"/>
        <w:rPr>
          <w:rFonts w:ascii="Arial" w:hAnsi="Arial" w:cs="Arial"/>
          <w:bCs/>
          <w:color w:val="auto"/>
          <w:sz w:val="20"/>
          <w:szCs w:val="20"/>
        </w:rPr>
      </w:pPr>
      <w:r w:rsidRPr="00785411">
        <w:rPr>
          <w:rFonts w:ascii="Arial" w:hAnsi="Arial" w:cs="Arial"/>
          <w:bCs/>
          <w:color w:val="auto"/>
          <w:sz w:val="20"/>
          <w:szCs w:val="20"/>
        </w:rPr>
        <w:t>podpisywanie</w:t>
      </w:r>
      <w:r w:rsidR="006409AD" w:rsidRPr="006409AD">
        <w:rPr>
          <w:rFonts w:ascii="Arial" w:hAnsi="Arial" w:cs="Arial"/>
          <w:bCs/>
          <w:color w:val="auto"/>
          <w:sz w:val="20"/>
          <w:szCs w:val="20"/>
        </w:rPr>
        <w:t xml:space="preserve">  oświadczeń o których mowa w art. 56</w:t>
      </w:r>
      <w:r w:rsidR="00E9561F">
        <w:rPr>
          <w:rFonts w:ascii="Arial" w:hAnsi="Arial" w:cs="Arial"/>
          <w:bCs/>
          <w:color w:val="auto"/>
          <w:sz w:val="20"/>
          <w:szCs w:val="20"/>
        </w:rPr>
        <w:t xml:space="preserve"> </w:t>
      </w:r>
      <w:r w:rsidR="00E9561F" w:rsidRPr="00E9561F">
        <w:rPr>
          <w:rFonts w:ascii="Arial" w:hAnsi="Arial" w:cs="Arial"/>
          <w:bCs/>
          <w:color w:val="auto"/>
          <w:sz w:val="20"/>
          <w:szCs w:val="20"/>
        </w:rPr>
        <w:t>ustawy P</w:t>
      </w:r>
      <w:r w:rsidR="00E9561F">
        <w:rPr>
          <w:rFonts w:ascii="Arial" w:hAnsi="Arial" w:cs="Arial"/>
          <w:bCs/>
          <w:color w:val="auto"/>
          <w:sz w:val="20"/>
          <w:szCs w:val="20"/>
        </w:rPr>
        <w:t>rawo zamówień publicznych</w:t>
      </w:r>
      <w:r w:rsidR="006409AD" w:rsidRPr="006409AD">
        <w:rPr>
          <w:rFonts w:ascii="Arial" w:hAnsi="Arial" w:cs="Arial"/>
          <w:bCs/>
          <w:color w:val="auto"/>
          <w:sz w:val="20"/>
          <w:szCs w:val="20"/>
        </w:rPr>
        <w:t xml:space="preserve">, </w:t>
      </w:r>
      <w:r w:rsidR="00473449">
        <w:rPr>
          <w:rFonts w:ascii="Arial" w:hAnsi="Arial" w:cs="Arial"/>
          <w:bCs/>
          <w:color w:val="auto"/>
          <w:sz w:val="20"/>
          <w:szCs w:val="20"/>
        </w:rPr>
        <w:t>oraz</w:t>
      </w:r>
      <w:r w:rsidR="006409AD" w:rsidRPr="006409AD">
        <w:rPr>
          <w:rFonts w:ascii="Arial" w:hAnsi="Arial" w:cs="Arial"/>
          <w:bCs/>
          <w:color w:val="auto"/>
          <w:sz w:val="20"/>
          <w:szCs w:val="20"/>
        </w:rPr>
        <w:t xml:space="preserve"> oświadczeń o braku powiązań osobowych i kapitałowych. Oświadczenia są</w:t>
      </w:r>
      <w:r w:rsidR="00230C4B">
        <w:rPr>
          <w:rFonts w:ascii="Arial" w:hAnsi="Arial" w:cs="Arial"/>
          <w:bCs/>
          <w:color w:val="auto"/>
          <w:sz w:val="20"/>
          <w:szCs w:val="20"/>
        </w:rPr>
        <w:t> </w:t>
      </w:r>
      <w:r w:rsidR="006409AD" w:rsidRPr="006409AD">
        <w:rPr>
          <w:rFonts w:ascii="Arial" w:hAnsi="Arial" w:cs="Arial"/>
          <w:bCs/>
          <w:color w:val="auto"/>
          <w:sz w:val="20"/>
          <w:szCs w:val="20"/>
        </w:rPr>
        <w:t>podpisywane zarówno w przypadku postępowań</w:t>
      </w:r>
      <w:r w:rsidR="002670C1">
        <w:rPr>
          <w:rFonts w:ascii="Arial" w:hAnsi="Arial" w:cs="Arial"/>
          <w:bCs/>
          <w:color w:val="auto"/>
          <w:sz w:val="20"/>
          <w:szCs w:val="20"/>
        </w:rPr>
        <w:t xml:space="preserve"> </w:t>
      </w:r>
      <w:r w:rsidR="006409AD" w:rsidRPr="006409AD">
        <w:rPr>
          <w:rFonts w:ascii="Arial" w:hAnsi="Arial" w:cs="Arial"/>
          <w:bCs/>
          <w:color w:val="auto"/>
          <w:sz w:val="20"/>
          <w:szCs w:val="20"/>
        </w:rPr>
        <w:t>P</w:t>
      </w:r>
      <w:r w:rsidR="00E9561F">
        <w:rPr>
          <w:rFonts w:ascii="Arial" w:hAnsi="Arial" w:cs="Arial"/>
          <w:bCs/>
          <w:color w:val="auto"/>
          <w:sz w:val="20"/>
          <w:szCs w:val="20"/>
        </w:rPr>
        <w:t>zp</w:t>
      </w:r>
      <w:r w:rsidR="006409AD" w:rsidRPr="006409AD">
        <w:rPr>
          <w:rFonts w:ascii="Arial" w:hAnsi="Arial" w:cs="Arial"/>
          <w:bCs/>
          <w:color w:val="auto"/>
          <w:sz w:val="20"/>
          <w:szCs w:val="20"/>
        </w:rPr>
        <w:t xml:space="preserve"> oraz </w:t>
      </w:r>
      <w:r w:rsidR="00C37A13">
        <w:rPr>
          <w:rFonts w:ascii="Arial" w:hAnsi="Arial" w:cs="Arial"/>
          <w:bCs/>
          <w:color w:val="auto"/>
          <w:sz w:val="20"/>
          <w:szCs w:val="20"/>
        </w:rPr>
        <w:t xml:space="preserve">postępowań </w:t>
      </w:r>
      <w:r w:rsidR="006409AD" w:rsidRPr="006409AD">
        <w:rPr>
          <w:rFonts w:ascii="Arial" w:hAnsi="Arial" w:cs="Arial"/>
          <w:bCs/>
          <w:color w:val="auto"/>
          <w:sz w:val="20"/>
          <w:szCs w:val="20"/>
        </w:rPr>
        <w:t>przeprowadzanych w ramach zasady konkurencyjności</w:t>
      </w:r>
      <w:r w:rsidR="006409AD">
        <w:rPr>
          <w:rFonts w:ascii="Arial" w:hAnsi="Arial" w:cs="Arial"/>
          <w:bCs/>
          <w:color w:val="auto"/>
          <w:sz w:val="20"/>
          <w:szCs w:val="20"/>
        </w:rPr>
        <w:t>,</w:t>
      </w:r>
    </w:p>
    <w:p w14:paraId="67E29FFE" w14:textId="77777777" w:rsidR="0033074E" w:rsidRPr="00D66697" w:rsidRDefault="0033074E" w:rsidP="00AB3D2E">
      <w:pPr>
        <w:pStyle w:val="Default"/>
        <w:numPr>
          <w:ilvl w:val="1"/>
          <w:numId w:val="26"/>
        </w:numPr>
        <w:tabs>
          <w:tab w:val="left" w:pos="1560"/>
        </w:tabs>
        <w:spacing w:after="120" w:line="320" w:lineRule="exact"/>
        <w:ind w:left="1077" w:hanging="357"/>
        <w:contextualSpacing/>
        <w:jc w:val="both"/>
        <w:rPr>
          <w:rFonts w:ascii="Arial" w:hAnsi="Arial" w:cs="Arial"/>
          <w:bCs/>
          <w:color w:val="000000" w:themeColor="text1"/>
          <w:sz w:val="20"/>
          <w:szCs w:val="20"/>
        </w:rPr>
      </w:pPr>
      <w:r w:rsidRPr="00785411">
        <w:rPr>
          <w:rFonts w:ascii="Arial" w:hAnsi="Arial" w:cs="Arial"/>
          <w:bCs/>
          <w:color w:val="auto"/>
          <w:sz w:val="20"/>
          <w:szCs w:val="20"/>
        </w:rPr>
        <w:t>stosowanie zasady „dwóch par oczu”,</w:t>
      </w:r>
    </w:p>
    <w:p w14:paraId="7C20CAC8" w14:textId="77777777" w:rsidR="0033074E" w:rsidRPr="00D66697" w:rsidRDefault="0033074E" w:rsidP="00AB3D2E">
      <w:pPr>
        <w:pStyle w:val="Default"/>
        <w:numPr>
          <w:ilvl w:val="1"/>
          <w:numId w:val="26"/>
        </w:numPr>
        <w:tabs>
          <w:tab w:val="left" w:pos="1560"/>
        </w:tabs>
        <w:spacing w:after="120" w:line="320" w:lineRule="exact"/>
        <w:ind w:left="1077" w:hanging="357"/>
        <w:contextualSpacing/>
        <w:jc w:val="both"/>
        <w:rPr>
          <w:rFonts w:ascii="Arial" w:hAnsi="Arial" w:cs="Arial"/>
          <w:bCs/>
          <w:color w:val="000000" w:themeColor="text1"/>
          <w:sz w:val="20"/>
          <w:szCs w:val="20"/>
        </w:rPr>
      </w:pPr>
      <w:r w:rsidRPr="00D66697">
        <w:rPr>
          <w:rFonts w:ascii="Arial" w:hAnsi="Arial" w:cs="Arial"/>
          <w:bCs/>
          <w:color w:val="000000" w:themeColor="text1"/>
          <w:sz w:val="20"/>
          <w:szCs w:val="20"/>
        </w:rPr>
        <w:t>weryfikowanie i zatwierdzanie zadań przez bezpośredniego przełożonego,</w:t>
      </w:r>
    </w:p>
    <w:p w14:paraId="6B938BAB" w14:textId="269CF91D" w:rsidR="00AD1C34" w:rsidRPr="00D66697" w:rsidRDefault="00AD1C34" w:rsidP="00AD1C34">
      <w:pPr>
        <w:pStyle w:val="Default"/>
        <w:numPr>
          <w:ilvl w:val="1"/>
          <w:numId w:val="26"/>
        </w:numPr>
        <w:tabs>
          <w:tab w:val="left" w:pos="1560"/>
        </w:tabs>
        <w:spacing w:after="120" w:line="320" w:lineRule="exact"/>
        <w:contextualSpacing/>
        <w:jc w:val="both"/>
        <w:rPr>
          <w:rFonts w:ascii="Arial" w:hAnsi="Arial" w:cs="Arial"/>
          <w:bCs/>
          <w:color w:val="000000" w:themeColor="text1"/>
          <w:sz w:val="20"/>
          <w:szCs w:val="20"/>
        </w:rPr>
      </w:pPr>
      <w:r w:rsidRPr="00D66697">
        <w:rPr>
          <w:rFonts w:ascii="Arial" w:hAnsi="Arial" w:cs="Arial"/>
          <w:bCs/>
          <w:color w:val="000000" w:themeColor="text1"/>
          <w:sz w:val="20"/>
          <w:szCs w:val="20"/>
        </w:rPr>
        <w:t>przeprowadzenie przez IP analizy stanowisk wrażliwych i wprowadzenie odpowiednich mechanizmów kontrolnych oraz nadzór nad tymi stanowiskami. Do stanowisk wrażliwych zaliczyć w szczególności należy te, do których przydzielono obowiązki, których złe</w:t>
      </w:r>
      <w:r w:rsidR="00387B3D">
        <w:rPr>
          <w:rFonts w:ascii="Arial" w:hAnsi="Arial" w:cs="Arial"/>
          <w:bCs/>
          <w:color w:val="000000" w:themeColor="text1"/>
          <w:sz w:val="20"/>
          <w:szCs w:val="20"/>
        </w:rPr>
        <w:t> </w:t>
      </w:r>
      <w:r w:rsidRPr="00D66697">
        <w:rPr>
          <w:rFonts w:ascii="Arial" w:hAnsi="Arial" w:cs="Arial"/>
          <w:bCs/>
          <w:color w:val="000000" w:themeColor="text1"/>
          <w:sz w:val="20"/>
          <w:szCs w:val="20"/>
        </w:rPr>
        <w:t xml:space="preserve">wykonanie może negatywnie wpływać na integralność i funkcjonowanie FERS, </w:t>
      </w:r>
    </w:p>
    <w:p w14:paraId="1661FE48" w14:textId="669B8586" w:rsidR="00AD1C34" w:rsidRDefault="00AD1C34" w:rsidP="00AD1C34">
      <w:pPr>
        <w:pStyle w:val="Default"/>
        <w:numPr>
          <w:ilvl w:val="1"/>
          <w:numId w:val="26"/>
        </w:numPr>
        <w:tabs>
          <w:tab w:val="left" w:pos="1560"/>
        </w:tabs>
        <w:spacing w:after="120" w:line="320" w:lineRule="exact"/>
        <w:ind w:left="1077" w:hanging="357"/>
        <w:contextualSpacing/>
        <w:jc w:val="both"/>
        <w:rPr>
          <w:rFonts w:ascii="Arial" w:hAnsi="Arial" w:cs="Arial"/>
          <w:bCs/>
          <w:color w:val="auto"/>
          <w:sz w:val="20"/>
          <w:szCs w:val="20"/>
        </w:rPr>
      </w:pPr>
      <w:r w:rsidRPr="00740797">
        <w:rPr>
          <w:rFonts w:ascii="Arial" w:hAnsi="Arial" w:cs="Arial"/>
          <w:bCs/>
          <w:color w:val="auto"/>
          <w:sz w:val="20"/>
          <w:szCs w:val="20"/>
        </w:rPr>
        <w:t>zapewnienie odpowiedniego podziału zadań w KPRM</w:t>
      </w:r>
      <w:r w:rsidR="00262C69">
        <w:rPr>
          <w:rFonts w:ascii="Arial" w:hAnsi="Arial" w:cs="Arial"/>
          <w:bCs/>
          <w:color w:val="auto"/>
          <w:sz w:val="20"/>
          <w:szCs w:val="20"/>
        </w:rPr>
        <w:t>,</w:t>
      </w:r>
    </w:p>
    <w:p w14:paraId="14277C19" w14:textId="1AF727FD" w:rsidR="00262C69" w:rsidRDefault="00262C69" w:rsidP="00AD1C34">
      <w:pPr>
        <w:pStyle w:val="Default"/>
        <w:numPr>
          <w:ilvl w:val="1"/>
          <w:numId w:val="26"/>
        </w:numPr>
        <w:tabs>
          <w:tab w:val="left" w:pos="1560"/>
        </w:tabs>
        <w:spacing w:after="120" w:line="320" w:lineRule="exact"/>
        <w:ind w:left="1077" w:hanging="357"/>
        <w:contextualSpacing/>
        <w:jc w:val="both"/>
        <w:rPr>
          <w:rFonts w:ascii="Arial" w:hAnsi="Arial" w:cs="Arial"/>
          <w:bCs/>
          <w:color w:val="auto"/>
          <w:sz w:val="20"/>
          <w:szCs w:val="20"/>
        </w:rPr>
      </w:pPr>
      <w:r w:rsidRPr="00262C69">
        <w:rPr>
          <w:rFonts w:ascii="Arial" w:hAnsi="Arial" w:cs="Arial"/>
          <w:bCs/>
          <w:color w:val="auto"/>
          <w:sz w:val="20"/>
          <w:szCs w:val="20"/>
        </w:rPr>
        <w:t>wykorzystywaniu zarówno dedykowanych (np.: aplikacja Skaner) jak i ogólnie dostępnych (np.: Krajowym Rejestrze Sądowym czy Centralnej Ewidencji i Informacji o Działalności Gospodarczej) narzędzi eksploracji danych mających na celu wykrywanie podejrzeń wystąpienia konfliktu interesów</w:t>
      </w:r>
      <w:r>
        <w:rPr>
          <w:rFonts w:ascii="Arial" w:hAnsi="Arial" w:cs="Arial"/>
          <w:bCs/>
          <w:color w:val="auto"/>
          <w:sz w:val="20"/>
          <w:szCs w:val="20"/>
        </w:rPr>
        <w:t>.</w:t>
      </w:r>
    </w:p>
    <w:p w14:paraId="39D9AE7F" w14:textId="77777777" w:rsidR="00B848BD" w:rsidRPr="00785411" w:rsidRDefault="00B848BD" w:rsidP="00B848BD">
      <w:pPr>
        <w:pStyle w:val="Default"/>
        <w:tabs>
          <w:tab w:val="left" w:pos="1560"/>
        </w:tabs>
        <w:spacing w:after="120" w:line="320" w:lineRule="exact"/>
        <w:ind w:left="360"/>
        <w:jc w:val="both"/>
        <w:rPr>
          <w:rFonts w:ascii="Arial" w:hAnsi="Arial" w:cs="Arial"/>
          <w:bCs/>
          <w:color w:val="auto"/>
          <w:sz w:val="20"/>
          <w:szCs w:val="20"/>
        </w:rPr>
      </w:pPr>
      <w:r>
        <w:rPr>
          <w:rFonts w:ascii="Arial" w:hAnsi="Arial" w:cs="Arial"/>
          <w:bCs/>
          <w:color w:val="auto"/>
          <w:sz w:val="20"/>
          <w:szCs w:val="20"/>
        </w:rPr>
        <w:t>W szczególności, procesy związane z udzielaniem zamówień publicznych, realizowane są zgodnie z procedurami aktualnie obowiązującymi w KPRM w tym obszarze.</w:t>
      </w:r>
    </w:p>
    <w:p w14:paraId="2DC54EF8" w14:textId="7609F6B0" w:rsidR="00AD1C34" w:rsidRPr="00D66697" w:rsidRDefault="00D8080C" w:rsidP="00D66697">
      <w:pPr>
        <w:pStyle w:val="Default"/>
        <w:numPr>
          <w:ilvl w:val="0"/>
          <w:numId w:val="26"/>
        </w:numPr>
        <w:spacing w:after="360" w:line="320" w:lineRule="exact"/>
        <w:jc w:val="both"/>
        <w:rPr>
          <w:rFonts w:ascii="Arial" w:hAnsi="Arial" w:cs="Arial"/>
          <w:bCs/>
          <w:color w:val="auto"/>
          <w:sz w:val="20"/>
          <w:szCs w:val="20"/>
        </w:rPr>
      </w:pPr>
      <w:r w:rsidRPr="00AD1C34">
        <w:rPr>
          <w:rFonts w:ascii="Arial" w:hAnsi="Arial" w:cs="Arial"/>
          <w:bCs/>
          <w:color w:val="auto"/>
          <w:sz w:val="20"/>
          <w:szCs w:val="20"/>
        </w:rPr>
        <w:t xml:space="preserve">KPRM </w:t>
      </w:r>
      <w:r w:rsidR="00DF5A78" w:rsidRPr="00AD1C34">
        <w:rPr>
          <w:rFonts w:ascii="Arial" w:hAnsi="Arial" w:cs="Arial"/>
          <w:bCs/>
          <w:color w:val="auto"/>
          <w:sz w:val="20"/>
          <w:szCs w:val="20"/>
        </w:rPr>
        <w:t>zapewnia organizację</w:t>
      </w:r>
      <w:r w:rsidRPr="00AD1C34">
        <w:rPr>
          <w:rFonts w:ascii="Arial" w:hAnsi="Arial" w:cs="Arial"/>
          <w:bCs/>
          <w:color w:val="auto"/>
          <w:sz w:val="20"/>
          <w:szCs w:val="20"/>
        </w:rPr>
        <w:t xml:space="preserve"> </w:t>
      </w:r>
      <w:r w:rsidR="00DF5A78" w:rsidRPr="00AD1C34">
        <w:rPr>
          <w:rFonts w:ascii="Arial" w:hAnsi="Arial" w:cs="Arial"/>
          <w:bCs/>
          <w:color w:val="auto"/>
          <w:sz w:val="20"/>
          <w:szCs w:val="20"/>
        </w:rPr>
        <w:t xml:space="preserve">odpowiednich </w:t>
      </w:r>
      <w:r w:rsidRPr="00AD1C34">
        <w:rPr>
          <w:rFonts w:ascii="Arial" w:hAnsi="Arial" w:cs="Arial"/>
          <w:bCs/>
          <w:color w:val="auto"/>
          <w:sz w:val="20"/>
          <w:szCs w:val="20"/>
        </w:rPr>
        <w:t>szkole</w:t>
      </w:r>
      <w:r w:rsidR="00297D0F" w:rsidRPr="00AD1C34">
        <w:rPr>
          <w:rFonts w:ascii="Arial" w:hAnsi="Arial" w:cs="Arial"/>
          <w:bCs/>
          <w:color w:val="auto"/>
          <w:sz w:val="20"/>
          <w:szCs w:val="20"/>
        </w:rPr>
        <w:t>ń</w:t>
      </w:r>
      <w:r w:rsidRPr="00AD1C34">
        <w:rPr>
          <w:rFonts w:ascii="Arial" w:hAnsi="Arial" w:cs="Arial"/>
          <w:bCs/>
          <w:color w:val="auto"/>
          <w:sz w:val="20"/>
          <w:szCs w:val="20"/>
        </w:rPr>
        <w:t xml:space="preserve"> </w:t>
      </w:r>
      <w:r w:rsidR="00297D0F" w:rsidRPr="00AD1C34">
        <w:rPr>
          <w:rFonts w:ascii="Arial" w:hAnsi="Arial" w:cs="Arial"/>
          <w:bCs/>
          <w:color w:val="auto"/>
          <w:sz w:val="20"/>
          <w:szCs w:val="20"/>
        </w:rPr>
        <w:t xml:space="preserve">zwiększających </w:t>
      </w:r>
      <w:r w:rsidRPr="00AD1C34">
        <w:rPr>
          <w:rFonts w:ascii="Arial" w:hAnsi="Arial" w:cs="Arial"/>
          <w:bCs/>
          <w:color w:val="auto"/>
          <w:sz w:val="20"/>
          <w:szCs w:val="20"/>
        </w:rPr>
        <w:t>poziom świadomości pracowników w obszarach narażonych na wystąpienie konfliktu interesów</w:t>
      </w:r>
      <w:r w:rsidR="00C92626" w:rsidRPr="00AD1C34">
        <w:rPr>
          <w:rFonts w:ascii="Arial" w:hAnsi="Arial" w:cs="Arial"/>
          <w:bCs/>
          <w:color w:val="auto"/>
          <w:sz w:val="20"/>
          <w:szCs w:val="20"/>
        </w:rPr>
        <w:t xml:space="preserve">, </w:t>
      </w:r>
      <w:r w:rsidR="00AD1C34" w:rsidRPr="00D66697">
        <w:rPr>
          <w:rFonts w:ascii="Arial" w:hAnsi="Arial" w:cs="Arial"/>
          <w:bCs/>
          <w:color w:val="000000" w:themeColor="text1"/>
          <w:sz w:val="20"/>
          <w:szCs w:val="20"/>
        </w:rPr>
        <w:t xml:space="preserve">w tym </w:t>
      </w:r>
      <w:r w:rsidR="006A61DA" w:rsidRPr="00D66697">
        <w:rPr>
          <w:rFonts w:ascii="Arial" w:hAnsi="Arial" w:cs="Arial"/>
          <w:bCs/>
          <w:color w:val="000000" w:themeColor="text1"/>
          <w:sz w:val="20"/>
          <w:szCs w:val="20"/>
        </w:rPr>
        <w:t xml:space="preserve">zachęca wszystkich pracowników KPRM </w:t>
      </w:r>
      <w:r w:rsidR="00AD1C34" w:rsidRPr="00D66697">
        <w:rPr>
          <w:rFonts w:ascii="Arial" w:hAnsi="Arial" w:cs="Arial"/>
          <w:bCs/>
          <w:color w:val="000000" w:themeColor="text1"/>
          <w:sz w:val="20"/>
          <w:szCs w:val="20"/>
        </w:rPr>
        <w:t xml:space="preserve">do korzystania z platformy szkoleniowej CBA dostępnej pod linkiem: </w:t>
      </w:r>
      <w:hyperlink r:id="rId8" w:history="1">
        <w:r w:rsidR="00AD1C34" w:rsidRPr="00D66697">
          <w:rPr>
            <w:rStyle w:val="Hipercze"/>
            <w:rFonts w:ascii="Arial" w:hAnsi="Arial" w:cs="Arial"/>
            <w:bCs/>
            <w:color w:val="548DD4" w:themeColor="text2" w:themeTint="99"/>
            <w:sz w:val="20"/>
            <w:szCs w:val="20"/>
          </w:rPr>
          <w:t>https://szkolenia-antykorupcyjne.edu.pl/</w:t>
        </w:r>
      </w:hyperlink>
      <w:r w:rsidR="00D66697" w:rsidRPr="00D66697">
        <w:rPr>
          <w:rStyle w:val="Hipercze"/>
          <w:rFonts w:ascii="Arial" w:hAnsi="Arial" w:cs="Arial"/>
          <w:bCs/>
          <w:color w:val="548DD4" w:themeColor="text2" w:themeTint="99"/>
          <w:sz w:val="20"/>
          <w:szCs w:val="20"/>
        </w:rPr>
        <w:t xml:space="preserve"> </w:t>
      </w:r>
      <w:r w:rsidR="00AD1C34" w:rsidRPr="00D66697">
        <w:rPr>
          <w:rFonts w:ascii="Arial" w:hAnsi="Arial" w:cs="Arial"/>
          <w:bCs/>
          <w:color w:val="548DD4" w:themeColor="text2" w:themeTint="99"/>
          <w:sz w:val="20"/>
          <w:szCs w:val="20"/>
        </w:rPr>
        <w:t xml:space="preserve"> </w:t>
      </w:r>
    </w:p>
    <w:p w14:paraId="7C3FCFAE" w14:textId="77777777" w:rsidR="001F2F4A" w:rsidRDefault="001F2F4A" w:rsidP="00AF5006">
      <w:pPr>
        <w:pStyle w:val="Default"/>
        <w:spacing w:after="120" w:line="320" w:lineRule="exact"/>
        <w:ind w:left="284"/>
        <w:jc w:val="center"/>
        <w:rPr>
          <w:rFonts w:ascii="Arial" w:hAnsi="Arial" w:cs="Arial"/>
          <w:b/>
          <w:bCs/>
          <w:color w:val="auto"/>
          <w:sz w:val="20"/>
          <w:szCs w:val="20"/>
          <w:u w:val="single"/>
        </w:rPr>
      </w:pPr>
    </w:p>
    <w:p w14:paraId="523BA448" w14:textId="3C67FC1E" w:rsidR="00AF5006" w:rsidRPr="00785411" w:rsidRDefault="00AF5006" w:rsidP="00AF5006">
      <w:pPr>
        <w:pStyle w:val="Default"/>
        <w:spacing w:after="120" w:line="320" w:lineRule="exact"/>
        <w:ind w:left="284"/>
        <w:jc w:val="center"/>
        <w:rPr>
          <w:rFonts w:ascii="Arial" w:hAnsi="Arial" w:cs="Arial"/>
          <w:b/>
          <w:bCs/>
          <w:color w:val="auto"/>
          <w:sz w:val="20"/>
          <w:szCs w:val="20"/>
          <w:u w:val="single"/>
        </w:rPr>
      </w:pPr>
      <w:r w:rsidRPr="00785411">
        <w:rPr>
          <w:rFonts w:ascii="Arial" w:hAnsi="Arial" w:cs="Arial"/>
          <w:b/>
          <w:bCs/>
          <w:color w:val="auto"/>
          <w:sz w:val="20"/>
          <w:szCs w:val="20"/>
          <w:u w:val="single"/>
        </w:rPr>
        <w:t>Odpowiedzialność</w:t>
      </w:r>
    </w:p>
    <w:p w14:paraId="551A4BDA" w14:textId="4CCB276D" w:rsidR="00C6028B" w:rsidRPr="00785411" w:rsidRDefault="00C6028B" w:rsidP="00C6028B">
      <w:pPr>
        <w:pStyle w:val="Default"/>
        <w:spacing w:after="120" w:line="320" w:lineRule="exact"/>
        <w:jc w:val="center"/>
        <w:rPr>
          <w:rFonts w:ascii="Arial" w:hAnsi="Arial" w:cs="Arial"/>
          <w:b/>
          <w:bCs/>
          <w:color w:val="auto"/>
          <w:sz w:val="20"/>
          <w:szCs w:val="20"/>
        </w:rPr>
      </w:pPr>
      <w:r w:rsidRPr="00785411">
        <w:rPr>
          <w:rFonts w:ascii="Arial" w:hAnsi="Arial" w:cs="Arial"/>
          <w:b/>
          <w:bCs/>
          <w:color w:val="auto"/>
          <w:sz w:val="20"/>
          <w:szCs w:val="20"/>
        </w:rPr>
        <w:t xml:space="preserve">§ </w:t>
      </w:r>
      <w:r w:rsidR="003F539F">
        <w:rPr>
          <w:rFonts w:ascii="Arial" w:hAnsi="Arial" w:cs="Arial"/>
          <w:b/>
          <w:bCs/>
          <w:color w:val="auto"/>
          <w:sz w:val="20"/>
          <w:szCs w:val="20"/>
        </w:rPr>
        <w:t>8</w:t>
      </w:r>
    </w:p>
    <w:p w14:paraId="6CDCC109" w14:textId="77777777" w:rsidR="00AF5006" w:rsidRPr="00785411" w:rsidRDefault="006178C5" w:rsidP="00AF5006">
      <w:pPr>
        <w:pStyle w:val="Default"/>
        <w:numPr>
          <w:ilvl w:val="0"/>
          <w:numId w:val="8"/>
        </w:numPr>
        <w:spacing w:line="320" w:lineRule="exact"/>
        <w:ind w:left="426" w:hanging="426"/>
        <w:jc w:val="both"/>
        <w:rPr>
          <w:rFonts w:ascii="Arial" w:hAnsi="Arial" w:cs="Arial"/>
          <w:color w:val="auto"/>
          <w:sz w:val="20"/>
          <w:szCs w:val="20"/>
        </w:rPr>
      </w:pPr>
      <w:r w:rsidRPr="00785411">
        <w:rPr>
          <w:rFonts w:ascii="Arial" w:hAnsi="Arial" w:cs="Arial"/>
          <w:color w:val="auto"/>
          <w:sz w:val="20"/>
          <w:szCs w:val="20"/>
        </w:rPr>
        <w:t xml:space="preserve">Dyrektor Generalny </w:t>
      </w:r>
      <w:r w:rsidR="00664365" w:rsidRPr="00785411">
        <w:rPr>
          <w:rFonts w:ascii="Arial" w:hAnsi="Arial" w:cs="Arial"/>
          <w:color w:val="auto"/>
          <w:sz w:val="20"/>
          <w:szCs w:val="20"/>
        </w:rPr>
        <w:t>KPRM</w:t>
      </w:r>
      <w:r w:rsidRPr="00785411">
        <w:rPr>
          <w:rFonts w:ascii="Arial" w:hAnsi="Arial" w:cs="Arial"/>
          <w:color w:val="auto"/>
          <w:sz w:val="20"/>
          <w:szCs w:val="20"/>
        </w:rPr>
        <w:t xml:space="preserve"> odpowiada</w:t>
      </w:r>
      <w:r w:rsidR="004A7389" w:rsidRPr="00785411">
        <w:rPr>
          <w:rFonts w:ascii="Arial" w:hAnsi="Arial" w:cs="Arial"/>
          <w:color w:val="auto"/>
          <w:sz w:val="20"/>
          <w:szCs w:val="20"/>
        </w:rPr>
        <w:t xml:space="preserve"> za zarządzanie ryzykiem nadużyć finansowych </w:t>
      </w:r>
      <w:r w:rsidR="002879CF" w:rsidRPr="00785411">
        <w:rPr>
          <w:rFonts w:ascii="Arial" w:hAnsi="Arial" w:cs="Arial"/>
          <w:color w:val="auto"/>
          <w:sz w:val="20"/>
          <w:szCs w:val="20"/>
        </w:rPr>
        <w:br/>
      </w:r>
      <w:r w:rsidR="004A7389" w:rsidRPr="00785411">
        <w:rPr>
          <w:rFonts w:ascii="Arial" w:hAnsi="Arial" w:cs="Arial"/>
          <w:color w:val="auto"/>
          <w:sz w:val="20"/>
          <w:szCs w:val="20"/>
        </w:rPr>
        <w:t xml:space="preserve">i korupcji </w:t>
      </w:r>
      <w:r w:rsidR="00A60FC7" w:rsidRPr="00785411">
        <w:rPr>
          <w:rFonts w:ascii="Arial" w:hAnsi="Arial" w:cs="Arial"/>
          <w:color w:val="auto"/>
          <w:sz w:val="20"/>
          <w:szCs w:val="20"/>
        </w:rPr>
        <w:t>w</w:t>
      </w:r>
      <w:r w:rsidR="00347D90" w:rsidRPr="00785411">
        <w:rPr>
          <w:rFonts w:ascii="Arial" w:hAnsi="Arial" w:cs="Arial"/>
          <w:color w:val="auto"/>
          <w:sz w:val="20"/>
          <w:szCs w:val="20"/>
        </w:rPr>
        <w:t> </w:t>
      </w:r>
      <w:r w:rsidR="00A60FC7" w:rsidRPr="00785411">
        <w:rPr>
          <w:rFonts w:ascii="Arial" w:hAnsi="Arial" w:cs="Arial"/>
          <w:color w:val="auto"/>
          <w:sz w:val="20"/>
          <w:szCs w:val="20"/>
        </w:rPr>
        <w:t>Instytucji Pośredniczącej</w:t>
      </w:r>
      <w:r w:rsidRPr="00785411">
        <w:rPr>
          <w:rFonts w:ascii="Arial" w:hAnsi="Arial" w:cs="Arial"/>
          <w:color w:val="auto"/>
          <w:sz w:val="20"/>
          <w:szCs w:val="20"/>
        </w:rPr>
        <w:t>, w tym za:</w:t>
      </w:r>
      <w:r w:rsidR="00A60FC7" w:rsidRPr="00785411">
        <w:rPr>
          <w:rFonts w:ascii="Arial" w:hAnsi="Arial" w:cs="Arial"/>
          <w:color w:val="auto"/>
          <w:sz w:val="20"/>
          <w:szCs w:val="20"/>
        </w:rPr>
        <w:t xml:space="preserve"> </w:t>
      </w:r>
    </w:p>
    <w:p w14:paraId="6BE6641D" w14:textId="77777777" w:rsidR="004A7389" w:rsidRPr="00785411" w:rsidRDefault="006178C5" w:rsidP="00C54F19">
      <w:pPr>
        <w:pStyle w:val="Akapitzlist"/>
        <w:numPr>
          <w:ilvl w:val="0"/>
          <w:numId w:val="20"/>
        </w:numPr>
        <w:autoSpaceDE w:val="0"/>
        <w:autoSpaceDN w:val="0"/>
        <w:adjustRightInd w:val="0"/>
        <w:spacing w:after="0" w:line="320" w:lineRule="exact"/>
        <w:jc w:val="both"/>
        <w:rPr>
          <w:rFonts w:ascii="Arial" w:hAnsi="Arial" w:cs="Arial"/>
          <w:sz w:val="20"/>
          <w:szCs w:val="20"/>
        </w:rPr>
      </w:pPr>
      <w:r w:rsidRPr="00785411">
        <w:rPr>
          <w:rFonts w:ascii="Arial" w:hAnsi="Arial" w:cs="Arial"/>
          <w:sz w:val="20"/>
          <w:szCs w:val="20"/>
        </w:rPr>
        <w:t xml:space="preserve">powołanie zespołu ds. oceny ryzyka, który przeprowadza </w:t>
      </w:r>
      <w:r w:rsidR="004A7389" w:rsidRPr="00785411">
        <w:rPr>
          <w:rFonts w:ascii="Arial" w:hAnsi="Arial" w:cs="Arial"/>
          <w:sz w:val="20"/>
          <w:szCs w:val="20"/>
        </w:rPr>
        <w:t>regularny przegląd ryzyka nadużyć finansowych</w:t>
      </w:r>
      <w:r w:rsidR="006F088B" w:rsidRPr="00785411">
        <w:rPr>
          <w:rFonts w:ascii="Arial" w:hAnsi="Arial" w:cs="Arial"/>
          <w:sz w:val="20"/>
          <w:szCs w:val="20"/>
        </w:rPr>
        <w:t>,</w:t>
      </w:r>
      <w:r w:rsidR="004A7389" w:rsidRPr="00785411">
        <w:rPr>
          <w:rFonts w:ascii="Arial" w:hAnsi="Arial" w:cs="Arial"/>
          <w:sz w:val="20"/>
          <w:szCs w:val="20"/>
        </w:rPr>
        <w:t xml:space="preserve"> </w:t>
      </w:r>
    </w:p>
    <w:p w14:paraId="009B9178" w14:textId="77777777" w:rsidR="004A7389" w:rsidRPr="00785411" w:rsidRDefault="004A7389" w:rsidP="00C54F19">
      <w:pPr>
        <w:pStyle w:val="Akapitzlist"/>
        <w:numPr>
          <w:ilvl w:val="0"/>
          <w:numId w:val="20"/>
        </w:numPr>
        <w:autoSpaceDE w:val="0"/>
        <w:autoSpaceDN w:val="0"/>
        <w:adjustRightInd w:val="0"/>
        <w:spacing w:after="0" w:line="320" w:lineRule="exact"/>
        <w:jc w:val="both"/>
        <w:rPr>
          <w:rFonts w:ascii="Arial" w:hAnsi="Arial" w:cs="Arial"/>
          <w:sz w:val="20"/>
          <w:szCs w:val="20"/>
        </w:rPr>
      </w:pPr>
      <w:r w:rsidRPr="00785411">
        <w:rPr>
          <w:rFonts w:ascii="Arial" w:hAnsi="Arial" w:cs="Arial"/>
          <w:sz w:val="20"/>
          <w:szCs w:val="20"/>
        </w:rPr>
        <w:t>stworzenie</w:t>
      </w:r>
      <w:r w:rsidR="00EE61EF" w:rsidRPr="00785411">
        <w:rPr>
          <w:rFonts w:ascii="Arial" w:hAnsi="Arial" w:cs="Arial"/>
          <w:sz w:val="20"/>
          <w:szCs w:val="20"/>
        </w:rPr>
        <w:t xml:space="preserve"> i uaktualnianie niniejszej </w:t>
      </w:r>
      <w:r w:rsidR="00183D43" w:rsidRPr="00785411">
        <w:rPr>
          <w:rFonts w:ascii="Arial" w:hAnsi="Arial" w:cs="Arial"/>
          <w:sz w:val="20"/>
          <w:szCs w:val="20"/>
        </w:rPr>
        <w:t xml:space="preserve">polityki </w:t>
      </w:r>
      <w:r w:rsidR="00EE61EF" w:rsidRPr="00785411">
        <w:rPr>
          <w:rFonts w:ascii="Arial" w:hAnsi="Arial" w:cs="Arial"/>
          <w:sz w:val="20"/>
          <w:szCs w:val="20"/>
        </w:rPr>
        <w:t>oraz stosownych procedur,</w:t>
      </w:r>
      <w:r w:rsidRPr="00785411">
        <w:rPr>
          <w:rFonts w:ascii="Arial" w:hAnsi="Arial" w:cs="Arial"/>
          <w:sz w:val="20"/>
          <w:szCs w:val="20"/>
        </w:rPr>
        <w:t xml:space="preserve"> </w:t>
      </w:r>
    </w:p>
    <w:p w14:paraId="6B284F7B" w14:textId="77777777" w:rsidR="004A7389" w:rsidRPr="00785411" w:rsidRDefault="00A60FC7" w:rsidP="00C54F19">
      <w:pPr>
        <w:pStyle w:val="Akapitzlist"/>
        <w:numPr>
          <w:ilvl w:val="0"/>
          <w:numId w:val="20"/>
        </w:numPr>
        <w:autoSpaceDE w:val="0"/>
        <w:autoSpaceDN w:val="0"/>
        <w:adjustRightInd w:val="0"/>
        <w:spacing w:after="0" w:line="320" w:lineRule="exact"/>
        <w:jc w:val="both"/>
        <w:rPr>
          <w:rFonts w:ascii="Arial" w:hAnsi="Arial" w:cs="Arial"/>
          <w:sz w:val="20"/>
          <w:szCs w:val="20"/>
        </w:rPr>
      </w:pPr>
      <w:r w:rsidRPr="00785411">
        <w:rPr>
          <w:rFonts w:ascii="Arial" w:hAnsi="Arial" w:cs="Arial"/>
          <w:sz w:val="20"/>
          <w:szCs w:val="20"/>
        </w:rPr>
        <w:t>tworzenie i wspieranie kultury etyc</w:t>
      </w:r>
      <w:r w:rsidR="004B2926" w:rsidRPr="00785411">
        <w:rPr>
          <w:rFonts w:ascii="Arial" w:hAnsi="Arial" w:cs="Arial"/>
          <w:sz w:val="20"/>
          <w:szCs w:val="20"/>
        </w:rPr>
        <w:t>znej pracowników, także poprzez politykę szkoleniową</w:t>
      </w:r>
      <w:r w:rsidR="006F088B" w:rsidRPr="00785411">
        <w:rPr>
          <w:rFonts w:ascii="Arial" w:hAnsi="Arial" w:cs="Arial"/>
          <w:sz w:val="20"/>
          <w:szCs w:val="20"/>
        </w:rPr>
        <w:t>,</w:t>
      </w:r>
      <w:r w:rsidR="004A7389" w:rsidRPr="00785411">
        <w:rPr>
          <w:rFonts w:ascii="Arial" w:hAnsi="Arial" w:cs="Arial"/>
          <w:sz w:val="20"/>
          <w:szCs w:val="20"/>
        </w:rPr>
        <w:t xml:space="preserve"> </w:t>
      </w:r>
    </w:p>
    <w:p w14:paraId="047E05F1" w14:textId="77777777" w:rsidR="00920B16" w:rsidRPr="00785411" w:rsidRDefault="00183D43" w:rsidP="00986260">
      <w:pPr>
        <w:pStyle w:val="Akapitzlist"/>
        <w:numPr>
          <w:ilvl w:val="0"/>
          <w:numId w:val="20"/>
        </w:numPr>
        <w:autoSpaceDE w:val="0"/>
        <w:autoSpaceDN w:val="0"/>
        <w:adjustRightInd w:val="0"/>
        <w:spacing w:after="120" w:line="320" w:lineRule="exact"/>
        <w:ind w:left="1423" w:hanging="357"/>
        <w:jc w:val="both"/>
        <w:rPr>
          <w:rFonts w:ascii="Arial" w:hAnsi="Arial" w:cs="Arial"/>
          <w:sz w:val="20"/>
          <w:szCs w:val="20"/>
        </w:rPr>
      </w:pPr>
      <w:r w:rsidRPr="00785411">
        <w:rPr>
          <w:rFonts w:ascii="Arial" w:hAnsi="Arial" w:cs="Arial"/>
          <w:sz w:val="20"/>
          <w:szCs w:val="20"/>
        </w:rPr>
        <w:t>zapewnienie</w:t>
      </w:r>
      <w:r w:rsidR="004A7389" w:rsidRPr="00785411">
        <w:rPr>
          <w:rFonts w:ascii="Arial" w:hAnsi="Arial" w:cs="Arial"/>
          <w:sz w:val="20"/>
          <w:szCs w:val="20"/>
        </w:rPr>
        <w:t>, aby I</w:t>
      </w:r>
      <w:r w:rsidR="00AF5006" w:rsidRPr="00785411">
        <w:rPr>
          <w:rFonts w:ascii="Arial" w:hAnsi="Arial" w:cs="Arial"/>
          <w:sz w:val="20"/>
          <w:szCs w:val="20"/>
        </w:rPr>
        <w:t>nstytucja Pośrednicząca</w:t>
      </w:r>
      <w:r w:rsidR="004A7389" w:rsidRPr="00785411">
        <w:rPr>
          <w:rFonts w:ascii="Arial" w:hAnsi="Arial" w:cs="Arial"/>
          <w:sz w:val="20"/>
          <w:szCs w:val="20"/>
        </w:rPr>
        <w:t xml:space="preserve"> kierowała sprawy do właściwych organów dochodzeniowych niezwłocznie po zdarzeniu. </w:t>
      </w:r>
    </w:p>
    <w:p w14:paraId="71B6AEE9" w14:textId="77777777" w:rsidR="004A7389" w:rsidRPr="00785411" w:rsidRDefault="004A7389" w:rsidP="00490DA0">
      <w:pPr>
        <w:pStyle w:val="Default"/>
        <w:numPr>
          <w:ilvl w:val="0"/>
          <w:numId w:val="8"/>
        </w:numPr>
        <w:spacing w:line="320" w:lineRule="exact"/>
        <w:ind w:left="426" w:hanging="426"/>
        <w:jc w:val="both"/>
        <w:rPr>
          <w:rFonts w:ascii="Arial" w:hAnsi="Arial" w:cs="Arial"/>
          <w:color w:val="auto"/>
          <w:sz w:val="20"/>
          <w:szCs w:val="20"/>
        </w:rPr>
      </w:pPr>
      <w:r w:rsidRPr="00785411">
        <w:rPr>
          <w:rFonts w:ascii="Arial" w:hAnsi="Arial" w:cs="Arial"/>
          <w:color w:val="auto"/>
          <w:sz w:val="20"/>
          <w:szCs w:val="20"/>
        </w:rPr>
        <w:t>Za codzienne zarządzanie ryzykiem nadużyć finansowych odpowiadają kierownicy</w:t>
      </w:r>
      <w:r w:rsidR="00490DA0" w:rsidRPr="00785411">
        <w:rPr>
          <w:rFonts w:ascii="Arial" w:hAnsi="Arial" w:cs="Arial"/>
          <w:color w:val="auto"/>
          <w:sz w:val="20"/>
          <w:szCs w:val="20"/>
        </w:rPr>
        <w:t xml:space="preserve"> komórek organizacyjnych</w:t>
      </w:r>
      <w:r w:rsidR="004B2926" w:rsidRPr="00785411">
        <w:rPr>
          <w:rFonts w:ascii="Arial" w:hAnsi="Arial" w:cs="Arial"/>
          <w:color w:val="auto"/>
          <w:sz w:val="20"/>
          <w:szCs w:val="20"/>
        </w:rPr>
        <w:t xml:space="preserve"> realizujących zadania</w:t>
      </w:r>
      <w:r w:rsidR="00490DA0" w:rsidRPr="00785411">
        <w:rPr>
          <w:rFonts w:ascii="Arial" w:hAnsi="Arial" w:cs="Arial"/>
          <w:color w:val="auto"/>
          <w:sz w:val="20"/>
          <w:szCs w:val="20"/>
        </w:rPr>
        <w:t xml:space="preserve"> Instytucji Pośredniczącej</w:t>
      </w:r>
      <w:r w:rsidR="00496EB8" w:rsidRPr="00785411">
        <w:rPr>
          <w:rFonts w:ascii="Arial" w:hAnsi="Arial" w:cs="Arial"/>
          <w:color w:val="auto"/>
          <w:sz w:val="20"/>
          <w:szCs w:val="20"/>
        </w:rPr>
        <w:t>, z</w:t>
      </w:r>
      <w:r w:rsidRPr="00785411">
        <w:rPr>
          <w:rFonts w:ascii="Arial" w:hAnsi="Arial" w:cs="Arial"/>
          <w:color w:val="auto"/>
          <w:sz w:val="20"/>
          <w:szCs w:val="20"/>
        </w:rPr>
        <w:t>godnie z</w:t>
      </w:r>
      <w:r w:rsidR="00347D90" w:rsidRPr="00785411">
        <w:rPr>
          <w:rFonts w:ascii="Arial" w:hAnsi="Arial" w:cs="Arial"/>
          <w:color w:val="auto"/>
          <w:sz w:val="20"/>
          <w:szCs w:val="20"/>
        </w:rPr>
        <w:t> </w:t>
      </w:r>
      <w:r w:rsidRPr="00785411">
        <w:rPr>
          <w:rFonts w:ascii="Arial" w:hAnsi="Arial" w:cs="Arial"/>
          <w:color w:val="auto"/>
          <w:sz w:val="20"/>
          <w:szCs w:val="20"/>
        </w:rPr>
        <w:t>oceną r</w:t>
      </w:r>
      <w:r w:rsidR="00496EB8" w:rsidRPr="00785411">
        <w:rPr>
          <w:rFonts w:ascii="Arial" w:hAnsi="Arial" w:cs="Arial"/>
          <w:color w:val="auto"/>
          <w:sz w:val="20"/>
          <w:szCs w:val="20"/>
        </w:rPr>
        <w:t>yzyka nadużyć finansowych.</w:t>
      </w:r>
      <w:r w:rsidRPr="00785411">
        <w:rPr>
          <w:rFonts w:ascii="Arial" w:hAnsi="Arial" w:cs="Arial"/>
          <w:color w:val="auto"/>
          <w:sz w:val="20"/>
          <w:szCs w:val="20"/>
        </w:rPr>
        <w:t xml:space="preserve"> </w:t>
      </w:r>
      <w:r w:rsidR="00496EB8" w:rsidRPr="00785411">
        <w:rPr>
          <w:rFonts w:ascii="Arial" w:hAnsi="Arial" w:cs="Arial"/>
          <w:color w:val="auto"/>
          <w:sz w:val="20"/>
          <w:szCs w:val="20"/>
        </w:rPr>
        <w:t>W</w:t>
      </w:r>
      <w:r w:rsidRPr="00785411">
        <w:rPr>
          <w:rFonts w:ascii="Arial" w:hAnsi="Arial" w:cs="Arial"/>
          <w:color w:val="auto"/>
          <w:sz w:val="20"/>
          <w:szCs w:val="20"/>
        </w:rPr>
        <w:t xml:space="preserve"> szczególności odpowiadają oni za</w:t>
      </w:r>
      <w:r w:rsidR="00490DA0" w:rsidRPr="00785411">
        <w:rPr>
          <w:rFonts w:ascii="Arial" w:hAnsi="Arial" w:cs="Arial"/>
          <w:color w:val="auto"/>
          <w:sz w:val="20"/>
          <w:szCs w:val="20"/>
        </w:rPr>
        <w:t>:</w:t>
      </w:r>
      <w:r w:rsidRPr="00785411">
        <w:rPr>
          <w:rFonts w:ascii="Arial" w:hAnsi="Arial" w:cs="Arial"/>
          <w:color w:val="auto"/>
          <w:sz w:val="20"/>
          <w:szCs w:val="20"/>
        </w:rPr>
        <w:t xml:space="preserve"> </w:t>
      </w:r>
    </w:p>
    <w:p w14:paraId="086121F9" w14:textId="77777777" w:rsidR="004A7389" w:rsidRPr="00785411" w:rsidRDefault="004A7389" w:rsidP="004127DB">
      <w:pPr>
        <w:pStyle w:val="Akapitzlist"/>
        <w:numPr>
          <w:ilvl w:val="0"/>
          <w:numId w:val="21"/>
        </w:numPr>
        <w:autoSpaceDE w:val="0"/>
        <w:autoSpaceDN w:val="0"/>
        <w:adjustRightInd w:val="0"/>
        <w:spacing w:after="0" w:line="320" w:lineRule="exact"/>
        <w:ind w:left="1423" w:hanging="357"/>
        <w:jc w:val="both"/>
        <w:rPr>
          <w:rFonts w:ascii="Arial" w:hAnsi="Arial" w:cs="Arial"/>
          <w:sz w:val="20"/>
          <w:szCs w:val="20"/>
        </w:rPr>
      </w:pPr>
      <w:r w:rsidRPr="00785411">
        <w:rPr>
          <w:rFonts w:ascii="Arial" w:hAnsi="Arial" w:cs="Arial"/>
          <w:sz w:val="20"/>
          <w:szCs w:val="20"/>
        </w:rPr>
        <w:lastRenderedPageBreak/>
        <w:t xml:space="preserve">funkcjonowanie odpowiedniego systemu kontroli </w:t>
      </w:r>
      <w:r w:rsidR="00DF5A78" w:rsidRPr="00785411">
        <w:rPr>
          <w:rFonts w:ascii="Arial" w:hAnsi="Arial" w:cs="Arial"/>
          <w:sz w:val="20"/>
          <w:szCs w:val="20"/>
        </w:rPr>
        <w:t xml:space="preserve">zarządczej </w:t>
      </w:r>
      <w:r w:rsidRPr="00785411">
        <w:rPr>
          <w:rFonts w:ascii="Arial" w:hAnsi="Arial" w:cs="Arial"/>
          <w:sz w:val="20"/>
          <w:szCs w:val="20"/>
        </w:rPr>
        <w:t>w obszarz</w:t>
      </w:r>
      <w:r w:rsidR="006F088B" w:rsidRPr="00785411">
        <w:rPr>
          <w:rFonts w:ascii="Arial" w:hAnsi="Arial" w:cs="Arial"/>
          <w:sz w:val="20"/>
          <w:szCs w:val="20"/>
        </w:rPr>
        <w:t>e podlegającym ich kompetencjom,</w:t>
      </w:r>
      <w:r w:rsidRPr="00785411">
        <w:rPr>
          <w:rFonts w:ascii="Arial" w:hAnsi="Arial" w:cs="Arial"/>
          <w:sz w:val="20"/>
          <w:szCs w:val="20"/>
        </w:rPr>
        <w:t xml:space="preserve"> </w:t>
      </w:r>
    </w:p>
    <w:p w14:paraId="116114B8" w14:textId="77777777" w:rsidR="004A7389" w:rsidRPr="00785411" w:rsidRDefault="004A7389" w:rsidP="004127DB">
      <w:pPr>
        <w:pStyle w:val="Akapitzlist"/>
        <w:numPr>
          <w:ilvl w:val="0"/>
          <w:numId w:val="21"/>
        </w:numPr>
        <w:autoSpaceDE w:val="0"/>
        <w:autoSpaceDN w:val="0"/>
        <w:adjustRightInd w:val="0"/>
        <w:spacing w:after="0" w:line="320" w:lineRule="exact"/>
        <w:ind w:left="1423" w:hanging="357"/>
        <w:jc w:val="both"/>
        <w:rPr>
          <w:rFonts w:ascii="Arial" w:hAnsi="Arial" w:cs="Arial"/>
          <w:sz w:val="20"/>
          <w:szCs w:val="20"/>
        </w:rPr>
      </w:pPr>
      <w:r w:rsidRPr="00785411">
        <w:rPr>
          <w:rFonts w:ascii="Arial" w:hAnsi="Arial" w:cs="Arial"/>
          <w:sz w:val="20"/>
          <w:szCs w:val="20"/>
        </w:rPr>
        <w:t>zapobieganie nadużyc</w:t>
      </w:r>
      <w:r w:rsidR="006F088B" w:rsidRPr="00785411">
        <w:rPr>
          <w:rFonts w:ascii="Arial" w:hAnsi="Arial" w:cs="Arial"/>
          <w:sz w:val="20"/>
          <w:szCs w:val="20"/>
        </w:rPr>
        <w:t>iom finansowym i ich wykrywanie,</w:t>
      </w:r>
      <w:r w:rsidRPr="00785411">
        <w:rPr>
          <w:rFonts w:ascii="Arial" w:hAnsi="Arial" w:cs="Arial"/>
          <w:sz w:val="20"/>
          <w:szCs w:val="20"/>
        </w:rPr>
        <w:t xml:space="preserve"> </w:t>
      </w:r>
    </w:p>
    <w:p w14:paraId="5464805A" w14:textId="77777777" w:rsidR="004A7389" w:rsidRPr="00785411" w:rsidRDefault="004B2926" w:rsidP="00C54F19">
      <w:pPr>
        <w:pStyle w:val="Akapitzlist"/>
        <w:numPr>
          <w:ilvl w:val="0"/>
          <w:numId w:val="21"/>
        </w:numPr>
        <w:autoSpaceDE w:val="0"/>
        <w:autoSpaceDN w:val="0"/>
        <w:adjustRightInd w:val="0"/>
        <w:spacing w:after="0" w:line="320" w:lineRule="exact"/>
        <w:jc w:val="both"/>
        <w:rPr>
          <w:rFonts w:ascii="Arial" w:hAnsi="Arial" w:cs="Arial"/>
          <w:sz w:val="20"/>
          <w:szCs w:val="20"/>
        </w:rPr>
      </w:pPr>
      <w:r w:rsidRPr="00785411">
        <w:rPr>
          <w:rFonts w:ascii="Arial" w:hAnsi="Arial" w:cs="Arial"/>
          <w:sz w:val="20"/>
          <w:szCs w:val="20"/>
        </w:rPr>
        <w:t>zachowanie należytej staranności i ostrożności</w:t>
      </w:r>
      <w:r w:rsidR="004A7389" w:rsidRPr="00785411">
        <w:rPr>
          <w:rFonts w:ascii="Arial" w:hAnsi="Arial" w:cs="Arial"/>
          <w:sz w:val="20"/>
          <w:szCs w:val="20"/>
        </w:rPr>
        <w:t xml:space="preserve"> w razie po</w:t>
      </w:r>
      <w:r w:rsidR="006F088B" w:rsidRPr="00785411">
        <w:rPr>
          <w:rFonts w:ascii="Arial" w:hAnsi="Arial" w:cs="Arial"/>
          <w:sz w:val="20"/>
          <w:szCs w:val="20"/>
        </w:rPr>
        <w:t>dejrzenia nadużycia finansowego,</w:t>
      </w:r>
      <w:r w:rsidR="004A7389" w:rsidRPr="00785411">
        <w:rPr>
          <w:rFonts w:ascii="Arial" w:hAnsi="Arial" w:cs="Arial"/>
          <w:sz w:val="20"/>
          <w:szCs w:val="20"/>
        </w:rPr>
        <w:t xml:space="preserve"> </w:t>
      </w:r>
    </w:p>
    <w:p w14:paraId="2E9CEEAA" w14:textId="77777777" w:rsidR="004B2926" w:rsidRPr="00785411" w:rsidRDefault="004B2926" w:rsidP="002879CF">
      <w:pPr>
        <w:pStyle w:val="Akapitzlist"/>
        <w:numPr>
          <w:ilvl w:val="0"/>
          <w:numId w:val="21"/>
        </w:numPr>
        <w:autoSpaceDE w:val="0"/>
        <w:autoSpaceDN w:val="0"/>
        <w:adjustRightInd w:val="0"/>
        <w:spacing w:after="360" w:line="320" w:lineRule="exact"/>
        <w:ind w:left="1423" w:hanging="357"/>
        <w:contextualSpacing w:val="0"/>
        <w:jc w:val="both"/>
        <w:rPr>
          <w:rFonts w:ascii="Arial" w:hAnsi="Arial" w:cs="Arial"/>
          <w:sz w:val="20"/>
          <w:szCs w:val="20"/>
        </w:rPr>
      </w:pPr>
      <w:r w:rsidRPr="00785411">
        <w:rPr>
          <w:rFonts w:ascii="Arial" w:hAnsi="Arial" w:cs="Arial"/>
          <w:sz w:val="20"/>
          <w:szCs w:val="20"/>
        </w:rPr>
        <w:t xml:space="preserve">w stosownych przypadkach </w:t>
      </w:r>
      <w:r w:rsidR="004A7389" w:rsidRPr="00785411">
        <w:rPr>
          <w:rFonts w:ascii="Arial" w:hAnsi="Arial" w:cs="Arial"/>
          <w:sz w:val="20"/>
          <w:szCs w:val="20"/>
        </w:rPr>
        <w:t>podejmowanie działań naprawczych</w:t>
      </w:r>
      <w:r w:rsidRPr="00785411">
        <w:rPr>
          <w:rFonts w:ascii="Arial" w:hAnsi="Arial" w:cs="Arial"/>
          <w:sz w:val="20"/>
          <w:szCs w:val="20"/>
        </w:rPr>
        <w:t>.</w:t>
      </w:r>
    </w:p>
    <w:p w14:paraId="5E977311" w14:textId="77777777" w:rsidR="001F2F4A" w:rsidRDefault="001F2F4A" w:rsidP="00B25504">
      <w:pPr>
        <w:pStyle w:val="Default"/>
        <w:spacing w:after="120" w:line="320" w:lineRule="exact"/>
        <w:rPr>
          <w:rFonts w:ascii="Arial" w:hAnsi="Arial" w:cs="Arial"/>
          <w:b/>
          <w:bCs/>
          <w:color w:val="auto"/>
          <w:sz w:val="20"/>
          <w:szCs w:val="20"/>
          <w:u w:val="single"/>
        </w:rPr>
      </w:pPr>
    </w:p>
    <w:p w14:paraId="2B24543C" w14:textId="370F3CAC" w:rsidR="004A7389" w:rsidRPr="00785411" w:rsidRDefault="004A7389" w:rsidP="005950EB">
      <w:pPr>
        <w:pStyle w:val="Default"/>
        <w:spacing w:after="120" w:line="320" w:lineRule="exact"/>
        <w:jc w:val="center"/>
        <w:rPr>
          <w:rFonts w:ascii="Arial" w:hAnsi="Arial" w:cs="Arial"/>
          <w:b/>
          <w:bCs/>
          <w:color w:val="auto"/>
          <w:sz w:val="20"/>
          <w:szCs w:val="20"/>
          <w:u w:val="single"/>
        </w:rPr>
      </w:pPr>
      <w:r w:rsidRPr="00785411">
        <w:rPr>
          <w:rFonts w:ascii="Arial" w:hAnsi="Arial" w:cs="Arial"/>
          <w:b/>
          <w:bCs/>
          <w:color w:val="auto"/>
          <w:sz w:val="20"/>
          <w:szCs w:val="20"/>
          <w:u w:val="single"/>
        </w:rPr>
        <w:t>Zgłaszanie nadużyć finansowych</w:t>
      </w:r>
    </w:p>
    <w:p w14:paraId="2BC05591" w14:textId="28B471D1" w:rsidR="005950EB" w:rsidRPr="00785411" w:rsidRDefault="005950EB" w:rsidP="005950EB">
      <w:pPr>
        <w:pStyle w:val="Default"/>
        <w:spacing w:after="120" w:line="320" w:lineRule="exact"/>
        <w:jc w:val="center"/>
        <w:rPr>
          <w:rFonts w:ascii="Arial" w:hAnsi="Arial" w:cs="Arial"/>
          <w:b/>
          <w:bCs/>
          <w:color w:val="auto"/>
          <w:sz w:val="20"/>
          <w:szCs w:val="20"/>
        </w:rPr>
      </w:pPr>
      <w:r w:rsidRPr="00785411">
        <w:rPr>
          <w:rFonts w:ascii="Arial" w:hAnsi="Arial" w:cs="Arial"/>
          <w:b/>
          <w:bCs/>
          <w:color w:val="auto"/>
          <w:sz w:val="20"/>
          <w:szCs w:val="20"/>
        </w:rPr>
        <w:t xml:space="preserve">§ </w:t>
      </w:r>
      <w:r w:rsidR="003F539F">
        <w:rPr>
          <w:rFonts w:ascii="Arial" w:hAnsi="Arial" w:cs="Arial"/>
          <w:b/>
          <w:bCs/>
          <w:color w:val="auto"/>
          <w:sz w:val="20"/>
          <w:szCs w:val="20"/>
        </w:rPr>
        <w:t>9</w:t>
      </w:r>
    </w:p>
    <w:p w14:paraId="0C9F785E" w14:textId="77777777" w:rsidR="00BA01EB" w:rsidRPr="00785411" w:rsidRDefault="00BA01EB" w:rsidP="008E489E">
      <w:pPr>
        <w:pStyle w:val="Default"/>
        <w:numPr>
          <w:ilvl w:val="0"/>
          <w:numId w:val="11"/>
        </w:numPr>
        <w:spacing w:after="27" w:line="320" w:lineRule="exact"/>
        <w:ind w:left="425" w:hanging="425"/>
        <w:jc w:val="both"/>
        <w:rPr>
          <w:rFonts w:ascii="Arial" w:hAnsi="Arial" w:cs="Arial"/>
          <w:bCs/>
          <w:color w:val="auto"/>
          <w:sz w:val="20"/>
          <w:szCs w:val="20"/>
        </w:rPr>
      </w:pPr>
      <w:r w:rsidRPr="00785411">
        <w:rPr>
          <w:rFonts w:ascii="Arial" w:hAnsi="Arial" w:cs="Arial"/>
          <w:bCs/>
          <w:color w:val="auto"/>
          <w:sz w:val="20"/>
          <w:szCs w:val="20"/>
        </w:rPr>
        <w:t>Instytucja Pośrednicząca zarządza przypadkami wykrytych nadużyć</w:t>
      </w:r>
      <w:r w:rsidR="00DF5A78" w:rsidRPr="00785411">
        <w:rPr>
          <w:rFonts w:ascii="Arial" w:hAnsi="Arial" w:cs="Arial"/>
          <w:bCs/>
          <w:color w:val="auto"/>
          <w:sz w:val="20"/>
          <w:szCs w:val="20"/>
        </w:rPr>
        <w:t xml:space="preserve"> finansowych</w:t>
      </w:r>
      <w:r w:rsidRPr="00785411">
        <w:rPr>
          <w:rFonts w:ascii="Arial" w:hAnsi="Arial" w:cs="Arial"/>
          <w:bCs/>
          <w:color w:val="auto"/>
          <w:sz w:val="20"/>
          <w:szCs w:val="20"/>
        </w:rPr>
        <w:t xml:space="preserve"> </w:t>
      </w:r>
      <w:r w:rsidR="002879CF" w:rsidRPr="00785411">
        <w:rPr>
          <w:rFonts w:ascii="Arial" w:hAnsi="Arial" w:cs="Arial"/>
          <w:bCs/>
          <w:color w:val="auto"/>
          <w:sz w:val="20"/>
          <w:szCs w:val="20"/>
        </w:rPr>
        <w:br/>
      </w:r>
      <w:r w:rsidRPr="00785411">
        <w:rPr>
          <w:rFonts w:ascii="Arial" w:hAnsi="Arial" w:cs="Arial"/>
          <w:bCs/>
          <w:color w:val="auto"/>
          <w:sz w:val="20"/>
          <w:szCs w:val="20"/>
        </w:rPr>
        <w:t>w oparciu o przepisy prawa kr</w:t>
      </w:r>
      <w:r w:rsidR="004B2926" w:rsidRPr="00785411">
        <w:rPr>
          <w:rFonts w:ascii="Arial" w:hAnsi="Arial" w:cs="Arial"/>
          <w:bCs/>
          <w:color w:val="auto"/>
          <w:sz w:val="20"/>
          <w:szCs w:val="20"/>
        </w:rPr>
        <w:t>ajowego i wspólnotowego właściw</w:t>
      </w:r>
      <w:r w:rsidRPr="00785411">
        <w:rPr>
          <w:rFonts w:ascii="Arial" w:hAnsi="Arial" w:cs="Arial"/>
          <w:bCs/>
          <w:color w:val="auto"/>
          <w:sz w:val="20"/>
          <w:szCs w:val="20"/>
        </w:rPr>
        <w:t>e dla zakresu zidentyfikowanych nieprawidłowości.</w:t>
      </w:r>
    </w:p>
    <w:p w14:paraId="5CD955B6" w14:textId="77777777" w:rsidR="00317C25" w:rsidRPr="00785411" w:rsidRDefault="00806625" w:rsidP="00317C25">
      <w:pPr>
        <w:pStyle w:val="Default"/>
        <w:numPr>
          <w:ilvl w:val="0"/>
          <w:numId w:val="11"/>
        </w:numPr>
        <w:spacing w:after="27" w:line="320" w:lineRule="exact"/>
        <w:ind w:left="426" w:hanging="426"/>
        <w:jc w:val="both"/>
        <w:rPr>
          <w:rFonts w:ascii="Arial" w:hAnsi="Arial" w:cs="Arial"/>
          <w:bCs/>
          <w:color w:val="auto"/>
          <w:sz w:val="20"/>
          <w:szCs w:val="20"/>
        </w:rPr>
      </w:pPr>
      <w:r w:rsidRPr="00785411">
        <w:rPr>
          <w:rFonts w:ascii="Arial" w:hAnsi="Arial" w:cs="Arial"/>
          <w:bCs/>
          <w:color w:val="auto"/>
          <w:sz w:val="20"/>
          <w:szCs w:val="20"/>
        </w:rPr>
        <w:t>Instytucja</w:t>
      </w:r>
      <w:r w:rsidRPr="00785411">
        <w:rPr>
          <w:rFonts w:ascii="Arial" w:hAnsi="Arial" w:cs="Arial"/>
          <w:color w:val="auto"/>
          <w:sz w:val="20"/>
          <w:szCs w:val="20"/>
        </w:rPr>
        <w:t xml:space="preserve"> Pośrednicząca wdrożyła procedury dotyczące wykrywania i zwalczania </w:t>
      </w:r>
      <w:r w:rsidRPr="00785411">
        <w:rPr>
          <w:rFonts w:ascii="Arial" w:hAnsi="Arial" w:cs="Arial"/>
          <w:bCs/>
          <w:color w:val="auto"/>
          <w:sz w:val="20"/>
          <w:szCs w:val="20"/>
        </w:rPr>
        <w:t>nadużyć</w:t>
      </w:r>
      <w:r w:rsidRPr="00785411">
        <w:rPr>
          <w:rFonts w:ascii="Arial" w:hAnsi="Arial" w:cs="Arial"/>
          <w:color w:val="auto"/>
          <w:sz w:val="20"/>
          <w:szCs w:val="20"/>
        </w:rPr>
        <w:t xml:space="preserve"> finansowych i korupcji, które są częścią </w:t>
      </w:r>
      <w:r w:rsidR="00A2133B" w:rsidRPr="00785411">
        <w:rPr>
          <w:rFonts w:ascii="Arial" w:hAnsi="Arial" w:cs="Arial"/>
          <w:i/>
          <w:color w:val="auto"/>
          <w:sz w:val="20"/>
          <w:szCs w:val="20"/>
        </w:rPr>
        <w:t>Instrukcji wykonawczych</w:t>
      </w:r>
      <w:r w:rsidR="00D8080C" w:rsidRPr="00785411">
        <w:rPr>
          <w:rFonts w:ascii="Arial" w:hAnsi="Arial" w:cs="Arial"/>
          <w:i/>
          <w:color w:val="auto"/>
          <w:sz w:val="20"/>
          <w:szCs w:val="20"/>
        </w:rPr>
        <w:t>.</w:t>
      </w:r>
      <w:r w:rsidR="00317C25" w:rsidRPr="00785411">
        <w:rPr>
          <w:rFonts w:ascii="Arial" w:hAnsi="Arial" w:cs="Arial"/>
          <w:bCs/>
          <w:i/>
          <w:color w:val="auto"/>
          <w:sz w:val="20"/>
          <w:szCs w:val="20"/>
        </w:rPr>
        <w:t xml:space="preserve"> </w:t>
      </w:r>
    </w:p>
    <w:p w14:paraId="18B9FD5D" w14:textId="77777777" w:rsidR="00BA01EB" w:rsidRPr="006A61DA" w:rsidRDefault="004A7389" w:rsidP="00806625">
      <w:pPr>
        <w:pStyle w:val="Default"/>
        <w:numPr>
          <w:ilvl w:val="0"/>
          <w:numId w:val="11"/>
        </w:numPr>
        <w:spacing w:after="27" w:line="320" w:lineRule="exact"/>
        <w:ind w:left="426" w:hanging="426"/>
        <w:jc w:val="both"/>
        <w:rPr>
          <w:rFonts w:ascii="Arial" w:hAnsi="Arial" w:cs="Arial"/>
          <w:bCs/>
          <w:sz w:val="20"/>
          <w:szCs w:val="20"/>
        </w:rPr>
      </w:pPr>
      <w:r w:rsidRPr="00785411">
        <w:rPr>
          <w:rFonts w:ascii="Arial" w:hAnsi="Arial" w:cs="Arial"/>
          <w:bCs/>
          <w:color w:val="auto"/>
          <w:sz w:val="20"/>
          <w:szCs w:val="20"/>
        </w:rPr>
        <w:t>Wszystkie</w:t>
      </w:r>
      <w:r w:rsidRPr="00785411">
        <w:rPr>
          <w:rFonts w:ascii="Arial" w:hAnsi="Arial" w:cs="Arial"/>
          <w:sz w:val="20"/>
          <w:szCs w:val="20"/>
        </w:rPr>
        <w:t xml:space="preserve"> zgłoszenia </w:t>
      </w:r>
      <w:r w:rsidR="00806625" w:rsidRPr="00785411">
        <w:rPr>
          <w:rFonts w:ascii="Arial" w:hAnsi="Arial" w:cs="Arial"/>
          <w:sz w:val="20"/>
          <w:szCs w:val="20"/>
        </w:rPr>
        <w:t xml:space="preserve">dotyczące podejrzenia popełnienia nadużyć finansowych i/lub </w:t>
      </w:r>
      <w:r w:rsidR="00806625" w:rsidRPr="00785411">
        <w:rPr>
          <w:rFonts w:ascii="Arial" w:hAnsi="Arial" w:cs="Arial"/>
          <w:bCs/>
          <w:color w:val="auto"/>
          <w:sz w:val="20"/>
          <w:szCs w:val="20"/>
        </w:rPr>
        <w:t>wystąpienia</w:t>
      </w:r>
      <w:r w:rsidR="00806625" w:rsidRPr="00785411">
        <w:rPr>
          <w:rFonts w:ascii="Arial" w:hAnsi="Arial" w:cs="Arial"/>
          <w:sz w:val="20"/>
          <w:szCs w:val="20"/>
        </w:rPr>
        <w:t xml:space="preserve"> korupcji </w:t>
      </w:r>
      <w:r w:rsidRPr="00785411">
        <w:rPr>
          <w:rFonts w:ascii="Arial" w:hAnsi="Arial" w:cs="Arial"/>
          <w:sz w:val="20"/>
          <w:szCs w:val="20"/>
        </w:rPr>
        <w:t xml:space="preserve">będą analizowane z zachowaniem ścisłej poufności oraz zgodnie </w:t>
      </w:r>
      <w:r w:rsidR="00093B9C" w:rsidRPr="00785411">
        <w:rPr>
          <w:rFonts w:ascii="Arial" w:hAnsi="Arial" w:cs="Arial"/>
          <w:sz w:val="20"/>
          <w:szCs w:val="20"/>
        </w:rPr>
        <w:br/>
      </w:r>
      <w:r w:rsidRPr="009915D0">
        <w:rPr>
          <w:rFonts w:ascii="Arial" w:hAnsi="Arial" w:cs="Arial"/>
          <w:sz w:val="20"/>
          <w:szCs w:val="20"/>
        </w:rPr>
        <w:t xml:space="preserve">z </w:t>
      </w:r>
      <w:r w:rsidR="009B1B3B" w:rsidRPr="009915D0">
        <w:rPr>
          <w:rFonts w:ascii="Arial" w:hAnsi="Arial" w:cs="Arial"/>
          <w:sz w:val="20"/>
          <w:szCs w:val="20"/>
        </w:rPr>
        <w:t>RODO.</w:t>
      </w:r>
      <w:r w:rsidR="00806625" w:rsidRPr="009915D0">
        <w:rPr>
          <w:rStyle w:val="Odwoanieprzypisudolnego"/>
          <w:rFonts w:ascii="Arial" w:hAnsi="Arial" w:cs="Arial"/>
          <w:bCs/>
          <w:sz w:val="20"/>
          <w:szCs w:val="20"/>
        </w:rPr>
        <w:footnoteReference w:id="4"/>
      </w:r>
    </w:p>
    <w:p w14:paraId="5835E1A4" w14:textId="78937A94" w:rsidR="006A61DA" w:rsidRPr="00C92626" w:rsidRDefault="006A61DA" w:rsidP="00806625">
      <w:pPr>
        <w:pStyle w:val="Default"/>
        <w:numPr>
          <w:ilvl w:val="0"/>
          <w:numId w:val="11"/>
        </w:numPr>
        <w:spacing w:after="27" w:line="320" w:lineRule="exact"/>
        <w:ind w:left="426" w:hanging="426"/>
        <w:jc w:val="both"/>
        <w:rPr>
          <w:rFonts w:ascii="Arial" w:hAnsi="Arial" w:cs="Arial"/>
          <w:bCs/>
          <w:sz w:val="20"/>
          <w:szCs w:val="20"/>
        </w:rPr>
      </w:pPr>
      <w:r>
        <w:rPr>
          <w:rFonts w:ascii="Arial" w:hAnsi="Arial" w:cs="Arial"/>
          <w:bCs/>
          <w:color w:val="auto"/>
          <w:sz w:val="20"/>
          <w:szCs w:val="20"/>
        </w:rPr>
        <w:t>Instytucj</w:t>
      </w:r>
      <w:r w:rsidR="005B6156">
        <w:rPr>
          <w:rFonts w:ascii="Arial" w:hAnsi="Arial" w:cs="Arial"/>
          <w:bCs/>
          <w:color w:val="auto"/>
          <w:sz w:val="20"/>
          <w:szCs w:val="20"/>
        </w:rPr>
        <w:t>a</w:t>
      </w:r>
      <w:r>
        <w:rPr>
          <w:rFonts w:ascii="Arial" w:hAnsi="Arial" w:cs="Arial"/>
          <w:bCs/>
          <w:color w:val="auto"/>
          <w:sz w:val="20"/>
          <w:szCs w:val="20"/>
        </w:rPr>
        <w:t xml:space="preserve"> Pośrednicząc</w:t>
      </w:r>
      <w:r w:rsidR="005B6156">
        <w:rPr>
          <w:rFonts w:ascii="Arial" w:hAnsi="Arial" w:cs="Arial"/>
          <w:bCs/>
          <w:color w:val="auto"/>
          <w:sz w:val="20"/>
          <w:szCs w:val="20"/>
        </w:rPr>
        <w:t>a zapewnia ochronę sygnalistów, tj. osób, które działając w dobrej wierze i</w:t>
      </w:r>
      <w:r w:rsidR="003F539F">
        <w:rPr>
          <w:rFonts w:ascii="Arial" w:hAnsi="Arial" w:cs="Arial"/>
          <w:bCs/>
          <w:color w:val="auto"/>
          <w:sz w:val="20"/>
          <w:szCs w:val="20"/>
        </w:rPr>
        <w:t> </w:t>
      </w:r>
      <w:r w:rsidR="005B6156">
        <w:rPr>
          <w:rFonts w:ascii="Arial" w:hAnsi="Arial" w:cs="Arial"/>
          <w:bCs/>
          <w:color w:val="auto"/>
          <w:sz w:val="20"/>
          <w:szCs w:val="20"/>
        </w:rPr>
        <w:t xml:space="preserve">w trosce o dobro publiczne </w:t>
      </w:r>
      <w:r w:rsidR="005B6156" w:rsidRPr="00D66697">
        <w:rPr>
          <w:rFonts w:ascii="Arial" w:hAnsi="Arial" w:cs="Arial"/>
          <w:bCs/>
          <w:color w:val="auto"/>
          <w:sz w:val="20"/>
          <w:szCs w:val="20"/>
        </w:rPr>
        <w:t>ujawniają nieprawidłowości, w tym podejrzenia nadużyć finansowych, które dotyczą przedstawicieli instytucji systemu wdrażania FERS lub podmiotów zaangażowanych w realizację projektów (np. beneficjentów).</w:t>
      </w:r>
      <w:r w:rsidR="005B6156">
        <w:rPr>
          <w:rFonts w:ascii="Arial" w:hAnsi="Arial" w:cs="Arial"/>
          <w:bCs/>
          <w:color w:val="auto"/>
          <w:sz w:val="20"/>
          <w:szCs w:val="20"/>
        </w:rPr>
        <w:t xml:space="preserve"> Sygnaliści są </w:t>
      </w:r>
      <w:r w:rsidR="00DD362C">
        <w:rPr>
          <w:rFonts w:ascii="Arial" w:hAnsi="Arial" w:cs="Arial"/>
          <w:bCs/>
          <w:color w:val="auto"/>
          <w:sz w:val="20"/>
          <w:szCs w:val="20"/>
        </w:rPr>
        <w:t>zabezpieczeni</w:t>
      </w:r>
      <w:r w:rsidR="005B6156">
        <w:rPr>
          <w:rFonts w:ascii="Arial" w:hAnsi="Arial" w:cs="Arial"/>
          <w:bCs/>
          <w:color w:val="auto"/>
          <w:sz w:val="20"/>
          <w:szCs w:val="20"/>
        </w:rPr>
        <w:t xml:space="preserve"> przed działaniami odwetowymi, a ich tożsamość chroniona. </w:t>
      </w:r>
      <w:r>
        <w:rPr>
          <w:rFonts w:ascii="Arial" w:hAnsi="Arial" w:cs="Arial"/>
          <w:bCs/>
          <w:color w:val="auto"/>
          <w:sz w:val="20"/>
          <w:szCs w:val="20"/>
        </w:rPr>
        <w:t xml:space="preserve"> </w:t>
      </w:r>
    </w:p>
    <w:p w14:paraId="1B601B34" w14:textId="2D78CD3D" w:rsidR="001F2F4A" w:rsidRPr="00AF7D9D" w:rsidRDefault="00296D72" w:rsidP="00AF7D9D">
      <w:pPr>
        <w:pStyle w:val="Default"/>
        <w:numPr>
          <w:ilvl w:val="0"/>
          <w:numId w:val="11"/>
        </w:numPr>
        <w:spacing w:after="360" w:line="320" w:lineRule="exact"/>
        <w:ind w:left="425" w:hanging="425"/>
        <w:jc w:val="both"/>
        <w:rPr>
          <w:rFonts w:ascii="Arial" w:hAnsi="Arial" w:cs="Arial"/>
          <w:color w:val="auto"/>
          <w:sz w:val="20"/>
          <w:szCs w:val="20"/>
        </w:rPr>
      </w:pPr>
      <w:r w:rsidRPr="009915D0">
        <w:rPr>
          <w:rFonts w:ascii="Arial" w:hAnsi="Arial" w:cs="Arial"/>
          <w:bCs/>
          <w:color w:val="auto"/>
          <w:sz w:val="20"/>
          <w:szCs w:val="20"/>
        </w:rPr>
        <w:t>Instytucja Pośrednicząca</w:t>
      </w:r>
      <w:r w:rsidRPr="00785411">
        <w:rPr>
          <w:rFonts w:ascii="Arial" w:hAnsi="Arial" w:cs="Arial"/>
          <w:bCs/>
          <w:color w:val="auto"/>
          <w:sz w:val="20"/>
          <w:szCs w:val="20"/>
        </w:rPr>
        <w:t xml:space="preserve"> dołoży wszelkich starań, aby pracownicy</w:t>
      </w:r>
      <w:r w:rsidR="004A7389" w:rsidRPr="00785411">
        <w:rPr>
          <w:rFonts w:ascii="Arial" w:hAnsi="Arial" w:cs="Arial"/>
          <w:color w:val="auto"/>
          <w:sz w:val="20"/>
          <w:szCs w:val="20"/>
        </w:rPr>
        <w:t xml:space="preserve"> zgłaszający nieprawidłowości lub podejrzenie nadużycia </w:t>
      </w:r>
      <w:r w:rsidRPr="00785411">
        <w:rPr>
          <w:rFonts w:ascii="Arial" w:hAnsi="Arial" w:cs="Arial"/>
          <w:color w:val="auto"/>
          <w:sz w:val="20"/>
          <w:szCs w:val="20"/>
        </w:rPr>
        <w:t>nie ponieśli negatywnych konsekwencji wynikających z dokonania zgłoszenia</w:t>
      </w:r>
      <w:r w:rsidR="008C037E" w:rsidRPr="00785411">
        <w:rPr>
          <w:rFonts w:ascii="Arial" w:hAnsi="Arial" w:cs="Arial"/>
          <w:color w:val="auto"/>
          <w:sz w:val="20"/>
          <w:szCs w:val="20"/>
        </w:rPr>
        <w:t>.</w:t>
      </w:r>
      <w:r w:rsidR="004A7389" w:rsidRPr="00785411">
        <w:rPr>
          <w:rFonts w:ascii="Arial" w:hAnsi="Arial" w:cs="Arial"/>
          <w:color w:val="auto"/>
          <w:sz w:val="20"/>
          <w:szCs w:val="20"/>
        </w:rPr>
        <w:t xml:space="preserve"> </w:t>
      </w:r>
    </w:p>
    <w:p w14:paraId="51948FBB" w14:textId="77777777" w:rsidR="00C37A13" w:rsidRDefault="00C37A13" w:rsidP="00C37A13">
      <w:pPr>
        <w:pStyle w:val="Default"/>
        <w:spacing w:after="120" w:line="320" w:lineRule="exact"/>
        <w:rPr>
          <w:rFonts w:ascii="Arial" w:hAnsi="Arial" w:cs="Arial"/>
          <w:b/>
          <w:bCs/>
          <w:color w:val="auto"/>
          <w:sz w:val="20"/>
          <w:szCs w:val="20"/>
          <w:u w:val="single"/>
        </w:rPr>
      </w:pPr>
    </w:p>
    <w:p w14:paraId="4A2E9EA7" w14:textId="7326322F" w:rsidR="004A7389" w:rsidRPr="00785411" w:rsidRDefault="004A7389" w:rsidP="00BA01EB">
      <w:pPr>
        <w:pStyle w:val="Default"/>
        <w:spacing w:after="120" w:line="320" w:lineRule="exact"/>
        <w:jc w:val="center"/>
        <w:rPr>
          <w:rFonts w:ascii="Arial" w:hAnsi="Arial" w:cs="Arial"/>
          <w:b/>
          <w:bCs/>
          <w:color w:val="auto"/>
          <w:sz w:val="20"/>
          <w:szCs w:val="20"/>
          <w:u w:val="single"/>
        </w:rPr>
      </w:pPr>
      <w:r w:rsidRPr="00785411">
        <w:rPr>
          <w:rFonts w:ascii="Arial" w:hAnsi="Arial" w:cs="Arial"/>
          <w:b/>
          <w:bCs/>
          <w:color w:val="auto"/>
          <w:sz w:val="20"/>
          <w:szCs w:val="20"/>
          <w:u w:val="single"/>
        </w:rPr>
        <w:t>Środki zwalczania nadużyć finansowych</w:t>
      </w:r>
    </w:p>
    <w:p w14:paraId="79894801" w14:textId="05FBAF44" w:rsidR="00BA01EB" w:rsidRPr="00785411" w:rsidRDefault="00BA01EB" w:rsidP="00BA01EB">
      <w:pPr>
        <w:pStyle w:val="Default"/>
        <w:spacing w:after="120" w:line="320" w:lineRule="exact"/>
        <w:jc w:val="center"/>
        <w:rPr>
          <w:rFonts w:ascii="Arial" w:hAnsi="Arial" w:cs="Arial"/>
          <w:b/>
          <w:bCs/>
          <w:color w:val="auto"/>
          <w:sz w:val="20"/>
          <w:szCs w:val="20"/>
        </w:rPr>
      </w:pPr>
      <w:r w:rsidRPr="00785411">
        <w:rPr>
          <w:rFonts w:ascii="Arial" w:hAnsi="Arial" w:cs="Arial"/>
          <w:b/>
          <w:bCs/>
          <w:color w:val="auto"/>
          <w:sz w:val="20"/>
          <w:szCs w:val="20"/>
        </w:rPr>
        <w:t xml:space="preserve">§ </w:t>
      </w:r>
      <w:r w:rsidR="003F539F">
        <w:rPr>
          <w:rFonts w:ascii="Arial" w:hAnsi="Arial" w:cs="Arial"/>
          <w:b/>
          <w:bCs/>
          <w:color w:val="auto"/>
          <w:sz w:val="20"/>
          <w:szCs w:val="20"/>
        </w:rPr>
        <w:t>10</w:t>
      </w:r>
    </w:p>
    <w:p w14:paraId="229C3850" w14:textId="4CD28656" w:rsidR="00EE61EF" w:rsidRPr="00785411" w:rsidRDefault="002011C4" w:rsidP="00C52D6F">
      <w:pPr>
        <w:pStyle w:val="Default"/>
        <w:numPr>
          <w:ilvl w:val="0"/>
          <w:numId w:val="13"/>
        </w:numPr>
        <w:spacing w:after="120" w:line="320" w:lineRule="exact"/>
        <w:ind w:left="425" w:hanging="426"/>
        <w:jc w:val="both"/>
        <w:rPr>
          <w:rFonts w:ascii="Arial" w:hAnsi="Arial" w:cs="Arial"/>
          <w:color w:val="auto"/>
          <w:sz w:val="20"/>
          <w:szCs w:val="20"/>
        </w:rPr>
      </w:pPr>
      <w:r w:rsidRPr="00785411">
        <w:rPr>
          <w:rFonts w:ascii="Arial" w:hAnsi="Arial" w:cs="Arial"/>
          <w:color w:val="auto"/>
          <w:sz w:val="20"/>
          <w:szCs w:val="20"/>
        </w:rPr>
        <w:t>Instytucja Pośrednicząca</w:t>
      </w:r>
      <w:r w:rsidR="00C52D6F" w:rsidRPr="00785411">
        <w:rPr>
          <w:rFonts w:ascii="Arial" w:hAnsi="Arial" w:cs="Arial"/>
          <w:color w:val="auto"/>
          <w:sz w:val="20"/>
          <w:szCs w:val="20"/>
        </w:rPr>
        <w:t xml:space="preserve"> </w:t>
      </w:r>
      <w:r w:rsidR="00806625" w:rsidRPr="00785411">
        <w:rPr>
          <w:rFonts w:ascii="Arial" w:hAnsi="Arial" w:cs="Arial"/>
          <w:color w:val="auto"/>
          <w:sz w:val="20"/>
          <w:szCs w:val="20"/>
        </w:rPr>
        <w:t xml:space="preserve">dba o zapewnienie </w:t>
      </w:r>
      <w:r w:rsidR="004A7389" w:rsidRPr="00785411">
        <w:rPr>
          <w:rFonts w:ascii="Arial" w:hAnsi="Arial" w:cs="Arial"/>
          <w:color w:val="auto"/>
          <w:sz w:val="20"/>
          <w:szCs w:val="20"/>
        </w:rPr>
        <w:t>proporcjonaln</w:t>
      </w:r>
      <w:r w:rsidR="00806625" w:rsidRPr="00785411">
        <w:rPr>
          <w:rFonts w:ascii="Arial" w:hAnsi="Arial" w:cs="Arial"/>
          <w:color w:val="auto"/>
          <w:sz w:val="20"/>
          <w:szCs w:val="20"/>
        </w:rPr>
        <w:t>ych</w:t>
      </w:r>
      <w:r w:rsidR="00BC4EA9" w:rsidRPr="00785411">
        <w:rPr>
          <w:rFonts w:ascii="Arial" w:hAnsi="Arial" w:cs="Arial"/>
          <w:color w:val="auto"/>
          <w:sz w:val="20"/>
          <w:szCs w:val="20"/>
        </w:rPr>
        <w:t xml:space="preserve"> i racjonalnych</w:t>
      </w:r>
      <w:r w:rsidR="00806625" w:rsidRPr="00785411">
        <w:rPr>
          <w:rFonts w:ascii="Arial" w:hAnsi="Arial" w:cs="Arial"/>
          <w:color w:val="auto"/>
          <w:sz w:val="20"/>
          <w:szCs w:val="20"/>
        </w:rPr>
        <w:t xml:space="preserve"> środków</w:t>
      </w:r>
      <w:r w:rsidR="004A7389" w:rsidRPr="00785411">
        <w:rPr>
          <w:rFonts w:ascii="Arial" w:hAnsi="Arial" w:cs="Arial"/>
          <w:color w:val="auto"/>
          <w:sz w:val="20"/>
          <w:szCs w:val="20"/>
        </w:rPr>
        <w:t xml:space="preserve"> zwalczania nadużyć finansowych</w:t>
      </w:r>
      <w:r w:rsidR="00806625" w:rsidRPr="00785411">
        <w:rPr>
          <w:rFonts w:ascii="Arial" w:hAnsi="Arial" w:cs="Arial"/>
          <w:color w:val="auto"/>
          <w:sz w:val="20"/>
          <w:szCs w:val="20"/>
        </w:rPr>
        <w:t>,</w:t>
      </w:r>
      <w:r w:rsidR="004A7389" w:rsidRPr="00785411">
        <w:rPr>
          <w:rFonts w:ascii="Arial" w:hAnsi="Arial" w:cs="Arial"/>
          <w:color w:val="auto"/>
          <w:sz w:val="20"/>
          <w:szCs w:val="20"/>
        </w:rPr>
        <w:t xml:space="preserve"> w oparciu o ocenę ryzyka </w:t>
      </w:r>
      <w:r w:rsidR="00806625" w:rsidRPr="00785411">
        <w:rPr>
          <w:rFonts w:ascii="Arial" w:hAnsi="Arial" w:cs="Arial"/>
          <w:color w:val="auto"/>
          <w:sz w:val="20"/>
          <w:szCs w:val="20"/>
        </w:rPr>
        <w:t xml:space="preserve">ich wystąpienia. </w:t>
      </w:r>
      <w:r w:rsidR="00B85368" w:rsidRPr="00785411">
        <w:rPr>
          <w:rFonts w:ascii="Arial" w:hAnsi="Arial" w:cs="Arial"/>
          <w:color w:val="auto"/>
          <w:sz w:val="20"/>
          <w:szCs w:val="20"/>
        </w:rPr>
        <w:t>W</w:t>
      </w:r>
      <w:r w:rsidR="00EE61EF" w:rsidRPr="00785411">
        <w:rPr>
          <w:rFonts w:ascii="Arial" w:hAnsi="Arial" w:cs="Arial"/>
          <w:color w:val="auto"/>
          <w:sz w:val="20"/>
          <w:szCs w:val="20"/>
        </w:rPr>
        <w:t> </w:t>
      </w:r>
      <w:r w:rsidR="00B85368" w:rsidRPr="00785411">
        <w:rPr>
          <w:rFonts w:ascii="Arial" w:hAnsi="Arial" w:cs="Arial"/>
          <w:color w:val="auto"/>
          <w:sz w:val="20"/>
          <w:szCs w:val="20"/>
        </w:rPr>
        <w:t xml:space="preserve">szczególności </w:t>
      </w:r>
      <w:r w:rsidR="00EE61EF" w:rsidRPr="00785411">
        <w:rPr>
          <w:rFonts w:ascii="Arial" w:hAnsi="Arial" w:cs="Arial"/>
          <w:color w:val="auto"/>
          <w:sz w:val="20"/>
          <w:szCs w:val="20"/>
        </w:rPr>
        <w:t>oznacza to</w:t>
      </w:r>
      <w:r w:rsidR="003F539F">
        <w:rPr>
          <w:rFonts w:ascii="Arial" w:hAnsi="Arial" w:cs="Arial"/>
          <w:color w:val="auto"/>
          <w:sz w:val="20"/>
          <w:szCs w:val="20"/>
        </w:rPr>
        <w:t> </w:t>
      </w:r>
      <w:r w:rsidR="00EE61EF" w:rsidRPr="00785411">
        <w:rPr>
          <w:rFonts w:ascii="Arial" w:hAnsi="Arial" w:cs="Arial"/>
          <w:color w:val="auto"/>
          <w:sz w:val="20"/>
          <w:szCs w:val="20"/>
        </w:rPr>
        <w:t>dbałość o to, by:</w:t>
      </w:r>
      <w:r w:rsidR="004A7389" w:rsidRPr="00785411">
        <w:rPr>
          <w:rFonts w:ascii="Arial" w:hAnsi="Arial" w:cs="Arial"/>
          <w:color w:val="auto"/>
          <w:sz w:val="20"/>
          <w:szCs w:val="20"/>
        </w:rPr>
        <w:t xml:space="preserve"> </w:t>
      </w:r>
    </w:p>
    <w:p w14:paraId="5E2928E8" w14:textId="77777777" w:rsidR="00D3609C" w:rsidRPr="00785411" w:rsidRDefault="00D3609C" w:rsidP="008E489E">
      <w:pPr>
        <w:pStyle w:val="Akapitzlist"/>
        <w:numPr>
          <w:ilvl w:val="0"/>
          <w:numId w:val="22"/>
        </w:numPr>
        <w:spacing w:after="120"/>
        <w:ind w:left="1423" w:hanging="357"/>
        <w:jc w:val="both"/>
        <w:rPr>
          <w:rFonts w:ascii="Arial" w:hAnsi="Arial" w:cs="Arial"/>
          <w:sz w:val="20"/>
          <w:szCs w:val="20"/>
        </w:rPr>
      </w:pPr>
      <w:r w:rsidRPr="00785411">
        <w:rPr>
          <w:rFonts w:ascii="Arial" w:hAnsi="Arial" w:cs="Arial"/>
          <w:sz w:val="20"/>
          <w:szCs w:val="20"/>
        </w:rPr>
        <w:t xml:space="preserve">pracownicy mieli świadomość ryzyka nadużyć finansowych i byli poddawani szkoleniom poświęconym zwalczaniu nadużyć finansowych, </w:t>
      </w:r>
    </w:p>
    <w:p w14:paraId="6C132FEF" w14:textId="77777777" w:rsidR="006A6AA3" w:rsidRPr="00785411" w:rsidRDefault="00EE61EF" w:rsidP="00C54F19">
      <w:pPr>
        <w:pStyle w:val="Akapitzlist"/>
        <w:numPr>
          <w:ilvl w:val="0"/>
          <w:numId w:val="22"/>
        </w:numPr>
        <w:autoSpaceDE w:val="0"/>
        <w:autoSpaceDN w:val="0"/>
        <w:adjustRightInd w:val="0"/>
        <w:spacing w:after="0" w:line="320" w:lineRule="exact"/>
        <w:jc w:val="both"/>
        <w:rPr>
          <w:rFonts w:ascii="Arial" w:hAnsi="Arial" w:cs="Arial"/>
          <w:sz w:val="20"/>
          <w:szCs w:val="20"/>
        </w:rPr>
      </w:pPr>
      <w:r w:rsidRPr="00785411">
        <w:rPr>
          <w:rFonts w:ascii="Arial" w:hAnsi="Arial" w:cs="Arial"/>
          <w:sz w:val="20"/>
          <w:szCs w:val="20"/>
        </w:rPr>
        <w:lastRenderedPageBreak/>
        <w:t>w</w:t>
      </w:r>
      <w:r w:rsidR="004A7389" w:rsidRPr="00785411">
        <w:rPr>
          <w:rFonts w:ascii="Arial" w:hAnsi="Arial" w:cs="Arial"/>
          <w:sz w:val="20"/>
          <w:szCs w:val="20"/>
        </w:rPr>
        <w:t xml:space="preserve">szystkie przypadki podejrzenia nadużycia i faktycznego nadużycia finansowego </w:t>
      </w:r>
      <w:r w:rsidRPr="00785411">
        <w:rPr>
          <w:rFonts w:ascii="Arial" w:hAnsi="Arial" w:cs="Arial"/>
          <w:sz w:val="20"/>
          <w:szCs w:val="20"/>
        </w:rPr>
        <w:t>były</w:t>
      </w:r>
      <w:r w:rsidR="004A7389" w:rsidRPr="00785411">
        <w:rPr>
          <w:rFonts w:ascii="Arial" w:hAnsi="Arial" w:cs="Arial"/>
          <w:sz w:val="20"/>
          <w:szCs w:val="20"/>
        </w:rPr>
        <w:t xml:space="preserve"> niezwłocznie </w:t>
      </w:r>
      <w:r w:rsidRPr="00785411">
        <w:rPr>
          <w:rFonts w:ascii="Arial" w:hAnsi="Arial" w:cs="Arial"/>
          <w:sz w:val="20"/>
          <w:szCs w:val="20"/>
        </w:rPr>
        <w:t xml:space="preserve">poddawane </w:t>
      </w:r>
      <w:r w:rsidR="00865B61" w:rsidRPr="00785411">
        <w:rPr>
          <w:rFonts w:ascii="Arial" w:hAnsi="Arial" w:cs="Arial"/>
          <w:sz w:val="20"/>
          <w:szCs w:val="20"/>
        </w:rPr>
        <w:t xml:space="preserve">analizie </w:t>
      </w:r>
      <w:r w:rsidR="004A7389" w:rsidRPr="00785411">
        <w:rPr>
          <w:rFonts w:ascii="Arial" w:hAnsi="Arial" w:cs="Arial"/>
          <w:sz w:val="20"/>
          <w:szCs w:val="20"/>
        </w:rPr>
        <w:t>w celu usprawnienia wewnętrznego systemu zarządzania i kontroli, jeżeli zachodzi taka konieczność</w:t>
      </w:r>
      <w:r w:rsidR="006A6AA3" w:rsidRPr="00785411">
        <w:rPr>
          <w:rFonts w:ascii="Arial" w:hAnsi="Arial" w:cs="Arial"/>
          <w:sz w:val="20"/>
          <w:szCs w:val="20"/>
        </w:rPr>
        <w:t>,</w:t>
      </w:r>
    </w:p>
    <w:p w14:paraId="3722D3FE" w14:textId="77777777" w:rsidR="00C52D6F" w:rsidRPr="00785411" w:rsidRDefault="00397272" w:rsidP="002879CF">
      <w:pPr>
        <w:pStyle w:val="Akapitzlist"/>
        <w:numPr>
          <w:ilvl w:val="0"/>
          <w:numId w:val="22"/>
        </w:numPr>
        <w:autoSpaceDE w:val="0"/>
        <w:autoSpaceDN w:val="0"/>
        <w:adjustRightInd w:val="0"/>
        <w:spacing w:after="120" w:line="320" w:lineRule="exact"/>
        <w:ind w:left="1423" w:hanging="357"/>
        <w:contextualSpacing w:val="0"/>
        <w:jc w:val="both"/>
        <w:rPr>
          <w:rFonts w:ascii="Arial" w:hAnsi="Arial" w:cs="Arial"/>
          <w:sz w:val="20"/>
          <w:szCs w:val="20"/>
        </w:rPr>
      </w:pPr>
      <w:r w:rsidRPr="00785411">
        <w:rPr>
          <w:rFonts w:ascii="Arial" w:hAnsi="Arial" w:cs="Arial"/>
          <w:sz w:val="20"/>
          <w:szCs w:val="20"/>
        </w:rPr>
        <w:t>wykryte nadużycia finansowe były</w:t>
      </w:r>
      <w:r w:rsidR="007B611B" w:rsidRPr="00785411">
        <w:rPr>
          <w:rFonts w:ascii="Arial" w:hAnsi="Arial" w:cs="Arial"/>
          <w:sz w:val="20"/>
          <w:szCs w:val="20"/>
        </w:rPr>
        <w:t xml:space="preserve"> </w:t>
      </w:r>
      <w:r w:rsidR="004075DC" w:rsidRPr="00785411">
        <w:rPr>
          <w:rFonts w:ascii="Arial" w:hAnsi="Arial" w:cs="Arial"/>
          <w:sz w:val="20"/>
          <w:szCs w:val="20"/>
        </w:rPr>
        <w:t xml:space="preserve">zgłaszane </w:t>
      </w:r>
      <w:r w:rsidR="007B611B" w:rsidRPr="00785411">
        <w:rPr>
          <w:rFonts w:ascii="Arial" w:hAnsi="Arial" w:cs="Arial"/>
          <w:sz w:val="20"/>
          <w:szCs w:val="20"/>
        </w:rPr>
        <w:t>właściwym organom</w:t>
      </w:r>
      <w:r w:rsidR="00BC4EA9" w:rsidRPr="00785411">
        <w:rPr>
          <w:rFonts w:ascii="Arial" w:hAnsi="Arial" w:cs="Arial"/>
          <w:sz w:val="20"/>
          <w:szCs w:val="20"/>
        </w:rPr>
        <w:t>,</w:t>
      </w:r>
      <w:r w:rsidRPr="00785411">
        <w:rPr>
          <w:rFonts w:ascii="Arial" w:hAnsi="Arial" w:cs="Arial"/>
          <w:sz w:val="20"/>
          <w:szCs w:val="20"/>
        </w:rPr>
        <w:t xml:space="preserve"> </w:t>
      </w:r>
      <w:r w:rsidR="00517A7E" w:rsidRPr="00785411">
        <w:rPr>
          <w:rFonts w:ascii="Arial" w:hAnsi="Arial" w:cs="Arial"/>
          <w:sz w:val="20"/>
          <w:szCs w:val="20"/>
        </w:rPr>
        <w:t xml:space="preserve">zgodnie </w:t>
      </w:r>
      <w:r w:rsidR="002879CF" w:rsidRPr="00785411">
        <w:rPr>
          <w:rFonts w:ascii="Arial" w:hAnsi="Arial" w:cs="Arial"/>
          <w:sz w:val="20"/>
          <w:szCs w:val="20"/>
        </w:rPr>
        <w:br/>
      </w:r>
      <w:r w:rsidR="00517A7E" w:rsidRPr="00785411">
        <w:rPr>
          <w:rFonts w:ascii="Arial" w:hAnsi="Arial" w:cs="Arial"/>
          <w:sz w:val="20"/>
          <w:szCs w:val="20"/>
        </w:rPr>
        <w:t>z procedurami</w:t>
      </w:r>
      <w:r w:rsidRPr="00785411">
        <w:rPr>
          <w:rFonts w:ascii="Arial" w:hAnsi="Arial" w:cs="Arial"/>
          <w:sz w:val="20"/>
          <w:szCs w:val="20"/>
        </w:rPr>
        <w:t>, o których mowa w § 7 pkt 2.</w:t>
      </w:r>
    </w:p>
    <w:p w14:paraId="771359BF" w14:textId="0080DAC3" w:rsidR="00F314B3" w:rsidRPr="00F314B3" w:rsidRDefault="00CC5F8A" w:rsidP="00F314B3">
      <w:pPr>
        <w:pStyle w:val="Default"/>
        <w:numPr>
          <w:ilvl w:val="0"/>
          <w:numId w:val="13"/>
        </w:numPr>
        <w:spacing w:after="120" w:line="320" w:lineRule="exact"/>
        <w:ind w:left="425" w:hanging="425"/>
        <w:jc w:val="both"/>
        <w:rPr>
          <w:rFonts w:ascii="Arial" w:hAnsi="Arial" w:cs="Arial"/>
          <w:color w:val="auto"/>
          <w:sz w:val="20"/>
          <w:szCs w:val="20"/>
        </w:rPr>
      </w:pPr>
      <w:r w:rsidRPr="00785411">
        <w:rPr>
          <w:rFonts w:ascii="Arial" w:hAnsi="Arial" w:cs="Arial"/>
          <w:color w:val="auto"/>
          <w:sz w:val="20"/>
          <w:szCs w:val="20"/>
        </w:rPr>
        <w:t>Pracownicy przy wykonywaniu obowiązków służbowych powinni działać zgodnie z</w:t>
      </w:r>
      <w:r w:rsidR="00347D90" w:rsidRPr="00785411">
        <w:rPr>
          <w:rFonts w:ascii="Arial" w:hAnsi="Arial" w:cs="Arial"/>
          <w:color w:val="auto"/>
          <w:sz w:val="20"/>
          <w:szCs w:val="20"/>
        </w:rPr>
        <w:t> </w:t>
      </w:r>
      <w:r w:rsidR="00BC0B9A" w:rsidRPr="00785411">
        <w:rPr>
          <w:rFonts w:ascii="Arial" w:hAnsi="Arial" w:cs="Arial"/>
          <w:color w:val="auto"/>
          <w:sz w:val="20"/>
          <w:szCs w:val="20"/>
        </w:rPr>
        <w:t xml:space="preserve">Zarządzeniem Prezesa Rady Ministrów w sprawie wytycznych </w:t>
      </w:r>
      <w:r w:rsidRPr="00785411">
        <w:rPr>
          <w:rFonts w:ascii="Arial" w:hAnsi="Arial" w:cs="Arial"/>
          <w:color w:val="auto"/>
          <w:sz w:val="20"/>
          <w:szCs w:val="20"/>
        </w:rPr>
        <w:t>w zakresie przestrzegania zasad służby cywilnej oraz w sprawie zasad etyki korpusu służby cywilnej</w:t>
      </w:r>
      <w:r w:rsidRPr="00785411">
        <w:rPr>
          <w:rStyle w:val="Odwoanieprzypisudolnego"/>
          <w:rFonts w:ascii="Arial" w:hAnsi="Arial" w:cs="Arial"/>
          <w:color w:val="auto"/>
          <w:sz w:val="20"/>
          <w:szCs w:val="20"/>
        </w:rPr>
        <w:footnoteReference w:id="5"/>
      </w:r>
      <w:r w:rsidR="0041344C" w:rsidRPr="00785411">
        <w:rPr>
          <w:rFonts w:ascii="Arial" w:hAnsi="Arial" w:cs="Arial"/>
          <w:color w:val="auto"/>
          <w:sz w:val="20"/>
          <w:szCs w:val="20"/>
        </w:rPr>
        <w:t>.</w:t>
      </w:r>
    </w:p>
    <w:p w14:paraId="77F21CA3" w14:textId="77777777" w:rsidR="00695CF5" w:rsidRPr="00785411" w:rsidRDefault="00695CF5" w:rsidP="00695CF5">
      <w:pPr>
        <w:pStyle w:val="Default"/>
        <w:numPr>
          <w:ilvl w:val="0"/>
          <w:numId w:val="13"/>
        </w:numPr>
        <w:spacing w:after="120" w:line="320" w:lineRule="exact"/>
        <w:ind w:left="426" w:hanging="426"/>
        <w:jc w:val="both"/>
        <w:rPr>
          <w:rFonts w:ascii="Arial" w:hAnsi="Arial" w:cs="Arial"/>
          <w:color w:val="auto"/>
          <w:sz w:val="20"/>
          <w:szCs w:val="20"/>
        </w:rPr>
      </w:pPr>
      <w:r w:rsidRPr="00785411">
        <w:rPr>
          <w:rFonts w:ascii="Arial" w:hAnsi="Arial" w:cs="Arial"/>
          <w:color w:val="auto"/>
          <w:sz w:val="20"/>
          <w:szCs w:val="20"/>
        </w:rPr>
        <w:t>Zarz</w:t>
      </w:r>
      <w:r w:rsidR="00D14E67" w:rsidRPr="00785411">
        <w:rPr>
          <w:rFonts w:ascii="Arial" w:hAnsi="Arial" w:cs="Arial"/>
          <w:color w:val="auto"/>
          <w:sz w:val="20"/>
          <w:szCs w:val="20"/>
        </w:rPr>
        <w:t>ą</w:t>
      </w:r>
      <w:r w:rsidRPr="00785411">
        <w:rPr>
          <w:rFonts w:ascii="Arial" w:hAnsi="Arial" w:cs="Arial"/>
          <w:color w:val="auto"/>
          <w:sz w:val="20"/>
          <w:szCs w:val="20"/>
        </w:rPr>
        <w:t xml:space="preserve">dzanie ryzykiem nadużyć finansowych realizowane </w:t>
      </w:r>
      <w:r w:rsidR="00EE61EF" w:rsidRPr="00785411">
        <w:rPr>
          <w:rFonts w:ascii="Arial" w:hAnsi="Arial" w:cs="Arial"/>
          <w:color w:val="auto"/>
          <w:sz w:val="20"/>
          <w:szCs w:val="20"/>
        </w:rPr>
        <w:t>jest zgodnie z analizą ryzyka sporządzoną przez zespół ds. oceny ryzyka.</w:t>
      </w:r>
    </w:p>
    <w:p w14:paraId="1E41863D" w14:textId="77777777" w:rsidR="0046621B" w:rsidRPr="00785411" w:rsidRDefault="0046621B" w:rsidP="0046621B">
      <w:pPr>
        <w:pStyle w:val="Default"/>
        <w:spacing w:after="120" w:line="320" w:lineRule="exact"/>
        <w:jc w:val="both"/>
        <w:rPr>
          <w:rFonts w:ascii="Arial" w:hAnsi="Arial" w:cs="Arial"/>
          <w:color w:val="auto"/>
          <w:sz w:val="20"/>
          <w:szCs w:val="20"/>
        </w:rPr>
      </w:pPr>
    </w:p>
    <w:p w14:paraId="52C790B9" w14:textId="77777777" w:rsidR="00785411" w:rsidRPr="00785411" w:rsidRDefault="00785411" w:rsidP="0046621B">
      <w:pPr>
        <w:pStyle w:val="Default"/>
        <w:spacing w:after="120" w:line="320" w:lineRule="exact"/>
        <w:ind w:left="4248"/>
        <w:jc w:val="center"/>
        <w:rPr>
          <w:rFonts w:ascii="Arial" w:hAnsi="Arial" w:cs="Arial"/>
          <w:color w:val="auto"/>
          <w:sz w:val="20"/>
          <w:szCs w:val="20"/>
        </w:rPr>
      </w:pPr>
    </w:p>
    <w:p w14:paraId="4D07FCBF" w14:textId="0B337EE3" w:rsidR="0046621B" w:rsidRPr="00785411" w:rsidRDefault="00004FB5" w:rsidP="0046621B">
      <w:pPr>
        <w:pStyle w:val="Default"/>
        <w:spacing w:after="120" w:line="320" w:lineRule="exact"/>
        <w:ind w:left="4248"/>
        <w:jc w:val="center"/>
        <w:rPr>
          <w:rFonts w:ascii="Arial" w:hAnsi="Arial" w:cs="Arial"/>
          <w:b/>
          <w:color w:val="auto"/>
          <w:sz w:val="20"/>
          <w:szCs w:val="20"/>
        </w:rPr>
      </w:pPr>
      <w:r>
        <w:rPr>
          <w:rFonts w:ascii="Arial" w:hAnsi="Arial" w:cs="Arial"/>
          <w:b/>
          <w:color w:val="auto"/>
          <w:sz w:val="20"/>
          <w:szCs w:val="20"/>
        </w:rPr>
        <w:t>Jan Grabiec</w:t>
      </w:r>
    </w:p>
    <w:p w14:paraId="05F18DCC" w14:textId="143D3FC4" w:rsidR="0046621B" w:rsidRPr="00785411" w:rsidRDefault="00004FB5" w:rsidP="0046621B">
      <w:pPr>
        <w:pStyle w:val="Default"/>
        <w:spacing w:after="120" w:line="320" w:lineRule="exact"/>
        <w:ind w:left="4248"/>
        <w:jc w:val="center"/>
        <w:rPr>
          <w:rFonts w:ascii="Arial" w:hAnsi="Arial" w:cs="Arial"/>
          <w:color w:val="auto"/>
          <w:sz w:val="20"/>
          <w:szCs w:val="20"/>
        </w:rPr>
      </w:pPr>
      <w:r>
        <w:rPr>
          <w:rFonts w:ascii="Arial" w:hAnsi="Arial" w:cs="Arial"/>
          <w:color w:val="auto"/>
          <w:sz w:val="20"/>
          <w:szCs w:val="20"/>
        </w:rPr>
        <w:t xml:space="preserve">Szef </w:t>
      </w:r>
      <w:r w:rsidR="0046621B" w:rsidRPr="00785411">
        <w:rPr>
          <w:rFonts w:ascii="Arial" w:hAnsi="Arial" w:cs="Arial"/>
          <w:color w:val="auto"/>
          <w:sz w:val="20"/>
          <w:szCs w:val="20"/>
        </w:rPr>
        <w:t>Kancelarii Prezesa Rady Ministrów</w:t>
      </w:r>
    </w:p>
    <w:sectPr w:rsidR="0046621B" w:rsidRPr="00785411" w:rsidSect="0046621B">
      <w:footerReference w:type="default" r:id="rId9"/>
      <w:headerReference w:type="first" r:id="rId10"/>
      <w:footerReference w:type="first" r:id="rId11"/>
      <w:pgSz w:w="11906" w:h="16838"/>
      <w:pgMar w:top="1244" w:right="1417" w:bottom="1417" w:left="1417" w:header="142"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8BDC" w14:textId="77777777" w:rsidR="00F14132" w:rsidRDefault="00F14132" w:rsidP="00BC135F">
      <w:pPr>
        <w:spacing w:after="0" w:line="240" w:lineRule="auto"/>
      </w:pPr>
      <w:r>
        <w:separator/>
      </w:r>
    </w:p>
  </w:endnote>
  <w:endnote w:type="continuationSeparator" w:id="0">
    <w:p w14:paraId="7F60D937" w14:textId="77777777" w:rsidR="00F14132" w:rsidRDefault="00F14132" w:rsidP="00BC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18758"/>
      <w:docPartObj>
        <w:docPartGallery w:val="Page Numbers (Bottom of Page)"/>
        <w:docPartUnique/>
      </w:docPartObj>
    </w:sdtPr>
    <w:sdtContent>
      <w:p w14:paraId="0115FBA5" w14:textId="1C2F2831" w:rsidR="00BC135F" w:rsidRDefault="000B571A" w:rsidP="000B571A">
        <w:pPr>
          <w:pStyle w:val="Stopka"/>
          <w:jc w:val="center"/>
        </w:pPr>
        <w:r>
          <w:rPr>
            <w:noProof/>
            <w:lang w:eastAsia="pl-PL"/>
          </w:rPr>
          <w:drawing>
            <wp:anchor distT="0" distB="0" distL="114300" distR="114300" simplePos="0" relativeHeight="251659264" behindDoc="0" locked="0" layoutInCell="1" allowOverlap="1" wp14:anchorId="5825917A" wp14:editId="537E9AEB">
              <wp:simplePos x="0" y="0"/>
              <wp:positionH relativeFrom="column">
                <wp:posOffset>0</wp:posOffset>
              </wp:positionH>
              <wp:positionV relativeFrom="paragraph">
                <wp:posOffset>170815</wp:posOffset>
              </wp:positionV>
              <wp:extent cx="5543550" cy="763905"/>
              <wp:effectExtent l="0" t="0" r="0" b="0"/>
              <wp:wrapSquare wrapText="bothSides"/>
              <wp:docPr id="2" name="Obraz 2"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543550" cy="763905"/>
                      </a:xfrm>
                      <a:prstGeom prst="rect">
                        <a:avLst/>
                      </a:prstGeom>
                    </pic:spPr>
                  </pic:pic>
                </a:graphicData>
              </a:graphic>
              <wp14:sizeRelH relativeFrom="page">
                <wp14:pctWidth>0</wp14:pctWidth>
              </wp14:sizeRelH>
              <wp14:sizeRelV relativeFrom="page">
                <wp14:pctHeight>0</wp14:pctHeight>
              </wp14:sizeRelV>
            </wp:anchor>
          </w:drawing>
        </w:r>
        <w:r w:rsidR="00BC135F">
          <w:fldChar w:fldCharType="begin"/>
        </w:r>
        <w:r w:rsidR="00BC135F">
          <w:instrText>PAGE   \* MERGEFORMAT</w:instrText>
        </w:r>
        <w:r w:rsidR="00BC135F">
          <w:fldChar w:fldCharType="separate"/>
        </w:r>
        <w:r w:rsidR="00F17BA4">
          <w:rPr>
            <w:noProof/>
          </w:rPr>
          <w:t>3</w:t>
        </w:r>
        <w:r w:rsidR="00BC135F">
          <w:fldChar w:fldCharType="end"/>
        </w:r>
      </w:p>
    </w:sdtContent>
  </w:sdt>
  <w:p w14:paraId="4363947A" w14:textId="68547509" w:rsidR="00BC135F" w:rsidRDefault="00BC135F" w:rsidP="009A57E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2B4A" w14:textId="77777777" w:rsidR="008E489E" w:rsidRDefault="0046621B" w:rsidP="009A57E9">
    <w:pPr>
      <w:pStyle w:val="Stopka"/>
      <w:jc w:val="center"/>
    </w:pPr>
    <w:r>
      <w:rPr>
        <w:noProof/>
        <w:lang w:eastAsia="pl-PL"/>
      </w:rPr>
      <w:drawing>
        <wp:inline distT="0" distB="0" distL="0" distR="0" wp14:anchorId="11CA65D9" wp14:editId="1CB1FF30">
          <wp:extent cx="5401310" cy="6889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7145" w14:textId="77777777" w:rsidR="00F14132" w:rsidRDefault="00F14132" w:rsidP="00BC135F">
      <w:pPr>
        <w:spacing w:after="0" w:line="240" w:lineRule="auto"/>
      </w:pPr>
      <w:r>
        <w:separator/>
      </w:r>
    </w:p>
  </w:footnote>
  <w:footnote w:type="continuationSeparator" w:id="0">
    <w:p w14:paraId="10910252" w14:textId="77777777" w:rsidR="00F14132" w:rsidRDefault="00F14132" w:rsidP="00BC135F">
      <w:pPr>
        <w:spacing w:after="0" w:line="240" w:lineRule="auto"/>
      </w:pPr>
      <w:r>
        <w:continuationSeparator/>
      </w:r>
    </w:p>
  </w:footnote>
  <w:footnote w:id="1">
    <w:p w14:paraId="7397A79B" w14:textId="77777777" w:rsidR="00A60FC7" w:rsidRPr="009915D0" w:rsidRDefault="00A60FC7" w:rsidP="005529EC">
      <w:pPr>
        <w:pStyle w:val="Tekstprzypisudolnego"/>
        <w:jc w:val="both"/>
        <w:rPr>
          <w:rFonts w:ascii="Arial" w:hAnsi="Arial" w:cs="Arial"/>
          <w:sz w:val="18"/>
          <w:szCs w:val="18"/>
        </w:rPr>
      </w:pPr>
      <w:r w:rsidRPr="009915D0">
        <w:rPr>
          <w:rStyle w:val="Odwoanieprzypisudolnego"/>
          <w:rFonts w:ascii="Arial" w:hAnsi="Arial" w:cs="Arial"/>
          <w:sz w:val="18"/>
          <w:szCs w:val="18"/>
        </w:rPr>
        <w:footnoteRef/>
      </w:r>
      <w:r w:rsidRPr="009915D0">
        <w:rPr>
          <w:rFonts w:ascii="Arial" w:hAnsi="Arial" w:cs="Arial"/>
          <w:sz w:val="18"/>
          <w:szCs w:val="18"/>
        </w:rPr>
        <w:t xml:space="preserve"> EGESIF 14-0021-00, 16/06/2014.</w:t>
      </w:r>
    </w:p>
  </w:footnote>
  <w:footnote w:id="2">
    <w:p w14:paraId="2714FD6D" w14:textId="5D8168DA" w:rsidR="00B1540F" w:rsidRPr="004C5463" w:rsidRDefault="00B1540F" w:rsidP="005529EC">
      <w:pPr>
        <w:pStyle w:val="Tekstprzypisudolnego"/>
        <w:jc w:val="both"/>
        <w:rPr>
          <w:rFonts w:ascii="Arial" w:hAnsi="Arial" w:cs="Arial"/>
          <w:sz w:val="18"/>
          <w:szCs w:val="18"/>
        </w:rPr>
      </w:pPr>
      <w:r w:rsidRPr="004C5463">
        <w:rPr>
          <w:rStyle w:val="Odwoanieprzypisudolnego"/>
          <w:rFonts w:ascii="Arial" w:hAnsi="Arial" w:cs="Arial"/>
          <w:sz w:val="18"/>
          <w:szCs w:val="18"/>
        </w:rPr>
        <w:footnoteRef/>
      </w:r>
      <w:r w:rsidR="00922AE1" w:rsidRPr="004C5463">
        <w:rPr>
          <w:rFonts w:ascii="Arial" w:hAnsi="Arial" w:cs="Arial"/>
          <w:sz w:val="18"/>
          <w:szCs w:val="18"/>
        </w:rPr>
        <w:t xml:space="preserve"> </w:t>
      </w:r>
      <w:r w:rsidRPr="004C5463">
        <w:rPr>
          <w:rFonts w:ascii="Arial" w:hAnsi="Arial" w:cs="Arial"/>
          <w:sz w:val="18"/>
          <w:szCs w:val="18"/>
        </w:rPr>
        <w:t xml:space="preserve">Komunikat </w:t>
      </w:r>
      <w:r w:rsidR="00715D2D">
        <w:rPr>
          <w:rFonts w:ascii="Arial" w:hAnsi="Arial" w:cs="Arial"/>
          <w:sz w:val="18"/>
          <w:szCs w:val="18"/>
        </w:rPr>
        <w:t>n</w:t>
      </w:r>
      <w:r w:rsidRPr="004C5463">
        <w:rPr>
          <w:rFonts w:ascii="Arial" w:hAnsi="Arial" w:cs="Arial"/>
          <w:sz w:val="18"/>
          <w:szCs w:val="18"/>
        </w:rPr>
        <w:t>r 23 z dnia 16 grudnia 2009 r. ogłoszony w Dzienniku Urzędowym Ministra Finansów Nr 15 poz</w:t>
      </w:r>
      <w:r w:rsidR="00922AE1" w:rsidRPr="004C5463">
        <w:rPr>
          <w:rFonts w:ascii="Arial" w:hAnsi="Arial" w:cs="Arial"/>
          <w:sz w:val="18"/>
          <w:szCs w:val="18"/>
        </w:rPr>
        <w:t>. </w:t>
      </w:r>
      <w:r w:rsidRPr="004C5463">
        <w:rPr>
          <w:rFonts w:ascii="Arial" w:hAnsi="Arial" w:cs="Arial"/>
          <w:sz w:val="18"/>
          <w:szCs w:val="18"/>
        </w:rPr>
        <w:t>84 z dnia  30 grudnia 2009 r.</w:t>
      </w:r>
      <w:r w:rsidR="00715D2D">
        <w:rPr>
          <w:rFonts w:ascii="Arial" w:hAnsi="Arial" w:cs="Arial"/>
          <w:sz w:val="18"/>
          <w:szCs w:val="18"/>
        </w:rPr>
        <w:t xml:space="preserve"> oraz komunikat nr 6 z dnia 6 grudnia </w:t>
      </w:r>
      <w:r w:rsidR="00035718">
        <w:rPr>
          <w:rFonts w:ascii="Arial" w:hAnsi="Arial" w:cs="Arial"/>
          <w:sz w:val="18"/>
          <w:szCs w:val="18"/>
        </w:rPr>
        <w:t xml:space="preserve">2012 </w:t>
      </w:r>
      <w:r w:rsidR="00715D2D">
        <w:rPr>
          <w:rFonts w:ascii="Arial" w:hAnsi="Arial" w:cs="Arial"/>
          <w:sz w:val="18"/>
          <w:szCs w:val="18"/>
        </w:rPr>
        <w:t xml:space="preserve">r. ogłoszony w Dzienniku Urzędowym Ministra Finansów </w:t>
      </w:r>
      <w:r w:rsidR="00035718">
        <w:rPr>
          <w:rFonts w:ascii="Arial" w:hAnsi="Arial" w:cs="Arial"/>
          <w:sz w:val="18"/>
          <w:szCs w:val="18"/>
        </w:rPr>
        <w:t xml:space="preserve">poz. 56 </w:t>
      </w:r>
      <w:r w:rsidR="00715D2D">
        <w:rPr>
          <w:rFonts w:ascii="Arial" w:hAnsi="Arial" w:cs="Arial"/>
          <w:sz w:val="18"/>
          <w:szCs w:val="18"/>
        </w:rPr>
        <w:t>z dnia 18 grudnia 2012 r.</w:t>
      </w:r>
    </w:p>
  </w:footnote>
  <w:footnote w:id="3">
    <w:p w14:paraId="3B03B1B7" w14:textId="77777777" w:rsidR="000F0952" w:rsidRDefault="000F0952">
      <w:pPr>
        <w:pStyle w:val="Tekstprzypisudolnego"/>
      </w:pPr>
      <w:r w:rsidRPr="004C5463">
        <w:rPr>
          <w:rStyle w:val="Odwoanieprzypisudolnego"/>
          <w:rFonts w:ascii="Arial" w:hAnsi="Arial" w:cs="Arial"/>
          <w:sz w:val="18"/>
          <w:szCs w:val="18"/>
        </w:rPr>
        <w:footnoteRef/>
      </w:r>
      <w:r w:rsidRPr="004C5463">
        <w:rPr>
          <w:rFonts w:ascii="Arial" w:hAnsi="Arial" w:cs="Arial"/>
          <w:sz w:val="18"/>
          <w:szCs w:val="18"/>
        </w:rPr>
        <w:t xml:space="preserve"> Rozporządzenie Parlamentu Europejskiego i Rady (UE, </w:t>
      </w:r>
      <w:proofErr w:type="spellStart"/>
      <w:r w:rsidRPr="004C5463">
        <w:rPr>
          <w:rFonts w:ascii="Arial" w:hAnsi="Arial" w:cs="Arial"/>
          <w:sz w:val="18"/>
          <w:szCs w:val="18"/>
        </w:rPr>
        <w:t>Euratom</w:t>
      </w:r>
      <w:proofErr w:type="spellEnd"/>
      <w:r w:rsidRPr="004C5463">
        <w:rPr>
          <w:rFonts w:ascii="Arial" w:hAnsi="Arial" w:cs="Arial"/>
          <w:sz w:val="18"/>
          <w:szCs w:val="18"/>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C5463">
        <w:rPr>
          <w:rFonts w:ascii="Arial" w:hAnsi="Arial" w:cs="Arial"/>
          <w:sz w:val="18"/>
          <w:szCs w:val="18"/>
        </w:rPr>
        <w:t>Euratom</w:t>
      </w:r>
      <w:proofErr w:type="spellEnd"/>
      <w:r w:rsidRPr="004C5463">
        <w:rPr>
          <w:rFonts w:ascii="Arial" w:hAnsi="Arial" w:cs="Arial"/>
          <w:sz w:val="18"/>
          <w:szCs w:val="18"/>
        </w:rPr>
        <w:t>) nr 966/2012, Dz. Urz. UE L 193 z dnia 30 lipca 2018 r.</w:t>
      </w:r>
    </w:p>
  </w:footnote>
  <w:footnote w:id="4">
    <w:p w14:paraId="17C57E58" w14:textId="4133B5B1" w:rsidR="00806625" w:rsidRPr="009915D0" w:rsidRDefault="00806625">
      <w:pPr>
        <w:pStyle w:val="Tekstprzypisudolnego"/>
        <w:rPr>
          <w:rFonts w:ascii="Arial" w:hAnsi="Arial" w:cs="Arial"/>
          <w:sz w:val="18"/>
          <w:szCs w:val="18"/>
        </w:rPr>
      </w:pPr>
      <w:r w:rsidRPr="009915D0">
        <w:rPr>
          <w:rStyle w:val="Odwoanieprzypisudolnego"/>
          <w:rFonts w:ascii="Arial" w:hAnsi="Arial" w:cs="Arial"/>
          <w:sz w:val="18"/>
          <w:szCs w:val="18"/>
        </w:rPr>
        <w:footnoteRef/>
      </w:r>
      <w:r w:rsidRPr="009915D0">
        <w:rPr>
          <w:rFonts w:ascii="Arial" w:hAnsi="Arial" w:cs="Arial"/>
          <w:sz w:val="18"/>
          <w:szCs w:val="18"/>
        </w:rPr>
        <w:t xml:space="preserve"> </w:t>
      </w:r>
      <w:r w:rsidR="009B1B3B" w:rsidRPr="009915D0">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w:t>
      </w:r>
      <w:r w:rsidR="00035718">
        <w:rPr>
          <w:rFonts w:ascii="Arial" w:hAnsi="Arial" w:cs="Arial"/>
          <w:sz w:val="18"/>
          <w:szCs w:val="18"/>
        </w:rPr>
        <w:t xml:space="preserve"> </w:t>
      </w:r>
      <w:r w:rsidR="00035718" w:rsidRPr="00035718">
        <w:rPr>
          <w:rFonts w:ascii="Arial" w:hAnsi="Arial" w:cs="Arial"/>
          <w:sz w:val="18"/>
          <w:szCs w:val="18"/>
        </w:rPr>
        <w:t>(ogólne rozporządzenie o ochronie danych) (Dz. Urz. UE L 119 z 04.05.2016</w:t>
      </w:r>
      <w:r w:rsidR="009B1B3B" w:rsidRPr="009915D0">
        <w:rPr>
          <w:rFonts w:ascii="Arial" w:hAnsi="Arial" w:cs="Arial"/>
          <w:sz w:val="18"/>
          <w:szCs w:val="18"/>
        </w:rPr>
        <w:t>.</w:t>
      </w:r>
    </w:p>
  </w:footnote>
  <w:footnote w:id="5">
    <w:p w14:paraId="0E8CA6AD" w14:textId="77777777" w:rsidR="00CC5F8A" w:rsidRPr="009915D0" w:rsidRDefault="00CC5F8A" w:rsidP="00CC5F8A">
      <w:pPr>
        <w:pStyle w:val="Tekstprzypisudolnego"/>
        <w:rPr>
          <w:rFonts w:ascii="Arial" w:hAnsi="Arial" w:cs="Arial"/>
          <w:sz w:val="18"/>
          <w:szCs w:val="18"/>
        </w:rPr>
      </w:pPr>
      <w:r w:rsidRPr="009915D0">
        <w:rPr>
          <w:rStyle w:val="Odwoanieprzypisudolnego"/>
          <w:rFonts w:ascii="Arial" w:hAnsi="Arial" w:cs="Arial"/>
          <w:sz w:val="18"/>
          <w:szCs w:val="18"/>
        </w:rPr>
        <w:footnoteRef/>
      </w:r>
      <w:r w:rsidRPr="009915D0">
        <w:rPr>
          <w:rFonts w:ascii="Arial" w:hAnsi="Arial" w:cs="Arial"/>
          <w:sz w:val="18"/>
          <w:szCs w:val="18"/>
        </w:rPr>
        <w:t xml:space="preserve"> </w:t>
      </w:r>
      <w:r w:rsidR="00BC0B9A" w:rsidRPr="009915D0">
        <w:rPr>
          <w:rFonts w:ascii="Arial" w:hAnsi="Arial" w:cs="Arial"/>
          <w:sz w:val="18"/>
          <w:szCs w:val="18"/>
        </w:rPr>
        <w:t>Z</w:t>
      </w:r>
      <w:r w:rsidRPr="009915D0">
        <w:rPr>
          <w:rFonts w:ascii="Arial" w:hAnsi="Arial" w:cs="Arial"/>
          <w:sz w:val="18"/>
          <w:szCs w:val="18"/>
        </w:rPr>
        <w:t>arządzenie nr 70 Prezesa Rady Ministrów z dnia 6 października 2011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8EF0" w14:textId="2CD6E7DF" w:rsidR="0046621B" w:rsidRDefault="00AD1C34">
    <w:pPr>
      <w:pStyle w:val="Nagwek"/>
    </w:pPr>
    <w:r>
      <w:rPr>
        <w:noProof/>
        <w:lang w:eastAsia="pl-PL"/>
      </w:rPr>
      <w:drawing>
        <wp:inline distT="0" distB="0" distL="0" distR="0" wp14:anchorId="4B8A29B5" wp14:editId="0E6EDA7A">
          <wp:extent cx="2932430" cy="1066800"/>
          <wp:effectExtent l="0" t="0" r="0" b="0"/>
          <wp:docPr id="3" name="Obraz 3" descr="Obraz zawierający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DB"/>
    <w:multiLevelType w:val="hybridMultilevel"/>
    <w:tmpl w:val="FDA8A10E"/>
    <w:lvl w:ilvl="0" w:tplc="241A47D0">
      <w:start w:val="3"/>
      <w:numFmt w:val="decimal"/>
      <w:lvlText w:val="%1)"/>
      <w:lvlJc w:val="left"/>
      <w:pPr>
        <w:ind w:left="1440" w:hanging="360"/>
      </w:pPr>
      <w:rPr>
        <w:rFonts w:hint="default"/>
        <w:b w:val="0"/>
      </w:rPr>
    </w:lvl>
    <w:lvl w:ilvl="1" w:tplc="1EB2EF08">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F32D3E"/>
    <w:multiLevelType w:val="hybridMultilevel"/>
    <w:tmpl w:val="A086B162"/>
    <w:lvl w:ilvl="0" w:tplc="04150017">
      <w:start w:val="1"/>
      <w:numFmt w:val="lowerLetter"/>
      <w:lvlText w:val="%1)"/>
      <w:lvlJc w:val="left"/>
      <w:pPr>
        <w:ind w:left="720" w:hanging="360"/>
      </w:pPr>
      <w:rPr>
        <w:rFonts w:hint="default"/>
      </w:rPr>
    </w:lvl>
    <w:lvl w:ilvl="1" w:tplc="6AAA8ACA">
      <w:numFmt w:val="bullet"/>
      <w:lvlText w:val=""/>
      <w:lvlJc w:val="left"/>
      <w:pPr>
        <w:ind w:left="1440" w:hanging="360"/>
      </w:pPr>
      <w:rPr>
        <w:rFonts w:ascii="Symbol" w:eastAsiaTheme="minorHAns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763EA3"/>
    <w:multiLevelType w:val="hybridMultilevel"/>
    <w:tmpl w:val="8C8E9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D7B03"/>
    <w:multiLevelType w:val="hybridMultilevel"/>
    <w:tmpl w:val="A39C48B4"/>
    <w:lvl w:ilvl="0" w:tplc="FFFFFFFF">
      <w:start w:val="1"/>
      <w:numFmt w:val="decimal"/>
      <w:lvlText w:val="%1."/>
      <w:lvlJc w:val="left"/>
      <w:pPr>
        <w:ind w:left="644" w:hanging="360"/>
      </w:pPr>
      <w:rPr>
        <w:b w:val="0"/>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36537D0"/>
    <w:multiLevelType w:val="hybridMultilevel"/>
    <w:tmpl w:val="DAFC8550"/>
    <w:lvl w:ilvl="0" w:tplc="DD8ABB7C">
      <w:start w:val="1"/>
      <w:numFmt w:val="decimal"/>
      <w:lvlText w:val="%1."/>
      <w:lvlJc w:val="left"/>
      <w:pPr>
        <w:ind w:left="720" w:hanging="360"/>
      </w:pPr>
      <w:rPr>
        <w:color w:val="000000" w:themeColor="text1"/>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935A51"/>
    <w:multiLevelType w:val="hybridMultilevel"/>
    <w:tmpl w:val="F81CE9C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977DC0"/>
    <w:multiLevelType w:val="hybridMultilevel"/>
    <w:tmpl w:val="A39C48B4"/>
    <w:lvl w:ilvl="0" w:tplc="AD2A95C2">
      <w:start w:val="1"/>
      <w:numFmt w:val="decimal"/>
      <w:lvlText w:val="%1."/>
      <w:lvlJc w:val="left"/>
      <w:pPr>
        <w:ind w:left="644" w:hanging="360"/>
      </w:pPr>
      <w:rPr>
        <w:b w:val="0"/>
      </w:rPr>
    </w:lvl>
    <w:lvl w:ilvl="1" w:tplc="04150011">
      <w:start w:val="1"/>
      <w:numFmt w:val="decimal"/>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A58695F"/>
    <w:multiLevelType w:val="hybridMultilevel"/>
    <w:tmpl w:val="5498B94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AD17822"/>
    <w:multiLevelType w:val="hybridMultilevel"/>
    <w:tmpl w:val="50BE140A"/>
    <w:lvl w:ilvl="0" w:tplc="056A3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10FB9"/>
    <w:multiLevelType w:val="hybridMultilevel"/>
    <w:tmpl w:val="A086B162"/>
    <w:lvl w:ilvl="0" w:tplc="04150017">
      <w:start w:val="1"/>
      <w:numFmt w:val="lowerLetter"/>
      <w:lvlText w:val="%1)"/>
      <w:lvlJc w:val="left"/>
      <w:pPr>
        <w:ind w:left="1428" w:hanging="360"/>
      </w:pPr>
      <w:rPr>
        <w:rFonts w:hint="default"/>
      </w:rPr>
    </w:lvl>
    <w:lvl w:ilvl="1" w:tplc="6AAA8ACA">
      <w:numFmt w:val="bullet"/>
      <w:lvlText w:val=""/>
      <w:lvlJc w:val="left"/>
      <w:pPr>
        <w:ind w:left="2148" w:hanging="360"/>
      </w:pPr>
      <w:rPr>
        <w:rFonts w:ascii="Symbol" w:eastAsiaTheme="minorHAnsi" w:hAnsi="Symbol" w:cs="Times New Roman"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45A5B8E"/>
    <w:multiLevelType w:val="hybridMultilevel"/>
    <w:tmpl w:val="1AF6C12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28AB5E62"/>
    <w:multiLevelType w:val="hybridMultilevel"/>
    <w:tmpl w:val="4FF28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823A6"/>
    <w:multiLevelType w:val="hybridMultilevel"/>
    <w:tmpl w:val="B37AF8B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CFF79F3"/>
    <w:multiLevelType w:val="hybridMultilevel"/>
    <w:tmpl w:val="DAFC8550"/>
    <w:lvl w:ilvl="0" w:tplc="FFFFFFFF">
      <w:start w:val="1"/>
      <w:numFmt w:val="decimal"/>
      <w:lvlText w:val="%1."/>
      <w:lvlJc w:val="left"/>
      <w:pPr>
        <w:ind w:left="720" w:hanging="360"/>
      </w:pPr>
      <w:rPr>
        <w:color w:val="000000" w:themeColor="text1"/>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593DD4"/>
    <w:multiLevelType w:val="hybridMultilevel"/>
    <w:tmpl w:val="E7228D14"/>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467166"/>
    <w:multiLevelType w:val="hybridMultilevel"/>
    <w:tmpl w:val="5C9A054C"/>
    <w:lvl w:ilvl="0" w:tplc="9E48AF9C">
      <w:start w:val="1"/>
      <w:numFmt w:val="lowerLetter"/>
      <w:lvlText w:val="%1)"/>
      <w:lvlJc w:val="left"/>
      <w:pPr>
        <w:ind w:left="644" w:hanging="360"/>
      </w:pPr>
      <w:rPr>
        <w:rFonts w:ascii="Arial" w:eastAsiaTheme="minorHAnsi" w:hAnsi="Arial" w:cs="Arial"/>
        <w:b w:val="0"/>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2C5682C"/>
    <w:multiLevelType w:val="hybridMultilevel"/>
    <w:tmpl w:val="2834ACD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0675A9"/>
    <w:multiLevelType w:val="hybridMultilevel"/>
    <w:tmpl w:val="7808671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592728"/>
    <w:multiLevelType w:val="hybridMultilevel"/>
    <w:tmpl w:val="A39C48B4"/>
    <w:lvl w:ilvl="0" w:tplc="FFFFFFFF">
      <w:start w:val="1"/>
      <w:numFmt w:val="decimal"/>
      <w:lvlText w:val="%1."/>
      <w:lvlJc w:val="left"/>
      <w:pPr>
        <w:ind w:left="644" w:hanging="360"/>
      </w:pPr>
      <w:rPr>
        <w:b w:val="0"/>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477920DA"/>
    <w:multiLevelType w:val="hybridMultilevel"/>
    <w:tmpl w:val="57DE38CE"/>
    <w:lvl w:ilvl="0" w:tplc="04150017">
      <w:start w:val="1"/>
      <w:numFmt w:val="lowerLetter"/>
      <w:lvlText w:val="%1)"/>
      <w:lvlJc w:val="left"/>
      <w:pPr>
        <w:ind w:left="1428" w:hanging="360"/>
      </w:pPr>
      <w:rPr>
        <w:rFonts w:hint="default"/>
      </w:rPr>
    </w:lvl>
    <w:lvl w:ilvl="1" w:tplc="0415000F">
      <w:start w:val="1"/>
      <w:numFmt w:val="decimal"/>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494C37BF"/>
    <w:multiLevelType w:val="hybridMultilevel"/>
    <w:tmpl w:val="A086B162"/>
    <w:lvl w:ilvl="0" w:tplc="04150017">
      <w:start w:val="1"/>
      <w:numFmt w:val="lowerLetter"/>
      <w:lvlText w:val="%1)"/>
      <w:lvlJc w:val="left"/>
      <w:pPr>
        <w:ind w:left="1428" w:hanging="360"/>
      </w:pPr>
      <w:rPr>
        <w:rFonts w:hint="default"/>
      </w:rPr>
    </w:lvl>
    <w:lvl w:ilvl="1" w:tplc="6AAA8ACA">
      <w:numFmt w:val="bullet"/>
      <w:lvlText w:val=""/>
      <w:lvlJc w:val="left"/>
      <w:pPr>
        <w:ind w:left="2148" w:hanging="360"/>
      </w:pPr>
      <w:rPr>
        <w:rFonts w:ascii="Symbol" w:eastAsiaTheme="minorHAnsi" w:hAnsi="Symbol" w:cs="Times New Roman"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4C8C4E04"/>
    <w:multiLevelType w:val="hybridMultilevel"/>
    <w:tmpl w:val="84368A98"/>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4EB1105B"/>
    <w:multiLevelType w:val="hybridMultilevel"/>
    <w:tmpl w:val="96E8C87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FCD25D2"/>
    <w:multiLevelType w:val="hybridMultilevel"/>
    <w:tmpl w:val="566E0D3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946950"/>
    <w:multiLevelType w:val="hybridMultilevel"/>
    <w:tmpl w:val="A3821AD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968317A"/>
    <w:multiLevelType w:val="hybridMultilevel"/>
    <w:tmpl w:val="A086B162"/>
    <w:lvl w:ilvl="0" w:tplc="04150017">
      <w:start w:val="1"/>
      <w:numFmt w:val="lowerLetter"/>
      <w:lvlText w:val="%1)"/>
      <w:lvlJc w:val="left"/>
      <w:pPr>
        <w:ind w:left="720" w:hanging="360"/>
      </w:pPr>
      <w:rPr>
        <w:rFonts w:hint="default"/>
      </w:rPr>
    </w:lvl>
    <w:lvl w:ilvl="1" w:tplc="6AAA8ACA">
      <w:numFmt w:val="bullet"/>
      <w:lvlText w:val=""/>
      <w:lvlJc w:val="left"/>
      <w:pPr>
        <w:ind w:left="1440" w:hanging="360"/>
      </w:pPr>
      <w:rPr>
        <w:rFonts w:ascii="Symbol" w:eastAsiaTheme="minorHAns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691D78"/>
    <w:multiLevelType w:val="hybridMultilevel"/>
    <w:tmpl w:val="A3821AD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541115"/>
    <w:multiLevelType w:val="hybridMultilevel"/>
    <w:tmpl w:val="DDE40F5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E874D1"/>
    <w:multiLevelType w:val="hybridMultilevel"/>
    <w:tmpl w:val="878A50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547AA"/>
    <w:multiLevelType w:val="hybridMultilevel"/>
    <w:tmpl w:val="2B721FB4"/>
    <w:lvl w:ilvl="0" w:tplc="1EB2EF08">
      <w:start w:val="1"/>
      <w:numFmt w:val="lowerLetter"/>
      <w:lvlText w:val="%1)"/>
      <w:lvlJc w:val="left"/>
      <w:pPr>
        <w:ind w:left="1498" w:hanging="360"/>
      </w:pPr>
      <w:rPr>
        <w:rFonts w:hint="default"/>
        <w:b w:val="0"/>
      </w:rPr>
    </w:lvl>
    <w:lvl w:ilvl="1" w:tplc="04150019">
      <w:start w:val="1"/>
      <w:numFmt w:val="lowerLetter"/>
      <w:lvlText w:val="%2."/>
      <w:lvlJc w:val="left"/>
      <w:pPr>
        <w:ind w:left="1498" w:hanging="360"/>
      </w:pPr>
    </w:lvl>
    <w:lvl w:ilvl="2" w:tplc="0415001B">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0" w15:restartNumberingAfterBreak="0">
    <w:nsid w:val="71E23717"/>
    <w:multiLevelType w:val="hybridMultilevel"/>
    <w:tmpl w:val="43EE7668"/>
    <w:lvl w:ilvl="0" w:tplc="1EB2EF08">
      <w:start w:val="1"/>
      <w:numFmt w:val="lowerLetter"/>
      <w:lvlText w:val="%1)"/>
      <w:lvlJc w:val="left"/>
      <w:pPr>
        <w:ind w:left="1068" w:hanging="360"/>
      </w:pPr>
      <w:rPr>
        <w:rFonts w:hint="default"/>
        <w:b w:val="0"/>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1" w15:restartNumberingAfterBreak="0">
    <w:nsid w:val="75202EBB"/>
    <w:multiLevelType w:val="hybridMultilevel"/>
    <w:tmpl w:val="5A2841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E81CB5"/>
    <w:multiLevelType w:val="hybridMultilevel"/>
    <w:tmpl w:val="22707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366174"/>
    <w:multiLevelType w:val="hybridMultilevel"/>
    <w:tmpl w:val="CFEC3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055427"/>
    <w:multiLevelType w:val="multilevel"/>
    <w:tmpl w:val="5C9A054C"/>
    <w:styleLink w:val="Biecalista1"/>
    <w:lvl w:ilvl="0">
      <w:start w:val="1"/>
      <w:numFmt w:val="lowerLetter"/>
      <w:lvlText w:val="%1)"/>
      <w:lvlJc w:val="left"/>
      <w:pPr>
        <w:ind w:left="644" w:hanging="360"/>
      </w:pPr>
      <w:rPr>
        <w:rFonts w:ascii="Arial" w:eastAsiaTheme="minorHAnsi" w:hAnsi="Arial" w:cs="Arial"/>
        <w:b w:val="0"/>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7C4A01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5555E"/>
    <w:multiLevelType w:val="hybridMultilevel"/>
    <w:tmpl w:val="5C3851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1921584">
    <w:abstractNumId w:val="28"/>
  </w:num>
  <w:num w:numId="2" w16cid:durableId="445658665">
    <w:abstractNumId w:val="4"/>
  </w:num>
  <w:num w:numId="3" w16cid:durableId="930969625">
    <w:abstractNumId w:val="1"/>
  </w:num>
  <w:num w:numId="4" w16cid:durableId="847476650">
    <w:abstractNumId w:val="10"/>
  </w:num>
  <w:num w:numId="5" w16cid:durableId="1354653698">
    <w:abstractNumId w:val="0"/>
  </w:num>
  <w:num w:numId="6" w16cid:durableId="611941911">
    <w:abstractNumId w:val="29"/>
  </w:num>
  <w:num w:numId="7" w16cid:durableId="1110079468">
    <w:abstractNumId w:val="30"/>
  </w:num>
  <w:num w:numId="8" w16cid:durableId="368342092">
    <w:abstractNumId w:val="17"/>
  </w:num>
  <w:num w:numId="9" w16cid:durableId="463499174">
    <w:abstractNumId w:val="36"/>
  </w:num>
  <w:num w:numId="10" w16cid:durableId="712653248">
    <w:abstractNumId w:val="2"/>
  </w:num>
  <w:num w:numId="11" w16cid:durableId="1161850038">
    <w:abstractNumId w:val="16"/>
  </w:num>
  <w:num w:numId="12" w16cid:durableId="552035226">
    <w:abstractNumId w:val="27"/>
  </w:num>
  <w:num w:numId="13" w16cid:durableId="1823424771">
    <w:abstractNumId w:val="11"/>
  </w:num>
  <w:num w:numId="14" w16cid:durableId="1201631670">
    <w:abstractNumId w:val="8"/>
  </w:num>
  <w:num w:numId="15" w16cid:durableId="751194947">
    <w:abstractNumId w:val="12"/>
  </w:num>
  <w:num w:numId="16" w16cid:durableId="1702625405">
    <w:abstractNumId w:val="26"/>
  </w:num>
  <w:num w:numId="17" w16cid:durableId="1591546244">
    <w:abstractNumId w:val="24"/>
  </w:num>
  <w:num w:numId="18" w16cid:durableId="573782977">
    <w:abstractNumId w:val="6"/>
  </w:num>
  <w:num w:numId="19" w16cid:durableId="1217549013">
    <w:abstractNumId w:val="25"/>
  </w:num>
  <w:num w:numId="20" w16cid:durableId="1494181545">
    <w:abstractNumId w:val="19"/>
  </w:num>
  <w:num w:numId="21" w16cid:durableId="690031162">
    <w:abstractNumId w:val="9"/>
  </w:num>
  <w:num w:numId="22" w16cid:durableId="1289555372">
    <w:abstractNumId w:val="20"/>
  </w:num>
  <w:num w:numId="23" w16cid:durableId="666442859">
    <w:abstractNumId w:val="5"/>
  </w:num>
  <w:num w:numId="24" w16cid:durableId="586232379">
    <w:abstractNumId w:val="21"/>
  </w:num>
  <w:num w:numId="25" w16cid:durableId="1863863629">
    <w:abstractNumId w:val="31"/>
  </w:num>
  <w:num w:numId="26" w16cid:durableId="1601260790">
    <w:abstractNumId w:val="22"/>
  </w:num>
  <w:num w:numId="27" w16cid:durableId="1046182126">
    <w:abstractNumId w:val="33"/>
  </w:num>
  <w:num w:numId="28" w16cid:durableId="942882135">
    <w:abstractNumId w:val="15"/>
  </w:num>
  <w:num w:numId="29" w16cid:durableId="879128434">
    <w:abstractNumId w:val="34"/>
  </w:num>
  <w:num w:numId="30" w16cid:durableId="2133739854">
    <w:abstractNumId w:val="35"/>
  </w:num>
  <w:num w:numId="31" w16cid:durableId="1922836728">
    <w:abstractNumId w:val="32"/>
  </w:num>
  <w:num w:numId="32" w16cid:durableId="852689936">
    <w:abstractNumId w:val="7"/>
  </w:num>
  <w:num w:numId="33" w16cid:durableId="766121779">
    <w:abstractNumId w:val="23"/>
  </w:num>
  <w:num w:numId="34" w16cid:durableId="542599906">
    <w:abstractNumId w:val="14"/>
  </w:num>
  <w:num w:numId="35" w16cid:durableId="668365353">
    <w:abstractNumId w:val="13"/>
  </w:num>
  <w:num w:numId="36" w16cid:durableId="99953945">
    <w:abstractNumId w:val="3"/>
  </w:num>
  <w:num w:numId="37" w16cid:durableId="16868632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89"/>
    <w:rsid w:val="00001E2E"/>
    <w:rsid w:val="00003279"/>
    <w:rsid w:val="00004FB5"/>
    <w:rsid w:val="0001093C"/>
    <w:rsid w:val="0002041D"/>
    <w:rsid w:val="00035718"/>
    <w:rsid w:val="000701CB"/>
    <w:rsid w:val="000841D0"/>
    <w:rsid w:val="00087DE8"/>
    <w:rsid w:val="000903FF"/>
    <w:rsid w:val="00093B9C"/>
    <w:rsid w:val="00096B96"/>
    <w:rsid w:val="000B571A"/>
    <w:rsid w:val="000B5751"/>
    <w:rsid w:val="000E4360"/>
    <w:rsid w:val="000F0952"/>
    <w:rsid w:val="00101B42"/>
    <w:rsid w:val="00106147"/>
    <w:rsid w:val="00116F08"/>
    <w:rsid w:val="0013609C"/>
    <w:rsid w:val="0013733A"/>
    <w:rsid w:val="001421CC"/>
    <w:rsid w:val="001478C0"/>
    <w:rsid w:val="00161187"/>
    <w:rsid w:val="001659D2"/>
    <w:rsid w:val="00183D43"/>
    <w:rsid w:val="00186315"/>
    <w:rsid w:val="001C43BA"/>
    <w:rsid w:val="001C79DA"/>
    <w:rsid w:val="001D160E"/>
    <w:rsid w:val="001F2F4A"/>
    <w:rsid w:val="001F317F"/>
    <w:rsid w:val="001F785E"/>
    <w:rsid w:val="002011C4"/>
    <w:rsid w:val="00201949"/>
    <w:rsid w:val="00203BF7"/>
    <w:rsid w:val="00216775"/>
    <w:rsid w:val="00221A34"/>
    <w:rsid w:val="00230C4B"/>
    <w:rsid w:val="0024425B"/>
    <w:rsid w:val="00244540"/>
    <w:rsid w:val="00262C69"/>
    <w:rsid w:val="00266C3B"/>
    <w:rsid w:val="002670C1"/>
    <w:rsid w:val="0028571A"/>
    <w:rsid w:val="002879CF"/>
    <w:rsid w:val="00296D72"/>
    <w:rsid w:val="00297D0F"/>
    <w:rsid w:val="002B3842"/>
    <w:rsid w:val="002B4DB4"/>
    <w:rsid w:val="002B76A0"/>
    <w:rsid w:val="002D23F4"/>
    <w:rsid w:val="002D2F2E"/>
    <w:rsid w:val="002D6591"/>
    <w:rsid w:val="002E4615"/>
    <w:rsid w:val="002F7F63"/>
    <w:rsid w:val="00317C25"/>
    <w:rsid w:val="00327C7F"/>
    <w:rsid w:val="0033074E"/>
    <w:rsid w:val="00343D40"/>
    <w:rsid w:val="00347D90"/>
    <w:rsid w:val="00360B7A"/>
    <w:rsid w:val="00366AB8"/>
    <w:rsid w:val="003736CD"/>
    <w:rsid w:val="00387B3D"/>
    <w:rsid w:val="00397272"/>
    <w:rsid w:val="003A5B53"/>
    <w:rsid w:val="003E45AC"/>
    <w:rsid w:val="003F539F"/>
    <w:rsid w:val="00402F26"/>
    <w:rsid w:val="00404779"/>
    <w:rsid w:val="004075DC"/>
    <w:rsid w:val="004127DB"/>
    <w:rsid w:val="0041344C"/>
    <w:rsid w:val="00424B3E"/>
    <w:rsid w:val="00453091"/>
    <w:rsid w:val="00460FDA"/>
    <w:rsid w:val="0046621B"/>
    <w:rsid w:val="00466DF1"/>
    <w:rsid w:val="00473449"/>
    <w:rsid w:val="0048417E"/>
    <w:rsid w:val="00484A6B"/>
    <w:rsid w:val="00490DA0"/>
    <w:rsid w:val="00496EB8"/>
    <w:rsid w:val="004A576A"/>
    <w:rsid w:val="004A687D"/>
    <w:rsid w:val="004A7389"/>
    <w:rsid w:val="004B2926"/>
    <w:rsid w:val="004B636A"/>
    <w:rsid w:val="004C5463"/>
    <w:rsid w:val="004D3F64"/>
    <w:rsid w:val="004E6C7D"/>
    <w:rsid w:val="00515BF4"/>
    <w:rsid w:val="00517A7E"/>
    <w:rsid w:val="00520A61"/>
    <w:rsid w:val="005529EC"/>
    <w:rsid w:val="00570066"/>
    <w:rsid w:val="00570F63"/>
    <w:rsid w:val="00571277"/>
    <w:rsid w:val="00571317"/>
    <w:rsid w:val="00577032"/>
    <w:rsid w:val="005950EB"/>
    <w:rsid w:val="005A2B04"/>
    <w:rsid w:val="005B1906"/>
    <w:rsid w:val="005B6156"/>
    <w:rsid w:val="005D5086"/>
    <w:rsid w:val="005D7123"/>
    <w:rsid w:val="005E3BF4"/>
    <w:rsid w:val="0060662B"/>
    <w:rsid w:val="00614D42"/>
    <w:rsid w:val="006178C5"/>
    <w:rsid w:val="0063251D"/>
    <w:rsid w:val="006409AD"/>
    <w:rsid w:val="00656480"/>
    <w:rsid w:val="00662361"/>
    <w:rsid w:val="00664365"/>
    <w:rsid w:val="0068002B"/>
    <w:rsid w:val="00693CAC"/>
    <w:rsid w:val="00695CF5"/>
    <w:rsid w:val="006A3C1C"/>
    <w:rsid w:val="006A3CD5"/>
    <w:rsid w:val="006A61DA"/>
    <w:rsid w:val="006A690A"/>
    <w:rsid w:val="006A6AA3"/>
    <w:rsid w:val="006B3F30"/>
    <w:rsid w:val="006E02CB"/>
    <w:rsid w:val="006E47F9"/>
    <w:rsid w:val="006F0672"/>
    <w:rsid w:val="006F088B"/>
    <w:rsid w:val="00702586"/>
    <w:rsid w:val="00710050"/>
    <w:rsid w:val="00715D2D"/>
    <w:rsid w:val="00740797"/>
    <w:rsid w:val="007552A8"/>
    <w:rsid w:val="00757AD6"/>
    <w:rsid w:val="007603DB"/>
    <w:rsid w:val="007626BB"/>
    <w:rsid w:val="00775DBA"/>
    <w:rsid w:val="00785411"/>
    <w:rsid w:val="007A4C25"/>
    <w:rsid w:val="007B611B"/>
    <w:rsid w:val="007C6B30"/>
    <w:rsid w:val="007F7E87"/>
    <w:rsid w:val="00800D23"/>
    <w:rsid w:val="00804D36"/>
    <w:rsid w:val="00806625"/>
    <w:rsid w:val="0081374F"/>
    <w:rsid w:val="008142E9"/>
    <w:rsid w:val="00842CEB"/>
    <w:rsid w:val="00865B61"/>
    <w:rsid w:val="00870798"/>
    <w:rsid w:val="008759FA"/>
    <w:rsid w:val="00881D91"/>
    <w:rsid w:val="00885C17"/>
    <w:rsid w:val="00887BFA"/>
    <w:rsid w:val="008932D2"/>
    <w:rsid w:val="008A182A"/>
    <w:rsid w:val="008B66C1"/>
    <w:rsid w:val="008C037E"/>
    <w:rsid w:val="008C09D6"/>
    <w:rsid w:val="008C169E"/>
    <w:rsid w:val="008D518C"/>
    <w:rsid w:val="008E1C89"/>
    <w:rsid w:val="008E2C16"/>
    <w:rsid w:val="008E489E"/>
    <w:rsid w:val="008E4D84"/>
    <w:rsid w:val="009055A2"/>
    <w:rsid w:val="00920B16"/>
    <w:rsid w:val="00922AE1"/>
    <w:rsid w:val="00947299"/>
    <w:rsid w:val="0095124E"/>
    <w:rsid w:val="00951996"/>
    <w:rsid w:val="009623AD"/>
    <w:rsid w:val="009738CA"/>
    <w:rsid w:val="00986260"/>
    <w:rsid w:val="009915D0"/>
    <w:rsid w:val="0099725C"/>
    <w:rsid w:val="009A57E9"/>
    <w:rsid w:val="009B1B3B"/>
    <w:rsid w:val="009B6DDF"/>
    <w:rsid w:val="009D56DD"/>
    <w:rsid w:val="00A043B1"/>
    <w:rsid w:val="00A12BAE"/>
    <w:rsid w:val="00A2133B"/>
    <w:rsid w:val="00A2579F"/>
    <w:rsid w:val="00A36E15"/>
    <w:rsid w:val="00A420B6"/>
    <w:rsid w:val="00A43C97"/>
    <w:rsid w:val="00A46E51"/>
    <w:rsid w:val="00A505D0"/>
    <w:rsid w:val="00A5213F"/>
    <w:rsid w:val="00A56F22"/>
    <w:rsid w:val="00A60FC7"/>
    <w:rsid w:val="00A63D93"/>
    <w:rsid w:val="00A6749E"/>
    <w:rsid w:val="00A752DE"/>
    <w:rsid w:val="00A85EF0"/>
    <w:rsid w:val="00A905C1"/>
    <w:rsid w:val="00AB3D2E"/>
    <w:rsid w:val="00AB41E0"/>
    <w:rsid w:val="00AC4ADE"/>
    <w:rsid w:val="00AD1C34"/>
    <w:rsid w:val="00AE3A35"/>
    <w:rsid w:val="00AF4915"/>
    <w:rsid w:val="00AF5006"/>
    <w:rsid w:val="00AF62B2"/>
    <w:rsid w:val="00AF7D9D"/>
    <w:rsid w:val="00B01205"/>
    <w:rsid w:val="00B1540F"/>
    <w:rsid w:val="00B15CD6"/>
    <w:rsid w:val="00B25504"/>
    <w:rsid w:val="00B458AF"/>
    <w:rsid w:val="00B51E8C"/>
    <w:rsid w:val="00B61FA0"/>
    <w:rsid w:val="00B67129"/>
    <w:rsid w:val="00B848BD"/>
    <w:rsid w:val="00B85368"/>
    <w:rsid w:val="00B9443C"/>
    <w:rsid w:val="00BA01EB"/>
    <w:rsid w:val="00BA53AD"/>
    <w:rsid w:val="00BB17D4"/>
    <w:rsid w:val="00BB6313"/>
    <w:rsid w:val="00BC0B9A"/>
    <w:rsid w:val="00BC135F"/>
    <w:rsid w:val="00BC3BE1"/>
    <w:rsid w:val="00BC4EA9"/>
    <w:rsid w:val="00BC583A"/>
    <w:rsid w:val="00BD2804"/>
    <w:rsid w:val="00BD6C6A"/>
    <w:rsid w:val="00BE086B"/>
    <w:rsid w:val="00BE5D6D"/>
    <w:rsid w:val="00BE7169"/>
    <w:rsid w:val="00C016E9"/>
    <w:rsid w:val="00C15E0B"/>
    <w:rsid w:val="00C26F2D"/>
    <w:rsid w:val="00C37A13"/>
    <w:rsid w:val="00C47896"/>
    <w:rsid w:val="00C52D6F"/>
    <w:rsid w:val="00C54F19"/>
    <w:rsid w:val="00C6028B"/>
    <w:rsid w:val="00C64D89"/>
    <w:rsid w:val="00C92626"/>
    <w:rsid w:val="00C961FC"/>
    <w:rsid w:val="00CA0FFE"/>
    <w:rsid w:val="00CA4B56"/>
    <w:rsid w:val="00CC5F8A"/>
    <w:rsid w:val="00CD04BF"/>
    <w:rsid w:val="00CD0FF5"/>
    <w:rsid w:val="00CE2944"/>
    <w:rsid w:val="00CE5700"/>
    <w:rsid w:val="00CF07D1"/>
    <w:rsid w:val="00D104B5"/>
    <w:rsid w:val="00D14E67"/>
    <w:rsid w:val="00D2000C"/>
    <w:rsid w:val="00D23380"/>
    <w:rsid w:val="00D3609C"/>
    <w:rsid w:val="00D50B11"/>
    <w:rsid w:val="00D57157"/>
    <w:rsid w:val="00D66000"/>
    <w:rsid w:val="00D66697"/>
    <w:rsid w:val="00D772B1"/>
    <w:rsid w:val="00D8080C"/>
    <w:rsid w:val="00D875E0"/>
    <w:rsid w:val="00D95A2B"/>
    <w:rsid w:val="00DC3819"/>
    <w:rsid w:val="00DD362C"/>
    <w:rsid w:val="00DE64B3"/>
    <w:rsid w:val="00DF5A78"/>
    <w:rsid w:val="00E063F5"/>
    <w:rsid w:val="00E1508D"/>
    <w:rsid w:val="00E1646E"/>
    <w:rsid w:val="00E33964"/>
    <w:rsid w:val="00E46EC2"/>
    <w:rsid w:val="00E731BF"/>
    <w:rsid w:val="00E73550"/>
    <w:rsid w:val="00E8390F"/>
    <w:rsid w:val="00E9561F"/>
    <w:rsid w:val="00EA31EE"/>
    <w:rsid w:val="00EB49B6"/>
    <w:rsid w:val="00EC22F4"/>
    <w:rsid w:val="00ED5839"/>
    <w:rsid w:val="00EE53D4"/>
    <w:rsid w:val="00EE61EF"/>
    <w:rsid w:val="00EF61C1"/>
    <w:rsid w:val="00F00BCC"/>
    <w:rsid w:val="00F14132"/>
    <w:rsid w:val="00F17BA4"/>
    <w:rsid w:val="00F2523B"/>
    <w:rsid w:val="00F314B3"/>
    <w:rsid w:val="00F36111"/>
    <w:rsid w:val="00F43EFC"/>
    <w:rsid w:val="00F71EDC"/>
    <w:rsid w:val="00F72533"/>
    <w:rsid w:val="00F737A5"/>
    <w:rsid w:val="00F82274"/>
    <w:rsid w:val="00F84C4A"/>
    <w:rsid w:val="00F9651E"/>
    <w:rsid w:val="00FA6947"/>
    <w:rsid w:val="00FA705A"/>
    <w:rsid w:val="00FB3A18"/>
    <w:rsid w:val="00FD0A90"/>
    <w:rsid w:val="00FD3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D301"/>
  <w15:docId w15:val="{B1BB03C2-7CD4-4104-A02E-E3DFA6EC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A738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571277"/>
    <w:pPr>
      <w:ind w:left="720"/>
      <w:contextualSpacing/>
    </w:pPr>
  </w:style>
  <w:style w:type="paragraph" w:styleId="Nagwek">
    <w:name w:val="header"/>
    <w:basedOn w:val="Normalny"/>
    <w:link w:val="NagwekZnak"/>
    <w:uiPriority w:val="99"/>
    <w:unhideWhenUsed/>
    <w:rsid w:val="00BC13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35F"/>
  </w:style>
  <w:style w:type="paragraph" w:styleId="Stopka">
    <w:name w:val="footer"/>
    <w:basedOn w:val="Normalny"/>
    <w:link w:val="StopkaZnak"/>
    <w:uiPriority w:val="99"/>
    <w:unhideWhenUsed/>
    <w:rsid w:val="00BC13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35F"/>
  </w:style>
  <w:style w:type="paragraph" w:styleId="Tekstdymka">
    <w:name w:val="Balloon Text"/>
    <w:basedOn w:val="Normalny"/>
    <w:link w:val="TekstdymkaZnak"/>
    <w:uiPriority w:val="99"/>
    <w:semiHidden/>
    <w:unhideWhenUsed/>
    <w:rsid w:val="00093B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3B9C"/>
    <w:rPr>
      <w:rFonts w:ascii="Tahoma" w:hAnsi="Tahoma" w:cs="Tahoma"/>
      <w:sz w:val="16"/>
      <w:szCs w:val="16"/>
    </w:rPr>
  </w:style>
  <w:style w:type="paragraph" w:styleId="Tekstprzypisudolnego">
    <w:name w:val="footnote text"/>
    <w:basedOn w:val="Normalny"/>
    <w:link w:val="TekstprzypisudolnegoZnak"/>
    <w:uiPriority w:val="99"/>
    <w:semiHidden/>
    <w:unhideWhenUsed/>
    <w:rsid w:val="008B66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66C1"/>
    <w:rPr>
      <w:sz w:val="20"/>
      <w:szCs w:val="20"/>
    </w:rPr>
  </w:style>
  <w:style w:type="character" w:styleId="Odwoanieprzypisudolnego">
    <w:name w:val="footnote reference"/>
    <w:basedOn w:val="Domylnaczcionkaakapitu"/>
    <w:uiPriority w:val="99"/>
    <w:semiHidden/>
    <w:unhideWhenUsed/>
    <w:rsid w:val="008B66C1"/>
    <w:rPr>
      <w:vertAlign w:val="superscript"/>
    </w:rPr>
  </w:style>
  <w:style w:type="character" w:styleId="Odwoaniedokomentarza">
    <w:name w:val="annotation reference"/>
    <w:basedOn w:val="Domylnaczcionkaakapitu"/>
    <w:uiPriority w:val="99"/>
    <w:semiHidden/>
    <w:unhideWhenUsed/>
    <w:rsid w:val="004B2926"/>
    <w:rPr>
      <w:sz w:val="16"/>
      <w:szCs w:val="16"/>
    </w:rPr>
  </w:style>
  <w:style w:type="paragraph" w:styleId="Tekstkomentarza">
    <w:name w:val="annotation text"/>
    <w:basedOn w:val="Normalny"/>
    <w:link w:val="TekstkomentarzaZnak"/>
    <w:uiPriority w:val="99"/>
    <w:semiHidden/>
    <w:unhideWhenUsed/>
    <w:rsid w:val="004B29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2926"/>
    <w:rPr>
      <w:sz w:val="20"/>
      <w:szCs w:val="20"/>
    </w:rPr>
  </w:style>
  <w:style w:type="paragraph" w:styleId="Tematkomentarza">
    <w:name w:val="annotation subject"/>
    <w:basedOn w:val="Tekstkomentarza"/>
    <w:next w:val="Tekstkomentarza"/>
    <w:link w:val="TematkomentarzaZnak"/>
    <w:uiPriority w:val="99"/>
    <w:semiHidden/>
    <w:unhideWhenUsed/>
    <w:rsid w:val="004B2926"/>
    <w:rPr>
      <w:b/>
      <w:bCs/>
    </w:rPr>
  </w:style>
  <w:style w:type="character" w:customStyle="1" w:styleId="TematkomentarzaZnak">
    <w:name w:val="Temat komentarza Znak"/>
    <w:basedOn w:val="TekstkomentarzaZnak"/>
    <w:link w:val="Tematkomentarza"/>
    <w:uiPriority w:val="99"/>
    <w:semiHidden/>
    <w:rsid w:val="004B2926"/>
    <w:rPr>
      <w:b/>
      <w:bCs/>
      <w:sz w:val="20"/>
      <w:szCs w:val="20"/>
    </w:rPr>
  </w:style>
  <w:style w:type="character" w:styleId="Hipercze">
    <w:name w:val="Hyperlink"/>
    <w:basedOn w:val="Domylnaczcionkaakapitu"/>
    <w:uiPriority w:val="99"/>
    <w:unhideWhenUsed/>
    <w:rsid w:val="00865B61"/>
    <w:rPr>
      <w:strike w:val="0"/>
      <w:dstrike w:val="0"/>
      <w:color w:val="3366CC"/>
      <w:u w:val="none"/>
      <w:effect w:val="none"/>
    </w:rPr>
  </w:style>
  <w:style w:type="character" w:customStyle="1" w:styleId="bold1">
    <w:name w:val="bold1"/>
    <w:basedOn w:val="Domylnaczcionkaakapitu"/>
    <w:rsid w:val="00865B61"/>
    <w:rPr>
      <w:b/>
      <w:bCs/>
    </w:rPr>
  </w:style>
  <w:style w:type="paragraph" w:customStyle="1" w:styleId="normal2">
    <w:name w:val="normal2"/>
    <w:basedOn w:val="Normalny"/>
    <w:rsid w:val="00865B61"/>
    <w:pPr>
      <w:spacing w:before="195"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865B61"/>
    <w:pPr>
      <w:spacing w:after="0" w:line="240" w:lineRule="auto"/>
    </w:pPr>
  </w:style>
  <w:style w:type="numbering" w:customStyle="1" w:styleId="Biecalista1">
    <w:name w:val="Bieżąca lista1"/>
    <w:uiPriority w:val="99"/>
    <w:rsid w:val="00D772B1"/>
    <w:pPr>
      <w:numPr>
        <w:numId w:val="29"/>
      </w:numPr>
    </w:pPr>
  </w:style>
  <w:style w:type="character" w:styleId="Nierozpoznanawzmianka">
    <w:name w:val="Unresolved Mention"/>
    <w:basedOn w:val="Domylnaczcionkaakapitu"/>
    <w:uiPriority w:val="99"/>
    <w:semiHidden/>
    <w:unhideWhenUsed/>
    <w:rsid w:val="00C9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8504">
      <w:bodyDiv w:val="1"/>
      <w:marLeft w:val="0"/>
      <w:marRight w:val="0"/>
      <w:marTop w:val="0"/>
      <w:marBottom w:val="0"/>
      <w:divBdr>
        <w:top w:val="none" w:sz="0" w:space="0" w:color="auto"/>
        <w:left w:val="none" w:sz="0" w:space="0" w:color="auto"/>
        <w:bottom w:val="none" w:sz="0" w:space="0" w:color="auto"/>
        <w:right w:val="none" w:sz="0" w:space="0" w:color="auto"/>
      </w:divBdr>
      <w:divsChild>
        <w:div w:id="1570190039">
          <w:marLeft w:val="0"/>
          <w:marRight w:val="0"/>
          <w:marTop w:val="0"/>
          <w:marBottom w:val="0"/>
          <w:divBdr>
            <w:top w:val="none" w:sz="0" w:space="0" w:color="auto"/>
            <w:left w:val="none" w:sz="0" w:space="0" w:color="auto"/>
            <w:bottom w:val="none" w:sz="0" w:space="0" w:color="auto"/>
            <w:right w:val="none" w:sz="0" w:space="0" w:color="auto"/>
          </w:divBdr>
          <w:divsChild>
            <w:div w:id="1564489544">
              <w:marLeft w:val="0"/>
              <w:marRight w:val="0"/>
              <w:marTop w:val="0"/>
              <w:marBottom w:val="0"/>
              <w:divBdr>
                <w:top w:val="none" w:sz="0" w:space="0" w:color="auto"/>
                <w:left w:val="none" w:sz="0" w:space="0" w:color="auto"/>
                <w:bottom w:val="none" w:sz="0" w:space="0" w:color="auto"/>
                <w:right w:val="none" w:sz="0" w:space="0" w:color="auto"/>
              </w:divBdr>
              <w:divsChild>
                <w:div w:id="1854608514">
                  <w:marLeft w:val="0"/>
                  <w:marRight w:val="0"/>
                  <w:marTop w:val="0"/>
                  <w:marBottom w:val="0"/>
                  <w:divBdr>
                    <w:top w:val="none" w:sz="0" w:space="0" w:color="auto"/>
                    <w:left w:val="none" w:sz="0" w:space="0" w:color="auto"/>
                    <w:bottom w:val="none" w:sz="0" w:space="0" w:color="auto"/>
                    <w:right w:val="none" w:sz="0" w:space="0" w:color="auto"/>
                  </w:divBdr>
                  <w:divsChild>
                    <w:div w:id="1013996633">
                      <w:marLeft w:val="1"/>
                      <w:marRight w:val="1"/>
                      <w:marTop w:val="0"/>
                      <w:marBottom w:val="0"/>
                      <w:divBdr>
                        <w:top w:val="none" w:sz="0" w:space="0" w:color="auto"/>
                        <w:left w:val="none" w:sz="0" w:space="0" w:color="auto"/>
                        <w:bottom w:val="none" w:sz="0" w:space="0" w:color="auto"/>
                        <w:right w:val="none" w:sz="0" w:space="0" w:color="auto"/>
                      </w:divBdr>
                      <w:divsChild>
                        <w:div w:id="1153376430">
                          <w:marLeft w:val="0"/>
                          <w:marRight w:val="0"/>
                          <w:marTop w:val="0"/>
                          <w:marBottom w:val="0"/>
                          <w:divBdr>
                            <w:top w:val="none" w:sz="0" w:space="0" w:color="auto"/>
                            <w:left w:val="none" w:sz="0" w:space="0" w:color="auto"/>
                            <w:bottom w:val="none" w:sz="0" w:space="0" w:color="auto"/>
                            <w:right w:val="none" w:sz="0" w:space="0" w:color="auto"/>
                          </w:divBdr>
                          <w:divsChild>
                            <w:div w:id="571698372">
                              <w:marLeft w:val="0"/>
                              <w:marRight w:val="0"/>
                              <w:marTop w:val="0"/>
                              <w:marBottom w:val="360"/>
                              <w:divBdr>
                                <w:top w:val="none" w:sz="0" w:space="0" w:color="auto"/>
                                <w:left w:val="none" w:sz="0" w:space="0" w:color="auto"/>
                                <w:bottom w:val="none" w:sz="0" w:space="0" w:color="auto"/>
                                <w:right w:val="none" w:sz="0" w:space="0" w:color="auto"/>
                              </w:divBdr>
                              <w:divsChild>
                                <w:div w:id="403072225">
                                  <w:marLeft w:val="0"/>
                                  <w:marRight w:val="0"/>
                                  <w:marTop w:val="0"/>
                                  <w:marBottom w:val="0"/>
                                  <w:divBdr>
                                    <w:top w:val="none" w:sz="0" w:space="0" w:color="auto"/>
                                    <w:left w:val="none" w:sz="0" w:space="0" w:color="auto"/>
                                    <w:bottom w:val="none" w:sz="0" w:space="0" w:color="auto"/>
                                    <w:right w:val="none" w:sz="0" w:space="0" w:color="auto"/>
                                  </w:divBdr>
                                  <w:divsChild>
                                    <w:div w:id="603612007">
                                      <w:marLeft w:val="0"/>
                                      <w:marRight w:val="0"/>
                                      <w:marTop w:val="0"/>
                                      <w:marBottom w:val="0"/>
                                      <w:divBdr>
                                        <w:top w:val="none" w:sz="0" w:space="0" w:color="auto"/>
                                        <w:left w:val="none" w:sz="0" w:space="0" w:color="auto"/>
                                        <w:bottom w:val="none" w:sz="0" w:space="0" w:color="auto"/>
                                        <w:right w:val="none" w:sz="0" w:space="0" w:color="auto"/>
                                      </w:divBdr>
                                      <w:divsChild>
                                        <w:div w:id="1434089942">
                                          <w:marLeft w:val="0"/>
                                          <w:marRight w:val="0"/>
                                          <w:marTop w:val="0"/>
                                          <w:marBottom w:val="0"/>
                                          <w:divBdr>
                                            <w:top w:val="none" w:sz="0" w:space="0" w:color="auto"/>
                                            <w:left w:val="none" w:sz="0" w:space="0" w:color="auto"/>
                                            <w:bottom w:val="none" w:sz="0" w:space="0" w:color="auto"/>
                                            <w:right w:val="none" w:sz="0" w:space="0" w:color="auto"/>
                                          </w:divBdr>
                                          <w:divsChild>
                                            <w:div w:id="487476721">
                                              <w:marLeft w:val="0"/>
                                              <w:marRight w:val="0"/>
                                              <w:marTop w:val="195"/>
                                              <w:marBottom w:val="0"/>
                                              <w:divBdr>
                                                <w:top w:val="none" w:sz="0" w:space="0" w:color="auto"/>
                                                <w:left w:val="none" w:sz="0" w:space="0" w:color="auto"/>
                                                <w:bottom w:val="none" w:sz="0" w:space="0" w:color="auto"/>
                                                <w:right w:val="none" w:sz="0" w:space="0" w:color="auto"/>
                                              </w:divBdr>
                                              <w:divsChild>
                                                <w:div w:id="895550964">
                                                  <w:marLeft w:val="0"/>
                                                  <w:marRight w:val="0"/>
                                                  <w:marTop w:val="195"/>
                                                  <w:marBottom w:val="0"/>
                                                  <w:divBdr>
                                                    <w:top w:val="none" w:sz="0" w:space="0" w:color="auto"/>
                                                    <w:left w:val="none" w:sz="0" w:space="0" w:color="auto"/>
                                                    <w:bottom w:val="none" w:sz="0" w:space="0" w:color="auto"/>
                                                    <w:right w:val="none" w:sz="0" w:space="0" w:color="auto"/>
                                                  </w:divBdr>
                                                </w:div>
                                                <w:div w:id="678775528">
                                                  <w:marLeft w:val="0"/>
                                                  <w:marRight w:val="0"/>
                                                  <w:marTop w:val="195"/>
                                                  <w:marBottom w:val="0"/>
                                                  <w:divBdr>
                                                    <w:top w:val="none" w:sz="0" w:space="0" w:color="auto"/>
                                                    <w:left w:val="none" w:sz="0" w:space="0" w:color="auto"/>
                                                    <w:bottom w:val="none" w:sz="0" w:space="0" w:color="auto"/>
                                                    <w:right w:val="none" w:sz="0" w:space="0" w:color="auto"/>
                                                  </w:divBdr>
                                                </w:div>
                                                <w:div w:id="1314720806">
                                                  <w:marLeft w:val="0"/>
                                                  <w:marRight w:val="0"/>
                                                  <w:marTop w:val="195"/>
                                                  <w:marBottom w:val="0"/>
                                                  <w:divBdr>
                                                    <w:top w:val="none" w:sz="0" w:space="0" w:color="auto"/>
                                                    <w:left w:val="none" w:sz="0" w:space="0" w:color="auto"/>
                                                    <w:bottom w:val="none" w:sz="0" w:space="0" w:color="auto"/>
                                                    <w:right w:val="none" w:sz="0" w:space="0" w:color="auto"/>
                                                  </w:divBdr>
                                                </w:div>
                                              </w:divsChild>
                                            </w:div>
                                            <w:div w:id="1425033903">
                                              <w:marLeft w:val="0"/>
                                              <w:marRight w:val="0"/>
                                              <w:marTop w:val="195"/>
                                              <w:marBottom w:val="0"/>
                                              <w:divBdr>
                                                <w:top w:val="none" w:sz="0" w:space="0" w:color="auto"/>
                                                <w:left w:val="none" w:sz="0" w:space="0" w:color="auto"/>
                                                <w:bottom w:val="none" w:sz="0" w:space="0" w:color="auto"/>
                                                <w:right w:val="none" w:sz="0" w:space="0" w:color="auto"/>
                                              </w:divBdr>
                                              <w:divsChild>
                                                <w:div w:id="46996311">
                                                  <w:marLeft w:val="0"/>
                                                  <w:marRight w:val="0"/>
                                                  <w:marTop w:val="195"/>
                                                  <w:marBottom w:val="0"/>
                                                  <w:divBdr>
                                                    <w:top w:val="none" w:sz="0" w:space="0" w:color="auto"/>
                                                    <w:left w:val="none" w:sz="0" w:space="0" w:color="auto"/>
                                                    <w:bottom w:val="none" w:sz="0" w:space="0" w:color="auto"/>
                                                    <w:right w:val="none" w:sz="0" w:space="0" w:color="auto"/>
                                                  </w:divBdr>
                                                </w:div>
                                                <w:div w:id="1657027896">
                                                  <w:marLeft w:val="0"/>
                                                  <w:marRight w:val="0"/>
                                                  <w:marTop w:val="195"/>
                                                  <w:marBottom w:val="0"/>
                                                  <w:divBdr>
                                                    <w:top w:val="none" w:sz="0" w:space="0" w:color="auto"/>
                                                    <w:left w:val="none" w:sz="0" w:space="0" w:color="auto"/>
                                                    <w:bottom w:val="none" w:sz="0" w:space="0" w:color="auto"/>
                                                    <w:right w:val="none" w:sz="0" w:space="0" w:color="auto"/>
                                                  </w:divBdr>
                                                </w:div>
                                                <w:div w:id="15593917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0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olenia-antykorupcyjne.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F999-E314-435B-AD57-6B2AD888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2227</Words>
  <Characters>13366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Masiewski Artur</dc:creator>
  <cp:lastModifiedBy>Pudełko Paweł</cp:lastModifiedBy>
  <cp:revision>2</cp:revision>
  <cp:lastPrinted>2015-11-27T09:46:00Z</cp:lastPrinted>
  <dcterms:created xsi:type="dcterms:W3CDTF">2024-08-23T11:18:00Z</dcterms:created>
  <dcterms:modified xsi:type="dcterms:W3CDTF">2024-08-23T11:18:00Z</dcterms:modified>
</cp:coreProperties>
</file>