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4E2AE" w14:textId="77777777" w:rsidR="00C468E8" w:rsidRPr="00836792" w:rsidRDefault="00680491" w:rsidP="00944EE4">
      <w:pPr>
        <w:pStyle w:val="Nagwek1"/>
      </w:pPr>
      <w:r w:rsidRPr="00836792">
        <w:t xml:space="preserve">Załącznik nr </w:t>
      </w:r>
      <w:r w:rsidR="0052160E" w:rsidRPr="00836792">
        <w:t>6 do Regulaminu</w:t>
      </w:r>
    </w:p>
    <w:p w14:paraId="3A100F14" w14:textId="77777777" w:rsidR="0077016A" w:rsidRPr="00836792" w:rsidRDefault="00DA0BDF" w:rsidP="00443C3A">
      <w:pPr>
        <w:pStyle w:val="Akapitzlist"/>
        <w:spacing w:before="240" w:after="240" w:line="276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836792">
        <w:rPr>
          <w:rFonts w:ascii="Open Sans" w:hAnsi="Open Sans" w:cs="Open Sans"/>
          <w:b/>
          <w:sz w:val="22"/>
          <w:szCs w:val="22"/>
        </w:rPr>
        <w:t>Dodatkowe warunki dotyczące kwalifikowalności w uzupełnieniu do Wytycznych dotyczących kwalifikowalności wydatków na lata 2021-2027</w:t>
      </w:r>
    </w:p>
    <w:p w14:paraId="6E7AC52C" w14:textId="77777777" w:rsidR="00A627EB" w:rsidRPr="00836792" w:rsidRDefault="0077016A" w:rsidP="00443C3A">
      <w:pPr>
        <w:pStyle w:val="Akapitzlist"/>
        <w:numPr>
          <w:ilvl w:val="0"/>
          <w:numId w:val="33"/>
        </w:numPr>
        <w:spacing w:before="60" w:after="6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836792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836792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836792">
        <w:rPr>
          <w:rFonts w:ascii="Open Sans" w:hAnsi="Open Sans" w:cs="Open Sans"/>
          <w:bCs/>
          <w:sz w:val="22"/>
          <w:szCs w:val="22"/>
        </w:rPr>
        <w:t xml:space="preserve"> </w:t>
      </w:r>
      <w:r w:rsidRPr="00836792">
        <w:rPr>
          <w:rFonts w:ascii="Open Sans" w:hAnsi="Open Sans" w:cs="Open Sans"/>
          <w:bCs/>
          <w:sz w:val="22"/>
          <w:szCs w:val="22"/>
        </w:rPr>
        <w:t>w</w:t>
      </w:r>
      <w:r w:rsidR="0052160E" w:rsidRPr="00836792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836792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836792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836792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836792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836792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836792">
        <w:rPr>
          <w:rFonts w:ascii="Open Sans" w:hAnsi="Open Sans" w:cs="Open Sans"/>
          <w:b/>
          <w:sz w:val="22"/>
          <w:szCs w:val="22"/>
        </w:rPr>
        <w:t>.</w:t>
      </w:r>
    </w:p>
    <w:p w14:paraId="31DCC064" w14:textId="77777777" w:rsidR="00A90D3C" w:rsidRPr="00836792" w:rsidRDefault="00A90D3C" w:rsidP="00443C3A">
      <w:pPr>
        <w:pStyle w:val="Akapitzlist"/>
        <w:numPr>
          <w:ilvl w:val="0"/>
          <w:numId w:val="33"/>
        </w:numPr>
        <w:spacing w:before="60" w:after="6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Wydatki muszą dotyczyć projektu realizowanego na terenie:</w:t>
      </w:r>
    </w:p>
    <w:p w14:paraId="75038D7B" w14:textId="54D5B26A" w:rsidR="00CC3D23" w:rsidRDefault="000A415D" w:rsidP="00443C3A">
      <w:pPr>
        <w:pStyle w:val="Akapitzlist"/>
        <w:numPr>
          <w:ilvl w:val="0"/>
          <w:numId w:val="34"/>
        </w:numPr>
        <w:spacing w:before="60" w:after="60" w:line="276" w:lineRule="auto"/>
        <w:ind w:left="993" w:hanging="28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p</w:t>
      </w:r>
      <w:r w:rsidR="00CC3D23">
        <w:rPr>
          <w:rFonts w:ascii="Open Sans" w:hAnsi="Open Sans" w:cs="Open Sans"/>
          <w:bCs/>
          <w:sz w:val="22"/>
          <w:szCs w:val="22"/>
        </w:rPr>
        <w:t>arku narodowego,</w:t>
      </w:r>
      <w:r>
        <w:rPr>
          <w:rFonts w:ascii="Open Sans" w:hAnsi="Open Sans" w:cs="Open Sans"/>
          <w:bCs/>
          <w:sz w:val="22"/>
          <w:szCs w:val="22"/>
        </w:rPr>
        <w:t xml:space="preserve"> lub</w:t>
      </w:r>
    </w:p>
    <w:p w14:paraId="4448C63C" w14:textId="42954EF9" w:rsidR="00A90D3C" w:rsidRPr="00836792" w:rsidRDefault="00A90D3C" w:rsidP="00443C3A">
      <w:pPr>
        <w:pStyle w:val="Akapitzlist"/>
        <w:numPr>
          <w:ilvl w:val="0"/>
          <w:numId w:val="34"/>
        </w:numPr>
        <w:spacing w:before="60" w:after="60" w:line="276" w:lineRule="auto"/>
        <w:ind w:left="993" w:hanging="284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obszaru Natura 2000</w:t>
      </w:r>
      <w:r w:rsidR="00C95677" w:rsidRPr="00836792">
        <w:rPr>
          <w:rFonts w:ascii="Open Sans" w:hAnsi="Open Sans" w:cs="Open Sans"/>
          <w:bCs/>
          <w:sz w:val="22"/>
          <w:szCs w:val="22"/>
        </w:rPr>
        <w:t>,</w:t>
      </w:r>
      <w:r w:rsidRPr="00836792">
        <w:rPr>
          <w:rFonts w:ascii="Open Sans" w:hAnsi="Open Sans" w:cs="Open Sans"/>
          <w:bCs/>
          <w:sz w:val="22"/>
          <w:szCs w:val="22"/>
        </w:rPr>
        <w:t xml:space="preserve"> lub</w:t>
      </w:r>
    </w:p>
    <w:p w14:paraId="29A2D3B0" w14:textId="0AF3A73D" w:rsidR="00A90D3C" w:rsidRDefault="00A90D3C" w:rsidP="00443C3A">
      <w:pPr>
        <w:pStyle w:val="Akapitzlist"/>
        <w:numPr>
          <w:ilvl w:val="0"/>
          <w:numId w:val="34"/>
        </w:numPr>
        <w:spacing w:before="60" w:after="60" w:line="276" w:lineRule="auto"/>
        <w:ind w:left="993" w:hanging="284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innej obszarowej formy ochrony przyrody</w:t>
      </w:r>
      <w:r w:rsidR="008B512B" w:rsidRPr="00836792">
        <w:rPr>
          <w:rFonts w:ascii="Open Sans" w:hAnsi="Open Sans" w:cs="Open Sans"/>
          <w:bCs/>
          <w:sz w:val="22"/>
          <w:szCs w:val="22"/>
        </w:rPr>
        <w:t xml:space="preserve"> pokrywającej się częściowo z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="008B512B" w:rsidRPr="00836792">
        <w:rPr>
          <w:rFonts w:ascii="Open Sans" w:hAnsi="Open Sans" w:cs="Open Sans"/>
          <w:bCs/>
          <w:sz w:val="22"/>
          <w:szCs w:val="22"/>
        </w:rPr>
        <w:t>obszarem Natura 2000</w:t>
      </w:r>
      <w:r w:rsidRPr="00836792">
        <w:rPr>
          <w:rFonts w:ascii="Open Sans" w:hAnsi="Open Sans" w:cs="Open Sans"/>
          <w:bCs/>
          <w:sz w:val="22"/>
          <w:szCs w:val="22"/>
        </w:rPr>
        <w:t>, pod warunkiem zmniejszenia antropopresji na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="008B512B" w:rsidRPr="00836792">
        <w:rPr>
          <w:rFonts w:ascii="Open Sans" w:hAnsi="Open Sans" w:cs="Open Sans"/>
          <w:bCs/>
          <w:sz w:val="22"/>
          <w:szCs w:val="22"/>
        </w:rPr>
        <w:t>obszary Natura 2000.</w:t>
      </w:r>
    </w:p>
    <w:p w14:paraId="76EB2DE7" w14:textId="58B818F8" w:rsidR="00A627EB" w:rsidRPr="00836792" w:rsidRDefault="00A627EB" w:rsidP="00443C3A">
      <w:pPr>
        <w:pStyle w:val="Akapitzlist"/>
        <w:numPr>
          <w:ilvl w:val="0"/>
          <w:numId w:val="33"/>
        </w:numPr>
        <w:spacing w:before="60" w:after="6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Wsparcie może zostać przeznaczone na:</w:t>
      </w:r>
    </w:p>
    <w:p w14:paraId="374D001D" w14:textId="77777777" w:rsidR="00B92366" w:rsidRPr="00836792" w:rsidRDefault="00B92366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200A227E" w14:textId="7DB188E0" w:rsidR="0052160E" w:rsidRPr="00836792" w:rsidRDefault="00BC6E76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r</w:t>
      </w:r>
      <w:r w:rsidR="0052160E" w:rsidRPr="00836792">
        <w:rPr>
          <w:rFonts w:ascii="Open Sans" w:hAnsi="Open Sans" w:cs="Open Sans"/>
          <w:bCs/>
          <w:sz w:val="22"/>
          <w:szCs w:val="22"/>
        </w:rPr>
        <w:t>oboty budowlane;</w:t>
      </w:r>
      <w:r w:rsidR="003B29A7" w:rsidRPr="00836792">
        <w:rPr>
          <w:rFonts w:ascii="Open Sans" w:hAnsi="Open Sans" w:cs="Open Sans"/>
          <w:bCs/>
          <w:sz w:val="22"/>
          <w:szCs w:val="22"/>
        </w:rPr>
        <w:br/>
        <w:t>(niezbędna infrastruktura służąca ukierunkowaniu ruchu turystycznego, dla zmniejszenia antropopresji na gatunki i siedliska chronione</w:t>
      </w:r>
      <w:r w:rsidR="000903A6" w:rsidRPr="00836792">
        <w:rPr>
          <w:rFonts w:ascii="Open Sans" w:hAnsi="Open Sans" w:cs="Open Sans"/>
          <w:bCs/>
          <w:sz w:val="22"/>
          <w:szCs w:val="22"/>
        </w:rPr>
        <w:t xml:space="preserve">, w tym </w:t>
      </w:r>
      <w:r w:rsidR="00F82314">
        <w:rPr>
          <w:rFonts w:ascii="Open Sans" w:hAnsi="Open Sans" w:cs="Open Sans"/>
          <w:bCs/>
          <w:sz w:val="22"/>
          <w:szCs w:val="22"/>
        </w:rPr>
        <w:t xml:space="preserve">m.in. </w:t>
      </w:r>
      <w:r w:rsidR="000903A6" w:rsidRPr="00836792">
        <w:rPr>
          <w:rFonts w:ascii="Open Sans" w:hAnsi="Open Sans" w:cs="Open Sans"/>
          <w:bCs/>
          <w:sz w:val="22"/>
          <w:szCs w:val="22"/>
        </w:rPr>
        <w:t>wiaty, miejsca odpoczynku, tablice edukacyjne</w:t>
      </w:r>
      <w:r w:rsidR="003B29A7" w:rsidRPr="00836792">
        <w:rPr>
          <w:rFonts w:ascii="Open Sans" w:hAnsi="Open Sans" w:cs="Open Sans"/>
          <w:bCs/>
          <w:sz w:val="22"/>
          <w:szCs w:val="22"/>
        </w:rPr>
        <w:t>)</w:t>
      </w:r>
    </w:p>
    <w:p w14:paraId="3FD9F9F7" w14:textId="7155CAE9" w:rsidR="00634B36" w:rsidRPr="00836792" w:rsidRDefault="00BC6E76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ś</w:t>
      </w:r>
      <w:r w:rsidR="0052160E" w:rsidRPr="00836792">
        <w:rPr>
          <w:rFonts w:ascii="Open Sans" w:hAnsi="Open Sans" w:cs="Open Sans"/>
          <w:bCs/>
          <w:sz w:val="22"/>
          <w:szCs w:val="22"/>
        </w:rPr>
        <w:t>rodki trwałe/</w:t>
      </w:r>
      <w:r w:rsidRPr="00836792">
        <w:rPr>
          <w:rFonts w:ascii="Open Sans" w:hAnsi="Open Sans" w:cs="Open Sans"/>
          <w:bCs/>
          <w:sz w:val="22"/>
          <w:szCs w:val="22"/>
        </w:rPr>
        <w:t>d</w:t>
      </w:r>
      <w:r w:rsidR="0052160E" w:rsidRPr="00836792">
        <w:rPr>
          <w:rFonts w:ascii="Open Sans" w:hAnsi="Open Sans" w:cs="Open Sans"/>
          <w:bCs/>
          <w:sz w:val="22"/>
          <w:szCs w:val="22"/>
        </w:rPr>
        <w:t>ostawy;</w:t>
      </w:r>
      <w:r w:rsidR="003B29A7" w:rsidRPr="00836792">
        <w:rPr>
          <w:rFonts w:ascii="Open Sans" w:hAnsi="Open Sans" w:cs="Open Sans"/>
          <w:bCs/>
          <w:sz w:val="22"/>
          <w:szCs w:val="22"/>
        </w:rPr>
        <w:br/>
        <w:t>(sprzęt i wyposażenie niezbędne do realizacji i utrzymania efektów projektu)</w:t>
      </w:r>
    </w:p>
    <w:p w14:paraId="2857496E" w14:textId="77777777" w:rsidR="00A627EB" w:rsidRPr="00836792" w:rsidRDefault="002621E1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836792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37A8CC7D" w14:textId="77777777" w:rsidR="00634B36" w:rsidRPr="00836792" w:rsidRDefault="002621E1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836792">
        <w:rPr>
          <w:rFonts w:ascii="Open Sans" w:hAnsi="Open Sans" w:cs="Open Sans"/>
          <w:color w:val="000000"/>
          <w:sz w:val="22"/>
          <w:szCs w:val="22"/>
        </w:rPr>
        <w:t>odatki i opłaty</w:t>
      </w:r>
      <w:r w:rsidRPr="00836792">
        <w:rPr>
          <w:rFonts w:ascii="Open Sans" w:hAnsi="Open Sans" w:cs="Open Sans"/>
          <w:color w:val="000000"/>
          <w:sz w:val="22"/>
          <w:szCs w:val="22"/>
        </w:rPr>
        <w:t>;</w:t>
      </w:r>
    </w:p>
    <w:p w14:paraId="61B9B4D8" w14:textId="77777777" w:rsidR="00634B36" w:rsidRPr="00836792" w:rsidRDefault="002621E1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836792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2C5BAFB7" w14:textId="0D55B558" w:rsidR="00634B36" w:rsidRPr="00836792" w:rsidRDefault="00F942DF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n</w:t>
      </w:r>
      <w:r w:rsidR="0052160E" w:rsidRPr="00836792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5470D2E0" w14:textId="77777777" w:rsidR="00A627EB" w:rsidRPr="00836792" w:rsidRDefault="00634B36" w:rsidP="00443C3A">
      <w:pPr>
        <w:pStyle w:val="Akapitzlist"/>
        <w:numPr>
          <w:ilvl w:val="2"/>
          <w:numId w:val="33"/>
        </w:numPr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 w:rsidRPr="00836792">
        <w:rPr>
          <w:rFonts w:ascii="Open Sans" w:hAnsi="Open Sans" w:cs="Open Sans"/>
          <w:color w:val="000000"/>
          <w:sz w:val="22"/>
          <w:szCs w:val="22"/>
        </w:rPr>
        <w:t>;</w:t>
      </w:r>
    </w:p>
    <w:p w14:paraId="0756BB96" w14:textId="77777777" w:rsidR="0052160E" w:rsidRPr="00836792" w:rsidRDefault="00BC6E76" w:rsidP="00443C3A">
      <w:pPr>
        <w:pStyle w:val="Akapitzlist"/>
        <w:numPr>
          <w:ilvl w:val="2"/>
          <w:numId w:val="33"/>
        </w:numPr>
        <w:tabs>
          <w:tab w:val="left" w:pos="2410"/>
        </w:tabs>
        <w:spacing w:before="60" w:after="60" w:line="276" w:lineRule="auto"/>
        <w:ind w:left="1418" w:hanging="288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u</w:t>
      </w:r>
      <w:r w:rsidR="0052160E" w:rsidRPr="00836792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256725A9" w14:textId="466EA242" w:rsidR="0052160E" w:rsidRPr="00836792" w:rsidRDefault="0052160E" w:rsidP="00443C3A">
      <w:pPr>
        <w:pStyle w:val="Akapitzlist"/>
        <w:numPr>
          <w:ilvl w:val="3"/>
          <w:numId w:val="37"/>
        </w:numPr>
        <w:spacing w:before="60" w:after="60" w:line="276" w:lineRule="auto"/>
        <w:ind w:left="1701" w:hanging="14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 xml:space="preserve">wyłączeniem </w:t>
      </w:r>
      <w:r w:rsidR="00957059">
        <w:rPr>
          <w:rFonts w:ascii="Open Sans" w:hAnsi="Open Sans" w:cs="Open Sans"/>
          <w:bCs/>
          <w:sz w:val="22"/>
          <w:szCs w:val="22"/>
        </w:rPr>
        <w:t xml:space="preserve">przygotowania </w:t>
      </w:r>
      <w:r w:rsidRPr="00836792">
        <w:rPr>
          <w:rFonts w:ascii="Open Sans" w:hAnsi="Open Sans" w:cs="Open Sans"/>
          <w:bCs/>
          <w:sz w:val="22"/>
          <w:szCs w:val="22"/>
        </w:rPr>
        <w:t>wniosku o dofinansowanie) wraz z kosztami pozyskania niezbędnych opinii i uzgodnień;</w:t>
      </w:r>
    </w:p>
    <w:p w14:paraId="011C98C5" w14:textId="77777777" w:rsidR="0052160E" w:rsidRPr="00836792" w:rsidRDefault="0052160E" w:rsidP="00443C3A">
      <w:pPr>
        <w:pStyle w:val="Akapitzlist"/>
        <w:numPr>
          <w:ilvl w:val="3"/>
          <w:numId w:val="37"/>
        </w:numPr>
        <w:spacing w:before="60" w:after="60" w:line="276" w:lineRule="auto"/>
        <w:ind w:left="1701" w:hanging="14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836792">
        <w:rPr>
          <w:rFonts w:ascii="Open Sans" w:hAnsi="Open Sans" w:cs="Open Sans"/>
          <w:bCs/>
          <w:sz w:val="22"/>
          <w:szCs w:val="22"/>
        </w:rPr>
        <w:t xml:space="preserve">(inne niż uwzględnione w kosztach pośrednich) np. </w:t>
      </w:r>
      <w:r w:rsidRPr="00836792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836792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pozyskaniem decyzji administracyjnych niezbędnych dla realizacji inwestycji, w</w:t>
      </w:r>
      <w:r w:rsidR="006826C2" w:rsidRPr="00836792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411D5EE9" w14:textId="77777777" w:rsidR="00F34AED" w:rsidRPr="00836792" w:rsidRDefault="0052160E" w:rsidP="00443C3A">
      <w:pPr>
        <w:pStyle w:val="Akapitzlist"/>
        <w:numPr>
          <w:ilvl w:val="3"/>
          <w:numId w:val="37"/>
        </w:numPr>
        <w:spacing w:before="60" w:after="60" w:line="276" w:lineRule="auto"/>
        <w:ind w:left="1701" w:hanging="14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przygotowanie dokumentacji przetargowej, w tym opracowanie SIWZ, czy</w:t>
      </w:r>
      <w:r w:rsidR="006826C2" w:rsidRPr="00836792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sporządzenie/aktualizacj</w:t>
      </w:r>
      <w:r w:rsidR="00866E74" w:rsidRPr="00836792">
        <w:rPr>
          <w:rFonts w:ascii="Open Sans" w:hAnsi="Open Sans" w:cs="Open Sans"/>
          <w:bCs/>
          <w:sz w:val="22"/>
          <w:szCs w:val="22"/>
        </w:rPr>
        <w:t>a</w:t>
      </w:r>
      <w:r w:rsidRPr="00836792">
        <w:rPr>
          <w:rFonts w:ascii="Open Sans" w:hAnsi="Open Sans" w:cs="Open Sans"/>
          <w:bCs/>
          <w:sz w:val="22"/>
          <w:szCs w:val="22"/>
        </w:rPr>
        <w:t xml:space="preserve"> kosztorysów inwestorskich</w:t>
      </w:r>
      <w:r w:rsidR="006826C2" w:rsidRPr="00836792">
        <w:rPr>
          <w:rFonts w:ascii="Open Sans" w:hAnsi="Open Sans" w:cs="Open Sans"/>
          <w:bCs/>
          <w:sz w:val="22"/>
          <w:szCs w:val="22"/>
        </w:rPr>
        <w:t>;</w:t>
      </w:r>
      <w:r w:rsidR="00F34AED" w:rsidRPr="00836792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1ECEE3F8" w14:textId="518CAF67" w:rsidR="00BC6E76" w:rsidRPr="00836792" w:rsidRDefault="0052160E" w:rsidP="00443C3A">
      <w:pPr>
        <w:pStyle w:val="Akapitzlist"/>
        <w:numPr>
          <w:ilvl w:val="3"/>
          <w:numId w:val="37"/>
        </w:numPr>
        <w:spacing w:before="60" w:after="60" w:line="276" w:lineRule="auto"/>
        <w:ind w:left="1701" w:hanging="14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lastRenderedPageBreak/>
        <w:t>koszty opracowania dokumentacji służącej ocenie oddziaływania na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020C5F70" w14:textId="77777777" w:rsidR="00F34AED" w:rsidRPr="00836792" w:rsidRDefault="00F34AED" w:rsidP="00443C3A">
      <w:pPr>
        <w:pStyle w:val="Akapitzlist"/>
        <w:numPr>
          <w:ilvl w:val="3"/>
          <w:numId w:val="37"/>
        </w:numPr>
        <w:spacing w:before="60" w:after="60" w:line="276" w:lineRule="auto"/>
        <w:ind w:left="1701" w:hanging="14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74C2B7A7" w14:textId="2C1A9CF4" w:rsidR="0034577C" w:rsidRPr="00836792" w:rsidRDefault="00124AE7" w:rsidP="00443C3A">
      <w:pPr>
        <w:pStyle w:val="Akapitzlist"/>
        <w:numPr>
          <w:ilvl w:val="1"/>
          <w:numId w:val="33"/>
        </w:numPr>
        <w:spacing w:before="240" w:after="120" w:line="276" w:lineRule="auto"/>
        <w:ind w:left="1434" w:hanging="357"/>
        <w:contextualSpacing w:val="0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Koszty pośrednie, o których mowa </w:t>
      </w:r>
      <w:r w:rsidR="00866E74" w:rsidRPr="00836792">
        <w:rPr>
          <w:rFonts w:ascii="Open Sans" w:hAnsi="Open Sans" w:cs="Open Sans"/>
          <w:bCs/>
          <w:sz w:val="22"/>
          <w:szCs w:val="22"/>
        </w:rPr>
        <w:t>w Podrozdziale</w:t>
      </w:r>
      <w:r w:rsidRPr="00836792">
        <w:rPr>
          <w:rFonts w:ascii="Open Sans" w:hAnsi="Open Sans" w:cs="Open Sans"/>
          <w:bCs/>
          <w:sz w:val="22"/>
          <w:szCs w:val="22"/>
        </w:rPr>
        <w:t xml:space="preserve"> 3.12. </w:t>
      </w:r>
      <w:hyperlink r:id="rId9" w:history="1">
        <w:r w:rsidRPr="00836792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836792">
        <w:rPr>
          <w:rFonts w:ascii="Open Sans" w:hAnsi="Open Sans" w:cs="Open Sans"/>
          <w:bCs/>
          <w:sz w:val="22"/>
          <w:szCs w:val="22"/>
        </w:rPr>
        <w:t xml:space="preserve">, </w:t>
      </w:r>
      <w:r w:rsidR="00B92366" w:rsidRPr="00836792">
        <w:rPr>
          <w:rFonts w:ascii="Open Sans" w:hAnsi="Open Sans" w:cs="Open Sans"/>
          <w:bCs/>
          <w:sz w:val="22"/>
          <w:szCs w:val="22"/>
        </w:rPr>
        <w:t>rozliczane</w:t>
      </w:r>
      <w:r w:rsidR="00B92366" w:rsidRPr="00836792">
        <w:rPr>
          <w:rFonts w:ascii="Open Sans" w:hAnsi="Open Sans" w:cs="Open Sans"/>
          <w:sz w:val="22"/>
          <w:szCs w:val="22"/>
        </w:rPr>
        <w:t xml:space="preserve"> stawką ryczałtową </w:t>
      </w:r>
      <w:r w:rsidR="008B512B" w:rsidRPr="00836792">
        <w:rPr>
          <w:rFonts w:ascii="Open Sans" w:hAnsi="Open Sans" w:cs="Open Sans"/>
          <w:sz w:val="22"/>
          <w:szCs w:val="22"/>
        </w:rPr>
        <w:t>7</w:t>
      </w:r>
      <w:r w:rsidR="00B92366" w:rsidRPr="00836792">
        <w:rPr>
          <w:rFonts w:ascii="Open Sans" w:hAnsi="Open Sans" w:cs="Open Sans"/>
          <w:sz w:val="22"/>
          <w:szCs w:val="22"/>
        </w:rPr>
        <w:t xml:space="preserve">% </w:t>
      </w:r>
      <w:r w:rsidR="00C93715" w:rsidRPr="00836792">
        <w:rPr>
          <w:rFonts w:ascii="Open Sans" w:hAnsi="Open Sans" w:cs="Open Sans"/>
          <w:sz w:val="22"/>
          <w:szCs w:val="22"/>
        </w:rPr>
        <w:t>kwalifikowalnych kosztów bezpośrednich</w:t>
      </w:r>
      <w:r w:rsidR="00B92366" w:rsidRPr="00836792">
        <w:rPr>
          <w:rFonts w:ascii="Open Sans" w:hAnsi="Open Sans" w:cs="Open Sans"/>
          <w:sz w:val="22"/>
          <w:szCs w:val="22"/>
        </w:rPr>
        <w:t xml:space="preserve">, </w:t>
      </w:r>
      <w:r w:rsidR="00951542" w:rsidRPr="00836792">
        <w:rPr>
          <w:rFonts w:ascii="Open Sans" w:hAnsi="Open Sans" w:cs="Open Sans"/>
          <w:sz w:val="22"/>
          <w:szCs w:val="22"/>
        </w:rPr>
        <w:br/>
      </w:r>
      <w:r w:rsidRPr="00836792">
        <w:rPr>
          <w:rFonts w:ascii="Open Sans" w:hAnsi="Open Sans" w:cs="Open Sans"/>
          <w:sz w:val="22"/>
          <w:szCs w:val="22"/>
        </w:rPr>
        <w:t>w szczególności:</w:t>
      </w:r>
    </w:p>
    <w:p w14:paraId="6D0C76DA" w14:textId="1B522D8D" w:rsidR="0034577C" w:rsidRPr="00836792" w:rsidRDefault="0034577C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762955"/>
      <w:r w:rsidRPr="00836792">
        <w:rPr>
          <w:rFonts w:ascii="Open Sans" w:hAnsi="Open Sans" w:cs="Open Sans"/>
          <w:bCs/>
          <w:sz w:val="22"/>
          <w:szCs w:val="22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szkoleń;</w:t>
      </w:r>
    </w:p>
    <w:p w14:paraId="12388CB3" w14:textId="0B3121CC" w:rsidR="0034577C" w:rsidRPr="00836792" w:rsidRDefault="0034577C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koszty zarządu (wynagrodzenia osób uprawnionych do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reprezentowania jednostki, których zakresy czynności nie są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przypisane wyłącznie do projektu, np. kierownika jednostki)</w:t>
      </w:r>
      <w:r w:rsidR="007F786B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1E7A5A1D" w14:textId="77777777" w:rsidR="0034577C" w:rsidRPr="00836792" w:rsidRDefault="0034577C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koszty personelu obsługowego (obsługa kadrowa, finansowa, administracyjna, sekretariat, kancelaria, obsługa prawna, w tym dotycząca zamówień) na </w:t>
      </w:r>
      <w:r w:rsidR="00866E74" w:rsidRPr="00836792">
        <w:rPr>
          <w:rFonts w:ascii="Open Sans" w:hAnsi="Open Sans" w:cs="Open Sans"/>
          <w:bCs/>
          <w:sz w:val="22"/>
          <w:szCs w:val="22"/>
        </w:rPr>
        <w:t>potrzeby funkcjonowania</w:t>
      </w:r>
      <w:r w:rsidRPr="00836792">
        <w:rPr>
          <w:rFonts w:ascii="Open Sans" w:hAnsi="Open Sans" w:cs="Open Sans"/>
          <w:bCs/>
          <w:sz w:val="22"/>
          <w:szCs w:val="22"/>
        </w:rPr>
        <w:t xml:space="preserve"> jednostki</w:t>
      </w:r>
      <w:r w:rsidR="007F786B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56DFCF05" w14:textId="13263062" w:rsidR="0034577C" w:rsidRPr="00836792" w:rsidRDefault="0034577C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koszty obsługi księgowej (wynagrodzenia osób księgujących wydatki w</w:t>
      </w:r>
      <w:r w:rsidR="00A81255">
        <w:rPr>
          <w:rFonts w:ascii="Open Sans" w:hAnsi="Open Sans" w:cs="Open Sans"/>
          <w:bCs/>
          <w:sz w:val="22"/>
          <w:szCs w:val="22"/>
        </w:rPr>
        <w:t> </w:t>
      </w:r>
      <w:r w:rsidRPr="00836792">
        <w:rPr>
          <w:rFonts w:ascii="Open Sans" w:hAnsi="Open Sans" w:cs="Open Sans"/>
          <w:bCs/>
          <w:sz w:val="22"/>
          <w:szCs w:val="22"/>
        </w:rPr>
        <w:t>projekcie, koszty związane ze zleceniem prowadzenia obsługi księgowej projektu biuru rachunkowemu)</w:t>
      </w:r>
      <w:r w:rsidR="007F786B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6315CD67" w14:textId="77777777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utrzymania powierzchni biurowych (czynsz, najem, opłaty administracyjne)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  <w:r w:rsidRPr="00836792" w:rsidDel="002469D2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675D969" w14:textId="3AAA4CDF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 xml:space="preserve">wydatki związane z otworzeniem lub prowadzeniem wyodrębnionego na rzecz projektu subkonta na rachunku płatniczym lub odrębnego rachunku </w:t>
      </w:r>
      <w:r w:rsidR="00866E74" w:rsidRPr="00836792">
        <w:rPr>
          <w:rFonts w:ascii="Open Sans" w:hAnsi="Open Sans" w:cs="Open Sans"/>
          <w:sz w:val="22"/>
          <w:szCs w:val="22"/>
        </w:rPr>
        <w:t>płatniczego</w:t>
      </w:r>
      <w:r w:rsidR="00866E74" w:rsidRPr="00836792" w:rsidDel="002469D2">
        <w:rPr>
          <w:rFonts w:ascii="Open Sans" w:hAnsi="Open Sans" w:cs="Open Sans"/>
          <w:bCs/>
          <w:sz w:val="22"/>
          <w:szCs w:val="22"/>
        </w:rPr>
        <w:t>;</w:t>
      </w:r>
    </w:p>
    <w:p w14:paraId="022267B1" w14:textId="11DDD863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odpisy amortyzacje, koszty najmu lub zakupu aktywów (środków trwałych i wartości niematerialnych i prawnych) używanych na</w:t>
      </w:r>
      <w:r w:rsidR="00A81255">
        <w:rPr>
          <w:rFonts w:ascii="Open Sans" w:hAnsi="Open Sans" w:cs="Open Sans"/>
          <w:sz w:val="22"/>
          <w:szCs w:val="22"/>
        </w:rPr>
        <w:t> </w:t>
      </w:r>
      <w:r w:rsidRPr="00836792">
        <w:rPr>
          <w:rFonts w:ascii="Open Sans" w:hAnsi="Open Sans" w:cs="Open Sans"/>
          <w:sz w:val="22"/>
          <w:szCs w:val="22"/>
        </w:rPr>
        <w:t xml:space="preserve">potrzeby osób, o których mowa w lit. </w:t>
      </w:r>
      <w:r w:rsidR="00C743D7" w:rsidRPr="00836792">
        <w:rPr>
          <w:rFonts w:ascii="Open Sans" w:hAnsi="Open Sans" w:cs="Open Sans"/>
          <w:sz w:val="22"/>
          <w:szCs w:val="22"/>
        </w:rPr>
        <w:t>a-d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7CF09CE8" w14:textId="77777777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opłaty za energię elektryczną, cieplną, gazową i wodę, opłaty przesyłowe, opłaty za odprowadzanie ścieków, opłaty za wywóz odpadów komunalnych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35C0658C" w14:textId="3253C7E7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usług pocztowych, telefonicznych, internetowych, kurierskich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3104809B" w14:textId="5328A7EF" w:rsidR="002469D2" w:rsidRPr="00836792" w:rsidRDefault="002469D2" w:rsidP="00443C3A">
      <w:pPr>
        <w:pStyle w:val="Akapitzlist"/>
        <w:numPr>
          <w:ilvl w:val="2"/>
          <w:numId w:val="33"/>
        </w:numPr>
        <w:tabs>
          <w:tab w:val="left" w:pos="2268"/>
        </w:tabs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usług powielania dokumentów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14C67E7F" w14:textId="77777777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materiałów biurowych i artykułów piśmienniczych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1DEF8CDB" w14:textId="59BF4C72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ochrony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</w:p>
    <w:p w14:paraId="09FB6250" w14:textId="1AE49C57" w:rsidR="002469D2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koszty sprzątania pomieszczeń, w tym środków czystości, dezynsekcji, dezynfekcji, deratyzacji tych pomieszczeń</w:t>
      </w:r>
      <w:r w:rsidR="002621E1" w:rsidRPr="00836792">
        <w:rPr>
          <w:rFonts w:ascii="Open Sans" w:hAnsi="Open Sans" w:cs="Open Sans"/>
          <w:sz w:val="22"/>
          <w:szCs w:val="22"/>
        </w:rPr>
        <w:t>;</w:t>
      </w:r>
      <w:r w:rsidRPr="00836792" w:rsidDel="002469D2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0BF745BF" w14:textId="77777777" w:rsidR="0034577C" w:rsidRPr="00836792" w:rsidRDefault="002469D2" w:rsidP="00443C3A">
      <w:pPr>
        <w:pStyle w:val="Akapitzlist"/>
        <w:numPr>
          <w:ilvl w:val="2"/>
          <w:numId w:val="33"/>
        </w:numPr>
        <w:spacing w:before="60" w:after="60" w:line="276" w:lineRule="auto"/>
        <w:ind w:left="1843" w:hanging="431"/>
        <w:contextualSpacing w:val="0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lastRenderedPageBreak/>
        <w:t>opłaty pobierane od dokonywanych transakcji płatniczych (krajowych lub zagranicznych</w:t>
      </w:r>
      <w:r w:rsidR="00C33F6C" w:rsidRPr="00836792">
        <w:rPr>
          <w:rFonts w:ascii="Open Sans" w:hAnsi="Open Sans" w:cs="Open Sans"/>
          <w:sz w:val="22"/>
          <w:szCs w:val="22"/>
        </w:rPr>
        <w:t>).</w:t>
      </w:r>
      <w:r w:rsidRPr="00836792" w:rsidDel="002469D2">
        <w:rPr>
          <w:rFonts w:ascii="Open Sans" w:hAnsi="Open Sans" w:cs="Open Sans"/>
          <w:bCs/>
          <w:sz w:val="22"/>
          <w:szCs w:val="22"/>
        </w:rPr>
        <w:t xml:space="preserve"> </w:t>
      </w:r>
      <w:bookmarkEnd w:id="0"/>
    </w:p>
    <w:p w14:paraId="283B6A15" w14:textId="00D36C78" w:rsidR="00F34AED" w:rsidRPr="00836792" w:rsidRDefault="00825A99" w:rsidP="00443C3A">
      <w:pPr>
        <w:pStyle w:val="Akapitzlist"/>
        <w:spacing w:before="120" w:after="120" w:line="276" w:lineRule="auto"/>
        <w:ind w:left="709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81255">
        <w:rPr>
          <w:rFonts w:ascii="Open Sans" w:hAnsi="Open Sans" w:cs="Open Sans"/>
          <w:sz w:val="22"/>
          <w:szCs w:val="22"/>
        </w:rPr>
        <w:t> </w:t>
      </w:r>
      <w:r w:rsidRPr="00836792">
        <w:rPr>
          <w:rFonts w:ascii="Open Sans" w:hAnsi="Open Sans" w:cs="Open Sans"/>
          <w:sz w:val="22"/>
          <w:szCs w:val="22"/>
        </w:rPr>
        <w:t>ramach kosztów bezpośrednich.</w:t>
      </w:r>
    </w:p>
    <w:p w14:paraId="0A617C3A" w14:textId="7729CD66" w:rsidR="00BC6E76" w:rsidRPr="00836792" w:rsidRDefault="00BC6E76" w:rsidP="00443C3A">
      <w:pPr>
        <w:pStyle w:val="Akapitzlist"/>
        <w:numPr>
          <w:ilvl w:val="0"/>
          <w:numId w:val="33"/>
        </w:numPr>
        <w:spacing w:before="240"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 xml:space="preserve">Wsparcie dodatkowych elementów infrastrukturalnych, takich jak parkingi, drogi dojazdowe, będzie możliwe pod warunkiem wykazania ich pozytywnego wpływu na zapewnienie właściwej ochrony, </w:t>
      </w:r>
      <w:proofErr w:type="spellStart"/>
      <w:r w:rsidRPr="00836792">
        <w:rPr>
          <w:rFonts w:ascii="Open Sans" w:hAnsi="Open Sans" w:cs="Open Sans"/>
          <w:sz w:val="22"/>
          <w:szCs w:val="22"/>
        </w:rPr>
        <w:t>renaturyzacji</w:t>
      </w:r>
      <w:proofErr w:type="spellEnd"/>
      <w:r w:rsidRPr="00836792">
        <w:rPr>
          <w:rFonts w:ascii="Open Sans" w:hAnsi="Open Sans" w:cs="Open Sans"/>
          <w:sz w:val="22"/>
          <w:szCs w:val="22"/>
        </w:rPr>
        <w:t xml:space="preserve"> lub zrównoważonego użytkowania obszarów chronionych, co zostanie potwierdzone przez organ sprawujący nadzór nad obszarem Natura 2000. Te elementy infrastruktury muszą stanowić integralną część projektu i nie będą dominującym elementem działania.</w:t>
      </w:r>
    </w:p>
    <w:p w14:paraId="58E77351" w14:textId="77777777" w:rsidR="006F525D" w:rsidRPr="00836792" w:rsidRDefault="006F525D" w:rsidP="00443C3A">
      <w:pPr>
        <w:pStyle w:val="Akapitzlist"/>
        <w:numPr>
          <w:ilvl w:val="0"/>
          <w:numId w:val="33"/>
        </w:numPr>
        <w:spacing w:before="24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836792">
        <w:rPr>
          <w:rFonts w:ascii="Open Sans" w:hAnsi="Open Sans" w:cs="Open Sans"/>
          <w:sz w:val="22"/>
          <w:szCs w:val="22"/>
        </w:rPr>
        <w:t>kwalifikowalne</w:t>
      </w:r>
      <w:r w:rsidR="00DF055F" w:rsidRPr="00836792">
        <w:rPr>
          <w:rFonts w:ascii="Open Sans" w:hAnsi="Open Sans" w:cs="Open Sans"/>
          <w:sz w:val="22"/>
          <w:szCs w:val="22"/>
        </w:rPr>
        <w:t xml:space="preserve"> m.in.:</w:t>
      </w:r>
    </w:p>
    <w:p w14:paraId="20BF62B4" w14:textId="1D9FF19C" w:rsidR="002101C2" w:rsidRPr="00836792" w:rsidRDefault="002101C2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1" w:name="_Hlk143256635"/>
      <w:r w:rsidRPr="00836792">
        <w:rPr>
          <w:rFonts w:ascii="Open Sans" w:hAnsi="Open Sans" w:cs="Open Sans"/>
          <w:bCs/>
          <w:sz w:val="22"/>
          <w:szCs w:val="22"/>
        </w:rPr>
        <w:t xml:space="preserve">inna infrastruktura </w:t>
      </w:r>
      <w:r w:rsidR="000903A6" w:rsidRPr="00836792">
        <w:rPr>
          <w:rFonts w:ascii="Open Sans" w:hAnsi="Open Sans" w:cs="Open Sans"/>
          <w:bCs/>
          <w:sz w:val="22"/>
          <w:szCs w:val="22"/>
        </w:rPr>
        <w:t xml:space="preserve">niż wskazana w pkt. </w:t>
      </w:r>
      <w:r w:rsidR="00C60000">
        <w:rPr>
          <w:rFonts w:ascii="Open Sans" w:hAnsi="Open Sans" w:cs="Open Sans"/>
          <w:bCs/>
          <w:sz w:val="22"/>
          <w:szCs w:val="22"/>
        </w:rPr>
        <w:t>III</w:t>
      </w:r>
      <w:r w:rsidR="00B15CE0">
        <w:rPr>
          <w:rFonts w:ascii="Open Sans" w:hAnsi="Open Sans" w:cs="Open Sans"/>
          <w:bCs/>
          <w:sz w:val="22"/>
          <w:szCs w:val="22"/>
        </w:rPr>
        <w:t>.</w:t>
      </w:r>
      <w:r w:rsidR="00C60000" w:rsidRPr="00836792">
        <w:rPr>
          <w:rFonts w:ascii="Open Sans" w:hAnsi="Open Sans" w:cs="Open Sans"/>
          <w:bCs/>
          <w:sz w:val="22"/>
          <w:szCs w:val="22"/>
        </w:rPr>
        <w:t xml:space="preserve"> </w:t>
      </w:r>
      <w:r w:rsidR="00C60000">
        <w:rPr>
          <w:rFonts w:ascii="Open Sans" w:hAnsi="Open Sans" w:cs="Open Sans"/>
          <w:bCs/>
          <w:sz w:val="22"/>
          <w:szCs w:val="22"/>
        </w:rPr>
        <w:t>pkt</w:t>
      </w:r>
      <w:r w:rsidR="000903A6" w:rsidRPr="00836792">
        <w:rPr>
          <w:rFonts w:ascii="Open Sans" w:hAnsi="Open Sans" w:cs="Open Sans"/>
          <w:bCs/>
          <w:sz w:val="22"/>
          <w:szCs w:val="22"/>
        </w:rPr>
        <w:t xml:space="preserve"> 1</w:t>
      </w:r>
      <w:r w:rsidR="00C60000">
        <w:rPr>
          <w:rFonts w:ascii="Open Sans" w:hAnsi="Open Sans" w:cs="Open Sans"/>
          <w:bCs/>
          <w:sz w:val="22"/>
          <w:szCs w:val="22"/>
        </w:rPr>
        <w:t xml:space="preserve">) </w:t>
      </w:r>
      <w:r w:rsidR="00B15CE0">
        <w:rPr>
          <w:rFonts w:ascii="Open Sans" w:hAnsi="Open Sans" w:cs="Open Sans"/>
          <w:bCs/>
          <w:sz w:val="22"/>
          <w:szCs w:val="22"/>
        </w:rPr>
        <w:t>lit.</w:t>
      </w:r>
      <w:r w:rsidR="00C60000">
        <w:rPr>
          <w:rFonts w:ascii="Open Sans" w:hAnsi="Open Sans" w:cs="Open Sans"/>
          <w:bCs/>
          <w:sz w:val="22"/>
          <w:szCs w:val="22"/>
        </w:rPr>
        <w:t xml:space="preserve"> </w:t>
      </w:r>
      <w:r w:rsidR="000903A6" w:rsidRPr="00836792">
        <w:rPr>
          <w:rFonts w:ascii="Open Sans" w:hAnsi="Open Sans" w:cs="Open Sans"/>
          <w:bCs/>
          <w:sz w:val="22"/>
          <w:szCs w:val="22"/>
        </w:rPr>
        <w:t>a</w:t>
      </w:r>
      <w:r w:rsidR="00C60000">
        <w:rPr>
          <w:rFonts w:ascii="Open Sans" w:hAnsi="Open Sans" w:cs="Open Sans"/>
          <w:bCs/>
          <w:sz w:val="22"/>
          <w:szCs w:val="22"/>
        </w:rPr>
        <w:t>)</w:t>
      </w:r>
      <w:r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160C833F" w14:textId="1C04AD4A" w:rsidR="002101C2" w:rsidRPr="00836792" w:rsidRDefault="00B15CE0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zakup </w:t>
      </w:r>
      <w:r w:rsidR="002101C2" w:rsidRPr="00836792">
        <w:rPr>
          <w:rFonts w:ascii="Open Sans" w:hAnsi="Open Sans" w:cs="Open Sans"/>
          <w:bCs/>
          <w:sz w:val="22"/>
          <w:szCs w:val="22"/>
        </w:rPr>
        <w:t>samochod</w:t>
      </w:r>
      <w:r>
        <w:rPr>
          <w:rFonts w:ascii="Open Sans" w:hAnsi="Open Sans" w:cs="Open Sans"/>
          <w:bCs/>
          <w:sz w:val="22"/>
          <w:szCs w:val="22"/>
        </w:rPr>
        <w:t>ów</w:t>
      </w:r>
      <w:r w:rsidR="002101C2" w:rsidRPr="00836792">
        <w:rPr>
          <w:rFonts w:ascii="Open Sans" w:hAnsi="Open Sans" w:cs="Open Sans"/>
          <w:bCs/>
          <w:sz w:val="22"/>
          <w:szCs w:val="22"/>
        </w:rPr>
        <w:t>;</w:t>
      </w:r>
    </w:p>
    <w:p w14:paraId="56C3D5B1" w14:textId="7A78AB86" w:rsidR="002101C2" w:rsidRPr="00836792" w:rsidRDefault="00DA5128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zakup </w:t>
      </w:r>
      <w:r w:rsidR="002101C2" w:rsidRPr="00836792">
        <w:rPr>
          <w:rFonts w:ascii="Open Sans" w:hAnsi="Open Sans" w:cs="Open Sans"/>
          <w:bCs/>
          <w:sz w:val="22"/>
          <w:szCs w:val="22"/>
        </w:rPr>
        <w:t>nieruchomości</w:t>
      </w:r>
      <w:r>
        <w:rPr>
          <w:rFonts w:ascii="Open Sans" w:hAnsi="Open Sans" w:cs="Open Sans"/>
          <w:bCs/>
          <w:sz w:val="22"/>
          <w:szCs w:val="22"/>
        </w:rPr>
        <w:t xml:space="preserve">, </w:t>
      </w:r>
      <w:r w:rsidRPr="00836792">
        <w:rPr>
          <w:rFonts w:ascii="Open Sans" w:hAnsi="Open Sans" w:cs="Open Sans"/>
          <w:bCs/>
          <w:sz w:val="22"/>
          <w:szCs w:val="22"/>
        </w:rPr>
        <w:t>koszty związane z nabyciem prawa użytkowania wieczystego i innych tytułów prawnych do nieruchomości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300B65D7" w14:textId="77777777" w:rsidR="00056687" w:rsidRPr="00836792" w:rsidRDefault="00056687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koszty związane z bezpośrednią działalnością edukacyjną tzn. koszty prowadzenia zajęć edukacyjnych, szkoleń, warsztatów, imprez edukacyjnych itp.;</w:t>
      </w:r>
    </w:p>
    <w:p w14:paraId="3C3CEA92" w14:textId="19A6F0A9" w:rsidR="002101C2" w:rsidRPr="00836792" w:rsidRDefault="002101C2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publikacje, broszury, ulotki, gadżety;</w:t>
      </w:r>
    </w:p>
    <w:p w14:paraId="404EA5A6" w14:textId="41823BCC" w:rsidR="00DF055F" w:rsidRPr="00836792" w:rsidRDefault="00DF055F" w:rsidP="00443C3A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1BEB9B0C" w14:textId="77777777" w:rsidR="00A511CE" w:rsidRPr="00836792" w:rsidRDefault="004774B5" w:rsidP="00443C3A">
      <w:pPr>
        <w:pStyle w:val="Akapitzlist"/>
        <w:numPr>
          <w:ilvl w:val="1"/>
          <w:numId w:val="33"/>
        </w:numPr>
        <w:spacing w:before="120" w:after="120" w:line="276" w:lineRule="auto"/>
        <w:ind w:left="1134"/>
        <w:rPr>
          <w:rFonts w:ascii="Open Sans" w:hAnsi="Open Sans" w:cs="Open Sans"/>
          <w:sz w:val="22"/>
          <w:szCs w:val="22"/>
        </w:rPr>
      </w:pPr>
      <w:r w:rsidRPr="00836792">
        <w:rPr>
          <w:rFonts w:ascii="Open Sans" w:hAnsi="Open Sans" w:cs="Open Sans"/>
          <w:bCs/>
          <w:sz w:val="22"/>
          <w:szCs w:val="22"/>
        </w:rPr>
        <w:t xml:space="preserve">amortyzacja i leasing środków trwałych oraz wartości niematerialnych </w:t>
      </w:r>
      <w:r w:rsidR="002621E1" w:rsidRPr="00836792">
        <w:rPr>
          <w:rFonts w:ascii="Open Sans" w:hAnsi="Open Sans" w:cs="Open Sans"/>
          <w:bCs/>
          <w:sz w:val="22"/>
          <w:szCs w:val="22"/>
        </w:rPr>
        <w:br/>
      </w:r>
      <w:r w:rsidRPr="00836792">
        <w:rPr>
          <w:rFonts w:ascii="Open Sans" w:hAnsi="Open Sans" w:cs="Open Sans"/>
          <w:bCs/>
          <w:sz w:val="22"/>
          <w:szCs w:val="22"/>
        </w:rPr>
        <w:t>i prawnych</w:t>
      </w:r>
      <w:r w:rsidR="00777666" w:rsidRPr="00836792">
        <w:rPr>
          <w:rFonts w:ascii="Open Sans" w:hAnsi="Open Sans" w:cs="Open Sans"/>
          <w:bCs/>
          <w:sz w:val="22"/>
          <w:szCs w:val="22"/>
        </w:rPr>
        <w:t>.</w:t>
      </w:r>
      <w:bookmarkEnd w:id="1"/>
    </w:p>
    <w:p w14:paraId="14F1357D" w14:textId="18455D57" w:rsidR="00110E12" w:rsidRPr="00DC69C6" w:rsidRDefault="00125078" w:rsidP="00443C3A">
      <w:pPr>
        <w:pStyle w:val="Akapitzlist"/>
        <w:numPr>
          <w:ilvl w:val="0"/>
          <w:numId w:val="33"/>
        </w:numPr>
        <w:spacing w:before="24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DC69C6">
        <w:rPr>
          <w:rFonts w:ascii="Open Sans" w:hAnsi="Open Sans" w:cs="Open Sans"/>
          <w:sz w:val="22"/>
          <w:szCs w:val="22"/>
        </w:rPr>
        <w:t>Dodatkowo, w</w:t>
      </w:r>
      <w:r w:rsidR="00A511CE" w:rsidRPr="00DC69C6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DC69C6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DC69C6">
        <w:rPr>
          <w:rFonts w:ascii="Open Sans" w:hAnsi="Open Sans" w:cs="Open Sans"/>
          <w:sz w:val="22"/>
          <w:szCs w:val="22"/>
        </w:rPr>
        <w:t xml:space="preserve">, </w:t>
      </w:r>
      <w:r w:rsidR="00A511CE" w:rsidRPr="00DC69C6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DC69C6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DC69C6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DC69C6">
        <w:rPr>
          <w:rFonts w:ascii="Open Sans" w:hAnsi="Open Sans" w:cs="Open Sans"/>
          <w:sz w:val="22"/>
          <w:szCs w:val="22"/>
        </w:rPr>
        <w:t>.</w:t>
      </w:r>
    </w:p>
    <w:sectPr w:rsidR="00110E12" w:rsidRPr="00DC69C6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3F0D" w14:textId="77777777" w:rsidR="008E6C47" w:rsidRDefault="008E6C47">
      <w:r>
        <w:separator/>
      </w:r>
    </w:p>
  </w:endnote>
  <w:endnote w:type="continuationSeparator" w:id="0">
    <w:p w14:paraId="50C5ECA0" w14:textId="77777777" w:rsidR="008E6C47" w:rsidRDefault="008E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94CA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3BDC67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</w:rPr>
      <w:id w:val="4688561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E40A41" w14:textId="4EC1AAA8" w:rsidR="00C95677" w:rsidRPr="00836792" w:rsidRDefault="00C95677" w:rsidP="00836792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Open Sans" w:hAnsi="Open Sans" w:cs="Open Sans"/>
              </w:rPr>
            </w:pPr>
            <w:r w:rsidRPr="00836792">
              <w:rPr>
                <w:rFonts w:ascii="Open Sans" w:hAnsi="Open Sans" w:cs="Open Sans"/>
              </w:rPr>
              <w:t xml:space="preserve">Strona </w: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836792">
              <w:rPr>
                <w:rFonts w:ascii="Open Sans" w:hAnsi="Open Sans" w:cs="Open Sans"/>
                <w:b/>
                <w:bCs/>
              </w:rPr>
              <w:instrText>PAGE</w:instrTex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Pr="00836792">
              <w:rPr>
                <w:rFonts w:ascii="Open Sans" w:hAnsi="Open Sans" w:cs="Open Sans"/>
                <w:b/>
                <w:bCs/>
              </w:rPr>
              <w:t>2</w: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  <w:r w:rsidRPr="00836792">
              <w:rPr>
                <w:rFonts w:ascii="Open Sans" w:hAnsi="Open Sans" w:cs="Open Sans"/>
              </w:rPr>
              <w:t xml:space="preserve"> z </w: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836792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Pr="00836792">
              <w:rPr>
                <w:rFonts w:ascii="Open Sans" w:hAnsi="Open Sans" w:cs="Open Sans"/>
                <w:b/>
                <w:bCs/>
              </w:rPr>
              <w:t>2</w:t>
            </w:r>
            <w:r w:rsidRPr="0083679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BA9123" w14:textId="77777777" w:rsidR="003E70AC" w:rsidRDefault="003E70AC" w:rsidP="00C956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E6F5" w14:textId="77777777" w:rsidR="008E6C47" w:rsidRDefault="008E6C47">
      <w:r>
        <w:separator/>
      </w:r>
    </w:p>
  </w:footnote>
  <w:footnote w:type="continuationSeparator" w:id="0">
    <w:p w14:paraId="5900E346" w14:textId="77777777" w:rsidR="008E6C47" w:rsidRDefault="008E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B47E" w14:textId="78640E33" w:rsidR="00FC73C9" w:rsidRDefault="00A05E56">
    <w:pPr>
      <w:pStyle w:val="Nagwek"/>
    </w:pPr>
    <w:r>
      <w:rPr>
        <w:noProof/>
      </w:rPr>
      <w:drawing>
        <wp:inline distT="0" distB="0" distL="0" distR="0" wp14:anchorId="54D6DA74" wp14:editId="34655034">
          <wp:extent cx="5761355" cy="743585"/>
          <wp:effectExtent l="0" t="0" r="0" b="0"/>
          <wp:docPr id="1" name="Obraz 1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155BB3"/>
    <w:multiLevelType w:val="hybridMultilevel"/>
    <w:tmpl w:val="6AF473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0B6394"/>
    <w:multiLevelType w:val="hybridMultilevel"/>
    <w:tmpl w:val="FA841ECC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7E1CA9"/>
    <w:multiLevelType w:val="hybridMultilevel"/>
    <w:tmpl w:val="A686E192"/>
    <w:lvl w:ilvl="0" w:tplc="2D5CA5CE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24B671A"/>
    <w:multiLevelType w:val="hybridMultilevel"/>
    <w:tmpl w:val="371C83D8"/>
    <w:lvl w:ilvl="0" w:tplc="2D5CA5CE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1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F5300"/>
    <w:multiLevelType w:val="hybridMultilevel"/>
    <w:tmpl w:val="E6DE7E30"/>
    <w:lvl w:ilvl="0" w:tplc="75DA8E64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678183">
    <w:abstractNumId w:val="17"/>
  </w:num>
  <w:num w:numId="2" w16cid:durableId="231355600">
    <w:abstractNumId w:val="33"/>
  </w:num>
  <w:num w:numId="3" w16cid:durableId="910509047">
    <w:abstractNumId w:val="4"/>
  </w:num>
  <w:num w:numId="4" w16cid:durableId="941305128">
    <w:abstractNumId w:val="1"/>
  </w:num>
  <w:num w:numId="5" w16cid:durableId="560092410">
    <w:abstractNumId w:val="27"/>
  </w:num>
  <w:num w:numId="6" w16cid:durableId="1616522557">
    <w:abstractNumId w:val="26"/>
  </w:num>
  <w:num w:numId="7" w16cid:durableId="1487162302">
    <w:abstractNumId w:val="21"/>
  </w:num>
  <w:num w:numId="8" w16cid:durableId="503324166">
    <w:abstractNumId w:val="7"/>
  </w:num>
  <w:num w:numId="9" w16cid:durableId="1392194596">
    <w:abstractNumId w:val="22"/>
  </w:num>
  <w:num w:numId="10" w16cid:durableId="857818776">
    <w:abstractNumId w:val="36"/>
  </w:num>
  <w:num w:numId="11" w16cid:durableId="98912256">
    <w:abstractNumId w:val="20"/>
  </w:num>
  <w:num w:numId="12" w16cid:durableId="182793394">
    <w:abstractNumId w:val="31"/>
  </w:num>
  <w:num w:numId="13" w16cid:durableId="164130929">
    <w:abstractNumId w:val="16"/>
  </w:num>
  <w:num w:numId="14" w16cid:durableId="1465388586">
    <w:abstractNumId w:val="23"/>
  </w:num>
  <w:num w:numId="15" w16cid:durableId="572856693">
    <w:abstractNumId w:val="35"/>
  </w:num>
  <w:num w:numId="16" w16cid:durableId="1056928181">
    <w:abstractNumId w:val="32"/>
  </w:num>
  <w:num w:numId="17" w16cid:durableId="240870872">
    <w:abstractNumId w:val="13"/>
  </w:num>
  <w:num w:numId="18" w16cid:durableId="341131726">
    <w:abstractNumId w:val="15"/>
  </w:num>
  <w:num w:numId="19" w16cid:durableId="711031610">
    <w:abstractNumId w:val="28"/>
  </w:num>
  <w:num w:numId="20" w16cid:durableId="224535363">
    <w:abstractNumId w:val="29"/>
  </w:num>
  <w:num w:numId="21" w16cid:durableId="1491404335">
    <w:abstractNumId w:val="3"/>
  </w:num>
  <w:num w:numId="22" w16cid:durableId="1831215650">
    <w:abstractNumId w:val="2"/>
  </w:num>
  <w:num w:numId="23" w16cid:durableId="2055276457">
    <w:abstractNumId w:val="6"/>
  </w:num>
  <w:num w:numId="24" w16cid:durableId="388767957">
    <w:abstractNumId w:val="5"/>
  </w:num>
  <w:num w:numId="25" w16cid:durableId="1190686327">
    <w:abstractNumId w:val="11"/>
  </w:num>
  <w:num w:numId="26" w16cid:durableId="1294168162">
    <w:abstractNumId w:val="24"/>
  </w:num>
  <w:num w:numId="27" w16cid:durableId="1939828191">
    <w:abstractNumId w:val="8"/>
  </w:num>
  <w:num w:numId="28" w16cid:durableId="1588609610">
    <w:abstractNumId w:val="30"/>
  </w:num>
  <w:num w:numId="29" w16cid:durableId="1262566296">
    <w:abstractNumId w:val="25"/>
  </w:num>
  <w:num w:numId="30" w16cid:durableId="1963609099">
    <w:abstractNumId w:val="18"/>
  </w:num>
  <w:num w:numId="31" w16cid:durableId="1931160747">
    <w:abstractNumId w:val="0"/>
  </w:num>
  <w:num w:numId="32" w16cid:durableId="1300652980">
    <w:abstractNumId w:val="12"/>
  </w:num>
  <w:num w:numId="33" w16cid:durableId="595675450">
    <w:abstractNumId w:val="14"/>
  </w:num>
  <w:num w:numId="34" w16cid:durableId="1217358404">
    <w:abstractNumId w:val="9"/>
  </w:num>
  <w:num w:numId="35" w16cid:durableId="356203860">
    <w:abstractNumId w:val="34"/>
  </w:num>
  <w:num w:numId="36" w16cid:durableId="1539125996">
    <w:abstractNumId w:val="10"/>
  </w:num>
  <w:num w:numId="37" w16cid:durableId="63991915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74745"/>
    <w:rsid w:val="000903A6"/>
    <w:rsid w:val="00093736"/>
    <w:rsid w:val="000A415D"/>
    <w:rsid w:val="000A5996"/>
    <w:rsid w:val="000B0C70"/>
    <w:rsid w:val="000D0528"/>
    <w:rsid w:val="000D7B56"/>
    <w:rsid w:val="000E118C"/>
    <w:rsid w:val="000F2EDA"/>
    <w:rsid w:val="0010066E"/>
    <w:rsid w:val="0011035B"/>
    <w:rsid w:val="00110E12"/>
    <w:rsid w:val="00114803"/>
    <w:rsid w:val="00124AE7"/>
    <w:rsid w:val="00124FBD"/>
    <w:rsid w:val="00125078"/>
    <w:rsid w:val="00163C1D"/>
    <w:rsid w:val="001668BF"/>
    <w:rsid w:val="001756E8"/>
    <w:rsid w:val="0019093B"/>
    <w:rsid w:val="0019362F"/>
    <w:rsid w:val="001A164F"/>
    <w:rsid w:val="001D6EC4"/>
    <w:rsid w:val="001F1DCB"/>
    <w:rsid w:val="00204174"/>
    <w:rsid w:val="00206FE5"/>
    <w:rsid w:val="002101C2"/>
    <w:rsid w:val="00221C08"/>
    <w:rsid w:val="002229BB"/>
    <w:rsid w:val="00242CF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10F8"/>
    <w:rsid w:val="002F12B7"/>
    <w:rsid w:val="00310052"/>
    <w:rsid w:val="003238A5"/>
    <w:rsid w:val="0034577C"/>
    <w:rsid w:val="00357F5D"/>
    <w:rsid w:val="00361588"/>
    <w:rsid w:val="00375BF8"/>
    <w:rsid w:val="003771FC"/>
    <w:rsid w:val="003A2536"/>
    <w:rsid w:val="003B05B3"/>
    <w:rsid w:val="003B29A7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404524"/>
    <w:rsid w:val="00420428"/>
    <w:rsid w:val="00443C3A"/>
    <w:rsid w:val="00446211"/>
    <w:rsid w:val="004468EF"/>
    <w:rsid w:val="00447A90"/>
    <w:rsid w:val="00451E4C"/>
    <w:rsid w:val="00475128"/>
    <w:rsid w:val="004774B5"/>
    <w:rsid w:val="00477AAA"/>
    <w:rsid w:val="00480C3B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160A"/>
    <w:rsid w:val="00504E7D"/>
    <w:rsid w:val="00514C7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5CF2"/>
    <w:rsid w:val="00572B38"/>
    <w:rsid w:val="0059431B"/>
    <w:rsid w:val="005A1D04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1562D"/>
    <w:rsid w:val="00634B36"/>
    <w:rsid w:val="006373C2"/>
    <w:rsid w:val="00646DC4"/>
    <w:rsid w:val="00657C9A"/>
    <w:rsid w:val="00661BB7"/>
    <w:rsid w:val="00662F2D"/>
    <w:rsid w:val="006704D2"/>
    <w:rsid w:val="00680491"/>
    <w:rsid w:val="006826C2"/>
    <w:rsid w:val="00691195"/>
    <w:rsid w:val="006A4000"/>
    <w:rsid w:val="006B1A7D"/>
    <w:rsid w:val="006B6BCE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77F0F"/>
    <w:rsid w:val="00782A65"/>
    <w:rsid w:val="007969C6"/>
    <w:rsid w:val="007D410F"/>
    <w:rsid w:val="007E255C"/>
    <w:rsid w:val="007F786B"/>
    <w:rsid w:val="00806ABC"/>
    <w:rsid w:val="00825A99"/>
    <w:rsid w:val="008322BF"/>
    <w:rsid w:val="00836792"/>
    <w:rsid w:val="008375B4"/>
    <w:rsid w:val="00852DA4"/>
    <w:rsid w:val="008543F1"/>
    <w:rsid w:val="00864ED2"/>
    <w:rsid w:val="00866E74"/>
    <w:rsid w:val="00866F5A"/>
    <w:rsid w:val="00870C19"/>
    <w:rsid w:val="00872225"/>
    <w:rsid w:val="008A05E7"/>
    <w:rsid w:val="008A3CE2"/>
    <w:rsid w:val="008B1224"/>
    <w:rsid w:val="008B233B"/>
    <w:rsid w:val="008B512B"/>
    <w:rsid w:val="008C3564"/>
    <w:rsid w:val="008C6C74"/>
    <w:rsid w:val="008E0CA6"/>
    <w:rsid w:val="008E6C47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44EE4"/>
    <w:rsid w:val="00951542"/>
    <w:rsid w:val="009516E9"/>
    <w:rsid w:val="00952737"/>
    <w:rsid w:val="00957059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5E56"/>
    <w:rsid w:val="00A10809"/>
    <w:rsid w:val="00A23EEA"/>
    <w:rsid w:val="00A240D5"/>
    <w:rsid w:val="00A36F65"/>
    <w:rsid w:val="00A45420"/>
    <w:rsid w:val="00A511CE"/>
    <w:rsid w:val="00A627EB"/>
    <w:rsid w:val="00A65664"/>
    <w:rsid w:val="00A66B1B"/>
    <w:rsid w:val="00A66F82"/>
    <w:rsid w:val="00A81255"/>
    <w:rsid w:val="00A90D3C"/>
    <w:rsid w:val="00A923A3"/>
    <w:rsid w:val="00AA28F6"/>
    <w:rsid w:val="00AB61A0"/>
    <w:rsid w:val="00AC221D"/>
    <w:rsid w:val="00AD008A"/>
    <w:rsid w:val="00AD2895"/>
    <w:rsid w:val="00AE1D70"/>
    <w:rsid w:val="00AE579D"/>
    <w:rsid w:val="00B02E6B"/>
    <w:rsid w:val="00B053E6"/>
    <w:rsid w:val="00B07B2B"/>
    <w:rsid w:val="00B15CE0"/>
    <w:rsid w:val="00B1749C"/>
    <w:rsid w:val="00B22EFB"/>
    <w:rsid w:val="00B50C43"/>
    <w:rsid w:val="00B54438"/>
    <w:rsid w:val="00B76A50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10B4C"/>
    <w:rsid w:val="00C124A6"/>
    <w:rsid w:val="00C26B28"/>
    <w:rsid w:val="00C33F6C"/>
    <w:rsid w:val="00C36094"/>
    <w:rsid w:val="00C468E8"/>
    <w:rsid w:val="00C60000"/>
    <w:rsid w:val="00C64399"/>
    <w:rsid w:val="00C67A1E"/>
    <w:rsid w:val="00C743D7"/>
    <w:rsid w:val="00C75A2C"/>
    <w:rsid w:val="00C86A06"/>
    <w:rsid w:val="00C93715"/>
    <w:rsid w:val="00C95677"/>
    <w:rsid w:val="00CA7B55"/>
    <w:rsid w:val="00CB1EAC"/>
    <w:rsid w:val="00CB3989"/>
    <w:rsid w:val="00CB5969"/>
    <w:rsid w:val="00CC3D23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908E9"/>
    <w:rsid w:val="00DA0BDF"/>
    <w:rsid w:val="00DA5128"/>
    <w:rsid w:val="00DA584C"/>
    <w:rsid w:val="00DC4318"/>
    <w:rsid w:val="00DC69C6"/>
    <w:rsid w:val="00DD2FE1"/>
    <w:rsid w:val="00DE0D9A"/>
    <w:rsid w:val="00DE229B"/>
    <w:rsid w:val="00DF055F"/>
    <w:rsid w:val="00DF7EEB"/>
    <w:rsid w:val="00E02D1A"/>
    <w:rsid w:val="00E02E7F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D644E"/>
    <w:rsid w:val="00EF56AB"/>
    <w:rsid w:val="00F036B1"/>
    <w:rsid w:val="00F1544F"/>
    <w:rsid w:val="00F16F31"/>
    <w:rsid w:val="00F1791B"/>
    <w:rsid w:val="00F3022F"/>
    <w:rsid w:val="00F311CE"/>
    <w:rsid w:val="00F315AC"/>
    <w:rsid w:val="00F34AED"/>
    <w:rsid w:val="00F4745C"/>
    <w:rsid w:val="00F608A0"/>
    <w:rsid w:val="00F704B1"/>
    <w:rsid w:val="00F7347F"/>
    <w:rsid w:val="00F82314"/>
    <w:rsid w:val="00F925A7"/>
    <w:rsid w:val="00F942DF"/>
    <w:rsid w:val="00F975A7"/>
    <w:rsid w:val="00FA5449"/>
    <w:rsid w:val="00FB3001"/>
    <w:rsid w:val="00FB35DA"/>
    <w:rsid w:val="00FB58DB"/>
    <w:rsid w:val="00FC187C"/>
    <w:rsid w:val="00FC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BD0C04"/>
  <w15:chartTrackingRefBased/>
  <w15:docId w15:val="{9BE3BC52-D84D-4F44-B326-88453117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4EE4"/>
    <w:pPr>
      <w:keepNext/>
      <w:keepLines/>
      <w:spacing w:before="240"/>
      <w:outlineLvl w:val="0"/>
    </w:pPr>
    <w:rPr>
      <w:rFonts w:ascii="Open Sans" w:eastAsiaTheme="majorEastAsia" w:hAnsi="Open Sans" w:cstheme="majorBidi"/>
      <w:sz w:val="2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customStyle="1" w:styleId="StopkaZnak">
    <w:name w:val="Stopka Znak"/>
    <w:basedOn w:val="Domylnaczcionkaakapitu"/>
    <w:link w:val="Stopka"/>
    <w:uiPriority w:val="99"/>
    <w:rsid w:val="00C95677"/>
    <w:rPr>
      <w:rFonts w:ascii="Garamond" w:hAnsi="Garamond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44EE4"/>
    <w:rPr>
      <w:rFonts w:ascii="Open Sans" w:eastAsiaTheme="majorEastAsia" w:hAnsi="Open Sans" w:cstheme="majorBidi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C861-4A3A-4DAE-9369-A99392B7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628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NFOSiGW</Company>
  <LinksUpToDate>false</LinksUpToDate>
  <CharactersWithSpaces>5301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RWP Dodatkowe warunki dotyczące kwalifikowalności</dc:title>
  <dc:subject/>
  <dc:creator>AJendrulek</dc:creator>
  <cp:keywords/>
  <dc:description/>
  <cp:lastModifiedBy>Muter Andrzej</cp:lastModifiedBy>
  <cp:revision>27</cp:revision>
  <cp:lastPrinted>2013-01-29T13:37:00Z</cp:lastPrinted>
  <dcterms:created xsi:type="dcterms:W3CDTF">2023-10-05T11:45:00Z</dcterms:created>
  <dcterms:modified xsi:type="dcterms:W3CDTF">2023-12-01T13:25:00Z</dcterms:modified>
</cp:coreProperties>
</file>