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AFB25" w14:textId="77777777" w:rsidR="00BE5A22" w:rsidRPr="00342604" w:rsidRDefault="00BE5A22" w:rsidP="00BE5A22">
      <w:pPr>
        <w:pStyle w:val="Nagwek"/>
        <w:rPr>
          <w:sz w:val="22"/>
          <w:szCs w:val="22"/>
        </w:rPr>
      </w:pPr>
      <w:r w:rsidRPr="00342604">
        <w:rPr>
          <w:sz w:val="22"/>
          <w:szCs w:val="22"/>
        </w:rPr>
        <w:t xml:space="preserve">Załącznik B.71. </w:t>
      </w:r>
    </w:p>
    <w:p w14:paraId="6841AA75" w14:textId="77777777" w:rsidR="00BE5A22" w:rsidRPr="00342604" w:rsidRDefault="00BE5A22" w:rsidP="00BE5A22">
      <w:pPr>
        <w:pStyle w:val="Style2"/>
        <w:widowControl/>
        <w:spacing w:line="240" w:lineRule="auto"/>
        <w:rPr>
          <w:rStyle w:val="FontStyle19"/>
          <w:color w:val="auto"/>
          <w:sz w:val="22"/>
          <w:szCs w:val="22"/>
        </w:rPr>
      </w:pPr>
    </w:p>
    <w:p w14:paraId="3A35398C" w14:textId="77777777" w:rsidR="004226D9" w:rsidRPr="00342604" w:rsidRDefault="00C52F67" w:rsidP="00BE5A22">
      <w:pPr>
        <w:pStyle w:val="Style2"/>
        <w:widowControl/>
        <w:spacing w:after="240" w:line="240" w:lineRule="auto"/>
        <w:rPr>
          <w:rStyle w:val="FontStyle20"/>
          <w:color w:val="auto"/>
          <w:sz w:val="28"/>
          <w:szCs w:val="28"/>
        </w:rPr>
      </w:pPr>
      <w:r w:rsidRPr="00342604">
        <w:rPr>
          <w:rStyle w:val="FontStyle19"/>
          <w:color w:val="auto"/>
          <w:sz w:val="28"/>
          <w:szCs w:val="28"/>
        </w:rPr>
        <w:t>LECZENIE PRZEWLEKŁEGO WIRUSOWEGO ZAPALENIA WĄTROBY TYPU C TERAPIĄ BEZINTERFERONOWĄ (ICD-10 B 18</w:t>
      </w:r>
      <w:r w:rsidRPr="00342604">
        <w:rPr>
          <w:rStyle w:val="FontStyle20"/>
          <w:color w:val="auto"/>
          <w:sz w:val="28"/>
          <w:szCs w:val="28"/>
        </w:rPr>
        <w:t>.2)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7"/>
        <w:gridCol w:w="5104"/>
        <w:gridCol w:w="4901"/>
      </w:tblGrid>
      <w:tr w:rsidR="00342604" w:rsidRPr="00342604" w14:paraId="02E21D08" w14:textId="77777777" w:rsidTr="005C7F87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910B" w14:textId="77777777" w:rsidR="004226D9" w:rsidRPr="00342604" w:rsidRDefault="004226D9" w:rsidP="00BE5A22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342604" w:rsidRPr="00342604" w14:paraId="1DA5F8DA" w14:textId="77777777" w:rsidTr="00BE5A22"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5AB4" w14:textId="77777777" w:rsidR="004226D9" w:rsidRPr="00342604" w:rsidRDefault="004226D9" w:rsidP="00BB49F8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477F8" w14:textId="77777777" w:rsidR="004226D9" w:rsidRPr="00342604" w:rsidRDefault="004226D9" w:rsidP="00BB49F8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47FF" w14:textId="77777777" w:rsidR="004226D9" w:rsidRPr="00342604" w:rsidRDefault="004226D9" w:rsidP="00BB49F8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342604">
              <w:rPr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4226D9" w:rsidRPr="00342604" w14:paraId="564A6951" w14:textId="77777777" w:rsidTr="00BE5A22"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764D" w14:textId="5078048B" w:rsidR="004226D9" w:rsidRPr="00342604" w:rsidRDefault="004226D9" w:rsidP="009E2C03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 xml:space="preserve">Kryteria </w:t>
            </w:r>
            <w:r w:rsidR="000F750B" w:rsidRPr="00342604">
              <w:rPr>
                <w:rFonts w:ascii="Times New Roman" w:hAnsi="Times New Roman"/>
                <w:b/>
                <w:sz w:val="20"/>
                <w:szCs w:val="20"/>
              </w:rPr>
              <w:t>kwalifikacji</w:t>
            </w: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DEF16CE" w14:textId="77777777" w:rsidR="004226D9" w:rsidRPr="00342604" w:rsidRDefault="004226D9" w:rsidP="009E2C03">
            <w:pPr>
              <w:pStyle w:val="Akapitzlist"/>
              <w:numPr>
                <w:ilvl w:val="0"/>
                <w:numId w:val="1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Do programu kwalifikowani są 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>dorośli świadczeniobiorcy (ukończony 18 r. ż.)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, chorzy na przewlekłe wirusowe zapalenie wątroby typu C i spełniający łącznie poniższe kryteria:</w:t>
            </w:r>
          </w:p>
          <w:p w14:paraId="284AA479" w14:textId="77777777" w:rsidR="004226D9" w:rsidRPr="00342604" w:rsidRDefault="00D25BF6" w:rsidP="009E2C03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obecność HCV RN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A w surowicy krwi lub w tkance</w:t>
            </w:r>
            <w:r w:rsidR="00717EF9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wątrobowej;</w:t>
            </w:r>
          </w:p>
          <w:p w14:paraId="53F825F8" w14:textId="71D57B00" w:rsidR="00B541CE" w:rsidRPr="00342604" w:rsidRDefault="00B541CE" w:rsidP="009E2C03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obecność przeciwciał anty-HCV;</w:t>
            </w:r>
          </w:p>
          <w:p w14:paraId="240AA893" w14:textId="77777777" w:rsidR="004226D9" w:rsidRPr="00342604" w:rsidRDefault="004226D9" w:rsidP="009E2C03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stwierdzenie włóknienia wątroby określonego z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wykorzystaniem elastografii wątroby wykonanej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techniką umożliwiającą pomiar ilościowy w kPa lub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określonego z wykorzystaniem biopsji wątroby. W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przypadku podejrzenia współistnienia chorób wątroby o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innej etiologii, niezgodności wyniku badania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nieinwazyjnego ze stanem klinicznym chorego lub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rozbieżności pomiędzy wynikami różnych badań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nieinwazyjnych zalecane jest wykonanie biopsji wątroby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(o ile nie jest ona 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>przeciwwskazana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), której wynik ma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wówczas znaczenie rozstrzygające;</w:t>
            </w:r>
          </w:p>
          <w:p w14:paraId="5914E32E" w14:textId="4BACEA6C" w:rsidR="000F750B" w:rsidRPr="00F51865" w:rsidRDefault="004226D9" w:rsidP="00F51865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potwierdzona obecność zakażenia genotypem:</w:t>
            </w:r>
            <w:bookmarkStart w:id="0" w:name="_GoBack"/>
            <w:bookmarkEnd w:id="0"/>
          </w:p>
          <w:p w14:paraId="1BF1D7B4" w14:textId="7C001A96" w:rsidR="000F750B" w:rsidRPr="00342604" w:rsidRDefault="004226D9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1 HCV - w przypadku kwalifikacji do terapii sofosbuwirem w skojarzeniu z ledipaswirem</w:t>
            </w:r>
            <w:r w:rsidR="005525E9" w:rsidRPr="00342604">
              <w:rPr>
                <w:rFonts w:ascii="Times New Roman" w:hAnsi="Times New Roman"/>
                <w:sz w:val="20"/>
                <w:szCs w:val="20"/>
              </w:rPr>
              <w:t>, lub welpataswirem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(i ewentualnie rybawiryną)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,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albo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ECDDBF" w14:textId="77777777" w:rsidR="004226D9" w:rsidRPr="00342604" w:rsidRDefault="00A94DF9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2,3,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4,5,6 HCV- w przypadku kwalifikacji do terapii sofosbuwirem w skojarzeniu z rybawiryną albo 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lastRenderedPageBreak/>
              <w:t>sofosbuwirem w skojarzeniu z interf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eronem pegylowanym i rybawiryną, albo</w:t>
            </w:r>
          </w:p>
          <w:p w14:paraId="46729141" w14:textId="77777777" w:rsidR="00C04A5E" w:rsidRPr="00342604" w:rsidRDefault="00A94DF9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1 lub 4 HCV - w przypadku kwalifikacji do terapii grazoprewirem+elbaswirem (i ewentualnie rybawiryną</w:t>
            </w:r>
            <w:r w:rsidR="005525E9" w:rsidRPr="0034260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4A5E" w:rsidRPr="00342604">
              <w:rPr>
                <w:rFonts w:ascii="Times New Roman" w:hAnsi="Times New Roman"/>
                <w:sz w:val="20"/>
                <w:szCs w:val="20"/>
              </w:rPr>
              <w:t>albo</w:t>
            </w:r>
          </w:p>
          <w:p w14:paraId="4604A72D" w14:textId="77777777" w:rsidR="006E40EB" w:rsidRPr="00342604" w:rsidRDefault="00C04A5E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2,3,4,5,6 HCV- w</w:t>
            </w:r>
            <w:r w:rsidR="00927FEA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przypadku kwalifikacji do terapii sofosbuwirem w skojarzeniu z welpataswirem (i ewentualnie rybawiryną)</w:t>
            </w:r>
            <w:r w:rsidR="006E40EB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B9A7B46" w14:textId="77777777" w:rsidR="006E40EB" w:rsidRPr="00342604" w:rsidRDefault="006E40EB" w:rsidP="001415E6">
            <w:pPr>
              <w:ind w:left="357"/>
              <w:rPr>
                <w:sz w:val="20"/>
                <w:szCs w:val="20"/>
              </w:rPr>
            </w:pPr>
            <w:r w:rsidRPr="00342604">
              <w:rPr>
                <w:sz w:val="20"/>
                <w:szCs w:val="20"/>
              </w:rPr>
              <w:t>albo</w:t>
            </w:r>
          </w:p>
          <w:p w14:paraId="6783D68A" w14:textId="77777777" w:rsidR="006E40EB" w:rsidRPr="00342604" w:rsidRDefault="006E40EB" w:rsidP="006E40EB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1,2,3,4,5,6 HCV – w przypadku kwalifikacji do terapii glekaprewirem w skojarzeniu z pibrentaswirem.</w:t>
            </w:r>
          </w:p>
          <w:p w14:paraId="4503BB8F" w14:textId="7789721A" w:rsidR="00A94DF9" w:rsidRPr="00342604" w:rsidRDefault="00A94DF9" w:rsidP="001415E6">
            <w:pPr>
              <w:pStyle w:val="Akapitzlist"/>
              <w:spacing w:after="0"/>
              <w:ind w:left="71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3B3F2841" w14:textId="23C211C5" w:rsidR="000F750B" w:rsidRPr="00342604" w:rsidRDefault="000F750B" w:rsidP="00F51865">
            <w:pPr>
              <w:pStyle w:val="Akapitzlist"/>
              <w:spacing w:after="0"/>
              <w:ind w:left="714"/>
              <w:contextualSpacing w:val="0"/>
              <w:rPr>
                <w:sz w:val="20"/>
                <w:szCs w:val="20"/>
              </w:rPr>
            </w:pPr>
          </w:p>
          <w:p w14:paraId="00F80E26" w14:textId="77777777" w:rsidR="004226D9" w:rsidRPr="00342604" w:rsidRDefault="004226D9" w:rsidP="009E2C03">
            <w:pPr>
              <w:pStyle w:val="Akapitzlist"/>
              <w:numPr>
                <w:ilvl w:val="0"/>
                <w:numId w:val="1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Do programu kwalifikowani są również świadczeniobiorcy, u których stwierdzono przeciwwskazania do leczenia interferonem lub nietolerancję wcześniejszej terapii interferonem, spełniający łącznie kryteria opisane w pkt. </w:t>
            </w:r>
            <w:r w:rsidR="00CF4575" w:rsidRPr="00342604">
              <w:rPr>
                <w:rFonts w:ascii="Times New Roman" w:hAnsi="Times New Roman"/>
                <w:sz w:val="20"/>
                <w:szCs w:val="20"/>
              </w:rPr>
              <w:t>1a, 1b, 1d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.</w:t>
            </w:r>
            <w:r w:rsidR="00CD7C22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4575" w:rsidRPr="00342604">
              <w:rPr>
                <w:rFonts w:ascii="Times New Roman" w:hAnsi="Times New Roman"/>
                <w:sz w:val="20"/>
                <w:szCs w:val="20"/>
              </w:rPr>
              <w:br/>
            </w: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>Przeciwwskazania do stosowania interferonu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definiowane są jako:</w:t>
            </w:r>
          </w:p>
          <w:p w14:paraId="474374B0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nadwrażliwość na interferony lub na którąkolwiek</w:t>
            </w:r>
            <w:r w:rsidR="00CF4575" w:rsidRPr="00342604">
              <w:rPr>
                <w:rFonts w:ascii="Times New Roman" w:hAnsi="Times New Roman"/>
                <w:sz w:val="20"/>
                <w:szCs w:val="20"/>
              </w:rPr>
              <w:t xml:space="preserve"> substancję pomocniczą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1E05637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niewyrównana marskość wątroby;</w:t>
            </w:r>
          </w:p>
          <w:p w14:paraId="1658257E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zapalenie wątroby lub inna choroba o etiologii</w:t>
            </w:r>
          </w:p>
          <w:p w14:paraId="4EA31E61" w14:textId="77777777" w:rsidR="004226D9" w:rsidRPr="00342604" w:rsidRDefault="004226D9" w:rsidP="000F2BDF">
            <w:pPr>
              <w:pStyle w:val="Akapitzlist"/>
              <w:spacing w:after="0"/>
              <w:ind w:left="71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autoimmunologicznej;</w:t>
            </w:r>
          </w:p>
          <w:p w14:paraId="62D14448" w14:textId="77777777" w:rsidR="00CF4575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stan po przeszczepieniu wątroby lub innego narządu; </w:t>
            </w:r>
          </w:p>
          <w:p w14:paraId="11355E38" w14:textId="77777777" w:rsidR="00CF4575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pacjenci zakwalifikowani do przeszczepienia wątroby; </w:t>
            </w:r>
          </w:p>
          <w:p w14:paraId="476C3893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ciężka, zwłaszcza niestabilna choroba serca, której utrudnione kontrolowanie zostało potwierdzone konsultacją kardiologiczną;</w:t>
            </w:r>
          </w:p>
          <w:p w14:paraId="1DC33C04" w14:textId="77777777" w:rsidR="00CF4575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zespół metaboliczny, a zwłaszcza trudna do opanowania cukrzyca, której utrudnione kontrolowanie zostało potwierdzone konsultacją endokrynologiczną; </w:t>
            </w:r>
          </w:p>
          <w:p w14:paraId="65E22C69" w14:textId="77777777" w:rsidR="00046335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lastRenderedPageBreak/>
              <w:t>depresja, myśli samobójcze lub próby samobójcze udokument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owane badaniem psychiatrycznym;</w:t>
            </w:r>
          </w:p>
          <w:p w14:paraId="30CE9282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choroby tarczycy przebiegające z nieprawidłowymi wartościami TSH;</w:t>
            </w:r>
          </w:p>
          <w:p w14:paraId="7FD7614F" w14:textId="77777777" w:rsidR="00CF4575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niedokrwistość; </w:t>
            </w:r>
          </w:p>
          <w:p w14:paraId="04BD1CF9" w14:textId="77777777" w:rsidR="004226D9" w:rsidRPr="00342604" w:rsidRDefault="00046335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małopłytkowość &lt; 90 000 /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5BF6" w:rsidRPr="00342604">
              <w:rPr>
                <w:rFonts w:ascii="Times New Roman" w:hAnsi="Times New Roman"/>
                <w:sz w:val="20"/>
                <w:szCs w:val="20"/>
              </w:rPr>
              <w:t>µL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60D26F0" w14:textId="77777777" w:rsidR="00717EF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bezwzględna liczba neutrofilów &lt;1500 / </w:t>
            </w:r>
            <w:r w:rsidR="00D25BF6" w:rsidRPr="00342604">
              <w:rPr>
                <w:rFonts w:ascii="Times New Roman" w:hAnsi="Times New Roman"/>
                <w:sz w:val="20"/>
                <w:szCs w:val="20"/>
              </w:rPr>
              <w:t>µL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.</w:t>
            </w:r>
            <w:r w:rsidR="00717EF9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9BC504" w14:textId="77777777" w:rsidR="004226D9" w:rsidRPr="00342604" w:rsidRDefault="004226D9" w:rsidP="00D25BF6">
            <w:pPr>
              <w:spacing w:line="276" w:lineRule="auto"/>
              <w:ind w:left="357"/>
              <w:rPr>
                <w:sz w:val="20"/>
                <w:szCs w:val="20"/>
              </w:rPr>
            </w:pPr>
            <w:r w:rsidRPr="00342604">
              <w:rPr>
                <w:b/>
                <w:sz w:val="20"/>
                <w:szCs w:val="20"/>
              </w:rPr>
              <w:t>Nietolerancja interferonu</w:t>
            </w:r>
            <w:r w:rsidRPr="00342604">
              <w:rPr>
                <w:sz w:val="20"/>
                <w:szCs w:val="20"/>
              </w:rPr>
              <w:t xml:space="preserve"> definiowana jest jako wystąpienie w trakcie wcześniejszego leczenia przynajmniej jednego z poniższych stanów:</w:t>
            </w:r>
          </w:p>
          <w:p w14:paraId="6FE1FFA5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nadwrażliwość na interferon lub na którąkolwiek</w:t>
            </w:r>
            <w:r w:rsidR="00CF4575" w:rsidRPr="00342604">
              <w:rPr>
                <w:rFonts w:ascii="Times New Roman" w:hAnsi="Times New Roman"/>
                <w:sz w:val="20"/>
                <w:szCs w:val="20"/>
              </w:rPr>
              <w:t xml:space="preserve"> substancję pomocniczą;</w:t>
            </w:r>
          </w:p>
          <w:p w14:paraId="4C194AF0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schorzenie autoimmunologiczne;</w:t>
            </w:r>
          </w:p>
          <w:p w14:paraId="015CA58B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zaostrzenie istniejącej uprzednio choroby towarzyszącej;</w:t>
            </w:r>
          </w:p>
          <w:p w14:paraId="5A477C7E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obniżenie wyjściowej masy ciała o więcej niż 20%;</w:t>
            </w:r>
          </w:p>
          <w:p w14:paraId="037FD40E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depresja, myśli samobójcze lub próby samobójcze;</w:t>
            </w:r>
          </w:p>
          <w:p w14:paraId="59F6D9B4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nieprawidłowe wartości TSH;</w:t>
            </w:r>
          </w:p>
          <w:p w14:paraId="6E0AA634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stężenie hemoglobiny &lt;8.5 mg%;</w:t>
            </w:r>
          </w:p>
          <w:p w14:paraId="29971499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małopłytkowość &lt;50 000 / </w:t>
            </w:r>
            <w:r w:rsidR="00D25BF6" w:rsidRPr="00342604">
              <w:rPr>
                <w:rFonts w:ascii="Times New Roman" w:hAnsi="Times New Roman"/>
                <w:sz w:val="20"/>
                <w:szCs w:val="20"/>
              </w:rPr>
              <w:t>µ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L;</w:t>
            </w:r>
          </w:p>
          <w:p w14:paraId="23FE073A" w14:textId="77777777" w:rsidR="004226D9" w:rsidRPr="00342604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bezwzględna liczba neutrofilów &lt;500/</w:t>
            </w:r>
            <w:r w:rsidR="00D25BF6" w:rsidRPr="00342604">
              <w:rPr>
                <w:rFonts w:ascii="Times New Roman" w:hAnsi="Times New Roman"/>
                <w:sz w:val="20"/>
                <w:szCs w:val="20"/>
              </w:rPr>
              <w:t>µ</w:t>
            </w:r>
            <w:r w:rsidR="000F2BDF" w:rsidRPr="00342604">
              <w:rPr>
                <w:rFonts w:ascii="Times New Roman" w:hAnsi="Times New Roman"/>
                <w:sz w:val="20"/>
                <w:szCs w:val="20"/>
              </w:rPr>
              <w:t>L.</w:t>
            </w:r>
          </w:p>
          <w:p w14:paraId="63680726" w14:textId="3C0EE3E8" w:rsidR="004226D9" w:rsidRPr="00342604" w:rsidRDefault="004226D9" w:rsidP="009E2C03">
            <w:pPr>
              <w:pStyle w:val="Akapitzlist"/>
              <w:numPr>
                <w:ilvl w:val="0"/>
                <w:numId w:val="1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Do programu kwalifikowani są świadczeniobiorcy</w:t>
            </w:r>
            <w:r w:rsidR="000F4C3E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z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pozawątrobową manifestacją zakażenia HCV, niezależnie od zaawansowania choroby </w:t>
            </w:r>
            <w:r w:rsidR="00B541CE" w:rsidRPr="00342604">
              <w:rPr>
                <w:rFonts w:ascii="Times New Roman" w:hAnsi="Times New Roman"/>
                <w:sz w:val="20"/>
                <w:szCs w:val="20"/>
              </w:rPr>
              <w:t>w obrazie histopatologicznym</w:t>
            </w:r>
            <w:r w:rsidR="00513B65" w:rsidRPr="00342604">
              <w:rPr>
                <w:rFonts w:ascii="Times New Roman" w:hAnsi="Times New Roman"/>
                <w:sz w:val="20"/>
                <w:szCs w:val="20"/>
              </w:rPr>
              <w:t xml:space="preserve"> wątroby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8E716CC" w14:textId="77777777" w:rsidR="004226D9" w:rsidRPr="00342604" w:rsidRDefault="004226D9" w:rsidP="00434D4C">
            <w:pPr>
              <w:spacing w:line="276" w:lineRule="auto"/>
              <w:ind w:left="357" w:hanging="357"/>
              <w:rPr>
                <w:sz w:val="20"/>
                <w:szCs w:val="20"/>
              </w:rPr>
            </w:pPr>
          </w:p>
          <w:p w14:paraId="4462495B" w14:textId="77777777" w:rsidR="002A7E67" w:rsidRPr="00342604" w:rsidRDefault="004226D9" w:rsidP="009E2C03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Kryteria uniemożliwiające kwalifikację do programu:</w:t>
            </w:r>
          </w:p>
          <w:p w14:paraId="09A4F936" w14:textId="77777777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nadwrażliwość na substancję czynną lub substancję pomocniczą;</w:t>
            </w:r>
          </w:p>
          <w:p w14:paraId="18F9353B" w14:textId="77777777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niestwierdzenie HCV RNA w surowicy 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>l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ub w tkance wątrobowej przy obecności przeciwciał anty-HCV;</w:t>
            </w:r>
          </w:p>
          <w:p w14:paraId="2B7BDD25" w14:textId="5FEFA8EC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ciężka niewydolność wątroby (stopień C wg klasyfikacji Child-Pugh) - nie dotyczy 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 xml:space="preserve">kwalifikowania do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terapii z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lastRenderedPageBreak/>
              <w:t>użyciem sofosbuwiru w skojarzeniu z ledipaswirem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 xml:space="preserve"> lub </w:t>
            </w:r>
            <w:r w:rsidR="00907303" w:rsidRPr="00342604">
              <w:rPr>
                <w:rFonts w:ascii="Times New Roman" w:hAnsi="Times New Roman"/>
                <w:sz w:val="20"/>
                <w:szCs w:val="20"/>
              </w:rPr>
              <w:t xml:space="preserve">welpataswirem oraz ewentualnie z 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>rybawiryną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5DC9C06" w14:textId="624435A4" w:rsidR="00B541CE" w:rsidRPr="00342604" w:rsidRDefault="00B541CE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konieczność przyjmowania leków mogących obniżać aktywność osoczową sofosbuwiru albo sofosbuwiru i ledipaswiru albo sofosbuwiru i welpataswiru</w:t>
            </w:r>
            <w:r w:rsidR="00964651" w:rsidRPr="00342604">
              <w:rPr>
                <w:rFonts w:ascii="Times New Roman" w:hAnsi="Times New Roman"/>
                <w:sz w:val="20"/>
                <w:szCs w:val="20"/>
              </w:rPr>
              <w:t>, w szczególności silnych induktorów glikoproteiny P w jelitach (o ile dotyczy);</w:t>
            </w:r>
          </w:p>
          <w:p w14:paraId="22ACCEAB" w14:textId="77777777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czynne uzależnienie od alkoholu lub środków odurzających;</w:t>
            </w:r>
          </w:p>
          <w:p w14:paraId="5A814DC9" w14:textId="77777777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ciąża lub karmienie piersią;</w:t>
            </w:r>
          </w:p>
          <w:p w14:paraId="2D9205CA" w14:textId="77777777" w:rsidR="004226D9" w:rsidRPr="00342604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inne przeciwwskazania do stosowania określone w</w:t>
            </w:r>
            <w:r w:rsidR="002A7E6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odpowiednich charakterystykach:</w:t>
            </w:r>
          </w:p>
          <w:p w14:paraId="549A2AD5" w14:textId="224A09E2" w:rsidR="00046335" w:rsidRPr="00342604" w:rsidRDefault="004226D9" w:rsidP="009E2C03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sofosbuwiru lub sofosbu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wiru</w:t>
            </w:r>
            <w:r w:rsidR="00C347DC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102F" w:rsidRPr="00342604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046335" w:rsidRPr="00342604">
              <w:rPr>
                <w:rFonts w:ascii="Times New Roman" w:hAnsi="Times New Roman"/>
                <w:sz w:val="20"/>
                <w:szCs w:val="20"/>
              </w:rPr>
              <w:t>ledipaswir</w:t>
            </w:r>
            <w:r w:rsidR="00A5102F" w:rsidRPr="00342604">
              <w:rPr>
                <w:rFonts w:ascii="Times New Roman" w:hAnsi="Times New Roman"/>
                <w:sz w:val="20"/>
                <w:szCs w:val="20"/>
              </w:rPr>
              <w:t>em</w:t>
            </w:r>
            <w:r w:rsidR="00907303" w:rsidRPr="00342604">
              <w:rPr>
                <w:rFonts w:ascii="Times New Roman" w:hAnsi="Times New Roman"/>
                <w:sz w:val="20"/>
                <w:szCs w:val="20"/>
              </w:rPr>
              <w:t xml:space="preserve"> lub sofosbuwiru z welpataswirem</w:t>
            </w:r>
            <w:r w:rsidR="001C243F" w:rsidRPr="00342604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 w:rsidR="00907303" w:rsidRPr="00342604">
              <w:rPr>
                <w:rFonts w:ascii="Times New Roman" w:hAnsi="Times New Roman"/>
                <w:sz w:val="20"/>
                <w:szCs w:val="20"/>
              </w:rPr>
              <w:t xml:space="preserve"> pegylowanego interferonu i/lub rybawiryny (o ile dotyczy)</w:t>
            </w:r>
            <w:r w:rsidR="000F2BDF" w:rsidRPr="00342604">
              <w:rPr>
                <w:rFonts w:ascii="Times New Roman" w:hAnsi="Times New Roman"/>
                <w:sz w:val="20"/>
                <w:szCs w:val="20"/>
              </w:rPr>
              <w:t>, albo</w:t>
            </w:r>
          </w:p>
          <w:p w14:paraId="396A0F76" w14:textId="6EEB4096" w:rsidR="000F2BDF" w:rsidRPr="00342604" w:rsidRDefault="000F2BDF" w:rsidP="009E2C03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grazoprewiru+elbaswiru oraz rybawiryny (o ile dotyczy)</w:t>
            </w:r>
            <w:r w:rsidR="004E2D35" w:rsidRPr="00342604">
              <w:rPr>
                <w:rFonts w:ascii="Times New Roman" w:hAnsi="Times New Roman"/>
                <w:sz w:val="20"/>
                <w:szCs w:val="20"/>
              </w:rPr>
              <w:t xml:space="preserve"> albo</w:t>
            </w:r>
          </w:p>
          <w:p w14:paraId="79BAE6C4" w14:textId="02234B41" w:rsidR="006E40EB" w:rsidRPr="00342604" w:rsidRDefault="006E40EB" w:rsidP="006E40EB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glekaprewiru w skojarzeniu z pibrentaswirem</w:t>
            </w:r>
            <w:r w:rsidR="00A162C8" w:rsidRPr="00342604">
              <w:rPr>
                <w:rFonts w:ascii="Times New Roman" w:hAnsi="Times New Roman"/>
                <w:sz w:val="20"/>
                <w:szCs w:val="20"/>
              </w:rPr>
              <w:t xml:space="preserve"> (o ile dotyczy)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AF87C08" w14:textId="77777777" w:rsidR="006E40EB" w:rsidRPr="00342604" w:rsidRDefault="006E40EB" w:rsidP="0005344F">
            <w:pPr>
              <w:pStyle w:val="Akapitzlist"/>
              <w:spacing w:after="0"/>
              <w:ind w:left="71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  <w:p w14:paraId="34DFF2CA" w14:textId="77777777" w:rsidR="004226D9" w:rsidRPr="00342604" w:rsidRDefault="004226D9" w:rsidP="00434D4C">
            <w:pPr>
              <w:spacing w:line="276" w:lineRule="auto"/>
              <w:ind w:left="357" w:hanging="357"/>
              <w:rPr>
                <w:sz w:val="20"/>
                <w:szCs w:val="20"/>
              </w:rPr>
            </w:pPr>
          </w:p>
          <w:p w14:paraId="0E720FD2" w14:textId="77777777" w:rsidR="004226D9" w:rsidRPr="00342604" w:rsidRDefault="004226D9" w:rsidP="009E2C03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>Kryteria wyłączenia z programu:</w:t>
            </w:r>
          </w:p>
          <w:p w14:paraId="48D595FF" w14:textId="77777777" w:rsidR="004226D9" w:rsidRPr="00342604" w:rsidRDefault="004226D9" w:rsidP="009E2C03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ujawnienie okoliczności określonych w ust. 2 w trakcie</w:t>
            </w:r>
            <w:r w:rsidR="006768D6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44E84602" w14:textId="77777777" w:rsidR="004226D9" w:rsidRPr="00342604" w:rsidRDefault="004226D9" w:rsidP="009E2C03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działania niepożądane stosowanych w programie leków</w:t>
            </w:r>
            <w:r w:rsidR="006768D6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uzasadniające przerwanie leczenia:</w:t>
            </w:r>
          </w:p>
          <w:p w14:paraId="1DD2838F" w14:textId="77777777" w:rsidR="004226D9" w:rsidRPr="00342604" w:rsidRDefault="004226D9" w:rsidP="009E2C03">
            <w:pPr>
              <w:pStyle w:val="Akapitzlist"/>
              <w:numPr>
                <w:ilvl w:val="0"/>
                <w:numId w:val="1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w opinii lekarza prowadzącego terapię lub</w:t>
            </w:r>
          </w:p>
          <w:p w14:paraId="1C995A8B" w14:textId="27FD87F9" w:rsidR="008721CB" w:rsidRPr="00F96DC7" w:rsidRDefault="004226D9" w:rsidP="00F96DC7">
            <w:pPr>
              <w:pStyle w:val="Akapitzlist"/>
              <w:numPr>
                <w:ilvl w:val="0"/>
                <w:numId w:val="1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zgodnie z charakterystykami odpowiednich</w:t>
            </w:r>
            <w:r w:rsidR="00CD7C22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produktów leczn</w:t>
            </w:r>
            <w:r w:rsidR="006768D6" w:rsidRPr="00342604">
              <w:rPr>
                <w:rFonts w:ascii="Times New Roman" w:hAnsi="Times New Roman"/>
                <w:sz w:val="20"/>
                <w:szCs w:val="20"/>
              </w:rPr>
              <w:t>iczych</w:t>
            </w:r>
            <w:r w:rsidR="00537457" w:rsidRPr="0034260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BA790" w14:textId="0ABC212F" w:rsidR="00BB49F8" w:rsidRPr="00342604" w:rsidRDefault="004226D9" w:rsidP="009E2C03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Sofosbuwir </w:t>
            </w:r>
            <w:r w:rsidR="005A3B5B"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sofosbuwir+ledipaswir</w:t>
            </w:r>
            <w:r w:rsidR="005A3B5B"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sofosbuwir +welpataswir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w ramach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programu </w:t>
            </w:r>
            <w:r w:rsidR="00046335" w:rsidRPr="00342604">
              <w:rPr>
                <w:rFonts w:ascii="Times New Roman" w:hAnsi="Times New Roman"/>
                <w:bCs/>
                <w:sz w:val="20"/>
                <w:szCs w:val="20"/>
              </w:rPr>
              <w:t>dawkuje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się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zgodnie z odpowiednimi Charakterystykami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Produktów Leczniczych;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597F0FE" w14:textId="4FB4ABFB" w:rsidR="00B32907" w:rsidRPr="00342604" w:rsidRDefault="00B32907" w:rsidP="00612C4F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Rybawirynę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niezbędną do terapii skojarzonej z sofosbuwirem </w:t>
            </w:r>
            <w:r w:rsidR="00D303C1" w:rsidRPr="00342604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sofosbuwirem i ledipaswirem</w:t>
            </w:r>
            <w:r w:rsidR="00D303C1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lub sofosbuwirem i welpataswirem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, należy stosować zgodnie ze schematem dawkowania określonym w 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Charakterystyce Produktu Leczniczego zawierającego sofosbuwir </w:t>
            </w:r>
            <w:r w:rsidR="00D303C1" w:rsidRPr="00342604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sofosbuwir+ ledipaswir</w:t>
            </w:r>
            <w:r w:rsidR="00D303C1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lub sofosbuwir +welpataswir</w:t>
            </w:r>
            <w:r w:rsidR="00C54EC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C54EC7" w:rsidRPr="00342604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Rybawiryna w ilości niezbędnej do prowadzenia terapii z użyciem 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>tych leków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jest finansowana w ramach programu lekowego „Leczenie przewlekłego wirusowego zapalenia wątroby typu C (ICD-10 B 18.2)" -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załącznik B.2 do obwieszczenia Ministra Zdrowia</w:t>
            </w:r>
          </w:p>
          <w:p w14:paraId="0105042A" w14:textId="77777777" w:rsidR="00C347DC" w:rsidRPr="00342604" w:rsidRDefault="004226D9" w:rsidP="00B32907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In</w:t>
            </w:r>
            <w:r w:rsidR="006768D6"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terferon pegylowany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768D6"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i rybawiryn</w:t>
            </w:r>
            <w:r w:rsidR="00B32907"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niezbędn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do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terapii skojarzonej z sofosbuwirem</w:t>
            </w:r>
            <w:r w:rsidR="00B32907" w:rsidRPr="00342604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należy stosować</w:t>
            </w:r>
            <w:r w:rsidR="006768D6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zgodnie z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D2978" w:rsidRPr="00342604">
              <w:rPr>
                <w:rFonts w:ascii="Times New Roman" w:hAnsi="Times New Roman"/>
                <w:bCs/>
                <w:sz w:val="20"/>
                <w:szCs w:val="20"/>
              </w:rPr>
              <w:t>schematem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dawkowania określonym 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w Charakterystyce Produktu Leczniczego zawierającego sofosbuwir. </w:t>
            </w:r>
            <w:r w:rsidR="00C3573A" w:rsidRPr="00342604">
              <w:rPr>
                <w:rFonts w:ascii="Times New Roman" w:hAnsi="Times New Roman"/>
                <w:bCs/>
                <w:sz w:val="20"/>
                <w:szCs w:val="20"/>
              </w:rPr>
              <w:t>W przypadku, gdy w trakcie prowadzonej terapii sofosbu</w:t>
            </w:r>
            <w:r w:rsidR="007D53EB" w:rsidRPr="00342604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C3573A" w:rsidRPr="00342604">
              <w:rPr>
                <w:rFonts w:ascii="Times New Roman" w:hAnsi="Times New Roman"/>
                <w:bCs/>
                <w:sz w:val="20"/>
                <w:szCs w:val="20"/>
              </w:rPr>
              <w:t>irem w skojarzeniu z interferonem pegylowanym i rybawiryną wystąpi nietolerancja interferonu</w:t>
            </w:r>
            <w:r w:rsidR="00725F8A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dopuszczalne jest </w:t>
            </w:r>
            <w:r w:rsidR="00C3573A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zaprzestanie podawania </w:t>
            </w:r>
            <w:r w:rsidR="00B32907" w:rsidRPr="00342604">
              <w:rPr>
                <w:rFonts w:ascii="Times New Roman" w:hAnsi="Times New Roman"/>
                <w:bCs/>
                <w:sz w:val="20"/>
                <w:szCs w:val="20"/>
              </w:rPr>
              <w:t>interferonu</w:t>
            </w:r>
            <w:r w:rsidR="00C3573A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pegylowanego i kontynuacja terapii </w:t>
            </w:r>
            <w:r w:rsidR="00C3573A" w:rsidRPr="0034260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sofosbuwirem z rybawiryną do czasu określonego dla takiej terapii w 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>Charakterystyce Produktu Leczniczego zawierającego sofosbuwir</w:t>
            </w:r>
            <w:r w:rsidR="00B32907" w:rsidRPr="0034260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CD7C22" w:rsidRPr="00342604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Interferon pegylowany i rybawiryna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w ilości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niezbędnej do prowadzenia terapii z użyciem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sofosbuwiru 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są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finansowane w ramach programu lekowego „Leczenie przewlekłego wirusowego zapalenia wątroby typu C (ICD-10 B 18.2)" </w:t>
            </w:r>
          </w:p>
          <w:p w14:paraId="387D621A" w14:textId="77777777" w:rsidR="004226D9" w:rsidRPr="00342604" w:rsidRDefault="004226D9" w:rsidP="00B32907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C347DC"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załącznik B.2 do obwieszczenia Ministra Zdrowia</w:t>
            </w:r>
            <w:r w:rsidR="005C7F87" w:rsidRPr="0034260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D2944AE" w14:textId="77777777" w:rsidR="00D61FC0" w:rsidRPr="00342604" w:rsidRDefault="00D61FC0" w:rsidP="009E2C03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Grazoprewir+elbaswir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w ramach programu dawkuje się zgodnie z odpowiednią Charakterystyką Produktu Leczniczego.</w:t>
            </w:r>
          </w:p>
          <w:p w14:paraId="733CA638" w14:textId="77777777" w:rsidR="00D61FC0" w:rsidRPr="00342604" w:rsidRDefault="00D61FC0" w:rsidP="00D61FC0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Rybawirynę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niezbędną do terapii skojarzonej z grazoprewirem i elbaswirem, należy stosować zgodnie ze schematem dawkowania określonym w Charakterystyce Produktu Leczniczego zawierającego grazoprewir+elbaswir.</w:t>
            </w:r>
          </w:p>
          <w:p w14:paraId="78C19878" w14:textId="77777777" w:rsidR="00D61FC0" w:rsidRPr="00342604" w:rsidRDefault="00D61FC0" w:rsidP="00D61FC0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>Rybawiryna w ilości niezbędnej do prowadzenia terapii z użyciem tych leków jest finansowana w ramach programu lekowego „Leczenie przewlekłego wirusowego zapalenia wątroby typu C (ICD-10 B 18.2)" - załącznik B.2. do obwieszczenia Ministra Zdrowia.</w:t>
            </w:r>
          </w:p>
          <w:p w14:paraId="23C4D7F5" w14:textId="77777777" w:rsidR="006E40EB" w:rsidRPr="00342604" w:rsidRDefault="006E40EB" w:rsidP="006E40EB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t>Glekaprewir+pibrentaswir</w:t>
            </w:r>
            <w:r w:rsidRPr="00342604">
              <w:rPr>
                <w:rFonts w:ascii="Times New Roman" w:hAnsi="Times New Roman"/>
                <w:bCs/>
                <w:sz w:val="20"/>
                <w:szCs w:val="20"/>
              </w:rPr>
              <w:t xml:space="preserve"> w ramach programu dawkuje się zgodnie z odpowiednią Charakterystyką Produktu Leczniczego.</w:t>
            </w:r>
          </w:p>
          <w:p w14:paraId="6B0B18D7" w14:textId="77777777" w:rsidR="006E40EB" w:rsidRPr="00342604" w:rsidRDefault="006E40EB" w:rsidP="00D61FC0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03239D" w14:textId="77777777" w:rsidR="00D61FC0" w:rsidRPr="00342604" w:rsidRDefault="00D61FC0" w:rsidP="00B32907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06CB" w14:textId="77777777" w:rsidR="004226D9" w:rsidRPr="00342604" w:rsidRDefault="004226D9" w:rsidP="009E2C03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Badania przy kwalifikacji do leczenia:</w:t>
            </w:r>
          </w:p>
          <w:p w14:paraId="31635B89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HCV</w:t>
            </w:r>
            <w:r w:rsidR="00D25BF6" w:rsidRPr="00342604">
              <w:rPr>
                <w:rFonts w:ascii="Times New Roman" w:hAnsi="Times New Roman"/>
                <w:sz w:val="20"/>
                <w:szCs w:val="20"/>
              </w:rPr>
              <w:t xml:space="preserve"> RNA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metodą ilościową;</w:t>
            </w:r>
          </w:p>
          <w:p w14:paraId="4BBB5CAD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morfologia krwi;</w:t>
            </w:r>
          </w:p>
          <w:p w14:paraId="6DDF44BE" w14:textId="77777777" w:rsidR="003926D5" w:rsidRPr="00342604" w:rsidRDefault="008C520F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aktywności Al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AT</w:t>
            </w:r>
            <w:r w:rsidR="003926D5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418F8C9" w14:textId="34B7B674" w:rsidR="004226D9" w:rsidRPr="00342604" w:rsidRDefault="0037036E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stężenia albumin;</w:t>
            </w:r>
          </w:p>
          <w:p w14:paraId="7D0D19C6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stężenia bilirubiny;</w:t>
            </w:r>
          </w:p>
          <w:p w14:paraId="7AA2AA5A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czas lub wskaźnik protrombinowy;</w:t>
            </w:r>
          </w:p>
          <w:p w14:paraId="16F76BC2" w14:textId="77777777" w:rsidR="004226D9" w:rsidRPr="00342604" w:rsidRDefault="00B1697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 poziomu kreatyniny;</w:t>
            </w:r>
          </w:p>
          <w:p w14:paraId="2CED9D63" w14:textId="54C16356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przeciwciał anty-HIV</w:t>
            </w:r>
            <w:r w:rsidR="003A4FF2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2BBA360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antygenu HBs;</w:t>
            </w:r>
          </w:p>
          <w:p w14:paraId="63776D7E" w14:textId="77777777" w:rsidR="004226D9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USG jamy brzusznej (jeśli nie było wykonywane w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okresie ostatnich 6 miesięcy);</w:t>
            </w:r>
          </w:p>
          <w:p w14:paraId="46C12DA2" w14:textId="722A183D" w:rsidR="004226D9" w:rsidRPr="00342604" w:rsidRDefault="004226D9" w:rsidP="0046790F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badanie określające zaawansowanie włóknienia wątroby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- elastografia wątroby wykonana techniką umożliwiającą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pomiar ilościowy w kPa lub biopsja wątroby (jeśli nie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było wykonywane wcześniej);</w:t>
            </w:r>
          </w:p>
          <w:p w14:paraId="7C00757E" w14:textId="77777777" w:rsidR="00A5102F" w:rsidRPr="00342604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genotypu HCV (z podtypem w przypadku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genotypu 1) - jeśli nie było wykonywane wcześniej</w:t>
            </w:r>
            <w:r w:rsidR="00A5102F" w:rsidRPr="003426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8A85437" w14:textId="77777777" w:rsidR="00517F20" w:rsidRPr="00342604" w:rsidRDefault="001C243F" w:rsidP="00612C4F">
            <w:pPr>
              <w:spacing w:line="276" w:lineRule="auto"/>
              <w:rPr>
                <w:sz w:val="20"/>
                <w:szCs w:val="20"/>
              </w:rPr>
            </w:pPr>
            <w:r w:rsidRPr="00342604">
              <w:rPr>
                <w:sz w:val="20"/>
                <w:szCs w:val="20"/>
              </w:rPr>
              <w:t>W przypadku kwalifikacji</w:t>
            </w:r>
            <w:r w:rsidR="00A5102F" w:rsidRPr="00342604">
              <w:rPr>
                <w:sz w:val="20"/>
                <w:szCs w:val="20"/>
              </w:rPr>
              <w:t xml:space="preserve"> do terapii sofosbuwirem w skojarzeniu z interferonem pegylowanym i rybawiryną </w:t>
            </w:r>
            <w:r w:rsidRPr="00342604">
              <w:rPr>
                <w:sz w:val="20"/>
                <w:szCs w:val="20"/>
              </w:rPr>
              <w:t>wykonuje się wyłącznie</w:t>
            </w:r>
            <w:r w:rsidR="00A5102F" w:rsidRPr="00342604">
              <w:rPr>
                <w:sz w:val="20"/>
                <w:szCs w:val="20"/>
              </w:rPr>
              <w:t xml:space="preserve"> „</w:t>
            </w:r>
            <w:r w:rsidR="00F33D9B" w:rsidRPr="00342604">
              <w:rPr>
                <w:bCs/>
                <w:sz w:val="20"/>
                <w:szCs w:val="20"/>
              </w:rPr>
              <w:t>Badania przy kwalifikacji do leczenia interferonami</w:t>
            </w:r>
            <w:r w:rsidR="00A5102F" w:rsidRPr="00342604">
              <w:rPr>
                <w:sz w:val="20"/>
                <w:szCs w:val="20"/>
              </w:rPr>
              <w:t xml:space="preserve">” określone i finansowane w ramach programu lekowego </w:t>
            </w:r>
            <w:r w:rsidR="00A5102F" w:rsidRPr="00342604">
              <w:rPr>
                <w:bCs/>
                <w:sz w:val="20"/>
                <w:szCs w:val="20"/>
              </w:rPr>
              <w:t>„Leczenie przewlekłego wirusowego zapalenia wątroby typu C (ICD-10 B 18.2)" -</w:t>
            </w:r>
            <w:r w:rsidR="00C54EC7" w:rsidRPr="00342604">
              <w:rPr>
                <w:bCs/>
                <w:sz w:val="20"/>
                <w:szCs w:val="20"/>
              </w:rPr>
              <w:t xml:space="preserve"> </w:t>
            </w:r>
            <w:r w:rsidR="00A5102F" w:rsidRPr="00342604">
              <w:rPr>
                <w:bCs/>
                <w:sz w:val="20"/>
                <w:szCs w:val="20"/>
              </w:rPr>
              <w:t>załącznik B.2 do obwieszczenia Ministra Zdrowia.</w:t>
            </w:r>
          </w:p>
          <w:p w14:paraId="2CB39C1F" w14:textId="77777777" w:rsidR="00FD2978" w:rsidRPr="00342604" w:rsidRDefault="00777BFC" w:rsidP="00612C4F">
            <w:pPr>
              <w:spacing w:line="276" w:lineRule="auto"/>
              <w:rPr>
                <w:sz w:val="20"/>
                <w:szCs w:val="20"/>
              </w:rPr>
            </w:pPr>
            <w:r w:rsidRPr="00342604">
              <w:rPr>
                <w:sz w:val="20"/>
                <w:szCs w:val="20"/>
              </w:rPr>
              <w:lastRenderedPageBreak/>
              <w:tab/>
            </w:r>
            <w:r w:rsidRPr="00342604">
              <w:rPr>
                <w:sz w:val="20"/>
                <w:szCs w:val="20"/>
              </w:rPr>
              <w:tab/>
            </w:r>
          </w:p>
          <w:p w14:paraId="01791873" w14:textId="77777777" w:rsidR="004226D9" w:rsidRPr="00342604" w:rsidRDefault="004226D9" w:rsidP="009E2C03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>Monitorowanie leczenia:</w:t>
            </w:r>
          </w:p>
          <w:p w14:paraId="1DAB9652" w14:textId="0D558BC7" w:rsidR="00B36FAE" w:rsidRPr="00342604" w:rsidRDefault="00B36FAE" w:rsidP="00B36FAE">
            <w:pPr>
              <w:pStyle w:val="Akapitzlist"/>
              <w:widowControl w:val="0"/>
              <w:spacing w:after="0"/>
              <w:ind w:left="357" w:hanging="357"/>
              <w:rPr>
                <w:rFonts w:ascii="Times New Roman" w:hAnsi="Times New Roman" w:cstheme="majorBidi"/>
                <w:b/>
                <w:bCs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2.1</w:t>
            </w:r>
            <w:r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. Monitorowanie terapii sofosbuwirem w skojarzeniu z rybawiryną,:</w:t>
            </w:r>
          </w:p>
          <w:p w14:paraId="5AB29783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19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1 dniu, przed podaniem leków:</w:t>
            </w:r>
          </w:p>
          <w:p w14:paraId="106B6C20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morfologia krwi;</w:t>
            </w:r>
          </w:p>
          <w:p w14:paraId="041FB63C" w14:textId="22D72B59" w:rsidR="00B36FAE" w:rsidRPr="00342604" w:rsidRDefault="001A6039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</w:t>
            </w:r>
            <w:r w:rsidR="00B36FAE" w:rsidRPr="00342604">
              <w:rPr>
                <w:rFonts w:ascii="Times New Roman" w:hAnsi="Times New Roman"/>
                <w:spacing w:val="1"/>
                <w:sz w:val="20"/>
                <w:szCs w:val="20"/>
              </w:rPr>
              <w:t>T;</w:t>
            </w:r>
          </w:p>
          <w:p w14:paraId="4F9ECE86" w14:textId="6D2AEE98" w:rsidR="00B36FAE" w:rsidRPr="00342604" w:rsidRDefault="00675622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</w:t>
            </w:r>
            <w:r w:rsidR="00B36FAE" w:rsidRPr="00342604">
              <w:rPr>
                <w:rFonts w:ascii="Times New Roman" w:hAnsi="Times New Roman"/>
                <w:spacing w:val="1"/>
                <w:sz w:val="20"/>
                <w:szCs w:val="20"/>
              </w:rPr>
              <w:t>nie stężenia bilirubiny;</w:t>
            </w:r>
          </w:p>
          <w:p w14:paraId="1A65C366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próba ciążowa u kobiet w wieku rozrodczym;</w:t>
            </w:r>
          </w:p>
          <w:p w14:paraId="4D05D5ED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19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4, 8 tygodniu oraz (jeżeli dotyczy) w 12, 16 i 24 tygodniu:</w:t>
            </w:r>
          </w:p>
          <w:p w14:paraId="73ECD5F0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21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morfologia krwi;</w:t>
            </w:r>
          </w:p>
          <w:p w14:paraId="5FD84728" w14:textId="2110608A" w:rsidR="00B36FAE" w:rsidRPr="00342604" w:rsidRDefault="001A6039" w:rsidP="00B36FAE">
            <w:pPr>
              <w:pStyle w:val="Akapitzlist"/>
              <w:widowControl w:val="0"/>
              <w:numPr>
                <w:ilvl w:val="0"/>
                <w:numId w:val="21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</w:t>
            </w:r>
            <w:r w:rsidR="00B36FAE" w:rsidRPr="00342604">
              <w:rPr>
                <w:rFonts w:ascii="Times New Roman" w:hAnsi="Times New Roman"/>
                <w:spacing w:val="1"/>
                <w:sz w:val="20"/>
                <w:szCs w:val="20"/>
              </w:rPr>
              <w:t>T;</w:t>
            </w:r>
          </w:p>
          <w:p w14:paraId="072EA3D3" w14:textId="3EBB44E2" w:rsidR="00B36FAE" w:rsidRPr="00342604" w:rsidRDefault="00675622" w:rsidP="00B36FAE">
            <w:pPr>
              <w:pStyle w:val="Akapitzlist"/>
              <w:widowControl w:val="0"/>
              <w:numPr>
                <w:ilvl w:val="0"/>
                <w:numId w:val="21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</w:t>
            </w:r>
            <w:r w:rsidR="00B36FAE" w:rsidRPr="00342604">
              <w:rPr>
                <w:rFonts w:ascii="Times New Roman" w:hAnsi="Times New Roman"/>
                <w:spacing w:val="1"/>
                <w:sz w:val="20"/>
                <w:szCs w:val="20"/>
              </w:rPr>
              <w:t>nie stężenia bilirubiny (w 4 tygodniu terapii) – w przypadku występowania zwiększonego stężenia w 4 tygodniu terapii, wskazane jest powtórzyć oznaczenia odpowiednio w 8 tygodniu oraz (jeżeli dotyczy) w 12, 16 i 24 tygodniu;</w:t>
            </w:r>
          </w:p>
          <w:p w14:paraId="234F8469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19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ostatnim dniu leczenia (w 8, 12 albo 24 tygodniu terapii):</w:t>
            </w:r>
          </w:p>
          <w:p w14:paraId="3C9770CF" w14:textId="69570059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22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HCV RNA metodą jakościową</w:t>
            </w:r>
            <w:r w:rsidR="0038490E"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lub ilościową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;</w:t>
            </w:r>
          </w:p>
          <w:p w14:paraId="18CF85AD" w14:textId="77777777" w:rsidR="00B36FAE" w:rsidRPr="00342604" w:rsidRDefault="00B36FAE" w:rsidP="00B36FAE">
            <w:pPr>
              <w:pStyle w:val="Akapitzlist"/>
              <w:widowControl w:val="0"/>
              <w:numPr>
                <w:ilvl w:val="0"/>
                <w:numId w:val="22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USG jamy brzusznej;</w:t>
            </w:r>
          </w:p>
          <w:p w14:paraId="6C47F478" w14:textId="72E57684" w:rsidR="00B36FAE" w:rsidRPr="00342604" w:rsidRDefault="00B36FAE" w:rsidP="00B36FAE">
            <w:pPr>
              <w:pStyle w:val="Akapitzlist"/>
              <w:numPr>
                <w:ilvl w:val="0"/>
                <w:numId w:val="1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po </w:t>
            </w:r>
            <w:r w:rsidR="007C53C5" w:rsidRPr="00342604">
              <w:rPr>
                <w:rFonts w:ascii="Times New Roman" w:hAnsi="Times New Roman"/>
                <w:spacing w:val="1"/>
                <w:sz w:val="20"/>
                <w:szCs w:val="20"/>
              </w:rPr>
              <w:t>12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tygodniach od zakończenia leczenia (w </w:t>
            </w:r>
            <w:r w:rsidR="007C53C5" w:rsidRPr="00342604">
              <w:rPr>
                <w:rFonts w:ascii="Times New Roman" w:hAnsi="Times New Roman"/>
                <w:spacing w:val="1"/>
                <w:sz w:val="20"/>
                <w:szCs w:val="20"/>
              </w:rPr>
              <w:t>20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, </w:t>
            </w:r>
            <w:r w:rsidR="007C53C5" w:rsidRPr="00342604">
              <w:rPr>
                <w:rFonts w:ascii="Times New Roman" w:hAnsi="Times New Roman"/>
                <w:spacing w:val="1"/>
                <w:sz w:val="20"/>
                <w:szCs w:val="20"/>
              </w:rPr>
              <w:t>24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albo </w:t>
            </w:r>
            <w:r w:rsidR="007C53C5" w:rsidRPr="00342604">
              <w:rPr>
                <w:rFonts w:ascii="Times New Roman" w:hAnsi="Times New Roman"/>
                <w:spacing w:val="1"/>
                <w:sz w:val="20"/>
                <w:szCs w:val="20"/>
              </w:rPr>
              <w:t>36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tygodniu terapii):</w:t>
            </w:r>
          </w:p>
          <w:p w14:paraId="1F7A8965" w14:textId="77777777" w:rsidR="00B36FAE" w:rsidRPr="00342604" w:rsidRDefault="00B36FAE" w:rsidP="00B36FAE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oznaczenie HCV RNA metodą jakościową.</w:t>
            </w:r>
          </w:p>
          <w:p w14:paraId="3AF5AD73" w14:textId="39D89BA9" w:rsidR="00F33D9B" w:rsidRPr="00342604" w:rsidRDefault="009023E7" w:rsidP="00F33D9B">
            <w:pPr>
              <w:pStyle w:val="Akapitzlist"/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2.2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. </w:t>
            </w:r>
            <w:r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Monitorowanie terapii </w:t>
            </w:r>
            <w:r w:rsidR="004F0615"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sofosbuwirem w skojarzeniu z ledipaswirem</w:t>
            </w:r>
            <w:r w:rsidR="00597BE8"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lub welpataswirem</w:t>
            </w:r>
            <w:r w:rsidR="004F0615"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(i ewentualnie rybawiryną):</w:t>
            </w:r>
            <w:r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</w:t>
            </w:r>
          </w:p>
          <w:p w14:paraId="7E0BF2BC" w14:textId="77777777" w:rsidR="004226D9" w:rsidRPr="00342604" w:rsidRDefault="004226D9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w 1 dniu, przed podaniem leków:</w:t>
            </w:r>
          </w:p>
          <w:p w14:paraId="2B6C0DF5" w14:textId="77777777" w:rsidR="004226D9" w:rsidRPr="00342604" w:rsidRDefault="004226D9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morfologia krwi;</w:t>
            </w:r>
          </w:p>
          <w:p w14:paraId="6B604CFD" w14:textId="189C4161" w:rsidR="004226D9" w:rsidRPr="00342604" w:rsidRDefault="004226D9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oznaczenie aktywności </w:t>
            </w:r>
            <w:r w:rsidR="001A6039" w:rsidRPr="00342604">
              <w:rPr>
                <w:rFonts w:ascii="Times New Roman" w:hAnsi="Times New Roman"/>
                <w:sz w:val="20"/>
                <w:szCs w:val="20"/>
              </w:rPr>
              <w:t>Al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AT;</w:t>
            </w:r>
          </w:p>
          <w:p w14:paraId="68766FB5" w14:textId="25C40E6D" w:rsidR="004226D9" w:rsidRPr="00342604" w:rsidRDefault="00675622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lastRenderedPageBreak/>
              <w:t>oznacze</w:t>
            </w:r>
            <w:r w:rsidR="00706419" w:rsidRPr="00342604">
              <w:rPr>
                <w:rFonts w:ascii="Times New Roman" w:hAnsi="Times New Roman"/>
                <w:sz w:val="20"/>
                <w:szCs w:val="20"/>
              </w:rPr>
              <w:t>nie stężenia bilirubiny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2A85EE1" w14:textId="3D068403" w:rsidR="004226D9" w:rsidRPr="00342604" w:rsidRDefault="004226D9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próba ciążowa u kobiet w wieku rozrodczym;</w:t>
            </w:r>
          </w:p>
          <w:p w14:paraId="304C9556" w14:textId="77777777" w:rsidR="004226D9" w:rsidRPr="00342604" w:rsidRDefault="004226D9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 xml:space="preserve">w 4, 8, tygodniu oraz </w:t>
            </w:r>
            <w:r w:rsidR="00651E1D" w:rsidRPr="00342604">
              <w:rPr>
                <w:rFonts w:ascii="Times New Roman" w:hAnsi="Times New Roman"/>
                <w:sz w:val="20"/>
                <w:szCs w:val="20"/>
              </w:rPr>
              <w:t>(</w:t>
            </w:r>
            <w:r w:rsidR="005C7F87" w:rsidRPr="00342604">
              <w:rPr>
                <w:rFonts w:ascii="Times New Roman" w:hAnsi="Times New Roman"/>
                <w:sz w:val="20"/>
                <w:szCs w:val="20"/>
              </w:rPr>
              <w:t>j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>eżeli dotyczy</w:t>
            </w:r>
            <w:r w:rsidR="00651E1D" w:rsidRPr="00342604">
              <w:rPr>
                <w:rFonts w:ascii="Times New Roman" w:hAnsi="Times New Roman"/>
                <w:sz w:val="20"/>
                <w:szCs w:val="20"/>
              </w:rPr>
              <w:t>)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 w:rsidR="004F0615" w:rsidRPr="00342604">
              <w:rPr>
                <w:rFonts w:ascii="Times New Roman" w:hAnsi="Times New Roman"/>
                <w:sz w:val="20"/>
                <w:szCs w:val="20"/>
              </w:rPr>
              <w:t xml:space="preserve"> 12,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16 i 24 tygodniu:</w:t>
            </w:r>
          </w:p>
          <w:p w14:paraId="0509D58B" w14:textId="77777777" w:rsidR="004226D9" w:rsidRPr="00342604" w:rsidRDefault="004226D9" w:rsidP="009E2C03">
            <w:pPr>
              <w:pStyle w:val="Akapitzlist"/>
              <w:numPr>
                <w:ilvl w:val="0"/>
                <w:numId w:val="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morfologia krwi;</w:t>
            </w:r>
          </w:p>
          <w:p w14:paraId="6551EC0B" w14:textId="2EDA398C" w:rsidR="004226D9" w:rsidRPr="00342604" w:rsidRDefault="001A6039" w:rsidP="009E2C03">
            <w:pPr>
              <w:pStyle w:val="Akapitzlist"/>
              <w:numPr>
                <w:ilvl w:val="0"/>
                <w:numId w:val="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aktywności Al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>AT;</w:t>
            </w:r>
          </w:p>
          <w:p w14:paraId="73134B06" w14:textId="77777777" w:rsidR="005974CD" w:rsidRPr="00342604" w:rsidRDefault="005974CD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w 4 tygodniu</w:t>
            </w:r>
          </w:p>
          <w:p w14:paraId="46322648" w14:textId="6E7CE715" w:rsidR="005974CD" w:rsidRPr="00342604" w:rsidRDefault="005974CD" w:rsidP="0046790F">
            <w:pPr>
              <w:pStyle w:val="Akapitzlist"/>
              <w:numPr>
                <w:ilvl w:val="0"/>
                <w:numId w:val="37"/>
              </w:numPr>
              <w:spacing w:after="0"/>
              <w:ind w:left="81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stężenia bilirubiny – w przypadku występowania zwiększonego stężenia w 4 tygodniu terapii</w:t>
            </w:r>
            <w:r w:rsidR="003E561E" w:rsidRPr="00342604">
              <w:rPr>
                <w:rFonts w:ascii="Times New Roman" w:hAnsi="Times New Roman"/>
                <w:sz w:val="20"/>
                <w:szCs w:val="20"/>
              </w:rPr>
              <w:t>,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powtórzyć oznacz</w:t>
            </w:r>
            <w:r w:rsidR="003E561E" w:rsidRPr="00342604">
              <w:rPr>
                <w:rFonts w:ascii="Times New Roman" w:hAnsi="Times New Roman"/>
                <w:sz w:val="20"/>
                <w:szCs w:val="20"/>
              </w:rPr>
              <w:t>enia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 w 8 tyg. oraz jeżeli dotyczy w 12,16 i 24 tyg.</w:t>
            </w:r>
          </w:p>
          <w:p w14:paraId="35D47632" w14:textId="77777777" w:rsidR="00CC1C5D" w:rsidRPr="00342604" w:rsidRDefault="004226D9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na zakończenie lecze</w:t>
            </w:r>
            <w:r w:rsidR="00CD7C22" w:rsidRPr="00342604">
              <w:rPr>
                <w:rFonts w:ascii="Times New Roman" w:hAnsi="Times New Roman"/>
                <w:sz w:val="20"/>
                <w:szCs w:val="20"/>
              </w:rPr>
              <w:t>nia</w:t>
            </w:r>
            <w:r w:rsidR="00CC1C5D" w:rsidRPr="0034260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D7C22" w:rsidRPr="00342604">
              <w:rPr>
                <w:rFonts w:ascii="Times New Roman" w:hAnsi="Times New Roman"/>
                <w:sz w:val="20"/>
                <w:szCs w:val="20"/>
              </w:rPr>
              <w:t>w 8, 12 lub 24 tygodniu</w:t>
            </w:r>
            <w:r w:rsidR="00CC1C5D" w:rsidRPr="00342604">
              <w:rPr>
                <w:rFonts w:ascii="Times New Roman" w:hAnsi="Times New Roman"/>
                <w:sz w:val="20"/>
                <w:szCs w:val="20"/>
              </w:rPr>
              <w:t xml:space="preserve"> terapii): </w:t>
            </w:r>
          </w:p>
          <w:p w14:paraId="50522F1C" w14:textId="0EBC027B" w:rsidR="004226D9" w:rsidRPr="00342604" w:rsidRDefault="004226D9" w:rsidP="00CC1C5D">
            <w:pPr>
              <w:pStyle w:val="Akapitzlist"/>
              <w:numPr>
                <w:ilvl w:val="0"/>
                <w:numId w:val="35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oznaczenie HCV RNA metodą ja</w:t>
            </w:r>
            <w:r w:rsidR="00CC1C5D" w:rsidRPr="00342604">
              <w:rPr>
                <w:rFonts w:ascii="Times New Roman" w:hAnsi="Times New Roman"/>
                <w:sz w:val="20"/>
                <w:szCs w:val="20"/>
              </w:rPr>
              <w:t>kościową lub ilościową,</w:t>
            </w:r>
          </w:p>
          <w:p w14:paraId="5DB7ED64" w14:textId="4B94D0EB" w:rsidR="00CC1C5D" w:rsidRPr="00342604" w:rsidRDefault="00CC1C5D" w:rsidP="00CC1C5D">
            <w:pPr>
              <w:pStyle w:val="Akapitzlist"/>
              <w:numPr>
                <w:ilvl w:val="0"/>
                <w:numId w:val="35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USG jamy brzusznej;</w:t>
            </w:r>
          </w:p>
          <w:p w14:paraId="7BE636AF" w14:textId="6A17E166" w:rsidR="004226D9" w:rsidRPr="00342604" w:rsidRDefault="00706419" w:rsidP="00404D79">
            <w:pPr>
              <w:pStyle w:val="Akapitzlist"/>
              <w:numPr>
                <w:ilvl w:val="0"/>
                <w:numId w:val="6"/>
              </w:numPr>
              <w:ind w:left="356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po 12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 tygo</w:t>
            </w:r>
            <w:r w:rsidRPr="00342604">
              <w:rPr>
                <w:rFonts w:ascii="Times New Roman" w:hAnsi="Times New Roman"/>
                <w:sz w:val="20"/>
                <w:szCs w:val="20"/>
              </w:rPr>
              <w:t xml:space="preserve">dniach od zakończenia leczenia (w 20, 24 lub 36 tygodniu terapii) </w:t>
            </w:r>
            <w:r w:rsidR="00CD7C22" w:rsidRPr="00342604">
              <w:rPr>
                <w:rFonts w:ascii="Times New Roman" w:hAnsi="Times New Roman"/>
                <w:sz w:val="20"/>
                <w:szCs w:val="20"/>
              </w:rPr>
              <w:t xml:space="preserve">wykonać 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oznaczenie HCV RNA metodą jakościową </w:t>
            </w:r>
            <w:r w:rsidR="00FD2978" w:rsidRPr="00342604">
              <w:rPr>
                <w:rFonts w:ascii="Times New Roman" w:hAnsi="Times New Roman"/>
                <w:sz w:val="20"/>
                <w:szCs w:val="20"/>
              </w:rPr>
              <w:t>oraz ewentualnie</w:t>
            </w:r>
            <w:r w:rsidR="004226D9" w:rsidRPr="00342604">
              <w:rPr>
                <w:rFonts w:ascii="Times New Roman" w:hAnsi="Times New Roman"/>
                <w:sz w:val="20"/>
                <w:szCs w:val="20"/>
              </w:rPr>
              <w:t xml:space="preserve"> USG jamy brzusznej</w:t>
            </w:r>
            <w:r w:rsidR="009438AD" w:rsidRPr="0034260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B138D3" w14:textId="77777777" w:rsidR="00DE248E" w:rsidRPr="00342604" w:rsidRDefault="006C1B22" w:rsidP="009E2C03">
            <w:pPr>
              <w:pStyle w:val="Akapitzlist"/>
              <w:numPr>
                <w:ilvl w:val="1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Monitorowanie terapii sofosbuwirem w skojarzeniu z interferonem pegylowanym i rybawiryną polega na monitorowaniu terapii interferonowej opisanej i finansowanej w ramach programu  „Leczenie przewlekłego wirusowego zapalenia wątroby typu C (ICD-10 B 18.2)" -</w:t>
            </w:r>
            <w:r w:rsidR="00E62CB6"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załącznik B.2 do obwieszczenia Ministra Zdrowia </w:t>
            </w:r>
            <w:r w:rsidR="00F40101"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z uwzględnieniem 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czasu </w:t>
            </w:r>
            <w:r w:rsidR="00F40101"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w/w terapii 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określony</w:t>
            </w:r>
            <w:r w:rsidR="00F40101" w:rsidRPr="00342604"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w </w:t>
            </w:r>
            <w:r w:rsidR="00F40101" w:rsidRPr="0034260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Charakterystyce Produktu Leczniczego zawierającego sofosbuwir</w:t>
            </w: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  <w:p w14:paraId="27DDABC7" w14:textId="77777777" w:rsidR="002C4E34" w:rsidRPr="00342604" w:rsidRDefault="00DE248E" w:rsidP="009E2C03">
            <w:pPr>
              <w:pStyle w:val="Akapitzlist"/>
              <w:numPr>
                <w:ilvl w:val="1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Monitorowanie </w:t>
            </w:r>
            <w:r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terapii grazoprewirem+elbaswirem (i ewentualnie rybawiryną):</w:t>
            </w:r>
          </w:p>
          <w:p w14:paraId="7E13C2D0" w14:textId="77777777" w:rsidR="00DE248E" w:rsidRPr="00342604" w:rsidRDefault="00DE248E" w:rsidP="009E2C03">
            <w:pPr>
              <w:pStyle w:val="Akapitzlist"/>
              <w:numPr>
                <w:ilvl w:val="0"/>
                <w:numId w:val="31"/>
              </w:numPr>
              <w:spacing w:after="0"/>
              <w:ind w:left="356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1 dniu, przed podaniem leków:</w:t>
            </w:r>
          </w:p>
          <w:p w14:paraId="57259761" w14:textId="7A6103A1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morfologia </w:t>
            </w:r>
            <w:r w:rsidR="00675622" w:rsidRPr="00342604">
              <w:rPr>
                <w:rFonts w:ascii="Times New Roman" w:hAnsi="Times New Roman"/>
                <w:spacing w:val="1"/>
                <w:sz w:val="20"/>
                <w:szCs w:val="20"/>
              </w:rPr>
              <w:t>krwi;</w:t>
            </w:r>
          </w:p>
          <w:p w14:paraId="582D3AC8" w14:textId="77777777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lastRenderedPageBreak/>
              <w:t>oznaczenie aktywności AlAT;</w:t>
            </w:r>
          </w:p>
          <w:p w14:paraId="0AF6EAA6" w14:textId="3D94AB49" w:rsidR="00675622" w:rsidRPr="00342604" w:rsidRDefault="00675622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stężenia bilirubiny;</w:t>
            </w:r>
          </w:p>
          <w:p w14:paraId="5A34DCA0" w14:textId="77777777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próba ciążowa u kobiet w wieku rozrodczym;</w:t>
            </w:r>
          </w:p>
          <w:p w14:paraId="3900DB63" w14:textId="77777777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3"/>
              </w:numPr>
              <w:spacing w:before="1" w:after="0"/>
              <w:ind w:left="356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4, 8, 12 tygodniu (oraz 16 tygodniu - w przypadku terapii trwającej 16 tygodni):</w:t>
            </w:r>
          </w:p>
          <w:p w14:paraId="70ED4911" w14:textId="049BFF01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morfologia krwi</w:t>
            </w:r>
            <w:r w:rsidR="00675622" w:rsidRPr="00342604">
              <w:rPr>
                <w:rFonts w:ascii="Times New Roman" w:hAnsi="Times New Roman"/>
                <w:spacing w:val="1"/>
                <w:sz w:val="20"/>
                <w:szCs w:val="20"/>
              </w:rPr>
              <w:t>;</w:t>
            </w:r>
          </w:p>
          <w:p w14:paraId="5A1904CA" w14:textId="77777777" w:rsidR="00DE248E" w:rsidRPr="00342604" w:rsidRDefault="00DE248E" w:rsidP="009E2C03">
            <w:pPr>
              <w:pStyle w:val="Akapitzlist"/>
              <w:widowControl w:val="0"/>
              <w:numPr>
                <w:ilvl w:val="0"/>
                <w:numId w:val="34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AlAT;</w:t>
            </w:r>
          </w:p>
          <w:p w14:paraId="4A5DAFC6" w14:textId="072D17CC" w:rsidR="00675622" w:rsidRPr="00342604" w:rsidRDefault="00675622" w:rsidP="009E2C03">
            <w:pPr>
              <w:pStyle w:val="Akapitzlist"/>
              <w:widowControl w:val="0"/>
              <w:numPr>
                <w:ilvl w:val="0"/>
                <w:numId w:val="34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stężenia bilirubiny;</w:t>
            </w:r>
          </w:p>
          <w:p w14:paraId="2D456956" w14:textId="77777777" w:rsidR="00CC1C5D" w:rsidRPr="00342604" w:rsidRDefault="00DE248E" w:rsidP="009E2C03">
            <w:pPr>
              <w:pStyle w:val="Akapitzlist"/>
              <w:widowControl w:val="0"/>
              <w:numPr>
                <w:ilvl w:val="0"/>
                <w:numId w:val="33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na zakończenie leczenia</w:t>
            </w:r>
            <w:r w:rsidR="00CC1C5D" w:rsidRPr="00342604">
              <w:rPr>
                <w:rFonts w:ascii="Times New Roman" w:hAnsi="Times New Roman"/>
                <w:spacing w:val="1"/>
                <w:sz w:val="20"/>
                <w:szCs w:val="20"/>
              </w:rPr>
              <w:t>: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14:paraId="0CD99DB7" w14:textId="6760C77E" w:rsidR="00DE248E" w:rsidRPr="00342604" w:rsidRDefault="00DE248E" w:rsidP="00CC1C5D">
            <w:pPr>
              <w:pStyle w:val="Akapitzlist"/>
              <w:widowControl w:val="0"/>
              <w:numPr>
                <w:ilvl w:val="0"/>
                <w:numId w:val="36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oznaczenie HCV RNA </w:t>
            </w:r>
            <w:r w:rsidR="00CC1C5D" w:rsidRPr="00342604">
              <w:rPr>
                <w:rFonts w:ascii="Times New Roman" w:hAnsi="Times New Roman"/>
                <w:spacing w:val="1"/>
                <w:sz w:val="20"/>
                <w:szCs w:val="20"/>
              </w:rPr>
              <w:t>metodą jakościową lub ilościową,</w:t>
            </w:r>
          </w:p>
          <w:p w14:paraId="06D212D4" w14:textId="76961352" w:rsidR="00CC1C5D" w:rsidRPr="00342604" w:rsidRDefault="00CC1C5D" w:rsidP="00CC1C5D">
            <w:pPr>
              <w:pStyle w:val="Akapitzlist"/>
              <w:widowControl w:val="0"/>
              <w:numPr>
                <w:ilvl w:val="0"/>
                <w:numId w:val="36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USG jamy brzusznej;</w:t>
            </w:r>
          </w:p>
          <w:p w14:paraId="13843147" w14:textId="54CD419E" w:rsidR="00DE248E" w:rsidRPr="00342604" w:rsidRDefault="00DE248E" w:rsidP="00404D79">
            <w:pPr>
              <w:pStyle w:val="Akapitzlist"/>
              <w:numPr>
                <w:ilvl w:val="0"/>
                <w:numId w:val="33"/>
              </w:numPr>
              <w:ind w:left="356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po 12 tygodniach od zakończenia leczenia (w 24 albo 28 tygodniu terapii) wykonać oznaczenie HCV RNA metodą jakościową</w:t>
            </w:r>
            <w:r w:rsidR="00675622" w:rsidRPr="00342604">
              <w:rPr>
                <w:rFonts w:ascii="Times New Roman" w:hAnsi="Times New Roman"/>
                <w:spacing w:val="1"/>
                <w:sz w:val="20"/>
                <w:szCs w:val="20"/>
              </w:rPr>
              <w:t>.</w:t>
            </w:r>
          </w:p>
          <w:p w14:paraId="23EA5267" w14:textId="77777777" w:rsidR="006E40EB" w:rsidRPr="00342604" w:rsidRDefault="006E40EB" w:rsidP="006E40EB">
            <w:pPr>
              <w:pStyle w:val="Akapitzlist"/>
              <w:numPr>
                <w:ilvl w:val="1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Monitorowanie </w:t>
            </w:r>
            <w:r w:rsidRPr="00342604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terapii glekaprewirem+pibrentaswirem:</w:t>
            </w:r>
          </w:p>
          <w:p w14:paraId="6F68088A" w14:textId="77777777" w:rsidR="006E40EB" w:rsidRPr="00342604" w:rsidRDefault="006E40EB" w:rsidP="006E40EB">
            <w:pPr>
              <w:pStyle w:val="Akapitzlist"/>
              <w:numPr>
                <w:ilvl w:val="0"/>
                <w:numId w:val="31"/>
              </w:numPr>
              <w:spacing w:after="0"/>
              <w:ind w:left="356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1 dniu, przed podaniem leków:</w:t>
            </w:r>
          </w:p>
          <w:p w14:paraId="051C8F25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8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morfologia krwi;</w:t>
            </w:r>
          </w:p>
          <w:p w14:paraId="33AC3F68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8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AlAT;</w:t>
            </w:r>
          </w:p>
          <w:p w14:paraId="72093EC3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8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stężenia bilirubiny;</w:t>
            </w:r>
          </w:p>
          <w:p w14:paraId="67B9B1B4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8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próba ciążowa u kobiet w wieku rozrodczym;</w:t>
            </w:r>
          </w:p>
          <w:p w14:paraId="59E331C3" w14:textId="77777777" w:rsidR="006E40EB" w:rsidRPr="00342604" w:rsidRDefault="006E40EB" w:rsidP="006E40EB">
            <w:pPr>
              <w:pStyle w:val="Akapitzlist"/>
              <w:widowControl w:val="0"/>
              <w:numPr>
                <w:ilvl w:val="0"/>
                <w:numId w:val="33"/>
              </w:numPr>
              <w:spacing w:before="1" w:after="0"/>
              <w:ind w:left="356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w 4, 8 tygodniu oraz (jeżeli dotyczy) 12, 16 tygodniu:</w:t>
            </w:r>
          </w:p>
          <w:p w14:paraId="7BF8EAD7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morfologia krwi;</w:t>
            </w:r>
          </w:p>
          <w:p w14:paraId="1756349E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9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AlAT;</w:t>
            </w:r>
          </w:p>
          <w:p w14:paraId="612D4446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39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oznaczenie stężenia bilirubiny (w 4 tygodniu terapii) – w przypadku występowania zwiększonego stężenia w 4 tygodniu terapii, wskazane jest powtórzyć oznaczenia odpowiednio w 8 tygodniu oraz (jeżeli dotyczy) 12, 16 tygodniu;</w:t>
            </w:r>
          </w:p>
          <w:p w14:paraId="20A11815" w14:textId="77777777" w:rsidR="006E40EB" w:rsidRPr="00342604" w:rsidRDefault="006E40EB" w:rsidP="006E40EB">
            <w:pPr>
              <w:pStyle w:val="Akapitzlist"/>
              <w:widowControl w:val="0"/>
              <w:numPr>
                <w:ilvl w:val="0"/>
                <w:numId w:val="33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na zakończenie leczenia: </w:t>
            </w:r>
          </w:p>
          <w:p w14:paraId="5F25B19F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40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oznaczenie HCV RNA metodą jakościową lub </w:t>
            </w: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lastRenderedPageBreak/>
              <w:t>ilościową,</w:t>
            </w:r>
          </w:p>
          <w:p w14:paraId="441C125A" w14:textId="77777777" w:rsidR="006E40EB" w:rsidRPr="00342604" w:rsidRDefault="006E40EB" w:rsidP="0005344F">
            <w:pPr>
              <w:pStyle w:val="Akapitzlist"/>
              <w:widowControl w:val="0"/>
              <w:numPr>
                <w:ilvl w:val="0"/>
                <w:numId w:val="40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pacing w:val="1"/>
                <w:sz w:val="20"/>
                <w:szCs w:val="20"/>
              </w:rPr>
              <w:t>USG jamy brzusznej;</w:t>
            </w:r>
          </w:p>
          <w:p w14:paraId="2806B213" w14:textId="24FDBB43" w:rsidR="006E40EB" w:rsidRPr="00F51865" w:rsidRDefault="0005344F">
            <w:pPr>
              <w:pStyle w:val="Akapitzlist"/>
              <w:numPr>
                <w:ilvl w:val="0"/>
                <w:numId w:val="33"/>
              </w:numPr>
              <w:ind w:left="356"/>
              <w:rPr>
                <w:rFonts w:ascii="Times New Roman" w:hAnsi="Times New Roman"/>
                <w:sz w:val="20"/>
                <w:szCs w:val="20"/>
              </w:rPr>
            </w:pPr>
            <w:r w:rsidRPr="00F51865">
              <w:rPr>
                <w:rFonts w:ascii="Times New Roman" w:hAnsi="Times New Roman"/>
                <w:sz w:val="20"/>
                <w:szCs w:val="20"/>
              </w:rPr>
              <w:t>po 12 tygodniach od zakończenia leczenia (w 20 albo 24 albo 28 tygodniu terapii) wykonać oznaczenie HCV RNA metodą jakościową.</w:t>
            </w:r>
          </w:p>
          <w:p w14:paraId="51632252" w14:textId="77777777" w:rsidR="004F0615" w:rsidRPr="00342604" w:rsidRDefault="004F0615" w:rsidP="00725F8A">
            <w:pPr>
              <w:pStyle w:val="Akapitzlist"/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  <w:p w14:paraId="63288019" w14:textId="77777777" w:rsidR="000F750B" w:rsidRPr="00342604" w:rsidRDefault="000F750B" w:rsidP="009E2C03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342604">
              <w:rPr>
                <w:rFonts w:ascii="Times New Roman" w:hAnsi="Times New Roman"/>
                <w:b/>
                <w:sz w:val="20"/>
                <w:szCs w:val="20"/>
              </w:rPr>
              <w:t>Monitorowanie programu:</w:t>
            </w:r>
          </w:p>
          <w:p w14:paraId="23C736E5" w14:textId="77777777" w:rsidR="000F750B" w:rsidRPr="00342604" w:rsidRDefault="000F750B" w:rsidP="009E2C03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gromadzenie w dokumentacji medycznej pacjenta danych dotyczących monitorowania leczenia i każdorazowe ich przedstawianie na żądanie kontrolerów Narodowego Funduszu Zdrowia;</w:t>
            </w:r>
          </w:p>
          <w:p w14:paraId="2C91B3AD" w14:textId="77777777" w:rsidR="000F750B" w:rsidRPr="00342604" w:rsidRDefault="0020287F" w:rsidP="009E2C03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uzupełnia</w:t>
            </w:r>
            <w:r w:rsidR="000F750B" w:rsidRPr="00342604">
              <w:rPr>
                <w:rFonts w:ascii="Times New Roman" w:hAnsi="Times New Roman"/>
                <w:sz w:val="20"/>
                <w:szCs w:val="20"/>
              </w:rPr>
              <w:t>nie danych zawartych w rejestrze (SMPT) dostępnym za pomocą aplikacji internetowej udostępnionej przez OW NFZ, z częstotliwością zgodną z opisem programu oraz na zakończenie leczenia;</w:t>
            </w:r>
          </w:p>
          <w:p w14:paraId="6CA6CE6F" w14:textId="77777777" w:rsidR="000F750B" w:rsidRPr="00342604" w:rsidRDefault="000F750B" w:rsidP="009E2C03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42604">
              <w:rPr>
                <w:rFonts w:ascii="Times New Roman" w:hAnsi="Times New Roman"/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14:paraId="7FB71EF7" w14:textId="0CF370CD" w:rsidR="00C52F67" w:rsidRPr="00342604" w:rsidRDefault="00C52F67" w:rsidP="00D25BF6">
      <w:pPr>
        <w:pStyle w:val="Style2"/>
        <w:widowControl/>
        <w:spacing w:before="5"/>
        <w:rPr>
          <w:b/>
        </w:rPr>
      </w:pPr>
    </w:p>
    <w:sectPr w:rsidR="00C52F67" w:rsidRPr="00342604" w:rsidSect="00342604">
      <w:pgSz w:w="16838" w:h="11906" w:orient="landscape" w:code="9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192A5" w14:textId="77777777" w:rsidR="00FC529D" w:rsidRDefault="00FC529D" w:rsidP="00913AAA">
      <w:r>
        <w:separator/>
      </w:r>
    </w:p>
  </w:endnote>
  <w:endnote w:type="continuationSeparator" w:id="0">
    <w:p w14:paraId="2B582B71" w14:textId="77777777" w:rsidR="00FC529D" w:rsidRDefault="00FC529D" w:rsidP="00913AAA">
      <w:r>
        <w:continuationSeparator/>
      </w:r>
    </w:p>
  </w:endnote>
  <w:endnote w:type="continuationNotice" w:id="1">
    <w:p w14:paraId="126AACE1" w14:textId="77777777" w:rsidR="00FC529D" w:rsidRDefault="00FC5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9B3F8" w14:textId="77777777" w:rsidR="00FC529D" w:rsidRDefault="00FC529D" w:rsidP="00913AAA">
      <w:r>
        <w:separator/>
      </w:r>
    </w:p>
  </w:footnote>
  <w:footnote w:type="continuationSeparator" w:id="0">
    <w:p w14:paraId="450E0A72" w14:textId="77777777" w:rsidR="00FC529D" w:rsidRDefault="00FC529D" w:rsidP="00913AAA">
      <w:r>
        <w:continuationSeparator/>
      </w:r>
    </w:p>
  </w:footnote>
  <w:footnote w:type="continuationNotice" w:id="1">
    <w:p w14:paraId="7170C0F0" w14:textId="77777777" w:rsidR="00FC529D" w:rsidRDefault="00FC52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1040"/>
    <w:multiLevelType w:val="hybridMultilevel"/>
    <w:tmpl w:val="4E98A1F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454931"/>
    <w:multiLevelType w:val="hybridMultilevel"/>
    <w:tmpl w:val="1FC4E788"/>
    <w:lvl w:ilvl="0" w:tplc="6BB0A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19E3"/>
    <w:multiLevelType w:val="hybridMultilevel"/>
    <w:tmpl w:val="7DC45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F62EB"/>
    <w:multiLevelType w:val="multilevel"/>
    <w:tmpl w:val="E1A29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60A4ED2"/>
    <w:multiLevelType w:val="hybridMultilevel"/>
    <w:tmpl w:val="70EEDA8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6767F80"/>
    <w:multiLevelType w:val="hybridMultilevel"/>
    <w:tmpl w:val="37FC3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B68FF"/>
    <w:multiLevelType w:val="hybridMultilevel"/>
    <w:tmpl w:val="9A843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5264C"/>
    <w:multiLevelType w:val="hybridMultilevel"/>
    <w:tmpl w:val="BB0AF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02F48"/>
    <w:multiLevelType w:val="hybridMultilevel"/>
    <w:tmpl w:val="2CD09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1E90"/>
    <w:multiLevelType w:val="hybridMultilevel"/>
    <w:tmpl w:val="6BE82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92F52"/>
    <w:multiLevelType w:val="hybridMultilevel"/>
    <w:tmpl w:val="4238B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45C82"/>
    <w:multiLevelType w:val="hybridMultilevel"/>
    <w:tmpl w:val="88B29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95511"/>
    <w:multiLevelType w:val="hybridMultilevel"/>
    <w:tmpl w:val="53A2C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45870"/>
    <w:multiLevelType w:val="hybridMultilevel"/>
    <w:tmpl w:val="12606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B7A59"/>
    <w:multiLevelType w:val="hybridMultilevel"/>
    <w:tmpl w:val="0100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D238E"/>
    <w:multiLevelType w:val="hybridMultilevel"/>
    <w:tmpl w:val="EBD4E13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DD10A2C"/>
    <w:multiLevelType w:val="hybridMultilevel"/>
    <w:tmpl w:val="DBF4D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536A7"/>
    <w:multiLevelType w:val="hybridMultilevel"/>
    <w:tmpl w:val="9104E0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C7F07"/>
    <w:multiLevelType w:val="hybridMultilevel"/>
    <w:tmpl w:val="EBF80F9A"/>
    <w:lvl w:ilvl="0" w:tplc="62443A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5F7E30"/>
    <w:multiLevelType w:val="hybridMultilevel"/>
    <w:tmpl w:val="DC94BD0E"/>
    <w:lvl w:ilvl="0" w:tplc="7D0A74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731F7"/>
    <w:multiLevelType w:val="hybridMultilevel"/>
    <w:tmpl w:val="21AE8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A287A"/>
    <w:multiLevelType w:val="hybridMultilevel"/>
    <w:tmpl w:val="0276E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238C5"/>
    <w:multiLevelType w:val="hybridMultilevel"/>
    <w:tmpl w:val="43CE8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465E6"/>
    <w:multiLevelType w:val="hybridMultilevel"/>
    <w:tmpl w:val="59EC0CB6"/>
    <w:lvl w:ilvl="0" w:tplc="2650547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B7496"/>
    <w:multiLevelType w:val="hybridMultilevel"/>
    <w:tmpl w:val="FABA4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F5214"/>
    <w:multiLevelType w:val="hybridMultilevel"/>
    <w:tmpl w:val="FFB8C3A2"/>
    <w:lvl w:ilvl="0" w:tplc="21EEFA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426A0C9B"/>
    <w:multiLevelType w:val="hybridMultilevel"/>
    <w:tmpl w:val="1FC4E788"/>
    <w:lvl w:ilvl="0" w:tplc="6BB0A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440A7"/>
    <w:multiLevelType w:val="hybridMultilevel"/>
    <w:tmpl w:val="20526A14"/>
    <w:lvl w:ilvl="0" w:tplc="E18C765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F257F45"/>
    <w:multiLevelType w:val="hybridMultilevel"/>
    <w:tmpl w:val="00F63FD0"/>
    <w:lvl w:ilvl="0" w:tplc="C7CA22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41FF7"/>
    <w:multiLevelType w:val="hybridMultilevel"/>
    <w:tmpl w:val="B8D65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491A6A"/>
    <w:multiLevelType w:val="hybridMultilevel"/>
    <w:tmpl w:val="00F63FD0"/>
    <w:lvl w:ilvl="0" w:tplc="C7CA22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83E43"/>
    <w:multiLevelType w:val="hybridMultilevel"/>
    <w:tmpl w:val="FFB8C3A2"/>
    <w:lvl w:ilvl="0" w:tplc="21EEFA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98F0A77"/>
    <w:multiLevelType w:val="hybridMultilevel"/>
    <w:tmpl w:val="314A4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308DF"/>
    <w:multiLevelType w:val="hybridMultilevel"/>
    <w:tmpl w:val="0CD24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B07D9"/>
    <w:multiLevelType w:val="hybridMultilevel"/>
    <w:tmpl w:val="0A0829A6"/>
    <w:lvl w:ilvl="0" w:tplc="69B4829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5" w15:restartNumberingAfterBreak="0">
    <w:nsid w:val="669C42AC"/>
    <w:multiLevelType w:val="hybridMultilevel"/>
    <w:tmpl w:val="E91A3856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6" w15:restartNumberingAfterBreak="0">
    <w:nsid w:val="74B052DB"/>
    <w:multiLevelType w:val="hybridMultilevel"/>
    <w:tmpl w:val="BB9CFF46"/>
    <w:lvl w:ilvl="0" w:tplc="62443A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DC6FA2"/>
    <w:multiLevelType w:val="hybridMultilevel"/>
    <w:tmpl w:val="F3CED486"/>
    <w:lvl w:ilvl="0" w:tplc="62443A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73E9E"/>
    <w:multiLevelType w:val="hybridMultilevel"/>
    <w:tmpl w:val="0B0E9A9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80E73EA"/>
    <w:multiLevelType w:val="hybridMultilevel"/>
    <w:tmpl w:val="36581B06"/>
    <w:lvl w:ilvl="0" w:tplc="0F36E3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21"/>
  </w:num>
  <w:num w:numId="5">
    <w:abstractNumId w:val="16"/>
  </w:num>
  <w:num w:numId="6">
    <w:abstractNumId w:val="35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32"/>
  </w:num>
  <w:num w:numId="12">
    <w:abstractNumId w:val="18"/>
  </w:num>
  <w:num w:numId="13">
    <w:abstractNumId w:val="19"/>
  </w:num>
  <w:num w:numId="14">
    <w:abstractNumId w:val="29"/>
  </w:num>
  <w:num w:numId="15">
    <w:abstractNumId w:val="37"/>
  </w:num>
  <w:num w:numId="16">
    <w:abstractNumId w:val="8"/>
  </w:num>
  <w:num w:numId="17">
    <w:abstractNumId w:val="36"/>
  </w:num>
  <w:num w:numId="18">
    <w:abstractNumId w:val="0"/>
  </w:num>
  <w:num w:numId="19">
    <w:abstractNumId w:val="33"/>
  </w:num>
  <w:num w:numId="20">
    <w:abstractNumId w:val="38"/>
  </w:num>
  <w:num w:numId="21">
    <w:abstractNumId w:val="4"/>
  </w:num>
  <w:num w:numId="22">
    <w:abstractNumId w:val="15"/>
  </w:num>
  <w:num w:numId="23">
    <w:abstractNumId w:val="5"/>
  </w:num>
  <w:num w:numId="24">
    <w:abstractNumId w:val="17"/>
  </w:num>
  <w:num w:numId="25">
    <w:abstractNumId w:val="24"/>
  </w:num>
  <w:num w:numId="26">
    <w:abstractNumId w:val="20"/>
  </w:num>
  <w:num w:numId="27">
    <w:abstractNumId w:val="10"/>
  </w:num>
  <w:num w:numId="28">
    <w:abstractNumId w:val="2"/>
  </w:num>
  <w:num w:numId="29">
    <w:abstractNumId w:val="9"/>
  </w:num>
  <w:num w:numId="30">
    <w:abstractNumId w:val="22"/>
  </w:num>
  <w:num w:numId="31">
    <w:abstractNumId w:val="27"/>
  </w:num>
  <w:num w:numId="32">
    <w:abstractNumId w:val="1"/>
  </w:num>
  <w:num w:numId="33">
    <w:abstractNumId w:val="23"/>
  </w:num>
  <w:num w:numId="34">
    <w:abstractNumId w:val="30"/>
  </w:num>
  <w:num w:numId="35">
    <w:abstractNumId w:val="39"/>
  </w:num>
  <w:num w:numId="36">
    <w:abstractNumId w:val="25"/>
  </w:num>
  <w:num w:numId="37">
    <w:abstractNumId w:val="34"/>
  </w:num>
  <w:num w:numId="38">
    <w:abstractNumId w:val="26"/>
  </w:num>
  <w:num w:numId="39">
    <w:abstractNumId w:val="28"/>
  </w:num>
  <w:num w:numId="40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12"/>
    <w:rsid w:val="00000643"/>
    <w:rsid w:val="00003256"/>
    <w:rsid w:val="00046335"/>
    <w:rsid w:val="0005344F"/>
    <w:rsid w:val="00081D5A"/>
    <w:rsid w:val="000869B0"/>
    <w:rsid w:val="00094467"/>
    <w:rsid w:val="000A0490"/>
    <w:rsid w:val="000B2708"/>
    <w:rsid w:val="000F2BDF"/>
    <w:rsid w:val="000F4C3E"/>
    <w:rsid w:val="000F5F7F"/>
    <w:rsid w:val="000F750B"/>
    <w:rsid w:val="00100A37"/>
    <w:rsid w:val="001357D6"/>
    <w:rsid w:val="001400C6"/>
    <w:rsid w:val="001415E6"/>
    <w:rsid w:val="0015222E"/>
    <w:rsid w:val="001A6039"/>
    <w:rsid w:val="001A6A05"/>
    <w:rsid w:val="001B43E5"/>
    <w:rsid w:val="001C243F"/>
    <w:rsid w:val="001E2E25"/>
    <w:rsid w:val="001F73BF"/>
    <w:rsid w:val="00201A12"/>
    <w:rsid w:val="0020287F"/>
    <w:rsid w:val="002818A3"/>
    <w:rsid w:val="002A2D05"/>
    <w:rsid w:val="002A659C"/>
    <w:rsid w:val="002A7E67"/>
    <w:rsid w:val="002B6B12"/>
    <w:rsid w:val="002C4E34"/>
    <w:rsid w:val="0031597D"/>
    <w:rsid w:val="003242DB"/>
    <w:rsid w:val="00342604"/>
    <w:rsid w:val="003558AD"/>
    <w:rsid w:val="0037036E"/>
    <w:rsid w:val="0038490E"/>
    <w:rsid w:val="003926D5"/>
    <w:rsid w:val="003A1059"/>
    <w:rsid w:val="003A4FF2"/>
    <w:rsid w:val="003E561E"/>
    <w:rsid w:val="00404D79"/>
    <w:rsid w:val="00407D55"/>
    <w:rsid w:val="00411732"/>
    <w:rsid w:val="004226D9"/>
    <w:rsid w:val="00430939"/>
    <w:rsid w:val="0043324A"/>
    <w:rsid w:val="00434D4C"/>
    <w:rsid w:val="0046790F"/>
    <w:rsid w:val="004C182B"/>
    <w:rsid w:val="004E2D35"/>
    <w:rsid w:val="004F0615"/>
    <w:rsid w:val="004F1712"/>
    <w:rsid w:val="004F72E8"/>
    <w:rsid w:val="00513883"/>
    <w:rsid w:val="00513B65"/>
    <w:rsid w:val="0051513C"/>
    <w:rsid w:val="005158AB"/>
    <w:rsid w:val="00517F20"/>
    <w:rsid w:val="00521693"/>
    <w:rsid w:val="00537457"/>
    <w:rsid w:val="005525E9"/>
    <w:rsid w:val="0058394C"/>
    <w:rsid w:val="0059283F"/>
    <w:rsid w:val="005974CD"/>
    <w:rsid w:val="00597BE8"/>
    <w:rsid w:val="005A3B5B"/>
    <w:rsid w:val="005C04F5"/>
    <w:rsid w:val="005C4C92"/>
    <w:rsid w:val="005C7F87"/>
    <w:rsid w:val="005E574F"/>
    <w:rsid w:val="005E7ED2"/>
    <w:rsid w:val="005F6058"/>
    <w:rsid w:val="00612C4F"/>
    <w:rsid w:val="00635EB7"/>
    <w:rsid w:val="00651E1D"/>
    <w:rsid w:val="00675622"/>
    <w:rsid w:val="006768D6"/>
    <w:rsid w:val="006A77AA"/>
    <w:rsid w:val="006B6526"/>
    <w:rsid w:val="006C1B22"/>
    <w:rsid w:val="006C4D75"/>
    <w:rsid w:val="006E40EB"/>
    <w:rsid w:val="00706419"/>
    <w:rsid w:val="00717EF9"/>
    <w:rsid w:val="00725F8A"/>
    <w:rsid w:val="00765D79"/>
    <w:rsid w:val="00777BFC"/>
    <w:rsid w:val="007C53C5"/>
    <w:rsid w:val="007D1A59"/>
    <w:rsid w:val="007D53EB"/>
    <w:rsid w:val="007D7064"/>
    <w:rsid w:val="007D75E6"/>
    <w:rsid w:val="007F41CA"/>
    <w:rsid w:val="00865166"/>
    <w:rsid w:val="00866296"/>
    <w:rsid w:val="008721CB"/>
    <w:rsid w:val="008A229F"/>
    <w:rsid w:val="008C520F"/>
    <w:rsid w:val="008D057B"/>
    <w:rsid w:val="008F7921"/>
    <w:rsid w:val="009023E7"/>
    <w:rsid w:val="00904799"/>
    <w:rsid w:val="00907303"/>
    <w:rsid w:val="00913AAA"/>
    <w:rsid w:val="009174F7"/>
    <w:rsid w:val="00922889"/>
    <w:rsid w:val="00927FEA"/>
    <w:rsid w:val="009438AD"/>
    <w:rsid w:val="00956373"/>
    <w:rsid w:val="00964651"/>
    <w:rsid w:val="00991CD0"/>
    <w:rsid w:val="009D6876"/>
    <w:rsid w:val="009D7505"/>
    <w:rsid w:val="009E2C03"/>
    <w:rsid w:val="009E5506"/>
    <w:rsid w:val="009E6D50"/>
    <w:rsid w:val="00A0009F"/>
    <w:rsid w:val="00A056F5"/>
    <w:rsid w:val="00A162C8"/>
    <w:rsid w:val="00A44B14"/>
    <w:rsid w:val="00A5102F"/>
    <w:rsid w:val="00A86969"/>
    <w:rsid w:val="00A94DF9"/>
    <w:rsid w:val="00A96385"/>
    <w:rsid w:val="00AC66D4"/>
    <w:rsid w:val="00AF71C9"/>
    <w:rsid w:val="00B16979"/>
    <w:rsid w:val="00B2319A"/>
    <w:rsid w:val="00B32907"/>
    <w:rsid w:val="00B36FAE"/>
    <w:rsid w:val="00B541CE"/>
    <w:rsid w:val="00B718B0"/>
    <w:rsid w:val="00B92D8E"/>
    <w:rsid w:val="00B9696C"/>
    <w:rsid w:val="00BA3598"/>
    <w:rsid w:val="00BB49F8"/>
    <w:rsid w:val="00BE5A22"/>
    <w:rsid w:val="00BF2A36"/>
    <w:rsid w:val="00C04A5E"/>
    <w:rsid w:val="00C252D8"/>
    <w:rsid w:val="00C27AD7"/>
    <w:rsid w:val="00C347DC"/>
    <w:rsid w:val="00C3573A"/>
    <w:rsid w:val="00C51E26"/>
    <w:rsid w:val="00C52F67"/>
    <w:rsid w:val="00C54EC7"/>
    <w:rsid w:val="00C725CD"/>
    <w:rsid w:val="00C87E8E"/>
    <w:rsid w:val="00CA3704"/>
    <w:rsid w:val="00CC1C5D"/>
    <w:rsid w:val="00CD7C22"/>
    <w:rsid w:val="00CF4575"/>
    <w:rsid w:val="00D20D07"/>
    <w:rsid w:val="00D25756"/>
    <w:rsid w:val="00D25BF6"/>
    <w:rsid w:val="00D303C1"/>
    <w:rsid w:val="00D470B3"/>
    <w:rsid w:val="00D544CD"/>
    <w:rsid w:val="00D61FC0"/>
    <w:rsid w:val="00D74224"/>
    <w:rsid w:val="00DE248E"/>
    <w:rsid w:val="00DF3792"/>
    <w:rsid w:val="00E13A86"/>
    <w:rsid w:val="00E51524"/>
    <w:rsid w:val="00E62CB6"/>
    <w:rsid w:val="00E82BFD"/>
    <w:rsid w:val="00ED76A6"/>
    <w:rsid w:val="00EF24BE"/>
    <w:rsid w:val="00F03C0B"/>
    <w:rsid w:val="00F12A78"/>
    <w:rsid w:val="00F33D9B"/>
    <w:rsid w:val="00F40101"/>
    <w:rsid w:val="00F51865"/>
    <w:rsid w:val="00F55B4D"/>
    <w:rsid w:val="00F61817"/>
    <w:rsid w:val="00F6279E"/>
    <w:rsid w:val="00F96DC7"/>
    <w:rsid w:val="00FB60BE"/>
    <w:rsid w:val="00FC529D"/>
    <w:rsid w:val="00FD2978"/>
    <w:rsid w:val="00F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76464"/>
  <w15:docId w15:val="{0C502647-A2A0-4D7D-A963-E8431C2C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5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869B0"/>
    <w:rPr>
      <w:rFonts w:cs="Times New Roman"/>
      <w:color w:val="0000FF"/>
      <w:u w:val="single"/>
    </w:rPr>
  </w:style>
  <w:style w:type="paragraph" w:customStyle="1" w:styleId="Style1">
    <w:name w:val="Style1"/>
    <w:basedOn w:val="Normalny"/>
    <w:uiPriority w:val="99"/>
    <w:rsid w:val="006B6526"/>
    <w:pPr>
      <w:jc w:val="both"/>
    </w:pPr>
  </w:style>
  <w:style w:type="paragraph" w:customStyle="1" w:styleId="Style2">
    <w:name w:val="Style2"/>
    <w:basedOn w:val="Normalny"/>
    <w:uiPriority w:val="99"/>
    <w:rsid w:val="006B6526"/>
    <w:pPr>
      <w:spacing w:line="331" w:lineRule="exact"/>
      <w:jc w:val="both"/>
    </w:pPr>
  </w:style>
  <w:style w:type="paragraph" w:customStyle="1" w:styleId="Style4">
    <w:name w:val="Style4"/>
    <w:basedOn w:val="Normalny"/>
    <w:uiPriority w:val="99"/>
    <w:rsid w:val="006B6526"/>
    <w:pPr>
      <w:spacing w:line="266" w:lineRule="exact"/>
      <w:ind w:hanging="367"/>
    </w:pPr>
  </w:style>
  <w:style w:type="paragraph" w:customStyle="1" w:styleId="Style5">
    <w:name w:val="Style5"/>
    <w:basedOn w:val="Normalny"/>
    <w:uiPriority w:val="99"/>
    <w:rsid w:val="006B6526"/>
    <w:pPr>
      <w:spacing w:line="266" w:lineRule="exact"/>
    </w:pPr>
  </w:style>
  <w:style w:type="paragraph" w:customStyle="1" w:styleId="Style6">
    <w:name w:val="Style6"/>
    <w:basedOn w:val="Normalny"/>
    <w:uiPriority w:val="99"/>
    <w:rsid w:val="006B6526"/>
    <w:pPr>
      <w:spacing w:line="259" w:lineRule="exact"/>
      <w:ind w:hanging="353"/>
    </w:pPr>
  </w:style>
  <w:style w:type="paragraph" w:customStyle="1" w:styleId="Style7">
    <w:name w:val="Style7"/>
    <w:basedOn w:val="Normalny"/>
    <w:uiPriority w:val="99"/>
    <w:rsid w:val="006B6526"/>
    <w:pPr>
      <w:spacing w:line="266" w:lineRule="exact"/>
    </w:pPr>
  </w:style>
  <w:style w:type="character" w:customStyle="1" w:styleId="FontStyle19">
    <w:name w:val="Font Style19"/>
    <w:basedOn w:val="Domylnaczcionkaakapitu"/>
    <w:uiPriority w:val="99"/>
    <w:rsid w:val="006B652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6B652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1">
    <w:name w:val="Font Style21"/>
    <w:basedOn w:val="Domylnaczcionkaakapitu"/>
    <w:uiPriority w:val="99"/>
    <w:rsid w:val="006B6526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6B6526"/>
    <w:rPr>
      <w:rFonts w:ascii="Times New Roman" w:hAnsi="Times New Roman" w:cs="Times New Roman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913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3AA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13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3AA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B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B14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226D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A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A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AD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A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AD7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1C874-BDCE-4E83-8754-63DB48C0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1746</Words>
  <Characters>10481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Gilead Sciences</Company>
  <LinksUpToDate>false</LinksUpToDate>
  <CharactersWithSpaces>12203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Mierzejewski</dc:creator>
  <cp:lastModifiedBy>Uszyńska-Osowska Alicja</cp:lastModifiedBy>
  <cp:revision>3</cp:revision>
  <cp:lastPrinted>2018-07-16T11:55:00Z</cp:lastPrinted>
  <dcterms:created xsi:type="dcterms:W3CDTF">2019-04-15T10:49:00Z</dcterms:created>
  <dcterms:modified xsi:type="dcterms:W3CDTF">2019-04-15T10:50:00Z</dcterms:modified>
</cp:coreProperties>
</file>