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5A24" w14:textId="7AECA02B" w:rsidR="000D6FB7" w:rsidRPr="005F3237" w:rsidRDefault="00000000" w:rsidP="005F3237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5F3237">
        <w:rPr>
          <w:rFonts w:ascii="Arial" w:hAnsi="Arial" w:cs="Arial"/>
          <w:sz w:val="24"/>
          <w:szCs w:val="24"/>
        </w:rPr>
        <w:t>Gdańsk</w:t>
      </w:r>
      <w:bookmarkEnd w:id="0"/>
      <w:r w:rsidRPr="005F3237">
        <w:rPr>
          <w:rFonts w:ascii="Arial" w:hAnsi="Arial" w:cs="Arial"/>
          <w:sz w:val="24"/>
          <w:szCs w:val="24"/>
        </w:rPr>
        <w:t>,</w:t>
      </w:r>
      <w:bookmarkStart w:id="1" w:name="ezdDataPodpisu"/>
      <w:r w:rsidR="005F3237" w:rsidRPr="005F3237">
        <w:rPr>
          <w:rFonts w:ascii="Arial" w:hAnsi="Arial" w:cs="Arial"/>
          <w:sz w:val="24"/>
          <w:szCs w:val="24"/>
        </w:rPr>
        <w:t xml:space="preserve"> </w:t>
      </w:r>
      <w:r w:rsidRPr="005F3237">
        <w:rPr>
          <w:rFonts w:ascii="Arial" w:hAnsi="Arial" w:cs="Arial"/>
          <w:sz w:val="24"/>
          <w:szCs w:val="24"/>
        </w:rPr>
        <w:t>25 lipca 2025</w:t>
      </w:r>
      <w:bookmarkEnd w:id="1"/>
      <w:r w:rsidRPr="005F3237">
        <w:rPr>
          <w:rFonts w:ascii="Arial" w:hAnsi="Arial" w:cs="Arial"/>
          <w:sz w:val="24"/>
          <w:szCs w:val="24"/>
        </w:rPr>
        <w:t xml:space="preserve"> r.</w:t>
      </w:r>
    </w:p>
    <w:p w14:paraId="40751B8E" w14:textId="77777777" w:rsidR="000D6FB7" w:rsidRPr="005F3237" w:rsidRDefault="00000000" w:rsidP="005F3237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5F3237">
        <w:rPr>
          <w:rFonts w:ascii="Arial" w:hAnsi="Arial" w:cs="Arial"/>
          <w:sz w:val="24"/>
          <w:szCs w:val="24"/>
        </w:rPr>
        <w:t>NSP-VIII.7581.1.213.2024</w:t>
      </w:r>
      <w:bookmarkEnd w:id="2"/>
      <w:r w:rsidRPr="005F3237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5F3237">
        <w:rPr>
          <w:rFonts w:ascii="Arial" w:hAnsi="Arial" w:cs="Arial"/>
          <w:sz w:val="24"/>
          <w:szCs w:val="24"/>
        </w:rPr>
        <w:t>PW</w:t>
      </w:r>
      <w:bookmarkEnd w:id="3"/>
    </w:p>
    <w:p w14:paraId="67AEE688" w14:textId="77777777" w:rsidR="000D6FB7" w:rsidRPr="005F3237" w:rsidRDefault="000D6FB7" w:rsidP="005F3237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3BCEE857" w14:textId="77777777" w:rsidR="000D6FB7" w:rsidRPr="005F3237" w:rsidRDefault="000D6FB7" w:rsidP="005F3237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BB431E4" w14:textId="7DEBD4B4" w:rsidR="000D6FB7" w:rsidRPr="005F3237" w:rsidRDefault="005F3237" w:rsidP="005F32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>obwieszczenie</w:t>
      </w:r>
    </w:p>
    <w:p w14:paraId="1AEABAF7" w14:textId="77777777" w:rsidR="000D6FB7" w:rsidRPr="005F3237" w:rsidRDefault="000D6FB7" w:rsidP="005F32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EA73A9" w14:textId="3AD4A6DD" w:rsidR="000D6FB7" w:rsidRPr="005F3237" w:rsidRDefault="00000000" w:rsidP="005F32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F3237">
        <w:rPr>
          <w:rFonts w:ascii="Arial" w:hAnsi="Arial" w:cs="Arial"/>
          <w:sz w:val="24"/>
          <w:szCs w:val="24"/>
          <w:lang w:eastAsia="pl-PL"/>
        </w:rPr>
        <w:t>Wojewoda Pomorski, działając na podstawie art. 49 i 49a ustawy z dnia 14 czerwca 1960 r. -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Kodeks postępowania administracyjnego (j. t. Dz. U. z 2024 r., poz. 572 ze. zm.), oraz art. 8 ustawy z dnia 21 sierpnia 1997 r. o gospodarce nieruchomościami (j. t. Dz. U. z 2024 r., poz. 1145 ze zm.), podaje do publicznej wiadomości, że w dniu 23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lipca 2025 r. wydał decyzję nr NSP-VIII.7581.1.213.2024.PW uchylającą decyzję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Starosty Lęborskiego, z dnia 26 września 2024 r. nr G.683.1.13.2024.JK orzekającej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o ustaleniu odszkodowania, na rzecz współużytkowników wieczystych zgodnie z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przysługującymi im udziałami, za prawo własności nieruchomości oznaczonej jako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działka nr 328/6 o pow. 322 m2, położonej w obrębie 2 miasta Lęborka, objętej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decyzją Starosty Lęborskiego, wykonującego zadanie z zakresu administracji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rządowej, nr 82/2024, sygn. akt B.6740.23.2024.AB z dnia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2 kwietnia 2024 r. o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zezwoleniu na realizację inwestycji drogowej pn. „Budowa ulicy Cisowej –Równoległej w Lęborku” i przekazującą sprawę do ponownego rozpatrzenia przez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organ I instancji.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 xml:space="preserve">Informuję, że </w:t>
      </w:r>
      <w:r w:rsidRPr="005F3237">
        <w:rPr>
          <w:rFonts w:ascii="Arial" w:eastAsia="Times New Roman" w:hAnsi="Arial" w:cs="Arial"/>
          <w:sz w:val="24"/>
          <w:szCs w:val="24"/>
          <w:lang w:eastAsia="pl-PL"/>
        </w:rPr>
        <w:t>ewentualni następcy prawni po zmarłym</w:t>
      </w:r>
      <w:r w:rsidR="005F32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eastAsia="Times New Roman" w:hAnsi="Arial" w:cs="Arial"/>
          <w:sz w:val="24"/>
          <w:szCs w:val="24"/>
          <w:lang w:eastAsia="pl-PL"/>
        </w:rPr>
        <w:t>współwłaścicielu przedmiotowej nieruchomości - Panu Eugeniuszu Hulewicz, jak</w:t>
      </w:r>
      <w:r w:rsidR="005F32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eastAsia="Times New Roman" w:hAnsi="Arial" w:cs="Arial"/>
          <w:sz w:val="24"/>
          <w:szCs w:val="24"/>
          <w:lang w:eastAsia="pl-PL"/>
        </w:rPr>
        <w:t>również</w:t>
      </w:r>
      <w:r w:rsidRPr="005F3237">
        <w:rPr>
          <w:rFonts w:ascii="Arial" w:hAnsi="Arial" w:cs="Arial"/>
          <w:sz w:val="24"/>
          <w:szCs w:val="24"/>
          <w:lang w:eastAsia="pl-PL"/>
        </w:rPr>
        <w:t xml:space="preserve"> osoby posiadające tytuł prawny, do działki nr 328/6, mogą zapoznać się z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treścią decyzji w Oddziale Orzecznictwa Wydziału Nieruchomości i Skarbu Państwa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Pomorskiego Urzędu Wojewódzkiego w Gdańsku, ul. Okopowa 21/27 (pokój nr 442,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IV piętro) po okazaniu odpowiedniego dokumentu.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W związku z powyższym, kontakt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telefoniczny z pracownikiem prowadzącym sprawę – Panią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Pauliną Wirkus jest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możliwy w godzinach urzędowania: 7:</w:t>
      </w:r>
      <w:r w:rsidRPr="005F3237">
        <w:rPr>
          <w:rFonts w:ascii="Arial" w:hAnsi="Arial" w:cs="Arial"/>
          <w:sz w:val="24"/>
          <w:szCs w:val="24"/>
          <w:vertAlign w:val="superscript"/>
          <w:lang w:eastAsia="pl-PL"/>
        </w:rPr>
        <w:t>45</w:t>
      </w:r>
      <w:r w:rsidRPr="005F3237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5F3237">
        <w:rPr>
          <w:rFonts w:ascii="Arial" w:hAnsi="Arial" w:cs="Arial"/>
          <w:sz w:val="24"/>
          <w:szCs w:val="24"/>
          <w:vertAlign w:val="superscript"/>
          <w:lang w:eastAsia="pl-PL"/>
        </w:rPr>
        <w:t>45</w:t>
      </w:r>
      <w:r w:rsidRPr="005F3237">
        <w:rPr>
          <w:rFonts w:ascii="Arial" w:hAnsi="Arial" w:cs="Arial"/>
          <w:sz w:val="24"/>
          <w:szCs w:val="24"/>
          <w:lang w:eastAsia="pl-PL"/>
        </w:rPr>
        <w:t>, tel. (58) 30 77 264 lub (58) 30 77</w:t>
      </w:r>
      <w:r w:rsidR="005F3237">
        <w:rPr>
          <w:rFonts w:ascii="Arial" w:hAnsi="Arial" w:cs="Arial"/>
          <w:sz w:val="24"/>
          <w:szCs w:val="24"/>
          <w:lang w:eastAsia="pl-PL"/>
        </w:rPr>
        <w:t> </w:t>
      </w:r>
      <w:r w:rsidRPr="005F3237">
        <w:rPr>
          <w:rFonts w:ascii="Arial" w:hAnsi="Arial" w:cs="Arial"/>
          <w:sz w:val="24"/>
          <w:szCs w:val="24"/>
          <w:lang w:eastAsia="pl-PL"/>
        </w:rPr>
        <w:t>508</w:t>
      </w:r>
      <w:r w:rsidR="005F323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F3237">
        <w:rPr>
          <w:rFonts w:ascii="Arial" w:hAnsi="Arial" w:cs="Arial"/>
          <w:sz w:val="24"/>
          <w:szCs w:val="24"/>
          <w:lang w:eastAsia="pl-PL"/>
        </w:rPr>
        <w:t>(sekretariat).</w:t>
      </w:r>
    </w:p>
    <w:p w14:paraId="1B640326" w14:textId="77777777" w:rsidR="000D6FB7" w:rsidRPr="005F3237" w:rsidRDefault="00000000" w:rsidP="005F3237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>Pouczenie:</w:t>
      </w:r>
    </w:p>
    <w:p w14:paraId="66D979E1" w14:textId="77777777" w:rsidR="000D6FB7" w:rsidRPr="005F3237" w:rsidRDefault="00000000" w:rsidP="005F3237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 xml:space="preserve">Doręczenie uważa się za dokonane po upływie 14 dni od dnia publicznego obwieszczenia (art. 127 § 2 oraz art. 129 § 1 i 2 oraz art. 49 ustawy z dnia 14 </w:t>
      </w:r>
      <w:r w:rsidRPr="005F3237">
        <w:rPr>
          <w:rFonts w:ascii="Arial" w:hAnsi="Arial" w:cs="Arial"/>
          <w:sz w:val="24"/>
          <w:szCs w:val="24"/>
        </w:rPr>
        <w:lastRenderedPageBreak/>
        <w:t xml:space="preserve">czerwca 1960 r. Kodeks postępowania administracyjnego </w:t>
      </w:r>
      <w:r w:rsidRPr="005F3237">
        <w:rPr>
          <w:rFonts w:ascii="Arial" w:hAnsi="Arial" w:cs="Arial"/>
          <w:iCs/>
          <w:sz w:val="24"/>
          <w:szCs w:val="24"/>
        </w:rPr>
        <w:t xml:space="preserve">(j. t. </w:t>
      </w:r>
      <w:r w:rsidRPr="005F3237">
        <w:rPr>
          <w:rFonts w:ascii="Arial" w:hAnsi="Arial" w:cs="Arial"/>
          <w:sz w:val="24"/>
          <w:szCs w:val="24"/>
        </w:rPr>
        <w:t>Dz. U. z 2024 r. poz. 572 ze zm.</w:t>
      </w:r>
      <w:r w:rsidRPr="005F3237">
        <w:rPr>
          <w:rFonts w:ascii="Arial" w:hAnsi="Arial" w:cs="Arial"/>
          <w:iCs/>
          <w:sz w:val="24"/>
          <w:szCs w:val="24"/>
        </w:rPr>
        <w:t>).</w:t>
      </w:r>
    </w:p>
    <w:p w14:paraId="4025ABF8" w14:textId="06D7EE82" w:rsidR="000D6FB7" w:rsidRPr="005F3237" w:rsidRDefault="00000000" w:rsidP="005F3237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>Na niniejsze rozstrzygnięcie przysługuje stronom prawo złożenia „sprzeciwu od decyzji”</w:t>
      </w:r>
      <w:r w:rsidR="005F3237">
        <w:rPr>
          <w:rFonts w:ascii="Arial" w:hAnsi="Arial" w:cs="Arial"/>
          <w:sz w:val="24"/>
          <w:szCs w:val="24"/>
        </w:rPr>
        <w:t xml:space="preserve"> </w:t>
      </w:r>
      <w:r w:rsidRPr="005F3237">
        <w:rPr>
          <w:rFonts w:ascii="Arial" w:hAnsi="Arial" w:cs="Arial"/>
          <w:sz w:val="24"/>
          <w:szCs w:val="24"/>
        </w:rPr>
        <w:t>do Wojewódzkiego Sądu Administracyjnego w Gdańsku, za pośrednictwem Wojewody Pomorskiego,</w:t>
      </w:r>
      <w:r w:rsidR="005F3237">
        <w:rPr>
          <w:rFonts w:ascii="Arial" w:hAnsi="Arial" w:cs="Arial"/>
          <w:sz w:val="24"/>
          <w:szCs w:val="24"/>
        </w:rPr>
        <w:t xml:space="preserve"> </w:t>
      </w:r>
      <w:r w:rsidRPr="005F3237">
        <w:rPr>
          <w:rFonts w:ascii="Arial" w:hAnsi="Arial" w:cs="Arial"/>
          <w:sz w:val="24"/>
          <w:szCs w:val="24"/>
        </w:rPr>
        <w:t xml:space="preserve">w terminie 14 dni od dnia doręczenia decyzji (art. 3 § 2 pkt 1, 64a i art. 64c § 1 i 2 ustawy z dnia </w:t>
      </w:r>
      <w:r w:rsidRPr="005F3237">
        <w:rPr>
          <w:rFonts w:ascii="Arial" w:hAnsi="Arial" w:cs="Arial"/>
          <w:sz w:val="24"/>
          <w:szCs w:val="24"/>
        </w:rPr>
        <w:br/>
        <w:t>30 sierpnia 2002 r. Prawo o postępowaniu przed sądami administracyjnymi, j. t. Dz. U. z 2024 r. poz. 935 ze zm., zwanej dalej „p.p.s.a.”).</w:t>
      </w:r>
    </w:p>
    <w:p w14:paraId="00430CE8" w14:textId="4495745F" w:rsidR="000D6FB7" w:rsidRPr="005F3237" w:rsidRDefault="00000000" w:rsidP="005F3237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 xml:space="preserve"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</w:t>
      </w:r>
      <w:proofErr w:type="gramStart"/>
      <w:r w:rsidRPr="005F3237">
        <w:rPr>
          <w:rFonts w:ascii="Arial" w:hAnsi="Arial" w:cs="Arial"/>
          <w:sz w:val="24"/>
          <w:szCs w:val="24"/>
        </w:rPr>
        <w:t>sądowych</w:t>
      </w:r>
      <w:proofErr w:type="gramEnd"/>
      <w:r w:rsidRPr="005F3237">
        <w:rPr>
          <w:rFonts w:ascii="Arial" w:hAnsi="Arial" w:cs="Arial"/>
          <w:sz w:val="24"/>
          <w:szCs w:val="24"/>
        </w:rPr>
        <w:t xml:space="preserve"> jeśli została nadana (art. 214 § 1, art. 219 § 1 i 2, art. 230 § 1 i 2, art. 231, </w:t>
      </w:r>
      <w:r w:rsidRPr="005F3237">
        <w:rPr>
          <w:rFonts w:ascii="Arial" w:hAnsi="Arial" w:cs="Arial"/>
          <w:sz w:val="24"/>
          <w:szCs w:val="24"/>
        </w:rPr>
        <w:br/>
        <w:t>art. 233 p.p.s.a., w związku z § 2 ust. 1 pkt 6a oraz § 5 ust. 1 Rozporządzenia Rady Ministrów z dnia</w:t>
      </w:r>
      <w:r w:rsidR="005F3237">
        <w:rPr>
          <w:rFonts w:ascii="Arial" w:hAnsi="Arial" w:cs="Arial"/>
          <w:sz w:val="24"/>
          <w:szCs w:val="24"/>
        </w:rPr>
        <w:t xml:space="preserve"> </w:t>
      </w:r>
      <w:r w:rsidRPr="005F3237">
        <w:rPr>
          <w:rFonts w:ascii="Arial" w:hAnsi="Arial" w:cs="Arial"/>
          <w:sz w:val="24"/>
          <w:szCs w:val="24"/>
        </w:rPr>
        <w:t>16 grudnia 2003 r., w sprawie wysokości oraz szczegółowych zasad pobierania wpisu w postępowaniu przed sądami administracyjnymi, t.j. Dz. U. z 2021 r. poz. 535).</w:t>
      </w:r>
    </w:p>
    <w:p w14:paraId="2752E285" w14:textId="66227F20" w:rsidR="000D6FB7" w:rsidRPr="005F3237" w:rsidRDefault="00000000" w:rsidP="005F3237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>Strona, której nie stać na opłacenie wpisu może zostać zwolniona w całości albo części</w:t>
      </w:r>
      <w:r w:rsidR="005F3237">
        <w:rPr>
          <w:rFonts w:ascii="Arial" w:hAnsi="Arial" w:cs="Arial"/>
          <w:sz w:val="24"/>
          <w:szCs w:val="24"/>
        </w:rPr>
        <w:t xml:space="preserve"> </w:t>
      </w:r>
      <w:r w:rsidRPr="005F3237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</w:t>
      </w:r>
      <w:r w:rsidRPr="005F3237">
        <w:rPr>
          <w:rFonts w:ascii="Arial" w:hAnsi="Arial" w:cs="Arial"/>
          <w:sz w:val="24"/>
          <w:szCs w:val="24"/>
        </w:rPr>
        <w:br/>
        <w:t>o stanie majątkowym i dochodach, a jeżeli wniosek składa osoba fizyczna, ponadto dokładne dane</w:t>
      </w:r>
      <w:r w:rsidR="005F3237">
        <w:rPr>
          <w:rFonts w:ascii="Arial" w:hAnsi="Arial" w:cs="Arial"/>
          <w:sz w:val="24"/>
          <w:szCs w:val="24"/>
        </w:rPr>
        <w:t xml:space="preserve"> </w:t>
      </w:r>
      <w:r w:rsidRPr="005F3237">
        <w:rPr>
          <w:rFonts w:ascii="Arial" w:hAnsi="Arial" w:cs="Arial"/>
          <w:sz w:val="24"/>
          <w:szCs w:val="24"/>
        </w:rPr>
        <w:t xml:space="preserve">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5F3237">
        <w:rPr>
          <w:rFonts w:ascii="Arial" w:hAnsi="Arial" w:cs="Arial"/>
          <w:i/>
          <w:sz w:val="24"/>
          <w:szCs w:val="24"/>
        </w:rPr>
        <w:t>"Jestem świadomy odpowiedzialności karnej</w:t>
      </w:r>
      <w:r w:rsidR="005F3237">
        <w:rPr>
          <w:rFonts w:ascii="Arial" w:hAnsi="Arial" w:cs="Arial"/>
          <w:i/>
          <w:sz w:val="24"/>
          <w:szCs w:val="24"/>
        </w:rPr>
        <w:t xml:space="preserve"> </w:t>
      </w:r>
      <w:r w:rsidRPr="005F3237">
        <w:rPr>
          <w:rFonts w:ascii="Arial" w:hAnsi="Arial" w:cs="Arial"/>
          <w:i/>
          <w:sz w:val="24"/>
          <w:szCs w:val="24"/>
        </w:rPr>
        <w:t>za złożenie fałszywego oświadczenia."</w:t>
      </w:r>
      <w:r w:rsidRPr="005F3237">
        <w:rPr>
          <w:rFonts w:ascii="Arial" w:hAnsi="Arial" w:cs="Arial"/>
          <w:sz w:val="24"/>
          <w:szCs w:val="24"/>
        </w:rPr>
        <w:t xml:space="preserve">. Klauzula ta zastępuje pouczenie sądu o odpowiedzialności </w:t>
      </w:r>
      <w:r w:rsidRPr="005F3237">
        <w:rPr>
          <w:rFonts w:ascii="Arial" w:hAnsi="Arial" w:cs="Arial"/>
          <w:sz w:val="24"/>
          <w:szCs w:val="24"/>
        </w:rPr>
        <w:lastRenderedPageBreak/>
        <w:t>karnej za złożenie fałszywego oświadczenia (art. 243 § 1 p.p.s.a., art. 252 § 1, 1a, 2 p.p.s.a.).</w:t>
      </w:r>
    </w:p>
    <w:p w14:paraId="31C8D1AD" w14:textId="77777777" w:rsidR="000D6FB7" w:rsidRPr="005F3237" w:rsidRDefault="000D6FB7" w:rsidP="005F3237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020950C" w14:textId="77777777" w:rsidR="000D6FB7" w:rsidRPr="005F3237" w:rsidRDefault="000D6FB7" w:rsidP="005F323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B4D64" w:rsidRPr="005F3237" w14:paraId="65FB64C8" w14:textId="77777777" w:rsidTr="007A2AF9">
        <w:trPr>
          <w:trHeight w:val="474"/>
        </w:trPr>
        <w:tc>
          <w:tcPr>
            <w:tcW w:w="4587" w:type="dxa"/>
          </w:tcPr>
          <w:p w14:paraId="7D028D80" w14:textId="77777777" w:rsidR="000D6FB7" w:rsidRPr="005F3237" w:rsidRDefault="00000000" w:rsidP="005F323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37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5B4D64" w:rsidRPr="005F3237" w14:paraId="308E7BEF" w14:textId="77777777" w:rsidTr="007A2AF9">
        <w:trPr>
          <w:trHeight w:val="1148"/>
        </w:trPr>
        <w:tc>
          <w:tcPr>
            <w:tcW w:w="4587" w:type="dxa"/>
          </w:tcPr>
          <w:p w14:paraId="7856297D" w14:textId="77777777" w:rsidR="000D6FB7" w:rsidRPr="005F3237" w:rsidRDefault="00000000" w:rsidP="005F323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5F3237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1C82A2A3" w14:textId="77777777" w:rsidR="000D6FB7" w:rsidRPr="005F3237" w:rsidRDefault="00000000" w:rsidP="005F323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5F3237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5AA6155D" w14:textId="77777777" w:rsidR="000D6FB7" w:rsidRPr="005F3237" w:rsidRDefault="00000000" w:rsidP="005F323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5F3237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5B4D64" w:rsidRPr="005F3237" w14:paraId="4947F13E" w14:textId="77777777" w:rsidTr="007A2AF9">
        <w:trPr>
          <w:trHeight w:val="401"/>
        </w:trPr>
        <w:tc>
          <w:tcPr>
            <w:tcW w:w="4587" w:type="dxa"/>
          </w:tcPr>
          <w:p w14:paraId="65354FEC" w14:textId="77777777" w:rsidR="000D6FB7" w:rsidRPr="005F3237" w:rsidRDefault="00000000" w:rsidP="005F323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237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67FEAF90" w14:textId="77777777" w:rsidR="000D6FB7" w:rsidRPr="005F3237" w:rsidRDefault="000D6FB7" w:rsidP="005F323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30A21190" w14:textId="77777777" w:rsidR="000D6FB7" w:rsidRPr="005F3237" w:rsidRDefault="00000000" w:rsidP="005F323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>Egzemplarze:</w:t>
      </w:r>
    </w:p>
    <w:p w14:paraId="54888A84" w14:textId="77777777" w:rsidR="000D6FB7" w:rsidRPr="005F3237" w:rsidRDefault="00000000" w:rsidP="005F3237">
      <w:pPr>
        <w:pStyle w:val="Akapitzlist"/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1536D58E" w14:textId="77777777" w:rsidR="000D6FB7" w:rsidRPr="005F3237" w:rsidRDefault="00000000" w:rsidP="005F3237">
      <w:pPr>
        <w:pStyle w:val="Akapitzlist"/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5F3237">
        <w:rPr>
          <w:rFonts w:ascii="Arial" w:hAnsi="Arial" w:cs="Arial"/>
          <w:sz w:val="24"/>
          <w:szCs w:val="24"/>
        </w:rPr>
        <w:t>aa.</w:t>
      </w:r>
    </w:p>
    <w:p w14:paraId="73AB55C4" w14:textId="77777777" w:rsidR="000D6FB7" w:rsidRPr="005F3237" w:rsidRDefault="000D6FB7" w:rsidP="005F323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F062E5A" w14:textId="77777777" w:rsidR="000D6FB7" w:rsidRPr="005F3237" w:rsidRDefault="000D6FB7" w:rsidP="005F323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7B2CE6C4" w14:textId="77777777" w:rsidR="000D6FB7" w:rsidRPr="005F3237" w:rsidRDefault="000D6FB7" w:rsidP="005F3237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049DF6A0" w14:textId="77777777" w:rsidR="000D6FB7" w:rsidRPr="005F3237" w:rsidRDefault="000D6FB7" w:rsidP="005F3237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0B10B2" w14:textId="77777777" w:rsidR="000D6FB7" w:rsidRPr="005F3237" w:rsidRDefault="000D6FB7" w:rsidP="005F3237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sectPr w:rsidR="000D6FB7" w:rsidRPr="005F3237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8A5" w14:textId="77777777" w:rsidR="000B4E1F" w:rsidRDefault="000B4E1F">
      <w:pPr>
        <w:spacing w:after="0" w:line="240" w:lineRule="auto"/>
      </w:pPr>
      <w:r>
        <w:separator/>
      </w:r>
    </w:p>
  </w:endnote>
  <w:endnote w:type="continuationSeparator" w:id="0">
    <w:p w14:paraId="318DD87F" w14:textId="77777777" w:rsidR="000B4E1F" w:rsidRDefault="000B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743A" w14:textId="77777777" w:rsidR="000D6FB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F0B8A81">
        <v:rect id="_x0000_i1025" style="width:0;height:1.5pt" o:hralign="center" o:hrstd="t" o:hr="t" fillcolor="#a0a0a0" stroked="f"/>
      </w:pict>
    </w:r>
  </w:p>
  <w:p w14:paraId="69C896EE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F531BB3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25A89CE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6656D44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C1DA3D8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8235CA7" w14:textId="77777777" w:rsidR="000D6FB7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F170" w14:textId="77777777" w:rsidR="000D6FB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6E02399">
        <v:rect id="_x0000_i1027" style="width:0;height:1.5pt" o:hralign="center" o:hrstd="t" o:hr="t" fillcolor="#a0a0a0" stroked="f"/>
      </w:pict>
    </w:r>
  </w:p>
  <w:p w14:paraId="02953081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0727E09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359E974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B5DCAE1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83CD501" w14:textId="77777777" w:rsidR="000D6FB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CB8E" w14:textId="77777777" w:rsidR="000B4E1F" w:rsidRDefault="000B4E1F">
      <w:pPr>
        <w:spacing w:after="0" w:line="240" w:lineRule="auto"/>
      </w:pPr>
      <w:r>
        <w:separator/>
      </w:r>
    </w:p>
  </w:footnote>
  <w:footnote w:type="continuationSeparator" w:id="0">
    <w:p w14:paraId="7C14C575" w14:textId="77777777" w:rsidR="000B4E1F" w:rsidRDefault="000B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EAEB" w14:textId="77777777" w:rsidR="000D6FB7" w:rsidRDefault="000D6FB7">
    <w:pPr>
      <w:pStyle w:val="Nagwek"/>
    </w:pPr>
  </w:p>
  <w:p w14:paraId="42DE2455" w14:textId="77777777" w:rsidR="000D6FB7" w:rsidRDefault="000D6F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4620" w14:textId="77777777" w:rsidR="000D6FB7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AB71DA7" w14:textId="77777777" w:rsidR="000D6FB7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8CD4BC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68D"/>
    <w:multiLevelType w:val="hybridMultilevel"/>
    <w:tmpl w:val="6FC65B76"/>
    <w:lvl w:ilvl="0" w:tplc="7A326CD0">
      <w:start w:val="1"/>
      <w:numFmt w:val="decimal"/>
      <w:lvlText w:val="%1."/>
      <w:lvlJc w:val="left"/>
      <w:pPr>
        <w:ind w:left="720" w:hanging="360"/>
      </w:pPr>
    </w:lvl>
    <w:lvl w:ilvl="1" w:tplc="F922248C" w:tentative="1">
      <w:start w:val="1"/>
      <w:numFmt w:val="lowerLetter"/>
      <w:lvlText w:val="%2."/>
      <w:lvlJc w:val="left"/>
      <w:pPr>
        <w:ind w:left="1440" w:hanging="360"/>
      </w:pPr>
    </w:lvl>
    <w:lvl w:ilvl="2" w:tplc="7C9E1AEC" w:tentative="1">
      <w:start w:val="1"/>
      <w:numFmt w:val="lowerRoman"/>
      <w:lvlText w:val="%3."/>
      <w:lvlJc w:val="right"/>
      <w:pPr>
        <w:ind w:left="2160" w:hanging="180"/>
      </w:pPr>
    </w:lvl>
    <w:lvl w:ilvl="3" w:tplc="3758B104" w:tentative="1">
      <w:start w:val="1"/>
      <w:numFmt w:val="decimal"/>
      <w:lvlText w:val="%4."/>
      <w:lvlJc w:val="left"/>
      <w:pPr>
        <w:ind w:left="2880" w:hanging="360"/>
      </w:pPr>
    </w:lvl>
    <w:lvl w:ilvl="4" w:tplc="640E0490" w:tentative="1">
      <w:start w:val="1"/>
      <w:numFmt w:val="lowerLetter"/>
      <w:lvlText w:val="%5."/>
      <w:lvlJc w:val="left"/>
      <w:pPr>
        <w:ind w:left="3600" w:hanging="360"/>
      </w:pPr>
    </w:lvl>
    <w:lvl w:ilvl="5" w:tplc="6D74744A" w:tentative="1">
      <w:start w:val="1"/>
      <w:numFmt w:val="lowerRoman"/>
      <w:lvlText w:val="%6."/>
      <w:lvlJc w:val="right"/>
      <w:pPr>
        <w:ind w:left="4320" w:hanging="180"/>
      </w:pPr>
    </w:lvl>
    <w:lvl w:ilvl="6" w:tplc="C83065C8" w:tentative="1">
      <w:start w:val="1"/>
      <w:numFmt w:val="decimal"/>
      <w:lvlText w:val="%7."/>
      <w:lvlJc w:val="left"/>
      <w:pPr>
        <w:ind w:left="5040" w:hanging="360"/>
      </w:pPr>
    </w:lvl>
    <w:lvl w:ilvl="7" w:tplc="18609068" w:tentative="1">
      <w:start w:val="1"/>
      <w:numFmt w:val="lowerLetter"/>
      <w:lvlText w:val="%8."/>
      <w:lvlJc w:val="left"/>
      <w:pPr>
        <w:ind w:left="5760" w:hanging="360"/>
      </w:pPr>
    </w:lvl>
    <w:lvl w:ilvl="8" w:tplc="7D882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9D2E7AA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9E3E56EC">
      <w:start w:val="1"/>
      <w:numFmt w:val="lowerLetter"/>
      <w:lvlText w:val="%2."/>
      <w:lvlJc w:val="left"/>
      <w:pPr>
        <w:ind w:left="1440" w:hanging="360"/>
      </w:pPr>
    </w:lvl>
    <w:lvl w:ilvl="2" w:tplc="EED2AAF4">
      <w:start w:val="1"/>
      <w:numFmt w:val="lowerRoman"/>
      <w:lvlText w:val="%3."/>
      <w:lvlJc w:val="right"/>
      <w:pPr>
        <w:ind w:left="2160" w:hanging="180"/>
      </w:pPr>
    </w:lvl>
    <w:lvl w:ilvl="3" w:tplc="D6D8B748">
      <w:start w:val="1"/>
      <w:numFmt w:val="decimal"/>
      <w:lvlText w:val="%4."/>
      <w:lvlJc w:val="left"/>
      <w:pPr>
        <w:ind w:left="2880" w:hanging="360"/>
      </w:pPr>
    </w:lvl>
    <w:lvl w:ilvl="4" w:tplc="CD8030AA">
      <w:start w:val="1"/>
      <w:numFmt w:val="lowerLetter"/>
      <w:lvlText w:val="%5."/>
      <w:lvlJc w:val="left"/>
      <w:pPr>
        <w:ind w:left="3600" w:hanging="360"/>
      </w:pPr>
    </w:lvl>
    <w:lvl w:ilvl="5" w:tplc="2E8E89FE">
      <w:start w:val="1"/>
      <w:numFmt w:val="lowerRoman"/>
      <w:lvlText w:val="%6."/>
      <w:lvlJc w:val="right"/>
      <w:pPr>
        <w:ind w:left="4320" w:hanging="180"/>
      </w:pPr>
    </w:lvl>
    <w:lvl w:ilvl="6" w:tplc="4A9A520A">
      <w:start w:val="1"/>
      <w:numFmt w:val="decimal"/>
      <w:lvlText w:val="%7."/>
      <w:lvlJc w:val="left"/>
      <w:pPr>
        <w:ind w:left="5040" w:hanging="360"/>
      </w:pPr>
    </w:lvl>
    <w:lvl w:ilvl="7" w:tplc="BB6C97D6">
      <w:start w:val="1"/>
      <w:numFmt w:val="lowerLetter"/>
      <w:lvlText w:val="%8."/>
      <w:lvlJc w:val="left"/>
      <w:pPr>
        <w:ind w:left="5760" w:hanging="360"/>
      </w:pPr>
    </w:lvl>
    <w:lvl w:ilvl="8" w:tplc="5BA06E18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88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64"/>
    <w:rsid w:val="000B4E1F"/>
    <w:rsid w:val="000D6FB7"/>
    <w:rsid w:val="00321A5F"/>
    <w:rsid w:val="005B4D64"/>
    <w:rsid w:val="005F3237"/>
    <w:rsid w:val="007439EB"/>
    <w:rsid w:val="00990994"/>
    <w:rsid w:val="00B100E0"/>
    <w:rsid w:val="00B3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BC1BB"/>
  <w15:docId w15:val="{377DC309-0BBC-4737-97C1-8BBF0DC1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3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25 lipca 2025 roku o wydaniu decyzji w sprawie NSP-VIII.7581.1.213.2024.PW</dc:title>
  <dc:creator>Andrzej Leszczyński</dc:creator>
  <cp:keywords>Obwieszczenie Wojewody Pomorskiego z dnia 25 lipca 2025 roku o wydaniu decyzji w sprawie NSP-VIII.7581.1.213.2024.PW</cp:keywords>
  <cp:lastModifiedBy>Sandra Matelenak</cp:lastModifiedBy>
  <cp:revision>4</cp:revision>
  <cp:lastPrinted>2012-09-10T07:00:00Z</cp:lastPrinted>
  <dcterms:created xsi:type="dcterms:W3CDTF">2025-07-28T12:33:00Z</dcterms:created>
  <dcterms:modified xsi:type="dcterms:W3CDTF">2025-07-28T12:40:00Z</dcterms:modified>
</cp:coreProperties>
</file>