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55E" w:rsidRDefault="0039555E" w:rsidP="0039555E">
      <w:pPr>
        <w:rPr>
          <w:rFonts w:eastAsia="PMingLiU"/>
          <w:sz w:val="22"/>
          <w:szCs w:val="22"/>
          <w:lang w:eastAsia="zh-TW"/>
        </w:rPr>
      </w:pPr>
      <w:r w:rsidRPr="0039555E">
        <w:rPr>
          <w:rFonts w:eastAsia="PMingLiU"/>
          <w:sz w:val="22"/>
          <w:szCs w:val="22"/>
          <w:lang w:eastAsia="zh-TW"/>
        </w:rPr>
        <w:t>Załącznik B.</w:t>
      </w:r>
      <w:r w:rsidR="00141F57">
        <w:rPr>
          <w:rFonts w:eastAsia="PMingLiU"/>
          <w:sz w:val="22"/>
          <w:szCs w:val="22"/>
          <w:lang w:eastAsia="zh-TW"/>
        </w:rPr>
        <w:t>59</w:t>
      </w:r>
      <w:r w:rsidRPr="0039555E">
        <w:rPr>
          <w:rFonts w:eastAsia="PMingLiU"/>
          <w:sz w:val="22"/>
          <w:szCs w:val="22"/>
          <w:lang w:eastAsia="zh-TW"/>
        </w:rPr>
        <w:t>.</w:t>
      </w:r>
    </w:p>
    <w:p w:rsidR="0039555E" w:rsidRPr="0039555E" w:rsidRDefault="0039555E" w:rsidP="0039555E">
      <w:pPr>
        <w:rPr>
          <w:rFonts w:eastAsia="PMingLiU"/>
          <w:sz w:val="22"/>
          <w:szCs w:val="22"/>
          <w:lang w:eastAsia="zh-TW"/>
        </w:rPr>
      </w:pPr>
    </w:p>
    <w:p w:rsidR="00162266" w:rsidRPr="0039555E" w:rsidRDefault="00162266" w:rsidP="00623E60">
      <w:pPr>
        <w:spacing w:after="240" w:line="276" w:lineRule="auto"/>
        <w:rPr>
          <w:rFonts w:eastAsia="PMingLiU"/>
          <w:b/>
          <w:sz w:val="28"/>
          <w:szCs w:val="28"/>
          <w:lang w:eastAsia="zh-TW"/>
        </w:rPr>
      </w:pPr>
      <w:r w:rsidRPr="0039555E">
        <w:rPr>
          <w:rFonts w:eastAsia="PMingLiU"/>
          <w:b/>
          <w:sz w:val="28"/>
          <w:szCs w:val="28"/>
          <w:lang w:eastAsia="zh-TW"/>
        </w:rPr>
        <w:t>LECZENIE CZERNIAKA SKÓRY LUB BŁON ŚLUZOWYCH</w:t>
      </w:r>
      <w:r w:rsidR="00033E6B" w:rsidRPr="0039555E">
        <w:rPr>
          <w:rFonts w:eastAsia="PMingLiU"/>
          <w:b/>
          <w:sz w:val="28"/>
          <w:szCs w:val="28"/>
          <w:lang w:eastAsia="zh-TW"/>
        </w:rPr>
        <w:t xml:space="preserve"> </w:t>
      </w:r>
      <w:r w:rsidRPr="0039555E">
        <w:rPr>
          <w:rFonts w:eastAsia="PMingLiU"/>
          <w:b/>
          <w:sz w:val="28"/>
          <w:szCs w:val="28"/>
          <w:lang w:eastAsia="zh-TW"/>
        </w:rPr>
        <w:t>(ICD</w:t>
      </w:r>
      <w:r w:rsidR="00395DD2" w:rsidRPr="0039555E">
        <w:rPr>
          <w:rFonts w:eastAsia="PMingLiU"/>
          <w:b/>
          <w:sz w:val="28"/>
          <w:szCs w:val="28"/>
          <w:lang w:eastAsia="zh-TW"/>
        </w:rPr>
        <w:t xml:space="preserve"> </w:t>
      </w:r>
      <w:r w:rsidRPr="0039555E">
        <w:rPr>
          <w:rFonts w:eastAsia="PMingLiU"/>
          <w:b/>
          <w:sz w:val="28"/>
          <w:szCs w:val="28"/>
          <w:lang w:eastAsia="zh-TW"/>
        </w:rPr>
        <w:t>-10  C43)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5"/>
        <w:gridCol w:w="4330"/>
        <w:gridCol w:w="5503"/>
      </w:tblGrid>
      <w:tr w:rsidR="00162266" w:rsidRPr="0039555E" w:rsidTr="007311F2">
        <w:trPr>
          <w:trHeight w:val="42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162266" w:rsidRPr="0039555E" w:rsidRDefault="00162266" w:rsidP="00623E6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9555E">
              <w:rPr>
                <w:b/>
                <w:sz w:val="20"/>
                <w:szCs w:val="20"/>
              </w:rPr>
              <w:t>ZAKRES ŚWIADCZENIA GWARANTOWANEGO</w:t>
            </w:r>
          </w:p>
        </w:tc>
      </w:tr>
      <w:tr w:rsidR="00162266" w:rsidRPr="0039555E" w:rsidTr="00C04488">
        <w:tc>
          <w:tcPr>
            <w:tcW w:w="1805" w:type="pct"/>
            <w:shd w:val="clear" w:color="auto" w:fill="auto"/>
            <w:vAlign w:val="center"/>
          </w:tcPr>
          <w:p w:rsidR="00162266" w:rsidRPr="0039555E" w:rsidRDefault="00162266" w:rsidP="00623E6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9555E">
              <w:rPr>
                <w:b/>
                <w:sz w:val="20"/>
                <w:szCs w:val="20"/>
              </w:rPr>
              <w:t>ŚWIADCZENIOBIORCY</w:t>
            </w:r>
          </w:p>
        </w:tc>
        <w:tc>
          <w:tcPr>
            <w:tcW w:w="1407" w:type="pct"/>
            <w:shd w:val="clear" w:color="auto" w:fill="auto"/>
            <w:vAlign w:val="center"/>
          </w:tcPr>
          <w:p w:rsidR="00162266" w:rsidRPr="0039555E" w:rsidRDefault="00162266" w:rsidP="00623E6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9555E">
              <w:rPr>
                <w:b/>
                <w:sz w:val="20"/>
                <w:szCs w:val="20"/>
              </w:rPr>
              <w:t>SCHEMAT DAWKOWANIA LEKU W PROGRAMIE</w:t>
            </w:r>
          </w:p>
        </w:tc>
        <w:tc>
          <w:tcPr>
            <w:tcW w:w="1788" w:type="pct"/>
            <w:shd w:val="clear" w:color="auto" w:fill="auto"/>
            <w:vAlign w:val="center"/>
          </w:tcPr>
          <w:p w:rsidR="00162266" w:rsidRPr="0039555E" w:rsidRDefault="00162266" w:rsidP="00623E6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9555E">
              <w:rPr>
                <w:b/>
                <w:sz w:val="20"/>
                <w:szCs w:val="20"/>
              </w:rPr>
              <w:t>BADANIA DIAGNOSTYCZNE WYKONYWANE W RAMACH PROGRAMU</w:t>
            </w:r>
          </w:p>
        </w:tc>
      </w:tr>
      <w:tr w:rsidR="00341CDB" w:rsidRPr="0039555E" w:rsidTr="00341CDB">
        <w:tc>
          <w:tcPr>
            <w:tcW w:w="5000" w:type="pct"/>
            <w:gridSpan w:val="3"/>
            <w:shd w:val="clear" w:color="auto" w:fill="auto"/>
            <w:vAlign w:val="center"/>
          </w:tcPr>
          <w:p w:rsidR="00623E60" w:rsidRPr="0039555E" w:rsidRDefault="00623E60" w:rsidP="00623E6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341CDB" w:rsidRPr="0039555E" w:rsidRDefault="00341CDB" w:rsidP="00623E6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9555E">
              <w:rPr>
                <w:b/>
                <w:sz w:val="20"/>
                <w:szCs w:val="20"/>
              </w:rPr>
              <w:t>Leczenie czerniaka skóry lub błon śluzowych ipilimumabem</w:t>
            </w:r>
          </w:p>
          <w:p w:rsidR="00623E60" w:rsidRPr="0039555E" w:rsidRDefault="00623E60" w:rsidP="00623E6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62266" w:rsidRPr="0039555E" w:rsidTr="00C04488">
        <w:tc>
          <w:tcPr>
            <w:tcW w:w="1805" w:type="pct"/>
            <w:shd w:val="clear" w:color="auto" w:fill="auto"/>
          </w:tcPr>
          <w:p w:rsidR="00162266" w:rsidRPr="0039555E" w:rsidRDefault="00162266" w:rsidP="00623E60">
            <w:pPr>
              <w:spacing w:line="276" w:lineRule="auto"/>
              <w:rPr>
                <w:sz w:val="20"/>
                <w:szCs w:val="20"/>
              </w:rPr>
            </w:pPr>
            <w:r w:rsidRPr="0039555E">
              <w:rPr>
                <w:b/>
                <w:bCs/>
                <w:sz w:val="20"/>
                <w:szCs w:val="20"/>
              </w:rPr>
              <w:t>1. Kryteria kwalifikacji do leczenia:</w:t>
            </w:r>
          </w:p>
          <w:p w:rsidR="00162266" w:rsidRPr="0039555E" w:rsidRDefault="00162266" w:rsidP="00767217">
            <w:pPr>
              <w:numPr>
                <w:ilvl w:val="0"/>
                <w:numId w:val="1"/>
              </w:numPr>
              <w:tabs>
                <w:tab w:val="clear" w:pos="360"/>
                <w:tab w:val="left" w:pos="-1418"/>
              </w:tabs>
              <w:spacing w:line="276" w:lineRule="auto"/>
              <w:ind w:left="284" w:hanging="284"/>
              <w:rPr>
                <w:sz w:val="20"/>
                <w:szCs w:val="20"/>
              </w:rPr>
            </w:pPr>
            <w:r w:rsidRPr="0039555E">
              <w:rPr>
                <w:sz w:val="20"/>
                <w:szCs w:val="20"/>
              </w:rPr>
              <w:t>histologiczne potwierdzenie czerniaka skóry lub błon śluzowych w stadium zaawansowania III (nieoperacyjny) lub IV;</w:t>
            </w:r>
          </w:p>
          <w:p w:rsidR="00162266" w:rsidRPr="0039555E" w:rsidRDefault="00162266" w:rsidP="00767217">
            <w:pPr>
              <w:numPr>
                <w:ilvl w:val="0"/>
                <w:numId w:val="1"/>
              </w:numPr>
              <w:tabs>
                <w:tab w:val="clear" w:pos="360"/>
                <w:tab w:val="left" w:pos="-1418"/>
              </w:tabs>
              <w:spacing w:line="276" w:lineRule="auto"/>
              <w:ind w:left="284" w:hanging="284"/>
              <w:rPr>
                <w:sz w:val="20"/>
                <w:szCs w:val="20"/>
              </w:rPr>
            </w:pPr>
            <w:r w:rsidRPr="0039555E">
              <w:rPr>
                <w:sz w:val="20"/>
                <w:szCs w:val="20"/>
              </w:rPr>
              <w:t>nieskuteczne wcześniejsze jedno leczenie systemowe czerniaka lub brak tolerancji nie pozwalający na je</w:t>
            </w:r>
            <w:r w:rsidR="00B81A03" w:rsidRPr="0039555E">
              <w:rPr>
                <w:sz w:val="20"/>
                <w:szCs w:val="20"/>
              </w:rPr>
              <w:t xml:space="preserve">go kontynuację </w:t>
            </w:r>
            <w:r w:rsidRPr="0039555E">
              <w:rPr>
                <w:sz w:val="20"/>
                <w:szCs w:val="20"/>
              </w:rPr>
              <w:t>(nie dotyczy chorych, którzy otrzymywali uzupełniające leczenie pooperacyjne – wymienieni chorzy mogą być kwalifikowani do leczenia ipilimumabem po wspomnianym leczeniu uzupełniającym oraz jednej linii leczenia systemowego z powodu uogólnienia nowotworu);</w:t>
            </w:r>
          </w:p>
          <w:p w:rsidR="00162266" w:rsidRPr="0039555E" w:rsidRDefault="00162266" w:rsidP="00767217">
            <w:pPr>
              <w:numPr>
                <w:ilvl w:val="0"/>
                <w:numId w:val="1"/>
              </w:numPr>
              <w:tabs>
                <w:tab w:val="clear" w:pos="360"/>
                <w:tab w:val="left" w:pos="-1418"/>
              </w:tabs>
              <w:spacing w:line="276" w:lineRule="auto"/>
              <w:ind w:left="284" w:hanging="284"/>
              <w:rPr>
                <w:sz w:val="20"/>
                <w:szCs w:val="20"/>
              </w:rPr>
            </w:pPr>
            <w:r w:rsidRPr="0039555E">
              <w:rPr>
                <w:sz w:val="20"/>
                <w:szCs w:val="20"/>
              </w:rPr>
              <w:t>rozpoczynanie leczenia ipilimumabem w chwili ustąpienia wszystkich klinicznie istotnych działań niepożądanych wcześniejszego leczenia (chemioterapia, immunoterapia, biochemioterapia, radioterapia, chirurgiczne leczenie);</w:t>
            </w:r>
          </w:p>
          <w:p w:rsidR="00162266" w:rsidRPr="0039555E" w:rsidRDefault="00162266" w:rsidP="00767217">
            <w:pPr>
              <w:numPr>
                <w:ilvl w:val="0"/>
                <w:numId w:val="1"/>
              </w:numPr>
              <w:tabs>
                <w:tab w:val="clear" w:pos="360"/>
                <w:tab w:val="left" w:pos="-1418"/>
              </w:tabs>
              <w:spacing w:line="276" w:lineRule="auto"/>
              <w:ind w:left="284" w:hanging="284"/>
              <w:rPr>
                <w:sz w:val="20"/>
                <w:szCs w:val="20"/>
              </w:rPr>
            </w:pPr>
            <w:r w:rsidRPr="0039555E">
              <w:rPr>
                <w:sz w:val="20"/>
                <w:szCs w:val="20"/>
              </w:rPr>
              <w:t xml:space="preserve">nieobecne przerzuty </w:t>
            </w:r>
            <w:r w:rsidR="00A763E8" w:rsidRPr="0039555E">
              <w:rPr>
                <w:sz w:val="20"/>
                <w:szCs w:val="20"/>
              </w:rPr>
              <w:t>w mózgu lub stan bezobjawowy po </w:t>
            </w:r>
            <w:r w:rsidRPr="0039555E">
              <w:rPr>
                <w:sz w:val="20"/>
                <w:szCs w:val="20"/>
              </w:rPr>
              <w:t>przebytym leczeniu chirurgicznym lub radioterapii przerzutów w mózgu;</w:t>
            </w:r>
          </w:p>
          <w:p w:rsidR="00162266" w:rsidRPr="0039555E" w:rsidRDefault="00162266" w:rsidP="00767217">
            <w:pPr>
              <w:numPr>
                <w:ilvl w:val="0"/>
                <w:numId w:val="1"/>
              </w:numPr>
              <w:tabs>
                <w:tab w:val="clear" w:pos="360"/>
                <w:tab w:val="left" w:pos="-1418"/>
              </w:tabs>
              <w:spacing w:line="276" w:lineRule="auto"/>
              <w:ind w:left="284" w:hanging="284"/>
              <w:rPr>
                <w:sz w:val="20"/>
                <w:szCs w:val="20"/>
              </w:rPr>
            </w:pPr>
            <w:r w:rsidRPr="0039555E">
              <w:rPr>
                <w:sz w:val="20"/>
                <w:szCs w:val="20"/>
              </w:rPr>
              <w:t>stan sprawności według kryteriów ECOG w stopniu 0-1;</w:t>
            </w:r>
          </w:p>
          <w:p w:rsidR="00162266" w:rsidRPr="0039555E" w:rsidRDefault="00162266" w:rsidP="00767217">
            <w:pPr>
              <w:numPr>
                <w:ilvl w:val="0"/>
                <w:numId w:val="1"/>
              </w:numPr>
              <w:tabs>
                <w:tab w:val="clear" w:pos="360"/>
                <w:tab w:val="left" w:pos="-1418"/>
              </w:tabs>
              <w:spacing w:line="276" w:lineRule="auto"/>
              <w:ind w:left="284" w:hanging="284"/>
              <w:rPr>
                <w:sz w:val="20"/>
                <w:szCs w:val="20"/>
              </w:rPr>
            </w:pPr>
            <w:r w:rsidRPr="0039555E">
              <w:rPr>
                <w:sz w:val="20"/>
                <w:szCs w:val="20"/>
              </w:rPr>
              <w:t>wiek ≥ 18 lat;</w:t>
            </w:r>
          </w:p>
          <w:p w:rsidR="00162266" w:rsidRPr="0039555E" w:rsidRDefault="00162266" w:rsidP="00767217">
            <w:pPr>
              <w:numPr>
                <w:ilvl w:val="0"/>
                <w:numId w:val="1"/>
              </w:numPr>
              <w:tabs>
                <w:tab w:val="clear" w:pos="360"/>
                <w:tab w:val="left" w:pos="-1418"/>
              </w:tabs>
              <w:spacing w:line="276" w:lineRule="auto"/>
              <w:ind w:left="284" w:hanging="284"/>
              <w:rPr>
                <w:sz w:val="20"/>
                <w:szCs w:val="20"/>
              </w:rPr>
            </w:pPr>
            <w:r w:rsidRPr="0039555E">
              <w:rPr>
                <w:sz w:val="20"/>
                <w:szCs w:val="20"/>
              </w:rPr>
              <w:t>antykoncepcyjne przeciwdziałanie u kobiet w wieku rozrodczym przez cały okres stosowania leczenia oraz do 26 tygodni po podaniu ostatniej dawki ipilimumabu;</w:t>
            </w:r>
          </w:p>
          <w:p w:rsidR="00162266" w:rsidRPr="0039555E" w:rsidRDefault="00162266" w:rsidP="00767217">
            <w:pPr>
              <w:numPr>
                <w:ilvl w:val="0"/>
                <w:numId w:val="1"/>
              </w:numPr>
              <w:tabs>
                <w:tab w:val="clear" w:pos="360"/>
                <w:tab w:val="left" w:pos="-1418"/>
              </w:tabs>
              <w:spacing w:line="276" w:lineRule="auto"/>
              <w:ind w:left="284" w:hanging="284"/>
              <w:rPr>
                <w:sz w:val="20"/>
                <w:szCs w:val="20"/>
              </w:rPr>
            </w:pPr>
            <w:r w:rsidRPr="0039555E">
              <w:rPr>
                <w:sz w:val="20"/>
                <w:szCs w:val="20"/>
              </w:rPr>
              <w:t xml:space="preserve">laboratoryjne badania (przed rozpoczęciem leczenia) </w:t>
            </w:r>
            <w:r w:rsidR="00A763E8" w:rsidRPr="0039555E">
              <w:rPr>
                <w:sz w:val="20"/>
                <w:szCs w:val="20"/>
              </w:rPr>
              <w:t>o </w:t>
            </w:r>
            <w:r w:rsidRPr="0039555E">
              <w:rPr>
                <w:sz w:val="20"/>
                <w:szCs w:val="20"/>
              </w:rPr>
              <w:t>wartościach:</w:t>
            </w:r>
          </w:p>
          <w:p w:rsidR="00162266" w:rsidRPr="0039555E" w:rsidRDefault="00162266" w:rsidP="00767217">
            <w:pPr>
              <w:numPr>
                <w:ilvl w:val="1"/>
                <w:numId w:val="1"/>
              </w:numPr>
              <w:tabs>
                <w:tab w:val="clear" w:pos="1080"/>
                <w:tab w:val="num" w:pos="-1418"/>
              </w:tabs>
              <w:spacing w:line="276" w:lineRule="auto"/>
              <w:ind w:left="709"/>
              <w:rPr>
                <w:sz w:val="20"/>
                <w:szCs w:val="20"/>
              </w:rPr>
            </w:pPr>
            <w:r w:rsidRPr="0039555E">
              <w:rPr>
                <w:sz w:val="20"/>
                <w:szCs w:val="20"/>
              </w:rPr>
              <w:t>l</w:t>
            </w:r>
            <w:r w:rsidR="00A763E8" w:rsidRPr="0039555E">
              <w:rPr>
                <w:sz w:val="20"/>
                <w:szCs w:val="20"/>
              </w:rPr>
              <w:t>iczba białych krwinek ≥ 2000/μl,</w:t>
            </w:r>
          </w:p>
          <w:p w:rsidR="00162266" w:rsidRPr="0039555E" w:rsidRDefault="00162266" w:rsidP="00767217">
            <w:pPr>
              <w:numPr>
                <w:ilvl w:val="1"/>
                <w:numId w:val="1"/>
              </w:numPr>
              <w:tabs>
                <w:tab w:val="clear" w:pos="1080"/>
                <w:tab w:val="num" w:pos="-1418"/>
              </w:tabs>
              <w:spacing w:line="276" w:lineRule="auto"/>
              <w:ind w:left="709"/>
              <w:rPr>
                <w:sz w:val="20"/>
                <w:szCs w:val="20"/>
              </w:rPr>
            </w:pPr>
            <w:r w:rsidRPr="0039555E">
              <w:rPr>
                <w:sz w:val="20"/>
                <w:szCs w:val="20"/>
              </w:rPr>
              <w:t>liczba granulocy</w:t>
            </w:r>
            <w:r w:rsidR="00A763E8" w:rsidRPr="0039555E">
              <w:rPr>
                <w:sz w:val="20"/>
                <w:szCs w:val="20"/>
              </w:rPr>
              <w:t>tów obojętnochłonnych ≥ 1000/μl,</w:t>
            </w:r>
          </w:p>
          <w:p w:rsidR="00162266" w:rsidRPr="0039555E" w:rsidRDefault="00162266" w:rsidP="00767217">
            <w:pPr>
              <w:numPr>
                <w:ilvl w:val="1"/>
                <w:numId w:val="1"/>
              </w:numPr>
              <w:tabs>
                <w:tab w:val="clear" w:pos="1080"/>
                <w:tab w:val="num" w:pos="-1418"/>
              </w:tabs>
              <w:spacing w:line="276" w:lineRule="auto"/>
              <w:ind w:left="709"/>
              <w:rPr>
                <w:sz w:val="20"/>
                <w:szCs w:val="20"/>
              </w:rPr>
            </w:pPr>
            <w:r w:rsidRPr="0039555E">
              <w:rPr>
                <w:sz w:val="20"/>
                <w:szCs w:val="20"/>
              </w:rPr>
              <w:t>liczba płytek ≥ 75 x 10</w:t>
            </w:r>
            <w:r w:rsidRPr="0039555E">
              <w:rPr>
                <w:sz w:val="20"/>
                <w:szCs w:val="20"/>
                <w:vertAlign w:val="superscript"/>
              </w:rPr>
              <w:t>3</w:t>
            </w:r>
            <w:r w:rsidR="00A763E8" w:rsidRPr="0039555E">
              <w:rPr>
                <w:sz w:val="20"/>
                <w:szCs w:val="20"/>
              </w:rPr>
              <w:t>/μl,</w:t>
            </w:r>
          </w:p>
          <w:p w:rsidR="00162266" w:rsidRPr="0039555E" w:rsidRDefault="00162266" w:rsidP="00767217">
            <w:pPr>
              <w:numPr>
                <w:ilvl w:val="1"/>
                <w:numId w:val="1"/>
              </w:numPr>
              <w:tabs>
                <w:tab w:val="clear" w:pos="1080"/>
                <w:tab w:val="num" w:pos="-1418"/>
              </w:tabs>
              <w:spacing w:line="276" w:lineRule="auto"/>
              <w:ind w:left="709"/>
              <w:rPr>
                <w:sz w:val="20"/>
                <w:szCs w:val="20"/>
              </w:rPr>
            </w:pPr>
            <w:r w:rsidRPr="0039555E">
              <w:rPr>
                <w:sz w:val="20"/>
                <w:szCs w:val="20"/>
              </w:rPr>
              <w:t xml:space="preserve">stężenie hemoglobiny ≥9 g/dl (możliwe przetoczenie </w:t>
            </w:r>
            <w:r w:rsidR="00A763E8" w:rsidRPr="0039555E">
              <w:rPr>
                <w:sz w:val="20"/>
                <w:szCs w:val="20"/>
              </w:rPr>
              <w:t>krwi/produktów krwiopochodnych),</w:t>
            </w:r>
          </w:p>
          <w:p w:rsidR="00162266" w:rsidRPr="0039555E" w:rsidRDefault="00162266" w:rsidP="00767217">
            <w:pPr>
              <w:numPr>
                <w:ilvl w:val="1"/>
                <w:numId w:val="1"/>
              </w:numPr>
              <w:tabs>
                <w:tab w:val="clear" w:pos="1080"/>
                <w:tab w:val="num" w:pos="-1418"/>
              </w:tabs>
              <w:spacing w:line="276" w:lineRule="auto"/>
              <w:ind w:left="709"/>
              <w:rPr>
                <w:sz w:val="20"/>
                <w:szCs w:val="20"/>
              </w:rPr>
            </w:pPr>
            <w:r w:rsidRPr="0039555E">
              <w:rPr>
                <w:sz w:val="20"/>
                <w:szCs w:val="20"/>
              </w:rPr>
              <w:t xml:space="preserve">stężenie kreatyniny </w:t>
            </w:r>
            <w:r w:rsidR="00A763E8" w:rsidRPr="0039555E">
              <w:rPr>
                <w:sz w:val="20"/>
                <w:szCs w:val="20"/>
              </w:rPr>
              <w:t>≤ 2 x GGN (górna granica normy),</w:t>
            </w:r>
          </w:p>
          <w:p w:rsidR="00162266" w:rsidRPr="0039555E" w:rsidRDefault="00162266" w:rsidP="00767217">
            <w:pPr>
              <w:numPr>
                <w:ilvl w:val="1"/>
                <w:numId w:val="1"/>
              </w:numPr>
              <w:tabs>
                <w:tab w:val="clear" w:pos="1080"/>
                <w:tab w:val="num" w:pos="-1418"/>
              </w:tabs>
              <w:spacing w:line="276" w:lineRule="auto"/>
              <w:ind w:left="709"/>
              <w:rPr>
                <w:sz w:val="20"/>
                <w:szCs w:val="20"/>
              </w:rPr>
            </w:pPr>
            <w:r w:rsidRPr="0039555E">
              <w:rPr>
                <w:sz w:val="20"/>
                <w:szCs w:val="20"/>
              </w:rPr>
              <w:t xml:space="preserve">aktywność aminotransferaz AST/ALT ≤ 2,5 x GGN </w:t>
            </w:r>
            <w:r w:rsidR="00A763E8" w:rsidRPr="0039555E">
              <w:rPr>
                <w:sz w:val="20"/>
                <w:szCs w:val="20"/>
              </w:rPr>
              <w:t>u </w:t>
            </w:r>
            <w:r w:rsidRPr="0039555E">
              <w:rPr>
                <w:sz w:val="20"/>
                <w:szCs w:val="20"/>
              </w:rPr>
              <w:t>pacjentów bez przerzutów do w</w:t>
            </w:r>
            <w:r w:rsidR="00A763E8" w:rsidRPr="0039555E">
              <w:rPr>
                <w:sz w:val="20"/>
                <w:szCs w:val="20"/>
              </w:rPr>
              <w:t>ątroby i ≤ 5 x GGN u </w:t>
            </w:r>
            <w:r w:rsidR="00B81A03" w:rsidRPr="0039555E">
              <w:rPr>
                <w:sz w:val="20"/>
                <w:szCs w:val="20"/>
              </w:rPr>
              <w:t xml:space="preserve">pacjentów </w:t>
            </w:r>
            <w:r w:rsidR="00A763E8" w:rsidRPr="0039555E">
              <w:rPr>
                <w:sz w:val="20"/>
                <w:szCs w:val="20"/>
              </w:rPr>
              <w:t>z przerzutami do wątroby,</w:t>
            </w:r>
          </w:p>
          <w:p w:rsidR="00162266" w:rsidRPr="0039555E" w:rsidRDefault="00162266" w:rsidP="00767217">
            <w:pPr>
              <w:numPr>
                <w:ilvl w:val="1"/>
                <w:numId w:val="1"/>
              </w:numPr>
              <w:tabs>
                <w:tab w:val="clear" w:pos="1080"/>
                <w:tab w:val="num" w:pos="-1418"/>
              </w:tabs>
              <w:spacing w:line="276" w:lineRule="auto"/>
              <w:ind w:left="709"/>
              <w:rPr>
                <w:sz w:val="20"/>
                <w:szCs w:val="20"/>
              </w:rPr>
            </w:pPr>
            <w:r w:rsidRPr="0039555E">
              <w:rPr>
                <w:sz w:val="20"/>
                <w:szCs w:val="20"/>
              </w:rPr>
              <w:t>stężenie bilirubiny ≤ 2 x GGN (z wyjątkiem pacjentów z zespołem Gilberta, u których stężenie bilirubiny całkowitej musi być niższe niż 3,0 mg/dl).</w:t>
            </w:r>
          </w:p>
          <w:p w:rsidR="00162266" w:rsidRPr="0039555E" w:rsidRDefault="00162266" w:rsidP="00623E60">
            <w:pPr>
              <w:spacing w:line="276" w:lineRule="auto"/>
              <w:rPr>
                <w:sz w:val="20"/>
                <w:szCs w:val="20"/>
              </w:rPr>
            </w:pPr>
          </w:p>
          <w:p w:rsidR="00162266" w:rsidRPr="0039555E" w:rsidRDefault="00162266" w:rsidP="00623E60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39555E">
              <w:rPr>
                <w:b/>
                <w:bCs/>
                <w:sz w:val="20"/>
                <w:szCs w:val="20"/>
              </w:rPr>
              <w:t>2. Określenie czasu leczenia w programie:</w:t>
            </w:r>
          </w:p>
          <w:p w:rsidR="00162266" w:rsidRPr="0039555E" w:rsidRDefault="00162266" w:rsidP="00623E60">
            <w:pPr>
              <w:spacing w:line="276" w:lineRule="auto"/>
              <w:rPr>
                <w:sz w:val="20"/>
                <w:szCs w:val="20"/>
              </w:rPr>
            </w:pPr>
            <w:r w:rsidRPr="0039555E">
              <w:rPr>
                <w:sz w:val="20"/>
                <w:szCs w:val="20"/>
              </w:rPr>
              <w:t xml:space="preserve">Leczenie – w przypadku dobrej tolerancji i uzyskania obiektywnych korzyści – może trwać 10 tygodni (zastosowanie leku w tygodniach 1., 4., 7. i 10.). W przypadku wystąpienia objawów nietolerancji lub cech progresji choroby według kryteriów immunologicznej odpowiedzi leczenie powinno być </w:t>
            </w:r>
            <w:r w:rsidR="0070454F" w:rsidRPr="0039555E">
              <w:rPr>
                <w:sz w:val="20"/>
                <w:szCs w:val="20"/>
              </w:rPr>
              <w:t>odroczone</w:t>
            </w:r>
            <w:r w:rsidRPr="0039555E">
              <w:rPr>
                <w:sz w:val="20"/>
                <w:szCs w:val="20"/>
              </w:rPr>
              <w:t xml:space="preserve"> lub przerywane.</w:t>
            </w:r>
          </w:p>
          <w:p w:rsidR="00162266" w:rsidRPr="0039555E" w:rsidRDefault="00162266" w:rsidP="00623E60">
            <w:pPr>
              <w:spacing w:line="276" w:lineRule="auto"/>
              <w:rPr>
                <w:sz w:val="20"/>
                <w:szCs w:val="20"/>
              </w:rPr>
            </w:pPr>
          </w:p>
          <w:p w:rsidR="00162266" w:rsidRPr="0039555E" w:rsidRDefault="00A763E8" w:rsidP="00623E60">
            <w:pPr>
              <w:spacing w:line="276" w:lineRule="auto"/>
              <w:rPr>
                <w:sz w:val="20"/>
                <w:szCs w:val="20"/>
              </w:rPr>
            </w:pPr>
            <w:r w:rsidRPr="0039555E">
              <w:rPr>
                <w:sz w:val="20"/>
                <w:szCs w:val="20"/>
              </w:rPr>
              <w:t>K</w:t>
            </w:r>
            <w:r w:rsidR="00162266" w:rsidRPr="0039555E">
              <w:rPr>
                <w:sz w:val="20"/>
                <w:szCs w:val="20"/>
              </w:rPr>
              <w:t>ryteria immunologicznej odpowiedzi:</w:t>
            </w:r>
          </w:p>
          <w:p w:rsidR="00162266" w:rsidRPr="0039555E" w:rsidRDefault="00162266" w:rsidP="00767217">
            <w:pPr>
              <w:pStyle w:val="Akapitzlist"/>
              <w:numPr>
                <w:ilvl w:val="0"/>
                <w:numId w:val="8"/>
              </w:numPr>
              <w:spacing w:line="276" w:lineRule="auto"/>
              <w:ind w:left="284" w:hanging="218"/>
              <w:rPr>
                <w:sz w:val="20"/>
                <w:szCs w:val="20"/>
              </w:rPr>
            </w:pPr>
            <w:r w:rsidRPr="0039555E">
              <w:rPr>
                <w:sz w:val="20"/>
                <w:szCs w:val="20"/>
              </w:rPr>
              <w:t>irCR – całkowite ustąpienie wszystkich zmian (mierzalnych i niemierzalnych oraz brak nowych zmian) potwierdzone przez powtórną oceną wykonaną nie mniej niż 4 tygodnie od daty pierwszej dokumentacji;</w:t>
            </w:r>
          </w:p>
          <w:p w:rsidR="00162266" w:rsidRPr="0039555E" w:rsidRDefault="00162266" w:rsidP="00767217">
            <w:pPr>
              <w:pStyle w:val="Akapitzlist"/>
              <w:numPr>
                <w:ilvl w:val="0"/>
                <w:numId w:val="8"/>
              </w:numPr>
              <w:spacing w:line="276" w:lineRule="auto"/>
              <w:ind w:left="284" w:hanging="218"/>
              <w:rPr>
                <w:sz w:val="20"/>
                <w:szCs w:val="20"/>
              </w:rPr>
            </w:pPr>
            <w:r w:rsidRPr="0039555E">
              <w:rPr>
                <w:sz w:val="20"/>
                <w:szCs w:val="20"/>
              </w:rPr>
              <w:t xml:space="preserve">irPR – zmniejszenie się zaawansowania nowotworu </w:t>
            </w:r>
            <w:r w:rsidRPr="0039555E">
              <w:rPr>
                <w:sz w:val="20"/>
                <w:szCs w:val="20"/>
              </w:rPr>
              <w:sym w:font="Symbol" w:char="F0B3"/>
            </w:r>
            <w:r w:rsidRPr="0039555E">
              <w:rPr>
                <w:sz w:val="20"/>
                <w:szCs w:val="20"/>
              </w:rPr>
              <w:t xml:space="preserve"> 50% względem stanu wyjściowego potwierdzone kolejną oceną wykonana przynajmniej 4 tygodnie po pierwszej dokumentacji;</w:t>
            </w:r>
          </w:p>
          <w:p w:rsidR="00162266" w:rsidRPr="0039555E" w:rsidRDefault="00162266" w:rsidP="00767217">
            <w:pPr>
              <w:pStyle w:val="Akapitzlist"/>
              <w:numPr>
                <w:ilvl w:val="0"/>
                <w:numId w:val="8"/>
              </w:numPr>
              <w:spacing w:line="276" w:lineRule="auto"/>
              <w:ind w:left="284" w:hanging="218"/>
              <w:rPr>
                <w:sz w:val="20"/>
                <w:szCs w:val="20"/>
              </w:rPr>
            </w:pPr>
            <w:r w:rsidRPr="0039555E">
              <w:rPr>
                <w:sz w:val="20"/>
                <w:szCs w:val="20"/>
              </w:rPr>
              <w:t>irSD – nieobecność kryteriów irCR lub irPR oraz nieobecność irPD;</w:t>
            </w:r>
          </w:p>
          <w:p w:rsidR="00162266" w:rsidRPr="0039555E" w:rsidRDefault="00162266" w:rsidP="00767217">
            <w:pPr>
              <w:pStyle w:val="Akapitzlist"/>
              <w:numPr>
                <w:ilvl w:val="0"/>
                <w:numId w:val="8"/>
              </w:numPr>
              <w:spacing w:line="276" w:lineRule="auto"/>
              <w:ind w:left="284" w:hanging="218"/>
              <w:rPr>
                <w:sz w:val="20"/>
                <w:szCs w:val="20"/>
              </w:rPr>
            </w:pPr>
            <w:r w:rsidRPr="0039555E">
              <w:rPr>
                <w:sz w:val="20"/>
                <w:szCs w:val="20"/>
              </w:rPr>
              <w:t xml:space="preserve">irPD – zwiększenie zaawansowania guza o </w:t>
            </w:r>
            <w:r w:rsidRPr="0039555E">
              <w:rPr>
                <w:sz w:val="20"/>
                <w:szCs w:val="20"/>
              </w:rPr>
              <w:sym w:font="Symbol" w:char="F0B3"/>
            </w:r>
            <w:r w:rsidRPr="0039555E">
              <w:rPr>
                <w:sz w:val="20"/>
                <w:szCs w:val="20"/>
              </w:rPr>
              <w:t xml:space="preserve"> 25% względem minimalnego zarejestrowanego stopnia zaawansowania potwierdzone powtórną oceną wykonaną nie mniej niż 4 tygodnie od daty pierwszej dokumentacji.</w:t>
            </w:r>
          </w:p>
          <w:p w:rsidR="00162266" w:rsidRPr="0039555E" w:rsidRDefault="00162266" w:rsidP="00623E60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162266" w:rsidRPr="0039555E" w:rsidRDefault="00162266" w:rsidP="00623E60">
            <w:pPr>
              <w:spacing w:line="276" w:lineRule="auto"/>
              <w:rPr>
                <w:iCs/>
                <w:sz w:val="20"/>
                <w:szCs w:val="20"/>
              </w:rPr>
            </w:pPr>
            <w:r w:rsidRPr="0039555E">
              <w:rPr>
                <w:iCs/>
                <w:sz w:val="20"/>
                <w:szCs w:val="20"/>
              </w:rPr>
              <w:t>Czasowe przerwanie (zawieszenie) leczenia może mieć miejsce w przypadku wystąpienia poważnych działań niepożądanych lub znaczącego pogorszenia stanu sprawności pacjenta.</w:t>
            </w:r>
          </w:p>
          <w:p w:rsidR="00162266" w:rsidRPr="0039555E" w:rsidRDefault="00162266" w:rsidP="00623E60">
            <w:pPr>
              <w:spacing w:line="276" w:lineRule="auto"/>
              <w:rPr>
                <w:b/>
                <w:iCs/>
                <w:sz w:val="20"/>
                <w:szCs w:val="20"/>
                <w:u w:val="single"/>
              </w:rPr>
            </w:pPr>
          </w:p>
          <w:p w:rsidR="00162266" w:rsidRPr="0039555E" w:rsidRDefault="00162266" w:rsidP="00623E60">
            <w:pPr>
              <w:spacing w:line="276" w:lineRule="auto"/>
              <w:rPr>
                <w:iCs/>
                <w:sz w:val="20"/>
                <w:szCs w:val="20"/>
              </w:rPr>
            </w:pPr>
            <w:r w:rsidRPr="0039555E">
              <w:rPr>
                <w:iCs/>
                <w:sz w:val="20"/>
                <w:szCs w:val="20"/>
              </w:rPr>
              <w:t>W razie wystąpienia przynajmniej jednego z następujących zdarzeń niepożądanych konieczne może być wstrzymanie dawki ipilimumabu:</w:t>
            </w:r>
          </w:p>
          <w:p w:rsidR="00162266" w:rsidRPr="0039555E" w:rsidRDefault="00162266" w:rsidP="00767217">
            <w:pPr>
              <w:pStyle w:val="Akapitzlist"/>
              <w:numPr>
                <w:ilvl w:val="0"/>
                <w:numId w:val="9"/>
              </w:numPr>
              <w:spacing w:line="276" w:lineRule="auto"/>
              <w:ind w:left="284" w:hanging="284"/>
              <w:rPr>
                <w:iCs/>
                <w:sz w:val="20"/>
                <w:szCs w:val="20"/>
              </w:rPr>
            </w:pPr>
            <w:r w:rsidRPr="0039555E">
              <w:rPr>
                <w:iCs/>
                <w:sz w:val="20"/>
                <w:szCs w:val="20"/>
              </w:rPr>
              <w:t>jakiekolwiek zdarzenie niepożądane stopnia ≥ 2 niezwiązane ze skórą (włącznie z irAE), z wyjątkiem nieprawidłowych wyników badań laboratoryjnych;</w:t>
            </w:r>
          </w:p>
          <w:p w:rsidR="00162266" w:rsidRPr="0039555E" w:rsidRDefault="00162266" w:rsidP="00767217">
            <w:pPr>
              <w:pStyle w:val="Akapitzlist"/>
              <w:numPr>
                <w:ilvl w:val="0"/>
                <w:numId w:val="9"/>
              </w:numPr>
              <w:spacing w:line="276" w:lineRule="auto"/>
              <w:ind w:left="284" w:hanging="284"/>
              <w:rPr>
                <w:iCs/>
                <w:sz w:val="20"/>
                <w:szCs w:val="20"/>
              </w:rPr>
            </w:pPr>
            <w:r w:rsidRPr="0039555E">
              <w:rPr>
                <w:iCs/>
                <w:sz w:val="20"/>
                <w:szCs w:val="20"/>
              </w:rPr>
              <w:t>jakikolwiek nieprawidłowy wynik badania laboratoryjnego w stopniu ≥ 3;</w:t>
            </w:r>
          </w:p>
          <w:p w:rsidR="00162266" w:rsidRPr="0039555E" w:rsidRDefault="00162266" w:rsidP="00767217">
            <w:pPr>
              <w:pStyle w:val="Akapitzlist"/>
              <w:numPr>
                <w:ilvl w:val="0"/>
                <w:numId w:val="9"/>
              </w:numPr>
              <w:spacing w:line="276" w:lineRule="auto"/>
              <w:ind w:left="284" w:hanging="284"/>
              <w:rPr>
                <w:iCs/>
                <w:sz w:val="20"/>
                <w:szCs w:val="20"/>
              </w:rPr>
            </w:pPr>
            <w:r w:rsidRPr="0039555E">
              <w:rPr>
                <w:iCs/>
                <w:sz w:val="20"/>
                <w:szCs w:val="20"/>
              </w:rPr>
              <w:t>jakiekolwiek zdarzenie niepożądane stopnia ≥ 3 dotyczące skóry, niezależnie od związku przyczynowego.</w:t>
            </w:r>
          </w:p>
          <w:p w:rsidR="00162266" w:rsidRPr="0039555E" w:rsidRDefault="00162266" w:rsidP="00623E60">
            <w:pPr>
              <w:spacing w:line="276" w:lineRule="auto"/>
              <w:rPr>
                <w:iCs/>
                <w:sz w:val="20"/>
                <w:szCs w:val="20"/>
              </w:rPr>
            </w:pPr>
          </w:p>
          <w:p w:rsidR="00162266" w:rsidRPr="0039555E" w:rsidRDefault="00162266" w:rsidP="00623E60">
            <w:pPr>
              <w:spacing w:line="276" w:lineRule="auto"/>
              <w:rPr>
                <w:iCs/>
                <w:sz w:val="20"/>
                <w:szCs w:val="20"/>
              </w:rPr>
            </w:pPr>
            <w:r w:rsidRPr="0039555E">
              <w:rPr>
                <w:iCs/>
                <w:sz w:val="20"/>
                <w:szCs w:val="20"/>
              </w:rPr>
              <w:t>Należy wznowić leczenie ipilimumabem, jeżeli nasilenie zdarzeń niepożądanych zmniejszy się do stopnia ≤ 1 a następnie powrócić do dawkowania do chwili podania wszystkich 4 dawek lub do 16 tygodni po pierwszej dawce, cokolwiek nastąpi wcześniej.</w:t>
            </w:r>
            <w:r w:rsidRPr="0039555E" w:rsidDel="00FA16B8">
              <w:rPr>
                <w:iCs/>
                <w:sz w:val="20"/>
                <w:szCs w:val="20"/>
              </w:rPr>
              <w:t xml:space="preserve"> </w:t>
            </w:r>
          </w:p>
          <w:p w:rsidR="00B26112" w:rsidRPr="0039555E" w:rsidRDefault="00B26112" w:rsidP="00623E60">
            <w:pPr>
              <w:spacing w:line="276" w:lineRule="auto"/>
              <w:rPr>
                <w:iCs/>
                <w:sz w:val="20"/>
                <w:szCs w:val="20"/>
              </w:rPr>
            </w:pPr>
          </w:p>
          <w:p w:rsidR="00162266" w:rsidRPr="0039555E" w:rsidRDefault="00162266" w:rsidP="00623E60">
            <w:pPr>
              <w:spacing w:line="276" w:lineRule="auto"/>
              <w:rPr>
                <w:iCs/>
                <w:sz w:val="20"/>
                <w:szCs w:val="20"/>
              </w:rPr>
            </w:pPr>
            <w:r w:rsidRPr="0039555E">
              <w:rPr>
                <w:iCs/>
                <w:sz w:val="20"/>
                <w:szCs w:val="20"/>
              </w:rPr>
              <w:t>Następujące zdarzenia niepożądane związane z leczeniem wymagają trwałego przerwania leczenia ipilimumabem:</w:t>
            </w:r>
          </w:p>
          <w:p w:rsidR="00162266" w:rsidRPr="0039555E" w:rsidRDefault="00162266" w:rsidP="00767217">
            <w:pPr>
              <w:pStyle w:val="Akapitzlist"/>
              <w:numPr>
                <w:ilvl w:val="0"/>
                <w:numId w:val="10"/>
              </w:numPr>
              <w:spacing w:line="276" w:lineRule="auto"/>
              <w:ind w:left="284" w:hanging="284"/>
              <w:rPr>
                <w:iCs/>
                <w:sz w:val="20"/>
                <w:szCs w:val="20"/>
              </w:rPr>
            </w:pPr>
            <w:r w:rsidRPr="0039555E">
              <w:rPr>
                <w:iCs/>
                <w:sz w:val="20"/>
                <w:szCs w:val="20"/>
              </w:rPr>
              <w:t>jakiekolwiek zdarzenie niepożądane w stopniu ≥ 3 niezwiązane ze skórą, z wyjątkiem nieprawidłowych wyników badań laboratoryjnych;</w:t>
            </w:r>
          </w:p>
          <w:p w:rsidR="00162266" w:rsidRPr="0039555E" w:rsidRDefault="00162266" w:rsidP="00767217">
            <w:pPr>
              <w:pStyle w:val="Akapitzlist"/>
              <w:numPr>
                <w:ilvl w:val="0"/>
                <w:numId w:val="10"/>
              </w:numPr>
              <w:spacing w:line="276" w:lineRule="auto"/>
              <w:ind w:left="284" w:hanging="284"/>
              <w:rPr>
                <w:iCs/>
                <w:sz w:val="20"/>
                <w:szCs w:val="20"/>
              </w:rPr>
            </w:pPr>
            <w:r w:rsidRPr="0039555E">
              <w:rPr>
                <w:iCs/>
                <w:sz w:val="20"/>
                <w:szCs w:val="20"/>
              </w:rPr>
              <w:t>jakikolwiek nieprawidłowy wynik badania laboratoryjnego stopnia ≥ 4 z wyjątkiem AST, ALT lub bilirubiny całkowitej;</w:t>
            </w:r>
          </w:p>
          <w:p w:rsidR="00162266" w:rsidRPr="0039555E" w:rsidRDefault="00162266" w:rsidP="00767217">
            <w:pPr>
              <w:pStyle w:val="Akapitzlist"/>
              <w:numPr>
                <w:ilvl w:val="0"/>
                <w:numId w:val="10"/>
              </w:numPr>
              <w:spacing w:line="276" w:lineRule="auto"/>
              <w:ind w:left="284" w:hanging="284"/>
              <w:rPr>
                <w:iCs/>
                <w:sz w:val="20"/>
                <w:szCs w:val="20"/>
              </w:rPr>
            </w:pPr>
            <w:r w:rsidRPr="0039555E">
              <w:rPr>
                <w:iCs/>
                <w:sz w:val="20"/>
                <w:szCs w:val="20"/>
              </w:rPr>
              <w:t>aktywność AST lub ALT &gt;8 GGN;</w:t>
            </w:r>
          </w:p>
          <w:p w:rsidR="00162266" w:rsidRPr="0039555E" w:rsidRDefault="00162266" w:rsidP="00767217">
            <w:pPr>
              <w:pStyle w:val="Akapitzlist"/>
              <w:numPr>
                <w:ilvl w:val="0"/>
                <w:numId w:val="10"/>
              </w:numPr>
              <w:spacing w:line="276" w:lineRule="auto"/>
              <w:ind w:left="284" w:hanging="284"/>
              <w:rPr>
                <w:iCs/>
                <w:sz w:val="20"/>
                <w:szCs w:val="20"/>
              </w:rPr>
            </w:pPr>
            <w:r w:rsidRPr="0039555E">
              <w:rPr>
                <w:iCs/>
                <w:sz w:val="20"/>
                <w:szCs w:val="20"/>
              </w:rPr>
              <w:t>stężenie bilirubiny całkowitej &gt; 5 GGN;</w:t>
            </w:r>
          </w:p>
          <w:p w:rsidR="00162266" w:rsidRPr="0039555E" w:rsidRDefault="00162266" w:rsidP="00767217">
            <w:pPr>
              <w:pStyle w:val="Akapitzlist"/>
              <w:numPr>
                <w:ilvl w:val="0"/>
                <w:numId w:val="10"/>
              </w:numPr>
              <w:spacing w:line="276" w:lineRule="auto"/>
              <w:ind w:left="284" w:hanging="284"/>
              <w:rPr>
                <w:iCs/>
                <w:sz w:val="20"/>
                <w:szCs w:val="20"/>
              </w:rPr>
            </w:pPr>
            <w:r w:rsidRPr="0039555E">
              <w:rPr>
                <w:iCs/>
                <w:sz w:val="20"/>
                <w:szCs w:val="20"/>
              </w:rPr>
              <w:t>dowolne inne zdarzenie niepożądane stopnia ≥ 4;</w:t>
            </w:r>
          </w:p>
          <w:p w:rsidR="00162266" w:rsidRPr="0039555E" w:rsidRDefault="00162266" w:rsidP="00767217">
            <w:pPr>
              <w:pStyle w:val="Akapitzlist"/>
              <w:numPr>
                <w:ilvl w:val="0"/>
                <w:numId w:val="10"/>
              </w:numPr>
              <w:spacing w:line="276" w:lineRule="auto"/>
              <w:ind w:left="284" w:hanging="284"/>
              <w:rPr>
                <w:iCs/>
                <w:sz w:val="20"/>
                <w:szCs w:val="20"/>
              </w:rPr>
            </w:pPr>
            <w:r w:rsidRPr="0039555E">
              <w:rPr>
                <w:iCs/>
                <w:sz w:val="20"/>
                <w:szCs w:val="20"/>
              </w:rPr>
              <w:t xml:space="preserve">jakikolwiek ból oka lub zmniejszenie ostrości widzenia stopnia ≥ 2, które nie reaguje na leczenie miejscowe i nie ulega poprawie do stopnia ≤ 1 w </w:t>
            </w:r>
            <w:r w:rsidR="00B26112" w:rsidRPr="0039555E">
              <w:rPr>
                <w:iCs/>
                <w:sz w:val="20"/>
                <w:szCs w:val="20"/>
              </w:rPr>
              <w:t>ciągu 2 tygodni od  </w:t>
            </w:r>
            <w:r w:rsidRPr="0039555E">
              <w:rPr>
                <w:iCs/>
                <w:sz w:val="20"/>
                <w:szCs w:val="20"/>
              </w:rPr>
              <w:t>rozpoczęcia leczenia, bądź które wymaga leczenia ogólnoustrojowego.</w:t>
            </w:r>
          </w:p>
          <w:p w:rsidR="00162266" w:rsidRPr="0039555E" w:rsidRDefault="00162266" w:rsidP="00623E60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162266" w:rsidRPr="0039555E" w:rsidRDefault="00162266" w:rsidP="00623E60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39555E">
              <w:rPr>
                <w:b/>
                <w:bCs/>
                <w:sz w:val="20"/>
                <w:szCs w:val="20"/>
              </w:rPr>
              <w:t>3. Kryteria wyłączenia z programu:</w:t>
            </w:r>
          </w:p>
          <w:p w:rsidR="00162266" w:rsidRPr="0039555E" w:rsidRDefault="00162266" w:rsidP="00767217">
            <w:pPr>
              <w:numPr>
                <w:ilvl w:val="0"/>
                <w:numId w:val="2"/>
              </w:numPr>
              <w:tabs>
                <w:tab w:val="num" w:pos="-1276"/>
              </w:tabs>
              <w:spacing w:line="276" w:lineRule="auto"/>
              <w:ind w:left="284" w:hanging="284"/>
              <w:rPr>
                <w:sz w:val="20"/>
                <w:szCs w:val="20"/>
              </w:rPr>
            </w:pPr>
            <w:r w:rsidRPr="0039555E">
              <w:rPr>
                <w:sz w:val="20"/>
                <w:szCs w:val="20"/>
              </w:rPr>
              <w:t xml:space="preserve">kobiety w wieku rozrodczym, które nie chcą lub nie są </w:t>
            </w:r>
            <w:r w:rsidR="00B26112" w:rsidRPr="0039555E">
              <w:rPr>
                <w:sz w:val="20"/>
                <w:szCs w:val="20"/>
              </w:rPr>
              <w:t>w </w:t>
            </w:r>
            <w:r w:rsidRPr="0039555E">
              <w:rPr>
                <w:sz w:val="20"/>
                <w:szCs w:val="20"/>
              </w:rPr>
              <w:t xml:space="preserve">stanie stosować dopuszczalnej metody antykoncepcji w celu uniknięcia ciąży przez </w:t>
            </w:r>
            <w:r w:rsidR="00B26112" w:rsidRPr="0039555E">
              <w:rPr>
                <w:sz w:val="20"/>
                <w:szCs w:val="20"/>
              </w:rPr>
              <w:t>cały okres badania oraz przez 8 </w:t>
            </w:r>
            <w:r w:rsidRPr="0039555E">
              <w:rPr>
                <w:sz w:val="20"/>
                <w:szCs w:val="20"/>
              </w:rPr>
              <w:t>tygodni po jego zakończeniu;</w:t>
            </w:r>
          </w:p>
          <w:p w:rsidR="00162266" w:rsidRPr="0039555E" w:rsidRDefault="00162266" w:rsidP="00767217">
            <w:pPr>
              <w:numPr>
                <w:ilvl w:val="0"/>
                <w:numId w:val="2"/>
              </w:numPr>
              <w:tabs>
                <w:tab w:val="num" w:pos="-1276"/>
              </w:tabs>
              <w:spacing w:line="276" w:lineRule="auto"/>
              <w:ind w:left="284" w:hanging="284"/>
              <w:rPr>
                <w:sz w:val="20"/>
                <w:szCs w:val="20"/>
              </w:rPr>
            </w:pPr>
            <w:r w:rsidRPr="0039555E">
              <w:rPr>
                <w:sz w:val="20"/>
                <w:szCs w:val="20"/>
              </w:rPr>
              <w:t>kobiety w ciąży lub karmiące piersią;</w:t>
            </w:r>
          </w:p>
          <w:p w:rsidR="00162266" w:rsidRPr="0039555E" w:rsidRDefault="00162266" w:rsidP="00767217">
            <w:pPr>
              <w:numPr>
                <w:ilvl w:val="0"/>
                <w:numId w:val="2"/>
              </w:numPr>
              <w:tabs>
                <w:tab w:val="num" w:pos="-1276"/>
              </w:tabs>
              <w:spacing w:line="276" w:lineRule="auto"/>
              <w:ind w:left="284" w:hanging="284"/>
              <w:rPr>
                <w:sz w:val="20"/>
                <w:szCs w:val="20"/>
              </w:rPr>
            </w:pPr>
            <w:r w:rsidRPr="0039555E">
              <w:rPr>
                <w:sz w:val="20"/>
                <w:szCs w:val="20"/>
              </w:rPr>
              <w:t>kobiety z dodatnim wynikiem testu ciążowego przy włączeniu do badania lub przed podaniem ipilimumabu;</w:t>
            </w:r>
          </w:p>
          <w:p w:rsidR="00162266" w:rsidRPr="0039555E" w:rsidRDefault="00162266" w:rsidP="00767217">
            <w:pPr>
              <w:numPr>
                <w:ilvl w:val="0"/>
                <w:numId w:val="2"/>
              </w:numPr>
              <w:tabs>
                <w:tab w:val="num" w:pos="-1276"/>
              </w:tabs>
              <w:spacing w:line="276" w:lineRule="auto"/>
              <w:ind w:left="284" w:hanging="284"/>
              <w:rPr>
                <w:sz w:val="20"/>
                <w:szCs w:val="20"/>
              </w:rPr>
            </w:pPr>
            <w:r w:rsidRPr="0039555E">
              <w:rPr>
                <w:sz w:val="20"/>
                <w:szCs w:val="20"/>
              </w:rPr>
              <w:t>chorzy przyjmujący jakiekolwiek inne ogólnoustrojowe leczenie przeciwnowotworowe (w tym – jakiekolwiek leczenie eksperymentalne);</w:t>
            </w:r>
          </w:p>
          <w:p w:rsidR="00162266" w:rsidRPr="0039555E" w:rsidRDefault="00162266" w:rsidP="00767217">
            <w:pPr>
              <w:numPr>
                <w:ilvl w:val="0"/>
                <w:numId w:val="2"/>
              </w:numPr>
              <w:tabs>
                <w:tab w:val="num" w:pos="-1276"/>
              </w:tabs>
              <w:spacing w:line="276" w:lineRule="auto"/>
              <w:ind w:left="284" w:hanging="284"/>
              <w:rPr>
                <w:sz w:val="20"/>
                <w:szCs w:val="20"/>
              </w:rPr>
            </w:pPr>
            <w:r w:rsidRPr="0039555E">
              <w:rPr>
                <w:sz w:val="20"/>
                <w:szCs w:val="20"/>
              </w:rPr>
              <w:t>chorzy z autoimmunologicznymi chorobami – potwierdzoną chorobą zapalną jelit w wywiadzie (w tym – wrzodziejące zapalenie jelita grubego i choroba Leśniowskiego-Crohna), objawową chorobą układową w wywiadzie (np. reumatoidalne zapalenie stawów, postępująca twardzina uogólniona, toczeń rumieniowaty układowy, autoimmunologiczne zapalenie naczyń), zaburzenia neuropatyczne pochodzenia autoimmunologicznego (zespół Guillaina-Barrégo lub miastenia). Nie dotyczy przypadków występowania bielactwa nabytego;</w:t>
            </w:r>
          </w:p>
          <w:p w:rsidR="00162266" w:rsidRPr="0039555E" w:rsidRDefault="00162266" w:rsidP="00767217">
            <w:pPr>
              <w:numPr>
                <w:ilvl w:val="0"/>
                <w:numId w:val="2"/>
              </w:numPr>
              <w:tabs>
                <w:tab w:val="num" w:pos="-1276"/>
              </w:tabs>
              <w:spacing w:line="276" w:lineRule="auto"/>
              <w:ind w:left="284" w:hanging="284"/>
              <w:rPr>
                <w:sz w:val="20"/>
                <w:szCs w:val="20"/>
              </w:rPr>
            </w:pPr>
            <w:r w:rsidRPr="0039555E">
              <w:rPr>
                <w:sz w:val="20"/>
                <w:szCs w:val="20"/>
              </w:rPr>
              <w:t>chorzy z potwierdzonym zakażeniem HIV, HBV lub HCV (niezależnie od skuteczności stosowanego leczenia przeciwwirusowego);</w:t>
            </w:r>
          </w:p>
          <w:p w:rsidR="00162266" w:rsidRPr="0039555E" w:rsidRDefault="00162266" w:rsidP="00767217">
            <w:pPr>
              <w:numPr>
                <w:ilvl w:val="0"/>
                <w:numId w:val="2"/>
              </w:numPr>
              <w:tabs>
                <w:tab w:val="num" w:pos="-1276"/>
              </w:tabs>
              <w:spacing w:line="276" w:lineRule="auto"/>
              <w:ind w:left="284" w:hanging="284"/>
              <w:rPr>
                <w:sz w:val="20"/>
                <w:szCs w:val="20"/>
              </w:rPr>
            </w:pPr>
            <w:r w:rsidRPr="0039555E">
              <w:rPr>
                <w:sz w:val="20"/>
                <w:szCs w:val="20"/>
              </w:rPr>
              <w:t xml:space="preserve">chorzy z innym współistniejącym nowotworem złośliwym (wyjątek – odpowiednio leczony rak podstawnokomórkowy lub płaskonabłonkowy skóry, rak powierzchniowy pęcherza lub rak szyjki macicy </w:t>
            </w:r>
            <w:r w:rsidRPr="0039555E">
              <w:rPr>
                <w:i/>
                <w:sz w:val="20"/>
                <w:szCs w:val="20"/>
              </w:rPr>
              <w:t>in situ</w:t>
            </w:r>
            <w:r w:rsidRPr="0039555E">
              <w:rPr>
                <w:sz w:val="20"/>
                <w:szCs w:val="20"/>
              </w:rPr>
              <w:t>);</w:t>
            </w:r>
          </w:p>
          <w:p w:rsidR="00162266" w:rsidRPr="0039555E" w:rsidRDefault="00162266" w:rsidP="00767217">
            <w:pPr>
              <w:numPr>
                <w:ilvl w:val="0"/>
                <w:numId w:val="2"/>
              </w:numPr>
              <w:tabs>
                <w:tab w:val="num" w:pos="-1276"/>
              </w:tabs>
              <w:spacing w:line="276" w:lineRule="auto"/>
              <w:ind w:left="284" w:hanging="284"/>
              <w:rPr>
                <w:sz w:val="20"/>
                <w:szCs w:val="20"/>
              </w:rPr>
            </w:pPr>
            <w:r w:rsidRPr="0039555E">
              <w:rPr>
                <w:sz w:val="20"/>
                <w:szCs w:val="20"/>
              </w:rPr>
              <w:t>chorzy przyjmujący jakiekolwiek nieonkologiczne szczepienia przeciwko chorobom zakaźnym w okresie 4 tygodni przed i 4 tygodni po każdej dawce ip</w:t>
            </w:r>
            <w:r w:rsidR="00705138" w:rsidRPr="0039555E">
              <w:rPr>
                <w:sz w:val="20"/>
                <w:szCs w:val="20"/>
              </w:rPr>
              <w:t>ilimumabu (wyjątek – amantadyna</w:t>
            </w:r>
            <w:r w:rsidRPr="0039555E">
              <w:rPr>
                <w:sz w:val="20"/>
                <w:szCs w:val="20"/>
              </w:rPr>
              <w:t xml:space="preserve"> i flumadyna);</w:t>
            </w:r>
          </w:p>
          <w:p w:rsidR="006E0955" w:rsidRPr="0039555E" w:rsidRDefault="00162266" w:rsidP="00767217">
            <w:pPr>
              <w:numPr>
                <w:ilvl w:val="0"/>
                <w:numId w:val="2"/>
              </w:numPr>
              <w:tabs>
                <w:tab w:val="num" w:pos="-1276"/>
              </w:tabs>
              <w:spacing w:line="276" w:lineRule="auto"/>
              <w:ind w:left="284" w:hanging="284"/>
              <w:rPr>
                <w:sz w:val="20"/>
                <w:szCs w:val="20"/>
              </w:rPr>
            </w:pPr>
            <w:r w:rsidRPr="0039555E">
              <w:rPr>
                <w:sz w:val="20"/>
                <w:szCs w:val="20"/>
              </w:rPr>
              <w:t>chorzy ze stanami zagrażającymi życiu, które wymagają podawania dużych dawek leków immunosupresyjnych oraz długotrwał</w:t>
            </w:r>
            <w:r w:rsidR="006E0955" w:rsidRPr="0039555E">
              <w:rPr>
                <w:sz w:val="20"/>
                <w:szCs w:val="20"/>
              </w:rPr>
              <w:t>ego stosowania kortykosteroidów</w:t>
            </w:r>
          </w:p>
          <w:p w:rsidR="00B31384" w:rsidRPr="0039555E" w:rsidRDefault="00162266" w:rsidP="00767217">
            <w:pPr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 w:rsidRPr="0039555E">
              <w:rPr>
                <w:sz w:val="20"/>
                <w:szCs w:val="20"/>
              </w:rPr>
              <w:t>chorzy na czerniaka gałki ocznej.</w:t>
            </w:r>
          </w:p>
          <w:p w:rsidR="00B31384" w:rsidRPr="0039555E" w:rsidRDefault="002540DB" w:rsidP="00623E6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955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7" w:type="pct"/>
            <w:shd w:val="clear" w:color="auto" w:fill="auto"/>
          </w:tcPr>
          <w:p w:rsidR="00162266" w:rsidRPr="0039555E" w:rsidRDefault="00162266" w:rsidP="00623E60">
            <w:pPr>
              <w:autoSpaceDE w:val="0"/>
              <w:autoSpaceDN w:val="0"/>
              <w:adjustRightInd w:val="0"/>
              <w:spacing w:line="276" w:lineRule="auto"/>
              <w:rPr>
                <w:iCs/>
                <w:sz w:val="20"/>
                <w:szCs w:val="20"/>
              </w:rPr>
            </w:pPr>
            <w:r w:rsidRPr="0039555E">
              <w:rPr>
                <w:b/>
                <w:iCs/>
                <w:sz w:val="20"/>
                <w:szCs w:val="20"/>
              </w:rPr>
              <w:t>1. Dawkowanie:</w:t>
            </w:r>
          </w:p>
          <w:p w:rsidR="00162266" w:rsidRPr="0039555E" w:rsidRDefault="00162266" w:rsidP="00623E60">
            <w:pPr>
              <w:autoSpaceDE w:val="0"/>
              <w:autoSpaceDN w:val="0"/>
              <w:adjustRightInd w:val="0"/>
              <w:spacing w:line="276" w:lineRule="auto"/>
              <w:rPr>
                <w:iCs/>
                <w:sz w:val="20"/>
                <w:szCs w:val="20"/>
              </w:rPr>
            </w:pPr>
            <w:r w:rsidRPr="0039555E">
              <w:rPr>
                <w:iCs/>
                <w:sz w:val="20"/>
                <w:szCs w:val="20"/>
              </w:rPr>
              <w:t>Zalecana daw</w:t>
            </w:r>
            <w:r w:rsidR="00D15FBD" w:rsidRPr="0039555E">
              <w:rPr>
                <w:iCs/>
                <w:sz w:val="20"/>
                <w:szCs w:val="20"/>
              </w:rPr>
              <w:t>ka ipilimumabu wynosi 3 mg/kg i </w:t>
            </w:r>
            <w:r w:rsidRPr="0039555E">
              <w:rPr>
                <w:iCs/>
                <w:sz w:val="20"/>
                <w:szCs w:val="20"/>
              </w:rPr>
              <w:t xml:space="preserve">obejmuje 4 podania w odstępach co 3 tygodnie (leczenie w tygodniach 1, 4, 7 i 10). </w:t>
            </w:r>
          </w:p>
          <w:p w:rsidR="00D15FBD" w:rsidRPr="0039555E" w:rsidRDefault="00D15FBD" w:rsidP="00623E60">
            <w:pPr>
              <w:autoSpaceDE w:val="0"/>
              <w:autoSpaceDN w:val="0"/>
              <w:adjustRightInd w:val="0"/>
              <w:spacing w:line="276" w:lineRule="auto"/>
              <w:rPr>
                <w:iCs/>
                <w:sz w:val="20"/>
                <w:szCs w:val="20"/>
              </w:rPr>
            </w:pPr>
          </w:p>
          <w:p w:rsidR="00162266" w:rsidRPr="0039555E" w:rsidRDefault="00162266" w:rsidP="00623E60">
            <w:pPr>
              <w:autoSpaceDE w:val="0"/>
              <w:autoSpaceDN w:val="0"/>
              <w:adjustRightInd w:val="0"/>
              <w:spacing w:line="276" w:lineRule="auto"/>
              <w:rPr>
                <w:iCs/>
                <w:sz w:val="20"/>
                <w:szCs w:val="20"/>
              </w:rPr>
            </w:pPr>
            <w:r w:rsidRPr="0039555E">
              <w:rPr>
                <w:iCs/>
                <w:sz w:val="20"/>
                <w:szCs w:val="20"/>
              </w:rPr>
              <w:t xml:space="preserve">Lek podawany jest w 90-minutowym wlewie dożylnym. Zaleca się pierwszą pełną ocenę odpowiedzi nowotworu na leczenie po tygodniu 12 </w:t>
            </w:r>
            <w:r w:rsidRPr="0039555E">
              <w:rPr>
                <w:rFonts w:eastAsia="Calibri"/>
                <w:iCs/>
                <w:sz w:val="20"/>
                <w:szCs w:val="20"/>
                <w:lang w:eastAsia="en-US"/>
              </w:rPr>
              <w:t>lub po podaniu o</w:t>
            </w:r>
            <w:r w:rsidR="0041255B" w:rsidRPr="0039555E">
              <w:rPr>
                <w:rFonts w:eastAsia="Calibri"/>
                <w:iCs/>
                <w:sz w:val="20"/>
                <w:szCs w:val="20"/>
                <w:lang w:eastAsia="en-US"/>
              </w:rPr>
              <w:t>statniej dawki całego leczenia.</w:t>
            </w:r>
            <w:r w:rsidRPr="0039555E">
              <w:rPr>
                <w:rFonts w:eastAsia="Calibri"/>
                <w:iCs/>
                <w:sz w:val="20"/>
                <w:szCs w:val="20"/>
                <w:lang w:eastAsia="en-US"/>
              </w:rPr>
              <w:t xml:space="preserve"> </w:t>
            </w:r>
          </w:p>
          <w:p w:rsidR="00162266" w:rsidRPr="0039555E" w:rsidRDefault="00162266" w:rsidP="00623E60">
            <w:pPr>
              <w:autoSpaceDE w:val="0"/>
              <w:autoSpaceDN w:val="0"/>
              <w:adjustRightInd w:val="0"/>
              <w:spacing w:line="276" w:lineRule="auto"/>
              <w:rPr>
                <w:iCs/>
                <w:sz w:val="20"/>
                <w:szCs w:val="20"/>
              </w:rPr>
            </w:pPr>
            <w:r w:rsidRPr="0039555E">
              <w:rPr>
                <w:iCs/>
                <w:sz w:val="20"/>
                <w:szCs w:val="20"/>
              </w:rPr>
              <w:t>Dawkę całkowitą należy obliczyć następująco:</w:t>
            </w:r>
          </w:p>
          <w:p w:rsidR="00162266" w:rsidRPr="0039555E" w:rsidRDefault="00162266" w:rsidP="0076721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177" w:hanging="183"/>
              <w:rPr>
                <w:iCs/>
                <w:sz w:val="20"/>
                <w:szCs w:val="20"/>
              </w:rPr>
            </w:pPr>
            <w:r w:rsidRPr="0039555E">
              <w:rPr>
                <w:iCs/>
                <w:sz w:val="20"/>
                <w:szCs w:val="20"/>
              </w:rPr>
              <w:t>masa ciała pacjenta</w:t>
            </w:r>
            <w:r w:rsidR="00D15FBD" w:rsidRPr="0039555E">
              <w:rPr>
                <w:iCs/>
                <w:sz w:val="20"/>
                <w:szCs w:val="20"/>
              </w:rPr>
              <w:t xml:space="preserve"> w kg x 3 mg = dawka całkowita w mg.</w:t>
            </w:r>
          </w:p>
          <w:p w:rsidR="00162266" w:rsidRPr="0039555E" w:rsidRDefault="00162266" w:rsidP="00623E60">
            <w:pPr>
              <w:autoSpaceDE w:val="0"/>
              <w:autoSpaceDN w:val="0"/>
              <w:adjustRightInd w:val="0"/>
              <w:spacing w:line="276" w:lineRule="auto"/>
              <w:rPr>
                <w:iCs/>
                <w:sz w:val="20"/>
                <w:szCs w:val="20"/>
              </w:rPr>
            </w:pPr>
            <w:r w:rsidRPr="0039555E">
              <w:rPr>
                <w:iCs/>
                <w:sz w:val="20"/>
                <w:szCs w:val="20"/>
              </w:rPr>
              <w:t>Całkowitą objętość wlewu należy obliczyć następująco:</w:t>
            </w:r>
          </w:p>
          <w:p w:rsidR="00162266" w:rsidRPr="0039555E" w:rsidRDefault="00162266" w:rsidP="00767217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177" w:hanging="183"/>
              <w:rPr>
                <w:iCs/>
                <w:sz w:val="20"/>
                <w:szCs w:val="20"/>
              </w:rPr>
            </w:pPr>
            <w:r w:rsidRPr="0039555E">
              <w:rPr>
                <w:iCs/>
                <w:sz w:val="20"/>
                <w:szCs w:val="20"/>
              </w:rPr>
              <w:t xml:space="preserve">dawka całkowita w mg </w:t>
            </w:r>
            <w:r w:rsidR="00D15FBD" w:rsidRPr="0039555E">
              <w:rPr>
                <w:iCs/>
                <w:sz w:val="20"/>
                <w:szCs w:val="20"/>
              </w:rPr>
              <w:t>÷ 5 mg/ml = objętość wlewu w ml.</w:t>
            </w:r>
          </w:p>
          <w:p w:rsidR="00162266" w:rsidRPr="0039555E" w:rsidRDefault="00162266" w:rsidP="00623E60">
            <w:pPr>
              <w:autoSpaceDE w:val="0"/>
              <w:autoSpaceDN w:val="0"/>
              <w:adjustRightInd w:val="0"/>
              <w:spacing w:line="276" w:lineRule="auto"/>
              <w:rPr>
                <w:iCs/>
                <w:sz w:val="20"/>
                <w:szCs w:val="20"/>
              </w:rPr>
            </w:pPr>
            <w:r w:rsidRPr="0039555E">
              <w:rPr>
                <w:iCs/>
                <w:sz w:val="20"/>
                <w:szCs w:val="20"/>
              </w:rPr>
              <w:t>Szybkość wlewu należy obliczyć następująco:</w:t>
            </w:r>
          </w:p>
          <w:p w:rsidR="00623E60" w:rsidRPr="0039555E" w:rsidRDefault="00162266" w:rsidP="00767217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177" w:hanging="183"/>
              <w:rPr>
                <w:iCs/>
                <w:sz w:val="20"/>
                <w:szCs w:val="20"/>
              </w:rPr>
            </w:pPr>
            <w:r w:rsidRPr="0039555E">
              <w:rPr>
                <w:iCs/>
                <w:sz w:val="20"/>
                <w:szCs w:val="20"/>
              </w:rPr>
              <w:t xml:space="preserve">objętość wlewu w </w:t>
            </w:r>
            <w:r w:rsidR="00D15FBD" w:rsidRPr="0039555E">
              <w:rPr>
                <w:iCs/>
                <w:sz w:val="20"/>
                <w:szCs w:val="20"/>
              </w:rPr>
              <w:t>ml ÷ 90 minut = szybkość wlewu w ml/min.</w:t>
            </w:r>
          </w:p>
          <w:p w:rsidR="00EE0273" w:rsidRPr="0039555E" w:rsidRDefault="00EE0273" w:rsidP="00623E60">
            <w:pPr>
              <w:autoSpaceDE w:val="0"/>
              <w:autoSpaceDN w:val="0"/>
              <w:adjustRightInd w:val="0"/>
              <w:spacing w:line="276" w:lineRule="auto"/>
              <w:rPr>
                <w:iCs/>
                <w:sz w:val="20"/>
                <w:szCs w:val="20"/>
              </w:rPr>
            </w:pPr>
          </w:p>
          <w:p w:rsidR="00EE0273" w:rsidRPr="0039555E" w:rsidRDefault="00EE0273" w:rsidP="00623E6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9555E">
              <w:rPr>
                <w:sz w:val="20"/>
                <w:szCs w:val="20"/>
              </w:rPr>
              <w:t>Ipilimumab nie może być stosowany łącznie z:</w:t>
            </w:r>
          </w:p>
          <w:p w:rsidR="00EE0273" w:rsidRPr="0039555E" w:rsidRDefault="00EE0273" w:rsidP="00623E6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EE0273" w:rsidRPr="0039555E" w:rsidRDefault="00EE0273" w:rsidP="00767217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9555E">
              <w:rPr>
                <w:sz w:val="20"/>
                <w:szCs w:val="20"/>
              </w:rPr>
              <w:t>innym przeciwciałem monoklonalnym;</w:t>
            </w:r>
          </w:p>
          <w:p w:rsidR="00EE0273" w:rsidRPr="0039555E" w:rsidRDefault="00EE0273" w:rsidP="00767217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9555E">
              <w:rPr>
                <w:sz w:val="20"/>
                <w:szCs w:val="20"/>
              </w:rPr>
              <w:t>inhibitorem kinazy BRAF;</w:t>
            </w:r>
          </w:p>
          <w:p w:rsidR="00EE0273" w:rsidRPr="0039555E" w:rsidRDefault="00EE0273" w:rsidP="00767217">
            <w:pPr>
              <w:pStyle w:val="Akapitzlist"/>
              <w:numPr>
                <w:ilvl w:val="0"/>
                <w:numId w:val="16"/>
              </w:numPr>
              <w:spacing w:line="276" w:lineRule="auto"/>
              <w:rPr>
                <w:b/>
                <w:sz w:val="20"/>
                <w:szCs w:val="20"/>
              </w:rPr>
            </w:pPr>
            <w:r w:rsidRPr="0039555E">
              <w:rPr>
                <w:sz w:val="20"/>
                <w:szCs w:val="20"/>
              </w:rPr>
              <w:t>inhibitorem kinazy MEK.</w:t>
            </w:r>
          </w:p>
          <w:p w:rsidR="00360A41" w:rsidRPr="0039555E" w:rsidRDefault="00360A41" w:rsidP="00623E60">
            <w:pPr>
              <w:autoSpaceDE w:val="0"/>
              <w:autoSpaceDN w:val="0"/>
              <w:adjustRightInd w:val="0"/>
              <w:spacing w:line="276" w:lineRule="auto"/>
              <w:rPr>
                <w:iCs/>
                <w:sz w:val="20"/>
                <w:szCs w:val="20"/>
              </w:rPr>
            </w:pPr>
          </w:p>
          <w:p w:rsidR="00BB03DE" w:rsidRPr="0039555E" w:rsidRDefault="00BB03DE" w:rsidP="00623E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BB03DE" w:rsidRPr="0039555E" w:rsidRDefault="00BB03DE" w:rsidP="00623E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BB03DE" w:rsidRPr="0039555E" w:rsidRDefault="00BB03DE" w:rsidP="00623E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BB03DE" w:rsidRPr="0039555E" w:rsidRDefault="00BB03DE" w:rsidP="00623E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BB03DE" w:rsidRPr="0039555E" w:rsidRDefault="00BB03DE" w:rsidP="00623E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BB03DE" w:rsidRPr="0039555E" w:rsidRDefault="00BB03DE" w:rsidP="00623E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BB03DE" w:rsidRPr="0039555E" w:rsidRDefault="00BB03DE" w:rsidP="00623E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BB03DE" w:rsidRPr="0039555E" w:rsidRDefault="00BB03DE" w:rsidP="00623E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BB03DE" w:rsidRPr="0039555E" w:rsidRDefault="00BB03DE" w:rsidP="00623E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BB03DE" w:rsidRPr="0039555E" w:rsidRDefault="00BB03DE" w:rsidP="00623E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BB03DE" w:rsidRPr="0039555E" w:rsidRDefault="00BB03DE" w:rsidP="00623E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BB03DE" w:rsidRPr="0039555E" w:rsidRDefault="00BB03DE" w:rsidP="00623E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BB03DE" w:rsidRPr="0039555E" w:rsidRDefault="00BB03DE" w:rsidP="00623E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BB03DE" w:rsidRPr="0039555E" w:rsidRDefault="00BB03DE" w:rsidP="00623E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BB03DE" w:rsidRPr="0039555E" w:rsidRDefault="00BB03DE" w:rsidP="00623E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BB03DE" w:rsidRPr="0039555E" w:rsidRDefault="00BB03DE" w:rsidP="00623E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BB03DE" w:rsidRPr="0039555E" w:rsidRDefault="00BB03DE" w:rsidP="00623E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BB03DE" w:rsidRPr="0039555E" w:rsidRDefault="00BB03DE" w:rsidP="00623E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BB03DE" w:rsidRPr="0039555E" w:rsidRDefault="00BB03DE" w:rsidP="00623E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BB03DE" w:rsidRPr="0039555E" w:rsidRDefault="00BB03DE" w:rsidP="00623E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BB03DE" w:rsidRPr="0039555E" w:rsidRDefault="00BB03DE" w:rsidP="00623E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BB03DE" w:rsidRPr="0039555E" w:rsidRDefault="00BB03DE" w:rsidP="00623E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BB03DE" w:rsidRPr="0039555E" w:rsidRDefault="00BB03DE" w:rsidP="00623E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BB03DE" w:rsidRPr="0039555E" w:rsidRDefault="00BB03DE" w:rsidP="00623E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BB03DE" w:rsidRPr="0039555E" w:rsidRDefault="00BB03DE" w:rsidP="00623E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BB03DE" w:rsidRPr="0039555E" w:rsidRDefault="00BB03DE" w:rsidP="00623E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BB03DE" w:rsidRPr="0039555E" w:rsidRDefault="00BB03DE" w:rsidP="00623E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BB03DE" w:rsidRPr="0039555E" w:rsidRDefault="00BB03DE" w:rsidP="00623E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BB03DE" w:rsidRPr="0039555E" w:rsidRDefault="00BB03DE" w:rsidP="00623E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BB03DE" w:rsidRPr="0039555E" w:rsidRDefault="00BB03DE" w:rsidP="00623E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BB03DE" w:rsidRPr="0039555E" w:rsidRDefault="00BB03DE" w:rsidP="00623E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BB03DE" w:rsidRPr="0039555E" w:rsidRDefault="00BB03DE" w:rsidP="00623E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BB03DE" w:rsidRPr="0039555E" w:rsidRDefault="00BB03DE" w:rsidP="00623E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BB03DE" w:rsidRPr="0039555E" w:rsidRDefault="00BB03DE" w:rsidP="00623E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BB03DE" w:rsidRPr="0039555E" w:rsidRDefault="00BB03DE" w:rsidP="00623E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BB03DE" w:rsidRPr="0039555E" w:rsidRDefault="00BB03DE" w:rsidP="00623E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BB03DE" w:rsidRPr="0039555E" w:rsidRDefault="00BB03DE" w:rsidP="00623E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BB03DE" w:rsidRPr="0039555E" w:rsidRDefault="00BB03DE" w:rsidP="00623E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360A41" w:rsidRPr="0039555E" w:rsidRDefault="00360A41" w:rsidP="00623E60">
            <w:pPr>
              <w:autoSpaceDE w:val="0"/>
              <w:autoSpaceDN w:val="0"/>
              <w:adjustRightInd w:val="0"/>
              <w:spacing w:line="276" w:lineRule="auto"/>
              <w:rPr>
                <w:iCs/>
                <w:sz w:val="20"/>
                <w:szCs w:val="20"/>
              </w:rPr>
            </w:pPr>
          </w:p>
          <w:p w:rsidR="002540DB" w:rsidRPr="0039555E" w:rsidRDefault="002540DB" w:rsidP="00623E60">
            <w:pPr>
              <w:spacing w:line="276" w:lineRule="auto"/>
              <w:rPr>
                <w:iCs/>
                <w:sz w:val="20"/>
                <w:szCs w:val="20"/>
              </w:rPr>
            </w:pPr>
          </w:p>
        </w:tc>
        <w:tc>
          <w:tcPr>
            <w:tcW w:w="1788" w:type="pct"/>
            <w:shd w:val="clear" w:color="auto" w:fill="auto"/>
          </w:tcPr>
          <w:p w:rsidR="00162266" w:rsidRPr="0039555E" w:rsidRDefault="00162266" w:rsidP="00623E60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39555E">
              <w:rPr>
                <w:b/>
                <w:bCs/>
                <w:sz w:val="20"/>
                <w:szCs w:val="20"/>
              </w:rPr>
              <w:t>1</w:t>
            </w:r>
            <w:r w:rsidR="00B81A03" w:rsidRPr="0039555E">
              <w:rPr>
                <w:b/>
                <w:bCs/>
                <w:sz w:val="20"/>
                <w:szCs w:val="20"/>
              </w:rPr>
              <w:t xml:space="preserve">. </w:t>
            </w:r>
            <w:r w:rsidRPr="0039555E">
              <w:rPr>
                <w:b/>
                <w:bCs/>
                <w:sz w:val="20"/>
                <w:szCs w:val="20"/>
              </w:rPr>
              <w:t>Badania przy kwalifikacji:</w:t>
            </w:r>
          </w:p>
          <w:p w:rsidR="00162266" w:rsidRPr="0039555E" w:rsidRDefault="00162266" w:rsidP="00767217">
            <w:pPr>
              <w:numPr>
                <w:ilvl w:val="0"/>
                <w:numId w:val="3"/>
              </w:numPr>
              <w:tabs>
                <w:tab w:val="clear" w:pos="267"/>
                <w:tab w:val="num" w:pos="-11450"/>
              </w:tabs>
              <w:spacing w:line="276" w:lineRule="auto"/>
              <w:rPr>
                <w:sz w:val="20"/>
                <w:szCs w:val="20"/>
              </w:rPr>
            </w:pPr>
            <w:r w:rsidRPr="0039555E">
              <w:rPr>
                <w:sz w:val="20"/>
                <w:szCs w:val="20"/>
              </w:rPr>
              <w:t xml:space="preserve">histologiczne potwierdzenie czerniaka; </w:t>
            </w:r>
          </w:p>
          <w:p w:rsidR="00162266" w:rsidRPr="0039555E" w:rsidRDefault="00162266" w:rsidP="00767217">
            <w:pPr>
              <w:numPr>
                <w:ilvl w:val="0"/>
                <w:numId w:val="3"/>
              </w:numPr>
              <w:tabs>
                <w:tab w:val="clear" w:pos="267"/>
                <w:tab w:val="num" w:pos="-11450"/>
              </w:tabs>
              <w:spacing w:line="276" w:lineRule="auto"/>
              <w:rPr>
                <w:sz w:val="20"/>
                <w:szCs w:val="20"/>
              </w:rPr>
            </w:pPr>
            <w:r w:rsidRPr="0039555E">
              <w:rPr>
                <w:sz w:val="20"/>
                <w:szCs w:val="20"/>
              </w:rPr>
              <w:t xml:space="preserve">diagnostyka obrazowa: RTG, TK lub MRI (USG </w:t>
            </w:r>
            <w:r w:rsidRPr="0039555E">
              <w:rPr>
                <w:sz w:val="20"/>
                <w:szCs w:val="20"/>
              </w:rPr>
              <w:br/>
              <w:t>w wybranych przypadkach – zmiany w tkance podskórnej/skórze);</w:t>
            </w:r>
          </w:p>
          <w:p w:rsidR="00162266" w:rsidRPr="0039555E" w:rsidRDefault="00162266" w:rsidP="00767217">
            <w:pPr>
              <w:numPr>
                <w:ilvl w:val="0"/>
                <w:numId w:val="3"/>
              </w:numPr>
              <w:tabs>
                <w:tab w:val="clear" w:pos="267"/>
                <w:tab w:val="num" w:pos="-11450"/>
              </w:tabs>
              <w:spacing w:line="276" w:lineRule="auto"/>
              <w:rPr>
                <w:sz w:val="20"/>
                <w:szCs w:val="20"/>
              </w:rPr>
            </w:pPr>
            <w:r w:rsidRPr="0039555E">
              <w:rPr>
                <w:sz w:val="20"/>
                <w:szCs w:val="20"/>
              </w:rPr>
              <w:t>pomiar masy ciała;</w:t>
            </w:r>
          </w:p>
          <w:p w:rsidR="00162266" w:rsidRPr="0039555E" w:rsidRDefault="00162266" w:rsidP="00767217">
            <w:pPr>
              <w:numPr>
                <w:ilvl w:val="0"/>
                <w:numId w:val="3"/>
              </w:numPr>
              <w:tabs>
                <w:tab w:val="clear" w:pos="267"/>
                <w:tab w:val="num" w:pos="-11450"/>
              </w:tabs>
              <w:spacing w:line="276" w:lineRule="auto"/>
              <w:rPr>
                <w:sz w:val="20"/>
                <w:szCs w:val="20"/>
              </w:rPr>
            </w:pPr>
            <w:r w:rsidRPr="0039555E">
              <w:rPr>
                <w:sz w:val="20"/>
                <w:szCs w:val="20"/>
              </w:rPr>
              <w:t>pełne badanie przedmiotowe;</w:t>
            </w:r>
          </w:p>
          <w:p w:rsidR="00162266" w:rsidRPr="0039555E" w:rsidRDefault="00162266" w:rsidP="00767217">
            <w:pPr>
              <w:numPr>
                <w:ilvl w:val="0"/>
                <w:numId w:val="3"/>
              </w:numPr>
              <w:tabs>
                <w:tab w:val="clear" w:pos="267"/>
                <w:tab w:val="num" w:pos="-11450"/>
              </w:tabs>
              <w:spacing w:line="276" w:lineRule="auto"/>
              <w:rPr>
                <w:sz w:val="20"/>
                <w:szCs w:val="20"/>
              </w:rPr>
            </w:pPr>
            <w:r w:rsidRPr="0039555E">
              <w:rPr>
                <w:sz w:val="20"/>
                <w:szCs w:val="20"/>
              </w:rPr>
              <w:t>ocena sprawności w skali ECOG;</w:t>
            </w:r>
          </w:p>
          <w:p w:rsidR="00162266" w:rsidRPr="0039555E" w:rsidRDefault="00162266" w:rsidP="00767217">
            <w:pPr>
              <w:numPr>
                <w:ilvl w:val="0"/>
                <w:numId w:val="3"/>
              </w:numPr>
              <w:tabs>
                <w:tab w:val="clear" w:pos="267"/>
                <w:tab w:val="num" w:pos="-11450"/>
              </w:tabs>
              <w:spacing w:line="276" w:lineRule="auto"/>
              <w:rPr>
                <w:sz w:val="20"/>
                <w:szCs w:val="20"/>
              </w:rPr>
            </w:pPr>
            <w:r w:rsidRPr="0039555E">
              <w:rPr>
                <w:sz w:val="20"/>
                <w:szCs w:val="20"/>
              </w:rPr>
              <w:t>badania laboratoryjne:</w:t>
            </w:r>
          </w:p>
          <w:p w:rsidR="00162266" w:rsidRPr="0039555E" w:rsidRDefault="00162266" w:rsidP="00767217">
            <w:pPr>
              <w:numPr>
                <w:ilvl w:val="1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39555E">
              <w:rPr>
                <w:sz w:val="20"/>
                <w:szCs w:val="20"/>
              </w:rPr>
              <w:t>badania hematologiczne: hemoglobina, pełna morfologia z rozmazem (włącznie z bezwzględną liczbą</w:t>
            </w:r>
            <w:r w:rsidR="00B81A03" w:rsidRPr="0039555E">
              <w:rPr>
                <w:sz w:val="20"/>
                <w:szCs w:val="20"/>
              </w:rPr>
              <w:t xml:space="preserve"> limfocytów) oraz liczbą płytek,</w:t>
            </w:r>
          </w:p>
          <w:p w:rsidR="00162266" w:rsidRPr="0039555E" w:rsidRDefault="00162266" w:rsidP="00767217">
            <w:pPr>
              <w:numPr>
                <w:ilvl w:val="1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39555E">
              <w:rPr>
                <w:sz w:val="20"/>
                <w:szCs w:val="20"/>
              </w:rPr>
              <w:t xml:space="preserve">parametry biochemiczne surowicy: albuminy, fosfataza alkaliczna, amylaza, aminotransferazy (ALT/AST), bilirubina (związana i całkowita), wapń, kreatynina, glukoza, mocznik, dehydrogenaza mleczanowa (LDH), białko całkowite, kwas moczowy, elektrolity (w tym stężenie sodu, </w:t>
            </w:r>
            <w:r w:rsidR="00B81A03" w:rsidRPr="0039555E">
              <w:rPr>
                <w:sz w:val="20"/>
                <w:szCs w:val="20"/>
              </w:rPr>
              <w:t>potasu, wapnia), TSH i wolna T4,</w:t>
            </w:r>
          </w:p>
          <w:p w:rsidR="00162266" w:rsidRPr="0039555E" w:rsidRDefault="00162266" w:rsidP="00767217">
            <w:pPr>
              <w:numPr>
                <w:ilvl w:val="1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39555E">
              <w:rPr>
                <w:sz w:val="20"/>
                <w:szCs w:val="20"/>
              </w:rPr>
              <w:t>badanie ogólne moczu.</w:t>
            </w:r>
          </w:p>
          <w:p w:rsidR="00162266" w:rsidRPr="0039555E" w:rsidRDefault="00162266" w:rsidP="00623E60">
            <w:pPr>
              <w:spacing w:line="276" w:lineRule="auto"/>
              <w:rPr>
                <w:sz w:val="20"/>
                <w:szCs w:val="20"/>
              </w:rPr>
            </w:pPr>
          </w:p>
          <w:p w:rsidR="00162266" w:rsidRPr="0039555E" w:rsidRDefault="00162266" w:rsidP="00623E60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39555E">
              <w:rPr>
                <w:b/>
                <w:bCs/>
                <w:sz w:val="20"/>
                <w:szCs w:val="20"/>
              </w:rPr>
              <w:t xml:space="preserve"> 2. Monitorowanie leczenia:</w:t>
            </w:r>
          </w:p>
          <w:p w:rsidR="00162266" w:rsidRPr="0039555E" w:rsidRDefault="00162266" w:rsidP="00767217">
            <w:pPr>
              <w:numPr>
                <w:ilvl w:val="0"/>
                <w:numId w:val="4"/>
              </w:numPr>
              <w:tabs>
                <w:tab w:val="clear" w:pos="360"/>
                <w:tab w:val="num" w:pos="-11450"/>
              </w:tabs>
              <w:spacing w:line="276" w:lineRule="auto"/>
              <w:rPr>
                <w:sz w:val="20"/>
                <w:szCs w:val="20"/>
              </w:rPr>
            </w:pPr>
            <w:r w:rsidRPr="0039555E">
              <w:rPr>
                <w:sz w:val="20"/>
                <w:szCs w:val="20"/>
              </w:rPr>
              <w:t xml:space="preserve">diagnostyka obrazowa: RTG, TK lub MRI (USG </w:t>
            </w:r>
            <w:r w:rsidR="006E451F" w:rsidRPr="0039555E">
              <w:rPr>
                <w:sz w:val="20"/>
                <w:szCs w:val="20"/>
              </w:rPr>
              <w:t>w </w:t>
            </w:r>
            <w:r w:rsidRPr="0039555E">
              <w:rPr>
                <w:sz w:val="20"/>
                <w:szCs w:val="20"/>
              </w:rPr>
              <w:t xml:space="preserve">wybranych przypadkach) – po 12 tygodniach leczenia; </w:t>
            </w:r>
          </w:p>
          <w:p w:rsidR="00162266" w:rsidRPr="0039555E" w:rsidRDefault="00162266" w:rsidP="00767217">
            <w:pPr>
              <w:numPr>
                <w:ilvl w:val="0"/>
                <w:numId w:val="4"/>
              </w:numPr>
              <w:tabs>
                <w:tab w:val="clear" w:pos="360"/>
                <w:tab w:val="num" w:pos="-11450"/>
              </w:tabs>
              <w:spacing w:line="276" w:lineRule="auto"/>
              <w:rPr>
                <w:sz w:val="20"/>
                <w:szCs w:val="20"/>
              </w:rPr>
            </w:pPr>
            <w:r w:rsidRPr="0039555E">
              <w:rPr>
                <w:sz w:val="20"/>
                <w:szCs w:val="20"/>
              </w:rPr>
              <w:t>pomiar masy ciała;</w:t>
            </w:r>
          </w:p>
          <w:p w:rsidR="00162266" w:rsidRPr="0039555E" w:rsidRDefault="00162266" w:rsidP="00767217">
            <w:pPr>
              <w:numPr>
                <w:ilvl w:val="0"/>
                <w:numId w:val="4"/>
              </w:numPr>
              <w:tabs>
                <w:tab w:val="clear" w:pos="360"/>
                <w:tab w:val="num" w:pos="-11450"/>
              </w:tabs>
              <w:spacing w:line="276" w:lineRule="auto"/>
              <w:rPr>
                <w:sz w:val="20"/>
                <w:szCs w:val="20"/>
              </w:rPr>
            </w:pPr>
            <w:r w:rsidRPr="0039555E">
              <w:rPr>
                <w:sz w:val="20"/>
                <w:szCs w:val="20"/>
              </w:rPr>
              <w:t>pełne badanie przedmiotowe;</w:t>
            </w:r>
          </w:p>
          <w:p w:rsidR="00162266" w:rsidRPr="0039555E" w:rsidRDefault="00162266" w:rsidP="00767217">
            <w:pPr>
              <w:numPr>
                <w:ilvl w:val="0"/>
                <w:numId w:val="4"/>
              </w:numPr>
              <w:tabs>
                <w:tab w:val="clear" w:pos="360"/>
                <w:tab w:val="num" w:pos="-11450"/>
              </w:tabs>
              <w:spacing w:line="276" w:lineRule="auto"/>
              <w:rPr>
                <w:sz w:val="20"/>
                <w:szCs w:val="20"/>
              </w:rPr>
            </w:pPr>
            <w:r w:rsidRPr="0039555E">
              <w:rPr>
                <w:sz w:val="20"/>
                <w:szCs w:val="20"/>
              </w:rPr>
              <w:t>ocena sprawności w skali ECOG;</w:t>
            </w:r>
          </w:p>
          <w:p w:rsidR="00162266" w:rsidRPr="0039555E" w:rsidRDefault="00162266" w:rsidP="00767217">
            <w:pPr>
              <w:numPr>
                <w:ilvl w:val="0"/>
                <w:numId w:val="4"/>
              </w:numPr>
              <w:tabs>
                <w:tab w:val="clear" w:pos="360"/>
                <w:tab w:val="num" w:pos="-11450"/>
              </w:tabs>
              <w:spacing w:line="276" w:lineRule="auto"/>
              <w:rPr>
                <w:sz w:val="20"/>
                <w:szCs w:val="20"/>
              </w:rPr>
            </w:pPr>
            <w:r w:rsidRPr="0039555E">
              <w:rPr>
                <w:sz w:val="20"/>
                <w:szCs w:val="20"/>
              </w:rPr>
              <w:t>badania laboratoryjne:</w:t>
            </w:r>
          </w:p>
          <w:p w:rsidR="00162266" w:rsidRPr="0039555E" w:rsidRDefault="00162266" w:rsidP="00767217">
            <w:pPr>
              <w:numPr>
                <w:ilvl w:val="1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39555E">
              <w:rPr>
                <w:sz w:val="20"/>
                <w:szCs w:val="20"/>
              </w:rPr>
              <w:t>badania hematologiczne: hemoglobina, pełna morfologia z rozmazem (włącznie z bezwzględną liczbą</w:t>
            </w:r>
            <w:r w:rsidR="00B81A03" w:rsidRPr="0039555E">
              <w:rPr>
                <w:sz w:val="20"/>
                <w:szCs w:val="20"/>
              </w:rPr>
              <w:t xml:space="preserve"> limfocytów) oraz liczbą płytek,</w:t>
            </w:r>
          </w:p>
          <w:p w:rsidR="00162266" w:rsidRPr="0039555E" w:rsidRDefault="00162266" w:rsidP="00767217">
            <w:pPr>
              <w:numPr>
                <w:ilvl w:val="1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39555E">
              <w:rPr>
                <w:sz w:val="20"/>
                <w:szCs w:val="20"/>
              </w:rPr>
              <w:t>parametry biochemiczne surowicy: albuminy, fosfataza alkaliczna, amylaza, aminotransferazy (ALT/AST), bilirubina (związana i całkowita), wapń, kreatynina, mocznik, kwas moczowy, glukoza, dehydrogenaza mleczanowa (LDH), białko całkowite, elektrolity (w tym stężeni</w:t>
            </w:r>
            <w:r w:rsidR="002E6064" w:rsidRPr="0039555E">
              <w:rPr>
                <w:sz w:val="20"/>
                <w:szCs w:val="20"/>
              </w:rPr>
              <w:t>e sodu, potasu), TSH i wolna T4,</w:t>
            </w:r>
          </w:p>
          <w:p w:rsidR="00162266" w:rsidRPr="0039555E" w:rsidRDefault="00162266" w:rsidP="00767217">
            <w:pPr>
              <w:numPr>
                <w:ilvl w:val="1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39555E">
              <w:rPr>
                <w:sz w:val="20"/>
                <w:szCs w:val="20"/>
              </w:rPr>
              <w:t>badanie ogólne moczu;</w:t>
            </w:r>
          </w:p>
          <w:p w:rsidR="00162266" w:rsidRPr="0039555E" w:rsidRDefault="00162266" w:rsidP="00767217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39555E">
              <w:rPr>
                <w:sz w:val="20"/>
                <w:szCs w:val="20"/>
              </w:rPr>
              <w:t>ocena zdarzeń niepożądanych.</w:t>
            </w:r>
          </w:p>
          <w:p w:rsidR="002E6064" w:rsidRPr="0039555E" w:rsidRDefault="002E6064" w:rsidP="00623E60">
            <w:pPr>
              <w:spacing w:line="276" w:lineRule="auto"/>
              <w:rPr>
                <w:sz w:val="20"/>
                <w:szCs w:val="20"/>
              </w:rPr>
            </w:pPr>
          </w:p>
          <w:p w:rsidR="00162266" w:rsidRPr="0039555E" w:rsidRDefault="00162266" w:rsidP="00623E60">
            <w:pPr>
              <w:spacing w:line="276" w:lineRule="auto"/>
              <w:rPr>
                <w:sz w:val="20"/>
                <w:szCs w:val="20"/>
              </w:rPr>
            </w:pPr>
            <w:r w:rsidRPr="0039555E">
              <w:rPr>
                <w:sz w:val="20"/>
                <w:szCs w:val="20"/>
              </w:rPr>
              <w:t>Wyniki ws</w:t>
            </w:r>
            <w:r w:rsidR="00D15FBD" w:rsidRPr="0039555E">
              <w:rPr>
                <w:sz w:val="20"/>
                <w:szCs w:val="20"/>
              </w:rPr>
              <w:t xml:space="preserve">zystkich badań (biochemicznych  </w:t>
            </w:r>
            <w:r w:rsidRPr="0039555E">
              <w:rPr>
                <w:sz w:val="20"/>
                <w:szCs w:val="20"/>
              </w:rPr>
              <w:t>i hematologicznych), muszą być dost</w:t>
            </w:r>
            <w:r w:rsidR="00D15FBD" w:rsidRPr="0039555E">
              <w:rPr>
                <w:sz w:val="20"/>
                <w:szCs w:val="20"/>
              </w:rPr>
              <w:t xml:space="preserve">ępne  </w:t>
            </w:r>
            <w:r w:rsidRPr="0039555E">
              <w:rPr>
                <w:sz w:val="20"/>
                <w:szCs w:val="20"/>
              </w:rPr>
              <w:t>i przeanalizowa</w:t>
            </w:r>
            <w:r w:rsidR="00B81A03" w:rsidRPr="0039555E">
              <w:rPr>
                <w:sz w:val="20"/>
                <w:szCs w:val="20"/>
              </w:rPr>
              <w:t xml:space="preserve">ne przed każdym podaniem leku. </w:t>
            </w:r>
            <w:r w:rsidRPr="0039555E">
              <w:rPr>
                <w:sz w:val="20"/>
                <w:szCs w:val="20"/>
              </w:rPr>
              <w:t xml:space="preserve">Zaleca się, aby wszystkie próbki do badań laboratoryjnych </w:t>
            </w:r>
            <w:r w:rsidR="00D15FBD" w:rsidRPr="0039555E">
              <w:rPr>
                <w:sz w:val="20"/>
                <w:szCs w:val="20"/>
              </w:rPr>
              <w:t>w </w:t>
            </w:r>
            <w:r w:rsidRPr="0039555E">
              <w:rPr>
                <w:sz w:val="20"/>
                <w:szCs w:val="20"/>
              </w:rPr>
              <w:t>fazie indukcji były pobrane w okresie do 7 dni przed podaniem dawki ipilimumabu.</w:t>
            </w:r>
          </w:p>
          <w:p w:rsidR="00162266" w:rsidRPr="0039555E" w:rsidRDefault="00162266" w:rsidP="00623E60">
            <w:pPr>
              <w:spacing w:line="276" w:lineRule="auto"/>
              <w:rPr>
                <w:sz w:val="20"/>
                <w:szCs w:val="20"/>
              </w:rPr>
            </w:pPr>
          </w:p>
          <w:p w:rsidR="00162266" w:rsidRPr="0039555E" w:rsidRDefault="00162266" w:rsidP="00623E60">
            <w:pPr>
              <w:spacing w:line="276" w:lineRule="auto"/>
              <w:rPr>
                <w:b/>
                <w:sz w:val="20"/>
                <w:szCs w:val="20"/>
              </w:rPr>
            </w:pPr>
            <w:r w:rsidRPr="0039555E">
              <w:rPr>
                <w:b/>
                <w:sz w:val="20"/>
                <w:szCs w:val="20"/>
              </w:rPr>
              <w:t>3. Monitorowanie programu:</w:t>
            </w:r>
          </w:p>
          <w:p w:rsidR="00162266" w:rsidRPr="0039555E" w:rsidRDefault="00162266" w:rsidP="00767217">
            <w:pPr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  <w:r w:rsidRPr="0039555E">
              <w:rPr>
                <w:sz w:val="20"/>
                <w:szCs w:val="20"/>
              </w:rPr>
              <w:t>gromadzenie w dokumentacji medycznej pacjenta danych dotyczących monitorowania leczenia i każdorazowe ich przedst</w:t>
            </w:r>
            <w:r w:rsidR="00B81A03" w:rsidRPr="0039555E">
              <w:rPr>
                <w:sz w:val="20"/>
                <w:szCs w:val="20"/>
              </w:rPr>
              <w:t xml:space="preserve">awianie na żądanie kontrolerów </w:t>
            </w:r>
            <w:r w:rsidRPr="0039555E">
              <w:rPr>
                <w:sz w:val="20"/>
                <w:szCs w:val="20"/>
              </w:rPr>
              <w:t>Narodowego Funduszu Zdrowia;</w:t>
            </w:r>
          </w:p>
          <w:p w:rsidR="00162266" w:rsidRPr="0039555E" w:rsidRDefault="00162266" w:rsidP="00767217">
            <w:pPr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  <w:r w:rsidRPr="0039555E">
              <w:rPr>
                <w:sz w:val="20"/>
                <w:szCs w:val="20"/>
              </w:rPr>
              <w:t>uzupełnienie danych zawartych w rejestrze (SMPT) dostępnym za pomocą aplikacji internetowej udostępnionej przez OW NFZ, z częstotliwością zgodną z opisem programu oraz na zakończenie leczenia;</w:t>
            </w:r>
          </w:p>
          <w:p w:rsidR="00162266" w:rsidRPr="0039555E" w:rsidRDefault="00162266" w:rsidP="00767217">
            <w:pPr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  <w:r w:rsidRPr="0039555E">
              <w:rPr>
                <w:sz w:val="20"/>
                <w:szCs w:val="20"/>
              </w:rPr>
              <w:t>przekazywanie informacji sprawozdawczo-rozliczeniowych do NFZ: informacje przekazuje się do NFZ w formie papierowej lub w formie elektronicznej, zgodnie z wymaganiami opublikowanymi przez Narodowy Fundusz Zdrowia.</w:t>
            </w:r>
          </w:p>
          <w:p w:rsidR="002540DB" w:rsidRPr="0039555E" w:rsidRDefault="002540DB" w:rsidP="00623E6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341CDB" w:rsidRPr="0039555E" w:rsidTr="00341CDB">
        <w:tc>
          <w:tcPr>
            <w:tcW w:w="5000" w:type="pct"/>
            <w:gridSpan w:val="3"/>
            <w:shd w:val="clear" w:color="auto" w:fill="auto"/>
          </w:tcPr>
          <w:p w:rsidR="00623E60" w:rsidRPr="0039555E" w:rsidRDefault="00623E60" w:rsidP="00623E6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341CDB" w:rsidRPr="0039555E" w:rsidRDefault="00341CDB" w:rsidP="00623E6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39555E">
              <w:rPr>
                <w:b/>
                <w:sz w:val="20"/>
                <w:szCs w:val="20"/>
              </w:rPr>
              <w:t>Leczenie czerniaka skóry lub błon śluzowych niwolumabem lub pembrolizumabem</w:t>
            </w:r>
          </w:p>
          <w:p w:rsidR="00341CDB" w:rsidRPr="0039555E" w:rsidRDefault="00341CDB" w:rsidP="00623E60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341CDB" w:rsidRPr="0039555E" w:rsidTr="00C04488">
        <w:tc>
          <w:tcPr>
            <w:tcW w:w="1805" w:type="pct"/>
            <w:shd w:val="clear" w:color="auto" w:fill="auto"/>
          </w:tcPr>
          <w:p w:rsidR="00341CDB" w:rsidRPr="0039555E" w:rsidRDefault="00341CDB" w:rsidP="00623E60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39555E">
              <w:rPr>
                <w:b/>
                <w:bCs/>
                <w:sz w:val="20"/>
                <w:szCs w:val="20"/>
              </w:rPr>
              <w:t>1. Kryteria kwalifikacji</w:t>
            </w:r>
            <w:r w:rsidR="00623E60" w:rsidRPr="0039555E">
              <w:rPr>
                <w:b/>
                <w:bCs/>
                <w:sz w:val="20"/>
                <w:szCs w:val="20"/>
              </w:rPr>
              <w:t>:</w:t>
            </w:r>
          </w:p>
          <w:p w:rsidR="00341CDB" w:rsidRPr="0039555E" w:rsidRDefault="00341CDB" w:rsidP="00767217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39555E">
              <w:rPr>
                <w:sz w:val="20"/>
                <w:szCs w:val="20"/>
              </w:rPr>
              <w:t>histologiczne potwierdzenie czerniaka skóry lub błon śluzowych w stadium zaawansowania III (nieoperacyjny) lub IV;</w:t>
            </w:r>
          </w:p>
          <w:p w:rsidR="00341CDB" w:rsidRPr="0039555E" w:rsidRDefault="00341CDB" w:rsidP="00767217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39555E">
              <w:rPr>
                <w:sz w:val="20"/>
                <w:szCs w:val="20"/>
              </w:rPr>
              <w:t>zmiany nowotworowe umożliwiające ocenę odpowiedzi na leczenie według kryteriów aktualnej wersji RECIST;</w:t>
            </w:r>
          </w:p>
          <w:p w:rsidR="00341CDB" w:rsidRPr="0039555E" w:rsidRDefault="00341CDB" w:rsidP="00767217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39555E">
              <w:rPr>
                <w:sz w:val="20"/>
                <w:szCs w:val="20"/>
              </w:rPr>
              <w:t>brak wcześniejszego leczenia farmakologicznego z powodu czerniaka skóry albo nieskuteczne wcześniejsze jedno leczenie systemowe czerniaka lub brak tolerancji nie pozwalający na jego kontynuację. Za farmakologiczne leczenie systemowe nie uznaje się uzupełniającego leczenia pooperacyjnego;</w:t>
            </w:r>
          </w:p>
          <w:p w:rsidR="00341CDB" w:rsidRPr="0039555E" w:rsidRDefault="00341CDB" w:rsidP="00767217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39555E">
              <w:rPr>
                <w:sz w:val="20"/>
                <w:szCs w:val="20"/>
              </w:rPr>
              <w:t>brak wcześniejszego leczenia za pomocą przeciwciał monoklonalnych anty-PD-1;</w:t>
            </w:r>
          </w:p>
          <w:p w:rsidR="00341CDB" w:rsidRPr="0039555E" w:rsidRDefault="00341CDB" w:rsidP="00767217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39555E">
              <w:rPr>
                <w:sz w:val="20"/>
                <w:szCs w:val="20"/>
              </w:rPr>
              <w:t>rozpoczynanie leczenia niwolumabem lub pembrolizumabem w chwili ustąpienia wszystkich klinicznie istotnych działań niepożądanych wcześniejszego leczenia;</w:t>
            </w:r>
          </w:p>
          <w:p w:rsidR="00341CDB" w:rsidRPr="0039555E" w:rsidRDefault="00341CDB" w:rsidP="00767217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39555E">
              <w:rPr>
                <w:sz w:val="20"/>
                <w:szCs w:val="20"/>
              </w:rPr>
              <w:t>brak objawowych przerzutów do ośrodkowego układu nerwowego lub stan bezobjawowy po przebytym leczeniu chirurgicznym lub radioterapii przerzutów w mózgu;</w:t>
            </w:r>
          </w:p>
          <w:p w:rsidR="00341CDB" w:rsidRPr="0039555E" w:rsidRDefault="00341CDB" w:rsidP="00767217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39555E">
              <w:rPr>
                <w:sz w:val="20"/>
                <w:szCs w:val="20"/>
              </w:rPr>
              <w:t>wiek ≥ 18 lat;</w:t>
            </w:r>
          </w:p>
          <w:p w:rsidR="00341CDB" w:rsidRPr="0039555E" w:rsidRDefault="00341CDB" w:rsidP="00767217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39555E">
              <w:rPr>
                <w:sz w:val="20"/>
                <w:szCs w:val="20"/>
              </w:rPr>
              <w:t>stan sprawności według kryteriów ECOG w stopniu 0-1;</w:t>
            </w:r>
          </w:p>
          <w:p w:rsidR="00341CDB" w:rsidRPr="0039555E" w:rsidRDefault="00341CDB" w:rsidP="00767217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39555E">
              <w:rPr>
                <w:sz w:val="20"/>
                <w:szCs w:val="20"/>
              </w:rPr>
              <w:t xml:space="preserve">wyniki badania morfologii oraz badań biochemicznych krwi umożliwiające leczenie zgodnie z aktualną Charakterystyką Produktu Leczniczego, a w szczególności: </w:t>
            </w:r>
          </w:p>
          <w:p w:rsidR="00341CDB" w:rsidRPr="0039555E" w:rsidRDefault="00341CDB" w:rsidP="00767217">
            <w:pPr>
              <w:pStyle w:val="Akapitzlist"/>
              <w:numPr>
                <w:ilvl w:val="1"/>
                <w:numId w:val="1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39555E">
              <w:rPr>
                <w:sz w:val="20"/>
                <w:szCs w:val="20"/>
              </w:rPr>
              <w:t>liczba leukocytów ≥ 2000/µL,</w:t>
            </w:r>
          </w:p>
          <w:p w:rsidR="00341CDB" w:rsidRPr="0039555E" w:rsidRDefault="00341CDB" w:rsidP="00767217">
            <w:pPr>
              <w:pStyle w:val="Akapitzlist"/>
              <w:numPr>
                <w:ilvl w:val="1"/>
                <w:numId w:val="1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39555E">
              <w:rPr>
                <w:sz w:val="20"/>
                <w:szCs w:val="20"/>
              </w:rPr>
              <w:t>liczba granulocytów obojętnochłonnych ≥ 1000/µL,</w:t>
            </w:r>
          </w:p>
          <w:p w:rsidR="00341CDB" w:rsidRPr="0039555E" w:rsidRDefault="00341CDB" w:rsidP="00767217">
            <w:pPr>
              <w:pStyle w:val="Akapitzlist"/>
              <w:numPr>
                <w:ilvl w:val="1"/>
                <w:numId w:val="1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39555E">
              <w:rPr>
                <w:sz w:val="20"/>
                <w:szCs w:val="20"/>
              </w:rPr>
              <w:t>liczba płytek ≥ 75 000/µL,</w:t>
            </w:r>
          </w:p>
          <w:p w:rsidR="00341CDB" w:rsidRPr="0039555E" w:rsidRDefault="00341CDB" w:rsidP="00767217">
            <w:pPr>
              <w:pStyle w:val="Akapitzlist"/>
              <w:numPr>
                <w:ilvl w:val="1"/>
                <w:numId w:val="1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39555E">
              <w:rPr>
                <w:sz w:val="20"/>
                <w:szCs w:val="20"/>
              </w:rPr>
              <w:t>stężenie hemoglobiny ≥ 9 g/dL lub ≥ 5,6 mmol/L</w:t>
            </w:r>
          </w:p>
          <w:p w:rsidR="00341CDB" w:rsidRPr="0039555E" w:rsidRDefault="00341CDB" w:rsidP="00767217">
            <w:pPr>
              <w:pStyle w:val="Akapitzlist"/>
              <w:numPr>
                <w:ilvl w:val="1"/>
                <w:numId w:val="1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39555E">
              <w:rPr>
                <w:sz w:val="20"/>
                <w:szCs w:val="20"/>
              </w:rPr>
              <w:t xml:space="preserve">stężenie kreatyniny  w surowicy ≤ 1,5 x GGN </w:t>
            </w:r>
          </w:p>
          <w:p w:rsidR="00341CDB" w:rsidRPr="0039555E" w:rsidRDefault="00341CDB" w:rsidP="00767217">
            <w:pPr>
              <w:pStyle w:val="Akapitzlist"/>
              <w:numPr>
                <w:ilvl w:val="1"/>
                <w:numId w:val="1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39555E">
              <w:rPr>
                <w:sz w:val="20"/>
                <w:szCs w:val="20"/>
              </w:rPr>
              <w:t>aktywność AST/ALT ≤  2,5 x GGN stężenie bilirubiny całkowitej  ≤ 1,5 x GGN lub bilirubiny bezpośredniej  ≤  GGN u pacjentów z poziomem bilirubiny całkowitej  &gt; 1,5 GGN</w:t>
            </w:r>
          </w:p>
          <w:p w:rsidR="00341CDB" w:rsidRPr="0039555E" w:rsidRDefault="00341CDB" w:rsidP="00767217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39555E">
              <w:rPr>
                <w:sz w:val="20"/>
                <w:szCs w:val="20"/>
              </w:rPr>
              <w:t>brak przeciwwskazań do stosowania leku określonych w aktualnej Charakterystyce Produktu Leczniczego;</w:t>
            </w:r>
          </w:p>
          <w:p w:rsidR="00341CDB" w:rsidRPr="0039555E" w:rsidRDefault="00341CDB" w:rsidP="00767217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39555E">
              <w:rPr>
                <w:sz w:val="20"/>
                <w:szCs w:val="20"/>
              </w:rPr>
              <w:t>wykluczenie ciąży lub karmienia piersią u pacjentek.</w:t>
            </w:r>
          </w:p>
          <w:p w:rsidR="00341CDB" w:rsidRPr="0039555E" w:rsidRDefault="00341CDB" w:rsidP="00623E6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9555E">
              <w:rPr>
                <w:sz w:val="20"/>
                <w:szCs w:val="20"/>
              </w:rPr>
              <w:t>Kryteria kwalifikacji musza być spełnione łącznie.</w:t>
            </w:r>
          </w:p>
          <w:p w:rsidR="00341CDB" w:rsidRPr="0039555E" w:rsidRDefault="00341CDB" w:rsidP="00623E6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341CDB" w:rsidRPr="0039555E" w:rsidRDefault="00341CDB" w:rsidP="00623E60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39555E">
              <w:rPr>
                <w:b/>
                <w:sz w:val="20"/>
                <w:szCs w:val="20"/>
              </w:rPr>
              <w:t>2. Określenie czasu leczenia w programie</w:t>
            </w:r>
          </w:p>
          <w:p w:rsidR="00341CDB" w:rsidRPr="0039555E" w:rsidRDefault="00341CDB" w:rsidP="00623E6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9555E">
              <w:rPr>
                <w:sz w:val="20"/>
                <w:szCs w:val="20"/>
              </w:rPr>
              <w:t>Leczenie trwa do czasu podjęcia przez lekarza prowadzącego decyzji o wyłączeniu świadczeniobiorcy z programu zgodnie z kryteriami wyłączenia.</w:t>
            </w:r>
          </w:p>
          <w:p w:rsidR="00341CDB" w:rsidRPr="0039555E" w:rsidRDefault="00341CDB" w:rsidP="00623E6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341CDB" w:rsidRPr="0039555E" w:rsidRDefault="00341CDB" w:rsidP="00623E60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39555E">
              <w:rPr>
                <w:b/>
                <w:sz w:val="20"/>
                <w:szCs w:val="20"/>
              </w:rPr>
              <w:t>3. Kryteria wyłączenia z programu:</w:t>
            </w:r>
          </w:p>
          <w:p w:rsidR="00341CDB" w:rsidRPr="0039555E" w:rsidRDefault="00341CDB" w:rsidP="00767217">
            <w:pPr>
              <w:pStyle w:val="Akapitzlist"/>
              <w:numPr>
                <w:ilvl w:val="0"/>
                <w:numId w:val="1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39555E">
              <w:rPr>
                <w:sz w:val="20"/>
                <w:szCs w:val="20"/>
              </w:rPr>
              <w:t>progresja choroby;</w:t>
            </w:r>
          </w:p>
          <w:p w:rsidR="00341CDB" w:rsidRPr="0039555E" w:rsidRDefault="00341CDB" w:rsidP="00767217">
            <w:pPr>
              <w:pStyle w:val="Akapitzlist"/>
              <w:numPr>
                <w:ilvl w:val="0"/>
                <w:numId w:val="1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39555E">
              <w:rPr>
                <w:sz w:val="20"/>
                <w:szCs w:val="20"/>
              </w:rPr>
              <w:t>nadwrażliwość na lek lub na substancję pomocniczą;</w:t>
            </w:r>
          </w:p>
          <w:p w:rsidR="00341CDB" w:rsidRPr="0039555E" w:rsidRDefault="00341CDB" w:rsidP="00767217">
            <w:pPr>
              <w:pStyle w:val="Akapitzlist"/>
              <w:numPr>
                <w:ilvl w:val="0"/>
                <w:numId w:val="1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39555E">
              <w:rPr>
                <w:sz w:val="20"/>
                <w:szCs w:val="20"/>
              </w:rPr>
              <w:t>wystąpienie epizodu ciężkiej toksyczność niezwiązanej z lekiem;</w:t>
            </w:r>
          </w:p>
          <w:p w:rsidR="00341CDB" w:rsidRPr="0039555E" w:rsidRDefault="00341CDB" w:rsidP="00767217">
            <w:pPr>
              <w:pStyle w:val="Akapitzlist"/>
              <w:numPr>
                <w:ilvl w:val="0"/>
                <w:numId w:val="1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39555E">
              <w:rPr>
                <w:sz w:val="20"/>
                <w:szCs w:val="20"/>
              </w:rPr>
              <w:t>brak możliwości zmniejszenia dawek kortykosterydów stosowanych z powodu leczenia działań niepożądanych do dawki  ≤ 10 mg prednizonu na dobę lub dawki równoważnej w ciągu 12 tygodni;</w:t>
            </w:r>
          </w:p>
          <w:p w:rsidR="00341CDB" w:rsidRPr="0039555E" w:rsidRDefault="00341CDB" w:rsidP="00767217">
            <w:pPr>
              <w:pStyle w:val="Akapitzlist"/>
              <w:numPr>
                <w:ilvl w:val="0"/>
                <w:numId w:val="1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39555E">
              <w:rPr>
                <w:sz w:val="20"/>
                <w:szCs w:val="20"/>
              </w:rPr>
              <w:t>istotne pogorszenie jakości życia według oceny lekarza lub pacjenta;</w:t>
            </w:r>
          </w:p>
          <w:p w:rsidR="00341CDB" w:rsidRPr="0039555E" w:rsidRDefault="00341CDB" w:rsidP="00767217">
            <w:pPr>
              <w:pStyle w:val="Akapitzlist"/>
              <w:numPr>
                <w:ilvl w:val="0"/>
                <w:numId w:val="1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39555E">
              <w:rPr>
                <w:sz w:val="20"/>
                <w:szCs w:val="20"/>
              </w:rPr>
              <w:t>objawy toksyczności związane z leczeniem nie ulegają poprawie do stopnia 0-1 w ciągu 12 tygodni od podania</w:t>
            </w:r>
            <w:r w:rsidR="00CE115A" w:rsidRPr="0039555E">
              <w:rPr>
                <w:sz w:val="20"/>
                <w:szCs w:val="20"/>
              </w:rPr>
              <w:t xml:space="preserve"> ostatniej dawki pembrolizumabu lub niwolumabu;</w:t>
            </w:r>
          </w:p>
          <w:p w:rsidR="00341CDB" w:rsidRPr="0039555E" w:rsidRDefault="00341CDB" w:rsidP="00767217">
            <w:pPr>
              <w:pStyle w:val="Akapitzlist"/>
              <w:numPr>
                <w:ilvl w:val="0"/>
                <w:numId w:val="1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39555E">
              <w:rPr>
                <w:sz w:val="20"/>
                <w:szCs w:val="20"/>
              </w:rPr>
              <w:t>wystąpienie toksyczności zagrażającej życiu ( w stopniu 4) z wyjątkiem endokrynopatii   kontrolowanych suplementacją hormonalną;</w:t>
            </w:r>
          </w:p>
          <w:p w:rsidR="00341CDB" w:rsidRPr="0039555E" w:rsidRDefault="00341CDB" w:rsidP="00767217">
            <w:pPr>
              <w:pStyle w:val="Akapitzlist"/>
              <w:numPr>
                <w:ilvl w:val="0"/>
                <w:numId w:val="1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39555E">
              <w:rPr>
                <w:sz w:val="20"/>
                <w:szCs w:val="20"/>
              </w:rPr>
              <w:t>wystąpienie toksyczności pochodzenia immunologicznego takich jak:</w:t>
            </w:r>
          </w:p>
          <w:p w:rsidR="00341CDB" w:rsidRPr="0039555E" w:rsidRDefault="00341CDB" w:rsidP="00767217">
            <w:pPr>
              <w:pStyle w:val="Akapitzlist"/>
              <w:numPr>
                <w:ilvl w:val="1"/>
                <w:numId w:val="1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39555E">
              <w:rPr>
                <w:sz w:val="20"/>
                <w:szCs w:val="20"/>
              </w:rPr>
              <w:t>zapalenie płuc stopnia 3 lub 4 lub nawracające stopnia 2,</w:t>
            </w:r>
          </w:p>
          <w:p w:rsidR="00341CDB" w:rsidRPr="0039555E" w:rsidRDefault="00341CDB" w:rsidP="00767217">
            <w:pPr>
              <w:pStyle w:val="Akapitzlist"/>
              <w:numPr>
                <w:ilvl w:val="1"/>
                <w:numId w:val="1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39555E">
              <w:rPr>
                <w:sz w:val="20"/>
                <w:szCs w:val="20"/>
              </w:rPr>
              <w:t>zapalenie jelita grubego stopnia 4,</w:t>
            </w:r>
          </w:p>
          <w:p w:rsidR="00341CDB" w:rsidRPr="0039555E" w:rsidRDefault="00341CDB" w:rsidP="00767217">
            <w:pPr>
              <w:pStyle w:val="Akapitzlist"/>
              <w:numPr>
                <w:ilvl w:val="1"/>
                <w:numId w:val="1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39555E">
              <w:rPr>
                <w:sz w:val="20"/>
                <w:szCs w:val="20"/>
              </w:rPr>
              <w:t>zapalenie nerek stopnia 3 lub 4 ze stężeniami kreatyniny 3 razy powyżej GGN,</w:t>
            </w:r>
          </w:p>
          <w:p w:rsidR="00341CDB" w:rsidRPr="0039555E" w:rsidRDefault="00341CDB" w:rsidP="00767217">
            <w:pPr>
              <w:pStyle w:val="Akapitzlist"/>
              <w:numPr>
                <w:ilvl w:val="1"/>
                <w:numId w:val="1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39555E">
              <w:rPr>
                <w:sz w:val="20"/>
                <w:szCs w:val="20"/>
              </w:rPr>
              <w:t>zapalenie wątroby stopnia 3 lub 4 związane ze:</w:t>
            </w:r>
          </w:p>
          <w:p w:rsidR="00341CDB" w:rsidRPr="0039555E" w:rsidRDefault="00341CDB" w:rsidP="00493608">
            <w:pPr>
              <w:pStyle w:val="Akapitzlist"/>
              <w:numPr>
                <w:ilvl w:val="2"/>
                <w:numId w:val="2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39555E">
              <w:rPr>
                <w:sz w:val="20"/>
                <w:szCs w:val="20"/>
              </w:rPr>
              <w:t xml:space="preserve">wzrostem ALT lub AST 5 razy powyżej GGN lub stężenia bilirubiny całkowitej 3 razy powyżej GGN, </w:t>
            </w:r>
          </w:p>
          <w:p w:rsidR="00341CDB" w:rsidRPr="0039555E" w:rsidRDefault="00341CDB" w:rsidP="00493608">
            <w:pPr>
              <w:pStyle w:val="Akapitzlist"/>
              <w:numPr>
                <w:ilvl w:val="2"/>
                <w:numId w:val="2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39555E">
              <w:rPr>
                <w:sz w:val="20"/>
                <w:szCs w:val="20"/>
              </w:rPr>
              <w:t>u pacjentów z przerzutami do wątroby , którzy rozpoczynają leczenie z umiarkowanym wzrostem ( stopień 2) AST lub ALT jeżeli AST lub ALT rośnie 50% powyżej w stosunku do wartości wyjściowych i trwa 1 tydzień lub dłużej;</w:t>
            </w:r>
          </w:p>
          <w:p w:rsidR="00341CDB" w:rsidRPr="0039555E" w:rsidRDefault="00341CDB" w:rsidP="00767217">
            <w:pPr>
              <w:pStyle w:val="Akapitzlist"/>
              <w:numPr>
                <w:ilvl w:val="0"/>
                <w:numId w:val="1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39555E">
              <w:rPr>
                <w:sz w:val="20"/>
                <w:szCs w:val="20"/>
              </w:rPr>
              <w:t>wystąpienie po raz drugi epizodu toksyczności stopnia 3 lub 4;</w:t>
            </w:r>
          </w:p>
          <w:p w:rsidR="00341CDB" w:rsidRPr="0039555E" w:rsidRDefault="00341CDB" w:rsidP="00767217">
            <w:pPr>
              <w:pStyle w:val="Akapitzlist"/>
              <w:numPr>
                <w:ilvl w:val="0"/>
                <w:numId w:val="1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39555E">
              <w:rPr>
                <w:sz w:val="20"/>
                <w:szCs w:val="20"/>
              </w:rPr>
              <w:t xml:space="preserve"> kobiety w wieku rozrodczym, które nie chcą lub nie są w stanie stosować dopuszczalnej metody antykoncepcji w celu uniknięcia ciąży przez cały okres leczenia oraz przez 4 miesiące po jego zakończeniu;</w:t>
            </w:r>
          </w:p>
          <w:p w:rsidR="00341CDB" w:rsidRPr="0039555E" w:rsidRDefault="00341CDB" w:rsidP="00623E60">
            <w:pPr>
              <w:pStyle w:val="Akapitzlist"/>
              <w:numPr>
                <w:ilvl w:val="0"/>
                <w:numId w:val="1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39555E">
              <w:rPr>
                <w:sz w:val="20"/>
                <w:szCs w:val="20"/>
              </w:rPr>
              <w:t>kobiety w ciąży lub karmiące piersią.</w:t>
            </w:r>
          </w:p>
        </w:tc>
        <w:tc>
          <w:tcPr>
            <w:tcW w:w="1407" w:type="pct"/>
            <w:shd w:val="clear" w:color="auto" w:fill="auto"/>
          </w:tcPr>
          <w:p w:rsidR="00341CDB" w:rsidRPr="0039555E" w:rsidRDefault="00341CDB" w:rsidP="00623E60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39555E">
              <w:rPr>
                <w:b/>
                <w:bCs/>
                <w:sz w:val="20"/>
                <w:szCs w:val="20"/>
              </w:rPr>
              <w:t>1. Dawkowanie:</w:t>
            </w:r>
          </w:p>
          <w:p w:rsidR="00341CDB" w:rsidRPr="0039555E" w:rsidRDefault="00341CDB" w:rsidP="00623E6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9555E">
              <w:rPr>
                <w:sz w:val="20"/>
                <w:szCs w:val="20"/>
              </w:rPr>
              <w:t>Dawkowanie oraz kryteria i sposób modyfikacji dawkowania (w tym okresowe wstrzymanie leczenia)  prowadzone jest zgodnie z  Charakterystyką Produktu Leczniczego.</w:t>
            </w:r>
          </w:p>
          <w:p w:rsidR="00341CDB" w:rsidRPr="0039555E" w:rsidRDefault="00341CDB" w:rsidP="00623E6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341CDB" w:rsidRPr="0039555E" w:rsidRDefault="00341CDB" w:rsidP="00623E6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9555E">
              <w:rPr>
                <w:sz w:val="20"/>
                <w:szCs w:val="20"/>
              </w:rPr>
              <w:t>Niwolumab lub pembrolizumab nie może być stosowany łącznie z:</w:t>
            </w:r>
          </w:p>
          <w:p w:rsidR="00341CDB" w:rsidRPr="0039555E" w:rsidRDefault="00341CDB" w:rsidP="00623E6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341CDB" w:rsidRPr="0039555E" w:rsidRDefault="00341CDB" w:rsidP="00767217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9555E">
              <w:rPr>
                <w:sz w:val="20"/>
                <w:szCs w:val="20"/>
              </w:rPr>
              <w:t>innym przeciwciałem monoklonalnym;</w:t>
            </w:r>
          </w:p>
          <w:p w:rsidR="00341CDB" w:rsidRPr="0039555E" w:rsidRDefault="00341CDB" w:rsidP="00767217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9555E">
              <w:rPr>
                <w:sz w:val="20"/>
                <w:szCs w:val="20"/>
              </w:rPr>
              <w:t>inhibitorem kinazy BRAF;</w:t>
            </w:r>
          </w:p>
          <w:p w:rsidR="00341CDB" w:rsidRPr="0039555E" w:rsidRDefault="00341CDB" w:rsidP="00767217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9555E">
              <w:rPr>
                <w:sz w:val="20"/>
                <w:szCs w:val="20"/>
              </w:rPr>
              <w:t>inhibitorem kinazy MEK.</w:t>
            </w:r>
          </w:p>
          <w:p w:rsidR="00341CDB" w:rsidRPr="0039555E" w:rsidRDefault="00341CDB" w:rsidP="00623E60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341CDB" w:rsidRPr="0039555E" w:rsidRDefault="00341CDB" w:rsidP="00623E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341CDB" w:rsidRPr="0039555E" w:rsidRDefault="00341CDB" w:rsidP="00623E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341CDB" w:rsidRPr="0039555E" w:rsidRDefault="00341CDB" w:rsidP="00623E60">
            <w:pPr>
              <w:autoSpaceDE w:val="0"/>
              <w:autoSpaceDN w:val="0"/>
              <w:adjustRightInd w:val="0"/>
              <w:spacing w:line="276" w:lineRule="auto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788" w:type="pct"/>
            <w:shd w:val="clear" w:color="auto" w:fill="auto"/>
          </w:tcPr>
          <w:p w:rsidR="00341CDB" w:rsidRPr="0039555E" w:rsidRDefault="00341CDB" w:rsidP="00623E60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39555E">
              <w:rPr>
                <w:b/>
                <w:bCs/>
                <w:sz w:val="20"/>
                <w:szCs w:val="20"/>
              </w:rPr>
              <w:t>1. Badania przy kwalifikacji:</w:t>
            </w:r>
          </w:p>
          <w:p w:rsidR="00341CDB" w:rsidRPr="0039555E" w:rsidRDefault="00341CDB" w:rsidP="00767217">
            <w:pPr>
              <w:pStyle w:val="Akapitzlist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39555E">
              <w:rPr>
                <w:sz w:val="20"/>
                <w:szCs w:val="20"/>
              </w:rPr>
              <w:t>histologiczne potwierdzenie czerniaka;</w:t>
            </w:r>
          </w:p>
          <w:p w:rsidR="00341CDB" w:rsidRPr="0039555E" w:rsidRDefault="00341CDB" w:rsidP="00767217">
            <w:pPr>
              <w:pStyle w:val="Akapitzlist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39555E">
              <w:rPr>
                <w:sz w:val="20"/>
                <w:szCs w:val="20"/>
              </w:rPr>
              <w:t>diagnostyka obrazowa umożliwiające ocenę odpowiedzi na leczenie według aktualnych kryteriów RECIST: TK lub MRI (USG w wybranych przypadkach – zmiany w tkance podskórnej lub skórze);</w:t>
            </w:r>
          </w:p>
          <w:p w:rsidR="00341CDB" w:rsidRPr="0039555E" w:rsidRDefault="00341CDB" w:rsidP="00767217">
            <w:pPr>
              <w:pStyle w:val="Akapitzlist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39555E">
              <w:rPr>
                <w:sz w:val="20"/>
                <w:szCs w:val="20"/>
              </w:rPr>
              <w:t>pomiar masy ciała;</w:t>
            </w:r>
          </w:p>
          <w:p w:rsidR="00341CDB" w:rsidRPr="0039555E" w:rsidRDefault="00341CDB" w:rsidP="00767217">
            <w:pPr>
              <w:pStyle w:val="Akapitzlist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39555E">
              <w:rPr>
                <w:sz w:val="20"/>
                <w:szCs w:val="20"/>
              </w:rPr>
              <w:t>pełne badanie przedmiotowe;</w:t>
            </w:r>
          </w:p>
          <w:p w:rsidR="00341CDB" w:rsidRPr="0039555E" w:rsidRDefault="00341CDB" w:rsidP="00767217">
            <w:pPr>
              <w:pStyle w:val="Akapitzlist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39555E">
              <w:rPr>
                <w:sz w:val="20"/>
                <w:szCs w:val="20"/>
              </w:rPr>
              <w:t>ocena sprawności w skali ECOG;</w:t>
            </w:r>
          </w:p>
          <w:p w:rsidR="00341CDB" w:rsidRPr="0039555E" w:rsidRDefault="00341CDB" w:rsidP="00767217">
            <w:pPr>
              <w:pStyle w:val="Akapitzlist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39555E">
              <w:rPr>
                <w:sz w:val="20"/>
                <w:szCs w:val="20"/>
              </w:rPr>
              <w:t>ocena obecności mutacji BRAF V600;</w:t>
            </w:r>
          </w:p>
          <w:p w:rsidR="00341CDB" w:rsidRPr="0039555E" w:rsidRDefault="00341CDB" w:rsidP="00767217">
            <w:pPr>
              <w:pStyle w:val="Akapitzlist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39555E">
              <w:rPr>
                <w:sz w:val="20"/>
                <w:szCs w:val="20"/>
              </w:rPr>
              <w:t>test ciążowy u kobiet w wieku rozrodczym;</w:t>
            </w:r>
          </w:p>
          <w:p w:rsidR="00341CDB" w:rsidRPr="0039555E" w:rsidRDefault="00341CDB" w:rsidP="00767217">
            <w:pPr>
              <w:pStyle w:val="Akapitzlist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39555E">
              <w:rPr>
                <w:sz w:val="20"/>
                <w:szCs w:val="20"/>
              </w:rPr>
              <w:t>elektrokardiogram  (EKG);</w:t>
            </w:r>
          </w:p>
          <w:p w:rsidR="00341CDB" w:rsidRPr="0039555E" w:rsidRDefault="00341CDB" w:rsidP="00767217">
            <w:pPr>
              <w:pStyle w:val="Akapitzlist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39555E">
              <w:rPr>
                <w:sz w:val="20"/>
                <w:szCs w:val="20"/>
              </w:rPr>
              <w:t>badania laboratoryjne:</w:t>
            </w:r>
          </w:p>
          <w:p w:rsidR="00341CDB" w:rsidRPr="0039555E" w:rsidRDefault="00341CDB" w:rsidP="00767217">
            <w:pPr>
              <w:pStyle w:val="Akapitzlist"/>
              <w:numPr>
                <w:ilvl w:val="1"/>
                <w:numId w:val="13"/>
              </w:numPr>
              <w:tabs>
                <w:tab w:val="left" w:pos="498"/>
              </w:tabs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39555E">
              <w:rPr>
                <w:sz w:val="20"/>
                <w:szCs w:val="20"/>
              </w:rPr>
              <w:t>pełna morfologia z rozmazem oraz liczbą płytek,</w:t>
            </w:r>
          </w:p>
          <w:p w:rsidR="00341CDB" w:rsidRPr="0039555E" w:rsidRDefault="00341CDB" w:rsidP="00767217">
            <w:pPr>
              <w:pStyle w:val="Akapitzlist"/>
              <w:numPr>
                <w:ilvl w:val="1"/>
                <w:numId w:val="13"/>
              </w:numPr>
              <w:tabs>
                <w:tab w:val="left" w:pos="498"/>
              </w:tabs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39555E">
              <w:rPr>
                <w:sz w:val="20"/>
                <w:szCs w:val="20"/>
              </w:rPr>
              <w:t>parametry biochemiczne surowicy: aminotransferazy (ALT lub AST), bilirubina całkowita (bezpośrednia w przypadku stężenia bilirubiny całkowitej &gt; 1,5 GGN), kreatynina, glukoza, dehydrogenaza mleczanowa (LDH), elektrolity (w tym stężenie sodu, potasu, wapnia), TSH i wolna T4,</w:t>
            </w:r>
          </w:p>
          <w:p w:rsidR="00341CDB" w:rsidRPr="0039555E" w:rsidRDefault="00341CDB" w:rsidP="00767217">
            <w:pPr>
              <w:pStyle w:val="Akapitzlist"/>
              <w:numPr>
                <w:ilvl w:val="1"/>
                <w:numId w:val="13"/>
              </w:numPr>
              <w:tabs>
                <w:tab w:val="left" w:pos="498"/>
              </w:tabs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39555E">
              <w:rPr>
                <w:sz w:val="20"/>
                <w:szCs w:val="20"/>
              </w:rPr>
              <w:t>badanie ogólne moczu.</w:t>
            </w:r>
          </w:p>
          <w:p w:rsidR="00341CDB" w:rsidRPr="0039555E" w:rsidRDefault="00341CDB" w:rsidP="00623E6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9555E">
              <w:rPr>
                <w:b/>
                <w:bCs/>
                <w:sz w:val="20"/>
                <w:szCs w:val="20"/>
              </w:rPr>
              <w:t xml:space="preserve">2. </w:t>
            </w:r>
            <w:r w:rsidRPr="0039555E">
              <w:rPr>
                <w:b/>
                <w:sz w:val="20"/>
                <w:szCs w:val="20"/>
              </w:rPr>
              <w:t>Antykoncepcyjne przeciwdziałanie u kobiet</w:t>
            </w:r>
            <w:r w:rsidRPr="0039555E">
              <w:rPr>
                <w:sz w:val="20"/>
                <w:szCs w:val="20"/>
              </w:rPr>
              <w:t xml:space="preserve"> w wieku rozrodczym przez cały okres stosowania leczenia oraz 4 miesiące po podaniu ostatniej dawki niwolumabu lub pembrolizumabu.</w:t>
            </w:r>
          </w:p>
          <w:p w:rsidR="00341CDB" w:rsidRPr="0039555E" w:rsidRDefault="00341CDB" w:rsidP="00623E60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341CDB" w:rsidRPr="0039555E" w:rsidRDefault="00341CDB" w:rsidP="00623E60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39555E">
              <w:rPr>
                <w:b/>
                <w:bCs/>
                <w:sz w:val="20"/>
                <w:szCs w:val="20"/>
              </w:rPr>
              <w:t>3. Monitorowanie leczenia:</w:t>
            </w:r>
          </w:p>
          <w:p w:rsidR="00664378" w:rsidRPr="0039555E" w:rsidRDefault="00664378" w:rsidP="00664378">
            <w:pPr>
              <w:pStyle w:val="Akapitzlist"/>
              <w:numPr>
                <w:ilvl w:val="0"/>
                <w:numId w:val="15"/>
              </w:numPr>
              <w:spacing w:after="200" w:line="276" w:lineRule="auto"/>
              <w:rPr>
                <w:sz w:val="20"/>
                <w:szCs w:val="20"/>
              </w:rPr>
            </w:pPr>
            <w:r w:rsidRPr="0039555E">
              <w:rPr>
                <w:sz w:val="20"/>
                <w:szCs w:val="20"/>
              </w:rPr>
              <w:t xml:space="preserve">diagnostyka obrazowa umożliwiające ocenę odpowiedzi na leczenie według aktualnych kryteriów RECIST: TK lub MRI (USG w wybranych przypadkach – zmiany w tkance podskórnej lub skórze) </w:t>
            </w:r>
          </w:p>
          <w:p w:rsidR="00664378" w:rsidRPr="0039555E" w:rsidRDefault="00141D77" w:rsidP="00664378">
            <w:pPr>
              <w:pStyle w:val="Akapitzlist"/>
              <w:numPr>
                <w:ilvl w:val="1"/>
                <w:numId w:val="15"/>
              </w:numPr>
              <w:spacing w:after="200" w:line="276" w:lineRule="auto"/>
              <w:rPr>
                <w:sz w:val="20"/>
                <w:szCs w:val="20"/>
              </w:rPr>
            </w:pPr>
            <w:r w:rsidRPr="0039555E">
              <w:rPr>
                <w:sz w:val="20"/>
                <w:szCs w:val="20"/>
              </w:rPr>
              <w:t xml:space="preserve">dla niwolumabu - </w:t>
            </w:r>
            <w:r w:rsidR="00664378" w:rsidRPr="0039555E">
              <w:rPr>
                <w:sz w:val="20"/>
                <w:szCs w:val="20"/>
              </w:rPr>
              <w:t>po 12 tygodniach leczenia, a następnie co 3 miesiące lub przy klinicznym podejrzeniu progresji;</w:t>
            </w:r>
          </w:p>
          <w:p w:rsidR="00141D77" w:rsidRPr="0039555E" w:rsidRDefault="00664378" w:rsidP="00141D77">
            <w:pPr>
              <w:pStyle w:val="Akapitzlist"/>
              <w:numPr>
                <w:ilvl w:val="1"/>
                <w:numId w:val="15"/>
              </w:numPr>
              <w:spacing w:after="200" w:line="276" w:lineRule="auto"/>
              <w:rPr>
                <w:sz w:val="20"/>
                <w:szCs w:val="20"/>
              </w:rPr>
            </w:pPr>
            <w:r w:rsidRPr="0039555E">
              <w:rPr>
                <w:sz w:val="20"/>
                <w:szCs w:val="20"/>
              </w:rPr>
              <w:t>dla pembrolizumabu - przed upływem 12 tygodnia leczenia</w:t>
            </w:r>
            <w:r w:rsidR="00141D77" w:rsidRPr="0039555E">
              <w:rPr>
                <w:sz w:val="20"/>
                <w:szCs w:val="20"/>
              </w:rPr>
              <w:t xml:space="preserve">, </w:t>
            </w:r>
            <w:r w:rsidRPr="0039555E">
              <w:rPr>
                <w:sz w:val="20"/>
                <w:szCs w:val="20"/>
              </w:rPr>
              <w:t>następnie co 3 miesiące lub przy klinicznym podejrzeniu progresji;</w:t>
            </w:r>
          </w:p>
          <w:p w:rsidR="00141D77" w:rsidRPr="0039555E" w:rsidRDefault="00141D77" w:rsidP="00141D77">
            <w:pPr>
              <w:pStyle w:val="Akapitzlist"/>
              <w:numPr>
                <w:ilvl w:val="0"/>
                <w:numId w:val="15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39555E">
              <w:rPr>
                <w:sz w:val="20"/>
                <w:szCs w:val="20"/>
              </w:rPr>
              <w:t>badania laboratoryjne dla pembrolizumabu co 6 – 12 tygodni:</w:t>
            </w:r>
          </w:p>
          <w:p w:rsidR="00141D77" w:rsidRPr="0039555E" w:rsidRDefault="00141D77" w:rsidP="00141D77">
            <w:pPr>
              <w:pStyle w:val="Akapitzlist"/>
              <w:numPr>
                <w:ilvl w:val="1"/>
                <w:numId w:val="15"/>
              </w:numPr>
              <w:tabs>
                <w:tab w:val="left" w:pos="498"/>
              </w:tabs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39555E">
              <w:rPr>
                <w:sz w:val="20"/>
                <w:szCs w:val="20"/>
              </w:rPr>
              <w:t>pełna morfologia z rozmazem oraz liczbą płytek,</w:t>
            </w:r>
          </w:p>
          <w:p w:rsidR="00141D77" w:rsidRPr="0039555E" w:rsidRDefault="00141D77" w:rsidP="00141D77">
            <w:pPr>
              <w:pStyle w:val="Akapitzlist"/>
              <w:numPr>
                <w:ilvl w:val="1"/>
                <w:numId w:val="15"/>
              </w:numPr>
              <w:tabs>
                <w:tab w:val="left" w:pos="498"/>
              </w:tabs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39555E">
              <w:rPr>
                <w:sz w:val="20"/>
                <w:szCs w:val="20"/>
              </w:rPr>
              <w:t>parametry biochemiczne surowicy:</w:t>
            </w:r>
            <w:r w:rsidRPr="0039555E">
              <w:rPr>
                <w:sz w:val="20"/>
                <w:szCs w:val="20"/>
                <w:u w:val="single"/>
              </w:rPr>
              <w:t xml:space="preserve"> </w:t>
            </w:r>
            <w:r w:rsidRPr="0039555E">
              <w:rPr>
                <w:sz w:val="20"/>
                <w:szCs w:val="20"/>
              </w:rPr>
              <w:t>aminotransferazy (ALT lub AST), bilirubina całkowita (bezpośrednia w przypadku stężenia bilirubiny całkowitej &gt; 1,5 GGN), kreatynina, glukoza, dehydrogenaza mleczanowa (LDH), elektrolity (w tym stężenie sodu, potasu, wapnia), TSH i wolna T4,</w:t>
            </w:r>
          </w:p>
          <w:p w:rsidR="00141D77" w:rsidRPr="0039555E" w:rsidRDefault="00141D77" w:rsidP="00141D77">
            <w:pPr>
              <w:pStyle w:val="Akapitzlist"/>
              <w:numPr>
                <w:ilvl w:val="1"/>
                <w:numId w:val="15"/>
              </w:numPr>
              <w:tabs>
                <w:tab w:val="left" w:pos="498"/>
              </w:tabs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39555E">
              <w:rPr>
                <w:sz w:val="20"/>
                <w:szCs w:val="20"/>
              </w:rPr>
              <w:t>badanie ogólne moczu..</w:t>
            </w:r>
          </w:p>
          <w:p w:rsidR="00141D77" w:rsidRPr="0039555E" w:rsidRDefault="00141D77" w:rsidP="00141D77">
            <w:pPr>
              <w:pStyle w:val="Akapitzlist"/>
              <w:numPr>
                <w:ilvl w:val="0"/>
                <w:numId w:val="15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39555E">
              <w:rPr>
                <w:sz w:val="20"/>
                <w:szCs w:val="20"/>
              </w:rPr>
              <w:t xml:space="preserve">badania laboratoryjne dla niwolumabu co </w:t>
            </w:r>
            <w:r w:rsidR="005511DF">
              <w:rPr>
                <w:sz w:val="20"/>
                <w:szCs w:val="20"/>
              </w:rPr>
              <w:t xml:space="preserve"> 4-12 </w:t>
            </w:r>
            <w:r w:rsidR="005511DF" w:rsidRPr="0039555E">
              <w:rPr>
                <w:sz w:val="20"/>
                <w:szCs w:val="20"/>
              </w:rPr>
              <w:t xml:space="preserve"> </w:t>
            </w:r>
            <w:r w:rsidRPr="0039555E">
              <w:rPr>
                <w:sz w:val="20"/>
                <w:szCs w:val="20"/>
              </w:rPr>
              <w:t>tygodni:</w:t>
            </w:r>
          </w:p>
          <w:p w:rsidR="00141D77" w:rsidRPr="0039555E" w:rsidRDefault="00141D77" w:rsidP="00141D77">
            <w:pPr>
              <w:pStyle w:val="Akapitzlist"/>
              <w:numPr>
                <w:ilvl w:val="1"/>
                <w:numId w:val="15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39555E">
              <w:rPr>
                <w:sz w:val="20"/>
                <w:szCs w:val="20"/>
              </w:rPr>
              <w:t>pełna morfologia z rozmazem oraz liczbą płytek,</w:t>
            </w:r>
          </w:p>
          <w:p w:rsidR="00141D77" w:rsidRPr="0039555E" w:rsidRDefault="00141D77" w:rsidP="00141D77">
            <w:pPr>
              <w:pStyle w:val="Akapitzlist"/>
              <w:numPr>
                <w:ilvl w:val="1"/>
                <w:numId w:val="15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39555E">
              <w:rPr>
                <w:sz w:val="20"/>
                <w:szCs w:val="20"/>
              </w:rPr>
              <w:t>parametry biochemiczne surowicy: aminotransferazy (ALT lub AST), bilirubina całkowita (bezpośrednia w przypadku stężenia bilirubiny całkowitej &gt; 1,5 GGN), kreatynina, glukoza, dehydrogenaza mleczanowa (LDH), elektrolity (w tym stężenie sodu, potasu, wapnia), TSH i wolna T4,</w:t>
            </w:r>
          </w:p>
          <w:p w:rsidR="00141D77" w:rsidRPr="0039555E" w:rsidRDefault="00141D77" w:rsidP="00141D77">
            <w:pPr>
              <w:pStyle w:val="Akapitzlist"/>
              <w:numPr>
                <w:ilvl w:val="1"/>
                <w:numId w:val="15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39555E">
              <w:rPr>
                <w:sz w:val="20"/>
                <w:szCs w:val="20"/>
              </w:rPr>
              <w:t>badanie ogólne moczu..</w:t>
            </w:r>
          </w:p>
          <w:p w:rsidR="00141D77" w:rsidRPr="0039555E" w:rsidRDefault="00141D77" w:rsidP="00141D77">
            <w:pPr>
              <w:pStyle w:val="Akapitzlist"/>
              <w:numPr>
                <w:ilvl w:val="0"/>
                <w:numId w:val="15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39555E">
              <w:rPr>
                <w:sz w:val="20"/>
                <w:szCs w:val="20"/>
              </w:rPr>
              <w:t>Ocena działań niepożądanych.</w:t>
            </w:r>
          </w:p>
          <w:p w:rsidR="00141D77" w:rsidRPr="0039555E" w:rsidRDefault="00141D77" w:rsidP="00141D77">
            <w:pPr>
              <w:spacing w:after="200" w:line="276" w:lineRule="auto"/>
              <w:rPr>
                <w:sz w:val="20"/>
                <w:szCs w:val="20"/>
              </w:rPr>
            </w:pPr>
          </w:p>
          <w:p w:rsidR="00141D77" w:rsidRPr="0039555E" w:rsidRDefault="00141D77" w:rsidP="00623E6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341CDB" w:rsidRPr="0039555E" w:rsidRDefault="00341CDB" w:rsidP="00623E60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39555E">
              <w:rPr>
                <w:b/>
                <w:sz w:val="20"/>
                <w:szCs w:val="20"/>
              </w:rPr>
              <w:t>4. Monitorowanie programu</w:t>
            </w:r>
          </w:p>
          <w:p w:rsidR="00341CDB" w:rsidRPr="0039555E" w:rsidRDefault="00341CDB" w:rsidP="0076721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9555E">
              <w:rPr>
                <w:sz w:val="20"/>
                <w:szCs w:val="20"/>
              </w:rPr>
              <w:t>gromadzenie w dokumentacji medycznej pacjenta danych dotyczących monitorowania leczenia i każdorazowe ich przedstawianie na żądanie kontrolerów  Narodowego Funduszu Zdrowia;</w:t>
            </w:r>
          </w:p>
          <w:p w:rsidR="00493608" w:rsidRPr="0039555E" w:rsidRDefault="00341CDB" w:rsidP="00623E6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9555E">
              <w:rPr>
                <w:sz w:val="20"/>
                <w:szCs w:val="20"/>
              </w:rPr>
              <w:t>uzupełnienie danych zawartych w rejestrze (SMPT) dostępnym za pomocą aplikacji internetowej udostępnionej przez OW NFZ, z częstotliwością zgodną z opisem programu oraz na zakończenie leczenia;</w:t>
            </w:r>
          </w:p>
          <w:p w:rsidR="00341CDB" w:rsidRPr="0039555E" w:rsidRDefault="00341CDB" w:rsidP="00623E6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9555E">
              <w:rPr>
                <w:sz w:val="20"/>
                <w:szCs w:val="20"/>
              </w:rPr>
              <w:t>przekazywanie informacji sprawozdawczo-rozliczeniowych do NFZ: informacje przekazuje się do NFZ w formie papierowej lub w formie elektronicznej, zgodnie z wymaganiami opublikowanymi przez Narodowy Fundusz Zdrowia.</w:t>
            </w:r>
          </w:p>
        </w:tc>
      </w:tr>
    </w:tbl>
    <w:p w:rsidR="00802627" w:rsidRPr="00623E60" w:rsidRDefault="00341CDB" w:rsidP="00623E60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623E60">
        <w:rPr>
          <w:sz w:val="22"/>
          <w:szCs w:val="22"/>
        </w:rPr>
        <w:br/>
      </w:r>
    </w:p>
    <w:sectPr w:rsidR="00802627" w:rsidRPr="00623E60" w:rsidSect="0039555E">
      <w:footerReference w:type="even" r:id="rId8"/>
      <w:footerReference w:type="default" r:id="rId9"/>
      <w:pgSz w:w="16838" w:h="11906" w:orient="landscape"/>
      <w:pgMar w:top="1588" w:right="720" w:bottom="1418" w:left="720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570" w:rsidRDefault="00CF6570">
      <w:r>
        <w:separator/>
      </w:r>
    </w:p>
  </w:endnote>
  <w:endnote w:type="continuationSeparator" w:id="0">
    <w:p w:rsidR="00CF6570" w:rsidRDefault="00CF6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6A9" w:rsidRDefault="00D70168" w:rsidP="009A79C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F26A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26A9" w:rsidRDefault="007F26A9" w:rsidP="009A79C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6A9" w:rsidRDefault="007F26A9" w:rsidP="009A79C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570" w:rsidRDefault="00CF6570">
      <w:r>
        <w:separator/>
      </w:r>
    </w:p>
  </w:footnote>
  <w:footnote w:type="continuationSeparator" w:id="0">
    <w:p w:rsidR="00CF6570" w:rsidRDefault="00CF6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1F04"/>
    <w:multiLevelType w:val="hybridMultilevel"/>
    <w:tmpl w:val="163C8240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8A207B"/>
    <w:multiLevelType w:val="hybridMultilevel"/>
    <w:tmpl w:val="B1E65D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856B9"/>
    <w:multiLevelType w:val="hybridMultilevel"/>
    <w:tmpl w:val="78DC08F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6364FA"/>
    <w:multiLevelType w:val="hybridMultilevel"/>
    <w:tmpl w:val="2B0826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0C01E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80D3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6A34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30D2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B5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E298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8871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D903D4"/>
    <w:multiLevelType w:val="multilevel"/>
    <w:tmpl w:val="27A6599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E2A4D23"/>
    <w:multiLevelType w:val="hybridMultilevel"/>
    <w:tmpl w:val="F2F2D85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A20E48"/>
    <w:multiLevelType w:val="hybridMultilevel"/>
    <w:tmpl w:val="17F21C3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1C45DC7"/>
    <w:multiLevelType w:val="hybridMultilevel"/>
    <w:tmpl w:val="7CAC54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E6650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C01E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80D3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6A34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30D2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B5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E298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8871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9C2C93"/>
    <w:multiLevelType w:val="hybridMultilevel"/>
    <w:tmpl w:val="4AB0988A"/>
    <w:lvl w:ilvl="0" w:tplc="04150011">
      <w:start w:val="1"/>
      <w:numFmt w:val="decimal"/>
      <w:lvlText w:val="%1)"/>
      <w:lvlJc w:val="left"/>
      <w:pPr>
        <w:tabs>
          <w:tab w:val="num" w:pos="267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872"/>
        </w:tabs>
        <w:ind w:left="872" w:hanging="360"/>
      </w:pPr>
      <w:rPr>
        <w:rFonts w:hint="default"/>
      </w:rPr>
    </w:lvl>
    <w:lvl w:ilvl="2" w:tplc="96441300">
      <w:numFmt w:val="bullet"/>
      <w:lvlText w:val=""/>
      <w:lvlJc w:val="left"/>
      <w:pPr>
        <w:ind w:left="1592" w:hanging="360"/>
      </w:pPr>
      <w:rPr>
        <w:rFonts w:ascii="Times New Roman" w:eastAsia="SymbolMT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2"/>
        </w:tabs>
        <w:ind w:left="2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2"/>
        </w:tabs>
        <w:ind w:left="3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2"/>
        </w:tabs>
        <w:ind w:left="3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2"/>
        </w:tabs>
        <w:ind w:left="5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</w:rPr>
    </w:lvl>
  </w:abstractNum>
  <w:abstractNum w:abstractNumId="9" w15:restartNumberingAfterBreak="0">
    <w:nsid w:val="38537AA6"/>
    <w:multiLevelType w:val="hybridMultilevel"/>
    <w:tmpl w:val="A10E3FB6"/>
    <w:lvl w:ilvl="0" w:tplc="BC4C6A2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50348"/>
    <w:multiLevelType w:val="hybridMultilevel"/>
    <w:tmpl w:val="09F8E2C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ADD628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0A70660"/>
    <w:multiLevelType w:val="hybridMultilevel"/>
    <w:tmpl w:val="8B7EFD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E77EBC"/>
    <w:multiLevelType w:val="hybridMultilevel"/>
    <w:tmpl w:val="828A6466"/>
    <w:lvl w:ilvl="0" w:tplc="A292463C">
      <w:start w:val="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316465"/>
    <w:multiLevelType w:val="hybridMultilevel"/>
    <w:tmpl w:val="272C2D74"/>
    <w:lvl w:ilvl="0" w:tplc="04150011">
      <w:start w:val="1"/>
      <w:numFmt w:val="decimal"/>
      <w:lvlText w:val="%1)"/>
      <w:lvlJc w:val="left"/>
      <w:pPr>
        <w:tabs>
          <w:tab w:val="num" w:pos="56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53180B2E"/>
    <w:multiLevelType w:val="hybridMultilevel"/>
    <w:tmpl w:val="4CC22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983AC3"/>
    <w:multiLevelType w:val="hybridMultilevel"/>
    <w:tmpl w:val="1674E8E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0C01E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80D3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6A34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30D2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B5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E298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8871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20670C"/>
    <w:multiLevelType w:val="hybridMultilevel"/>
    <w:tmpl w:val="20A4BF22"/>
    <w:lvl w:ilvl="0" w:tplc="A292463C">
      <w:start w:val="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964060"/>
    <w:multiLevelType w:val="hybridMultilevel"/>
    <w:tmpl w:val="E32A67C6"/>
    <w:lvl w:ilvl="0" w:tplc="A292463C">
      <w:start w:val="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F773BBC"/>
    <w:multiLevelType w:val="multilevel"/>
    <w:tmpl w:val="9A4E461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F937C04"/>
    <w:multiLevelType w:val="hybridMultilevel"/>
    <w:tmpl w:val="5A2A5F30"/>
    <w:lvl w:ilvl="0" w:tplc="0415001B">
      <w:start w:val="1"/>
      <w:numFmt w:val="lowerRoman"/>
      <w:lvlText w:val="%1."/>
      <w:lvlJc w:val="righ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5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7"/>
  </w:num>
  <w:num w:numId="8">
    <w:abstractNumId w:val="13"/>
  </w:num>
  <w:num w:numId="9">
    <w:abstractNumId w:val="15"/>
  </w:num>
  <w:num w:numId="10">
    <w:abstractNumId w:val="12"/>
  </w:num>
  <w:num w:numId="11">
    <w:abstractNumId w:val="4"/>
  </w:num>
  <w:num w:numId="12">
    <w:abstractNumId w:val="11"/>
  </w:num>
  <w:num w:numId="13">
    <w:abstractNumId w:val="3"/>
  </w:num>
  <w:num w:numId="14">
    <w:abstractNumId w:val="7"/>
  </w:num>
  <w:num w:numId="15">
    <w:abstractNumId w:val="16"/>
  </w:num>
  <w:num w:numId="16">
    <w:abstractNumId w:val="9"/>
  </w:num>
  <w:num w:numId="17">
    <w:abstractNumId w:val="1"/>
  </w:num>
  <w:num w:numId="18">
    <w:abstractNumId w:val="0"/>
  </w:num>
  <w:num w:numId="19">
    <w:abstractNumId w:val="20"/>
  </w:num>
  <w:num w:numId="20">
    <w:abstractNumId w:val="19"/>
  </w:num>
  <w:num w:numId="21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895"/>
    <w:rsid w:val="00013947"/>
    <w:rsid w:val="0001456F"/>
    <w:rsid w:val="000148D7"/>
    <w:rsid w:val="00020CF7"/>
    <w:rsid w:val="00026C81"/>
    <w:rsid w:val="00033A92"/>
    <w:rsid w:val="00033E6B"/>
    <w:rsid w:val="00035A8A"/>
    <w:rsid w:val="00044C33"/>
    <w:rsid w:val="000479C1"/>
    <w:rsid w:val="0005148A"/>
    <w:rsid w:val="000520DC"/>
    <w:rsid w:val="000521D2"/>
    <w:rsid w:val="0006279D"/>
    <w:rsid w:val="000633DC"/>
    <w:rsid w:val="000707A4"/>
    <w:rsid w:val="000738C4"/>
    <w:rsid w:val="00082B31"/>
    <w:rsid w:val="00084075"/>
    <w:rsid w:val="0008519C"/>
    <w:rsid w:val="000853C4"/>
    <w:rsid w:val="00087235"/>
    <w:rsid w:val="00090068"/>
    <w:rsid w:val="00092005"/>
    <w:rsid w:val="00095E1B"/>
    <w:rsid w:val="00097762"/>
    <w:rsid w:val="00097EC2"/>
    <w:rsid w:val="000C395A"/>
    <w:rsid w:val="000D5408"/>
    <w:rsid w:val="000E5925"/>
    <w:rsid w:val="000E6979"/>
    <w:rsid w:val="000F03C4"/>
    <w:rsid w:val="000F2DEC"/>
    <w:rsid w:val="000F6224"/>
    <w:rsid w:val="000F727D"/>
    <w:rsid w:val="00100313"/>
    <w:rsid w:val="0010465A"/>
    <w:rsid w:val="0010495C"/>
    <w:rsid w:val="00105215"/>
    <w:rsid w:val="00111BF2"/>
    <w:rsid w:val="00127A96"/>
    <w:rsid w:val="00141C61"/>
    <w:rsid w:val="00141D77"/>
    <w:rsid w:val="00141F57"/>
    <w:rsid w:val="00146D87"/>
    <w:rsid w:val="001517C6"/>
    <w:rsid w:val="00155C37"/>
    <w:rsid w:val="00161018"/>
    <w:rsid w:val="00161CE0"/>
    <w:rsid w:val="00162266"/>
    <w:rsid w:val="0016458E"/>
    <w:rsid w:val="00165E72"/>
    <w:rsid w:val="00174BC5"/>
    <w:rsid w:val="0017591E"/>
    <w:rsid w:val="00176AB7"/>
    <w:rsid w:val="00176C3E"/>
    <w:rsid w:val="00186A1A"/>
    <w:rsid w:val="00193757"/>
    <w:rsid w:val="001A0AF2"/>
    <w:rsid w:val="001A403E"/>
    <w:rsid w:val="001A71EE"/>
    <w:rsid w:val="001B0DE9"/>
    <w:rsid w:val="001B54D3"/>
    <w:rsid w:val="001B78D4"/>
    <w:rsid w:val="001C609A"/>
    <w:rsid w:val="001D0B6E"/>
    <w:rsid w:val="001E18A0"/>
    <w:rsid w:val="001E3736"/>
    <w:rsid w:val="001E45E1"/>
    <w:rsid w:val="001E5492"/>
    <w:rsid w:val="001F640F"/>
    <w:rsid w:val="00203F13"/>
    <w:rsid w:val="00204AEC"/>
    <w:rsid w:val="00210030"/>
    <w:rsid w:val="0021259D"/>
    <w:rsid w:val="002173DB"/>
    <w:rsid w:val="002241F5"/>
    <w:rsid w:val="002268F2"/>
    <w:rsid w:val="002321E3"/>
    <w:rsid w:val="00232A05"/>
    <w:rsid w:val="00245EA5"/>
    <w:rsid w:val="00251AE9"/>
    <w:rsid w:val="002540DB"/>
    <w:rsid w:val="00254709"/>
    <w:rsid w:val="00257DAB"/>
    <w:rsid w:val="002600CA"/>
    <w:rsid w:val="00260E34"/>
    <w:rsid w:val="0026229B"/>
    <w:rsid w:val="00262D22"/>
    <w:rsid w:val="00266C79"/>
    <w:rsid w:val="00266F14"/>
    <w:rsid w:val="00267F28"/>
    <w:rsid w:val="00277FE0"/>
    <w:rsid w:val="00281382"/>
    <w:rsid w:val="00281DAB"/>
    <w:rsid w:val="002826A4"/>
    <w:rsid w:val="002829B1"/>
    <w:rsid w:val="00284124"/>
    <w:rsid w:val="002842A0"/>
    <w:rsid w:val="00284DBD"/>
    <w:rsid w:val="00290B2A"/>
    <w:rsid w:val="0029347D"/>
    <w:rsid w:val="00294244"/>
    <w:rsid w:val="002A52D9"/>
    <w:rsid w:val="002A7185"/>
    <w:rsid w:val="002B33A2"/>
    <w:rsid w:val="002B57B7"/>
    <w:rsid w:val="002B64C2"/>
    <w:rsid w:val="002C1A28"/>
    <w:rsid w:val="002C6DDD"/>
    <w:rsid w:val="002D2629"/>
    <w:rsid w:val="002D353C"/>
    <w:rsid w:val="002D4054"/>
    <w:rsid w:val="002D58F3"/>
    <w:rsid w:val="002E201C"/>
    <w:rsid w:val="002E2D43"/>
    <w:rsid w:val="002E35A3"/>
    <w:rsid w:val="002E6064"/>
    <w:rsid w:val="002F756A"/>
    <w:rsid w:val="003071A4"/>
    <w:rsid w:val="003128E8"/>
    <w:rsid w:val="00313384"/>
    <w:rsid w:val="00314796"/>
    <w:rsid w:val="003276C9"/>
    <w:rsid w:val="00330767"/>
    <w:rsid w:val="003368B6"/>
    <w:rsid w:val="00341CDB"/>
    <w:rsid w:val="003422FF"/>
    <w:rsid w:val="00343F91"/>
    <w:rsid w:val="00344C43"/>
    <w:rsid w:val="00344D20"/>
    <w:rsid w:val="0034754E"/>
    <w:rsid w:val="00350F58"/>
    <w:rsid w:val="003555A9"/>
    <w:rsid w:val="00357EAE"/>
    <w:rsid w:val="0036041E"/>
    <w:rsid w:val="00360A41"/>
    <w:rsid w:val="00362D73"/>
    <w:rsid w:val="00365694"/>
    <w:rsid w:val="003678EF"/>
    <w:rsid w:val="003706C6"/>
    <w:rsid w:val="00372BCE"/>
    <w:rsid w:val="00372EBC"/>
    <w:rsid w:val="003741F7"/>
    <w:rsid w:val="00374C09"/>
    <w:rsid w:val="00374FF4"/>
    <w:rsid w:val="00380D6E"/>
    <w:rsid w:val="00383A5B"/>
    <w:rsid w:val="00384769"/>
    <w:rsid w:val="00385059"/>
    <w:rsid w:val="003854F3"/>
    <w:rsid w:val="00392828"/>
    <w:rsid w:val="00392C24"/>
    <w:rsid w:val="0039522C"/>
    <w:rsid w:val="0039555E"/>
    <w:rsid w:val="00395DD2"/>
    <w:rsid w:val="003A2F39"/>
    <w:rsid w:val="003B0004"/>
    <w:rsid w:val="003B255A"/>
    <w:rsid w:val="003B75F9"/>
    <w:rsid w:val="003C2E9E"/>
    <w:rsid w:val="003C67D1"/>
    <w:rsid w:val="003D73F4"/>
    <w:rsid w:val="003E0D0B"/>
    <w:rsid w:val="003F16F8"/>
    <w:rsid w:val="003F1E17"/>
    <w:rsid w:val="003F20B6"/>
    <w:rsid w:val="003F457C"/>
    <w:rsid w:val="003F4C0A"/>
    <w:rsid w:val="004029C5"/>
    <w:rsid w:val="00406A61"/>
    <w:rsid w:val="00410FD6"/>
    <w:rsid w:val="0041255B"/>
    <w:rsid w:val="004150BF"/>
    <w:rsid w:val="00416107"/>
    <w:rsid w:val="0042237B"/>
    <w:rsid w:val="00424547"/>
    <w:rsid w:val="004279AF"/>
    <w:rsid w:val="0043007E"/>
    <w:rsid w:val="00430B37"/>
    <w:rsid w:val="00435F33"/>
    <w:rsid w:val="004365D8"/>
    <w:rsid w:val="00437590"/>
    <w:rsid w:val="00446FAC"/>
    <w:rsid w:val="00462FAE"/>
    <w:rsid w:val="00464C33"/>
    <w:rsid w:val="00466CB4"/>
    <w:rsid w:val="004723AF"/>
    <w:rsid w:val="00475ACA"/>
    <w:rsid w:val="004776A7"/>
    <w:rsid w:val="00477AA5"/>
    <w:rsid w:val="004853DC"/>
    <w:rsid w:val="00491A08"/>
    <w:rsid w:val="00493608"/>
    <w:rsid w:val="0049460D"/>
    <w:rsid w:val="00496BAF"/>
    <w:rsid w:val="004A012E"/>
    <w:rsid w:val="004A2A84"/>
    <w:rsid w:val="004A4B91"/>
    <w:rsid w:val="004A71A6"/>
    <w:rsid w:val="004C0C5F"/>
    <w:rsid w:val="004C1CD0"/>
    <w:rsid w:val="004C386E"/>
    <w:rsid w:val="004D2586"/>
    <w:rsid w:val="004D380F"/>
    <w:rsid w:val="004E31B6"/>
    <w:rsid w:val="004E6BDC"/>
    <w:rsid w:val="004F0D2A"/>
    <w:rsid w:val="004F44A3"/>
    <w:rsid w:val="004F64E8"/>
    <w:rsid w:val="00506988"/>
    <w:rsid w:val="00510702"/>
    <w:rsid w:val="00512042"/>
    <w:rsid w:val="00526CBA"/>
    <w:rsid w:val="00530732"/>
    <w:rsid w:val="00530C92"/>
    <w:rsid w:val="0053298D"/>
    <w:rsid w:val="005337BC"/>
    <w:rsid w:val="005362CB"/>
    <w:rsid w:val="00536B60"/>
    <w:rsid w:val="005425DE"/>
    <w:rsid w:val="005474A7"/>
    <w:rsid w:val="005500BC"/>
    <w:rsid w:val="005511DF"/>
    <w:rsid w:val="00554242"/>
    <w:rsid w:val="00555276"/>
    <w:rsid w:val="00557A2C"/>
    <w:rsid w:val="005649E0"/>
    <w:rsid w:val="00566E45"/>
    <w:rsid w:val="00567109"/>
    <w:rsid w:val="00580946"/>
    <w:rsid w:val="00581B39"/>
    <w:rsid w:val="005834A1"/>
    <w:rsid w:val="00590779"/>
    <w:rsid w:val="00595133"/>
    <w:rsid w:val="005965F9"/>
    <w:rsid w:val="005B3FBA"/>
    <w:rsid w:val="005B46D9"/>
    <w:rsid w:val="005B52AE"/>
    <w:rsid w:val="005B70A6"/>
    <w:rsid w:val="005C069B"/>
    <w:rsid w:val="005C259F"/>
    <w:rsid w:val="005D0181"/>
    <w:rsid w:val="005D07CF"/>
    <w:rsid w:val="005D0C46"/>
    <w:rsid w:val="005D216B"/>
    <w:rsid w:val="005E536E"/>
    <w:rsid w:val="005F057C"/>
    <w:rsid w:val="005F188E"/>
    <w:rsid w:val="005F3EFA"/>
    <w:rsid w:val="005F5DBA"/>
    <w:rsid w:val="005F6266"/>
    <w:rsid w:val="006137AD"/>
    <w:rsid w:val="00614CB1"/>
    <w:rsid w:val="00621169"/>
    <w:rsid w:val="00623E60"/>
    <w:rsid w:val="00652FA5"/>
    <w:rsid w:val="00655D6F"/>
    <w:rsid w:val="0065633D"/>
    <w:rsid w:val="00661665"/>
    <w:rsid w:val="00662446"/>
    <w:rsid w:val="00664244"/>
    <w:rsid w:val="00664378"/>
    <w:rsid w:val="006667E0"/>
    <w:rsid w:val="00670084"/>
    <w:rsid w:val="00672805"/>
    <w:rsid w:val="00674566"/>
    <w:rsid w:val="00675736"/>
    <w:rsid w:val="006758D6"/>
    <w:rsid w:val="00677C9A"/>
    <w:rsid w:val="006801A2"/>
    <w:rsid w:val="006826B5"/>
    <w:rsid w:val="00691C8B"/>
    <w:rsid w:val="00692A80"/>
    <w:rsid w:val="006953EC"/>
    <w:rsid w:val="006961DE"/>
    <w:rsid w:val="006A3AE4"/>
    <w:rsid w:val="006A7C83"/>
    <w:rsid w:val="006B427E"/>
    <w:rsid w:val="006B7323"/>
    <w:rsid w:val="006B79B1"/>
    <w:rsid w:val="006C06E9"/>
    <w:rsid w:val="006C3115"/>
    <w:rsid w:val="006C5042"/>
    <w:rsid w:val="006C67CE"/>
    <w:rsid w:val="006D0589"/>
    <w:rsid w:val="006D33E5"/>
    <w:rsid w:val="006D4BB9"/>
    <w:rsid w:val="006E0955"/>
    <w:rsid w:val="006E2C84"/>
    <w:rsid w:val="006E3DE8"/>
    <w:rsid w:val="006E451F"/>
    <w:rsid w:val="006E72D5"/>
    <w:rsid w:val="006F1CE1"/>
    <w:rsid w:val="007001BE"/>
    <w:rsid w:val="0070454F"/>
    <w:rsid w:val="00705138"/>
    <w:rsid w:val="007122E4"/>
    <w:rsid w:val="00723C1C"/>
    <w:rsid w:val="00724765"/>
    <w:rsid w:val="00726217"/>
    <w:rsid w:val="007311F2"/>
    <w:rsid w:val="00733DD2"/>
    <w:rsid w:val="007373DB"/>
    <w:rsid w:val="007416C8"/>
    <w:rsid w:val="00743990"/>
    <w:rsid w:val="00744A26"/>
    <w:rsid w:val="00753545"/>
    <w:rsid w:val="0076679D"/>
    <w:rsid w:val="00767217"/>
    <w:rsid w:val="00782240"/>
    <w:rsid w:val="00782314"/>
    <w:rsid w:val="007837D9"/>
    <w:rsid w:val="00786419"/>
    <w:rsid w:val="00791330"/>
    <w:rsid w:val="00794428"/>
    <w:rsid w:val="007A2F47"/>
    <w:rsid w:val="007A4E1D"/>
    <w:rsid w:val="007A76E2"/>
    <w:rsid w:val="007C272D"/>
    <w:rsid w:val="007C7EF2"/>
    <w:rsid w:val="007D4C42"/>
    <w:rsid w:val="007E6865"/>
    <w:rsid w:val="007F26A9"/>
    <w:rsid w:val="007F52D6"/>
    <w:rsid w:val="008018F9"/>
    <w:rsid w:val="00802627"/>
    <w:rsid w:val="0080451D"/>
    <w:rsid w:val="00807B11"/>
    <w:rsid w:val="00825AF0"/>
    <w:rsid w:val="00830B89"/>
    <w:rsid w:val="00831355"/>
    <w:rsid w:val="00837967"/>
    <w:rsid w:val="00851E2D"/>
    <w:rsid w:val="00855B0B"/>
    <w:rsid w:val="00855D8D"/>
    <w:rsid w:val="00861E71"/>
    <w:rsid w:val="00863079"/>
    <w:rsid w:val="008651BC"/>
    <w:rsid w:val="008672BF"/>
    <w:rsid w:val="00867D95"/>
    <w:rsid w:val="00873A26"/>
    <w:rsid w:val="0088066D"/>
    <w:rsid w:val="00883115"/>
    <w:rsid w:val="00885B93"/>
    <w:rsid w:val="00887907"/>
    <w:rsid w:val="00896BC0"/>
    <w:rsid w:val="008A039C"/>
    <w:rsid w:val="008A63CB"/>
    <w:rsid w:val="008B043E"/>
    <w:rsid w:val="008B30E1"/>
    <w:rsid w:val="008B53DF"/>
    <w:rsid w:val="008C36D9"/>
    <w:rsid w:val="008C4CD8"/>
    <w:rsid w:val="008C5F42"/>
    <w:rsid w:val="008C6A55"/>
    <w:rsid w:val="008D1499"/>
    <w:rsid w:val="008D2B09"/>
    <w:rsid w:val="008D4D9D"/>
    <w:rsid w:val="008D4F81"/>
    <w:rsid w:val="008D531C"/>
    <w:rsid w:val="008E0C24"/>
    <w:rsid w:val="008E34B3"/>
    <w:rsid w:val="008E632F"/>
    <w:rsid w:val="008F0A96"/>
    <w:rsid w:val="008F18A7"/>
    <w:rsid w:val="008F36BB"/>
    <w:rsid w:val="00913902"/>
    <w:rsid w:val="009175A3"/>
    <w:rsid w:val="00917E54"/>
    <w:rsid w:val="00923AFC"/>
    <w:rsid w:val="00924319"/>
    <w:rsid w:val="009244F6"/>
    <w:rsid w:val="0092483F"/>
    <w:rsid w:val="00926C31"/>
    <w:rsid w:val="0092758F"/>
    <w:rsid w:val="009341CB"/>
    <w:rsid w:val="00934ECB"/>
    <w:rsid w:val="0093731C"/>
    <w:rsid w:val="00941FC2"/>
    <w:rsid w:val="00947D04"/>
    <w:rsid w:val="0095332E"/>
    <w:rsid w:val="009578CD"/>
    <w:rsid w:val="00971C1D"/>
    <w:rsid w:val="0097710A"/>
    <w:rsid w:val="009862F4"/>
    <w:rsid w:val="00992210"/>
    <w:rsid w:val="00994544"/>
    <w:rsid w:val="00995C14"/>
    <w:rsid w:val="009A2095"/>
    <w:rsid w:val="009A54F3"/>
    <w:rsid w:val="009A79C6"/>
    <w:rsid w:val="009B2430"/>
    <w:rsid w:val="009D2293"/>
    <w:rsid w:val="009D4321"/>
    <w:rsid w:val="009D571A"/>
    <w:rsid w:val="009D58E3"/>
    <w:rsid w:val="009D78AD"/>
    <w:rsid w:val="009E1084"/>
    <w:rsid w:val="009E3A7F"/>
    <w:rsid w:val="009F31EA"/>
    <w:rsid w:val="00A00DD9"/>
    <w:rsid w:val="00A01CCD"/>
    <w:rsid w:val="00A02754"/>
    <w:rsid w:val="00A0333E"/>
    <w:rsid w:val="00A060A8"/>
    <w:rsid w:val="00A06A91"/>
    <w:rsid w:val="00A07886"/>
    <w:rsid w:val="00A1355F"/>
    <w:rsid w:val="00A17897"/>
    <w:rsid w:val="00A223B7"/>
    <w:rsid w:val="00A27B43"/>
    <w:rsid w:val="00A3094E"/>
    <w:rsid w:val="00A32FE0"/>
    <w:rsid w:val="00A3455F"/>
    <w:rsid w:val="00A3691C"/>
    <w:rsid w:val="00A36B8E"/>
    <w:rsid w:val="00A40F1C"/>
    <w:rsid w:val="00A46A39"/>
    <w:rsid w:val="00A528B6"/>
    <w:rsid w:val="00A55286"/>
    <w:rsid w:val="00A55FB7"/>
    <w:rsid w:val="00A5710B"/>
    <w:rsid w:val="00A5747E"/>
    <w:rsid w:val="00A60500"/>
    <w:rsid w:val="00A63714"/>
    <w:rsid w:val="00A63BB3"/>
    <w:rsid w:val="00A65054"/>
    <w:rsid w:val="00A72DF8"/>
    <w:rsid w:val="00A763E8"/>
    <w:rsid w:val="00A8431F"/>
    <w:rsid w:val="00A86563"/>
    <w:rsid w:val="00A87FA9"/>
    <w:rsid w:val="00A94797"/>
    <w:rsid w:val="00A968D8"/>
    <w:rsid w:val="00A96946"/>
    <w:rsid w:val="00AA2B01"/>
    <w:rsid w:val="00AA5567"/>
    <w:rsid w:val="00AB10FF"/>
    <w:rsid w:val="00AB5E47"/>
    <w:rsid w:val="00AC3516"/>
    <w:rsid w:val="00AC7E5F"/>
    <w:rsid w:val="00AD5735"/>
    <w:rsid w:val="00AE12E6"/>
    <w:rsid w:val="00AE2F1C"/>
    <w:rsid w:val="00AE5503"/>
    <w:rsid w:val="00AE5807"/>
    <w:rsid w:val="00AE5DFE"/>
    <w:rsid w:val="00AE6953"/>
    <w:rsid w:val="00AF5ED8"/>
    <w:rsid w:val="00AF6466"/>
    <w:rsid w:val="00B056FD"/>
    <w:rsid w:val="00B108AD"/>
    <w:rsid w:val="00B11C1B"/>
    <w:rsid w:val="00B1296F"/>
    <w:rsid w:val="00B141FF"/>
    <w:rsid w:val="00B22DC7"/>
    <w:rsid w:val="00B237C4"/>
    <w:rsid w:val="00B254AE"/>
    <w:rsid w:val="00B26112"/>
    <w:rsid w:val="00B31384"/>
    <w:rsid w:val="00B313B3"/>
    <w:rsid w:val="00B3358F"/>
    <w:rsid w:val="00B350CC"/>
    <w:rsid w:val="00B35873"/>
    <w:rsid w:val="00B42AEA"/>
    <w:rsid w:val="00B5233C"/>
    <w:rsid w:val="00B54BC2"/>
    <w:rsid w:val="00B5634C"/>
    <w:rsid w:val="00B56353"/>
    <w:rsid w:val="00B618BE"/>
    <w:rsid w:val="00B65871"/>
    <w:rsid w:val="00B702EB"/>
    <w:rsid w:val="00B774E1"/>
    <w:rsid w:val="00B81A03"/>
    <w:rsid w:val="00B845B4"/>
    <w:rsid w:val="00B916CF"/>
    <w:rsid w:val="00B977E4"/>
    <w:rsid w:val="00BA4D03"/>
    <w:rsid w:val="00BB03DE"/>
    <w:rsid w:val="00BB2DFB"/>
    <w:rsid w:val="00BB3209"/>
    <w:rsid w:val="00BB5A79"/>
    <w:rsid w:val="00BB5CF4"/>
    <w:rsid w:val="00BC01CA"/>
    <w:rsid w:val="00BC3947"/>
    <w:rsid w:val="00BC59FD"/>
    <w:rsid w:val="00BC62E8"/>
    <w:rsid w:val="00BD304F"/>
    <w:rsid w:val="00BE393D"/>
    <w:rsid w:val="00BF19A4"/>
    <w:rsid w:val="00BF5200"/>
    <w:rsid w:val="00BF5263"/>
    <w:rsid w:val="00BF763F"/>
    <w:rsid w:val="00C00239"/>
    <w:rsid w:val="00C0034F"/>
    <w:rsid w:val="00C04488"/>
    <w:rsid w:val="00C11790"/>
    <w:rsid w:val="00C12307"/>
    <w:rsid w:val="00C201D2"/>
    <w:rsid w:val="00C27941"/>
    <w:rsid w:val="00C31874"/>
    <w:rsid w:val="00C427B5"/>
    <w:rsid w:val="00C45381"/>
    <w:rsid w:val="00C50595"/>
    <w:rsid w:val="00C65D10"/>
    <w:rsid w:val="00C662E0"/>
    <w:rsid w:val="00C748E6"/>
    <w:rsid w:val="00C80C17"/>
    <w:rsid w:val="00C862F4"/>
    <w:rsid w:val="00C91056"/>
    <w:rsid w:val="00C91838"/>
    <w:rsid w:val="00C93769"/>
    <w:rsid w:val="00CA4282"/>
    <w:rsid w:val="00CB408D"/>
    <w:rsid w:val="00CB550A"/>
    <w:rsid w:val="00CC3F70"/>
    <w:rsid w:val="00CC75D0"/>
    <w:rsid w:val="00CD3283"/>
    <w:rsid w:val="00CE115A"/>
    <w:rsid w:val="00CE23A0"/>
    <w:rsid w:val="00CE69A0"/>
    <w:rsid w:val="00CE6E09"/>
    <w:rsid w:val="00CF3099"/>
    <w:rsid w:val="00CF3802"/>
    <w:rsid w:val="00CF40EF"/>
    <w:rsid w:val="00CF6570"/>
    <w:rsid w:val="00D045CC"/>
    <w:rsid w:val="00D05529"/>
    <w:rsid w:val="00D06027"/>
    <w:rsid w:val="00D15FBD"/>
    <w:rsid w:val="00D17574"/>
    <w:rsid w:val="00D20C08"/>
    <w:rsid w:val="00D25FEE"/>
    <w:rsid w:val="00D26050"/>
    <w:rsid w:val="00D323CC"/>
    <w:rsid w:val="00D35976"/>
    <w:rsid w:val="00D359C7"/>
    <w:rsid w:val="00D4014A"/>
    <w:rsid w:val="00D43953"/>
    <w:rsid w:val="00D450AE"/>
    <w:rsid w:val="00D46D10"/>
    <w:rsid w:val="00D46DCB"/>
    <w:rsid w:val="00D50179"/>
    <w:rsid w:val="00D5100D"/>
    <w:rsid w:val="00D510E7"/>
    <w:rsid w:val="00D52E3E"/>
    <w:rsid w:val="00D53013"/>
    <w:rsid w:val="00D5350D"/>
    <w:rsid w:val="00D5525F"/>
    <w:rsid w:val="00D64ABB"/>
    <w:rsid w:val="00D70168"/>
    <w:rsid w:val="00D70C29"/>
    <w:rsid w:val="00D734CE"/>
    <w:rsid w:val="00D94157"/>
    <w:rsid w:val="00D955AF"/>
    <w:rsid w:val="00D95681"/>
    <w:rsid w:val="00D97397"/>
    <w:rsid w:val="00DB00FD"/>
    <w:rsid w:val="00DB3392"/>
    <w:rsid w:val="00DB5E1A"/>
    <w:rsid w:val="00DC2D03"/>
    <w:rsid w:val="00DC5047"/>
    <w:rsid w:val="00DC548B"/>
    <w:rsid w:val="00DC6AFF"/>
    <w:rsid w:val="00DD0020"/>
    <w:rsid w:val="00DD27B0"/>
    <w:rsid w:val="00DD3E8A"/>
    <w:rsid w:val="00DE7FB2"/>
    <w:rsid w:val="00DF15CD"/>
    <w:rsid w:val="00DF2566"/>
    <w:rsid w:val="00DF3A78"/>
    <w:rsid w:val="00E1379A"/>
    <w:rsid w:val="00E139EF"/>
    <w:rsid w:val="00E15048"/>
    <w:rsid w:val="00E20A0A"/>
    <w:rsid w:val="00E23629"/>
    <w:rsid w:val="00E23737"/>
    <w:rsid w:val="00E30D37"/>
    <w:rsid w:val="00E31801"/>
    <w:rsid w:val="00E32591"/>
    <w:rsid w:val="00E40501"/>
    <w:rsid w:val="00E428DF"/>
    <w:rsid w:val="00E5562C"/>
    <w:rsid w:val="00E64FA2"/>
    <w:rsid w:val="00E665FE"/>
    <w:rsid w:val="00E72FB1"/>
    <w:rsid w:val="00E73002"/>
    <w:rsid w:val="00E73CA0"/>
    <w:rsid w:val="00E743F1"/>
    <w:rsid w:val="00E748B3"/>
    <w:rsid w:val="00E75DED"/>
    <w:rsid w:val="00E80279"/>
    <w:rsid w:val="00E848B2"/>
    <w:rsid w:val="00E86143"/>
    <w:rsid w:val="00E90769"/>
    <w:rsid w:val="00E93360"/>
    <w:rsid w:val="00E94667"/>
    <w:rsid w:val="00E97CE5"/>
    <w:rsid w:val="00EA0EDF"/>
    <w:rsid w:val="00EA54CA"/>
    <w:rsid w:val="00EB24DE"/>
    <w:rsid w:val="00EB263F"/>
    <w:rsid w:val="00EB3A4B"/>
    <w:rsid w:val="00EC2EA8"/>
    <w:rsid w:val="00EC75AE"/>
    <w:rsid w:val="00ED10BB"/>
    <w:rsid w:val="00ED4499"/>
    <w:rsid w:val="00EE0273"/>
    <w:rsid w:val="00EE058A"/>
    <w:rsid w:val="00EE0922"/>
    <w:rsid w:val="00EE1011"/>
    <w:rsid w:val="00EF0285"/>
    <w:rsid w:val="00EF42A8"/>
    <w:rsid w:val="00EF52C7"/>
    <w:rsid w:val="00F01CC9"/>
    <w:rsid w:val="00F05115"/>
    <w:rsid w:val="00F12318"/>
    <w:rsid w:val="00F14253"/>
    <w:rsid w:val="00F16211"/>
    <w:rsid w:val="00F20503"/>
    <w:rsid w:val="00F21429"/>
    <w:rsid w:val="00F22F8F"/>
    <w:rsid w:val="00F232E1"/>
    <w:rsid w:val="00F23541"/>
    <w:rsid w:val="00F2632B"/>
    <w:rsid w:val="00F30BDD"/>
    <w:rsid w:val="00F31735"/>
    <w:rsid w:val="00F40EE9"/>
    <w:rsid w:val="00F447F9"/>
    <w:rsid w:val="00F46F4D"/>
    <w:rsid w:val="00F47370"/>
    <w:rsid w:val="00F504FE"/>
    <w:rsid w:val="00F521E0"/>
    <w:rsid w:val="00F52F2F"/>
    <w:rsid w:val="00F54054"/>
    <w:rsid w:val="00F55069"/>
    <w:rsid w:val="00F565CD"/>
    <w:rsid w:val="00F56CBB"/>
    <w:rsid w:val="00F57E2B"/>
    <w:rsid w:val="00F645D5"/>
    <w:rsid w:val="00F73975"/>
    <w:rsid w:val="00F7505E"/>
    <w:rsid w:val="00F76A07"/>
    <w:rsid w:val="00F81045"/>
    <w:rsid w:val="00F91278"/>
    <w:rsid w:val="00F91423"/>
    <w:rsid w:val="00F95DD0"/>
    <w:rsid w:val="00FA1895"/>
    <w:rsid w:val="00FA22D5"/>
    <w:rsid w:val="00FA2698"/>
    <w:rsid w:val="00FB13DC"/>
    <w:rsid w:val="00FB387E"/>
    <w:rsid w:val="00FB7778"/>
    <w:rsid w:val="00FC0986"/>
    <w:rsid w:val="00FC1383"/>
    <w:rsid w:val="00FC40CA"/>
    <w:rsid w:val="00FD0195"/>
    <w:rsid w:val="00FD3C8E"/>
    <w:rsid w:val="00FF12DC"/>
    <w:rsid w:val="00F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EB672C-77C1-44B5-B726-3569ACC9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AB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76AB7"/>
    <w:pPr>
      <w:keepNext/>
      <w:jc w:val="center"/>
      <w:outlineLvl w:val="0"/>
    </w:pPr>
    <w:rPr>
      <w:rFonts w:eastAsia="Arial Unicode MS"/>
      <w:b/>
      <w:sz w:val="20"/>
      <w:szCs w:val="20"/>
    </w:rPr>
  </w:style>
  <w:style w:type="paragraph" w:styleId="Nagwek2">
    <w:name w:val="heading 2"/>
    <w:basedOn w:val="Normalny"/>
    <w:next w:val="Normalny"/>
    <w:qFormat/>
    <w:rsid w:val="00176AB7"/>
    <w:pPr>
      <w:keepNext/>
      <w:ind w:firstLine="426"/>
      <w:outlineLvl w:val="1"/>
    </w:pPr>
    <w:rPr>
      <w:rFonts w:eastAsia="Arial Unicode MS"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76AB7"/>
    <w:pPr>
      <w:ind w:firstLine="426"/>
    </w:pPr>
    <w:rPr>
      <w:sz w:val="20"/>
      <w:szCs w:val="20"/>
    </w:rPr>
  </w:style>
  <w:style w:type="paragraph" w:styleId="Tekstpodstawowy2">
    <w:name w:val="Body Text 2"/>
    <w:basedOn w:val="Normalny"/>
    <w:rsid w:val="00176AB7"/>
    <w:pPr>
      <w:widowControl w:val="0"/>
      <w:tabs>
        <w:tab w:val="left" w:pos="231"/>
      </w:tabs>
      <w:autoSpaceDE w:val="0"/>
      <w:autoSpaceDN w:val="0"/>
      <w:adjustRightInd w:val="0"/>
      <w:spacing w:before="107"/>
      <w:jc w:val="both"/>
    </w:pPr>
    <w:rPr>
      <w:color w:val="000000"/>
      <w:szCs w:val="18"/>
    </w:rPr>
  </w:style>
  <w:style w:type="paragraph" w:styleId="Tekstpodstawowy">
    <w:name w:val="Body Text"/>
    <w:basedOn w:val="Normalny"/>
    <w:link w:val="TekstpodstawowyZnak"/>
    <w:rsid w:val="00B916CF"/>
    <w:pPr>
      <w:spacing w:after="120"/>
    </w:pPr>
  </w:style>
  <w:style w:type="paragraph" w:styleId="Stopka">
    <w:name w:val="footer"/>
    <w:basedOn w:val="Normalny"/>
    <w:rsid w:val="009A79C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A79C6"/>
  </w:style>
  <w:style w:type="paragraph" w:styleId="Zwykytekst">
    <w:name w:val="Plain Text"/>
    <w:basedOn w:val="Normalny"/>
    <w:rsid w:val="0010495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napToGrid w:val="0"/>
      <w:sz w:val="20"/>
      <w:szCs w:val="20"/>
      <w:lang w:val="en-GB"/>
    </w:rPr>
  </w:style>
  <w:style w:type="character" w:customStyle="1" w:styleId="akapitdomyslny">
    <w:name w:val="akapitdomyslny"/>
    <w:basedOn w:val="Domylnaczcionkaakapitu"/>
    <w:rsid w:val="00186A1A"/>
  </w:style>
  <w:style w:type="paragraph" w:styleId="Tekstdymka">
    <w:name w:val="Balloon Text"/>
    <w:basedOn w:val="Normalny"/>
    <w:link w:val="TekstdymkaZnak"/>
    <w:rsid w:val="002622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622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C0034F"/>
    <w:pPr>
      <w:ind w:left="720"/>
      <w:contextualSpacing/>
    </w:pPr>
  </w:style>
  <w:style w:type="paragraph" w:styleId="Nagwek">
    <w:name w:val="header"/>
    <w:basedOn w:val="Normalny"/>
    <w:link w:val="NagwekZnak"/>
    <w:rsid w:val="00496B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6BAF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97762"/>
  </w:style>
  <w:style w:type="character" w:customStyle="1" w:styleId="TekstpodstawowyZnak">
    <w:name w:val="Tekst podstawowy Znak"/>
    <w:basedOn w:val="Domylnaczcionkaakapitu"/>
    <w:link w:val="Tekstpodstawowy"/>
    <w:rsid w:val="00C201D2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E31B6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4E3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3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99F6F-B042-4D44-B6E9-B5B9A2E05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2309</Words>
  <Characters>13857</Characters>
  <Application>Microsoft Office Word</Application>
  <DocSecurity>0</DocSecurity>
  <Lines>115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Labak-Klimasara, Marzena</dc:creator>
  <cp:lastModifiedBy>Bonek Przemysław</cp:lastModifiedBy>
  <cp:revision>3</cp:revision>
  <cp:lastPrinted>2016-09-14T07:58:00Z</cp:lastPrinted>
  <dcterms:created xsi:type="dcterms:W3CDTF">2018-08-21T14:40:00Z</dcterms:created>
  <dcterms:modified xsi:type="dcterms:W3CDTF">2018-08-21T14:41:00Z</dcterms:modified>
</cp:coreProperties>
</file>