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9276C" w:rsidRDefault="00B9276C" w:rsidP="0024594C">
      <w:pPr>
        <w:widowControl w:val="0"/>
        <w:suppressAutoHyphens/>
        <w:ind w:left="0" w:firstLine="0"/>
        <w:rPr>
          <w:rStyle w:val="TekstdymkaZnak"/>
          <w:rFonts w:ascii="Times New Roman" w:eastAsiaTheme="minorHAnsi" w:hAnsi="Times New Roman" w:cs="Times New Roman"/>
          <w:color w:val="000000" w:themeColor="text1"/>
          <w:sz w:val="24"/>
          <w:szCs w:val="24"/>
        </w:rPr>
      </w:pPr>
      <w:bookmarkStart w:id="0" w:name="_Hlk65225146"/>
      <w:r w:rsidRPr="00E27D20">
        <w:rPr>
          <w:rStyle w:val="TekstdymkaZnak"/>
          <w:rFonts w:ascii="Times New Roman" w:eastAsiaTheme="minorHAnsi" w:hAnsi="Times New Roman" w:cs="Times New Roman"/>
          <w:b/>
          <w:color w:val="000000" w:themeColor="text1"/>
          <w:sz w:val="24"/>
          <w:szCs w:val="24"/>
        </w:rPr>
        <w:t>Ministerstwo Rodziny i Polityki Społecznej</w:t>
      </w:r>
      <w:r w:rsidRPr="00E27D20">
        <w:rPr>
          <w:rStyle w:val="TekstdymkaZnak"/>
          <w:rFonts w:ascii="Times New Roman" w:eastAsiaTheme="minorHAnsi" w:hAnsi="Times New Roman" w:cs="Times New Roman"/>
          <w:b/>
          <w:color w:val="000000" w:themeColor="text1"/>
          <w:sz w:val="24"/>
          <w:szCs w:val="24"/>
        </w:rPr>
        <w:tab/>
      </w:r>
      <w:r>
        <w:rPr>
          <w:rStyle w:val="TekstdymkaZnak"/>
          <w:rFonts w:ascii="Times New Roman" w:eastAsiaTheme="minorHAnsi" w:hAnsi="Times New Roman" w:cs="Times New Roman"/>
          <w:color w:val="000000" w:themeColor="text1"/>
          <w:sz w:val="24"/>
          <w:szCs w:val="24"/>
        </w:rPr>
        <w:tab/>
      </w:r>
      <w:r w:rsidR="00E27D20">
        <w:rPr>
          <w:rStyle w:val="TekstdymkaZnak"/>
          <w:rFonts w:ascii="Times New Roman" w:eastAsiaTheme="minorHAnsi" w:hAnsi="Times New Roman" w:cs="Times New Roman"/>
          <w:color w:val="000000" w:themeColor="text1"/>
          <w:sz w:val="24"/>
          <w:szCs w:val="24"/>
        </w:rPr>
        <w:tab/>
      </w:r>
      <w:r>
        <w:rPr>
          <w:rStyle w:val="TekstdymkaZnak"/>
          <w:rFonts w:ascii="Times New Roman" w:eastAsiaTheme="minorHAnsi" w:hAnsi="Times New Roman" w:cs="Times New Roman"/>
          <w:color w:val="000000" w:themeColor="text1"/>
          <w:sz w:val="24"/>
          <w:szCs w:val="24"/>
        </w:rPr>
        <w:tab/>
        <w:t>30 sierpnia 2021 r.</w:t>
      </w:r>
    </w:p>
    <w:p w:rsidR="00B9276C" w:rsidRDefault="00B9276C" w:rsidP="0024594C">
      <w:pPr>
        <w:widowControl w:val="0"/>
        <w:suppressAutoHyphens/>
        <w:ind w:left="0" w:firstLine="0"/>
        <w:rPr>
          <w:rStyle w:val="TekstdymkaZnak"/>
          <w:rFonts w:ascii="Times New Roman" w:eastAsiaTheme="minorHAnsi" w:hAnsi="Times New Roman" w:cs="Times New Roman"/>
          <w:color w:val="000000" w:themeColor="text1"/>
          <w:sz w:val="24"/>
          <w:szCs w:val="24"/>
        </w:rPr>
      </w:pPr>
    </w:p>
    <w:p w:rsidR="00C95A2B" w:rsidRPr="00FA09CC" w:rsidRDefault="00C95A2B" w:rsidP="0024594C">
      <w:pPr>
        <w:widowControl w:val="0"/>
        <w:suppressAutoHyphens/>
        <w:ind w:left="0" w:firstLine="0"/>
        <w:rPr>
          <w:rStyle w:val="jlqj4b"/>
          <w:color w:val="000000" w:themeColor="text1"/>
        </w:rPr>
      </w:pPr>
      <w:r w:rsidRPr="00FA09CC">
        <w:rPr>
          <w:rStyle w:val="TekstdymkaZnak"/>
          <w:rFonts w:ascii="Times New Roman" w:eastAsiaTheme="minorHAnsi" w:hAnsi="Times New Roman" w:cs="Times New Roman"/>
          <w:color w:val="000000" w:themeColor="text1"/>
          <w:sz w:val="24"/>
          <w:szCs w:val="24"/>
        </w:rPr>
        <w:t xml:space="preserve">W związku z zaproszeniem do </w:t>
      </w:r>
      <w:r w:rsidR="00731A89" w:rsidRPr="00FA09CC">
        <w:rPr>
          <w:rStyle w:val="TekstdymkaZnak"/>
          <w:rFonts w:ascii="Times New Roman" w:eastAsiaTheme="minorHAnsi" w:hAnsi="Times New Roman" w:cs="Times New Roman"/>
          <w:color w:val="000000" w:themeColor="text1"/>
          <w:sz w:val="24"/>
          <w:szCs w:val="24"/>
        </w:rPr>
        <w:t xml:space="preserve">złożenia </w:t>
      </w:r>
      <w:r w:rsidRPr="00FA09CC">
        <w:rPr>
          <w:rStyle w:val="TekstdymkaZnak"/>
          <w:rFonts w:ascii="Times New Roman" w:eastAsiaTheme="minorHAnsi" w:hAnsi="Times New Roman" w:cs="Times New Roman"/>
          <w:color w:val="000000" w:themeColor="text1"/>
          <w:sz w:val="24"/>
          <w:szCs w:val="24"/>
        </w:rPr>
        <w:t xml:space="preserve">uwag do </w:t>
      </w:r>
      <w:r w:rsidR="0079376F" w:rsidRPr="00FA09CC">
        <w:rPr>
          <w:rStyle w:val="jlqj4b"/>
          <w:color w:val="000000" w:themeColor="text1"/>
        </w:rPr>
        <w:t xml:space="preserve">sporządzonego przez </w:t>
      </w:r>
      <w:r w:rsidR="0079376F" w:rsidRPr="00FA09CC">
        <w:rPr>
          <w:color w:val="000000" w:themeColor="text1"/>
        </w:rPr>
        <w:t>Grupę Ekspertów do spraw Przeciwdziałania Przemocy wobec Kobiet i Przemocy Domowej (GREVIO)</w:t>
      </w:r>
      <w:r w:rsidR="0079376F" w:rsidRPr="00FA09CC">
        <w:rPr>
          <w:b/>
          <w:color w:val="000000" w:themeColor="text1"/>
        </w:rPr>
        <w:t xml:space="preserve"> </w:t>
      </w:r>
      <w:r w:rsidR="0079376F" w:rsidRPr="00FA09CC">
        <w:rPr>
          <w:rStyle w:val="jlqj4b"/>
          <w:color w:val="000000" w:themeColor="text1"/>
        </w:rPr>
        <w:t>raportu</w:t>
      </w:r>
      <w:r w:rsidR="0079376F" w:rsidRPr="00FA09CC">
        <w:rPr>
          <w:color w:val="000000" w:themeColor="text1"/>
        </w:rPr>
        <w:t xml:space="preserve"> dotyczącego wykonywania przez Polskę Konwencji o zapobieganiu i zwalczaniu przemocy wobec kobiet i przemocy domowej</w:t>
      </w:r>
      <w:r w:rsidRPr="00FA09CC">
        <w:rPr>
          <w:rStyle w:val="TekstdymkaZnak"/>
          <w:rFonts w:ascii="Times New Roman" w:eastAsiaTheme="minorHAnsi" w:hAnsi="Times New Roman" w:cs="Times New Roman"/>
          <w:color w:val="000000" w:themeColor="text1"/>
          <w:sz w:val="24"/>
          <w:szCs w:val="24"/>
        </w:rPr>
        <w:t xml:space="preserve"> przedstawia</w:t>
      </w:r>
      <w:r w:rsidR="0079376F" w:rsidRPr="00FA09CC">
        <w:rPr>
          <w:rStyle w:val="TekstdymkaZnak"/>
          <w:rFonts w:ascii="Times New Roman" w:eastAsiaTheme="minorHAnsi" w:hAnsi="Times New Roman" w:cs="Times New Roman"/>
          <w:color w:val="000000" w:themeColor="text1"/>
          <w:sz w:val="24"/>
          <w:szCs w:val="24"/>
        </w:rPr>
        <w:t xml:space="preserve"> się</w:t>
      </w:r>
      <w:r w:rsidRPr="00FA09CC">
        <w:rPr>
          <w:rStyle w:val="TekstdymkaZnak"/>
          <w:rFonts w:ascii="Times New Roman" w:eastAsiaTheme="minorHAnsi" w:hAnsi="Times New Roman" w:cs="Times New Roman"/>
          <w:color w:val="000000" w:themeColor="text1"/>
          <w:sz w:val="24"/>
          <w:szCs w:val="24"/>
        </w:rPr>
        <w:t>, co następuje</w:t>
      </w:r>
      <w:r w:rsidR="0005259D" w:rsidRPr="00FA09CC">
        <w:rPr>
          <w:rStyle w:val="TekstdymkaZnak"/>
          <w:rFonts w:ascii="Times New Roman" w:eastAsiaTheme="minorHAnsi" w:hAnsi="Times New Roman" w:cs="Times New Roman"/>
          <w:color w:val="000000" w:themeColor="text1"/>
          <w:sz w:val="24"/>
          <w:szCs w:val="24"/>
        </w:rPr>
        <w:t>:</w:t>
      </w:r>
    </w:p>
    <w:p w:rsidR="00F35938" w:rsidRPr="00FA09CC" w:rsidRDefault="00F35938" w:rsidP="0024594C">
      <w:pPr>
        <w:pStyle w:val="Adresodbiorcy"/>
        <w:widowControl w:val="0"/>
        <w:suppressAutoHyphens/>
        <w:spacing w:line="240" w:lineRule="auto"/>
        <w:rPr>
          <w:rStyle w:val="jlqj4b"/>
          <w:rFonts w:ascii="Times New Roman" w:hAnsi="Times New Roman"/>
          <w:color w:val="000000" w:themeColor="text1"/>
          <w:spacing w:val="0"/>
          <w:sz w:val="24"/>
          <w:szCs w:val="24"/>
        </w:rPr>
      </w:pPr>
    </w:p>
    <w:p w:rsidR="00E419AB" w:rsidRPr="00FA09CC" w:rsidRDefault="00E419AB" w:rsidP="0024594C">
      <w:pPr>
        <w:pStyle w:val="Adresodbiorcy"/>
        <w:widowControl w:val="0"/>
        <w:suppressAutoHyphens/>
        <w:spacing w:line="240" w:lineRule="auto"/>
        <w:rPr>
          <w:rStyle w:val="jlqj4b"/>
          <w:rFonts w:ascii="Times New Roman" w:hAnsi="Times New Roman"/>
          <w:b/>
          <w:smallCaps/>
          <w:color w:val="000000" w:themeColor="text1"/>
          <w:spacing w:val="0"/>
          <w:sz w:val="24"/>
          <w:szCs w:val="24"/>
        </w:rPr>
      </w:pPr>
      <w:r w:rsidRPr="00FA09CC">
        <w:rPr>
          <w:rStyle w:val="jlqj4b"/>
          <w:rFonts w:ascii="Times New Roman" w:hAnsi="Times New Roman"/>
          <w:b/>
          <w:smallCaps/>
          <w:color w:val="000000" w:themeColor="text1"/>
          <w:spacing w:val="0"/>
          <w:sz w:val="24"/>
          <w:szCs w:val="24"/>
        </w:rPr>
        <w:t>I. Uwagi ogólne</w:t>
      </w:r>
    </w:p>
    <w:p w:rsidR="00E419AB" w:rsidRPr="00FA09CC" w:rsidRDefault="00E419AB" w:rsidP="0024594C">
      <w:pPr>
        <w:pStyle w:val="Adresodbiorcy"/>
        <w:widowControl w:val="0"/>
        <w:suppressAutoHyphens/>
        <w:spacing w:line="240" w:lineRule="auto"/>
        <w:rPr>
          <w:rStyle w:val="jlqj4b"/>
          <w:rFonts w:ascii="Times New Roman" w:hAnsi="Times New Roman"/>
          <w:color w:val="000000" w:themeColor="text1"/>
          <w:spacing w:val="0"/>
          <w:sz w:val="24"/>
          <w:szCs w:val="24"/>
        </w:rPr>
      </w:pPr>
    </w:p>
    <w:p w:rsidR="00F27DBE" w:rsidRPr="00FA09CC" w:rsidRDefault="000A0A05" w:rsidP="0024594C">
      <w:pPr>
        <w:pStyle w:val="Adresodbiorcy"/>
        <w:widowControl w:val="0"/>
        <w:suppressAutoHyphens/>
        <w:spacing w:line="240" w:lineRule="auto"/>
        <w:rPr>
          <w:rStyle w:val="jlqj4b"/>
          <w:rFonts w:ascii="Times New Roman" w:hAnsi="Times New Roman"/>
          <w:b/>
          <w:color w:val="000000" w:themeColor="text1"/>
          <w:spacing w:val="0"/>
          <w:sz w:val="24"/>
          <w:szCs w:val="24"/>
        </w:rPr>
      </w:pPr>
      <w:r w:rsidRPr="00FA09CC">
        <w:rPr>
          <w:rStyle w:val="jlqj4b"/>
          <w:rFonts w:ascii="Times New Roman" w:hAnsi="Times New Roman"/>
          <w:b/>
          <w:color w:val="000000" w:themeColor="text1"/>
          <w:spacing w:val="0"/>
          <w:sz w:val="24"/>
          <w:szCs w:val="24"/>
        </w:rPr>
        <w:t xml:space="preserve">Realizacja przez Polskę założeń konwencji dotyczących charakteru i źródeł przemocy wobec kobiet </w:t>
      </w:r>
    </w:p>
    <w:p w:rsidR="00C46157" w:rsidRPr="00FA09CC" w:rsidRDefault="000A0A05" w:rsidP="0024594C">
      <w:pPr>
        <w:ind w:left="0" w:firstLine="0"/>
      </w:pPr>
      <w:r w:rsidRPr="00FA09CC">
        <w:rPr>
          <w:color w:val="000000" w:themeColor="text1"/>
        </w:rPr>
        <w:t xml:space="preserve">Zgodnie z założeniami konwencji, przedstawionymi w preambule i znajdującymi odzwierciedlenie w jej postanowieniach, w szczególności w rozdziałach I, II i III, konwencja określa </w:t>
      </w:r>
      <w:r w:rsidR="00E63468" w:rsidRPr="00FA09CC">
        <w:t>przemoc wobec kobiet</w:t>
      </w:r>
      <w:r w:rsidRPr="00FA09CC">
        <w:t xml:space="preserve"> jako </w:t>
      </w:r>
      <w:r w:rsidR="004F4DDD">
        <w:t>„</w:t>
      </w:r>
      <w:r w:rsidRPr="00FA09CC">
        <w:t>przejaw nierównych stosunków władzy między kobietami a mężczyznami na przestrzeni wieków, które doprowadziły do dominacji mężczyzn nad kobietami i dyskryminacji kobiet, a także uniemożliwiły pełen rozwój kobiet</w:t>
      </w:r>
      <w:r w:rsidR="004F4DDD">
        <w:t>”</w:t>
      </w:r>
      <w:r w:rsidRPr="00FA09CC">
        <w:t xml:space="preserve"> (akapit 9</w:t>
      </w:r>
      <w:r w:rsidR="00E63468" w:rsidRPr="00FA09CC">
        <w:t xml:space="preserve"> preambuł</w:t>
      </w:r>
      <w:r w:rsidR="001016F0" w:rsidRPr="00FA09CC">
        <w:t>y</w:t>
      </w:r>
      <w:r w:rsidRPr="00FA09CC">
        <w:t xml:space="preserve">), jak również wskazuje, że przemoc wobec kobiet, jako przemoc ze względu na tzw. „płeć społeczno-kulturową”, ma charakter strukturalny i stanowi </w:t>
      </w:r>
      <w:r w:rsidR="005D2395">
        <w:t>„</w:t>
      </w:r>
      <w:r w:rsidRPr="00FA09CC">
        <w:t>jeden z podstawowych mechanizmów społecznych, poprzez który kobiety są spychane na podległą pozycję względem mężczyzn</w:t>
      </w:r>
      <w:r w:rsidR="005D2395">
        <w:t>”</w:t>
      </w:r>
      <w:r w:rsidRPr="00FA09CC">
        <w:t xml:space="preserve"> (akapit 10</w:t>
      </w:r>
      <w:r w:rsidR="00E63468" w:rsidRPr="00FA09CC">
        <w:t xml:space="preserve"> preambuły</w:t>
      </w:r>
      <w:r w:rsidRPr="00FA09CC">
        <w:t xml:space="preserve">). Należy zatem przyjąć, że przesłanką przemocy </w:t>
      </w:r>
      <w:r w:rsidR="00B9276C">
        <w:t>są</w:t>
      </w:r>
      <w:r w:rsidRPr="00FA09CC">
        <w:t xml:space="preserve">, w świetle konwencji, pełnienie społecznie skonstruowanych ról, zachowania, działania </w:t>
      </w:r>
      <w:r w:rsidR="00E36BE2">
        <w:br/>
      </w:r>
      <w:r w:rsidRPr="00FA09CC">
        <w:t xml:space="preserve">i atrybuty, które dane społeczeństwo uznaje za odpowiednie dla kobiet lub mężczyzn (składające się na pojęcie „płeć społeczno-kulturowa”). Eliminacja z życia społecznego odmienności społeczno-kulturowej ról, zachowań, podejmowanych </w:t>
      </w:r>
      <w:r w:rsidR="00B9276C">
        <w:t>działań</w:t>
      </w:r>
      <w:r w:rsidRPr="00FA09CC">
        <w:t xml:space="preserve">, cech kobiet </w:t>
      </w:r>
      <w:r w:rsidR="00E36BE2">
        <w:br/>
      </w:r>
      <w:r w:rsidRPr="00FA09CC">
        <w:t>i mężczyzn spowodować ma likwidację przemocy wobec kobiet.</w:t>
      </w:r>
    </w:p>
    <w:p w:rsidR="0087137F" w:rsidRPr="00FA09CC" w:rsidRDefault="000A0A05" w:rsidP="0024594C">
      <w:pPr>
        <w:ind w:left="0" w:firstLine="0"/>
      </w:pPr>
      <w:r w:rsidRPr="00FA09CC">
        <w:t xml:space="preserve">W raporcie wyjaśniającym do konwencji (paragraf 25) wskazuje się wprawdzie, że zjawisko przemocy wobec kobiet i przemocy domowej może być wyjaśniane i rozumiane w różny sposób, zaś przemoc wobec kobiet i przemoc domowa są złożonymi zjawiskami i, aby je zrozumieć, należy stosować różne podejścia, jednak w konwencji przyjęte zostało wąskie podejście, oparte na określonym postrzeganiu społeczeństwa i jego funkcjonowania. </w:t>
      </w:r>
      <w:r w:rsidRPr="00FA09CC">
        <w:rPr>
          <w:rFonts w:eastAsia="Times New Roman"/>
        </w:rPr>
        <w:t>Autorzy innych koncepcji dotyczących zjawiska przemocy wskazują inne jej źródła, bądź kładą nacisk na dalece szersze spektrum czynników warunkujących wystąpienie przemocy (indywidualnych, społecznych).</w:t>
      </w:r>
      <w:r w:rsidRPr="00FA09CC">
        <w:t xml:space="preserve"> Wskazuje się zwłaszcza, że przemoc uwarunkowana jest wieloma czynnikami (osobowościowymi, motywacyjnymi, sytuacyjnymi, środowiskowymi). Sprowadzanie źródeł przemocy do stosunków władzy między kobietami a mężczyznami na przestrzeni wieków, jak czyni to konwencja, jest zatem dale</w:t>
      </w:r>
      <w:r w:rsidR="00E63468" w:rsidRPr="00FA09CC">
        <w:t>ce</w:t>
      </w:r>
      <w:r w:rsidRPr="00FA09CC">
        <w:t xml:space="preserve"> zawężające. </w:t>
      </w:r>
    </w:p>
    <w:p w:rsidR="00FC4F61" w:rsidRDefault="000A0A05" w:rsidP="0024594C">
      <w:pPr>
        <w:ind w:left="0" w:firstLine="0"/>
      </w:pPr>
      <w:r w:rsidRPr="00FA09CC">
        <w:t>Ogólne ramy działań w zakresie zapobiegania i zwalczania przemocy oraz ochrony ofiar wyznacza art. 6 konwencji, nakładający na państwa obowiązek uwzględniania perspektywy „płci społeczno-kulturowej” w toku wdrażania konwencji, to jest zapobiegania</w:t>
      </w:r>
      <w:r w:rsidR="00FC4F61">
        <w:t xml:space="preserve"> i </w:t>
      </w:r>
      <w:r w:rsidRPr="00FA09CC">
        <w:t xml:space="preserve">ścigania </w:t>
      </w:r>
      <w:r w:rsidR="00FC4F61" w:rsidRPr="00FA09CC">
        <w:t xml:space="preserve">przemocy wobec kobiet i przemocy domowej </w:t>
      </w:r>
      <w:r w:rsidR="00FC4F61">
        <w:t>oraz</w:t>
      </w:r>
      <w:r w:rsidRPr="00FA09CC">
        <w:t xml:space="preserve"> wspierania </w:t>
      </w:r>
      <w:r w:rsidR="00FC4F61">
        <w:t xml:space="preserve">jej </w:t>
      </w:r>
      <w:r w:rsidRPr="00FA09CC">
        <w:t>ofiar</w:t>
      </w:r>
      <w:r w:rsidRPr="00FA09CC">
        <w:rPr>
          <w:bCs/>
        </w:rPr>
        <w:t>. O</w:t>
      </w:r>
      <w:r w:rsidRPr="00FA09CC">
        <w:t xml:space="preserve">znacza to, że koncepcja „płci społeczno-kulturowej”, będąca wyrazem określonych założeń ideowych, stanowić ma wiążące ramy polityki państwa w obszarze ochrony i wsparcia ofiar przemocy, postępowania karnego, edukacji, działań na rzecz uwrażliwiania i zmiany świadomości społecznej, udzielania ochrony cudzoziemcom. </w:t>
      </w:r>
    </w:p>
    <w:p w:rsidR="00E30DD4" w:rsidRPr="00FA09CC" w:rsidRDefault="000A0A05" w:rsidP="0024594C">
      <w:pPr>
        <w:ind w:left="0" w:firstLine="0"/>
      </w:pPr>
      <w:r w:rsidRPr="00FA09CC">
        <w:t xml:space="preserve">Realizacji tego obowiązku nie da się pogodzić z artykułem 25 ust. 2 Konstytucji RP, który wyraża jedną z podstawowych zasad ustrojowych Rzeczypospolitej Polskiej – zgodnie z nią władze publiczne zachowują bezstronność w sprawach przekonań religijnych, światopoglądowych i filozoficznych. Zgodnie z wyrokiem Trybunału Konstytucyjnego </w:t>
      </w:r>
      <w:r w:rsidR="00E36BE2">
        <w:br/>
      </w:r>
      <w:r w:rsidRPr="00FA09CC">
        <w:t xml:space="preserve">z 14 grudnia 2009 r. (K 55/07) obowiązek zachowania bezstronności nie zwalnia </w:t>
      </w:r>
      <w:r w:rsidR="00FC4F61">
        <w:t xml:space="preserve">jednak </w:t>
      </w:r>
      <w:r w:rsidRPr="00FA09CC">
        <w:t xml:space="preserve">organów państwa z obowiązku postępowania zgodnie z aksjologią wyrażoną w Konstytucji </w:t>
      </w:r>
      <w:r w:rsidRPr="00FA09CC">
        <w:lastRenderedPageBreak/>
        <w:t>RP, zorganizowan</w:t>
      </w:r>
      <w:r w:rsidR="00B9276C">
        <w:t>ą</w:t>
      </w:r>
      <w:r w:rsidRPr="00FA09CC">
        <w:t xml:space="preserve"> wokół takich zasad podstawowych jak, między innymi, poszanowanie </w:t>
      </w:r>
      <w:r w:rsidR="006928B9">
        <w:br/>
      </w:r>
      <w:r w:rsidRPr="00FA09CC">
        <w:t xml:space="preserve">i ochrona przyrodzonej i niezbywalnej godności człowieka, stanowiącej źródło wolności </w:t>
      </w:r>
      <w:r w:rsidR="006928B9">
        <w:br/>
      </w:r>
      <w:r w:rsidRPr="00FA09CC">
        <w:t xml:space="preserve">i praw człowieka i obywatela. </w:t>
      </w:r>
    </w:p>
    <w:p w:rsidR="002908E9" w:rsidRPr="00FA09CC" w:rsidRDefault="000A0A05" w:rsidP="0024594C">
      <w:pPr>
        <w:ind w:left="0" w:firstLine="0"/>
        <w:rPr>
          <w:color w:val="000000" w:themeColor="text1"/>
        </w:rPr>
      </w:pPr>
      <w:r w:rsidRPr="00FA09CC">
        <w:rPr>
          <w:color w:val="000000" w:themeColor="text1"/>
        </w:rPr>
        <w:t xml:space="preserve">Fundamentalne znaczenie ma również zasada wyrażona w art. 18 Konstytucji RP, statuująca ochronę i opiekę Rzeczypospolitej Polskiej nad małżeństwem jako związkiem kobiety </w:t>
      </w:r>
      <w:r w:rsidR="006928B9">
        <w:rPr>
          <w:color w:val="000000" w:themeColor="text1"/>
        </w:rPr>
        <w:br/>
      </w:r>
      <w:r w:rsidRPr="00FA09CC">
        <w:rPr>
          <w:color w:val="000000" w:themeColor="text1"/>
        </w:rPr>
        <w:t xml:space="preserve">i mężczyzny, rodziną, macierzyństwem i rodzicielstwem. Znakomita część społecznych </w:t>
      </w:r>
      <w:r w:rsidR="006928B9">
        <w:rPr>
          <w:color w:val="000000" w:themeColor="text1"/>
        </w:rPr>
        <w:br/>
      </w:r>
      <w:r w:rsidRPr="00FA09CC">
        <w:rPr>
          <w:color w:val="000000" w:themeColor="text1"/>
        </w:rPr>
        <w:t>i kulturowych ról przypisywanych kobietom i mężczyznom ma ścisły związek z ich funkcjonowaniem w rodzinach. Istnieje zatem ryzyko, że w</w:t>
      </w:r>
      <w:r w:rsidR="00440918" w:rsidRPr="00FA09CC">
        <w:rPr>
          <w:color w:val="000000" w:themeColor="text1"/>
        </w:rPr>
        <w:t>śród działań</w:t>
      </w:r>
      <w:r w:rsidRPr="00FA09CC">
        <w:rPr>
          <w:color w:val="000000" w:themeColor="text1"/>
        </w:rPr>
        <w:t xml:space="preserve"> zmierzających do przeciwdziałania przemocy uwarunkowanej „płcią społeczno-kulturową” znajdą się próby ograniczenia znaczenia podstawowych instytucji społecznych, w tym przede wszystkim rodziny</w:t>
      </w:r>
      <w:r w:rsidR="00FC4F61">
        <w:rPr>
          <w:color w:val="000000" w:themeColor="text1"/>
        </w:rPr>
        <w:t xml:space="preserve"> </w:t>
      </w:r>
      <w:r w:rsidR="00E27D20">
        <w:rPr>
          <w:color w:val="000000" w:themeColor="text1"/>
        </w:rPr>
        <w:t>–</w:t>
      </w:r>
      <w:r w:rsidR="00FC4F61">
        <w:rPr>
          <w:color w:val="000000" w:themeColor="text1"/>
        </w:rPr>
        <w:t xml:space="preserve"> r</w:t>
      </w:r>
      <w:r w:rsidRPr="00FA09CC">
        <w:rPr>
          <w:color w:val="000000" w:themeColor="text1"/>
        </w:rPr>
        <w:t>odzina</w:t>
      </w:r>
      <w:r w:rsidR="00E27D20">
        <w:rPr>
          <w:color w:val="000000" w:themeColor="text1"/>
        </w:rPr>
        <w:t xml:space="preserve"> </w:t>
      </w:r>
      <w:r w:rsidRPr="00FA09CC">
        <w:rPr>
          <w:color w:val="000000" w:themeColor="text1"/>
        </w:rPr>
        <w:t>i związane z nią role jej członków mogą być błędnie postrzeganie jako źródło opresji wobec kobiety i przestrzeń dominacji mężczyzny.</w:t>
      </w:r>
    </w:p>
    <w:p w:rsidR="00A4015D" w:rsidRPr="00FA09CC" w:rsidRDefault="000A0A05" w:rsidP="0024594C">
      <w:pPr>
        <w:autoSpaceDE w:val="0"/>
        <w:autoSpaceDN w:val="0"/>
        <w:adjustRightInd w:val="0"/>
        <w:ind w:left="0" w:firstLine="0"/>
        <w:rPr>
          <w:rFonts w:eastAsia="Times New Roman"/>
          <w:color w:val="000000" w:themeColor="text1"/>
          <w:lang w:eastAsia="pl-PL"/>
        </w:rPr>
      </w:pPr>
      <w:r w:rsidRPr="00FA09CC">
        <w:rPr>
          <w:color w:val="000000"/>
        </w:rPr>
        <w:t>Ratyfikując konwencję</w:t>
      </w:r>
      <w:r w:rsidR="00B9276C">
        <w:rPr>
          <w:color w:val="000000"/>
        </w:rPr>
        <w:t>,</w:t>
      </w:r>
      <w:r w:rsidRPr="00FA09CC">
        <w:rPr>
          <w:color w:val="000000"/>
        </w:rPr>
        <w:t xml:space="preserve"> Polska złożyła oświadczenie następującej treści: „Rzeczpospolita Polska oświadcza, że będzie stosować Konwencję zgodnie z zasadami i przepisami Konstytucji Rzeczypospolitej Polskiej.” </w:t>
      </w:r>
      <w:r w:rsidRPr="00FA09CC">
        <w:rPr>
          <w:color w:val="000000" w:themeColor="text1"/>
        </w:rPr>
        <w:t xml:space="preserve">Deklaracja </w:t>
      </w:r>
      <w:r w:rsidR="00B9276C">
        <w:rPr>
          <w:color w:val="000000" w:themeColor="text1"/>
        </w:rPr>
        <w:t xml:space="preserve">ta </w:t>
      </w:r>
      <w:r w:rsidRPr="00FA09CC">
        <w:rPr>
          <w:color w:val="000000" w:themeColor="text1"/>
        </w:rPr>
        <w:t xml:space="preserve">oznacza, że Polska zarezerwowała sobie prawo wdrażania konwencji </w:t>
      </w:r>
      <w:r w:rsidRPr="00FA09CC">
        <w:rPr>
          <w:rFonts w:eastAsia="Times New Roman"/>
          <w:color w:val="000000" w:themeColor="text1"/>
          <w:lang w:eastAsia="pl-PL"/>
        </w:rPr>
        <w:t>w zgodzie z Konstytucją RP, w szczególności podejmowania działań na rzecz jej wykonania</w:t>
      </w:r>
      <w:r w:rsidR="00B9276C">
        <w:rPr>
          <w:rFonts w:eastAsia="Times New Roman"/>
          <w:color w:val="000000" w:themeColor="text1"/>
          <w:lang w:eastAsia="pl-PL"/>
        </w:rPr>
        <w:t>,</w:t>
      </w:r>
      <w:r w:rsidRPr="00FA09CC">
        <w:rPr>
          <w:rFonts w:eastAsia="Times New Roman"/>
          <w:color w:val="000000" w:themeColor="text1"/>
          <w:lang w:eastAsia="pl-PL"/>
        </w:rPr>
        <w:t xml:space="preserve"> z zachowaniem następujących zasad</w:t>
      </w:r>
      <w:r w:rsidR="00510EDA">
        <w:rPr>
          <w:rFonts w:eastAsia="Times New Roman"/>
          <w:color w:val="000000" w:themeColor="text1"/>
          <w:lang w:eastAsia="pl-PL"/>
        </w:rPr>
        <w:t xml:space="preserve"> konstytucyjnych</w:t>
      </w:r>
      <w:r w:rsidRPr="00FA09CC">
        <w:rPr>
          <w:rFonts w:eastAsia="Times New Roman"/>
          <w:color w:val="000000" w:themeColor="text1"/>
          <w:lang w:eastAsia="pl-PL"/>
        </w:rPr>
        <w:t xml:space="preserve">: </w:t>
      </w:r>
    </w:p>
    <w:p w:rsidR="00A4015D" w:rsidRPr="00FA09CC" w:rsidRDefault="000A0A05" w:rsidP="0024594C">
      <w:pPr>
        <w:numPr>
          <w:ilvl w:val="0"/>
          <w:numId w:val="33"/>
        </w:numPr>
        <w:autoSpaceDE w:val="0"/>
        <w:autoSpaceDN w:val="0"/>
        <w:adjustRightInd w:val="0"/>
      </w:pPr>
      <w:r w:rsidRPr="00FA09CC">
        <w:t>poszanowanie obowiązku władz publicznych zachowania bezstronności w sprawach przekonań religijnych, światopoglądowych i filozoficznych (art. 25 ust. 2 Konstytucji RP),</w:t>
      </w:r>
    </w:p>
    <w:p w:rsidR="00A4015D" w:rsidRPr="00FA09CC" w:rsidRDefault="000A0A05" w:rsidP="0024594C">
      <w:pPr>
        <w:numPr>
          <w:ilvl w:val="0"/>
          <w:numId w:val="33"/>
        </w:numPr>
        <w:autoSpaceDE w:val="0"/>
        <w:autoSpaceDN w:val="0"/>
        <w:adjustRightInd w:val="0"/>
        <w:rPr>
          <w:color w:val="000000" w:themeColor="text1"/>
        </w:rPr>
      </w:pPr>
      <w:r w:rsidRPr="00FA09CC">
        <w:rPr>
          <w:rFonts w:eastAsia="Times New Roman"/>
          <w:color w:val="000000" w:themeColor="text1"/>
          <w:lang w:eastAsia="pl-PL"/>
        </w:rPr>
        <w:t xml:space="preserve">realizowanie </w:t>
      </w:r>
      <w:r w:rsidRPr="00FA09CC">
        <w:rPr>
          <w:color w:val="000000" w:themeColor="text1"/>
        </w:rPr>
        <w:t xml:space="preserve">fundamentalnego obowiązku władz publicznych poszanowania i ochrony godności człowieka oraz zagwarantowania, wywodzonych z godności człowieka, </w:t>
      </w:r>
      <w:r w:rsidR="00F23E81">
        <w:rPr>
          <w:color w:val="000000" w:themeColor="text1"/>
        </w:rPr>
        <w:t xml:space="preserve">wolności </w:t>
      </w:r>
      <w:r w:rsidRPr="00FA09CC">
        <w:rPr>
          <w:color w:val="000000" w:themeColor="text1"/>
        </w:rPr>
        <w:t>praw (art. 30 Konstytucji RP),</w:t>
      </w:r>
    </w:p>
    <w:p w:rsidR="00D3389D" w:rsidRPr="00FA09CC" w:rsidRDefault="000A0A05" w:rsidP="0024594C">
      <w:pPr>
        <w:numPr>
          <w:ilvl w:val="0"/>
          <w:numId w:val="33"/>
        </w:numPr>
        <w:autoSpaceDE w:val="0"/>
        <w:autoSpaceDN w:val="0"/>
        <w:adjustRightInd w:val="0"/>
        <w:rPr>
          <w:rFonts w:eastAsia="Times New Roman"/>
          <w:color w:val="000000" w:themeColor="text1"/>
          <w:lang w:eastAsia="pl-PL"/>
        </w:rPr>
      </w:pPr>
      <w:r w:rsidRPr="00FA09CC">
        <w:rPr>
          <w:color w:val="000000" w:themeColor="text1"/>
        </w:rPr>
        <w:t xml:space="preserve">ochrona </w:t>
      </w:r>
      <w:r w:rsidRPr="00FA09CC">
        <w:rPr>
          <w:rFonts w:eastAsia="Times New Roman"/>
          <w:color w:val="000000" w:themeColor="text1"/>
          <w:lang w:eastAsia="pl-PL"/>
        </w:rPr>
        <w:t xml:space="preserve">małżeństwa jako związku kobiety i mężczyzny, rodziny, macierzyństwa </w:t>
      </w:r>
      <w:r w:rsidR="006928B9">
        <w:rPr>
          <w:rFonts w:eastAsia="Times New Roman"/>
          <w:color w:val="000000" w:themeColor="text1"/>
          <w:lang w:eastAsia="pl-PL"/>
        </w:rPr>
        <w:br/>
      </w:r>
      <w:r w:rsidRPr="00FA09CC">
        <w:rPr>
          <w:rFonts w:eastAsia="Times New Roman"/>
          <w:color w:val="000000" w:themeColor="text1"/>
          <w:lang w:eastAsia="pl-PL"/>
        </w:rPr>
        <w:t>i rodzicielstwa (art. 18 Konstytucji RP),</w:t>
      </w:r>
    </w:p>
    <w:p w:rsidR="00DE0C45" w:rsidRPr="00FA09CC" w:rsidRDefault="000A0A05" w:rsidP="0024594C">
      <w:pPr>
        <w:numPr>
          <w:ilvl w:val="0"/>
          <w:numId w:val="33"/>
        </w:numPr>
        <w:autoSpaceDE w:val="0"/>
        <w:autoSpaceDN w:val="0"/>
        <w:adjustRightInd w:val="0"/>
        <w:rPr>
          <w:rFonts w:eastAsia="Times New Roman"/>
          <w:color w:val="000000" w:themeColor="text1"/>
          <w:lang w:eastAsia="pl-PL"/>
        </w:rPr>
      </w:pPr>
      <w:r w:rsidRPr="00FA09CC">
        <w:rPr>
          <w:rFonts w:eastAsia="Times New Roman"/>
          <w:color w:val="000000" w:themeColor="text1"/>
          <w:lang w:eastAsia="pl-PL"/>
        </w:rPr>
        <w:t>poszanowanie prawa rodziców do wychowania dzieci zgod</w:t>
      </w:r>
      <w:r w:rsidR="005348FB">
        <w:rPr>
          <w:rFonts w:eastAsia="Times New Roman"/>
          <w:color w:val="000000" w:themeColor="text1"/>
          <w:lang w:eastAsia="pl-PL"/>
        </w:rPr>
        <w:t>nie</w:t>
      </w:r>
      <w:r w:rsidRPr="00FA09CC">
        <w:rPr>
          <w:rFonts w:eastAsia="Times New Roman"/>
          <w:color w:val="000000" w:themeColor="text1"/>
          <w:lang w:eastAsia="pl-PL"/>
        </w:rPr>
        <w:t xml:space="preserve"> z własnymi przekonaniami (art. 48 ust. 1 Konstytucji RP),</w:t>
      </w:r>
    </w:p>
    <w:p w:rsidR="00DE0C45" w:rsidRPr="00FA09CC" w:rsidRDefault="000A0A05" w:rsidP="0024594C">
      <w:pPr>
        <w:numPr>
          <w:ilvl w:val="0"/>
          <w:numId w:val="33"/>
        </w:numPr>
      </w:pPr>
      <w:r w:rsidRPr="00FA09CC">
        <w:t>poszanowanie prawa rodziców do zapewnienia dzieciom wychowania i nauczania moralnego i religijnego zgodnie ze swoimi przekonaniami (art. 53 ust. 3 Konstytucji RP).</w:t>
      </w:r>
    </w:p>
    <w:p w:rsidR="00DE0C45" w:rsidRPr="00FA09CC" w:rsidRDefault="000A0A05" w:rsidP="0024594C">
      <w:pPr>
        <w:autoSpaceDE w:val="0"/>
        <w:autoSpaceDN w:val="0"/>
        <w:adjustRightInd w:val="0"/>
        <w:ind w:left="0" w:firstLine="0"/>
        <w:rPr>
          <w:rFonts w:eastAsia="Times New Roman"/>
          <w:lang w:eastAsia="pl-PL"/>
        </w:rPr>
      </w:pPr>
      <w:r w:rsidRPr="00FA09CC">
        <w:rPr>
          <w:color w:val="000000" w:themeColor="text1"/>
        </w:rPr>
        <w:t xml:space="preserve"> </w:t>
      </w:r>
      <w:r w:rsidRPr="00FA09CC">
        <w:rPr>
          <w:rFonts w:eastAsia="Times New Roman"/>
          <w:lang w:eastAsia="pl-PL"/>
        </w:rPr>
        <w:t>Przedstawiając powyższe, należy z całą mocą podkreślić, że Rząd Rzeczypospolitej Polskiej nie akceptuje przemocy nie tylko wobec kobiet, ale wobec każdego człowieka. Zasadą kierunkową, przyświecającą wszystkim organom administracji publicznej w podejmowanych przez nie decyzjach i działaniach, jest zasada przyrodzonej i niezbywalnej godności człowieka, a więc szczególnej wartości, jak</w:t>
      </w:r>
      <w:r w:rsidR="00853F50">
        <w:rPr>
          <w:rFonts w:eastAsia="Times New Roman"/>
          <w:lang w:eastAsia="pl-PL"/>
        </w:rPr>
        <w:t>ą</w:t>
      </w:r>
      <w:r w:rsidRPr="00FA09CC">
        <w:rPr>
          <w:rFonts w:eastAsia="Times New Roman"/>
          <w:lang w:eastAsia="pl-PL"/>
        </w:rPr>
        <w:t xml:space="preserve"> ma każda istota ludzka, wyłącznie z powodu bycia człowiekiem, niezależnie od jakichkolwiek innych cech ją charakteryzujących. Rzeczpospolita Polska szczególną ochroną otacza rodziny, rodzicielstwo a także małżeństwo będące związkiem kobiety i mężczyzny. </w:t>
      </w:r>
    </w:p>
    <w:p w:rsidR="00DE0C45" w:rsidRPr="00FA09CC" w:rsidRDefault="000A0A05" w:rsidP="0024594C">
      <w:pPr>
        <w:ind w:left="0" w:firstLine="0"/>
        <w:rPr>
          <w:bCs/>
          <w:color w:val="000000"/>
          <w:lang w:eastAsia="pl-PL"/>
        </w:rPr>
      </w:pPr>
      <w:r w:rsidRPr="00FA09CC">
        <w:rPr>
          <w:rFonts w:eastAsia="Calibri"/>
          <w:color w:val="000000"/>
        </w:rPr>
        <w:t xml:space="preserve">Obowiązujące w Polsce przepisy oraz działania podejmowane w celu ich wykonania zapewniają ochronę wszystkich osób przed wszelkimi formami przemocy, w tym przed przemocą w rodzinie. Wzmacnianie tej ochrony jest jednym z priorytetowych zadań Rządu. </w:t>
      </w:r>
      <w:r w:rsidRPr="00FA09CC">
        <w:rPr>
          <w:color w:val="000000"/>
          <w:lang w:eastAsia="pl-PL"/>
        </w:rPr>
        <w:t>Kształt obowiązujących w Polsce rozwiązań w zakresie przeciwdziałania przemocy odpowiada rzeczywistemu charakterowi oraz skali przemocy i przemocy w rodzinie występujących w Polsce. Uwzględniają one fakt, że p</w:t>
      </w:r>
      <w:r w:rsidRPr="00FA09CC">
        <w:rPr>
          <w:bCs/>
          <w:color w:val="000000"/>
          <w:lang w:eastAsia="pl-PL"/>
        </w:rPr>
        <w:t xml:space="preserve">rzemoc jest zjawiskiem wielowymiarowym, mającym złożone i wzajemnie oddziałujące na siebie źródła związane ze sprawcą, w obszarze relacji między bliskimi i relacji społecznych. </w:t>
      </w:r>
    </w:p>
    <w:p w:rsidR="00F27DBE" w:rsidRPr="00FA09CC" w:rsidRDefault="00F27DBE" w:rsidP="0024594C">
      <w:pPr>
        <w:pStyle w:val="Adresodbiorcy"/>
        <w:widowControl w:val="0"/>
        <w:suppressAutoHyphens/>
        <w:spacing w:line="240" w:lineRule="auto"/>
        <w:rPr>
          <w:rStyle w:val="jlqj4b"/>
          <w:rFonts w:ascii="Times New Roman" w:hAnsi="Times New Roman"/>
          <w:color w:val="000000" w:themeColor="text1"/>
          <w:spacing w:val="0"/>
          <w:sz w:val="24"/>
          <w:szCs w:val="24"/>
        </w:rPr>
      </w:pPr>
    </w:p>
    <w:p w:rsidR="007A5D00" w:rsidRPr="00FA09CC" w:rsidRDefault="000A0A05" w:rsidP="0024594C">
      <w:pPr>
        <w:pStyle w:val="Adresodbiorcy"/>
        <w:widowControl w:val="0"/>
        <w:shd w:val="clear" w:color="auto" w:fill="FFFFFF" w:themeFill="background1"/>
        <w:suppressAutoHyphens/>
        <w:spacing w:line="240" w:lineRule="auto"/>
        <w:rPr>
          <w:rFonts w:ascii="Times New Roman" w:hAnsi="Times New Roman"/>
          <w:b/>
          <w:color w:val="000000" w:themeColor="text1"/>
          <w:spacing w:val="0"/>
          <w:sz w:val="24"/>
          <w:szCs w:val="24"/>
        </w:rPr>
      </w:pPr>
      <w:r w:rsidRPr="00FA09CC">
        <w:rPr>
          <w:rFonts w:ascii="Times New Roman" w:hAnsi="Times New Roman"/>
          <w:b/>
          <w:color w:val="000000" w:themeColor="text1"/>
          <w:spacing w:val="0"/>
          <w:sz w:val="24"/>
          <w:szCs w:val="24"/>
        </w:rPr>
        <w:t>Skoordynowana polityka w dziedzinie zapobiegania i zwalczania przemocy</w:t>
      </w:r>
    </w:p>
    <w:p w:rsidR="00AD3733" w:rsidRPr="00FA09CC" w:rsidRDefault="000A0A05" w:rsidP="0024594C">
      <w:pPr>
        <w:pStyle w:val="Adresodbiorcy"/>
        <w:widowControl w:val="0"/>
        <w:shd w:val="clear" w:color="auto" w:fill="FFFFFF" w:themeFill="background1"/>
        <w:suppressAutoHyphens/>
        <w:spacing w:line="240" w:lineRule="auto"/>
        <w:rPr>
          <w:rFonts w:ascii="Times New Roman" w:eastAsia="Calibri" w:hAnsi="Times New Roman"/>
          <w:color w:val="000000"/>
          <w:spacing w:val="0"/>
          <w:sz w:val="24"/>
          <w:szCs w:val="24"/>
        </w:rPr>
      </w:pPr>
      <w:r w:rsidRPr="00FA09CC">
        <w:rPr>
          <w:rFonts w:ascii="Times New Roman" w:hAnsi="Times New Roman"/>
          <w:color w:val="000000" w:themeColor="text1"/>
          <w:spacing w:val="0"/>
          <w:sz w:val="24"/>
          <w:szCs w:val="24"/>
        </w:rPr>
        <w:t>Nie</w:t>
      </w:r>
      <w:r w:rsidR="00440918" w:rsidRPr="00FA09CC">
        <w:rPr>
          <w:rFonts w:ascii="Times New Roman" w:hAnsi="Times New Roman"/>
          <w:color w:val="000000" w:themeColor="text1"/>
          <w:spacing w:val="0"/>
          <w:sz w:val="24"/>
          <w:szCs w:val="24"/>
        </w:rPr>
        <w:t xml:space="preserve"> ma podstaw</w:t>
      </w:r>
      <w:r w:rsidRPr="00FA09CC">
        <w:rPr>
          <w:rFonts w:ascii="Times New Roman" w:hAnsi="Times New Roman"/>
          <w:color w:val="000000" w:themeColor="text1"/>
          <w:spacing w:val="0"/>
          <w:sz w:val="24"/>
          <w:szCs w:val="24"/>
        </w:rPr>
        <w:t xml:space="preserve"> zawart</w:t>
      </w:r>
      <w:r w:rsidR="00F23E81">
        <w:rPr>
          <w:rFonts w:ascii="Times New Roman" w:hAnsi="Times New Roman"/>
          <w:color w:val="000000" w:themeColor="text1"/>
          <w:spacing w:val="0"/>
          <w:sz w:val="24"/>
          <w:szCs w:val="24"/>
        </w:rPr>
        <w:t>y</w:t>
      </w:r>
      <w:r w:rsidRPr="00FA09CC">
        <w:rPr>
          <w:rFonts w:ascii="Times New Roman" w:hAnsi="Times New Roman"/>
          <w:color w:val="000000" w:themeColor="text1"/>
          <w:spacing w:val="0"/>
          <w:sz w:val="24"/>
          <w:szCs w:val="24"/>
        </w:rPr>
        <w:t xml:space="preserve"> w różnych paragrafach raportu wnios</w:t>
      </w:r>
      <w:r w:rsidR="00F23E81">
        <w:rPr>
          <w:rFonts w:ascii="Times New Roman" w:hAnsi="Times New Roman"/>
          <w:color w:val="000000" w:themeColor="text1"/>
          <w:spacing w:val="0"/>
          <w:sz w:val="24"/>
          <w:szCs w:val="24"/>
        </w:rPr>
        <w:t>e</w:t>
      </w:r>
      <w:r w:rsidRPr="00FA09CC">
        <w:rPr>
          <w:rFonts w:ascii="Times New Roman" w:hAnsi="Times New Roman"/>
          <w:color w:val="000000" w:themeColor="text1"/>
          <w:spacing w:val="0"/>
          <w:sz w:val="24"/>
          <w:szCs w:val="24"/>
        </w:rPr>
        <w:t xml:space="preserve">k, że do przemocy wykraczającej poza kontekst rodzinny nie przywiązywano do tej pory w Polsce zbyt dużo </w:t>
      </w:r>
      <w:r w:rsidRPr="00FA09CC">
        <w:rPr>
          <w:rFonts w:ascii="Times New Roman" w:hAnsi="Times New Roman"/>
          <w:color w:val="000000" w:themeColor="text1"/>
          <w:spacing w:val="0"/>
          <w:sz w:val="24"/>
          <w:szCs w:val="24"/>
        </w:rPr>
        <w:lastRenderedPageBreak/>
        <w:t xml:space="preserve">uwagi. </w:t>
      </w:r>
      <w:r w:rsidRPr="00FA09CC">
        <w:rPr>
          <w:rFonts w:ascii="Times New Roman" w:eastAsia="Calibri" w:hAnsi="Times New Roman"/>
          <w:color w:val="000000"/>
          <w:spacing w:val="0"/>
          <w:sz w:val="24"/>
          <w:szCs w:val="24"/>
        </w:rPr>
        <w:t xml:space="preserve">Ochronę i pomoc osobom, które doznały przemocy, zapewniają rozbudowane przepisy karne, prawa cywilnego, rodzinnego i opiekuńczego, jak również, w odniesieniu do przemocy w rodzinie, obok przepisów karnych, ustawa </w:t>
      </w:r>
      <w:r w:rsidR="00FC4F61">
        <w:rPr>
          <w:rFonts w:ascii="Times New Roman" w:eastAsia="Calibri" w:hAnsi="Times New Roman"/>
          <w:color w:val="000000"/>
          <w:spacing w:val="0"/>
          <w:sz w:val="24"/>
          <w:szCs w:val="24"/>
        </w:rPr>
        <w:t xml:space="preserve">z 29 lipca 2005 r. </w:t>
      </w:r>
      <w:r w:rsidRPr="00FA09CC">
        <w:rPr>
          <w:rFonts w:ascii="Times New Roman" w:eastAsia="Calibri" w:hAnsi="Times New Roman"/>
          <w:color w:val="000000"/>
          <w:spacing w:val="0"/>
          <w:sz w:val="24"/>
          <w:szCs w:val="24"/>
        </w:rPr>
        <w:t xml:space="preserve">o przeciwdziałaniu przemocy w rodzinie i ustawa </w:t>
      </w:r>
      <w:r w:rsidR="00FC4F61">
        <w:rPr>
          <w:rFonts w:ascii="Times New Roman" w:eastAsia="Calibri" w:hAnsi="Times New Roman"/>
          <w:color w:val="000000"/>
          <w:spacing w:val="0"/>
          <w:sz w:val="24"/>
          <w:szCs w:val="24"/>
        </w:rPr>
        <w:t xml:space="preserve">z 12 marca 2004 r. </w:t>
      </w:r>
      <w:r w:rsidRPr="00FA09CC">
        <w:rPr>
          <w:rFonts w:ascii="Times New Roman" w:eastAsia="Calibri" w:hAnsi="Times New Roman"/>
          <w:color w:val="000000"/>
          <w:spacing w:val="0"/>
          <w:sz w:val="24"/>
          <w:szCs w:val="24"/>
        </w:rPr>
        <w:t xml:space="preserve">o pomocy społecznej. Wdrażanie wskazanych przepisów wspierają i uzupełniają realizowane programy prewencyjne, pomocy ofiarom przemocy, edukacyjne i w zakresie podnoszenia świadomości społecznej. </w:t>
      </w:r>
    </w:p>
    <w:p w:rsidR="007A5D00" w:rsidRPr="00FA09CC" w:rsidRDefault="000A0A05" w:rsidP="0024594C">
      <w:pPr>
        <w:pStyle w:val="Adresodbiorcy"/>
        <w:widowControl w:val="0"/>
        <w:shd w:val="clear" w:color="auto" w:fill="FFFFFF" w:themeFill="background1"/>
        <w:suppressAutoHyphens/>
        <w:spacing w:line="240" w:lineRule="auto"/>
        <w:rPr>
          <w:rFonts w:ascii="Times New Roman" w:hAnsi="Times New Roman"/>
          <w:color w:val="000000" w:themeColor="text1"/>
          <w:spacing w:val="0"/>
          <w:sz w:val="24"/>
          <w:szCs w:val="24"/>
        </w:rPr>
      </w:pPr>
      <w:r w:rsidRPr="00FA09CC">
        <w:rPr>
          <w:rFonts w:ascii="Times New Roman" w:hAnsi="Times New Roman"/>
          <w:color w:val="000000" w:themeColor="text1"/>
          <w:spacing w:val="0"/>
          <w:sz w:val="24"/>
          <w:szCs w:val="24"/>
        </w:rPr>
        <w:t>Oceniając zakres realizowanej przez Polskę polityki zwalczania przemocy, trzeba należycie uwzględnić rodzaj i skalę problemów, które realnie w Polsce występują. Jak wskazane zostało w sprawozdaniu Polski z wykonywania konwencji oraz podnoszone było w trakcie spotkań przedstawicieli administracji publicznej z delegacją GREVIO</w:t>
      </w:r>
      <w:r w:rsidR="00510EDA">
        <w:rPr>
          <w:rFonts w:ascii="Times New Roman" w:hAnsi="Times New Roman"/>
          <w:color w:val="000000" w:themeColor="text1"/>
          <w:spacing w:val="0"/>
          <w:sz w:val="24"/>
          <w:szCs w:val="24"/>
        </w:rPr>
        <w:t xml:space="preserve"> (wrzesień 2020 r.)</w:t>
      </w:r>
      <w:r w:rsidRPr="00FA09CC">
        <w:rPr>
          <w:rFonts w:ascii="Times New Roman" w:hAnsi="Times New Roman"/>
          <w:color w:val="000000" w:themeColor="text1"/>
          <w:spacing w:val="0"/>
          <w:sz w:val="24"/>
          <w:szCs w:val="24"/>
        </w:rPr>
        <w:t xml:space="preserve">, pewne przejawy przemocy, o których mowa w konwencji, w Polsce </w:t>
      </w:r>
      <w:r w:rsidR="001016F0" w:rsidRPr="00FA09CC">
        <w:rPr>
          <w:rFonts w:ascii="Times New Roman" w:hAnsi="Times New Roman"/>
          <w:color w:val="000000" w:themeColor="text1"/>
          <w:spacing w:val="0"/>
          <w:sz w:val="24"/>
          <w:szCs w:val="24"/>
        </w:rPr>
        <w:t xml:space="preserve">co do zasady </w:t>
      </w:r>
      <w:r w:rsidRPr="00FA09CC">
        <w:rPr>
          <w:rFonts w:ascii="Times New Roman" w:hAnsi="Times New Roman"/>
          <w:color w:val="000000" w:themeColor="text1"/>
          <w:spacing w:val="0"/>
          <w:sz w:val="24"/>
          <w:szCs w:val="24"/>
        </w:rPr>
        <w:t>nie występują (przymusowe małżeństwa, przemoc honorowa, przymusowa sterylizacja i aborcja).</w:t>
      </w:r>
    </w:p>
    <w:p w:rsidR="007A5D00" w:rsidRPr="00FA09CC" w:rsidRDefault="000A0A05" w:rsidP="0024594C">
      <w:pPr>
        <w:pStyle w:val="Adresodbiorcy"/>
        <w:widowControl w:val="0"/>
        <w:shd w:val="clear" w:color="auto" w:fill="FFFFFF" w:themeFill="background1"/>
        <w:suppressAutoHyphens/>
        <w:spacing w:line="240" w:lineRule="auto"/>
        <w:rPr>
          <w:rFonts w:ascii="Times New Roman" w:hAnsi="Times New Roman"/>
          <w:color w:val="000000" w:themeColor="text1"/>
          <w:spacing w:val="0"/>
          <w:sz w:val="24"/>
          <w:szCs w:val="24"/>
        </w:rPr>
      </w:pPr>
      <w:r w:rsidRPr="00FA09CC">
        <w:rPr>
          <w:rFonts w:ascii="Times New Roman" w:hAnsi="Times New Roman"/>
          <w:color w:val="000000" w:themeColor="text1"/>
          <w:spacing w:val="0"/>
          <w:sz w:val="24"/>
          <w:szCs w:val="24"/>
        </w:rPr>
        <w:t>Zarzut braku całościowej polityki przeciwdziałania przemocy pozostaje nieuzasadniony</w:t>
      </w:r>
      <w:r w:rsidR="00F23E81">
        <w:rPr>
          <w:rFonts w:ascii="Times New Roman" w:hAnsi="Times New Roman"/>
          <w:color w:val="000000" w:themeColor="text1"/>
          <w:spacing w:val="0"/>
          <w:sz w:val="24"/>
          <w:szCs w:val="24"/>
        </w:rPr>
        <w:t>,</w:t>
      </w:r>
      <w:r w:rsidRPr="00FA09CC">
        <w:rPr>
          <w:rFonts w:ascii="Times New Roman" w:hAnsi="Times New Roman"/>
          <w:color w:val="000000" w:themeColor="text1"/>
          <w:spacing w:val="0"/>
          <w:sz w:val="24"/>
          <w:szCs w:val="24"/>
        </w:rPr>
        <w:t xml:space="preserve"> </w:t>
      </w:r>
      <w:r w:rsidR="00440918" w:rsidRPr="00FA09CC">
        <w:rPr>
          <w:rFonts w:ascii="Times New Roman" w:hAnsi="Times New Roman"/>
          <w:color w:val="000000" w:themeColor="text1"/>
          <w:spacing w:val="0"/>
          <w:sz w:val="24"/>
          <w:szCs w:val="24"/>
        </w:rPr>
        <w:t>zważywszy ogromną</w:t>
      </w:r>
      <w:r w:rsidRPr="00FA09CC">
        <w:rPr>
          <w:rFonts w:ascii="Times New Roman" w:hAnsi="Times New Roman"/>
          <w:color w:val="000000" w:themeColor="text1"/>
          <w:spacing w:val="0"/>
          <w:sz w:val="24"/>
          <w:szCs w:val="24"/>
        </w:rPr>
        <w:t xml:space="preserve"> uwag</w:t>
      </w:r>
      <w:r w:rsidR="00440918" w:rsidRPr="00FA09CC">
        <w:rPr>
          <w:rFonts w:ascii="Times New Roman" w:hAnsi="Times New Roman"/>
          <w:color w:val="000000" w:themeColor="text1"/>
          <w:spacing w:val="0"/>
          <w:sz w:val="24"/>
          <w:szCs w:val="24"/>
        </w:rPr>
        <w:t>ę, jaką</w:t>
      </w:r>
      <w:r w:rsidRPr="00FA09CC">
        <w:rPr>
          <w:rFonts w:ascii="Times New Roman" w:hAnsi="Times New Roman"/>
          <w:color w:val="000000" w:themeColor="text1"/>
          <w:spacing w:val="0"/>
          <w:sz w:val="24"/>
          <w:szCs w:val="24"/>
        </w:rPr>
        <w:t xml:space="preserve"> </w:t>
      </w:r>
      <w:r w:rsidR="002A5906">
        <w:rPr>
          <w:rFonts w:ascii="Times New Roman" w:hAnsi="Times New Roman"/>
          <w:color w:val="000000" w:themeColor="text1"/>
          <w:spacing w:val="0"/>
          <w:sz w:val="24"/>
          <w:szCs w:val="24"/>
        </w:rPr>
        <w:t>R</w:t>
      </w:r>
      <w:r w:rsidRPr="00FA09CC">
        <w:rPr>
          <w:rFonts w:ascii="Times New Roman" w:hAnsi="Times New Roman"/>
          <w:color w:val="000000" w:themeColor="text1"/>
          <w:spacing w:val="0"/>
          <w:sz w:val="24"/>
          <w:szCs w:val="24"/>
        </w:rPr>
        <w:t xml:space="preserve">ząd </w:t>
      </w:r>
      <w:r w:rsidR="002A5906">
        <w:rPr>
          <w:rFonts w:ascii="Times New Roman" w:hAnsi="Times New Roman"/>
          <w:color w:val="000000" w:themeColor="text1"/>
          <w:spacing w:val="0"/>
          <w:sz w:val="24"/>
          <w:szCs w:val="24"/>
        </w:rPr>
        <w:t xml:space="preserve">Polski </w:t>
      </w:r>
      <w:r w:rsidRPr="00FA09CC">
        <w:rPr>
          <w:rFonts w:ascii="Times New Roman" w:hAnsi="Times New Roman"/>
          <w:color w:val="000000" w:themeColor="text1"/>
          <w:spacing w:val="0"/>
          <w:sz w:val="24"/>
          <w:szCs w:val="24"/>
        </w:rPr>
        <w:t>skupi</w:t>
      </w:r>
      <w:r w:rsidR="00440918" w:rsidRPr="00FA09CC">
        <w:rPr>
          <w:rFonts w:ascii="Times New Roman" w:hAnsi="Times New Roman"/>
          <w:color w:val="000000" w:themeColor="text1"/>
          <w:spacing w:val="0"/>
          <w:sz w:val="24"/>
          <w:szCs w:val="24"/>
        </w:rPr>
        <w:t>a</w:t>
      </w:r>
      <w:r w:rsidRPr="00FA09CC">
        <w:rPr>
          <w:rFonts w:ascii="Times New Roman" w:hAnsi="Times New Roman"/>
          <w:color w:val="000000" w:themeColor="text1"/>
          <w:spacing w:val="0"/>
          <w:sz w:val="24"/>
          <w:szCs w:val="24"/>
        </w:rPr>
        <w:t xml:space="preserve"> na tej dziedzinie, czego przykładem są</w:t>
      </w:r>
      <w:r w:rsidR="00440918" w:rsidRPr="00FA09CC">
        <w:rPr>
          <w:rFonts w:ascii="Times New Roman" w:hAnsi="Times New Roman"/>
          <w:color w:val="000000" w:themeColor="text1"/>
          <w:spacing w:val="0"/>
          <w:sz w:val="24"/>
          <w:szCs w:val="24"/>
        </w:rPr>
        <w:t xml:space="preserve"> </w:t>
      </w:r>
      <w:r w:rsidRPr="00FA09CC">
        <w:rPr>
          <w:rFonts w:ascii="Times New Roman" w:hAnsi="Times New Roman"/>
          <w:color w:val="000000" w:themeColor="text1"/>
          <w:spacing w:val="0"/>
          <w:sz w:val="24"/>
          <w:szCs w:val="24"/>
        </w:rPr>
        <w:t>toczące się prace nad nowelizacją ustawy o przeciwdziałaniu przemocy w rodzinie</w:t>
      </w:r>
      <w:r w:rsidR="00440918" w:rsidRPr="00FA09CC">
        <w:rPr>
          <w:rFonts w:ascii="Times New Roman" w:hAnsi="Times New Roman"/>
          <w:color w:val="000000" w:themeColor="text1"/>
          <w:spacing w:val="0"/>
          <w:sz w:val="24"/>
          <w:szCs w:val="24"/>
        </w:rPr>
        <w:t xml:space="preserve"> oraz wszczęcie prac nad nowelizacją tzw. ustawy antyprzemocowej</w:t>
      </w:r>
      <w:r w:rsidR="00510EDA">
        <w:rPr>
          <w:rStyle w:val="Odwoanieprzypisudolnego"/>
          <w:rFonts w:ascii="Times New Roman" w:hAnsi="Times New Roman"/>
          <w:color w:val="000000" w:themeColor="text1"/>
          <w:spacing w:val="0"/>
          <w:sz w:val="24"/>
          <w:szCs w:val="24"/>
        </w:rPr>
        <w:footnoteReference w:id="1"/>
      </w:r>
      <w:r w:rsidRPr="00FA09CC">
        <w:rPr>
          <w:rFonts w:ascii="Times New Roman" w:hAnsi="Times New Roman"/>
          <w:color w:val="000000" w:themeColor="text1"/>
          <w:spacing w:val="0"/>
          <w:sz w:val="24"/>
          <w:szCs w:val="24"/>
        </w:rPr>
        <w:t>. Ponadto, odpowiedniość, jeżeli chodzi o zakres przedmiotowy i skalę zaangażowania władz publicznych w zwalczanie przemocy</w:t>
      </w:r>
      <w:r w:rsidR="00F23E81">
        <w:rPr>
          <w:rFonts w:ascii="Times New Roman" w:hAnsi="Times New Roman"/>
          <w:color w:val="000000" w:themeColor="text1"/>
          <w:spacing w:val="0"/>
          <w:sz w:val="24"/>
          <w:szCs w:val="24"/>
        </w:rPr>
        <w:t>,</w:t>
      </w:r>
      <w:r w:rsidRPr="00FA09CC">
        <w:rPr>
          <w:rFonts w:ascii="Times New Roman" w:hAnsi="Times New Roman"/>
          <w:color w:val="000000" w:themeColor="text1"/>
          <w:spacing w:val="0"/>
          <w:sz w:val="24"/>
          <w:szCs w:val="24"/>
        </w:rPr>
        <w:t xml:space="preserve"> należy oceniać biorąc pod uwagę cały kompleks działań podejmowanych, odpowiednio, w obszarze polityki społecznej, pomocy społecznej, polityki karnej, opieki zdrowotnej, edukacji, w odniesieniu do, między innymi, przemocy w rodzinie, przemocy seksualnej, handlu ludźmi, przemocy cyfrowej. Dzięki przyjęciu takiego podejścia możliwe jest zastosowanie takich środków działania i rozwiązań, jakie są najodpowiedniejsze </w:t>
      </w:r>
      <w:r w:rsidR="006928B9">
        <w:rPr>
          <w:rFonts w:ascii="Times New Roman" w:hAnsi="Times New Roman"/>
          <w:color w:val="000000" w:themeColor="text1"/>
          <w:spacing w:val="0"/>
          <w:sz w:val="24"/>
          <w:szCs w:val="24"/>
        </w:rPr>
        <w:br/>
      </w:r>
      <w:r w:rsidRPr="00FA09CC">
        <w:rPr>
          <w:rFonts w:ascii="Times New Roman" w:hAnsi="Times New Roman"/>
          <w:color w:val="000000" w:themeColor="text1"/>
          <w:spacing w:val="0"/>
          <w:sz w:val="24"/>
          <w:szCs w:val="24"/>
        </w:rPr>
        <w:t>w odniesieniu do danego problemu.</w:t>
      </w:r>
    </w:p>
    <w:p w:rsidR="00F6323C" w:rsidRPr="00FA09CC" w:rsidRDefault="000A0A05" w:rsidP="0024594C">
      <w:pPr>
        <w:tabs>
          <w:tab w:val="left" w:pos="540"/>
        </w:tabs>
        <w:contextualSpacing/>
        <w:rPr>
          <w:rFonts w:eastAsia="Times New Roman"/>
        </w:rPr>
      </w:pPr>
      <w:r w:rsidRPr="00FA09CC">
        <w:rPr>
          <w:rFonts w:eastAsia="Times New Roman"/>
        </w:rPr>
        <w:tab/>
      </w:r>
    </w:p>
    <w:p w:rsidR="00E419AB" w:rsidRPr="00FA09CC" w:rsidRDefault="000A0A05" w:rsidP="0024594C">
      <w:pPr>
        <w:pStyle w:val="Adresodbiorcy"/>
        <w:widowControl w:val="0"/>
        <w:suppressAutoHyphens/>
        <w:spacing w:line="240" w:lineRule="auto"/>
        <w:rPr>
          <w:rStyle w:val="jlqj4b"/>
          <w:rFonts w:ascii="Times New Roman" w:hAnsi="Times New Roman"/>
          <w:b/>
          <w:color w:val="000000" w:themeColor="text1"/>
          <w:spacing w:val="0"/>
          <w:sz w:val="24"/>
          <w:szCs w:val="24"/>
        </w:rPr>
      </w:pPr>
      <w:r w:rsidRPr="00FA09CC">
        <w:rPr>
          <w:rStyle w:val="jlqj4b"/>
          <w:rFonts w:ascii="Times New Roman" w:hAnsi="Times New Roman"/>
          <w:b/>
          <w:color w:val="000000" w:themeColor="text1"/>
          <w:spacing w:val="0"/>
          <w:sz w:val="24"/>
          <w:szCs w:val="24"/>
        </w:rPr>
        <w:t xml:space="preserve">Formułowanie dokumentów politycznych i przepisów prawnych dotyczących przemocy w sposób neutralny pod względem płci </w:t>
      </w:r>
    </w:p>
    <w:p w:rsidR="001C0633" w:rsidRPr="00FA09CC" w:rsidRDefault="000A0A05" w:rsidP="0024594C">
      <w:pPr>
        <w:pStyle w:val="Adresodbiorcy"/>
        <w:widowControl w:val="0"/>
        <w:suppressAutoHyphens/>
        <w:spacing w:line="240" w:lineRule="auto"/>
        <w:rPr>
          <w:rStyle w:val="jlqj4b"/>
          <w:rFonts w:ascii="Times New Roman" w:hAnsi="Times New Roman"/>
          <w:color w:val="000000" w:themeColor="text1"/>
          <w:spacing w:val="0"/>
          <w:sz w:val="24"/>
          <w:szCs w:val="24"/>
        </w:rPr>
      </w:pPr>
      <w:r w:rsidRPr="00FA09CC">
        <w:rPr>
          <w:rStyle w:val="jlqj4b"/>
          <w:rFonts w:ascii="Times New Roman" w:hAnsi="Times New Roman"/>
          <w:color w:val="000000" w:themeColor="text1"/>
          <w:spacing w:val="0"/>
          <w:sz w:val="24"/>
          <w:szCs w:val="24"/>
        </w:rPr>
        <w:t xml:space="preserve">Polska wdraża konwencję z uwzględnieniem zasad Konstytucji RP, do czego odnosi się oświadczenie złożone w momencie ratyfikowania konwencji. </w:t>
      </w:r>
    </w:p>
    <w:p w:rsidR="00E419AB" w:rsidRPr="00FA09CC" w:rsidRDefault="000A0A05" w:rsidP="0024594C">
      <w:pPr>
        <w:pStyle w:val="Adresodbiorcy"/>
        <w:widowControl w:val="0"/>
        <w:suppressAutoHyphens/>
        <w:spacing w:line="240" w:lineRule="auto"/>
        <w:rPr>
          <w:rFonts w:ascii="Times New Roman" w:hAnsi="Times New Roman"/>
          <w:color w:val="000000" w:themeColor="text1"/>
          <w:spacing w:val="0"/>
          <w:sz w:val="24"/>
          <w:szCs w:val="24"/>
        </w:rPr>
      </w:pPr>
      <w:r w:rsidRPr="00FA09CC">
        <w:rPr>
          <w:rStyle w:val="jlqj4b"/>
          <w:rFonts w:ascii="Times New Roman" w:hAnsi="Times New Roman"/>
          <w:color w:val="000000" w:themeColor="text1"/>
          <w:spacing w:val="0"/>
          <w:sz w:val="24"/>
          <w:szCs w:val="24"/>
        </w:rPr>
        <w:t>Nadrzędnym celem rozwiązań prawnych i programów działania dotyczących kwestii uregulowanych w konwencji jest zrealizowanie fundamentalnego obowiązku władz publicznych poszanowania i ochrony godności człowieka, oraz zagwarantowania, wywodzonych z godności człowieka, wolności i praw człowieka i obywatela (art. 30 Konstytucji RP). Treść rozwiązań prawnych i programów działania realizuje określone w Konstytucji RP podstawowe wymogi w zakresie gwarantowania równości wszystkich wobec prawa, praw</w:t>
      </w:r>
      <w:r w:rsidR="00FC4F61">
        <w:rPr>
          <w:rStyle w:val="jlqj4b"/>
          <w:rFonts w:ascii="Times New Roman" w:hAnsi="Times New Roman"/>
          <w:color w:val="000000" w:themeColor="text1"/>
          <w:spacing w:val="0"/>
          <w:sz w:val="24"/>
          <w:szCs w:val="24"/>
        </w:rPr>
        <w:t>a</w:t>
      </w:r>
      <w:r w:rsidRPr="00FA09CC">
        <w:rPr>
          <w:rStyle w:val="jlqj4b"/>
          <w:rFonts w:ascii="Times New Roman" w:hAnsi="Times New Roman"/>
          <w:color w:val="000000" w:themeColor="text1"/>
          <w:spacing w:val="0"/>
          <w:sz w:val="24"/>
          <w:szCs w:val="24"/>
        </w:rPr>
        <w:t xml:space="preserve"> wszystkich do równego traktowania przez władze publiczne (art. 32 ust. 1), niedyskryminacji z jakiejkolwiek przyczyny w życiu politycznym, społecznym lub gospodarczym (art. 32 ust. 2), równych praw kobiet i mężczyzn w życiu rodzinnym, politycznym, społecznym i gospodarczym (art. 33 ust. 1). </w:t>
      </w:r>
    </w:p>
    <w:p w:rsidR="00E419AB" w:rsidRPr="00FA09CC" w:rsidRDefault="000A0A05" w:rsidP="0024594C">
      <w:pPr>
        <w:ind w:left="0" w:firstLine="0"/>
        <w:rPr>
          <w:color w:val="000000" w:themeColor="text1"/>
        </w:rPr>
      </w:pPr>
      <w:r w:rsidRPr="00FA09CC">
        <w:rPr>
          <w:rFonts w:eastAsia="Calibri"/>
          <w:color w:val="000000" w:themeColor="text1"/>
        </w:rPr>
        <w:t xml:space="preserve">Artykuły 32 i 33 Konstytucji RP </w:t>
      </w:r>
      <w:r w:rsidRPr="00FA09CC">
        <w:rPr>
          <w:color w:val="000000" w:themeColor="text1"/>
        </w:rPr>
        <w:t>nie nakazują traktowania w identyczny sposób</w:t>
      </w:r>
      <w:r w:rsidR="00FC4F61">
        <w:rPr>
          <w:color w:val="000000" w:themeColor="text1"/>
        </w:rPr>
        <w:t>,</w:t>
      </w:r>
      <w:r w:rsidRPr="00FA09CC">
        <w:rPr>
          <w:color w:val="000000" w:themeColor="text1"/>
        </w:rPr>
        <w:t xml:space="preserve"> czy gwarantowania identycznych praw, ani nie zakazują różnicowania sytuacji podmiotów prawa. Równość należy pojmować jako zakaz nieuzasadnionego różnicowania przy kształtowaniu sytuacji podobnych podmiotów prawa albo jednakowego traktowania różnych podmiotów prawa</w:t>
      </w:r>
      <w:r w:rsidR="00E419AB" w:rsidRPr="00FA09CC">
        <w:rPr>
          <w:rStyle w:val="Odwoanieprzypisudolnego"/>
          <w:color w:val="000000" w:themeColor="text1"/>
        </w:rPr>
        <w:footnoteReference w:id="2"/>
      </w:r>
      <w:r w:rsidR="00E419AB" w:rsidRPr="00FA09CC">
        <w:rPr>
          <w:color w:val="000000" w:themeColor="text1"/>
        </w:rPr>
        <w:t xml:space="preserve">. </w:t>
      </w:r>
    </w:p>
    <w:p w:rsidR="00E419AB" w:rsidRPr="00FA09CC" w:rsidRDefault="000A0A05" w:rsidP="0024594C">
      <w:pPr>
        <w:shd w:val="clear" w:color="auto" w:fill="FFFFFF" w:themeFill="background1"/>
        <w:ind w:left="0" w:firstLine="0"/>
        <w:rPr>
          <w:color w:val="000000" w:themeColor="text1"/>
        </w:rPr>
      </w:pPr>
      <w:r w:rsidRPr="00FA09CC">
        <w:rPr>
          <w:color w:val="000000" w:themeColor="text1"/>
        </w:rPr>
        <w:t xml:space="preserve">Mechanizmy i narzędzia zapobiegania i zwalczania przemocy, w tym zawarte w ustawie </w:t>
      </w:r>
      <w:r w:rsidR="006928B9">
        <w:rPr>
          <w:color w:val="000000" w:themeColor="text1"/>
        </w:rPr>
        <w:br/>
      </w:r>
      <w:r w:rsidRPr="00FA09CC">
        <w:rPr>
          <w:color w:val="000000" w:themeColor="text1"/>
        </w:rPr>
        <w:t xml:space="preserve">o przeciwdziałaniu przemocy w rodzinie, </w:t>
      </w:r>
      <w:r w:rsidR="00102BA6">
        <w:rPr>
          <w:color w:val="000000" w:themeColor="text1"/>
        </w:rPr>
        <w:t xml:space="preserve">równo traktują i chronią </w:t>
      </w:r>
      <w:r w:rsidRPr="00FA09CC">
        <w:rPr>
          <w:color w:val="000000" w:themeColor="text1"/>
        </w:rPr>
        <w:t>osoby doznające przemocy</w:t>
      </w:r>
      <w:r w:rsidR="00102BA6">
        <w:rPr>
          <w:color w:val="000000" w:themeColor="text1"/>
        </w:rPr>
        <w:t xml:space="preserve">, </w:t>
      </w:r>
      <w:r w:rsidR="00102BA6">
        <w:rPr>
          <w:color w:val="000000" w:themeColor="text1"/>
        </w:rPr>
        <w:lastRenderedPageBreak/>
        <w:t>niezależnie od płci</w:t>
      </w:r>
      <w:r w:rsidRPr="00FA09CC">
        <w:rPr>
          <w:color w:val="000000" w:themeColor="text1"/>
        </w:rPr>
        <w:t xml:space="preserve">. Jedyną grupą, dla której przewidziano specyficzne rozwiązania, są dzieci, wobec których należy oddziaływać inaczej niż w stosunku do dorosłych. </w:t>
      </w:r>
    </w:p>
    <w:p w:rsidR="00EC1E52" w:rsidRPr="00FA09CC" w:rsidRDefault="00EC1E52" w:rsidP="0024594C">
      <w:pPr>
        <w:pStyle w:val="Adresodbiorcy"/>
        <w:widowControl w:val="0"/>
        <w:shd w:val="clear" w:color="auto" w:fill="FFFFFF" w:themeFill="background1"/>
        <w:suppressAutoHyphens/>
        <w:spacing w:line="240" w:lineRule="auto"/>
        <w:rPr>
          <w:rStyle w:val="jlqj4b"/>
          <w:rFonts w:ascii="Times New Roman" w:hAnsi="Times New Roman"/>
          <w:b/>
          <w:color w:val="000000" w:themeColor="text1"/>
          <w:spacing w:val="0"/>
          <w:sz w:val="24"/>
          <w:szCs w:val="24"/>
        </w:rPr>
      </w:pPr>
    </w:p>
    <w:p w:rsidR="00EC1E52" w:rsidRPr="00FA09CC" w:rsidRDefault="00EC1E52" w:rsidP="0024594C">
      <w:pPr>
        <w:pStyle w:val="Adresodbiorcy"/>
        <w:widowControl w:val="0"/>
        <w:shd w:val="clear" w:color="auto" w:fill="FFFFFF" w:themeFill="background1"/>
        <w:suppressAutoHyphens/>
        <w:spacing w:line="240" w:lineRule="auto"/>
        <w:rPr>
          <w:rStyle w:val="jlqj4b"/>
          <w:rFonts w:ascii="Times New Roman" w:hAnsi="Times New Roman"/>
          <w:b/>
          <w:color w:val="000000" w:themeColor="text1"/>
          <w:spacing w:val="0"/>
          <w:sz w:val="24"/>
          <w:szCs w:val="24"/>
        </w:rPr>
      </w:pPr>
      <w:r w:rsidRPr="00FA09CC">
        <w:rPr>
          <w:rStyle w:val="jlqj4b"/>
          <w:rFonts w:ascii="Times New Roman" w:hAnsi="Times New Roman"/>
          <w:b/>
          <w:color w:val="000000" w:themeColor="text1"/>
          <w:spacing w:val="0"/>
          <w:sz w:val="24"/>
          <w:szCs w:val="24"/>
        </w:rPr>
        <w:t>Stosowan</w:t>
      </w:r>
      <w:r w:rsidR="00AB696E" w:rsidRPr="00FA09CC">
        <w:rPr>
          <w:rStyle w:val="jlqj4b"/>
          <w:rFonts w:ascii="Times New Roman" w:hAnsi="Times New Roman"/>
          <w:b/>
          <w:color w:val="000000" w:themeColor="text1"/>
          <w:spacing w:val="0"/>
          <w:sz w:val="24"/>
          <w:szCs w:val="24"/>
        </w:rPr>
        <w:t>ie</w:t>
      </w:r>
      <w:r w:rsidRPr="00FA09CC">
        <w:rPr>
          <w:rStyle w:val="jlqj4b"/>
          <w:rFonts w:ascii="Times New Roman" w:hAnsi="Times New Roman"/>
          <w:b/>
          <w:color w:val="000000" w:themeColor="text1"/>
          <w:spacing w:val="0"/>
          <w:sz w:val="24"/>
          <w:szCs w:val="24"/>
        </w:rPr>
        <w:t xml:space="preserve"> </w:t>
      </w:r>
      <w:r w:rsidR="00AB696E" w:rsidRPr="00FA09CC">
        <w:rPr>
          <w:rStyle w:val="jlqj4b"/>
          <w:rFonts w:ascii="Times New Roman" w:hAnsi="Times New Roman"/>
          <w:b/>
          <w:color w:val="000000" w:themeColor="text1"/>
          <w:spacing w:val="0"/>
          <w:sz w:val="24"/>
          <w:szCs w:val="24"/>
        </w:rPr>
        <w:t xml:space="preserve">terminu „gender” </w:t>
      </w:r>
      <w:r w:rsidRPr="00FA09CC">
        <w:rPr>
          <w:rStyle w:val="jlqj4b"/>
          <w:rFonts w:ascii="Times New Roman" w:hAnsi="Times New Roman"/>
          <w:b/>
          <w:color w:val="000000" w:themeColor="text1"/>
          <w:spacing w:val="0"/>
          <w:sz w:val="24"/>
          <w:szCs w:val="24"/>
        </w:rPr>
        <w:t xml:space="preserve">w konwencji i </w:t>
      </w:r>
      <w:r w:rsidR="001016F0" w:rsidRPr="00FA09CC">
        <w:rPr>
          <w:rStyle w:val="jlqj4b"/>
          <w:rFonts w:ascii="Times New Roman" w:hAnsi="Times New Roman"/>
          <w:b/>
          <w:color w:val="000000" w:themeColor="text1"/>
          <w:spacing w:val="0"/>
          <w:sz w:val="24"/>
          <w:szCs w:val="24"/>
        </w:rPr>
        <w:t xml:space="preserve">w </w:t>
      </w:r>
      <w:r w:rsidRPr="00FA09CC">
        <w:rPr>
          <w:rStyle w:val="jlqj4b"/>
          <w:rFonts w:ascii="Times New Roman" w:hAnsi="Times New Roman"/>
          <w:b/>
          <w:color w:val="000000" w:themeColor="text1"/>
          <w:spacing w:val="0"/>
          <w:sz w:val="24"/>
          <w:szCs w:val="24"/>
        </w:rPr>
        <w:t xml:space="preserve">raporcie </w:t>
      </w:r>
      <w:r w:rsidR="00AB696E" w:rsidRPr="00FA09CC">
        <w:rPr>
          <w:rStyle w:val="jlqj4b"/>
          <w:rFonts w:ascii="Times New Roman" w:hAnsi="Times New Roman"/>
          <w:b/>
          <w:color w:val="000000" w:themeColor="text1"/>
          <w:spacing w:val="0"/>
          <w:sz w:val="24"/>
          <w:szCs w:val="24"/>
        </w:rPr>
        <w:t>GREVIO dotyczącym wykonywania przez Polskę konwencji</w:t>
      </w:r>
    </w:p>
    <w:p w:rsidR="00EC1E52" w:rsidRPr="00FA09CC" w:rsidRDefault="00EC1E52" w:rsidP="0024594C">
      <w:pPr>
        <w:pStyle w:val="Adresodbiorcy"/>
        <w:widowControl w:val="0"/>
        <w:shd w:val="clear" w:color="auto" w:fill="FFFFFF" w:themeFill="background1"/>
        <w:suppressAutoHyphens/>
        <w:spacing w:line="240" w:lineRule="auto"/>
        <w:rPr>
          <w:rFonts w:ascii="Times New Roman" w:hAnsi="Times New Roman"/>
          <w:color w:val="000000" w:themeColor="text1"/>
          <w:spacing w:val="0"/>
          <w:sz w:val="24"/>
          <w:szCs w:val="24"/>
        </w:rPr>
      </w:pPr>
      <w:r w:rsidRPr="00FA09CC">
        <w:rPr>
          <w:rFonts w:ascii="Times New Roman" w:hAnsi="Times New Roman"/>
          <w:color w:val="000000" w:themeColor="text1"/>
          <w:spacing w:val="0"/>
          <w:sz w:val="24"/>
          <w:szCs w:val="24"/>
        </w:rPr>
        <w:t xml:space="preserve">Stosowanie terminu „gender” powoduje wiele problemów interpretacyjnych. </w:t>
      </w:r>
      <w:r w:rsidR="00D2377B" w:rsidRPr="00FA09CC">
        <w:rPr>
          <w:rFonts w:ascii="Times New Roman" w:hAnsi="Times New Roman"/>
          <w:color w:val="000000" w:themeColor="text1"/>
          <w:spacing w:val="0"/>
          <w:sz w:val="24"/>
          <w:szCs w:val="24"/>
        </w:rPr>
        <w:t xml:space="preserve">Termin ten </w:t>
      </w:r>
      <w:r w:rsidRPr="00FA09CC">
        <w:rPr>
          <w:rFonts w:ascii="Times New Roman" w:hAnsi="Times New Roman"/>
          <w:color w:val="000000" w:themeColor="text1"/>
          <w:spacing w:val="0"/>
          <w:sz w:val="24"/>
          <w:szCs w:val="24"/>
        </w:rPr>
        <w:t xml:space="preserve">nie jest pojęciem prawnym i nie </w:t>
      </w:r>
      <w:r w:rsidR="00FC4F61">
        <w:rPr>
          <w:rFonts w:ascii="Times New Roman" w:hAnsi="Times New Roman"/>
          <w:color w:val="000000" w:themeColor="text1"/>
          <w:spacing w:val="0"/>
          <w:sz w:val="24"/>
          <w:szCs w:val="24"/>
        </w:rPr>
        <w:t>ma</w:t>
      </w:r>
      <w:r w:rsidRPr="00FA09CC">
        <w:rPr>
          <w:rFonts w:ascii="Times New Roman" w:hAnsi="Times New Roman"/>
          <w:color w:val="000000" w:themeColor="text1"/>
          <w:spacing w:val="0"/>
          <w:sz w:val="24"/>
          <w:szCs w:val="24"/>
        </w:rPr>
        <w:t xml:space="preserve"> umocowania w wiążących mechanizmach międzynarodowych o charakterze powszechnym. Dodatkowo, poprzez swoją wieloznaczność</w:t>
      </w:r>
      <w:r w:rsidR="001016F0" w:rsidRPr="00FA09CC">
        <w:rPr>
          <w:rFonts w:ascii="Times New Roman" w:hAnsi="Times New Roman"/>
          <w:color w:val="000000" w:themeColor="text1"/>
          <w:spacing w:val="0"/>
          <w:sz w:val="24"/>
          <w:szCs w:val="24"/>
        </w:rPr>
        <w:t>,</w:t>
      </w:r>
      <w:r w:rsidRPr="00FA09CC">
        <w:rPr>
          <w:rFonts w:ascii="Times New Roman" w:hAnsi="Times New Roman"/>
          <w:color w:val="000000" w:themeColor="text1"/>
          <w:spacing w:val="0"/>
          <w:sz w:val="24"/>
          <w:szCs w:val="24"/>
        </w:rPr>
        <w:t xml:space="preserve"> ma cechę blankietowości, co w obrocie prawnym, w kontekście gwarantowanych praw </w:t>
      </w:r>
      <w:r w:rsidR="006928B9">
        <w:rPr>
          <w:rFonts w:ascii="Times New Roman" w:hAnsi="Times New Roman"/>
          <w:color w:val="000000" w:themeColor="text1"/>
          <w:spacing w:val="0"/>
          <w:sz w:val="24"/>
          <w:szCs w:val="24"/>
        </w:rPr>
        <w:br/>
      </w:r>
      <w:r w:rsidRPr="00FA09CC">
        <w:rPr>
          <w:rFonts w:ascii="Times New Roman" w:hAnsi="Times New Roman"/>
          <w:color w:val="000000" w:themeColor="text1"/>
          <w:spacing w:val="0"/>
          <w:sz w:val="24"/>
          <w:szCs w:val="24"/>
        </w:rPr>
        <w:t xml:space="preserve">i obowiązków, stwarza wątpliwości co do odpowiedniego rozumienia i stosowania prawa. </w:t>
      </w:r>
    </w:p>
    <w:p w:rsidR="00E419AB" w:rsidRPr="00FA09CC" w:rsidRDefault="00E419AB" w:rsidP="0024594C">
      <w:pPr>
        <w:pStyle w:val="Adresodbiorcy"/>
        <w:widowControl w:val="0"/>
        <w:shd w:val="clear" w:color="auto" w:fill="FFFFFF" w:themeFill="background1"/>
        <w:suppressAutoHyphens/>
        <w:spacing w:line="240" w:lineRule="auto"/>
        <w:rPr>
          <w:rFonts w:ascii="Times New Roman" w:hAnsi="Times New Roman"/>
          <w:b/>
          <w:color w:val="000000" w:themeColor="text1"/>
          <w:spacing w:val="0"/>
          <w:sz w:val="24"/>
          <w:szCs w:val="24"/>
          <w:shd w:val="clear" w:color="auto" w:fill="FFFFFF"/>
        </w:rPr>
      </w:pPr>
    </w:p>
    <w:p w:rsidR="00E419AB" w:rsidRPr="00FA09CC" w:rsidRDefault="000A0A05" w:rsidP="0024594C">
      <w:pPr>
        <w:pStyle w:val="Adresodbiorcy"/>
        <w:widowControl w:val="0"/>
        <w:shd w:val="clear" w:color="auto" w:fill="FFFFFF" w:themeFill="background1"/>
        <w:suppressAutoHyphens/>
        <w:spacing w:line="240" w:lineRule="auto"/>
        <w:rPr>
          <w:rFonts w:ascii="Times New Roman" w:hAnsi="Times New Roman"/>
          <w:b/>
          <w:smallCaps/>
          <w:color w:val="000000" w:themeColor="text1"/>
          <w:spacing w:val="0"/>
          <w:sz w:val="24"/>
          <w:szCs w:val="24"/>
          <w:shd w:val="clear" w:color="auto" w:fill="FFFFFF"/>
        </w:rPr>
      </w:pPr>
      <w:r w:rsidRPr="00FA09CC">
        <w:rPr>
          <w:rFonts w:ascii="Times New Roman" w:hAnsi="Times New Roman"/>
          <w:b/>
          <w:smallCaps/>
          <w:color w:val="000000" w:themeColor="text1"/>
          <w:spacing w:val="0"/>
          <w:sz w:val="24"/>
          <w:szCs w:val="24"/>
          <w:shd w:val="clear" w:color="auto" w:fill="FFFFFF"/>
        </w:rPr>
        <w:t>II. Uwagi szczegółowe</w:t>
      </w:r>
    </w:p>
    <w:p w:rsidR="00E419AB" w:rsidRPr="00FA09CC" w:rsidRDefault="00E419AB" w:rsidP="0024594C">
      <w:pPr>
        <w:pStyle w:val="Adresodbiorcy"/>
        <w:widowControl w:val="0"/>
        <w:shd w:val="clear" w:color="auto" w:fill="FFFFFF" w:themeFill="background1"/>
        <w:suppressAutoHyphens/>
        <w:spacing w:line="240" w:lineRule="auto"/>
        <w:rPr>
          <w:rFonts w:ascii="Times New Roman" w:hAnsi="Times New Roman"/>
          <w:b/>
          <w:smallCaps/>
          <w:color w:val="000000" w:themeColor="text1"/>
          <w:spacing w:val="0"/>
          <w:sz w:val="24"/>
          <w:szCs w:val="24"/>
          <w:shd w:val="clear" w:color="auto" w:fill="FFFFFF"/>
        </w:rPr>
      </w:pPr>
    </w:p>
    <w:p w:rsidR="003D60A2" w:rsidRPr="00FA09CC" w:rsidRDefault="000A0A05" w:rsidP="0024594C">
      <w:pPr>
        <w:pStyle w:val="Adresodbiorcy"/>
        <w:widowControl w:val="0"/>
        <w:shd w:val="clear" w:color="auto" w:fill="FFFFFF" w:themeFill="background1"/>
        <w:suppressAutoHyphens/>
        <w:spacing w:line="240" w:lineRule="auto"/>
        <w:rPr>
          <w:rFonts w:ascii="Times New Roman" w:hAnsi="Times New Roman"/>
          <w:b/>
          <w:color w:val="000000" w:themeColor="text1"/>
          <w:spacing w:val="0"/>
          <w:sz w:val="24"/>
          <w:szCs w:val="24"/>
          <w:shd w:val="clear" w:color="auto" w:fill="FFFFFF"/>
        </w:rPr>
      </w:pPr>
      <w:r w:rsidRPr="00FA09CC">
        <w:rPr>
          <w:rFonts w:ascii="Times New Roman" w:hAnsi="Times New Roman"/>
          <w:b/>
          <w:color w:val="000000" w:themeColor="text1"/>
          <w:spacing w:val="0"/>
          <w:sz w:val="24"/>
          <w:szCs w:val="24"/>
          <w:shd w:val="clear" w:color="auto" w:fill="FFFFFF"/>
        </w:rPr>
        <w:t>Paragrafy 4, 5, 8 i 9 – podmiotowy i przedmiotowy zakres stosowania rozwiązań dotyczących przemocy w rodzinie</w:t>
      </w:r>
    </w:p>
    <w:p w:rsidR="00FD2992" w:rsidRPr="00FA09CC" w:rsidRDefault="000A0A05" w:rsidP="0024594C">
      <w:pPr>
        <w:ind w:left="0" w:firstLine="0"/>
        <w:rPr>
          <w:color w:val="000000" w:themeColor="text1"/>
          <w:lang w:eastAsia="en-GB"/>
        </w:rPr>
      </w:pPr>
      <w:r w:rsidRPr="00FA09CC">
        <w:rPr>
          <w:color w:val="000000" w:themeColor="text1"/>
          <w:lang w:eastAsia="en-GB"/>
        </w:rPr>
        <w:t xml:space="preserve">Podjęte zostały prace nad nowelizacją ustawy o przeciwdziałaniu przemocy w rodzinie, </w:t>
      </w:r>
      <w:r w:rsidR="006928B9">
        <w:rPr>
          <w:color w:val="000000" w:themeColor="text1"/>
          <w:lang w:eastAsia="en-GB"/>
        </w:rPr>
        <w:br/>
      </w:r>
      <w:r w:rsidRPr="00FA09CC">
        <w:rPr>
          <w:color w:val="000000" w:themeColor="text1"/>
          <w:lang w:eastAsia="en-GB"/>
        </w:rPr>
        <w:t>w celu doprecyzowania definicji w niej zawartych. Zakłada się, że nowelizacja ustawy zostanie uchwalona przez Sejm RP do końca 2021 r.</w:t>
      </w:r>
    </w:p>
    <w:p w:rsidR="003D60A2" w:rsidRPr="00FA09CC" w:rsidRDefault="009B2ADB" w:rsidP="0024594C">
      <w:pPr>
        <w:ind w:left="0" w:firstLine="0"/>
        <w:rPr>
          <w:color w:val="000000" w:themeColor="text1"/>
          <w:lang w:eastAsia="en-GB"/>
        </w:rPr>
      </w:pPr>
      <w:r w:rsidRPr="00FA09CC">
        <w:rPr>
          <w:color w:val="000000" w:themeColor="text1"/>
          <w:lang w:eastAsia="en-GB"/>
        </w:rPr>
        <w:t>N</w:t>
      </w:r>
      <w:r w:rsidR="00902794" w:rsidRPr="00FA09CC">
        <w:rPr>
          <w:color w:val="000000" w:themeColor="text1"/>
          <w:lang w:eastAsia="en-GB"/>
        </w:rPr>
        <w:t>owelizacj</w:t>
      </w:r>
      <w:r w:rsidRPr="00FA09CC">
        <w:rPr>
          <w:color w:val="000000" w:themeColor="text1"/>
          <w:lang w:eastAsia="en-GB"/>
        </w:rPr>
        <w:t>a</w:t>
      </w:r>
      <w:r w:rsidR="00902794" w:rsidRPr="00FA09CC">
        <w:rPr>
          <w:color w:val="000000" w:themeColor="text1"/>
          <w:lang w:eastAsia="en-GB"/>
        </w:rPr>
        <w:t xml:space="preserve"> </w:t>
      </w:r>
      <w:r w:rsidRPr="00FA09CC">
        <w:rPr>
          <w:color w:val="000000" w:themeColor="text1"/>
          <w:lang w:eastAsia="en-GB"/>
        </w:rPr>
        <w:t>obejmie</w:t>
      </w:r>
      <w:r w:rsidR="000A0A05" w:rsidRPr="00FA09CC">
        <w:rPr>
          <w:color w:val="000000" w:themeColor="text1"/>
          <w:lang w:eastAsia="en-GB"/>
        </w:rPr>
        <w:t xml:space="preserve">: </w:t>
      </w:r>
    </w:p>
    <w:p w:rsidR="003D60A2" w:rsidRPr="00FA09CC" w:rsidRDefault="000A0A05" w:rsidP="0024594C">
      <w:pPr>
        <w:pStyle w:val="Akapitzlist"/>
        <w:numPr>
          <w:ilvl w:val="0"/>
          <w:numId w:val="18"/>
        </w:numPr>
        <w:rPr>
          <w:color w:val="000000" w:themeColor="text1"/>
          <w:lang w:eastAsia="en-GB"/>
        </w:rPr>
      </w:pPr>
      <w:r w:rsidRPr="00FA09CC">
        <w:rPr>
          <w:color w:val="000000" w:themeColor="text1"/>
          <w:lang w:eastAsia="en-GB"/>
        </w:rPr>
        <w:t xml:space="preserve">rozszerzenie podmiotowego zakresu stosowania ustawy na: byłych małżonków </w:t>
      </w:r>
      <w:r w:rsidR="006928B9">
        <w:rPr>
          <w:color w:val="000000" w:themeColor="text1"/>
          <w:lang w:eastAsia="en-GB"/>
        </w:rPr>
        <w:br/>
      </w:r>
      <w:r w:rsidRPr="00FA09CC">
        <w:rPr>
          <w:color w:val="000000" w:themeColor="text1"/>
          <w:lang w:eastAsia="en-GB"/>
        </w:rPr>
        <w:t>i partnerów, którzy nie zamieszkują z osobą doznającą przemocy w rodzinie, inne osoby spokrewnione, bądź niespokrewnione, pozostające w faktycznym związku,</w:t>
      </w:r>
    </w:p>
    <w:p w:rsidR="003D60A2" w:rsidRPr="00FA09CC" w:rsidRDefault="004D7E93" w:rsidP="0024594C">
      <w:pPr>
        <w:pStyle w:val="Akapitzlist"/>
        <w:numPr>
          <w:ilvl w:val="0"/>
          <w:numId w:val="18"/>
        </w:numPr>
        <w:rPr>
          <w:color w:val="000000" w:themeColor="text1"/>
          <w:lang w:eastAsia="en-GB"/>
        </w:rPr>
      </w:pPr>
      <w:r>
        <w:rPr>
          <w:color w:val="000000" w:themeColor="text1"/>
          <w:lang w:eastAsia="en-GB"/>
        </w:rPr>
        <w:t>prawdopodobne (po uzyskaniu wyników badań akt</w:t>
      </w:r>
      <w:r w:rsidR="00F23E81">
        <w:rPr>
          <w:color w:val="000000" w:themeColor="text1"/>
          <w:lang w:eastAsia="en-GB"/>
        </w:rPr>
        <w:t xml:space="preserve"> sądowych</w:t>
      </w:r>
      <w:r>
        <w:rPr>
          <w:color w:val="000000" w:themeColor="text1"/>
          <w:lang w:eastAsia="en-GB"/>
        </w:rPr>
        <w:t xml:space="preserve">) </w:t>
      </w:r>
      <w:r w:rsidR="000A0A05" w:rsidRPr="00FA09CC">
        <w:rPr>
          <w:color w:val="000000" w:themeColor="text1"/>
          <w:lang w:eastAsia="en-GB"/>
        </w:rPr>
        <w:t xml:space="preserve">uzupełnienie katalogu czynów uznawanych za stanowiące przejaw przemocy w rodzinie, o przemoc ekonomiczną. </w:t>
      </w:r>
    </w:p>
    <w:p w:rsidR="003D60A2" w:rsidRPr="00FA09CC" w:rsidRDefault="000A0A05" w:rsidP="0024594C">
      <w:pPr>
        <w:ind w:left="0" w:firstLine="0"/>
        <w:rPr>
          <w:color w:val="000000" w:themeColor="text1"/>
          <w:lang w:eastAsia="en-GB"/>
        </w:rPr>
      </w:pPr>
      <w:r w:rsidRPr="00FA09CC">
        <w:rPr>
          <w:color w:val="000000" w:themeColor="text1"/>
          <w:lang w:eastAsia="en-GB"/>
        </w:rPr>
        <w:t>Należy mieć jednak na względzie, jak wskazano w sprawozdaniu Polski z wykonywania konwencji, że przepisy prawne, z obszaru prawa karnego oraz dotyczące zwalczania przemocy w rodzinie</w:t>
      </w:r>
      <w:r w:rsidR="00FC4F61">
        <w:rPr>
          <w:color w:val="000000" w:themeColor="text1"/>
          <w:lang w:eastAsia="en-GB"/>
        </w:rPr>
        <w:t>,</w:t>
      </w:r>
      <w:r w:rsidRPr="00FA09CC">
        <w:rPr>
          <w:color w:val="000000" w:themeColor="text1"/>
          <w:lang w:eastAsia="en-GB"/>
        </w:rPr>
        <w:t xml:space="preserve"> uznają </w:t>
      </w:r>
      <w:r w:rsidR="00F23E81">
        <w:rPr>
          <w:color w:val="000000" w:themeColor="text1"/>
          <w:lang w:eastAsia="en-GB"/>
        </w:rPr>
        <w:t xml:space="preserve">już </w:t>
      </w:r>
      <w:r w:rsidRPr="00FA09CC">
        <w:rPr>
          <w:color w:val="000000" w:themeColor="text1"/>
          <w:lang w:eastAsia="en-GB"/>
        </w:rPr>
        <w:t xml:space="preserve">obecnie przemoc ekonomiczną za formę przemocy psychicznej. Przemoc ekonomiczna jest identyfikowana i badana w ramach diagnoz zlecanych przez Ministerstwo Rodziny i Polityki Społecznej w oparciu o Krajowy Program Przeciwdziałania Przemocy w Rodzinie. </w:t>
      </w:r>
    </w:p>
    <w:p w:rsidR="00AA75A9" w:rsidRPr="00FA09CC" w:rsidRDefault="00AA75A9" w:rsidP="0024594C">
      <w:pPr>
        <w:pStyle w:val="Adresodbiorcy"/>
        <w:widowControl w:val="0"/>
        <w:suppressAutoHyphens/>
        <w:spacing w:line="240" w:lineRule="auto"/>
        <w:rPr>
          <w:rFonts w:ascii="Times New Roman" w:hAnsi="Times New Roman"/>
          <w:color w:val="000000" w:themeColor="text1"/>
          <w:spacing w:val="0"/>
          <w:sz w:val="24"/>
          <w:szCs w:val="24"/>
        </w:rPr>
      </w:pPr>
    </w:p>
    <w:p w:rsidR="00F52B61" w:rsidRPr="00FA09CC" w:rsidRDefault="000A0A05" w:rsidP="0024594C">
      <w:pPr>
        <w:ind w:left="0" w:firstLine="0"/>
        <w:rPr>
          <w:b/>
          <w:bCs/>
          <w:color w:val="000000" w:themeColor="text1"/>
        </w:rPr>
      </w:pPr>
      <w:r w:rsidRPr="00FA09CC">
        <w:rPr>
          <w:b/>
          <w:bCs/>
          <w:color w:val="000000" w:themeColor="text1"/>
        </w:rPr>
        <w:t>Paragrafy 4, 7</w:t>
      </w:r>
      <w:r w:rsidR="00623320">
        <w:rPr>
          <w:b/>
          <w:bCs/>
          <w:color w:val="000000" w:themeColor="text1"/>
        </w:rPr>
        <w:t>,</w:t>
      </w:r>
      <w:r w:rsidRPr="00FA09CC">
        <w:rPr>
          <w:b/>
          <w:bCs/>
          <w:color w:val="000000" w:themeColor="text1"/>
        </w:rPr>
        <w:t xml:space="preserve"> 8, 36 – zwalczanie niektórych form przemocy </w:t>
      </w:r>
    </w:p>
    <w:p w:rsidR="00E419AB" w:rsidRPr="00FA09CC" w:rsidRDefault="000A0A05" w:rsidP="0024594C">
      <w:pPr>
        <w:ind w:left="0" w:firstLine="0"/>
        <w:rPr>
          <w:color w:val="000000" w:themeColor="text1"/>
        </w:rPr>
      </w:pPr>
      <w:r w:rsidRPr="00FA09CC">
        <w:rPr>
          <w:color w:val="000000" w:themeColor="text1"/>
        </w:rPr>
        <w:t>Stwierdzeni</w:t>
      </w:r>
      <w:r w:rsidR="00F23E81">
        <w:rPr>
          <w:color w:val="000000" w:themeColor="text1"/>
        </w:rPr>
        <w:t>e</w:t>
      </w:r>
      <w:r w:rsidRPr="00FA09CC">
        <w:rPr>
          <w:color w:val="000000" w:themeColor="text1"/>
        </w:rPr>
        <w:t xml:space="preserve">, że władze polskie nie podejmują, w odpowiedniej skali, działań w związku </w:t>
      </w:r>
      <w:r w:rsidR="006928B9">
        <w:rPr>
          <w:color w:val="000000" w:themeColor="text1"/>
        </w:rPr>
        <w:br/>
      </w:r>
      <w:r w:rsidRPr="00FA09CC">
        <w:rPr>
          <w:color w:val="000000" w:themeColor="text1"/>
        </w:rPr>
        <w:t xml:space="preserve">z niektórymi formami przemocy (przymusowe małżeństwa, okaleczanie żeńskich organów płciowych, przymusowa sterylizacja) nie </w:t>
      </w:r>
      <w:r w:rsidR="001016F0" w:rsidRPr="00FA09CC">
        <w:rPr>
          <w:color w:val="000000" w:themeColor="text1"/>
        </w:rPr>
        <w:t xml:space="preserve">wydaje się </w:t>
      </w:r>
      <w:r w:rsidRPr="00FA09CC">
        <w:rPr>
          <w:color w:val="000000" w:themeColor="text1"/>
        </w:rPr>
        <w:t xml:space="preserve">zasadne. </w:t>
      </w:r>
    </w:p>
    <w:p w:rsidR="00102BA6" w:rsidRDefault="000A0A05" w:rsidP="0024594C">
      <w:pPr>
        <w:ind w:left="0" w:firstLine="0"/>
        <w:rPr>
          <w:color w:val="000000" w:themeColor="text1"/>
        </w:rPr>
      </w:pPr>
      <w:r w:rsidRPr="00FA09CC">
        <w:rPr>
          <w:color w:val="000000" w:themeColor="text1"/>
        </w:rPr>
        <w:t xml:space="preserve">Ocena odpowiedniości uregulowań prawnych i innych działań musi brać pod uwagę skalę zagrożenia określonymi rodzajami przemocy. Jak wskazano w sprawozdaniu Polski </w:t>
      </w:r>
      <w:r w:rsidR="006928B9">
        <w:rPr>
          <w:color w:val="000000" w:themeColor="text1"/>
        </w:rPr>
        <w:br/>
      </w:r>
      <w:r w:rsidRPr="00FA09CC">
        <w:rPr>
          <w:iCs/>
          <w:color w:val="000000" w:themeColor="text1"/>
        </w:rPr>
        <w:t xml:space="preserve">z wykonywania konwencji, </w:t>
      </w:r>
      <w:r w:rsidRPr="00FA09CC">
        <w:rPr>
          <w:color w:val="000000" w:themeColor="text1"/>
        </w:rPr>
        <w:t xml:space="preserve">takie czyny jak okaleczanie żeńskich organów płciowych, przymusowa sterylizacja, co do zasady nie występują w Polsce, toteż nie są wymieniane wprost w Kodeksie karnym. Gdyby takie czyny wystąpiły, </w:t>
      </w:r>
      <w:r w:rsidR="00102BA6">
        <w:rPr>
          <w:color w:val="000000" w:themeColor="text1"/>
        </w:rPr>
        <w:t xml:space="preserve">przymusowa aborcja i sterylizacja zostałyby zakwalifikowane jako, odpowiednio, </w:t>
      </w:r>
      <w:r w:rsidR="00102BA6" w:rsidRPr="00FA09CC">
        <w:rPr>
          <w:color w:val="000000" w:themeColor="text1"/>
        </w:rPr>
        <w:t>wymuszona aborcja (art. 153 K</w:t>
      </w:r>
      <w:r w:rsidR="00102BA6">
        <w:rPr>
          <w:color w:val="000000" w:themeColor="text1"/>
        </w:rPr>
        <w:t xml:space="preserve">odeksu </w:t>
      </w:r>
      <w:r w:rsidR="00102BA6" w:rsidRPr="00FA09CC">
        <w:rPr>
          <w:color w:val="000000" w:themeColor="text1"/>
        </w:rPr>
        <w:t>k</w:t>
      </w:r>
      <w:r w:rsidR="00102BA6">
        <w:rPr>
          <w:color w:val="000000" w:themeColor="text1"/>
        </w:rPr>
        <w:t>arnego</w:t>
      </w:r>
      <w:r w:rsidR="00102BA6" w:rsidRPr="00FA09CC">
        <w:rPr>
          <w:color w:val="000000" w:themeColor="text1"/>
        </w:rPr>
        <w:t>) i spowodowanie ciężkiego uszczerbku na zdrowiu (art. 156 K</w:t>
      </w:r>
      <w:r w:rsidR="00102BA6">
        <w:rPr>
          <w:color w:val="000000" w:themeColor="text1"/>
        </w:rPr>
        <w:t xml:space="preserve">odeksu </w:t>
      </w:r>
      <w:r w:rsidR="00102BA6" w:rsidRPr="00FA09CC">
        <w:rPr>
          <w:color w:val="000000" w:themeColor="text1"/>
        </w:rPr>
        <w:t>k</w:t>
      </w:r>
      <w:r w:rsidR="00102BA6">
        <w:rPr>
          <w:color w:val="000000" w:themeColor="text1"/>
        </w:rPr>
        <w:t>arnego</w:t>
      </w:r>
      <w:r w:rsidR="00102BA6" w:rsidRPr="00FA09CC">
        <w:rPr>
          <w:color w:val="000000" w:themeColor="text1"/>
        </w:rPr>
        <w:t>)</w:t>
      </w:r>
      <w:r w:rsidR="00102BA6">
        <w:rPr>
          <w:color w:val="000000" w:themeColor="text1"/>
        </w:rPr>
        <w:t>. O</w:t>
      </w:r>
      <w:r w:rsidRPr="00FA09CC">
        <w:rPr>
          <w:color w:val="000000" w:themeColor="text1"/>
        </w:rPr>
        <w:t xml:space="preserve">kaleczanie narządów płciowych kobiet zostałoby </w:t>
      </w:r>
      <w:r w:rsidR="00102BA6">
        <w:rPr>
          <w:color w:val="000000" w:themeColor="text1"/>
        </w:rPr>
        <w:t xml:space="preserve">natomiast </w:t>
      </w:r>
      <w:r w:rsidRPr="00FA09CC">
        <w:rPr>
          <w:color w:val="000000" w:themeColor="text1"/>
        </w:rPr>
        <w:t xml:space="preserve">zakwalifikowane jako spowodowanie </w:t>
      </w:r>
      <w:r w:rsidR="005E13F1" w:rsidRPr="00FA09CC">
        <w:rPr>
          <w:color w:val="000000" w:themeColor="text1"/>
        </w:rPr>
        <w:t xml:space="preserve">ciężkiego </w:t>
      </w:r>
      <w:r w:rsidRPr="00FA09CC">
        <w:rPr>
          <w:color w:val="000000" w:themeColor="text1"/>
        </w:rPr>
        <w:t>uszczerbku na zdrowiu (art. 156 K</w:t>
      </w:r>
      <w:r w:rsidR="001E0ADA">
        <w:rPr>
          <w:color w:val="000000" w:themeColor="text1"/>
        </w:rPr>
        <w:t xml:space="preserve">odeksu </w:t>
      </w:r>
      <w:r w:rsidRPr="00FA09CC">
        <w:rPr>
          <w:color w:val="000000" w:themeColor="text1"/>
        </w:rPr>
        <w:t>k</w:t>
      </w:r>
      <w:r w:rsidR="001E0ADA">
        <w:rPr>
          <w:color w:val="000000" w:themeColor="text1"/>
        </w:rPr>
        <w:t>arnego</w:t>
      </w:r>
      <w:r w:rsidRPr="00FA09CC">
        <w:rPr>
          <w:color w:val="000000" w:themeColor="text1"/>
        </w:rPr>
        <w:t xml:space="preserve">), </w:t>
      </w:r>
    </w:p>
    <w:p w:rsidR="00306E1F" w:rsidRDefault="00102BA6" w:rsidP="00BB590B">
      <w:pPr>
        <w:autoSpaceDE w:val="0"/>
        <w:autoSpaceDN w:val="0"/>
        <w:adjustRightInd w:val="0"/>
        <w:ind w:left="0" w:firstLine="0"/>
        <w:rPr>
          <w:rFonts w:ascii="TimesNewRomanPS-ItalicMT" w:eastAsiaTheme="minorEastAsia" w:hAnsi="TimesNewRomanPS-ItalicMT" w:cs="TimesNewRomanPS-ItalicMT"/>
          <w:lang w:eastAsia="pl-PL"/>
        </w:rPr>
      </w:pPr>
      <w:r>
        <w:rPr>
          <w:color w:val="000000" w:themeColor="text1"/>
        </w:rPr>
        <w:t xml:space="preserve">Trwają prace nad projektem ustawy o zmianie ustawy Kodeks postępowania cywilnego oraz niektórych innych ustaw, który zawierać będzie, między innymi, </w:t>
      </w:r>
      <w:r w:rsidR="00BB590B">
        <w:rPr>
          <w:color w:val="000000" w:themeColor="text1"/>
        </w:rPr>
        <w:t>rozwiązania mające na celu dostosowanie polskiego prawa karnego do konwencji stambulskiej. Prace te mają</w:t>
      </w:r>
      <w:r w:rsidR="00BB590B" w:rsidRPr="00F0199D">
        <w:rPr>
          <w:rFonts w:ascii="TimesNewRomanPS-ItalicMT" w:eastAsiaTheme="minorEastAsia" w:hAnsi="TimesNewRomanPS-ItalicMT" w:cs="TimesNewRomanPS-ItalicMT"/>
          <w:lang w:eastAsia="pl-PL"/>
        </w:rPr>
        <w:t xml:space="preserve"> związek z wycofaniem przez Polskę zastrzeżenia do jej art. 58</w:t>
      </w:r>
      <w:r w:rsidR="00BB590B">
        <w:rPr>
          <w:rFonts w:ascii="TimesNewRomanPS-ItalicMT" w:eastAsiaTheme="minorEastAsia" w:hAnsi="TimesNewRomanPS-ItalicMT" w:cs="TimesNewRomanPS-ItalicMT"/>
          <w:lang w:eastAsia="pl-PL"/>
        </w:rPr>
        <w:t xml:space="preserve"> - zapewniona zostanie zgodność </w:t>
      </w:r>
      <w:r w:rsidR="00BB590B" w:rsidRPr="00F0199D">
        <w:rPr>
          <w:rFonts w:ascii="TimesNewRomanPS-ItalicMT" w:eastAsiaTheme="minorEastAsia" w:hAnsi="TimesNewRomanPS-ItalicMT" w:cs="TimesNewRomanPS-ItalicMT"/>
          <w:lang w:eastAsia="pl-PL"/>
        </w:rPr>
        <w:t xml:space="preserve">ze standardami konwencyjnymi </w:t>
      </w:r>
      <w:r w:rsidR="00BB590B">
        <w:rPr>
          <w:rFonts w:ascii="TimesNewRomanPS-ItalicMT" w:eastAsiaTheme="minorEastAsia" w:hAnsi="TimesNewRomanPS-ItalicMT" w:cs="TimesNewRomanPS-ItalicMT"/>
          <w:lang w:eastAsia="pl-PL"/>
        </w:rPr>
        <w:t xml:space="preserve">w zakresie </w:t>
      </w:r>
      <w:r w:rsidR="00BB590B" w:rsidRPr="00F0199D">
        <w:rPr>
          <w:rFonts w:ascii="TimesNewRomanPS-ItalicMT" w:eastAsiaTheme="minorEastAsia" w:hAnsi="TimesNewRomanPS-ItalicMT" w:cs="TimesNewRomanPS-ItalicMT"/>
          <w:lang w:eastAsia="pl-PL"/>
        </w:rPr>
        <w:t>termin</w:t>
      </w:r>
      <w:r w:rsidR="0019482E">
        <w:rPr>
          <w:rFonts w:ascii="TimesNewRomanPS-ItalicMT" w:eastAsiaTheme="minorEastAsia" w:hAnsi="TimesNewRomanPS-ItalicMT" w:cs="TimesNewRomanPS-ItalicMT"/>
          <w:lang w:eastAsia="pl-PL"/>
        </w:rPr>
        <w:t>u</w:t>
      </w:r>
      <w:r w:rsidR="00BB590B" w:rsidRPr="00F0199D">
        <w:rPr>
          <w:rFonts w:ascii="TimesNewRomanPS-ItalicMT" w:eastAsiaTheme="minorEastAsia" w:hAnsi="TimesNewRomanPS-ItalicMT" w:cs="TimesNewRomanPS-ItalicMT"/>
          <w:lang w:eastAsia="pl-PL"/>
        </w:rPr>
        <w:t xml:space="preserve"> przedawnienia przestępstw popełnionych na </w:t>
      </w:r>
      <w:r w:rsidR="00BB590B" w:rsidRPr="00F0199D">
        <w:rPr>
          <w:rFonts w:ascii="TimesNewRomanPS-ItalicMT" w:eastAsiaTheme="minorEastAsia" w:hAnsi="TimesNewRomanPS-ItalicMT" w:cs="TimesNewRomanPS-ItalicMT"/>
          <w:lang w:eastAsia="pl-PL"/>
        </w:rPr>
        <w:lastRenderedPageBreak/>
        <w:t xml:space="preserve">szkodę małoletnich, </w:t>
      </w:r>
      <w:r w:rsidR="00BB590B">
        <w:rPr>
          <w:rFonts w:ascii="TimesNewRomanPS-ItalicMT" w:eastAsiaTheme="minorEastAsia" w:hAnsi="TimesNewRomanPS-ItalicMT" w:cs="TimesNewRomanPS-ItalicMT"/>
          <w:lang w:eastAsia="pl-PL"/>
        </w:rPr>
        <w:t xml:space="preserve">wymienionych w </w:t>
      </w:r>
      <w:r w:rsidR="00BB590B" w:rsidRPr="00F0199D">
        <w:rPr>
          <w:rFonts w:ascii="TimesNewRomanPS-ItalicMT" w:eastAsiaTheme="minorEastAsia" w:hAnsi="TimesNewRomanPS-ItalicMT" w:cs="TimesNewRomanPS-ItalicMT"/>
          <w:lang w:eastAsia="pl-PL"/>
        </w:rPr>
        <w:t xml:space="preserve">art. 37, 38 i 39 lit. b </w:t>
      </w:r>
      <w:r w:rsidR="00BB590B">
        <w:rPr>
          <w:rFonts w:ascii="TimesNewRomanPS-ItalicMT" w:eastAsiaTheme="minorEastAsia" w:hAnsi="TimesNewRomanPS-ItalicMT" w:cs="TimesNewRomanPS-ItalicMT"/>
          <w:lang w:eastAsia="pl-PL"/>
        </w:rPr>
        <w:t>k</w:t>
      </w:r>
      <w:r w:rsidR="00BB590B" w:rsidRPr="00F0199D">
        <w:rPr>
          <w:rFonts w:ascii="TimesNewRomanPS-ItalicMT" w:eastAsiaTheme="minorEastAsia" w:hAnsi="TimesNewRomanPS-ItalicMT" w:cs="TimesNewRomanPS-ItalicMT"/>
          <w:lang w:eastAsia="pl-PL"/>
        </w:rPr>
        <w:t>onwencji</w:t>
      </w:r>
      <w:r w:rsidR="0019482E">
        <w:rPr>
          <w:rFonts w:ascii="TimesNewRomanPS-ItalicMT" w:eastAsiaTheme="minorEastAsia" w:hAnsi="TimesNewRomanPS-ItalicMT" w:cs="TimesNewRomanPS-ItalicMT"/>
          <w:lang w:eastAsia="pl-PL"/>
        </w:rPr>
        <w:t xml:space="preserve"> – termin ten będzie upływać wraz z </w:t>
      </w:r>
      <w:r w:rsidR="0019482E" w:rsidRPr="00F0199D">
        <w:rPr>
          <w:rFonts w:ascii="TimesNewRomanPS-ItalicMT" w:eastAsiaTheme="minorEastAsia" w:hAnsi="TimesNewRomanPS-ItalicMT" w:cs="TimesNewRomanPS-ItalicMT"/>
          <w:lang w:eastAsia="pl-PL"/>
        </w:rPr>
        <w:t>ukończeniem przez niego 30 roku życia</w:t>
      </w:r>
      <w:r w:rsidR="0019482E">
        <w:rPr>
          <w:rFonts w:ascii="TimesNewRomanPS-ItalicMT" w:eastAsiaTheme="minorEastAsia" w:hAnsi="TimesNewRomanPS-ItalicMT" w:cs="TimesNewRomanPS-ItalicMT"/>
          <w:lang w:eastAsia="pl-PL"/>
        </w:rPr>
        <w:t xml:space="preserve"> (</w:t>
      </w:r>
      <w:r w:rsidR="0019482E" w:rsidRPr="00F0199D">
        <w:rPr>
          <w:rFonts w:ascii="TimesNewRomanPS-ItalicMT" w:eastAsiaTheme="minorEastAsia" w:hAnsi="TimesNewRomanPS-ItalicMT" w:cs="TimesNewRomanPS-ItalicMT"/>
          <w:lang w:eastAsia="pl-PL"/>
        </w:rPr>
        <w:t>zmian</w:t>
      </w:r>
      <w:r w:rsidR="0019482E">
        <w:rPr>
          <w:rFonts w:ascii="TimesNewRomanPS-ItalicMT" w:eastAsiaTheme="minorEastAsia" w:hAnsi="TimesNewRomanPS-ItalicMT" w:cs="TimesNewRomanPS-ItalicMT"/>
          <w:lang w:eastAsia="pl-PL"/>
        </w:rPr>
        <w:t>a</w:t>
      </w:r>
      <w:r w:rsidR="0019482E" w:rsidRPr="00F0199D">
        <w:rPr>
          <w:rFonts w:ascii="TimesNewRomanPS-ItalicMT" w:eastAsiaTheme="minorEastAsia" w:hAnsi="TimesNewRomanPS-ItalicMT" w:cs="TimesNewRomanPS-ItalicMT"/>
          <w:lang w:eastAsia="pl-PL"/>
        </w:rPr>
        <w:t xml:space="preserve"> art. 101 § 4 pkt 1 </w:t>
      </w:r>
      <w:r w:rsidR="0019482E">
        <w:rPr>
          <w:rFonts w:ascii="TimesNewRomanPS-ItalicMT" w:eastAsiaTheme="minorEastAsia" w:hAnsi="TimesNewRomanPS-ItalicMT" w:cs="TimesNewRomanPS-ItalicMT"/>
          <w:lang w:eastAsia="pl-PL"/>
        </w:rPr>
        <w:t>Kodeksu karnego).</w:t>
      </w:r>
    </w:p>
    <w:p w:rsidR="0019482E" w:rsidRDefault="0019482E" w:rsidP="0019482E">
      <w:pPr>
        <w:ind w:left="0" w:firstLine="0"/>
        <w:rPr>
          <w:rFonts w:ascii="TimesNewRomanPS-ItalicMT" w:eastAsiaTheme="minorEastAsia" w:hAnsi="TimesNewRomanPS-ItalicMT" w:cs="TimesNewRomanPS-ItalicMT"/>
          <w:lang w:eastAsia="pl-PL"/>
        </w:rPr>
      </w:pPr>
      <w:r>
        <w:rPr>
          <w:rFonts w:ascii="TimesNewRomanPS-ItalicMT" w:eastAsiaTheme="minorEastAsia" w:hAnsi="TimesNewRomanPS-ItalicMT" w:cs="TimesNewRomanPS-ItalicMT"/>
          <w:lang w:eastAsia="pl-PL"/>
        </w:rPr>
        <w:t xml:space="preserve">Projekt ustawy przewiduje </w:t>
      </w:r>
      <w:r w:rsidR="005831BC">
        <w:rPr>
          <w:rFonts w:ascii="TimesNewRomanPS-ItalicMT" w:eastAsiaTheme="minorEastAsia" w:hAnsi="TimesNewRomanPS-ItalicMT" w:cs="TimesNewRomanPS-ItalicMT"/>
          <w:lang w:eastAsia="pl-PL"/>
        </w:rPr>
        <w:t xml:space="preserve">także </w:t>
      </w:r>
      <w:r>
        <w:rPr>
          <w:rFonts w:ascii="TimesNewRomanPS-ItalicMT" w:eastAsiaTheme="minorEastAsia" w:hAnsi="TimesNewRomanPS-ItalicMT" w:cs="TimesNewRomanPS-ItalicMT"/>
          <w:lang w:eastAsia="pl-PL"/>
        </w:rPr>
        <w:t xml:space="preserve">wprowadzenie </w:t>
      </w:r>
      <w:r w:rsidRPr="00F0199D">
        <w:rPr>
          <w:rFonts w:ascii="TimesNewRomanPS-ItalicMT" w:eastAsiaTheme="minorEastAsia" w:hAnsi="TimesNewRomanPS-ItalicMT" w:cs="TimesNewRomanPS-ItalicMT"/>
          <w:lang w:eastAsia="pl-PL"/>
        </w:rPr>
        <w:t xml:space="preserve">do </w:t>
      </w:r>
      <w:r>
        <w:rPr>
          <w:rFonts w:ascii="TimesNewRomanPS-ItalicMT" w:eastAsiaTheme="minorEastAsia" w:hAnsi="TimesNewRomanPS-ItalicMT" w:cs="TimesNewRomanPS-ItalicMT"/>
          <w:lang w:eastAsia="pl-PL"/>
        </w:rPr>
        <w:t xml:space="preserve">Kodeksu karnego czynu zabronionego, </w:t>
      </w:r>
      <w:r w:rsidRPr="00F0199D">
        <w:rPr>
          <w:rFonts w:ascii="TimesNewRomanPS-ItalicMT" w:eastAsiaTheme="minorEastAsia" w:hAnsi="TimesNewRomanPS-ItalicMT" w:cs="TimesNewRomanPS-ItalicMT"/>
          <w:lang w:eastAsia="pl-PL"/>
        </w:rPr>
        <w:t xml:space="preserve">którego znamiona będą odpowiadać </w:t>
      </w:r>
      <w:r>
        <w:rPr>
          <w:rFonts w:ascii="TimesNewRomanPS-ItalicMT" w:eastAsiaTheme="minorEastAsia" w:hAnsi="TimesNewRomanPS-ItalicMT" w:cs="TimesNewRomanPS-ItalicMT"/>
          <w:lang w:eastAsia="pl-PL"/>
        </w:rPr>
        <w:t xml:space="preserve">znamionom </w:t>
      </w:r>
      <w:r w:rsidRPr="00F0199D">
        <w:rPr>
          <w:rFonts w:ascii="TimesNewRomanPS-ItalicMT" w:eastAsiaTheme="minorEastAsia" w:hAnsi="TimesNewRomanPS-ItalicMT" w:cs="TimesNewRomanPS-ItalicMT"/>
          <w:lang w:eastAsia="pl-PL"/>
        </w:rPr>
        <w:t>czyn</w:t>
      </w:r>
      <w:r>
        <w:rPr>
          <w:rFonts w:ascii="TimesNewRomanPS-ItalicMT" w:eastAsiaTheme="minorEastAsia" w:hAnsi="TimesNewRomanPS-ItalicMT" w:cs="TimesNewRomanPS-ItalicMT"/>
          <w:lang w:eastAsia="pl-PL"/>
        </w:rPr>
        <w:t>ów</w:t>
      </w:r>
      <w:r w:rsidRPr="00F0199D">
        <w:rPr>
          <w:rFonts w:ascii="TimesNewRomanPS-ItalicMT" w:eastAsiaTheme="minorEastAsia" w:hAnsi="TimesNewRomanPS-ItalicMT" w:cs="TimesNewRomanPS-ItalicMT"/>
          <w:lang w:eastAsia="pl-PL"/>
        </w:rPr>
        <w:t xml:space="preserve"> wskazany</w:t>
      </w:r>
      <w:r>
        <w:rPr>
          <w:rFonts w:ascii="TimesNewRomanPS-ItalicMT" w:eastAsiaTheme="minorEastAsia" w:hAnsi="TimesNewRomanPS-ItalicMT" w:cs="TimesNewRomanPS-ItalicMT"/>
          <w:lang w:eastAsia="pl-PL"/>
        </w:rPr>
        <w:t>ch</w:t>
      </w:r>
      <w:r w:rsidRPr="00F0199D">
        <w:rPr>
          <w:rFonts w:ascii="TimesNewRomanPS-ItalicMT" w:eastAsiaTheme="minorEastAsia" w:hAnsi="TimesNewRomanPS-ItalicMT" w:cs="TimesNewRomanPS-ItalicMT"/>
          <w:lang w:eastAsia="pl-PL"/>
        </w:rPr>
        <w:t xml:space="preserve"> w art. 38 b i c </w:t>
      </w:r>
      <w:r>
        <w:rPr>
          <w:rFonts w:ascii="TimesNewRomanPS-ItalicMT" w:eastAsiaTheme="minorEastAsia" w:hAnsi="TimesNewRomanPS-ItalicMT" w:cs="TimesNewRomanPS-ItalicMT"/>
          <w:lang w:eastAsia="pl-PL"/>
        </w:rPr>
        <w:t>k</w:t>
      </w:r>
      <w:r w:rsidRPr="00F0199D">
        <w:rPr>
          <w:rFonts w:ascii="TimesNewRomanPS-ItalicMT" w:eastAsiaTheme="minorEastAsia" w:hAnsi="TimesNewRomanPS-ItalicMT" w:cs="TimesNewRomanPS-ItalicMT"/>
          <w:lang w:eastAsia="pl-PL"/>
        </w:rPr>
        <w:t>onwencji</w:t>
      </w:r>
      <w:r w:rsidRPr="00BB590B">
        <w:rPr>
          <w:rFonts w:ascii="TimesNewRomanPS-ItalicMT" w:eastAsiaTheme="minorEastAsia" w:hAnsi="TimesNewRomanPS-ItalicMT" w:cs="TimesNewRomanPS-ItalicMT"/>
          <w:lang w:eastAsia="pl-PL"/>
        </w:rPr>
        <w:t xml:space="preserve"> </w:t>
      </w:r>
      <w:r>
        <w:rPr>
          <w:rFonts w:ascii="TimesNewRomanPS-ItalicMT" w:eastAsiaTheme="minorEastAsia" w:hAnsi="TimesNewRomanPS-ItalicMT" w:cs="TimesNewRomanPS-ItalicMT"/>
          <w:lang w:eastAsia="pl-PL"/>
        </w:rPr>
        <w:t>(nowy art. 156a)</w:t>
      </w:r>
      <w:r w:rsidRPr="00F0199D">
        <w:rPr>
          <w:rFonts w:ascii="TimesNewRomanPS-ItalicMT" w:eastAsiaTheme="minorEastAsia" w:hAnsi="TimesNewRomanPS-ItalicMT" w:cs="TimesNewRomanPS-ItalicMT"/>
          <w:lang w:eastAsia="pl-PL"/>
        </w:rPr>
        <w:t>.</w:t>
      </w:r>
      <w:r>
        <w:rPr>
          <w:rFonts w:ascii="TimesNewRomanPS-ItalicMT" w:eastAsiaTheme="minorEastAsia" w:hAnsi="TimesNewRomanPS-ItalicMT" w:cs="TimesNewRomanPS-ItalicMT"/>
          <w:lang w:eastAsia="pl-PL"/>
        </w:rPr>
        <w:t xml:space="preserve"> Dodany także zostanie </w:t>
      </w:r>
      <w:r w:rsidRPr="00F0199D">
        <w:rPr>
          <w:rFonts w:ascii="TimesNewRomanPS-ItalicMT" w:eastAsiaTheme="minorEastAsia" w:hAnsi="TimesNewRomanPS-ItalicMT" w:cs="TimesNewRomanPS-ItalicMT"/>
          <w:lang w:eastAsia="pl-PL"/>
        </w:rPr>
        <w:t xml:space="preserve">nowy czyn zabroniony </w:t>
      </w:r>
      <w:r>
        <w:rPr>
          <w:rFonts w:ascii="TimesNewRomanPS-ItalicMT" w:eastAsiaTheme="minorEastAsia" w:hAnsi="TimesNewRomanPS-ItalicMT" w:cs="TimesNewRomanPS-ItalicMT"/>
          <w:lang w:eastAsia="pl-PL"/>
        </w:rPr>
        <w:t>–</w:t>
      </w:r>
      <w:r w:rsidRPr="00F0199D">
        <w:rPr>
          <w:rFonts w:ascii="TimesNewRomanPS-ItalicMT" w:eastAsiaTheme="minorEastAsia" w:hAnsi="TimesNewRomanPS-ItalicMT" w:cs="TimesNewRomanPS-ItalicMT"/>
          <w:lang w:eastAsia="pl-PL"/>
        </w:rPr>
        <w:t xml:space="preserve"> </w:t>
      </w:r>
      <w:r>
        <w:rPr>
          <w:rFonts w:ascii="TimesNewRomanPS-ItalicMT" w:eastAsiaTheme="minorEastAsia" w:hAnsi="TimesNewRomanPS-ItalicMT" w:cs="TimesNewRomanPS-ItalicMT"/>
          <w:lang w:eastAsia="pl-PL"/>
        </w:rPr>
        <w:t>przymusowe małżeństwo (</w:t>
      </w:r>
      <w:r w:rsidRPr="00F0199D">
        <w:rPr>
          <w:rFonts w:ascii="TimesNewRomanPS-ItalicMT" w:eastAsiaTheme="minorEastAsia" w:hAnsi="TimesNewRomanPS-ItalicMT" w:cs="TimesNewRomanPS-ItalicMT"/>
          <w:lang w:eastAsia="pl-PL"/>
        </w:rPr>
        <w:t>art. 191b</w:t>
      </w:r>
      <w:r w:rsidR="00571104">
        <w:rPr>
          <w:rFonts w:ascii="TimesNewRomanPS-ItalicMT" w:eastAsiaTheme="minorEastAsia" w:hAnsi="TimesNewRomanPS-ItalicMT" w:cs="TimesNewRomanPS-ItalicMT"/>
          <w:lang w:eastAsia="pl-PL"/>
        </w:rPr>
        <w:t>,</w:t>
      </w:r>
      <w:r w:rsidRPr="00F0199D">
        <w:rPr>
          <w:rFonts w:ascii="TimesNewRomanPS-ItalicMT" w:eastAsiaTheme="minorEastAsia" w:hAnsi="TimesNewRomanPS-ItalicMT" w:cs="TimesNewRomanPS-ItalicMT"/>
          <w:lang w:eastAsia="pl-PL"/>
        </w:rPr>
        <w:t xml:space="preserve"> </w:t>
      </w:r>
      <w:r>
        <w:rPr>
          <w:rFonts w:ascii="TimesNewRomanPS-ItalicMT" w:eastAsiaTheme="minorEastAsia" w:hAnsi="TimesNewRomanPS-ItalicMT" w:cs="TimesNewRomanPS-ItalicMT"/>
          <w:lang w:eastAsia="pl-PL"/>
        </w:rPr>
        <w:t xml:space="preserve">odpowiadający </w:t>
      </w:r>
      <w:r w:rsidRPr="00F0199D">
        <w:rPr>
          <w:rFonts w:ascii="TimesNewRomanPS-ItalicMT" w:eastAsiaTheme="minorEastAsia" w:hAnsi="TimesNewRomanPS-ItalicMT" w:cs="TimesNewRomanPS-ItalicMT"/>
          <w:lang w:eastAsia="pl-PL"/>
        </w:rPr>
        <w:t>art.</w:t>
      </w:r>
      <w:r>
        <w:rPr>
          <w:rFonts w:ascii="TimesNewRomanPS-ItalicMT" w:eastAsiaTheme="minorEastAsia" w:hAnsi="TimesNewRomanPS-ItalicMT" w:cs="TimesNewRomanPS-ItalicMT"/>
          <w:lang w:eastAsia="pl-PL"/>
        </w:rPr>
        <w:t> </w:t>
      </w:r>
      <w:r w:rsidRPr="00F0199D">
        <w:rPr>
          <w:rFonts w:ascii="TimesNewRomanPS-ItalicMT" w:eastAsiaTheme="minorEastAsia" w:hAnsi="TimesNewRomanPS-ItalicMT" w:cs="TimesNewRomanPS-ItalicMT"/>
          <w:lang w:eastAsia="pl-PL"/>
        </w:rPr>
        <w:t xml:space="preserve">37 </w:t>
      </w:r>
      <w:r>
        <w:rPr>
          <w:rFonts w:ascii="TimesNewRomanPS-ItalicMT" w:eastAsiaTheme="minorEastAsia" w:hAnsi="TimesNewRomanPS-ItalicMT" w:cs="TimesNewRomanPS-ItalicMT"/>
          <w:lang w:eastAsia="pl-PL"/>
        </w:rPr>
        <w:t xml:space="preserve">konwencji) choć, </w:t>
      </w:r>
      <w:r w:rsidRPr="00F0199D">
        <w:rPr>
          <w:rFonts w:ascii="TimesNewRomanPS-ItalicMT" w:eastAsiaTheme="minorEastAsia" w:hAnsi="TimesNewRomanPS-ItalicMT" w:cs="TimesNewRomanPS-ItalicMT"/>
          <w:lang w:eastAsia="pl-PL"/>
        </w:rPr>
        <w:t>co do zasady</w:t>
      </w:r>
      <w:r>
        <w:rPr>
          <w:rFonts w:ascii="TimesNewRomanPS-ItalicMT" w:eastAsiaTheme="minorEastAsia" w:hAnsi="TimesNewRomanPS-ItalicMT" w:cs="TimesNewRomanPS-ItalicMT"/>
          <w:lang w:eastAsia="pl-PL"/>
        </w:rPr>
        <w:t>,</w:t>
      </w:r>
      <w:r w:rsidRPr="00F0199D">
        <w:rPr>
          <w:rFonts w:ascii="TimesNewRomanPS-ItalicMT" w:eastAsiaTheme="minorEastAsia" w:hAnsi="TimesNewRomanPS-ItalicMT" w:cs="TimesNewRomanPS-ItalicMT"/>
          <w:lang w:eastAsia="pl-PL"/>
        </w:rPr>
        <w:t xml:space="preserve"> nie stwierdz</w:t>
      </w:r>
      <w:r>
        <w:rPr>
          <w:rFonts w:ascii="TimesNewRomanPS-ItalicMT" w:eastAsiaTheme="minorEastAsia" w:hAnsi="TimesNewRomanPS-ItalicMT" w:cs="TimesNewRomanPS-ItalicMT"/>
          <w:lang w:eastAsia="pl-PL"/>
        </w:rPr>
        <w:t xml:space="preserve">a się </w:t>
      </w:r>
      <w:r w:rsidRPr="00F0199D">
        <w:rPr>
          <w:rFonts w:ascii="TimesNewRomanPS-ItalicMT" w:eastAsiaTheme="minorEastAsia" w:hAnsi="TimesNewRomanPS-ItalicMT" w:cs="TimesNewRomanPS-ItalicMT"/>
          <w:lang w:eastAsia="pl-PL"/>
        </w:rPr>
        <w:t xml:space="preserve">jego występowania w Polsce. </w:t>
      </w:r>
    </w:p>
    <w:p w:rsidR="00F52B61" w:rsidRPr="00FA09CC" w:rsidRDefault="000A0A05" w:rsidP="0024594C">
      <w:pPr>
        <w:ind w:left="0" w:firstLine="0"/>
        <w:rPr>
          <w:color w:val="000000" w:themeColor="text1"/>
        </w:rPr>
      </w:pPr>
      <w:r w:rsidRPr="00FA09CC">
        <w:rPr>
          <w:color w:val="000000" w:themeColor="text1"/>
        </w:rPr>
        <w:t xml:space="preserve">Jeżeli chodzi o pomocnictwo lub podżeganie w przypadku przemocy psychicznej, molestowania, przemocy seksualnej (w tym gwałtu), przymusowego małżeństwa, okaleczania żeńskich narządów płciowych, przymusowej aborcji i przymusowej sterylizacji, to zgodnie </w:t>
      </w:r>
      <w:r w:rsidR="006928B9">
        <w:rPr>
          <w:color w:val="000000" w:themeColor="text1"/>
        </w:rPr>
        <w:br/>
      </w:r>
      <w:r w:rsidRPr="00FA09CC">
        <w:rPr>
          <w:color w:val="000000" w:themeColor="text1"/>
        </w:rPr>
        <w:t xml:space="preserve">z art. 19 § 1 </w:t>
      </w:r>
      <w:r w:rsidR="001E0ADA" w:rsidRPr="00FA09CC">
        <w:rPr>
          <w:color w:val="000000" w:themeColor="text1"/>
        </w:rPr>
        <w:t>K</w:t>
      </w:r>
      <w:r w:rsidR="001E0ADA">
        <w:rPr>
          <w:color w:val="000000" w:themeColor="text1"/>
        </w:rPr>
        <w:t xml:space="preserve">odeksu </w:t>
      </w:r>
      <w:r w:rsidR="001E0ADA" w:rsidRPr="00FA09CC">
        <w:rPr>
          <w:color w:val="000000" w:themeColor="text1"/>
        </w:rPr>
        <w:t>k</w:t>
      </w:r>
      <w:r w:rsidR="001E0ADA">
        <w:rPr>
          <w:color w:val="000000" w:themeColor="text1"/>
        </w:rPr>
        <w:t>arnego</w:t>
      </w:r>
      <w:r w:rsidR="001E0ADA" w:rsidRPr="00FA09CC">
        <w:rPr>
          <w:color w:val="000000" w:themeColor="text1"/>
        </w:rPr>
        <w:t xml:space="preserve"> </w:t>
      </w:r>
      <w:r w:rsidRPr="00FA09CC">
        <w:rPr>
          <w:color w:val="000000" w:themeColor="text1"/>
        </w:rPr>
        <w:t xml:space="preserve">sąd wymierza karę za podżeganie lub pomocnictwo </w:t>
      </w:r>
      <w:r w:rsidR="006928B9">
        <w:rPr>
          <w:color w:val="000000" w:themeColor="text1"/>
        </w:rPr>
        <w:br/>
      </w:r>
      <w:r w:rsidRPr="00FA09CC">
        <w:rPr>
          <w:color w:val="000000" w:themeColor="text1"/>
        </w:rPr>
        <w:t xml:space="preserve">w granicach zagrożenia przewidzianego za sprawstwo. W przypadku usiłowania, stosownie do art. 14 § 1 </w:t>
      </w:r>
      <w:r w:rsidR="001E0ADA" w:rsidRPr="00FA09CC">
        <w:rPr>
          <w:color w:val="000000" w:themeColor="text1"/>
        </w:rPr>
        <w:t>K</w:t>
      </w:r>
      <w:r w:rsidR="001E0ADA">
        <w:rPr>
          <w:color w:val="000000" w:themeColor="text1"/>
        </w:rPr>
        <w:t xml:space="preserve">odeksu </w:t>
      </w:r>
      <w:r w:rsidR="001E0ADA" w:rsidRPr="00FA09CC">
        <w:rPr>
          <w:color w:val="000000" w:themeColor="text1"/>
        </w:rPr>
        <w:t>k</w:t>
      </w:r>
      <w:r w:rsidR="001E0ADA">
        <w:rPr>
          <w:color w:val="000000" w:themeColor="text1"/>
        </w:rPr>
        <w:t>arnego</w:t>
      </w:r>
      <w:r w:rsidR="001E0ADA" w:rsidRPr="00FA09CC">
        <w:rPr>
          <w:color w:val="000000" w:themeColor="text1"/>
        </w:rPr>
        <w:t xml:space="preserve"> </w:t>
      </w:r>
      <w:r w:rsidRPr="00FA09CC">
        <w:rPr>
          <w:color w:val="000000" w:themeColor="text1"/>
        </w:rPr>
        <w:t xml:space="preserve">sąd wymierza karę w granicach zagrożenia przewidzianego dla danego przestępstwa. Spenalizowane jest również publiczne nawoływanie do popełnienia przestępstwa, a także publiczne pochwalanie jego popełnienia (art. 255 </w:t>
      </w:r>
      <w:r w:rsidR="001E0ADA" w:rsidRPr="00FA09CC">
        <w:rPr>
          <w:color w:val="000000" w:themeColor="text1"/>
        </w:rPr>
        <w:t>K</w:t>
      </w:r>
      <w:r w:rsidR="001E0ADA">
        <w:rPr>
          <w:color w:val="000000" w:themeColor="text1"/>
        </w:rPr>
        <w:t xml:space="preserve">odeksu </w:t>
      </w:r>
      <w:r w:rsidR="001E0ADA" w:rsidRPr="00FA09CC">
        <w:rPr>
          <w:color w:val="000000" w:themeColor="text1"/>
        </w:rPr>
        <w:t>k</w:t>
      </w:r>
      <w:r w:rsidR="001E0ADA">
        <w:rPr>
          <w:color w:val="000000" w:themeColor="text1"/>
        </w:rPr>
        <w:t>arnego</w:t>
      </w:r>
      <w:r w:rsidRPr="00FA09CC">
        <w:rPr>
          <w:color w:val="000000" w:themeColor="text1"/>
        </w:rPr>
        <w:t>).</w:t>
      </w:r>
    </w:p>
    <w:p w:rsidR="00F52B61" w:rsidRPr="00FA09CC" w:rsidRDefault="000A0A05" w:rsidP="0024594C">
      <w:pPr>
        <w:pStyle w:val="Adresodbiorcy"/>
        <w:widowControl w:val="0"/>
        <w:shd w:val="clear" w:color="auto" w:fill="FFFFFF" w:themeFill="background1"/>
        <w:suppressAutoHyphens/>
        <w:spacing w:line="240" w:lineRule="auto"/>
        <w:rPr>
          <w:rFonts w:ascii="Times New Roman" w:hAnsi="Times New Roman"/>
          <w:color w:val="000000" w:themeColor="text1"/>
          <w:spacing w:val="0"/>
          <w:sz w:val="24"/>
          <w:szCs w:val="24"/>
        </w:rPr>
      </w:pPr>
      <w:r w:rsidRPr="00FA09CC">
        <w:rPr>
          <w:rFonts w:ascii="Times New Roman" w:hAnsi="Times New Roman"/>
          <w:color w:val="000000" w:themeColor="text1"/>
          <w:spacing w:val="0"/>
          <w:sz w:val="24"/>
          <w:szCs w:val="24"/>
        </w:rPr>
        <w:t>Nieprzestrzeganie przepisów prawa w tym zakresie oraz przeciwdziałanie występowaniu takich przestępstw stanowi przedmiot działania organów ścigania i wymiaru sprawiedliwości.</w:t>
      </w:r>
    </w:p>
    <w:p w:rsidR="00DB7687" w:rsidRPr="00FA09CC" w:rsidRDefault="001016F0" w:rsidP="0024594C">
      <w:pPr>
        <w:pStyle w:val="Adresodbiorcy"/>
        <w:widowControl w:val="0"/>
        <w:shd w:val="clear" w:color="auto" w:fill="FFFFFF" w:themeFill="background1"/>
        <w:suppressAutoHyphens/>
        <w:spacing w:line="240" w:lineRule="auto"/>
        <w:rPr>
          <w:rFonts w:ascii="Times New Roman" w:hAnsi="Times New Roman"/>
          <w:color w:val="000000" w:themeColor="text1"/>
          <w:spacing w:val="0"/>
          <w:sz w:val="24"/>
          <w:szCs w:val="24"/>
        </w:rPr>
      </w:pPr>
      <w:r w:rsidRPr="00FA09CC">
        <w:rPr>
          <w:rFonts w:ascii="Times New Roman" w:hAnsi="Times New Roman"/>
          <w:color w:val="000000" w:themeColor="text1"/>
          <w:spacing w:val="0"/>
          <w:sz w:val="24"/>
          <w:szCs w:val="24"/>
        </w:rPr>
        <w:t>Pomimo nie</w:t>
      </w:r>
      <w:r w:rsidR="000A0A05" w:rsidRPr="00FA09CC">
        <w:rPr>
          <w:rFonts w:ascii="Times New Roman" w:hAnsi="Times New Roman"/>
          <w:color w:val="000000" w:themeColor="text1"/>
          <w:spacing w:val="0"/>
          <w:sz w:val="24"/>
          <w:szCs w:val="24"/>
        </w:rPr>
        <w:t>występowania w Polsce wymienionych przestępstw, Polska dostosowuje przepisy karne do wymogów konwencji stambulskiej w tym zakresie i</w:t>
      </w:r>
      <w:r w:rsidRPr="00FA09CC">
        <w:rPr>
          <w:rFonts w:ascii="Times New Roman" w:hAnsi="Times New Roman"/>
          <w:color w:val="000000" w:themeColor="text1"/>
          <w:spacing w:val="0"/>
          <w:sz w:val="24"/>
          <w:szCs w:val="24"/>
        </w:rPr>
        <w:t>,</w:t>
      </w:r>
      <w:r w:rsidR="000A0A05" w:rsidRPr="00FA09CC">
        <w:rPr>
          <w:rFonts w:ascii="Times New Roman" w:hAnsi="Times New Roman"/>
          <w:color w:val="000000" w:themeColor="text1"/>
          <w:spacing w:val="0"/>
          <w:sz w:val="24"/>
          <w:szCs w:val="24"/>
        </w:rPr>
        <w:t xml:space="preserve"> w związku z tym</w:t>
      </w:r>
      <w:r w:rsidRPr="00FA09CC">
        <w:rPr>
          <w:rFonts w:ascii="Times New Roman" w:hAnsi="Times New Roman"/>
          <w:color w:val="000000" w:themeColor="text1"/>
          <w:spacing w:val="0"/>
          <w:sz w:val="24"/>
          <w:szCs w:val="24"/>
        </w:rPr>
        <w:t>,</w:t>
      </w:r>
      <w:r w:rsidR="000A0A05" w:rsidRPr="00FA09CC">
        <w:rPr>
          <w:rFonts w:ascii="Times New Roman" w:hAnsi="Times New Roman"/>
          <w:color w:val="000000" w:themeColor="text1"/>
          <w:spacing w:val="0"/>
          <w:sz w:val="24"/>
          <w:szCs w:val="24"/>
        </w:rPr>
        <w:t xml:space="preserve"> wycofała zastrzeżenie do art. 58 Konwencji, złożone w momencie jej ratyfikacji. </w:t>
      </w:r>
    </w:p>
    <w:p w:rsidR="001946B2" w:rsidRPr="00FA09CC" w:rsidRDefault="001946B2" w:rsidP="0024594C">
      <w:pPr>
        <w:pStyle w:val="Adresodbiorcy"/>
        <w:widowControl w:val="0"/>
        <w:shd w:val="clear" w:color="auto" w:fill="FFFFFF" w:themeFill="background1"/>
        <w:suppressAutoHyphens/>
        <w:spacing w:line="240" w:lineRule="auto"/>
        <w:rPr>
          <w:rFonts w:ascii="Times New Roman" w:hAnsi="Times New Roman"/>
          <w:color w:val="000000" w:themeColor="text1"/>
          <w:spacing w:val="0"/>
          <w:sz w:val="24"/>
          <w:szCs w:val="24"/>
        </w:rPr>
      </w:pPr>
    </w:p>
    <w:p w:rsidR="00885FA8" w:rsidRPr="00FA09CC" w:rsidRDefault="000A0A05" w:rsidP="0024594C">
      <w:pPr>
        <w:pStyle w:val="Adresodbiorcy"/>
        <w:widowControl w:val="0"/>
        <w:shd w:val="clear" w:color="auto" w:fill="FFFFFF" w:themeFill="background1"/>
        <w:suppressAutoHyphens/>
        <w:spacing w:line="240" w:lineRule="auto"/>
        <w:rPr>
          <w:rFonts w:ascii="Times New Roman" w:hAnsi="Times New Roman"/>
          <w:b/>
          <w:color w:val="000000" w:themeColor="text1"/>
          <w:spacing w:val="0"/>
          <w:sz w:val="24"/>
          <w:szCs w:val="24"/>
          <w:shd w:val="clear" w:color="auto" w:fill="FFFFFF"/>
        </w:rPr>
      </w:pPr>
      <w:r w:rsidRPr="00FA09CC">
        <w:rPr>
          <w:rFonts w:ascii="Times New Roman" w:hAnsi="Times New Roman"/>
          <w:b/>
          <w:color w:val="000000" w:themeColor="text1"/>
          <w:spacing w:val="0"/>
          <w:sz w:val="24"/>
          <w:szCs w:val="24"/>
          <w:shd w:val="clear" w:color="auto" w:fill="FFFFFF"/>
        </w:rPr>
        <w:t xml:space="preserve">Paragrafy 12 i 15 – przyjęcie i wdrożenie spójnej krajowej polityki lub strategii dotyczącej równego traktowania kobiet i mężczyzn, powiązanie jej z działaniami </w:t>
      </w:r>
      <w:r w:rsidR="006928B9">
        <w:rPr>
          <w:rFonts w:ascii="Times New Roman" w:hAnsi="Times New Roman"/>
          <w:b/>
          <w:color w:val="000000" w:themeColor="text1"/>
          <w:spacing w:val="0"/>
          <w:sz w:val="24"/>
          <w:szCs w:val="24"/>
          <w:shd w:val="clear" w:color="auto" w:fill="FFFFFF"/>
        </w:rPr>
        <w:br/>
      </w:r>
      <w:r w:rsidRPr="00FA09CC">
        <w:rPr>
          <w:rFonts w:ascii="Times New Roman" w:hAnsi="Times New Roman"/>
          <w:b/>
          <w:color w:val="000000" w:themeColor="text1"/>
          <w:spacing w:val="0"/>
          <w:sz w:val="24"/>
          <w:szCs w:val="24"/>
          <w:shd w:val="clear" w:color="auto" w:fill="FFFFFF"/>
        </w:rPr>
        <w:t>i strategiami w obszarze zapobiegania i zwalczania wszystkich form przemocy wobec kobiet, w tym przemocy domowej</w:t>
      </w:r>
    </w:p>
    <w:p w:rsidR="00885FA8" w:rsidRPr="00FA09CC" w:rsidRDefault="000A0A05" w:rsidP="0024594C">
      <w:pPr>
        <w:ind w:left="0" w:firstLine="0"/>
        <w:rPr>
          <w:color w:val="000000" w:themeColor="text1"/>
          <w:lang w:eastAsia="pl-PL"/>
        </w:rPr>
      </w:pPr>
      <w:r w:rsidRPr="00FA09CC">
        <w:rPr>
          <w:color w:val="000000" w:themeColor="text1"/>
          <w:lang w:eastAsia="pl-PL"/>
        </w:rPr>
        <w:t>Dobiegają końca prace nad Krajowym programem działań na rzecz równego traktowania na lata 2021-2030</w:t>
      </w:r>
      <w:r w:rsidR="003E0F18" w:rsidRPr="00FA09CC">
        <w:rPr>
          <w:color w:val="000000" w:themeColor="text1"/>
          <w:lang w:eastAsia="pl-PL"/>
        </w:rPr>
        <w:t>.</w:t>
      </w:r>
      <w:r w:rsidR="00885FA8" w:rsidRPr="00FA09CC">
        <w:rPr>
          <w:color w:val="000000" w:themeColor="text1"/>
          <w:lang w:eastAsia="pl-PL"/>
        </w:rPr>
        <w:t xml:space="preserve"> </w:t>
      </w:r>
      <w:r w:rsidRPr="00FA09CC">
        <w:rPr>
          <w:color w:val="000000" w:themeColor="text1"/>
          <w:lang w:eastAsia="pl-PL"/>
        </w:rPr>
        <w:t>Program przewiduje działania w obszarach:</w:t>
      </w:r>
    </w:p>
    <w:p w:rsidR="00885FA8" w:rsidRPr="00FA09CC" w:rsidRDefault="000A0A05" w:rsidP="0024594C">
      <w:pPr>
        <w:pStyle w:val="Akapitzlist"/>
        <w:numPr>
          <w:ilvl w:val="0"/>
          <w:numId w:val="4"/>
        </w:numPr>
        <w:rPr>
          <w:color w:val="000000" w:themeColor="text1"/>
          <w:lang w:eastAsia="pl-PL"/>
        </w:rPr>
      </w:pPr>
      <w:r w:rsidRPr="00FA09CC">
        <w:rPr>
          <w:color w:val="000000" w:themeColor="text1"/>
          <w:lang w:eastAsia="pl-PL"/>
        </w:rPr>
        <w:t>polityka antydyskryminacyjna,</w:t>
      </w:r>
    </w:p>
    <w:p w:rsidR="00885FA8" w:rsidRPr="00FA09CC" w:rsidRDefault="000A0A05" w:rsidP="0024594C">
      <w:pPr>
        <w:pStyle w:val="Akapitzlist"/>
        <w:numPr>
          <w:ilvl w:val="0"/>
          <w:numId w:val="4"/>
        </w:numPr>
        <w:rPr>
          <w:color w:val="000000" w:themeColor="text1"/>
          <w:lang w:eastAsia="pl-PL"/>
        </w:rPr>
      </w:pPr>
      <w:r w:rsidRPr="00FA09CC">
        <w:rPr>
          <w:color w:val="000000" w:themeColor="text1"/>
          <w:lang w:eastAsia="pl-PL"/>
        </w:rPr>
        <w:t>praca i zabezpieczenie społeczne,</w:t>
      </w:r>
    </w:p>
    <w:p w:rsidR="00885FA8" w:rsidRPr="00FA09CC" w:rsidRDefault="000A0A05" w:rsidP="0024594C">
      <w:pPr>
        <w:pStyle w:val="Akapitzlist"/>
        <w:numPr>
          <w:ilvl w:val="0"/>
          <w:numId w:val="4"/>
        </w:numPr>
        <w:rPr>
          <w:color w:val="000000" w:themeColor="text1"/>
          <w:lang w:eastAsia="pl-PL"/>
        </w:rPr>
      </w:pPr>
      <w:r w:rsidRPr="00FA09CC">
        <w:rPr>
          <w:color w:val="000000" w:themeColor="text1"/>
          <w:lang w:eastAsia="pl-PL"/>
        </w:rPr>
        <w:t>edukacja,</w:t>
      </w:r>
    </w:p>
    <w:p w:rsidR="00885FA8" w:rsidRPr="00FA09CC" w:rsidRDefault="000A0A05" w:rsidP="0024594C">
      <w:pPr>
        <w:pStyle w:val="Akapitzlist"/>
        <w:numPr>
          <w:ilvl w:val="0"/>
          <w:numId w:val="4"/>
        </w:numPr>
        <w:rPr>
          <w:color w:val="000000" w:themeColor="text1"/>
          <w:lang w:eastAsia="pl-PL"/>
        </w:rPr>
      </w:pPr>
      <w:r w:rsidRPr="00FA09CC">
        <w:rPr>
          <w:color w:val="000000" w:themeColor="text1"/>
          <w:lang w:eastAsia="pl-PL"/>
        </w:rPr>
        <w:t>zdrowie,</w:t>
      </w:r>
    </w:p>
    <w:p w:rsidR="00885FA8" w:rsidRPr="00FA09CC" w:rsidRDefault="000A0A05" w:rsidP="0024594C">
      <w:pPr>
        <w:pStyle w:val="Akapitzlist"/>
        <w:numPr>
          <w:ilvl w:val="0"/>
          <w:numId w:val="4"/>
        </w:numPr>
        <w:rPr>
          <w:color w:val="000000" w:themeColor="text1"/>
          <w:lang w:eastAsia="pl-PL"/>
        </w:rPr>
      </w:pPr>
      <w:r w:rsidRPr="00FA09CC">
        <w:rPr>
          <w:color w:val="000000" w:themeColor="text1"/>
          <w:lang w:eastAsia="pl-PL"/>
        </w:rPr>
        <w:t>dostęp do dóbr i usług,</w:t>
      </w:r>
    </w:p>
    <w:p w:rsidR="00885FA8" w:rsidRPr="00FA09CC" w:rsidRDefault="000A0A05" w:rsidP="0024594C">
      <w:pPr>
        <w:pStyle w:val="Akapitzlist"/>
        <w:numPr>
          <w:ilvl w:val="0"/>
          <w:numId w:val="4"/>
        </w:numPr>
        <w:rPr>
          <w:color w:val="000000" w:themeColor="text1"/>
          <w:lang w:eastAsia="pl-PL"/>
        </w:rPr>
      </w:pPr>
      <w:r w:rsidRPr="00FA09CC">
        <w:rPr>
          <w:color w:val="000000" w:themeColor="text1"/>
          <w:lang w:eastAsia="pl-PL"/>
        </w:rPr>
        <w:t>budowanie świadomości,</w:t>
      </w:r>
    </w:p>
    <w:p w:rsidR="00885FA8" w:rsidRPr="00FA09CC" w:rsidRDefault="000A0A05" w:rsidP="0024594C">
      <w:pPr>
        <w:pStyle w:val="Akapitzlist"/>
        <w:numPr>
          <w:ilvl w:val="0"/>
          <w:numId w:val="4"/>
        </w:numPr>
        <w:rPr>
          <w:color w:val="000000" w:themeColor="text1"/>
          <w:lang w:eastAsia="pl-PL"/>
        </w:rPr>
      </w:pPr>
      <w:r w:rsidRPr="00FA09CC">
        <w:rPr>
          <w:color w:val="000000" w:themeColor="text1"/>
          <w:lang w:eastAsia="pl-PL"/>
        </w:rPr>
        <w:t>gromadzenie danych i badania,</w:t>
      </w:r>
    </w:p>
    <w:p w:rsidR="00885FA8" w:rsidRPr="00FA09CC" w:rsidRDefault="000A0A05" w:rsidP="0024594C">
      <w:pPr>
        <w:pStyle w:val="Akapitzlist"/>
        <w:numPr>
          <w:ilvl w:val="0"/>
          <w:numId w:val="4"/>
        </w:numPr>
        <w:rPr>
          <w:color w:val="000000" w:themeColor="text1"/>
          <w:lang w:eastAsia="pl-PL"/>
        </w:rPr>
      </w:pPr>
      <w:r w:rsidRPr="00FA09CC">
        <w:rPr>
          <w:color w:val="000000" w:themeColor="text1"/>
          <w:lang w:eastAsia="pl-PL"/>
        </w:rPr>
        <w:t>koordynacja.</w:t>
      </w:r>
    </w:p>
    <w:p w:rsidR="008C40AC" w:rsidRPr="00FA09CC" w:rsidRDefault="000A0A05" w:rsidP="0024594C">
      <w:pPr>
        <w:ind w:left="0" w:firstLine="0"/>
        <w:rPr>
          <w:color w:val="000000" w:themeColor="text1"/>
        </w:rPr>
      </w:pPr>
      <w:r w:rsidRPr="00FA09CC">
        <w:rPr>
          <w:color w:val="000000" w:themeColor="text1"/>
        </w:rPr>
        <w:t xml:space="preserve">Program obejmie szeroki zakres zadań mających na celu skuteczne zapobieganie nierównemu traktowaniu i dyskryminacji oraz podnoszenie świadomości społecznej. Większość działań będzie adresowana do wszystkich grup narażonych na dyskryminację w danym obszarze życia społeczno-gospodarczego. </w:t>
      </w:r>
    </w:p>
    <w:p w:rsidR="008C40AC" w:rsidRPr="00FA09CC" w:rsidRDefault="000A0A05" w:rsidP="0024594C">
      <w:pPr>
        <w:ind w:left="0" w:firstLine="0"/>
        <w:rPr>
          <w:color w:val="000000" w:themeColor="text1"/>
          <w:lang w:eastAsia="pl-PL"/>
        </w:rPr>
      </w:pPr>
      <w:r w:rsidRPr="00FA09CC">
        <w:rPr>
          <w:color w:val="000000" w:themeColor="text1"/>
          <w:lang w:eastAsia="pl-PL"/>
        </w:rPr>
        <w:t xml:space="preserve">Program będzie realizowany przez administrację rządową szczebla centralnego </w:t>
      </w:r>
      <w:r w:rsidR="006928B9">
        <w:rPr>
          <w:color w:val="000000" w:themeColor="text1"/>
          <w:lang w:eastAsia="pl-PL"/>
        </w:rPr>
        <w:br/>
      </w:r>
      <w:r w:rsidRPr="00FA09CC">
        <w:rPr>
          <w:color w:val="000000" w:themeColor="text1"/>
          <w:lang w:eastAsia="pl-PL"/>
        </w:rPr>
        <w:t>i wojewódzkiego, we współpracy z organizacjami pozarządowymi i partnerami społecznymi.</w:t>
      </w:r>
    </w:p>
    <w:p w:rsidR="00885FA8" w:rsidRPr="00FA09CC" w:rsidRDefault="000A0A05" w:rsidP="0024594C">
      <w:pPr>
        <w:pStyle w:val="Adresodbiorcy"/>
        <w:widowControl w:val="0"/>
        <w:shd w:val="clear" w:color="auto" w:fill="FFFFFF" w:themeFill="background1"/>
        <w:suppressAutoHyphens/>
        <w:spacing w:line="240" w:lineRule="auto"/>
        <w:rPr>
          <w:rFonts w:ascii="Times New Roman" w:hAnsi="Times New Roman"/>
          <w:color w:val="000000" w:themeColor="text1"/>
          <w:spacing w:val="0"/>
          <w:sz w:val="24"/>
          <w:szCs w:val="24"/>
          <w:shd w:val="clear" w:color="auto" w:fill="FFFFFF"/>
        </w:rPr>
      </w:pPr>
      <w:r w:rsidRPr="00FA09CC">
        <w:rPr>
          <w:rFonts w:ascii="Times New Roman" w:hAnsi="Times New Roman"/>
          <w:color w:val="000000" w:themeColor="text1"/>
          <w:spacing w:val="0"/>
          <w:sz w:val="24"/>
          <w:szCs w:val="24"/>
          <w:shd w:val="clear" w:color="auto" w:fill="FFFFFF"/>
        </w:rPr>
        <w:t>Jeżeli chodzi o przeciwdziałanie przemocy, w tym przemocy w rodzinie, program przewiduje realizację szeregu działań w zakresie:</w:t>
      </w:r>
    </w:p>
    <w:p w:rsidR="00B933C2" w:rsidRPr="00FA09CC" w:rsidRDefault="000A0A05" w:rsidP="0024594C">
      <w:pPr>
        <w:pStyle w:val="Akapitzlist"/>
        <w:numPr>
          <w:ilvl w:val="0"/>
          <w:numId w:val="5"/>
        </w:numPr>
        <w:rPr>
          <w:color w:val="000000" w:themeColor="text1"/>
        </w:rPr>
      </w:pPr>
      <w:r w:rsidRPr="00FA09CC">
        <w:rPr>
          <w:color w:val="000000" w:themeColor="text1"/>
        </w:rPr>
        <w:t xml:space="preserve">zwiększania świadomości społecznej </w:t>
      </w:r>
      <w:r w:rsidR="00FC4F61">
        <w:rPr>
          <w:color w:val="000000" w:themeColor="text1"/>
        </w:rPr>
        <w:t>dotyczącej</w:t>
      </w:r>
      <w:r w:rsidRPr="00FA09CC">
        <w:rPr>
          <w:color w:val="000000" w:themeColor="text1"/>
        </w:rPr>
        <w:t xml:space="preserve"> zjawiska przemocy wobec kobiet, </w:t>
      </w:r>
      <w:r w:rsidRPr="00FA09CC">
        <w:rPr>
          <w:rStyle w:val="Tekst-formularz"/>
          <w:rFonts w:ascii="Times New Roman" w:hAnsi="Times New Roman"/>
        </w:rPr>
        <w:t>uwrażliwiania na zjawisko przemocy domowej,</w:t>
      </w:r>
    </w:p>
    <w:p w:rsidR="00B933C2" w:rsidRPr="00FA09CC" w:rsidRDefault="000A0A05" w:rsidP="0024594C">
      <w:pPr>
        <w:pStyle w:val="Akapitzlist"/>
        <w:numPr>
          <w:ilvl w:val="0"/>
          <w:numId w:val="5"/>
        </w:numPr>
        <w:rPr>
          <w:color w:val="000000" w:themeColor="text1"/>
        </w:rPr>
      </w:pPr>
      <w:r w:rsidRPr="00FA09CC">
        <w:rPr>
          <w:color w:val="000000" w:themeColor="text1"/>
        </w:rPr>
        <w:t xml:space="preserve">zwiększania świadomości ofiar przemocy </w:t>
      </w:r>
      <w:r w:rsidR="00FC4F61">
        <w:rPr>
          <w:color w:val="000000" w:themeColor="text1"/>
        </w:rPr>
        <w:t xml:space="preserve">dotyczącej </w:t>
      </w:r>
      <w:r w:rsidRPr="00FA09CC">
        <w:rPr>
          <w:color w:val="000000" w:themeColor="text1"/>
        </w:rPr>
        <w:t>narzędzi wsparcia i pomocy,</w:t>
      </w:r>
    </w:p>
    <w:p w:rsidR="00B933C2" w:rsidRPr="00FA09CC" w:rsidRDefault="000A0A05" w:rsidP="0024594C">
      <w:pPr>
        <w:pStyle w:val="Akapitzlist"/>
        <w:numPr>
          <w:ilvl w:val="0"/>
          <w:numId w:val="5"/>
        </w:numPr>
        <w:rPr>
          <w:color w:val="000000" w:themeColor="text1"/>
        </w:rPr>
      </w:pPr>
      <w:r w:rsidRPr="00FA09CC">
        <w:rPr>
          <w:color w:val="000000" w:themeColor="text1"/>
        </w:rPr>
        <w:t>ochrony małoletnich przed szkodliwym oddziaływaniem treści zawierających przemoc</w:t>
      </w:r>
      <w:r w:rsidR="001E2622">
        <w:rPr>
          <w:color w:val="000000" w:themeColor="text1"/>
        </w:rPr>
        <w:t>,</w:t>
      </w:r>
      <w:r w:rsidRPr="00FA09CC">
        <w:rPr>
          <w:color w:val="000000" w:themeColor="text1"/>
        </w:rPr>
        <w:t xml:space="preserve"> zawartych w audycjach i innych przekazach, </w:t>
      </w:r>
    </w:p>
    <w:p w:rsidR="00B933C2" w:rsidRPr="00FA09CC" w:rsidRDefault="000A0A05" w:rsidP="0024594C">
      <w:pPr>
        <w:pStyle w:val="Adresodbiorcy"/>
        <w:widowControl w:val="0"/>
        <w:numPr>
          <w:ilvl w:val="0"/>
          <w:numId w:val="5"/>
        </w:numPr>
        <w:shd w:val="clear" w:color="auto" w:fill="FFFFFF" w:themeFill="background1"/>
        <w:suppressAutoHyphens/>
        <w:spacing w:line="240" w:lineRule="auto"/>
        <w:rPr>
          <w:rFonts w:ascii="Times New Roman" w:hAnsi="Times New Roman"/>
          <w:color w:val="000000" w:themeColor="text1"/>
          <w:spacing w:val="0"/>
          <w:sz w:val="24"/>
          <w:szCs w:val="24"/>
          <w:shd w:val="clear" w:color="auto" w:fill="FFFFFF"/>
        </w:rPr>
      </w:pPr>
      <w:r w:rsidRPr="00FA09CC">
        <w:rPr>
          <w:rFonts w:ascii="Times New Roman" w:eastAsia="Calibri" w:hAnsi="Times New Roman"/>
          <w:color w:val="000000" w:themeColor="text1"/>
          <w:spacing w:val="0"/>
          <w:sz w:val="24"/>
          <w:szCs w:val="24"/>
        </w:rPr>
        <w:lastRenderedPageBreak/>
        <w:t xml:space="preserve">upowszechniania treści dotyczących kształtowania </w:t>
      </w:r>
      <w:bookmarkStart w:id="1" w:name="_Hlk53758396"/>
      <w:r w:rsidRPr="00FA09CC">
        <w:rPr>
          <w:rFonts w:ascii="Times New Roman" w:hAnsi="Times New Roman"/>
          <w:color w:val="000000" w:themeColor="text1"/>
          <w:spacing w:val="0"/>
          <w:sz w:val="24"/>
          <w:szCs w:val="24"/>
        </w:rPr>
        <w:t>postaw prospołecznych, altruistycznych</w:t>
      </w:r>
      <w:bookmarkEnd w:id="1"/>
      <w:r w:rsidRPr="00FA09CC">
        <w:rPr>
          <w:rFonts w:ascii="Times New Roman" w:hAnsi="Times New Roman"/>
          <w:color w:val="000000" w:themeColor="text1"/>
          <w:spacing w:val="0"/>
          <w:sz w:val="24"/>
          <w:szCs w:val="24"/>
        </w:rPr>
        <w:t>,</w:t>
      </w:r>
      <w:r w:rsidRPr="00FA09CC">
        <w:rPr>
          <w:rFonts w:ascii="Times New Roman" w:eastAsia="Calibri" w:hAnsi="Times New Roman"/>
          <w:color w:val="000000" w:themeColor="text1"/>
          <w:spacing w:val="0"/>
          <w:sz w:val="24"/>
          <w:szCs w:val="24"/>
        </w:rPr>
        <w:t xml:space="preserve"> poszanowania </w:t>
      </w:r>
      <w:bookmarkStart w:id="2" w:name="_Hlk53758438"/>
      <w:r w:rsidRPr="00FA09CC">
        <w:rPr>
          <w:rFonts w:ascii="Times New Roman" w:eastAsia="Calibri" w:hAnsi="Times New Roman"/>
          <w:color w:val="000000" w:themeColor="text1"/>
          <w:spacing w:val="0"/>
          <w:sz w:val="24"/>
          <w:szCs w:val="24"/>
        </w:rPr>
        <w:t>godności wszystkich osób i</w:t>
      </w:r>
      <w:bookmarkEnd w:id="2"/>
      <w:r w:rsidRPr="00FA09CC">
        <w:rPr>
          <w:rFonts w:ascii="Times New Roman" w:eastAsia="Calibri" w:hAnsi="Times New Roman"/>
          <w:color w:val="000000" w:themeColor="text1"/>
          <w:spacing w:val="0"/>
          <w:sz w:val="24"/>
          <w:szCs w:val="24"/>
        </w:rPr>
        <w:t> różnorodności oraz rozwijania pozytywnych relacji w środowisku rówieśniczym i szkolnym.</w:t>
      </w:r>
    </w:p>
    <w:p w:rsidR="00B933C2" w:rsidRPr="00FA09CC" w:rsidRDefault="00B933C2" w:rsidP="0024594C">
      <w:pPr>
        <w:pStyle w:val="Adresodbiorcy"/>
        <w:widowControl w:val="0"/>
        <w:shd w:val="clear" w:color="auto" w:fill="FFFFFF" w:themeFill="background1"/>
        <w:suppressAutoHyphens/>
        <w:spacing w:line="240" w:lineRule="auto"/>
        <w:rPr>
          <w:rFonts w:ascii="Times New Roman" w:hAnsi="Times New Roman"/>
          <w:color w:val="000000" w:themeColor="text1"/>
          <w:spacing w:val="0"/>
          <w:sz w:val="24"/>
          <w:szCs w:val="24"/>
          <w:shd w:val="clear" w:color="auto" w:fill="FFFFFF"/>
        </w:rPr>
      </w:pPr>
    </w:p>
    <w:p w:rsidR="00B86EF8" w:rsidRPr="00FA09CC" w:rsidRDefault="000A0A05" w:rsidP="0024594C">
      <w:pPr>
        <w:pStyle w:val="Adresodbiorcy"/>
        <w:widowControl w:val="0"/>
        <w:shd w:val="clear" w:color="auto" w:fill="FFFFFF" w:themeFill="background1"/>
        <w:suppressAutoHyphens/>
        <w:spacing w:line="240" w:lineRule="auto"/>
        <w:rPr>
          <w:rFonts w:ascii="Times New Roman" w:hAnsi="Times New Roman"/>
          <w:b/>
          <w:color w:val="000000" w:themeColor="text1"/>
          <w:spacing w:val="0"/>
          <w:sz w:val="24"/>
          <w:szCs w:val="24"/>
        </w:rPr>
      </w:pPr>
      <w:r w:rsidRPr="00FA09CC">
        <w:rPr>
          <w:rFonts w:ascii="Times New Roman" w:hAnsi="Times New Roman"/>
          <w:b/>
          <w:color w:val="000000" w:themeColor="text1"/>
          <w:spacing w:val="0"/>
          <w:sz w:val="24"/>
          <w:szCs w:val="24"/>
        </w:rPr>
        <w:t>Paragraf 16 – zasady wdrażania konwencji</w:t>
      </w:r>
    </w:p>
    <w:p w:rsidR="00140267" w:rsidRPr="00FA09CC" w:rsidRDefault="000A0A05" w:rsidP="0024594C">
      <w:pPr>
        <w:pStyle w:val="Adresodbiorcy"/>
        <w:widowControl w:val="0"/>
        <w:shd w:val="clear" w:color="auto" w:fill="FFFFFF" w:themeFill="background1"/>
        <w:suppressAutoHyphens/>
        <w:spacing w:line="240" w:lineRule="auto"/>
        <w:rPr>
          <w:rFonts w:ascii="Times New Roman" w:hAnsi="Times New Roman"/>
          <w:color w:val="000000" w:themeColor="text1"/>
          <w:spacing w:val="0"/>
          <w:sz w:val="24"/>
          <w:szCs w:val="24"/>
        </w:rPr>
      </w:pPr>
      <w:r w:rsidRPr="00FA09CC">
        <w:rPr>
          <w:rFonts w:ascii="Times New Roman" w:hAnsi="Times New Roman"/>
          <w:color w:val="000000" w:themeColor="text1"/>
          <w:spacing w:val="0"/>
          <w:sz w:val="24"/>
          <w:szCs w:val="24"/>
        </w:rPr>
        <w:t xml:space="preserve">Zawarta w ostatnim zdaniu paragrafu teza, że dyskryminacja niektórych grup kobiet, na przykład przez organy ścigania i sądy, jest powszechna, </w:t>
      </w:r>
      <w:r w:rsidR="001016F0" w:rsidRPr="00FA09CC">
        <w:rPr>
          <w:rFonts w:ascii="Times New Roman" w:hAnsi="Times New Roman"/>
          <w:color w:val="000000" w:themeColor="text1"/>
          <w:spacing w:val="0"/>
          <w:sz w:val="24"/>
          <w:szCs w:val="24"/>
        </w:rPr>
        <w:t xml:space="preserve">nie wydaje się mieć podstaw </w:t>
      </w:r>
      <w:r w:rsidR="006928B9">
        <w:rPr>
          <w:rFonts w:ascii="Times New Roman" w:hAnsi="Times New Roman"/>
          <w:color w:val="000000" w:themeColor="text1"/>
          <w:spacing w:val="0"/>
          <w:sz w:val="24"/>
          <w:szCs w:val="24"/>
        </w:rPr>
        <w:br/>
      </w:r>
      <w:r w:rsidR="001016F0" w:rsidRPr="00FA09CC">
        <w:rPr>
          <w:rFonts w:ascii="Times New Roman" w:hAnsi="Times New Roman"/>
          <w:color w:val="000000" w:themeColor="text1"/>
          <w:spacing w:val="0"/>
          <w:sz w:val="24"/>
          <w:szCs w:val="24"/>
        </w:rPr>
        <w:t>w faktach</w:t>
      </w:r>
      <w:r w:rsidRPr="00FA09CC">
        <w:rPr>
          <w:rFonts w:ascii="Times New Roman" w:hAnsi="Times New Roman"/>
          <w:color w:val="000000" w:themeColor="text1"/>
          <w:spacing w:val="0"/>
          <w:sz w:val="24"/>
          <w:szCs w:val="24"/>
        </w:rPr>
        <w:t>. W szczególności, paragraf 53 raportu wyjaśniającego, przywołany w przypisie 20 do paragrafu 16 raportu, wskazuje na bliżej niesprecyzowane badania, których wyniki miałyby wskazywać na utrzymywanie się takiej dyskryminacji, i to na znaczną skalę. Nie można także uznać, by opisywał on sytuację istniejącą w Polsce.</w:t>
      </w:r>
    </w:p>
    <w:p w:rsidR="00140267" w:rsidRPr="00FA09CC" w:rsidRDefault="00140267" w:rsidP="0024594C">
      <w:pPr>
        <w:pStyle w:val="Adresodbiorcy"/>
        <w:widowControl w:val="0"/>
        <w:shd w:val="clear" w:color="auto" w:fill="FFFFFF" w:themeFill="background1"/>
        <w:suppressAutoHyphens/>
        <w:spacing w:line="240" w:lineRule="auto"/>
        <w:rPr>
          <w:rFonts w:ascii="Times New Roman" w:hAnsi="Times New Roman"/>
          <w:color w:val="000000" w:themeColor="text1"/>
          <w:spacing w:val="0"/>
          <w:sz w:val="24"/>
          <w:szCs w:val="24"/>
        </w:rPr>
      </w:pPr>
    </w:p>
    <w:p w:rsidR="00805F1B" w:rsidRPr="00FA09CC" w:rsidRDefault="000A0A05" w:rsidP="0024594C">
      <w:pPr>
        <w:pStyle w:val="Adresodbiorcy"/>
        <w:widowControl w:val="0"/>
        <w:shd w:val="clear" w:color="auto" w:fill="FFFFFF" w:themeFill="background1"/>
        <w:suppressAutoHyphens/>
        <w:spacing w:line="240" w:lineRule="auto"/>
        <w:rPr>
          <w:rFonts w:ascii="Times New Roman" w:hAnsi="Times New Roman"/>
          <w:b/>
          <w:color w:val="000000" w:themeColor="text1"/>
          <w:spacing w:val="0"/>
          <w:sz w:val="24"/>
          <w:szCs w:val="24"/>
        </w:rPr>
      </w:pPr>
      <w:r w:rsidRPr="00FA09CC">
        <w:rPr>
          <w:rFonts w:ascii="Times New Roman" w:hAnsi="Times New Roman"/>
          <w:b/>
          <w:color w:val="000000" w:themeColor="text1"/>
          <w:spacing w:val="0"/>
          <w:sz w:val="24"/>
          <w:szCs w:val="24"/>
        </w:rPr>
        <w:t>Paragrafy 17</w:t>
      </w:r>
      <w:r w:rsidR="005E0D0A">
        <w:rPr>
          <w:rFonts w:ascii="Times New Roman" w:hAnsi="Times New Roman"/>
          <w:b/>
          <w:color w:val="000000" w:themeColor="text1"/>
          <w:spacing w:val="0"/>
          <w:sz w:val="24"/>
          <w:szCs w:val="24"/>
        </w:rPr>
        <w:t xml:space="preserve">, </w:t>
      </w:r>
      <w:r w:rsidRPr="00FA09CC">
        <w:rPr>
          <w:rFonts w:ascii="Times New Roman" w:hAnsi="Times New Roman"/>
          <w:b/>
          <w:color w:val="000000" w:themeColor="text1"/>
          <w:spacing w:val="0"/>
          <w:sz w:val="24"/>
          <w:szCs w:val="24"/>
        </w:rPr>
        <w:t xml:space="preserve">18, 21 i 22 – utrudnienia niektórych grup kobiet w dostępie do wsparcia </w:t>
      </w:r>
      <w:r w:rsidR="006928B9">
        <w:rPr>
          <w:rFonts w:ascii="Times New Roman" w:hAnsi="Times New Roman"/>
          <w:b/>
          <w:color w:val="000000" w:themeColor="text1"/>
          <w:spacing w:val="0"/>
          <w:sz w:val="24"/>
          <w:szCs w:val="24"/>
        </w:rPr>
        <w:br/>
      </w:r>
      <w:r w:rsidRPr="00FA09CC">
        <w:rPr>
          <w:rFonts w:ascii="Times New Roman" w:hAnsi="Times New Roman"/>
          <w:b/>
          <w:color w:val="000000" w:themeColor="text1"/>
          <w:spacing w:val="0"/>
          <w:sz w:val="24"/>
          <w:szCs w:val="24"/>
        </w:rPr>
        <w:t>i ochrony,</w:t>
      </w:r>
      <w:r w:rsidRPr="00FA09CC">
        <w:rPr>
          <w:rFonts w:ascii="Times New Roman" w:hAnsi="Times New Roman"/>
          <w:b/>
          <w:color w:val="000000" w:themeColor="text1"/>
          <w:spacing w:val="0"/>
          <w:sz w:val="24"/>
          <w:szCs w:val="24"/>
          <w:shd w:val="clear" w:color="auto" w:fill="FFFFFF"/>
        </w:rPr>
        <w:t xml:space="preserve"> zakres działań (ochron</w:t>
      </w:r>
      <w:r w:rsidR="005348FB">
        <w:rPr>
          <w:rFonts w:ascii="Times New Roman" w:hAnsi="Times New Roman"/>
          <w:b/>
          <w:color w:val="000000" w:themeColor="text1"/>
          <w:spacing w:val="0"/>
          <w:sz w:val="24"/>
          <w:szCs w:val="24"/>
          <w:shd w:val="clear" w:color="auto" w:fill="FFFFFF"/>
        </w:rPr>
        <w:t>a</w:t>
      </w:r>
      <w:r w:rsidRPr="00FA09CC">
        <w:rPr>
          <w:rFonts w:ascii="Times New Roman" w:hAnsi="Times New Roman"/>
          <w:b/>
          <w:color w:val="000000" w:themeColor="text1"/>
          <w:spacing w:val="0"/>
          <w:sz w:val="24"/>
          <w:szCs w:val="24"/>
          <w:shd w:val="clear" w:color="auto" w:fill="FFFFFF"/>
        </w:rPr>
        <w:t xml:space="preserve"> i wsparci</w:t>
      </w:r>
      <w:r w:rsidR="005348FB">
        <w:rPr>
          <w:rFonts w:ascii="Times New Roman" w:hAnsi="Times New Roman"/>
          <w:b/>
          <w:color w:val="000000" w:themeColor="text1"/>
          <w:spacing w:val="0"/>
          <w:sz w:val="24"/>
          <w:szCs w:val="24"/>
          <w:shd w:val="clear" w:color="auto" w:fill="FFFFFF"/>
        </w:rPr>
        <w:t>e</w:t>
      </w:r>
      <w:r w:rsidRPr="00FA09CC">
        <w:rPr>
          <w:rFonts w:ascii="Times New Roman" w:hAnsi="Times New Roman"/>
          <w:b/>
          <w:color w:val="000000" w:themeColor="text1"/>
          <w:spacing w:val="0"/>
          <w:sz w:val="24"/>
          <w:szCs w:val="24"/>
          <w:shd w:val="clear" w:color="auto" w:fill="FFFFFF"/>
        </w:rPr>
        <w:t>) adresowanych do niektórych grup kobiet-ofiar przemocy</w:t>
      </w:r>
    </w:p>
    <w:p w:rsidR="006875C3" w:rsidRPr="00FA09CC" w:rsidRDefault="000A0A05" w:rsidP="0024594C">
      <w:pPr>
        <w:pStyle w:val="Adresodbiorcy"/>
        <w:widowControl w:val="0"/>
        <w:shd w:val="clear" w:color="auto" w:fill="FFFFFF" w:themeFill="background1"/>
        <w:suppressAutoHyphens/>
        <w:spacing w:line="240" w:lineRule="auto"/>
        <w:rPr>
          <w:rFonts w:ascii="Times New Roman" w:hAnsi="Times New Roman"/>
          <w:color w:val="000000" w:themeColor="text1"/>
          <w:spacing w:val="0"/>
          <w:sz w:val="24"/>
          <w:szCs w:val="24"/>
        </w:rPr>
      </w:pPr>
      <w:r w:rsidRPr="00FA09CC">
        <w:rPr>
          <w:rFonts w:ascii="Times New Roman" w:hAnsi="Times New Roman"/>
          <w:color w:val="000000" w:themeColor="text1"/>
          <w:spacing w:val="0"/>
          <w:sz w:val="24"/>
          <w:szCs w:val="24"/>
        </w:rPr>
        <w:t xml:space="preserve">Jeżeli chodzi o kształt rozwiązań prawnych dotyczących, między innymi, ochrony przed przemocą, to kierując się wymogami ochrony praw człowieka oraz poszanowania poszczególnych zasad, które zostały wypracowane na poziomie międzynarodowym, jak zasada niedyskryminacji, Polska podchodzi do ochrony praw jednostek w sposób holistyczny i komplementarny. </w:t>
      </w:r>
      <w:r w:rsidRPr="00FA09CC">
        <w:rPr>
          <w:rFonts w:ascii="Times New Roman" w:hAnsi="Times New Roman"/>
          <w:spacing w:val="0"/>
          <w:sz w:val="24"/>
          <w:szCs w:val="24"/>
        </w:rPr>
        <w:t>Należy wyraźnie podkreślić, że osoby należące do społeczności l</w:t>
      </w:r>
      <w:r w:rsidR="00D2377B" w:rsidRPr="00FA09CC">
        <w:rPr>
          <w:rFonts w:ascii="Times New Roman" w:hAnsi="Times New Roman"/>
          <w:spacing w:val="0"/>
          <w:sz w:val="24"/>
          <w:szCs w:val="24"/>
        </w:rPr>
        <w:t>g</w:t>
      </w:r>
      <w:r w:rsidRPr="00FA09CC">
        <w:rPr>
          <w:rFonts w:ascii="Times New Roman" w:hAnsi="Times New Roman"/>
          <w:spacing w:val="0"/>
          <w:sz w:val="24"/>
          <w:szCs w:val="24"/>
        </w:rPr>
        <w:t xml:space="preserve">bt, </w:t>
      </w:r>
      <w:r w:rsidRPr="00FA09CC">
        <w:rPr>
          <w:rFonts w:ascii="Times New Roman" w:hAnsi="Times New Roman"/>
          <w:color w:val="000000" w:themeColor="text1"/>
          <w:spacing w:val="0"/>
          <w:sz w:val="24"/>
          <w:szCs w:val="24"/>
        </w:rPr>
        <w:t xml:space="preserve">jak </w:t>
      </w:r>
      <w:r w:rsidR="006928B9">
        <w:rPr>
          <w:rFonts w:ascii="Times New Roman" w:hAnsi="Times New Roman"/>
          <w:color w:val="000000" w:themeColor="text1"/>
          <w:spacing w:val="0"/>
          <w:sz w:val="24"/>
          <w:szCs w:val="24"/>
        </w:rPr>
        <w:br/>
      </w:r>
      <w:r w:rsidRPr="00FA09CC">
        <w:rPr>
          <w:rFonts w:ascii="Times New Roman" w:hAnsi="Times New Roman"/>
          <w:color w:val="000000" w:themeColor="text1"/>
          <w:spacing w:val="0"/>
          <w:sz w:val="24"/>
          <w:szCs w:val="24"/>
        </w:rPr>
        <w:t>i wszystkie inne, są chronione</w:t>
      </w:r>
      <w:r w:rsidR="00F23E81">
        <w:rPr>
          <w:rFonts w:ascii="Times New Roman" w:hAnsi="Times New Roman"/>
          <w:color w:val="000000" w:themeColor="text1"/>
          <w:spacing w:val="0"/>
          <w:sz w:val="24"/>
          <w:szCs w:val="24"/>
        </w:rPr>
        <w:t>,</w:t>
      </w:r>
      <w:r w:rsidRPr="00FA09CC">
        <w:rPr>
          <w:rFonts w:ascii="Times New Roman" w:hAnsi="Times New Roman"/>
          <w:color w:val="000000" w:themeColor="text1"/>
          <w:spacing w:val="0"/>
          <w:sz w:val="24"/>
          <w:szCs w:val="24"/>
        </w:rPr>
        <w:t xml:space="preserve"> w pełni i na równych zasadach</w:t>
      </w:r>
      <w:r w:rsidR="00F23E81">
        <w:rPr>
          <w:rFonts w:ascii="Times New Roman" w:hAnsi="Times New Roman"/>
          <w:color w:val="000000" w:themeColor="text1"/>
          <w:spacing w:val="0"/>
          <w:sz w:val="24"/>
          <w:szCs w:val="24"/>
        </w:rPr>
        <w:t>,</w:t>
      </w:r>
      <w:r w:rsidRPr="00FA09CC">
        <w:rPr>
          <w:rFonts w:ascii="Times New Roman" w:hAnsi="Times New Roman"/>
          <w:color w:val="000000" w:themeColor="text1"/>
          <w:spacing w:val="0"/>
          <w:sz w:val="24"/>
          <w:szCs w:val="24"/>
        </w:rPr>
        <w:t xml:space="preserve"> przed dyskryminacją </w:t>
      </w:r>
      <w:r w:rsidR="006928B9">
        <w:rPr>
          <w:rFonts w:ascii="Times New Roman" w:hAnsi="Times New Roman"/>
          <w:color w:val="000000" w:themeColor="text1"/>
          <w:spacing w:val="0"/>
          <w:sz w:val="24"/>
          <w:szCs w:val="24"/>
        </w:rPr>
        <w:br/>
      </w:r>
      <w:r w:rsidRPr="00FA09CC">
        <w:rPr>
          <w:rFonts w:ascii="Times New Roman" w:hAnsi="Times New Roman"/>
          <w:color w:val="000000" w:themeColor="text1"/>
          <w:spacing w:val="0"/>
          <w:sz w:val="24"/>
          <w:szCs w:val="24"/>
        </w:rPr>
        <w:t xml:space="preserve">i przemocą. Powszechnie obowiązujące w Polsce rozwiązania prawne są wystarczające, by zapewnić ochronę każdej osobie doświadczającej przemocy, z jakiegokolwiek powodu. </w:t>
      </w:r>
      <w:r w:rsidR="006928B9">
        <w:rPr>
          <w:rFonts w:ascii="Times New Roman" w:hAnsi="Times New Roman"/>
          <w:color w:val="000000" w:themeColor="text1"/>
          <w:spacing w:val="0"/>
          <w:sz w:val="24"/>
          <w:szCs w:val="24"/>
        </w:rPr>
        <w:br/>
      </w:r>
      <w:r w:rsidRPr="00FA09CC">
        <w:rPr>
          <w:rFonts w:ascii="Times New Roman" w:hAnsi="Times New Roman"/>
          <w:color w:val="000000" w:themeColor="text1"/>
          <w:spacing w:val="0"/>
          <w:sz w:val="24"/>
          <w:szCs w:val="24"/>
        </w:rPr>
        <w:t xml:space="preserve">Z przewidzianych w prawie rozwiązań </w:t>
      </w:r>
      <w:r w:rsidR="00F23E81" w:rsidRPr="00FA09CC">
        <w:rPr>
          <w:rFonts w:ascii="Times New Roman" w:hAnsi="Times New Roman"/>
          <w:color w:val="000000" w:themeColor="text1"/>
          <w:spacing w:val="0"/>
          <w:sz w:val="24"/>
          <w:szCs w:val="24"/>
        </w:rPr>
        <w:t xml:space="preserve">mogą </w:t>
      </w:r>
      <w:r w:rsidRPr="00FA09CC">
        <w:rPr>
          <w:rFonts w:ascii="Times New Roman" w:hAnsi="Times New Roman"/>
          <w:color w:val="000000" w:themeColor="text1"/>
          <w:spacing w:val="0"/>
          <w:sz w:val="24"/>
          <w:szCs w:val="24"/>
        </w:rPr>
        <w:t xml:space="preserve">korzystać wszystkie ofiary przemocy, w tym grupy wskazane w paragrafie 17, odpowiednio do doświadczanej przemocy. </w:t>
      </w:r>
    </w:p>
    <w:p w:rsidR="008C7C12" w:rsidRPr="00FA09CC" w:rsidRDefault="008C7C12" w:rsidP="0024594C">
      <w:pPr>
        <w:shd w:val="clear" w:color="auto" w:fill="FFFFFF" w:themeFill="background1"/>
        <w:autoSpaceDE w:val="0"/>
        <w:autoSpaceDN w:val="0"/>
        <w:adjustRightInd w:val="0"/>
        <w:ind w:left="0" w:firstLine="0"/>
        <w:rPr>
          <w:color w:val="000000" w:themeColor="text1"/>
        </w:rPr>
      </w:pPr>
    </w:p>
    <w:p w:rsidR="00AB6B19" w:rsidRPr="00FA09CC" w:rsidRDefault="000A0A05" w:rsidP="0024594C">
      <w:pPr>
        <w:pStyle w:val="Adresodbiorcy"/>
        <w:widowControl w:val="0"/>
        <w:shd w:val="clear" w:color="auto" w:fill="FFFFFF" w:themeFill="background1"/>
        <w:suppressAutoHyphens/>
        <w:spacing w:line="240" w:lineRule="auto"/>
        <w:rPr>
          <w:rFonts w:ascii="Times New Roman" w:hAnsi="Times New Roman"/>
          <w:b/>
          <w:color w:val="000000" w:themeColor="text1"/>
          <w:spacing w:val="0"/>
          <w:sz w:val="24"/>
          <w:szCs w:val="24"/>
        </w:rPr>
      </w:pPr>
      <w:r w:rsidRPr="00FA09CC">
        <w:rPr>
          <w:rFonts w:ascii="Times New Roman" w:hAnsi="Times New Roman"/>
          <w:b/>
          <w:color w:val="000000" w:themeColor="text1"/>
          <w:spacing w:val="0"/>
          <w:sz w:val="24"/>
          <w:szCs w:val="24"/>
        </w:rPr>
        <w:t>Paragraf 21 – dyskryminacja kobiet lbti</w:t>
      </w:r>
    </w:p>
    <w:p w:rsidR="00A10B5F" w:rsidRPr="00FA09CC" w:rsidRDefault="000A0A05" w:rsidP="0024594C">
      <w:pPr>
        <w:pStyle w:val="Adresodbiorcy"/>
        <w:widowControl w:val="0"/>
        <w:shd w:val="clear" w:color="auto" w:fill="FFFFFF" w:themeFill="background1"/>
        <w:suppressAutoHyphens/>
        <w:spacing w:line="240" w:lineRule="auto"/>
        <w:rPr>
          <w:rFonts w:ascii="Times New Roman" w:hAnsi="Times New Roman"/>
          <w:color w:val="000000" w:themeColor="text1"/>
          <w:spacing w:val="0"/>
          <w:sz w:val="24"/>
          <w:szCs w:val="24"/>
        </w:rPr>
      </w:pPr>
      <w:r w:rsidRPr="00FA09CC">
        <w:rPr>
          <w:rFonts w:ascii="Times New Roman" w:hAnsi="Times New Roman"/>
          <w:color w:val="000000" w:themeColor="text1"/>
          <w:spacing w:val="0"/>
          <w:sz w:val="24"/>
          <w:szCs w:val="24"/>
        </w:rPr>
        <w:t xml:space="preserve">Należy wskazać, że przywołane w przypisie 24 tzw. „strefy wolne od lgbt” są elementem kampanii prowadzonej przez osobę prywatną, przeciwko której toczy się proces sądowy dotyczący pomówienia gmin. </w:t>
      </w:r>
    </w:p>
    <w:p w:rsidR="002C6B36" w:rsidRPr="00FA09CC" w:rsidRDefault="005A61AF" w:rsidP="0024594C">
      <w:pPr>
        <w:pStyle w:val="Adresodbiorcy"/>
        <w:widowControl w:val="0"/>
        <w:shd w:val="clear" w:color="auto" w:fill="FFFFFF" w:themeFill="background1"/>
        <w:suppressAutoHyphens/>
        <w:spacing w:line="240" w:lineRule="auto"/>
        <w:rPr>
          <w:rFonts w:ascii="Times New Roman" w:hAnsi="Times New Roman"/>
          <w:spacing w:val="0"/>
          <w:sz w:val="24"/>
          <w:szCs w:val="24"/>
        </w:rPr>
      </w:pPr>
      <w:r>
        <w:rPr>
          <w:rFonts w:ascii="Times New Roman" w:hAnsi="Times New Roman"/>
          <w:spacing w:val="0"/>
          <w:sz w:val="24"/>
          <w:szCs w:val="24"/>
        </w:rPr>
        <w:t>I</w:t>
      </w:r>
      <w:r w:rsidR="000A0A05" w:rsidRPr="00FA09CC">
        <w:rPr>
          <w:rFonts w:ascii="Times New Roman" w:hAnsi="Times New Roman"/>
          <w:spacing w:val="0"/>
          <w:sz w:val="24"/>
          <w:szCs w:val="24"/>
        </w:rPr>
        <w:t xml:space="preserve">nformacja zawarta w przypisie 25, dotycząca uchwał gmin mających zakazywać promocji równych praw osób o odmiennej orientacji płciowej </w:t>
      </w:r>
      <w:r>
        <w:rPr>
          <w:rFonts w:ascii="Times New Roman" w:hAnsi="Times New Roman"/>
          <w:spacing w:val="0"/>
          <w:sz w:val="24"/>
          <w:szCs w:val="24"/>
        </w:rPr>
        <w:t xml:space="preserve">nie </w:t>
      </w:r>
      <w:r w:rsidR="005348FB">
        <w:rPr>
          <w:rFonts w:ascii="Times New Roman" w:hAnsi="Times New Roman"/>
          <w:spacing w:val="0"/>
          <w:sz w:val="24"/>
          <w:szCs w:val="24"/>
        </w:rPr>
        <w:t>ma oparcia w</w:t>
      </w:r>
      <w:r>
        <w:rPr>
          <w:rFonts w:ascii="Times New Roman" w:hAnsi="Times New Roman"/>
          <w:spacing w:val="0"/>
          <w:sz w:val="24"/>
          <w:szCs w:val="24"/>
        </w:rPr>
        <w:t xml:space="preserve"> faktach </w:t>
      </w:r>
      <w:r w:rsidR="000A0A05" w:rsidRPr="00FA09CC">
        <w:rPr>
          <w:rFonts w:ascii="Times New Roman" w:hAnsi="Times New Roman"/>
          <w:spacing w:val="0"/>
          <w:sz w:val="24"/>
          <w:szCs w:val="24"/>
        </w:rPr>
        <w:t>–</w:t>
      </w:r>
      <w:r w:rsidR="000531DB" w:rsidRPr="00FA09CC">
        <w:rPr>
          <w:rFonts w:ascii="Times New Roman" w:hAnsi="Times New Roman"/>
          <w:spacing w:val="0"/>
          <w:sz w:val="24"/>
          <w:szCs w:val="24"/>
        </w:rPr>
        <w:t xml:space="preserve"> </w:t>
      </w:r>
      <w:r w:rsidR="000A0A05" w:rsidRPr="00FA09CC">
        <w:rPr>
          <w:rFonts w:ascii="Times New Roman" w:hAnsi="Times New Roman"/>
          <w:spacing w:val="0"/>
          <w:sz w:val="24"/>
          <w:szCs w:val="24"/>
        </w:rPr>
        <w:t xml:space="preserve">uchwały te </w:t>
      </w:r>
      <w:r w:rsidR="006069E7" w:rsidRPr="00FA09CC">
        <w:rPr>
          <w:rFonts w:ascii="Times New Roman" w:hAnsi="Times New Roman"/>
          <w:spacing w:val="0"/>
          <w:sz w:val="24"/>
          <w:szCs w:val="24"/>
        </w:rPr>
        <w:t>w istocie wyrażają sprzeciw wobec</w:t>
      </w:r>
      <w:r w:rsidR="000A0A05" w:rsidRPr="00FA09CC">
        <w:rPr>
          <w:rFonts w:ascii="Times New Roman" w:hAnsi="Times New Roman"/>
          <w:spacing w:val="0"/>
          <w:sz w:val="24"/>
          <w:szCs w:val="24"/>
        </w:rPr>
        <w:t xml:space="preserve"> promo</w:t>
      </w:r>
      <w:r w:rsidR="00C91D92" w:rsidRPr="00FA09CC">
        <w:rPr>
          <w:rFonts w:ascii="Times New Roman" w:hAnsi="Times New Roman"/>
          <w:spacing w:val="0"/>
          <w:sz w:val="24"/>
          <w:szCs w:val="24"/>
        </w:rPr>
        <w:t>wania</w:t>
      </w:r>
      <w:r w:rsidR="000A0A05" w:rsidRPr="00FA09CC">
        <w:rPr>
          <w:rFonts w:ascii="Times New Roman" w:hAnsi="Times New Roman"/>
          <w:spacing w:val="0"/>
          <w:sz w:val="24"/>
          <w:szCs w:val="24"/>
        </w:rPr>
        <w:t xml:space="preserve"> </w:t>
      </w:r>
      <w:r w:rsidR="006069E7" w:rsidRPr="00FA09CC">
        <w:rPr>
          <w:rFonts w:ascii="Times New Roman" w:hAnsi="Times New Roman"/>
          <w:spacing w:val="0"/>
          <w:sz w:val="24"/>
          <w:szCs w:val="24"/>
        </w:rPr>
        <w:t xml:space="preserve">w </w:t>
      </w:r>
      <w:r w:rsidR="00C91D92" w:rsidRPr="00FA09CC">
        <w:rPr>
          <w:rFonts w:ascii="Times New Roman" w:hAnsi="Times New Roman"/>
          <w:spacing w:val="0"/>
          <w:sz w:val="24"/>
          <w:szCs w:val="24"/>
        </w:rPr>
        <w:t xml:space="preserve">szkołach </w:t>
      </w:r>
      <w:r w:rsidR="000B029E" w:rsidRPr="00FA09CC">
        <w:rPr>
          <w:rFonts w:ascii="Times New Roman" w:hAnsi="Times New Roman"/>
          <w:spacing w:val="0"/>
          <w:sz w:val="24"/>
          <w:szCs w:val="24"/>
        </w:rPr>
        <w:t>modelu wychowania</w:t>
      </w:r>
      <w:r w:rsidR="00C91D92" w:rsidRPr="00FA09CC">
        <w:rPr>
          <w:rFonts w:ascii="Times New Roman" w:hAnsi="Times New Roman"/>
          <w:spacing w:val="0"/>
          <w:sz w:val="24"/>
          <w:szCs w:val="24"/>
        </w:rPr>
        <w:t xml:space="preserve"> dzieci</w:t>
      </w:r>
      <w:r w:rsidR="000B029E" w:rsidRPr="00FA09CC">
        <w:rPr>
          <w:rFonts w:ascii="Times New Roman" w:hAnsi="Times New Roman"/>
          <w:spacing w:val="0"/>
          <w:sz w:val="24"/>
          <w:szCs w:val="24"/>
        </w:rPr>
        <w:t xml:space="preserve"> </w:t>
      </w:r>
      <w:r w:rsidR="006069E7" w:rsidRPr="00FA09CC">
        <w:rPr>
          <w:rFonts w:ascii="Times New Roman" w:hAnsi="Times New Roman"/>
          <w:spacing w:val="0"/>
          <w:sz w:val="24"/>
          <w:szCs w:val="24"/>
        </w:rPr>
        <w:t>niezgodn</w:t>
      </w:r>
      <w:r w:rsidR="000B029E" w:rsidRPr="00FA09CC">
        <w:rPr>
          <w:rFonts w:ascii="Times New Roman" w:hAnsi="Times New Roman"/>
          <w:spacing w:val="0"/>
          <w:sz w:val="24"/>
          <w:szCs w:val="24"/>
        </w:rPr>
        <w:t>ego</w:t>
      </w:r>
      <w:r w:rsidR="005E13F1" w:rsidRPr="00FA09CC">
        <w:rPr>
          <w:rFonts w:ascii="Times New Roman" w:hAnsi="Times New Roman"/>
          <w:spacing w:val="0"/>
          <w:sz w:val="24"/>
          <w:szCs w:val="24"/>
        </w:rPr>
        <w:t xml:space="preserve"> z </w:t>
      </w:r>
      <w:r w:rsidR="006069E7" w:rsidRPr="00FA09CC">
        <w:rPr>
          <w:rFonts w:ascii="Times New Roman" w:hAnsi="Times New Roman"/>
          <w:spacing w:val="0"/>
          <w:sz w:val="24"/>
          <w:szCs w:val="24"/>
        </w:rPr>
        <w:t>przekonaniami rodziców</w:t>
      </w:r>
      <w:r w:rsidR="000562F1" w:rsidRPr="00FA09CC">
        <w:rPr>
          <w:rFonts w:ascii="Times New Roman" w:hAnsi="Times New Roman"/>
          <w:spacing w:val="0"/>
          <w:sz w:val="24"/>
          <w:szCs w:val="24"/>
        </w:rPr>
        <w:t>.</w:t>
      </w:r>
    </w:p>
    <w:p w:rsidR="00A7600A" w:rsidRPr="00FA09CC" w:rsidRDefault="000A0A05" w:rsidP="0024594C">
      <w:pPr>
        <w:pStyle w:val="Adresodbiorcy"/>
        <w:widowControl w:val="0"/>
        <w:shd w:val="clear" w:color="auto" w:fill="FFFFFF" w:themeFill="background1"/>
        <w:suppressAutoHyphens/>
        <w:spacing w:line="240" w:lineRule="auto"/>
        <w:rPr>
          <w:rFonts w:ascii="Times New Roman" w:hAnsi="Times New Roman"/>
          <w:spacing w:val="0"/>
          <w:sz w:val="24"/>
          <w:szCs w:val="24"/>
        </w:rPr>
      </w:pPr>
      <w:r w:rsidRPr="00FA09CC">
        <w:rPr>
          <w:rFonts w:ascii="Times New Roman" w:hAnsi="Times New Roman"/>
          <w:spacing w:val="0"/>
          <w:sz w:val="24"/>
          <w:szCs w:val="24"/>
        </w:rPr>
        <w:t xml:space="preserve">Kontrolę uchwał </w:t>
      </w:r>
      <w:r w:rsidR="00D713F3" w:rsidRPr="00FA09CC">
        <w:rPr>
          <w:rFonts w:ascii="Times New Roman" w:hAnsi="Times New Roman"/>
          <w:spacing w:val="0"/>
          <w:sz w:val="24"/>
          <w:szCs w:val="24"/>
        </w:rPr>
        <w:t xml:space="preserve">rad gmin </w:t>
      </w:r>
      <w:r w:rsidRPr="00FA09CC">
        <w:rPr>
          <w:rFonts w:ascii="Times New Roman" w:hAnsi="Times New Roman"/>
          <w:spacing w:val="0"/>
          <w:sz w:val="24"/>
          <w:szCs w:val="24"/>
        </w:rPr>
        <w:t>sprawują niezależne sądy administracyjne działające na podstawie skarg osób, które posiadają interes prawny w zaskarżeniu danych uchwał jednost</w:t>
      </w:r>
      <w:r w:rsidR="00F23E81">
        <w:rPr>
          <w:rFonts w:ascii="Times New Roman" w:hAnsi="Times New Roman"/>
          <w:spacing w:val="0"/>
          <w:sz w:val="24"/>
          <w:szCs w:val="24"/>
        </w:rPr>
        <w:t>e</w:t>
      </w:r>
      <w:r w:rsidRPr="00FA09CC">
        <w:rPr>
          <w:rFonts w:ascii="Times New Roman" w:hAnsi="Times New Roman"/>
          <w:spacing w:val="0"/>
          <w:sz w:val="24"/>
          <w:szCs w:val="24"/>
        </w:rPr>
        <w:t xml:space="preserve">k samorządu terytorialnego. Z orzecznictwa wynika, że </w:t>
      </w:r>
      <w:r w:rsidR="001E2622">
        <w:rPr>
          <w:rFonts w:ascii="Times New Roman" w:hAnsi="Times New Roman"/>
          <w:spacing w:val="0"/>
          <w:sz w:val="24"/>
          <w:szCs w:val="24"/>
        </w:rPr>
        <w:t xml:space="preserve">wzmiankowane </w:t>
      </w:r>
      <w:r w:rsidRPr="00FA09CC">
        <w:rPr>
          <w:rFonts w:ascii="Times New Roman" w:hAnsi="Times New Roman"/>
          <w:spacing w:val="0"/>
          <w:sz w:val="24"/>
          <w:szCs w:val="24"/>
        </w:rPr>
        <w:t xml:space="preserve">uchwały są deklaracjami, reprezentującymi jedynie poglądy radnych w kwestiach światopoglądowych </w:t>
      </w:r>
      <w:r w:rsidR="006928B9">
        <w:rPr>
          <w:rFonts w:ascii="Times New Roman" w:hAnsi="Times New Roman"/>
          <w:spacing w:val="0"/>
          <w:sz w:val="24"/>
          <w:szCs w:val="24"/>
        </w:rPr>
        <w:br/>
      </w:r>
      <w:r w:rsidRPr="00FA09CC">
        <w:rPr>
          <w:rFonts w:ascii="Times New Roman" w:hAnsi="Times New Roman"/>
          <w:spacing w:val="0"/>
          <w:sz w:val="24"/>
          <w:szCs w:val="24"/>
        </w:rPr>
        <w:t xml:space="preserve">i obyczajowych. Nie nakładają </w:t>
      </w:r>
      <w:r w:rsidR="000B30B7" w:rsidRPr="00FA09CC">
        <w:rPr>
          <w:rFonts w:ascii="Times New Roman" w:hAnsi="Times New Roman"/>
          <w:spacing w:val="0"/>
          <w:sz w:val="24"/>
          <w:szCs w:val="24"/>
        </w:rPr>
        <w:t xml:space="preserve">one </w:t>
      </w:r>
      <w:r w:rsidRPr="00FA09CC">
        <w:rPr>
          <w:rFonts w:ascii="Times New Roman" w:hAnsi="Times New Roman"/>
          <w:spacing w:val="0"/>
          <w:sz w:val="24"/>
          <w:szCs w:val="24"/>
        </w:rPr>
        <w:t>na obywateli żadnych uprawnień ani obowiązków oraz nie ograniczają</w:t>
      </w:r>
      <w:r w:rsidR="00F23E81">
        <w:rPr>
          <w:rFonts w:ascii="Times New Roman" w:hAnsi="Times New Roman"/>
          <w:spacing w:val="0"/>
          <w:sz w:val="24"/>
          <w:szCs w:val="24"/>
        </w:rPr>
        <w:t>,</w:t>
      </w:r>
      <w:r w:rsidRPr="00FA09CC">
        <w:rPr>
          <w:rFonts w:ascii="Times New Roman" w:hAnsi="Times New Roman"/>
          <w:spacing w:val="0"/>
          <w:sz w:val="24"/>
          <w:szCs w:val="24"/>
        </w:rPr>
        <w:t xml:space="preserve"> ani też nie odbierają żadnych praw. </w:t>
      </w:r>
      <w:r w:rsidR="000B30B7" w:rsidRPr="00FA09CC">
        <w:rPr>
          <w:rFonts w:ascii="Times New Roman" w:hAnsi="Times New Roman"/>
          <w:spacing w:val="0"/>
          <w:sz w:val="24"/>
          <w:szCs w:val="24"/>
        </w:rPr>
        <w:t>U</w:t>
      </w:r>
      <w:r w:rsidRPr="00FA09CC">
        <w:rPr>
          <w:rFonts w:ascii="Times New Roman" w:hAnsi="Times New Roman"/>
          <w:spacing w:val="0"/>
          <w:sz w:val="24"/>
          <w:szCs w:val="24"/>
        </w:rPr>
        <w:t>chwały nie stanowią aktów prawa miejscowego</w:t>
      </w:r>
      <w:r w:rsidR="000B30B7" w:rsidRPr="00FA09CC">
        <w:rPr>
          <w:rFonts w:ascii="Times New Roman" w:hAnsi="Times New Roman"/>
          <w:spacing w:val="0"/>
          <w:sz w:val="24"/>
          <w:szCs w:val="24"/>
        </w:rPr>
        <w:t>,</w:t>
      </w:r>
      <w:r w:rsidRPr="00FA09CC">
        <w:rPr>
          <w:rFonts w:ascii="Times New Roman" w:hAnsi="Times New Roman"/>
          <w:spacing w:val="0"/>
          <w:sz w:val="24"/>
          <w:szCs w:val="24"/>
        </w:rPr>
        <w:t xml:space="preserve"> ustanawiają</w:t>
      </w:r>
      <w:r w:rsidR="000B30B7" w:rsidRPr="00FA09CC">
        <w:rPr>
          <w:rFonts w:ascii="Times New Roman" w:hAnsi="Times New Roman"/>
          <w:spacing w:val="0"/>
          <w:sz w:val="24"/>
          <w:szCs w:val="24"/>
        </w:rPr>
        <w:t>cych</w:t>
      </w:r>
      <w:r w:rsidRPr="00FA09CC">
        <w:rPr>
          <w:rFonts w:ascii="Times New Roman" w:hAnsi="Times New Roman"/>
          <w:spacing w:val="0"/>
          <w:sz w:val="24"/>
          <w:szCs w:val="24"/>
        </w:rPr>
        <w:t xml:space="preserve"> prawa i obowiązki o charakterze generalnym, powszechnie obowiązujący</w:t>
      </w:r>
      <w:r w:rsidR="000B30B7" w:rsidRPr="00FA09CC">
        <w:rPr>
          <w:rFonts w:ascii="Times New Roman" w:hAnsi="Times New Roman"/>
          <w:spacing w:val="0"/>
          <w:sz w:val="24"/>
          <w:szCs w:val="24"/>
        </w:rPr>
        <w:t>ch</w:t>
      </w:r>
      <w:r w:rsidRPr="00FA09CC">
        <w:rPr>
          <w:rFonts w:ascii="Times New Roman" w:hAnsi="Times New Roman"/>
          <w:spacing w:val="0"/>
          <w:sz w:val="24"/>
          <w:szCs w:val="24"/>
        </w:rPr>
        <w:t xml:space="preserve"> i skierowan</w:t>
      </w:r>
      <w:r w:rsidR="000B30B7" w:rsidRPr="00FA09CC">
        <w:rPr>
          <w:rFonts w:ascii="Times New Roman" w:hAnsi="Times New Roman"/>
          <w:spacing w:val="0"/>
          <w:sz w:val="24"/>
          <w:szCs w:val="24"/>
        </w:rPr>
        <w:t xml:space="preserve">ych </w:t>
      </w:r>
      <w:r w:rsidRPr="00FA09CC">
        <w:rPr>
          <w:rFonts w:ascii="Times New Roman" w:hAnsi="Times New Roman"/>
          <w:spacing w:val="0"/>
          <w:sz w:val="24"/>
          <w:szCs w:val="24"/>
        </w:rPr>
        <w:t>do nieokreślonej liczby adresatów. Uchwały nie stanowią również aktów z zakresu administracji publicznej, które stanowiłyby przejaw władztwa publicznoprawnego sprawowanego przez organy administracji publicznej, w tym przez jednostki samorządu terytorialnego.</w:t>
      </w:r>
      <w:r w:rsidR="001109CF">
        <w:rPr>
          <w:rFonts w:ascii="Times New Roman" w:hAnsi="Times New Roman"/>
          <w:spacing w:val="0"/>
          <w:sz w:val="24"/>
          <w:szCs w:val="24"/>
        </w:rPr>
        <w:t xml:space="preserve"> </w:t>
      </w:r>
      <w:r w:rsidR="00763F3F">
        <w:rPr>
          <w:rFonts w:ascii="Times New Roman" w:hAnsi="Times New Roman"/>
          <w:spacing w:val="0"/>
          <w:sz w:val="24"/>
          <w:szCs w:val="24"/>
        </w:rPr>
        <w:t xml:space="preserve"> </w:t>
      </w:r>
    </w:p>
    <w:p w:rsidR="00455487" w:rsidRPr="00FA09CC" w:rsidRDefault="00176B19" w:rsidP="0024594C">
      <w:pPr>
        <w:pStyle w:val="Adresodbiorcy"/>
        <w:widowControl w:val="0"/>
        <w:shd w:val="clear" w:color="auto" w:fill="FFFFFF" w:themeFill="background1"/>
        <w:suppressAutoHyphens/>
        <w:spacing w:line="240" w:lineRule="auto"/>
        <w:rPr>
          <w:rFonts w:ascii="Times New Roman" w:hAnsi="Times New Roman"/>
          <w:color w:val="000000" w:themeColor="text1"/>
          <w:spacing w:val="0"/>
          <w:sz w:val="24"/>
          <w:szCs w:val="24"/>
        </w:rPr>
      </w:pPr>
      <w:r w:rsidRPr="00FA09CC">
        <w:rPr>
          <w:rFonts w:ascii="Times New Roman" w:hAnsi="Times New Roman"/>
          <w:spacing w:val="0"/>
          <w:sz w:val="24"/>
          <w:szCs w:val="24"/>
        </w:rPr>
        <w:t xml:space="preserve">Odnosząc się do </w:t>
      </w:r>
      <w:r w:rsidR="000A0A05" w:rsidRPr="00FA09CC">
        <w:rPr>
          <w:rFonts w:ascii="Times New Roman" w:hAnsi="Times New Roman"/>
          <w:spacing w:val="0"/>
          <w:sz w:val="24"/>
          <w:szCs w:val="24"/>
        </w:rPr>
        <w:t>osta</w:t>
      </w:r>
      <w:r w:rsidR="00AB696E" w:rsidRPr="00FA09CC">
        <w:rPr>
          <w:rFonts w:ascii="Times New Roman" w:hAnsi="Times New Roman"/>
          <w:spacing w:val="0"/>
          <w:sz w:val="24"/>
          <w:szCs w:val="24"/>
        </w:rPr>
        <w:t>t</w:t>
      </w:r>
      <w:r w:rsidR="000A0A05" w:rsidRPr="00FA09CC">
        <w:rPr>
          <w:rFonts w:ascii="Times New Roman" w:hAnsi="Times New Roman"/>
          <w:spacing w:val="0"/>
          <w:sz w:val="24"/>
          <w:szCs w:val="24"/>
        </w:rPr>
        <w:t>nie</w:t>
      </w:r>
      <w:r w:rsidRPr="00FA09CC">
        <w:rPr>
          <w:rFonts w:ascii="Times New Roman" w:hAnsi="Times New Roman"/>
          <w:spacing w:val="0"/>
          <w:sz w:val="24"/>
          <w:szCs w:val="24"/>
        </w:rPr>
        <w:t>go</w:t>
      </w:r>
      <w:r w:rsidR="000A0A05" w:rsidRPr="00FA09CC">
        <w:rPr>
          <w:rFonts w:ascii="Times New Roman" w:hAnsi="Times New Roman"/>
          <w:spacing w:val="0"/>
          <w:sz w:val="24"/>
          <w:szCs w:val="24"/>
        </w:rPr>
        <w:t xml:space="preserve"> zdani</w:t>
      </w:r>
      <w:r w:rsidRPr="00FA09CC">
        <w:rPr>
          <w:rFonts w:ascii="Times New Roman" w:hAnsi="Times New Roman"/>
          <w:spacing w:val="0"/>
          <w:sz w:val="24"/>
          <w:szCs w:val="24"/>
        </w:rPr>
        <w:t>a</w:t>
      </w:r>
      <w:r w:rsidR="000A0A05" w:rsidRPr="00FA09CC">
        <w:rPr>
          <w:rFonts w:ascii="Times New Roman" w:hAnsi="Times New Roman"/>
          <w:spacing w:val="0"/>
          <w:sz w:val="24"/>
          <w:szCs w:val="24"/>
        </w:rPr>
        <w:t xml:space="preserve"> tego paragrafu, </w:t>
      </w:r>
      <w:r w:rsidRPr="00FA09CC">
        <w:rPr>
          <w:rFonts w:ascii="Times New Roman" w:hAnsi="Times New Roman"/>
          <w:spacing w:val="0"/>
          <w:sz w:val="24"/>
          <w:szCs w:val="24"/>
        </w:rPr>
        <w:t>należy stwierdzić</w:t>
      </w:r>
      <w:r w:rsidR="000A0A05" w:rsidRPr="00FA09CC">
        <w:rPr>
          <w:rFonts w:ascii="Times New Roman" w:hAnsi="Times New Roman"/>
          <w:spacing w:val="0"/>
          <w:sz w:val="24"/>
          <w:szCs w:val="24"/>
        </w:rPr>
        <w:t xml:space="preserve">, że </w:t>
      </w:r>
      <w:r w:rsidRPr="00FA09CC">
        <w:rPr>
          <w:rFonts w:ascii="Times New Roman" w:hAnsi="Times New Roman"/>
          <w:spacing w:val="0"/>
          <w:sz w:val="24"/>
          <w:szCs w:val="24"/>
        </w:rPr>
        <w:t xml:space="preserve">ilekroć </w:t>
      </w:r>
      <w:r w:rsidR="000A0A05" w:rsidRPr="00FA09CC">
        <w:rPr>
          <w:rFonts w:ascii="Times New Roman" w:hAnsi="Times New Roman"/>
          <w:spacing w:val="0"/>
          <w:sz w:val="24"/>
          <w:szCs w:val="24"/>
        </w:rPr>
        <w:t xml:space="preserve">debata publiczna przybiera </w:t>
      </w:r>
      <w:r w:rsidRPr="00FA09CC">
        <w:rPr>
          <w:rFonts w:ascii="Times New Roman" w:hAnsi="Times New Roman"/>
          <w:spacing w:val="0"/>
          <w:sz w:val="24"/>
          <w:szCs w:val="24"/>
        </w:rPr>
        <w:t>zbyt</w:t>
      </w:r>
      <w:r w:rsidR="000A0A05" w:rsidRPr="00FA09CC">
        <w:rPr>
          <w:rFonts w:ascii="Times New Roman" w:hAnsi="Times New Roman"/>
          <w:spacing w:val="0"/>
          <w:sz w:val="24"/>
          <w:szCs w:val="24"/>
        </w:rPr>
        <w:t xml:space="preserve"> ostry ton</w:t>
      </w:r>
      <w:r w:rsidRPr="00FA09CC">
        <w:rPr>
          <w:rFonts w:ascii="Times New Roman" w:hAnsi="Times New Roman"/>
          <w:spacing w:val="0"/>
          <w:sz w:val="24"/>
          <w:szCs w:val="24"/>
        </w:rPr>
        <w:t>,</w:t>
      </w:r>
      <w:r w:rsidR="000A0A05" w:rsidRPr="00FA09CC">
        <w:rPr>
          <w:rFonts w:ascii="Times New Roman" w:hAnsi="Times New Roman"/>
          <w:spacing w:val="0"/>
          <w:sz w:val="24"/>
          <w:szCs w:val="24"/>
        </w:rPr>
        <w:t xml:space="preserve"> administracja rządowa podkreśla konieczność kierowania się poszanowaniem godności każdego człowieka, </w:t>
      </w:r>
      <w:r w:rsidRPr="00FA09CC">
        <w:rPr>
          <w:rFonts w:ascii="Times New Roman" w:hAnsi="Times New Roman"/>
          <w:spacing w:val="0"/>
          <w:sz w:val="24"/>
          <w:szCs w:val="24"/>
        </w:rPr>
        <w:t>z czego wprost</w:t>
      </w:r>
      <w:r w:rsidR="000531DB" w:rsidRPr="00FA09CC">
        <w:rPr>
          <w:rFonts w:ascii="Times New Roman" w:hAnsi="Times New Roman"/>
          <w:spacing w:val="0"/>
          <w:sz w:val="24"/>
          <w:szCs w:val="24"/>
        </w:rPr>
        <w:t xml:space="preserve"> </w:t>
      </w:r>
      <w:r w:rsidRPr="00FA09CC">
        <w:rPr>
          <w:rFonts w:ascii="Times New Roman" w:hAnsi="Times New Roman"/>
          <w:spacing w:val="0"/>
          <w:sz w:val="24"/>
          <w:szCs w:val="24"/>
        </w:rPr>
        <w:t>wynika niemożność</w:t>
      </w:r>
      <w:r w:rsidR="000A0A05" w:rsidRPr="00FA09CC">
        <w:rPr>
          <w:rFonts w:ascii="Times New Roman" w:hAnsi="Times New Roman"/>
          <w:spacing w:val="0"/>
          <w:sz w:val="24"/>
          <w:szCs w:val="24"/>
        </w:rPr>
        <w:t xml:space="preserve"> odseparowani</w:t>
      </w:r>
      <w:r w:rsidRPr="00FA09CC">
        <w:rPr>
          <w:rFonts w:ascii="Times New Roman" w:hAnsi="Times New Roman"/>
          <w:spacing w:val="0"/>
          <w:sz w:val="24"/>
          <w:szCs w:val="24"/>
        </w:rPr>
        <w:t>a</w:t>
      </w:r>
      <w:r w:rsidR="000A0A05" w:rsidRPr="00FA09CC">
        <w:rPr>
          <w:rFonts w:ascii="Times New Roman" w:hAnsi="Times New Roman"/>
          <w:spacing w:val="0"/>
          <w:sz w:val="24"/>
          <w:szCs w:val="24"/>
        </w:rPr>
        <w:t xml:space="preserve"> osoby od godności jej przydanej. Eskalacja sporu politycznego uderza w różne grupy społeczne, czego przykład</w:t>
      </w:r>
      <w:r w:rsidR="001547AC" w:rsidRPr="00FA09CC">
        <w:rPr>
          <w:rFonts w:ascii="Times New Roman" w:hAnsi="Times New Roman"/>
          <w:spacing w:val="0"/>
          <w:sz w:val="24"/>
          <w:szCs w:val="24"/>
        </w:rPr>
        <w:t xml:space="preserve">em są </w:t>
      </w:r>
      <w:r w:rsidR="000A0A05" w:rsidRPr="00FA09CC">
        <w:rPr>
          <w:rFonts w:ascii="Times New Roman" w:hAnsi="Times New Roman"/>
          <w:spacing w:val="0"/>
          <w:sz w:val="24"/>
          <w:szCs w:val="24"/>
        </w:rPr>
        <w:t xml:space="preserve">także akty </w:t>
      </w:r>
      <w:r w:rsidRPr="00FA09CC">
        <w:rPr>
          <w:rFonts w:ascii="Times New Roman" w:hAnsi="Times New Roman"/>
          <w:spacing w:val="0"/>
          <w:sz w:val="24"/>
          <w:szCs w:val="24"/>
        </w:rPr>
        <w:t>z udziałem</w:t>
      </w:r>
      <w:r w:rsidR="000A0A05" w:rsidRPr="00FA09CC">
        <w:rPr>
          <w:rFonts w:ascii="Times New Roman" w:hAnsi="Times New Roman"/>
          <w:spacing w:val="0"/>
          <w:sz w:val="24"/>
          <w:szCs w:val="24"/>
        </w:rPr>
        <w:t xml:space="preserve"> osób należących do społeczności </w:t>
      </w:r>
      <w:r w:rsidR="000A0A05" w:rsidRPr="00FA09CC">
        <w:rPr>
          <w:rFonts w:ascii="Times New Roman" w:hAnsi="Times New Roman"/>
          <w:spacing w:val="0"/>
          <w:sz w:val="24"/>
          <w:szCs w:val="24"/>
        </w:rPr>
        <w:lastRenderedPageBreak/>
        <w:t xml:space="preserve">lgbt, na przykład </w:t>
      </w:r>
      <w:r w:rsidR="000A0A05" w:rsidRPr="00FA09CC">
        <w:rPr>
          <w:rFonts w:ascii="Times New Roman" w:hAnsi="Times New Roman"/>
          <w:color w:val="000000" w:themeColor="text1"/>
          <w:spacing w:val="0"/>
          <w:sz w:val="24"/>
          <w:szCs w:val="24"/>
        </w:rPr>
        <w:t>utrudnianie przejazdu karetki pogotowia, związane z zablokowaniem przez manifest</w:t>
      </w:r>
      <w:r w:rsidR="000B30B7" w:rsidRPr="00FA09CC">
        <w:rPr>
          <w:rFonts w:ascii="Times New Roman" w:hAnsi="Times New Roman"/>
          <w:color w:val="000000" w:themeColor="text1"/>
          <w:spacing w:val="0"/>
          <w:sz w:val="24"/>
          <w:szCs w:val="24"/>
        </w:rPr>
        <w:t>antów</w:t>
      </w:r>
      <w:r w:rsidR="000A0A05" w:rsidRPr="00FA09CC">
        <w:rPr>
          <w:rFonts w:ascii="Times New Roman" w:hAnsi="Times New Roman"/>
          <w:color w:val="000000" w:themeColor="text1"/>
          <w:spacing w:val="0"/>
          <w:sz w:val="24"/>
          <w:szCs w:val="24"/>
        </w:rPr>
        <w:t xml:space="preserve"> jednej z najbardziej uczęszczanych wielopasmowych dróg Warszawy</w:t>
      </w:r>
      <w:r w:rsidRPr="00FA09CC">
        <w:rPr>
          <w:rFonts w:ascii="Times New Roman" w:hAnsi="Times New Roman"/>
          <w:color w:val="000000" w:themeColor="text1"/>
          <w:spacing w:val="0"/>
          <w:sz w:val="24"/>
          <w:szCs w:val="24"/>
        </w:rPr>
        <w:t xml:space="preserve">. Takie działania utrudniają pracę służb ratowniczych, i </w:t>
      </w:r>
      <w:r w:rsidR="000A0A05" w:rsidRPr="00FA09CC">
        <w:rPr>
          <w:rFonts w:ascii="Times New Roman" w:hAnsi="Times New Roman"/>
          <w:color w:val="000000" w:themeColor="text1"/>
          <w:spacing w:val="0"/>
          <w:sz w:val="24"/>
          <w:szCs w:val="24"/>
        </w:rPr>
        <w:t>opóźnia</w:t>
      </w:r>
      <w:r w:rsidRPr="00FA09CC">
        <w:rPr>
          <w:rFonts w:ascii="Times New Roman" w:hAnsi="Times New Roman"/>
          <w:color w:val="000000" w:themeColor="text1"/>
          <w:spacing w:val="0"/>
          <w:sz w:val="24"/>
          <w:szCs w:val="24"/>
        </w:rPr>
        <w:t>ją</w:t>
      </w:r>
      <w:r w:rsidR="001547AC" w:rsidRPr="00FA09CC">
        <w:rPr>
          <w:rFonts w:ascii="Times New Roman" w:hAnsi="Times New Roman"/>
          <w:color w:val="000000" w:themeColor="text1"/>
          <w:spacing w:val="0"/>
          <w:sz w:val="24"/>
          <w:szCs w:val="24"/>
        </w:rPr>
        <w:t>, na przykład</w:t>
      </w:r>
      <w:r w:rsidR="00BD0E24">
        <w:rPr>
          <w:rFonts w:ascii="Times New Roman" w:hAnsi="Times New Roman"/>
          <w:color w:val="000000" w:themeColor="text1"/>
          <w:spacing w:val="0"/>
          <w:sz w:val="24"/>
          <w:szCs w:val="24"/>
        </w:rPr>
        <w:t>,</w:t>
      </w:r>
      <w:r w:rsidR="001547AC" w:rsidRPr="00FA09CC">
        <w:rPr>
          <w:rFonts w:ascii="Times New Roman" w:hAnsi="Times New Roman"/>
          <w:color w:val="000000" w:themeColor="text1"/>
          <w:spacing w:val="0"/>
          <w:sz w:val="24"/>
          <w:szCs w:val="24"/>
        </w:rPr>
        <w:t xml:space="preserve"> </w:t>
      </w:r>
      <w:r w:rsidR="000A0A05" w:rsidRPr="00FA09CC">
        <w:rPr>
          <w:rFonts w:ascii="Times New Roman" w:hAnsi="Times New Roman"/>
          <w:color w:val="000000" w:themeColor="text1"/>
          <w:spacing w:val="0"/>
          <w:sz w:val="24"/>
          <w:szCs w:val="24"/>
        </w:rPr>
        <w:t>udziel</w:t>
      </w:r>
      <w:r w:rsidR="00F23E81">
        <w:rPr>
          <w:rFonts w:ascii="Times New Roman" w:hAnsi="Times New Roman"/>
          <w:color w:val="000000" w:themeColor="text1"/>
          <w:spacing w:val="0"/>
          <w:sz w:val="24"/>
          <w:szCs w:val="24"/>
        </w:rPr>
        <w:t>e</w:t>
      </w:r>
      <w:r w:rsidR="000A0A05" w:rsidRPr="00FA09CC">
        <w:rPr>
          <w:rFonts w:ascii="Times New Roman" w:hAnsi="Times New Roman"/>
          <w:color w:val="000000" w:themeColor="text1"/>
          <w:spacing w:val="0"/>
          <w:sz w:val="24"/>
          <w:szCs w:val="24"/>
        </w:rPr>
        <w:t>ni</w:t>
      </w:r>
      <w:r w:rsidR="001547AC" w:rsidRPr="00FA09CC">
        <w:rPr>
          <w:rFonts w:ascii="Times New Roman" w:hAnsi="Times New Roman"/>
          <w:color w:val="000000" w:themeColor="text1"/>
          <w:spacing w:val="0"/>
          <w:sz w:val="24"/>
          <w:szCs w:val="24"/>
        </w:rPr>
        <w:t xml:space="preserve">e </w:t>
      </w:r>
      <w:r w:rsidR="000A0A05" w:rsidRPr="00FA09CC">
        <w:rPr>
          <w:rFonts w:ascii="Times New Roman" w:hAnsi="Times New Roman"/>
          <w:color w:val="000000" w:themeColor="text1"/>
          <w:spacing w:val="0"/>
          <w:sz w:val="24"/>
          <w:szCs w:val="24"/>
        </w:rPr>
        <w:t>niezbędnej pomocy</w:t>
      </w:r>
      <w:r w:rsidRPr="00FA09CC">
        <w:rPr>
          <w:rFonts w:ascii="Times New Roman" w:hAnsi="Times New Roman"/>
          <w:color w:val="000000" w:themeColor="text1"/>
          <w:spacing w:val="0"/>
          <w:sz w:val="24"/>
          <w:szCs w:val="24"/>
        </w:rPr>
        <w:t>.</w:t>
      </w:r>
      <w:r w:rsidR="005E13F1" w:rsidRPr="00FA09CC">
        <w:rPr>
          <w:rFonts w:ascii="Times New Roman" w:hAnsi="Times New Roman"/>
          <w:color w:val="000000" w:themeColor="text1"/>
          <w:spacing w:val="0"/>
          <w:sz w:val="24"/>
          <w:szCs w:val="24"/>
        </w:rPr>
        <w:t xml:space="preserve"> C</w:t>
      </w:r>
      <w:r w:rsidR="000A0A05" w:rsidRPr="00FA09CC">
        <w:rPr>
          <w:rFonts w:ascii="Times New Roman" w:hAnsi="Times New Roman"/>
          <w:color w:val="000000" w:themeColor="text1"/>
          <w:spacing w:val="0"/>
          <w:sz w:val="24"/>
          <w:szCs w:val="24"/>
        </w:rPr>
        <w:t xml:space="preserve">oraz częściej obserwuje się towarzyszące manifestacjom niszczenie miejsc kultu, będących nierzadko budowlami o charakterze zabytkowym i obiektów, które służą całej społeczności. </w:t>
      </w:r>
    </w:p>
    <w:p w:rsidR="00455487" w:rsidRPr="00FA09CC" w:rsidRDefault="00455487" w:rsidP="0024594C">
      <w:pPr>
        <w:pStyle w:val="Adresodbiorcy"/>
        <w:widowControl w:val="0"/>
        <w:shd w:val="clear" w:color="auto" w:fill="FFFFFF" w:themeFill="background1"/>
        <w:suppressAutoHyphens/>
        <w:spacing w:line="240" w:lineRule="auto"/>
        <w:rPr>
          <w:rFonts w:ascii="Times New Roman" w:hAnsi="Times New Roman"/>
          <w:color w:val="000000" w:themeColor="text1"/>
          <w:spacing w:val="0"/>
          <w:sz w:val="24"/>
          <w:szCs w:val="24"/>
        </w:rPr>
      </w:pPr>
    </w:p>
    <w:p w:rsidR="00805F1B" w:rsidRPr="00FA09CC" w:rsidRDefault="00E263CD" w:rsidP="0024594C">
      <w:pPr>
        <w:pStyle w:val="Adresodbiorcy"/>
        <w:widowControl w:val="0"/>
        <w:shd w:val="clear" w:color="auto" w:fill="FFFFFF" w:themeFill="background1"/>
        <w:suppressAutoHyphens/>
        <w:spacing w:line="240" w:lineRule="auto"/>
        <w:rPr>
          <w:rFonts w:ascii="Times New Roman" w:hAnsi="Times New Roman"/>
          <w:b/>
          <w:color w:val="000000" w:themeColor="text1"/>
          <w:spacing w:val="0"/>
          <w:sz w:val="24"/>
          <w:szCs w:val="24"/>
        </w:rPr>
      </w:pPr>
      <w:r>
        <w:rPr>
          <w:rFonts w:ascii="Times New Roman" w:eastAsiaTheme="minorHAnsi" w:hAnsi="Times New Roman"/>
          <w:b/>
          <w:color w:val="000000" w:themeColor="text1"/>
          <w:spacing w:val="0"/>
          <w:sz w:val="24"/>
          <w:szCs w:val="24"/>
        </w:rPr>
        <w:t>P</w:t>
      </w:r>
      <w:r w:rsidR="000A0A05" w:rsidRPr="00FA09CC">
        <w:rPr>
          <w:rFonts w:ascii="Times New Roman" w:hAnsi="Times New Roman"/>
          <w:b/>
          <w:color w:val="000000" w:themeColor="text1"/>
          <w:spacing w:val="0"/>
          <w:sz w:val="24"/>
          <w:szCs w:val="24"/>
        </w:rPr>
        <w:t>aragrafy 29-31 i 48 – koordynacja działań instytucji odpowiedzialnych za zwalczanie przemocy, instytucja koordynująca</w:t>
      </w:r>
    </w:p>
    <w:p w:rsidR="00EE32C9" w:rsidRPr="00FA09CC" w:rsidRDefault="000A0A05" w:rsidP="0024594C">
      <w:pPr>
        <w:pStyle w:val="Adresodbiorcy"/>
        <w:widowControl w:val="0"/>
        <w:shd w:val="clear" w:color="auto" w:fill="FFFFFF" w:themeFill="background1"/>
        <w:suppressAutoHyphens/>
        <w:spacing w:line="240" w:lineRule="auto"/>
        <w:rPr>
          <w:rFonts w:ascii="Times New Roman" w:hAnsi="Times New Roman"/>
          <w:color w:val="000000" w:themeColor="text1"/>
          <w:spacing w:val="0"/>
          <w:sz w:val="24"/>
          <w:szCs w:val="24"/>
        </w:rPr>
      </w:pPr>
      <w:r w:rsidRPr="00FA09CC">
        <w:rPr>
          <w:rFonts w:ascii="Times New Roman" w:hAnsi="Times New Roman"/>
          <w:color w:val="000000" w:themeColor="text1"/>
          <w:spacing w:val="0"/>
          <w:sz w:val="24"/>
          <w:szCs w:val="24"/>
        </w:rPr>
        <w:t xml:space="preserve">Zważywszy, że materia przemocy, w tym wobec kobiet, ma charakter wysoce zróżnicowany </w:t>
      </w:r>
      <w:r w:rsidR="006928B9">
        <w:rPr>
          <w:rFonts w:ascii="Times New Roman" w:hAnsi="Times New Roman"/>
          <w:color w:val="000000" w:themeColor="text1"/>
          <w:spacing w:val="0"/>
          <w:sz w:val="24"/>
          <w:szCs w:val="24"/>
        </w:rPr>
        <w:br/>
      </w:r>
      <w:r w:rsidRPr="00FA09CC">
        <w:rPr>
          <w:rFonts w:ascii="Times New Roman" w:hAnsi="Times New Roman"/>
          <w:color w:val="000000" w:themeColor="text1"/>
          <w:spacing w:val="0"/>
          <w:sz w:val="24"/>
          <w:szCs w:val="24"/>
        </w:rPr>
        <w:t>i wielopłaszczyznowy, rozwiązania ogólne, kompleksowe nie byłyby tak skuteczne, jak działania wyspecjalizowane. Dotyczy to tak przedmiotu regulacji prawnych, jak i otoczenia instytucjonalnego.</w:t>
      </w:r>
    </w:p>
    <w:p w:rsidR="000F145C" w:rsidRPr="00FA09CC" w:rsidRDefault="000A0A05" w:rsidP="0024594C">
      <w:pPr>
        <w:pStyle w:val="Adresodbiorcy"/>
        <w:widowControl w:val="0"/>
        <w:shd w:val="clear" w:color="auto" w:fill="FFFFFF" w:themeFill="background1"/>
        <w:suppressAutoHyphens/>
        <w:spacing w:line="240" w:lineRule="auto"/>
        <w:rPr>
          <w:rFonts w:ascii="Times New Roman" w:hAnsi="Times New Roman"/>
          <w:color w:val="000000" w:themeColor="text1"/>
          <w:spacing w:val="0"/>
          <w:sz w:val="24"/>
          <w:szCs w:val="24"/>
        </w:rPr>
      </w:pPr>
      <w:r w:rsidRPr="00FA09CC">
        <w:rPr>
          <w:rFonts w:ascii="Times New Roman" w:hAnsi="Times New Roman"/>
          <w:color w:val="000000" w:themeColor="text1"/>
          <w:spacing w:val="0"/>
          <w:sz w:val="24"/>
          <w:szCs w:val="24"/>
        </w:rPr>
        <w:t xml:space="preserve">Struktura instytucjonalna oraz sposób ukształtowania powiązań między instytucjami </w:t>
      </w:r>
      <w:r w:rsidR="006928B9">
        <w:rPr>
          <w:rFonts w:ascii="Times New Roman" w:hAnsi="Times New Roman"/>
          <w:color w:val="000000" w:themeColor="text1"/>
          <w:spacing w:val="0"/>
          <w:sz w:val="24"/>
          <w:szCs w:val="24"/>
        </w:rPr>
        <w:br/>
      </w:r>
      <w:r w:rsidRPr="00FA09CC">
        <w:rPr>
          <w:rFonts w:ascii="Times New Roman" w:hAnsi="Times New Roman"/>
          <w:color w:val="000000" w:themeColor="text1"/>
          <w:spacing w:val="0"/>
          <w:sz w:val="24"/>
          <w:szCs w:val="24"/>
        </w:rPr>
        <w:t xml:space="preserve">w zakresie przeciwdziałania przemocy, w tym przemocy w rodzinie, odpowiada sposobowi organizacji i funkcjonowania administracji polskiej. Kompetencje poszczególnych instytucji publicznych w zakresie zapobiegania i zwalczania przemocy, w tym przemocy w rodzinie, są określone w sposób jednoznaczny i przejrzysty oraz wystarczający, by skutecznie realizować politykę państwa w zakresie przeciwdziałania przemocy. </w:t>
      </w:r>
    </w:p>
    <w:p w:rsidR="00EE32C9" w:rsidRPr="00FA09CC" w:rsidRDefault="00BD0E24" w:rsidP="0024594C">
      <w:pPr>
        <w:pStyle w:val="Adresodbiorcy"/>
        <w:widowControl w:val="0"/>
        <w:shd w:val="clear" w:color="auto" w:fill="FFFFFF" w:themeFill="background1"/>
        <w:suppressAutoHyphens/>
        <w:spacing w:line="240" w:lineRule="auto"/>
        <w:rPr>
          <w:rFonts w:ascii="Times New Roman" w:hAnsi="Times New Roman"/>
          <w:color w:val="000000" w:themeColor="text1"/>
          <w:spacing w:val="0"/>
          <w:sz w:val="24"/>
          <w:szCs w:val="24"/>
        </w:rPr>
      </w:pPr>
      <w:r>
        <w:rPr>
          <w:rFonts w:ascii="Times New Roman" w:hAnsi="Times New Roman"/>
          <w:color w:val="000000" w:themeColor="text1"/>
          <w:spacing w:val="0"/>
          <w:sz w:val="24"/>
          <w:szCs w:val="24"/>
        </w:rPr>
        <w:t>Nie ma</w:t>
      </w:r>
      <w:r w:rsidR="000B30B7" w:rsidRPr="00FA09CC">
        <w:rPr>
          <w:rFonts w:ascii="Times New Roman" w:hAnsi="Times New Roman"/>
          <w:color w:val="000000" w:themeColor="text1"/>
          <w:spacing w:val="0"/>
          <w:sz w:val="24"/>
          <w:szCs w:val="24"/>
        </w:rPr>
        <w:t xml:space="preserve"> dowodów potwierdzających tezę</w:t>
      </w:r>
      <w:r w:rsidR="000A0A05" w:rsidRPr="00FA09CC">
        <w:rPr>
          <w:rFonts w:ascii="Times New Roman" w:hAnsi="Times New Roman"/>
          <w:color w:val="000000" w:themeColor="text1"/>
          <w:spacing w:val="0"/>
          <w:sz w:val="24"/>
          <w:szCs w:val="24"/>
        </w:rPr>
        <w:t xml:space="preserve"> (zdanie drugie paragrafu 31), że brak jest powiązań </w:t>
      </w:r>
      <w:r w:rsidR="006928B9">
        <w:rPr>
          <w:rFonts w:ascii="Times New Roman" w:hAnsi="Times New Roman"/>
          <w:color w:val="000000" w:themeColor="text1"/>
          <w:spacing w:val="0"/>
          <w:sz w:val="24"/>
          <w:szCs w:val="24"/>
        </w:rPr>
        <w:br/>
      </w:r>
      <w:r w:rsidR="000A0A05" w:rsidRPr="00FA09CC">
        <w:rPr>
          <w:rFonts w:ascii="Times New Roman" w:hAnsi="Times New Roman"/>
          <w:color w:val="000000" w:themeColor="text1"/>
          <w:spacing w:val="0"/>
          <w:sz w:val="24"/>
          <w:szCs w:val="24"/>
        </w:rPr>
        <w:t xml:space="preserve">i struktur współpracy między ministerstwami, na których ciąży odpowiedzialność za rozwiązania prawne i programy działania dotyczące różnych form przemocy i </w:t>
      </w:r>
      <w:r w:rsidR="000B30B7" w:rsidRPr="00FA09CC">
        <w:rPr>
          <w:rFonts w:ascii="Times New Roman" w:hAnsi="Times New Roman"/>
          <w:color w:val="000000" w:themeColor="text1"/>
          <w:spacing w:val="0"/>
          <w:sz w:val="24"/>
          <w:szCs w:val="24"/>
        </w:rPr>
        <w:t xml:space="preserve">że </w:t>
      </w:r>
      <w:r w:rsidR="000A0A05" w:rsidRPr="00FA09CC">
        <w:rPr>
          <w:rFonts w:ascii="Times New Roman" w:hAnsi="Times New Roman"/>
          <w:color w:val="000000" w:themeColor="text1"/>
          <w:spacing w:val="0"/>
          <w:sz w:val="24"/>
          <w:szCs w:val="24"/>
        </w:rPr>
        <w:t xml:space="preserve">brak ten może stanowić przeszkodę w kształtowaniu spójnego i skoordynowanego podejścia. </w:t>
      </w:r>
      <w:r w:rsidR="000B30B7" w:rsidRPr="00FA09CC">
        <w:rPr>
          <w:rFonts w:ascii="Times New Roman" w:hAnsi="Times New Roman"/>
          <w:color w:val="000000" w:themeColor="text1"/>
          <w:spacing w:val="0"/>
          <w:sz w:val="24"/>
          <w:szCs w:val="24"/>
        </w:rPr>
        <w:t>Tezie tej</w:t>
      </w:r>
      <w:r w:rsidR="000A0A05" w:rsidRPr="00FA09CC">
        <w:rPr>
          <w:rFonts w:ascii="Times New Roman" w:hAnsi="Times New Roman"/>
          <w:color w:val="000000" w:themeColor="text1"/>
          <w:spacing w:val="0"/>
          <w:sz w:val="24"/>
          <w:szCs w:val="24"/>
        </w:rPr>
        <w:t xml:space="preserve"> przeczy struktura organizacyjna administracji rządowej oraz określone w prawie zasady jej funkcjonowania i współpracy między poszczególnymi organami (w szczególności ustawa z 8 sierpnia 1996 r. o Radzie Ministrów, uchwała Rady Ministrów z 29 października 2013 r. Regulamin pracy Rady Ministrów). </w:t>
      </w:r>
    </w:p>
    <w:p w:rsidR="0073007C" w:rsidRPr="00FA09CC" w:rsidRDefault="000A0A05" w:rsidP="0024594C">
      <w:pPr>
        <w:pStyle w:val="Adresodbiorcy"/>
        <w:widowControl w:val="0"/>
        <w:shd w:val="clear" w:color="auto" w:fill="FFFFFF" w:themeFill="background1"/>
        <w:suppressAutoHyphens/>
        <w:spacing w:line="240" w:lineRule="auto"/>
        <w:rPr>
          <w:rFonts w:ascii="Times New Roman" w:hAnsi="Times New Roman"/>
          <w:color w:val="000000" w:themeColor="text1"/>
          <w:spacing w:val="0"/>
          <w:sz w:val="24"/>
          <w:szCs w:val="24"/>
        </w:rPr>
      </w:pPr>
      <w:r w:rsidRPr="00FA09CC">
        <w:rPr>
          <w:rFonts w:ascii="Times New Roman" w:hAnsi="Times New Roman"/>
          <w:color w:val="000000" w:themeColor="text1"/>
          <w:spacing w:val="0"/>
          <w:sz w:val="24"/>
          <w:szCs w:val="24"/>
        </w:rPr>
        <w:t xml:space="preserve">Tego typu </w:t>
      </w:r>
      <w:r w:rsidR="000B30B7" w:rsidRPr="00FA09CC">
        <w:rPr>
          <w:rFonts w:ascii="Times New Roman" w:hAnsi="Times New Roman"/>
          <w:color w:val="000000" w:themeColor="text1"/>
          <w:spacing w:val="0"/>
          <w:sz w:val="24"/>
          <w:szCs w:val="24"/>
        </w:rPr>
        <w:t>teza</w:t>
      </w:r>
      <w:r w:rsidRPr="00FA09CC">
        <w:rPr>
          <w:rFonts w:ascii="Times New Roman" w:hAnsi="Times New Roman"/>
          <w:color w:val="000000" w:themeColor="text1"/>
          <w:spacing w:val="0"/>
          <w:sz w:val="24"/>
          <w:szCs w:val="24"/>
        </w:rPr>
        <w:t xml:space="preserve"> nie powin</w:t>
      </w:r>
      <w:r w:rsidR="000B30B7" w:rsidRPr="00FA09CC">
        <w:rPr>
          <w:rFonts w:ascii="Times New Roman" w:hAnsi="Times New Roman"/>
          <w:color w:val="000000" w:themeColor="text1"/>
          <w:spacing w:val="0"/>
          <w:sz w:val="24"/>
          <w:szCs w:val="24"/>
        </w:rPr>
        <w:t xml:space="preserve">na </w:t>
      </w:r>
      <w:r w:rsidRPr="00FA09CC">
        <w:rPr>
          <w:rFonts w:ascii="Times New Roman" w:hAnsi="Times New Roman"/>
          <w:color w:val="000000" w:themeColor="text1"/>
          <w:spacing w:val="0"/>
          <w:sz w:val="24"/>
          <w:szCs w:val="24"/>
        </w:rPr>
        <w:t xml:space="preserve">być </w:t>
      </w:r>
      <w:r w:rsidR="00000F44">
        <w:rPr>
          <w:rFonts w:ascii="Times New Roman" w:hAnsi="Times New Roman"/>
          <w:color w:val="000000" w:themeColor="text1"/>
          <w:spacing w:val="0"/>
          <w:sz w:val="24"/>
          <w:szCs w:val="24"/>
        </w:rPr>
        <w:t xml:space="preserve">także </w:t>
      </w:r>
      <w:r w:rsidRPr="00FA09CC">
        <w:rPr>
          <w:rFonts w:ascii="Times New Roman" w:hAnsi="Times New Roman"/>
          <w:color w:val="000000" w:themeColor="text1"/>
          <w:spacing w:val="0"/>
          <w:sz w:val="24"/>
          <w:szCs w:val="24"/>
        </w:rPr>
        <w:t>stawian</w:t>
      </w:r>
      <w:r w:rsidR="000B30B7" w:rsidRPr="00FA09CC">
        <w:rPr>
          <w:rFonts w:ascii="Times New Roman" w:hAnsi="Times New Roman"/>
          <w:color w:val="000000" w:themeColor="text1"/>
          <w:spacing w:val="0"/>
          <w:sz w:val="24"/>
          <w:szCs w:val="24"/>
        </w:rPr>
        <w:t>a</w:t>
      </w:r>
      <w:r w:rsidRPr="00FA09CC">
        <w:rPr>
          <w:rFonts w:ascii="Times New Roman" w:hAnsi="Times New Roman"/>
          <w:color w:val="000000" w:themeColor="text1"/>
          <w:spacing w:val="0"/>
          <w:sz w:val="24"/>
          <w:szCs w:val="24"/>
        </w:rPr>
        <w:t xml:space="preserve"> w sposób ogólny i </w:t>
      </w:r>
      <w:r w:rsidR="000B30B7" w:rsidRPr="00FA09CC">
        <w:rPr>
          <w:rFonts w:ascii="Times New Roman" w:hAnsi="Times New Roman"/>
          <w:color w:val="000000" w:themeColor="text1"/>
          <w:spacing w:val="0"/>
          <w:sz w:val="24"/>
          <w:szCs w:val="24"/>
        </w:rPr>
        <w:t xml:space="preserve">wskazywać </w:t>
      </w:r>
      <w:r w:rsidRPr="00FA09CC">
        <w:rPr>
          <w:rFonts w:ascii="Times New Roman" w:hAnsi="Times New Roman"/>
          <w:color w:val="000000" w:themeColor="text1"/>
          <w:spacing w:val="0"/>
          <w:sz w:val="24"/>
          <w:szCs w:val="24"/>
        </w:rPr>
        <w:t>problem</w:t>
      </w:r>
      <w:r w:rsidR="00F23E81">
        <w:rPr>
          <w:rFonts w:ascii="Times New Roman" w:hAnsi="Times New Roman"/>
          <w:color w:val="000000" w:themeColor="text1"/>
          <w:spacing w:val="0"/>
          <w:sz w:val="24"/>
          <w:szCs w:val="24"/>
        </w:rPr>
        <w:t>ów</w:t>
      </w:r>
      <w:r w:rsidRPr="00FA09CC">
        <w:rPr>
          <w:rFonts w:ascii="Times New Roman" w:hAnsi="Times New Roman"/>
          <w:color w:val="000000" w:themeColor="text1"/>
          <w:spacing w:val="0"/>
          <w:sz w:val="24"/>
          <w:szCs w:val="24"/>
        </w:rPr>
        <w:t>, które mogą się zdarzyć (</w:t>
      </w:r>
      <w:r w:rsidR="001E2622">
        <w:rPr>
          <w:rFonts w:ascii="Times New Roman" w:hAnsi="Times New Roman"/>
          <w:color w:val="000000" w:themeColor="text1"/>
          <w:spacing w:val="0"/>
          <w:sz w:val="24"/>
          <w:szCs w:val="24"/>
        </w:rPr>
        <w:t xml:space="preserve">w raporcie: </w:t>
      </w:r>
      <w:r w:rsidRPr="00617E65">
        <w:rPr>
          <w:rFonts w:ascii="Times New Roman" w:hAnsi="Times New Roman"/>
          <w:color w:val="000000" w:themeColor="text1"/>
          <w:spacing w:val="0"/>
          <w:sz w:val="24"/>
          <w:szCs w:val="24"/>
        </w:rPr>
        <w:t>„</w:t>
      </w:r>
      <w:r w:rsidR="005549DF">
        <w:rPr>
          <w:rFonts w:ascii="Times New Roman" w:hAnsi="Times New Roman"/>
          <w:color w:val="000000" w:themeColor="text1"/>
          <w:spacing w:val="0"/>
          <w:sz w:val="24"/>
          <w:szCs w:val="24"/>
        </w:rPr>
        <w:t>może stawać na przeszkodzie spójności</w:t>
      </w:r>
      <w:r w:rsidRPr="00617E65">
        <w:rPr>
          <w:rFonts w:ascii="Times New Roman" w:hAnsi="Times New Roman"/>
          <w:color w:val="000000" w:themeColor="text1"/>
          <w:spacing w:val="0"/>
          <w:sz w:val="24"/>
          <w:szCs w:val="24"/>
        </w:rPr>
        <w:t>”, „</w:t>
      </w:r>
      <w:r w:rsidR="005549DF">
        <w:rPr>
          <w:rFonts w:ascii="Times New Roman" w:hAnsi="Times New Roman"/>
          <w:color w:val="000000" w:themeColor="text1"/>
          <w:spacing w:val="0"/>
          <w:sz w:val="24"/>
          <w:szCs w:val="24"/>
        </w:rPr>
        <w:t xml:space="preserve">może nie pozwalać na </w:t>
      </w:r>
      <w:r w:rsidR="00301442">
        <w:rPr>
          <w:rFonts w:ascii="Times New Roman" w:hAnsi="Times New Roman"/>
          <w:color w:val="000000" w:themeColor="text1"/>
          <w:spacing w:val="0"/>
          <w:sz w:val="24"/>
          <w:szCs w:val="24"/>
        </w:rPr>
        <w:t>wszechstronne i skoordynowane podejście</w:t>
      </w:r>
      <w:r w:rsidRPr="00617E65">
        <w:rPr>
          <w:rFonts w:ascii="Times New Roman" w:hAnsi="Times New Roman"/>
          <w:color w:val="000000" w:themeColor="text1"/>
          <w:spacing w:val="0"/>
          <w:sz w:val="24"/>
          <w:szCs w:val="24"/>
        </w:rPr>
        <w:t xml:space="preserve">”). </w:t>
      </w:r>
      <w:r w:rsidRPr="00FA09CC">
        <w:rPr>
          <w:rFonts w:ascii="Times New Roman" w:hAnsi="Times New Roman"/>
          <w:color w:val="000000" w:themeColor="text1"/>
          <w:spacing w:val="0"/>
          <w:sz w:val="24"/>
          <w:szCs w:val="24"/>
        </w:rPr>
        <w:t>W raporcie nie zostało wskazane, które rozwiązania przyjęte przez ministerstwa są niespójne. Jeżeli nie zostały zidentyfikowane niespójne rozwiązania, nie można zakładać, że mogą wystąpić w przyszłości.</w:t>
      </w:r>
    </w:p>
    <w:p w:rsidR="00805F1B" w:rsidRPr="00FA09CC" w:rsidRDefault="000A0A05" w:rsidP="0024594C">
      <w:pPr>
        <w:pStyle w:val="Adresodbiorcy"/>
        <w:widowControl w:val="0"/>
        <w:shd w:val="clear" w:color="auto" w:fill="FFFFFF" w:themeFill="background1"/>
        <w:suppressAutoHyphens/>
        <w:spacing w:line="240" w:lineRule="auto"/>
        <w:rPr>
          <w:rFonts w:ascii="Times New Roman" w:hAnsi="Times New Roman"/>
          <w:color w:val="000000" w:themeColor="text1"/>
          <w:spacing w:val="0"/>
          <w:sz w:val="24"/>
          <w:szCs w:val="24"/>
        </w:rPr>
      </w:pPr>
      <w:r w:rsidRPr="00FA09CC">
        <w:rPr>
          <w:rFonts w:ascii="Times New Roman" w:hAnsi="Times New Roman"/>
          <w:color w:val="000000" w:themeColor="text1"/>
          <w:spacing w:val="0"/>
          <w:sz w:val="24"/>
          <w:szCs w:val="24"/>
        </w:rPr>
        <w:t>Projekty aktów prawnych i programów działania poddawane są procedurze uzgodnień międzyresortowych</w:t>
      </w:r>
      <w:r w:rsidR="00F23E81">
        <w:rPr>
          <w:rFonts w:ascii="Times New Roman" w:hAnsi="Times New Roman"/>
          <w:color w:val="000000" w:themeColor="text1"/>
          <w:spacing w:val="0"/>
          <w:sz w:val="24"/>
          <w:szCs w:val="24"/>
        </w:rPr>
        <w:t>,</w:t>
      </w:r>
      <w:r w:rsidRPr="00FA09CC">
        <w:rPr>
          <w:rFonts w:ascii="Times New Roman" w:hAnsi="Times New Roman"/>
          <w:color w:val="000000" w:themeColor="text1"/>
          <w:spacing w:val="0"/>
          <w:sz w:val="24"/>
          <w:szCs w:val="24"/>
        </w:rPr>
        <w:t xml:space="preserve"> w celu wyeliminowania niespójności przyjmowanych rozwiązań. Prawo reguluje zasady przeprowadzania konsultacji międzyresortowych i publicznych.</w:t>
      </w:r>
    </w:p>
    <w:p w:rsidR="00CB2C33" w:rsidRPr="00FA09CC" w:rsidRDefault="00CB2C33" w:rsidP="0024594C">
      <w:pPr>
        <w:pStyle w:val="Adresodbiorcy"/>
        <w:widowControl w:val="0"/>
        <w:shd w:val="clear" w:color="auto" w:fill="FFFFFF" w:themeFill="background1"/>
        <w:suppressAutoHyphens/>
        <w:spacing w:line="240" w:lineRule="auto"/>
        <w:rPr>
          <w:rFonts w:ascii="Times New Roman" w:hAnsi="Times New Roman"/>
          <w:color w:val="000000" w:themeColor="text1"/>
          <w:spacing w:val="0"/>
          <w:sz w:val="24"/>
          <w:szCs w:val="24"/>
        </w:rPr>
      </w:pPr>
    </w:p>
    <w:p w:rsidR="00C725F8" w:rsidRPr="00FA09CC" w:rsidRDefault="000A0A05" w:rsidP="0024594C">
      <w:pPr>
        <w:pStyle w:val="Adresodbiorcy"/>
        <w:widowControl w:val="0"/>
        <w:shd w:val="clear" w:color="auto" w:fill="FFFFFF" w:themeFill="background1"/>
        <w:suppressAutoHyphens/>
        <w:spacing w:line="240" w:lineRule="auto"/>
        <w:rPr>
          <w:rFonts w:ascii="Times New Roman" w:hAnsi="Times New Roman"/>
          <w:b/>
          <w:color w:val="000000" w:themeColor="text1"/>
          <w:spacing w:val="0"/>
          <w:sz w:val="24"/>
          <w:szCs w:val="24"/>
          <w:shd w:val="clear" w:color="auto" w:fill="FFFFFF"/>
        </w:rPr>
      </w:pPr>
      <w:r w:rsidRPr="00FA09CC">
        <w:rPr>
          <w:rFonts w:ascii="Times New Roman" w:hAnsi="Times New Roman"/>
          <w:b/>
          <w:color w:val="000000" w:themeColor="text1"/>
          <w:spacing w:val="0"/>
          <w:sz w:val="24"/>
          <w:szCs w:val="24"/>
          <w:shd w:val="clear" w:color="auto" w:fill="FFFFFF"/>
        </w:rPr>
        <w:t xml:space="preserve">Paragrafy 35 i 43 – roczny okres realizacji krajowego programu przeciwdziałania przemocy </w:t>
      </w:r>
    </w:p>
    <w:p w:rsidR="00805F1B" w:rsidRPr="00FA09CC" w:rsidRDefault="000A0A05" w:rsidP="0024594C">
      <w:pPr>
        <w:shd w:val="clear" w:color="auto" w:fill="FFFFFF" w:themeFill="background1"/>
        <w:ind w:left="0" w:firstLine="0"/>
        <w:rPr>
          <w:rStyle w:val="jlqj4b"/>
          <w:color w:val="000000" w:themeColor="text1"/>
          <w:shd w:val="clear" w:color="auto" w:fill="FFFFFF" w:themeFill="background1"/>
        </w:rPr>
      </w:pPr>
      <w:r w:rsidRPr="00FA09CC">
        <w:rPr>
          <w:rStyle w:val="jlqj4b"/>
          <w:color w:val="000000" w:themeColor="text1"/>
          <w:shd w:val="clear" w:color="auto" w:fill="FFFFFF" w:themeFill="background1"/>
        </w:rPr>
        <w:t xml:space="preserve">Okres </w:t>
      </w:r>
      <w:r w:rsidRPr="00FA09CC">
        <w:rPr>
          <w:color w:val="000000" w:themeColor="text1"/>
          <w:shd w:val="clear" w:color="auto" w:fill="FFFFFF"/>
        </w:rPr>
        <w:t xml:space="preserve">realizacji obecnie obowiązującego krajowego programu </w:t>
      </w:r>
      <w:r w:rsidR="001E2622">
        <w:rPr>
          <w:color w:val="000000" w:themeColor="text1"/>
          <w:shd w:val="clear" w:color="auto" w:fill="FFFFFF"/>
        </w:rPr>
        <w:t xml:space="preserve">(program na 2021 r.) </w:t>
      </w:r>
      <w:r w:rsidRPr="00FA09CC">
        <w:rPr>
          <w:color w:val="000000" w:themeColor="text1"/>
          <w:shd w:val="clear" w:color="auto" w:fill="FFFFFF"/>
        </w:rPr>
        <w:t xml:space="preserve">związany jest </w:t>
      </w:r>
      <w:r w:rsidR="007E5A40" w:rsidRPr="00FA09CC">
        <w:rPr>
          <w:color w:val="000000" w:themeColor="text1"/>
          <w:shd w:val="clear" w:color="auto" w:fill="FFFFFF"/>
        </w:rPr>
        <w:t xml:space="preserve">ściśle </w:t>
      </w:r>
      <w:r w:rsidRPr="00FA09CC">
        <w:rPr>
          <w:color w:val="000000" w:themeColor="text1"/>
          <w:shd w:val="clear" w:color="auto" w:fill="FFFFFF"/>
        </w:rPr>
        <w:t xml:space="preserve">z </w:t>
      </w:r>
      <w:r w:rsidRPr="00FA09CC">
        <w:rPr>
          <w:rStyle w:val="jlqj4b"/>
          <w:color w:val="000000" w:themeColor="text1"/>
          <w:shd w:val="clear" w:color="auto" w:fill="FFFFFF" w:themeFill="background1"/>
        </w:rPr>
        <w:t xml:space="preserve">planowanym przeprowadzeniem zmian prawa w obszarze przeciwdziałania przemocy w rodzinie. Zmiany te będą miały wpływ na zadania w zakresie przeciwdziałania przemocy w rodzinie, zatem po przyjęciu nowych rozwiązań prawnych sporządzony zostanie nowy program. </w:t>
      </w:r>
    </w:p>
    <w:p w:rsidR="00FD2992" w:rsidRPr="00FA09CC" w:rsidRDefault="000A0A05" w:rsidP="0024594C">
      <w:pPr>
        <w:ind w:left="0" w:firstLine="0"/>
        <w:rPr>
          <w:color w:val="000000" w:themeColor="text1"/>
          <w:lang w:eastAsia="en-GB"/>
        </w:rPr>
      </w:pPr>
      <w:r w:rsidRPr="00FA09CC">
        <w:rPr>
          <w:color w:val="000000" w:themeColor="text1"/>
          <w:lang w:eastAsia="en-GB"/>
        </w:rPr>
        <w:t>Zakłada się, że nowelizacja ustawy zostanie uchwalona przez Sejm RP do końca 2021 r.</w:t>
      </w:r>
    </w:p>
    <w:p w:rsidR="006E30AB" w:rsidRPr="00FA09CC" w:rsidRDefault="000A0A05" w:rsidP="0024594C">
      <w:pPr>
        <w:pStyle w:val="Adresodbiorcy"/>
        <w:widowControl w:val="0"/>
        <w:shd w:val="clear" w:color="auto" w:fill="FFFFFF" w:themeFill="background1"/>
        <w:suppressAutoHyphens/>
        <w:spacing w:line="240" w:lineRule="auto"/>
        <w:rPr>
          <w:rFonts w:ascii="Times New Roman" w:hAnsi="Times New Roman"/>
          <w:color w:val="000000" w:themeColor="text1"/>
          <w:spacing w:val="0"/>
          <w:sz w:val="24"/>
          <w:szCs w:val="24"/>
          <w:shd w:val="clear" w:color="auto" w:fill="FFFFFF"/>
        </w:rPr>
      </w:pPr>
      <w:r w:rsidRPr="00FA09CC">
        <w:rPr>
          <w:rFonts w:ascii="Times New Roman" w:hAnsi="Times New Roman"/>
          <w:color w:val="000000" w:themeColor="text1"/>
          <w:spacing w:val="0"/>
          <w:sz w:val="24"/>
          <w:szCs w:val="24"/>
          <w:shd w:val="clear" w:color="auto" w:fill="FFFFFF"/>
        </w:rPr>
        <w:t>Pominięcie tej informacji, przedstawionej już w uwagach do projektu raportu GREVIO</w:t>
      </w:r>
      <w:r w:rsidR="002C615F" w:rsidRPr="00FA09CC">
        <w:rPr>
          <w:rFonts w:ascii="Times New Roman" w:hAnsi="Times New Roman"/>
          <w:color w:val="000000" w:themeColor="text1"/>
          <w:spacing w:val="0"/>
          <w:sz w:val="24"/>
          <w:szCs w:val="24"/>
          <w:shd w:val="clear" w:color="auto" w:fill="FFFFFF"/>
        </w:rPr>
        <w:t xml:space="preserve"> (maj 2021 r.) </w:t>
      </w:r>
      <w:r w:rsidRPr="00FA09CC">
        <w:rPr>
          <w:rFonts w:ascii="Times New Roman" w:hAnsi="Times New Roman"/>
          <w:color w:val="000000" w:themeColor="text1"/>
          <w:spacing w:val="0"/>
          <w:sz w:val="24"/>
          <w:szCs w:val="24"/>
          <w:shd w:val="clear" w:color="auto" w:fill="FFFFFF"/>
        </w:rPr>
        <w:t xml:space="preserve">, prowadzi do </w:t>
      </w:r>
      <w:r w:rsidR="005A61AF">
        <w:rPr>
          <w:rFonts w:ascii="Times New Roman" w:hAnsi="Times New Roman"/>
          <w:color w:val="000000" w:themeColor="text1"/>
          <w:spacing w:val="0"/>
          <w:sz w:val="24"/>
          <w:szCs w:val="24"/>
          <w:shd w:val="clear" w:color="auto" w:fill="FFFFFF"/>
        </w:rPr>
        <w:t>nieuprawnionych</w:t>
      </w:r>
      <w:r w:rsidR="005A61AF" w:rsidRPr="00FA09CC">
        <w:rPr>
          <w:rFonts w:ascii="Times New Roman" w:hAnsi="Times New Roman"/>
          <w:color w:val="000000" w:themeColor="text1"/>
          <w:spacing w:val="0"/>
          <w:sz w:val="24"/>
          <w:szCs w:val="24"/>
          <w:shd w:val="clear" w:color="auto" w:fill="FFFFFF"/>
        </w:rPr>
        <w:t xml:space="preserve"> </w:t>
      </w:r>
      <w:r w:rsidRPr="00FA09CC">
        <w:rPr>
          <w:rFonts w:ascii="Times New Roman" w:hAnsi="Times New Roman"/>
          <w:color w:val="000000" w:themeColor="text1"/>
          <w:spacing w:val="0"/>
          <w:sz w:val="24"/>
          <w:szCs w:val="24"/>
          <w:shd w:val="clear" w:color="auto" w:fill="FFFFFF"/>
        </w:rPr>
        <w:t xml:space="preserve">wniosków </w:t>
      </w:r>
      <w:r w:rsidR="002F1A61" w:rsidRPr="00FA09CC">
        <w:rPr>
          <w:rFonts w:ascii="Times New Roman" w:hAnsi="Times New Roman"/>
          <w:color w:val="000000" w:themeColor="text1"/>
          <w:spacing w:val="0"/>
          <w:sz w:val="24"/>
          <w:szCs w:val="24"/>
          <w:shd w:val="clear" w:color="auto" w:fill="FFFFFF"/>
        </w:rPr>
        <w:t>dotyczących</w:t>
      </w:r>
      <w:r w:rsidRPr="00FA09CC">
        <w:rPr>
          <w:rFonts w:ascii="Times New Roman" w:hAnsi="Times New Roman"/>
          <w:color w:val="000000" w:themeColor="text1"/>
          <w:spacing w:val="0"/>
          <w:sz w:val="24"/>
          <w:szCs w:val="24"/>
          <w:shd w:val="clear" w:color="auto" w:fill="FFFFFF"/>
        </w:rPr>
        <w:t xml:space="preserve"> intencji Rządu polskiego co do zwalczania przemocy w rodzinie.</w:t>
      </w:r>
    </w:p>
    <w:p w:rsidR="00410E5E" w:rsidRPr="00FA09CC" w:rsidRDefault="00410E5E" w:rsidP="0024594C">
      <w:pPr>
        <w:pStyle w:val="Adresodbiorcy"/>
        <w:widowControl w:val="0"/>
        <w:shd w:val="clear" w:color="auto" w:fill="FFFFFF" w:themeFill="background1"/>
        <w:suppressAutoHyphens/>
        <w:spacing w:line="240" w:lineRule="auto"/>
        <w:rPr>
          <w:rFonts w:ascii="Times New Roman" w:hAnsi="Times New Roman"/>
          <w:color w:val="000000" w:themeColor="text1"/>
          <w:spacing w:val="0"/>
          <w:sz w:val="24"/>
          <w:szCs w:val="24"/>
          <w:shd w:val="clear" w:color="auto" w:fill="FFFFFF"/>
        </w:rPr>
      </w:pPr>
    </w:p>
    <w:p w:rsidR="004E15A4" w:rsidRPr="00FA09CC" w:rsidRDefault="000A0A05" w:rsidP="0024594C">
      <w:pPr>
        <w:pStyle w:val="Adresodbiorcy"/>
        <w:widowControl w:val="0"/>
        <w:shd w:val="clear" w:color="auto" w:fill="FFFFFF" w:themeFill="background1"/>
        <w:suppressAutoHyphens/>
        <w:spacing w:line="240" w:lineRule="auto"/>
        <w:rPr>
          <w:rFonts w:ascii="Times New Roman" w:hAnsi="Times New Roman"/>
          <w:b/>
          <w:color w:val="000000" w:themeColor="text1"/>
          <w:spacing w:val="0"/>
          <w:sz w:val="24"/>
          <w:szCs w:val="24"/>
        </w:rPr>
      </w:pPr>
      <w:r w:rsidRPr="00FA09CC">
        <w:rPr>
          <w:rFonts w:ascii="Times New Roman" w:hAnsi="Times New Roman"/>
          <w:b/>
          <w:color w:val="000000" w:themeColor="text1"/>
          <w:spacing w:val="0"/>
          <w:sz w:val="24"/>
          <w:szCs w:val="24"/>
        </w:rPr>
        <w:t>Paragraf 37</w:t>
      </w:r>
      <w:r w:rsidR="001710D2">
        <w:rPr>
          <w:rFonts w:ascii="Times New Roman" w:hAnsi="Times New Roman"/>
          <w:b/>
          <w:color w:val="000000" w:themeColor="text1"/>
          <w:spacing w:val="0"/>
          <w:sz w:val="24"/>
          <w:szCs w:val="24"/>
        </w:rPr>
        <w:t xml:space="preserve"> </w:t>
      </w:r>
      <w:r w:rsidRPr="00FA09CC">
        <w:rPr>
          <w:rFonts w:ascii="Times New Roman" w:hAnsi="Times New Roman"/>
          <w:b/>
          <w:color w:val="000000" w:themeColor="text1"/>
          <w:spacing w:val="0"/>
          <w:sz w:val="24"/>
          <w:szCs w:val="24"/>
        </w:rPr>
        <w:t>– środki przeznaczane na zwalczanie przemocy</w:t>
      </w:r>
    </w:p>
    <w:p w:rsidR="00F6323C" w:rsidRDefault="002C615F" w:rsidP="0024594C">
      <w:pPr>
        <w:shd w:val="clear" w:color="auto" w:fill="FFFFFF" w:themeFill="background1"/>
        <w:ind w:left="0" w:firstLine="0"/>
        <w:rPr>
          <w:color w:val="000000" w:themeColor="text1"/>
        </w:rPr>
      </w:pPr>
      <w:r w:rsidRPr="00FA09CC">
        <w:lastRenderedPageBreak/>
        <w:t xml:space="preserve">W raporcie </w:t>
      </w:r>
      <w:r w:rsidR="000B30B7" w:rsidRPr="00FA09CC">
        <w:t xml:space="preserve">niewłaściwie </w:t>
      </w:r>
      <w:r w:rsidRPr="00FA09CC">
        <w:t>wskazan</w:t>
      </w:r>
      <w:r w:rsidR="000B30B7" w:rsidRPr="00FA09CC">
        <w:t>o</w:t>
      </w:r>
      <w:r w:rsidR="00AF66BC" w:rsidRPr="00FA09CC">
        <w:t xml:space="preserve">, że w ramach budżetu na realizację zadań zapisanych </w:t>
      </w:r>
      <w:r w:rsidR="006928B9">
        <w:br/>
      </w:r>
      <w:r w:rsidR="00AF66BC" w:rsidRPr="00FA09CC">
        <w:t xml:space="preserve">w Krajowym Programie Przeciwdziałania Przemocy w Rodzinie </w:t>
      </w:r>
      <w:r w:rsidR="001E2622">
        <w:t xml:space="preserve">na lata 2014-2020 </w:t>
      </w:r>
      <w:r w:rsidR="00AF66BC" w:rsidRPr="00FA09CC">
        <w:t xml:space="preserve">(2020 r. – 23.252.000 zł) przeznaczane są środki w wysokości 3 mln zł (ok. 700 tys. euro) na realizację projektów w ramach rządowego programu osłonowego </w:t>
      </w:r>
      <w:r w:rsidR="00AF66BC" w:rsidRPr="00FA09CC">
        <w:rPr>
          <w:color w:val="000000" w:themeColor="text1"/>
        </w:rPr>
        <w:t xml:space="preserve">„Wspieranie Jednostek Samorządu Terytorialnego w Tworzeniu Systemu Przeciwdziałania Przemocy w Rodzinie”. Środki na ten cel </w:t>
      </w:r>
      <w:r w:rsidR="00D713F3" w:rsidRPr="00FA09CC">
        <w:rPr>
          <w:color w:val="000000" w:themeColor="text1"/>
        </w:rPr>
        <w:t xml:space="preserve">gwarantowane </w:t>
      </w:r>
      <w:r w:rsidR="00AF66BC" w:rsidRPr="00FA09CC">
        <w:rPr>
          <w:color w:val="000000" w:themeColor="text1"/>
        </w:rPr>
        <w:t xml:space="preserve">są odrębnie w budżecie </w:t>
      </w:r>
      <w:r w:rsidR="00D713F3" w:rsidRPr="00FA09CC">
        <w:rPr>
          <w:color w:val="000000" w:themeColor="text1"/>
        </w:rPr>
        <w:t>państwa</w:t>
      </w:r>
      <w:r w:rsidR="00AF66BC" w:rsidRPr="00FA09CC">
        <w:rPr>
          <w:color w:val="000000" w:themeColor="text1"/>
        </w:rPr>
        <w:t>. Zatem</w:t>
      </w:r>
      <w:r w:rsidR="00D713F3" w:rsidRPr="00FA09CC">
        <w:rPr>
          <w:color w:val="000000" w:themeColor="text1"/>
        </w:rPr>
        <w:t>,</w:t>
      </w:r>
      <w:r w:rsidR="00AF66BC" w:rsidRPr="00FA09CC">
        <w:rPr>
          <w:color w:val="000000" w:themeColor="text1"/>
        </w:rPr>
        <w:t xml:space="preserve"> są to środki finansowe</w:t>
      </w:r>
      <w:r w:rsidR="001E2622" w:rsidRPr="001E2622">
        <w:rPr>
          <w:color w:val="000000" w:themeColor="text1"/>
        </w:rPr>
        <w:t xml:space="preserve"> </w:t>
      </w:r>
      <w:r w:rsidR="001E2622" w:rsidRPr="00FA09CC">
        <w:rPr>
          <w:color w:val="000000" w:themeColor="text1"/>
        </w:rPr>
        <w:t>dodatkowe</w:t>
      </w:r>
      <w:r w:rsidR="00AF66BC" w:rsidRPr="00FA09CC">
        <w:rPr>
          <w:color w:val="000000" w:themeColor="text1"/>
        </w:rPr>
        <w:t xml:space="preserve"> w stosunku do środków przeznaczanych na realizację krajowego programu.</w:t>
      </w:r>
      <w:r w:rsidR="004D7E93">
        <w:rPr>
          <w:color w:val="000000" w:themeColor="text1"/>
        </w:rPr>
        <w:t xml:space="preserve"> </w:t>
      </w:r>
    </w:p>
    <w:p w:rsidR="001E2622" w:rsidRPr="00FA09CC" w:rsidRDefault="001E2622" w:rsidP="0024594C">
      <w:pPr>
        <w:shd w:val="clear" w:color="auto" w:fill="FFFFFF" w:themeFill="background1"/>
        <w:ind w:left="0" w:firstLine="0"/>
        <w:rPr>
          <w:color w:val="000000" w:themeColor="text1"/>
        </w:rPr>
      </w:pPr>
    </w:p>
    <w:p w:rsidR="00755DA5" w:rsidRPr="00FA09CC" w:rsidRDefault="00755DA5" w:rsidP="0024594C">
      <w:pPr>
        <w:shd w:val="clear" w:color="auto" w:fill="FFFFFF" w:themeFill="background1"/>
        <w:ind w:left="0" w:firstLine="0"/>
        <w:rPr>
          <w:b/>
          <w:color w:val="000000" w:themeColor="text1"/>
        </w:rPr>
      </w:pPr>
      <w:r w:rsidRPr="00FA09CC">
        <w:rPr>
          <w:b/>
          <w:color w:val="000000" w:themeColor="text1"/>
        </w:rPr>
        <w:t>Paragraf 38 – wynagr</w:t>
      </w:r>
      <w:r w:rsidR="005348FB">
        <w:rPr>
          <w:b/>
          <w:color w:val="000000" w:themeColor="text1"/>
        </w:rPr>
        <w:t>a</w:t>
      </w:r>
      <w:r w:rsidRPr="00FA09CC">
        <w:rPr>
          <w:b/>
          <w:color w:val="000000" w:themeColor="text1"/>
        </w:rPr>
        <w:t>dz</w:t>
      </w:r>
      <w:r w:rsidR="005348FB">
        <w:rPr>
          <w:b/>
          <w:color w:val="000000" w:themeColor="text1"/>
        </w:rPr>
        <w:t>a</w:t>
      </w:r>
      <w:r w:rsidRPr="00FA09CC">
        <w:rPr>
          <w:b/>
          <w:color w:val="000000" w:themeColor="text1"/>
        </w:rPr>
        <w:t>nie członków zespołów interdyscyplinarnych i grup roboczych</w:t>
      </w:r>
    </w:p>
    <w:p w:rsidR="00AF66BC" w:rsidRPr="00FA09CC" w:rsidRDefault="00AF66BC" w:rsidP="0024594C">
      <w:pPr>
        <w:ind w:left="0" w:firstLine="0"/>
        <w:rPr>
          <w:rFonts w:eastAsia="MyriadPro-Light"/>
        </w:rPr>
      </w:pPr>
      <w:r w:rsidRPr="00FA09CC">
        <w:t>S</w:t>
      </w:r>
      <w:r w:rsidRPr="00FA09CC">
        <w:rPr>
          <w:rFonts w:eastAsia="MyriadPro-Light"/>
        </w:rPr>
        <w:t xml:space="preserve">tatus oraz uprawnienia zespołów interdyscyplinarnych i grup roboczych </w:t>
      </w:r>
      <w:r w:rsidR="001E2622">
        <w:rPr>
          <w:rFonts w:eastAsia="MyriadPro-Light"/>
        </w:rPr>
        <w:t>są</w:t>
      </w:r>
      <w:r w:rsidRPr="00FA09CC">
        <w:rPr>
          <w:rFonts w:eastAsia="MyriadPro-Light"/>
        </w:rPr>
        <w:t xml:space="preserve"> szczegółowo określon</w:t>
      </w:r>
      <w:r w:rsidR="001E2622">
        <w:rPr>
          <w:rFonts w:eastAsia="MyriadPro-Light"/>
        </w:rPr>
        <w:t>e</w:t>
      </w:r>
      <w:r w:rsidRPr="00FA09CC">
        <w:rPr>
          <w:rFonts w:eastAsia="MyriadPro-Light"/>
        </w:rPr>
        <w:t xml:space="preserve"> w ustawie o przeciwdziałaniu przemocy w rodzinie. Ustawa wskazuje, że członkowie zespołu interdyscyplinarnego oraz grup roboczych wykonują zadania w ramach obowiązków służbowych lub zawodowych, bez względu na to, czy są zatrudnieni </w:t>
      </w:r>
      <w:r w:rsidR="006928B9">
        <w:rPr>
          <w:rFonts w:eastAsia="MyriadPro-Light"/>
        </w:rPr>
        <w:br/>
      </w:r>
      <w:r w:rsidRPr="00FA09CC">
        <w:rPr>
          <w:rFonts w:eastAsia="MyriadPro-Light"/>
        </w:rPr>
        <w:t>w jednostkach samorządowych</w:t>
      </w:r>
      <w:r w:rsidR="00D713F3" w:rsidRPr="00FA09CC">
        <w:rPr>
          <w:rFonts w:eastAsia="MyriadPro-Light"/>
        </w:rPr>
        <w:t>,</w:t>
      </w:r>
      <w:r w:rsidRPr="00FA09CC">
        <w:rPr>
          <w:rFonts w:eastAsia="MyriadPro-Light"/>
        </w:rPr>
        <w:t xml:space="preserve"> czy w jednostkach niepublicznych. Otrzymują oni wynagrodzenie za pracę świadczoną na rzecz podmiotu, który ich zatrudnia. Praca w zespole interdyscyplinarnym lub grupie roboczej nie jest</w:t>
      </w:r>
      <w:r w:rsidR="00A30F85">
        <w:rPr>
          <w:rFonts w:eastAsia="MyriadPro-Light"/>
        </w:rPr>
        <w:t>,</w:t>
      </w:r>
      <w:r w:rsidRPr="00FA09CC">
        <w:rPr>
          <w:rFonts w:eastAsia="MyriadPro-Light"/>
        </w:rPr>
        <w:t xml:space="preserve"> w świetle ustawy</w:t>
      </w:r>
      <w:r w:rsidR="00A30F85">
        <w:rPr>
          <w:rFonts w:eastAsia="MyriadPro-Light"/>
        </w:rPr>
        <w:t>,</w:t>
      </w:r>
      <w:r w:rsidRPr="00FA09CC">
        <w:rPr>
          <w:rFonts w:eastAsia="MyriadPro-Light"/>
        </w:rPr>
        <w:t xml:space="preserve"> pracą dodatkową, wykraczającą poza </w:t>
      </w:r>
      <w:r w:rsidR="00D713F3" w:rsidRPr="00FA09CC">
        <w:rPr>
          <w:rFonts w:eastAsia="MyriadPro-Light"/>
        </w:rPr>
        <w:t>zwykłe</w:t>
      </w:r>
      <w:r w:rsidRPr="00FA09CC">
        <w:rPr>
          <w:rFonts w:eastAsia="MyriadPro-Light"/>
        </w:rPr>
        <w:t xml:space="preserve"> obowiązki zawodowe. </w:t>
      </w:r>
    </w:p>
    <w:p w:rsidR="00E74994" w:rsidRPr="00FA09CC" w:rsidRDefault="00E74994" w:rsidP="0024594C">
      <w:pPr>
        <w:shd w:val="clear" w:color="auto" w:fill="FFFFFF" w:themeFill="background1"/>
        <w:ind w:left="0" w:firstLine="0"/>
        <w:rPr>
          <w:color w:val="000000" w:themeColor="text1"/>
        </w:rPr>
      </w:pPr>
    </w:p>
    <w:p w:rsidR="002D195A" w:rsidRPr="00FA09CC" w:rsidRDefault="000A0A05" w:rsidP="0024594C">
      <w:pPr>
        <w:pStyle w:val="Adresodbiorcy"/>
        <w:widowControl w:val="0"/>
        <w:shd w:val="clear" w:color="auto" w:fill="FFFFFF" w:themeFill="background1"/>
        <w:suppressAutoHyphens/>
        <w:spacing w:line="240" w:lineRule="auto"/>
        <w:rPr>
          <w:rFonts w:ascii="Times New Roman" w:hAnsi="Times New Roman"/>
          <w:b/>
          <w:color w:val="000000" w:themeColor="text1"/>
          <w:spacing w:val="0"/>
          <w:sz w:val="24"/>
          <w:szCs w:val="24"/>
          <w:shd w:val="clear" w:color="auto" w:fill="FFFFFF"/>
        </w:rPr>
      </w:pPr>
      <w:r w:rsidRPr="00FA09CC">
        <w:rPr>
          <w:rFonts w:ascii="Times New Roman" w:hAnsi="Times New Roman"/>
          <w:b/>
          <w:color w:val="000000" w:themeColor="text1"/>
          <w:spacing w:val="0"/>
          <w:sz w:val="24"/>
          <w:szCs w:val="24"/>
          <w:shd w:val="clear" w:color="auto" w:fill="FFFFFF"/>
        </w:rPr>
        <w:t>Paragraf 39 – wydatki na zwalczanie przemocy</w:t>
      </w:r>
    </w:p>
    <w:p w:rsidR="002D195A" w:rsidRPr="00FA09CC" w:rsidRDefault="000A0A05" w:rsidP="0024594C">
      <w:pPr>
        <w:shd w:val="clear" w:color="auto" w:fill="FFFFFF" w:themeFill="background1"/>
        <w:ind w:left="0" w:firstLine="0"/>
        <w:rPr>
          <w:color w:val="000000" w:themeColor="text1"/>
        </w:rPr>
      </w:pPr>
      <w:r w:rsidRPr="00FA09CC">
        <w:rPr>
          <w:color w:val="000000" w:themeColor="text1"/>
        </w:rPr>
        <w:t xml:space="preserve">Wynikająca z tego paragrafu sugestia, że brak wyodrębnionych wydatków na zwalczanie przemocy wobec kobiet oznacza niewywiązywanie się z obowiązku przeznaczania odpowiednich środków finansowych na zwalczanie przemocy, </w:t>
      </w:r>
      <w:r w:rsidR="003F3EDE" w:rsidRPr="00FA09CC">
        <w:rPr>
          <w:color w:val="000000" w:themeColor="text1"/>
        </w:rPr>
        <w:t>nie ma podstaw</w:t>
      </w:r>
      <w:r w:rsidRPr="00FA09CC">
        <w:rPr>
          <w:color w:val="000000" w:themeColor="text1"/>
        </w:rPr>
        <w:t xml:space="preserve">. Ustalenie sposobu finansowania </w:t>
      </w:r>
      <w:r w:rsidR="00F23E81">
        <w:rPr>
          <w:color w:val="000000" w:themeColor="text1"/>
        </w:rPr>
        <w:t xml:space="preserve">działań w zakresie </w:t>
      </w:r>
      <w:r w:rsidRPr="00FA09CC">
        <w:rPr>
          <w:color w:val="000000" w:themeColor="text1"/>
        </w:rPr>
        <w:t>przeciwdziałania przemocy oraz organizacji dokonywania wydatków należy do kompetencji państwa</w:t>
      </w:r>
      <w:r w:rsidR="001E2622">
        <w:rPr>
          <w:color w:val="000000" w:themeColor="text1"/>
        </w:rPr>
        <w:t>. R</w:t>
      </w:r>
      <w:r w:rsidRPr="00FA09CC">
        <w:rPr>
          <w:color w:val="000000" w:themeColor="text1"/>
        </w:rPr>
        <w:t>ozwiązania w tym zakresie są ściśle uzależnione od sposobu</w:t>
      </w:r>
      <w:r w:rsidRPr="00FA09CC">
        <w:rPr>
          <w:color w:val="000000"/>
        </w:rPr>
        <w:t xml:space="preserve"> organizacji i wykonywania zadań przez administrację publiczną</w:t>
      </w:r>
      <w:r w:rsidRPr="00FA09CC">
        <w:rPr>
          <w:color w:val="000000" w:themeColor="text1"/>
        </w:rPr>
        <w:t xml:space="preserve">. </w:t>
      </w:r>
    </w:p>
    <w:p w:rsidR="002D195A" w:rsidRPr="00FA09CC" w:rsidRDefault="000A0A05" w:rsidP="0024594C">
      <w:pPr>
        <w:shd w:val="clear" w:color="auto" w:fill="FFFFFF" w:themeFill="background1"/>
        <w:ind w:left="0" w:firstLine="0"/>
        <w:rPr>
          <w:color w:val="000000"/>
        </w:rPr>
      </w:pPr>
      <w:r w:rsidRPr="00FA09CC">
        <w:rPr>
          <w:color w:val="000000" w:themeColor="text1"/>
        </w:rPr>
        <w:t xml:space="preserve">Jak wskazano w sprawozdaniu </w:t>
      </w:r>
      <w:r w:rsidR="001E2622">
        <w:rPr>
          <w:color w:val="000000" w:themeColor="text1"/>
        </w:rPr>
        <w:t xml:space="preserve">Polski </w:t>
      </w:r>
      <w:r w:rsidRPr="00FA09CC">
        <w:rPr>
          <w:color w:val="000000" w:themeColor="text1"/>
        </w:rPr>
        <w:t>z wykonywania konwencji, n</w:t>
      </w:r>
      <w:r w:rsidRPr="00FA09CC">
        <w:rPr>
          <w:color w:val="000000"/>
        </w:rPr>
        <w:t xml:space="preserve">ie jest możliwe wyodrębnienie wydatków na działania w zakresie zwalczania przemocy, ponoszonych </w:t>
      </w:r>
      <w:r w:rsidR="006928B9">
        <w:rPr>
          <w:color w:val="000000"/>
        </w:rPr>
        <w:br/>
      </w:r>
      <w:r w:rsidRPr="00FA09CC">
        <w:rPr>
          <w:color w:val="000000"/>
        </w:rPr>
        <w:t>w ramach poszczególnych działów administracji rządowej (</w:t>
      </w:r>
      <w:r w:rsidRPr="00FA09CC">
        <w:rPr>
          <w:rFonts w:eastAsia="Calibri"/>
          <w:color w:val="000000"/>
        </w:rPr>
        <w:t>sprawiedliwość, sprawy wewnętrzne, administracja publiczna, rodzina, zabezpieczenie społeczne, praca, zdrowie, oświata i wychowanie, rozwój wsi, szkolnictwo wyższe i nauka</w:t>
      </w:r>
      <w:r w:rsidRPr="00FA09CC">
        <w:rPr>
          <w:color w:val="000000"/>
        </w:rPr>
        <w:t xml:space="preserve">). Nie może to być podstawą wniosku, że wydatki nie są ponoszone w dostatecznej wysokości, ani że wydatki te nie są efektywne. </w:t>
      </w:r>
    </w:p>
    <w:p w:rsidR="002D195A" w:rsidRPr="00FA09CC" w:rsidRDefault="002D195A" w:rsidP="0024594C">
      <w:pPr>
        <w:shd w:val="clear" w:color="auto" w:fill="FFFFFF" w:themeFill="background1"/>
        <w:ind w:left="0" w:firstLine="0"/>
        <w:rPr>
          <w:b/>
          <w:color w:val="000000" w:themeColor="text1"/>
          <w:shd w:val="clear" w:color="auto" w:fill="FFFFFF"/>
        </w:rPr>
      </w:pPr>
    </w:p>
    <w:p w:rsidR="004E15A4" w:rsidRPr="00FA09CC" w:rsidRDefault="000A0A05" w:rsidP="0024594C">
      <w:pPr>
        <w:pStyle w:val="Adresodbiorcy"/>
        <w:widowControl w:val="0"/>
        <w:shd w:val="clear" w:color="auto" w:fill="FFFFFF" w:themeFill="background1"/>
        <w:suppressAutoHyphens/>
        <w:spacing w:line="240" w:lineRule="auto"/>
        <w:rPr>
          <w:rFonts w:ascii="Times New Roman" w:hAnsi="Times New Roman"/>
          <w:b/>
          <w:color w:val="000000" w:themeColor="text1"/>
          <w:spacing w:val="0"/>
          <w:sz w:val="24"/>
          <w:szCs w:val="24"/>
        </w:rPr>
      </w:pPr>
      <w:r w:rsidRPr="00FA09CC">
        <w:rPr>
          <w:rFonts w:ascii="Times New Roman" w:hAnsi="Times New Roman"/>
          <w:b/>
          <w:color w:val="000000" w:themeColor="text1"/>
          <w:spacing w:val="0"/>
          <w:sz w:val="24"/>
          <w:szCs w:val="24"/>
        </w:rPr>
        <w:t>Paragrafy 40 i 41</w:t>
      </w:r>
      <w:r w:rsidR="001710D2">
        <w:rPr>
          <w:rFonts w:ascii="Times New Roman" w:hAnsi="Times New Roman"/>
          <w:b/>
          <w:color w:val="000000" w:themeColor="text1"/>
          <w:spacing w:val="0"/>
          <w:sz w:val="24"/>
          <w:szCs w:val="24"/>
        </w:rPr>
        <w:t xml:space="preserve"> </w:t>
      </w:r>
      <w:r w:rsidRPr="00FA09CC">
        <w:rPr>
          <w:rFonts w:ascii="Times New Roman" w:hAnsi="Times New Roman"/>
          <w:b/>
          <w:color w:val="000000" w:themeColor="text1"/>
          <w:spacing w:val="0"/>
          <w:sz w:val="24"/>
          <w:szCs w:val="24"/>
        </w:rPr>
        <w:t>– finansowanie działań organizacji pozarządowych</w:t>
      </w:r>
    </w:p>
    <w:p w:rsidR="00410E5E" w:rsidRPr="00FA09CC" w:rsidRDefault="000A0A05" w:rsidP="0024594C">
      <w:pPr>
        <w:pStyle w:val="Adresodbiorcy"/>
        <w:widowControl w:val="0"/>
        <w:shd w:val="clear" w:color="auto" w:fill="FFFFFF" w:themeFill="background1"/>
        <w:suppressAutoHyphens/>
        <w:spacing w:line="240" w:lineRule="auto"/>
        <w:rPr>
          <w:rFonts w:ascii="Times New Roman" w:hAnsi="Times New Roman"/>
          <w:color w:val="000000" w:themeColor="text1"/>
          <w:spacing w:val="0"/>
          <w:sz w:val="24"/>
          <w:szCs w:val="24"/>
        </w:rPr>
      </w:pPr>
      <w:r w:rsidRPr="00FA09CC">
        <w:rPr>
          <w:rFonts w:ascii="Times New Roman" w:hAnsi="Times New Roman"/>
          <w:color w:val="000000" w:themeColor="text1"/>
          <w:spacing w:val="0"/>
          <w:sz w:val="24"/>
          <w:szCs w:val="24"/>
        </w:rPr>
        <w:t xml:space="preserve">Twierdzenie, jakoby organizacje pozarządowe miały ograniczone możliwości świadczenia pomocy, ze względu na brak dostępu do środków publicznych, nie </w:t>
      </w:r>
      <w:r w:rsidR="003F3EDE" w:rsidRPr="00FA09CC">
        <w:rPr>
          <w:rFonts w:ascii="Times New Roman" w:hAnsi="Times New Roman"/>
          <w:color w:val="000000" w:themeColor="text1"/>
          <w:spacing w:val="0"/>
          <w:sz w:val="24"/>
          <w:szCs w:val="24"/>
        </w:rPr>
        <w:t xml:space="preserve">ma odzwierciedlenia </w:t>
      </w:r>
      <w:r w:rsidR="006928B9">
        <w:rPr>
          <w:rFonts w:ascii="Times New Roman" w:hAnsi="Times New Roman"/>
          <w:color w:val="000000" w:themeColor="text1"/>
          <w:spacing w:val="0"/>
          <w:sz w:val="24"/>
          <w:szCs w:val="24"/>
        </w:rPr>
        <w:br/>
      </w:r>
      <w:r w:rsidR="003F3EDE" w:rsidRPr="00FA09CC">
        <w:rPr>
          <w:rFonts w:ascii="Times New Roman" w:hAnsi="Times New Roman"/>
          <w:color w:val="000000" w:themeColor="text1"/>
          <w:spacing w:val="0"/>
          <w:sz w:val="24"/>
          <w:szCs w:val="24"/>
        </w:rPr>
        <w:t>w faktach</w:t>
      </w:r>
      <w:r w:rsidRPr="00FA09CC">
        <w:rPr>
          <w:rFonts w:ascii="Times New Roman" w:hAnsi="Times New Roman"/>
          <w:color w:val="000000" w:themeColor="text1"/>
          <w:spacing w:val="0"/>
          <w:sz w:val="24"/>
          <w:szCs w:val="24"/>
        </w:rPr>
        <w:t xml:space="preserve"> –</w:t>
      </w:r>
      <w:r w:rsidR="003F3EDE" w:rsidRPr="00FA09CC">
        <w:rPr>
          <w:rFonts w:ascii="Times New Roman" w:hAnsi="Times New Roman"/>
          <w:color w:val="000000" w:themeColor="text1"/>
          <w:spacing w:val="0"/>
          <w:sz w:val="24"/>
          <w:szCs w:val="24"/>
        </w:rPr>
        <w:t xml:space="preserve"> </w:t>
      </w:r>
      <w:r w:rsidRPr="00FA09CC">
        <w:rPr>
          <w:rFonts w:ascii="Times New Roman" w:hAnsi="Times New Roman"/>
          <w:color w:val="000000" w:themeColor="text1"/>
          <w:spacing w:val="0"/>
          <w:sz w:val="24"/>
          <w:szCs w:val="24"/>
        </w:rPr>
        <w:t>ro</w:t>
      </w:r>
      <w:r w:rsidR="003F3EDE" w:rsidRPr="00FA09CC">
        <w:rPr>
          <w:rFonts w:ascii="Times New Roman" w:hAnsi="Times New Roman"/>
          <w:color w:val="000000" w:themeColor="text1"/>
          <w:spacing w:val="0"/>
          <w:sz w:val="24"/>
          <w:szCs w:val="24"/>
        </w:rPr>
        <w:t>śnie</w:t>
      </w:r>
      <w:r w:rsidRPr="00FA09CC">
        <w:rPr>
          <w:rFonts w:ascii="Times New Roman" w:hAnsi="Times New Roman"/>
          <w:color w:val="000000" w:themeColor="text1"/>
          <w:spacing w:val="0"/>
          <w:sz w:val="24"/>
          <w:szCs w:val="24"/>
        </w:rPr>
        <w:t xml:space="preserve"> liczba podmiotów oferujących pomoc, </w:t>
      </w:r>
      <w:r w:rsidR="003F3EDE" w:rsidRPr="00FA09CC">
        <w:rPr>
          <w:rFonts w:ascii="Times New Roman" w:hAnsi="Times New Roman"/>
          <w:color w:val="000000" w:themeColor="text1"/>
          <w:spacing w:val="0"/>
          <w:sz w:val="24"/>
          <w:szCs w:val="24"/>
        </w:rPr>
        <w:t xml:space="preserve">wzrasta </w:t>
      </w:r>
      <w:r w:rsidRPr="00FA09CC">
        <w:rPr>
          <w:rFonts w:ascii="Times New Roman" w:hAnsi="Times New Roman"/>
          <w:color w:val="000000" w:themeColor="text1"/>
          <w:spacing w:val="0"/>
          <w:sz w:val="24"/>
          <w:szCs w:val="24"/>
        </w:rPr>
        <w:t>ich różnorodność oraz ro</w:t>
      </w:r>
      <w:r w:rsidR="003F3EDE" w:rsidRPr="00FA09CC">
        <w:rPr>
          <w:rFonts w:ascii="Times New Roman" w:hAnsi="Times New Roman"/>
          <w:color w:val="000000" w:themeColor="text1"/>
          <w:spacing w:val="0"/>
          <w:sz w:val="24"/>
          <w:szCs w:val="24"/>
        </w:rPr>
        <w:t xml:space="preserve">sną </w:t>
      </w:r>
      <w:r w:rsidRPr="00FA09CC">
        <w:rPr>
          <w:rFonts w:ascii="Times New Roman" w:hAnsi="Times New Roman"/>
          <w:color w:val="000000" w:themeColor="text1"/>
          <w:spacing w:val="0"/>
          <w:sz w:val="24"/>
          <w:szCs w:val="24"/>
        </w:rPr>
        <w:t xml:space="preserve">środki przeznaczane na finansowanie ich działań. </w:t>
      </w:r>
    </w:p>
    <w:p w:rsidR="00CB2C33" w:rsidRPr="00FA09CC" w:rsidRDefault="000A0A05" w:rsidP="0024594C">
      <w:pPr>
        <w:pStyle w:val="Adresodbiorcy"/>
        <w:widowControl w:val="0"/>
        <w:shd w:val="clear" w:color="auto" w:fill="FFFFFF" w:themeFill="background1"/>
        <w:suppressAutoHyphens/>
        <w:spacing w:line="240" w:lineRule="auto"/>
        <w:rPr>
          <w:rFonts w:ascii="Times New Roman" w:hAnsi="Times New Roman"/>
          <w:color w:val="000000" w:themeColor="text1"/>
          <w:spacing w:val="0"/>
          <w:sz w:val="24"/>
          <w:szCs w:val="24"/>
        </w:rPr>
      </w:pPr>
      <w:r w:rsidRPr="00FA09CC">
        <w:rPr>
          <w:rFonts w:ascii="Times New Roman" w:hAnsi="Times New Roman"/>
          <w:color w:val="000000" w:themeColor="text1"/>
          <w:spacing w:val="0"/>
          <w:sz w:val="24"/>
          <w:szCs w:val="24"/>
        </w:rPr>
        <w:t>W 2017 r. na rzecz organizacji pozarządowych zapewniających pomoc pokrzywdzonym, przekazano z Funduszu Sprawiedliwości 16 mln zł, w 2018 r. 25 mln zł, w 2019 r. 75 mln zł, w 2020 r. 84 mln zł. Na 2021 r. zaplanowane zostało 96 mln zł.</w:t>
      </w:r>
    </w:p>
    <w:p w:rsidR="004E15A4" w:rsidRPr="00FA09CC" w:rsidRDefault="000A0A05" w:rsidP="0024594C">
      <w:pPr>
        <w:pStyle w:val="Adresodbiorcy"/>
        <w:widowControl w:val="0"/>
        <w:shd w:val="clear" w:color="auto" w:fill="FFFFFF" w:themeFill="background1"/>
        <w:suppressAutoHyphens/>
        <w:spacing w:line="240" w:lineRule="auto"/>
        <w:rPr>
          <w:rFonts w:ascii="Times New Roman" w:hAnsi="Times New Roman"/>
          <w:color w:val="000000" w:themeColor="text1"/>
          <w:spacing w:val="0"/>
          <w:sz w:val="24"/>
          <w:szCs w:val="24"/>
        </w:rPr>
      </w:pPr>
      <w:r w:rsidRPr="00FA09CC">
        <w:rPr>
          <w:rFonts w:ascii="Times New Roman" w:hAnsi="Times New Roman"/>
          <w:color w:val="000000" w:themeColor="text1"/>
          <w:spacing w:val="0"/>
          <w:sz w:val="24"/>
          <w:szCs w:val="24"/>
        </w:rPr>
        <w:t xml:space="preserve">Stale rośnie liczba </w:t>
      </w:r>
      <w:r w:rsidR="001E2622" w:rsidRPr="00FA09CC">
        <w:rPr>
          <w:rFonts w:ascii="Times New Roman" w:hAnsi="Times New Roman"/>
          <w:color w:val="000000" w:themeColor="text1"/>
          <w:spacing w:val="0"/>
          <w:sz w:val="24"/>
          <w:szCs w:val="24"/>
        </w:rPr>
        <w:t xml:space="preserve">umów </w:t>
      </w:r>
      <w:r w:rsidRPr="00FA09CC">
        <w:rPr>
          <w:rFonts w:ascii="Times New Roman" w:hAnsi="Times New Roman"/>
          <w:color w:val="000000" w:themeColor="text1"/>
          <w:spacing w:val="0"/>
          <w:sz w:val="24"/>
          <w:szCs w:val="24"/>
        </w:rPr>
        <w:t>zawieranych z organizacjami pozarządowymi świadczącymi pomoc osobom pokrzywdzonym przestępstwem – od 31 umów w 2017 r., 42 umów w 2018 r., 58 umów w 2019 r.</w:t>
      </w:r>
      <w:r w:rsidR="001E2622">
        <w:rPr>
          <w:rFonts w:ascii="Times New Roman" w:hAnsi="Times New Roman"/>
          <w:color w:val="000000" w:themeColor="text1"/>
          <w:spacing w:val="0"/>
          <w:sz w:val="24"/>
          <w:szCs w:val="24"/>
        </w:rPr>
        <w:t>,</w:t>
      </w:r>
      <w:r w:rsidRPr="00FA09CC">
        <w:rPr>
          <w:rFonts w:ascii="Times New Roman" w:hAnsi="Times New Roman"/>
          <w:color w:val="000000" w:themeColor="text1"/>
          <w:spacing w:val="0"/>
          <w:sz w:val="24"/>
          <w:szCs w:val="24"/>
        </w:rPr>
        <w:t xml:space="preserve"> do 60 umów w 2020 r. </w:t>
      </w:r>
    </w:p>
    <w:p w:rsidR="004E15A4" w:rsidRPr="00FA09CC" w:rsidRDefault="000A0A05" w:rsidP="0024594C">
      <w:pPr>
        <w:pStyle w:val="Adresodbiorcy"/>
        <w:widowControl w:val="0"/>
        <w:shd w:val="clear" w:color="auto" w:fill="FFFFFF" w:themeFill="background1"/>
        <w:suppressAutoHyphens/>
        <w:spacing w:line="240" w:lineRule="auto"/>
        <w:rPr>
          <w:rFonts w:ascii="Times New Roman" w:hAnsi="Times New Roman"/>
          <w:b/>
          <w:i/>
          <w:color w:val="000000" w:themeColor="text1"/>
          <w:spacing w:val="0"/>
          <w:sz w:val="24"/>
          <w:szCs w:val="24"/>
        </w:rPr>
      </w:pPr>
      <w:r w:rsidRPr="00FA09CC">
        <w:rPr>
          <w:rFonts w:ascii="Times New Roman" w:hAnsi="Times New Roman"/>
          <w:color w:val="000000" w:themeColor="text1"/>
          <w:spacing w:val="0"/>
          <w:sz w:val="24"/>
          <w:szCs w:val="24"/>
        </w:rPr>
        <w:t>Zwiększyła się liczba podmiotów świadczących pomoc. W 2017 r. było to 28 organizacji, w 2018 r. – 37, w 2019 r. – 51, a w 2020 r. 55 organizacji pozarządowych oferujących pomoc osobom pokrzywdzonym.</w:t>
      </w:r>
    </w:p>
    <w:p w:rsidR="00492D7F" w:rsidRPr="00FA09CC" w:rsidRDefault="00492D7F" w:rsidP="0024594C">
      <w:pPr>
        <w:pStyle w:val="Adresodbiorcy"/>
        <w:widowControl w:val="0"/>
        <w:shd w:val="clear" w:color="auto" w:fill="FFFFFF" w:themeFill="background1"/>
        <w:suppressAutoHyphens/>
        <w:spacing w:line="240" w:lineRule="auto"/>
        <w:rPr>
          <w:rFonts w:ascii="Times New Roman" w:hAnsi="Times New Roman"/>
          <w:color w:val="000000" w:themeColor="text1"/>
          <w:spacing w:val="0"/>
          <w:sz w:val="24"/>
          <w:szCs w:val="24"/>
        </w:rPr>
      </w:pPr>
    </w:p>
    <w:p w:rsidR="00F73DAC" w:rsidRPr="00FA09CC" w:rsidRDefault="000A0A05" w:rsidP="0024594C">
      <w:pPr>
        <w:ind w:left="0" w:firstLine="0"/>
        <w:rPr>
          <w:b/>
          <w:color w:val="000000" w:themeColor="text1"/>
        </w:rPr>
      </w:pPr>
      <w:r w:rsidRPr="00FA09CC">
        <w:rPr>
          <w:b/>
          <w:color w:val="000000" w:themeColor="text1"/>
        </w:rPr>
        <w:t>Paragraf 44 – możliwości działania organizacji pozarządowych</w:t>
      </w:r>
    </w:p>
    <w:p w:rsidR="00455487" w:rsidRDefault="000A0A05" w:rsidP="0024594C">
      <w:pPr>
        <w:ind w:left="0" w:firstLine="0"/>
        <w:rPr>
          <w:color w:val="000000" w:themeColor="text1"/>
        </w:rPr>
      </w:pPr>
      <w:r w:rsidRPr="00FA09CC">
        <w:rPr>
          <w:color w:val="000000" w:themeColor="text1"/>
        </w:rPr>
        <w:lastRenderedPageBreak/>
        <w:t>Jeżeli chodzi o uwagi dotyczące postępowania w związku z ogólnopolskim strajkiem kobiet w 2016 r. (zdanie trzecie</w:t>
      </w:r>
      <w:r w:rsidR="001E2622">
        <w:rPr>
          <w:color w:val="000000" w:themeColor="text1"/>
        </w:rPr>
        <w:t xml:space="preserve"> paragrafu</w:t>
      </w:r>
      <w:r w:rsidRPr="00FA09CC">
        <w:rPr>
          <w:color w:val="000000" w:themeColor="text1"/>
        </w:rPr>
        <w:t xml:space="preserve">), </w:t>
      </w:r>
      <w:r w:rsidR="001E2622">
        <w:rPr>
          <w:color w:val="000000" w:themeColor="text1"/>
        </w:rPr>
        <w:t xml:space="preserve">to </w:t>
      </w:r>
      <w:r w:rsidRPr="00FA09CC">
        <w:rPr>
          <w:color w:val="000000" w:themeColor="text1"/>
        </w:rPr>
        <w:t xml:space="preserve">należy wskazać, że „rajdy policji na cztery kobiece organizacje pozarządowe” w istocie były </w:t>
      </w:r>
      <w:r w:rsidR="002C615F" w:rsidRPr="00FA09CC">
        <w:rPr>
          <w:color w:val="000000" w:themeColor="text1"/>
        </w:rPr>
        <w:t xml:space="preserve">zwykłymi </w:t>
      </w:r>
      <w:r w:rsidRPr="00FA09CC">
        <w:rPr>
          <w:color w:val="000000" w:themeColor="text1"/>
        </w:rPr>
        <w:t>czynnościami procesowymi, polegającymi na zabezpieczeniu dokumentacji oraz nośników danych w siedzibach organizacji pozarządowych</w:t>
      </w:r>
      <w:r w:rsidR="001E2622">
        <w:rPr>
          <w:color w:val="000000" w:themeColor="text1"/>
        </w:rPr>
        <w:t xml:space="preserve">. </w:t>
      </w:r>
      <w:r w:rsidR="00F23E81">
        <w:rPr>
          <w:color w:val="000000" w:themeColor="text1"/>
        </w:rPr>
        <w:t>Czynności te z</w:t>
      </w:r>
      <w:r w:rsidRPr="00FA09CC">
        <w:rPr>
          <w:color w:val="000000" w:themeColor="text1"/>
        </w:rPr>
        <w:t xml:space="preserve">ostały przeprowadzone w ramach prowadzonego przez Prokuraturę Regionalną w Poznaniu śledztwa dotyczącego przekroczenia uprawnień bądź niedopełnienia obowiązków, od 2012 r. do 2015 r., przez funkcjonariuszy publicznych, zatrudnionych w Ministerstwie Sprawiedliwości, w związku z przyznawaniem, kontrolowaniem wydatkowania oraz rozliczaniem środków z Funduszu Pomocy Pokrzywdzonym. Czynności związane były z żądaniem wydania rzeczy mogących stanowić dowód w sprawie. Wszystkie dowody zostały przekazane dobrowolnie. Należy podkreślić, że organizacje, których dotyczyło </w:t>
      </w:r>
      <w:r w:rsidR="00E511ED">
        <w:rPr>
          <w:color w:val="000000" w:themeColor="text1"/>
        </w:rPr>
        <w:t>czynności</w:t>
      </w:r>
      <w:r w:rsidRPr="00FA09CC">
        <w:rPr>
          <w:color w:val="000000" w:themeColor="text1"/>
        </w:rPr>
        <w:t xml:space="preserve">, nie zgłosiły do protokołu zatrzymania rzeczy żadnych zastrzeżeń. Nośniki elektroniczne, po skopiowaniu, zostały zwrócone. Zabezpieczenie dokumentów przeprowadzone zostało w również w instytucjach publicznych. </w:t>
      </w:r>
    </w:p>
    <w:p w:rsidR="00455487" w:rsidRPr="00FA09CC" w:rsidRDefault="000A0A05" w:rsidP="0024594C">
      <w:pPr>
        <w:ind w:left="0" w:firstLine="0"/>
        <w:rPr>
          <w:color w:val="000000" w:themeColor="text1"/>
        </w:rPr>
      </w:pPr>
      <w:r w:rsidRPr="00FA09CC">
        <w:rPr>
          <w:color w:val="000000" w:themeColor="text1"/>
        </w:rPr>
        <w:t xml:space="preserve">Przedstawione informacje świadczą, że żadne działania nie miały charakteru „rajdów”, nie zostały podjęte w sposób arbitralny, ani nie były skierowane przeciwko osobom utożsamiającym się z manifestacjami, czy jakąkolwiek organizacją pozarządową. Meritum działań było skierowane na nieprawidłowości w sferze administracji publicznej. Dowodem na brak naruszeń praw organizacji pozarządowych </w:t>
      </w:r>
      <w:r w:rsidR="001E2622">
        <w:rPr>
          <w:color w:val="000000" w:themeColor="text1"/>
        </w:rPr>
        <w:t>jest</w:t>
      </w:r>
      <w:r w:rsidRPr="00FA09CC">
        <w:rPr>
          <w:color w:val="000000" w:themeColor="text1"/>
        </w:rPr>
        <w:t xml:space="preserve"> (jak zostało to wyżej wskazane) </w:t>
      </w:r>
      <w:r w:rsidR="001E2622">
        <w:rPr>
          <w:color w:val="000000" w:themeColor="text1"/>
        </w:rPr>
        <w:t xml:space="preserve">niezgłoszenie przez </w:t>
      </w:r>
      <w:r w:rsidRPr="00FA09CC">
        <w:rPr>
          <w:color w:val="000000" w:themeColor="text1"/>
        </w:rPr>
        <w:t xml:space="preserve">członków organizacji </w:t>
      </w:r>
      <w:r w:rsidR="001E2622">
        <w:rPr>
          <w:color w:val="000000" w:themeColor="text1"/>
        </w:rPr>
        <w:t xml:space="preserve">zastrzeżeń </w:t>
      </w:r>
      <w:r w:rsidRPr="00FA09CC">
        <w:rPr>
          <w:color w:val="000000" w:themeColor="text1"/>
        </w:rPr>
        <w:t>do protokołu z zatrzymania rzeczy.</w:t>
      </w:r>
    </w:p>
    <w:p w:rsidR="00F73DAC" w:rsidRPr="00FA09CC" w:rsidRDefault="000A0A05" w:rsidP="0024594C">
      <w:pPr>
        <w:ind w:left="0" w:firstLine="0"/>
        <w:rPr>
          <w:color w:val="000000" w:themeColor="text1"/>
        </w:rPr>
      </w:pPr>
      <w:r w:rsidRPr="00FA09CC">
        <w:rPr>
          <w:color w:val="000000" w:themeColor="text1"/>
        </w:rPr>
        <w:t>Biorąc pod uwagę przedstawiony stan faktyczny, brak jest podstaw do przyjęcia tezy, że działania miały na celu wpływanie na działalność organizacji kobiecych</w:t>
      </w:r>
      <w:r w:rsidR="002C615F" w:rsidRPr="00FA09CC">
        <w:rPr>
          <w:color w:val="000000" w:themeColor="text1"/>
        </w:rPr>
        <w:t xml:space="preserve">, </w:t>
      </w:r>
      <w:r w:rsidR="001A24A0" w:rsidRPr="00FA09CC">
        <w:rPr>
          <w:color w:val="000000" w:themeColor="text1"/>
        </w:rPr>
        <w:t>a</w:t>
      </w:r>
      <w:r w:rsidR="002C615F" w:rsidRPr="00FA09CC">
        <w:rPr>
          <w:color w:val="000000" w:themeColor="text1"/>
        </w:rPr>
        <w:t xml:space="preserve"> zastosowana </w:t>
      </w:r>
      <w:r w:rsidR="006928B9">
        <w:rPr>
          <w:color w:val="000000" w:themeColor="text1"/>
        </w:rPr>
        <w:br/>
      </w:r>
      <w:r w:rsidR="002C615F" w:rsidRPr="00FA09CC">
        <w:rPr>
          <w:color w:val="000000" w:themeColor="text1"/>
        </w:rPr>
        <w:t xml:space="preserve">w raporcie terminologia na określenie działań organów państwa </w:t>
      </w:r>
      <w:r w:rsidR="001A24A0" w:rsidRPr="00FA09CC">
        <w:rPr>
          <w:color w:val="000000" w:themeColor="text1"/>
        </w:rPr>
        <w:t>wydaje się niewłaściwa</w:t>
      </w:r>
      <w:r w:rsidR="002C615F" w:rsidRPr="00FA09CC">
        <w:rPr>
          <w:color w:val="000000" w:themeColor="text1"/>
        </w:rPr>
        <w:t>.</w:t>
      </w:r>
    </w:p>
    <w:p w:rsidR="00F73DAC" w:rsidRPr="00FA09CC" w:rsidRDefault="00F73DAC" w:rsidP="0024594C">
      <w:pPr>
        <w:ind w:left="0" w:firstLine="0"/>
        <w:rPr>
          <w:b/>
          <w:color w:val="000000" w:themeColor="text1"/>
        </w:rPr>
      </w:pPr>
    </w:p>
    <w:p w:rsidR="00600B17" w:rsidRPr="00FA09CC" w:rsidRDefault="000A0A05" w:rsidP="0024594C">
      <w:pPr>
        <w:ind w:left="0" w:firstLine="0"/>
        <w:rPr>
          <w:b/>
          <w:color w:val="000000" w:themeColor="text1"/>
        </w:rPr>
      </w:pPr>
      <w:r w:rsidRPr="00FA09CC">
        <w:rPr>
          <w:b/>
          <w:color w:val="000000" w:themeColor="text1"/>
        </w:rPr>
        <w:t>Paragrafy 44 i 46 – współpraca z organizacjami pozarządowymi</w:t>
      </w:r>
    </w:p>
    <w:p w:rsidR="0085318A" w:rsidRPr="00FA09CC" w:rsidRDefault="000A0A05" w:rsidP="0024594C">
      <w:pPr>
        <w:pStyle w:val="Standard"/>
        <w:jc w:val="both"/>
        <w:rPr>
          <w:rFonts w:ascii="Times New Roman" w:eastAsia="Arial Unicode MS" w:hAnsi="Times New Roman" w:cs="Times New Roman"/>
          <w:color w:val="000000" w:themeColor="text1"/>
        </w:rPr>
      </w:pPr>
      <w:r w:rsidRPr="00FA09CC">
        <w:rPr>
          <w:rFonts w:ascii="Times New Roman" w:eastAsia="Arial Unicode MS" w:hAnsi="Times New Roman" w:cs="Times New Roman"/>
          <w:color w:val="000000" w:themeColor="text1"/>
        </w:rPr>
        <w:t>Organizacje pozarządowe działające w obszarze przeciwdziałania przemocy mają prawo brać udział w procesie stanowienia prawa – mają one prawo wyrażania opinii na temat, na przykład, projektów aktów prawnych i dokumentów strategicznych.</w:t>
      </w:r>
    </w:p>
    <w:p w:rsidR="0085318A" w:rsidRPr="00FA09CC" w:rsidRDefault="000A0A05" w:rsidP="0024594C">
      <w:pPr>
        <w:pStyle w:val="Standard"/>
        <w:jc w:val="both"/>
        <w:rPr>
          <w:rFonts w:ascii="Times New Roman" w:eastAsia="Calibri" w:hAnsi="Times New Roman" w:cs="Times New Roman"/>
          <w:color w:val="000000" w:themeColor="text1"/>
        </w:rPr>
      </w:pPr>
      <w:r w:rsidRPr="00FA09CC">
        <w:rPr>
          <w:rFonts w:ascii="Times New Roman" w:eastAsia="Calibri" w:hAnsi="Times New Roman" w:cs="Times New Roman"/>
          <w:color w:val="000000" w:themeColor="text1"/>
        </w:rPr>
        <w:t>Próby konsultacji z organizacjami nie spotykają się z odzewem z ich strony, n</w:t>
      </w:r>
      <w:r w:rsidR="001E2622">
        <w:rPr>
          <w:rFonts w:ascii="Times New Roman" w:eastAsia="Calibri" w:hAnsi="Times New Roman" w:cs="Times New Roman"/>
          <w:color w:val="000000" w:themeColor="text1"/>
        </w:rPr>
        <w:t xml:space="preserve">a </w:t>
      </w:r>
      <w:r w:rsidRPr="00FA09CC">
        <w:rPr>
          <w:rFonts w:ascii="Times New Roman" w:eastAsia="Calibri" w:hAnsi="Times New Roman" w:cs="Times New Roman"/>
          <w:color w:val="000000" w:themeColor="text1"/>
        </w:rPr>
        <w:t>p</w:t>
      </w:r>
      <w:r w:rsidR="001E2622">
        <w:rPr>
          <w:rFonts w:ascii="Times New Roman" w:eastAsia="Calibri" w:hAnsi="Times New Roman" w:cs="Times New Roman"/>
          <w:color w:val="000000" w:themeColor="text1"/>
        </w:rPr>
        <w:t>rzykład</w:t>
      </w:r>
      <w:r w:rsidRPr="00FA09CC">
        <w:rPr>
          <w:rFonts w:ascii="Times New Roman" w:eastAsia="Calibri" w:hAnsi="Times New Roman" w:cs="Times New Roman"/>
          <w:color w:val="000000" w:themeColor="text1"/>
        </w:rPr>
        <w:t xml:space="preserve"> projekt Krajowego Programu Przeciwdziałania Przemocy w Rodzinie na 2021 r. skierowany został do zaopiniowania przez organizacje pozarządowe, nie przedstawiły one jednak opinii lub stanowiska na jego temat. </w:t>
      </w:r>
    </w:p>
    <w:p w:rsidR="0085318A" w:rsidRPr="00FA09CC" w:rsidRDefault="0085318A" w:rsidP="0024594C">
      <w:pPr>
        <w:ind w:left="0" w:firstLine="0"/>
        <w:rPr>
          <w:b/>
          <w:color w:val="000000" w:themeColor="text1"/>
        </w:rPr>
      </w:pPr>
    </w:p>
    <w:p w:rsidR="001D57BD" w:rsidRPr="00FA09CC" w:rsidRDefault="000A0A05" w:rsidP="0024594C">
      <w:pPr>
        <w:ind w:left="0" w:firstLine="0"/>
        <w:rPr>
          <w:b/>
          <w:bCs/>
          <w:color w:val="000000" w:themeColor="text1"/>
        </w:rPr>
      </w:pPr>
      <w:r w:rsidRPr="00FA09CC">
        <w:rPr>
          <w:b/>
          <w:bCs/>
          <w:color w:val="000000" w:themeColor="text1"/>
        </w:rPr>
        <w:t>Paragrafy 51 i 56 – dane statystyczne</w:t>
      </w:r>
    </w:p>
    <w:p w:rsidR="00035922" w:rsidRPr="00FA09CC" w:rsidRDefault="000A0A05" w:rsidP="0024594C">
      <w:pPr>
        <w:ind w:left="0" w:firstLine="0"/>
        <w:rPr>
          <w:rFonts w:eastAsia="Calibri"/>
          <w:color w:val="000000" w:themeColor="text1"/>
        </w:rPr>
      </w:pPr>
      <w:r w:rsidRPr="00FA09CC">
        <w:rPr>
          <w:rFonts w:eastAsia="Calibri"/>
          <w:color w:val="000000" w:themeColor="text1"/>
        </w:rPr>
        <w:t xml:space="preserve">W Krajowym Programie Przeciwdziałania Przemocy w Rodzinie na 2021 </w:t>
      </w:r>
      <w:r w:rsidR="00E511ED">
        <w:rPr>
          <w:rFonts w:eastAsia="Calibri"/>
          <w:color w:val="000000" w:themeColor="text1"/>
        </w:rPr>
        <w:t xml:space="preserve">r. </w:t>
      </w:r>
      <w:r w:rsidRPr="00FA09CC">
        <w:rPr>
          <w:rFonts w:eastAsia="Calibri"/>
          <w:color w:val="000000" w:themeColor="text1"/>
        </w:rPr>
        <w:t xml:space="preserve">zmieniono wskaźniki dotyczące realizacji procedury „Niebieskiej Karty”, tak aby możliwe było precyzyjne ustalenie liczby osób doznających przemocy w rodzinie oraz rodzin dotkniętych poszczególnymi rodzajami przemocy (psychiczną, fizyczną, seksualną). Ponadto, </w:t>
      </w:r>
      <w:r w:rsidRPr="00FA09CC">
        <w:rPr>
          <w:color w:val="000000" w:themeColor="text1"/>
        </w:rPr>
        <w:t>dane dotyczące przemocy wobec dzieci, osób starszych i osób niepełnosprawnych oraz dane dotyczące świadczeń udzielanych ofiarom przemocy zbierane są obecnie w podziale według płci.</w:t>
      </w:r>
    </w:p>
    <w:p w:rsidR="00FD2992" w:rsidRPr="00FA09CC" w:rsidRDefault="000A0A05" w:rsidP="0024594C">
      <w:pPr>
        <w:ind w:left="0" w:firstLine="0"/>
        <w:rPr>
          <w:rFonts w:eastAsia="Calibri"/>
          <w:color w:val="000000" w:themeColor="text1"/>
        </w:rPr>
      </w:pPr>
      <w:r w:rsidRPr="00FA09CC">
        <w:rPr>
          <w:rFonts w:eastAsia="Calibri"/>
          <w:color w:val="000000" w:themeColor="text1"/>
        </w:rPr>
        <w:t xml:space="preserve">Dane dotyczące związku między sprawcą a osobą doznającą przemocy zbierane są w toku odrębnie zlecanych przez Ministerstwo Rodziny i Polityki Społecznej badań na temat przemocy w rodzinie które, zgodnie z Krajowym Programem Przeciwdziałania Przemocy </w:t>
      </w:r>
      <w:r w:rsidR="006928B9">
        <w:rPr>
          <w:rFonts w:eastAsia="Calibri"/>
          <w:color w:val="000000" w:themeColor="text1"/>
        </w:rPr>
        <w:br/>
      </w:r>
      <w:r w:rsidRPr="00FA09CC">
        <w:rPr>
          <w:rFonts w:eastAsia="Calibri"/>
          <w:color w:val="000000" w:themeColor="text1"/>
        </w:rPr>
        <w:t xml:space="preserve">w rodzinie na lata 2014–2020 były </w:t>
      </w:r>
      <w:r w:rsidR="005348FB">
        <w:rPr>
          <w:rFonts w:eastAsia="Calibri"/>
          <w:color w:val="000000" w:themeColor="text1"/>
        </w:rPr>
        <w:t xml:space="preserve">przeprowadzane </w:t>
      </w:r>
      <w:r w:rsidRPr="00FA09CC">
        <w:rPr>
          <w:rFonts w:eastAsia="Calibri"/>
          <w:color w:val="000000" w:themeColor="text1"/>
        </w:rPr>
        <w:t>co dwa lata. Zgodnie z program</w:t>
      </w:r>
      <w:r w:rsidR="001E2622">
        <w:rPr>
          <w:rFonts w:eastAsia="Calibri"/>
          <w:color w:val="000000" w:themeColor="text1"/>
        </w:rPr>
        <w:t>em</w:t>
      </w:r>
      <w:r w:rsidRPr="00FA09CC">
        <w:rPr>
          <w:rFonts w:eastAsia="Calibri"/>
          <w:color w:val="000000" w:themeColor="text1"/>
        </w:rPr>
        <w:t xml:space="preserve"> na 2021 r., przeprowadzona zostanie diagnoza zjawiska przemocy.</w:t>
      </w:r>
    </w:p>
    <w:p w:rsidR="0030186C" w:rsidRPr="00FA09CC" w:rsidRDefault="0030186C" w:rsidP="0024594C">
      <w:pPr>
        <w:ind w:left="0" w:firstLine="0"/>
        <w:rPr>
          <w:b/>
          <w:bCs/>
          <w:color w:val="000000" w:themeColor="text1"/>
        </w:rPr>
      </w:pPr>
    </w:p>
    <w:p w:rsidR="00A651F3" w:rsidRDefault="00A651F3">
      <w:pPr>
        <w:rPr>
          <w:b/>
          <w:bCs/>
          <w:color w:val="000000" w:themeColor="text1"/>
        </w:rPr>
      </w:pPr>
      <w:r>
        <w:rPr>
          <w:b/>
          <w:bCs/>
          <w:color w:val="000000" w:themeColor="text1"/>
        </w:rPr>
        <w:br w:type="page"/>
      </w:r>
    </w:p>
    <w:p w:rsidR="003665CB" w:rsidRPr="00FA09CC" w:rsidRDefault="000A0A05" w:rsidP="0024594C">
      <w:pPr>
        <w:ind w:left="0" w:firstLine="0"/>
        <w:rPr>
          <w:b/>
          <w:bCs/>
          <w:color w:val="000000" w:themeColor="text1"/>
        </w:rPr>
      </w:pPr>
      <w:r w:rsidRPr="00FA09CC">
        <w:rPr>
          <w:b/>
          <w:bCs/>
          <w:color w:val="000000" w:themeColor="text1"/>
        </w:rPr>
        <w:lastRenderedPageBreak/>
        <w:t>Paragraf 57 – zakres danych zbieranych przez Państwową Agencję Rozwiązywania Problemów Alkoholowych</w:t>
      </w:r>
    </w:p>
    <w:p w:rsidR="00F06559" w:rsidRPr="00FA09CC" w:rsidRDefault="000A0A05" w:rsidP="0024594C">
      <w:pPr>
        <w:ind w:left="0" w:firstLine="0"/>
        <w:rPr>
          <w:color w:val="000000" w:themeColor="text1"/>
        </w:rPr>
      </w:pPr>
      <w:r w:rsidRPr="00FA09CC">
        <w:rPr>
          <w:color w:val="000000" w:themeColor="text1"/>
        </w:rPr>
        <w:t xml:space="preserve">Zbieranie przez Państwową Agencję Rozwiązywania Problemów Alkoholowych informacji </w:t>
      </w:r>
      <w:r w:rsidR="006928B9">
        <w:rPr>
          <w:color w:val="000000" w:themeColor="text1"/>
        </w:rPr>
        <w:br/>
      </w:r>
      <w:r w:rsidRPr="00FA09CC">
        <w:rPr>
          <w:color w:val="000000" w:themeColor="text1"/>
        </w:rPr>
        <w:t xml:space="preserve">o interwencjach gminnych komisji rozwiązywania problemów alkoholowych w przypadkach przemocy w rodzinie związanej z używaniem alkoholu wynika z zadań Agencji, określonych w ustawie </w:t>
      </w:r>
      <w:r w:rsidR="001E2622">
        <w:rPr>
          <w:color w:val="000000" w:themeColor="text1"/>
        </w:rPr>
        <w:t xml:space="preserve">z 26 października 1982 r. </w:t>
      </w:r>
      <w:r w:rsidRPr="00FA09CC">
        <w:rPr>
          <w:color w:val="000000" w:themeColor="text1"/>
        </w:rPr>
        <w:t>o wychowaniu w trzeźwości i przeciwdziałaniu alkoholizmowi. Niezasadne byłoby zatem podjęcie przez inną instytucję zbierania danych dotyczących przemocy domowej doświadczanej przez osoby kontaktujące się z gminnymi komi</w:t>
      </w:r>
      <w:r w:rsidR="00CF3B63">
        <w:rPr>
          <w:color w:val="000000" w:themeColor="text1"/>
        </w:rPr>
        <w:t>sjami</w:t>
      </w:r>
      <w:r w:rsidRPr="00FA09CC">
        <w:rPr>
          <w:color w:val="000000" w:themeColor="text1"/>
        </w:rPr>
        <w:t xml:space="preserve"> rozwiązywania problemów alkoholowych</w:t>
      </w:r>
      <w:r w:rsidR="001A24A0" w:rsidRPr="00FA09CC">
        <w:rPr>
          <w:color w:val="000000" w:themeColor="text1"/>
        </w:rPr>
        <w:t>.</w:t>
      </w:r>
      <w:r w:rsidRPr="00FA09CC">
        <w:rPr>
          <w:color w:val="000000" w:themeColor="text1"/>
        </w:rPr>
        <w:t xml:space="preserve"> Słowo „</w:t>
      </w:r>
      <w:r w:rsidR="00000F44">
        <w:rPr>
          <w:color w:val="000000" w:themeColor="text1"/>
        </w:rPr>
        <w:t>jedyna</w:t>
      </w:r>
      <w:r w:rsidRPr="00FA09CC">
        <w:rPr>
          <w:color w:val="000000" w:themeColor="text1"/>
        </w:rPr>
        <w:t>”</w:t>
      </w:r>
      <w:r w:rsidR="000C6BE4" w:rsidRPr="00FA09CC">
        <w:rPr>
          <w:color w:val="000000" w:themeColor="text1"/>
        </w:rPr>
        <w:t xml:space="preserve"> </w:t>
      </w:r>
      <w:r w:rsidRPr="00FA09CC">
        <w:rPr>
          <w:color w:val="000000" w:themeColor="text1"/>
        </w:rPr>
        <w:t xml:space="preserve">w zdaniu 4 </w:t>
      </w:r>
      <w:r w:rsidR="007E4D90">
        <w:rPr>
          <w:color w:val="000000" w:themeColor="text1"/>
        </w:rPr>
        <w:t xml:space="preserve">paragrafu </w:t>
      </w:r>
      <w:r w:rsidR="001A24A0" w:rsidRPr="00FA09CC">
        <w:rPr>
          <w:color w:val="000000" w:themeColor="text1"/>
        </w:rPr>
        <w:t xml:space="preserve">może zatem </w:t>
      </w:r>
      <w:r w:rsidRPr="00FA09CC">
        <w:rPr>
          <w:color w:val="000000" w:themeColor="text1"/>
        </w:rPr>
        <w:t>wprowadza</w:t>
      </w:r>
      <w:r w:rsidR="001A24A0" w:rsidRPr="00FA09CC">
        <w:rPr>
          <w:color w:val="000000" w:themeColor="text1"/>
        </w:rPr>
        <w:t>ć</w:t>
      </w:r>
      <w:r w:rsidRPr="00FA09CC">
        <w:rPr>
          <w:color w:val="000000" w:themeColor="text1"/>
        </w:rPr>
        <w:t xml:space="preserve"> w błąd, sugerując, że i inne instytucje powinny </w:t>
      </w:r>
      <w:r w:rsidR="00D2708C" w:rsidRPr="00FA09CC">
        <w:rPr>
          <w:color w:val="000000" w:themeColor="text1"/>
        </w:rPr>
        <w:t xml:space="preserve">zbierać </w:t>
      </w:r>
      <w:r w:rsidRPr="00FA09CC">
        <w:rPr>
          <w:color w:val="000000" w:themeColor="text1"/>
        </w:rPr>
        <w:t>takie dane</w:t>
      </w:r>
      <w:r w:rsidR="00755DA5" w:rsidRPr="00FA09CC">
        <w:rPr>
          <w:color w:val="000000" w:themeColor="text1"/>
        </w:rPr>
        <w:t>.</w:t>
      </w:r>
    </w:p>
    <w:p w:rsidR="002C615F" w:rsidRPr="00FA09CC" w:rsidRDefault="002C615F" w:rsidP="0024594C">
      <w:pPr>
        <w:ind w:left="0" w:firstLine="0"/>
        <w:rPr>
          <w:b/>
          <w:color w:val="000000" w:themeColor="text1"/>
        </w:rPr>
      </w:pPr>
    </w:p>
    <w:p w:rsidR="00035922" w:rsidRPr="00FA09CC" w:rsidRDefault="000A0A05" w:rsidP="0024594C">
      <w:pPr>
        <w:pStyle w:val="Standard"/>
        <w:jc w:val="both"/>
        <w:rPr>
          <w:rFonts w:ascii="Times New Roman" w:hAnsi="Times New Roman" w:cs="Times New Roman"/>
          <w:color w:val="000000" w:themeColor="text1"/>
        </w:rPr>
      </w:pPr>
      <w:r w:rsidRPr="00FA09CC">
        <w:rPr>
          <w:rFonts w:ascii="Times New Roman" w:hAnsi="Times New Roman" w:cs="Times New Roman"/>
          <w:b/>
          <w:color w:val="000000" w:themeColor="text1"/>
        </w:rPr>
        <w:t xml:space="preserve">Paragraf 59 </w:t>
      </w:r>
      <w:r w:rsidR="001710D2">
        <w:rPr>
          <w:rFonts w:ascii="Times New Roman" w:hAnsi="Times New Roman" w:cs="Times New Roman"/>
          <w:b/>
          <w:color w:val="000000" w:themeColor="text1"/>
        </w:rPr>
        <w:t>–</w:t>
      </w:r>
      <w:r w:rsidRPr="00FA09CC">
        <w:rPr>
          <w:rFonts w:ascii="Times New Roman" w:hAnsi="Times New Roman" w:cs="Times New Roman"/>
          <w:b/>
          <w:bCs/>
          <w:color w:val="000000" w:themeColor="text1"/>
        </w:rPr>
        <w:t xml:space="preserve"> populacyjne</w:t>
      </w:r>
      <w:r w:rsidR="001710D2">
        <w:rPr>
          <w:rFonts w:ascii="Times New Roman" w:hAnsi="Times New Roman" w:cs="Times New Roman"/>
          <w:b/>
          <w:bCs/>
          <w:color w:val="000000" w:themeColor="text1"/>
        </w:rPr>
        <w:t xml:space="preserve"> </w:t>
      </w:r>
      <w:r w:rsidRPr="00FA09CC">
        <w:rPr>
          <w:rFonts w:ascii="Times New Roman" w:hAnsi="Times New Roman" w:cs="Times New Roman"/>
          <w:b/>
          <w:bCs/>
          <w:color w:val="000000" w:themeColor="text1"/>
        </w:rPr>
        <w:t xml:space="preserve">badania ankietowe </w:t>
      </w:r>
    </w:p>
    <w:p w:rsidR="007E4D90" w:rsidRDefault="007E4D90" w:rsidP="0024594C">
      <w:pPr>
        <w:ind w:left="0" w:firstLine="0"/>
        <w:rPr>
          <w:color w:val="000000" w:themeColor="text1"/>
        </w:rPr>
      </w:pPr>
      <w:r>
        <w:rPr>
          <w:color w:val="000000" w:themeColor="text1"/>
        </w:rPr>
        <w:t xml:space="preserve">Ostatnie </w:t>
      </w:r>
      <w:r w:rsidR="00AF66BC" w:rsidRPr="00FA09CC">
        <w:rPr>
          <w:color w:val="000000" w:themeColor="text1"/>
        </w:rPr>
        <w:t>populacyjne badania ankietowe przeprowadzone zostały w 2020 r., a nie, jak się wskazuje w raporcie, w 2018 i 2019 r. Badania przeprowadzone w 2020 r.</w:t>
      </w:r>
      <w:r>
        <w:rPr>
          <w:color w:val="000000" w:themeColor="text1"/>
        </w:rPr>
        <w:t xml:space="preserve"> to</w:t>
      </w:r>
      <w:r w:rsidR="00AF66BC" w:rsidRPr="00FA09CC">
        <w:rPr>
          <w:color w:val="000000" w:themeColor="text1"/>
        </w:rPr>
        <w:t xml:space="preserve">: „Badanie skuteczności programów psychologiczno-terapeutycznych dla osób stosujących przemoc </w:t>
      </w:r>
      <w:r w:rsidR="006928B9">
        <w:rPr>
          <w:color w:val="000000" w:themeColor="text1"/>
        </w:rPr>
        <w:br/>
      </w:r>
      <w:r w:rsidR="00AF66BC" w:rsidRPr="00FA09CC">
        <w:rPr>
          <w:color w:val="000000" w:themeColor="text1"/>
        </w:rPr>
        <w:t xml:space="preserve">w rodzinie”, „Ewaluacja Krajowego Programu Przeciwdziałania Przemocy w Rodzinie na lata 2014 – 2020”. </w:t>
      </w:r>
    </w:p>
    <w:p w:rsidR="00AF66BC" w:rsidRPr="00FA09CC" w:rsidRDefault="00AF66BC" w:rsidP="0024594C">
      <w:pPr>
        <w:ind w:left="0" w:firstLine="0"/>
        <w:rPr>
          <w:color w:val="000000" w:themeColor="text1"/>
        </w:rPr>
      </w:pPr>
      <w:r w:rsidRPr="00FA09CC">
        <w:t>Wbrew stwierdzeniom zawartym w raporcie, badania realizowane na zlecenie Ministerstwa Rodziny i Polityki Społecznej mają szeroki zakres podmiotowy i przedmiotowy, w ich ramach gromadzone są dane jakościowe i ilościowe, w tym w aspekcie płci i wieku osób doznających przemocy, form doznawanej przemocy/stosowanej przemocy oraz zakresu udzielanej im pomocy. Zmienne stosowane w badaniach ukazują szerokie spektrum informacji o osobach doznających przemocy, jak i ją stosujących.</w:t>
      </w:r>
    </w:p>
    <w:p w:rsidR="00AF66BC" w:rsidRPr="00FA09CC" w:rsidRDefault="00AF66BC" w:rsidP="0024594C">
      <w:pPr>
        <w:pStyle w:val="Standard"/>
        <w:jc w:val="both"/>
        <w:rPr>
          <w:rFonts w:ascii="Times New Roman" w:hAnsi="Times New Roman" w:cs="Times New Roman"/>
          <w:color w:val="000000" w:themeColor="text1"/>
        </w:rPr>
      </w:pPr>
    </w:p>
    <w:p w:rsidR="00805F1B" w:rsidRPr="00FA09CC" w:rsidRDefault="000A0A05" w:rsidP="0024594C">
      <w:pPr>
        <w:pStyle w:val="Adresodbiorcy"/>
        <w:widowControl w:val="0"/>
        <w:shd w:val="clear" w:color="auto" w:fill="FFFFFF" w:themeFill="background1"/>
        <w:suppressAutoHyphens/>
        <w:spacing w:line="240" w:lineRule="auto"/>
        <w:rPr>
          <w:rFonts w:ascii="Times New Roman" w:hAnsi="Times New Roman"/>
          <w:b/>
          <w:color w:val="000000" w:themeColor="text1"/>
          <w:spacing w:val="0"/>
          <w:sz w:val="24"/>
          <w:szCs w:val="24"/>
        </w:rPr>
      </w:pPr>
      <w:r w:rsidRPr="00FA09CC">
        <w:rPr>
          <w:rFonts w:ascii="Times New Roman" w:hAnsi="Times New Roman"/>
          <w:b/>
          <w:color w:val="000000" w:themeColor="text1"/>
          <w:spacing w:val="0"/>
          <w:sz w:val="24"/>
          <w:szCs w:val="24"/>
        </w:rPr>
        <w:t>Paragrafy 71, 74 i 78 – kampanie na rzecz zmiany świadomości</w:t>
      </w:r>
    </w:p>
    <w:p w:rsidR="00805F1B" w:rsidRPr="00FA09CC" w:rsidRDefault="000A0A05" w:rsidP="0024594C">
      <w:pPr>
        <w:pStyle w:val="Adresodbiorcy"/>
        <w:widowControl w:val="0"/>
        <w:shd w:val="clear" w:color="auto" w:fill="FFFFFF" w:themeFill="background1"/>
        <w:suppressAutoHyphens/>
        <w:spacing w:line="240" w:lineRule="auto"/>
        <w:rPr>
          <w:rFonts w:ascii="Times New Roman" w:hAnsi="Times New Roman"/>
          <w:color w:val="000000" w:themeColor="text1"/>
          <w:spacing w:val="0"/>
          <w:sz w:val="24"/>
          <w:szCs w:val="24"/>
        </w:rPr>
      </w:pPr>
      <w:r w:rsidRPr="00FA09CC">
        <w:rPr>
          <w:rFonts w:ascii="Times New Roman" w:hAnsi="Times New Roman"/>
          <w:color w:val="000000" w:themeColor="text1"/>
          <w:spacing w:val="0"/>
          <w:sz w:val="24"/>
          <w:szCs w:val="24"/>
        </w:rPr>
        <w:t xml:space="preserve">W ramach projektu „Przeciwdziałanie przemocy wobec osób starszych i niepełnosprawnych” przewidziane jest przeprowadzenie w latach 2022-2023 ogólnopolskiej kampanii społecznej na temat przemocy wobec osób starszych i niepełnosprawnych, które należą do grup szczególnie wrażliwych i narażonych na dyskryminację krzyżową. </w:t>
      </w:r>
    </w:p>
    <w:p w:rsidR="00B83E4F" w:rsidRPr="00FA09CC" w:rsidRDefault="000A0A05" w:rsidP="0024594C">
      <w:pPr>
        <w:pStyle w:val="Standard"/>
        <w:jc w:val="both"/>
        <w:rPr>
          <w:rFonts w:ascii="Times New Roman" w:hAnsi="Times New Roman" w:cs="Times New Roman"/>
          <w:color w:val="000000" w:themeColor="text1"/>
        </w:rPr>
      </w:pPr>
      <w:r w:rsidRPr="00FA09CC">
        <w:rPr>
          <w:rFonts w:ascii="Times New Roman" w:hAnsi="Times New Roman" w:cs="Times New Roman"/>
          <w:color w:val="000000" w:themeColor="text1"/>
        </w:rPr>
        <w:t>W 2020 r. Ministerstwo Rodziny i Polityki Społecznej przeprowadziło ogólnopolską kampanię „By powstał dom trzeba wiele troski. Nie pozwól mu się rozsypać”. Celem kampanii było:</w:t>
      </w:r>
    </w:p>
    <w:p w:rsidR="00B83E4F" w:rsidRPr="00FA09CC" w:rsidRDefault="000A0A05" w:rsidP="0024594C">
      <w:pPr>
        <w:pStyle w:val="Standard"/>
        <w:numPr>
          <w:ilvl w:val="0"/>
          <w:numId w:val="15"/>
        </w:numPr>
        <w:jc w:val="both"/>
        <w:rPr>
          <w:rFonts w:ascii="Times New Roman" w:hAnsi="Times New Roman" w:cs="Times New Roman"/>
          <w:color w:val="000000" w:themeColor="text1"/>
        </w:rPr>
      </w:pPr>
      <w:r w:rsidRPr="00FA09CC">
        <w:rPr>
          <w:rFonts w:ascii="Times New Roman" w:hAnsi="Times New Roman" w:cs="Times New Roman"/>
          <w:color w:val="000000" w:themeColor="text1"/>
        </w:rPr>
        <w:t xml:space="preserve">uwrażliwienie społeczeństwa na zjawisko przemocy w rodzinie, szczególnie w sytuacji izolacji domowej </w:t>
      </w:r>
      <w:r w:rsidR="00A30F85">
        <w:rPr>
          <w:rFonts w:ascii="Times New Roman" w:hAnsi="Times New Roman" w:cs="Times New Roman"/>
          <w:color w:val="000000" w:themeColor="text1"/>
        </w:rPr>
        <w:t>–</w:t>
      </w:r>
      <w:r w:rsidRPr="00FA09CC">
        <w:rPr>
          <w:rFonts w:ascii="Times New Roman" w:hAnsi="Times New Roman" w:cs="Times New Roman"/>
          <w:color w:val="000000" w:themeColor="text1"/>
        </w:rPr>
        <w:t xml:space="preserve"> zwiększenie</w:t>
      </w:r>
      <w:r w:rsidR="00A30F85">
        <w:rPr>
          <w:rFonts w:ascii="Times New Roman" w:hAnsi="Times New Roman" w:cs="Times New Roman"/>
          <w:color w:val="000000" w:themeColor="text1"/>
        </w:rPr>
        <w:t xml:space="preserve"> </w:t>
      </w:r>
      <w:r w:rsidRPr="00FA09CC">
        <w:rPr>
          <w:rFonts w:ascii="Times New Roman" w:hAnsi="Times New Roman" w:cs="Times New Roman"/>
          <w:color w:val="000000" w:themeColor="text1"/>
        </w:rPr>
        <w:t>motywacji do podejmowania działań, których celem jest poprawa sytuacji osób doznających przemocy w rodzinie, zwiększenie wiedzy na temat przemocy w rodzinie, w tym na temat symptomów świadczących o tym, że w danej rodzinie dochodzi do przemocy, wskazanie możliwości kontaktu z odpowiednimi służbami,</w:t>
      </w:r>
    </w:p>
    <w:p w:rsidR="00B83E4F" w:rsidRPr="00FA09CC" w:rsidRDefault="000A0A05" w:rsidP="0024594C">
      <w:pPr>
        <w:pStyle w:val="Standard"/>
        <w:numPr>
          <w:ilvl w:val="0"/>
          <w:numId w:val="15"/>
        </w:numPr>
        <w:jc w:val="both"/>
        <w:rPr>
          <w:rFonts w:ascii="Times New Roman" w:hAnsi="Times New Roman" w:cs="Times New Roman"/>
          <w:color w:val="000000" w:themeColor="text1"/>
        </w:rPr>
      </w:pPr>
      <w:r w:rsidRPr="00FA09CC">
        <w:rPr>
          <w:rFonts w:ascii="Times New Roman" w:hAnsi="Times New Roman" w:cs="Times New Roman"/>
          <w:color w:val="000000" w:themeColor="text1"/>
        </w:rPr>
        <w:t xml:space="preserve">wzmocnienie poczucia bezpieczeństwa dzieci i młodzieży zagrożonych lub dotkniętych przemocą w rodzinie </w:t>
      </w:r>
      <w:r w:rsidR="00A30F85">
        <w:rPr>
          <w:rFonts w:ascii="Times New Roman" w:hAnsi="Times New Roman" w:cs="Times New Roman"/>
          <w:color w:val="000000" w:themeColor="text1"/>
        </w:rPr>
        <w:t>–</w:t>
      </w:r>
      <w:r w:rsidRPr="00FA09CC">
        <w:rPr>
          <w:rFonts w:ascii="Times New Roman" w:hAnsi="Times New Roman" w:cs="Times New Roman"/>
          <w:color w:val="000000" w:themeColor="text1"/>
        </w:rPr>
        <w:t xml:space="preserve"> zwiększenie</w:t>
      </w:r>
      <w:r w:rsidR="00A30F85">
        <w:rPr>
          <w:rFonts w:ascii="Times New Roman" w:hAnsi="Times New Roman" w:cs="Times New Roman"/>
          <w:color w:val="000000" w:themeColor="text1"/>
        </w:rPr>
        <w:t xml:space="preserve"> </w:t>
      </w:r>
      <w:r w:rsidRPr="00FA09CC">
        <w:rPr>
          <w:rFonts w:ascii="Times New Roman" w:hAnsi="Times New Roman" w:cs="Times New Roman"/>
          <w:color w:val="000000" w:themeColor="text1"/>
        </w:rPr>
        <w:t>wiedzy na temat przemocy w rodzinie oraz destrukcyjnego wpływu przemocy na osoby jej doznające i świadków, uświadomienie, że możliwe jest przeciwstawienie się przemocy poprzez poszukiwanie pomocy specjalistów, wskazanie możliwość kontaktu z odpowiednimi służbami.</w:t>
      </w:r>
    </w:p>
    <w:p w:rsidR="00B83E4F" w:rsidRPr="00FA09CC" w:rsidRDefault="000A0A05" w:rsidP="0024594C">
      <w:pPr>
        <w:pStyle w:val="Standard"/>
        <w:jc w:val="both"/>
        <w:rPr>
          <w:rFonts w:ascii="Times New Roman" w:hAnsi="Times New Roman" w:cs="Times New Roman"/>
          <w:color w:val="000000" w:themeColor="text1"/>
        </w:rPr>
      </w:pPr>
      <w:r w:rsidRPr="00FA09CC">
        <w:rPr>
          <w:rFonts w:ascii="Times New Roman" w:hAnsi="Times New Roman" w:cs="Times New Roman"/>
          <w:color w:val="000000" w:themeColor="text1"/>
        </w:rPr>
        <w:t xml:space="preserve">Kampania adresowana była do całego społeczeństwa, w szczególności </w:t>
      </w:r>
      <w:r w:rsidR="007E4D90">
        <w:rPr>
          <w:rFonts w:ascii="Times New Roman" w:hAnsi="Times New Roman" w:cs="Times New Roman"/>
          <w:color w:val="000000" w:themeColor="text1"/>
        </w:rPr>
        <w:t xml:space="preserve">do </w:t>
      </w:r>
      <w:r w:rsidRPr="00FA09CC">
        <w:rPr>
          <w:rFonts w:ascii="Times New Roman" w:hAnsi="Times New Roman" w:cs="Times New Roman"/>
          <w:color w:val="000000" w:themeColor="text1"/>
        </w:rPr>
        <w:t xml:space="preserve">osób doświadczających przemocy w rodzinie, zwłaszcza: dzieci, osób starszych i osób przebywających w izolacji w związku z pandemią COVID-19, jak również świadków przemocy w rodzinie, osób stosujących przemoc w rodzinie. </w:t>
      </w:r>
    </w:p>
    <w:p w:rsidR="00035922" w:rsidRPr="00FA09CC" w:rsidRDefault="000A0A05" w:rsidP="0024594C">
      <w:pPr>
        <w:pStyle w:val="Standard"/>
        <w:jc w:val="both"/>
        <w:rPr>
          <w:rFonts w:ascii="Times New Roman" w:hAnsi="Times New Roman" w:cs="Times New Roman"/>
          <w:color w:val="000000" w:themeColor="text1"/>
        </w:rPr>
      </w:pPr>
      <w:r w:rsidRPr="00FA09CC">
        <w:rPr>
          <w:rFonts w:ascii="Times New Roman" w:hAnsi="Times New Roman" w:cs="Times New Roman"/>
          <w:color w:val="000000" w:themeColor="text1"/>
        </w:rPr>
        <w:t>W ramach kampanii:</w:t>
      </w:r>
    </w:p>
    <w:p w:rsidR="00035922" w:rsidRPr="00FA09CC" w:rsidRDefault="000A0A05" w:rsidP="0024594C">
      <w:pPr>
        <w:pStyle w:val="Standard"/>
        <w:numPr>
          <w:ilvl w:val="0"/>
          <w:numId w:val="22"/>
        </w:numPr>
        <w:jc w:val="both"/>
        <w:rPr>
          <w:rFonts w:ascii="Times New Roman" w:hAnsi="Times New Roman" w:cs="Times New Roman"/>
        </w:rPr>
      </w:pPr>
      <w:r w:rsidRPr="00FA09CC">
        <w:rPr>
          <w:rFonts w:ascii="Times New Roman" w:hAnsi="Times New Roman" w:cs="Times New Roman"/>
        </w:rPr>
        <w:t>przygotowane zostały plakaty eksponowane na powierzchniach reklamowych w formacie Citylight we wszystkich 16 miastach wojewódzkich,</w:t>
      </w:r>
    </w:p>
    <w:p w:rsidR="00035922" w:rsidRPr="00FA09CC" w:rsidRDefault="000A0A05" w:rsidP="0024594C">
      <w:pPr>
        <w:pStyle w:val="Standard"/>
        <w:numPr>
          <w:ilvl w:val="0"/>
          <w:numId w:val="22"/>
        </w:numPr>
        <w:jc w:val="both"/>
        <w:rPr>
          <w:rFonts w:ascii="Times New Roman" w:hAnsi="Times New Roman" w:cs="Times New Roman"/>
        </w:rPr>
      </w:pPr>
      <w:r w:rsidRPr="00FA09CC">
        <w:rPr>
          <w:rFonts w:ascii="Times New Roman" w:hAnsi="Times New Roman" w:cs="Times New Roman"/>
        </w:rPr>
        <w:lastRenderedPageBreak/>
        <w:t>wyprodukowane zostały krótkie filmy animowane dla uczniów szkół podstawowych, przekazane kuratoriom oświaty i wydziałom polityki społecznej urzędów wojewódzkich</w:t>
      </w:r>
      <w:r w:rsidR="00E511ED">
        <w:rPr>
          <w:rFonts w:ascii="Times New Roman" w:hAnsi="Times New Roman" w:cs="Times New Roman"/>
        </w:rPr>
        <w:t>,</w:t>
      </w:r>
      <w:r w:rsidRPr="00FA09CC">
        <w:rPr>
          <w:rFonts w:ascii="Times New Roman" w:hAnsi="Times New Roman" w:cs="Times New Roman"/>
        </w:rPr>
        <w:t xml:space="preserve"> w celu dalszego przekazania szkołom i jednostkom samorządu terytorialnego. </w:t>
      </w:r>
    </w:p>
    <w:p w:rsidR="00A671AC" w:rsidRPr="00FA09CC" w:rsidRDefault="000A0A05" w:rsidP="0024594C">
      <w:pPr>
        <w:pStyle w:val="Standard"/>
        <w:jc w:val="both"/>
        <w:rPr>
          <w:rFonts w:ascii="Times New Roman" w:hAnsi="Times New Roman" w:cs="Times New Roman"/>
          <w:color w:val="000000" w:themeColor="text1"/>
        </w:rPr>
      </w:pPr>
      <w:r w:rsidRPr="00FA09CC">
        <w:rPr>
          <w:rFonts w:ascii="Times New Roman" w:hAnsi="Times New Roman" w:cs="Times New Roman"/>
          <w:color w:val="000000" w:themeColor="text1"/>
        </w:rPr>
        <w:t>Ministerstwo Sprawiedliwości, w związku z obchodzonym co roku 22 lutego Międzynarodowym Dniem Ofiar Przestępstw, podejmuje specjalne działania skierowane do osób pokrzywdzonych przestępstwem i ich najbliższych. W ramach „Tygodnia Pomocy Osobom Pokrzywdzonym Przestępstwem” (21-28 lutego 2020 r.), ministerstwo skoncentrowało się na świadczeniu nieodpłatnych porad prawnych oraz psychologicznych na terenie całej Polski w sądach, prokuraturach, komendach policji, siedzibach prawniczych samorządów zawodowych i organizacji pozarządowych.</w:t>
      </w:r>
    </w:p>
    <w:p w:rsidR="00AB4B53" w:rsidRPr="00FA09CC" w:rsidRDefault="00AB4B53" w:rsidP="0024594C">
      <w:pPr>
        <w:ind w:left="0" w:firstLine="0"/>
        <w:rPr>
          <w:rFonts w:eastAsia="Times New Roman"/>
          <w:b/>
          <w:color w:val="000000" w:themeColor="text1"/>
        </w:rPr>
      </w:pPr>
    </w:p>
    <w:p w:rsidR="00F73DAC" w:rsidRPr="00FA09CC" w:rsidRDefault="000A0A05" w:rsidP="0024594C">
      <w:pPr>
        <w:pStyle w:val="Adresodbiorcy"/>
        <w:widowControl w:val="0"/>
        <w:shd w:val="clear" w:color="auto" w:fill="FFFFFF" w:themeFill="background1"/>
        <w:suppressAutoHyphens/>
        <w:spacing w:line="240" w:lineRule="auto"/>
        <w:rPr>
          <w:rFonts w:ascii="Times New Roman" w:hAnsi="Times New Roman"/>
          <w:b/>
          <w:color w:val="000000" w:themeColor="text1"/>
          <w:spacing w:val="0"/>
          <w:sz w:val="24"/>
          <w:szCs w:val="24"/>
        </w:rPr>
      </w:pPr>
      <w:r w:rsidRPr="00FA09CC">
        <w:rPr>
          <w:rFonts w:ascii="Times New Roman" w:hAnsi="Times New Roman"/>
          <w:b/>
          <w:color w:val="000000" w:themeColor="text1"/>
          <w:spacing w:val="0"/>
          <w:sz w:val="24"/>
          <w:szCs w:val="24"/>
        </w:rPr>
        <w:t>Paragraf 73 – kampanie na rzecz zmiany świadomości</w:t>
      </w:r>
    </w:p>
    <w:p w:rsidR="00F73DAC" w:rsidRPr="00FA09CC" w:rsidRDefault="000A0A05" w:rsidP="0024594C">
      <w:pPr>
        <w:pStyle w:val="Adresodbiorcy"/>
        <w:widowControl w:val="0"/>
        <w:shd w:val="clear" w:color="auto" w:fill="FFFFFF" w:themeFill="background1"/>
        <w:suppressAutoHyphens/>
        <w:spacing w:line="240" w:lineRule="auto"/>
        <w:rPr>
          <w:rFonts w:ascii="Times New Roman" w:hAnsi="Times New Roman"/>
          <w:color w:val="000000" w:themeColor="text1"/>
          <w:spacing w:val="0"/>
          <w:sz w:val="24"/>
          <w:szCs w:val="24"/>
        </w:rPr>
      </w:pPr>
      <w:r w:rsidRPr="00FA09CC">
        <w:rPr>
          <w:rFonts w:ascii="Times New Roman" w:hAnsi="Times New Roman"/>
          <w:color w:val="000000" w:themeColor="text1"/>
          <w:spacing w:val="0"/>
          <w:sz w:val="24"/>
          <w:szCs w:val="24"/>
        </w:rPr>
        <w:t>Ze środków Funduszu Sprawiedliwości w 2019 r. przeprowadzona została szeroko zakrojona kampania, które celem było zwiększeni</w:t>
      </w:r>
      <w:r w:rsidR="001A24A0" w:rsidRPr="00FA09CC">
        <w:rPr>
          <w:rFonts w:ascii="Times New Roman" w:hAnsi="Times New Roman"/>
          <w:color w:val="000000" w:themeColor="text1"/>
          <w:spacing w:val="0"/>
          <w:sz w:val="24"/>
          <w:szCs w:val="24"/>
        </w:rPr>
        <w:t>e</w:t>
      </w:r>
      <w:r w:rsidRPr="00FA09CC">
        <w:rPr>
          <w:rFonts w:ascii="Times New Roman" w:hAnsi="Times New Roman"/>
          <w:color w:val="000000" w:themeColor="text1"/>
          <w:spacing w:val="0"/>
          <w:sz w:val="24"/>
          <w:szCs w:val="24"/>
        </w:rPr>
        <w:t xml:space="preserve"> świadomości osób pokrzywdzonych jeżeli chodzi </w:t>
      </w:r>
      <w:r w:rsidR="008350C3">
        <w:rPr>
          <w:rFonts w:ascii="Times New Roman" w:hAnsi="Times New Roman"/>
          <w:color w:val="000000" w:themeColor="text1"/>
          <w:spacing w:val="0"/>
          <w:sz w:val="24"/>
          <w:szCs w:val="24"/>
        </w:rPr>
        <w:br/>
      </w:r>
      <w:r w:rsidRPr="00FA09CC">
        <w:rPr>
          <w:rFonts w:ascii="Times New Roman" w:hAnsi="Times New Roman"/>
          <w:color w:val="000000" w:themeColor="text1"/>
          <w:spacing w:val="0"/>
          <w:sz w:val="24"/>
          <w:szCs w:val="24"/>
        </w:rPr>
        <w:t xml:space="preserve">o ich prawa i pomoc, którą mogą uzyskać. Prezentowane były historie osób pokrzywdzonych przestępstwem, między innym przemocą domową. Jeden ze spotów reklamowych odnosił się bezpośrednio do możliwości uzyskania wsparcia z Funduszu Sprawiedliwości przez osoby doświadczające przemocy domowej. </w:t>
      </w:r>
    </w:p>
    <w:p w:rsidR="00536466" w:rsidRPr="00FA09CC" w:rsidRDefault="00536466" w:rsidP="0024594C">
      <w:pPr>
        <w:pStyle w:val="Standard"/>
        <w:jc w:val="both"/>
        <w:rPr>
          <w:rFonts w:ascii="Times New Roman" w:hAnsi="Times New Roman" w:cs="Times New Roman"/>
          <w:color w:val="000000" w:themeColor="text1"/>
        </w:rPr>
      </w:pPr>
    </w:p>
    <w:p w:rsidR="00A465DA" w:rsidRPr="00FA09CC" w:rsidRDefault="000A0A05" w:rsidP="0024594C">
      <w:pPr>
        <w:ind w:left="0" w:firstLine="0"/>
        <w:rPr>
          <w:b/>
          <w:color w:val="000000" w:themeColor="text1"/>
        </w:rPr>
      </w:pPr>
      <w:r w:rsidRPr="00FA09CC">
        <w:rPr>
          <w:b/>
          <w:color w:val="000000" w:themeColor="text1"/>
        </w:rPr>
        <w:t>Paragrafy 80 i 81 – treści nauczania w szkołach</w:t>
      </w:r>
    </w:p>
    <w:p w:rsidR="00D04705" w:rsidRPr="00FA09CC" w:rsidRDefault="001A24A0" w:rsidP="0024594C">
      <w:pPr>
        <w:ind w:left="0" w:firstLine="0"/>
        <w:rPr>
          <w:color w:val="000000" w:themeColor="text1"/>
        </w:rPr>
      </w:pPr>
      <w:r w:rsidRPr="00FA09CC">
        <w:rPr>
          <w:color w:val="000000" w:themeColor="text1"/>
        </w:rPr>
        <w:t xml:space="preserve">Treści </w:t>
      </w:r>
      <w:r w:rsidR="000A0A05" w:rsidRPr="00FA09CC">
        <w:rPr>
          <w:color w:val="000000" w:themeColor="text1"/>
        </w:rPr>
        <w:t xml:space="preserve">dotyczące równości kobiet i mężczyzn, niestereotypowych ról płci, rozwiązywania konfliktów bez użycia przemocy w relacjach międzyludzkich, przemocy wobec kobiet ze względu na płeć oraz prawa do integralności osobistej </w:t>
      </w:r>
      <w:r w:rsidR="00997B31">
        <w:rPr>
          <w:color w:val="000000" w:themeColor="text1"/>
        </w:rPr>
        <w:t xml:space="preserve">przedstawiane są w ramach </w:t>
      </w:r>
      <w:r w:rsidR="000A0A05" w:rsidRPr="00FA09CC">
        <w:rPr>
          <w:color w:val="000000" w:themeColor="text1"/>
        </w:rPr>
        <w:t xml:space="preserve">przedmiotów „Wiedza o społeczeństwie”, „Etyka”, jak również „Wychowanie do życia </w:t>
      </w:r>
      <w:r w:rsidR="008350C3">
        <w:rPr>
          <w:color w:val="000000" w:themeColor="text1"/>
        </w:rPr>
        <w:br/>
      </w:r>
      <w:r w:rsidR="000A0A05" w:rsidRPr="00FA09CC">
        <w:rPr>
          <w:color w:val="000000" w:themeColor="text1"/>
        </w:rPr>
        <w:t>w rodzinie”. W ramach przedmiotu „Wychowanie do życia w rodzinie” nacisk kładziony jest na, między innymi, kształtowanie umiejętności przyjmowania integralnej wizji osoby, okazywanie szacunku innym ludziom, docen</w:t>
      </w:r>
      <w:r w:rsidR="007E4D90">
        <w:rPr>
          <w:color w:val="000000" w:themeColor="text1"/>
        </w:rPr>
        <w:t>ianie ich wysiłku i pracy, wybór</w:t>
      </w:r>
      <w:r w:rsidR="000A0A05" w:rsidRPr="00FA09CC">
        <w:rPr>
          <w:color w:val="000000" w:themeColor="text1"/>
        </w:rPr>
        <w:t xml:space="preserve"> </w:t>
      </w:r>
      <w:r w:rsidR="008350C3">
        <w:rPr>
          <w:color w:val="000000" w:themeColor="text1"/>
        </w:rPr>
        <w:br/>
      </w:r>
      <w:r w:rsidR="000A0A05" w:rsidRPr="00FA09CC">
        <w:rPr>
          <w:color w:val="000000" w:themeColor="text1"/>
        </w:rPr>
        <w:t>i urzeczywistniani</w:t>
      </w:r>
      <w:r w:rsidR="007E4D90">
        <w:rPr>
          <w:color w:val="000000" w:themeColor="text1"/>
        </w:rPr>
        <w:t>e</w:t>
      </w:r>
      <w:r w:rsidR="000A0A05" w:rsidRPr="00FA09CC">
        <w:rPr>
          <w:color w:val="000000" w:themeColor="text1"/>
        </w:rPr>
        <w:t xml:space="preserve"> wartości służących o</w:t>
      </w:r>
      <w:r w:rsidR="007E4D90">
        <w:rPr>
          <w:color w:val="000000" w:themeColor="text1"/>
        </w:rPr>
        <w:t>sobowemu rozwojowi, podejmowanie</w:t>
      </w:r>
      <w:r w:rsidR="000A0A05" w:rsidRPr="00FA09CC">
        <w:rPr>
          <w:color w:val="000000" w:themeColor="text1"/>
        </w:rPr>
        <w:t xml:space="preserve"> wysiłku samo</w:t>
      </w:r>
      <w:r w:rsidR="007E4D90">
        <w:rPr>
          <w:color w:val="000000" w:themeColor="text1"/>
        </w:rPr>
        <w:t>wychowawczego, rozwiązywanie</w:t>
      </w:r>
      <w:r w:rsidR="000A0A05" w:rsidRPr="00FA09CC">
        <w:rPr>
          <w:color w:val="000000" w:themeColor="text1"/>
        </w:rPr>
        <w:t xml:space="preserve"> problemów i konfliktów (uczeń wskazuje źródło konfliktów i określa ich przyczyny, rozumie jak budowane są relacje międzyosobowe, ich znaczenie w rozwoju społeczno-emocjonalnym, w tym szacunek, udzielanie pomocy, współpraca, emp</w:t>
      </w:r>
      <w:r w:rsidR="007E4D90">
        <w:rPr>
          <w:color w:val="000000" w:themeColor="text1"/>
        </w:rPr>
        <w:t>atia), obronę</w:t>
      </w:r>
      <w:r w:rsidR="000A0A05" w:rsidRPr="00FA09CC">
        <w:rPr>
          <w:color w:val="000000" w:themeColor="text1"/>
        </w:rPr>
        <w:t xml:space="preserve"> własnej intymności i nietykalności seksualnej oraz poszanowani</w:t>
      </w:r>
      <w:r w:rsidR="007E4D90">
        <w:rPr>
          <w:color w:val="000000" w:themeColor="text1"/>
        </w:rPr>
        <w:t>e</w:t>
      </w:r>
      <w:r w:rsidR="000A0A05" w:rsidRPr="00FA09CC">
        <w:rPr>
          <w:color w:val="000000" w:themeColor="text1"/>
        </w:rPr>
        <w:t xml:space="preserve"> ciała innej osoby, profilaktyk</w:t>
      </w:r>
      <w:r w:rsidR="007E4D90">
        <w:rPr>
          <w:color w:val="000000" w:themeColor="text1"/>
        </w:rPr>
        <w:t>ę i przeciwdziałanie</w:t>
      </w:r>
      <w:r w:rsidR="000A0A05" w:rsidRPr="00FA09CC">
        <w:rPr>
          <w:color w:val="000000" w:themeColor="text1"/>
        </w:rPr>
        <w:t xml:space="preserve"> zagrożeniom takim, jak: uzależnienia chemiczne i behawioralne, presja seksualna, pornografia, cyberseks, prostytucja nieletnich.</w:t>
      </w:r>
    </w:p>
    <w:p w:rsidR="001B7CD7" w:rsidRPr="00FA09CC" w:rsidRDefault="00344E42" w:rsidP="0024594C">
      <w:pPr>
        <w:ind w:left="0" w:firstLine="0"/>
        <w:rPr>
          <w:color w:val="000000" w:themeColor="text1"/>
        </w:rPr>
      </w:pPr>
      <w:r>
        <w:rPr>
          <w:color w:val="000000" w:themeColor="text1"/>
        </w:rPr>
        <w:t>Brak jest dowodów potwierdzających tezę</w:t>
      </w:r>
      <w:r w:rsidR="000A0A05" w:rsidRPr="00FA09CC">
        <w:rPr>
          <w:color w:val="000000" w:themeColor="text1"/>
        </w:rPr>
        <w:t xml:space="preserve"> </w:t>
      </w:r>
      <w:r w:rsidR="00E511ED">
        <w:rPr>
          <w:color w:val="000000" w:themeColor="text1"/>
        </w:rPr>
        <w:t>o „utrzymywaniu</w:t>
      </w:r>
      <w:r w:rsidR="000A0A05" w:rsidRPr="00FA09CC">
        <w:rPr>
          <w:color w:val="000000" w:themeColor="text1"/>
        </w:rPr>
        <w:t xml:space="preserve"> się negatywnych stereotypów dotyczących kobiet w podręcznikach szkolnych oraz w ramach przedmiotu „Wychowanie do życia w rodzinie”</w:t>
      </w:r>
      <w:r w:rsidR="007E4D90">
        <w:rPr>
          <w:color w:val="000000" w:themeColor="text1"/>
        </w:rPr>
        <w:t>”</w:t>
      </w:r>
      <w:r w:rsidR="00C44AAD">
        <w:rPr>
          <w:color w:val="000000" w:themeColor="text1"/>
        </w:rPr>
        <w:t>,</w:t>
      </w:r>
      <w:r w:rsidR="000A0A05" w:rsidRPr="00FA09CC">
        <w:rPr>
          <w:color w:val="000000" w:themeColor="text1"/>
        </w:rPr>
        <w:t xml:space="preserve"> </w:t>
      </w:r>
      <w:r w:rsidR="001A24A0" w:rsidRPr="00FA09CC">
        <w:rPr>
          <w:color w:val="000000" w:themeColor="text1"/>
        </w:rPr>
        <w:t>jak też</w:t>
      </w:r>
      <w:r w:rsidR="000A0A05" w:rsidRPr="00FA09CC">
        <w:rPr>
          <w:color w:val="000000" w:themeColor="text1"/>
        </w:rPr>
        <w:t xml:space="preserve"> </w:t>
      </w:r>
      <w:r w:rsidR="00301442">
        <w:rPr>
          <w:color w:val="000000" w:themeColor="text1"/>
        </w:rPr>
        <w:t xml:space="preserve">zasadność </w:t>
      </w:r>
      <w:r w:rsidR="000A0A05" w:rsidRPr="00FA09CC">
        <w:rPr>
          <w:color w:val="000000" w:themeColor="text1"/>
        </w:rPr>
        <w:t>zaleceni</w:t>
      </w:r>
      <w:r w:rsidR="00301442">
        <w:rPr>
          <w:color w:val="000000" w:themeColor="text1"/>
        </w:rPr>
        <w:t>a</w:t>
      </w:r>
      <w:r w:rsidR="000A0A05" w:rsidRPr="00FA09CC">
        <w:rPr>
          <w:color w:val="000000" w:themeColor="text1"/>
        </w:rPr>
        <w:t xml:space="preserve"> usunięcia „dyskryminujących przedstawień kobiet i mężczyzn, takich jak obrazy systematycznie przedstawiające kobiety w życiu prywatnym i rodzinnym, a nie jako aktywne uczestniczki życia publicznego …”</w:t>
      </w:r>
      <w:r w:rsidR="00C44AAD">
        <w:rPr>
          <w:color w:val="000000" w:themeColor="text1"/>
        </w:rPr>
        <w:t xml:space="preserve"> (</w:t>
      </w:r>
      <w:r w:rsidR="00C44AAD" w:rsidRPr="00FA09CC">
        <w:rPr>
          <w:color w:val="000000" w:themeColor="text1"/>
        </w:rPr>
        <w:t>paragraf 81</w:t>
      </w:r>
      <w:r w:rsidR="00C44AAD">
        <w:rPr>
          <w:color w:val="000000" w:themeColor="text1"/>
        </w:rPr>
        <w:t xml:space="preserve">, zdanie </w:t>
      </w:r>
      <w:r w:rsidR="00AB6328">
        <w:rPr>
          <w:color w:val="000000" w:themeColor="text1"/>
        </w:rPr>
        <w:t xml:space="preserve">pierwsze i </w:t>
      </w:r>
      <w:r w:rsidR="00C44AAD">
        <w:rPr>
          <w:color w:val="000000" w:themeColor="text1"/>
        </w:rPr>
        <w:t>czwarte</w:t>
      </w:r>
      <w:r w:rsidR="00C44AAD" w:rsidRPr="00FA09CC">
        <w:rPr>
          <w:color w:val="000000" w:themeColor="text1"/>
        </w:rPr>
        <w:t>)</w:t>
      </w:r>
      <w:r w:rsidR="000A0A05" w:rsidRPr="00617E65">
        <w:rPr>
          <w:color w:val="000000" w:themeColor="text1"/>
        </w:rPr>
        <w:t>.</w:t>
      </w:r>
      <w:r w:rsidR="000A0A05" w:rsidRPr="00617E65">
        <w:rPr>
          <w:i/>
          <w:color w:val="000000" w:themeColor="text1"/>
        </w:rPr>
        <w:t xml:space="preserve"> </w:t>
      </w:r>
      <w:r w:rsidR="000A0A05" w:rsidRPr="00FA09CC">
        <w:rPr>
          <w:color w:val="000000" w:themeColor="text1"/>
        </w:rPr>
        <w:t>Sposób</w:t>
      </w:r>
      <w:r w:rsidR="000A0A05" w:rsidRPr="00FA09CC">
        <w:rPr>
          <w:i/>
          <w:color w:val="000000" w:themeColor="text1"/>
        </w:rPr>
        <w:t xml:space="preserve"> </w:t>
      </w:r>
      <w:r w:rsidR="000A0A05" w:rsidRPr="00FA09CC">
        <w:rPr>
          <w:color w:val="000000" w:themeColor="text1"/>
        </w:rPr>
        <w:t>przedstawienia kobiet i mężczyzn w podręcznikach ściśle wynika z tematyki zajęć w ramach przedmiotu „Wychowanie do życia w rodzinie”, nie jest zaś wyrazem dyskryminacji i</w:t>
      </w:r>
      <w:r w:rsidR="007E4D90">
        <w:rPr>
          <w:color w:val="000000" w:themeColor="text1"/>
        </w:rPr>
        <w:t>,</w:t>
      </w:r>
      <w:r w:rsidR="000A0A05" w:rsidRPr="00FA09CC">
        <w:rPr>
          <w:color w:val="000000" w:themeColor="text1"/>
        </w:rPr>
        <w:t xml:space="preserve"> w żadnej mierze</w:t>
      </w:r>
      <w:r w:rsidR="007E4D90">
        <w:rPr>
          <w:color w:val="000000" w:themeColor="text1"/>
        </w:rPr>
        <w:t>,</w:t>
      </w:r>
      <w:r w:rsidR="000A0A05" w:rsidRPr="00FA09CC">
        <w:rPr>
          <w:color w:val="000000" w:themeColor="text1"/>
        </w:rPr>
        <w:t xml:space="preserve"> nie można </w:t>
      </w:r>
      <w:r w:rsidR="007E4D90">
        <w:rPr>
          <w:color w:val="000000" w:themeColor="text1"/>
        </w:rPr>
        <w:t>określić go jako</w:t>
      </w:r>
      <w:r w:rsidR="000A0A05" w:rsidRPr="00FA09CC">
        <w:rPr>
          <w:color w:val="000000" w:themeColor="text1"/>
        </w:rPr>
        <w:t xml:space="preserve"> „</w:t>
      </w:r>
      <w:r w:rsidR="00C44AAD">
        <w:rPr>
          <w:color w:val="000000" w:themeColor="text1"/>
        </w:rPr>
        <w:t>żyzn</w:t>
      </w:r>
      <w:r w:rsidR="007E4D90">
        <w:rPr>
          <w:color w:val="000000" w:themeColor="text1"/>
        </w:rPr>
        <w:t>e</w:t>
      </w:r>
      <w:r w:rsidR="00C44AAD">
        <w:rPr>
          <w:color w:val="000000" w:themeColor="text1"/>
        </w:rPr>
        <w:t xml:space="preserve"> </w:t>
      </w:r>
      <w:r w:rsidR="000A0A05" w:rsidRPr="00FA09CC">
        <w:rPr>
          <w:color w:val="000000" w:themeColor="text1"/>
        </w:rPr>
        <w:t>podłoże przemocy wobec kobiet”</w:t>
      </w:r>
      <w:r w:rsidR="00C44AAD">
        <w:rPr>
          <w:color w:val="000000" w:themeColor="text1"/>
        </w:rPr>
        <w:t xml:space="preserve"> (</w:t>
      </w:r>
      <w:r w:rsidR="00C44AAD" w:rsidRPr="00FA09CC">
        <w:rPr>
          <w:color w:val="000000" w:themeColor="text1"/>
        </w:rPr>
        <w:t>paragraf 81</w:t>
      </w:r>
      <w:r w:rsidR="00C44AAD">
        <w:rPr>
          <w:color w:val="000000" w:themeColor="text1"/>
        </w:rPr>
        <w:t>, zdanie czwarte</w:t>
      </w:r>
      <w:r w:rsidR="00C44AAD" w:rsidRPr="00FA09CC">
        <w:rPr>
          <w:color w:val="000000" w:themeColor="text1"/>
        </w:rPr>
        <w:t>)</w:t>
      </w:r>
      <w:r w:rsidR="000A0A05" w:rsidRPr="00FA09CC">
        <w:rPr>
          <w:color w:val="000000" w:themeColor="text1"/>
        </w:rPr>
        <w:t xml:space="preserve">. Treści przekazywane w ramach tego przedmiotu stanowią realizację ustawy z 7 stycznia 1993 r. o planowaniu rodziny, ochronie płodu ludzkiego i warunkach dopuszczalności przerywania ciąży, która stanowi: </w:t>
      </w:r>
      <w:r w:rsidR="008350C3">
        <w:rPr>
          <w:color w:val="000000" w:themeColor="text1"/>
        </w:rPr>
        <w:br/>
      </w:r>
      <w:r w:rsidR="000A0A05" w:rsidRPr="00FA09CC">
        <w:rPr>
          <w:color w:val="000000" w:themeColor="text1"/>
        </w:rPr>
        <w:t>„Do programów nauczania szkolnego wprowadza się wiedzę (…) o wartości rodziny, życia w fazie prenatalnej…”</w:t>
      </w:r>
      <w:r w:rsidR="00E511ED">
        <w:rPr>
          <w:color w:val="000000" w:themeColor="text1"/>
        </w:rPr>
        <w:t>. W</w:t>
      </w:r>
      <w:r w:rsidR="000A0A05" w:rsidRPr="00FA09CC">
        <w:rPr>
          <w:color w:val="000000" w:themeColor="text1"/>
        </w:rPr>
        <w:t xml:space="preserve"> </w:t>
      </w:r>
      <w:r w:rsidR="000A0A05" w:rsidRPr="00FA09CC">
        <w:t>konsekwencji</w:t>
      </w:r>
      <w:r w:rsidR="007E4D90">
        <w:t>,</w:t>
      </w:r>
      <w:r w:rsidR="000A0A05" w:rsidRPr="00FA09CC">
        <w:t xml:space="preserve"> </w:t>
      </w:r>
      <w:r w:rsidR="007E4D90" w:rsidRPr="00FA09CC">
        <w:rPr>
          <w:color w:val="000000" w:themeColor="text1"/>
        </w:rPr>
        <w:t>w ramach przedmiotu „Wychowanie do życia w rodzinie”</w:t>
      </w:r>
      <w:r w:rsidR="007E4D90">
        <w:rPr>
          <w:color w:val="000000" w:themeColor="text1"/>
        </w:rPr>
        <w:t xml:space="preserve"> </w:t>
      </w:r>
      <w:r w:rsidR="000A0A05" w:rsidRPr="00FA09CC">
        <w:t>kobieta i mężczyzna są ukazywani przede wszystkim w kontekście życia rodzinnego, a nie w kontekście życia publicznego</w:t>
      </w:r>
      <w:r w:rsidR="000A0A05" w:rsidRPr="00FA09CC">
        <w:rPr>
          <w:color w:val="000000" w:themeColor="text1"/>
        </w:rPr>
        <w:t xml:space="preserve">. W materiałach pomocniczych (ćwiczenia </w:t>
      </w:r>
      <w:r w:rsidR="008350C3">
        <w:rPr>
          <w:color w:val="000000" w:themeColor="text1"/>
        </w:rPr>
        <w:br/>
      </w:r>
      <w:r w:rsidR="000A0A05" w:rsidRPr="00FA09CC">
        <w:rPr>
          <w:color w:val="000000" w:themeColor="text1"/>
        </w:rPr>
        <w:lastRenderedPageBreak/>
        <w:t xml:space="preserve">i scenariusze zajęć) podjęte są zagadnienia równości kobiet i mężczyzn, pokojowego rozwiązywania konfliktów w relacjach międzyludzkich, przemocy (także wobec kobiet) oraz niestereotypowych ról płci i prawa do integralności osobistej. Jak wskazano wcześniej, </w:t>
      </w:r>
      <w:r w:rsidR="008350C3">
        <w:rPr>
          <w:color w:val="000000" w:themeColor="text1"/>
        </w:rPr>
        <w:br/>
      </w:r>
      <w:r w:rsidR="000A0A05" w:rsidRPr="00FA09CC">
        <w:rPr>
          <w:color w:val="000000" w:themeColor="text1"/>
        </w:rPr>
        <w:t xml:space="preserve">w ramach innych przedmiotów nauczanych w szkołach przedstawiane są treści dotyczące innych aspektów życia społecznego, życia kobiet i mężczyzn. </w:t>
      </w:r>
    </w:p>
    <w:p w:rsidR="00D04705" w:rsidRPr="00FA09CC" w:rsidRDefault="00D04705" w:rsidP="0024594C">
      <w:pPr>
        <w:ind w:left="0" w:firstLine="0"/>
        <w:rPr>
          <w:b/>
          <w:color w:val="000000" w:themeColor="text1"/>
        </w:rPr>
      </w:pPr>
    </w:p>
    <w:p w:rsidR="00D04705" w:rsidRPr="00FA09CC" w:rsidRDefault="000A0A05" w:rsidP="0024594C">
      <w:pPr>
        <w:ind w:left="0" w:firstLine="0"/>
        <w:rPr>
          <w:b/>
          <w:color w:val="000000" w:themeColor="text1"/>
        </w:rPr>
      </w:pPr>
      <w:r w:rsidRPr="00FA09CC">
        <w:rPr>
          <w:b/>
          <w:color w:val="000000" w:themeColor="text1"/>
        </w:rPr>
        <w:t>Paragraf 82 – udział organizacji pozarządowych w edukacji prowadzonej w szkołach</w:t>
      </w:r>
    </w:p>
    <w:p w:rsidR="00523120" w:rsidRPr="00FA09CC" w:rsidRDefault="000A0A05" w:rsidP="0024594C">
      <w:pPr>
        <w:ind w:left="0" w:firstLine="0"/>
        <w:rPr>
          <w:color w:val="000000" w:themeColor="text1"/>
        </w:rPr>
      </w:pPr>
      <w:r w:rsidRPr="00FA09CC">
        <w:rPr>
          <w:color w:val="000000" w:themeColor="text1"/>
        </w:rPr>
        <w:t>Włączanie się w pracę szkoły podmiotów zewnętrznych, w celu wzbogac</w:t>
      </w:r>
      <w:r w:rsidR="00513010">
        <w:rPr>
          <w:color w:val="000000" w:themeColor="text1"/>
        </w:rPr>
        <w:t>e</w:t>
      </w:r>
      <w:r w:rsidRPr="00FA09CC">
        <w:rPr>
          <w:color w:val="000000" w:themeColor="text1"/>
        </w:rPr>
        <w:t xml:space="preserve">nia oferty edukacyjnej, odbywa się na podstawie ustawy z 14 grudnia 2016 r. – Prawo oświatowe, </w:t>
      </w:r>
      <w:r w:rsidR="008350C3">
        <w:rPr>
          <w:color w:val="000000" w:themeColor="text1"/>
        </w:rPr>
        <w:br/>
      </w:r>
      <w:r w:rsidRPr="00FA09CC">
        <w:rPr>
          <w:color w:val="000000" w:themeColor="text1"/>
        </w:rPr>
        <w:t xml:space="preserve">w oparciu o zasadę równego i niedyskryminującego traktowania wszystkich podmiotów (fundacji, stowarzyszeń, organizacji harcerskich, zrzeszeń sportowych). Za zgodą rady szkoły, rady rodziców i dyrektora w szkole mogą działać podmioty, których celem statutowym jest działalność wychowawcza, rozszerzanie i wzbogacanie form działalności dydaktycznej, wychowawczej, opiekuńczej i innowacyjnej szkoły. Podjęcie działalności </w:t>
      </w:r>
      <w:r w:rsidR="008350C3">
        <w:rPr>
          <w:color w:val="000000" w:themeColor="text1"/>
        </w:rPr>
        <w:br/>
      </w:r>
      <w:r w:rsidRPr="00FA09CC">
        <w:rPr>
          <w:color w:val="000000" w:themeColor="text1"/>
        </w:rPr>
        <w:t xml:space="preserve">w szkole wymaga uzgodnienia z dyrektorem szkoły jej warunków. </w:t>
      </w:r>
    </w:p>
    <w:p w:rsidR="00D04705" w:rsidRPr="00FA09CC" w:rsidRDefault="000A0A05" w:rsidP="0024594C">
      <w:pPr>
        <w:ind w:left="0" w:firstLine="0"/>
        <w:rPr>
          <w:color w:val="000000" w:themeColor="text1"/>
        </w:rPr>
      </w:pPr>
      <w:r w:rsidRPr="00FA09CC">
        <w:rPr>
          <w:color w:val="000000" w:themeColor="text1"/>
        </w:rPr>
        <w:t xml:space="preserve">Każda szkoła opracowuje program wychowawczo-profilaktyczny, uwzględniający wyniki przeprowadzanej co roku diagnozy potrzeb rozwojowych uczniów. Program taki uchwala rada rodziców (organ reprezentujący ogół rodziców uczniów danej szkoły), w porozumieniu </w:t>
      </w:r>
      <w:r w:rsidR="008350C3">
        <w:rPr>
          <w:color w:val="000000" w:themeColor="text1"/>
        </w:rPr>
        <w:br/>
      </w:r>
      <w:r w:rsidRPr="00FA09CC">
        <w:rPr>
          <w:color w:val="000000" w:themeColor="text1"/>
        </w:rPr>
        <w:t>z radą pedagogiczną. W programie określane są kierowane do uczniów</w:t>
      </w:r>
      <w:r w:rsidR="007E4D90" w:rsidRPr="007E4D90">
        <w:rPr>
          <w:color w:val="000000" w:themeColor="text1"/>
        </w:rPr>
        <w:t xml:space="preserve"> </w:t>
      </w:r>
      <w:r w:rsidR="007E4D90" w:rsidRPr="00FA09CC">
        <w:rPr>
          <w:color w:val="000000" w:themeColor="text1"/>
        </w:rPr>
        <w:t xml:space="preserve">działania </w:t>
      </w:r>
      <w:r w:rsidR="008350C3">
        <w:rPr>
          <w:color w:val="000000" w:themeColor="text1"/>
        </w:rPr>
        <w:br/>
      </w:r>
      <w:r w:rsidR="007E4D90" w:rsidRPr="00FA09CC">
        <w:rPr>
          <w:color w:val="000000" w:themeColor="text1"/>
        </w:rPr>
        <w:t>o charakterze wychowawczym</w:t>
      </w:r>
      <w:r w:rsidRPr="00FA09CC">
        <w:rPr>
          <w:color w:val="000000" w:themeColor="text1"/>
        </w:rPr>
        <w:t xml:space="preserve">, a także działania profilaktyczne adresowane do uczniów, rodziców, nauczycieli oraz pozostałych pracowników szkoły. </w:t>
      </w:r>
    </w:p>
    <w:p w:rsidR="00D04705" w:rsidRPr="00FA09CC" w:rsidRDefault="000A0A05" w:rsidP="0024594C">
      <w:pPr>
        <w:ind w:left="0" w:firstLine="0"/>
        <w:rPr>
          <w:color w:val="000000" w:themeColor="text1"/>
        </w:rPr>
      </w:pPr>
      <w:r w:rsidRPr="00FA09CC">
        <w:rPr>
          <w:color w:val="000000" w:themeColor="text1"/>
        </w:rPr>
        <w:t xml:space="preserve">W związku z tym można wnioskować, że zagadnienia (albo sposób i zakres ich prezentowania) </w:t>
      </w:r>
      <w:r w:rsidR="007E4D90">
        <w:rPr>
          <w:color w:val="000000" w:themeColor="text1"/>
        </w:rPr>
        <w:t>za</w:t>
      </w:r>
      <w:r w:rsidRPr="00FA09CC">
        <w:rPr>
          <w:color w:val="000000" w:themeColor="text1"/>
        </w:rPr>
        <w:t xml:space="preserve">proponowane przez wskazane w raporcie organizacje nie odpowiadały potrzebom danych społeczności szkolnych i nie wpisywały się w planowane działania wychowawczo-profilaktyczne szkoły i, </w:t>
      </w:r>
      <w:r w:rsidR="00D447D1" w:rsidRPr="00FA09CC">
        <w:rPr>
          <w:color w:val="000000" w:themeColor="text1"/>
        </w:rPr>
        <w:t>w konsekwencji</w:t>
      </w:r>
      <w:r w:rsidRPr="00FA09CC">
        <w:rPr>
          <w:color w:val="000000" w:themeColor="text1"/>
        </w:rPr>
        <w:t>, nie uzyskały zezwolenia dyrektora szkoły, odpowiadającego za całokształt działalności szkoły.</w:t>
      </w:r>
    </w:p>
    <w:p w:rsidR="00D04705" w:rsidRPr="00FA09CC" w:rsidRDefault="00D04705" w:rsidP="0024594C">
      <w:pPr>
        <w:ind w:left="0" w:firstLine="0"/>
        <w:rPr>
          <w:color w:val="000000" w:themeColor="text1"/>
        </w:rPr>
      </w:pPr>
    </w:p>
    <w:p w:rsidR="00D04705" w:rsidRPr="00FA09CC" w:rsidRDefault="000A0A05" w:rsidP="0024594C">
      <w:pPr>
        <w:ind w:left="0" w:firstLine="0"/>
        <w:rPr>
          <w:b/>
          <w:color w:val="000000" w:themeColor="text1"/>
        </w:rPr>
      </w:pPr>
      <w:r w:rsidRPr="00FA09CC">
        <w:rPr>
          <w:b/>
          <w:color w:val="000000" w:themeColor="text1"/>
        </w:rPr>
        <w:t xml:space="preserve">Paragraf 83 </w:t>
      </w:r>
      <w:r w:rsidR="001710D2">
        <w:rPr>
          <w:b/>
          <w:color w:val="000000" w:themeColor="text1"/>
        </w:rPr>
        <w:t>–</w:t>
      </w:r>
      <w:r w:rsidRPr="00FA09CC">
        <w:rPr>
          <w:b/>
          <w:color w:val="000000" w:themeColor="text1"/>
        </w:rPr>
        <w:t xml:space="preserve"> doraźne</w:t>
      </w:r>
      <w:r w:rsidR="001710D2">
        <w:rPr>
          <w:b/>
          <w:color w:val="000000" w:themeColor="text1"/>
        </w:rPr>
        <w:t xml:space="preserve"> </w:t>
      </w:r>
      <w:r w:rsidRPr="00FA09CC">
        <w:rPr>
          <w:b/>
          <w:color w:val="000000" w:themeColor="text1"/>
        </w:rPr>
        <w:t>kontrole podejmowanych w szkołach działań dotyczących praw kobiet i niedyskryminacji osób lgbt</w:t>
      </w:r>
    </w:p>
    <w:p w:rsidR="00D04705" w:rsidRPr="00FA09CC" w:rsidRDefault="000A0A05" w:rsidP="0024594C">
      <w:pPr>
        <w:ind w:left="0" w:firstLine="0"/>
        <w:rPr>
          <w:color w:val="000000" w:themeColor="text1"/>
        </w:rPr>
      </w:pPr>
      <w:r w:rsidRPr="00FA09CC">
        <w:rPr>
          <w:color w:val="000000" w:themeColor="text1"/>
        </w:rPr>
        <w:t xml:space="preserve">Zapis tego paragrafu może </w:t>
      </w:r>
      <w:r w:rsidR="001302A9">
        <w:rPr>
          <w:color w:val="000000" w:themeColor="text1"/>
        </w:rPr>
        <w:t>błędnie</w:t>
      </w:r>
      <w:r w:rsidR="001302A9" w:rsidRPr="00FA09CC">
        <w:rPr>
          <w:color w:val="000000" w:themeColor="text1"/>
        </w:rPr>
        <w:t xml:space="preserve"> </w:t>
      </w:r>
      <w:r w:rsidRPr="00FA09CC">
        <w:rPr>
          <w:color w:val="000000" w:themeColor="text1"/>
        </w:rPr>
        <w:t>sugerować, że w szkołach nie ma możliwości organizowania działań promujących prawa kobiet czy na rzecz przeciwdziałania dyskryminacji – patrz wyjaśnienia do paragrafu 82.</w:t>
      </w:r>
    </w:p>
    <w:p w:rsidR="00A2768A" w:rsidRPr="00FA09CC" w:rsidRDefault="000A0A05" w:rsidP="0024594C">
      <w:pPr>
        <w:ind w:left="0" w:firstLine="0"/>
        <w:rPr>
          <w:color w:val="000000" w:themeColor="text1"/>
        </w:rPr>
      </w:pPr>
      <w:r w:rsidRPr="00FA09CC">
        <w:rPr>
          <w:color w:val="000000" w:themeColor="text1"/>
        </w:rPr>
        <w:t>Kuratorzy oświaty</w:t>
      </w:r>
      <w:r w:rsidR="00A253CF" w:rsidRPr="00FA09CC">
        <w:rPr>
          <w:color w:val="000000" w:themeColor="text1"/>
        </w:rPr>
        <w:t>,</w:t>
      </w:r>
      <w:r w:rsidRPr="00FA09CC">
        <w:rPr>
          <w:color w:val="000000" w:themeColor="text1"/>
        </w:rPr>
        <w:t xml:space="preserve"> sprawujący nadzór pedagogiczny nad szkołami</w:t>
      </w:r>
      <w:r w:rsidR="00A253CF" w:rsidRPr="00FA09CC">
        <w:rPr>
          <w:color w:val="000000" w:themeColor="text1"/>
        </w:rPr>
        <w:t>,</w:t>
      </w:r>
      <w:r w:rsidRPr="00FA09CC">
        <w:rPr>
          <w:color w:val="000000" w:themeColor="text1"/>
        </w:rPr>
        <w:t xml:space="preserve"> podejmują działania </w:t>
      </w:r>
      <w:r w:rsidR="008350C3">
        <w:rPr>
          <w:color w:val="000000" w:themeColor="text1"/>
        </w:rPr>
        <w:br/>
      </w:r>
      <w:r w:rsidRPr="00FA09CC">
        <w:rPr>
          <w:color w:val="000000" w:themeColor="text1"/>
        </w:rPr>
        <w:t xml:space="preserve">w związku ze zgłoszeniami rodziców, którzy nie wyrazili zgody na udział ich dzieci </w:t>
      </w:r>
      <w:r w:rsidR="008350C3">
        <w:rPr>
          <w:color w:val="000000" w:themeColor="text1"/>
        </w:rPr>
        <w:br/>
      </w:r>
      <w:r w:rsidRPr="00FA09CC">
        <w:rPr>
          <w:color w:val="000000" w:themeColor="text1"/>
        </w:rPr>
        <w:t xml:space="preserve">w przedsięwzięciu organizowanym w szkole. </w:t>
      </w:r>
    </w:p>
    <w:p w:rsidR="00A253CF" w:rsidRPr="00FA09CC" w:rsidRDefault="000A0A05" w:rsidP="0024594C">
      <w:pPr>
        <w:autoSpaceDE w:val="0"/>
        <w:autoSpaceDN w:val="0"/>
        <w:adjustRightInd w:val="0"/>
        <w:ind w:left="0" w:firstLine="0"/>
        <w:rPr>
          <w:color w:val="000000" w:themeColor="text1"/>
        </w:rPr>
      </w:pPr>
      <w:r w:rsidRPr="00FA09CC">
        <w:rPr>
          <w:color w:val="000000" w:themeColor="text1"/>
        </w:rPr>
        <w:t xml:space="preserve">W celu oceny przestrzegania przepisów prawa (w tym konstytucyjnie gwarantowanego prawa rodziców do wychowania dzieci </w:t>
      </w:r>
      <w:r w:rsidRPr="00FA09CC">
        <w:rPr>
          <w:rFonts w:eastAsia="Times New Roman"/>
          <w:color w:val="000000" w:themeColor="text1"/>
          <w:lang w:eastAsia="pl-PL"/>
        </w:rPr>
        <w:t>zgod</w:t>
      </w:r>
      <w:r w:rsidR="00900A0E">
        <w:rPr>
          <w:rFonts w:eastAsia="Times New Roman"/>
          <w:color w:val="000000" w:themeColor="text1"/>
          <w:lang w:eastAsia="pl-PL"/>
        </w:rPr>
        <w:t>nie</w:t>
      </w:r>
      <w:r w:rsidRPr="00FA09CC">
        <w:rPr>
          <w:rFonts w:eastAsia="Times New Roman"/>
          <w:color w:val="000000" w:themeColor="text1"/>
          <w:lang w:eastAsia="pl-PL"/>
        </w:rPr>
        <w:t xml:space="preserve"> z własnymi przekonaniami oraz prawa </w:t>
      </w:r>
      <w:r w:rsidRPr="00FA09CC">
        <w:t>rodziców do zapewnienia dzieciom wychowania i nauczania moralnego i religijnego zgodnie ze swoimi przekonaniami</w:t>
      </w:r>
      <w:r w:rsidRPr="00FA09CC">
        <w:rPr>
          <w:color w:val="000000" w:themeColor="text1"/>
        </w:rPr>
        <w:t xml:space="preserve">), </w:t>
      </w:r>
      <w:r w:rsidR="007E4D90">
        <w:rPr>
          <w:color w:val="000000" w:themeColor="text1"/>
        </w:rPr>
        <w:t xml:space="preserve">kuratoria zwracały się </w:t>
      </w:r>
      <w:r w:rsidRPr="00FA09CC">
        <w:rPr>
          <w:color w:val="000000" w:themeColor="text1"/>
        </w:rPr>
        <w:t xml:space="preserve">do dyrektorów szkół wskazanych przez rodziców </w:t>
      </w:r>
      <w:r w:rsidR="008350C3">
        <w:rPr>
          <w:color w:val="000000" w:themeColor="text1"/>
        </w:rPr>
        <w:br/>
      </w:r>
      <w:r w:rsidRPr="00FA09CC">
        <w:rPr>
          <w:color w:val="000000" w:themeColor="text1"/>
        </w:rPr>
        <w:t xml:space="preserve">o przedstawienie wyjaśnień w sprawie organizacji przedsięwzięć </w:t>
      </w:r>
      <w:r w:rsidR="007E4D90">
        <w:rPr>
          <w:color w:val="000000" w:themeColor="text1"/>
        </w:rPr>
        <w:t>i/</w:t>
      </w:r>
      <w:r w:rsidRPr="00FA09CC">
        <w:rPr>
          <w:color w:val="000000" w:themeColor="text1"/>
        </w:rPr>
        <w:t xml:space="preserve">lub przeprowadzano kontrole. </w:t>
      </w:r>
    </w:p>
    <w:p w:rsidR="00400EC0" w:rsidRDefault="000A0A05" w:rsidP="0024594C">
      <w:pPr>
        <w:autoSpaceDE w:val="0"/>
        <w:autoSpaceDN w:val="0"/>
        <w:adjustRightInd w:val="0"/>
        <w:ind w:left="0" w:firstLine="0"/>
        <w:rPr>
          <w:color w:val="000000" w:themeColor="text1"/>
        </w:rPr>
      </w:pPr>
      <w:r w:rsidRPr="00FA09CC">
        <w:rPr>
          <w:color w:val="000000" w:themeColor="text1"/>
        </w:rPr>
        <w:t xml:space="preserve">Ministerstwo Edukacji i Nauki nie zbiera danych dotyczących kontroli doraźnych, dotyczących bieżącej pracy szkół. </w:t>
      </w:r>
    </w:p>
    <w:p w:rsidR="00BD0CF7" w:rsidRPr="00FA09CC" w:rsidRDefault="007E4D90" w:rsidP="0024594C">
      <w:pPr>
        <w:autoSpaceDE w:val="0"/>
        <w:autoSpaceDN w:val="0"/>
        <w:adjustRightInd w:val="0"/>
        <w:ind w:left="0" w:firstLine="0"/>
        <w:rPr>
          <w:bCs/>
          <w:color w:val="000000" w:themeColor="text1"/>
        </w:rPr>
      </w:pPr>
      <w:r>
        <w:rPr>
          <w:color w:val="000000" w:themeColor="text1"/>
        </w:rPr>
        <w:t>Z kolei, d</w:t>
      </w:r>
      <w:r w:rsidR="000A0A05" w:rsidRPr="00FA09CC">
        <w:rPr>
          <w:color w:val="000000" w:themeColor="text1"/>
        </w:rPr>
        <w:t xml:space="preserve">ane przekazane </w:t>
      </w:r>
      <w:r w:rsidR="000A0A05" w:rsidRPr="00E263CD">
        <w:rPr>
          <w:color w:val="000000" w:themeColor="text1"/>
        </w:rPr>
        <w:t>Ministrowi Edukacji Narodowej</w:t>
      </w:r>
      <w:r w:rsidR="000A0A05" w:rsidRPr="00FA09CC">
        <w:rPr>
          <w:color w:val="000000" w:themeColor="text1"/>
        </w:rPr>
        <w:t xml:space="preserve"> przez Rzecznika Praw Obywatelskich</w:t>
      </w:r>
      <w:r w:rsidR="00A253CF" w:rsidRPr="00FA09CC">
        <w:rPr>
          <w:color w:val="000000" w:themeColor="text1"/>
        </w:rPr>
        <w:t xml:space="preserve"> świadczą, że w skali kraju kontrole takie są incydentalne</w:t>
      </w:r>
      <w:r w:rsidR="000A0A05" w:rsidRPr="00FA09CC">
        <w:rPr>
          <w:color w:val="000000" w:themeColor="text1"/>
        </w:rPr>
        <w:t xml:space="preserve">. </w:t>
      </w:r>
      <w:r w:rsidR="000A0A05" w:rsidRPr="00FA09CC">
        <w:rPr>
          <w:bCs/>
          <w:color w:val="000000" w:themeColor="text1"/>
        </w:rPr>
        <w:t xml:space="preserve">Biuro Rzecznika Praw Obywatelskich </w:t>
      </w:r>
      <w:r w:rsidRPr="00FA09CC">
        <w:rPr>
          <w:bCs/>
          <w:color w:val="000000" w:themeColor="text1"/>
        </w:rPr>
        <w:t xml:space="preserve">wystąpiło </w:t>
      </w:r>
      <w:r w:rsidR="000A0A05" w:rsidRPr="00FA09CC">
        <w:rPr>
          <w:bCs/>
          <w:color w:val="000000" w:themeColor="text1"/>
        </w:rPr>
        <w:t>4 kwietnia 2019 r. do kuratorów oświaty o przekazanie danych dotyczących kontroli doraźnych. W ciągu 18 miesięcy</w:t>
      </w:r>
      <w:r w:rsidR="000A0A05" w:rsidRPr="00FA09CC">
        <w:rPr>
          <w:b/>
          <w:bCs/>
          <w:color w:val="000000" w:themeColor="text1"/>
        </w:rPr>
        <w:t xml:space="preserve"> </w:t>
      </w:r>
      <w:r w:rsidR="000A0A05" w:rsidRPr="00FA09CC">
        <w:rPr>
          <w:bCs/>
          <w:color w:val="000000" w:themeColor="text1"/>
        </w:rPr>
        <w:t>poprzedzających wystąpienie Rzecznika Praw Obywatelskich przeprowadzono 32 kontrole doraźne</w:t>
      </w:r>
      <w:r w:rsidR="00FD5E3E">
        <w:rPr>
          <w:bCs/>
          <w:color w:val="000000" w:themeColor="text1"/>
        </w:rPr>
        <w:t xml:space="preserve">, wyłącznie </w:t>
      </w:r>
      <w:r w:rsidR="000A0A05" w:rsidRPr="00FA09CC">
        <w:rPr>
          <w:bCs/>
          <w:color w:val="000000" w:themeColor="text1"/>
        </w:rPr>
        <w:t>na wniosek rodziców. Kontrole zostały przeprowadzone w 7 województwach</w:t>
      </w:r>
      <w:r w:rsidR="00A253CF" w:rsidRPr="00FA09CC">
        <w:rPr>
          <w:bCs/>
          <w:color w:val="000000" w:themeColor="text1"/>
        </w:rPr>
        <w:t>,</w:t>
      </w:r>
      <w:r w:rsidR="000A0A05" w:rsidRPr="00FA09CC">
        <w:rPr>
          <w:bCs/>
          <w:color w:val="000000" w:themeColor="text1"/>
        </w:rPr>
        <w:t xml:space="preserve"> na 16 istniejących:</w:t>
      </w:r>
    </w:p>
    <w:p w:rsidR="00BD0CF7" w:rsidRPr="00FA09CC" w:rsidRDefault="000A0A05" w:rsidP="0024594C">
      <w:pPr>
        <w:numPr>
          <w:ilvl w:val="0"/>
          <w:numId w:val="38"/>
        </w:numPr>
        <w:autoSpaceDE w:val="0"/>
        <w:autoSpaceDN w:val="0"/>
        <w:adjustRightInd w:val="0"/>
        <w:rPr>
          <w:bCs/>
          <w:color w:val="000000" w:themeColor="text1"/>
        </w:rPr>
      </w:pPr>
      <w:r w:rsidRPr="00FA09CC">
        <w:rPr>
          <w:bCs/>
          <w:color w:val="000000" w:themeColor="text1"/>
        </w:rPr>
        <w:t xml:space="preserve">zachodniopomorskim </w:t>
      </w:r>
      <w:r w:rsidR="000A777E">
        <w:rPr>
          <w:bCs/>
          <w:color w:val="000000" w:themeColor="text1"/>
        </w:rPr>
        <w:t>–</w:t>
      </w:r>
      <w:r w:rsidRPr="00FA09CC">
        <w:rPr>
          <w:bCs/>
          <w:color w:val="000000" w:themeColor="text1"/>
        </w:rPr>
        <w:t xml:space="preserve"> 1</w:t>
      </w:r>
      <w:r w:rsidR="000A777E">
        <w:rPr>
          <w:bCs/>
          <w:color w:val="000000" w:themeColor="text1"/>
        </w:rPr>
        <w:t xml:space="preserve"> </w:t>
      </w:r>
      <w:r w:rsidRPr="00FA09CC">
        <w:rPr>
          <w:bCs/>
          <w:color w:val="000000" w:themeColor="text1"/>
        </w:rPr>
        <w:t xml:space="preserve">kontrola doraźna, </w:t>
      </w:r>
    </w:p>
    <w:p w:rsidR="00BD0CF7" w:rsidRPr="00FA09CC" w:rsidRDefault="000A0A05" w:rsidP="0024594C">
      <w:pPr>
        <w:numPr>
          <w:ilvl w:val="0"/>
          <w:numId w:val="38"/>
        </w:numPr>
        <w:autoSpaceDE w:val="0"/>
        <w:autoSpaceDN w:val="0"/>
        <w:adjustRightInd w:val="0"/>
        <w:rPr>
          <w:bCs/>
          <w:color w:val="000000" w:themeColor="text1"/>
        </w:rPr>
      </w:pPr>
      <w:r w:rsidRPr="00FA09CC">
        <w:rPr>
          <w:bCs/>
          <w:color w:val="000000" w:themeColor="text1"/>
        </w:rPr>
        <w:lastRenderedPageBreak/>
        <w:t xml:space="preserve">warmińsko-mazurskim </w:t>
      </w:r>
      <w:r w:rsidR="000A777E">
        <w:rPr>
          <w:bCs/>
          <w:color w:val="000000" w:themeColor="text1"/>
        </w:rPr>
        <w:t>–</w:t>
      </w:r>
      <w:r w:rsidRPr="00FA09CC">
        <w:rPr>
          <w:bCs/>
          <w:color w:val="000000" w:themeColor="text1"/>
        </w:rPr>
        <w:t xml:space="preserve"> 1</w:t>
      </w:r>
      <w:r w:rsidR="000A777E">
        <w:rPr>
          <w:bCs/>
          <w:color w:val="000000" w:themeColor="text1"/>
        </w:rPr>
        <w:t xml:space="preserve"> </w:t>
      </w:r>
      <w:r w:rsidRPr="00FA09CC">
        <w:rPr>
          <w:bCs/>
          <w:color w:val="000000" w:themeColor="text1"/>
        </w:rPr>
        <w:t xml:space="preserve">kontrola doraźna, </w:t>
      </w:r>
    </w:p>
    <w:p w:rsidR="00BD0CF7" w:rsidRPr="00FA09CC" w:rsidRDefault="000A0A05" w:rsidP="0024594C">
      <w:pPr>
        <w:numPr>
          <w:ilvl w:val="0"/>
          <w:numId w:val="38"/>
        </w:numPr>
        <w:autoSpaceDE w:val="0"/>
        <w:autoSpaceDN w:val="0"/>
        <w:adjustRightInd w:val="0"/>
        <w:rPr>
          <w:bCs/>
          <w:color w:val="000000" w:themeColor="text1"/>
        </w:rPr>
      </w:pPr>
      <w:r w:rsidRPr="00FA09CC">
        <w:rPr>
          <w:bCs/>
          <w:color w:val="000000" w:themeColor="text1"/>
        </w:rPr>
        <w:t xml:space="preserve">lubuskim </w:t>
      </w:r>
      <w:r w:rsidR="000A777E">
        <w:rPr>
          <w:bCs/>
          <w:color w:val="000000" w:themeColor="text1"/>
        </w:rPr>
        <w:t>–</w:t>
      </w:r>
      <w:r w:rsidRPr="00FA09CC">
        <w:rPr>
          <w:bCs/>
          <w:color w:val="000000" w:themeColor="text1"/>
        </w:rPr>
        <w:t xml:space="preserve"> 1</w:t>
      </w:r>
      <w:r w:rsidR="000A777E">
        <w:rPr>
          <w:bCs/>
          <w:color w:val="000000" w:themeColor="text1"/>
        </w:rPr>
        <w:t xml:space="preserve"> </w:t>
      </w:r>
      <w:r w:rsidRPr="00FA09CC">
        <w:rPr>
          <w:bCs/>
          <w:color w:val="000000" w:themeColor="text1"/>
        </w:rPr>
        <w:t xml:space="preserve">kontrola doraźna, </w:t>
      </w:r>
    </w:p>
    <w:p w:rsidR="00BD0CF7" w:rsidRPr="00FA09CC" w:rsidRDefault="000A0A05" w:rsidP="0024594C">
      <w:pPr>
        <w:numPr>
          <w:ilvl w:val="0"/>
          <w:numId w:val="38"/>
        </w:numPr>
        <w:autoSpaceDE w:val="0"/>
        <w:autoSpaceDN w:val="0"/>
        <w:adjustRightInd w:val="0"/>
        <w:rPr>
          <w:bCs/>
          <w:color w:val="000000" w:themeColor="text1"/>
        </w:rPr>
      </w:pPr>
      <w:r w:rsidRPr="00FA09CC">
        <w:rPr>
          <w:bCs/>
          <w:color w:val="000000" w:themeColor="text1"/>
        </w:rPr>
        <w:t xml:space="preserve">mazowieckim </w:t>
      </w:r>
      <w:r w:rsidR="000A777E">
        <w:rPr>
          <w:bCs/>
          <w:color w:val="000000" w:themeColor="text1"/>
        </w:rPr>
        <w:t>–</w:t>
      </w:r>
      <w:r w:rsidRPr="00FA09CC">
        <w:rPr>
          <w:bCs/>
          <w:color w:val="000000" w:themeColor="text1"/>
        </w:rPr>
        <w:t xml:space="preserve"> 8 kontroli doraźnych, </w:t>
      </w:r>
    </w:p>
    <w:p w:rsidR="00BD0CF7" w:rsidRPr="00FA09CC" w:rsidRDefault="000A0A05" w:rsidP="0024594C">
      <w:pPr>
        <w:numPr>
          <w:ilvl w:val="0"/>
          <w:numId w:val="38"/>
        </w:numPr>
        <w:autoSpaceDE w:val="0"/>
        <w:autoSpaceDN w:val="0"/>
        <w:adjustRightInd w:val="0"/>
        <w:rPr>
          <w:bCs/>
          <w:color w:val="000000" w:themeColor="text1"/>
        </w:rPr>
      </w:pPr>
      <w:r w:rsidRPr="00FA09CC">
        <w:rPr>
          <w:bCs/>
          <w:color w:val="000000" w:themeColor="text1"/>
        </w:rPr>
        <w:t xml:space="preserve">wielkopolskim </w:t>
      </w:r>
      <w:r w:rsidR="000A777E">
        <w:rPr>
          <w:bCs/>
          <w:color w:val="000000" w:themeColor="text1"/>
        </w:rPr>
        <w:t>–</w:t>
      </w:r>
      <w:r w:rsidRPr="00FA09CC">
        <w:rPr>
          <w:bCs/>
          <w:color w:val="000000" w:themeColor="text1"/>
        </w:rPr>
        <w:t xml:space="preserve"> 1 kontrola doraźna oraz wizytacje wyjaśniające</w:t>
      </w:r>
      <w:r w:rsidR="007E4D90">
        <w:rPr>
          <w:bCs/>
          <w:color w:val="000000" w:themeColor="text1"/>
        </w:rPr>
        <w:t>,</w:t>
      </w:r>
      <w:r w:rsidRPr="00FA09CC">
        <w:rPr>
          <w:bCs/>
          <w:color w:val="000000" w:themeColor="text1"/>
        </w:rPr>
        <w:t xml:space="preserve"> prowadzone przez pracowników kuratorium,</w:t>
      </w:r>
    </w:p>
    <w:p w:rsidR="00BD0CF7" w:rsidRPr="00FA09CC" w:rsidRDefault="000A0A05" w:rsidP="0024594C">
      <w:pPr>
        <w:numPr>
          <w:ilvl w:val="0"/>
          <w:numId w:val="38"/>
        </w:numPr>
        <w:autoSpaceDE w:val="0"/>
        <w:autoSpaceDN w:val="0"/>
        <w:adjustRightInd w:val="0"/>
        <w:rPr>
          <w:bCs/>
          <w:color w:val="000000" w:themeColor="text1"/>
        </w:rPr>
      </w:pPr>
      <w:r w:rsidRPr="00FA09CC">
        <w:rPr>
          <w:bCs/>
          <w:color w:val="000000" w:themeColor="text1"/>
        </w:rPr>
        <w:t xml:space="preserve">śląskim </w:t>
      </w:r>
      <w:r w:rsidR="000A777E">
        <w:rPr>
          <w:bCs/>
          <w:color w:val="000000" w:themeColor="text1"/>
        </w:rPr>
        <w:t>–</w:t>
      </w:r>
      <w:r w:rsidRPr="00FA09CC">
        <w:rPr>
          <w:bCs/>
          <w:color w:val="000000" w:themeColor="text1"/>
        </w:rPr>
        <w:t xml:space="preserve"> 19 kontroli doraźnych,</w:t>
      </w:r>
    </w:p>
    <w:p w:rsidR="00BD0CF7" w:rsidRPr="00FA09CC" w:rsidRDefault="000A0A05" w:rsidP="0024594C">
      <w:pPr>
        <w:numPr>
          <w:ilvl w:val="0"/>
          <w:numId w:val="38"/>
        </w:numPr>
        <w:autoSpaceDE w:val="0"/>
        <w:autoSpaceDN w:val="0"/>
        <w:adjustRightInd w:val="0"/>
        <w:rPr>
          <w:bCs/>
          <w:color w:val="000000" w:themeColor="text1"/>
        </w:rPr>
      </w:pPr>
      <w:r w:rsidRPr="00FA09CC">
        <w:rPr>
          <w:bCs/>
          <w:color w:val="000000" w:themeColor="text1"/>
        </w:rPr>
        <w:t xml:space="preserve">łódzkim </w:t>
      </w:r>
      <w:r w:rsidR="000A777E">
        <w:rPr>
          <w:bCs/>
          <w:color w:val="000000" w:themeColor="text1"/>
        </w:rPr>
        <w:t>–</w:t>
      </w:r>
      <w:r w:rsidRPr="00FA09CC">
        <w:rPr>
          <w:bCs/>
          <w:color w:val="000000" w:themeColor="text1"/>
        </w:rPr>
        <w:t xml:space="preserve"> 1 kontrola doraźna.</w:t>
      </w:r>
    </w:p>
    <w:p w:rsidR="00A2768A" w:rsidRPr="00FA09CC" w:rsidRDefault="000A0A05" w:rsidP="0024594C">
      <w:pPr>
        <w:ind w:left="0" w:firstLine="0"/>
        <w:rPr>
          <w:color w:val="000000" w:themeColor="text1"/>
        </w:rPr>
      </w:pPr>
      <w:r w:rsidRPr="00FA09CC">
        <w:rPr>
          <w:color w:val="000000" w:themeColor="text1"/>
        </w:rPr>
        <w:t xml:space="preserve">Zgodnie z ustawą z 26 stycznia 1982 r. Karta Nauczyciela nauczyciele odpowiadają dyscyplinarnie za uchybienia godności zawodu nauczyciela lub obowiązkom: </w:t>
      </w:r>
    </w:p>
    <w:p w:rsidR="00A2768A" w:rsidRPr="00FA09CC" w:rsidRDefault="000A0A05" w:rsidP="0024594C">
      <w:pPr>
        <w:pStyle w:val="Akapitzlist"/>
        <w:numPr>
          <w:ilvl w:val="0"/>
          <w:numId w:val="35"/>
        </w:numPr>
        <w:rPr>
          <w:color w:val="000000" w:themeColor="text1"/>
        </w:rPr>
      </w:pPr>
      <w:r w:rsidRPr="00FA09CC">
        <w:rPr>
          <w:color w:val="000000" w:themeColor="text1"/>
        </w:rPr>
        <w:t xml:space="preserve">rzetelnej realizacji zadań związanych z powierzonym stanowiskiem oraz podstawowymi funkcjami szkoły (dydaktyczną, wychowawczą i opiekuńczą), w tym zadań związanych </w:t>
      </w:r>
      <w:r w:rsidR="008350C3">
        <w:rPr>
          <w:color w:val="000000" w:themeColor="text1"/>
        </w:rPr>
        <w:br/>
      </w:r>
      <w:r w:rsidRPr="00FA09CC">
        <w:rPr>
          <w:color w:val="000000" w:themeColor="text1"/>
        </w:rPr>
        <w:t xml:space="preserve">z zapewnieniem bezpieczeństwa uczniom w czasie zajęć organizowanych przez szkołę, </w:t>
      </w:r>
    </w:p>
    <w:p w:rsidR="007E4D90" w:rsidRDefault="000A0A05" w:rsidP="0024594C">
      <w:pPr>
        <w:pStyle w:val="Akapitzlist"/>
        <w:numPr>
          <w:ilvl w:val="0"/>
          <w:numId w:val="35"/>
        </w:numPr>
        <w:rPr>
          <w:color w:val="000000" w:themeColor="text1"/>
        </w:rPr>
      </w:pPr>
      <w:r w:rsidRPr="00FA09CC">
        <w:rPr>
          <w:color w:val="000000" w:themeColor="text1"/>
        </w:rPr>
        <w:t>wspierania każdego ucznia w jego rozwoju</w:t>
      </w:r>
      <w:r w:rsidR="007E4D90">
        <w:rPr>
          <w:color w:val="000000" w:themeColor="text1"/>
        </w:rPr>
        <w:t>,</w:t>
      </w:r>
    </w:p>
    <w:p w:rsidR="00A2768A" w:rsidRPr="00FA09CC" w:rsidRDefault="000A0A05" w:rsidP="0024594C">
      <w:pPr>
        <w:pStyle w:val="Akapitzlist"/>
        <w:numPr>
          <w:ilvl w:val="0"/>
          <w:numId w:val="35"/>
        </w:numPr>
        <w:rPr>
          <w:color w:val="000000" w:themeColor="text1"/>
        </w:rPr>
      </w:pPr>
      <w:r w:rsidRPr="00FA09CC">
        <w:rPr>
          <w:color w:val="000000" w:themeColor="text1"/>
        </w:rPr>
        <w:t>dążeni</w:t>
      </w:r>
      <w:r w:rsidR="007E4D90">
        <w:rPr>
          <w:color w:val="000000" w:themeColor="text1"/>
        </w:rPr>
        <w:t>a</w:t>
      </w:r>
      <w:r w:rsidRPr="00FA09CC">
        <w:rPr>
          <w:color w:val="000000" w:themeColor="text1"/>
        </w:rPr>
        <w:t xml:space="preserve"> do pełni własnego rozwoju osobowego, </w:t>
      </w:r>
    </w:p>
    <w:p w:rsidR="00A2768A" w:rsidRPr="00FA09CC" w:rsidRDefault="000A0A05" w:rsidP="0024594C">
      <w:pPr>
        <w:pStyle w:val="Akapitzlist"/>
        <w:numPr>
          <w:ilvl w:val="0"/>
          <w:numId w:val="35"/>
        </w:numPr>
        <w:rPr>
          <w:color w:val="000000" w:themeColor="text1"/>
        </w:rPr>
      </w:pPr>
      <w:r w:rsidRPr="00FA09CC">
        <w:rPr>
          <w:color w:val="000000" w:themeColor="text1"/>
        </w:rPr>
        <w:t xml:space="preserve">doskonalenia zawodowego, zgodnie z potrzebami szkoły, </w:t>
      </w:r>
    </w:p>
    <w:p w:rsidR="00A2768A" w:rsidRPr="00FA09CC" w:rsidRDefault="000A0A05" w:rsidP="0024594C">
      <w:pPr>
        <w:pStyle w:val="Akapitzlist"/>
        <w:numPr>
          <w:ilvl w:val="0"/>
          <w:numId w:val="35"/>
        </w:numPr>
        <w:rPr>
          <w:color w:val="000000" w:themeColor="text1"/>
        </w:rPr>
      </w:pPr>
      <w:r w:rsidRPr="00FA09CC">
        <w:rPr>
          <w:color w:val="000000" w:themeColor="text1"/>
        </w:rPr>
        <w:t xml:space="preserve">kształcenia i wychowywania młodzieży w umiłowaniu Ojczyzny, w poszanowaniu Konstytucji Rzeczypospolitej Polskiej, w atmosferze wolności sumienia i szacunku dla każdego człowieka, </w:t>
      </w:r>
    </w:p>
    <w:p w:rsidR="00A2768A" w:rsidRPr="00FA09CC" w:rsidRDefault="000A0A05" w:rsidP="0024594C">
      <w:pPr>
        <w:pStyle w:val="Akapitzlist"/>
        <w:numPr>
          <w:ilvl w:val="0"/>
          <w:numId w:val="35"/>
        </w:numPr>
        <w:rPr>
          <w:color w:val="000000" w:themeColor="text1"/>
        </w:rPr>
      </w:pPr>
      <w:r w:rsidRPr="00FA09CC">
        <w:rPr>
          <w:color w:val="000000" w:themeColor="text1"/>
        </w:rPr>
        <w:t>dbania o kształtowanie u uczniów postaw moralnych i obywatelskich</w:t>
      </w:r>
      <w:r w:rsidR="00513010">
        <w:rPr>
          <w:color w:val="000000" w:themeColor="text1"/>
        </w:rPr>
        <w:t>,</w:t>
      </w:r>
      <w:r w:rsidRPr="00FA09CC">
        <w:rPr>
          <w:color w:val="000000" w:themeColor="text1"/>
        </w:rPr>
        <w:t xml:space="preserve"> zgodnie z ideą demokracji, pokoju i przyjaźni między ludźmi różnych narodów, ras i światopoglądów. </w:t>
      </w:r>
    </w:p>
    <w:p w:rsidR="00D04705" w:rsidRPr="00FA09CC" w:rsidRDefault="000A0A05" w:rsidP="0024594C">
      <w:pPr>
        <w:ind w:left="0" w:firstLine="0"/>
        <w:rPr>
          <w:color w:val="000000" w:themeColor="text1"/>
        </w:rPr>
      </w:pPr>
      <w:r w:rsidRPr="00FA09CC">
        <w:rPr>
          <w:color w:val="000000" w:themeColor="text1"/>
        </w:rPr>
        <w:t xml:space="preserve">Wyrażanie poparcia lub uczestniczenie w proteście dotyczącym kwestii światopoglądowych w czasie przeznaczonym na realizowanie lekcji nie </w:t>
      </w:r>
      <w:r w:rsidR="007E4D90">
        <w:rPr>
          <w:color w:val="000000" w:themeColor="text1"/>
        </w:rPr>
        <w:t xml:space="preserve">jest wykonaniem </w:t>
      </w:r>
      <w:r w:rsidRPr="00FA09CC">
        <w:rPr>
          <w:color w:val="000000" w:themeColor="text1"/>
        </w:rPr>
        <w:t xml:space="preserve">obowiązków w zakresie wychowywania młodzieży, jak też nie </w:t>
      </w:r>
      <w:r w:rsidR="007E4D90">
        <w:rPr>
          <w:color w:val="000000" w:themeColor="text1"/>
        </w:rPr>
        <w:t xml:space="preserve">stanowi rzetelnego </w:t>
      </w:r>
      <w:r w:rsidRPr="00FA09CC">
        <w:rPr>
          <w:color w:val="000000" w:themeColor="text1"/>
        </w:rPr>
        <w:t>realizowani</w:t>
      </w:r>
      <w:r w:rsidR="007E4D90">
        <w:rPr>
          <w:color w:val="000000" w:themeColor="text1"/>
        </w:rPr>
        <w:t>a</w:t>
      </w:r>
      <w:r w:rsidRPr="00FA09CC">
        <w:rPr>
          <w:color w:val="000000" w:themeColor="text1"/>
        </w:rPr>
        <w:t xml:space="preserve"> zadań związanych </w:t>
      </w:r>
      <w:r w:rsidR="008350C3">
        <w:rPr>
          <w:color w:val="000000" w:themeColor="text1"/>
        </w:rPr>
        <w:br/>
      </w:r>
      <w:r w:rsidRPr="00FA09CC">
        <w:rPr>
          <w:color w:val="000000" w:themeColor="text1"/>
        </w:rPr>
        <w:t xml:space="preserve">z powierzonym nauczycielowi stanowiskiem. </w:t>
      </w:r>
    </w:p>
    <w:p w:rsidR="00B16B2B" w:rsidRPr="00FA09CC" w:rsidRDefault="002C615F" w:rsidP="0024594C">
      <w:pPr>
        <w:ind w:left="0" w:firstLine="0"/>
        <w:rPr>
          <w:color w:val="000000" w:themeColor="text1"/>
        </w:rPr>
      </w:pPr>
      <w:r w:rsidRPr="00FA09CC">
        <w:rPr>
          <w:color w:val="000000" w:themeColor="text1"/>
        </w:rPr>
        <w:t>W</w:t>
      </w:r>
      <w:r w:rsidR="000A0A05" w:rsidRPr="00FA09CC">
        <w:rPr>
          <w:color w:val="000000" w:themeColor="text1"/>
        </w:rPr>
        <w:t xml:space="preserve"> związku z uwagami zawartymi w drugim zdaniu paragrafu należy wyjaśnić, że strajk kobiet nie </w:t>
      </w:r>
      <w:r w:rsidR="007E4D90">
        <w:rPr>
          <w:color w:val="000000" w:themeColor="text1"/>
        </w:rPr>
        <w:t>był spowodowany</w:t>
      </w:r>
      <w:r w:rsidR="000A0A05" w:rsidRPr="00FA09CC">
        <w:rPr>
          <w:color w:val="000000" w:themeColor="text1"/>
        </w:rPr>
        <w:t xml:space="preserve"> planami zaprzestania edukacji dotyczącej zdrowia seksualnego </w:t>
      </w:r>
      <w:r w:rsidR="008350C3">
        <w:rPr>
          <w:color w:val="000000" w:themeColor="text1"/>
        </w:rPr>
        <w:br/>
      </w:r>
      <w:r w:rsidR="000A0A05" w:rsidRPr="00FA09CC">
        <w:rPr>
          <w:color w:val="000000" w:themeColor="text1"/>
        </w:rPr>
        <w:t xml:space="preserve">i reprodukcyjnego. Rząd nie ogłaszał planów zaprzestania edukacji dotyczącej zdrowia seksualnego i reprodukcyjnego. W raporcie przedstawiona jest zatem </w:t>
      </w:r>
      <w:r w:rsidR="000A0A05" w:rsidRPr="00FA09CC">
        <w:rPr>
          <w:rFonts w:eastAsia="Times New Roman"/>
        </w:rPr>
        <w:t>informacja</w:t>
      </w:r>
      <w:r w:rsidR="00A253CF" w:rsidRPr="00FA09CC">
        <w:rPr>
          <w:rFonts w:eastAsia="Times New Roman"/>
        </w:rPr>
        <w:t xml:space="preserve"> nie mająca podstawy w faktach</w:t>
      </w:r>
      <w:r w:rsidR="000A0A05" w:rsidRPr="00FA09CC">
        <w:rPr>
          <w:rFonts w:eastAsia="Times New Roman"/>
        </w:rPr>
        <w:t xml:space="preserve">. </w:t>
      </w:r>
      <w:r w:rsidR="000A0A05" w:rsidRPr="00FA09CC">
        <w:rPr>
          <w:color w:val="000000" w:themeColor="text1"/>
        </w:rPr>
        <w:t>W istocie, strajk kobiet miał związek z planowanymi zmianami prawa w zakresie warunków przer</w:t>
      </w:r>
      <w:r w:rsidR="00513010">
        <w:rPr>
          <w:color w:val="000000" w:themeColor="text1"/>
        </w:rPr>
        <w:t>y</w:t>
      </w:r>
      <w:r w:rsidR="000A0A05" w:rsidRPr="00FA09CC">
        <w:rPr>
          <w:color w:val="000000" w:themeColor="text1"/>
        </w:rPr>
        <w:t>wania ciąży. Uczestnicy strajku domagali się nieograniczonej możliwości przeprowadzania aborcji. Analiza wystąpień uczestników strajku wskazuje, że posługiwanie się terminem „zdrowie seksualne” ma na celu unikanie posługiwania się terminem „aborcja”, czyli dezinformację co do rzeczywistych celów strajku. Utożsamianie przez niektóre grupy społeczne pojęcia „aborcja” ze „zdrowiem seksualnym”, czy „zdrowiem reprodukcyjnym” stanowi nadużycie.</w:t>
      </w:r>
    </w:p>
    <w:p w:rsidR="00654B09" w:rsidRPr="00FA09CC" w:rsidRDefault="00654B09" w:rsidP="0024594C">
      <w:pPr>
        <w:ind w:left="0" w:firstLine="0"/>
        <w:rPr>
          <w:rFonts w:eastAsia="Times New Roman"/>
        </w:rPr>
      </w:pPr>
      <w:r w:rsidRPr="00FA09CC">
        <w:rPr>
          <w:rFonts w:eastAsia="Times New Roman"/>
        </w:rPr>
        <w:t>Cele kształcenia i treści nauczania z zakresu edukacji seksualnej</w:t>
      </w:r>
      <w:r w:rsidR="007E4D90">
        <w:rPr>
          <w:rFonts w:eastAsia="Times New Roman"/>
        </w:rPr>
        <w:t>,</w:t>
      </w:r>
      <w:r w:rsidRPr="00FA09CC">
        <w:rPr>
          <w:rFonts w:eastAsia="Times New Roman"/>
        </w:rPr>
        <w:t xml:space="preserve"> uwzględnione w podstawie programowej realizowanej w szkołach, obejmują szerokie spektrum zagadnień, dlatego zawarto je w różnych obszarach edukacyjnych i przedmiotach (emocjonalny obszar rozwoju, przyroda, biologia, wychowanie fizyczne, wychowanie do życia w rodzinie). Wymagania szczegółowe</w:t>
      </w:r>
      <w:r w:rsidR="007E4D90">
        <w:rPr>
          <w:rFonts w:eastAsia="Times New Roman"/>
        </w:rPr>
        <w:t>, określone</w:t>
      </w:r>
      <w:r w:rsidRPr="00FA09CC">
        <w:rPr>
          <w:rFonts w:eastAsia="Times New Roman"/>
        </w:rPr>
        <w:t xml:space="preserve"> w podstawie programowej dla poszczególnych etapów edukacyjnych</w:t>
      </w:r>
      <w:r w:rsidR="007E4D90">
        <w:rPr>
          <w:rFonts w:eastAsia="Times New Roman"/>
        </w:rPr>
        <w:t>,</w:t>
      </w:r>
      <w:r w:rsidRPr="00FA09CC">
        <w:rPr>
          <w:rFonts w:eastAsia="Times New Roman"/>
        </w:rPr>
        <w:t xml:space="preserve"> odpowiadają wiekowi, możliwościom i potrzebom poznawczym uczniów. </w:t>
      </w:r>
    </w:p>
    <w:p w:rsidR="00595AE9" w:rsidRPr="00FA09CC" w:rsidRDefault="005A61AF" w:rsidP="0024594C">
      <w:pPr>
        <w:tabs>
          <w:tab w:val="left" w:pos="426"/>
        </w:tabs>
        <w:ind w:left="0" w:firstLine="0"/>
        <w:rPr>
          <w:rFonts w:eastAsia="Times New Roman"/>
        </w:rPr>
      </w:pPr>
      <w:r>
        <w:rPr>
          <w:rFonts w:eastAsia="Times New Roman"/>
        </w:rPr>
        <w:t>W</w:t>
      </w:r>
      <w:r w:rsidR="002B25F8" w:rsidRPr="00FA09CC">
        <w:rPr>
          <w:rFonts w:eastAsia="Times New Roman"/>
        </w:rPr>
        <w:t>ydaje się</w:t>
      </w:r>
      <w:r w:rsidR="001547AC" w:rsidRPr="00FA09CC">
        <w:rPr>
          <w:rFonts w:eastAsia="Times New Roman"/>
        </w:rPr>
        <w:t xml:space="preserve">, że nienależycie wyważone zostały </w:t>
      </w:r>
      <w:r w:rsidR="00EB3C06" w:rsidRPr="00FA09CC">
        <w:rPr>
          <w:rFonts w:eastAsia="Times New Roman"/>
        </w:rPr>
        <w:t xml:space="preserve">opinie </w:t>
      </w:r>
      <w:r w:rsidR="00A1218E" w:rsidRPr="00FA09CC">
        <w:rPr>
          <w:rFonts w:eastAsia="Times New Roman"/>
        </w:rPr>
        <w:t>przedstawion</w:t>
      </w:r>
      <w:r w:rsidR="001547AC" w:rsidRPr="00FA09CC">
        <w:rPr>
          <w:rFonts w:eastAsia="Times New Roman"/>
        </w:rPr>
        <w:t>e</w:t>
      </w:r>
      <w:r w:rsidR="008842B2" w:rsidRPr="00FA09CC">
        <w:rPr>
          <w:rFonts w:eastAsia="Times New Roman"/>
        </w:rPr>
        <w:t xml:space="preserve"> w raporcie. </w:t>
      </w:r>
      <w:r w:rsidR="00595AE9" w:rsidRPr="00FA09CC">
        <w:rPr>
          <w:rFonts w:eastAsia="Times New Roman"/>
        </w:rPr>
        <w:t xml:space="preserve">GREVIO </w:t>
      </w:r>
      <w:r w:rsidR="002B25F8" w:rsidRPr="00FA09CC">
        <w:rPr>
          <w:rFonts w:eastAsia="Times New Roman"/>
        </w:rPr>
        <w:t>wskazuje</w:t>
      </w:r>
      <w:r w:rsidR="00595AE9" w:rsidRPr="00FA09CC">
        <w:rPr>
          <w:rFonts w:eastAsia="Times New Roman"/>
        </w:rPr>
        <w:t>, ż</w:t>
      </w:r>
      <w:r w:rsidR="008842B2" w:rsidRPr="00FA09CC">
        <w:rPr>
          <w:rFonts w:eastAsia="Times New Roman"/>
        </w:rPr>
        <w:t>e</w:t>
      </w:r>
      <w:r w:rsidR="00595AE9" w:rsidRPr="00FA09CC">
        <w:rPr>
          <w:rFonts w:eastAsia="Times New Roman"/>
        </w:rPr>
        <w:t xml:space="preserve"> jedynie </w:t>
      </w:r>
      <w:r w:rsidR="008842B2" w:rsidRPr="00FA09CC">
        <w:rPr>
          <w:rFonts w:eastAsia="Times New Roman"/>
        </w:rPr>
        <w:t xml:space="preserve">nauczyciele, którzy wyrazili poparcie dla tzw. czarnego – proaborcyjnego protestu kobiet, </w:t>
      </w:r>
      <w:r w:rsidR="00595AE9" w:rsidRPr="00FA09CC">
        <w:rPr>
          <w:rFonts w:eastAsia="Times New Roman"/>
        </w:rPr>
        <w:t>mog</w:t>
      </w:r>
      <w:r w:rsidR="00EB3C06" w:rsidRPr="00FA09CC">
        <w:rPr>
          <w:rFonts w:eastAsia="Times New Roman"/>
        </w:rPr>
        <w:t>li</w:t>
      </w:r>
      <w:r w:rsidR="00595AE9" w:rsidRPr="00FA09CC">
        <w:rPr>
          <w:rFonts w:eastAsia="Times New Roman"/>
        </w:rPr>
        <w:t xml:space="preserve"> spotkać się z podjęciem w stosunku do nich </w:t>
      </w:r>
      <w:r w:rsidR="008842B2" w:rsidRPr="00FA09CC">
        <w:rPr>
          <w:rFonts w:eastAsia="Times New Roman"/>
        </w:rPr>
        <w:t xml:space="preserve">środków </w:t>
      </w:r>
      <w:r w:rsidR="00595AE9" w:rsidRPr="00FA09CC">
        <w:rPr>
          <w:rFonts w:eastAsia="Times New Roman"/>
        </w:rPr>
        <w:t>dyscyplinarn</w:t>
      </w:r>
      <w:r w:rsidR="008842B2" w:rsidRPr="00FA09CC">
        <w:rPr>
          <w:rFonts w:eastAsia="Times New Roman"/>
        </w:rPr>
        <w:t>ych</w:t>
      </w:r>
      <w:r w:rsidR="00595AE9" w:rsidRPr="00FA09CC">
        <w:rPr>
          <w:rFonts w:eastAsia="Times New Roman"/>
        </w:rPr>
        <w:t>. Należy zauważyć</w:t>
      </w:r>
      <w:r w:rsidR="002B25F8" w:rsidRPr="00FA09CC">
        <w:rPr>
          <w:rFonts w:eastAsia="Times New Roman"/>
        </w:rPr>
        <w:t xml:space="preserve"> jednak użycie </w:t>
      </w:r>
      <w:r w:rsidR="00A1218E" w:rsidRPr="00FA09CC">
        <w:rPr>
          <w:rFonts w:eastAsia="Times New Roman"/>
        </w:rPr>
        <w:t>poważn</w:t>
      </w:r>
      <w:r w:rsidR="002B25F8" w:rsidRPr="00FA09CC">
        <w:rPr>
          <w:rFonts w:eastAsia="Times New Roman"/>
        </w:rPr>
        <w:t>ych</w:t>
      </w:r>
      <w:r w:rsidR="00A1218E" w:rsidRPr="00FA09CC">
        <w:rPr>
          <w:rFonts w:eastAsia="Times New Roman"/>
        </w:rPr>
        <w:t xml:space="preserve"> środk</w:t>
      </w:r>
      <w:r w:rsidR="002B25F8" w:rsidRPr="00FA09CC">
        <w:rPr>
          <w:rFonts w:eastAsia="Times New Roman"/>
        </w:rPr>
        <w:t>ów</w:t>
      </w:r>
      <w:r w:rsidR="00A1218E" w:rsidRPr="00FA09CC">
        <w:rPr>
          <w:rFonts w:eastAsia="Times New Roman"/>
        </w:rPr>
        <w:t xml:space="preserve"> </w:t>
      </w:r>
      <w:r w:rsidR="00595AE9" w:rsidRPr="00FA09CC">
        <w:rPr>
          <w:rFonts w:eastAsia="Times New Roman"/>
        </w:rPr>
        <w:t>dyscyplin</w:t>
      </w:r>
      <w:r w:rsidR="00A1218E" w:rsidRPr="00FA09CC">
        <w:rPr>
          <w:rFonts w:eastAsia="Times New Roman"/>
        </w:rPr>
        <w:t>arn</w:t>
      </w:r>
      <w:r w:rsidR="002B25F8" w:rsidRPr="00FA09CC">
        <w:rPr>
          <w:rFonts w:eastAsia="Times New Roman"/>
        </w:rPr>
        <w:t>ych</w:t>
      </w:r>
      <w:r w:rsidR="008842B2" w:rsidRPr="00FA09CC">
        <w:rPr>
          <w:rFonts w:eastAsia="Times New Roman"/>
        </w:rPr>
        <w:t>, na przykład wobec</w:t>
      </w:r>
      <w:r w:rsidR="00595AE9" w:rsidRPr="00FA09CC">
        <w:rPr>
          <w:rFonts w:eastAsia="Times New Roman"/>
        </w:rPr>
        <w:t xml:space="preserve"> nauczyciela akademickiego, na jednym z polskich uniwersytetów</w:t>
      </w:r>
      <w:r w:rsidR="001547AC" w:rsidRPr="00FA09CC">
        <w:rPr>
          <w:rFonts w:eastAsia="Times New Roman"/>
        </w:rPr>
        <w:t xml:space="preserve"> </w:t>
      </w:r>
      <w:r w:rsidR="000A777E">
        <w:rPr>
          <w:rFonts w:eastAsia="Times New Roman"/>
        </w:rPr>
        <w:t>–</w:t>
      </w:r>
      <w:r w:rsidR="008842B2" w:rsidRPr="00FA09CC">
        <w:rPr>
          <w:rFonts w:eastAsia="Times New Roman"/>
        </w:rPr>
        <w:t xml:space="preserve"> </w:t>
      </w:r>
      <w:r w:rsidR="00595AE9" w:rsidRPr="00FA09CC">
        <w:rPr>
          <w:rFonts w:eastAsia="Times New Roman"/>
        </w:rPr>
        <w:t>doświadczon</w:t>
      </w:r>
      <w:r w:rsidR="008842B2" w:rsidRPr="00FA09CC">
        <w:rPr>
          <w:rFonts w:eastAsia="Times New Roman"/>
        </w:rPr>
        <w:t>y</w:t>
      </w:r>
      <w:r w:rsidR="000A777E">
        <w:rPr>
          <w:rFonts w:eastAsia="Times New Roman"/>
        </w:rPr>
        <w:t xml:space="preserve"> </w:t>
      </w:r>
      <w:r w:rsidR="008842B2" w:rsidRPr="00FA09CC">
        <w:rPr>
          <w:rFonts w:eastAsia="Times New Roman"/>
        </w:rPr>
        <w:t>pracownik naukowy</w:t>
      </w:r>
      <w:r w:rsidR="001547AC" w:rsidRPr="00FA09CC">
        <w:rPr>
          <w:rFonts w:eastAsia="Times New Roman"/>
        </w:rPr>
        <w:t xml:space="preserve">, </w:t>
      </w:r>
      <w:r w:rsidR="002B25F8" w:rsidRPr="00FA09CC">
        <w:rPr>
          <w:rFonts w:eastAsia="Times New Roman"/>
        </w:rPr>
        <w:t>z tytułem</w:t>
      </w:r>
      <w:r w:rsidR="008842B2" w:rsidRPr="00FA09CC">
        <w:rPr>
          <w:rFonts w:eastAsia="Times New Roman"/>
        </w:rPr>
        <w:t xml:space="preserve"> </w:t>
      </w:r>
      <w:r w:rsidR="00595AE9" w:rsidRPr="00FA09CC">
        <w:rPr>
          <w:rFonts w:eastAsia="Times New Roman"/>
        </w:rPr>
        <w:t>profesor</w:t>
      </w:r>
      <w:r w:rsidR="002B25F8" w:rsidRPr="00FA09CC">
        <w:rPr>
          <w:rFonts w:eastAsia="Times New Roman"/>
        </w:rPr>
        <w:t>a</w:t>
      </w:r>
      <w:r w:rsidR="001547AC" w:rsidRPr="00FA09CC">
        <w:rPr>
          <w:rFonts w:eastAsia="Times New Roman"/>
        </w:rPr>
        <w:t xml:space="preserve">, </w:t>
      </w:r>
      <w:r w:rsidR="00595AE9" w:rsidRPr="00FA09CC">
        <w:rPr>
          <w:rFonts w:eastAsia="Times New Roman"/>
        </w:rPr>
        <w:t>został</w:t>
      </w:r>
      <w:r w:rsidR="00A1218E" w:rsidRPr="00FA09CC">
        <w:rPr>
          <w:rFonts w:eastAsia="Times New Roman"/>
        </w:rPr>
        <w:t xml:space="preserve"> </w:t>
      </w:r>
      <w:r w:rsidR="00595AE9" w:rsidRPr="00FA09CC">
        <w:rPr>
          <w:rFonts w:eastAsia="Times New Roman"/>
        </w:rPr>
        <w:t>oskarżon</w:t>
      </w:r>
      <w:r w:rsidR="002B25F8" w:rsidRPr="00FA09CC">
        <w:rPr>
          <w:rFonts w:eastAsia="Times New Roman"/>
        </w:rPr>
        <w:t>y</w:t>
      </w:r>
      <w:r w:rsidR="00595AE9" w:rsidRPr="00FA09CC">
        <w:rPr>
          <w:rFonts w:eastAsia="Times New Roman"/>
        </w:rPr>
        <w:t xml:space="preserve"> przez studentów </w:t>
      </w:r>
      <w:r w:rsidR="008350C3">
        <w:rPr>
          <w:rFonts w:eastAsia="Times New Roman"/>
        </w:rPr>
        <w:br/>
      </w:r>
      <w:r w:rsidR="00595AE9" w:rsidRPr="00FA09CC">
        <w:rPr>
          <w:rFonts w:eastAsia="Times New Roman"/>
        </w:rPr>
        <w:t xml:space="preserve">o preferowanie podejścia naukowego niezgodnego z </w:t>
      </w:r>
      <w:r w:rsidR="002B25F8" w:rsidRPr="00FA09CC">
        <w:rPr>
          <w:rFonts w:eastAsia="Times New Roman"/>
        </w:rPr>
        <w:t>preferencjami i opiniami studentów.</w:t>
      </w:r>
      <w:r w:rsidR="00595AE9" w:rsidRPr="00FA09CC">
        <w:rPr>
          <w:rFonts w:eastAsia="Times New Roman"/>
        </w:rPr>
        <w:t xml:space="preserve"> </w:t>
      </w:r>
      <w:r w:rsidR="008350C3">
        <w:rPr>
          <w:rFonts w:eastAsia="Times New Roman"/>
        </w:rPr>
        <w:br/>
      </w:r>
      <w:r w:rsidR="008842B2" w:rsidRPr="00FA09CC">
        <w:rPr>
          <w:rFonts w:eastAsia="Times New Roman"/>
        </w:rPr>
        <w:lastRenderedPageBreak/>
        <w:t xml:space="preserve">W przypadku tym </w:t>
      </w:r>
      <w:r w:rsidR="00103F9E" w:rsidRPr="00FA09CC">
        <w:rPr>
          <w:rFonts w:eastAsia="Times New Roman"/>
        </w:rPr>
        <w:t>zachodzi podejrzenie wystąpienia</w:t>
      </w:r>
      <w:r w:rsidR="008842B2" w:rsidRPr="00FA09CC">
        <w:rPr>
          <w:rFonts w:eastAsia="Times New Roman"/>
        </w:rPr>
        <w:t xml:space="preserve"> okoliczności heterofobicznych</w:t>
      </w:r>
      <w:r w:rsidR="001302A9">
        <w:rPr>
          <w:rFonts w:eastAsia="Times New Roman"/>
        </w:rPr>
        <w:t>.</w:t>
      </w:r>
      <w:r w:rsidR="008842B2" w:rsidRPr="00FA09CC">
        <w:rPr>
          <w:rFonts w:eastAsia="Times New Roman"/>
        </w:rPr>
        <w:t xml:space="preserve"> </w:t>
      </w:r>
      <w:r w:rsidR="00595AE9" w:rsidRPr="00FA09CC">
        <w:rPr>
          <w:rFonts w:eastAsia="Times New Roman"/>
        </w:rPr>
        <w:t>Tego typu zachowania dyskryminujące</w:t>
      </w:r>
      <w:r w:rsidR="001302A9">
        <w:rPr>
          <w:rFonts w:eastAsia="Times New Roman"/>
        </w:rPr>
        <w:t xml:space="preserve"> nie zostały odnotowane w raporcie</w:t>
      </w:r>
      <w:r w:rsidR="00595AE9" w:rsidRPr="00FA09CC">
        <w:rPr>
          <w:rFonts w:eastAsia="Times New Roman"/>
        </w:rPr>
        <w:t>.</w:t>
      </w:r>
    </w:p>
    <w:p w:rsidR="00536466" w:rsidRPr="00FA09CC" w:rsidRDefault="00536466" w:rsidP="0024594C">
      <w:pPr>
        <w:ind w:left="0" w:firstLine="0"/>
        <w:rPr>
          <w:b/>
          <w:i/>
          <w:color w:val="000000" w:themeColor="text1"/>
        </w:rPr>
      </w:pPr>
    </w:p>
    <w:p w:rsidR="00D04705" w:rsidRPr="00FA09CC" w:rsidRDefault="000A0A05" w:rsidP="0024594C">
      <w:pPr>
        <w:ind w:left="0" w:firstLine="0"/>
        <w:rPr>
          <w:b/>
          <w:color w:val="000000" w:themeColor="text1"/>
        </w:rPr>
      </w:pPr>
      <w:r w:rsidRPr="00FA09CC">
        <w:rPr>
          <w:b/>
          <w:color w:val="000000" w:themeColor="text1"/>
        </w:rPr>
        <w:t>Paragraf 84 – potrzeba szerszego podejmowania kwestii nierówności płci, prowadzącej do narażenia zdrowia</w:t>
      </w:r>
    </w:p>
    <w:p w:rsidR="00FB0AB4" w:rsidRPr="00FA09CC" w:rsidRDefault="000A0A05" w:rsidP="0024594C">
      <w:pPr>
        <w:ind w:left="0" w:firstLine="0"/>
        <w:rPr>
          <w:color w:val="000000" w:themeColor="text1"/>
        </w:rPr>
      </w:pPr>
      <w:r w:rsidRPr="00FA09CC">
        <w:rPr>
          <w:color w:val="000000" w:themeColor="text1"/>
        </w:rPr>
        <w:t xml:space="preserve">W Polsce nie </w:t>
      </w:r>
      <w:r w:rsidR="003073C1">
        <w:rPr>
          <w:color w:val="000000" w:themeColor="text1"/>
        </w:rPr>
        <w:t xml:space="preserve">stwierdzono występowania </w:t>
      </w:r>
      <w:r w:rsidRPr="00FA09CC">
        <w:rPr>
          <w:color w:val="000000" w:themeColor="text1"/>
        </w:rPr>
        <w:t>praktyk</w:t>
      </w:r>
      <w:r w:rsidR="003073C1">
        <w:rPr>
          <w:color w:val="000000" w:themeColor="text1"/>
        </w:rPr>
        <w:t>i</w:t>
      </w:r>
      <w:r w:rsidRPr="00FA09CC">
        <w:rPr>
          <w:color w:val="000000" w:themeColor="text1"/>
        </w:rPr>
        <w:t xml:space="preserve"> okaleczania </w:t>
      </w:r>
      <w:r w:rsidR="003073C1">
        <w:rPr>
          <w:color w:val="000000" w:themeColor="text1"/>
        </w:rPr>
        <w:t xml:space="preserve">żeńskich </w:t>
      </w:r>
      <w:r w:rsidRPr="00FA09CC">
        <w:rPr>
          <w:color w:val="000000" w:themeColor="text1"/>
        </w:rPr>
        <w:t xml:space="preserve">narządów płciowych. </w:t>
      </w:r>
    </w:p>
    <w:p w:rsidR="003235F2" w:rsidRPr="00FA09CC" w:rsidRDefault="000A0A05" w:rsidP="0024594C">
      <w:pPr>
        <w:ind w:left="0" w:firstLine="0"/>
        <w:rPr>
          <w:color w:val="000000" w:themeColor="text1"/>
        </w:rPr>
      </w:pPr>
      <w:r w:rsidRPr="00FA09CC">
        <w:rPr>
          <w:color w:val="000000" w:themeColor="text1"/>
        </w:rPr>
        <w:t xml:space="preserve">Przypadki przymusowego małżeństwa zdarzają się wśród romskiej grupy etnicznej. Grupa ta, dzięki realizacji od lat programu integracji społeczności romskiej w Polsce, jest coraz lepiej zintegrowana kulturowo, niemniej praktyka przedwczesnych małżeństw </w:t>
      </w:r>
      <w:r w:rsidR="000A777E">
        <w:rPr>
          <w:color w:val="000000" w:themeColor="text1"/>
        </w:rPr>
        <w:t>–</w:t>
      </w:r>
      <w:r w:rsidRPr="00FA09CC">
        <w:rPr>
          <w:color w:val="000000" w:themeColor="text1"/>
        </w:rPr>
        <w:t xml:space="preserve"> tradycyjnych </w:t>
      </w:r>
      <w:r w:rsidR="008350C3">
        <w:rPr>
          <w:color w:val="000000" w:themeColor="text1"/>
        </w:rPr>
        <w:br/>
      </w:r>
      <w:r w:rsidRPr="00FA09CC">
        <w:rPr>
          <w:color w:val="000000" w:themeColor="text1"/>
        </w:rPr>
        <w:t xml:space="preserve">i sprzecznych z porządkiem prawnym </w:t>
      </w:r>
      <w:r w:rsidR="000A777E">
        <w:rPr>
          <w:color w:val="000000" w:themeColor="text1"/>
        </w:rPr>
        <w:t>–</w:t>
      </w:r>
      <w:r w:rsidRPr="00FA09CC">
        <w:rPr>
          <w:color w:val="000000" w:themeColor="text1"/>
        </w:rPr>
        <w:t xml:space="preserve"> jest</w:t>
      </w:r>
      <w:r w:rsidR="000A777E">
        <w:rPr>
          <w:color w:val="000000" w:themeColor="text1"/>
        </w:rPr>
        <w:t xml:space="preserve"> </w:t>
      </w:r>
      <w:r w:rsidRPr="00FA09CC">
        <w:rPr>
          <w:color w:val="000000" w:themeColor="text1"/>
        </w:rPr>
        <w:t xml:space="preserve">wciąż obecna. </w:t>
      </w:r>
    </w:p>
    <w:p w:rsidR="001D7AE6" w:rsidRPr="00FA09CC" w:rsidRDefault="000A0A05" w:rsidP="0024594C">
      <w:pPr>
        <w:ind w:left="0" w:firstLine="0"/>
        <w:rPr>
          <w:color w:val="000000" w:themeColor="text1"/>
        </w:rPr>
      </w:pPr>
      <w:r w:rsidRPr="00FA09CC">
        <w:rPr>
          <w:color w:val="000000" w:themeColor="text1"/>
        </w:rPr>
        <w:t xml:space="preserve">Wobec występowania różnych przejawów przemocy domowej, w ostatnim czasie zaostrzono przepisy </w:t>
      </w:r>
      <w:r w:rsidR="00513010">
        <w:rPr>
          <w:color w:val="000000" w:themeColor="text1"/>
        </w:rPr>
        <w:t>dotyczące</w:t>
      </w:r>
      <w:r w:rsidRPr="00FA09CC">
        <w:rPr>
          <w:color w:val="000000" w:themeColor="text1"/>
        </w:rPr>
        <w:t xml:space="preserve"> sprawców przemocy domowej, w tym wprowadzono rozwiązania umożliwiające natychmiastową izolację sprawcy od ofiary (</w:t>
      </w:r>
      <w:r w:rsidR="001109CF">
        <w:rPr>
          <w:color w:val="000000" w:themeColor="text1"/>
        </w:rPr>
        <w:t xml:space="preserve">tzw. </w:t>
      </w:r>
      <w:r w:rsidRPr="00FA09CC">
        <w:rPr>
          <w:color w:val="000000" w:themeColor="text1"/>
        </w:rPr>
        <w:t xml:space="preserve">ustawa antyprzemocowa). Te prawne regulacje przeciwdziałają kształtowaniu postaw, które potęgują narażenie kobiet </w:t>
      </w:r>
      <w:r w:rsidR="008350C3">
        <w:rPr>
          <w:color w:val="000000" w:themeColor="text1"/>
        </w:rPr>
        <w:br/>
      </w:r>
      <w:r w:rsidRPr="00FA09CC">
        <w:rPr>
          <w:color w:val="000000" w:themeColor="text1"/>
        </w:rPr>
        <w:t xml:space="preserve">i dziewcząt na przemoc. </w:t>
      </w:r>
    </w:p>
    <w:p w:rsidR="00E856FD" w:rsidRPr="00FA09CC" w:rsidRDefault="00E856FD" w:rsidP="0024594C">
      <w:pPr>
        <w:ind w:left="0" w:firstLine="0"/>
        <w:rPr>
          <w:color w:val="000000" w:themeColor="text1"/>
        </w:rPr>
      </w:pPr>
    </w:p>
    <w:p w:rsidR="001D7AE6" w:rsidRPr="00FA09CC" w:rsidRDefault="000A0A05" w:rsidP="0024594C">
      <w:pPr>
        <w:ind w:left="0" w:firstLine="0"/>
        <w:rPr>
          <w:b/>
          <w:color w:val="000000" w:themeColor="text1"/>
        </w:rPr>
      </w:pPr>
      <w:r w:rsidRPr="00FA09CC">
        <w:rPr>
          <w:b/>
          <w:color w:val="000000" w:themeColor="text1"/>
        </w:rPr>
        <w:t xml:space="preserve">Paragraf 84 – możliwy negatywny wpływ projektowanych rozwiązań w zakresie kryminalizacji działań polegających na wspieraniu lub pochwalaniu stosunków seksualnych małoletnich lub </w:t>
      </w:r>
      <w:r w:rsidR="00900A0E">
        <w:rPr>
          <w:b/>
          <w:color w:val="000000" w:themeColor="text1"/>
        </w:rPr>
        <w:t xml:space="preserve">ich </w:t>
      </w:r>
      <w:r w:rsidRPr="00FA09CC">
        <w:rPr>
          <w:b/>
          <w:color w:val="000000" w:themeColor="text1"/>
        </w:rPr>
        <w:t>innej aktywności seksualnej</w:t>
      </w:r>
    </w:p>
    <w:p w:rsidR="00D04705" w:rsidRPr="00FA09CC" w:rsidRDefault="00EB3C06" w:rsidP="0024594C">
      <w:pPr>
        <w:ind w:left="0" w:firstLine="0"/>
        <w:rPr>
          <w:color w:val="000000" w:themeColor="text1"/>
        </w:rPr>
      </w:pPr>
      <w:r w:rsidRPr="00FA09CC">
        <w:rPr>
          <w:color w:val="000000" w:themeColor="text1"/>
        </w:rPr>
        <w:t>W raporcie n</w:t>
      </w:r>
      <w:r w:rsidR="000A0A05" w:rsidRPr="00FA09CC">
        <w:rPr>
          <w:color w:val="000000" w:themeColor="text1"/>
        </w:rPr>
        <w:t xml:space="preserve">ie zostało przedstawione uzasadnienie wniosku, jakoby penalizacja działań „promujących lub pochwalających stosunek seksualny małoletniego lub inną jego aktywność seksualną”, mogła mieć szkodliwy wpływ na zdolność prowadzenia działań podnoszących świadomość na temat przemocy wobec kobiet, w szczególności przemocy seksualnej. </w:t>
      </w:r>
    </w:p>
    <w:p w:rsidR="00660C60" w:rsidRPr="00FA09CC" w:rsidRDefault="000A0A05" w:rsidP="0024594C">
      <w:pPr>
        <w:ind w:left="0" w:firstLine="0"/>
        <w:rPr>
          <w:color w:val="000000" w:themeColor="text1"/>
        </w:rPr>
      </w:pPr>
      <w:r w:rsidRPr="00FA09CC">
        <w:rPr>
          <w:color w:val="000000" w:themeColor="text1"/>
        </w:rPr>
        <w:t>Polska stoi na stanowisku, że nie tylko reagowanie na zjawisk</w:t>
      </w:r>
      <w:r w:rsidR="00513010">
        <w:rPr>
          <w:color w:val="000000" w:themeColor="text1"/>
        </w:rPr>
        <w:t>o</w:t>
      </w:r>
      <w:r w:rsidRPr="00FA09CC">
        <w:rPr>
          <w:color w:val="000000" w:themeColor="text1"/>
        </w:rPr>
        <w:t xml:space="preserve"> przemocy, ale także skuteczne zapobieganie </w:t>
      </w:r>
      <w:r w:rsidR="00513010">
        <w:rPr>
          <w:color w:val="000000" w:themeColor="text1"/>
        </w:rPr>
        <w:t xml:space="preserve">mu </w:t>
      </w:r>
      <w:r w:rsidRPr="00FA09CC">
        <w:rPr>
          <w:color w:val="000000" w:themeColor="text1"/>
        </w:rPr>
        <w:t xml:space="preserve">jest priorytetem w przeciwdziałaniu przemocy. Budowanie postaw antydyskryminacyjnych i tolerancyjnych, opartych na przesłance godności osobistej każdego człowieka, musi objąć przede wszystkim młode pokolenie. Istotnym elementem tego procesu edukacji </w:t>
      </w:r>
      <w:r w:rsidR="00EB3C06" w:rsidRPr="00FA09CC">
        <w:rPr>
          <w:color w:val="000000" w:themeColor="text1"/>
        </w:rPr>
        <w:t>jest</w:t>
      </w:r>
      <w:r w:rsidRPr="00FA09CC">
        <w:rPr>
          <w:color w:val="000000" w:themeColor="text1"/>
        </w:rPr>
        <w:t xml:space="preserve"> szkoła, jednakże z zachowaniem prawa rodziców do wychowywania dzieci zgodnie z własnymi przekonaniami. Permisywna edukacja seksualna nie wpisuje się w to stanowisko gdyż</w:t>
      </w:r>
      <w:r w:rsidR="00EB3C06" w:rsidRPr="00FA09CC">
        <w:rPr>
          <w:color w:val="000000" w:themeColor="text1"/>
        </w:rPr>
        <w:t>,</w:t>
      </w:r>
      <w:r w:rsidRPr="00FA09CC">
        <w:rPr>
          <w:color w:val="000000" w:themeColor="text1"/>
        </w:rPr>
        <w:t xml:space="preserve"> w praktyce</w:t>
      </w:r>
      <w:r w:rsidR="00EB3C06" w:rsidRPr="00FA09CC">
        <w:rPr>
          <w:color w:val="000000" w:themeColor="text1"/>
        </w:rPr>
        <w:t>,</w:t>
      </w:r>
      <w:r w:rsidRPr="00FA09CC">
        <w:rPr>
          <w:color w:val="000000" w:themeColor="text1"/>
        </w:rPr>
        <w:t xml:space="preserve"> zawiera treści, które ograniczają tożsamość człowieka do aspektów seksualnych, pomijając kompleksowość osobowości ludzkiej oraz relacji międzyludzkich. </w:t>
      </w:r>
      <w:r w:rsidR="00EB3C06" w:rsidRPr="00FA09CC">
        <w:rPr>
          <w:color w:val="000000" w:themeColor="text1"/>
        </w:rPr>
        <w:t xml:space="preserve">Treść </w:t>
      </w:r>
      <w:r w:rsidRPr="00FA09CC">
        <w:rPr>
          <w:color w:val="000000" w:themeColor="text1"/>
        </w:rPr>
        <w:t>edukacji seksualnej wchodzi również w zakres prywatności osób i</w:t>
      </w:r>
      <w:r w:rsidR="00EB3C06" w:rsidRPr="00FA09CC">
        <w:rPr>
          <w:color w:val="000000" w:themeColor="text1"/>
        </w:rPr>
        <w:t>,</w:t>
      </w:r>
      <w:r w:rsidRPr="00FA09CC">
        <w:rPr>
          <w:color w:val="000000" w:themeColor="text1"/>
        </w:rPr>
        <w:t xml:space="preserve"> </w:t>
      </w:r>
      <w:r w:rsidR="008350C3">
        <w:rPr>
          <w:color w:val="000000" w:themeColor="text1"/>
        </w:rPr>
        <w:br/>
      </w:r>
      <w:r w:rsidRPr="00FA09CC">
        <w:rPr>
          <w:color w:val="000000" w:themeColor="text1"/>
        </w:rPr>
        <w:t>z tego powodu</w:t>
      </w:r>
      <w:r w:rsidR="00EB3C06" w:rsidRPr="00FA09CC">
        <w:rPr>
          <w:color w:val="000000" w:themeColor="text1"/>
        </w:rPr>
        <w:t>, edukacja seksualna</w:t>
      </w:r>
      <w:r w:rsidRPr="00FA09CC">
        <w:rPr>
          <w:color w:val="000000" w:themeColor="text1"/>
        </w:rPr>
        <w:t xml:space="preserve"> musi się odbywać </w:t>
      </w:r>
      <w:r w:rsidR="00EB3C06" w:rsidRPr="00FA09CC">
        <w:rPr>
          <w:color w:val="000000" w:themeColor="text1"/>
        </w:rPr>
        <w:t xml:space="preserve">z </w:t>
      </w:r>
      <w:r w:rsidRPr="00FA09CC">
        <w:rPr>
          <w:color w:val="000000" w:themeColor="text1"/>
        </w:rPr>
        <w:t>poszanowanie</w:t>
      </w:r>
      <w:r w:rsidR="00EB3C06" w:rsidRPr="00FA09CC">
        <w:rPr>
          <w:color w:val="000000" w:themeColor="text1"/>
        </w:rPr>
        <w:t>m</w:t>
      </w:r>
      <w:r w:rsidRPr="00FA09CC">
        <w:rPr>
          <w:color w:val="000000" w:themeColor="text1"/>
        </w:rPr>
        <w:t xml:space="preserve"> prawa rodziców do wychowywania dzieci w zgodzie z </w:t>
      </w:r>
      <w:r w:rsidR="00433AF6" w:rsidRPr="00FA09CC">
        <w:rPr>
          <w:color w:val="000000" w:themeColor="text1"/>
        </w:rPr>
        <w:t xml:space="preserve">ich </w:t>
      </w:r>
      <w:r w:rsidRPr="00FA09CC">
        <w:rPr>
          <w:color w:val="000000" w:themeColor="text1"/>
        </w:rPr>
        <w:t xml:space="preserve">poglądami i sumieniem. </w:t>
      </w:r>
    </w:p>
    <w:p w:rsidR="00EA00EF" w:rsidRPr="00FA09CC" w:rsidRDefault="00EA00EF" w:rsidP="0024594C">
      <w:pPr>
        <w:ind w:left="0" w:firstLine="0"/>
        <w:rPr>
          <w:color w:val="000000" w:themeColor="text1"/>
        </w:rPr>
      </w:pPr>
    </w:p>
    <w:p w:rsidR="00D04705" w:rsidRPr="00FA09CC" w:rsidRDefault="000A0A05" w:rsidP="0024594C">
      <w:pPr>
        <w:pStyle w:val="menfont"/>
        <w:jc w:val="both"/>
        <w:rPr>
          <w:rFonts w:ascii="Times New Roman" w:hAnsi="Times New Roman" w:cs="Times New Roman"/>
          <w:b/>
          <w:color w:val="000000" w:themeColor="text1"/>
        </w:rPr>
      </w:pPr>
      <w:r w:rsidRPr="00FA09CC">
        <w:rPr>
          <w:rFonts w:ascii="Times New Roman" w:hAnsi="Times New Roman" w:cs="Times New Roman"/>
          <w:b/>
          <w:color w:val="000000" w:themeColor="text1"/>
        </w:rPr>
        <w:t>Paragraf 88 – uwzględni</w:t>
      </w:r>
      <w:r w:rsidR="007E4D90">
        <w:rPr>
          <w:rFonts w:ascii="Times New Roman" w:hAnsi="Times New Roman" w:cs="Times New Roman"/>
          <w:b/>
          <w:color w:val="000000" w:themeColor="text1"/>
        </w:rPr>
        <w:t>a</w:t>
      </w:r>
      <w:r w:rsidRPr="00FA09CC">
        <w:rPr>
          <w:rFonts w:ascii="Times New Roman" w:hAnsi="Times New Roman" w:cs="Times New Roman"/>
          <w:b/>
          <w:color w:val="000000" w:themeColor="text1"/>
        </w:rPr>
        <w:t>nie w programach nauczania, podręcznikach i materiałach dydaktycznych określonych treści</w:t>
      </w:r>
    </w:p>
    <w:p w:rsidR="00D04705" w:rsidRPr="00FA09CC" w:rsidRDefault="002C615F" w:rsidP="0024594C">
      <w:pPr>
        <w:pStyle w:val="menfont"/>
        <w:jc w:val="both"/>
        <w:rPr>
          <w:rFonts w:ascii="Times New Roman" w:hAnsi="Times New Roman" w:cs="Times New Roman"/>
          <w:color w:val="000000" w:themeColor="text1"/>
        </w:rPr>
      </w:pPr>
      <w:r w:rsidRPr="00FA09CC">
        <w:rPr>
          <w:rFonts w:ascii="Times New Roman" w:hAnsi="Times New Roman" w:cs="Times New Roman"/>
          <w:color w:val="000000" w:themeColor="text1"/>
        </w:rPr>
        <w:t>D</w:t>
      </w:r>
      <w:r w:rsidR="00FF7883" w:rsidRPr="00FA09CC">
        <w:rPr>
          <w:rFonts w:ascii="Times New Roman" w:hAnsi="Times New Roman" w:cs="Times New Roman"/>
          <w:color w:val="000000" w:themeColor="text1"/>
        </w:rPr>
        <w:t xml:space="preserve">ziałania na rzecz mniejszości narodowych nie są objęte postanowieniami konwencji, zwłaszcza jej artykułem 14, </w:t>
      </w:r>
      <w:r w:rsidR="001C6767" w:rsidRPr="00FA09CC">
        <w:rPr>
          <w:rFonts w:ascii="Times New Roman" w:hAnsi="Times New Roman" w:cs="Times New Roman"/>
          <w:color w:val="000000" w:themeColor="text1"/>
        </w:rPr>
        <w:t xml:space="preserve">dlatego </w:t>
      </w:r>
      <w:r w:rsidR="00FF7883" w:rsidRPr="00FA09CC">
        <w:rPr>
          <w:rFonts w:ascii="Times New Roman" w:hAnsi="Times New Roman" w:cs="Times New Roman"/>
          <w:color w:val="000000" w:themeColor="text1"/>
        </w:rPr>
        <w:t xml:space="preserve">zalecanie podejmowania współpracy z organizacjami pozarządowymi zajmującymi się mniejszościami narodowymi </w:t>
      </w:r>
      <w:r w:rsidR="00103F9E" w:rsidRPr="00FA09CC">
        <w:rPr>
          <w:rFonts w:ascii="Times New Roman" w:hAnsi="Times New Roman" w:cs="Times New Roman"/>
          <w:color w:val="000000" w:themeColor="text1"/>
        </w:rPr>
        <w:t xml:space="preserve">nie </w:t>
      </w:r>
      <w:r w:rsidR="00433AF6" w:rsidRPr="00FA09CC">
        <w:rPr>
          <w:rFonts w:ascii="Times New Roman" w:hAnsi="Times New Roman" w:cs="Times New Roman"/>
          <w:color w:val="000000" w:themeColor="text1"/>
        </w:rPr>
        <w:t xml:space="preserve">wydaje się mieć </w:t>
      </w:r>
      <w:r w:rsidR="00263DA0">
        <w:rPr>
          <w:rFonts w:ascii="Times New Roman" w:hAnsi="Times New Roman" w:cs="Times New Roman"/>
          <w:color w:val="000000" w:themeColor="text1"/>
        </w:rPr>
        <w:t xml:space="preserve">wystarczających </w:t>
      </w:r>
      <w:r w:rsidR="00103F9E" w:rsidRPr="00FA09CC">
        <w:rPr>
          <w:rFonts w:ascii="Times New Roman" w:hAnsi="Times New Roman" w:cs="Times New Roman"/>
          <w:color w:val="000000" w:themeColor="text1"/>
        </w:rPr>
        <w:t>podstaw</w:t>
      </w:r>
      <w:r w:rsidR="00FF7883" w:rsidRPr="00FA09CC">
        <w:rPr>
          <w:rFonts w:ascii="Times New Roman" w:hAnsi="Times New Roman" w:cs="Times New Roman"/>
          <w:color w:val="000000" w:themeColor="text1"/>
        </w:rPr>
        <w:t xml:space="preserve">. </w:t>
      </w:r>
    </w:p>
    <w:p w:rsidR="002137D7" w:rsidRPr="00FA09CC" w:rsidRDefault="002137D7" w:rsidP="0024594C">
      <w:pPr>
        <w:ind w:left="0"/>
        <w:rPr>
          <w:b/>
          <w:bCs/>
          <w:color w:val="000000" w:themeColor="text1"/>
        </w:rPr>
      </w:pPr>
    </w:p>
    <w:p w:rsidR="00F73DAC" w:rsidRPr="00FA09CC" w:rsidRDefault="000A0A05" w:rsidP="0024594C">
      <w:pPr>
        <w:pStyle w:val="Standard"/>
        <w:jc w:val="both"/>
        <w:rPr>
          <w:rFonts w:ascii="Times New Roman" w:hAnsi="Times New Roman" w:cs="Times New Roman"/>
          <w:b/>
          <w:bCs/>
          <w:color w:val="000000" w:themeColor="text1"/>
        </w:rPr>
      </w:pPr>
      <w:r w:rsidRPr="00FA09CC">
        <w:rPr>
          <w:rFonts w:ascii="Times New Roman" w:hAnsi="Times New Roman" w:cs="Times New Roman"/>
          <w:b/>
          <w:bCs/>
          <w:color w:val="000000" w:themeColor="text1"/>
        </w:rPr>
        <w:t>Paragraf 90 – ograniczony zasięg i przedmiot szkoleń dotyczących przemocy w rodzinie</w:t>
      </w:r>
    </w:p>
    <w:p w:rsidR="00F73DAC" w:rsidRPr="00FA09CC" w:rsidRDefault="000A0A05" w:rsidP="0024594C">
      <w:pPr>
        <w:pStyle w:val="Standard"/>
        <w:jc w:val="both"/>
        <w:rPr>
          <w:rFonts w:ascii="Times New Roman" w:hAnsi="Times New Roman" w:cs="Times New Roman"/>
          <w:bCs/>
          <w:color w:val="000000" w:themeColor="text1"/>
        </w:rPr>
      </w:pPr>
      <w:r w:rsidRPr="00FA09CC">
        <w:rPr>
          <w:rFonts w:ascii="Times New Roman" w:hAnsi="Times New Roman" w:cs="Times New Roman"/>
          <w:bCs/>
          <w:color w:val="000000" w:themeColor="text1"/>
        </w:rPr>
        <w:t xml:space="preserve">Podnoszenie kompetencji służb i przedstawicieli podmiotów realizujących działania z zakresu przeciwdziałania przemocy w rodzinie, w tym pracowników jednostek organizacyjnych pomocy społecznej, policjantów, przedstawicieli oświaty, przedstawicieli ochrony zdrowia, przedstawicieli wymiaru sprawiedliwości, przedstawicieli gminnych komisji rozwiązywania problemów alkoholowych, jest jednym z priorytetowych zadań w ramach </w:t>
      </w:r>
      <w:r w:rsidR="00513010">
        <w:rPr>
          <w:rFonts w:ascii="Times New Roman" w:hAnsi="Times New Roman" w:cs="Times New Roman"/>
          <w:bCs/>
          <w:color w:val="000000" w:themeColor="text1"/>
        </w:rPr>
        <w:t>k</w:t>
      </w:r>
      <w:r w:rsidRPr="00FA09CC">
        <w:rPr>
          <w:rFonts w:ascii="Times New Roman" w:hAnsi="Times New Roman" w:cs="Times New Roman"/>
          <w:bCs/>
          <w:color w:val="000000" w:themeColor="text1"/>
        </w:rPr>
        <w:t xml:space="preserve">rajowego </w:t>
      </w:r>
      <w:r w:rsidR="00513010">
        <w:rPr>
          <w:rFonts w:ascii="Times New Roman" w:hAnsi="Times New Roman" w:cs="Times New Roman"/>
          <w:bCs/>
          <w:color w:val="000000" w:themeColor="text1"/>
        </w:rPr>
        <w:t>p</w:t>
      </w:r>
      <w:r w:rsidRPr="00FA09CC">
        <w:rPr>
          <w:rFonts w:ascii="Times New Roman" w:hAnsi="Times New Roman" w:cs="Times New Roman"/>
          <w:bCs/>
          <w:color w:val="000000" w:themeColor="text1"/>
        </w:rPr>
        <w:t xml:space="preserve">rogramu </w:t>
      </w:r>
      <w:r w:rsidR="00513010">
        <w:rPr>
          <w:rFonts w:ascii="Times New Roman" w:hAnsi="Times New Roman" w:cs="Times New Roman"/>
          <w:bCs/>
          <w:color w:val="000000" w:themeColor="text1"/>
        </w:rPr>
        <w:t>p</w:t>
      </w:r>
      <w:r w:rsidRPr="00FA09CC">
        <w:rPr>
          <w:rFonts w:ascii="Times New Roman" w:hAnsi="Times New Roman" w:cs="Times New Roman"/>
          <w:bCs/>
          <w:color w:val="000000" w:themeColor="text1"/>
        </w:rPr>
        <w:t xml:space="preserve">rzemocy w </w:t>
      </w:r>
      <w:r w:rsidR="00513010">
        <w:rPr>
          <w:rFonts w:ascii="Times New Roman" w:hAnsi="Times New Roman" w:cs="Times New Roman"/>
          <w:bCs/>
          <w:color w:val="000000" w:themeColor="text1"/>
        </w:rPr>
        <w:t>r</w:t>
      </w:r>
      <w:r w:rsidRPr="00FA09CC">
        <w:rPr>
          <w:rFonts w:ascii="Times New Roman" w:hAnsi="Times New Roman" w:cs="Times New Roman"/>
          <w:bCs/>
          <w:color w:val="000000" w:themeColor="text1"/>
        </w:rPr>
        <w:t>odzinie. Szkolenia te dotyczą głównie:</w:t>
      </w:r>
    </w:p>
    <w:p w:rsidR="00F73DAC" w:rsidRPr="00FA09CC" w:rsidRDefault="000A0A05" w:rsidP="0024594C">
      <w:pPr>
        <w:pStyle w:val="Standard"/>
        <w:numPr>
          <w:ilvl w:val="0"/>
          <w:numId w:val="24"/>
        </w:numPr>
        <w:jc w:val="both"/>
        <w:rPr>
          <w:rFonts w:ascii="Times New Roman" w:hAnsi="Times New Roman" w:cs="Times New Roman"/>
          <w:bCs/>
          <w:color w:val="000000" w:themeColor="text1"/>
        </w:rPr>
      </w:pPr>
      <w:r w:rsidRPr="00FA09CC">
        <w:rPr>
          <w:rFonts w:ascii="Times New Roman" w:hAnsi="Times New Roman" w:cs="Times New Roman"/>
          <w:bCs/>
          <w:color w:val="000000" w:themeColor="text1"/>
        </w:rPr>
        <w:lastRenderedPageBreak/>
        <w:t>budowania lokalnych systemów przeciwdziałania przemocy</w:t>
      </w:r>
      <w:r w:rsidR="007E4D90">
        <w:rPr>
          <w:rFonts w:ascii="Times New Roman" w:hAnsi="Times New Roman" w:cs="Times New Roman"/>
          <w:bCs/>
          <w:color w:val="000000" w:themeColor="text1"/>
        </w:rPr>
        <w:t>,</w:t>
      </w:r>
      <w:r w:rsidRPr="00FA09CC">
        <w:rPr>
          <w:rFonts w:ascii="Times New Roman" w:hAnsi="Times New Roman" w:cs="Times New Roman"/>
          <w:bCs/>
          <w:color w:val="000000" w:themeColor="text1"/>
        </w:rPr>
        <w:t xml:space="preserve"> w oparciu o działania zespołów interdyscyplinarnych,</w:t>
      </w:r>
    </w:p>
    <w:p w:rsidR="00F73E71" w:rsidRPr="00FA09CC" w:rsidRDefault="000A0A05" w:rsidP="0024594C">
      <w:pPr>
        <w:pStyle w:val="Standard"/>
        <w:numPr>
          <w:ilvl w:val="0"/>
          <w:numId w:val="41"/>
        </w:numPr>
        <w:jc w:val="both"/>
        <w:rPr>
          <w:rFonts w:ascii="Times New Roman" w:hAnsi="Times New Roman" w:cs="Times New Roman"/>
          <w:bCs/>
          <w:color w:val="000000" w:themeColor="text1"/>
        </w:rPr>
      </w:pPr>
      <w:r w:rsidRPr="00FA09CC">
        <w:rPr>
          <w:rFonts w:ascii="Times New Roman" w:hAnsi="Times New Roman" w:cs="Times New Roman"/>
          <w:bCs/>
          <w:color w:val="000000" w:themeColor="text1"/>
        </w:rPr>
        <w:t>zagadnień takich jak realizacja programów oddziaływań korekcyjno-edukacyjnych wobec osób stosujących przemoc, mediacja, pomoc osobom pokrzywdzonym, praca z rodziną wieloproblemową, praca z dzieckiem krzywdzonym, praca z osobami doznającymi przemocy, diagnozowanie przemocy, procedura „Niebieskiej Karty”, prawne aspekty przeciwdziałania przemocy.</w:t>
      </w:r>
    </w:p>
    <w:p w:rsidR="00CA5A53" w:rsidRPr="00FA09CC" w:rsidRDefault="00CA5A53" w:rsidP="0024594C">
      <w:pPr>
        <w:pStyle w:val="Standard"/>
        <w:jc w:val="both"/>
        <w:rPr>
          <w:rFonts w:ascii="Times New Roman" w:hAnsi="Times New Roman" w:cs="Times New Roman"/>
          <w:color w:val="000000"/>
        </w:rPr>
      </w:pPr>
      <w:r w:rsidRPr="00FA09CC">
        <w:rPr>
          <w:rFonts w:ascii="Times New Roman" w:hAnsi="Times New Roman" w:cs="Times New Roman"/>
          <w:color w:val="000000"/>
        </w:rPr>
        <w:t xml:space="preserve">Współfinansowany ze środków norweskich projekt "Przeciwdziałanie przemocy wobec osób starszych i niepełnosprawnych" (2020-2024) przewiduje szkolenia profesjonalistów realizujących zadania w obszarze przeciwdziałania przemocy, na poziomie lokalnym, </w:t>
      </w:r>
      <w:r w:rsidR="008350C3">
        <w:rPr>
          <w:rFonts w:ascii="Times New Roman" w:hAnsi="Times New Roman" w:cs="Times New Roman"/>
          <w:color w:val="000000"/>
        </w:rPr>
        <w:br/>
      </w:r>
      <w:r w:rsidRPr="00FA09CC">
        <w:rPr>
          <w:rFonts w:ascii="Times New Roman" w:hAnsi="Times New Roman" w:cs="Times New Roman"/>
          <w:color w:val="000000"/>
        </w:rPr>
        <w:t xml:space="preserve">w szczególności pracowników „pierwszego kontaktu”. Głównym celem projektu jest poprawa funkcjonowania systemu przeciwdziałania przemocy wobec osób starszych </w:t>
      </w:r>
      <w:r w:rsidR="008350C3">
        <w:rPr>
          <w:rFonts w:ascii="Times New Roman" w:hAnsi="Times New Roman" w:cs="Times New Roman"/>
          <w:color w:val="000000"/>
        </w:rPr>
        <w:br/>
      </w:r>
      <w:r w:rsidRPr="00FA09CC">
        <w:rPr>
          <w:rFonts w:ascii="Times New Roman" w:hAnsi="Times New Roman" w:cs="Times New Roman"/>
          <w:color w:val="000000"/>
        </w:rPr>
        <w:t>i niepełnosprawnych.</w:t>
      </w:r>
    </w:p>
    <w:p w:rsidR="001B21AF" w:rsidRPr="00FA09CC" w:rsidRDefault="001B21AF" w:rsidP="0024594C">
      <w:pPr>
        <w:ind w:left="0" w:firstLine="0"/>
        <w:rPr>
          <w:b/>
          <w:color w:val="000000" w:themeColor="text1"/>
        </w:rPr>
      </w:pPr>
    </w:p>
    <w:p w:rsidR="00EF50BD" w:rsidRPr="00FA09CC" w:rsidRDefault="000A0A05" w:rsidP="0024594C">
      <w:pPr>
        <w:ind w:left="0" w:firstLine="0"/>
        <w:rPr>
          <w:b/>
          <w:color w:val="000000" w:themeColor="text1"/>
        </w:rPr>
      </w:pPr>
      <w:r w:rsidRPr="00FA09CC">
        <w:rPr>
          <w:b/>
          <w:color w:val="000000" w:themeColor="text1"/>
        </w:rPr>
        <w:t>Paragrafy 93 i 97-98 – szkolenia profesjonalistów</w:t>
      </w:r>
    </w:p>
    <w:p w:rsidR="005017F1" w:rsidRPr="00FA09CC" w:rsidRDefault="005017F1" w:rsidP="0024594C">
      <w:pPr>
        <w:ind w:left="0" w:firstLine="0"/>
        <w:rPr>
          <w:color w:val="000000" w:themeColor="text1"/>
        </w:rPr>
      </w:pPr>
      <w:r w:rsidRPr="00FA09CC">
        <w:rPr>
          <w:color w:val="000000" w:themeColor="text1"/>
        </w:rPr>
        <w:t>Zawarte w rapor</w:t>
      </w:r>
      <w:r w:rsidR="00B37B25" w:rsidRPr="00FA09CC">
        <w:rPr>
          <w:color w:val="000000" w:themeColor="text1"/>
        </w:rPr>
        <w:t>cie</w:t>
      </w:r>
      <w:r w:rsidRPr="00FA09CC">
        <w:rPr>
          <w:color w:val="000000" w:themeColor="text1"/>
        </w:rPr>
        <w:t xml:space="preserve"> uwagi dotyczące tematyki szkoleń organizowanych przez Krajową Szkołę Sądownictwa i Prokuratury (szkolenie wstępne, szkolenia sędziów, asesorów sądowych, prokuratorów, asesorów prokuratury, referendarzy sądowych, asystentów sędziów, asystentów prokuratorów, kuratorów zawodowych oraz urzędników sądów i prokuratury), </w:t>
      </w:r>
      <w:r w:rsidR="008350C3">
        <w:rPr>
          <w:color w:val="000000" w:themeColor="text1"/>
        </w:rPr>
        <w:br/>
      </w:r>
      <w:r w:rsidRPr="00FA09CC">
        <w:rPr>
          <w:color w:val="000000" w:themeColor="text1"/>
        </w:rPr>
        <w:t xml:space="preserve">a także współpracy przy ich organizacji z organizacjami pozarządowymi zajmującymi się kobietami i zapewniającymi specjalistyczne wsparcie kobietom będącym ofiarami przemocy zostaną przekazane Szkole, w celu wzięcia ich pod uwagę przy tworzeniu programów szkoleń w następnych latach. </w:t>
      </w:r>
    </w:p>
    <w:p w:rsidR="00EF50BD" w:rsidRPr="00FA09CC" w:rsidRDefault="000A0A05" w:rsidP="0024594C">
      <w:pPr>
        <w:ind w:left="0" w:firstLine="0"/>
        <w:rPr>
          <w:color w:val="000000" w:themeColor="text1"/>
        </w:rPr>
      </w:pPr>
      <w:r w:rsidRPr="00FA09CC">
        <w:rPr>
          <w:color w:val="000000" w:themeColor="text1"/>
        </w:rPr>
        <w:t xml:space="preserve">Problematyka przemocy w rodzinie i przemocy wobec kobiet jest obecna w szkoleniu aplikantów sędziowskich i prokuratorskich, choć programy aplikacji nie przewidują zajęć poświęconych wyłącznie konwencji stambulskiej. W ramach aplikacji sędziowskiej poruszane są zagadnienia dotyczące przemocy w rodzinie, w tym przemocy wobec kobiet, </w:t>
      </w:r>
      <w:r w:rsidR="00947331">
        <w:rPr>
          <w:color w:val="000000" w:themeColor="text1"/>
        </w:rPr>
        <w:t xml:space="preserve">w tym </w:t>
      </w:r>
      <w:r w:rsidR="008350C3">
        <w:rPr>
          <w:color w:val="000000" w:themeColor="text1"/>
        </w:rPr>
        <w:br/>
      </w:r>
      <w:r w:rsidRPr="00FA09CC">
        <w:rPr>
          <w:color w:val="000000" w:themeColor="text1"/>
        </w:rPr>
        <w:t xml:space="preserve">w kontekście ustawy z 19 sierpnia 1994 r. o ochronie zdrowia psychicznego oraz ustawy </w:t>
      </w:r>
      <w:r w:rsidR="008350C3">
        <w:rPr>
          <w:color w:val="000000" w:themeColor="text1"/>
        </w:rPr>
        <w:br/>
      </w:r>
      <w:r w:rsidRPr="00FA09CC">
        <w:rPr>
          <w:color w:val="000000" w:themeColor="text1"/>
        </w:rPr>
        <w:t xml:space="preserve">o wychowaniu w trzeźwości i przeciwdziałaniu alkoholizmowi, przestępstw przeciwko życiu </w:t>
      </w:r>
      <w:r w:rsidR="008350C3">
        <w:rPr>
          <w:color w:val="000000" w:themeColor="text1"/>
        </w:rPr>
        <w:br/>
      </w:r>
      <w:r w:rsidRPr="00FA09CC">
        <w:rPr>
          <w:color w:val="000000" w:themeColor="text1"/>
        </w:rPr>
        <w:t>i zdrowiu, czci i nietykalności cielesnej, przeciwko rodzinie i opiece, przeciwko wolności, wolności sumienia i wyznania, wolności seksualnej i obyczajności, a także w kontekście prawa rodzinnego i opiekuńczego: władzy rodzicielskiej, zarządu majątkiem dziecka, rozstrzygania o istotnych sprawach dziecka, spraw o odebranie dziecka, regulowani</w:t>
      </w:r>
      <w:r w:rsidR="00513010">
        <w:rPr>
          <w:color w:val="000000" w:themeColor="text1"/>
        </w:rPr>
        <w:t>a</w:t>
      </w:r>
      <w:r w:rsidRPr="00FA09CC">
        <w:rPr>
          <w:color w:val="000000" w:themeColor="text1"/>
        </w:rPr>
        <w:t xml:space="preserve"> </w:t>
      </w:r>
      <w:r w:rsidR="008350C3">
        <w:rPr>
          <w:color w:val="000000" w:themeColor="text1"/>
        </w:rPr>
        <w:br/>
      </w:r>
      <w:r w:rsidRPr="00FA09CC">
        <w:rPr>
          <w:color w:val="000000" w:themeColor="text1"/>
        </w:rPr>
        <w:t>i wykonywani</w:t>
      </w:r>
      <w:r w:rsidR="00513010">
        <w:rPr>
          <w:color w:val="000000" w:themeColor="text1"/>
        </w:rPr>
        <w:t>a</w:t>
      </w:r>
      <w:r w:rsidRPr="00FA09CC">
        <w:rPr>
          <w:color w:val="000000" w:themeColor="text1"/>
        </w:rPr>
        <w:t xml:space="preserve"> kontaktów z dzieckiem. Do stałych elementów kształcenia aplikantów prokuratorskich należą, w szczególności: przestępstwa przeciwko rodzinie i opiece, postanowienia ustawy o przeciwdziałaniu przemocy w rodzinie, prawa ofiary przestępstwa (również w aspekcie konwencji stambulskiej), opieka nad małoletnim, w tym odebranie osoby pozostającej pod opieką oraz podlegającej władzy rodzicielskiej lub pozostającej pod opieką, postępowanie toczące się w trybie Konwencji </w:t>
      </w:r>
      <w:r w:rsidR="00947331">
        <w:rPr>
          <w:color w:val="000000" w:themeColor="text1"/>
        </w:rPr>
        <w:t>dotyczącej</w:t>
      </w:r>
      <w:r w:rsidRPr="00FA09CC">
        <w:rPr>
          <w:color w:val="000000" w:themeColor="text1"/>
        </w:rPr>
        <w:t xml:space="preserve"> cywilnych aspektach uprowadzenia dziecka za granicę</w:t>
      </w:r>
      <w:r w:rsidR="00947331">
        <w:rPr>
          <w:color w:val="000000" w:themeColor="text1"/>
        </w:rPr>
        <w:t>, sporządzonej w Hadze 25 października 1980 r.</w:t>
      </w:r>
      <w:r w:rsidRPr="00FA09CC">
        <w:rPr>
          <w:color w:val="000000" w:themeColor="text1"/>
        </w:rPr>
        <w:t xml:space="preserve"> </w:t>
      </w:r>
    </w:p>
    <w:p w:rsidR="00EF50BD" w:rsidRPr="00FA09CC" w:rsidRDefault="000A0A05" w:rsidP="0024594C">
      <w:pPr>
        <w:ind w:left="0" w:firstLine="0"/>
        <w:rPr>
          <w:color w:val="000000" w:themeColor="text1"/>
        </w:rPr>
      </w:pPr>
      <w:r w:rsidRPr="00FA09CC">
        <w:rPr>
          <w:color w:val="000000" w:themeColor="text1"/>
        </w:rPr>
        <w:t xml:space="preserve">Krajowa Szkoła Sądownictwa i Prokuratury organizuje w latach 2019-2021 szkolenia dotyczące przemocy w rodzinie i przemocy wobec kobiet, również w kontekście, o którym mowa w art. 31 konwencji. Szkolenia uwzględniają uwarunkowania, jakie zachodzą na tle odmienności płci (żeńskiej i męskiej). Szkolenia: </w:t>
      </w:r>
    </w:p>
    <w:p w:rsidR="00EF50BD" w:rsidRPr="00FA09CC" w:rsidRDefault="000A0A05" w:rsidP="0024594C">
      <w:pPr>
        <w:pStyle w:val="Akapitzlist"/>
        <w:numPr>
          <w:ilvl w:val="0"/>
          <w:numId w:val="23"/>
        </w:numPr>
        <w:rPr>
          <w:color w:val="000000" w:themeColor="text1"/>
        </w:rPr>
      </w:pPr>
      <w:r w:rsidRPr="00FA09CC">
        <w:rPr>
          <w:color w:val="000000" w:themeColor="text1"/>
        </w:rPr>
        <w:t xml:space="preserve">„Uprowadzenie rodzicielskie w aspekcie transgranicznym” (2019), </w:t>
      </w:r>
    </w:p>
    <w:p w:rsidR="00EF50BD" w:rsidRPr="00FA09CC" w:rsidRDefault="000A0A05" w:rsidP="0024594C">
      <w:pPr>
        <w:pStyle w:val="Akapitzlist"/>
        <w:numPr>
          <w:ilvl w:val="0"/>
          <w:numId w:val="23"/>
        </w:numPr>
        <w:rPr>
          <w:color w:val="000000" w:themeColor="text1"/>
        </w:rPr>
      </w:pPr>
      <w:r w:rsidRPr="00FA09CC">
        <w:rPr>
          <w:color w:val="000000" w:themeColor="text1"/>
        </w:rPr>
        <w:t xml:space="preserve">„Standardy ochrony dziecka” (2019), </w:t>
      </w:r>
    </w:p>
    <w:p w:rsidR="00EF50BD" w:rsidRPr="00FA09CC" w:rsidRDefault="000A0A05" w:rsidP="0024594C">
      <w:pPr>
        <w:pStyle w:val="Akapitzlist"/>
        <w:numPr>
          <w:ilvl w:val="0"/>
          <w:numId w:val="23"/>
        </w:numPr>
        <w:rPr>
          <w:color w:val="000000" w:themeColor="text1"/>
        </w:rPr>
      </w:pPr>
      <w:r w:rsidRPr="00FA09CC">
        <w:rPr>
          <w:color w:val="000000" w:themeColor="text1"/>
        </w:rPr>
        <w:t xml:space="preserve">„Kontakty z dzieckiem – aspekt prawny i aspekt praktyczny” (2019), </w:t>
      </w:r>
    </w:p>
    <w:p w:rsidR="00EF50BD" w:rsidRPr="00FA09CC" w:rsidRDefault="000A0A05" w:rsidP="0024594C">
      <w:pPr>
        <w:pStyle w:val="Akapitzlist"/>
        <w:numPr>
          <w:ilvl w:val="0"/>
          <w:numId w:val="23"/>
        </w:numPr>
        <w:rPr>
          <w:color w:val="000000" w:themeColor="text1"/>
        </w:rPr>
      </w:pPr>
      <w:r w:rsidRPr="00FA09CC">
        <w:rPr>
          <w:color w:val="000000" w:themeColor="text1"/>
        </w:rPr>
        <w:t xml:space="preserve">„Czynności kuratorów dla dorosłych w postępowaniu wykonawczym” (2019), </w:t>
      </w:r>
    </w:p>
    <w:p w:rsidR="00EF50BD" w:rsidRPr="00FA09CC" w:rsidRDefault="000A0A05" w:rsidP="0024594C">
      <w:pPr>
        <w:pStyle w:val="Akapitzlist"/>
        <w:numPr>
          <w:ilvl w:val="0"/>
          <w:numId w:val="23"/>
        </w:numPr>
        <w:rPr>
          <w:color w:val="000000" w:themeColor="text1"/>
        </w:rPr>
      </w:pPr>
      <w:r w:rsidRPr="00FA09CC">
        <w:rPr>
          <w:color w:val="000000" w:themeColor="text1"/>
        </w:rPr>
        <w:t xml:space="preserve">„Czynności kuratorów rodzinnych – wybrane zagadnienia” (2019), </w:t>
      </w:r>
    </w:p>
    <w:p w:rsidR="00EF50BD" w:rsidRPr="00FA09CC" w:rsidRDefault="000A0A05" w:rsidP="0024594C">
      <w:pPr>
        <w:pStyle w:val="Akapitzlist"/>
        <w:numPr>
          <w:ilvl w:val="0"/>
          <w:numId w:val="23"/>
        </w:numPr>
        <w:rPr>
          <w:color w:val="000000" w:themeColor="text1"/>
        </w:rPr>
      </w:pPr>
      <w:r w:rsidRPr="00FA09CC">
        <w:rPr>
          <w:color w:val="000000" w:themeColor="text1"/>
        </w:rPr>
        <w:lastRenderedPageBreak/>
        <w:t xml:space="preserve">„Dobre praktyki w aspekcie regulacji kontaktów z małoletnim. Współpraca sędziego </w:t>
      </w:r>
      <w:r w:rsidR="008350C3">
        <w:rPr>
          <w:color w:val="000000" w:themeColor="text1"/>
        </w:rPr>
        <w:br/>
      </w:r>
      <w:r w:rsidRPr="00FA09CC">
        <w:rPr>
          <w:color w:val="000000" w:themeColor="text1"/>
        </w:rPr>
        <w:t xml:space="preserve">i kuratora” (2020), </w:t>
      </w:r>
    </w:p>
    <w:p w:rsidR="00EF50BD" w:rsidRPr="00FA09CC" w:rsidRDefault="000A0A05" w:rsidP="0024594C">
      <w:pPr>
        <w:pStyle w:val="Akapitzlist"/>
        <w:numPr>
          <w:ilvl w:val="0"/>
          <w:numId w:val="23"/>
        </w:numPr>
        <w:rPr>
          <w:color w:val="000000" w:themeColor="text1"/>
        </w:rPr>
      </w:pPr>
      <w:r w:rsidRPr="00FA09CC">
        <w:rPr>
          <w:color w:val="000000" w:themeColor="text1"/>
        </w:rPr>
        <w:t xml:space="preserve">„Przestępstwa przeciwko rodzinie i opiece popełniane na szkodę małoletniego pokrzywdzonego – wybrane zagadnienia” (2021), </w:t>
      </w:r>
    </w:p>
    <w:p w:rsidR="00EF50BD" w:rsidRPr="00FA09CC" w:rsidRDefault="000A0A05" w:rsidP="0024594C">
      <w:pPr>
        <w:pStyle w:val="Akapitzlist"/>
        <w:numPr>
          <w:ilvl w:val="0"/>
          <w:numId w:val="23"/>
        </w:numPr>
        <w:rPr>
          <w:color w:val="000000" w:themeColor="text1"/>
        </w:rPr>
      </w:pPr>
      <w:r w:rsidRPr="00FA09CC">
        <w:rPr>
          <w:color w:val="000000" w:themeColor="text1"/>
        </w:rPr>
        <w:t xml:space="preserve">„Sytuacja dziecka w konflikcie okołorozwodowym rodziców – aspekty cywilne i karne” (2021). </w:t>
      </w:r>
    </w:p>
    <w:p w:rsidR="00770095" w:rsidRPr="00FA09CC" w:rsidRDefault="00D85C0E" w:rsidP="0024594C">
      <w:pPr>
        <w:ind w:left="0" w:firstLine="0"/>
        <w:rPr>
          <w:color w:val="000000" w:themeColor="text1"/>
        </w:rPr>
      </w:pPr>
      <w:r w:rsidRPr="00FA09CC">
        <w:t xml:space="preserve">Ministerstwo Sprawiedliwości opracowało w marcu 2021 r. założenia programu szkolenia </w:t>
      </w:r>
      <w:r w:rsidR="00A10B5F" w:rsidRPr="00FA09CC">
        <w:t>p</w:t>
      </w:r>
      <w:r w:rsidRPr="00FA09CC">
        <w:t>rokuratorów „</w:t>
      </w:r>
      <w:r w:rsidRPr="00FA09CC">
        <w:rPr>
          <w:bCs/>
        </w:rPr>
        <w:t>Przeciwdziałanie przemocy w rodzinie w ujęciu interdyscyplinarnym</w:t>
      </w:r>
      <w:r w:rsidRPr="00FA09CC">
        <w:t>”, które zostanie włączone do harmonogramu szkoleń Krajowej Szkoły Sądownictwa i Prokuratury. Obecnie opracowywan</w:t>
      </w:r>
      <w:r w:rsidR="00433AF6" w:rsidRPr="00FA09CC">
        <w:t xml:space="preserve">y jest </w:t>
      </w:r>
      <w:r w:rsidRPr="00FA09CC">
        <w:t xml:space="preserve">program </w:t>
      </w:r>
      <w:r w:rsidRPr="00FA09CC">
        <w:rPr>
          <w:bCs/>
        </w:rPr>
        <w:t>interdyscyplinarnych</w:t>
      </w:r>
      <w:r w:rsidRPr="00FA09CC">
        <w:t xml:space="preserve"> szkoleń kuratorów sądowych </w:t>
      </w:r>
      <w:r w:rsidR="008350C3">
        <w:br/>
      </w:r>
      <w:r w:rsidRPr="00FA09CC">
        <w:t>z zakresu przeciwdziałania przemocy w rodzinie.</w:t>
      </w:r>
    </w:p>
    <w:p w:rsidR="00526C75" w:rsidRDefault="00526C75" w:rsidP="0024594C">
      <w:pPr>
        <w:rPr>
          <w:b/>
          <w:bCs/>
          <w:color w:val="000000" w:themeColor="text1"/>
        </w:rPr>
      </w:pPr>
    </w:p>
    <w:p w:rsidR="003665CB" w:rsidRPr="00FA09CC" w:rsidRDefault="000A0A05" w:rsidP="0024594C">
      <w:pPr>
        <w:ind w:left="0" w:firstLine="0"/>
        <w:rPr>
          <w:b/>
          <w:bCs/>
          <w:color w:val="000000" w:themeColor="text1"/>
        </w:rPr>
      </w:pPr>
      <w:r w:rsidRPr="00FA09CC">
        <w:rPr>
          <w:b/>
          <w:bCs/>
          <w:color w:val="000000" w:themeColor="text1"/>
        </w:rPr>
        <w:t xml:space="preserve">Paragraf 95 – kwalifikacje lekarzy i pielęgniarek w zakresie rozpoznawania przemocy </w:t>
      </w:r>
      <w:r w:rsidR="008350C3">
        <w:rPr>
          <w:b/>
          <w:bCs/>
          <w:color w:val="000000" w:themeColor="text1"/>
        </w:rPr>
        <w:br/>
      </w:r>
      <w:r w:rsidRPr="00FA09CC">
        <w:rPr>
          <w:b/>
          <w:bCs/>
          <w:color w:val="000000" w:themeColor="text1"/>
        </w:rPr>
        <w:t>i przemocy w rodzinie</w:t>
      </w:r>
    </w:p>
    <w:p w:rsidR="0024311F" w:rsidRDefault="000A0A05" w:rsidP="0024594C">
      <w:pPr>
        <w:ind w:left="0" w:firstLine="0"/>
        <w:rPr>
          <w:iCs/>
        </w:rPr>
      </w:pPr>
      <w:r w:rsidRPr="00FA09CC">
        <w:rPr>
          <w:color w:val="000000" w:themeColor="text1"/>
        </w:rPr>
        <w:t xml:space="preserve">Podstawową wiedzę i umiejętności zawodowe lekarz zdobywa w procesie kształcenia przed- </w:t>
      </w:r>
      <w:r w:rsidR="008350C3">
        <w:rPr>
          <w:color w:val="000000" w:themeColor="text1"/>
        </w:rPr>
        <w:br/>
      </w:r>
      <w:r w:rsidRPr="00FA09CC">
        <w:rPr>
          <w:color w:val="000000" w:themeColor="text1"/>
        </w:rPr>
        <w:t xml:space="preserve">i podyplomowego. W ramach studiów tematyka przemocy, kształtowania prawidłowej relacji lekarz-pacjent oraz identyfikowania czynników przemocy wobec dorosłych i dzieci jest szeroko omawiana. </w:t>
      </w:r>
      <w:r w:rsidR="00F73E71" w:rsidRPr="00FA09CC">
        <w:rPr>
          <w:color w:val="000000" w:themeColor="text1"/>
        </w:rPr>
        <w:t>O</w:t>
      </w:r>
      <w:r w:rsidRPr="00FA09CC">
        <w:rPr>
          <w:iCs/>
        </w:rPr>
        <w:t>bejmuje</w:t>
      </w:r>
      <w:r w:rsidR="00F73E71" w:rsidRPr="00FA09CC">
        <w:rPr>
          <w:iCs/>
        </w:rPr>
        <w:t xml:space="preserve"> to</w:t>
      </w:r>
      <w:r w:rsidRPr="00FA09CC">
        <w:rPr>
          <w:iCs/>
        </w:rPr>
        <w:t>, między innymi</w:t>
      </w:r>
      <w:r w:rsidR="0024311F">
        <w:rPr>
          <w:iCs/>
        </w:rPr>
        <w:t>:</w:t>
      </w:r>
    </w:p>
    <w:p w:rsidR="0024311F" w:rsidRDefault="000A0A05" w:rsidP="0024594C">
      <w:pPr>
        <w:numPr>
          <w:ilvl w:val="0"/>
          <w:numId w:val="43"/>
        </w:numPr>
        <w:rPr>
          <w:iCs/>
        </w:rPr>
      </w:pPr>
      <w:r w:rsidRPr="00FA09CC">
        <w:rPr>
          <w:iCs/>
        </w:rPr>
        <w:t xml:space="preserve">sposoby postępowania diagnostycznego i terapeutycznego właściwe dla określonych stanów chorobowych, </w:t>
      </w:r>
    </w:p>
    <w:p w:rsidR="0024311F" w:rsidRDefault="000A0A05" w:rsidP="0024594C">
      <w:pPr>
        <w:numPr>
          <w:ilvl w:val="0"/>
          <w:numId w:val="43"/>
        </w:numPr>
        <w:rPr>
          <w:iCs/>
        </w:rPr>
      </w:pPr>
      <w:r w:rsidRPr="00FA09CC">
        <w:rPr>
          <w:iCs/>
        </w:rPr>
        <w:t xml:space="preserve">formy przemocy, </w:t>
      </w:r>
    </w:p>
    <w:p w:rsidR="0024311F" w:rsidRDefault="000A0A05" w:rsidP="0024594C">
      <w:pPr>
        <w:numPr>
          <w:ilvl w:val="0"/>
          <w:numId w:val="43"/>
        </w:numPr>
        <w:rPr>
          <w:iCs/>
        </w:rPr>
      </w:pPr>
      <w:r w:rsidRPr="00FA09CC">
        <w:rPr>
          <w:iCs/>
        </w:rPr>
        <w:t xml:space="preserve">modele wyjaśniające przemoc w rodzinie i przemoc w wybranych instytucjach, </w:t>
      </w:r>
    </w:p>
    <w:p w:rsidR="0024311F" w:rsidRDefault="000A0A05" w:rsidP="0024594C">
      <w:pPr>
        <w:numPr>
          <w:ilvl w:val="0"/>
          <w:numId w:val="43"/>
        </w:numPr>
        <w:rPr>
          <w:iCs/>
        </w:rPr>
      </w:pPr>
      <w:r w:rsidRPr="00FA09CC">
        <w:rPr>
          <w:iCs/>
        </w:rPr>
        <w:t xml:space="preserve">społeczne uwarunkowania różnych form przemocy oraz rolę lekarza w jej rozpoznawaniu, </w:t>
      </w:r>
    </w:p>
    <w:p w:rsidR="0024311F" w:rsidRDefault="000A0A05" w:rsidP="0024594C">
      <w:pPr>
        <w:numPr>
          <w:ilvl w:val="0"/>
          <w:numId w:val="43"/>
        </w:numPr>
        <w:rPr>
          <w:iCs/>
        </w:rPr>
      </w:pPr>
      <w:r w:rsidRPr="00FA09CC">
        <w:rPr>
          <w:iCs/>
        </w:rPr>
        <w:t xml:space="preserve">identyfikowanie czynników ryzyka wystąpienia przemocy, </w:t>
      </w:r>
    </w:p>
    <w:p w:rsidR="0024311F" w:rsidRDefault="000A0A05" w:rsidP="0024594C">
      <w:pPr>
        <w:numPr>
          <w:ilvl w:val="0"/>
          <w:numId w:val="43"/>
        </w:numPr>
        <w:rPr>
          <w:iCs/>
        </w:rPr>
      </w:pPr>
      <w:r w:rsidRPr="00FA09CC">
        <w:rPr>
          <w:iCs/>
        </w:rPr>
        <w:t xml:space="preserve">rozpoznawanie przemocy i odpowiednie reagowanie, </w:t>
      </w:r>
    </w:p>
    <w:p w:rsidR="0024311F" w:rsidRDefault="000A0A05" w:rsidP="0024594C">
      <w:pPr>
        <w:numPr>
          <w:ilvl w:val="0"/>
          <w:numId w:val="43"/>
        </w:numPr>
        <w:rPr>
          <w:iCs/>
        </w:rPr>
      </w:pPr>
      <w:r w:rsidRPr="00FA09CC">
        <w:rPr>
          <w:iCs/>
        </w:rPr>
        <w:t xml:space="preserve">zagadnienia dotyczące dziecka maltretowanego i wykorzystywania seksualnego, </w:t>
      </w:r>
    </w:p>
    <w:p w:rsidR="0024311F" w:rsidRDefault="000A0A05" w:rsidP="0024594C">
      <w:pPr>
        <w:numPr>
          <w:ilvl w:val="0"/>
          <w:numId w:val="43"/>
        </w:numPr>
        <w:rPr>
          <w:iCs/>
        </w:rPr>
      </w:pPr>
      <w:r w:rsidRPr="00FA09CC">
        <w:rPr>
          <w:iCs/>
        </w:rPr>
        <w:t xml:space="preserve">znaczenie komunikacji werbalnej i niewerbalnej w procesie komunikowania się </w:t>
      </w:r>
      <w:r w:rsidR="008350C3">
        <w:rPr>
          <w:iCs/>
        </w:rPr>
        <w:br/>
      </w:r>
      <w:r w:rsidRPr="00FA09CC">
        <w:rPr>
          <w:iCs/>
        </w:rPr>
        <w:t>z pacjentem podlegającym przemocy</w:t>
      </w:r>
      <w:r w:rsidR="0024311F">
        <w:rPr>
          <w:iCs/>
        </w:rPr>
        <w:t>,</w:t>
      </w:r>
      <w:r w:rsidRPr="00FA09CC">
        <w:rPr>
          <w:iCs/>
        </w:rPr>
        <w:t xml:space="preserve"> </w:t>
      </w:r>
    </w:p>
    <w:p w:rsidR="0024311F" w:rsidRDefault="000A0A05" w:rsidP="0024594C">
      <w:pPr>
        <w:numPr>
          <w:ilvl w:val="0"/>
          <w:numId w:val="43"/>
        </w:numPr>
        <w:rPr>
          <w:iCs/>
        </w:rPr>
      </w:pPr>
      <w:r w:rsidRPr="00FA09CC">
        <w:rPr>
          <w:iCs/>
        </w:rPr>
        <w:t xml:space="preserve">pojęcie zaufania w interakcji z pacjentem, </w:t>
      </w:r>
    </w:p>
    <w:p w:rsidR="0024311F" w:rsidRDefault="000A0A05" w:rsidP="0024594C">
      <w:pPr>
        <w:numPr>
          <w:ilvl w:val="0"/>
          <w:numId w:val="43"/>
        </w:numPr>
        <w:rPr>
          <w:iCs/>
        </w:rPr>
      </w:pPr>
      <w:r w:rsidRPr="00FA09CC">
        <w:rPr>
          <w:iCs/>
        </w:rPr>
        <w:t xml:space="preserve">etyczne, społeczne i prawne uwarunkowania wykonywania zawodu lekarza, </w:t>
      </w:r>
    </w:p>
    <w:p w:rsidR="0024311F" w:rsidRDefault="000A0A05" w:rsidP="0024594C">
      <w:pPr>
        <w:numPr>
          <w:ilvl w:val="0"/>
          <w:numId w:val="43"/>
        </w:numPr>
        <w:rPr>
          <w:iCs/>
        </w:rPr>
      </w:pPr>
      <w:r w:rsidRPr="00FA09CC">
        <w:rPr>
          <w:iCs/>
        </w:rPr>
        <w:t xml:space="preserve">regulacje prawne dotyczące praw pacjenta i tajemnicy lekarskiej. </w:t>
      </w:r>
    </w:p>
    <w:p w:rsidR="00261743" w:rsidRPr="00FA09CC" w:rsidRDefault="000A0A05" w:rsidP="0024594C">
      <w:pPr>
        <w:ind w:left="0" w:firstLine="0"/>
        <w:rPr>
          <w:color w:val="000000" w:themeColor="text1"/>
        </w:rPr>
      </w:pPr>
      <w:r w:rsidRPr="00FA09CC">
        <w:rPr>
          <w:color w:val="000000" w:themeColor="text1"/>
        </w:rPr>
        <w:t>Szkolenie w tym zakresie przeszło 19</w:t>
      </w:r>
      <w:r w:rsidR="00CF3B63">
        <w:rPr>
          <w:color w:val="000000" w:themeColor="text1"/>
        </w:rPr>
        <w:t>8</w:t>
      </w:r>
      <w:r w:rsidRPr="00FA09CC">
        <w:rPr>
          <w:color w:val="000000" w:themeColor="text1"/>
        </w:rPr>
        <w:t>.</w:t>
      </w:r>
      <w:r w:rsidR="00CF3B63">
        <w:rPr>
          <w:color w:val="000000" w:themeColor="text1"/>
        </w:rPr>
        <w:t>206</w:t>
      </w:r>
      <w:r w:rsidRPr="00FA09CC">
        <w:rPr>
          <w:color w:val="000000" w:themeColor="text1"/>
        </w:rPr>
        <w:t xml:space="preserve"> zarejestrowanych lekarzy. </w:t>
      </w:r>
    </w:p>
    <w:p w:rsidR="003665CB" w:rsidRPr="00FA09CC" w:rsidRDefault="000A0A05" w:rsidP="0024594C">
      <w:pPr>
        <w:ind w:left="0" w:firstLine="0"/>
        <w:rPr>
          <w:color w:val="000000" w:themeColor="text1"/>
        </w:rPr>
      </w:pPr>
      <w:r w:rsidRPr="00FA09CC">
        <w:rPr>
          <w:color w:val="000000" w:themeColor="text1"/>
        </w:rPr>
        <w:t>Wiedzę tę lekarze rozszerzają w toku szkolenia specjalizacyjnego, doskonalenia zawodowego, e-learningowego lub samokształcenia.</w:t>
      </w:r>
    </w:p>
    <w:p w:rsidR="00D04705" w:rsidRPr="00FA09CC" w:rsidRDefault="000A0A05" w:rsidP="0024594C">
      <w:pPr>
        <w:ind w:left="0" w:firstLine="0"/>
        <w:rPr>
          <w:color w:val="000000" w:themeColor="text1"/>
        </w:rPr>
      </w:pPr>
      <w:r w:rsidRPr="00FA09CC">
        <w:rPr>
          <w:color w:val="000000" w:themeColor="text1"/>
        </w:rPr>
        <w:t xml:space="preserve">Jeśli chodzi o kształcenie pielęgniarek i położnych, to treści z zakresu zapobiegania </w:t>
      </w:r>
      <w:r w:rsidR="008350C3">
        <w:rPr>
          <w:color w:val="000000" w:themeColor="text1"/>
        </w:rPr>
        <w:br/>
      </w:r>
      <w:r w:rsidRPr="00FA09CC">
        <w:rPr>
          <w:color w:val="000000" w:themeColor="text1"/>
        </w:rPr>
        <w:t xml:space="preserve">i wykrywania przemocy </w:t>
      </w:r>
      <w:r w:rsidR="00947331" w:rsidRPr="00FA09CC">
        <w:rPr>
          <w:color w:val="000000" w:themeColor="text1"/>
        </w:rPr>
        <w:t xml:space="preserve">ujęte </w:t>
      </w:r>
      <w:r w:rsidRPr="00FA09CC">
        <w:rPr>
          <w:color w:val="000000" w:themeColor="text1"/>
        </w:rPr>
        <w:t xml:space="preserve">są w standardach kształcenia przeddyplomowego pielęgniarek </w:t>
      </w:r>
      <w:r w:rsidR="008350C3">
        <w:rPr>
          <w:color w:val="000000" w:themeColor="text1"/>
        </w:rPr>
        <w:br/>
      </w:r>
      <w:r w:rsidRPr="00FA09CC">
        <w:rPr>
          <w:color w:val="000000" w:themeColor="text1"/>
        </w:rPr>
        <w:t>i położnych, określonych rozporządzeniem Ministra Nauki i Szkolnictwa Wyższego z 26 lipca 2019 r. sprawie standardów kształcenia przygotowującego do wykonywania zawodu lekarza, lekarza dentysty, farmaceuty, pielęgniarki, położnej, diagnosty laboratoryjnego, fizjoterapeuty i ratownika medycznego. W ramach kształcenia podyplomowego pielęgniarki i położnej tematyka zapobiegania, rozpoznawania i reagowania na przypadki przemocy w rodzinie podejmowana jest w ramach wybranych programów kształcenia.</w:t>
      </w:r>
    </w:p>
    <w:p w:rsidR="003665CB" w:rsidRPr="00FA09CC" w:rsidRDefault="003665CB" w:rsidP="0024594C">
      <w:pPr>
        <w:pStyle w:val="Adresodbiorcy"/>
        <w:widowControl w:val="0"/>
        <w:shd w:val="clear" w:color="auto" w:fill="FFFFFF" w:themeFill="background1"/>
        <w:suppressAutoHyphens/>
        <w:spacing w:line="240" w:lineRule="auto"/>
        <w:rPr>
          <w:rFonts w:ascii="Times New Roman" w:hAnsi="Times New Roman"/>
          <w:color w:val="000000" w:themeColor="text1"/>
          <w:spacing w:val="0"/>
          <w:sz w:val="24"/>
          <w:szCs w:val="24"/>
          <w:shd w:val="clear" w:color="auto" w:fill="FFFFFF"/>
        </w:rPr>
      </w:pPr>
    </w:p>
    <w:p w:rsidR="00282BCA" w:rsidRPr="00FA09CC" w:rsidRDefault="000A0A05" w:rsidP="0024594C">
      <w:pPr>
        <w:pStyle w:val="Adresodbiorcy"/>
        <w:widowControl w:val="0"/>
        <w:shd w:val="clear" w:color="auto" w:fill="FFFFFF" w:themeFill="background1"/>
        <w:suppressAutoHyphens/>
        <w:spacing w:line="240" w:lineRule="auto"/>
        <w:rPr>
          <w:rFonts w:ascii="Times New Roman" w:hAnsi="Times New Roman"/>
          <w:b/>
          <w:color w:val="000000" w:themeColor="text1"/>
          <w:spacing w:val="0"/>
          <w:sz w:val="24"/>
          <w:szCs w:val="24"/>
        </w:rPr>
      </w:pPr>
      <w:r w:rsidRPr="00FA09CC">
        <w:rPr>
          <w:rFonts w:ascii="Times New Roman" w:hAnsi="Times New Roman"/>
          <w:b/>
          <w:color w:val="000000" w:themeColor="text1"/>
          <w:spacing w:val="0"/>
          <w:sz w:val="24"/>
          <w:szCs w:val="24"/>
          <w:shd w:val="clear" w:color="auto" w:fill="FFFFFF"/>
        </w:rPr>
        <w:t xml:space="preserve">Paragraf </w:t>
      </w:r>
      <w:r w:rsidRPr="00FA09CC">
        <w:rPr>
          <w:rFonts w:ascii="Times New Roman" w:hAnsi="Times New Roman"/>
          <w:b/>
          <w:color w:val="000000" w:themeColor="text1"/>
          <w:spacing w:val="0"/>
          <w:sz w:val="24"/>
          <w:szCs w:val="24"/>
        </w:rPr>
        <w:t>96 – niedostateczne szkolenia pracowników Urzędu do spraw Cudzoziemców</w:t>
      </w:r>
    </w:p>
    <w:p w:rsidR="00282BCA" w:rsidRPr="00FA09CC" w:rsidRDefault="000A0A05" w:rsidP="0024594C">
      <w:pPr>
        <w:pStyle w:val="Adresodbiorcy"/>
        <w:widowControl w:val="0"/>
        <w:shd w:val="clear" w:color="auto" w:fill="FFFFFF"/>
        <w:suppressAutoHyphens/>
        <w:spacing w:line="240" w:lineRule="auto"/>
        <w:rPr>
          <w:rFonts w:ascii="Times New Roman" w:hAnsi="Times New Roman"/>
          <w:color w:val="000000" w:themeColor="text1"/>
          <w:spacing w:val="0"/>
          <w:sz w:val="24"/>
          <w:szCs w:val="24"/>
        </w:rPr>
      </w:pPr>
      <w:r w:rsidRPr="00FA09CC">
        <w:rPr>
          <w:rFonts w:ascii="Times New Roman" w:hAnsi="Times New Roman"/>
          <w:color w:val="000000" w:themeColor="text1"/>
          <w:spacing w:val="0"/>
          <w:sz w:val="24"/>
          <w:szCs w:val="24"/>
        </w:rPr>
        <w:t xml:space="preserve">Zalecenie dotyczące szkoleń pracowników Urzędu do spraw Cudzoziemców realizowane jest w stopniu wystarczającym. Szkolenia uwzględniają tematykę, o której mowa w art. 15 konwencji, pracownicy mogą korzystać ze ścieżki szkoleniowej przygotowanej przez EASO, która uwzględnia takie moduły treningowe jak: EASO: Interviewing Vulnerable Persons, Interviewing Children, Gender, Gender Identity and Sexual Orientation, Trafficking in </w:t>
      </w:r>
      <w:r w:rsidRPr="00FA09CC">
        <w:rPr>
          <w:rFonts w:ascii="Times New Roman" w:hAnsi="Times New Roman"/>
          <w:color w:val="000000" w:themeColor="text1"/>
          <w:spacing w:val="0"/>
          <w:sz w:val="24"/>
          <w:szCs w:val="24"/>
        </w:rPr>
        <w:lastRenderedPageBreak/>
        <w:t xml:space="preserve">Human Beings. </w:t>
      </w:r>
    </w:p>
    <w:p w:rsidR="0008495F" w:rsidRPr="00FA09CC" w:rsidRDefault="000A0A05" w:rsidP="0024594C">
      <w:pPr>
        <w:ind w:left="0" w:firstLine="0"/>
        <w:rPr>
          <w:rFonts w:eastAsia="Calibri"/>
          <w:color w:val="000000" w:themeColor="text1"/>
        </w:rPr>
      </w:pPr>
      <w:r w:rsidRPr="00FA09CC">
        <w:rPr>
          <w:rFonts w:eastAsia="Calibri"/>
          <w:color w:val="000000" w:themeColor="text1"/>
        </w:rPr>
        <w:t xml:space="preserve">Pracownicy socjalni przechodzą szkolenie, tak </w:t>
      </w:r>
      <w:r w:rsidR="00513010">
        <w:rPr>
          <w:rFonts w:eastAsia="Calibri"/>
          <w:color w:val="000000" w:themeColor="text1"/>
        </w:rPr>
        <w:t xml:space="preserve">w zakresie </w:t>
      </w:r>
      <w:r w:rsidRPr="00FA09CC">
        <w:rPr>
          <w:rFonts w:eastAsia="Calibri"/>
          <w:color w:val="000000" w:themeColor="text1"/>
        </w:rPr>
        <w:t xml:space="preserve">pracy z ofiarą przemocy, jak i z jej sprawcą. Szkolenia te </w:t>
      </w:r>
      <w:r w:rsidR="00947331" w:rsidRPr="00FA09CC">
        <w:rPr>
          <w:rFonts w:eastAsia="Calibri"/>
          <w:color w:val="000000" w:themeColor="text1"/>
        </w:rPr>
        <w:t xml:space="preserve">organizowane </w:t>
      </w:r>
      <w:r w:rsidRPr="00FA09CC">
        <w:rPr>
          <w:rFonts w:eastAsia="Calibri"/>
          <w:color w:val="000000" w:themeColor="text1"/>
        </w:rPr>
        <w:t xml:space="preserve">są indywidualnie, na życzenie poszczególnych pracowników, jak również </w:t>
      </w:r>
      <w:r w:rsidR="00433AF6" w:rsidRPr="00FA09CC">
        <w:rPr>
          <w:rFonts w:eastAsia="Calibri"/>
          <w:color w:val="000000" w:themeColor="text1"/>
        </w:rPr>
        <w:t xml:space="preserve">odbywają się szkolenia </w:t>
      </w:r>
      <w:r w:rsidRPr="00FA09CC">
        <w:rPr>
          <w:rFonts w:eastAsia="Calibri"/>
          <w:color w:val="000000" w:themeColor="text1"/>
        </w:rPr>
        <w:t>grupow</w:t>
      </w:r>
      <w:r w:rsidR="00433AF6" w:rsidRPr="00FA09CC">
        <w:rPr>
          <w:rFonts w:eastAsia="Calibri"/>
          <w:color w:val="000000" w:themeColor="text1"/>
        </w:rPr>
        <w:t>e</w:t>
      </w:r>
      <w:r w:rsidRPr="00FA09CC">
        <w:rPr>
          <w:rFonts w:eastAsia="Calibri"/>
          <w:color w:val="000000" w:themeColor="text1"/>
        </w:rPr>
        <w:t xml:space="preserve">, wszystkich pracowników danego ośrodka dla cudzoziemców. </w:t>
      </w:r>
    </w:p>
    <w:p w:rsidR="00282BCA" w:rsidRPr="00FA09CC" w:rsidRDefault="00433AF6" w:rsidP="0024594C">
      <w:pPr>
        <w:ind w:left="0" w:firstLine="0"/>
        <w:rPr>
          <w:rFonts w:eastAsia="Calibri"/>
          <w:color w:val="000000" w:themeColor="text1"/>
        </w:rPr>
      </w:pPr>
      <w:r w:rsidRPr="00FA09CC">
        <w:rPr>
          <w:rFonts w:eastAsia="Calibri"/>
          <w:color w:val="000000" w:themeColor="text1"/>
        </w:rPr>
        <w:t>Może b</w:t>
      </w:r>
      <w:r w:rsidR="000A0A05" w:rsidRPr="00FA09CC">
        <w:rPr>
          <w:rFonts w:eastAsia="Calibri"/>
          <w:color w:val="000000" w:themeColor="text1"/>
        </w:rPr>
        <w:t>udzi</w:t>
      </w:r>
      <w:r w:rsidR="00FF0FB5">
        <w:rPr>
          <w:rFonts w:eastAsia="Calibri"/>
          <w:color w:val="000000" w:themeColor="text1"/>
        </w:rPr>
        <w:t>ć</w:t>
      </w:r>
      <w:r w:rsidR="000A0A05" w:rsidRPr="00FA09CC">
        <w:rPr>
          <w:rFonts w:eastAsia="Calibri"/>
          <w:color w:val="000000" w:themeColor="text1"/>
        </w:rPr>
        <w:t xml:space="preserve"> wątpliwości </w:t>
      </w:r>
      <w:r w:rsidR="00947331">
        <w:rPr>
          <w:rFonts w:eastAsia="Calibri"/>
          <w:color w:val="000000" w:themeColor="text1"/>
        </w:rPr>
        <w:t xml:space="preserve">zawarte w raporcie </w:t>
      </w:r>
      <w:r w:rsidR="00B63C47">
        <w:rPr>
          <w:rFonts w:eastAsia="Calibri"/>
          <w:color w:val="000000" w:themeColor="text1"/>
        </w:rPr>
        <w:t>stwierdzenie</w:t>
      </w:r>
      <w:r w:rsidR="000A0A05" w:rsidRPr="00FA09CC">
        <w:rPr>
          <w:rFonts w:eastAsia="Calibri"/>
          <w:color w:val="000000" w:themeColor="text1"/>
        </w:rPr>
        <w:t xml:space="preserve">, że niewystarczająca </w:t>
      </w:r>
      <w:r w:rsidRPr="00FA09CC">
        <w:rPr>
          <w:rFonts w:eastAsia="Calibri"/>
          <w:color w:val="000000" w:themeColor="text1"/>
        </w:rPr>
        <w:t>liczba</w:t>
      </w:r>
      <w:r w:rsidR="000A0A05" w:rsidRPr="00FA09CC">
        <w:rPr>
          <w:rFonts w:eastAsia="Calibri"/>
          <w:color w:val="000000" w:themeColor="text1"/>
        </w:rPr>
        <w:t xml:space="preserve"> szkoleń wpływa negatywnie na jakość decyzji kończących postępowanie o udzielenie ochrony międzynarodowej. </w:t>
      </w:r>
      <w:r w:rsidR="00A959B4">
        <w:rPr>
          <w:rFonts w:eastAsia="Calibri"/>
          <w:color w:val="000000" w:themeColor="text1"/>
        </w:rPr>
        <w:t>Z raportu nie wynika</w:t>
      </w:r>
      <w:r w:rsidR="000A0A05" w:rsidRPr="00FA09CC">
        <w:rPr>
          <w:rFonts w:eastAsia="Calibri"/>
          <w:color w:val="000000" w:themeColor="text1"/>
        </w:rPr>
        <w:t xml:space="preserve">, na jakiej podstawie sformułowana została ta ocena </w:t>
      </w:r>
      <w:r w:rsidR="000A777E">
        <w:rPr>
          <w:rFonts w:eastAsia="Calibri"/>
          <w:color w:val="000000" w:themeColor="text1"/>
        </w:rPr>
        <w:t>–</w:t>
      </w:r>
      <w:r w:rsidR="000A0A05" w:rsidRPr="00FA09CC">
        <w:rPr>
          <w:rFonts w:eastAsia="Calibri"/>
          <w:color w:val="000000" w:themeColor="text1"/>
        </w:rPr>
        <w:t xml:space="preserve"> czy w oparciu o analizę jakości treści decyzji, czy też w oparciu o analizę przyczyn uchylania decyzji Szefa Urzędu do spraw Cudzoziemców przez Radę do spraw Uchodźców lub sądy administracyjne. </w:t>
      </w:r>
    </w:p>
    <w:p w:rsidR="00526C75" w:rsidRDefault="00526C75" w:rsidP="0024594C">
      <w:pPr>
        <w:rPr>
          <w:rFonts w:eastAsia="Times New Roman"/>
          <w:b/>
          <w:color w:val="000000" w:themeColor="text1"/>
          <w:shd w:val="clear" w:color="auto" w:fill="FFFFFF"/>
        </w:rPr>
      </w:pPr>
    </w:p>
    <w:p w:rsidR="000F34E6" w:rsidRPr="00FA09CC" w:rsidRDefault="000A0A05" w:rsidP="0024594C">
      <w:pPr>
        <w:pStyle w:val="Adresodbiorcy"/>
        <w:widowControl w:val="0"/>
        <w:shd w:val="clear" w:color="auto" w:fill="FFFFFF" w:themeFill="background1"/>
        <w:suppressAutoHyphens/>
        <w:spacing w:line="240" w:lineRule="auto"/>
        <w:rPr>
          <w:rFonts w:ascii="Times New Roman" w:hAnsi="Times New Roman"/>
          <w:b/>
          <w:color w:val="000000" w:themeColor="text1"/>
          <w:spacing w:val="0"/>
          <w:sz w:val="24"/>
          <w:szCs w:val="24"/>
          <w:shd w:val="clear" w:color="auto" w:fill="FFFFFF"/>
        </w:rPr>
      </w:pPr>
      <w:r w:rsidRPr="00FA09CC">
        <w:rPr>
          <w:rFonts w:ascii="Times New Roman" w:hAnsi="Times New Roman"/>
          <w:b/>
          <w:color w:val="000000" w:themeColor="text1"/>
          <w:spacing w:val="0"/>
          <w:sz w:val="24"/>
          <w:szCs w:val="24"/>
          <w:shd w:val="clear" w:color="auto" w:fill="FFFFFF"/>
        </w:rPr>
        <w:t>Paragraf 109 – wizerunek kobiet w mediach, prezentacja treści dotyczących przemocy wobec kobiet</w:t>
      </w:r>
    </w:p>
    <w:p w:rsidR="00F10C9B" w:rsidRPr="00FA09CC" w:rsidRDefault="000A0A05" w:rsidP="0024594C">
      <w:pPr>
        <w:ind w:left="0" w:firstLine="0"/>
        <w:rPr>
          <w:rFonts w:eastAsia="Times New Roman"/>
          <w:color w:val="000000" w:themeColor="text1"/>
        </w:rPr>
      </w:pPr>
      <w:r w:rsidRPr="00FA09CC">
        <w:rPr>
          <w:color w:val="000000" w:themeColor="text1"/>
        </w:rPr>
        <w:t>Uwaga GREVIO, ż</w:t>
      </w:r>
      <w:r w:rsidR="00CA20CA" w:rsidRPr="00FA09CC">
        <w:rPr>
          <w:color w:val="000000" w:themeColor="text1"/>
        </w:rPr>
        <w:t>e</w:t>
      </w:r>
      <w:r w:rsidRPr="00FA09CC">
        <w:rPr>
          <w:color w:val="000000" w:themeColor="text1"/>
        </w:rPr>
        <w:t xml:space="preserve"> obecna Strategia regulacyjna (2017-2022), w przeciwieństwie do poprzedniej, nie zawiera zestawu ukierunkowanych działań</w:t>
      </w:r>
      <w:r w:rsidR="00F73E71" w:rsidRPr="00FA09CC">
        <w:rPr>
          <w:color w:val="000000" w:themeColor="text1"/>
        </w:rPr>
        <w:t>,</w:t>
      </w:r>
      <w:r w:rsidRPr="00FA09CC">
        <w:rPr>
          <w:color w:val="000000" w:themeColor="text1"/>
        </w:rPr>
        <w:t xml:space="preserve"> mających na celu promowanie równości kobiet i mężczyzn w mediach, została sformułowana </w:t>
      </w:r>
      <w:r w:rsidR="00445495" w:rsidRPr="00FA09CC">
        <w:rPr>
          <w:color w:val="000000" w:themeColor="text1"/>
        </w:rPr>
        <w:t xml:space="preserve">bez należytego wzięcia pod uwagę </w:t>
      </w:r>
      <w:r w:rsidRPr="00FA09CC">
        <w:rPr>
          <w:color w:val="000000" w:themeColor="text1"/>
        </w:rPr>
        <w:t>wyjaśnie</w:t>
      </w:r>
      <w:r w:rsidR="00445495" w:rsidRPr="00FA09CC">
        <w:rPr>
          <w:color w:val="000000" w:themeColor="text1"/>
        </w:rPr>
        <w:t>ń</w:t>
      </w:r>
      <w:r w:rsidRPr="00FA09CC">
        <w:rPr>
          <w:color w:val="000000" w:themeColor="text1"/>
        </w:rPr>
        <w:t xml:space="preserve"> </w:t>
      </w:r>
      <w:r w:rsidR="00947331">
        <w:rPr>
          <w:color w:val="000000" w:themeColor="text1"/>
        </w:rPr>
        <w:t>udzielonych</w:t>
      </w:r>
      <w:r w:rsidRPr="00FA09CC">
        <w:rPr>
          <w:color w:val="000000" w:themeColor="text1"/>
        </w:rPr>
        <w:t xml:space="preserve"> w trakcie spotkania 30 września 2020 r. </w:t>
      </w:r>
      <w:r w:rsidR="00722E7E">
        <w:rPr>
          <w:color w:val="000000" w:themeColor="text1"/>
        </w:rPr>
        <w:t>p</w:t>
      </w:r>
      <w:r w:rsidRPr="00FA09CC">
        <w:rPr>
          <w:color w:val="000000" w:themeColor="text1"/>
        </w:rPr>
        <w:t>rzedstawiciel</w:t>
      </w:r>
      <w:r w:rsidR="00722E7E">
        <w:rPr>
          <w:color w:val="000000" w:themeColor="text1"/>
        </w:rPr>
        <w:t>i</w:t>
      </w:r>
      <w:r w:rsidRPr="00FA09CC">
        <w:rPr>
          <w:color w:val="000000" w:themeColor="text1"/>
        </w:rPr>
        <w:t xml:space="preserve"> Krajowej Rady Radiofonii i Telewizji</w:t>
      </w:r>
      <w:r w:rsidR="00722E7E">
        <w:rPr>
          <w:color w:val="000000" w:themeColor="text1"/>
        </w:rPr>
        <w:t xml:space="preserve"> </w:t>
      </w:r>
      <w:r w:rsidR="00947331">
        <w:rPr>
          <w:color w:val="000000" w:themeColor="text1"/>
        </w:rPr>
        <w:t>z</w:t>
      </w:r>
      <w:r w:rsidR="00722E7E">
        <w:rPr>
          <w:color w:val="000000" w:themeColor="text1"/>
        </w:rPr>
        <w:t xml:space="preserve"> delegacj</w:t>
      </w:r>
      <w:r w:rsidR="00947331">
        <w:rPr>
          <w:color w:val="000000" w:themeColor="text1"/>
        </w:rPr>
        <w:t>ą</w:t>
      </w:r>
      <w:r w:rsidR="00722E7E">
        <w:rPr>
          <w:color w:val="000000" w:themeColor="text1"/>
        </w:rPr>
        <w:t xml:space="preserve"> GREVIO.</w:t>
      </w:r>
      <w:r w:rsidRPr="00FA09CC">
        <w:rPr>
          <w:color w:val="000000" w:themeColor="text1"/>
        </w:rPr>
        <w:t xml:space="preserve"> </w:t>
      </w:r>
      <w:r w:rsidR="00722E7E">
        <w:rPr>
          <w:color w:val="000000" w:themeColor="text1"/>
        </w:rPr>
        <w:t xml:space="preserve">Strona polska </w:t>
      </w:r>
      <w:r w:rsidRPr="00FA09CC">
        <w:rPr>
          <w:color w:val="000000" w:themeColor="text1"/>
        </w:rPr>
        <w:t>wskaza</w:t>
      </w:r>
      <w:r w:rsidR="00722E7E">
        <w:rPr>
          <w:color w:val="000000" w:themeColor="text1"/>
        </w:rPr>
        <w:t>ła</w:t>
      </w:r>
      <w:r w:rsidR="00F73E71" w:rsidRPr="00FA09CC">
        <w:rPr>
          <w:color w:val="000000" w:themeColor="text1"/>
        </w:rPr>
        <w:t xml:space="preserve"> wówczas</w:t>
      </w:r>
      <w:r w:rsidRPr="00FA09CC">
        <w:rPr>
          <w:color w:val="000000" w:themeColor="text1"/>
        </w:rPr>
        <w:t xml:space="preserve">, że brak w strategii takich określonych explicite działań </w:t>
      </w:r>
      <w:r w:rsidRPr="00FA09CC">
        <w:rPr>
          <w:rFonts w:eastAsia="Times New Roman"/>
          <w:color w:val="000000" w:themeColor="text1"/>
        </w:rPr>
        <w:t xml:space="preserve">nie oznacza, że zostały one zaniechane. Ustawa </w:t>
      </w:r>
      <w:r w:rsidR="00947331">
        <w:rPr>
          <w:rFonts w:eastAsia="Times New Roman"/>
          <w:color w:val="000000" w:themeColor="text1"/>
        </w:rPr>
        <w:t xml:space="preserve">z 29 grudnia 1992 r. </w:t>
      </w:r>
      <w:r w:rsidRPr="00FA09CC">
        <w:rPr>
          <w:rFonts w:eastAsia="Times New Roman"/>
          <w:color w:val="000000" w:themeColor="text1"/>
        </w:rPr>
        <w:t xml:space="preserve">o radiofonii i telewizji wyraźnie zakazuje wszelkiej dyskryminacji, w tym ze względu na płeć, we wszelkich audycjach i przekazach, </w:t>
      </w:r>
      <w:r w:rsidR="008350C3">
        <w:rPr>
          <w:rFonts w:eastAsia="Times New Roman"/>
          <w:color w:val="000000" w:themeColor="text1"/>
        </w:rPr>
        <w:br/>
      </w:r>
      <w:r w:rsidRPr="00FA09CC">
        <w:rPr>
          <w:rFonts w:eastAsia="Times New Roman"/>
          <w:color w:val="000000" w:themeColor="text1"/>
        </w:rPr>
        <w:t xml:space="preserve">a stwierdzenie naruszenia tego zakazu powoduje nałożenie kary na dostawcę usługi audiowizualnej. W Strategii regulacyjnej nie wymienia się wszystkich obowiązków ustawowych organu regulacyjnego, ale nie oznacza to, że obowiązków w tym zakresie nie ma </w:t>
      </w:r>
      <w:r w:rsidR="004128A3">
        <w:rPr>
          <w:rFonts w:eastAsia="Times New Roman"/>
          <w:color w:val="000000" w:themeColor="text1"/>
        </w:rPr>
        <w:t>–</w:t>
      </w:r>
      <w:r w:rsidRPr="00FA09CC">
        <w:rPr>
          <w:rFonts w:eastAsia="Times New Roman"/>
          <w:color w:val="000000" w:themeColor="text1"/>
        </w:rPr>
        <w:t xml:space="preserve"> wynikają</w:t>
      </w:r>
      <w:r w:rsidR="004128A3">
        <w:rPr>
          <w:rFonts w:eastAsia="Times New Roman"/>
          <w:color w:val="000000" w:themeColor="text1"/>
        </w:rPr>
        <w:t xml:space="preserve"> </w:t>
      </w:r>
      <w:r w:rsidRPr="00FA09CC">
        <w:rPr>
          <w:rFonts w:eastAsia="Times New Roman"/>
          <w:color w:val="000000" w:themeColor="text1"/>
        </w:rPr>
        <w:t xml:space="preserve">one </w:t>
      </w:r>
      <w:r w:rsidR="00513010">
        <w:rPr>
          <w:rFonts w:eastAsia="Times New Roman"/>
          <w:color w:val="000000" w:themeColor="text1"/>
        </w:rPr>
        <w:t xml:space="preserve">wprost </w:t>
      </w:r>
      <w:r w:rsidRPr="00FA09CC">
        <w:rPr>
          <w:rFonts w:eastAsia="Times New Roman"/>
          <w:color w:val="000000" w:themeColor="text1"/>
        </w:rPr>
        <w:t>z ustawy i nie jest konieczne stałe ich przypominanie w dokumentach tworzonych przez Krajową Radę. Realizacja tych obowiązków następuje z mocy samej ustawy i w żaden sposób nie jest zależna od ich wpisania do</w:t>
      </w:r>
      <w:r w:rsidR="00812503" w:rsidRPr="00FA09CC">
        <w:rPr>
          <w:rFonts w:eastAsia="Times New Roman"/>
          <w:color w:val="000000" w:themeColor="text1"/>
        </w:rPr>
        <w:t xml:space="preserve"> dokumentu przyjętego przez Radę.</w:t>
      </w:r>
    </w:p>
    <w:p w:rsidR="0048594A" w:rsidRPr="00FA09CC" w:rsidRDefault="000A0A05" w:rsidP="0024594C">
      <w:pPr>
        <w:ind w:left="0" w:firstLine="0"/>
        <w:rPr>
          <w:iCs/>
        </w:rPr>
      </w:pPr>
      <w:r w:rsidRPr="00FA09CC">
        <w:rPr>
          <w:iCs/>
        </w:rPr>
        <w:t>Po drugie, pozytywne wyniki badania KRRiT sposobu prezentacji kobiet w mediach (</w:t>
      </w:r>
      <w:r w:rsidRPr="00FA09CC">
        <w:rPr>
          <w:color w:val="000000" w:themeColor="text1"/>
        </w:rPr>
        <w:t>Raport na temat wizerunku kobiet w mediach</w:t>
      </w:r>
      <w:r w:rsidR="00CA20CA" w:rsidRPr="00FA09CC">
        <w:rPr>
          <w:color w:val="000000" w:themeColor="text1"/>
        </w:rPr>
        <w:t>,</w:t>
      </w:r>
      <w:r w:rsidRPr="00FA09CC">
        <w:rPr>
          <w:iCs/>
          <w:color w:val="000000" w:themeColor="text1"/>
        </w:rPr>
        <w:t xml:space="preserve"> stanowi</w:t>
      </w:r>
      <w:r w:rsidR="00812503" w:rsidRPr="00FA09CC">
        <w:rPr>
          <w:iCs/>
          <w:color w:val="000000" w:themeColor="text1"/>
        </w:rPr>
        <w:t>ą</w:t>
      </w:r>
      <w:r w:rsidRPr="00FA09CC">
        <w:rPr>
          <w:iCs/>
          <w:color w:val="000000" w:themeColor="text1"/>
        </w:rPr>
        <w:t xml:space="preserve">cy wkład w implementację wskaźników równości płci zalecanych dla regulatorów i dostawców usług medialnych przez działającą </w:t>
      </w:r>
      <w:r w:rsidR="008350C3">
        <w:rPr>
          <w:iCs/>
          <w:color w:val="000000" w:themeColor="text1"/>
        </w:rPr>
        <w:br/>
      </w:r>
      <w:r w:rsidRPr="00FA09CC">
        <w:rPr>
          <w:iCs/>
          <w:color w:val="000000" w:themeColor="text1"/>
        </w:rPr>
        <w:t>w ramach Europejskiej Grupy Regulatorów do spraw Audiowizualnych Usług Medialnych (ERGA)</w:t>
      </w:r>
      <w:r w:rsidRPr="00FA09CC">
        <w:rPr>
          <w:b/>
          <w:iCs/>
          <w:color w:val="000000" w:themeColor="text1"/>
        </w:rPr>
        <w:t xml:space="preserve"> </w:t>
      </w:r>
      <w:r w:rsidRPr="00FA09CC">
        <w:rPr>
          <w:iCs/>
          <w:color w:val="000000" w:themeColor="text1"/>
        </w:rPr>
        <w:t xml:space="preserve">podgrupę roboczą do spraw różnorodności płci) </w:t>
      </w:r>
      <w:r w:rsidRPr="00FA09CC">
        <w:rPr>
          <w:iCs/>
        </w:rPr>
        <w:t>nie dały podstawy do wydania rekomendacji dla sektora medialnego w zakresie przeciwdziałania negatywnym stereotypom dotyczącym kobiet. Badanie było reprezentatywne dla całego rynku medialnego, objęło największych dostawców usług medialnych, zarówno nadawców publicznych, jak też koncesjonowanych, i dotyczyło zróżnicowanych gatunkowo, najpopularniejszych polskich seriali, dostępnych nie tylko w telewizji, ale także w ramach VoD.</w:t>
      </w:r>
    </w:p>
    <w:p w:rsidR="0048594A" w:rsidRPr="00FA09CC" w:rsidRDefault="000A0A05" w:rsidP="0024594C">
      <w:pPr>
        <w:pStyle w:val="Adresodbiorcy"/>
        <w:widowControl w:val="0"/>
        <w:shd w:val="clear" w:color="auto" w:fill="FFFFFF" w:themeFill="background1"/>
        <w:suppressAutoHyphens/>
        <w:spacing w:line="240" w:lineRule="auto"/>
        <w:rPr>
          <w:rFonts w:ascii="Times New Roman" w:hAnsi="Times New Roman"/>
          <w:color w:val="000000" w:themeColor="text1"/>
          <w:spacing w:val="0"/>
          <w:sz w:val="24"/>
          <w:szCs w:val="24"/>
          <w:shd w:val="clear" w:color="auto" w:fill="FFFFFF"/>
        </w:rPr>
      </w:pPr>
      <w:r w:rsidRPr="00FA09CC">
        <w:rPr>
          <w:rFonts w:ascii="Times New Roman" w:hAnsi="Times New Roman"/>
          <w:color w:val="000000" w:themeColor="text1"/>
          <w:spacing w:val="0"/>
          <w:sz w:val="24"/>
          <w:szCs w:val="24"/>
          <w:shd w:val="clear" w:color="auto" w:fill="FFFFFF"/>
        </w:rPr>
        <w:t>W związku ze stwierdzeniem (zdanie trzecie</w:t>
      </w:r>
      <w:r w:rsidR="00947331">
        <w:rPr>
          <w:rFonts w:ascii="Times New Roman" w:hAnsi="Times New Roman"/>
          <w:color w:val="000000" w:themeColor="text1"/>
          <w:spacing w:val="0"/>
          <w:sz w:val="24"/>
          <w:szCs w:val="24"/>
          <w:shd w:val="clear" w:color="auto" w:fill="FFFFFF"/>
        </w:rPr>
        <w:t xml:space="preserve"> paragrafu</w:t>
      </w:r>
      <w:r w:rsidRPr="00FA09CC">
        <w:rPr>
          <w:rFonts w:ascii="Times New Roman" w:hAnsi="Times New Roman"/>
          <w:color w:val="000000" w:themeColor="text1"/>
          <w:spacing w:val="0"/>
          <w:sz w:val="24"/>
          <w:szCs w:val="24"/>
          <w:shd w:val="clear" w:color="auto" w:fill="FFFFFF"/>
        </w:rPr>
        <w:t xml:space="preserve">), że Krajowa Rada Radiofonii </w:t>
      </w:r>
      <w:r w:rsidR="008350C3">
        <w:rPr>
          <w:rFonts w:ascii="Times New Roman" w:hAnsi="Times New Roman"/>
          <w:color w:val="000000" w:themeColor="text1"/>
          <w:spacing w:val="0"/>
          <w:sz w:val="24"/>
          <w:szCs w:val="24"/>
          <w:shd w:val="clear" w:color="auto" w:fill="FFFFFF"/>
        </w:rPr>
        <w:br/>
      </w:r>
      <w:r w:rsidRPr="00FA09CC">
        <w:rPr>
          <w:rFonts w:ascii="Times New Roman" w:hAnsi="Times New Roman"/>
          <w:color w:val="000000" w:themeColor="text1"/>
          <w:spacing w:val="0"/>
          <w:sz w:val="24"/>
          <w:szCs w:val="24"/>
          <w:shd w:val="clear" w:color="auto" w:fill="FFFFFF"/>
        </w:rPr>
        <w:t xml:space="preserve">i Telewizji wydaje rocznie jedynie kilka decyzji, należy </w:t>
      </w:r>
      <w:r w:rsidR="00445495" w:rsidRPr="00FA09CC">
        <w:rPr>
          <w:rFonts w:ascii="Times New Roman" w:hAnsi="Times New Roman"/>
          <w:color w:val="000000" w:themeColor="text1"/>
          <w:spacing w:val="0"/>
          <w:sz w:val="24"/>
          <w:szCs w:val="24"/>
          <w:shd w:val="clear" w:color="auto" w:fill="FFFFFF"/>
        </w:rPr>
        <w:t>podkreślić</w:t>
      </w:r>
      <w:r w:rsidRPr="00FA09CC">
        <w:rPr>
          <w:rFonts w:ascii="Times New Roman" w:hAnsi="Times New Roman"/>
          <w:color w:val="000000" w:themeColor="text1"/>
          <w:spacing w:val="0"/>
          <w:sz w:val="24"/>
          <w:szCs w:val="24"/>
          <w:shd w:val="clear" w:color="auto" w:fill="FFFFFF"/>
        </w:rPr>
        <w:t>, że w opinii Rady jest to pozytywne zjawisko, świadczy bowiem o przestrzeganiu prawa przez podmioty rynkowe. Liczba wydanych decyzji zależy od liczby stwierdzonych naruszeń. W razie stwierdzenia naruszenia nie ma możliwości odstąpienia od wydania decyzji, gdyż jest to zobowiązanie wynikające z ustawy i obligatoryjne</w:t>
      </w:r>
      <w:r w:rsidR="00C639C4" w:rsidRPr="00FA09CC">
        <w:rPr>
          <w:rFonts w:ascii="Times New Roman" w:hAnsi="Times New Roman"/>
          <w:color w:val="000000" w:themeColor="text1"/>
          <w:spacing w:val="0"/>
          <w:sz w:val="24"/>
          <w:szCs w:val="24"/>
          <w:shd w:val="clear" w:color="auto" w:fill="FFFFFF"/>
        </w:rPr>
        <w:t>.</w:t>
      </w:r>
      <w:r w:rsidRPr="00FA09CC">
        <w:rPr>
          <w:rFonts w:ascii="Times New Roman" w:hAnsi="Times New Roman"/>
          <w:color w:val="000000" w:themeColor="text1"/>
          <w:spacing w:val="0"/>
          <w:sz w:val="24"/>
          <w:szCs w:val="24"/>
          <w:shd w:val="clear" w:color="auto" w:fill="FFFFFF"/>
        </w:rPr>
        <w:t xml:space="preserve"> </w:t>
      </w:r>
    </w:p>
    <w:p w:rsidR="00F10C9B" w:rsidRPr="00FA09CC" w:rsidRDefault="00F10C9B" w:rsidP="0024594C">
      <w:pPr>
        <w:ind w:left="0" w:firstLine="0"/>
        <w:rPr>
          <w:color w:val="000000" w:themeColor="text1"/>
        </w:rPr>
      </w:pPr>
    </w:p>
    <w:p w:rsidR="00F10C9B" w:rsidRPr="00FA09CC" w:rsidRDefault="000A0A05" w:rsidP="0024594C">
      <w:pPr>
        <w:ind w:left="0" w:firstLine="0"/>
        <w:rPr>
          <w:b/>
          <w:color w:val="000000" w:themeColor="text1"/>
        </w:rPr>
      </w:pPr>
      <w:r w:rsidRPr="00FA09CC">
        <w:rPr>
          <w:b/>
          <w:color w:val="000000" w:themeColor="text1"/>
        </w:rPr>
        <w:t>Paragraf 111 – zasady etyki dziennikarskiej</w:t>
      </w:r>
    </w:p>
    <w:p w:rsidR="00F10C9B" w:rsidRPr="00FA09CC" w:rsidRDefault="000A0A05" w:rsidP="0024594C">
      <w:pPr>
        <w:ind w:left="0" w:firstLine="0"/>
        <w:rPr>
          <w:rFonts w:eastAsia="Times New Roman"/>
          <w:color w:val="000000" w:themeColor="text1"/>
        </w:rPr>
      </w:pPr>
      <w:r w:rsidRPr="00FA09CC">
        <w:rPr>
          <w:color w:val="000000" w:themeColor="text1"/>
        </w:rPr>
        <w:t xml:space="preserve"> W związku z uwagami dotyczącymi treści kodeksów postępowania</w:t>
      </w:r>
      <w:r w:rsidR="00513010">
        <w:rPr>
          <w:color w:val="000000" w:themeColor="text1"/>
        </w:rPr>
        <w:t>,</w:t>
      </w:r>
      <w:r w:rsidRPr="00FA09CC">
        <w:rPr>
          <w:color w:val="000000" w:themeColor="text1"/>
        </w:rPr>
        <w:t xml:space="preserve"> przyjmowanych przez media i stowarzyszenia dziennikarzy, należy wskazać, że Trybunał Konstytucyjny, w wyroku z 23 marca 2006 r. (</w:t>
      </w:r>
      <w:r w:rsidRPr="00FA09CC">
        <w:rPr>
          <w:rFonts w:eastAsia="Times New Roman"/>
          <w:color w:val="000000" w:themeColor="text1"/>
        </w:rPr>
        <w:t xml:space="preserve">K 4/06) </w:t>
      </w:r>
      <w:r w:rsidRPr="00FA09CC">
        <w:rPr>
          <w:color w:val="000000" w:themeColor="text1"/>
        </w:rPr>
        <w:t>stwierdził, między innymi, że o</w:t>
      </w:r>
      <w:r w:rsidRPr="00FA09CC">
        <w:rPr>
          <w:rFonts w:eastAsia="Times New Roman"/>
          <w:color w:val="000000" w:themeColor="text1"/>
        </w:rPr>
        <w:t xml:space="preserve">rgan władzy publicznej, jakim jest </w:t>
      </w:r>
      <w:r w:rsidRPr="00FA09CC">
        <w:rPr>
          <w:rFonts w:eastAsia="Times New Roman"/>
          <w:color w:val="000000" w:themeColor="text1"/>
        </w:rPr>
        <w:lastRenderedPageBreak/>
        <w:t xml:space="preserve">Krajowa Rada Radiofonii i Telewizji, nie powinien być uprawniony do podejmowania działań w zakresie określania zasad etyki dziennikarskiej oraz egzekwowania przestrzegania tych zasad. W opinii Trybunału Konstytucyjnego otwartość i wysoki stopień niedookreśloności klauzuli etyki dziennikarskiej, w powiązaniu z brakiem gwarancji instytucjonalnych </w:t>
      </w:r>
      <w:r w:rsidR="008350C3">
        <w:rPr>
          <w:rFonts w:eastAsia="Times New Roman"/>
          <w:color w:val="000000" w:themeColor="text1"/>
        </w:rPr>
        <w:br/>
      </w:r>
      <w:r w:rsidRPr="00FA09CC">
        <w:rPr>
          <w:rFonts w:eastAsia="Times New Roman"/>
          <w:color w:val="000000" w:themeColor="text1"/>
        </w:rPr>
        <w:t xml:space="preserve">i proceduralnych sprawia, że od każdorazowej, arbitralnej oceny Rady zależałoby, czym jest etyka dziennikarska i czy dane zachowanie było zgodne z zasadami etyki dziennikarskiej. Taki stan rzeczy stwarzałby realne zagrożenie niekontrolowanego i niezgodnego </w:t>
      </w:r>
      <w:r w:rsidR="008350C3">
        <w:rPr>
          <w:rFonts w:eastAsia="Times New Roman"/>
          <w:color w:val="000000" w:themeColor="text1"/>
        </w:rPr>
        <w:br/>
      </w:r>
      <w:r w:rsidRPr="00FA09CC">
        <w:rPr>
          <w:rFonts w:eastAsia="Times New Roman"/>
          <w:color w:val="000000" w:themeColor="text1"/>
        </w:rPr>
        <w:t>z Konstytucją RP ograniczania wolności słowa.</w:t>
      </w:r>
      <w:r w:rsidRPr="00FA09CC">
        <w:rPr>
          <w:color w:val="000000" w:themeColor="text1"/>
        </w:rPr>
        <w:t xml:space="preserve"> </w:t>
      </w:r>
      <w:r w:rsidRPr="00FA09CC">
        <w:rPr>
          <w:rFonts w:eastAsia="Times New Roman"/>
          <w:color w:val="000000" w:themeColor="text1"/>
        </w:rPr>
        <w:t xml:space="preserve">Trybunał Konstytucyjny stwierdził, że przyznanie Radzie zadania w postaci „inicjowania i podejmowania działań w zakresie ochrony zasad etyki dziennikarskiej” wykracza poza rolę i pozycję ustrojową tego organu. </w:t>
      </w:r>
      <w:r w:rsidR="00513010">
        <w:rPr>
          <w:rFonts w:eastAsia="Times New Roman"/>
          <w:color w:val="000000" w:themeColor="text1"/>
        </w:rPr>
        <w:t>Nie jest z</w:t>
      </w:r>
      <w:r w:rsidRPr="00FA09CC">
        <w:rPr>
          <w:rFonts w:eastAsia="Times New Roman"/>
          <w:color w:val="000000" w:themeColor="text1"/>
        </w:rPr>
        <w:t>adaniem organów państwowych</w:t>
      </w:r>
      <w:r w:rsidR="00513010">
        <w:rPr>
          <w:rFonts w:eastAsia="Times New Roman"/>
          <w:color w:val="000000" w:themeColor="text1"/>
        </w:rPr>
        <w:t>,</w:t>
      </w:r>
      <w:r w:rsidRPr="00FA09CC">
        <w:rPr>
          <w:rFonts w:eastAsia="Times New Roman"/>
          <w:color w:val="000000" w:themeColor="text1"/>
        </w:rPr>
        <w:t xml:space="preserve"> realizujących politykę w zakresie koncesjonowania działalności nadawców</w:t>
      </w:r>
      <w:r w:rsidR="00513010">
        <w:rPr>
          <w:rFonts w:eastAsia="Times New Roman"/>
          <w:color w:val="000000" w:themeColor="text1"/>
        </w:rPr>
        <w:t xml:space="preserve">, </w:t>
      </w:r>
      <w:r w:rsidRPr="00FA09CC">
        <w:rPr>
          <w:rFonts w:eastAsia="Times New Roman"/>
          <w:color w:val="000000" w:themeColor="text1"/>
        </w:rPr>
        <w:t>ustalanie standardów etyki zawodowej</w:t>
      </w:r>
      <w:r w:rsidR="00070821">
        <w:rPr>
          <w:rFonts w:eastAsia="Times New Roman"/>
          <w:color w:val="000000" w:themeColor="text1"/>
        </w:rPr>
        <w:t xml:space="preserve"> i </w:t>
      </w:r>
      <w:r w:rsidRPr="00FA09CC">
        <w:rPr>
          <w:rFonts w:eastAsia="Times New Roman"/>
          <w:color w:val="000000" w:themeColor="text1"/>
        </w:rPr>
        <w:t xml:space="preserve">ich egzekwowanie. </w:t>
      </w:r>
    </w:p>
    <w:p w:rsidR="00FF6949" w:rsidRPr="00FA09CC" w:rsidRDefault="000A0A05" w:rsidP="0024594C">
      <w:pPr>
        <w:ind w:left="0" w:firstLine="0"/>
        <w:rPr>
          <w:iCs/>
        </w:rPr>
      </w:pPr>
      <w:r w:rsidRPr="00FA09CC">
        <w:rPr>
          <w:rFonts w:eastAsia="Times New Roman"/>
          <w:color w:val="000000" w:themeColor="text1"/>
        </w:rPr>
        <w:t xml:space="preserve">Te względy powodują, że Rada, co do zasady, nie ma możliwości wpływania na działania nadawców w zakresie tworzenia dziennikarskich kodeksów etycznych czy monitorowania tego rodzaju działalności. </w:t>
      </w:r>
      <w:r w:rsidRPr="00FA09CC">
        <w:rPr>
          <w:iCs/>
        </w:rPr>
        <w:t>W zakresie zasad etyki dziennikarskiej decydujące stanowisko co do ich kształtu i zakresu należy do mediów i dziennikarzy.</w:t>
      </w:r>
    </w:p>
    <w:p w:rsidR="00646D87" w:rsidRPr="00FA09CC" w:rsidRDefault="00646D87" w:rsidP="0024594C">
      <w:pPr>
        <w:pStyle w:val="Adresodbiorcy"/>
        <w:widowControl w:val="0"/>
        <w:shd w:val="clear" w:color="auto" w:fill="FFFFFF" w:themeFill="background1"/>
        <w:suppressAutoHyphens/>
        <w:spacing w:line="240" w:lineRule="auto"/>
        <w:rPr>
          <w:rFonts w:ascii="Times New Roman" w:hAnsi="Times New Roman"/>
          <w:b/>
          <w:color w:val="000000" w:themeColor="text1"/>
          <w:spacing w:val="0"/>
          <w:sz w:val="24"/>
          <w:szCs w:val="24"/>
          <w:shd w:val="clear" w:color="auto" w:fill="FFFFFF"/>
        </w:rPr>
      </w:pPr>
    </w:p>
    <w:p w:rsidR="00646D87" w:rsidRPr="00FA09CC" w:rsidRDefault="000A0A05" w:rsidP="0024594C">
      <w:pPr>
        <w:pStyle w:val="Adresodbiorcy"/>
        <w:widowControl w:val="0"/>
        <w:shd w:val="clear" w:color="auto" w:fill="FFFFFF" w:themeFill="background1"/>
        <w:suppressAutoHyphens/>
        <w:spacing w:line="240" w:lineRule="auto"/>
        <w:rPr>
          <w:rFonts w:ascii="Times New Roman" w:hAnsi="Times New Roman"/>
          <w:b/>
          <w:color w:val="000000" w:themeColor="text1"/>
          <w:spacing w:val="0"/>
          <w:sz w:val="24"/>
          <w:szCs w:val="24"/>
          <w:shd w:val="clear" w:color="auto" w:fill="FFFFFF"/>
        </w:rPr>
      </w:pPr>
      <w:r w:rsidRPr="00FA09CC">
        <w:rPr>
          <w:rFonts w:ascii="Times New Roman" w:hAnsi="Times New Roman"/>
          <w:b/>
          <w:color w:val="000000" w:themeColor="text1"/>
          <w:spacing w:val="0"/>
          <w:sz w:val="24"/>
          <w:szCs w:val="24"/>
          <w:shd w:val="clear" w:color="auto" w:fill="FFFFFF"/>
        </w:rPr>
        <w:t>Paragraf 112 – ograniczenia wolności mediów, wpływające na możliwości informowania i wyrażania opinii na temat równości płci oraz przemocy wobec kobiet</w:t>
      </w:r>
    </w:p>
    <w:p w:rsidR="00F27EB0" w:rsidRPr="00FA09CC" w:rsidRDefault="000A0A05" w:rsidP="0024594C">
      <w:pPr>
        <w:ind w:left="0" w:firstLine="0"/>
        <w:rPr>
          <w:rFonts w:eastAsia="Times New Roman"/>
          <w:color w:val="000000" w:themeColor="text1"/>
        </w:rPr>
      </w:pPr>
      <w:r w:rsidRPr="00FA09CC">
        <w:rPr>
          <w:rFonts w:eastAsia="Times New Roman"/>
          <w:color w:val="000000" w:themeColor="text1"/>
        </w:rPr>
        <w:t xml:space="preserve">Przedstawione </w:t>
      </w:r>
      <w:r w:rsidR="00F73E71" w:rsidRPr="00FA09CC">
        <w:rPr>
          <w:rFonts w:eastAsia="Times New Roman"/>
          <w:color w:val="000000" w:themeColor="text1"/>
        </w:rPr>
        <w:t xml:space="preserve">w </w:t>
      </w:r>
      <w:r w:rsidR="00C41D0A">
        <w:rPr>
          <w:rFonts w:eastAsia="Times New Roman"/>
          <w:color w:val="000000" w:themeColor="text1"/>
        </w:rPr>
        <w:t xml:space="preserve">tej części raportu </w:t>
      </w:r>
      <w:r w:rsidRPr="00FA09CC">
        <w:rPr>
          <w:rFonts w:eastAsia="Times New Roman"/>
          <w:color w:val="000000" w:themeColor="text1"/>
        </w:rPr>
        <w:t xml:space="preserve">spostrzeżenia i wnioski mają ogólnikowy charakter, </w:t>
      </w:r>
      <w:r w:rsidR="00445495" w:rsidRPr="00FA09CC">
        <w:rPr>
          <w:rFonts w:eastAsia="Times New Roman"/>
          <w:color w:val="000000" w:themeColor="text1"/>
        </w:rPr>
        <w:t>nie zostało wskazane</w:t>
      </w:r>
      <w:r w:rsidRPr="00FA09CC">
        <w:rPr>
          <w:rFonts w:eastAsia="Times New Roman"/>
          <w:color w:val="000000" w:themeColor="text1"/>
        </w:rPr>
        <w:t xml:space="preserve">, na jakiej podstawie zostały </w:t>
      </w:r>
      <w:r w:rsidR="00445495" w:rsidRPr="00FA09CC">
        <w:rPr>
          <w:rFonts w:eastAsia="Times New Roman"/>
          <w:color w:val="000000" w:themeColor="text1"/>
        </w:rPr>
        <w:t xml:space="preserve">one </w:t>
      </w:r>
      <w:r w:rsidRPr="00FA09CC">
        <w:rPr>
          <w:rFonts w:eastAsia="Times New Roman"/>
          <w:color w:val="000000" w:themeColor="text1"/>
        </w:rPr>
        <w:t xml:space="preserve">sformułowane. </w:t>
      </w:r>
      <w:r w:rsidR="001640B2">
        <w:rPr>
          <w:rFonts w:eastAsia="Times New Roman"/>
          <w:color w:val="000000" w:themeColor="text1"/>
        </w:rPr>
        <w:t>Ponadto, u</w:t>
      </w:r>
      <w:r w:rsidRPr="00FA09CC">
        <w:rPr>
          <w:rFonts w:eastAsia="Times New Roman"/>
          <w:color w:val="000000" w:themeColor="text1"/>
        </w:rPr>
        <w:t>wagi dotyczące, generalnie, niezależności mediów i swobody informowania, nie mieszczą się w zakresie przedmiotowym konwencji.</w:t>
      </w:r>
    </w:p>
    <w:p w:rsidR="00646D87" w:rsidRPr="00FA09CC" w:rsidRDefault="000A0A05" w:rsidP="0024594C">
      <w:pPr>
        <w:pStyle w:val="Adresodbiorcy"/>
        <w:widowControl w:val="0"/>
        <w:shd w:val="clear" w:color="auto" w:fill="FFFFFF" w:themeFill="background1"/>
        <w:suppressAutoHyphens/>
        <w:spacing w:line="240" w:lineRule="auto"/>
        <w:rPr>
          <w:rFonts w:ascii="Times New Roman" w:hAnsi="Times New Roman"/>
          <w:color w:val="000000" w:themeColor="text1"/>
          <w:spacing w:val="0"/>
          <w:sz w:val="24"/>
          <w:szCs w:val="24"/>
          <w:shd w:val="clear" w:color="auto" w:fill="FFFFFF"/>
        </w:rPr>
      </w:pPr>
      <w:r w:rsidRPr="00FA09CC">
        <w:rPr>
          <w:rFonts w:ascii="Times New Roman" w:hAnsi="Times New Roman"/>
          <w:color w:val="000000" w:themeColor="text1"/>
          <w:spacing w:val="0"/>
          <w:sz w:val="24"/>
          <w:szCs w:val="24"/>
          <w:shd w:val="clear" w:color="auto" w:fill="FFFFFF"/>
        </w:rPr>
        <w:t>Nie można zgodzić się z zawartym w raporcie stwierdzeniem, że istnieje ryzyko ograniczenia wolności mediów w Polsce. Wolność działalności mediów gwarantowana jest zarówno przez Konstytucję RP (w szczególności art. 54), jak i na poziomie ustawowym (ustawa z 26 stycznia 1984 r. Prawo prasowe). Wprowadzane w ostatnich latach zmiany ustawy – Prawo prasowe przyczyniają się do zwiększenia swobody dziennikarskiej, między innymi zliberalizowano przepisy dotyczące autoryzacji wypowiedzi dla prasy, wprowadzono zakaz rozwiązywania um</w:t>
      </w:r>
      <w:r w:rsidR="001B4396">
        <w:rPr>
          <w:rFonts w:ascii="Times New Roman" w:hAnsi="Times New Roman"/>
          <w:color w:val="000000" w:themeColor="text1"/>
          <w:spacing w:val="0"/>
          <w:sz w:val="24"/>
          <w:szCs w:val="24"/>
          <w:shd w:val="clear" w:color="auto" w:fill="FFFFFF"/>
        </w:rPr>
        <w:t>owy</w:t>
      </w:r>
      <w:r w:rsidRPr="00FA09CC">
        <w:rPr>
          <w:rFonts w:ascii="Times New Roman" w:hAnsi="Times New Roman"/>
          <w:color w:val="000000" w:themeColor="text1"/>
          <w:spacing w:val="0"/>
          <w:sz w:val="24"/>
          <w:szCs w:val="24"/>
          <w:shd w:val="clear" w:color="auto" w:fill="FFFFFF"/>
        </w:rPr>
        <w:t xml:space="preserve"> o pracę z dziennikarzem, który narusza linię redakcyjną danego wydawcy.</w:t>
      </w:r>
    </w:p>
    <w:p w:rsidR="00646D87" w:rsidRPr="00FA09CC" w:rsidRDefault="00AA75A9" w:rsidP="0024594C">
      <w:pPr>
        <w:pStyle w:val="Adresodbiorcy"/>
        <w:widowControl w:val="0"/>
        <w:shd w:val="clear" w:color="auto" w:fill="FFFFFF" w:themeFill="background1"/>
        <w:suppressAutoHyphens/>
        <w:spacing w:line="240" w:lineRule="auto"/>
        <w:rPr>
          <w:rFonts w:ascii="Times New Roman" w:hAnsi="Times New Roman"/>
          <w:color w:val="000000" w:themeColor="text1"/>
          <w:spacing w:val="0"/>
          <w:sz w:val="24"/>
          <w:szCs w:val="24"/>
        </w:rPr>
      </w:pPr>
      <w:r w:rsidRPr="00FA09CC">
        <w:rPr>
          <w:rFonts w:ascii="Times New Roman" w:hAnsi="Times New Roman"/>
          <w:color w:val="000000" w:themeColor="text1"/>
          <w:spacing w:val="0"/>
          <w:sz w:val="24"/>
          <w:szCs w:val="24"/>
        </w:rPr>
        <w:t xml:space="preserve">Jako wyraz dobrych praktyk należy wskazać </w:t>
      </w:r>
      <w:r w:rsidR="00D31526" w:rsidRPr="00FA09CC">
        <w:rPr>
          <w:rFonts w:ascii="Times New Roman" w:hAnsi="Times New Roman"/>
          <w:color w:val="000000" w:themeColor="text1"/>
          <w:spacing w:val="0"/>
          <w:sz w:val="24"/>
          <w:szCs w:val="24"/>
        </w:rPr>
        <w:t xml:space="preserve">rozwiązania programowe </w:t>
      </w:r>
      <w:r w:rsidR="00F72C94">
        <w:rPr>
          <w:rFonts w:ascii="Times New Roman" w:hAnsi="Times New Roman"/>
          <w:color w:val="000000" w:themeColor="text1"/>
          <w:spacing w:val="0"/>
          <w:sz w:val="24"/>
          <w:szCs w:val="24"/>
        </w:rPr>
        <w:t xml:space="preserve">stanowiące odpowiedź na </w:t>
      </w:r>
      <w:r w:rsidR="000A0A05" w:rsidRPr="00FA09CC">
        <w:rPr>
          <w:rFonts w:ascii="Times New Roman" w:hAnsi="Times New Roman"/>
          <w:color w:val="000000" w:themeColor="text1"/>
          <w:spacing w:val="0"/>
          <w:sz w:val="24"/>
          <w:szCs w:val="24"/>
        </w:rPr>
        <w:t>negatywn</w:t>
      </w:r>
      <w:r w:rsidR="00F72C94">
        <w:rPr>
          <w:rFonts w:ascii="Times New Roman" w:hAnsi="Times New Roman"/>
          <w:color w:val="000000" w:themeColor="text1"/>
          <w:spacing w:val="0"/>
          <w:sz w:val="24"/>
          <w:szCs w:val="24"/>
        </w:rPr>
        <w:t>y</w:t>
      </w:r>
      <w:r w:rsidR="000A0A05" w:rsidRPr="00FA09CC">
        <w:rPr>
          <w:rFonts w:ascii="Times New Roman" w:hAnsi="Times New Roman"/>
          <w:color w:val="000000" w:themeColor="text1"/>
          <w:spacing w:val="0"/>
          <w:sz w:val="24"/>
          <w:szCs w:val="24"/>
        </w:rPr>
        <w:t xml:space="preserve"> wpływ przekazu medialnego seksualizującego wizerunek kobiet, w celu wstrzymania przekazu upodlającego, czy wykorzystującego cechy kobiet.</w:t>
      </w:r>
    </w:p>
    <w:p w:rsidR="00D31526" w:rsidRPr="00FA09CC" w:rsidRDefault="00BE5A2E" w:rsidP="0024594C">
      <w:pPr>
        <w:pStyle w:val="Adresodbiorcy"/>
        <w:widowControl w:val="0"/>
        <w:shd w:val="clear" w:color="auto" w:fill="FFFFFF" w:themeFill="background1"/>
        <w:suppressAutoHyphens/>
        <w:spacing w:line="240" w:lineRule="auto"/>
        <w:rPr>
          <w:rFonts w:ascii="Times New Roman" w:hAnsi="Times New Roman"/>
          <w:color w:val="000000" w:themeColor="text1"/>
          <w:spacing w:val="0"/>
          <w:sz w:val="24"/>
          <w:szCs w:val="24"/>
          <w:shd w:val="clear" w:color="auto" w:fill="FFFFFF"/>
        </w:rPr>
      </w:pPr>
      <w:r w:rsidRPr="00FA09CC">
        <w:rPr>
          <w:rFonts w:ascii="Times New Roman" w:eastAsiaTheme="minorEastAsia" w:hAnsi="Times New Roman"/>
          <w:spacing w:val="0"/>
          <w:sz w:val="24"/>
          <w:szCs w:val="24"/>
          <w:lang w:eastAsia="pl-PL"/>
        </w:rPr>
        <w:t>Jeżeli chodzi o kwestię wizerunku kobiety, czę</w:t>
      </w:r>
      <w:r w:rsidR="00445495" w:rsidRPr="00FA09CC">
        <w:rPr>
          <w:rFonts w:ascii="Times New Roman" w:eastAsiaTheme="minorEastAsia" w:hAnsi="Times New Roman"/>
          <w:spacing w:val="0"/>
          <w:sz w:val="24"/>
          <w:szCs w:val="24"/>
          <w:lang w:eastAsia="pl-PL"/>
        </w:rPr>
        <w:t xml:space="preserve">sto podnoszoną przez GREVIO, to </w:t>
      </w:r>
      <w:r w:rsidRPr="00FA09CC">
        <w:rPr>
          <w:rFonts w:ascii="Times New Roman" w:eastAsiaTheme="minorEastAsia" w:hAnsi="Times New Roman"/>
          <w:spacing w:val="0"/>
          <w:sz w:val="24"/>
          <w:szCs w:val="24"/>
          <w:lang w:eastAsia="pl-PL"/>
        </w:rPr>
        <w:t xml:space="preserve">dostrzega się potrzebę dokonania zmian legislacyjnych, w celu </w:t>
      </w:r>
      <w:r w:rsidR="009C7964">
        <w:rPr>
          <w:rFonts w:ascii="Times New Roman" w:eastAsiaTheme="minorEastAsia" w:hAnsi="Times New Roman"/>
          <w:spacing w:val="0"/>
          <w:sz w:val="24"/>
          <w:szCs w:val="24"/>
          <w:lang w:eastAsia="pl-PL"/>
        </w:rPr>
        <w:t>odzwierciedlenia w prawie</w:t>
      </w:r>
      <w:r w:rsidRPr="00FA09CC">
        <w:rPr>
          <w:rFonts w:ascii="Times New Roman" w:eastAsiaTheme="minorEastAsia" w:hAnsi="Times New Roman"/>
          <w:spacing w:val="0"/>
          <w:sz w:val="24"/>
          <w:szCs w:val="24"/>
          <w:lang w:eastAsia="pl-PL"/>
        </w:rPr>
        <w:t>, że promowanie i prezentowanie treści pornograficznych, a także innych form seksualizujących wizerun</w:t>
      </w:r>
      <w:r w:rsidR="00AA46A6" w:rsidRPr="00FA09CC">
        <w:rPr>
          <w:rFonts w:ascii="Times New Roman" w:eastAsiaTheme="minorEastAsia" w:hAnsi="Times New Roman"/>
          <w:spacing w:val="0"/>
          <w:sz w:val="24"/>
          <w:szCs w:val="24"/>
          <w:lang w:eastAsia="pl-PL"/>
        </w:rPr>
        <w:t>ek</w:t>
      </w:r>
      <w:r w:rsidRPr="00FA09CC">
        <w:rPr>
          <w:rFonts w:ascii="Times New Roman" w:eastAsiaTheme="minorEastAsia" w:hAnsi="Times New Roman"/>
          <w:spacing w:val="0"/>
          <w:sz w:val="24"/>
          <w:szCs w:val="24"/>
          <w:lang w:eastAsia="pl-PL"/>
        </w:rPr>
        <w:t xml:space="preserve"> kobiet i dziewcząt, jest przejawem ich dyskryminacji, odbierania godności oraz formą wykorzystywania, a także elementem przemocy na tle seksualnym. W związku z tym, podjęte zostały badania i analizy, których wyniki będą stanowić punkt wyjścia do dalszych </w:t>
      </w:r>
      <w:r w:rsidR="009C7964">
        <w:rPr>
          <w:rFonts w:ascii="Times New Roman" w:eastAsiaTheme="minorEastAsia" w:hAnsi="Times New Roman"/>
          <w:spacing w:val="0"/>
          <w:sz w:val="24"/>
          <w:szCs w:val="24"/>
          <w:lang w:eastAsia="pl-PL"/>
        </w:rPr>
        <w:t>prac</w:t>
      </w:r>
      <w:r w:rsidR="00445495" w:rsidRPr="00FA09CC">
        <w:rPr>
          <w:rFonts w:ascii="Times New Roman" w:eastAsiaTheme="minorEastAsia" w:hAnsi="Times New Roman"/>
          <w:spacing w:val="0"/>
          <w:sz w:val="24"/>
          <w:szCs w:val="24"/>
          <w:lang w:eastAsia="pl-PL"/>
        </w:rPr>
        <w:t>.</w:t>
      </w:r>
    </w:p>
    <w:p w:rsidR="00E263CD" w:rsidRDefault="00E263CD" w:rsidP="0024594C">
      <w:pPr>
        <w:pStyle w:val="Standard"/>
        <w:jc w:val="both"/>
        <w:rPr>
          <w:rFonts w:ascii="Times New Roman" w:eastAsiaTheme="minorHAnsi" w:hAnsi="Times New Roman" w:cs="Times New Roman"/>
          <w:b/>
          <w:bCs/>
          <w:color w:val="000000" w:themeColor="text1"/>
          <w:kern w:val="0"/>
          <w:lang w:eastAsia="en-US" w:bidi="ar-SA"/>
        </w:rPr>
      </w:pPr>
    </w:p>
    <w:p w:rsidR="00E65D89" w:rsidRPr="00FA09CC" w:rsidRDefault="000A0A05" w:rsidP="0024594C">
      <w:pPr>
        <w:pStyle w:val="Standard"/>
        <w:jc w:val="both"/>
        <w:rPr>
          <w:rFonts w:ascii="Times New Roman" w:hAnsi="Times New Roman" w:cs="Times New Roman"/>
          <w:bCs/>
          <w:color w:val="000000" w:themeColor="text1"/>
        </w:rPr>
      </w:pPr>
      <w:r w:rsidRPr="00FA09CC">
        <w:rPr>
          <w:rFonts w:ascii="Times New Roman" w:hAnsi="Times New Roman" w:cs="Times New Roman"/>
          <w:b/>
          <w:bCs/>
          <w:color w:val="000000" w:themeColor="text1"/>
        </w:rPr>
        <w:t xml:space="preserve">Paragraf 118 </w:t>
      </w:r>
      <w:r w:rsidRPr="00FA09CC">
        <w:rPr>
          <w:rFonts w:ascii="Times New Roman" w:hAnsi="Times New Roman" w:cs="Times New Roman"/>
          <w:b/>
          <w:color w:val="000000" w:themeColor="text1"/>
        </w:rPr>
        <w:t>– udział przedstawicieli wymiaru sprawiedliwości w realizacji procedury „Niebieskiej Karty”</w:t>
      </w:r>
    </w:p>
    <w:p w:rsidR="00C429AE" w:rsidRPr="00FA09CC" w:rsidRDefault="000A0A05" w:rsidP="0024594C">
      <w:pPr>
        <w:pStyle w:val="Standard"/>
        <w:jc w:val="both"/>
        <w:rPr>
          <w:rFonts w:ascii="Times New Roman" w:eastAsia="TimesNewRomanPSMT" w:hAnsi="Times New Roman" w:cs="Times New Roman"/>
          <w:color w:val="000000" w:themeColor="text1"/>
        </w:rPr>
      </w:pPr>
      <w:r w:rsidRPr="00FA09CC">
        <w:rPr>
          <w:rFonts w:ascii="Times New Roman" w:hAnsi="Times New Roman" w:cs="Times New Roman"/>
          <w:bCs/>
          <w:color w:val="000000" w:themeColor="text1"/>
        </w:rPr>
        <w:t>W</w:t>
      </w:r>
      <w:r w:rsidRPr="00FA09CC">
        <w:rPr>
          <w:rFonts w:ascii="Times New Roman" w:eastAsia="TimesNewRomanPSMT" w:hAnsi="Times New Roman" w:cs="Times New Roman"/>
          <w:color w:val="000000" w:themeColor="text1"/>
        </w:rPr>
        <w:t>sparcie udzielane ofiarom przemocy w rodzinie, w ramach procedury „Niebieskiej Karty”, opiera się na</w:t>
      </w:r>
      <w:r w:rsidR="00070821">
        <w:rPr>
          <w:rFonts w:ascii="Times New Roman" w:eastAsia="TimesNewRomanPSMT" w:hAnsi="Times New Roman" w:cs="Times New Roman"/>
          <w:color w:val="000000" w:themeColor="text1"/>
        </w:rPr>
        <w:t>,</w:t>
      </w:r>
      <w:r w:rsidRPr="00FA09CC">
        <w:rPr>
          <w:rFonts w:ascii="Times New Roman" w:eastAsia="TimesNewRomanPSMT" w:hAnsi="Times New Roman" w:cs="Times New Roman"/>
          <w:color w:val="000000" w:themeColor="text1"/>
        </w:rPr>
        <w:t xml:space="preserve"> opracowan</w:t>
      </w:r>
      <w:r w:rsidR="00070821">
        <w:rPr>
          <w:rFonts w:ascii="Times New Roman" w:eastAsia="TimesNewRomanPSMT" w:hAnsi="Times New Roman" w:cs="Times New Roman"/>
          <w:color w:val="000000" w:themeColor="text1"/>
        </w:rPr>
        <w:t>ym</w:t>
      </w:r>
      <w:r w:rsidRPr="00FA09CC">
        <w:rPr>
          <w:rFonts w:ascii="Times New Roman" w:eastAsia="TimesNewRomanPSMT" w:hAnsi="Times New Roman" w:cs="Times New Roman"/>
          <w:color w:val="000000" w:themeColor="text1"/>
        </w:rPr>
        <w:t xml:space="preserve"> wspólnie z osobą doznającą przemocy w rodzinie, indywidualn</w:t>
      </w:r>
      <w:r w:rsidR="00070821">
        <w:rPr>
          <w:rFonts w:ascii="Times New Roman" w:eastAsia="TimesNewRomanPSMT" w:hAnsi="Times New Roman" w:cs="Times New Roman"/>
          <w:color w:val="000000" w:themeColor="text1"/>
        </w:rPr>
        <w:t>ym</w:t>
      </w:r>
      <w:r w:rsidRPr="00FA09CC">
        <w:rPr>
          <w:rFonts w:ascii="Times New Roman" w:eastAsia="TimesNewRomanPSMT" w:hAnsi="Times New Roman" w:cs="Times New Roman"/>
          <w:color w:val="000000" w:themeColor="text1"/>
        </w:rPr>
        <w:t xml:space="preserve"> plan</w:t>
      </w:r>
      <w:r w:rsidR="00070821">
        <w:rPr>
          <w:rFonts w:ascii="Times New Roman" w:eastAsia="TimesNewRomanPSMT" w:hAnsi="Times New Roman" w:cs="Times New Roman"/>
          <w:color w:val="000000" w:themeColor="text1"/>
        </w:rPr>
        <w:t>ie</w:t>
      </w:r>
      <w:r w:rsidRPr="00FA09CC">
        <w:rPr>
          <w:rFonts w:ascii="Times New Roman" w:eastAsia="TimesNewRomanPSMT" w:hAnsi="Times New Roman" w:cs="Times New Roman"/>
          <w:color w:val="000000" w:themeColor="text1"/>
        </w:rPr>
        <w:t xml:space="preserve"> pomocy. Indywidualny plan przewiduje podejmowanie działań przez różne służby: jednostki organizacyjne pomocy społecznej, gminne komisje rozwiązywania problemów alkoholowych, Policję, jednostki oświaty</w:t>
      </w:r>
      <w:r w:rsidR="00070821">
        <w:rPr>
          <w:rFonts w:ascii="Times New Roman" w:eastAsia="TimesNewRomanPSMT" w:hAnsi="Times New Roman" w:cs="Times New Roman"/>
          <w:color w:val="000000" w:themeColor="text1"/>
        </w:rPr>
        <w:t xml:space="preserve"> i</w:t>
      </w:r>
      <w:r w:rsidRPr="00FA09CC">
        <w:rPr>
          <w:rFonts w:ascii="Times New Roman" w:eastAsia="TimesNewRomanPSMT" w:hAnsi="Times New Roman" w:cs="Times New Roman"/>
          <w:color w:val="000000" w:themeColor="text1"/>
        </w:rPr>
        <w:t xml:space="preserve"> ochrony zdrowia, a także inne służby działające w obszarze prawa, terapii, opieki zdrowotnej, wsparcia socjalnego i prawnego, </w:t>
      </w:r>
      <w:r w:rsidRPr="00FA09CC">
        <w:rPr>
          <w:rFonts w:ascii="Times New Roman" w:eastAsia="TimesNewRomanPSMT" w:hAnsi="Times New Roman" w:cs="Times New Roman"/>
          <w:color w:val="000000" w:themeColor="text1"/>
        </w:rPr>
        <w:lastRenderedPageBreak/>
        <w:t>wsparcia dzieci. Fakt, że udział przedstawicieli organów wymiaru sprawiedliwości w pracach zespołów interdyscyplinarnych i grup roboczych jest fakultatywny, nie wpływa negatywnie na jakość wsparcia udzielanego ofiarom przemocy. Każdorazowo, kiedy ich udział w realizacji procedury „Niebieskie</w:t>
      </w:r>
      <w:r w:rsidR="00947331">
        <w:rPr>
          <w:rFonts w:ascii="Times New Roman" w:eastAsia="TimesNewRomanPSMT" w:hAnsi="Times New Roman" w:cs="Times New Roman"/>
          <w:color w:val="000000" w:themeColor="text1"/>
        </w:rPr>
        <w:t>j</w:t>
      </w:r>
      <w:r w:rsidRPr="00FA09CC">
        <w:rPr>
          <w:rFonts w:ascii="Times New Roman" w:eastAsia="TimesNewRomanPSMT" w:hAnsi="Times New Roman" w:cs="Times New Roman"/>
          <w:color w:val="000000" w:themeColor="text1"/>
        </w:rPr>
        <w:t xml:space="preserve"> Karty” jest niezbędny, do prac w ramach zespołu lub grupy delegowany jest przedstawiciel odpowiedniego organu wymiaru sprawiedliwości.</w:t>
      </w:r>
    </w:p>
    <w:p w:rsidR="00E65D89" w:rsidRPr="00FA09CC" w:rsidRDefault="00E65D89" w:rsidP="0024594C">
      <w:pPr>
        <w:pStyle w:val="Standard"/>
        <w:jc w:val="both"/>
        <w:rPr>
          <w:rFonts w:ascii="Times New Roman" w:eastAsia="TimesNewRomanPSMT" w:hAnsi="Times New Roman" w:cs="Times New Roman"/>
          <w:color w:val="000000" w:themeColor="text1"/>
        </w:rPr>
      </w:pPr>
    </w:p>
    <w:p w:rsidR="00E65D89" w:rsidRPr="00FA09CC" w:rsidRDefault="000A0A05" w:rsidP="0024594C">
      <w:pPr>
        <w:pStyle w:val="Standard"/>
        <w:jc w:val="both"/>
        <w:rPr>
          <w:rFonts w:ascii="Times New Roman" w:eastAsia="TimesNewRomanPSMT" w:hAnsi="Times New Roman" w:cs="Times New Roman"/>
          <w:b/>
          <w:color w:val="000000" w:themeColor="text1"/>
        </w:rPr>
      </w:pPr>
      <w:r w:rsidRPr="00FA09CC">
        <w:rPr>
          <w:rFonts w:ascii="Times New Roman" w:eastAsia="TimesNewRomanPSMT" w:hAnsi="Times New Roman" w:cs="Times New Roman"/>
          <w:b/>
          <w:color w:val="000000" w:themeColor="text1"/>
        </w:rPr>
        <w:t xml:space="preserve">Paragrafy 121, 122, 277, 278 </w:t>
      </w:r>
      <w:r w:rsidR="001710D2">
        <w:rPr>
          <w:rFonts w:ascii="Times New Roman" w:eastAsia="TimesNewRomanPSMT" w:hAnsi="Times New Roman" w:cs="Times New Roman"/>
          <w:b/>
          <w:color w:val="000000" w:themeColor="text1"/>
        </w:rPr>
        <w:t>–</w:t>
      </w:r>
      <w:r w:rsidRPr="00FA09CC">
        <w:rPr>
          <w:rFonts w:ascii="Times New Roman" w:eastAsia="TimesNewRomanPSMT" w:hAnsi="Times New Roman" w:cs="Times New Roman"/>
          <w:b/>
          <w:color w:val="000000" w:themeColor="text1"/>
        </w:rPr>
        <w:t xml:space="preserve"> </w:t>
      </w:r>
      <w:r w:rsidRPr="00FA09CC">
        <w:rPr>
          <w:rFonts w:ascii="Times New Roman" w:hAnsi="Times New Roman" w:cs="Times New Roman"/>
          <w:b/>
          <w:color w:val="000000" w:themeColor="text1"/>
        </w:rPr>
        <w:t>ocena</w:t>
      </w:r>
      <w:r w:rsidR="001710D2">
        <w:rPr>
          <w:rFonts w:ascii="Times New Roman" w:hAnsi="Times New Roman" w:cs="Times New Roman"/>
          <w:b/>
          <w:color w:val="000000" w:themeColor="text1"/>
        </w:rPr>
        <w:t xml:space="preserve"> </w:t>
      </w:r>
      <w:r w:rsidRPr="00FA09CC">
        <w:rPr>
          <w:rFonts w:ascii="Times New Roman" w:hAnsi="Times New Roman" w:cs="Times New Roman"/>
          <w:b/>
          <w:color w:val="000000" w:themeColor="text1"/>
        </w:rPr>
        <w:t>ryzyka</w:t>
      </w:r>
    </w:p>
    <w:p w:rsidR="005356AA" w:rsidRPr="00FA09CC" w:rsidRDefault="000A0A05" w:rsidP="0024594C">
      <w:pPr>
        <w:pStyle w:val="Standard"/>
        <w:jc w:val="both"/>
        <w:rPr>
          <w:rFonts w:ascii="Times New Roman" w:eastAsia="TimesNewRomanPSMT" w:hAnsi="Times New Roman" w:cs="Times New Roman"/>
          <w:color w:val="000000" w:themeColor="text1"/>
        </w:rPr>
      </w:pPr>
      <w:r w:rsidRPr="00FA09CC">
        <w:rPr>
          <w:rFonts w:ascii="Times New Roman" w:eastAsia="TimesNewRomanPSMT" w:hAnsi="Times New Roman" w:cs="Times New Roman"/>
          <w:color w:val="000000" w:themeColor="text1"/>
        </w:rPr>
        <w:t xml:space="preserve">W ramach działań mających na celu monitorowanie stanu bezpieczeństwa osoby doznającej przemocy, objętej procedurą „Niebieskiej Karty”, możliwa jest ocena ryzyka ponownego wystąpienia przemocy oraz dostosowanie form świadczonej pomocy i wsparcia do aktualnej sytuacji. Stosowanie standardowych kwestionariuszy </w:t>
      </w:r>
      <w:r w:rsidR="008A2924">
        <w:rPr>
          <w:rFonts w:ascii="Times New Roman" w:eastAsia="TimesNewRomanPSMT" w:hAnsi="Times New Roman" w:cs="Times New Roman"/>
          <w:color w:val="000000" w:themeColor="text1"/>
        </w:rPr>
        <w:t>dotyczących</w:t>
      </w:r>
      <w:r w:rsidRPr="00FA09CC">
        <w:rPr>
          <w:rFonts w:ascii="Times New Roman" w:eastAsia="TimesNewRomanPSMT" w:hAnsi="Times New Roman" w:cs="Times New Roman"/>
          <w:color w:val="000000" w:themeColor="text1"/>
        </w:rPr>
        <w:t xml:space="preserve"> potrzeb ofiar przemocy mogłoby mieć negatywne konsekwencje w postaci pominięcia istotnych faktów mogących mieć wpływ na zakres i formę udzielanej pomocy. Nadmiernie szczegółowe i sztywne uregulowanie sposobu przeprowadzania rozpoznania potrzeb ofiar przemocy mogłoby prowadzić do stosowania schematycznych rozwiązań, pomijających stan faktycznego zagrożenia w każdym odrębnym przypadku przemocy.</w:t>
      </w:r>
    </w:p>
    <w:p w:rsidR="00E65D89" w:rsidRPr="00FA09CC" w:rsidRDefault="000A0A05" w:rsidP="0024594C">
      <w:pPr>
        <w:pStyle w:val="Standard"/>
        <w:jc w:val="both"/>
        <w:rPr>
          <w:rFonts w:ascii="Times New Roman" w:hAnsi="Times New Roman" w:cs="Times New Roman"/>
          <w:color w:val="000000" w:themeColor="text1"/>
        </w:rPr>
      </w:pPr>
      <w:r w:rsidRPr="00FA09CC">
        <w:rPr>
          <w:rFonts w:ascii="Times New Roman" w:hAnsi="Times New Roman" w:cs="Times New Roman"/>
          <w:color w:val="000000" w:themeColor="text1"/>
        </w:rPr>
        <w:t xml:space="preserve">W związku z zaleceniem systematycznego przeprowadzania </w:t>
      </w:r>
      <w:r w:rsidR="00E65D89" w:rsidRPr="00FA09CC">
        <w:rPr>
          <w:rFonts w:ascii="Times New Roman" w:hAnsi="Times New Roman" w:cs="Times New Roman"/>
          <w:color w:val="000000" w:themeColor="text1"/>
        </w:rPr>
        <w:t>oceny ryzyka i stanu bezpieczeństwa ofiar przemocy, zwłaszcza w kontekście realizacji procedury „Niebieskiej Karty”</w:t>
      </w:r>
      <w:r w:rsidR="00070821">
        <w:rPr>
          <w:rFonts w:ascii="Times New Roman" w:hAnsi="Times New Roman" w:cs="Times New Roman"/>
          <w:color w:val="000000" w:themeColor="text1"/>
        </w:rPr>
        <w:t>,</w:t>
      </w:r>
      <w:r w:rsidR="00E65D89" w:rsidRPr="00FA09CC">
        <w:rPr>
          <w:rFonts w:ascii="Times New Roman" w:hAnsi="Times New Roman" w:cs="Times New Roman"/>
          <w:color w:val="000000" w:themeColor="text1"/>
        </w:rPr>
        <w:t xml:space="preserve"> należy wskazać, że lista czynności</w:t>
      </w:r>
      <w:r w:rsidR="00445495" w:rsidRPr="00FA09CC">
        <w:rPr>
          <w:rFonts w:ascii="Times New Roman" w:hAnsi="Times New Roman" w:cs="Times New Roman"/>
          <w:color w:val="000000" w:themeColor="text1"/>
        </w:rPr>
        <w:t xml:space="preserve"> podejmowanych</w:t>
      </w:r>
      <w:r w:rsidR="00E65D89" w:rsidRPr="00FA09CC">
        <w:rPr>
          <w:rFonts w:ascii="Times New Roman" w:hAnsi="Times New Roman" w:cs="Times New Roman"/>
          <w:color w:val="000000" w:themeColor="text1"/>
        </w:rPr>
        <w:t xml:space="preserve"> w ramach procedury „Niebieskiej Karty” nie jest zamknięta. Zakres podejmowanych działań </w:t>
      </w:r>
      <w:r w:rsidR="00445495" w:rsidRPr="00FA09CC">
        <w:rPr>
          <w:rFonts w:ascii="Times New Roman" w:hAnsi="Times New Roman" w:cs="Times New Roman"/>
          <w:color w:val="000000" w:themeColor="text1"/>
        </w:rPr>
        <w:t xml:space="preserve">ściśle </w:t>
      </w:r>
      <w:r w:rsidR="00E65D89" w:rsidRPr="00FA09CC">
        <w:rPr>
          <w:rFonts w:ascii="Times New Roman" w:hAnsi="Times New Roman" w:cs="Times New Roman"/>
          <w:color w:val="000000" w:themeColor="text1"/>
        </w:rPr>
        <w:t xml:space="preserve">uzależniony od sytuacji osoby czy rodziny, w której występuje przemoc. Każdy przypadek jest rozpatrywany indywidualnie, nie istnieją </w:t>
      </w:r>
      <w:r w:rsidR="008A2924" w:rsidRPr="00FA09CC">
        <w:rPr>
          <w:rFonts w:ascii="Times New Roman" w:hAnsi="Times New Roman" w:cs="Times New Roman"/>
          <w:color w:val="000000" w:themeColor="text1"/>
        </w:rPr>
        <w:t xml:space="preserve">bowiem </w:t>
      </w:r>
      <w:r w:rsidR="00E65D89" w:rsidRPr="00FA09CC">
        <w:rPr>
          <w:rFonts w:ascii="Times New Roman" w:hAnsi="Times New Roman" w:cs="Times New Roman"/>
          <w:color w:val="000000" w:themeColor="text1"/>
        </w:rPr>
        <w:t xml:space="preserve">uniwersalne wytyczne dotyczące metod i środków, jakie należy przedsięwziąć w przypadku przemocy w rodzinie. </w:t>
      </w:r>
    </w:p>
    <w:p w:rsidR="00E65D89" w:rsidRPr="00FA09CC" w:rsidRDefault="00E65D89" w:rsidP="0024594C">
      <w:pPr>
        <w:pStyle w:val="Standard"/>
        <w:jc w:val="both"/>
        <w:rPr>
          <w:rFonts w:ascii="Times New Roman" w:hAnsi="Times New Roman" w:cs="Times New Roman"/>
          <w:color w:val="000000" w:themeColor="text1"/>
        </w:rPr>
      </w:pPr>
      <w:r w:rsidRPr="00FA09CC">
        <w:rPr>
          <w:rFonts w:ascii="Times New Roman" w:hAnsi="Times New Roman" w:cs="Times New Roman"/>
          <w:color w:val="000000" w:themeColor="text1"/>
        </w:rPr>
        <w:t xml:space="preserve">Rozporządzenie Rady Ministrów </w:t>
      </w:r>
      <w:r w:rsidR="00900A0E">
        <w:rPr>
          <w:rFonts w:ascii="Times New Roman" w:hAnsi="Times New Roman" w:cs="Times New Roman"/>
          <w:color w:val="000000" w:themeColor="text1"/>
        </w:rPr>
        <w:t xml:space="preserve">z 13 września 2011 r. </w:t>
      </w:r>
      <w:r w:rsidRPr="00FA09CC">
        <w:rPr>
          <w:rFonts w:ascii="Times New Roman" w:hAnsi="Times New Roman" w:cs="Times New Roman"/>
          <w:color w:val="000000" w:themeColor="text1"/>
        </w:rPr>
        <w:t>w sprawie procedury „Niebieskie Karty” oraz wzorów formularzy „Niebieska Karta” określa szczegółowo sposób postępowania, zarówno z osobą doznająca przemocy, jak i ze sprawcą, a także listę czynności, które należy wykonać w trakcie udzielania pomocy i wsparcia.</w:t>
      </w:r>
    </w:p>
    <w:p w:rsidR="00E65D89" w:rsidRPr="00FA09CC" w:rsidRDefault="00E65D89" w:rsidP="0024594C">
      <w:pPr>
        <w:pStyle w:val="NormalnyWeb"/>
        <w:spacing w:before="0" w:beforeAutospacing="0" w:after="0" w:afterAutospacing="0"/>
        <w:jc w:val="both"/>
        <w:rPr>
          <w:color w:val="000000" w:themeColor="text1"/>
        </w:rPr>
      </w:pPr>
      <w:r w:rsidRPr="00FA09CC">
        <w:rPr>
          <w:color w:val="000000" w:themeColor="text1"/>
        </w:rPr>
        <w:t>Realizujący procedurę „Niebieskiej Karty” członkowie zespołów interdyscyplinarnych i grup roboczych, reprezentujący różne instytucje, mają obowiązek współpracy o</w:t>
      </w:r>
      <w:r w:rsidR="000A0A05" w:rsidRPr="00FA09CC">
        <w:rPr>
          <w:color w:val="000000" w:themeColor="text1"/>
        </w:rPr>
        <w:t>raz informowania przewodniczącego zespołu interdyscyplinarnego, który koordynuje działania członków zespołu/grupy. Obowiązek współpracy i informowania dotyczy przekazywania informacji na temat aktualnej sytuacji rodziny, tak by, w razie potrzeby, możliwe było modyfikowanie rodzaju i zakres</w:t>
      </w:r>
      <w:r w:rsidR="008A2924">
        <w:rPr>
          <w:color w:val="000000" w:themeColor="text1"/>
        </w:rPr>
        <w:t>u</w:t>
      </w:r>
      <w:r w:rsidR="000A0A05" w:rsidRPr="00FA09CC">
        <w:rPr>
          <w:color w:val="000000" w:themeColor="text1"/>
        </w:rPr>
        <w:t xml:space="preserve"> podejmowanych działań, także w celu zapewnienia bezpieczeństwa osobie, co do której istnieje podejrzenie, że jest dotknięta przemocą w rodzinie. Rodzaj użytych </w:t>
      </w:r>
      <w:r w:rsidR="008350C3">
        <w:rPr>
          <w:color w:val="000000" w:themeColor="text1"/>
        </w:rPr>
        <w:br/>
      </w:r>
      <w:r w:rsidR="000A0A05" w:rsidRPr="00FA09CC">
        <w:rPr>
          <w:color w:val="000000" w:themeColor="text1"/>
        </w:rPr>
        <w:t xml:space="preserve">w tym celu środków i metod uzależniony jest od źródła i stopnia zagrożenia. </w:t>
      </w:r>
    </w:p>
    <w:p w:rsidR="005356AA" w:rsidRPr="00FA09CC" w:rsidRDefault="005356AA" w:rsidP="0024594C">
      <w:pPr>
        <w:pStyle w:val="Standard"/>
        <w:jc w:val="both"/>
        <w:rPr>
          <w:rFonts w:ascii="Times New Roman" w:hAnsi="Times New Roman" w:cs="Times New Roman"/>
          <w:b/>
          <w:bCs/>
          <w:color w:val="000000" w:themeColor="text1"/>
        </w:rPr>
      </w:pPr>
    </w:p>
    <w:p w:rsidR="005356AA" w:rsidRPr="00FA09CC" w:rsidRDefault="000A0A05" w:rsidP="0024594C">
      <w:pPr>
        <w:pStyle w:val="Standard"/>
        <w:jc w:val="both"/>
        <w:rPr>
          <w:rFonts w:ascii="Times New Roman" w:hAnsi="Times New Roman" w:cs="Times New Roman"/>
          <w:b/>
          <w:bCs/>
          <w:color w:val="000000" w:themeColor="text1"/>
        </w:rPr>
      </w:pPr>
      <w:r w:rsidRPr="00FA09CC">
        <w:rPr>
          <w:rFonts w:ascii="Times New Roman" w:hAnsi="Times New Roman" w:cs="Times New Roman"/>
          <w:b/>
          <w:bCs/>
          <w:color w:val="000000" w:themeColor="text1"/>
        </w:rPr>
        <w:t>Paragraf 128 – rzeczywisty dostęp do pomocy i wsparcia</w:t>
      </w:r>
    </w:p>
    <w:p w:rsidR="005356AA" w:rsidRPr="00FA09CC" w:rsidRDefault="000A0A05" w:rsidP="0024594C">
      <w:pPr>
        <w:pStyle w:val="Standard"/>
        <w:jc w:val="both"/>
        <w:rPr>
          <w:rFonts w:ascii="Times New Roman" w:hAnsi="Times New Roman" w:cs="Times New Roman"/>
          <w:color w:val="000000" w:themeColor="text1"/>
        </w:rPr>
      </w:pPr>
      <w:r w:rsidRPr="00FA09CC">
        <w:rPr>
          <w:rFonts w:ascii="Times New Roman" w:hAnsi="Times New Roman" w:cs="Times New Roman"/>
          <w:color w:val="000000" w:themeColor="text1"/>
        </w:rPr>
        <w:t>Zgodnie z ustawą o przeciwdziałaniu przemocy w rodzinie zadania w zakresie przeciwdziałania przemocy w rodzinie realizowane są przez organy administracji rządowej i jednostki samorządu terytorialnego, na zasadach określonych w ustawie o pomocy społecznej i ustawie o wychowaniu w trzeźwości i przeciwdziałaniu alkoholizmowi. Wszystkie służby</w:t>
      </w:r>
      <w:r w:rsidR="00070821">
        <w:rPr>
          <w:rFonts w:ascii="Times New Roman" w:hAnsi="Times New Roman" w:cs="Times New Roman"/>
          <w:color w:val="000000" w:themeColor="text1"/>
        </w:rPr>
        <w:t>,</w:t>
      </w:r>
      <w:r w:rsidRPr="00FA09CC">
        <w:rPr>
          <w:rFonts w:ascii="Times New Roman" w:hAnsi="Times New Roman" w:cs="Times New Roman"/>
          <w:color w:val="000000" w:themeColor="text1"/>
        </w:rPr>
        <w:t xml:space="preserve"> na każdym poziomie</w:t>
      </w:r>
      <w:r w:rsidR="00070821">
        <w:rPr>
          <w:rFonts w:ascii="Times New Roman" w:hAnsi="Times New Roman" w:cs="Times New Roman"/>
          <w:color w:val="000000" w:themeColor="text1"/>
        </w:rPr>
        <w:t>,</w:t>
      </w:r>
      <w:r w:rsidRPr="00FA09CC">
        <w:rPr>
          <w:rFonts w:ascii="Times New Roman" w:hAnsi="Times New Roman" w:cs="Times New Roman"/>
          <w:color w:val="000000" w:themeColor="text1"/>
        </w:rPr>
        <w:t xml:space="preserve"> zobowiązane są udziela</w:t>
      </w:r>
      <w:r w:rsidR="00070821">
        <w:rPr>
          <w:rFonts w:ascii="Times New Roman" w:hAnsi="Times New Roman" w:cs="Times New Roman"/>
          <w:color w:val="000000" w:themeColor="text1"/>
        </w:rPr>
        <w:t>ć</w:t>
      </w:r>
      <w:r w:rsidRPr="00FA09CC">
        <w:rPr>
          <w:rFonts w:ascii="Times New Roman" w:hAnsi="Times New Roman" w:cs="Times New Roman"/>
          <w:color w:val="000000" w:themeColor="text1"/>
        </w:rPr>
        <w:t xml:space="preserve"> wszechstronn</w:t>
      </w:r>
      <w:r w:rsidR="00070821">
        <w:rPr>
          <w:rFonts w:ascii="Times New Roman" w:hAnsi="Times New Roman" w:cs="Times New Roman"/>
          <w:color w:val="000000" w:themeColor="text1"/>
        </w:rPr>
        <w:t>ej</w:t>
      </w:r>
      <w:r w:rsidRPr="00FA09CC">
        <w:rPr>
          <w:rFonts w:ascii="Times New Roman" w:hAnsi="Times New Roman" w:cs="Times New Roman"/>
          <w:color w:val="000000" w:themeColor="text1"/>
        </w:rPr>
        <w:t xml:space="preserve"> </w:t>
      </w:r>
      <w:r w:rsidR="008350C3">
        <w:rPr>
          <w:rFonts w:ascii="Times New Roman" w:hAnsi="Times New Roman" w:cs="Times New Roman"/>
          <w:color w:val="000000" w:themeColor="text1"/>
        </w:rPr>
        <w:br/>
      </w:r>
      <w:r w:rsidRPr="00FA09CC">
        <w:rPr>
          <w:rFonts w:ascii="Times New Roman" w:hAnsi="Times New Roman" w:cs="Times New Roman"/>
          <w:color w:val="000000" w:themeColor="text1"/>
        </w:rPr>
        <w:t>i kompleksow</w:t>
      </w:r>
      <w:r w:rsidR="00070821">
        <w:rPr>
          <w:rFonts w:ascii="Times New Roman" w:hAnsi="Times New Roman" w:cs="Times New Roman"/>
          <w:color w:val="000000" w:themeColor="text1"/>
        </w:rPr>
        <w:t>ej</w:t>
      </w:r>
      <w:r w:rsidRPr="00FA09CC">
        <w:rPr>
          <w:rFonts w:ascii="Times New Roman" w:hAnsi="Times New Roman" w:cs="Times New Roman"/>
          <w:color w:val="000000" w:themeColor="text1"/>
        </w:rPr>
        <w:t xml:space="preserve"> pomoc</w:t>
      </w:r>
      <w:r w:rsidR="00070821">
        <w:rPr>
          <w:rFonts w:ascii="Times New Roman" w:hAnsi="Times New Roman" w:cs="Times New Roman"/>
          <w:color w:val="000000" w:themeColor="text1"/>
        </w:rPr>
        <w:t>y</w:t>
      </w:r>
      <w:r w:rsidRPr="00FA09CC">
        <w:rPr>
          <w:rFonts w:ascii="Times New Roman" w:hAnsi="Times New Roman" w:cs="Times New Roman"/>
          <w:color w:val="000000" w:themeColor="text1"/>
        </w:rPr>
        <w:t xml:space="preserve"> kobietom doświadczającym przemocy w rodzinie. W</w:t>
      </w:r>
      <w:r w:rsidRPr="00FA09CC">
        <w:rPr>
          <w:rFonts w:ascii="Times New Roman" w:hAnsi="Times New Roman" w:cs="Times New Roman"/>
          <w:bCs/>
          <w:color w:val="000000" w:themeColor="text1"/>
        </w:rPr>
        <w:t xml:space="preserve"> przypadku zagrożenia </w:t>
      </w:r>
      <w:r w:rsidR="008A2924" w:rsidRPr="00FA09CC">
        <w:rPr>
          <w:rFonts w:ascii="Times New Roman" w:hAnsi="Times New Roman" w:cs="Times New Roman"/>
          <w:bCs/>
          <w:color w:val="000000" w:themeColor="text1"/>
        </w:rPr>
        <w:t>przemoc</w:t>
      </w:r>
      <w:r w:rsidR="00070821">
        <w:rPr>
          <w:rFonts w:ascii="Times New Roman" w:hAnsi="Times New Roman" w:cs="Times New Roman"/>
          <w:bCs/>
          <w:color w:val="000000" w:themeColor="text1"/>
        </w:rPr>
        <w:t>ą</w:t>
      </w:r>
      <w:r w:rsidR="008A2924" w:rsidRPr="00FA09CC">
        <w:rPr>
          <w:rFonts w:ascii="Times New Roman" w:hAnsi="Times New Roman" w:cs="Times New Roman"/>
          <w:bCs/>
          <w:color w:val="000000" w:themeColor="text1"/>
        </w:rPr>
        <w:t xml:space="preserve"> </w:t>
      </w:r>
      <w:r w:rsidRPr="00FA09CC">
        <w:rPr>
          <w:rFonts w:ascii="Times New Roman" w:hAnsi="Times New Roman" w:cs="Times New Roman"/>
          <w:bCs/>
          <w:color w:val="000000" w:themeColor="text1"/>
        </w:rPr>
        <w:t xml:space="preserve">lub </w:t>
      </w:r>
      <w:r w:rsidR="008A2924">
        <w:rPr>
          <w:rFonts w:ascii="Times New Roman" w:hAnsi="Times New Roman" w:cs="Times New Roman"/>
          <w:bCs/>
          <w:color w:val="000000" w:themeColor="text1"/>
        </w:rPr>
        <w:t xml:space="preserve">jej </w:t>
      </w:r>
      <w:r w:rsidRPr="00FA09CC">
        <w:rPr>
          <w:rFonts w:ascii="Times New Roman" w:hAnsi="Times New Roman" w:cs="Times New Roman"/>
          <w:bCs/>
          <w:color w:val="000000" w:themeColor="text1"/>
        </w:rPr>
        <w:t>wyst</w:t>
      </w:r>
      <w:r w:rsidR="008A2924">
        <w:rPr>
          <w:rFonts w:ascii="Times New Roman" w:hAnsi="Times New Roman" w:cs="Times New Roman"/>
          <w:bCs/>
          <w:color w:val="000000" w:themeColor="text1"/>
        </w:rPr>
        <w:t>ą</w:t>
      </w:r>
      <w:r w:rsidRPr="00FA09CC">
        <w:rPr>
          <w:rFonts w:ascii="Times New Roman" w:hAnsi="Times New Roman" w:cs="Times New Roman"/>
          <w:bCs/>
          <w:color w:val="000000" w:themeColor="text1"/>
        </w:rPr>
        <w:t>p</w:t>
      </w:r>
      <w:r w:rsidR="008A2924">
        <w:rPr>
          <w:rFonts w:ascii="Times New Roman" w:hAnsi="Times New Roman" w:cs="Times New Roman"/>
          <w:bCs/>
          <w:color w:val="000000" w:themeColor="text1"/>
        </w:rPr>
        <w:t>ienia</w:t>
      </w:r>
      <w:r w:rsidRPr="00FA09CC">
        <w:rPr>
          <w:rFonts w:ascii="Times New Roman" w:hAnsi="Times New Roman" w:cs="Times New Roman"/>
          <w:bCs/>
          <w:color w:val="000000" w:themeColor="text1"/>
        </w:rPr>
        <w:t xml:space="preserve"> mają one obowiązek podjąć określone w aktach prawnych działania, zatem zarzut, że poziom wsparcia w ramach procedury „Niebieskiej Karty” zależy od uznania pracowników socjalnych, jest nieuzasadniony.</w:t>
      </w:r>
    </w:p>
    <w:p w:rsidR="00636FFA" w:rsidRPr="00FA09CC" w:rsidRDefault="00636FFA" w:rsidP="0024594C">
      <w:pPr>
        <w:pStyle w:val="Standard"/>
        <w:jc w:val="both"/>
        <w:rPr>
          <w:rFonts w:ascii="Times New Roman" w:hAnsi="Times New Roman" w:cs="Times New Roman"/>
          <w:bCs/>
          <w:color w:val="000000" w:themeColor="text1"/>
        </w:rPr>
      </w:pPr>
    </w:p>
    <w:p w:rsidR="00636FFA" w:rsidRPr="00FA09CC" w:rsidRDefault="000A0A05" w:rsidP="0024594C">
      <w:pPr>
        <w:pStyle w:val="Standard"/>
        <w:jc w:val="both"/>
        <w:rPr>
          <w:rFonts w:ascii="Times New Roman" w:hAnsi="Times New Roman" w:cs="Times New Roman"/>
          <w:b/>
          <w:bCs/>
          <w:color w:val="000000" w:themeColor="text1"/>
        </w:rPr>
      </w:pPr>
      <w:r w:rsidRPr="00FA09CC">
        <w:rPr>
          <w:rFonts w:ascii="Times New Roman" w:hAnsi="Times New Roman" w:cs="Times New Roman"/>
          <w:b/>
          <w:bCs/>
          <w:color w:val="000000" w:themeColor="text1"/>
        </w:rPr>
        <w:t>Paragraf 132 – indywidualizacja udzielanej pomocy</w:t>
      </w:r>
    </w:p>
    <w:p w:rsidR="005356AA" w:rsidRPr="00FA09CC" w:rsidRDefault="000A0A05" w:rsidP="0024594C">
      <w:pPr>
        <w:pStyle w:val="Standard"/>
        <w:jc w:val="both"/>
        <w:rPr>
          <w:rFonts w:ascii="Times New Roman" w:hAnsi="Times New Roman" w:cs="Times New Roman"/>
          <w:color w:val="000000" w:themeColor="text1"/>
        </w:rPr>
      </w:pPr>
      <w:r w:rsidRPr="00FA09CC">
        <w:rPr>
          <w:rFonts w:ascii="Times New Roman" w:hAnsi="Times New Roman" w:cs="Times New Roman"/>
          <w:bCs/>
          <w:color w:val="000000" w:themeColor="text1"/>
        </w:rPr>
        <w:t>O</w:t>
      </w:r>
      <w:r w:rsidRPr="00FA09CC">
        <w:rPr>
          <w:rFonts w:ascii="Times New Roman" w:hAnsi="Times New Roman" w:cs="Times New Roman"/>
          <w:color w:val="000000" w:themeColor="text1"/>
        </w:rPr>
        <w:t xml:space="preserve">soby doznające przemocy objęte są pomocą w ramach działań realizowanych przez zespoły interdyscyplinarne, w oparciu o procedurę „Niebieskiej Karty”. Pomoc udzielana jest </w:t>
      </w:r>
      <w:r w:rsidR="008350C3">
        <w:rPr>
          <w:rFonts w:ascii="Times New Roman" w:hAnsi="Times New Roman" w:cs="Times New Roman"/>
          <w:color w:val="000000" w:themeColor="text1"/>
        </w:rPr>
        <w:br/>
      </w:r>
      <w:r w:rsidRPr="00FA09CC">
        <w:rPr>
          <w:rFonts w:ascii="Times New Roman" w:hAnsi="Times New Roman" w:cs="Times New Roman"/>
          <w:color w:val="000000" w:themeColor="text1"/>
        </w:rPr>
        <w:lastRenderedPageBreak/>
        <w:t xml:space="preserve">z uwzględnieniem sytuacji osoby krzywdzonej, jej zasobów i możliwości, w oparciu o opracowany przy jej udziale indywidualny plan pomocy. Rodzaj podejmowanych działań określany jest przy uwzględnieniu okoliczności indywidualnych, w tym takich jak płeć, wiek, niepełnosprawność. Takie </w:t>
      </w:r>
      <w:r w:rsidR="001B5DDD" w:rsidRPr="00FA09CC">
        <w:rPr>
          <w:rFonts w:ascii="Times New Roman" w:hAnsi="Times New Roman" w:cs="Times New Roman"/>
          <w:color w:val="000000" w:themeColor="text1"/>
        </w:rPr>
        <w:t xml:space="preserve">postępowanie </w:t>
      </w:r>
      <w:r w:rsidRPr="00FA09CC">
        <w:rPr>
          <w:rFonts w:ascii="Times New Roman" w:hAnsi="Times New Roman" w:cs="Times New Roman"/>
          <w:color w:val="000000" w:themeColor="text1"/>
        </w:rPr>
        <w:t>wymusza konstrukcja formularzy wykorzystywanych przy realizacji procedury „Niebiesk</w:t>
      </w:r>
      <w:r w:rsidR="00900A0E">
        <w:rPr>
          <w:rFonts w:ascii="Times New Roman" w:hAnsi="Times New Roman" w:cs="Times New Roman"/>
          <w:color w:val="000000" w:themeColor="text1"/>
        </w:rPr>
        <w:t>iej</w:t>
      </w:r>
      <w:r w:rsidRPr="00FA09CC">
        <w:rPr>
          <w:rFonts w:ascii="Times New Roman" w:hAnsi="Times New Roman" w:cs="Times New Roman"/>
          <w:color w:val="000000" w:themeColor="text1"/>
        </w:rPr>
        <w:t xml:space="preserve"> Kart</w:t>
      </w:r>
      <w:r w:rsidR="00900A0E">
        <w:rPr>
          <w:rFonts w:ascii="Times New Roman" w:hAnsi="Times New Roman" w:cs="Times New Roman"/>
          <w:color w:val="000000" w:themeColor="text1"/>
        </w:rPr>
        <w:t>y</w:t>
      </w:r>
      <w:r w:rsidRPr="00FA09CC">
        <w:rPr>
          <w:rFonts w:ascii="Times New Roman" w:hAnsi="Times New Roman" w:cs="Times New Roman"/>
          <w:color w:val="000000" w:themeColor="text1"/>
        </w:rPr>
        <w:t xml:space="preserve">”. W związku z tym </w:t>
      </w:r>
      <w:r w:rsidR="001B5DDD" w:rsidRPr="00FA09CC">
        <w:rPr>
          <w:rFonts w:ascii="Times New Roman" w:hAnsi="Times New Roman" w:cs="Times New Roman"/>
          <w:bCs/>
          <w:color w:val="000000" w:themeColor="text1"/>
        </w:rPr>
        <w:t>wydaje się, że nie ma podstawy</w:t>
      </w:r>
      <w:r w:rsidR="001B5DDD" w:rsidRPr="00FA09CC">
        <w:rPr>
          <w:rFonts w:ascii="Times New Roman" w:hAnsi="Times New Roman" w:cs="Times New Roman"/>
          <w:color w:val="000000" w:themeColor="text1"/>
        </w:rPr>
        <w:t xml:space="preserve"> </w:t>
      </w:r>
      <w:r w:rsidRPr="00FA09CC">
        <w:rPr>
          <w:rFonts w:ascii="Times New Roman" w:hAnsi="Times New Roman" w:cs="Times New Roman"/>
          <w:color w:val="000000" w:themeColor="text1"/>
        </w:rPr>
        <w:t>zawarta w raporcie uwaga dotycząca nieuwzględniania w działaniach pomocowych</w:t>
      </w:r>
      <w:r w:rsidRPr="00FA09CC">
        <w:rPr>
          <w:rFonts w:ascii="Times New Roman" w:hAnsi="Times New Roman" w:cs="Times New Roman"/>
          <w:bCs/>
          <w:color w:val="000000" w:themeColor="text1"/>
        </w:rPr>
        <w:t xml:space="preserve"> krzyżujących się czynników, takich jak niepełnosprawność, bezdomność, wiek i płeć.</w:t>
      </w:r>
    </w:p>
    <w:p w:rsidR="006243EB" w:rsidRPr="00FA09CC" w:rsidRDefault="006243EB" w:rsidP="0024594C">
      <w:pPr>
        <w:pStyle w:val="Standard"/>
        <w:jc w:val="both"/>
        <w:rPr>
          <w:rFonts w:ascii="Times New Roman" w:hAnsi="Times New Roman" w:cs="Times New Roman"/>
          <w:color w:val="000000" w:themeColor="text1"/>
        </w:rPr>
      </w:pPr>
    </w:p>
    <w:p w:rsidR="00A30677" w:rsidRPr="00FA09CC" w:rsidRDefault="000A0A05" w:rsidP="0024594C">
      <w:pPr>
        <w:pStyle w:val="Adresodbiorcy"/>
        <w:widowControl w:val="0"/>
        <w:shd w:val="clear" w:color="auto" w:fill="FFFFFF" w:themeFill="background1"/>
        <w:suppressAutoHyphens/>
        <w:spacing w:line="240" w:lineRule="auto"/>
        <w:rPr>
          <w:rFonts w:ascii="Times New Roman" w:hAnsi="Times New Roman"/>
          <w:b/>
          <w:color w:val="000000" w:themeColor="text1"/>
          <w:spacing w:val="0"/>
          <w:sz w:val="24"/>
          <w:szCs w:val="24"/>
        </w:rPr>
      </w:pPr>
      <w:r w:rsidRPr="00FA09CC">
        <w:rPr>
          <w:rFonts w:ascii="Times New Roman" w:hAnsi="Times New Roman"/>
          <w:b/>
          <w:color w:val="000000" w:themeColor="text1"/>
          <w:spacing w:val="0"/>
          <w:sz w:val="24"/>
          <w:szCs w:val="24"/>
        </w:rPr>
        <w:t>Paragraf 135 – ograniczony dostęp niektórych grup kobiet do opieki medycznej</w:t>
      </w:r>
    </w:p>
    <w:p w:rsidR="00FF7883" w:rsidRPr="00FA09CC" w:rsidRDefault="000A0A05" w:rsidP="0024594C">
      <w:pPr>
        <w:ind w:left="0" w:firstLine="0"/>
        <w:rPr>
          <w:rFonts w:eastAsia="Times New Roman"/>
          <w:color w:val="000000" w:themeColor="text1"/>
        </w:rPr>
      </w:pPr>
      <w:r w:rsidRPr="00FA09CC">
        <w:rPr>
          <w:color w:val="000000" w:themeColor="text1"/>
        </w:rPr>
        <w:t xml:space="preserve">Informacja dotycząca przeszkód w dostępie do opieki medycznej niepełnosprawnych kobiet, kobiet pochodzenia romskiego, kobiet lbti nie </w:t>
      </w:r>
      <w:r w:rsidR="001B5DDD" w:rsidRPr="00FA09CC">
        <w:rPr>
          <w:color w:val="000000" w:themeColor="text1"/>
        </w:rPr>
        <w:t xml:space="preserve">została </w:t>
      </w:r>
      <w:r w:rsidRPr="00FA09CC">
        <w:rPr>
          <w:color w:val="000000" w:themeColor="text1"/>
        </w:rPr>
        <w:t xml:space="preserve">poparta </w:t>
      </w:r>
      <w:r w:rsidR="001B5DDD" w:rsidRPr="00FA09CC">
        <w:rPr>
          <w:color w:val="000000" w:themeColor="text1"/>
        </w:rPr>
        <w:t xml:space="preserve">faktami czy </w:t>
      </w:r>
      <w:r w:rsidRPr="00FA09CC">
        <w:rPr>
          <w:color w:val="000000" w:themeColor="text1"/>
        </w:rPr>
        <w:t xml:space="preserve">danymi. </w:t>
      </w:r>
      <w:r w:rsidR="00FF7883" w:rsidRPr="00FA09CC">
        <w:rPr>
          <w:color w:val="000000" w:themeColor="text1"/>
        </w:rPr>
        <w:t xml:space="preserve">Przeciwnie, jeżeli chodzi o kobiety romskie, </w:t>
      </w:r>
      <w:r w:rsidR="00FF7883" w:rsidRPr="00FA09CC">
        <w:rPr>
          <w:rFonts w:eastAsia="Times New Roman"/>
          <w:color w:val="000000" w:themeColor="text1"/>
        </w:rPr>
        <w:t xml:space="preserve">Program </w:t>
      </w:r>
      <w:r w:rsidR="008A2924">
        <w:rPr>
          <w:rFonts w:eastAsia="Times New Roman"/>
          <w:color w:val="000000" w:themeColor="text1"/>
        </w:rPr>
        <w:t>i</w:t>
      </w:r>
      <w:r w:rsidR="00FF7883" w:rsidRPr="00FA09CC">
        <w:rPr>
          <w:rFonts w:eastAsia="Times New Roman"/>
          <w:color w:val="000000" w:themeColor="text1"/>
        </w:rPr>
        <w:t xml:space="preserve">ntegracji </w:t>
      </w:r>
      <w:r w:rsidR="008A2924">
        <w:rPr>
          <w:rFonts w:eastAsia="Times New Roman"/>
          <w:color w:val="000000" w:themeColor="text1"/>
        </w:rPr>
        <w:t>społeczności romskiej</w:t>
      </w:r>
      <w:r w:rsidR="00FF7883" w:rsidRPr="00FA09CC">
        <w:rPr>
          <w:rFonts w:eastAsia="Times New Roman"/>
          <w:color w:val="000000" w:themeColor="text1"/>
        </w:rPr>
        <w:t xml:space="preserve"> </w:t>
      </w:r>
      <w:r w:rsidR="008350C3">
        <w:rPr>
          <w:rFonts w:eastAsia="Times New Roman"/>
          <w:color w:val="000000" w:themeColor="text1"/>
        </w:rPr>
        <w:br/>
      </w:r>
      <w:r w:rsidR="00FF7883" w:rsidRPr="00FA09CC">
        <w:rPr>
          <w:rFonts w:eastAsia="Times New Roman"/>
          <w:color w:val="000000" w:themeColor="text1"/>
        </w:rPr>
        <w:t>w Polsce na lata 2014-2020</w:t>
      </w:r>
      <w:r w:rsidR="00763F3F">
        <w:rPr>
          <w:rFonts w:eastAsia="Times New Roman"/>
          <w:color w:val="000000" w:themeColor="text1"/>
        </w:rPr>
        <w:t xml:space="preserve"> </w:t>
      </w:r>
      <w:r w:rsidR="00FF7883" w:rsidRPr="00FA09CC">
        <w:rPr>
          <w:rFonts w:eastAsia="Times New Roman"/>
          <w:color w:val="000000" w:themeColor="text1"/>
        </w:rPr>
        <w:t>przewidywał ułatwienia dostępu do opieki zdrowotnej dla kobiet romskich (w ramach projektów związanych z szeroko rozumian</w:t>
      </w:r>
      <w:r w:rsidR="008A2924">
        <w:rPr>
          <w:rFonts w:eastAsia="Times New Roman"/>
          <w:color w:val="000000" w:themeColor="text1"/>
        </w:rPr>
        <w:t>ą</w:t>
      </w:r>
      <w:r w:rsidR="00FF7883" w:rsidRPr="00FA09CC">
        <w:rPr>
          <w:rFonts w:eastAsia="Times New Roman"/>
          <w:color w:val="000000" w:themeColor="text1"/>
        </w:rPr>
        <w:t xml:space="preserve"> opiek</w:t>
      </w:r>
      <w:r w:rsidR="008A2924">
        <w:rPr>
          <w:rFonts w:eastAsia="Times New Roman"/>
          <w:color w:val="000000" w:themeColor="text1"/>
        </w:rPr>
        <w:t>ą</w:t>
      </w:r>
      <w:r w:rsidR="00FF7883" w:rsidRPr="00FA09CC">
        <w:rPr>
          <w:rFonts w:eastAsia="Times New Roman"/>
          <w:color w:val="000000" w:themeColor="text1"/>
        </w:rPr>
        <w:t xml:space="preserve"> i profilaktyką</w:t>
      </w:r>
      <w:r w:rsidR="00763F3F">
        <w:rPr>
          <w:rFonts w:eastAsia="Times New Roman"/>
          <w:color w:val="000000" w:themeColor="text1"/>
        </w:rPr>
        <w:t xml:space="preserve"> </w:t>
      </w:r>
      <w:r w:rsidR="00FF7883" w:rsidRPr="00FA09CC">
        <w:rPr>
          <w:rFonts w:eastAsia="Times New Roman"/>
          <w:color w:val="000000" w:themeColor="text1"/>
        </w:rPr>
        <w:t xml:space="preserve">zdrowotną). Działania prozdrowotne objęły ponad 6 tys. osób pochodzenia romskiego (brak danych </w:t>
      </w:r>
      <w:r w:rsidR="005A61AF">
        <w:rPr>
          <w:rFonts w:eastAsia="Times New Roman"/>
          <w:color w:val="000000" w:themeColor="text1"/>
        </w:rPr>
        <w:t>w</w:t>
      </w:r>
      <w:r w:rsidR="005A61AF" w:rsidRPr="00FA09CC">
        <w:rPr>
          <w:rFonts w:eastAsia="Times New Roman"/>
          <w:color w:val="000000" w:themeColor="text1"/>
        </w:rPr>
        <w:t xml:space="preserve"> </w:t>
      </w:r>
      <w:r w:rsidR="00FF7883" w:rsidRPr="00FA09CC">
        <w:rPr>
          <w:rFonts w:eastAsia="Times New Roman"/>
          <w:color w:val="000000" w:themeColor="text1"/>
        </w:rPr>
        <w:t xml:space="preserve">podziale na płeć, </w:t>
      </w:r>
      <w:r w:rsidR="008A2924">
        <w:rPr>
          <w:rFonts w:eastAsia="Times New Roman"/>
          <w:color w:val="000000" w:themeColor="text1"/>
        </w:rPr>
        <w:t>ale</w:t>
      </w:r>
      <w:r w:rsidR="00FF7883" w:rsidRPr="00FA09CC">
        <w:rPr>
          <w:rFonts w:eastAsia="Times New Roman"/>
          <w:color w:val="000000" w:themeColor="text1"/>
        </w:rPr>
        <w:t xml:space="preserve"> można zakładać, że większość beneficjentów stanowiły kobiety i dziewczęta romskie</w:t>
      </w:r>
      <w:r w:rsidR="008A2924">
        <w:rPr>
          <w:rFonts w:eastAsia="Times New Roman"/>
          <w:color w:val="000000" w:themeColor="text1"/>
        </w:rPr>
        <w:t>)</w:t>
      </w:r>
      <w:r w:rsidR="00FF7883" w:rsidRPr="00FA09CC">
        <w:rPr>
          <w:rFonts w:eastAsia="Times New Roman"/>
          <w:color w:val="000000" w:themeColor="text1"/>
        </w:rPr>
        <w:t>.</w:t>
      </w:r>
    </w:p>
    <w:p w:rsidR="005E032E" w:rsidRPr="00FA09CC" w:rsidRDefault="005E032E" w:rsidP="0024594C">
      <w:pPr>
        <w:rPr>
          <w:b/>
          <w:bCs/>
          <w:color w:val="000000" w:themeColor="text1"/>
        </w:rPr>
      </w:pPr>
    </w:p>
    <w:p w:rsidR="00AA75A9" w:rsidRPr="00FA09CC" w:rsidRDefault="000A0A05" w:rsidP="0024594C">
      <w:pPr>
        <w:ind w:left="0" w:firstLine="0"/>
        <w:rPr>
          <w:b/>
          <w:bCs/>
          <w:color w:val="000000" w:themeColor="text1"/>
        </w:rPr>
      </w:pPr>
      <w:r w:rsidRPr="00FA09CC">
        <w:rPr>
          <w:b/>
          <w:bCs/>
          <w:color w:val="000000" w:themeColor="text1"/>
        </w:rPr>
        <w:t xml:space="preserve">Paragraf 136 – w zakresie dostępu do opieki medycznej Romów pochodzących </w:t>
      </w:r>
      <w:r w:rsidR="008350C3">
        <w:rPr>
          <w:b/>
          <w:bCs/>
          <w:color w:val="000000" w:themeColor="text1"/>
        </w:rPr>
        <w:br/>
      </w:r>
      <w:r w:rsidRPr="00FA09CC">
        <w:rPr>
          <w:b/>
          <w:bCs/>
          <w:color w:val="000000" w:themeColor="text1"/>
        </w:rPr>
        <w:t>z Rumunii</w:t>
      </w:r>
    </w:p>
    <w:p w:rsidR="00B0504E" w:rsidRPr="00FA09CC" w:rsidRDefault="000A0A05" w:rsidP="0024594C">
      <w:pPr>
        <w:ind w:left="0" w:firstLine="0"/>
      </w:pPr>
      <w:r w:rsidRPr="00FA09CC">
        <w:t xml:space="preserve">Zgodnie z ustawą z 14 lipca 2006 r. o wjeździe na terytorium RP, pobycie oraz wyjeździe </w:t>
      </w:r>
      <w:r w:rsidR="008350C3">
        <w:br/>
      </w:r>
      <w:r w:rsidRPr="00FA09CC">
        <w:t>z tego terytorium obywateli państw członkowskich UE i członków ich rodzin, obywatelowi UE przysługuje prawo pobytu na terytorium RP przez 3 miesiące, bez konieczności dochowania warunków pobytu</w:t>
      </w:r>
      <w:r w:rsidR="008A2924">
        <w:t>,</w:t>
      </w:r>
      <w:r w:rsidRPr="00FA09CC">
        <w:t xml:space="preserve"> takich jak posiadanie wystarczających środków finansowych </w:t>
      </w:r>
      <w:r w:rsidR="00070821">
        <w:t>na</w:t>
      </w:r>
      <w:r w:rsidRPr="00FA09CC">
        <w:t xml:space="preserve"> utrzymani</w:t>
      </w:r>
      <w:r w:rsidR="00070821">
        <w:t>e</w:t>
      </w:r>
      <w:r w:rsidRPr="00FA09CC">
        <w:t xml:space="preserve"> siebie i członków rodziny, posiadanie ubezpieczenia zdrowotnego w Polsce lub prawa do świadczeń na podstawie unijnych przepisów o koordynacji systemów zabezpieczenia społecznego albo posiadanie prywatnego ubezpieczenia zdrowotnego. </w:t>
      </w:r>
    </w:p>
    <w:p w:rsidR="001B5DDD" w:rsidRPr="00FA09CC" w:rsidRDefault="000A0A05" w:rsidP="0024594C">
      <w:pPr>
        <w:ind w:left="0" w:firstLine="0"/>
      </w:pPr>
      <w:r w:rsidRPr="00FA09CC">
        <w:t xml:space="preserve">Obywatel Rumunii, jako obywatel innego państwa członkowskiego UE, wjeżdżając na terytorium Polski powinien posiadać Europejską Kartę Ubezpieczenia Zdrowotnego, uprawniającą do korzystania ze świadczeń zdrowotnych w przypadku nagłego zachorowania, wypadku, zagrożenia zdrowia lub życia. Stanowią o tym unijne przepisy o koordynacji systemów zabezpieczenia społecznego. </w:t>
      </w:r>
    </w:p>
    <w:p w:rsidR="00B0504E" w:rsidRPr="00FA09CC" w:rsidRDefault="000A0A05" w:rsidP="0024594C">
      <w:pPr>
        <w:ind w:left="0" w:firstLine="0"/>
      </w:pPr>
      <w:r w:rsidRPr="00FA09CC">
        <w:t>Jeżeli pacjent nie posiada karty, świadczeniodawca:</w:t>
      </w:r>
    </w:p>
    <w:p w:rsidR="00B0504E" w:rsidRPr="00FA09CC" w:rsidRDefault="000A0A05" w:rsidP="0024594C">
      <w:pPr>
        <w:pStyle w:val="Akapitzlist"/>
        <w:numPr>
          <w:ilvl w:val="0"/>
          <w:numId w:val="25"/>
        </w:numPr>
      </w:pPr>
      <w:r w:rsidRPr="00FA09CC">
        <w:t>może zwrócić się do oddziału wojewódzkiego Narodowego Funduszu Zdrowia o złożenie wniosku do macierzystej instytucji ubezpieczenia zdrowotnego o wydanie certyfikatu zastępującego kartę,</w:t>
      </w:r>
    </w:p>
    <w:p w:rsidR="00B0504E" w:rsidRPr="00FA09CC" w:rsidRDefault="000A0A05" w:rsidP="0024594C">
      <w:pPr>
        <w:pStyle w:val="Akapitzlist"/>
        <w:numPr>
          <w:ilvl w:val="0"/>
          <w:numId w:val="25"/>
        </w:numPr>
      </w:pPr>
      <w:r w:rsidRPr="00FA09CC">
        <w:t>ma prawo obciążyć pacjenta kosztami udzielonych świadczeń zdrowotnych, które następnie można odzyskać w macierzystej instytucji ubezpieczenia zdrowotnego.</w:t>
      </w:r>
    </w:p>
    <w:p w:rsidR="00B0504E" w:rsidRPr="00FA09CC" w:rsidRDefault="000A0A05" w:rsidP="0024594C">
      <w:pPr>
        <w:ind w:left="0" w:firstLine="0"/>
      </w:pPr>
      <w:r w:rsidRPr="00FA09CC">
        <w:t>Obywatele Rumunii, legalnie zamieszkali na terytorium Polski, powinni posiadać dokument S1</w:t>
      </w:r>
      <w:r w:rsidR="00070821">
        <w:t>,</w:t>
      </w:r>
      <w:r w:rsidRPr="00FA09CC">
        <w:t xml:space="preserve"> wydany przez rumuńską instytucję ubezpieczenia zdrowotnego</w:t>
      </w:r>
      <w:r w:rsidR="00070821">
        <w:t xml:space="preserve"> i</w:t>
      </w:r>
      <w:r w:rsidRPr="00FA09CC">
        <w:t xml:space="preserve"> potwierdzający prawo do korzystania z pełnej opieki zdrowotnej w Polsce na koszt tej instytucji. </w:t>
      </w:r>
    </w:p>
    <w:p w:rsidR="00B0504E" w:rsidRPr="00FA09CC" w:rsidRDefault="000A0A05" w:rsidP="0024594C">
      <w:pPr>
        <w:ind w:left="0" w:firstLine="0"/>
      </w:pPr>
      <w:r w:rsidRPr="00FA09CC">
        <w:t xml:space="preserve">Większość przebywających w Polsce obywateli Rumunii pochodzenia romskiego nie ma ubezpieczenia zdrowotnego w państwie pochodzenia, ani wystarczających środków na sfinansowanie kosztów leczenia w Polsce. Na ogół nie mają </w:t>
      </w:r>
      <w:r w:rsidR="00A91B11" w:rsidRPr="00FA09CC">
        <w:t xml:space="preserve">również </w:t>
      </w:r>
      <w:r w:rsidR="00B0504E" w:rsidRPr="00FA09CC">
        <w:t>ubezpieczenia zdrowotnego w Polsce</w:t>
      </w:r>
      <w:r w:rsidRPr="00FA09CC">
        <w:t xml:space="preserve"> (na przykład z tytułu zatrudnienia, samozatrudnienia) i mają nieuregulowany status pobytowy. </w:t>
      </w:r>
    </w:p>
    <w:p w:rsidR="00B0504E" w:rsidRPr="00FA09CC" w:rsidRDefault="000A0A05" w:rsidP="0024594C">
      <w:pPr>
        <w:ind w:left="0" w:firstLine="0"/>
      </w:pPr>
      <w:r w:rsidRPr="00FA09CC">
        <w:t xml:space="preserve">Jeżeli romscy migranci nie spełniają warunków legalizacji pobytu (na przykład ze względu na brak środków finansowych, brak zatrudnienia, brak uprawnień do korzystania ze świadczeń zdrowotnych) lub ich rejestracja nie jest możliwa </w:t>
      </w:r>
      <w:r w:rsidR="001B5DDD" w:rsidRPr="00FA09CC">
        <w:t>(</w:t>
      </w:r>
      <w:r w:rsidRPr="00FA09CC">
        <w:t>ze względu na brak możliwości potwierdzenia statusu obywatela UE</w:t>
      </w:r>
      <w:r w:rsidR="001B5DDD" w:rsidRPr="00FA09CC">
        <w:t>)</w:t>
      </w:r>
      <w:r w:rsidRPr="00FA09CC">
        <w:t xml:space="preserve">, a mimo to nadal (nielegalnie) przebywają na terytorium </w:t>
      </w:r>
      <w:r w:rsidRPr="00FA09CC">
        <w:lastRenderedPageBreak/>
        <w:t xml:space="preserve">Polski, to zgodnie z obowiązującymi przepisami polski system opieki zdrowotnej nie może im zapewnić </w:t>
      </w:r>
      <w:r w:rsidR="00C15B6D" w:rsidRPr="00FA09CC">
        <w:t xml:space="preserve">dostępu, w pełnym zakresie, </w:t>
      </w:r>
      <w:r w:rsidRPr="00FA09CC">
        <w:t xml:space="preserve">do świadczeń opieki zdrowotnej finansowanych ze środków publicznych. Mają oni prawo do bezpłatnych świadczeń zdrowotnych (finansowanych ze środków publicznych) związanych z leczeniem: uzależnień od alkoholu, narkotyków i środków odurzających, chorób psychicznych, chorób zakaźnych. Mają oni również prawo, w sytuacji zagrożenia zdrowia lub życia, do bezpłatnej opieki medycznej udzielanej przez zespoły ratownictwa medycznego. Osobom takim zapewniana </w:t>
      </w:r>
      <w:r w:rsidR="008A2924">
        <w:t xml:space="preserve">jest </w:t>
      </w:r>
      <w:r w:rsidRPr="00FA09CC">
        <w:t>również pomoc medyczna w przypadkach nagłego zachorowania i zagrożenia zdrowia lub życia</w:t>
      </w:r>
      <w:r w:rsidR="00070821">
        <w:t>. T</w:t>
      </w:r>
      <w:r w:rsidRPr="00FA09CC">
        <w:t xml:space="preserve">ym samym gwarantowane jest poszanowanie ich praw humanitarnych. </w:t>
      </w:r>
    </w:p>
    <w:p w:rsidR="00967087" w:rsidRPr="00FA09CC" w:rsidRDefault="000A0A05" w:rsidP="0024594C">
      <w:pPr>
        <w:ind w:left="0" w:firstLine="0"/>
      </w:pPr>
      <w:r w:rsidRPr="00FA09CC">
        <w:t xml:space="preserve">Prawo do świadczeń opieki zdrowotnej finansowanych ze środków publicznych przysługuje uchodźcom i innym osobom przebywającym w danym państwie legalnie i w związku ze spełnieniem obiektywnych kryteriów, zgodnie z przepisami państwa przyjmującego. </w:t>
      </w:r>
    </w:p>
    <w:p w:rsidR="00B0504E" w:rsidRPr="00FA09CC" w:rsidRDefault="000A0A05" w:rsidP="0024594C">
      <w:pPr>
        <w:ind w:left="0" w:firstLine="0"/>
      </w:pPr>
      <w:r w:rsidRPr="00FA09CC">
        <w:t xml:space="preserve">Wcielenie w życie rozwiązań polegających na objęciu pełną opieką zdrowotną wszystkich osób, w tym cudzoziemców przebywających nielegalnie w danym państwie, mogłoby oznaczać potencjalnie olbrzymie obciążenia finansowe i organizacyjne dla systemu ochrony zdrowia. Ponadto, byłoby nie do pogodzenia z samą istotą polskiego systemu opieki zdrowotnej, opartego na zasadzie solidaryzmu społecznego </w:t>
      </w:r>
      <w:r w:rsidR="00070821">
        <w:t>oraz</w:t>
      </w:r>
      <w:r w:rsidRPr="00FA09CC">
        <w:t>, w głównej mierze, na zasadzie ubezpieczenia i</w:t>
      </w:r>
      <w:r w:rsidR="00C15B6D" w:rsidRPr="00FA09CC">
        <w:t>,</w:t>
      </w:r>
      <w:r w:rsidRPr="00FA09CC">
        <w:t xml:space="preserve"> związanego z nim</w:t>
      </w:r>
      <w:r w:rsidR="00C15B6D" w:rsidRPr="00FA09CC">
        <w:t>,</w:t>
      </w:r>
      <w:r w:rsidRPr="00FA09CC">
        <w:t xml:space="preserve"> obowiązku opłacania składki zdrowotnej. </w:t>
      </w:r>
    </w:p>
    <w:p w:rsidR="00B0504E" w:rsidRPr="00FA09CC" w:rsidRDefault="000A0A05" w:rsidP="0024594C">
      <w:pPr>
        <w:ind w:left="0" w:firstLine="0"/>
      </w:pPr>
      <w:r w:rsidRPr="00FA09CC">
        <w:t xml:space="preserve">Polskie prawo przewiduje szereg możliwości uregulowania przez cudzoziemców statusu pobytowego i, w konsekwencji, uzyskania prawa do świadczeń zdrowotnych. </w:t>
      </w:r>
    </w:p>
    <w:p w:rsidR="00B0504E" w:rsidRPr="00FA09CC" w:rsidRDefault="00B0504E" w:rsidP="0024594C">
      <w:pPr>
        <w:ind w:left="0" w:firstLine="0"/>
        <w:rPr>
          <w:color w:val="000000" w:themeColor="text1"/>
        </w:rPr>
      </w:pPr>
    </w:p>
    <w:p w:rsidR="00695D57" w:rsidRPr="00FA09CC" w:rsidRDefault="000A0A05" w:rsidP="0024594C">
      <w:pPr>
        <w:pStyle w:val="Standard"/>
        <w:jc w:val="both"/>
        <w:rPr>
          <w:rFonts w:ascii="Times New Roman" w:hAnsi="Times New Roman" w:cs="Times New Roman"/>
          <w:b/>
          <w:color w:val="000000" w:themeColor="text1"/>
        </w:rPr>
      </w:pPr>
      <w:r w:rsidRPr="00FA09CC">
        <w:rPr>
          <w:rFonts w:ascii="Times New Roman" w:hAnsi="Times New Roman" w:cs="Times New Roman"/>
          <w:b/>
          <w:color w:val="000000" w:themeColor="text1"/>
        </w:rPr>
        <w:t xml:space="preserve">Paragraf 139 – specjalistyczne ośrodki wsparcia dla ofiar przemocy w rodzinie </w:t>
      </w:r>
    </w:p>
    <w:p w:rsidR="001B5DDD" w:rsidRPr="00FA09CC" w:rsidRDefault="001B5DDD" w:rsidP="0024594C">
      <w:pPr>
        <w:pStyle w:val="Standard"/>
        <w:jc w:val="both"/>
        <w:rPr>
          <w:rFonts w:ascii="Times New Roman" w:hAnsi="Times New Roman" w:cs="Times New Roman"/>
        </w:rPr>
      </w:pPr>
      <w:r w:rsidRPr="00FA09CC">
        <w:rPr>
          <w:rFonts w:ascii="Times New Roman" w:hAnsi="Times New Roman" w:cs="Times New Roman"/>
        </w:rPr>
        <w:t xml:space="preserve">Wskazanie w </w:t>
      </w:r>
      <w:r w:rsidR="00706179" w:rsidRPr="00FA09CC">
        <w:rPr>
          <w:rFonts w:ascii="Times New Roman" w:hAnsi="Times New Roman" w:cs="Times New Roman"/>
        </w:rPr>
        <w:t>przedostatni</w:t>
      </w:r>
      <w:r w:rsidRPr="00FA09CC">
        <w:rPr>
          <w:rFonts w:ascii="Times New Roman" w:hAnsi="Times New Roman" w:cs="Times New Roman"/>
        </w:rPr>
        <w:t>m</w:t>
      </w:r>
      <w:r w:rsidR="00706179" w:rsidRPr="00FA09CC">
        <w:rPr>
          <w:rFonts w:ascii="Times New Roman" w:hAnsi="Times New Roman" w:cs="Times New Roman"/>
        </w:rPr>
        <w:t xml:space="preserve"> zdani</w:t>
      </w:r>
      <w:r w:rsidRPr="00FA09CC">
        <w:rPr>
          <w:rFonts w:ascii="Times New Roman" w:hAnsi="Times New Roman" w:cs="Times New Roman"/>
        </w:rPr>
        <w:t>u</w:t>
      </w:r>
      <w:r w:rsidR="00706179" w:rsidRPr="00FA09CC">
        <w:rPr>
          <w:rFonts w:ascii="Times New Roman" w:hAnsi="Times New Roman" w:cs="Times New Roman"/>
        </w:rPr>
        <w:t xml:space="preserve"> paragrafu, że zasadą w pracy z osobą doznającą przemocy jest dążenie do tego, aby pozostała w związku z osobą stosującą wobec niej przemoc</w:t>
      </w:r>
      <w:r w:rsidR="00070821">
        <w:rPr>
          <w:rFonts w:ascii="Times New Roman" w:hAnsi="Times New Roman" w:cs="Times New Roman"/>
        </w:rPr>
        <w:t>,</w:t>
      </w:r>
      <w:r w:rsidRPr="00FA09CC">
        <w:rPr>
          <w:rFonts w:ascii="Times New Roman" w:hAnsi="Times New Roman" w:cs="Times New Roman"/>
        </w:rPr>
        <w:t xml:space="preserve"> </w:t>
      </w:r>
      <w:r w:rsidR="005A61AF">
        <w:rPr>
          <w:rFonts w:ascii="Times New Roman" w:hAnsi="Times New Roman" w:cs="Times New Roman"/>
        </w:rPr>
        <w:t>nie ma oparcia w faktach</w:t>
      </w:r>
      <w:r w:rsidR="00706179" w:rsidRPr="00FA09CC">
        <w:rPr>
          <w:rFonts w:ascii="Times New Roman" w:hAnsi="Times New Roman" w:cs="Times New Roman"/>
        </w:rPr>
        <w:t>. Działania podejmowane we współpracy z osobą doznającą przemocy mają przede wszystkim charakter interwencyjny, a ich celem jest zapewnienie jej bezpieczeństwa poprzez, na przykład, natychmiastową izolację sprawcy przemocy. Osoby doznające przemocy mają równocześnie dostęp do szerokiego spektrum pomocy i wsparcia, po to aby mogły uporać się z traumatyzującymi doświadczeniami oraz odzyska</w:t>
      </w:r>
      <w:r w:rsidR="007D6B00">
        <w:rPr>
          <w:rFonts w:ascii="Times New Roman" w:hAnsi="Times New Roman" w:cs="Times New Roman"/>
        </w:rPr>
        <w:t>ły</w:t>
      </w:r>
      <w:r w:rsidR="00706179" w:rsidRPr="00FA09CC">
        <w:rPr>
          <w:rFonts w:ascii="Times New Roman" w:hAnsi="Times New Roman" w:cs="Times New Roman"/>
        </w:rPr>
        <w:t xml:space="preserve"> poczucie bezpieczeństwa. </w:t>
      </w:r>
    </w:p>
    <w:p w:rsidR="00706179" w:rsidRPr="00FA09CC" w:rsidRDefault="00706179" w:rsidP="0024594C">
      <w:pPr>
        <w:pStyle w:val="Standard"/>
        <w:jc w:val="both"/>
        <w:rPr>
          <w:rFonts w:ascii="Times New Roman" w:hAnsi="Times New Roman" w:cs="Times New Roman"/>
        </w:rPr>
      </w:pPr>
      <w:r w:rsidRPr="00FA09CC">
        <w:rPr>
          <w:rFonts w:ascii="Times New Roman" w:hAnsi="Times New Roman" w:cs="Times New Roman"/>
        </w:rPr>
        <w:t xml:space="preserve">Z kolei, w ostatnim zdaniu </w:t>
      </w:r>
      <w:r w:rsidR="007D6B00">
        <w:rPr>
          <w:rFonts w:ascii="Times New Roman" w:hAnsi="Times New Roman" w:cs="Times New Roman"/>
        </w:rPr>
        <w:t>paragrafu</w:t>
      </w:r>
      <w:r w:rsidRPr="00FA09CC">
        <w:rPr>
          <w:rFonts w:ascii="Times New Roman" w:hAnsi="Times New Roman" w:cs="Times New Roman"/>
        </w:rPr>
        <w:t xml:space="preserve"> wskazuje</w:t>
      </w:r>
      <w:r w:rsidR="001B5DDD" w:rsidRPr="00FA09CC">
        <w:rPr>
          <w:rFonts w:ascii="Times New Roman" w:hAnsi="Times New Roman" w:cs="Times New Roman"/>
        </w:rPr>
        <w:t xml:space="preserve"> się</w:t>
      </w:r>
      <w:r w:rsidRPr="00FA09CC">
        <w:rPr>
          <w:rFonts w:ascii="Times New Roman" w:hAnsi="Times New Roman" w:cs="Times New Roman"/>
        </w:rPr>
        <w:t xml:space="preserve"> na „ogólny brak profesjonalistów specjalnie przeszkolonych do zapewnienia kobietom opieki i wsparcia po traumatycznych doświadczeniach oraz wsparcia kobiet będących ofiarami przemocy ze strony partnerów intymnych”. </w:t>
      </w:r>
      <w:r w:rsidR="001B5DDD" w:rsidRPr="00FA09CC">
        <w:rPr>
          <w:rFonts w:ascii="Times New Roman" w:hAnsi="Times New Roman" w:cs="Times New Roman"/>
        </w:rPr>
        <w:t>Nie została podana podstawa sformułowania takiego wniosku</w:t>
      </w:r>
      <w:r w:rsidRPr="00FA09CC">
        <w:rPr>
          <w:rFonts w:ascii="Times New Roman" w:hAnsi="Times New Roman" w:cs="Times New Roman"/>
        </w:rPr>
        <w:t xml:space="preserve">. W związku z tym należy wskazać, że specjaliści pracujący w obszarze przeciwdziałania przemocy mają niezbędną wiedzę i umiejętności </w:t>
      </w:r>
      <w:r w:rsidR="00423E7D">
        <w:rPr>
          <w:rFonts w:ascii="Times New Roman" w:hAnsi="Times New Roman" w:cs="Times New Roman"/>
        </w:rPr>
        <w:t xml:space="preserve">zawodowe </w:t>
      </w:r>
      <w:r w:rsidRPr="00FA09CC">
        <w:rPr>
          <w:rFonts w:ascii="Times New Roman" w:hAnsi="Times New Roman" w:cs="Times New Roman"/>
        </w:rPr>
        <w:t xml:space="preserve">oraz wysokie kompetencje interpersonalne, tak by właściwie wykonywać obowiązki w zakresie wsparcia ofiar i przeciwdziałania przemocy, nabyte w toku studiów oraz regularnego dalszego szkolenia. Informacje o przygotowaniu zawodowym profesjonalistów przedstawione zostały w sprawozdaniu Polski z wykonywania konwencji, w trakcie wizyty GREVIO w Polsce </w:t>
      </w:r>
      <w:r w:rsidR="007D6B00">
        <w:rPr>
          <w:rFonts w:ascii="Times New Roman" w:hAnsi="Times New Roman" w:cs="Times New Roman"/>
        </w:rPr>
        <w:t xml:space="preserve">(wrzesień 2020 r.) </w:t>
      </w:r>
      <w:r w:rsidRPr="00FA09CC">
        <w:rPr>
          <w:rFonts w:ascii="Times New Roman" w:hAnsi="Times New Roman" w:cs="Times New Roman"/>
        </w:rPr>
        <w:t>oraz w uwagach do projektu raportu GREVIO</w:t>
      </w:r>
      <w:r w:rsidR="00AB33BB">
        <w:rPr>
          <w:rFonts w:ascii="Times New Roman" w:hAnsi="Times New Roman" w:cs="Times New Roman"/>
        </w:rPr>
        <w:t xml:space="preserve"> (maj 2021</w:t>
      </w:r>
      <w:r w:rsidR="007D6B00">
        <w:rPr>
          <w:rFonts w:ascii="Times New Roman" w:hAnsi="Times New Roman" w:cs="Times New Roman"/>
        </w:rPr>
        <w:t xml:space="preserve"> r.</w:t>
      </w:r>
      <w:r w:rsidR="00AB33BB">
        <w:rPr>
          <w:rFonts w:ascii="Times New Roman" w:hAnsi="Times New Roman" w:cs="Times New Roman"/>
        </w:rPr>
        <w:t>)</w:t>
      </w:r>
      <w:r w:rsidRPr="00FA09CC">
        <w:rPr>
          <w:rFonts w:ascii="Times New Roman" w:hAnsi="Times New Roman" w:cs="Times New Roman"/>
        </w:rPr>
        <w:t>.</w:t>
      </w:r>
    </w:p>
    <w:p w:rsidR="00695D57" w:rsidRPr="00FA09CC" w:rsidRDefault="00695D57" w:rsidP="0024594C">
      <w:pPr>
        <w:pStyle w:val="Standard"/>
        <w:jc w:val="both"/>
        <w:rPr>
          <w:rFonts w:ascii="Times New Roman" w:hAnsi="Times New Roman" w:cs="Times New Roman"/>
          <w:b/>
          <w:bCs/>
          <w:color w:val="000000" w:themeColor="text1"/>
        </w:rPr>
      </w:pPr>
    </w:p>
    <w:p w:rsidR="00695D57" w:rsidRPr="00FA09CC" w:rsidRDefault="000A0A05" w:rsidP="0024594C">
      <w:pPr>
        <w:ind w:left="0" w:firstLine="0"/>
        <w:rPr>
          <w:b/>
          <w:color w:val="000000" w:themeColor="text1"/>
        </w:rPr>
      </w:pPr>
      <w:r w:rsidRPr="00FA09CC">
        <w:rPr>
          <w:b/>
          <w:color w:val="000000" w:themeColor="text1"/>
        </w:rPr>
        <w:t>Paragraf 14</w:t>
      </w:r>
      <w:r w:rsidR="00B86E7F">
        <w:rPr>
          <w:b/>
          <w:color w:val="000000" w:themeColor="text1"/>
        </w:rPr>
        <w:t>0</w:t>
      </w:r>
      <w:r w:rsidRPr="00FA09CC">
        <w:rPr>
          <w:b/>
          <w:color w:val="000000" w:themeColor="text1"/>
        </w:rPr>
        <w:t xml:space="preserve"> – dostęp do wsparcia specjalistycznego</w:t>
      </w:r>
    </w:p>
    <w:p w:rsidR="007253E1" w:rsidRPr="00FA09CC" w:rsidRDefault="009246CC" w:rsidP="0024594C">
      <w:pPr>
        <w:ind w:left="0" w:firstLine="0"/>
        <w:rPr>
          <w:color w:val="000000" w:themeColor="text1"/>
        </w:rPr>
      </w:pPr>
      <w:r w:rsidRPr="00FA09CC">
        <w:rPr>
          <w:color w:val="000000" w:themeColor="text1"/>
        </w:rPr>
        <w:t>W związku z przestawioną w raporcie niewłaściwą interpretacją przesłanek uruchomienia procedury „Niebieskiej Karty” i mechanizmu jej realizacji, należy wskazać, że o</w:t>
      </w:r>
      <w:r w:rsidR="000A0A05" w:rsidRPr="00FA09CC">
        <w:rPr>
          <w:color w:val="000000" w:themeColor="text1"/>
        </w:rPr>
        <w:t xml:space="preserve">soba pokrzywdzona przemocą korzysta z pomocy i wsparcia z inicjatywy własnej, </w:t>
      </w:r>
      <w:r w:rsidR="00070821">
        <w:rPr>
          <w:color w:val="000000" w:themeColor="text1"/>
        </w:rPr>
        <w:t>po s</w:t>
      </w:r>
      <w:r w:rsidR="000A0A05" w:rsidRPr="00FA09CC">
        <w:rPr>
          <w:color w:val="000000" w:themeColor="text1"/>
        </w:rPr>
        <w:t>kontakt</w:t>
      </w:r>
      <w:r w:rsidR="00070821">
        <w:rPr>
          <w:color w:val="000000" w:themeColor="text1"/>
        </w:rPr>
        <w:t>owaniu</w:t>
      </w:r>
      <w:r w:rsidR="000A0A05" w:rsidRPr="00FA09CC">
        <w:rPr>
          <w:color w:val="000000" w:themeColor="text1"/>
        </w:rPr>
        <w:t xml:space="preserve"> się z wybraną instytucją pomocową, bądź w ramach procedury „Niebieskiej Karty”.</w:t>
      </w:r>
    </w:p>
    <w:p w:rsidR="005356AA" w:rsidRPr="00FA09CC" w:rsidRDefault="000A0A05" w:rsidP="0024594C">
      <w:pPr>
        <w:ind w:left="0" w:firstLine="0"/>
        <w:rPr>
          <w:color w:val="000000" w:themeColor="text1"/>
        </w:rPr>
      </w:pPr>
      <w:r w:rsidRPr="00FA09CC">
        <w:rPr>
          <w:color w:val="000000" w:themeColor="text1"/>
        </w:rPr>
        <w:t>Wszczęcie procedury „Niebieskiej Karty” następuje w przypadku powzięcia</w:t>
      </w:r>
      <w:r w:rsidR="00070821">
        <w:rPr>
          <w:color w:val="000000" w:themeColor="text1"/>
        </w:rPr>
        <w:t xml:space="preserve"> przez pracownika lub funkcjonariusza</w:t>
      </w:r>
      <w:r w:rsidRPr="00FA09CC">
        <w:rPr>
          <w:color w:val="000000" w:themeColor="text1"/>
        </w:rPr>
        <w:t xml:space="preserve">, w toku czynności służbowych lub zawodowych, podejrzenia </w:t>
      </w:r>
      <w:r w:rsidRPr="00FA09CC">
        <w:rPr>
          <w:color w:val="000000" w:themeColor="text1"/>
        </w:rPr>
        <w:lastRenderedPageBreak/>
        <w:t xml:space="preserve">stosowania przemocy wobec członków rodziny lub w wyniku zgłoszenia przez członka rodziny lub przez osobę będącą świadkiem przemocy w rodzinie. Wszczęcie procedury może nastąpić nawet gdy istnieje jedynie podejrzenie stosowania przemocy, niepoparte żadnymi dowodami, czy okolicznościami. </w:t>
      </w:r>
    </w:p>
    <w:p w:rsidR="00695D57" w:rsidRPr="00FA09CC" w:rsidRDefault="000A0A05" w:rsidP="0024594C">
      <w:pPr>
        <w:ind w:left="0" w:firstLine="0"/>
        <w:rPr>
          <w:rFonts w:eastAsia="Times New Roman"/>
          <w:color w:val="000000" w:themeColor="text1"/>
          <w:lang w:eastAsia="pl-PL"/>
        </w:rPr>
      </w:pPr>
      <w:r w:rsidRPr="00FA09CC">
        <w:rPr>
          <w:rFonts w:eastAsia="Times New Roman"/>
          <w:color w:val="000000" w:themeColor="text1"/>
          <w:lang w:eastAsia="pl-PL"/>
        </w:rPr>
        <w:t>Wszczęcie procedury i realizacja w jej ramach działań nie są uzależnione od zgody osoby doznającej przemocy. Ma to na celu zapewnienie ochrony również wtedy, gdy ofiara przemocy obawia się</w:t>
      </w:r>
      <w:r w:rsidR="007D6B00">
        <w:rPr>
          <w:rFonts w:eastAsia="Times New Roman"/>
          <w:color w:val="000000" w:themeColor="text1"/>
          <w:lang w:eastAsia="pl-PL"/>
        </w:rPr>
        <w:t>,</w:t>
      </w:r>
      <w:r w:rsidRPr="00FA09CC">
        <w:rPr>
          <w:rFonts w:eastAsia="Times New Roman"/>
          <w:color w:val="000000" w:themeColor="text1"/>
          <w:lang w:eastAsia="pl-PL"/>
        </w:rPr>
        <w:t xml:space="preserve"> bądź nie jest zdolna </w:t>
      </w:r>
      <w:r w:rsidR="007D6B00" w:rsidRPr="00FA09CC">
        <w:rPr>
          <w:rFonts w:eastAsia="Times New Roman"/>
          <w:color w:val="000000" w:themeColor="text1"/>
          <w:lang w:eastAsia="pl-PL"/>
        </w:rPr>
        <w:t>samodzieln</w:t>
      </w:r>
      <w:r w:rsidR="007D6B00">
        <w:rPr>
          <w:rFonts w:eastAsia="Times New Roman"/>
          <w:color w:val="000000" w:themeColor="text1"/>
          <w:lang w:eastAsia="pl-PL"/>
        </w:rPr>
        <w:t>ie</w:t>
      </w:r>
      <w:r w:rsidR="007D6B00" w:rsidRPr="00FA09CC">
        <w:rPr>
          <w:rFonts w:eastAsia="Times New Roman"/>
          <w:color w:val="000000" w:themeColor="text1"/>
          <w:lang w:eastAsia="pl-PL"/>
        </w:rPr>
        <w:t xml:space="preserve"> </w:t>
      </w:r>
      <w:r w:rsidRPr="00FA09CC">
        <w:rPr>
          <w:rFonts w:eastAsia="Times New Roman"/>
          <w:color w:val="000000" w:themeColor="text1"/>
          <w:lang w:eastAsia="pl-PL"/>
        </w:rPr>
        <w:t>podj</w:t>
      </w:r>
      <w:r w:rsidR="007D6B00">
        <w:rPr>
          <w:rFonts w:eastAsia="Times New Roman"/>
          <w:color w:val="000000" w:themeColor="text1"/>
          <w:lang w:eastAsia="pl-PL"/>
        </w:rPr>
        <w:t>ąć</w:t>
      </w:r>
      <w:r w:rsidRPr="00FA09CC">
        <w:rPr>
          <w:rFonts w:eastAsia="Times New Roman"/>
          <w:color w:val="000000" w:themeColor="text1"/>
          <w:lang w:eastAsia="pl-PL"/>
        </w:rPr>
        <w:t xml:space="preserve"> działa</w:t>
      </w:r>
      <w:r w:rsidR="007D6B00">
        <w:rPr>
          <w:rFonts w:eastAsia="Times New Roman"/>
          <w:color w:val="000000" w:themeColor="text1"/>
          <w:lang w:eastAsia="pl-PL"/>
        </w:rPr>
        <w:t>nia</w:t>
      </w:r>
      <w:r w:rsidRPr="00FA09CC">
        <w:rPr>
          <w:rFonts w:eastAsia="Times New Roman"/>
          <w:color w:val="000000" w:themeColor="text1"/>
          <w:lang w:eastAsia="pl-PL"/>
        </w:rPr>
        <w:t xml:space="preserve">. </w:t>
      </w:r>
    </w:p>
    <w:p w:rsidR="001713FA" w:rsidRPr="00FA09CC" w:rsidRDefault="000A0A05" w:rsidP="0024594C">
      <w:pPr>
        <w:ind w:left="0" w:firstLine="0"/>
        <w:rPr>
          <w:color w:val="000000" w:themeColor="text1"/>
        </w:rPr>
      </w:pPr>
      <w:r w:rsidRPr="00FA09CC">
        <w:rPr>
          <w:color w:val="000000" w:themeColor="text1"/>
        </w:rPr>
        <w:t>Podejmowane w ramach procedury „Niebieskie</w:t>
      </w:r>
      <w:r w:rsidR="005A61AF">
        <w:rPr>
          <w:color w:val="000000" w:themeColor="text1"/>
        </w:rPr>
        <w:t>j</w:t>
      </w:r>
      <w:r w:rsidRPr="00FA09CC">
        <w:rPr>
          <w:color w:val="000000" w:themeColor="text1"/>
        </w:rPr>
        <w:t xml:space="preserve"> Karty” działania nie implikują kontaktów ze sprawcą, na żadnym etapie. W szczególności, rozporządzenie Ministra Pracy i Polityki Społecznej </w:t>
      </w:r>
      <w:r w:rsidR="007D6B00">
        <w:rPr>
          <w:color w:val="000000" w:themeColor="text1"/>
        </w:rPr>
        <w:t xml:space="preserve">z 22 lutego 2011 r. </w:t>
      </w:r>
      <w:r w:rsidRPr="00FA09CC">
        <w:rPr>
          <w:bCs/>
          <w:color w:val="000000" w:themeColor="text1"/>
        </w:rPr>
        <w:t>w sprawie standardu podstawowych usług świadczonych przez specjalistyczne ośrodki wsparcia dla ofiar przemocy w rodzinie, kwalifikacji osób zatrudnionych w tych ośrodkach, szczegółowych kierunków prowadzenia oddziaływań korekcyjno-edukacyjnych wobec osób stosujących przemoc w rodzinie oraz kwalifikacji osób prowadzących oddziaływania korekcyjno-edukacyjne przewiduje, że</w:t>
      </w:r>
      <w:r w:rsidRPr="00FA09CC">
        <w:rPr>
          <w:color w:val="000000" w:themeColor="text1"/>
        </w:rPr>
        <w:t xml:space="preserve"> oddziaływań korekcyjno–edukacyjnych wobec osób stosujących przemoc w rodzinie nie prowadzi się </w:t>
      </w:r>
      <w:r w:rsidR="008350C3">
        <w:rPr>
          <w:color w:val="000000" w:themeColor="text1"/>
        </w:rPr>
        <w:br/>
      </w:r>
      <w:r w:rsidRPr="00FA09CC">
        <w:rPr>
          <w:color w:val="000000" w:themeColor="text1"/>
        </w:rPr>
        <w:t>w miejscach, w których udziela się pomocy i wsparcia ofiarom przemocy w rodzinie. Regulacja ta gwarantuje odizolowanie sprawców przemocy w rodzinie od ofiar. Planowane jest wprowadzenie podobnych rozwiązań w odniesieniu do realizacji programów psychologiczno–terapeutycznych dla osób stosujących przemoc w rodzinie.</w:t>
      </w:r>
    </w:p>
    <w:p w:rsidR="001713FA" w:rsidRPr="00FA09CC" w:rsidRDefault="000A0A05" w:rsidP="0024594C">
      <w:pPr>
        <w:ind w:left="0" w:firstLine="0"/>
        <w:rPr>
          <w:color w:val="000000" w:themeColor="text1"/>
        </w:rPr>
      </w:pPr>
      <w:r w:rsidRPr="00FA09CC">
        <w:rPr>
          <w:color w:val="000000" w:themeColor="text1"/>
        </w:rPr>
        <w:t>Dodatkowo, w regulaminach zespołów interdyscyplinarnych/grup roboczych powinien znajdować się wyraźny zakaz prac zespołu/grupy implikujących kontakty ofiary ze sprawcą.</w:t>
      </w:r>
    </w:p>
    <w:p w:rsidR="009746F7" w:rsidRPr="00FA09CC" w:rsidRDefault="000A0A05" w:rsidP="0024594C">
      <w:pPr>
        <w:ind w:left="0" w:firstLine="0"/>
        <w:rPr>
          <w:color w:val="000000" w:themeColor="text1"/>
        </w:rPr>
      </w:pPr>
      <w:r w:rsidRPr="00FA09CC">
        <w:rPr>
          <w:color w:val="000000" w:themeColor="text1"/>
        </w:rPr>
        <w:t xml:space="preserve">Należy mieć na względzie, że założeniem ustawy o przeciwdziałaniu przemocy w rodzinie </w:t>
      </w:r>
      <w:r w:rsidR="008350C3">
        <w:rPr>
          <w:color w:val="000000" w:themeColor="text1"/>
        </w:rPr>
        <w:br/>
      </w:r>
      <w:r w:rsidRPr="00FA09CC">
        <w:rPr>
          <w:color w:val="000000" w:themeColor="text1"/>
        </w:rPr>
        <w:t>i przepisów wykonawczych do niej oraz kolejnych krajowych programów przeciwdziałania przemocy w rodzinie jest zapewnienie ofierze przemocy w rodzinie bezpieczeństwa, na każdym etapie udzielania wsparcia i pomocy. Wytyczna ta musi być, co oczywiste, brana pod uwagę także przy organizowaniu instytucji pomocy oraz ustalaniu procedur ich działania.</w:t>
      </w:r>
    </w:p>
    <w:p w:rsidR="005356AA" w:rsidRPr="00FA09CC" w:rsidRDefault="000A0A05" w:rsidP="0024594C">
      <w:pPr>
        <w:ind w:left="0" w:firstLine="0"/>
        <w:rPr>
          <w:rFonts w:eastAsia="Calibri"/>
          <w:color w:val="000000"/>
        </w:rPr>
      </w:pPr>
      <w:r w:rsidRPr="00FA09CC">
        <w:rPr>
          <w:rFonts w:eastAsia="Calibri"/>
          <w:color w:val="000000"/>
        </w:rPr>
        <w:t>Zakończenie procedury jest możliwe w razie ustania przemocy w rodzinie lub po zrealizowaniu indywidualnego planu pomocy, lub w razie rozstrzygnięcia o braku zasadności podejmowania działań (podejrzenie stosowania przemocy nie potwierdzi</w:t>
      </w:r>
      <w:r w:rsidR="007D6B00">
        <w:rPr>
          <w:rFonts w:eastAsia="Calibri"/>
          <w:color w:val="000000"/>
        </w:rPr>
        <w:t>ło</w:t>
      </w:r>
      <w:r w:rsidRPr="00FA09CC">
        <w:rPr>
          <w:rFonts w:eastAsia="Calibri"/>
          <w:color w:val="000000"/>
        </w:rPr>
        <w:t xml:space="preserve"> się). </w:t>
      </w:r>
      <w:r w:rsidRPr="00FA09CC">
        <w:rPr>
          <w:rFonts w:eastAsia="Times New Roman"/>
          <w:color w:val="000000" w:themeColor="text1"/>
          <w:lang w:eastAsia="pl-PL"/>
        </w:rPr>
        <w:t xml:space="preserve">Wskaźnikiem, że przemoc ustała, jest określony czas bez występowania aktów przemocy, co jest ustalane na podstawie monitoringu sytuacji w rodzinie </w:t>
      </w:r>
      <w:r w:rsidR="00070821">
        <w:rPr>
          <w:rFonts w:eastAsia="Times New Roman"/>
          <w:color w:val="000000" w:themeColor="text1"/>
          <w:lang w:eastAsia="pl-PL"/>
        </w:rPr>
        <w:t xml:space="preserve">prowadzonego </w:t>
      </w:r>
      <w:r w:rsidRPr="00FA09CC">
        <w:rPr>
          <w:rFonts w:eastAsia="Times New Roman"/>
          <w:color w:val="000000" w:themeColor="text1"/>
          <w:lang w:eastAsia="pl-PL"/>
        </w:rPr>
        <w:t>przez przedstawiciela określonej służby (dzielnicowego, pracownika socjalnego, pedagoga szkolnego, kuratora sądowego).</w:t>
      </w:r>
    </w:p>
    <w:p w:rsidR="00E56266" w:rsidRPr="00FA09CC" w:rsidRDefault="000A0A05" w:rsidP="0024594C">
      <w:pPr>
        <w:ind w:left="0" w:firstLine="0"/>
        <w:rPr>
          <w:rFonts w:eastAsia="Times New Roman"/>
          <w:color w:val="000000" w:themeColor="text1"/>
          <w:lang w:eastAsia="pl-PL"/>
        </w:rPr>
      </w:pPr>
      <w:r w:rsidRPr="00FA09CC">
        <w:rPr>
          <w:rFonts w:eastAsia="Times New Roman"/>
          <w:color w:val="000000" w:themeColor="text1"/>
          <w:lang w:eastAsia="pl-PL"/>
        </w:rPr>
        <w:t>Decyzję o zakończeniu procedury podejmuje przewodniczący zespołu interdyscyplinarnego, po zasięgnięciu opinii członków zespołu interdyscyplinarnego/grupy roboczej, co gwarantuje, że ocena indywidualnej sytuacji dokonywana jest z perspektywy każde</w:t>
      </w:r>
      <w:r w:rsidR="007D6B00">
        <w:rPr>
          <w:rFonts w:eastAsia="Times New Roman"/>
          <w:color w:val="000000" w:themeColor="text1"/>
          <w:lang w:eastAsia="pl-PL"/>
        </w:rPr>
        <w:t>j z osób</w:t>
      </w:r>
      <w:r w:rsidRPr="00FA09CC">
        <w:rPr>
          <w:rFonts w:eastAsia="Times New Roman"/>
          <w:color w:val="000000" w:themeColor="text1"/>
          <w:lang w:eastAsia="pl-PL"/>
        </w:rPr>
        <w:t xml:space="preserve"> wchodzących w skład zespołu lub grupy. </w:t>
      </w:r>
    </w:p>
    <w:p w:rsidR="005356AA" w:rsidRPr="00FA09CC" w:rsidRDefault="000A0A05" w:rsidP="0024594C">
      <w:pPr>
        <w:ind w:left="0" w:firstLine="0"/>
        <w:rPr>
          <w:rFonts w:eastAsia="Times New Roman"/>
          <w:color w:val="000000" w:themeColor="text1"/>
          <w:lang w:eastAsia="pl-PL"/>
        </w:rPr>
      </w:pPr>
      <w:r w:rsidRPr="00FA09CC">
        <w:rPr>
          <w:rFonts w:eastAsia="Times New Roman"/>
          <w:color w:val="000000" w:themeColor="text1"/>
          <w:lang w:eastAsia="pl-PL"/>
        </w:rPr>
        <w:t xml:space="preserve">Decyzji o zakończeniu lub kontynuacji procedury nie może podjąć osoba dotknięta przemocą w rodzinie, z uwagi na ryzyko uzależnienia tej decyzji od subiektywnych emocji bądź wpływu sprawcy przemocy. </w:t>
      </w:r>
    </w:p>
    <w:p w:rsidR="0096411E" w:rsidRDefault="0096411E" w:rsidP="0024594C">
      <w:pPr>
        <w:ind w:left="0" w:firstLine="0"/>
        <w:rPr>
          <w:b/>
          <w:bCs/>
          <w:color w:val="000000" w:themeColor="text1"/>
        </w:rPr>
      </w:pPr>
    </w:p>
    <w:p w:rsidR="00812503" w:rsidRPr="00FA09CC" w:rsidRDefault="000A0A05" w:rsidP="0024594C">
      <w:pPr>
        <w:ind w:left="0" w:firstLine="0"/>
        <w:rPr>
          <w:b/>
          <w:bCs/>
          <w:color w:val="000000" w:themeColor="text1"/>
        </w:rPr>
      </w:pPr>
      <w:r w:rsidRPr="00FA09CC">
        <w:rPr>
          <w:b/>
          <w:bCs/>
          <w:color w:val="000000" w:themeColor="text1"/>
        </w:rPr>
        <w:t>Paragraf 142</w:t>
      </w:r>
      <w:r w:rsidR="002268B2">
        <w:rPr>
          <w:b/>
          <w:bCs/>
          <w:color w:val="000000" w:themeColor="text1"/>
        </w:rPr>
        <w:t xml:space="preserve"> </w:t>
      </w:r>
      <w:r w:rsidRPr="00FA09CC">
        <w:rPr>
          <w:b/>
          <w:bCs/>
          <w:color w:val="000000" w:themeColor="text1"/>
        </w:rPr>
        <w:t>– opieka medyczna nad ofiarami niektórych form przemocy</w:t>
      </w:r>
      <w:r w:rsidR="00AA75A9" w:rsidRPr="00FA09CC">
        <w:rPr>
          <w:b/>
          <w:bCs/>
          <w:color w:val="000000" w:themeColor="text1"/>
        </w:rPr>
        <w:t xml:space="preserve"> </w:t>
      </w:r>
    </w:p>
    <w:p w:rsidR="00AA75A9" w:rsidRPr="00FA09CC" w:rsidRDefault="000A0A05" w:rsidP="0024594C">
      <w:pPr>
        <w:ind w:left="0" w:firstLine="0"/>
        <w:rPr>
          <w:color w:val="000000" w:themeColor="text1"/>
        </w:rPr>
      </w:pPr>
      <w:r w:rsidRPr="00FA09CC">
        <w:rPr>
          <w:color w:val="000000" w:themeColor="text1"/>
        </w:rPr>
        <w:t>Przymusowa sterylizacja i przymusowa aborcja są w Polsce spenalizowane, zaś nieprzestrzeganie prawa w tym zakresie oraz przeciwdziałanie temu to przedmiot działania organów ścigania i wymiaru sprawiedliwości.</w:t>
      </w:r>
    </w:p>
    <w:p w:rsidR="00AA75A9" w:rsidRPr="00FA09CC" w:rsidRDefault="000A0A05" w:rsidP="0024594C">
      <w:pPr>
        <w:ind w:left="0" w:firstLine="0"/>
        <w:rPr>
          <w:color w:val="000000" w:themeColor="text1"/>
        </w:rPr>
      </w:pPr>
      <w:r w:rsidRPr="00FA09CC">
        <w:rPr>
          <w:color w:val="000000" w:themeColor="text1"/>
        </w:rPr>
        <w:t xml:space="preserve">Zgodnie z art. 68 Konstytucji RP każdy ma prawo do ochrony zdrowia. </w:t>
      </w:r>
      <w:bookmarkStart w:id="3" w:name="mip82225"/>
      <w:bookmarkEnd w:id="3"/>
      <w:r w:rsidRPr="00FA09CC">
        <w:rPr>
          <w:color w:val="000000" w:themeColor="text1"/>
        </w:rPr>
        <w:t xml:space="preserve">Obywatelom, niezależnie od ich sytuacji materialnej, władze publiczne zapewniają równy dostęp do świadczeń opieki zdrowotnej finansowanej ze środków publicznych. Warunki i zakres udzielania świadczeń określa ustawa </w:t>
      </w:r>
      <w:r w:rsidR="007D6B00">
        <w:rPr>
          <w:color w:val="000000" w:themeColor="text1"/>
        </w:rPr>
        <w:t xml:space="preserve">z 27 sierpnia 2014 r. </w:t>
      </w:r>
      <w:r w:rsidRPr="00FA09CC">
        <w:rPr>
          <w:color w:val="000000" w:themeColor="text1"/>
        </w:rPr>
        <w:t xml:space="preserve">o świadczeniach opieki zdrowotnej finansowanych ze środków publicznych. Zgodnie z ustawą z 6 listopada 2008 r. o prawach </w:t>
      </w:r>
      <w:r w:rsidRPr="00FA09CC">
        <w:rPr>
          <w:color w:val="000000" w:themeColor="text1"/>
        </w:rPr>
        <w:lastRenderedPageBreak/>
        <w:t xml:space="preserve">pacjenta i Rzeczniku Praw Pacjenta, pacjent ma prawo do świadczeń zdrowotnych odpowiadających wymaganiom aktualnej wiedzy medycznej. </w:t>
      </w:r>
    </w:p>
    <w:p w:rsidR="00AA75A9" w:rsidRPr="00FA09CC" w:rsidRDefault="000A0A05" w:rsidP="0024594C">
      <w:pPr>
        <w:ind w:left="0" w:firstLine="0"/>
        <w:rPr>
          <w:color w:val="000000" w:themeColor="text1"/>
        </w:rPr>
      </w:pPr>
      <w:r w:rsidRPr="00FA09CC">
        <w:rPr>
          <w:color w:val="000000" w:themeColor="text1"/>
        </w:rPr>
        <w:t xml:space="preserve">Świadczenia zdrowotne udzielane są w sposób zindywidualizowany i odpowiadający, zgodnie z aktualną wiedzą medyczną, problemowi zdrowotnemu danego pacjenta. Odnosi się to do wszystkich świadczeń opieki zdrowotnej, w tym do tych, jakie powinny zostać udzielone, jeżeli u pacjentki zdiagnozowane </w:t>
      </w:r>
      <w:r w:rsidR="007D6B00">
        <w:rPr>
          <w:color w:val="000000" w:themeColor="text1"/>
        </w:rPr>
        <w:t>zostałoby, na przykład, okalecze</w:t>
      </w:r>
      <w:r w:rsidRPr="00FA09CC">
        <w:rPr>
          <w:color w:val="000000" w:themeColor="text1"/>
        </w:rPr>
        <w:t xml:space="preserve">nie żeńskich narządów płciowych. </w:t>
      </w:r>
    </w:p>
    <w:p w:rsidR="005927C2" w:rsidRPr="00FA09CC" w:rsidRDefault="005927C2" w:rsidP="0024594C">
      <w:pPr>
        <w:pStyle w:val="Standard"/>
        <w:jc w:val="both"/>
        <w:rPr>
          <w:rFonts w:ascii="Times New Roman" w:hAnsi="Times New Roman" w:cs="Times New Roman"/>
          <w:b/>
          <w:i/>
          <w:color w:val="000000" w:themeColor="text1"/>
        </w:rPr>
      </w:pPr>
    </w:p>
    <w:p w:rsidR="005927C2" w:rsidRPr="00FA09CC" w:rsidRDefault="000A0A05" w:rsidP="0024594C">
      <w:pPr>
        <w:pStyle w:val="Standard"/>
        <w:jc w:val="both"/>
        <w:rPr>
          <w:rFonts w:ascii="Times New Roman" w:hAnsi="Times New Roman" w:cs="Times New Roman"/>
          <w:b/>
          <w:color w:val="000000" w:themeColor="text1"/>
        </w:rPr>
      </w:pPr>
      <w:r w:rsidRPr="00FA09CC">
        <w:rPr>
          <w:rFonts w:ascii="Times New Roman" w:hAnsi="Times New Roman" w:cs="Times New Roman"/>
          <w:b/>
          <w:color w:val="000000" w:themeColor="text1"/>
        </w:rPr>
        <w:t xml:space="preserve">Paragraf 146 </w:t>
      </w:r>
      <w:r w:rsidR="001710D2">
        <w:rPr>
          <w:rFonts w:ascii="Times New Roman" w:hAnsi="Times New Roman" w:cs="Times New Roman"/>
          <w:b/>
          <w:color w:val="000000" w:themeColor="text1"/>
        </w:rPr>
        <w:t>–</w:t>
      </w:r>
      <w:r w:rsidRPr="00FA09CC">
        <w:rPr>
          <w:rFonts w:ascii="Times New Roman" w:hAnsi="Times New Roman" w:cs="Times New Roman"/>
          <w:b/>
          <w:color w:val="000000" w:themeColor="text1"/>
        </w:rPr>
        <w:t xml:space="preserve"> miejsca</w:t>
      </w:r>
      <w:r w:rsidR="001710D2">
        <w:rPr>
          <w:rFonts w:ascii="Times New Roman" w:hAnsi="Times New Roman" w:cs="Times New Roman"/>
          <w:b/>
          <w:color w:val="000000" w:themeColor="text1"/>
        </w:rPr>
        <w:t xml:space="preserve"> </w:t>
      </w:r>
      <w:r w:rsidRPr="00FA09CC">
        <w:rPr>
          <w:rFonts w:ascii="Times New Roman" w:hAnsi="Times New Roman" w:cs="Times New Roman"/>
          <w:b/>
          <w:color w:val="000000" w:themeColor="text1"/>
        </w:rPr>
        <w:t>schronienia nie oferują bezpiecznego pobytu</w:t>
      </w:r>
    </w:p>
    <w:p w:rsidR="00E838B7" w:rsidRPr="00FA09CC" w:rsidRDefault="000A0A05" w:rsidP="0024594C">
      <w:pPr>
        <w:pStyle w:val="Standard"/>
        <w:jc w:val="both"/>
        <w:rPr>
          <w:rFonts w:ascii="Times New Roman" w:hAnsi="Times New Roman" w:cs="Times New Roman"/>
          <w:color w:val="000000" w:themeColor="text1"/>
        </w:rPr>
      </w:pPr>
      <w:r w:rsidRPr="00FA09CC">
        <w:rPr>
          <w:rFonts w:ascii="Times New Roman" w:hAnsi="Times New Roman" w:cs="Times New Roman"/>
          <w:color w:val="000000" w:themeColor="text1"/>
        </w:rPr>
        <w:t xml:space="preserve">Stwierdzenie, że placówki dla ofiar przemocy w rodzinie nie oferują bezpiecznego schronienia </w:t>
      </w:r>
      <w:r w:rsidR="0083745D">
        <w:rPr>
          <w:rFonts w:ascii="Times New Roman" w:hAnsi="Times New Roman" w:cs="Times New Roman"/>
          <w:color w:val="000000" w:themeColor="text1"/>
        </w:rPr>
        <w:t xml:space="preserve">nie ma odzwierciedlenia w </w:t>
      </w:r>
      <w:r w:rsidR="00E71349">
        <w:rPr>
          <w:rFonts w:ascii="Times New Roman" w:hAnsi="Times New Roman" w:cs="Times New Roman"/>
          <w:color w:val="000000" w:themeColor="text1"/>
        </w:rPr>
        <w:t xml:space="preserve">prawie i </w:t>
      </w:r>
      <w:r w:rsidR="0083745D">
        <w:rPr>
          <w:rFonts w:ascii="Times New Roman" w:hAnsi="Times New Roman" w:cs="Times New Roman"/>
          <w:color w:val="000000" w:themeColor="text1"/>
        </w:rPr>
        <w:t>faktach</w:t>
      </w:r>
      <w:r w:rsidRPr="00FA09CC">
        <w:rPr>
          <w:rFonts w:ascii="Times New Roman" w:hAnsi="Times New Roman" w:cs="Times New Roman"/>
          <w:color w:val="000000" w:themeColor="text1"/>
        </w:rPr>
        <w:t xml:space="preserve">. </w:t>
      </w:r>
    </w:p>
    <w:p w:rsidR="00E838B7" w:rsidRPr="00FA09CC" w:rsidRDefault="000A0A05" w:rsidP="0024594C">
      <w:pPr>
        <w:pStyle w:val="Standard"/>
        <w:jc w:val="both"/>
        <w:rPr>
          <w:rFonts w:ascii="Times New Roman" w:hAnsi="Times New Roman" w:cs="Times New Roman"/>
          <w:color w:val="000000" w:themeColor="text1"/>
        </w:rPr>
      </w:pPr>
      <w:r w:rsidRPr="00FA09CC">
        <w:rPr>
          <w:rFonts w:ascii="Times New Roman" w:hAnsi="Times New Roman" w:cs="Times New Roman"/>
          <w:color w:val="000000" w:themeColor="text1"/>
        </w:rPr>
        <w:t xml:space="preserve">Regulacje prawne nakładają obowiązek zagwarantowania bezpieczeństwa osób doznających przemocy w rodzinie. Na przykład, rozporządzenie </w:t>
      </w:r>
      <w:r w:rsidR="007D6B00" w:rsidRPr="00FA09CC">
        <w:rPr>
          <w:bCs/>
          <w:color w:val="000000" w:themeColor="text1"/>
        </w:rPr>
        <w:t xml:space="preserve">w sprawie standardu podstawowych usług świadczonych przez specjalistyczne ośrodki wsparcia dla ofiar przemocy w rodzinie, kwalifikacji osób zatrudnionych w tych ośrodkach, szczegółowych kierunków prowadzenia oddziaływań korekcyjno-edukacyjnych wobec osób stosujących przemoc w rodzinie oraz kwalifikacji osób prowadzących oddziaływania korekcyjno-edukacyjne </w:t>
      </w:r>
      <w:r w:rsidRPr="00FA09CC">
        <w:rPr>
          <w:rFonts w:ascii="Times New Roman" w:hAnsi="Times New Roman" w:cs="Times New Roman"/>
          <w:color w:val="000000" w:themeColor="text1"/>
        </w:rPr>
        <w:t>przewiduje, że placówka ma obowiązek zapewnić ofierze przemocy w rodzinie ochronę przed osobą stosującą przemoc.</w:t>
      </w:r>
    </w:p>
    <w:p w:rsidR="00E838B7" w:rsidRPr="00FA09CC" w:rsidRDefault="000A0A05" w:rsidP="0024594C">
      <w:pPr>
        <w:pStyle w:val="Standard"/>
        <w:jc w:val="both"/>
        <w:rPr>
          <w:rFonts w:ascii="Times New Roman" w:hAnsi="Times New Roman" w:cs="Times New Roman"/>
          <w:color w:val="000000" w:themeColor="text1"/>
        </w:rPr>
      </w:pPr>
      <w:r w:rsidRPr="00FA09CC">
        <w:rPr>
          <w:rFonts w:ascii="Times New Roman" w:hAnsi="Times New Roman" w:cs="Times New Roman"/>
          <w:color w:val="000000" w:themeColor="text1"/>
        </w:rPr>
        <w:t xml:space="preserve">Niektóre placówki nie podają do publicznej wiadomości swojej lokalizacji (adresu). Tak jest, na przykład, w przypadku Specjalistycznego Ośrodka Wsparcia dla Ofiar Przemocy </w:t>
      </w:r>
      <w:r w:rsidR="008350C3">
        <w:rPr>
          <w:rFonts w:ascii="Times New Roman" w:hAnsi="Times New Roman" w:cs="Times New Roman"/>
          <w:color w:val="000000" w:themeColor="text1"/>
        </w:rPr>
        <w:br/>
      </w:r>
      <w:r w:rsidRPr="00FA09CC">
        <w:rPr>
          <w:rFonts w:ascii="Times New Roman" w:hAnsi="Times New Roman" w:cs="Times New Roman"/>
          <w:color w:val="000000" w:themeColor="text1"/>
        </w:rPr>
        <w:t>w Rodzinie w Warszawie, prowadzonego przez Centrum Praw Kobiet.</w:t>
      </w:r>
    </w:p>
    <w:p w:rsidR="005927C2" w:rsidRPr="00FA09CC" w:rsidRDefault="005927C2" w:rsidP="0024594C">
      <w:pPr>
        <w:pStyle w:val="Standard"/>
        <w:jc w:val="both"/>
        <w:rPr>
          <w:rFonts w:ascii="Times New Roman" w:hAnsi="Times New Roman" w:cs="Times New Roman"/>
          <w:color w:val="000000" w:themeColor="text1"/>
        </w:rPr>
      </w:pPr>
    </w:p>
    <w:p w:rsidR="00E87D1B" w:rsidRPr="00FA09CC" w:rsidRDefault="00E87D1B" w:rsidP="0024594C">
      <w:pPr>
        <w:ind w:left="0" w:firstLine="0"/>
        <w:rPr>
          <w:b/>
          <w:color w:val="000000"/>
        </w:rPr>
      </w:pPr>
      <w:r w:rsidRPr="00FA09CC">
        <w:rPr>
          <w:b/>
          <w:color w:val="000000"/>
        </w:rPr>
        <w:t>Paragraf 155 – kwalifikacje lekarzy i pielęgniarek</w:t>
      </w:r>
    </w:p>
    <w:p w:rsidR="00E87D1B" w:rsidRPr="00FA09CC" w:rsidRDefault="00E87D1B" w:rsidP="0024594C">
      <w:pPr>
        <w:ind w:left="0" w:firstLine="0"/>
        <w:rPr>
          <w:iCs/>
        </w:rPr>
      </w:pPr>
      <w:r w:rsidRPr="00FA09CC">
        <w:rPr>
          <w:color w:val="000000"/>
        </w:rPr>
        <w:t>L</w:t>
      </w:r>
      <w:r w:rsidRPr="00FA09CC">
        <w:rPr>
          <w:iCs/>
          <w:color w:val="000000"/>
        </w:rPr>
        <w:t>ekarze podstawowej opieki zdrowotnej, lekarze szpitalnych oddziałów ratunkowych, izb przyjęć, ginekolodzy, pediatrzy oraz lekarze medycyny sądowej i pozostali są właściwie przygotowani do oceny stanu pacjenta pod kątem obrażeń wynikających z przemocy. Ocena przeprowadzana jest na podstawie wywiadu lekarskiego i badania fizykalnego. W przypadku stwierdzenia przemocy i gwałtu mają obowiązek poinformowa</w:t>
      </w:r>
      <w:r w:rsidR="005348FB">
        <w:rPr>
          <w:iCs/>
          <w:color w:val="000000"/>
        </w:rPr>
        <w:t>ć</w:t>
      </w:r>
      <w:r w:rsidRPr="00FA09CC">
        <w:rPr>
          <w:iCs/>
          <w:color w:val="000000"/>
        </w:rPr>
        <w:t xml:space="preserve"> </w:t>
      </w:r>
      <w:r w:rsidR="005A61AF" w:rsidRPr="00FA09CC">
        <w:rPr>
          <w:iCs/>
          <w:color w:val="000000"/>
        </w:rPr>
        <w:t>odpowiedni</w:t>
      </w:r>
      <w:r w:rsidR="005A61AF">
        <w:rPr>
          <w:iCs/>
          <w:color w:val="000000"/>
        </w:rPr>
        <w:t>e</w:t>
      </w:r>
      <w:r w:rsidR="005A61AF" w:rsidRPr="00FA09CC">
        <w:rPr>
          <w:iCs/>
          <w:color w:val="000000"/>
        </w:rPr>
        <w:t xml:space="preserve"> organ</w:t>
      </w:r>
      <w:r w:rsidR="005A61AF">
        <w:rPr>
          <w:iCs/>
          <w:color w:val="000000"/>
        </w:rPr>
        <w:t>y</w:t>
      </w:r>
      <w:r w:rsidR="005A61AF" w:rsidRPr="00FA09CC">
        <w:rPr>
          <w:iCs/>
          <w:color w:val="000000"/>
        </w:rPr>
        <w:t xml:space="preserve"> </w:t>
      </w:r>
      <w:r w:rsidR="008350C3">
        <w:rPr>
          <w:iCs/>
          <w:color w:val="000000"/>
        </w:rPr>
        <w:br/>
      </w:r>
      <w:r w:rsidRPr="00FA09CC">
        <w:rPr>
          <w:iCs/>
          <w:color w:val="000000"/>
        </w:rPr>
        <w:t>o rozpoznanej sytuacji. Zgłoszenia dokonywane są zawsze w przypadku przemocy wobec dzieci. Osoby dorosłe nie zawsze przyznają się, że są ofiarami przemocy lub mogą nie wyrazić zgody na badanie, korzystając z prawa pacjenta do podjęcia decyzji w tym zakresie.</w:t>
      </w:r>
    </w:p>
    <w:p w:rsidR="00E87D1B" w:rsidRDefault="00E87D1B" w:rsidP="0024594C">
      <w:pPr>
        <w:pStyle w:val="Adresodbiorcy"/>
        <w:widowControl w:val="0"/>
        <w:shd w:val="clear" w:color="auto" w:fill="FFFFFF" w:themeFill="background1"/>
        <w:suppressAutoHyphens/>
        <w:spacing w:line="240" w:lineRule="auto"/>
        <w:rPr>
          <w:rFonts w:ascii="Times New Roman" w:hAnsi="Times New Roman"/>
          <w:b/>
          <w:color w:val="000000" w:themeColor="text1"/>
          <w:spacing w:val="0"/>
          <w:sz w:val="24"/>
          <w:szCs w:val="24"/>
        </w:rPr>
      </w:pPr>
    </w:p>
    <w:p w:rsidR="00864DE2" w:rsidRPr="00FA09CC" w:rsidRDefault="000A0A05" w:rsidP="0024594C">
      <w:pPr>
        <w:pStyle w:val="Adresodbiorcy"/>
        <w:widowControl w:val="0"/>
        <w:shd w:val="clear" w:color="auto" w:fill="FFFFFF" w:themeFill="background1"/>
        <w:suppressAutoHyphens/>
        <w:spacing w:line="240" w:lineRule="auto"/>
        <w:rPr>
          <w:rFonts w:ascii="Times New Roman" w:hAnsi="Times New Roman"/>
          <w:b/>
          <w:color w:val="000000" w:themeColor="text1"/>
          <w:spacing w:val="0"/>
          <w:sz w:val="24"/>
          <w:szCs w:val="24"/>
        </w:rPr>
      </w:pPr>
      <w:r w:rsidRPr="00FA09CC">
        <w:rPr>
          <w:rFonts w:ascii="Times New Roman" w:hAnsi="Times New Roman"/>
          <w:b/>
          <w:color w:val="000000" w:themeColor="text1"/>
          <w:spacing w:val="0"/>
          <w:sz w:val="24"/>
          <w:szCs w:val="24"/>
        </w:rPr>
        <w:t>Paragrafy 155,</w:t>
      </w:r>
      <w:r w:rsidRPr="00FA09CC">
        <w:rPr>
          <w:rFonts w:ascii="Times New Roman" w:hAnsi="Times New Roman"/>
          <w:color w:val="000000" w:themeColor="text1"/>
          <w:spacing w:val="0"/>
          <w:sz w:val="24"/>
          <w:szCs w:val="24"/>
        </w:rPr>
        <w:t xml:space="preserve"> </w:t>
      </w:r>
      <w:r w:rsidRPr="00FA09CC">
        <w:rPr>
          <w:rFonts w:ascii="Times New Roman" w:hAnsi="Times New Roman"/>
          <w:b/>
          <w:color w:val="000000" w:themeColor="text1"/>
          <w:spacing w:val="0"/>
          <w:sz w:val="24"/>
          <w:szCs w:val="24"/>
        </w:rPr>
        <w:t xml:space="preserve">158 i 159 </w:t>
      </w:r>
      <w:r w:rsidR="001710D2">
        <w:rPr>
          <w:rFonts w:ascii="Times New Roman" w:hAnsi="Times New Roman"/>
          <w:b/>
          <w:color w:val="000000" w:themeColor="text1"/>
          <w:spacing w:val="0"/>
          <w:sz w:val="24"/>
          <w:szCs w:val="24"/>
        </w:rPr>
        <w:t>–</w:t>
      </w:r>
      <w:r w:rsidRPr="00FA09CC">
        <w:rPr>
          <w:rFonts w:ascii="Times New Roman" w:hAnsi="Times New Roman"/>
          <w:b/>
          <w:color w:val="000000" w:themeColor="text1"/>
          <w:spacing w:val="0"/>
          <w:sz w:val="24"/>
          <w:szCs w:val="24"/>
        </w:rPr>
        <w:t xml:space="preserve"> ograniczenia</w:t>
      </w:r>
      <w:r w:rsidR="001710D2">
        <w:rPr>
          <w:rFonts w:ascii="Times New Roman" w:hAnsi="Times New Roman"/>
          <w:b/>
          <w:color w:val="000000" w:themeColor="text1"/>
          <w:spacing w:val="0"/>
          <w:sz w:val="24"/>
          <w:szCs w:val="24"/>
        </w:rPr>
        <w:t xml:space="preserve"> </w:t>
      </w:r>
      <w:r w:rsidRPr="00FA09CC">
        <w:rPr>
          <w:rFonts w:ascii="Times New Roman" w:hAnsi="Times New Roman"/>
          <w:b/>
          <w:color w:val="000000" w:themeColor="text1"/>
          <w:spacing w:val="0"/>
          <w:sz w:val="24"/>
          <w:szCs w:val="24"/>
        </w:rPr>
        <w:t>w dokonywaniu wyborów w zakresie zdrowia prokreacyjnego</w:t>
      </w:r>
    </w:p>
    <w:p w:rsidR="00415B21" w:rsidRPr="00FA09CC" w:rsidRDefault="000A0A05" w:rsidP="0024594C">
      <w:pPr>
        <w:pStyle w:val="Adresodbiorcy"/>
        <w:widowControl w:val="0"/>
        <w:shd w:val="clear" w:color="auto" w:fill="FFFFFF" w:themeFill="background1"/>
        <w:suppressAutoHyphens/>
        <w:spacing w:line="240" w:lineRule="auto"/>
        <w:rPr>
          <w:rFonts w:ascii="Times New Roman" w:hAnsi="Times New Roman"/>
          <w:color w:val="000000" w:themeColor="text1"/>
          <w:spacing w:val="0"/>
          <w:sz w:val="24"/>
          <w:szCs w:val="24"/>
        </w:rPr>
      </w:pPr>
      <w:r w:rsidRPr="00FA09CC">
        <w:rPr>
          <w:rFonts w:ascii="Times New Roman" w:hAnsi="Times New Roman"/>
          <w:color w:val="000000" w:themeColor="text1"/>
          <w:spacing w:val="0"/>
          <w:sz w:val="24"/>
          <w:szCs w:val="24"/>
        </w:rPr>
        <w:t xml:space="preserve">Obowiązujące w Polsce mechanizmy i narzędzia prawne mające na celu ukierunkowanie pomocy kobietom, które doznały przemocy, w tym przemocy seksualnej poprzez gwałt, nie kolidują z prawami, jakie im przysługują lub powinny przysługiwać. Na podstawie raportu GREVIO trudno wywnioskować, jakie zmiany powinny </w:t>
      </w:r>
      <w:r w:rsidR="007D6B00">
        <w:rPr>
          <w:rFonts w:ascii="Times New Roman" w:hAnsi="Times New Roman"/>
          <w:color w:val="000000" w:themeColor="text1"/>
          <w:spacing w:val="0"/>
          <w:sz w:val="24"/>
          <w:szCs w:val="24"/>
        </w:rPr>
        <w:t>zostać przeprowadzone</w:t>
      </w:r>
      <w:r w:rsidRPr="00FA09CC">
        <w:rPr>
          <w:rFonts w:ascii="Times New Roman" w:hAnsi="Times New Roman"/>
          <w:color w:val="000000" w:themeColor="text1"/>
          <w:spacing w:val="0"/>
          <w:sz w:val="24"/>
          <w:szCs w:val="24"/>
        </w:rPr>
        <w:t xml:space="preserve"> przez polskiego prawodawcę, w celu </w:t>
      </w:r>
      <w:r w:rsidR="00900A0E">
        <w:rPr>
          <w:rFonts w:ascii="Times New Roman" w:hAnsi="Times New Roman"/>
          <w:color w:val="000000" w:themeColor="text1"/>
          <w:spacing w:val="0"/>
          <w:sz w:val="24"/>
          <w:szCs w:val="24"/>
        </w:rPr>
        <w:t xml:space="preserve">zapewnienia </w:t>
      </w:r>
      <w:r w:rsidRPr="00FA09CC">
        <w:rPr>
          <w:rFonts w:ascii="Times New Roman" w:hAnsi="Times New Roman"/>
          <w:color w:val="000000" w:themeColor="text1"/>
          <w:spacing w:val="0"/>
          <w:sz w:val="24"/>
          <w:szCs w:val="24"/>
        </w:rPr>
        <w:t xml:space="preserve">szczególnych gwarancji skutecznego zapobiegania przestępstwom gwałtu. Raport </w:t>
      </w:r>
      <w:r w:rsidR="001B5DDD" w:rsidRPr="00FA09CC">
        <w:rPr>
          <w:rFonts w:ascii="Times New Roman" w:hAnsi="Times New Roman"/>
          <w:color w:val="000000" w:themeColor="text1"/>
          <w:spacing w:val="0"/>
          <w:sz w:val="24"/>
          <w:szCs w:val="24"/>
        </w:rPr>
        <w:t xml:space="preserve">zawiera </w:t>
      </w:r>
      <w:r w:rsidRPr="00FA09CC">
        <w:rPr>
          <w:rFonts w:ascii="Times New Roman" w:hAnsi="Times New Roman"/>
          <w:color w:val="000000" w:themeColor="text1"/>
          <w:spacing w:val="0"/>
          <w:sz w:val="24"/>
          <w:szCs w:val="24"/>
        </w:rPr>
        <w:t>ogóln</w:t>
      </w:r>
      <w:r w:rsidR="001B5DDD" w:rsidRPr="00FA09CC">
        <w:rPr>
          <w:rFonts w:ascii="Times New Roman" w:hAnsi="Times New Roman"/>
          <w:color w:val="000000" w:themeColor="text1"/>
          <w:spacing w:val="0"/>
          <w:sz w:val="24"/>
          <w:szCs w:val="24"/>
        </w:rPr>
        <w:t>e</w:t>
      </w:r>
      <w:r w:rsidRPr="00FA09CC">
        <w:rPr>
          <w:rFonts w:ascii="Times New Roman" w:hAnsi="Times New Roman"/>
          <w:color w:val="000000" w:themeColor="text1"/>
          <w:spacing w:val="0"/>
          <w:sz w:val="24"/>
          <w:szCs w:val="24"/>
        </w:rPr>
        <w:t xml:space="preserve"> sformułowania</w:t>
      </w:r>
      <w:r w:rsidR="001B5DDD" w:rsidRPr="00FA09CC">
        <w:rPr>
          <w:rFonts w:ascii="Times New Roman" w:hAnsi="Times New Roman"/>
          <w:color w:val="000000" w:themeColor="text1"/>
          <w:spacing w:val="0"/>
          <w:sz w:val="24"/>
          <w:szCs w:val="24"/>
        </w:rPr>
        <w:t xml:space="preserve"> i, jak się wydaje</w:t>
      </w:r>
      <w:r w:rsidRPr="00FA09CC">
        <w:rPr>
          <w:rFonts w:ascii="Times New Roman" w:hAnsi="Times New Roman"/>
          <w:color w:val="000000" w:themeColor="text1"/>
          <w:spacing w:val="0"/>
          <w:sz w:val="24"/>
          <w:szCs w:val="24"/>
        </w:rPr>
        <w:t xml:space="preserve">, szczególnie podkreśla konieczność </w:t>
      </w:r>
      <w:r w:rsidR="001B5DDD" w:rsidRPr="00FA09CC">
        <w:rPr>
          <w:rFonts w:ascii="Times New Roman" w:hAnsi="Times New Roman"/>
          <w:color w:val="000000" w:themeColor="text1"/>
          <w:spacing w:val="0"/>
          <w:sz w:val="24"/>
          <w:szCs w:val="24"/>
        </w:rPr>
        <w:t xml:space="preserve">zapewnienia </w:t>
      </w:r>
      <w:r w:rsidRPr="00FA09CC">
        <w:rPr>
          <w:rFonts w:ascii="Times New Roman" w:hAnsi="Times New Roman"/>
          <w:color w:val="000000" w:themeColor="text1"/>
          <w:spacing w:val="0"/>
          <w:sz w:val="24"/>
          <w:szCs w:val="24"/>
        </w:rPr>
        <w:t xml:space="preserve">bezrefleksyjnego dostępu do aborcji prewencyjnej, w tym środków wczesnoporonnych. </w:t>
      </w:r>
      <w:r w:rsidR="001B5DDD" w:rsidRPr="00FA09CC">
        <w:rPr>
          <w:rFonts w:ascii="Times New Roman" w:hAnsi="Times New Roman"/>
          <w:color w:val="000000" w:themeColor="text1"/>
          <w:spacing w:val="0"/>
          <w:sz w:val="24"/>
          <w:szCs w:val="24"/>
        </w:rPr>
        <w:t xml:space="preserve">W tym kontekście </w:t>
      </w:r>
      <w:r w:rsidRPr="00FA09CC">
        <w:rPr>
          <w:rFonts w:ascii="Times New Roman" w:hAnsi="Times New Roman"/>
          <w:color w:val="000000" w:themeColor="text1"/>
          <w:spacing w:val="0"/>
          <w:sz w:val="24"/>
          <w:szCs w:val="24"/>
        </w:rPr>
        <w:t>Polska dostrzega istot</w:t>
      </w:r>
      <w:r w:rsidR="00415B21" w:rsidRPr="00FA09CC">
        <w:rPr>
          <w:rFonts w:ascii="Times New Roman" w:hAnsi="Times New Roman"/>
          <w:color w:val="000000" w:themeColor="text1"/>
          <w:spacing w:val="0"/>
          <w:sz w:val="24"/>
          <w:szCs w:val="24"/>
        </w:rPr>
        <w:t>n</w:t>
      </w:r>
      <w:r w:rsidR="001B5DDD" w:rsidRPr="00FA09CC">
        <w:rPr>
          <w:rFonts w:ascii="Times New Roman" w:hAnsi="Times New Roman"/>
          <w:color w:val="000000" w:themeColor="text1"/>
          <w:spacing w:val="0"/>
          <w:sz w:val="24"/>
          <w:szCs w:val="24"/>
        </w:rPr>
        <w:t xml:space="preserve">e znaczenie </w:t>
      </w:r>
      <w:r w:rsidRPr="00FA09CC">
        <w:rPr>
          <w:rFonts w:ascii="Times New Roman" w:hAnsi="Times New Roman"/>
          <w:color w:val="000000" w:themeColor="text1"/>
          <w:spacing w:val="0"/>
          <w:sz w:val="24"/>
          <w:szCs w:val="24"/>
        </w:rPr>
        <w:t>umiejętnego wyważenia podejmowanych środków, wykluczając</w:t>
      </w:r>
      <w:r w:rsidR="00415B21" w:rsidRPr="00FA09CC">
        <w:rPr>
          <w:rFonts w:ascii="Times New Roman" w:hAnsi="Times New Roman"/>
          <w:color w:val="000000" w:themeColor="text1"/>
          <w:spacing w:val="0"/>
          <w:sz w:val="24"/>
          <w:szCs w:val="24"/>
        </w:rPr>
        <w:t>ego</w:t>
      </w:r>
      <w:r w:rsidRPr="00FA09CC">
        <w:rPr>
          <w:rFonts w:ascii="Times New Roman" w:hAnsi="Times New Roman"/>
          <w:color w:val="000000" w:themeColor="text1"/>
          <w:spacing w:val="0"/>
          <w:sz w:val="24"/>
          <w:szCs w:val="24"/>
        </w:rPr>
        <w:t xml:space="preserve"> automatyzm działania który</w:t>
      </w:r>
      <w:r w:rsidR="00415B21" w:rsidRPr="00FA09CC">
        <w:rPr>
          <w:rFonts w:ascii="Times New Roman" w:hAnsi="Times New Roman"/>
          <w:color w:val="000000" w:themeColor="text1"/>
          <w:spacing w:val="0"/>
          <w:sz w:val="24"/>
          <w:szCs w:val="24"/>
        </w:rPr>
        <w:t>,</w:t>
      </w:r>
      <w:r w:rsidRPr="00FA09CC">
        <w:rPr>
          <w:rFonts w:ascii="Times New Roman" w:hAnsi="Times New Roman"/>
          <w:color w:val="000000" w:themeColor="text1"/>
          <w:spacing w:val="0"/>
          <w:sz w:val="24"/>
          <w:szCs w:val="24"/>
        </w:rPr>
        <w:t xml:space="preserve"> w sferze seksualności człowieka</w:t>
      </w:r>
      <w:r w:rsidR="00415B21" w:rsidRPr="00FA09CC">
        <w:rPr>
          <w:rFonts w:ascii="Times New Roman" w:hAnsi="Times New Roman"/>
          <w:color w:val="000000" w:themeColor="text1"/>
          <w:spacing w:val="0"/>
          <w:sz w:val="24"/>
          <w:szCs w:val="24"/>
        </w:rPr>
        <w:t>,</w:t>
      </w:r>
      <w:r w:rsidRPr="00FA09CC">
        <w:rPr>
          <w:rFonts w:ascii="Times New Roman" w:hAnsi="Times New Roman"/>
          <w:color w:val="000000" w:themeColor="text1"/>
          <w:spacing w:val="0"/>
          <w:sz w:val="24"/>
          <w:szCs w:val="24"/>
        </w:rPr>
        <w:t xml:space="preserve"> może powodować znaczące szkody. </w:t>
      </w:r>
    </w:p>
    <w:p w:rsidR="00230491" w:rsidRPr="00FA09CC" w:rsidRDefault="000A0A05" w:rsidP="0024594C">
      <w:pPr>
        <w:pStyle w:val="Adresodbiorcy"/>
        <w:widowControl w:val="0"/>
        <w:shd w:val="clear" w:color="auto" w:fill="FFFFFF" w:themeFill="background1"/>
        <w:suppressAutoHyphens/>
        <w:spacing w:line="240" w:lineRule="auto"/>
        <w:rPr>
          <w:rFonts w:ascii="Times New Roman" w:hAnsi="Times New Roman"/>
          <w:color w:val="000000" w:themeColor="text1"/>
          <w:spacing w:val="0"/>
          <w:sz w:val="24"/>
          <w:szCs w:val="24"/>
        </w:rPr>
      </w:pPr>
      <w:r w:rsidRPr="00FA09CC">
        <w:rPr>
          <w:rFonts w:ascii="Times New Roman" w:hAnsi="Times New Roman"/>
          <w:color w:val="000000" w:themeColor="text1"/>
          <w:spacing w:val="0"/>
          <w:sz w:val="24"/>
          <w:szCs w:val="24"/>
        </w:rPr>
        <w:t xml:space="preserve">Wszystkie stosowane w Polsce mechanizmy prawne zakładają konieczność regularnego podwyższania kompetencji </w:t>
      </w:r>
      <w:r w:rsidR="007D6B00">
        <w:rPr>
          <w:rFonts w:ascii="Times New Roman" w:hAnsi="Times New Roman"/>
          <w:color w:val="000000" w:themeColor="text1"/>
          <w:spacing w:val="0"/>
          <w:sz w:val="24"/>
          <w:szCs w:val="24"/>
        </w:rPr>
        <w:t xml:space="preserve">funkcjonariuszy </w:t>
      </w:r>
      <w:r w:rsidRPr="00FA09CC">
        <w:rPr>
          <w:rFonts w:ascii="Times New Roman" w:hAnsi="Times New Roman"/>
          <w:color w:val="000000" w:themeColor="text1"/>
          <w:spacing w:val="0"/>
          <w:sz w:val="24"/>
          <w:szCs w:val="24"/>
        </w:rPr>
        <w:t>Policji, członków personelu medycznego i innych służb, które są powoływane do pomocy pokrzywdzonym.</w:t>
      </w:r>
    </w:p>
    <w:p w:rsidR="00233853" w:rsidRPr="00FA09CC" w:rsidRDefault="000A0A05" w:rsidP="0024594C">
      <w:pPr>
        <w:pStyle w:val="Adresodbiorcy"/>
        <w:widowControl w:val="0"/>
        <w:shd w:val="clear" w:color="auto" w:fill="FFFFFF" w:themeFill="background1"/>
        <w:suppressAutoHyphens/>
        <w:spacing w:line="240" w:lineRule="auto"/>
        <w:rPr>
          <w:rFonts w:ascii="Times New Roman" w:hAnsi="Times New Roman"/>
          <w:color w:val="000000" w:themeColor="text1"/>
          <w:spacing w:val="0"/>
          <w:sz w:val="24"/>
          <w:szCs w:val="24"/>
        </w:rPr>
      </w:pPr>
      <w:r w:rsidRPr="00FA09CC">
        <w:rPr>
          <w:rFonts w:ascii="Times New Roman" w:hAnsi="Times New Roman"/>
          <w:color w:val="000000" w:themeColor="text1"/>
          <w:spacing w:val="0"/>
          <w:sz w:val="24"/>
          <w:szCs w:val="24"/>
        </w:rPr>
        <w:t>Należy dodatkowo wskazać, że obowiązujące prawo międzynarodowe nie daje jakichkolwiek podstaw do tzw. prawa do aborcji. Przeciwnie</w:t>
      </w:r>
      <w:r w:rsidR="00C15B6D" w:rsidRPr="00FA09CC">
        <w:rPr>
          <w:rFonts w:ascii="Times New Roman" w:hAnsi="Times New Roman"/>
          <w:color w:val="000000" w:themeColor="text1"/>
          <w:spacing w:val="0"/>
          <w:sz w:val="24"/>
          <w:szCs w:val="24"/>
        </w:rPr>
        <w:t>,</w:t>
      </w:r>
      <w:r w:rsidRPr="00FA09CC">
        <w:rPr>
          <w:rFonts w:ascii="Times New Roman" w:hAnsi="Times New Roman"/>
          <w:color w:val="000000" w:themeColor="text1"/>
          <w:spacing w:val="0"/>
          <w:sz w:val="24"/>
          <w:szCs w:val="24"/>
        </w:rPr>
        <w:t xml:space="preserve"> Konwencja o prawach dziecka gwarantuje </w:t>
      </w:r>
      <w:r w:rsidRPr="00FA09CC">
        <w:rPr>
          <w:rFonts w:ascii="Times New Roman" w:hAnsi="Times New Roman"/>
          <w:color w:val="000000" w:themeColor="text1"/>
          <w:spacing w:val="0"/>
          <w:sz w:val="24"/>
          <w:szCs w:val="24"/>
        </w:rPr>
        <w:lastRenderedPageBreak/>
        <w:t xml:space="preserve">każdemu dziecku, także przed jego urodzeniem, prawo do życia. </w:t>
      </w:r>
    </w:p>
    <w:p w:rsidR="00EC1D41" w:rsidRPr="00FA09CC" w:rsidRDefault="000A0A05" w:rsidP="0024594C">
      <w:pPr>
        <w:pStyle w:val="Adresodbiorcy"/>
        <w:widowControl w:val="0"/>
        <w:shd w:val="clear" w:color="auto" w:fill="FFFFFF" w:themeFill="background1"/>
        <w:suppressAutoHyphens/>
        <w:spacing w:line="240" w:lineRule="auto"/>
        <w:rPr>
          <w:rFonts w:ascii="Times New Roman" w:hAnsi="Times New Roman"/>
          <w:color w:val="000000" w:themeColor="text1"/>
          <w:spacing w:val="0"/>
          <w:sz w:val="24"/>
          <w:szCs w:val="24"/>
        </w:rPr>
      </w:pPr>
      <w:r w:rsidRPr="00FA09CC">
        <w:rPr>
          <w:rFonts w:ascii="Times New Roman" w:hAnsi="Times New Roman"/>
          <w:color w:val="000000" w:themeColor="text1"/>
          <w:spacing w:val="0"/>
          <w:sz w:val="24"/>
          <w:szCs w:val="24"/>
        </w:rPr>
        <w:t>Nie można wyrazić aprobaty dla stwierdzeń sugerujących, że w Polsce stygmatyzuje się kobiety poprzez politykę „pro life”. Wobec takich zastrzeżeń należy wskazać, że coraz więcej osób, broniących prawa do życia od poczęcia do naturalnej śmierci, czuje się dyskryminowan</w:t>
      </w:r>
      <w:r w:rsidR="00070821">
        <w:rPr>
          <w:rFonts w:ascii="Times New Roman" w:hAnsi="Times New Roman"/>
          <w:color w:val="000000" w:themeColor="text1"/>
          <w:spacing w:val="0"/>
          <w:sz w:val="24"/>
          <w:szCs w:val="24"/>
        </w:rPr>
        <w:t>e</w:t>
      </w:r>
      <w:r w:rsidR="00415B21" w:rsidRPr="00FA09CC">
        <w:rPr>
          <w:rFonts w:ascii="Times New Roman" w:hAnsi="Times New Roman"/>
          <w:color w:val="000000" w:themeColor="text1"/>
          <w:spacing w:val="0"/>
          <w:sz w:val="24"/>
          <w:szCs w:val="24"/>
        </w:rPr>
        <w:t xml:space="preserve"> </w:t>
      </w:r>
      <w:r w:rsidRPr="00FA09CC">
        <w:rPr>
          <w:rFonts w:ascii="Times New Roman" w:hAnsi="Times New Roman"/>
          <w:color w:val="000000" w:themeColor="text1"/>
          <w:spacing w:val="0"/>
          <w:sz w:val="24"/>
          <w:szCs w:val="24"/>
        </w:rPr>
        <w:t>ze strony wielu aktywistek i aktywistów proaborcyjnych.</w:t>
      </w:r>
    </w:p>
    <w:p w:rsidR="00703D4F" w:rsidRPr="00FA09CC" w:rsidRDefault="000A0A05" w:rsidP="0024594C">
      <w:pPr>
        <w:pStyle w:val="Tekstkomentarza"/>
        <w:ind w:left="0" w:firstLine="0"/>
        <w:rPr>
          <w:sz w:val="24"/>
          <w:szCs w:val="24"/>
        </w:rPr>
      </w:pPr>
      <w:r w:rsidRPr="00FA09CC">
        <w:rPr>
          <w:sz w:val="24"/>
          <w:szCs w:val="24"/>
        </w:rPr>
        <w:t>Zarówno konwencja, jak i</w:t>
      </w:r>
      <w:r w:rsidR="00763F3F">
        <w:rPr>
          <w:sz w:val="24"/>
          <w:szCs w:val="24"/>
        </w:rPr>
        <w:t xml:space="preserve"> </w:t>
      </w:r>
      <w:r w:rsidRPr="00FA09CC">
        <w:rPr>
          <w:sz w:val="24"/>
          <w:szCs w:val="24"/>
        </w:rPr>
        <w:t xml:space="preserve">raport GREVIO </w:t>
      </w:r>
      <w:r w:rsidR="0083745D">
        <w:rPr>
          <w:sz w:val="24"/>
          <w:szCs w:val="24"/>
        </w:rPr>
        <w:t xml:space="preserve">wydają się promować </w:t>
      </w:r>
      <w:r w:rsidRPr="00FA09CC">
        <w:rPr>
          <w:sz w:val="24"/>
          <w:szCs w:val="24"/>
        </w:rPr>
        <w:t xml:space="preserve">rozwiązania sprzyjające dostępowi do aborcji, czego szczególnym wyrazem jest promowanie kampanii informujących o możliwościach dokonania aborcji, stosowania środków wczesnoporonnych i innych form bezpośrednio hamujących możliwości rozwoju płodu ludzkiego. </w:t>
      </w:r>
      <w:r w:rsidR="0083745D">
        <w:rPr>
          <w:sz w:val="24"/>
          <w:szCs w:val="24"/>
        </w:rPr>
        <w:t>Taka</w:t>
      </w:r>
      <w:r w:rsidRPr="00FA09CC">
        <w:rPr>
          <w:sz w:val="24"/>
          <w:szCs w:val="24"/>
        </w:rPr>
        <w:t xml:space="preserve"> perspektywa nie </w:t>
      </w:r>
      <w:r w:rsidR="00790612">
        <w:rPr>
          <w:sz w:val="24"/>
          <w:szCs w:val="24"/>
        </w:rPr>
        <w:t xml:space="preserve">jest zgodna z </w:t>
      </w:r>
      <w:r w:rsidRPr="00FA09CC">
        <w:rPr>
          <w:sz w:val="24"/>
          <w:szCs w:val="24"/>
        </w:rPr>
        <w:t>gwaran</w:t>
      </w:r>
      <w:r w:rsidR="00B231CA">
        <w:rPr>
          <w:sz w:val="24"/>
          <w:szCs w:val="24"/>
        </w:rPr>
        <w:t>cj</w:t>
      </w:r>
      <w:r w:rsidR="00790612">
        <w:rPr>
          <w:sz w:val="24"/>
          <w:szCs w:val="24"/>
        </w:rPr>
        <w:t xml:space="preserve">ami prawnymi </w:t>
      </w:r>
      <w:r w:rsidRPr="00FA09CC">
        <w:rPr>
          <w:sz w:val="24"/>
          <w:szCs w:val="24"/>
        </w:rPr>
        <w:t>służąc</w:t>
      </w:r>
      <w:r w:rsidR="00790612">
        <w:rPr>
          <w:sz w:val="24"/>
          <w:szCs w:val="24"/>
        </w:rPr>
        <w:t>ymi</w:t>
      </w:r>
      <w:r w:rsidRPr="00FA09CC">
        <w:rPr>
          <w:sz w:val="24"/>
          <w:szCs w:val="24"/>
        </w:rPr>
        <w:t xml:space="preserve"> ochronie życia każdego człowieka, </w:t>
      </w:r>
      <w:r w:rsidR="008350C3">
        <w:rPr>
          <w:sz w:val="24"/>
          <w:szCs w:val="24"/>
        </w:rPr>
        <w:br/>
      </w:r>
      <w:r w:rsidRPr="00FA09CC">
        <w:rPr>
          <w:sz w:val="24"/>
          <w:szCs w:val="24"/>
        </w:rPr>
        <w:t>z uwzględnieniem jego godności. Dodatkowo, może stwarzać</w:t>
      </w:r>
      <w:r w:rsidR="007D6B00">
        <w:rPr>
          <w:sz w:val="24"/>
          <w:szCs w:val="24"/>
        </w:rPr>
        <w:t>,</w:t>
      </w:r>
      <w:r w:rsidRPr="00FA09CC">
        <w:rPr>
          <w:sz w:val="24"/>
          <w:szCs w:val="24"/>
        </w:rPr>
        <w:t xml:space="preserve"> w niektórych okolicznościach</w:t>
      </w:r>
      <w:r w:rsidR="007D6B00">
        <w:rPr>
          <w:sz w:val="24"/>
          <w:szCs w:val="24"/>
        </w:rPr>
        <w:t>,</w:t>
      </w:r>
      <w:r w:rsidRPr="00FA09CC">
        <w:rPr>
          <w:sz w:val="24"/>
          <w:szCs w:val="24"/>
        </w:rPr>
        <w:t xml:space="preserve"> duże ryzyko dla zdrowia i życia kobiet.</w:t>
      </w:r>
    </w:p>
    <w:p w:rsidR="00703D4F" w:rsidRPr="00FA09CC" w:rsidRDefault="00703D4F" w:rsidP="0024594C">
      <w:pPr>
        <w:pStyle w:val="Adresodbiorcy"/>
        <w:widowControl w:val="0"/>
        <w:shd w:val="clear" w:color="auto" w:fill="FFFFFF" w:themeFill="background1"/>
        <w:suppressAutoHyphens/>
        <w:spacing w:line="240" w:lineRule="auto"/>
        <w:rPr>
          <w:rFonts w:ascii="Times New Roman" w:hAnsi="Times New Roman"/>
          <w:b/>
          <w:i/>
          <w:color w:val="000000" w:themeColor="text1"/>
          <w:spacing w:val="0"/>
          <w:sz w:val="24"/>
          <w:szCs w:val="24"/>
        </w:rPr>
      </w:pPr>
    </w:p>
    <w:p w:rsidR="00DB3383" w:rsidRPr="00FA09CC" w:rsidRDefault="000A0A05" w:rsidP="0024594C">
      <w:pPr>
        <w:ind w:left="0" w:firstLine="0"/>
        <w:rPr>
          <w:b/>
          <w:bCs/>
          <w:color w:val="000000" w:themeColor="text1"/>
        </w:rPr>
      </w:pPr>
      <w:r w:rsidRPr="00FA09CC">
        <w:rPr>
          <w:b/>
          <w:bCs/>
          <w:color w:val="000000" w:themeColor="text1"/>
        </w:rPr>
        <w:t xml:space="preserve">Paragrafy 158-161 </w:t>
      </w:r>
      <w:r w:rsidR="001710D2">
        <w:rPr>
          <w:b/>
          <w:bCs/>
          <w:color w:val="000000" w:themeColor="text1"/>
        </w:rPr>
        <w:t>–</w:t>
      </w:r>
      <w:r w:rsidRPr="00FA09CC">
        <w:rPr>
          <w:b/>
          <w:bCs/>
          <w:color w:val="000000" w:themeColor="text1"/>
        </w:rPr>
        <w:t xml:space="preserve"> opieka</w:t>
      </w:r>
      <w:r w:rsidR="001710D2">
        <w:rPr>
          <w:b/>
          <w:bCs/>
          <w:color w:val="000000" w:themeColor="text1"/>
        </w:rPr>
        <w:t xml:space="preserve"> </w:t>
      </w:r>
      <w:r w:rsidRPr="00FA09CC">
        <w:rPr>
          <w:b/>
          <w:bCs/>
          <w:color w:val="000000" w:themeColor="text1"/>
        </w:rPr>
        <w:t>medyczna nad ofiarami zgwałcenia</w:t>
      </w:r>
      <w:r w:rsidR="008623F8" w:rsidRPr="00FA09CC">
        <w:rPr>
          <w:b/>
          <w:bCs/>
          <w:color w:val="000000" w:themeColor="text1"/>
        </w:rPr>
        <w:t xml:space="preserve"> </w:t>
      </w:r>
    </w:p>
    <w:p w:rsidR="005A7905" w:rsidRPr="00FA09CC" w:rsidRDefault="005A7905" w:rsidP="0024594C">
      <w:pPr>
        <w:pStyle w:val="Tekstkomentarza"/>
        <w:ind w:left="0" w:firstLine="0"/>
        <w:rPr>
          <w:sz w:val="24"/>
          <w:szCs w:val="24"/>
        </w:rPr>
      </w:pPr>
      <w:r w:rsidRPr="00FA09CC">
        <w:rPr>
          <w:color w:val="000000"/>
          <w:sz w:val="24"/>
          <w:szCs w:val="24"/>
        </w:rPr>
        <w:t>Przerywanie ciąży jest w Polsce</w:t>
      </w:r>
      <w:r w:rsidR="001421EA" w:rsidRPr="00FA09CC">
        <w:rPr>
          <w:color w:val="000000"/>
          <w:sz w:val="24"/>
          <w:szCs w:val="24"/>
        </w:rPr>
        <w:t>, po wystąpieniu określonych okoliczności,</w:t>
      </w:r>
      <w:r w:rsidRPr="00FA09CC">
        <w:rPr>
          <w:color w:val="000000"/>
          <w:sz w:val="24"/>
          <w:szCs w:val="24"/>
        </w:rPr>
        <w:t xml:space="preserve"> dopuszczalne, kwestię tę regulują przepisy ustawy o planowaniu rodziny, ochronie płodu ludzkiego </w:t>
      </w:r>
      <w:r w:rsidR="008350C3">
        <w:rPr>
          <w:color w:val="000000"/>
          <w:sz w:val="24"/>
          <w:szCs w:val="24"/>
        </w:rPr>
        <w:br/>
      </w:r>
      <w:r w:rsidRPr="00FA09CC">
        <w:rPr>
          <w:color w:val="000000"/>
          <w:sz w:val="24"/>
          <w:szCs w:val="24"/>
        </w:rPr>
        <w:t xml:space="preserve">i warunkach dopuszczalności przerywania ciąży. </w:t>
      </w:r>
    </w:p>
    <w:p w:rsidR="00DB3383" w:rsidRPr="00FA09CC" w:rsidRDefault="000A0A05" w:rsidP="0024594C">
      <w:pPr>
        <w:ind w:left="0" w:firstLine="0"/>
        <w:rPr>
          <w:color w:val="000000" w:themeColor="text1"/>
        </w:rPr>
      </w:pPr>
      <w:r w:rsidRPr="00FA09CC">
        <w:rPr>
          <w:color w:val="000000" w:themeColor="text1"/>
        </w:rPr>
        <w:t>Odnosząc się do stwierdzenia (zdanie ostatnie paragrafu 158), zgodnie z którym ofiar</w:t>
      </w:r>
      <w:r w:rsidR="002032B5">
        <w:rPr>
          <w:color w:val="000000" w:themeColor="text1"/>
        </w:rPr>
        <w:t>a</w:t>
      </w:r>
      <w:r w:rsidRPr="00FA09CC">
        <w:rPr>
          <w:color w:val="000000" w:themeColor="text1"/>
        </w:rPr>
        <w:t xml:space="preserve"> gwałtu skutkującego niechcianą ciążą mus</w:t>
      </w:r>
      <w:r w:rsidR="002032B5">
        <w:rPr>
          <w:color w:val="000000" w:themeColor="text1"/>
        </w:rPr>
        <w:t>i</w:t>
      </w:r>
      <w:r w:rsidRPr="00FA09CC">
        <w:rPr>
          <w:color w:val="000000" w:themeColor="text1"/>
        </w:rPr>
        <w:t xml:space="preserve"> mieć dostęp do usług wsparcia na takich samych zasadach, jak każda ofiara przemocy seksualnej, także wtedy, gdy decyduj</w:t>
      </w:r>
      <w:r w:rsidR="002032B5">
        <w:rPr>
          <w:color w:val="000000" w:themeColor="text1"/>
        </w:rPr>
        <w:t>e</w:t>
      </w:r>
      <w:r w:rsidRPr="00FA09CC">
        <w:rPr>
          <w:color w:val="000000" w:themeColor="text1"/>
        </w:rPr>
        <w:t xml:space="preserve"> się na przerwanie ciąży, należy wskazać, że zgodnie z ustawą o planowaniu rodziny, ochronie płodu ludzkiego </w:t>
      </w:r>
      <w:r w:rsidR="008350C3">
        <w:rPr>
          <w:color w:val="000000" w:themeColor="text1"/>
        </w:rPr>
        <w:br/>
      </w:r>
      <w:r w:rsidRPr="00FA09CC">
        <w:rPr>
          <w:color w:val="000000" w:themeColor="text1"/>
        </w:rPr>
        <w:t xml:space="preserve">i warunkach dopuszczalności przerwania ciąży, przerwanie ciąży jest dopuszczalne, między innymi gdy zachodzi uzasadnione podejrzenie, że ciąża powstała w wyniku czynu zabronionego. </w:t>
      </w:r>
    </w:p>
    <w:p w:rsidR="00BB7D5A" w:rsidRPr="00FA09CC" w:rsidRDefault="000A0A05" w:rsidP="0024594C">
      <w:pPr>
        <w:ind w:left="0" w:firstLine="0"/>
      </w:pPr>
      <w:r w:rsidRPr="00FA09CC">
        <w:t xml:space="preserve">Procedura realizacji zabiegów przerwania ciąży wynika z przepisów ustawy o planowaniu rodziny, ochronie płodu ludzkiego i warunkach dopuszczalności przerywania ciąży. Świadczenie to, w przypadkach określonych ustawą, należy do świadczeń gwarantowanych </w:t>
      </w:r>
      <w:r w:rsidR="008350C3">
        <w:br/>
      </w:r>
      <w:r w:rsidRPr="00FA09CC">
        <w:t>i</w:t>
      </w:r>
      <w:r w:rsidR="00763F3F">
        <w:t xml:space="preserve"> </w:t>
      </w:r>
      <w:r w:rsidRPr="00FA09CC">
        <w:t xml:space="preserve">jest udzielane przez szpitale, które zawarły umowę z Narodowym Funduszem Zdrowia na realizację świadczeń w zakresie położnictwa i ginekologii. </w:t>
      </w:r>
    </w:p>
    <w:p w:rsidR="00BB7D5A" w:rsidRPr="00FA09CC" w:rsidRDefault="000A0A05" w:rsidP="0024594C">
      <w:pPr>
        <w:ind w:left="0" w:firstLine="0"/>
      </w:pPr>
      <w:r w:rsidRPr="00FA09CC">
        <w:t xml:space="preserve">Podpisując umowę z Narodowym Funduszem Zdrowia, świadczeniodawca zobowiązuje się do realizacji wszystkich świadczeń określonych w umowie. W razie braku możliwości udzielenia świadczenia, której nie można było wcześniej przewidzieć, świadczeniodawca jest zobowiązany niezwłocznie podjąć działania w celu zachowania ciągłości udzielania świadczeń, i jednocześnie </w:t>
      </w:r>
      <w:r w:rsidR="007D6B00" w:rsidRPr="00FA09CC">
        <w:t>powiad</w:t>
      </w:r>
      <w:r w:rsidR="00B05BB3">
        <w:t>o</w:t>
      </w:r>
      <w:r w:rsidR="007D6B00" w:rsidRPr="00FA09CC">
        <w:t>mi</w:t>
      </w:r>
      <w:r w:rsidR="007D6B00">
        <w:t>ć</w:t>
      </w:r>
      <w:r w:rsidR="007D6B00" w:rsidRPr="00FA09CC">
        <w:t xml:space="preserve"> </w:t>
      </w:r>
      <w:r w:rsidRPr="00FA09CC">
        <w:t xml:space="preserve">Fundusz o tym zdarzeniu i podjętych czynnościach. Taka sytuacja może zaistnieć w przypadku odmowy przez lekarza wykonania świadczenia </w:t>
      </w:r>
      <w:r w:rsidR="008350C3">
        <w:br/>
      </w:r>
      <w:r w:rsidRPr="00FA09CC">
        <w:t xml:space="preserve">z powołaniem się na „klauzulę sumienia”. </w:t>
      </w:r>
    </w:p>
    <w:p w:rsidR="00BB7D5A" w:rsidRPr="00FA09CC" w:rsidRDefault="000A0A05" w:rsidP="0024594C">
      <w:pPr>
        <w:ind w:left="0" w:firstLine="0"/>
        <w:contextualSpacing/>
        <w:rPr>
          <w:color w:val="000000" w:themeColor="text1"/>
        </w:rPr>
      </w:pPr>
      <w:r w:rsidRPr="00FA09CC">
        <w:rPr>
          <w:color w:val="000000" w:themeColor="text1"/>
        </w:rPr>
        <w:t xml:space="preserve">Korzystanie przez lekarzy z „klauzuli sumienia” uregulowane jest w sposób zapewniający realizację prawa lekarza do powstrzymania się od wykonania świadczenia niezgodnego z jego sumieniem oraz umożliwiający pacjentowi uzyskanie świadczenia, do którego jest uprawniony, </w:t>
      </w:r>
      <w:r w:rsidRPr="00FA09CC">
        <w:t>a także realizację prawa pacjenta do informacji</w:t>
      </w:r>
      <w:r w:rsidRPr="00FA09CC">
        <w:rPr>
          <w:color w:val="000000" w:themeColor="text1"/>
        </w:rPr>
        <w:t>. Zgodnie z ustawą z 15</w:t>
      </w:r>
      <w:r w:rsidR="007D6B00">
        <w:rPr>
          <w:color w:val="000000" w:themeColor="text1"/>
        </w:rPr>
        <w:t xml:space="preserve"> kwietnia </w:t>
      </w:r>
      <w:r w:rsidRPr="00FA09CC">
        <w:rPr>
          <w:color w:val="000000" w:themeColor="text1"/>
        </w:rPr>
        <w:t xml:space="preserve">2011 </w:t>
      </w:r>
      <w:r w:rsidR="007D6B00">
        <w:rPr>
          <w:color w:val="000000" w:themeColor="text1"/>
        </w:rPr>
        <w:t xml:space="preserve">r. </w:t>
      </w:r>
      <w:r w:rsidRPr="00FA09CC">
        <w:rPr>
          <w:color w:val="000000" w:themeColor="text1"/>
        </w:rPr>
        <w:t xml:space="preserve">o działalności leczniczej podmiot wykonujący działalność leczniczą podaje do wiadomości publicznej informacje o zakresie i rodzajach udzielanych świadczeń zdrowotnych. W przypadku gdy lekarz, powołując się na „klauzulę sumienia”, odmówi udzielenia świadczenia, obowiązek poinformowania o podmiocie, w którym takie świadczenie można uzyskać, leży po stronie świadczeniodawcy </w:t>
      </w:r>
      <w:r w:rsidR="000A777E">
        <w:rPr>
          <w:color w:val="000000" w:themeColor="text1"/>
        </w:rPr>
        <w:t>–</w:t>
      </w:r>
      <w:r w:rsidRPr="00FA09CC">
        <w:rPr>
          <w:color w:val="000000" w:themeColor="text1"/>
        </w:rPr>
        <w:t xml:space="preserve"> podmiotu leczniczego, </w:t>
      </w:r>
      <w:r w:rsidR="008350C3">
        <w:rPr>
          <w:color w:val="000000" w:themeColor="text1"/>
        </w:rPr>
        <w:br/>
      </w:r>
      <w:r w:rsidRPr="00FA09CC">
        <w:rPr>
          <w:color w:val="000000" w:themeColor="text1"/>
        </w:rPr>
        <w:t xml:space="preserve">w którym lekarz powstrzymał się od wykonania świadczenia. </w:t>
      </w:r>
      <w:r w:rsidRPr="00FA09CC">
        <w:t>Procedura ta ma charakter generalny – odnosi się do wszystkich świadczeń opieki zdrowotnej.</w:t>
      </w:r>
      <w:r w:rsidRPr="00FA09CC">
        <w:rPr>
          <w:color w:val="000000" w:themeColor="text1"/>
        </w:rPr>
        <w:t xml:space="preserve"> „Klauzula sumienia” jest prawem lekarza, nie może powoływać się na nią podmiot leczniczy. </w:t>
      </w:r>
    </w:p>
    <w:p w:rsidR="00424DF8" w:rsidRPr="00FA09CC" w:rsidRDefault="000A0A05" w:rsidP="0024594C">
      <w:pPr>
        <w:ind w:left="0" w:firstLine="0"/>
        <w:rPr>
          <w:color w:val="000000" w:themeColor="text1"/>
        </w:rPr>
      </w:pPr>
      <w:r w:rsidRPr="00FA09CC">
        <w:rPr>
          <w:color w:val="000000" w:themeColor="text1"/>
        </w:rPr>
        <w:t xml:space="preserve">Odnosząc się do niskiej liczby przypadków przerwania ciąży w sytuacji, gdy zachodzi uzasadnione podejrzenie, że ciąża powstała w wyniku czynu zabronionego, co ma dowodzić, </w:t>
      </w:r>
      <w:r w:rsidRPr="00FA09CC">
        <w:rPr>
          <w:color w:val="000000" w:themeColor="text1"/>
        </w:rPr>
        <w:lastRenderedPageBreak/>
        <w:t>że kobiety mają trudności w dostępie do zabiegów przerwania ciąży, należy wskazać, że ustawa o planowaniu rodziny, ochronie płodu ludzkiego i warunkach dopuszczalności przerywania ciąży określa przesłanki, spełnienie których uprawnia do wykonania zabiegu przerwania ciąży. Należy wyraźnie podkreślić, że przepisy ustawy konstytuują uprawnienie do przeprowadzenia takiego zabiegu, a nie zobowiązanie do jego wykonania</w:t>
      </w:r>
      <w:r w:rsidR="00900A0E">
        <w:rPr>
          <w:color w:val="000000" w:themeColor="text1"/>
        </w:rPr>
        <w:t xml:space="preserve"> </w:t>
      </w:r>
      <w:r w:rsidR="000A777E">
        <w:rPr>
          <w:color w:val="000000" w:themeColor="text1"/>
        </w:rPr>
        <w:t>–</w:t>
      </w:r>
      <w:r w:rsidR="00900A0E">
        <w:rPr>
          <w:color w:val="000000" w:themeColor="text1"/>
        </w:rPr>
        <w:t xml:space="preserve"> p</w:t>
      </w:r>
      <w:r w:rsidRPr="00FA09CC">
        <w:rPr>
          <w:color w:val="000000" w:themeColor="text1"/>
        </w:rPr>
        <w:t>rzeprowadzenie zabiegu przerwania ciąży</w:t>
      </w:r>
      <w:r w:rsidR="00900A0E">
        <w:rPr>
          <w:color w:val="000000" w:themeColor="text1"/>
        </w:rPr>
        <w:t>,</w:t>
      </w:r>
      <w:r w:rsidRPr="00FA09CC">
        <w:rPr>
          <w:color w:val="000000" w:themeColor="text1"/>
        </w:rPr>
        <w:t xml:space="preserve"> w okolicznościach uprawniających do jego przeprowadzenia</w:t>
      </w:r>
      <w:r w:rsidR="00900A0E">
        <w:rPr>
          <w:color w:val="000000" w:themeColor="text1"/>
        </w:rPr>
        <w:t>,</w:t>
      </w:r>
      <w:r w:rsidRPr="00FA09CC">
        <w:rPr>
          <w:color w:val="000000" w:themeColor="text1"/>
        </w:rPr>
        <w:t xml:space="preserve"> zależy wyłącznie od decyzji kobiety. Liczba wykonanych zabiegów przerwania ciąży w przypadku, gdy zachodzi uzasadnione podejrzenie, że ciąża powstała w wyniku czynu zabronionego</w:t>
      </w:r>
      <w:r w:rsidR="00070821">
        <w:rPr>
          <w:color w:val="000000" w:themeColor="text1"/>
        </w:rPr>
        <w:t>,</w:t>
      </w:r>
      <w:r w:rsidRPr="00FA09CC">
        <w:rPr>
          <w:color w:val="000000" w:themeColor="text1"/>
        </w:rPr>
        <w:t xml:space="preserve"> nie może być zatem uznana za wskaźnik ewentualnych trudności w uzyskaniu zaświadczenia wydawanego przez prokuratora bądź obaw kobiet przed stygmatyzacją. Nawet jeśli skutkiem zgwałcenia jest ciąża, to nie każda kobieta decyduje się na jej przerwanie, a przesłanki pod</w:t>
      </w:r>
      <w:r w:rsidR="00070821">
        <w:rPr>
          <w:color w:val="000000" w:themeColor="text1"/>
        </w:rPr>
        <w:t xml:space="preserve">jętej </w:t>
      </w:r>
      <w:r w:rsidRPr="00FA09CC">
        <w:rPr>
          <w:color w:val="000000" w:themeColor="text1"/>
        </w:rPr>
        <w:t xml:space="preserve">przez kobietę decyzji są ściśle indywidualne. </w:t>
      </w:r>
    </w:p>
    <w:p w:rsidR="00424DF8" w:rsidRPr="00FA09CC" w:rsidRDefault="000A0A05" w:rsidP="0024594C">
      <w:pPr>
        <w:ind w:left="0" w:firstLine="0"/>
        <w:rPr>
          <w:color w:val="000000" w:themeColor="text1"/>
        </w:rPr>
      </w:pPr>
      <w:r w:rsidRPr="00FA09CC">
        <w:rPr>
          <w:color w:val="000000" w:themeColor="text1"/>
        </w:rPr>
        <w:t>W 2018 r. przeprowadzono jeden zabieg przerwania ciąży w przypadku, gdy zachodziło uzasadnione podejrzenie, że ciąża powstała w wyniku czynu zabronionego, w 2019 r. przeprowadzono 3 takie zabiegi.</w:t>
      </w:r>
    </w:p>
    <w:p w:rsidR="001E6FAC" w:rsidRPr="00FA09CC" w:rsidRDefault="001E6FAC" w:rsidP="0024594C">
      <w:pPr>
        <w:ind w:left="0" w:firstLine="0"/>
        <w:rPr>
          <w:color w:val="000000" w:themeColor="text1"/>
        </w:rPr>
      </w:pPr>
      <w:bookmarkStart w:id="4" w:name="mip54246369"/>
      <w:bookmarkStart w:id="5" w:name="mip53689706"/>
      <w:bookmarkStart w:id="6" w:name="mip53689710"/>
      <w:bookmarkEnd w:id="4"/>
      <w:bookmarkEnd w:id="5"/>
      <w:bookmarkEnd w:id="6"/>
    </w:p>
    <w:p w:rsidR="007705A4" w:rsidRPr="00FA09CC" w:rsidRDefault="007705A4" w:rsidP="0024594C">
      <w:pPr>
        <w:ind w:left="0" w:firstLine="0"/>
        <w:rPr>
          <w:b/>
          <w:bCs/>
          <w:color w:val="000000" w:themeColor="text1"/>
        </w:rPr>
      </w:pPr>
      <w:r w:rsidRPr="00FA09CC">
        <w:rPr>
          <w:b/>
          <w:bCs/>
          <w:color w:val="000000" w:themeColor="text1"/>
        </w:rPr>
        <w:t xml:space="preserve">Paragraf 168 – procedury </w:t>
      </w:r>
      <w:r w:rsidR="008809B0">
        <w:rPr>
          <w:b/>
          <w:bCs/>
          <w:color w:val="000000" w:themeColor="text1"/>
        </w:rPr>
        <w:t>„</w:t>
      </w:r>
      <w:r w:rsidRPr="00FA09CC">
        <w:rPr>
          <w:b/>
          <w:bCs/>
          <w:color w:val="000000" w:themeColor="text1"/>
        </w:rPr>
        <w:t>Niebieskiej Karty</w:t>
      </w:r>
      <w:r w:rsidR="008809B0">
        <w:rPr>
          <w:b/>
          <w:bCs/>
          <w:color w:val="000000" w:themeColor="text1"/>
        </w:rPr>
        <w:t>”</w:t>
      </w:r>
      <w:r w:rsidRPr="00FA09CC">
        <w:rPr>
          <w:b/>
          <w:bCs/>
          <w:color w:val="000000" w:themeColor="text1"/>
        </w:rPr>
        <w:t xml:space="preserve"> wszczynane przez lekarzy</w:t>
      </w:r>
    </w:p>
    <w:p w:rsidR="007705A4" w:rsidRPr="00FA09CC" w:rsidRDefault="007705A4" w:rsidP="0024594C">
      <w:pPr>
        <w:ind w:left="0" w:firstLine="0"/>
        <w:rPr>
          <w:color w:val="000000" w:themeColor="text1"/>
        </w:rPr>
      </w:pPr>
      <w:r w:rsidRPr="00FA09CC">
        <w:rPr>
          <w:color w:val="000000" w:themeColor="text1"/>
        </w:rPr>
        <w:t xml:space="preserve">W związku z uwagami dotyczącymi procedur </w:t>
      </w:r>
      <w:r w:rsidR="00BD3BCB">
        <w:rPr>
          <w:color w:val="000000" w:themeColor="text1"/>
        </w:rPr>
        <w:t>„</w:t>
      </w:r>
      <w:r w:rsidRPr="00FA09CC">
        <w:rPr>
          <w:color w:val="000000" w:themeColor="text1"/>
        </w:rPr>
        <w:t>Niebieskiej Karty</w:t>
      </w:r>
      <w:r w:rsidR="00BD3BCB">
        <w:rPr>
          <w:color w:val="000000" w:themeColor="text1"/>
        </w:rPr>
        <w:t>”</w:t>
      </w:r>
      <w:r w:rsidRPr="00FA09CC">
        <w:rPr>
          <w:color w:val="000000" w:themeColor="text1"/>
        </w:rPr>
        <w:t xml:space="preserve"> wszczynanych przez lekarzy, należy zwrócić uwagę, że pacjent może odmówić zgody na badanie bądź zrezygnować z uzyskania zaświadczenia, pacjent może także odmówić ujawnienia, w toku przeprowadzania z nim wywiadu medycznego, informacji dotyczącej mechanizmu powstania uszkodzeń ciała. Jest to wyrazem prawa do wolności osobistej i decydowania o sobie, co gwarantuje Konstytucja RP. Z tego względu sugestie GREVIO co do możliwych przyczyn niskiej liczby procedur wszczynanych przez lekarzy (zdanie trzecie</w:t>
      </w:r>
      <w:r w:rsidR="00BD3BCB">
        <w:rPr>
          <w:color w:val="000000" w:themeColor="text1"/>
        </w:rPr>
        <w:t xml:space="preserve"> paragrafu</w:t>
      </w:r>
      <w:r w:rsidRPr="00FA09CC">
        <w:rPr>
          <w:color w:val="000000" w:themeColor="text1"/>
        </w:rPr>
        <w:t>) budzą wątpliwości.</w:t>
      </w:r>
    </w:p>
    <w:p w:rsidR="007705A4" w:rsidRDefault="007705A4" w:rsidP="0024594C">
      <w:pPr>
        <w:pStyle w:val="Standard"/>
        <w:jc w:val="both"/>
        <w:rPr>
          <w:rFonts w:ascii="Times New Roman" w:hAnsi="Times New Roman" w:cs="Times New Roman"/>
          <w:b/>
          <w:bCs/>
          <w:color w:val="000000" w:themeColor="text1"/>
        </w:rPr>
      </w:pPr>
    </w:p>
    <w:p w:rsidR="005356AA" w:rsidRPr="00FA09CC" w:rsidRDefault="000A0A05" w:rsidP="0024594C">
      <w:pPr>
        <w:pStyle w:val="Standard"/>
        <w:jc w:val="both"/>
        <w:rPr>
          <w:rFonts w:ascii="Times New Roman" w:hAnsi="Times New Roman" w:cs="Times New Roman"/>
          <w:b/>
          <w:bCs/>
          <w:color w:val="000000" w:themeColor="text1"/>
        </w:rPr>
      </w:pPr>
      <w:r w:rsidRPr="00FA09CC">
        <w:rPr>
          <w:rFonts w:ascii="Times New Roman" w:hAnsi="Times New Roman" w:cs="Times New Roman"/>
          <w:b/>
          <w:bCs/>
          <w:color w:val="000000" w:themeColor="text1"/>
        </w:rPr>
        <w:t>Paragrafy 170 i 171 – zgłaszanie przez profesjonalistów</w:t>
      </w:r>
    </w:p>
    <w:p w:rsidR="00FE628F" w:rsidRPr="00FA09CC" w:rsidRDefault="00F44FDC" w:rsidP="0024594C">
      <w:pPr>
        <w:pStyle w:val="Standard"/>
        <w:jc w:val="both"/>
        <w:rPr>
          <w:rFonts w:ascii="Times New Roman" w:eastAsia="Times New Roman" w:hAnsi="Times New Roman" w:cs="Times New Roman"/>
          <w:iCs/>
          <w:color w:val="000000" w:themeColor="text1"/>
          <w:lang w:eastAsia="pl-PL"/>
        </w:rPr>
      </w:pPr>
      <w:r>
        <w:rPr>
          <w:rFonts w:ascii="Times New Roman" w:hAnsi="Times New Roman" w:cs="Times New Roman"/>
          <w:color w:val="000000" w:themeColor="text1"/>
        </w:rPr>
        <w:t>Teza</w:t>
      </w:r>
      <w:r w:rsidR="000A0A05" w:rsidRPr="00FA09CC">
        <w:rPr>
          <w:rFonts w:ascii="Times New Roman" w:hAnsi="Times New Roman" w:cs="Times New Roman"/>
          <w:color w:val="000000" w:themeColor="text1"/>
        </w:rPr>
        <w:t>, że obowiązek zgłaszania przypadków przemocy przez profesjonalistów może dyskryminować kobiety</w:t>
      </w:r>
      <w:r w:rsidR="00FD5D41" w:rsidRPr="00FA09CC">
        <w:rPr>
          <w:rFonts w:ascii="Times New Roman" w:hAnsi="Times New Roman" w:cs="Times New Roman"/>
          <w:color w:val="000000" w:themeColor="text1"/>
        </w:rPr>
        <w:t>,</w:t>
      </w:r>
      <w:r w:rsidR="000A0A05" w:rsidRPr="00FA09CC">
        <w:rPr>
          <w:rFonts w:ascii="Times New Roman" w:hAnsi="Times New Roman" w:cs="Times New Roman"/>
          <w:color w:val="000000" w:themeColor="text1"/>
        </w:rPr>
        <w:t xml:space="preserve"> ponieważ może dla nich stanowić barierę w poszukiwaniu pomocy</w:t>
      </w:r>
      <w:r>
        <w:rPr>
          <w:rFonts w:ascii="Times New Roman" w:hAnsi="Times New Roman" w:cs="Times New Roman"/>
          <w:color w:val="000000" w:themeColor="text1"/>
        </w:rPr>
        <w:t xml:space="preserve"> </w:t>
      </w:r>
      <w:r w:rsidR="005C4E5B">
        <w:rPr>
          <w:rFonts w:ascii="Times New Roman" w:hAnsi="Times New Roman" w:cs="Times New Roman"/>
          <w:color w:val="000000" w:themeColor="text1"/>
        </w:rPr>
        <w:t>(paragraf 170)</w:t>
      </w:r>
      <w:r w:rsidR="00070821">
        <w:rPr>
          <w:rFonts w:ascii="Times New Roman" w:hAnsi="Times New Roman" w:cs="Times New Roman"/>
          <w:color w:val="000000" w:themeColor="text1"/>
        </w:rPr>
        <w:t>,</w:t>
      </w:r>
      <w:r w:rsidR="005C4E5B">
        <w:rPr>
          <w:rFonts w:ascii="Times New Roman" w:hAnsi="Times New Roman" w:cs="Times New Roman"/>
          <w:color w:val="000000" w:themeColor="text1"/>
        </w:rPr>
        <w:t xml:space="preserve"> </w:t>
      </w:r>
      <w:r>
        <w:rPr>
          <w:rFonts w:ascii="Times New Roman" w:hAnsi="Times New Roman" w:cs="Times New Roman"/>
          <w:color w:val="000000" w:themeColor="text1"/>
        </w:rPr>
        <w:t>nie ma odzwierciedlenia w faktach</w:t>
      </w:r>
      <w:r w:rsidR="000A0A05" w:rsidRPr="00FA09CC">
        <w:rPr>
          <w:rFonts w:ascii="Times New Roman" w:hAnsi="Times New Roman" w:cs="Times New Roman"/>
          <w:color w:val="000000" w:themeColor="text1"/>
        </w:rPr>
        <w:t xml:space="preserve">. </w:t>
      </w:r>
      <w:r w:rsidR="00502BDA" w:rsidRPr="00FA09CC">
        <w:rPr>
          <w:rFonts w:ascii="Times New Roman" w:hAnsi="Times New Roman" w:cs="Times New Roman"/>
          <w:color w:val="000000" w:themeColor="text1"/>
        </w:rPr>
        <w:t>P</w:t>
      </w:r>
      <w:r w:rsidR="00FE628F" w:rsidRPr="00FA09CC">
        <w:rPr>
          <w:rFonts w:ascii="Times New Roman" w:eastAsia="Times New Roman" w:hAnsi="Times New Roman" w:cs="Times New Roman"/>
          <w:iCs/>
          <w:color w:val="000000" w:themeColor="text1"/>
          <w:lang w:eastAsia="pl-PL"/>
        </w:rPr>
        <w:t>rocedura „Niebieskie</w:t>
      </w:r>
      <w:r w:rsidR="005A688D" w:rsidRPr="00FA09CC">
        <w:rPr>
          <w:rFonts w:ascii="Times New Roman" w:eastAsia="Times New Roman" w:hAnsi="Times New Roman" w:cs="Times New Roman"/>
          <w:iCs/>
          <w:color w:val="000000" w:themeColor="text1"/>
          <w:lang w:eastAsia="pl-PL"/>
        </w:rPr>
        <w:t>j</w:t>
      </w:r>
      <w:r w:rsidR="00FE628F" w:rsidRPr="00FA09CC">
        <w:rPr>
          <w:rFonts w:ascii="Times New Roman" w:eastAsia="Times New Roman" w:hAnsi="Times New Roman" w:cs="Times New Roman"/>
          <w:iCs/>
          <w:color w:val="000000" w:themeColor="text1"/>
          <w:lang w:eastAsia="pl-PL"/>
        </w:rPr>
        <w:t xml:space="preserve"> Karty” ma charakter interwencyjno-pomocowy. Uruchamiana jest w </w:t>
      </w:r>
      <w:r w:rsidR="007426E7" w:rsidRPr="00FA09CC">
        <w:rPr>
          <w:rFonts w:ascii="Times New Roman" w:eastAsia="Times New Roman" w:hAnsi="Times New Roman" w:cs="Times New Roman"/>
          <w:iCs/>
          <w:color w:val="000000" w:themeColor="text1"/>
          <w:lang w:eastAsia="pl-PL"/>
        </w:rPr>
        <w:t xml:space="preserve">razie </w:t>
      </w:r>
      <w:r w:rsidR="00FE628F" w:rsidRPr="00FA09CC">
        <w:rPr>
          <w:rFonts w:ascii="Times New Roman" w:eastAsia="Times New Roman" w:hAnsi="Times New Roman" w:cs="Times New Roman"/>
          <w:iCs/>
          <w:color w:val="000000" w:themeColor="text1"/>
          <w:lang w:eastAsia="pl-PL"/>
        </w:rPr>
        <w:t xml:space="preserve">podejrzenia przemocy </w:t>
      </w:r>
      <w:r w:rsidR="008350C3">
        <w:rPr>
          <w:rFonts w:ascii="Times New Roman" w:eastAsia="Times New Roman" w:hAnsi="Times New Roman" w:cs="Times New Roman"/>
          <w:iCs/>
          <w:color w:val="000000" w:themeColor="text1"/>
          <w:lang w:eastAsia="pl-PL"/>
        </w:rPr>
        <w:br/>
      </w:r>
      <w:r w:rsidR="00FE628F" w:rsidRPr="00FA09CC">
        <w:rPr>
          <w:rFonts w:ascii="Times New Roman" w:eastAsia="Times New Roman" w:hAnsi="Times New Roman" w:cs="Times New Roman"/>
          <w:iCs/>
          <w:color w:val="000000" w:themeColor="text1"/>
          <w:lang w:eastAsia="pl-PL"/>
        </w:rPr>
        <w:t>w rodzinie. Jej uruchomienie jest obowiązkiem przedstawiciela służby zobligowanej do jej wszcz</w:t>
      </w:r>
      <w:r w:rsidR="00BD3BCB">
        <w:rPr>
          <w:rFonts w:ascii="Times New Roman" w:eastAsia="Times New Roman" w:hAnsi="Times New Roman" w:cs="Times New Roman"/>
          <w:iCs/>
          <w:color w:val="000000" w:themeColor="text1"/>
          <w:lang w:eastAsia="pl-PL"/>
        </w:rPr>
        <w:t>ęcia</w:t>
      </w:r>
      <w:r w:rsidR="00FE628F" w:rsidRPr="00FA09CC">
        <w:rPr>
          <w:rFonts w:ascii="Times New Roman" w:eastAsia="Times New Roman" w:hAnsi="Times New Roman" w:cs="Times New Roman"/>
          <w:iCs/>
          <w:color w:val="000000" w:themeColor="text1"/>
          <w:lang w:eastAsia="pl-PL"/>
        </w:rPr>
        <w:t xml:space="preserve"> i nie wymaga zgody osoby dotkniętej przemocą w rodzinie. Wszczęcie procedury ma na celu zapewnienie bezpieczeństwa osobie, co do której istnieje podejrzenie, </w:t>
      </w:r>
      <w:r w:rsidR="005A688D" w:rsidRPr="00FA09CC">
        <w:rPr>
          <w:rFonts w:ascii="Times New Roman" w:eastAsia="Times New Roman" w:hAnsi="Times New Roman" w:cs="Times New Roman"/>
          <w:iCs/>
          <w:color w:val="000000" w:themeColor="text1"/>
          <w:lang w:eastAsia="pl-PL"/>
        </w:rPr>
        <w:t>ż</w:t>
      </w:r>
      <w:r w:rsidR="00FE628F" w:rsidRPr="00FA09CC">
        <w:rPr>
          <w:rFonts w:ascii="Times New Roman" w:eastAsia="Times New Roman" w:hAnsi="Times New Roman" w:cs="Times New Roman"/>
          <w:iCs/>
          <w:color w:val="000000" w:themeColor="text1"/>
          <w:lang w:eastAsia="pl-PL"/>
        </w:rPr>
        <w:t>e jest dotknięta przemocą w rodzinie. Nawet jeśli osoba nie potwierdza, że doznaje przemocy, ale okoliczności sprawy wzbudzają podejrzenie przemocy w rodzinie, to procedura „Niebieskie</w:t>
      </w:r>
      <w:r w:rsidR="005A688D" w:rsidRPr="00FA09CC">
        <w:rPr>
          <w:rFonts w:ascii="Times New Roman" w:eastAsia="Times New Roman" w:hAnsi="Times New Roman" w:cs="Times New Roman"/>
          <w:iCs/>
          <w:color w:val="000000" w:themeColor="text1"/>
          <w:lang w:eastAsia="pl-PL"/>
        </w:rPr>
        <w:t>j</w:t>
      </w:r>
      <w:r w:rsidR="00FE628F" w:rsidRPr="00FA09CC">
        <w:rPr>
          <w:rFonts w:ascii="Times New Roman" w:eastAsia="Times New Roman" w:hAnsi="Times New Roman" w:cs="Times New Roman"/>
          <w:iCs/>
          <w:color w:val="000000" w:themeColor="text1"/>
          <w:lang w:eastAsia="pl-PL"/>
        </w:rPr>
        <w:t xml:space="preserve"> Karty” powinna być wszczęta. Takie rozwiązanie zostało przyjęte </w:t>
      </w:r>
      <w:r w:rsidR="007426E7" w:rsidRPr="00FA09CC">
        <w:rPr>
          <w:rFonts w:ascii="Times New Roman" w:eastAsia="Times New Roman" w:hAnsi="Times New Roman" w:cs="Times New Roman"/>
          <w:iCs/>
          <w:color w:val="000000" w:themeColor="text1"/>
          <w:lang w:eastAsia="pl-PL"/>
        </w:rPr>
        <w:t>ponieważ</w:t>
      </w:r>
      <w:r w:rsidR="00FE628F" w:rsidRPr="00FA09CC">
        <w:rPr>
          <w:rFonts w:ascii="Times New Roman" w:eastAsia="Times New Roman" w:hAnsi="Times New Roman" w:cs="Times New Roman"/>
          <w:iCs/>
          <w:color w:val="000000" w:themeColor="text1"/>
          <w:lang w:eastAsia="pl-PL"/>
        </w:rPr>
        <w:t xml:space="preserve"> osoby doznające przemocy w rodzinie często, na przykład</w:t>
      </w:r>
      <w:r w:rsidR="00720927" w:rsidRPr="00FA09CC">
        <w:rPr>
          <w:rFonts w:ascii="Times New Roman" w:eastAsia="Times New Roman" w:hAnsi="Times New Roman" w:cs="Times New Roman"/>
          <w:iCs/>
          <w:color w:val="000000" w:themeColor="text1"/>
          <w:lang w:eastAsia="pl-PL"/>
        </w:rPr>
        <w:t xml:space="preserve"> </w:t>
      </w:r>
      <w:r w:rsidR="00FE628F" w:rsidRPr="00FA09CC">
        <w:rPr>
          <w:rFonts w:ascii="Times New Roman" w:eastAsia="Times New Roman" w:hAnsi="Times New Roman" w:cs="Times New Roman"/>
          <w:iCs/>
          <w:color w:val="000000" w:themeColor="text1"/>
          <w:lang w:eastAsia="pl-PL"/>
        </w:rPr>
        <w:t>ze strachu przed sprawcą przemocy i nasileniem zachowań agresywnych z jego strony, albo ze wstydu, że są tak traktowane przez najbliższego członka rodziny, nie podejmują działań, które mogłyby zmienić ich sytuację</w:t>
      </w:r>
      <w:r w:rsidR="007426E7" w:rsidRPr="00FA09CC">
        <w:rPr>
          <w:rFonts w:ascii="Times New Roman" w:eastAsia="Times New Roman" w:hAnsi="Times New Roman" w:cs="Times New Roman"/>
          <w:iCs/>
          <w:color w:val="000000" w:themeColor="text1"/>
          <w:lang w:eastAsia="pl-PL"/>
        </w:rPr>
        <w:t xml:space="preserve">, oczekując, </w:t>
      </w:r>
      <w:r w:rsidR="00FE628F" w:rsidRPr="00FA09CC">
        <w:rPr>
          <w:rFonts w:ascii="Times New Roman" w:eastAsia="Times New Roman" w:hAnsi="Times New Roman" w:cs="Times New Roman"/>
          <w:iCs/>
          <w:color w:val="000000" w:themeColor="text1"/>
          <w:lang w:eastAsia="pl-PL"/>
        </w:rPr>
        <w:t xml:space="preserve">że pomoc przyjdzie „z zewnątrz”. </w:t>
      </w:r>
    </w:p>
    <w:p w:rsidR="005356AA" w:rsidRPr="00FA09CC" w:rsidRDefault="00677CA9" w:rsidP="0024594C">
      <w:pPr>
        <w:pStyle w:val="Standard"/>
        <w:jc w:val="both"/>
        <w:rPr>
          <w:rFonts w:ascii="Times New Roman" w:hAnsi="Times New Roman" w:cs="Times New Roman"/>
          <w:color w:val="000000" w:themeColor="text1"/>
        </w:rPr>
      </w:pPr>
      <w:r w:rsidRPr="00FA09CC">
        <w:rPr>
          <w:rFonts w:ascii="Times New Roman" w:hAnsi="Times New Roman" w:cs="Times New Roman"/>
          <w:color w:val="000000" w:themeColor="text1"/>
        </w:rPr>
        <w:t xml:space="preserve">W związku z postulatem </w:t>
      </w:r>
      <w:r w:rsidR="005356AA" w:rsidRPr="00FA09CC">
        <w:rPr>
          <w:rFonts w:ascii="Times New Roman" w:hAnsi="Times New Roman" w:cs="Times New Roman"/>
          <w:color w:val="000000" w:themeColor="text1"/>
        </w:rPr>
        <w:t>zrewidowani</w:t>
      </w:r>
      <w:r w:rsidRPr="00FA09CC">
        <w:rPr>
          <w:rFonts w:ascii="Times New Roman" w:hAnsi="Times New Roman" w:cs="Times New Roman"/>
          <w:color w:val="000000" w:themeColor="text1"/>
        </w:rPr>
        <w:t>a</w:t>
      </w:r>
      <w:r w:rsidR="005356AA" w:rsidRPr="00FA09CC">
        <w:rPr>
          <w:rFonts w:ascii="Times New Roman" w:hAnsi="Times New Roman" w:cs="Times New Roman"/>
          <w:color w:val="000000" w:themeColor="text1"/>
        </w:rPr>
        <w:t xml:space="preserve"> obowiązku zgłaszania przez profesjonalistów przypadków przemocy wobec kobiet i ich dzieci, </w:t>
      </w:r>
      <w:r w:rsidR="00BD3BCB">
        <w:rPr>
          <w:rFonts w:ascii="Times New Roman" w:hAnsi="Times New Roman" w:cs="Times New Roman"/>
          <w:color w:val="000000" w:themeColor="text1"/>
        </w:rPr>
        <w:t xml:space="preserve">należy wskazać, że </w:t>
      </w:r>
      <w:r w:rsidR="000A0A05" w:rsidRPr="00FA09CC">
        <w:rPr>
          <w:rFonts w:ascii="Times New Roman" w:hAnsi="Times New Roman" w:cs="Times New Roman"/>
          <w:color w:val="000000" w:themeColor="text1"/>
        </w:rPr>
        <w:t xml:space="preserve">sformułowanie „poważny akt przemocy” </w:t>
      </w:r>
      <w:r w:rsidR="005C4E5B">
        <w:rPr>
          <w:rFonts w:ascii="Times New Roman" w:hAnsi="Times New Roman" w:cs="Times New Roman"/>
          <w:color w:val="000000" w:themeColor="text1"/>
        </w:rPr>
        <w:t xml:space="preserve">(paragraf 171, zdanie drugie) </w:t>
      </w:r>
      <w:r w:rsidR="00070821">
        <w:rPr>
          <w:rFonts w:ascii="Times New Roman" w:hAnsi="Times New Roman" w:cs="Times New Roman"/>
          <w:color w:val="000000" w:themeColor="text1"/>
        </w:rPr>
        <w:t xml:space="preserve">wydaje się </w:t>
      </w:r>
      <w:r w:rsidR="000A0A05" w:rsidRPr="00FA09CC">
        <w:rPr>
          <w:rFonts w:ascii="Times New Roman" w:hAnsi="Times New Roman" w:cs="Times New Roman"/>
          <w:color w:val="000000" w:themeColor="text1"/>
        </w:rPr>
        <w:t>nietraf</w:t>
      </w:r>
      <w:r w:rsidR="005C4E5B">
        <w:rPr>
          <w:rFonts w:ascii="Times New Roman" w:hAnsi="Times New Roman" w:cs="Times New Roman"/>
          <w:color w:val="000000" w:themeColor="text1"/>
        </w:rPr>
        <w:t>ne</w:t>
      </w:r>
      <w:r w:rsidR="000A0A05" w:rsidRPr="00FA09CC">
        <w:rPr>
          <w:rFonts w:ascii="Times New Roman" w:hAnsi="Times New Roman" w:cs="Times New Roman"/>
          <w:color w:val="000000" w:themeColor="text1"/>
        </w:rPr>
        <w:t xml:space="preserve">, zwłaszcza jeżeli weźmie się pod uwagę założenia konwencji, która nie rozróżnia aktów przemocy na mniej </w:t>
      </w:r>
      <w:r w:rsidR="008350C3">
        <w:rPr>
          <w:rFonts w:ascii="Times New Roman" w:hAnsi="Times New Roman" w:cs="Times New Roman"/>
          <w:color w:val="000000" w:themeColor="text1"/>
        </w:rPr>
        <w:br/>
      </w:r>
      <w:r w:rsidR="000A0A05" w:rsidRPr="00FA09CC">
        <w:rPr>
          <w:rFonts w:ascii="Times New Roman" w:hAnsi="Times New Roman" w:cs="Times New Roman"/>
          <w:color w:val="000000" w:themeColor="text1"/>
        </w:rPr>
        <w:t>i bardziej poważne. Przeczy to idei ochrony ofiar przed każdym przypadkiem przemocy.</w:t>
      </w:r>
      <w:r w:rsidR="00070821">
        <w:rPr>
          <w:rFonts w:ascii="Times New Roman" w:hAnsi="Times New Roman" w:cs="Times New Roman"/>
          <w:color w:val="000000" w:themeColor="text1"/>
        </w:rPr>
        <w:t xml:space="preserve"> </w:t>
      </w:r>
      <w:r w:rsidR="000A0A05" w:rsidRPr="00FA09CC">
        <w:rPr>
          <w:rFonts w:ascii="Times New Roman" w:hAnsi="Times New Roman" w:cs="Times New Roman"/>
          <w:color w:val="000000" w:themeColor="text1"/>
        </w:rPr>
        <w:t>Uzależnienie wszczęcia procedury „Niebieskie</w:t>
      </w:r>
      <w:r w:rsidR="00BD3BCB">
        <w:rPr>
          <w:rFonts w:ascii="Times New Roman" w:hAnsi="Times New Roman" w:cs="Times New Roman"/>
          <w:color w:val="000000" w:themeColor="text1"/>
        </w:rPr>
        <w:t>j</w:t>
      </w:r>
      <w:r w:rsidR="000A0A05" w:rsidRPr="00FA09CC">
        <w:rPr>
          <w:rFonts w:ascii="Times New Roman" w:hAnsi="Times New Roman" w:cs="Times New Roman"/>
          <w:color w:val="000000" w:themeColor="text1"/>
        </w:rPr>
        <w:t xml:space="preserve"> Karty” od uprzedniej zgody ofiary może doprowadzić do sytuacji, w której pozbawiona ona zostanie możliwości objęcia jej działaniami zmierzającymi do zapewnienia </w:t>
      </w:r>
      <w:r w:rsidR="00070821">
        <w:rPr>
          <w:rFonts w:ascii="Times New Roman" w:hAnsi="Times New Roman" w:cs="Times New Roman"/>
          <w:color w:val="000000" w:themeColor="text1"/>
        </w:rPr>
        <w:t xml:space="preserve">jej </w:t>
      </w:r>
      <w:r w:rsidR="000A0A05" w:rsidRPr="00FA09CC">
        <w:rPr>
          <w:rFonts w:ascii="Times New Roman" w:hAnsi="Times New Roman" w:cs="Times New Roman"/>
          <w:color w:val="000000" w:themeColor="text1"/>
        </w:rPr>
        <w:t>bezpieczeństwa oraz ochron</w:t>
      </w:r>
      <w:r w:rsidR="00070821">
        <w:rPr>
          <w:rFonts w:ascii="Times New Roman" w:hAnsi="Times New Roman" w:cs="Times New Roman"/>
          <w:color w:val="000000" w:themeColor="text1"/>
        </w:rPr>
        <w:t>y</w:t>
      </w:r>
      <w:r w:rsidR="000A0A05" w:rsidRPr="00FA09CC">
        <w:rPr>
          <w:rFonts w:ascii="Times New Roman" w:hAnsi="Times New Roman" w:cs="Times New Roman"/>
          <w:color w:val="000000" w:themeColor="text1"/>
        </w:rPr>
        <w:t xml:space="preserve"> przed dalszym </w:t>
      </w:r>
      <w:r w:rsidR="000A0A05" w:rsidRPr="00FA09CC">
        <w:rPr>
          <w:rFonts w:ascii="Times New Roman" w:hAnsi="Times New Roman" w:cs="Times New Roman"/>
          <w:color w:val="000000" w:themeColor="text1"/>
        </w:rPr>
        <w:lastRenderedPageBreak/>
        <w:t xml:space="preserve">krzywdzeniem. Decyzje podejmowane przez ofiarę mogą zależeć od stanu emocjonalnego, </w:t>
      </w:r>
      <w:r w:rsidR="008350C3">
        <w:rPr>
          <w:rFonts w:ascii="Times New Roman" w:hAnsi="Times New Roman" w:cs="Times New Roman"/>
          <w:color w:val="000000" w:themeColor="text1"/>
        </w:rPr>
        <w:br/>
      </w:r>
      <w:r w:rsidR="000A0A05" w:rsidRPr="00FA09CC">
        <w:rPr>
          <w:rFonts w:ascii="Times New Roman" w:hAnsi="Times New Roman" w:cs="Times New Roman"/>
          <w:color w:val="000000" w:themeColor="text1"/>
        </w:rPr>
        <w:t>w tym obaw, jaka będzie reakcja sprawcy przemocy.</w:t>
      </w:r>
    </w:p>
    <w:p w:rsidR="005356AA" w:rsidRPr="00FA09CC" w:rsidRDefault="00C874E0" w:rsidP="0024594C">
      <w:pPr>
        <w:pStyle w:val="Standard"/>
        <w:jc w:val="both"/>
        <w:rPr>
          <w:rFonts w:ascii="Times New Roman" w:hAnsi="Times New Roman" w:cs="Times New Roman"/>
          <w:color w:val="000000" w:themeColor="text1"/>
        </w:rPr>
      </w:pPr>
      <w:r w:rsidRPr="00FA09CC">
        <w:rPr>
          <w:rFonts w:ascii="Times New Roman" w:hAnsi="Times New Roman" w:cs="Times New Roman"/>
          <w:color w:val="000000" w:themeColor="text1"/>
        </w:rPr>
        <w:t>Można dostrzec</w:t>
      </w:r>
      <w:r w:rsidR="000A0A05" w:rsidRPr="00FA09CC">
        <w:rPr>
          <w:rFonts w:ascii="Times New Roman" w:hAnsi="Times New Roman" w:cs="Times New Roman"/>
          <w:color w:val="000000" w:themeColor="text1"/>
        </w:rPr>
        <w:t xml:space="preserve"> brak konsekwencji w zaleceniach sformułowanych w raporcie – w paragrafie 118 zauważa się, że środki ochronne i ocena ryzyka przez organy ścigania lub służby socjalne nie są w wystarczającym stopniu powiązane z procedurą „Niebieskiej Karty” oraz że bez oceny ryzyka, na jakie może być narażona kobieta </w:t>
      </w:r>
      <w:r w:rsidR="000A777E">
        <w:rPr>
          <w:rFonts w:ascii="Times New Roman" w:hAnsi="Times New Roman" w:cs="Times New Roman"/>
          <w:color w:val="000000" w:themeColor="text1"/>
        </w:rPr>
        <w:t>–</w:t>
      </w:r>
      <w:r w:rsidR="000A0A05" w:rsidRPr="00FA09CC">
        <w:rPr>
          <w:rFonts w:ascii="Times New Roman" w:hAnsi="Times New Roman" w:cs="Times New Roman"/>
          <w:color w:val="000000" w:themeColor="text1"/>
        </w:rPr>
        <w:t xml:space="preserve"> ofiara przemocy domowej i jej dzieci, podmioty świadczące pomoc nie będą w stanie zaoferować odpowiedniego wsparcia </w:t>
      </w:r>
      <w:r w:rsidR="008350C3">
        <w:rPr>
          <w:rFonts w:ascii="Times New Roman" w:hAnsi="Times New Roman" w:cs="Times New Roman"/>
          <w:color w:val="000000" w:themeColor="text1"/>
        </w:rPr>
        <w:br/>
      </w:r>
      <w:r w:rsidR="000A0A05" w:rsidRPr="00FA09CC">
        <w:rPr>
          <w:rFonts w:ascii="Times New Roman" w:hAnsi="Times New Roman" w:cs="Times New Roman"/>
          <w:color w:val="000000" w:themeColor="text1"/>
        </w:rPr>
        <w:t xml:space="preserve">i ochrony. Z kolei w paragrafie 171 GREVIO sugeruje podejmowanie </w:t>
      </w:r>
      <w:r w:rsidR="002325DE">
        <w:rPr>
          <w:rFonts w:ascii="Times New Roman" w:hAnsi="Times New Roman" w:cs="Times New Roman"/>
          <w:color w:val="000000" w:themeColor="text1"/>
        </w:rPr>
        <w:t xml:space="preserve">z urzędu </w:t>
      </w:r>
      <w:r w:rsidR="000A0A05" w:rsidRPr="00FA09CC">
        <w:rPr>
          <w:rFonts w:ascii="Times New Roman" w:hAnsi="Times New Roman" w:cs="Times New Roman"/>
          <w:color w:val="000000" w:themeColor="text1"/>
        </w:rPr>
        <w:t xml:space="preserve">działań zmierzających do zapewnienia ochrony i wsparcia jedynie w przypadkach „poważnych aktów przemocy”. </w:t>
      </w:r>
    </w:p>
    <w:p w:rsidR="00812503" w:rsidRPr="00FA09CC" w:rsidRDefault="00812503" w:rsidP="0024594C">
      <w:pPr>
        <w:ind w:left="0" w:firstLine="0"/>
        <w:rPr>
          <w:rFonts w:eastAsia="Times New Roman"/>
          <w:b/>
          <w:iCs/>
          <w:color w:val="000000" w:themeColor="text1"/>
          <w:lang w:eastAsia="pl-PL"/>
        </w:rPr>
      </w:pPr>
    </w:p>
    <w:p w:rsidR="005356AA" w:rsidRPr="00FA09CC" w:rsidRDefault="00DB3383" w:rsidP="0024594C">
      <w:pPr>
        <w:ind w:left="0" w:firstLine="0"/>
        <w:rPr>
          <w:b/>
          <w:color w:val="000000" w:themeColor="text1"/>
        </w:rPr>
      </w:pPr>
      <w:r w:rsidRPr="00FA09CC">
        <w:rPr>
          <w:b/>
          <w:color w:val="000000" w:themeColor="text1"/>
        </w:rPr>
        <w:t xml:space="preserve">Paragrafy </w:t>
      </w:r>
      <w:r w:rsidR="00AA75A9" w:rsidRPr="00FA09CC">
        <w:rPr>
          <w:b/>
          <w:color w:val="000000" w:themeColor="text1"/>
        </w:rPr>
        <w:t>18</w:t>
      </w:r>
      <w:r w:rsidR="00325993" w:rsidRPr="00FA09CC">
        <w:rPr>
          <w:b/>
          <w:color w:val="000000" w:themeColor="text1"/>
        </w:rPr>
        <w:t>7</w:t>
      </w:r>
      <w:r w:rsidR="00AA75A9" w:rsidRPr="00FA09CC">
        <w:rPr>
          <w:b/>
          <w:color w:val="000000" w:themeColor="text1"/>
        </w:rPr>
        <w:t>-19</w:t>
      </w:r>
      <w:r w:rsidR="00325993" w:rsidRPr="00FA09CC">
        <w:rPr>
          <w:b/>
          <w:color w:val="000000" w:themeColor="text1"/>
        </w:rPr>
        <w:t>3</w:t>
      </w:r>
      <w:r w:rsidR="00CD0AA7" w:rsidRPr="00FA09CC">
        <w:rPr>
          <w:b/>
          <w:color w:val="000000" w:themeColor="text1"/>
        </w:rPr>
        <w:t>, 19</w:t>
      </w:r>
      <w:r w:rsidR="00325993" w:rsidRPr="00FA09CC">
        <w:rPr>
          <w:b/>
          <w:color w:val="000000" w:themeColor="text1"/>
        </w:rPr>
        <w:t>5</w:t>
      </w:r>
      <w:r w:rsidR="00AA75A9" w:rsidRPr="00FA09CC">
        <w:rPr>
          <w:b/>
          <w:color w:val="000000" w:themeColor="text1"/>
        </w:rPr>
        <w:t xml:space="preserve"> </w:t>
      </w:r>
      <w:r w:rsidR="00396764" w:rsidRPr="00FA09CC">
        <w:rPr>
          <w:b/>
          <w:color w:val="000000" w:themeColor="text1"/>
        </w:rPr>
        <w:t xml:space="preserve">– postępowanie w sprawie opieki i kontaktów z dzieckiem </w:t>
      </w:r>
    </w:p>
    <w:p w:rsidR="00396764" w:rsidRPr="00FA09CC" w:rsidRDefault="00AA75A9" w:rsidP="0024594C">
      <w:pPr>
        <w:ind w:left="0" w:firstLine="0"/>
        <w:rPr>
          <w:color w:val="000000" w:themeColor="text1"/>
        </w:rPr>
      </w:pPr>
      <w:r w:rsidRPr="00FA09CC">
        <w:rPr>
          <w:color w:val="000000" w:themeColor="text1"/>
        </w:rPr>
        <w:t xml:space="preserve">Czynności podejmowane w ramach uprawnień nadzorczych Ministra Sprawiedliwości nad administracyjną działalnością sądów </w:t>
      </w:r>
      <w:r w:rsidR="00822B16">
        <w:rPr>
          <w:color w:val="000000" w:themeColor="text1"/>
        </w:rPr>
        <w:t xml:space="preserve">oraz nad działalnością opiniodawczych zespołów sądowych specjalistów </w:t>
      </w:r>
      <w:r w:rsidRPr="00FA09CC">
        <w:rPr>
          <w:color w:val="000000" w:themeColor="text1"/>
        </w:rPr>
        <w:t>nie wskazują, by sędziowie</w:t>
      </w:r>
      <w:r w:rsidR="00396764" w:rsidRPr="00FA09CC">
        <w:rPr>
          <w:color w:val="000000" w:themeColor="text1"/>
        </w:rPr>
        <w:t xml:space="preserve"> i </w:t>
      </w:r>
      <w:r w:rsidR="00BD3BCB">
        <w:rPr>
          <w:color w:val="000000" w:themeColor="text1"/>
        </w:rPr>
        <w:t xml:space="preserve">członkowie </w:t>
      </w:r>
      <w:r w:rsidR="00396764" w:rsidRPr="00FA09CC">
        <w:rPr>
          <w:color w:val="000000" w:themeColor="text1"/>
        </w:rPr>
        <w:t>opiniodawczych zespołów sądowych specjalistów,</w:t>
      </w:r>
      <w:r w:rsidRPr="00FA09CC">
        <w:rPr>
          <w:color w:val="000000" w:themeColor="text1"/>
        </w:rPr>
        <w:t xml:space="preserve"> opiniujący w sprawach rodzinnych</w:t>
      </w:r>
      <w:r w:rsidR="00181513" w:rsidRPr="00FA09CC">
        <w:rPr>
          <w:color w:val="000000" w:themeColor="text1"/>
        </w:rPr>
        <w:t>,</w:t>
      </w:r>
      <w:r w:rsidRPr="00FA09CC">
        <w:rPr>
          <w:color w:val="000000" w:themeColor="text1"/>
        </w:rPr>
        <w:t xml:space="preserve"> nie posiadali wiedzy na temat negatywnego wpływu na dzieci przemocy stosowanej przez jednego z rodziców wobec drugiego. W </w:t>
      </w:r>
      <w:r w:rsidR="000A0A05" w:rsidRPr="00FA09CC">
        <w:rPr>
          <w:color w:val="000000" w:themeColor="text1"/>
        </w:rPr>
        <w:t xml:space="preserve">raporcie nie </w:t>
      </w:r>
      <w:r w:rsidR="00D1587A" w:rsidRPr="00FA09CC">
        <w:rPr>
          <w:color w:val="000000" w:themeColor="text1"/>
        </w:rPr>
        <w:t xml:space="preserve">podano </w:t>
      </w:r>
      <w:r w:rsidR="000A0A05" w:rsidRPr="00FA09CC">
        <w:rPr>
          <w:color w:val="000000" w:themeColor="text1"/>
        </w:rPr>
        <w:t xml:space="preserve">danych statystycznych ani innych </w:t>
      </w:r>
      <w:r w:rsidR="00BD3BCB" w:rsidRPr="00FA09CC">
        <w:rPr>
          <w:color w:val="000000" w:themeColor="text1"/>
        </w:rPr>
        <w:t>szczegółowych informacji</w:t>
      </w:r>
      <w:r w:rsidR="00BD3BCB">
        <w:rPr>
          <w:color w:val="000000" w:themeColor="text1"/>
        </w:rPr>
        <w:t>,</w:t>
      </w:r>
      <w:r w:rsidR="000A0A05" w:rsidRPr="00FA09CC">
        <w:rPr>
          <w:color w:val="000000" w:themeColor="text1"/>
        </w:rPr>
        <w:t xml:space="preserve"> opartych na badaniu praktyki sądowej, które miałyby świadczyć o tym, że nie są prowadzone odpowiednie szkolenia sędziów w tym zakresie. </w:t>
      </w:r>
    </w:p>
    <w:p w:rsidR="00526C75" w:rsidRDefault="00526C75" w:rsidP="0024594C">
      <w:pPr>
        <w:rPr>
          <w:rFonts w:eastAsia="Times New Roman"/>
          <w:b/>
          <w:iCs/>
          <w:color w:val="000000" w:themeColor="text1"/>
          <w:lang w:eastAsia="pl-PL"/>
        </w:rPr>
      </w:pPr>
    </w:p>
    <w:p w:rsidR="00CF3599" w:rsidRPr="00FA09CC" w:rsidRDefault="00CF3599" w:rsidP="0024594C">
      <w:pPr>
        <w:ind w:left="0" w:firstLine="0"/>
        <w:rPr>
          <w:rFonts w:eastAsia="Times New Roman"/>
          <w:b/>
          <w:iCs/>
          <w:color w:val="000000" w:themeColor="text1"/>
          <w:lang w:eastAsia="pl-PL"/>
        </w:rPr>
      </w:pPr>
      <w:r w:rsidRPr="00FA09CC">
        <w:rPr>
          <w:rFonts w:eastAsia="Times New Roman"/>
          <w:b/>
          <w:iCs/>
          <w:color w:val="000000" w:themeColor="text1"/>
          <w:lang w:eastAsia="pl-PL"/>
        </w:rPr>
        <w:t xml:space="preserve">Paragrafy 191, 193 i 194 – prawo dziecka do kontaktu z rodzicami </w:t>
      </w:r>
    </w:p>
    <w:p w:rsidR="00CF3599" w:rsidRPr="00FA09CC" w:rsidRDefault="00CF3599" w:rsidP="0024594C">
      <w:pPr>
        <w:ind w:left="0" w:firstLine="0"/>
        <w:rPr>
          <w:rFonts w:eastAsia="Times New Roman"/>
          <w:bCs/>
        </w:rPr>
      </w:pPr>
      <w:r w:rsidRPr="00FA09CC">
        <w:rPr>
          <w:rFonts w:eastAsia="Times New Roman"/>
          <w:bCs/>
        </w:rPr>
        <w:t xml:space="preserve">Nie ma podstaw przedstawiona w paragrafie 191 ocena, że sądy, traktując priorytetowo przeciwstawianie się alienacji rodzicielskiej, dają przyzwolenie na bezwzględną realizację </w:t>
      </w:r>
      <w:r w:rsidR="00BD3BCB">
        <w:rPr>
          <w:rFonts w:eastAsia="Times New Roman"/>
          <w:bCs/>
        </w:rPr>
        <w:t xml:space="preserve">przez </w:t>
      </w:r>
      <w:r w:rsidR="00BD3BCB" w:rsidRPr="00FA09CC">
        <w:rPr>
          <w:rFonts w:eastAsia="Times New Roman"/>
          <w:bCs/>
        </w:rPr>
        <w:t xml:space="preserve">rodzica stosującego przemoc domową </w:t>
      </w:r>
      <w:r w:rsidRPr="00FA09CC">
        <w:rPr>
          <w:rFonts w:eastAsia="Times New Roman"/>
          <w:bCs/>
        </w:rPr>
        <w:t>kontaktów z dzieckiem. Sąd, oceniając materiał dowodowy wnikliwie bada, czy w rodzinie nie dochodzi do przemocy, zaś w sytuacji,</w:t>
      </w:r>
      <w:r w:rsidR="00763F3F">
        <w:rPr>
          <w:rFonts w:eastAsia="Times New Roman"/>
          <w:bCs/>
        </w:rPr>
        <w:t xml:space="preserve"> </w:t>
      </w:r>
      <w:r w:rsidRPr="00FA09CC">
        <w:rPr>
          <w:rFonts w:eastAsia="Times New Roman"/>
          <w:bCs/>
        </w:rPr>
        <w:t xml:space="preserve">gdy taka przemoc </w:t>
      </w:r>
      <w:r w:rsidR="003073C1">
        <w:rPr>
          <w:rFonts w:eastAsia="Times New Roman"/>
          <w:bCs/>
        </w:rPr>
        <w:t>nastąpiła oraz po dokonaniu ustaleń, że utrzymywanie kontaktów rodzic</w:t>
      </w:r>
      <w:r w:rsidR="00565034">
        <w:rPr>
          <w:rFonts w:eastAsia="Times New Roman"/>
          <w:bCs/>
        </w:rPr>
        <w:t>a</w:t>
      </w:r>
      <w:r w:rsidR="003073C1">
        <w:rPr>
          <w:rFonts w:eastAsia="Times New Roman"/>
          <w:bCs/>
        </w:rPr>
        <w:t xml:space="preserve"> </w:t>
      </w:r>
      <w:r w:rsidR="008350C3">
        <w:rPr>
          <w:rFonts w:eastAsia="Times New Roman"/>
          <w:bCs/>
        </w:rPr>
        <w:br/>
      </w:r>
      <w:r w:rsidR="003073C1">
        <w:rPr>
          <w:rFonts w:eastAsia="Times New Roman"/>
          <w:bCs/>
        </w:rPr>
        <w:t>z dzieckiem poważnie zagraża dobru dziecka lub narusza to dobro, zakazuje ich utrzymywania.</w:t>
      </w:r>
      <w:r w:rsidRPr="00FA09CC">
        <w:rPr>
          <w:rFonts w:eastAsia="Times New Roman"/>
          <w:bCs/>
        </w:rPr>
        <w:t xml:space="preserve"> Wniosek w tym zakresie może również złożyć drugi rodzic dziecka. </w:t>
      </w:r>
    </w:p>
    <w:p w:rsidR="00CF3599" w:rsidRPr="00FA09CC" w:rsidRDefault="00CF3599" w:rsidP="0024594C">
      <w:pPr>
        <w:ind w:left="0" w:firstLine="0"/>
        <w:rPr>
          <w:rFonts w:eastAsia="Times New Roman"/>
          <w:bCs/>
        </w:rPr>
      </w:pPr>
      <w:r w:rsidRPr="00FA09CC">
        <w:rPr>
          <w:rFonts w:eastAsia="Times New Roman"/>
          <w:bCs/>
        </w:rPr>
        <w:t xml:space="preserve">Na poparcie stwierdzenia (paragraf 193), że sąd nie bierze pod uwagę, przy regulowaniu kontaktów rodzica z dzieckiem, praw i bezpieczeństwa ofiar przemocy i ich dzieci, nie zostały przedstawione w raporcie żadne badania, orzeczenia sądowe w sprawach opiekuńczych, czy też orzeczenia dyscyplinarne przeciwko sędziom. Przeciwnie, polskie sądy są w tej kwestii bardzo wyczulone, przez co niejednokrotnie </w:t>
      </w:r>
      <w:r w:rsidR="00822B16">
        <w:rPr>
          <w:rFonts w:eastAsia="Times New Roman"/>
          <w:bCs/>
        </w:rPr>
        <w:t xml:space="preserve">zdarza się, że </w:t>
      </w:r>
      <w:r w:rsidRPr="00FA09CC">
        <w:rPr>
          <w:rFonts w:eastAsia="Times New Roman"/>
          <w:bCs/>
        </w:rPr>
        <w:t>kierowane są pod ich adresem zarzuty stronniczości i faworyzowania kobiet, a dyskryminacji mężczyzn. Stowarzyszenia zrzeszające ojców wskazują na konieczność walki ze zjawiskiem „alienacji rodzicielskiej”,</w:t>
      </w:r>
      <w:r w:rsidR="00763F3F">
        <w:rPr>
          <w:rFonts w:eastAsia="Times New Roman"/>
          <w:bCs/>
        </w:rPr>
        <w:t xml:space="preserve"> </w:t>
      </w:r>
      <w:r w:rsidRPr="00FA09CC">
        <w:rPr>
          <w:rFonts w:eastAsia="Times New Roman"/>
          <w:bCs/>
        </w:rPr>
        <w:t xml:space="preserve">zaliczając je do przemocy psychicznej. </w:t>
      </w:r>
    </w:p>
    <w:p w:rsidR="00CF3599" w:rsidRPr="00FA09CC" w:rsidRDefault="00CF3599" w:rsidP="0024594C">
      <w:pPr>
        <w:ind w:left="0" w:firstLine="0"/>
        <w:rPr>
          <w:rFonts w:eastAsia="Times New Roman"/>
        </w:rPr>
      </w:pPr>
      <w:r w:rsidRPr="00FA09CC">
        <w:rPr>
          <w:rFonts w:eastAsia="Times New Roman"/>
          <w:bCs/>
        </w:rPr>
        <w:t>Regulując kontakt</w:t>
      </w:r>
      <w:r w:rsidR="00802A22">
        <w:rPr>
          <w:rFonts w:eastAsia="Times New Roman"/>
          <w:bCs/>
        </w:rPr>
        <w:t>y</w:t>
      </w:r>
      <w:r w:rsidRPr="00FA09CC">
        <w:rPr>
          <w:rFonts w:eastAsia="Times New Roman"/>
          <w:bCs/>
        </w:rPr>
        <w:t xml:space="preserve"> rodzica z dzieckiem</w:t>
      </w:r>
      <w:r w:rsidR="00802A22">
        <w:rPr>
          <w:rFonts w:eastAsia="Times New Roman"/>
          <w:bCs/>
        </w:rPr>
        <w:t>,</w:t>
      </w:r>
      <w:r w:rsidRPr="00FA09CC">
        <w:rPr>
          <w:rFonts w:eastAsia="Times New Roman"/>
          <w:bCs/>
        </w:rPr>
        <w:t xml:space="preserve"> sąd bierze pod uwagę wszystkie okoliczności danej sprawy, w tym</w:t>
      </w:r>
      <w:r w:rsidRPr="00FA09CC">
        <w:rPr>
          <w:rFonts w:eastAsia="Times New Roman"/>
        </w:rPr>
        <w:t xml:space="preserve"> przemoc występującą w rodzinie. </w:t>
      </w:r>
    </w:p>
    <w:p w:rsidR="00CF3599" w:rsidRPr="00FA09CC" w:rsidRDefault="00CF3599" w:rsidP="0024594C">
      <w:pPr>
        <w:ind w:left="0" w:firstLine="0"/>
        <w:rPr>
          <w:rFonts w:eastAsia="Times New Roman"/>
          <w:bCs/>
        </w:rPr>
      </w:pPr>
      <w:r w:rsidRPr="00FA09CC">
        <w:rPr>
          <w:rFonts w:eastAsia="Times New Roman"/>
          <w:bCs/>
        </w:rPr>
        <w:t>Jeśli rodzic, który stosował przemoc wobec drugiego rodzica, w sposób właściwy realizuje kontakt z dzieckiem, nie zagraża mu, w tym nie przedstawia drugiego rodzica w złym świetle, to nie ma podstaw, aby taki kontakt ograniczać. Jeśli rodzic doznający przemocy nie chce mieć kontaktu z drugim rodzicem podczas, na przykład „przekazywania” dziecka i zgłosi to podczas postępowania, to dziecko takie może „przekazać” osoba trzecia lub kurator sądowy.</w:t>
      </w:r>
    </w:p>
    <w:p w:rsidR="00CF3599" w:rsidRPr="00FA09CC" w:rsidRDefault="00CF3599" w:rsidP="0024594C">
      <w:pPr>
        <w:ind w:left="0" w:firstLine="0"/>
        <w:rPr>
          <w:rFonts w:eastAsia="Times New Roman"/>
          <w:bCs/>
        </w:rPr>
      </w:pPr>
      <w:r w:rsidRPr="00FA09CC">
        <w:rPr>
          <w:rFonts w:eastAsia="Times New Roman"/>
          <w:bCs/>
        </w:rPr>
        <w:t xml:space="preserve">Jeśli istnieje obawa co do postępowania rodzica stosującego przemoc, w toku kontaktów </w:t>
      </w:r>
      <w:r w:rsidR="008350C3">
        <w:rPr>
          <w:rFonts w:eastAsia="Times New Roman"/>
          <w:bCs/>
        </w:rPr>
        <w:br/>
      </w:r>
      <w:r w:rsidRPr="00FA09CC">
        <w:rPr>
          <w:rFonts w:eastAsia="Times New Roman"/>
          <w:bCs/>
        </w:rPr>
        <w:t>z dzieckiem, to ustalane jest odbywanie ich odpowiednio do sytuacji, na przykład, wyłącznie w obecności kuratora lub w miejscach bezpiecznych dla dziec</w:t>
      </w:r>
      <w:r w:rsidR="00BD3BCB">
        <w:rPr>
          <w:rFonts w:eastAsia="Times New Roman"/>
          <w:bCs/>
        </w:rPr>
        <w:t>ka</w:t>
      </w:r>
      <w:r w:rsidRPr="00FA09CC">
        <w:rPr>
          <w:rFonts w:eastAsia="Times New Roman"/>
          <w:bCs/>
        </w:rPr>
        <w:t xml:space="preserve">, bez noclegów u tego rodzica. </w:t>
      </w:r>
    </w:p>
    <w:p w:rsidR="00CF3599" w:rsidRPr="00FA09CC" w:rsidRDefault="00CF3599" w:rsidP="0024594C">
      <w:pPr>
        <w:ind w:left="0" w:firstLine="0"/>
        <w:rPr>
          <w:rFonts w:eastAsia="Times New Roman"/>
          <w:bCs/>
        </w:rPr>
      </w:pPr>
      <w:r w:rsidRPr="00FA09CC">
        <w:rPr>
          <w:rFonts w:eastAsia="Times New Roman"/>
          <w:bCs/>
        </w:rPr>
        <w:t>Nie</w:t>
      </w:r>
      <w:r>
        <w:rPr>
          <w:rFonts w:eastAsia="Times New Roman"/>
          <w:bCs/>
        </w:rPr>
        <w:t xml:space="preserve"> odzwierciedla stanu faktycznego</w:t>
      </w:r>
      <w:r w:rsidRPr="00FA09CC">
        <w:rPr>
          <w:rFonts w:eastAsia="Times New Roman"/>
          <w:bCs/>
        </w:rPr>
        <w:t xml:space="preserve"> zdanie trzecie paragrafu 194, </w:t>
      </w:r>
      <w:r>
        <w:rPr>
          <w:rFonts w:eastAsia="Times New Roman"/>
          <w:bCs/>
        </w:rPr>
        <w:t xml:space="preserve">wskazujące, </w:t>
      </w:r>
      <w:r w:rsidRPr="00FA09CC">
        <w:rPr>
          <w:rFonts w:eastAsia="Times New Roman"/>
          <w:bCs/>
        </w:rPr>
        <w:t xml:space="preserve">że kobiety są karane grzywną za nierealizowanie kontaktów dziecka z drugim rodzicem, kiedy dziecko nie </w:t>
      </w:r>
      <w:r w:rsidRPr="00FA09CC">
        <w:rPr>
          <w:rFonts w:eastAsia="Times New Roman"/>
          <w:bCs/>
        </w:rPr>
        <w:lastRenderedPageBreak/>
        <w:t xml:space="preserve">chce się temu podporządkować. Przepisy </w:t>
      </w:r>
      <w:r w:rsidR="00822B16">
        <w:rPr>
          <w:rFonts w:eastAsia="Times New Roman"/>
          <w:bCs/>
        </w:rPr>
        <w:t xml:space="preserve">dotyczące przymusowego wykonania kontaktów </w:t>
      </w:r>
      <w:r w:rsidRPr="00FA09CC">
        <w:rPr>
          <w:rFonts w:eastAsia="Times New Roman"/>
          <w:bCs/>
        </w:rPr>
        <w:t xml:space="preserve"> mają na celu </w:t>
      </w:r>
      <w:r w:rsidR="00822B16">
        <w:rPr>
          <w:rFonts w:eastAsia="Times New Roman"/>
          <w:bCs/>
        </w:rPr>
        <w:t>zabezpieczen</w:t>
      </w:r>
      <w:r w:rsidR="00EA0AA2">
        <w:rPr>
          <w:rFonts w:eastAsia="Times New Roman"/>
          <w:bCs/>
        </w:rPr>
        <w:t>i</w:t>
      </w:r>
      <w:r w:rsidR="00822B16">
        <w:rPr>
          <w:rFonts w:eastAsia="Times New Roman"/>
          <w:bCs/>
        </w:rPr>
        <w:t xml:space="preserve">e praw dziecka i rodziców do kontaktów oraz służą, by </w:t>
      </w:r>
      <w:r w:rsidRPr="00FA09CC">
        <w:rPr>
          <w:rFonts w:eastAsia="Times New Roman"/>
          <w:bCs/>
        </w:rPr>
        <w:t>zmobilizować rodzica, który wykonuje codzienną pieczę nad dzieckiem, aby realizował prawo dziecka do kontaktu z drugim rodzicem. Często jeden rodzic</w:t>
      </w:r>
      <w:r w:rsidR="00802A22">
        <w:rPr>
          <w:rFonts w:eastAsia="Times New Roman"/>
          <w:bCs/>
        </w:rPr>
        <w:t>,</w:t>
      </w:r>
      <w:r w:rsidRPr="00FA09CC">
        <w:rPr>
          <w:rFonts w:eastAsia="Times New Roman"/>
          <w:bCs/>
        </w:rPr>
        <w:t xml:space="preserve"> wykorzystuje swoją pozycję i chcąc „ukarać” drugiego rodzica za rozpad związku, posługuje się dzieckiem, nastawiając je negatywnie do tego rodzica. Przepisy </w:t>
      </w:r>
      <w:r w:rsidR="00822B16">
        <w:rPr>
          <w:rFonts w:eastAsia="Times New Roman"/>
          <w:bCs/>
        </w:rPr>
        <w:t xml:space="preserve">umożliwiające przymusowe wykonanie kontaktów </w:t>
      </w:r>
      <w:r w:rsidRPr="00FA09CC">
        <w:rPr>
          <w:rFonts w:eastAsia="Times New Roman"/>
          <w:bCs/>
        </w:rPr>
        <w:t>nie służą zmuszaniu krzywdzonych przemocą rodziców do kontaktu z osobą stosując</w:t>
      </w:r>
      <w:r w:rsidR="00BD3BCB">
        <w:rPr>
          <w:rFonts w:eastAsia="Times New Roman"/>
          <w:bCs/>
        </w:rPr>
        <w:t>ą</w:t>
      </w:r>
      <w:r w:rsidRPr="00FA09CC">
        <w:rPr>
          <w:rFonts w:eastAsia="Times New Roman"/>
          <w:bCs/>
        </w:rPr>
        <w:t xml:space="preserve"> przemoc. </w:t>
      </w:r>
    </w:p>
    <w:p w:rsidR="00CF3599" w:rsidRDefault="00CF3599" w:rsidP="0024594C">
      <w:pPr>
        <w:ind w:left="0" w:firstLine="0"/>
        <w:rPr>
          <w:b/>
          <w:color w:val="000000" w:themeColor="text1"/>
        </w:rPr>
      </w:pPr>
    </w:p>
    <w:p w:rsidR="00770095" w:rsidRPr="00FA09CC" w:rsidRDefault="000A0A05" w:rsidP="0024594C">
      <w:pPr>
        <w:ind w:left="0" w:firstLine="0"/>
        <w:rPr>
          <w:b/>
          <w:color w:val="000000" w:themeColor="text1"/>
        </w:rPr>
      </w:pPr>
      <w:r w:rsidRPr="00FA09CC">
        <w:rPr>
          <w:b/>
          <w:color w:val="000000" w:themeColor="text1"/>
        </w:rPr>
        <w:t>Paragrafy 199, 203, 209 i 212 – przepisy karne dotyczące stosowania przemocy psychicznej i nękania</w:t>
      </w:r>
    </w:p>
    <w:p w:rsidR="00900A0E" w:rsidRDefault="000A0A05" w:rsidP="0024594C">
      <w:pPr>
        <w:ind w:left="0" w:firstLine="0"/>
        <w:rPr>
          <w:color w:val="000000" w:themeColor="text1"/>
        </w:rPr>
      </w:pPr>
      <w:r w:rsidRPr="00FA09CC">
        <w:rPr>
          <w:color w:val="000000" w:themeColor="text1"/>
        </w:rPr>
        <w:t>Z raportu wynika</w:t>
      </w:r>
      <w:r w:rsidR="007902F4">
        <w:rPr>
          <w:color w:val="000000" w:themeColor="text1"/>
        </w:rPr>
        <w:t xml:space="preserve"> (paragraf 199)</w:t>
      </w:r>
      <w:r w:rsidRPr="00FA09CC">
        <w:rPr>
          <w:color w:val="000000" w:themeColor="text1"/>
        </w:rPr>
        <w:t>, że art. 207 Kodeksu karnego nie ma zastosowania do znęcania się (w tym przemocy psychicznej) stosowane</w:t>
      </w:r>
      <w:r w:rsidR="00BD3BCB">
        <w:rPr>
          <w:color w:val="000000" w:themeColor="text1"/>
        </w:rPr>
        <w:t>go</w:t>
      </w:r>
      <w:r w:rsidRPr="00FA09CC">
        <w:rPr>
          <w:color w:val="000000" w:themeColor="text1"/>
        </w:rPr>
        <w:t xml:space="preserve"> wobec byłych lub obecnych partnerów i byłych małżonków, chyba że zamieszkują oni wspólnie. Interpretacja taka nie ma podstawy w </w:t>
      </w:r>
      <w:r w:rsidR="00FD555D">
        <w:rPr>
          <w:color w:val="000000" w:themeColor="text1"/>
        </w:rPr>
        <w:t xml:space="preserve">obowiązujących </w:t>
      </w:r>
      <w:r w:rsidRPr="00FA09CC">
        <w:rPr>
          <w:color w:val="000000" w:themeColor="text1"/>
        </w:rPr>
        <w:t xml:space="preserve">przepisach prawnych. </w:t>
      </w:r>
    </w:p>
    <w:p w:rsidR="00BD3BCB" w:rsidRDefault="000A0A05" w:rsidP="0024594C">
      <w:pPr>
        <w:ind w:left="0" w:firstLine="0"/>
        <w:rPr>
          <w:color w:val="000000" w:themeColor="text1"/>
        </w:rPr>
      </w:pPr>
      <w:r w:rsidRPr="00FA09CC">
        <w:rPr>
          <w:color w:val="000000" w:themeColor="text1"/>
        </w:rPr>
        <w:t xml:space="preserve">Zgodnie art. 207 </w:t>
      </w:r>
      <w:r w:rsidR="001E0ADA" w:rsidRPr="00FA09CC">
        <w:rPr>
          <w:color w:val="000000" w:themeColor="text1"/>
        </w:rPr>
        <w:t>K</w:t>
      </w:r>
      <w:r w:rsidR="001E0ADA">
        <w:rPr>
          <w:color w:val="000000" w:themeColor="text1"/>
        </w:rPr>
        <w:t xml:space="preserve">odeksu </w:t>
      </w:r>
      <w:r w:rsidR="001E0ADA" w:rsidRPr="00FA09CC">
        <w:rPr>
          <w:color w:val="000000" w:themeColor="text1"/>
        </w:rPr>
        <w:t>k</w:t>
      </w:r>
      <w:r w:rsidR="001E0ADA">
        <w:rPr>
          <w:color w:val="000000" w:themeColor="text1"/>
        </w:rPr>
        <w:t>arnego</w:t>
      </w:r>
      <w:r w:rsidR="001E0ADA" w:rsidRPr="00FA09CC">
        <w:rPr>
          <w:color w:val="000000" w:themeColor="text1"/>
        </w:rPr>
        <w:t xml:space="preserve"> </w:t>
      </w:r>
      <w:r w:rsidRPr="00FA09CC">
        <w:rPr>
          <w:color w:val="000000" w:themeColor="text1"/>
        </w:rPr>
        <w:t xml:space="preserve">karalne jest znęcanie się nad osobą najbliższą lub nad inną osobą pozostającą w stałym lub przemijającym stosunku zależności od sprawcy. Definicja osoby najbliższej, określona w art. 115 § 11 </w:t>
      </w:r>
      <w:r w:rsidR="001E0ADA" w:rsidRPr="00FA09CC">
        <w:rPr>
          <w:color w:val="000000" w:themeColor="text1"/>
        </w:rPr>
        <w:t>K</w:t>
      </w:r>
      <w:r w:rsidR="001E0ADA">
        <w:rPr>
          <w:color w:val="000000" w:themeColor="text1"/>
        </w:rPr>
        <w:t xml:space="preserve">odeksu </w:t>
      </w:r>
      <w:r w:rsidR="001E0ADA" w:rsidRPr="00FA09CC">
        <w:rPr>
          <w:color w:val="000000" w:themeColor="text1"/>
        </w:rPr>
        <w:t>k</w:t>
      </w:r>
      <w:r w:rsidR="001E0ADA">
        <w:rPr>
          <w:color w:val="000000" w:themeColor="text1"/>
        </w:rPr>
        <w:t>arnego</w:t>
      </w:r>
      <w:r w:rsidR="001E0ADA" w:rsidRPr="00FA09CC">
        <w:rPr>
          <w:color w:val="000000" w:themeColor="text1"/>
        </w:rPr>
        <w:t xml:space="preserve"> </w:t>
      </w:r>
      <w:r w:rsidRPr="00FA09CC">
        <w:rPr>
          <w:color w:val="000000" w:themeColor="text1"/>
        </w:rPr>
        <w:t xml:space="preserve">stanowi, że osobą najbliższą jest małżonek, wstępny, zstępny, rodzeństwo, powinowaty w tej samej linii lub stopniu, osoba pozostająca w stosunku przysposobienia oraz jej małżonek, a także osoba pozostająca we wspólnym pożyciu. </w:t>
      </w:r>
    </w:p>
    <w:p w:rsidR="00900A0E" w:rsidRDefault="000A0A05" w:rsidP="0024594C">
      <w:pPr>
        <w:ind w:left="0" w:firstLine="0"/>
        <w:rPr>
          <w:color w:val="000000" w:themeColor="text1"/>
        </w:rPr>
      </w:pPr>
      <w:r w:rsidRPr="00FA09CC">
        <w:rPr>
          <w:color w:val="000000" w:themeColor="text1"/>
        </w:rPr>
        <w:t>Kodeks karny nie wyjaśni</w:t>
      </w:r>
      <w:r w:rsidR="00802A22">
        <w:rPr>
          <w:color w:val="000000" w:themeColor="text1"/>
        </w:rPr>
        <w:t>a</w:t>
      </w:r>
      <w:r w:rsidRPr="00FA09CC">
        <w:rPr>
          <w:color w:val="000000" w:themeColor="text1"/>
        </w:rPr>
        <w:t xml:space="preserve"> pojęcia osoby pozostającej we wspólnym pożyciu. Jak wskazuje się w orzecznictwie</w:t>
      </w:r>
      <w:r w:rsidR="00BD3BCB">
        <w:rPr>
          <w:color w:val="000000" w:themeColor="text1"/>
        </w:rPr>
        <w:t>,</w:t>
      </w:r>
      <w:r w:rsidRPr="00FA09CC">
        <w:rPr>
          <w:color w:val="000000" w:themeColor="text1"/>
        </w:rPr>
        <w:t xml:space="preserve"> zawarty w art. 115 § 11 </w:t>
      </w:r>
      <w:r w:rsidR="001E0ADA" w:rsidRPr="00FA09CC">
        <w:rPr>
          <w:color w:val="000000" w:themeColor="text1"/>
        </w:rPr>
        <w:t>K</w:t>
      </w:r>
      <w:r w:rsidR="001E0ADA">
        <w:rPr>
          <w:color w:val="000000" w:themeColor="text1"/>
        </w:rPr>
        <w:t xml:space="preserve">odeksu </w:t>
      </w:r>
      <w:r w:rsidR="001E0ADA" w:rsidRPr="00FA09CC">
        <w:rPr>
          <w:color w:val="000000" w:themeColor="text1"/>
        </w:rPr>
        <w:t>k</w:t>
      </w:r>
      <w:r w:rsidR="001E0ADA">
        <w:rPr>
          <w:color w:val="000000" w:themeColor="text1"/>
        </w:rPr>
        <w:t>arnego</w:t>
      </w:r>
      <w:r w:rsidR="001E0ADA" w:rsidRPr="00FA09CC">
        <w:rPr>
          <w:color w:val="000000" w:themeColor="text1"/>
        </w:rPr>
        <w:t xml:space="preserve"> </w:t>
      </w:r>
      <w:r w:rsidRPr="00FA09CC">
        <w:rPr>
          <w:color w:val="000000" w:themeColor="text1"/>
        </w:rPr>
        <w:t xml:space="preserve">zwrot „osoba pozostająca we wspólnym pożyciu” określa osobę, która pozostaje z inną osobą w takiej relacji faktycznej, </w:t>
      </w:r>
      <w:r w:rsidR="008350C3">
        <w:rPr>
          <w:color w:val="000000" w:themeColor="text1"/>
        </w:rPr>
        <w:br/>
      </w:r>
      <w:r w:rsidRPr="00FA09CC">
        <w:rPr>
          <w:color w:val="000000" w:themeColor="text1"/>
        </w:rPr>
        <w:t xml:space="preserve">w której pomiędzy nimi istnieją jednocześnie więzi duchowe (emocjonalne), fizyczne oraz gospodarcze (wspólne gospodarstwo domowe). Ustalenie istnienia takiej relacji, to jest „pozostawania we wspólnym pożyciu”, jest możliwe także wtedy, gdy brak określonego rodzaju więzi jest obiektywnie usprawiedliwiony (uchwała Sądu Najwyższego z 25 lutego 2016 r., sygn. I KZP 20/15). Konstytutywnym warunkiem wspólnego pożycia nie jest zatem wspólne zamieszkiwanie </w:t>
      </w:r>
      <w:r w:rsidR="000A777E">
        <w:rPr>
          <w:color w:val="000000" w:themeColor="text1"/>
        </w:rPr>
        <w:t>–</w:t>
      </w:r>
      <w:r w:rsidRPr="00FA09CC">
        <w:rPr>
          <w:color w:val="000000" w:themeColor="text1"/>
        </w:rPr>
        <w:t xml:space="preserve"> również przy odrębnym zamieszkiwaniu partnerów można mówić o wspólnym pożyciu w rozumieniu art. 115 § 11</w:t>
      </w:r>
      <w:r w:rsidR="001E0ADA" w:rsidRPr="001E0ADA">
        <w:rPr>
          <w:color w:val="000000" w:themeColor="text1"/>
        </w:rPr>
        <w:t xml:space="preserve"> </w:t>
      </w:r>
      <w:r w:rsidR="001E0ADA" w:rsidRPr="00FA09CC">
        <w:rPr>
          <w:color w:val="000000" w:themeColor="text1"/>
        </w:rPr>
        <w:t>K</w:t>
      </w:r>
      <w:r w:rsidR="001E0ADA">
        <w:rPr>
          <w:color w:val="000000" w:themeColor="text1"/>
        </w:rPr>
        <w:t xml:space="preserve">odeksu </w:t>
      </w:r>
      <w:r w:rsidR="001E0ADA" w:rsidRPr="00FA09CC">
        <w:rPr>
          <w:color w:val="000000" w:themeColor="text1"/>
        </w:rPr>
        <w:t>k</w:t>
      </w:r>
      <w:r w:rsidR="001E0ADA">
        <w:rPr>
          <w:color w:val="000000" w:themeColor="text1"/>
        </w:rPr>
        <w:t>arnego.</w:t>
      </w:r>
      <w:r w:rsidRPr="00FA09CC">
        <w:rPr>
          <w:color w:val="000000" w:themeColor="text1"/>
        </w:rPr>
        <w:t xml:space="preserve"> </w:t>
      </w:r>
    </w:p>
    <w:p w:rsidR="00BD3BCB" w:rsidRDefault="000A0A05" w:rsidP="0024594C">
      <w:pPr>
        <w:ind w:left="0" w:firstLine="0"/>
        <w:rPr>
          <w:color w:val="000000" w:themeColor="text1"/>
        </w:rPr>
      </w:pPr>
      <w:r w:rsidRPr="00FA09CC">
        <w:rPr>
          <w:color w:val="000000" w:themeColor="text1"/>
        </w:rPr>
        <w:t>Polska doktryna bardzo szeroko interpretuje stosunek zależności od sprawcy. Wskazuje się</w:t>
      </w:r>
      <w:r w:rsidR="00BD3BCB">
        <w:rPr>
          <w:color w:val="000000" w:themeColor="text1"/>
        </w:rPr>
        <w:t xml:space="preserve"> </w:t>
      </w:r>
      <w:r w:rsidR="00BD3BCB" w:rsidRPr="00FA09CC">
        <w:rPr>
          <w:color w:val="000000" w:themeColor="text1"/>
        </w:rPr>
        <w:t>(uchwała Sądu Najwyższego z 9 czerwca 1976 r., sygn. VI KZP 13/75)</w:t>
      </w:r>
      <w:r w:rsidRPr="00FA09CC">
        <w:rPr>
          <w:color w:val="000000" w:themeColor="text1"/>
        </w:rPr>
        <w:t>, że stosunek taki zachodzi</w:t>
      </w:r>
      <w:r w:rsidR="00802A22">
        <w:rPr>
          <w:color w:val="000000" w:themeColor="text1"/>
        </w:rPr>
        <w:t>,</w:t>
      </w:r>
      <w:r w:rsidRPr="00FA09CC">
        <w:rPr>
          <w:color w:val="000000" w:themeColor="text1"/>
        </w:rPr>
        <w:t xml:space="preserve"> gdy pokrzywdzony nie jest zdolny</w:t>
      </w:r>
      <w:r w:rsidR="00BD3BCB">
        <w:rPr>
          <w:color w:val="000000" w:themeColor="text1"/>
        </w:rPr>
        <w:t>,</w:t>
      </w:r>
      <w:r w:rsidRPr="00FA09CC">
        <w:rPr>
          <w:color w:val="000000" w:themeColor="text1"/>
        </w:rPr>
        <w:t xml:space="preserve"> z własnej woli</w:t>
      </w:r>
      <w:r w:rsidR="00BD3BCB">
        <w:rPr>
          <w:color w:val="000000" w:themeColor="text1"/>
        </w:rPr>
        <w:t>,</w:t>
      </w:r>
      <w:r w:rsidRPr="00FA09CC">
        <w:rPr>
          <w:color w:val="000000" w:themeColor="text1"/>
        </w:rPr>
        <w:t xml:space="preserve"> przeciwstawić się znęcaniu </w:t>
      </w:r>
      <w:r w:rsidR="008350C3">
        <w:rPr>
          <w:color w:val="000000" w:themeColor="text1"/>
        </w:rPr>
        <w:br/>
      </w:r>
      <w:r w:rsidRPr="00FA09CC">
        <w:rPr>
          <w:color w:val="000000" w:themeColor="text1"/>
        </w:rPr>
        <w:t xml:space="preserve">i znosi je z obawy przed pogorszeniem swoich dotychczasowych warunków życiowych (na przykład </w:t>
      </w:r>
      <w:r w:rsidR="00BD3BCB">
        <w:rPr>
          <w:color w:val="000000" w:themeColor="text1"/>
        </w:rPr>
        <w:t xml:space="preserve">obawa przed </w:t>
      </w:r>
      <w:r w:rsidRPr="00FA09CC">
        <w:rPr>
          <w:color w:val="000000" w:themeColor="text1"/>
        </w:rPr>
        <w:t>utratą pracy, środków utrzymania, mieszkania, rozłąką lub zerwaniem współżycia ze sprawcą)</w:t>
      </w:r>
      <w:r w:rsidR="00BD3BCB">
        <w:rPr>
          <w:color w:val="000000" w:themeColor="text1"/>
        </w:rPr>
        <w:t>.</w:t>
      </w:r>
      <w:r w:rsidRPr="00FA09CC">
        <w:rPr>
          <w:color w:val="000000" w:themeColor="text1"/>
        </w:rPr>
        <w:t xml:space="preserve"> Pojęcie stosunku zależności oznacza, że los danej osoby zależy od innej, mającej nad nią fizyczną, psychologiczną lub moralną przewagę</w:t>
      </w:r>
      <w:r w:rsidR="00802A22">
        <w:rPr>
          <w:color w:val="000000" w:themeColor="text1"/>
        </w:rPr>
        <w:t>. S</w:t>
      </w:r>
      <w:r w:rsidRPr="00FA09CC">
        <w:rPr>
          <w:color w:val="000000" w:themeColor="text1"/>
        </w:rPr>
        <w:t xml:space="preserve">tosunek zależności może wynikać także z sytuacji faktycznej, stwarzającej sprawcy sposobność znęcania się, przy wykorzystaniu przewagi nad słabszym pokrzywdzonym (wyrok Sądu Administracyjnego w Katowicach z 13 listopada 2008 r., sygn. II AKa 303/08). </w:t>
      </w:r>
    </w:p>
    <w:p w:rsidR="00097514" w:rsidRPr="00FA09CC" w:rsidRDefault="000A0A05" w:rsidP="0024594C">
      <w:pPr>
        <w:ind w:left="0" w:firstLine="0"/>
        <w:rPr>
          <w:color w:val="000000" w:themeColor="text1"/>
        </w:rPr>
      </w:pPr>
      <w:r w:rsidRPr="00FA09CC">
        <w:rPr>
          <w:color w:val="000000" w:themeColor="text1"/>
        </w:rPr>
        <w:t xml:space="preserve">Biorąc powyższe pod uwagę, nie sposób </w:t>
      </w:r>
      <w:r w:rsidR="00F44FDC">
        <w:rPr>
          <w:color w:val="000000" w:themeColor="text1"/>
        </w:rPr>
        <w:t>zgodzić się</w:t>
      </w:r>
      <w:r w:rsidRPr="00FA09CC">
        <w:rPr>
          <w:color w:val="000000" w:themeColor="text1"/>
        </w:rPr>
        <w:t xml:space="preserve"> </w:t>
      </w:r>
      <w:r w:rsidR="00F44FDC">
        <w:rPr>
          <w:color w:val="000000" w:themeColor="text1"/>
        </w:rPr>
        <w:t xml:space="preserve">ze </w:t>
      </w:r>
      <w:r w:rsidRPr="00FA09CC">
        <w:rPr>
          <w:color w:val="000000" w:themeColor="text1"/>
        </w:rPr>
        <w:t>stwierdzenie</w:t>
      </w:r>
      <w:r w:rsidR="00F44FDC">
        <w:rPr>
          <w:color w:val="000000" w:themeColor="text1"/>
        </w:rPr>
        <w:t>m</w:t>
      </w:r>
      <w:r w:rsidRPr="00FA09CC">
        <w:rPr>
          <w:color w:val="000000" w:themeColor="text1"/>
        </w:rPr>
        <w:t xml:space="preserve"> zawart</w:t>
      </w:r>
      <w:r w:rsidR="00F44FDC">
        <w:rPr>
          <w:color w:val="000000" w:themeColor="text1"/>
        </w:rPr>
        <w:t>ym</w:t>
      </w:r>
      <w:r w:rsidRPr="00FA09CC">
        <w:rPr>
          <w:color w:val="000000" w:themeColor="text1"/>
        </w:rPr>
        <w:t xml:space="preserve"> w raporcie (paragraf 198), jakoby warunkiem koniecznym zastosowania art. 207 </w:t>
      </w:r>
      <w:r w:rsidR="001E0ADA" w:rsidRPr="00FA09CC">
        <w:rPr>
          <w:color w:val="000000" w:themeColor="text1"/>
        </w:rPr>
        <w:t>K</w:t>
      </w:r>
      <w:r w:rsidR="001E0ADA">
        <w:rPr>
          <w:color w:val="000000" w:themeColor="text1"/>
        </w:rPr>
        <w:t xml:space="preserve">odeksu </w:t>
      </w:r>
      <w:r w:rsidR="001E0ADA" w:rsidRPr="00FA09CC">
        <w:rPr>
          <w:color w:val="000000" w:themeColor="text1"/>
        </w:rPr>
        <w:t>k</w:t>
      </w:r>
      <w:r w:rsidR="001E0ADA">
        <w:rPr>
          <w:color w:val="000000" w:themeColor="text1"/>
        </w:rPr>
        <w:t>arnego</w:t>
      </w:r>
      <w:r w:rsidR="001E0ADA" w:rsidRPr="00FA09CC">
        <w:rPr>
          <w:color w:val="000000" w:themeColor="text1"/>
        </w:rPr>
        <w:t xml:space="preserve"> </w:t>
      </w:r>
      <w:r w:rsidRPr="00FA09CC">
        <w:rPr>
          <w:color w:val="000000" w:themeColor="text1"/>
        </w:rPr>
        <w:t xml:space="preserve">było wspólne zamieszkiwanie ofiary i sprawcy, a także że art. 207 </w:t>
      </w:r>
      <w:r w:rsidR="001E0ADA" w:rsidRPr="00FA09CC">
        <w:rPr>
          <w:color w:val="000000" w:themeColor="text1"/>
        </w:rPr>
        <w:t>K</w:t>
      </w:r>
      <w:r w:rsidR="001E0ADA">
        <w:rPr>
          <w:color w:val="000000" w:themeColor="text1"/>
        </w:rPr>
        <w:t xml:space="preserve">odeksu </w:t>
      </w:r>
      <w:r w:rsidR="001E0ADA" w:rsidRPr="00FA09CC">
        <w:rPr>
          <w:color w:val="000000" w:themeColor="text1"/>
        </w:rPr>
        <w:t>k</w:t>
      </w:r>
      <w:r w:rsidR="001E0ADA">
        <w:rPr>
          <w:color w:val="000000" w:themeColor="text1"/>
        </w:rPr>
        <w:t>arnego</w:t>
      </w:r>
      <w:r w:rsidR="001E0ADA" w:rsidRPr="00FA09CC">
        <w:rPr>
          <w:color w:val="000000" w:themeColor="text1"/>
        </w:rPr>
        <w:t xml:space="preserve"> </w:t>
      </w:r>
      <w:r w:rsidRPr="00FA09CC">
        <w:rPr>
          <w:color w:val="000000" w:themeColor="text1"/>
        </w:rPr>
        <w:t xml:space="preserve">nie mogą zostać objęci byli partnerzy lub </w:t>
      </w:r>
      <w:r w:rsidR="00802A22">
        <w:rPr>
          <w:color w:val="000000" w:themeColor="text1"/>
        </w:rPr>
        <w:t xml:space="preserve">byli </w:t>
      </w:r>
      <w:r w:rsidRPr="00FA09CC">
        <w:rPr>
          <w:color w:val="000000" w:themeColor="text1"/>
        </w:rPr>
        <w:t>małżonkowie. Przeciwnie, ofiary mogą zostać, odpowiednio do okoliczności faktycznych, uznane za osoby najbliższe, albo zależne od sprawcy.</w:t>
      </w:r>
    </w:p>
    <w:p w:rsidR="00770095" w:rsidRPr="00FA09CC" w:rsidRDefault="00770095" w:rsidP="0024594C">
      <w:pPr>
        <w:ind w:left="0" w:firstLine="0"/>
        <w:rPr>
          <w:color w:val="000000" w:themeColor="text1"/>
        </w:rPr>
      </w:pPr>
    </w:p>
    <w:p w:rsidR="00A651F3" w:rsidRDefault="00A651F3">
      <w:pPr>
        <w:rPr>
          <w:b/>
          <w:color w:val="000000" w:themeColor="text1"/>
        </w:rPr>
      </w:pPr>
      <w:r>
        <w:rPr>
          <w:b/>
          <w:color w:val="000000" w:themeColor="text1"/>
        </w:rPr>
        <w:br w:type="page"/>
      </w:r>
    </w:p>
    <w:p w:rsidR="00770095" w:rsidRPr="00FA09CC" w:rsidRDefault="00770095" w:rsidP="0024594C">
      <w:pPr>
        <w:ind w:left="0" w:firstLine="0"/>
        <w:rPr>
          <w:b/>
          <w:color w:val="000000" w:themeColor="text1"/>
        </w:rPr>
      </w:pPr>
      <w:r w:rsidRPr="00FA09CC">
        <w:rPr>
          <w:b/>
          <w:color w:val="000000" w:themeColor="text1"/>
        </w:rPr>
        <w:lastRenderedPageBreak/>
        <w:t>Paragraf</w:t>
      </w:r>
      <w:r w:rsidR="00462D45" w:rsidRPr="00FA09CC">
        <w:rPr>
          <w:b/>
          <w:color w:val="000000" w:themeColor="text1"/>
        </w:rPr>
        <w:t>y 2</w:t>
      </w:r>
      <w:r w:rsidR="00487414" w:rsidRPr="00FA09CC">
        <w:rPr>
          <w:b/>
          <w:color w:val="000000" w:themeColor="text1"/>
        </w:rPr>
        <w:t>1</w:t>
      </w:r>
      <w:r w:rsidR="00493E8F" w:rsidRPr="00FA09CC">
        <w:rPr>
          <w:b/>
          <w:color w:val="000000" w:themeColor="text1"/>
        </w:rPr>
        <w:t>5</w:t>
      </w:r>
      <w:r w:rsidR="00487414" w:rsidRPr="00FA09CC">
        <w:rPr>
          <w:b/>
          <w:color w:val="000000" w:themeColor="text1"/>
        </w:rPr>
        <w:t>-</w:t>
      </w:r>
      <w:r w:rsidR="003D6646" w:rsidRPr="00FA09CC">
        <w:rPr>
          <w:b/>
          <w:color w:val="000000" w:themeColor="text1"/>
        </w:rPr>
        <w:t>2</w:t>
      </w:r>
      <w:r w:rsidR="00C15B6D" w:rsidRPr="00FA09CC">
        <w:rPr>
          <w:b/>
          <w:color w:val="000000" w:themeColor="text1"/>
        </w:rPr>
        <w:t>1</w:t>
      </w:r>
      <w:r w:rsidR="0034486C" w:rsidRPr="00FA09CC">
        <w:rPr>
          <w:b/>
          <w:color w:val="000000" w:themeColor="text1"/>
        </w:rPr>
        <w:t>7, 219</w:t>
      </w:r>
      <w:r w:rsidR="00462D45" w:rsidRPr="00FA09CC">
        <w:rPr>
          <w:b/>
          <w:color w:val="000000" w:themeColor="text1"/>
        </w:rPr>
        <w:t xml:space="preserve"> – definicja zgwałcenia</w:t>
      </w:r>
    </w:p>
    <w:p w:rsidR="00770095" w:rsidRPr="00FA09CC" w:rsidRDefault="00AA75A9" w:rsidP="0024594C">
      <w:pPr>
        <w:ind w:left="0" w:firstLine="0"/>
        <w:rPr>
          <w:color w:val="000000" w:themeColor="text1"/>
        </w:rPr>
      </w:pPr>
      <w:r w:rsidRPr="00FA09CC">
        <w:rPr>
          <w:color w:val="000000" w:themeColor="text1"/>
        </w:rPr>
        <w:t xml:space="preserve">W odniesieniu do kwestii braku zgody ofiary na czynności seksualne jako elementu definicji gwałtu i innych przestępstw seksualnych, </w:t>
      </w:r>
      <w:r w:rsidR="00F73DAC" w:rsidRPr="00FA09CC">
        <w:rPr>
          <w:color w:val="000000" w:themeColor="text1"/>
        </w:rPr>
        <w:t xml:space="preserve">Polska stoi na stanowisku, że </w:t>
      </w:r>
      <w:r w:rsidRPr="00FA09CC">
        <w:rPr>
          <w:color w:val="000000" w:themeColor="text1"/>
        </w:rPr>
        <w:t>definicj</w:t>
      </w:r>
      <w:r w:rsidR="00F73DAC" w:rsidRPr="00FA09CC">
        <w:rPr>
          <w:color w:val="000000" w:themeColor="text1"/>
        </w:rPr>
        <w:t>e</w:t>
      </w:r>
      <w:r w:rsidRPr="00FA09CC">
        <w:rPr>
          <w:color w:val="000000" w:themeColor="text1"/>
        </w:rPr>
        <w:t xml:space="preserve"> zawart</w:t>
      </w:r>
      <w:r w:rsidR="00F73DAC" w:rsidRPr="00FA09CC">
        <w:rPr>
          <w:color w:val="000000" w:themeColor="text1"/>
        </w:rPr>
        <w:t>e</w:t>
      </w:r>
      <w:r w:rsidRPr="00FA09CC">
        <w:rPr>
          <w:color w:val="000000" w:themeColor="text1"/>
        </w:rPr>
        <w:t xml:space="preserve"> </w:t>
      </w:r>
      <w:r w:rsidR="008350C3">
        <w:rPr>
          <w:color w:val="000000" w:themeColor="text1"/>
        </w:rPr>
        <w:br/>
      </w:r>
      <w:r w:rsidRPr="00FA09CC">
        <w:rPr>
          <w:color w:val="000000" w:themeColor="text1"/>
        </w:rPr>
        <w:t xml:space="preserve">w </w:t>
      </w:r>
      <w:r w:rsidR="000A0A05" w:rsidRPr="00FA09CC">
        <w:rPr>
          <w:color w:val="000000" w:themeColor="text1"/>
        </w:rPr>
        <w:t xml:space="preserve">Kodeksie karnym są zgodne z wymogami </w:t>
      </w:r>
      <w:r w:rsidR="00CE0DAA">
        <w:rPr>
          <w:color w:val="000000" w:themeColor="text1"/>
        </w:rPr>
        <w:t>k</w:t>
      </w:r>
      <w:r w:rsidR="000A0A05" w:rsidRPr="00FA09CC">
        <w:rPr>
          <w:color w:val="000000" w:themeColor="text1"/>
        </w:rPr>
        <w:t xml:space="preserve">onwencji </w:t>
      </w:r>
      <w:r w:rsidR="00CE0DAA">
        <w:rPr>
          <w:color w:val="000000" w:themeColor="text1"/>
        </w:rPr>
        <w:t>s</w:t>
      </w:r>
      <w:r w:rsidR="000A0A05" w:rsidRPr="00FA09CC">
        <w:rPr>
          <w:color w:val="000000" w:themeColor="text1"/>
        </w:rPr>
        <w:t xml:space="preserve">tambulskiej. </w:t>
      </w:r>
    </w:p>
    <w:p w:rsidR="000E7C90" w:rsidRPr="00FA09CC" w:rsidRDefault="00430678" w:rsidP="0024594C">
      <w:pPr>
        <w:tabs>
          <w:tab w:val="left" w:pos="426"/>
        </w:tabs>
        <w:ind w:left="0" w:firstLine="0"/>
        <w:rPr>
          <w:rFonts w:eastAsia="Times New Roman"/>
          <w:bCs/>
          <w:iCs/>
        </w:rPr>
      </w:pPr>
      <w:r w:rsidRPr="00FA09CC">
        <w:rPr>
          <w:rFonts w:eastAsia="Times New Roman"/>
          <w:bCs/>
          <w:iCs/>
        </w:rPr>
        <w:t>P</w:t>
      </w:r>
      <w:r w:rsidR="000E7C90" w:rsidRPr="00FA09CC">
        <w:rPr>
          <w:rFonts w:eastAsia="Times New Roman"/>
          <w:bCs/>
          <w:iCs/>
        </w:rPr>
        <w:t>rzestępstwem jest doprowadzenie innej osoby do obcowania płciowego lub innej czynności seksualnej bez świadomie i swobodnie wyrażonej zgody, to jest za pomocą:</w:t>
      </w:r>
    </w:p>
    <w:p w:rsidR="000E7C90" w:rsidRPr="00FA09CC" w:rsidRDefault="000E7C90" w:rsidP="0024594C">
      <w:pPr>
        <w:numPr>
          <w:ilvl w:val="0"/>
          <w:numId w:val="40"/>
        </w:numPr>
        <w:tabs>
          <w:tab w:val="left" w:pos="426"/>
        </w:tabs>
        <w:rPr>
          <w:rFonts w:eastAsia="Times New Roman"/>
          <w:bCs/>
          <w:iCs/>
        </w:rPr>
      </w:pPr>
      <w:r w:rsidRPr="00FA09CC">
        <w:rPr>
          <w:rFonts w:eastAsia="Times New Roman"/>
          <w:bCs/>
          <w:iCs/>
        </w:rPr>
        <w:t>przemocy, groźby bezpr</w:t>
      </w:r>
      <w:r w:rsidR="0034486C" w:rsidRPr="00FA09CC">
        <w:rPr>
          <w:rFonts w:eastAsia="Times New Roman"/>
          <w:bCs/>
          <w:iCs/>
        </w:rPr>
        <w:t xml:space="preserve">awnej, podstępu (art. 197 </w:t>
      </w:r>
      <w:r w:rsidR="00381F4D" w:rsidRPr="00FA09CC">
        <w:rPr>
          <w:rFonts w:eastAsia="Times New Roman"/>
          <w:bCs/>
          <w:iCs/>
        </w:rPr>
        <w:t>Kodeksu karnego</w:t>
      </w:r>
      <w:r w:rsidR="0034486C" w:rsidRPr="00FA09CC">
        <w:rPr>
          <w:rFonts w:eastAsia="Times New Roman"/>
          <w:bCs/>
          <w:iCs/>
        </w:rPr>
        <w:t>),</w:t>
      </w:r>
    </w:p>
    <w:p w:rsidR="000E7C90" w:rsidRPr="00FA09CC" w:rsidRDefault="000E7C90" w:rsidP="0024594C">
      <w:pPr>
        <w:numPr>
          <w:ilvl w:val="0"/>
          <w:numId w:val="40"/>
        </w:numPr>
        <w:tabs>
          <w:tab w:val="left" w:pos="426"/>
        </w:tabs>
        <w:rPr>
          <w:rFonts w:eastAsia="Times New Roman"/>
          <w:bCs/>
          <w:iCs/>
        </w:rPr>
      </w:pPr>
      <w:r w:rsidRPr="00FA09CC">
        <w:rPr>
          <w:rFonts w:eastAsia="Times New Roman"/>
          <w:bCs/>
          <w:iCs/>
        </w:rPr>
        <w:t>wykorzystania bezradnoś</w:t>
      </w:r>
      <w:r w:rsidR="00802A22">
        <w:rPr>
          <w:rFonts w:eastAsia="Times New Roman"/>
          <w:bCs/>
          <w:iCs/>
        </w:rPr>
        <w:t>ci</w:t>
      </w:r>
      <w:r w:rsidRPr="00FA09CC">
        <w:rPr>
          <w:rFonts w:eastAsia="Times New Roman"/>
          <w:bCs/>
          <w:iCs/>
        </w:rPr>
        <w:t xml:space="preserve"> innej osoby lub wynikającego z upośledzenia umysłowego lub choroby psychicznej braku zdolności tej osoby do rozpoznania znaczenia czynu lub pokierowania swoi</w:t>
      </w:r>
      <w:r w:rsidR="0034486C" w:rsidRPr="00FA09CC">
        <w:rPr>
          <w:rFonts w:eastAsia="Times New Roman"/>
          <w:bCs/>
          <w:iCs/>
        </w:rPr>
        <w:t xml:space="preserve">m postępowaniem (art. 198 </w:t>
      </w:r>
      <w:r w:rsidR="00381F4D" w:rsidRPr="00FA09CC">
        <w:rPr>
          <w:rFonts w:eastAsia="Times New Roman"/>
          <w:bCs/>
          <w:iCs/>
        </w:rPr>
        <w:t>Kodeksu karnego</w:t>
      </w:r>
      <w:r w:rsidR="0034486C" w:rsidRPr="00FA09CC">
        <w:rPr>
          <w:rFonts w:eastAsia="Times New Roman"/>
          <w:bCs/>
          <w:iCs/>
        </w:rPr>
        <w:t>),</w:t>
      </w:r>
    </w:p>
    <w:p w:rsidR="000E7C90" w:rsidRPr="00FA09CC" w:rsidRDefault="000E7C90" w:rsidP="0024594C">
      <w:pPr>
        <w:numPr>
          <w:ilvl w:val="0"/>
          <w:numId w:val="40"/>
        </w:numPr>
        <w:tabs>
          <w:tab w:val="left" w:pos="426"/>
        </w:tabs>
        <w:rPr>
          <w:rFonts w:eastAsia="Times New Roman"/>
          <w:bCs/>
          <w:iCs/>
        </w:rPr>
      </w:pPr>
      <w:r w:rsidRPr="00FA09CC">
        <w:rPr>
          <w:rFonts w:eastAsia="Times New Roman"/>
          <w:bCs/>
          <w:iCs/>
        </w:rPr>
        <w:t>nadużycia stosunku zależności lub wykorzystania krytycznego położenia</w:t>
      </w:r>
      <w:r w:rsidR="0034486C" w:rsidRPr="00FA09CC">
        <w:rPr>
          <w:rFonts w:eastAsia="Times New Roman"/>
          <w:bCs/>
          <w:iCs/>
        </w:rPr>
        <w:t xml:space="preserve"> (art. 199 </w:t>
      </w:r>
      <w:r w:rsidR="00381F4D" w:rsidRPr="00FA09CC">
        <w:rPr>
          <w:rFonts w:eastAsia="Times New Roman"/>
          <w:bCs/>
          <w:iCs/>
        </w:rPr>
        <w:t>Kodeksu karnego</w:t>
      </w:r>
      <w:r w:rsidR="0034486C" w:rsidRPr="00FA09CC">
        <w:rPr>
          <w:rFonts w:eastAsia="Times New Roman"/>
          <w:bCs/>
          <w:iCs/>
        </w:rPr>
        <w:t>),</w:t>
      </w:r>
    </w:p>
    <w:p w:rsidR="000E7C90" w:rsidRPr="00FA09CC" w:rsidRDefault="000E7C90" w:rsidP="0024594C">
      <w:pPr>
        <w:numPr>
          <w:ilvl w:val="0"/>
          <w:numId w:val="40"/>
        </w:numPr>
        <w:tabs>
          <w:tab w:val="left" w:pos="426"/>
        </w:tabs>
        <w:rPr>
          <w:rFonts w:eastAsia="Times New Roman"/>
          <w:bCs/>
          <w:iCs/>
        </w:rPr>
      </w:pPr>
      <w:r w:rsidRPr="00FA09CC">
        <w:rPr>
          <w:rFonts w:eastAsia="Times New Roman"/>
          <w:bCs/>
          <w:iCs/>
        </w:rPr>
        <w:t xml:space="preserve">wykorzystania młodego wieku pokrzywdzonego (art. 200 </w:t>
      </w:r>
      <w:r w:rsidR="00381F4D" w:rsidRPr="00FA09CC">
        <w:rPr>
          <w:rFonts w:eastAsia="Times New Roman"/>
          <w:bCs/>
          <w:iCs/>
        </w:rPr>
        <w:t>Kodeksu karnego</w:t>
      </w:r>
      <w:r w:rsidRPr="00FA09CC">
        <w:rPr>
          <w:rFonts w:eastAsia="Times New Roman"/>
          <w:bCs/>
          <w:iCs/>
        </w:rPr>
        <w:t>).</w:t>
      </w:r>
    </w:p>
    <w:p w:rsidR="000E7C90" w:rsidRPr="00FA09CC" w:rsidRDefault="000E7C90" w:rsidP="0024594C">
      <w:pPr>
        <w:tabs>
          <w:tab w:val="left" w:pos="426"/>
        </w:tabs>
        <w:ind w:left="0" w:firstLine="0"/>
        <w:rPr>
          <w:rFonts w:eastAsia="Times New Roman"/>
        </w:rPr>
      </w:pPr>
      <w:r w:rsidRPr="00FA09CC">
        <w:rPr>
          <w:rFonts w:eastAsia="Times New Roman"/>
          <w:bCs/>
          <w:iCs/>
        </w:rPr>
        <w:t>Okoliczności te obejmują wszystkie dające się pomyśleć przypadki, kiedy zgody bądź nie było, bądź nie była świadoma i swobodna. Polska doktryna prawa wskazuje, że przestępstwo zgwałcenia może mieć miejsce jedynie wtedy, gdy nie wystąpiło skuteczne zezwolenie osoby uprawnionej na określone zachowanie. Dla praktyki procesowej istotne znaczenie mają wytyczn</w:t>
      </w:r>
      <w:r w:rsidR="000A0A05" w:rsidRPr="00FA09CC">
        <w:rPr>
          <w:rFonts w:eastAsia="Times New Roman"/>
          <w:bCs/>
          <w:iCs/>
        </w:rPr>
        <w:t xml:space="preserve">e Prokuratora Generalnego z 18 grudnia 2015 r. dotyczące zasad postępowania </w:t>
      </w:r>
      <w:r w:rsidR="008350C3">
        <w:rPr>
          <w:rFonts w:eastAsia="Times New Roman"/>
          <w:bCs/>
          <w:iCs/>
        </w:rPr>
        <w:br/>
      </w:r>
      <w:r w:rsidR="000A0A05" w:rsidRPr="00FA09CC">
        <w:rPr>
          <w:rFonts w:eastAsia="Times New Roman"/>
          <w:bCs/>
          <w:iCs/>
        </w:rPr>
        <w:t>w sprawach o przestępstwo zgwałcenia. Są one wiążące dla organów ścigania.</w:t>
      </w:r>
    </w:p>
    <w:p w:rsidR="000E7C90" w:rsidRPr="00FA09CC" w:rsidRDefault="000A0A05" w:rsidP="0024594C">
      <w:pPr>
        <w:tabs>
          <w:tab w:val="left" w:pos="426"/>
        </w:tabs>
        <w:ind w:left="0" w:firstLine="0"/>
        <w:rPr>
          <w:rFonts w:eastAsia="Times New Roman"/>
        </w:rPr>
      </w:pPr>
      <w:r w:rsidRPr="00FA09CC">
        <w:rPr>
          <w:rFonts w:eastAsia="Times New Roman"/>
        </w:rPr>
        <w:t xml:space="preserve">Efektywne zwalczanie zamachów na wolność seksualną wymaga </w:t>
      </w:r>
      <w:r w:rsidRPr="00FA09CC">
        <w:t xml:space="preserve">podejmowania zagadnień związanych z ochroną kobiet przed przemocą </w:t>
      </w:r>
      <w:r w:rsidR="00802A22">
        <w:t xml:space="preserve">mającą postać </w:t>
      </w:r>
      <w:r w:rsidRPr="00FA09CC">
        <w:t xml:space="preserve">wykorzystywania ich wizerunków w sposób seksualizujący, czy pornograficzny. Szkodliwość treści poniżających </w:t>
      </w:r>
      <w:r w:rsidR="008350C3">
        <w:br/>
      </w:r>
      <w:r w:rsidRPr="00FA09CC">
        <w:t xml:space="preserve">o charakterze seksualnym jest oczywista. Z rozpowszechnianiem takich treści należy wiązać całe spektrum działań, które przyczyniają się do odbierania kobietom należnej im godności, poprzez traktowanie ich w sposób przedmiotowy (seksualizacja ich wizerunku). To zaś jest niewątpliwą przyczyną eskalacji przemocy wobec kobiet i dziewcząt. Konieczne jest zatem kreowanie mechanizmów i narzędzi prawnych mających na celu karanie wykorzystywania seksualnego </w:t>
      </w:r>
      <w:r w:rsidR="00900A0E">
        <w:t xml:space="preserve">przyjmującego taką formę </w:t>
      </w:r>
      <w:r w:rsidRPr="00FA09CC">
        <w:t xml:space="preserve">(kara kryminalna ma także wymiar prewencyjny, </w:t>
      </w:r>
      <w:r w:rsidR="008350C3">
        <w:br/>
      </w:r>
      <w:r w:rsidRPr="00FA09CC">
        <w:t>w tym ogólnoprewencyjny), ale do zażegnywania przyczyn takich zachowań potrzebne są działania dalej idące.</w:t>
      </w:r>
      <w:r w:rsidRPr="00FA09CC">
        <w:rPr>
          <w:rFonts w:eastAsia="Times New Roman"/>
        </w:rPr>
        <w:t xml:space="preserve"> GREVIO ma w tym aspekcie do odegrania znaczącą rolę, to jest</w:t>
      </w:r>
      <w:r w:rsidR="00763F3F">
        <w:rPr>
          <w:rFonts w:eastAsia="Times New Roman"/>
        </w:rPr>
        <w:t xml:space="preserve"> </w:t>
      </w:r>
      <w:r w:rsidRPr="00FA09CC">
        <w:rPr>
          <w:rFonts w:eastAsia="Times New Roman"/>
        </w:rPr>
        <w:t xml:space="preserve">określenia, na ile przestrzeń publiczna (internet, reklamy, telewizja, radio, muzyka, teksty piosenek, moda etc.) ma wpływ na przedmiotowe postrzeganie kobiet. W następstwie tego, zaproponowane powinny zostać konkretne narzędzia i mechanizmy ochronne. </w:t>
      </w:r>
    </w:p>
    <w:p w:rsidR="00AA75A9" w:rsidRPr="00FA09CC" w:rsidRDefault="00AA75A9" w:rsidP="0024594C">
      <w:pPr>
        <w:ind w:left="0" w:firstLine="0"/>
        <w:rPr>
          <w:b/>
          <w:color w:val="000000" w:themeColor="text1"/>
        </w:rPr>
      </w:pPr>
    </w:p>
    <w:p w:rsidR="004753B7" w:rsidRPr="00FA09CC" w:rsidRDefault="004753B7" w:rsidP="0024594C">
      <w:pPr>
        <w:ind w:left="0" w:firstLine="0"/>
        <w:rPr>
          <w:b/>
          <w:color w:val="000000" w:themeColor="text1"/>
        </w:rPr>
      </w:pPr>
      <w:r w:rsidRPr="00FA09CC">
        <w:rPr>
          <w:b/>
          <w:color w:val="000000" w:themeColor="text1"/>
        </w:rPr>
        <w:t>Paragraf 220 – penalizacja przemocy seksualnej</w:t>
      </w:r>
    </w:p>
    <w:p w:rsidR="008623F8" w:rsidRPr="00FA09CC" w:rsidRDefault="008623F8" w:rsidP="0024594C">
      <w:pPr>
        <w:pStyle w:val="Adresodbiorcy"/>
        <w:widowControl w:val="0"/>
        <w:suppressAutoHyphens/>
        <w:spacing w:line="240" w:lineRule="auto"/>
        <w:rPr>
          <w:rFonts w:ascii="Times New Roman" w:eastAsiaTheme="minorEastAsia" w:hAnsi="Times New Roman"/>
          <w:spacing w:val="0"/>
          <w:sz w:val="24"/>
          <w:szCs w:val="24"/>
          <w:lang w:eastAsia="pl-PL"/>
        </w:rPr>
      </w:pPr>
      <w:r w:rsidRPr="00FA09CC">
        <w:rPr>
          <w:rFonts w:ascii="Times New Roman" w:hAnsi="Times New Roman"/>
          <w:color w:val="000000" w:themeColor="text1"/>
          <w:spacing w:val="0"/>
          <w:sz w:val="24"/>
          <w:szCs w:val="24"/>
        </w:rPr>
        <w:t>Trwają prace analityczne nad rozwiązaniami prawnymi, których celem będzie wzmocnienie ochrony przed przemocą</w:t>
      </w:r>
      <w:r w:rsidR="001E0ADA">
        <w:rPr>
          <w:rFonts w:ascii="Times New Roman" w:hAnsi="Times New Roman"/>
          <w:color w:val="000000" w:themeColor="text1"/>
          <w:spacing w:val="0"/>
          <w:sz w:val="24"/>
          <w:szCs w:val="24"/>
        </w:rPr>
        <w:t xml:space="preserve">, w tym </w:t>
      </w:r>
      <w:r w:rsidR="00802A22">
        <w:rPr>
          <w:rFonts w:ascii="Times New Roman" w:hAnsi="Times New Roman"/>
          <w:color w:val="000000" w:themeColor="text1"/>
          <w:spacing w:val="0"/>
          <w:sz w:val="24"/>
          <w:szCs w:val="24"/>
        </w:rPr>
        <w:t xml:space="preserve">analizy </w:t>
      </w:r>
      <w:r w:rsidRPr="00FA09CC">
        <w:rPr>
          <w:rFonts w:ascii="Times New Roman" w:hAnsi="Times New Roman"/>
          <w:color w:val="000000" w:themeColor="text1"/>
          <w:spacing w:val="0"/>
          <w:sz w:val="24"/>
          <w:szCs w:val="24"/>
        </w:rPr>
        <w:t>dodatkowych mechanizmów zapobiegania wykorzystywaniu seksualnemu</w:t>
      </w:r>
      <w:r w:rsidR="005E16F8" w:rsidRPr="00FA09CC">
        <w:rPr>
          <w:rFonts w:ascii="Times New Roman" w:hAnsi="Times New Roman"/>
          <w:color w:val="000000" w:themeColor="text1"/>
          <w:spacing w:val="0"/>
          <w:sz w:val="24"/>
          <w:szCs w:val="24"/>
        </w:rPr>
        <w:t xml:space="preserve"> i</w:t>
      </w:r>
      <w:r w:rsidRPr="00FA09CC">
        <w:rPr>
          <w:rFonts w:ascii="Times New Roman" w:hAnsi="Times New Roman"/>
          <w:color w:val="000000" w:themeColor="text1"/>
          <w:spacing w:val="0"/>
          <w:sz w:val="24"/>
          <w:szCs w:val="24"/>
        </w:rPr>
        <w:t xml:space="preserve"> prezentacji treści pornograficznych</w:t>
      </w:r>
      <w:r w:rsidRPr="00FA09CC">
        <w:rPr>
          <w:rFonts w:ascii="Times New Roman" w:eastAsiaTheme="minorEastAsia" w:hAnsi="Times New Roman"/>
          <w:spacing w:val="0"/>
          <w:sz w:val="24"/>
          <w:szCs w:val="24"/>
          <w:lang w:eastAsia="pl-PL"/>
        </w:rPr>
        <w:t>. P</w:t>
      </w:r>
      <w:r w:rsidR="001E0ADA">
        <w:rPr>
          <w:rFonts w:ascii="Times New Roman" w:eastAsiaTheme="minorEastAsia" w:hAnsi="Times New Roman"/>
          <w:spacing w:val="0"/>
          <w:sz w:val="24"/>
          <w:szCs w:val="24"/>
          <w:lang w:eastAsia="pl-PL"/>
        </w:rPr>
        <w:t>race te</w:t>
      </w:r>
      <w:r w:rsidRPr="00FA09CC">
        <w:rPr>
          <w:rFonts w:ascii="Times New Roman" w:eastAsiaTheme="minorEastAsia" w:hAnsi="Times New Roman"/>
          <w:spacing w:val="0"/>
          <w:sz w:val="24"/>
          <w:szCs w:val="24"/>
          <w:lang w:eastAsia="pl-PL"/>
        </w:rPr>
        <w:t xml:space="preserve"> op</w:t>
      </w:r>
      <w:r w:rsidR="001E0ADA">
        <w:rPr>
          <w:rFonts w:ascii="Times New Roman" w:eastAsiaTheme="minorEastAsia" w:hAnsi="Times New Roman"/>
          <w:spacing w:val="0"/>
          <w:sz w:val="24"/>
          <w:szCs w:val="24"/>
          <w:lang w:eastAsia="pl-PL"/>
        </w:rPr>
        <w:t xml:space="preserve">ierają się na </w:t>
      </w:r>
      <w:r w:rsidRPr="00FA09CC">
        <w:rPr>
          <w:rFonts w:ascii="Times New Roman" w:eastAsiaTheme="minorEastAsia" w:hAnsi="Times New Roman"/>
          <w:spacing w:val="0"/>
          <w:sz w:val="24"/>
          <w:szCs w:val="24"/>
          <w:lang w:eastAsia="pl-PL"/>
        </w:rPr>
        <w:t>badania</w:t>
      </w:r>
      <w:r w:rsidR="001E0ADA">
        <w:rPr>
          <w:rFonts w:ascii="Times New Roman" w:eastAsiaTheme="minorEastAsia" w:hAnsi="Times New Roman"/>
          <w:spacing w:val="0"/>
          <w:sz w:val="24"/>
          <w:szCs w:val="24"/>
          <w:lang w:eastAsia="pl-PL"/>
        </w:rPr>
        <w:t>ch</w:t>
      </w:r>
      <w:r w:rsidRPr="00FA09CC">
        <w:rPr>
          <w:rFonts w:ascii="Times New Roman" w:eastAsiaTheme="minorEastAsia" w:hAnsi="Times New Roman"/>
          <w:spacing w:val="0"/>
          <w:sz w:val="24"/>
          <w:szCs w:val="24"/>
          <w:lang w:eastAsia="pl-PL"/>
        </w:rPr>
        <w:t xml:space="preserve"> Instytutu Wymiaru Sprawiedliwości i uwzględni</w:t>
      </w:r>
      <w:r w:rsidR="00C62327">
        <w:rPr>
          <w:rFonts w:ascii="Times New Roman" w:eastAsiaTheme="minorEastAsia" w:hAnsi="Times New Roman"/>
          <w:spacing w:val="0"/>
          <w:sz w:val="24"/>
          <w:szCs w:val="24"/>
          <w:lang w:eastAsia="pl-PL"/>
        </w:rPr>
        <w:t xml:space="preserve">ają </w:t>
      </w:r>
      <w:r w:rsidRPr="00FA09CC">
        <w:rPr>
          <w:rFonts w:ascii="Times New Roman" w:eastAsiaTheme="minorEastAsia" w:hAnsi="Times New Roman"/>
          <w:spacing w:val="0"/>
          <w:sz w:val="24"/>
          <w:szCs w:val="24"/>
          <w:lang w:eastAsia="pl-PL"/>
        </w:rPr>
        <w:t>zagraniczn</w:t>
      </w:r>
      <w:r w:rsidR="00C62327">
        <w:rPr>
          <w:rFonts w:ascii="Times New Roman" w:eastAsiaTheme="minorEastAsia" w:hAnsi="Times New Roman"/>
          <w:spacing w:val="0"/>
          <w:sz w:val="24"/>
          <w:szCs w:val="24"/>
          <w:lang w:eastAsia="pl-PL"/>
        </w:rPr>
        <w:t>e</w:t>
      </w:r>
      <w:r w:rsidRPr="00FA09CC">
        <w:rPr>
          <w:rFonts w:ascii="Times New Roman" w:eastAsiaTheme="minorEastAsia" w:hAnsi="Times New Roman"/>
          <w:spacing w:val="0"/>
          <w:sz w:val="24"/>
          <w:szCs w:val="24"/>
          <w:lang w:eastAsia="pl-PL"/>
        </w:rPr>
        <w:t xml:space="preserve"> rozwiąza</w:t>
      </w:r>
      <w:r w:rsidR="00C62327">
        <w:rPr>
          <w:rFonts w:ascii="Times New Roman" w:eastAsiaTheme="minorEastAsia" w:hAnsi="Times New Roman"/>
          <w:spacing w:val="0"/>
          <w:sz w:val="24"/>
          <w:szCs w:val="24"/>
          <w:lang w:eastAsia="pl-PL"/>
        </w:rPr>
        <w:t>nia prawne</w:t>
      </w:r>
      <w:r w:rsidRPr="00FA09CC">
        <w:rPr>
          <w:rFonts w:ascii="Times New Roman" w:eastAsiaTheme="minorEastAsia" w:hAnsi="Times New Roman"/>
          <w:spacing w:val="0"/>
          <w:sz w:val="24"/>
          <w:szCs w:val="24"/>
          <w:lang w:eastAsia="pl-PL"/>
        </w:rPr>
        <w:t>, szczególn</w:t>
      </w:r>
      <w:r w:rsidR="00C62327">
        <w:rPr>
          <w:rFonts w:ascii="Times New Roman" w:eastAsiaTheme="minorEastAsia" w:hAnsi="Times New Roman"/>
          <w:spacing w:val="0"/>
          <w:sz w:val="24"/>
          <w:szCs w:val="24"/>
          <w:lang w:eastAsia="pl-PL"/>
        </w:rPr>
        <w:t>ie</w:t>
      </w:r>
      <w:r w:rsidRPr="00FA09CC">
        <w:rPr>
          <w:rFonts w:ascii="Times New Roman" w:eastAsiaTheme="minorEastAsia" w:hAnsi="Times New Roman"/>
          <w:spacing w:val="0"/>
          <w:sz w:val="24"/>
          <w:szCs w:val="24"/>
          <w:lang w:eastAsia="pl-PL"/>
        </w:rPr>
        <w:t xml:space="preserve"> mechanizm</w:t>
      </w:r>
      <w:r w:rsidR="00C62327">
        <w:rPr>
          <w:rFonts w:ascii="Times New Roman" w:eastAsiaTheme="minorEastAsia" w:hAnsi="Times New Roman"/>
          <w:spacing w:val="0"/>
          <w:sz w:val="24"/>
          <w:szCs w:val="24"/>
          <w:lang w:eastAsia="pl-PL"/>
        </w:rPr>
        <w:t>y</w:t>
      </w:r>
      <w:r w:rsidRPr="00FA09CC">
        <w:rPr>
          <w:rFonts w:ascii="Times New Roman" w:eastAsiaTheme="minorEastAsia" w:hAnsi="Times New Roman"/>
          <w:spacing w:val="0"/>
          <w:sz w:val="24"/>
          <w:szCs w:val="24"/>
          <w:lang w:eastAsia="pl-PL"/>
        </w:rPr>
        <w:t xml:space="preserve"> już obowiązując</w:t>
      </w:r>
      <w:r w:rsidR="00C62327">
        <w:rPr>
          <w:rFonts w:ascii="Times New Roman" w:eastAsiaTheme="minorEastAsia" w:hAnsi="Times New Roman"/>
          <w:spacing w:val="0"/>
          <w:sz w:val="24"/>
          <w:szCs w:val="24"/>
          <w:lang w:eastAsia="pl-PL"/>
        </w:rPr>
        <w:t>e</w:t>
      </w:r>
      <w:r w:rsidRPr="00FA09CC">
        <w:rPr>
          <w:rFonts w:ascii="Times New Roman" w:eastAsiaTheme="minorEastAsia" w:hAnsi="Times New Roman"/>
          <w:spacing w:val="0"/>
          <w:sz w:val="24"/>
          <w:szCs w:val="24"/>
          <w:lang w:eastAsia="pl-PL"/>
        </w:rPr>
        <w:t xml:space="preserve"> w Szwecji i Irlandii.</w:t>
      </w:r>
    </w:p>
    <w:p w:rsidR="004753B7" w:rsidRPr="00FA09CC" w:rsidRDefault="004753B7" w:rsidP="0024594C">
      <w:pPr>
        <w:ind w:left="0" w:firstLine="0"/>
        <w:rPr>
          <w:b/>
          <w:color w:val="000000" w:themeColor="text1"/>
        </w:rPr>
      </w:pPr>
    </w:p>
    <w:p w:rsidR="00282BCA" w:rsidRPr="00FA09CC" w:rsidRDefault="00282BCA" w:rsidP="0024594C">
      <w:pPr>
        <w:ind w:left="0" w:firstLine="0"/>
        <w:rPr>
          <w:b/>
          <w:color w:val="000000" w:themeColor="text1"/>
        </w:rPr>
      </w:pPr>
      <w:r w:rsidRPr="00FA09CC">
        <w:rPr>
          <w:b/>
          <w:color w:val="000000" w:themeColor="text1"/>
        </w:rPr>
        <w:t>Paragraf 28</w:t>
      </w:r>
      <w:r w:rsidR="00A75556" w:rsidRPr="00FA09CC">
        <w:rPr>
          <w:b/>
          <w:color w:val="000000" w:themeColor="text1"/>
        </w:rPr>
        <w:t>2</w:t>
      </w:r>
      <w:r w:rsidR="000A0A05" w:rsidRPr="00FA09CC">
        <w:rPr>
          <w:b/>
          <w:color w:val="000000" w:themeColor="text1"/>
        </w:rPr>
        <w:t xml:space="preserve"> – nakazy i zakazy doraźne</w:t>
      </w:r>
    </w:p>
    <w:p w:rsidR="00176C71" w:rsidRPr="00FA09CC" w:rsidRDefault="00F9561C" w:rsidP="0024594C">
      <w:pPr>
        <w:ind w:left="0" w:firstLine="0"/>
        <w:rPr>
          <w:rFonts w:eastAsia="Times New Roman"/>
          <w:lang w:eastAsia="pl-PL"/>
        </w:rPr>
      </w:pPr>
      <w:r w:rsidRPr="00FA09CC">
        <w:rPr>
          <w:color w:val="000000" w:themeColor="text1"/>
        </w:rPr>
        <w:t>Podjęte zostały prace</w:t>
      </w:r>
      <w:r w:rsidRPr="00FA09CC">
        <w:rPr>
          <w:b/>
          <w:color w:val="000000" w:themeColor="text1"/>
        </w:rPr>
        <w:t xml:space="preserve"> </w:t>
      </w:r>
      <w:r w:rsidR="000A0A05" w:rsidRPr="00FA09CC">
        <w:rPr>
          <w:rFonts w:eastAsia="Times New Roman"/>
        </w:rPr>
        <w:t>nad wprowadzeniem do polskiego porządku prawnego zakazu zbliżania się do osoby</w:t>
      </w:r>
      <w:r w:rsidR="00A46795" w:rsidRPr="00FA09CC">
        <w:rPr>
          <w:rFonts w:eastAsia="Times New Roman"/>
        </w:rPr>
        <w:t xml:space="preserve">. </w:t>
      </w:r>
      <w:r w:rsidR="00C15B6D" w:rsidRPr="00FA09CC">
        <w:rPr>
          <w:rFonts w:eastAsia="Times New Roman"/>
        </w:rPr>
        <w:t>Na mocy p</w:t>
      </w:r>
      <w:r w:rsidR="00A46795" w:rsidRPr="00FA09CC">
        <w:rPr>
          <w:rFonts w:eastAsia="Times New Roman"/>
        </w:rPr>
        <w:t>rzygotowywan</w:t>
      </w:r>
      <w:r w:rsidR="00C15B6D" w:rsidRPr="00FA09CC">
        <w:rPr>
          <w:rFonts w:eastAsia="Times New Roman"/>
        </w:rPr>
        <w:t xml:space="preserve">ej obecnie </w:t>
      </w:r>
      <w:r w:rsidR="00A46795" w:rsidRPr="00FA09CC">
        <w:rPr>
          <w:rFonts w:eastAsia="Times New Roman"/>
        </w:rPr>
        <w:t>nowelizacj</w:t>
      </w:r>
      <w:r w:rsidR="00C15B6D" w:rsidRPr="00FA09CC">
        <w:rPr>
          <w:rFonts w:eastAsia="Times New Roman"/>
        </w:rPr>
        <w:t>i</w:t>
      </w:r>
      <w:r w:rsidR="00A46795" w:rsidRPr="00FA09CC">
        <w:rPr>
          <w:rFonts w:eastAsia="Times New Roman"/>
        </w:rPr>
        <w:t xml:space="preserve"> </w:t>
      </w:r>
      <w:r w:rsidR="008623F8" w:rsidRPr="00FA09CC">
        <w:rPr>
          <w:rFonts w:eastAsia="Times New Roman"/>
          <w:lang w:eastAsia="pl-PL"/>
        </w:rPr>
        <w:t>ustawy o zmianie ustawy – Kodeks postępowania cywilnego oraz niektórych innych ustaw</w:t>
      </w:r>
      <w:r w:rsidR="00822B16">
        <w:rPr>
          <w:rFonts w:eastAsia="Times New Roman"/>
          <w:lang w:eastAsia="pl-PL"/>
        </w:rPr>
        <w:t xml:space="preserve"> (tzw. ustawa antyprzemocowa)</w:t>
      </w:r>
      <w:r w:rsidR="001666B9">
        <w:rPr>
          <w:rFonts w:eastAsia="Times New Roman"/>
          <w:lang w:eastAsia="pl-PL"/>
        </w:rPr>
        <w:t>,</w:t>
      </w:r>
      <w:r w:rsidR="008623F8" w:rsidRPr="00FA09CC">
        <w:rPr>
          <w:rFonts w:eastAsia="Times New Roman"/>
          <w:lang w:eastAsia="pl-PL"/>
        </w:rPr>
        <w:t xml:space="preserve"> uzupełni</w:t>
      </w:r>
      <w:r w:rsidR="00DB5FE3" w:rsidRPr="00FA09CC">
        <w:rPr>
          <w:rFonts w:eastAsia="Times New Roman"/>
          <w:lang w:eastAsia="pl-PL"/>
        </w:rPr>
        <w:t>ony zostanie</w:t>
      </w:r>
      <w:r w:rsidR="008623F8" w:rsidRPr="00FA09CC">
        <w:rPr>
          <w:rFonts w:eastAsia="Times New Roman"/>
          <w:lang w:eastAsia="pl-PL"/>
        </w:rPr>
        <w:t xml:space="preserve"> katalog środków możliwych do </w:t>
      </w:r>
      <w:r w:rsidR="00176C71" w:rsidRPr="00FA09CC">
        <w:rPr>
          <w:rFonts w:eastAsia="Times New Roman"/>
          <w:lang w:eastAsia="pl-PL"/>
        </w:rPr>
        <w:t xml:space="preserve">natychmiastowego </w:t>
      </w:r>
      <w:r w:rsidR="008623F8" w:rsidRPr="00FA09CC">
        <w:rPr>
          <w:rFonts w:eastAsia="Times New Roman"/>
          <w:lang w:eastAsia="pl-PL"/>
        </w:rPr>
        <w:t>zastosowania przez Policję i Żandarmerię Wojskową oraz katalog środków ochrony, które będzie mógł orzec sąd prowadząc postępowania na podstawie ustawy o przeciwdziałaniu przemocy w rodzinie</w:t>
      </w:r>
      <w:r w:rsidR="00C639C4" w:rsidRPr="00FA09CC">
        <w:rPr>
          <w:rFonts w:eastAsia="Times New Roman"/>
          <w:lang w:eastAsia="pl-PL"/>
        </w:rPr>
        <w:t>.</w:t>
      </w:r>
      <w:r w:rsidR="008623F8" w:rsidRPr="00FA09CC">
        <w:rPr>
          <w:rFonts w:eastAsia="Times New Roman"/>
          <w:lang w:eastAsia="pl-PL"/>
        </w:rPr>
        <w:t xml:space="preserve"> Zgodnie z projektowanymi przepisami </w:t>
      </w:r>
      <w:r w:rsidR="00176C71" w:rsidRPr="00FA09CC">
        <w:rPr>
          <w:rFonts w:eastAsia="Times New Roman"/>
          <w:lang w:eastAsia="pl-PL"/>
        </w:rPr>
        <w:t>p</w:t>
      </w:r>
      <w:r w:rsidR="008623F8" w:rsidRPr="00FA09CC">
        <w:rPr>
          <w:rFonts w:eastAsia="Times New Roman"/>
          <w:lang w:eastAsia="pl-PL"/>
        </w:rPr>
        <w:t xml:space="preserve">olicjant oraz </w:t>
      </w:r>
      <w:r w:rsidR="00176C71" w:rsidRPr="00FA09CC">
        <w:rPr>
          <w:rFonts w:eastAsia="Times New Roman"/>
          <w:lang w:eastAsia="pl-PL"/>
        </w:rPr>
        <w:t>ż</w:t>
      </w:r>
      <w:r w:rsidR="008623F8" w:rsidRPr="00FA09CC">
        <w:rPr>
          <w:rFonts w:eastAsia="Times New Roman"/>
          <w:lang w:eastAsia="pl-PL"/>
        </w:rPr>
        <w:t>ołnierz Żandarmerii Wojskowej będą mieli prawo wydać osob</w:t>
      </w:r>
      <w:r w:rsidR="00176C71" w:rsidRPr="00FA09CC">
        <w:rPr>
          <w:rFonts w:eastAsia="Times New Roman"/>
          <w:lang w:eastAsia="pl-PL"/>
        </w:rPr>
        <w:t xml:space="preserve">ie stosującej przemoc w rodzinie, </w:t>
      </w:r>
      <w:r w:rsidR="008623F8" w:rsidRPr="00FA09CC">
        <w:rPr>
          <w:rFonts w:eastAsia="Times New Roman"/>
          <w:lang w:eastAsia="pl-PL"/>
        </w:rPr>
        <w:lastRenderedPageBreak/>
        <w:t xml:space="preserve">stwarzającej zagrożenie dla życia lub zdrowia osoby dotkniętej przemocą, zakaz zbliżania się do tej osoby na </w:t>
      </w:r>
      <w:r w:rsidR="00C62327" w:rsidRPr="00FA09CC">
        <w:rPr>
          <w:rFonts w:eastAsia="Times New Roman"/>
          <w:lang w:eastAsia="pl-PL"/>
        </w:rPr>
        <w:t xml:space="preserve">odległość </w:t>
      </w:r>
      <w:r w:rsidR="008623F8" w:rsidRPr="00FA09CC">
        <w:rPr>
          <w:rFonts w:eastAsia="Times New Roman"/>
          <w:lang w:eastAsia="pl-PL"/>
        </w:rPr>
        <w:t>wyrażoną w metrach.</w:t>
      </w:r>
      <w:r w:rsidR="00176C71" w:rsidRPr="00FA09CC">
        <w:rPr>
          <w:rFonts w:eastAsia="Times New Roman"/>
          <w:lang w:eastAsia="pl-PL"/>
        </w:rPr>
        <w:t xml:space="preserve"> </w:t>
      </w:r>
      <w:r w:rsidR="008623F8" w:rsidRPr="00FA09CC">
        <w:rPr>
          <w:rFonts w:eastAsia="Times New Roman"/>
          <w:lang w:eastAsia="pl-PL"/>
        </w:rPr>
        <w:t xml:space="preserve">Zakaz zbliżania </w:t>
      </w:r>
      <w:r w:rsidR="00176C71" w:rsidRPr="00FA09CC">
        <w:rPr>
          <w:rFonts w:eastAsia="Times New Roman"/>
          <w:lang w:eastAsia="pl-PL"/>
        </w:rPr>
        <w:t xml:space="preserve">będzie obowiązywał </w:t>
      </w:r>
      <w:r w:rsidR="008623F8" w:rsidRPr="00FA09CC">
        <w:rPr>
          <w:rFonts w:eastAsia="Times New Roman"/>
          <w:lang w:eastAsia="pl-PL"/>
        </w:rPr>
        <w:t>14 dni</w:t>
      </w:r>
      <w:r w:rsidR="00176C71" w:rsidRPr="00FA09CC">
        <w:rPr>
          <w:rFonts w:eastAsia="Times New Roman"/>
          <w:lang w:eastAsia="pl-PL"/>
        </w:rPr>
        <w:t>, ale sąd będzie mógł</w:t>
      </w:r>
      <w:r w:rsidR="008623F8" w:rsidRPr="00FA09CC">
        <w:rPr>
          <w:rFonts w:eastAsia="Times New Roman"/>
          <w:lang w:eastAsia="pl-PL"/>
        </w:rPr>
        <w:t xml:space="preserve"> przedłużyć jego stosowanie</w:t>
      </w:r>
      <w:r w:rsidR="00822B16">
        <w:rPr>
          <w:rFonts w:eastAsia="Times New Roman"/>
          <w:lang w:eastAsia="pl-PL"/>
        </w:rPr>
        <w:t>, a nawet orzec bezterminowy zakaz zbliżania</w:t>
      </w:r>
      <w:r w:rsidR="00EA0AA2">
        <w:rPr>
          <w:rFonts w:eastAsia="Times New Roman"/>
          <w:lang w:eastAsia="pl-PL"/>
        </w:rPr>
        <w:t xml:space="preserve"> się</w:t>
      </w:r>
      <w:r w:rsidR="008623F8" w:rsidRPr="00FA09CC">
        <w:rPr>
          <w:rFonts w:eastAsia="Times New Roman"/>
          <w:lang w:eastAsia="pl-PL"/>
        </w:rPr>
        <w:t xml:space="preserve">. </w:t>
      </w:r>
    </w:p>
    <w:p w:rsidR="008623F8" w:rsidRPr="00FA09CC" w:rsidRDefault="008623F8" w:rsidP="0024594C">
      <w:pPr>
        <w:suppressAutoHyphens/>
        <w:autoSpaceDE w:val="0"/>
        <w:autoSpaceDN w:val="0"/>
        <w:adjustRightInd w:val="0"/>
        <w:ind w:left="0" w:firstLine="0"/>
        <w:rPr>
          <w:rFonts w:eastAsia="Times New Roman"/>
          <w:lang w:eastAsia="pl-PL"/>
        </w:rPr>
      </w:pPr>
      <w:r w:rsidRPr="00FA09CC">
        <w:rPr>
          <w:rFonts w:eastAsia="Times New Roman"/>
          <w:lang w:eastAsia="pl-PL"/>
        </w:rPr>
        <w:t>Rozpoznając sprawę o zmianę lub uchylenie postanowienia o zakazie zbliżania</w:t>
      </w:r>
      <w:r w:rsidR="00802A22">
        <w:rPr>
          <w:rFonts w:eastAsia="Times New Roman"/>
          <w:lang w:eastAsia="pl-PL"/>
        </w:rPr>
        <w:t xml:space="preserve"> się</w:t>
      </w:r>
      <w:r w:rsidRPr="00FA09CC">
        <w:rPr>
          <w:rFonts w:eastAsia="Times New Roman"/>
          <w:lang w:eastAsia="pl-PL"/>
        </w:rPr>
        <w:t>, sąd będzie uwzględniał okoliczności dotyczące osób dotkniętych przemocą oraz osób stosujących przemoc w rodzinie, w tym</w:t>
      </w:r>
      <w:r w:rsidR="00C62327">
        <w:rPr>
          <w:rFonts w:eastAsia="Times New Roman"/>
          <w:lang w:eastAsia="pl-PL"/>
        </w:rPr>
        <w:t>,</w:t>
      </w:r>
      <w:r w:rsidRPr="00FA09CC">
        <w:rPr>
          <w:rFonts w:eastAsia="Times New Roman"/>
          <w:lang w:eastAsia="pl-PL"/>
        </w:rPr>
        <w:t xml:space="preserve"> w szczególności</w:t>
      </w:r>
      <w:r w:rsidR="00C62327">
        <w:rPr>
          <w:rFonts w:eastAsia="Times New Roman"/>
          <w:lang w:eastAsia="pl-PL"/>
        </w:rPr>
        <w:t>,</w:t>
      </w:r>
      <w:r w:rsidRPr="00FA09CC">
        <w:rPr>
          <w:rFonts w:eastAsia="Times New Roman"/>
          <w:lang w:eastAsia="pl-PL"/>
        </w:rPr>
        <w:t xml:space="preserve"> informacje o przebiegu i efektach działań podjętych i udokumentowanych w ramach procedury </w:t>
      </w:r>
      <w:r w:rsidR="00C62327">
        <w:rPr>
          <w:rFonts w:eastAsia="Times New Roman"/>
          <w:lang w:eastAsia="pl-PL"/>
        </w:rPr>
        <w:t>„</w:t>
      </w:r>
      <w:r w:rsidRPr="00FA09CC">
        <w:rPr>
          <w:rFonts w:eastAsia="Times New Roman"/>
          <w:lang w:eastAsia="pl-PL"/>
        </w:rPr>
        <w:t>Niebieskiej Karty</w:t>
      </w:r>
      <w:r w:rsidR="00C62327">
        <w:rPr>
          <w:rFonts w:eastAsia="Times New Roman"/>
          <w:lang w:eastAsia="pl-PL"/>
        </w:rPr>
        <w:t>”</w:t>
      </w:r>
      <w:r w:rsidRPr="00FA09CC">
        <w:rPr>
          <w:rFonts w:eastAsia="Times New Roman"/>
          <w:lang w:eastAsia="pl-PL"/>
        </w:rPr>
        <w:t xml:space="preserve">, o udziale </w:t>
      </w:r>
      <w:r w:rsidR="008350C3">
        <w:rPr>
          <w:rFonts w:eastAsia="Times New Roman"/>
          <w:lang w:eastAsia="pl-PL"/>
        </w:rPr>
        <w:br/>
      </w:r>
      <w:r w:rsidRPr="00FA09CC">
        <w:rPr>
          <w:rFonts w:eastAsia="Times New Roman"/>
          <w:lang w:eastAsia="pl-PL"/>
        </w:rPr>
        <w:t xml:space="preserve">i efektach </w:t>
      </w:r>
      <w:r w:rsidR="00C62327">
        <w:rPr>
          <w:rFonts w:eastAsia="Times New Roman"/>
          <w:lang w:eastAsia="pl-PL"/>
        </w:rPr>
        <w:t>udziału</w:t>
      </w:r>
      <w:r w:rsidRPr="00FA09CC">
        <w:rPr>
          <w:rFonts w:eastAsia="Times New Roman"/>
          <w:lang w:eastAsia="pl-PL"/>
        </w:rPr>
        <w:t xml:space="preserve"> w </w:t>
      </w:r>
      <w:r w:rsidR="00822B16">
        <w:rPr>
          <w:rFonts w:eastAsia="Times New Roman"/>
          <w:lang w:eastAsia="pl-PL"/>
        </w:rPr>
        <w:t xml:space="preserve">programach </w:t>
      </w:r>
      <w:r w:rsidRPr="00FA09CC">
        <w:rPr>
          <w:rFonts w:eastAsia="Times New Roman"/>
          <w:lang w:eastAsia="pl-PL"/>
        </w:rPr>
        <w:t>od</w:t>
      </w:r>
      <w:r w:rsidR="00176C71" w:rsidRPr="00FA09CC">
        <w:rPr>
          <w:rFonts w:eastAsia="Times New Roman"/>
          <w:lang w:eastAsia="pl-PL"/>
        </w:rPr>
        <w:t>d</w:t>
      </w:r>
      <w:r w:rsidRPr="00FA09CC">
        <w:rPr>
          <w:rFonts w:eastAsia="Times New Roman"/>
          <w:lang w:eastAsia="pl-PL"/>
        </w:rPr>
        <w:t>ziaływa</w:t>
      </w:r>
      <w:r w:rsidR="00822B16">
        <w:rPr>
          <w:rFonts w:eastAsia="Times New Roman"/>
          <w:lang w:eastAsia="pl-PL"/>
        </w:rPr>
        <w:t>ń</w:t>
      </w:r>
      <w:r w:rsidRPr="00FA09CC">
        <w:rPr>
          <w:rFonts w:eastAsia="Times New Roman"/>
          <w:lang w:eastAsia="pl-PL"/>
        </w:rPr>
        <w:t xml:space="preserve"> korekcyjno-edukacyjnych, </w:t>
      </w:r>
      <w:r w:rsidR="00C62327">
        <w:rPr>
          <w:rFonts w:eastAsia="Times New Roman"/>
          <w:lang w:eastAsia="pl-PL"/>
        </w:rPr>
        <w:t xml:space="preserve">jak też </w:t>
      </w:r>
      <w:r w:rsidRPr="00FA09CC">
        <w:rPr>
          <w:rFonts w:eastAsia="Times New Roman"/>
          <w:lang w:eastAsia="pl-PL"/>
        </w:rPr>
        <w:t xml:space="preserve">o udziale </w:t>
      </w:r>
      <w:r w:rsidR="008350C3">
        <w:rPr>
          <w:rFonts w:eastAsia="Times New Roman"/>
          <w:lang w:eastAsia="pl-PL"/>
        </w:rPr>
        <w:br/>
      </w:r>
      <w:r w:rsidRPr="00FA09CC">
        <w:rPr>
          <w:rFonts w:eastAsia="Times New Roman"/>
          <w:lang w:eastAsia="pl-PL"/>
        </w:rPr>
        <w:t>i efektach u</w:t>
      </w:r>
      <w:r w:rsidR="00C62327">
        <w:rPr>
          <w:rFonts w:eastAsia="Times New Roman"/>
          <w:lang w:eastAsia="pl-PL"/>
        </w:rPr>
        <w:t>działu</w:t>
      </w:r>
      <w:r w:rsidRPr="00FA09CC">
        <w:rPr>
          <w:rFonts w:eastAsia="Times New Roman"/>
          <w:lang w:eastAsia="pl-PL"/>
        </w:rPr>
        <w:t xml:space="preserve"> w terapii uzależnień.</w:t>
      </w:r>
    </w:p>
    <w:p w:rsidR="00822B16" w:rsidRPr="00FA09CC" w:rsidRDefault="00822B16" w:rsidP="00822B16">
      <w:pPr>
        <w:suppressAutoHyphens/>
        <w:autoSpaceDE w:val="0"/>
        <w:autoSpaceDN w:val="0"/>
        <w:adjustRightInd w:val="0"/>
        <w:ind w:left="0" w:firstLine="0"/>
        <w:rPr>
          <w:rFonts w:eastAsia="Times New Roman"/>
          <w:lang w:eastAsia="pl-PL"/>
        </w:rPr>
      </w:pPr>
      <w:r w:rsidRPr="007E0536">
        <w:rPr>
          <w:rFonts w:eastAsia="Times New Roman"/>
          <w:lang w:eastAsia="pl-PL"/>
        </w:rPr>
        <w:t>Projekt</w:t>
      </w:r>
      <w:r>
        <w:rPr>
          <w:rFonts w:eastAsia="Times New Roman"/>
          <w:lang w:eastAsia="pl-PL"/>
        </w:rPr>
        <w:t xml:space="preserve"> nowelizacji przewiduje </w:t>
      </w:r>
      <w:r w:rsidR="00313A1D">
        <w:rPr>
          <w:rFonts w:eastAsia="Times New Roman"/>
          <w:lang w:eastAsia="pl-PL"/>
        </w:rPr>
        <w:t xml:space="preserve">także </w:t>
      </w:r>
      <w:r w:rsidRPr="007E0536">
        <w:rPr>
          <w:rFonts w:eastAsia="Times New Roman"/>
          <w:lang w:eastAsia="pl-PL"/>
        </w:rPr>
        <w:t>przyzna</w:t>
      </w:r>
      <w:r>
        <w:rPr>
          <w:rFonts w:eastAsia="Times New Roman"/>
          <w:lang w:eastAsia="pl-PL"/>
        </w:rPr>
        <w:t>nie s</w:t>
      </w:r>
      <w:r w:rsidRPr="007E0536">
        <w:rPr>
          <w:rFonts w:eastAsia="Times New Roman"/>
          <w:lang w:eastAsia="pl-PL"/>
        </w:rPr>
        <w:t>łużbom możliwoś</w:t>
      </w:r>
      <w:r>
        <w:rPr>
          <w:rFonts w:eastAsia="Times New Roman"/>
          <w:lang w:eastAsia="pl-PL"/>
        </w:rPr>
        <w:t>ci</w:t>
      </w:r>
      <w:r w:rsidRPr="007E0536">
        <w:rPr>
          <w:rFonts w:eastAsia="Times New Roman"/>
          <w:lang w:eastAsia="pl-PL"/>
        </w:rPr>
        <w:t xml:space="preserve"> wydania natychmiastowego zakazu kontaktowania się z osobą dotkniętą przemocą, zakazu wstępu </w:t>
      </w:r>
      <w:r w:rsidR="008350C3">
        <w:rPr>
          <w:rFonts w:eastAsia="Times New Roman"/>
          <w:lang w:eastAsia="pl-PL"/>
        </w:rPr>
        <w:br/>
      </w:r>
      <w:r w:rsidRPr="007E0536">
        <w:rPr>
          <w:rFonts w:eastAsia="Times New Roman"/>
          <w:lang w:eastAsia="pl-PL"/>
        </w:rPr>
        <w:t xml:space="preserve">i przebywania w jej miejscu pracy, zakazu wstępu i przebywania na terenie szkoły, placówki oświatowo-wychowawczej, opiekuńczej, artystycznej, obiektu sportowego, do których uczęszcza osoba dotknięta przemocą. </w:t>
      </w:r>
      <w:r>
        <w:rPr>
          <w:rFonts w:eastAsia="Times New Roman"/>
          <w:lang w:eastAsia="pl-PL"/>
        </w:rPr>
        <w:t xml:space="preserve">Odpowiednio </w:t>
      </w:r>
      <w:r w:rsidRPr="007E0536">
        <w:rPr>
          <w:rFonts w:eastAsia="Times New Roman"/>
          <w:lang w:eastAsia="pl-PL"/>
        </w:rPr>
        <w:t xml:space="preserve">poszerzony </w:t>
      </w:r>
      <w:r>
        <w:rPr>
          <w:rFonts w:eastAsia="Times New Roman"/>
          <w:lang w:eastAsia="pl-PL"/>
        </w:rPr>
        <w:t xml:space="preserve">zostanie </w:t>
      </w:r>
      <w:r w:rsidRPr="007E0536">
        <w:rPr>
          <w:rFonts w:eastAsia="Times New Roman"/>
          <w:lang w:eastAsia="pl-PL"/>
        </w:rPr>
        <w:t>katalog środków ochrony orzekanych przez sąd.</w:t>
      </w:r>
    </w:p>
    <w:p w:rsidR="009C0423" w:rsidRDefault="009C0423" w:rsidP="009C0423">
      <w:pPr>
        <w:suppressAutoHyphens/>
        <w:autoSpaceDE w:val="0"/>
        <w:autoSpaceDN w:val="0"/>
        <w:adjustRightInd w:val="0"/>
        <w:ind w:left="0" w:firstLine="0"/>
        <w:rPr>
          <w:rFonts w:eastAsia="Times New Roman"/>
          <w:lang w:eastAsia="pl-PL"/>
        </w:rPr>
      </w:pPr>
      <w:r>
        <w:rPr>
          <w:rFonts w:eastAsia="Times New Roman"/>
          <w:lang w:eastAsia="pl-PL"/>
        </w:rPr>
        <w:t xml:space="preserve">Równolegle opracowywany projekt nowelizacji ustawy o przeciwdziałaniu przemocy </w:t>
      </w:r>
      <w:r>
        <w:rPr>
          <w:rFonts w:eastAsia="Times New Roman"/>
          <w:lang w:eastAsia="pl-PL"/>
        </w:rPr>
        <w:br/>
      </w:r>
      <w:r>
        <w:rPr>
          <w:rFonts w:eastAsia="Times New Roman"/>
          <w:lang w:eastAsia="pl-PL"/>
        </w:rPr>
        <w:t xml:space="preserve">w rodzinie zdefiniuje podmiotowy zakres stosowania zakazu zbliżania się do osoby – będzie on mógł być </w:t>
      </w:r>
      <w:bookmarkStart w:id="7" w:name="_GoBack"/>
      <w:bookmarkEnd w:id="7"/>
      <w:r>
        <w:rPr>
          <w:rFonts w:eastAsia="Times New Roman"/>
          <w:lang w:eastAsia="pl-PL"/>
        </w:rPr>
        <w:t>stosowany wobec, między innymi, osób najbliższych, osób wspólnie zamieszkujących i gospodarujących, byłego małżonka i byłego partnera.</w:t>
      </w:r>
    </w:p>
    <w:p w:rsidR="00812503" w:rsidRPr="00FA09CC" w:rsidRDefault="00812503" w:rsidP="0024594C">
      <w:pPr>
        <w:suppressAutoHyphens/>
        <w:autoSpaceDE w:val="0"/>
        <w:autoSpaceDN w:val="0"/>
        <w:adjustRightInd w:val="0"/>
        <w:ind w:left="0" w:firstLine="0"/>
        <w:rPr>
          <w:rFonts w:eastAsia="Times New Roman"/>
          <w:lang w:eastAsia="pl-PL"/>
        </w:rPr>
      </w:pPr>
    </w:p>
    <w:p w:rsidR="00D206DA" w:rsidRPr="00FA09CC" w:rsidRDefault="00770095" w:rsidP="0024594C">
      <w:pPr>
        <w:ind w:left="0" w:firstLine="0"/>
        <w:rPr>
          <w:b/>
          <w:color w:val="000000" w:themeColor="text1"/>
        </w:rPr>
      </w:pPr>
      <w:r w:rsidRPr="00FA09CC">
        <w:rPr>
          <w:b/>
          <w:color w:val="000000" w:themeColor="text1"/>
        </w:rPr>
        <w:t>Paragraf</w:t>
      </w:r>
      <w:r w:rsidR="00D3173E" w:rsidRPr="00FA09CC">
        <w:rPr>
          <w:b/>
          <w:color w:val="000000" w:themeColor="text1"/>
        </w:rPr>
        <w:t>y 28</w:t>
      </w:r>
      <w:r w:rsidR="00A75556" w:rsidRPr="00FA09CC">
        <w:rPr>
          <w:b/>
          <w:color w:val="000000" w:themeColor="text1"/>
        </w:rPr>
        <w:t>7</w:t>
      </w:r>
      <w:r w:rsidR="00D3173E" w:rsidRPr="00FA09CC">
        <w:rPr>
          <w:b/>
          <w:color w:val="000000" w:themeColor="text1"/>
        </w:rPr>
        <w:t xml:space="preserve"> i</w:t>
      </w:r>
      <w:r w:rsidRPr="00FA09CC">
        <w:rPr>
          <w:b/>
          <w:color w:val="000000" w:themeColor="text1"/>
        </w:rPr>
        <w:t xml:space="preserve"> 28</w:t>
      </w:r>
      <w:r w:rsidR="00A75556" w:rsidRPr="00FA09CC">
        <w:rPr>
          <w:b/>
          <w:color w:val="000000" w:themeColor="text1"/>
        </w:rPr>
        <w:t>8</w:t>
      </w:r>
      <w:r w:rsidR="0009679A" w:rsidRPr="00FA09CC">
        <w:rPr>
          <w:b/>
          <w:color w:val="000000" w:themeColor="text1"/>
        </w:rPr>
        <w:t xml:space="preserve"> </w:t>
      </w:r>
      <w:r w:rsidR="00D206DA" w:rsidRPr="00FA09CC">
        <w:rPr>
          <w:b/>
          <w:color w:val="000000" w:themeColor="text1"/>
        </w:rPr>
        <w:t>–</w:t>
      </w:r>
      <w:r w:rsidR="00DA184C" w:rsidRPr="00FA09CC">
        <w:rPr>
          <w:b/>
          <w:color w:val="000000" w:themeColor="text1"/>
        </w:rPr>
        <w:t xml:space="preserve"> </w:t>
      </w:r>
      <w:r w:rsidR="00D206DA" w:rsidRPr="00FA09CC">
        <w:rPr>
          <w:b/>
          <w:color w:val="000000" w:themeColor="text1"/>
        </w:rPr>
        <w:t>izolacja sprawcy przemocy od ofiary przemocy</w:t>
      </w:r>
    </w:p>
    <w:p w:rsidR="0064445F" w:rsidRPr="00FA09CC" w:rsidRDefault="0064445F" w:rsidP="0024594C">
      <w:pPr>
        <w:autoSpaceDE w:val="0"/>
        <w:autoSpaceDN w:val="0"/>
        <w:adjustRightInd w:val="0"/>
        <w:ind w:left="0" w:firstLine="0"/>
        <w:rPr>
          <w:rFonts w:eastAsiaTheme="minorEastAsia"/>
          <w:lang w:eastAsia="pl-PL"/>
        </w:rPr>
      </w:pPr>
      <w:r w:rsidRPr="00FA09CC">
        <w:rPr>
          <w:rFonts w:eastAsiaTheme="minorEastAsia"/>
          <w:lang w:eastAsia="pl-PL"/>
        </w:rPr>
        <w:t xml:space="preserve">W Ministerstwie Sprawiedliwości przygotowywana jest nowelizacja </w:t>
      </w:r>
      <w:r w:rsidR="00D1587A" w:rsidRPr="00FA09CC">
        <w:rPr>
          <w:rFonts w:eastAsiaTheme="minorEastAsia"/>
          <w:lang w:eastAsia="pl-PL"/>
        </w:rPr>
        <w:t xml:space="preserve">tzw. </w:t>
      </w:r>
      <w:r w:rsidRPr="00FA09CC">
        <w:rPr>
          <w:rFonts w:eastAsiaTheme="minorEastAsia"/>
          <w:lang w:eastAsia="pl-PL"/>
        </w:rPr>
        <w:t xml:space="preserve">ustawy antyprzemocowej. Proponowane zmiany </w:t>
      </w:r>
      <w:r w:rsidR="00D1587A" w:rsidRPr="00FA09CC">
        <w:rPr>
          <w:rFonts w:eastAsiaTheme="minorEastAsia"/>
          <w:lang w:eastAsia="pl-PL"/>
        </w:rPr>
        <w:t>obejmują</w:t>
      </w:r>
      <w:r w:rsidRPr="00FA09CC">
        <w:rPr>
          <w:rFonts w:eastAsiaTheme="minorEastAsia"/>
          <w:lang w:eastAsia="pl-PL"/>
        </w:rPr>
        <w:t>, między innymi:</w:t>
      </w:r>
    </w:p>
    <w:p w:rsidR="0064445F" w:rsidRPr="00FA09CC" w:rsidRDefault="0064445F" w:rsidP="0024594C">
      <w:pPr>
        <w:numPr>
          <w:ilvl w:val="0"/>
          <w:numId w:val="26"/>
        </w:numPr>
        <w:autoSpaceDE w:val="0"/>
        <w:autoSpaceDN w:val="0"/>
        <w:adjustRightInd w:val="0"/>
        <w:rPr>
          <w:rFonts w:eastAsiaTheme="minorEastAsia"/>
          <w:lang w:eastAsia="pl-PL"/>
        </w:rPr>
      </w:pPr>
      <w:r w:rsidRPr="00FA09CC">
        <w:rPr>
          <w:rFonts w:eastAsiaTheme="minorEastAsia"/>
          <w:lang w:eastAsia="pl-PL"/>
        </w:rPr>
        <w:t>wprowadzenie zakazu zbliżania się do osoby</w:t>
      </w:r>
      <w:r w:rsidR="00DB5FE3" w:rsidRPr="00FA09CC">
        <w:rPr>
          <w:rFonts w:eastAsiaTheme="minorEastAsia"/>
          <w:lang w:eastAsia="pl-PL"/>
        </w:rPr>
        <w:t xml:space="preserve"> (patrz uwaga do paragrafu 282)</w:t>
      </w:r>
      <w:r w:rsidRPr="00FA09CC">
        <w:rPr>
          <w:rFonts w:eastAsiaTheme="minorEastAsia"/>
          <w:lang w:eastAsia="pl-PL"/>
        </w:rPr>
        <w:t>,</w:t>
      </w:r>
    </w:p>
    <w:p w:rsidR="0064445F" w:rsidRPr="00FA09CC" w:rsidRDefault="0064445F" w:rsidP="0024594C">
      <w:pPr>
        <w:numPr>
          <w:ilvl w:val="0"/>
          <w:numId w:val="26"/>
        </w:numPr>
        <w:autoSpaceDE w:val="0"/>
        <w:autoSpaceDN w:val="0"/>
        <w:adjustRightInd w:val="0"/>
        <w:rPr>
          <w:rFonts w:eastAsiaTheme="minorEastAsia"/>
          <w:lang w:eastAsia="pl-PL"/>
        </w:rPr>
      </w:pPr>
      <w:r w:rsidRPr="00FA09CC">
        <w:rPr>
          <w:rFonts w:eastAsiaTheme="minorEastAsia"/>
          <w:lang w:eastAsia="pl-PL"/>
        </w:rPr>
        <w:t>wprowadzenie zakazu wstępu i przebywania na terenie szkoły i innych placówek oświatowych oraz zakładów pracy</w:t>
      </w:r>
      <w:r w:rsidR="00251D02">
        <w:rPr>
          <w:rFonts w:eastAsiaTheme="minorEastAsia"/>
          <w:lang w:eastAsia="pl-PL"/>
        </w:rPr>
        <w:t xml:space="preserve"> </w:t>
      </w:r>
      <w:r w:rsidR="00251D02" w:rsidRPr="00FA09CC">
        <w:rPr>
          <w:rFonts w:eastAsiaTheme="minorEastAsia"/>
          <w:lang w:eastAsia="pl-PL"/>
        </w:rPr>
        <w:t>(patrz uwaga do paragrafu 282</w:t>
      </w:r>
      <w:r w:rsidR="00251D02">
        <w:rPr>
          <w:rFonts w:eastAsiaTheme="minorEastAsia"/>
          <w:lang w:eastAsia="pl-PL"/>
        </w:rPr>
        <w:t>)</w:t>
      </w:r>
      <w:r w:rsidRPr="00FA09CC">
        <w:rPr>
          <w:rFonts w:eastAsiaTheme="minorEastAsia"/>
          <w:lang w:eastAsia="pl-PL"/>
        </w:rPr>
        <w:t>,</w:t>
      </w:r>
    </w:p>
    <w:p w:rsidR="0064445F" w:rsidRPr="00FA09CC" w:rsidRDefault="0064445F" w:rsidP="0024594C">
      <w:pPr>
        <w:numPr>
          <w:ilvl w:val="0"/>
          <w:numId w:val="26"/>
        </w:numPr>
        <w:autoSpaceDE w:val="0"/>
        <w:autoSpaceDN w:val="0"/>
        <w:adjustRightInd w:val="0"/>
        <w:rPr>
          <w:rFonts w:eastAsiaTheme="minorEastAsia"/>
          <w:lang w:eastAsia="pl-PL"/>
        </w:rPr>
      </w:pPr>
      <w:r w:rsidRPr="00FA09CC">
        <w:rPr>
          <w:rFonts w:eastAsiaTheme="minorEastAsia"/>
          <w:lang w:eastAsia="pl-PL"/>
        </w:rPr>
        <w:t>modyfikacj</w:t>
      </w:r>
      <w:r w:rsidR="00C42120" w:rsidRPr="00FA09CC">
        <w:rPr>
          <w:rFonts w:eastAsiaTheme="minorEastAsia"/>
          <w:lang w:eastAsia="pl-PL"/>
        </w:rPr>
        <w:t>ę</w:t>
      </w:r>
      <w:r w:rsidRPr="00FA09CC">
        <w:rPr>
          <w:rFonts w:eastAsiaTheme="minorEastAsia"/>
          <w:lang w:eastAsia="pl-PL"/>
        </w:rPr>
        <w:t xml:space="preserve"> przepisu penalizującego niestosowanie się przez sprawcę przemocy </w:t>
      </w:r>
      <w:r w:rsidRPr="00FA09CC">
        <w:rPr>
          <w:rFonts w:eastAsiaTheme="minorEastAsia"/>
          <w:lang w:eastAsia="pl-PL"/>
        </w:rPr>
        <w:br/>
        <w:t>do nakazów/zakazów Policji lub Żandarmerii Wojskowej,</w:t>
      </w:r>
    </w:p>
    <w:p w:rsidR="00900A0E" w:rsidRDefault="000A0A05" w:rsidP="0024594C">
      <w:pPr>
        <w:numPr>
          <w:ilvl w:val="0"/>
          <w:numId w:val="26"/>
        </w:numPr>
        <w:autoSpaceDE w:val="0"/>
        <w:autoSpaceDN w:val="0"/>
        <w:adjustRightInd w:val="0"/>
        <w:rPr>
          <w:rFonts w:eastAsiaTheme="minorEastAsia"/>
          <w:lang w:eastAsia="pl-PL"/>
        </w:rPr>
      </w:pPr>
      <w:r w:rsidRPr="00FA09CC">
        <w:rPr>
          <w:rFonts w:eastAsiaTheme="minorEastAsia"/>
          <w:lang w:eastAsia="pl-PL"/>
        </w:rPr>
        <w:t xml:space="preserve">wprowadzenie do Kodeksu postępowania karnego środka zapobiegawczego </w:t>
      </w:r>
      <w:r w:rsidRPr="00FA09CC">
        <w:rPr>
          <w:rFonts w:eastAsiaTheme="minorEastAsia"/>
          <w:lang w:eastAsia="pl-PL"/>
        </w:rPr>
        <w:br/>
        <w:t>w postaci zakazu zbliżania się do osoby</w:t>
      </w:r>
      <w:r w:rsidR="00900A0E">
        <w:rPr>
          <w:rFonts w:eastAsiaTheme="minorEastAsia"/>
          <w:lang w:eastAsia="pl-PL"/>
        </w:rPr>
        <w:t>,</w:t>
      </w:r>
      <w:r w:rsidRPr="00FA09CC">
        <w:rPr>
          <w:rFonts w:eastAsiaTheme="minorEastAsia"/>
          <w:lang w:eastAsia="pl-PL"/>
        </w:rPr>
        <w:t xml:space="preserve"> </w:t>
      </w:r>
    </w:p>
    <w:p w:rsidR="0064445F" w:rsidRPr="00FA09CC" w:rsidRDefault="000A0A05" w:rsidP="0024594C">
      <w:pPr>
        <w:numPr>
          <w:ilvl w:val="0"/>
          <w:numId w:val="26"/>
        </w:numPr>
        <w:autoSpaceDE w:val="0"/>
        <w:autoSpaceDN w:val="0"/>
        <w:adjustRightInd w:val="0"/>
        <w:rPr>
          <w:rFonts w:eastAsiaTheme="minorEastAsia"/>
          <w:lang w:eastAsia="pl-PL"/>
        </w:rPr>
      </w:pPr>
      <w:r w:rsidRPr="00FA09CC">
        <w:rPr>
          <w:rFonts w:eastAsiaTheme="minorEastAsia"/>
          <w:lang w:eastAsia="pl-PL"/>
        </w:rPr>
        <w:t>opracowanie procedury przesłuchania pokrzywdzonego oraz świadka niepełnosprawn</w:t>
      </w:r>
      <w:r w:rsidR="00802A22">
        <w:rPr>
          <w:rFonts w:eastAsiaTheme="minorEastAsia"/>
          <w:lang w:eastAsia="pl-PL"/>
        </w:rPr>
        <w:t>ego</w:t>
      </w:r>
      <w:r w:rsidRPr="00FA09CC">
        <w:rPr>
          <w:rFonts w:eastAsiaTheme="minorEastAsia"/>
          <w:lang w:eastAsia="pl-PL"/>
        </w:rPr>
        <w:t xml:space="preserve"> intelektualn</w:t>
      </w:r>
      <w:r w:rsidR="00802A22">
        <w:rPr>
          <w:rFonts w:eastAsiaTheme="minorEastAsia"/>
          <w:lang w:eastAsia="pl-PL"/>
        </w:rPr>
        <w:t>ie</w:t>
      </w:r>
      <w:r w:rsidRPr="00FA09CC">
        <w:rPr>
          <w:rFonts w:eastAsiaTheme="minorEastAsia"/>
          <w:lang w:eastAsia="pl-PL"/>
        </w:rPr>
        <w:t>,</w:t>
      </w:r>
    </w:p>
    <w:p w:rsidR="0064445F" w:rsidRPr="00FA09CC" w:rsidRDefault="000A0A05" w:rsidP="0024594C">
      <w:pPr>
        <w:numPr>
          <w:ilvl w:val="0"/>
          <w:numId w:val="26"/>
        </w:numPr>
        <w:autoSpaceDE w:val="0"/>
        <w:autoSpaceDN w:val="0"/>
        <w:adjustRightInd w:val="0"/>
        <w:rPr>
          <w:rFonts w:eastAsiaTheme="minorEastAsia"/>
          <w:lang w:eastAsia="pl-PL"/>
        </w:rPr>
      </w:pPr>
      <w:r w:rsidRPr="00FA09CC">
        <w:rPr>
          <w:rFonts w:eastAsiaTheme="minorEastAsia"/>
          <w:lang w:eastAsia="pl-PL"/>
        </w:rPr>
        <w:t xml:space="preserve">wprowadzenie do ustawy o broni i amunicji regulacji dotyczących możliwości wydania </w:t>
      </w:r>
      <w:r w:rsidRPr="00FA09CC">
        <w:rPr>
          <w:rFonts w:eastAsiaTheme="minorEastAsia"/>
          <w:lang w:eastAsia="pl-PL"/>
        </w:rPr>
        <w:br/>
        <w:t>i odebrania broni sprawcy przemocy w rodzinie</w:t>
      </w:r>
      <w:r w:rsidR="0064445F" w:rsidRPr="00FA09CC">
        <w:rPr>
          <w:rFonts w:eastAsiaTheme="minorEastAsia"/>
          <w:lang w:eastAsia="pl-PL"/>
        </w:rPr>
        <w:t>.</w:t>
      </w:r>
    </w:p>
    <w:p w:rsidR="00D3173E" w:rsidRPr="00FA09CC" w:rsidRDefault="00D3173E" w:rsidP="0024594C">
      <w:pPr>
        <w:ind w:left="0" w:firstLine="0"/>
        <w:rPr>
          <w:color w:val="000000" w:themeColor="text1"/>
        </w:rPr>
      </w:pPr>
    </w:p>
    <w:p w:rsidR="00CC3DE5" w:rsidRPr="00FA09CC" w:rsidRDefault="00CC3DE5" w:rsidP="0024594C">
      <w:pPr>
        <w:ind w:left="0" w:firstLine="0"/>
        <w:rPr>
          <w:b/>
          <w:color w:val="000000" w:themeColor="text1"/>
        </w:rPr>
      </w:pPr>
      <w:r w:rsidRPr="00FA09CC">
        <w:rPr>
          <w:b/>
          <w:color w:val="000000" w:themeColor="text1"/>
        </w:rPr>
        <w:t>Paragraf 305</w:t>
      </w:r>
      <w:r w:rsidR="00720927" w:rsidRPr="00FA09CC">
        <w:rPr>
          <w:b/>
          <w:color w:val="000000" w:themeColor="text1"/>
        </w:rPr>
        <w:t xml:space="preserve"> </w:t>
      </w:r>
      <w:r w:rsidR="001710D2">
        <w:rPr>
          <w:b/>
          <w:color w:val="000000" w:themeColor="text1"/>
        </w:rPr>
        <w:t>–</w:t>
      </w:r>
      <w:r w:rsidRPr="00FA09CC">
        <w:rPr>
          <w:b/>
          <w:color w:val="000000" w:themeColor="text1"/>
        </w:rPr>
        <w:t xml:space="preserve"> wzmocnienie</w:t>
      </w:r>
      <w:r w:rsidR="001710D2">
        <w:rPr>
          <w:b/>
          <w:color w:val="000000" w:themeColor="text1"/>
        </w:rPr>
        <w:t xml:space="preserve"> </w:t>
      </w:r>
      <w:r w:rsidRPr="00FA09CC">
        <w:rPr>
          <w:b/>
          <w:color w:val="000000" w:themeColor="text1"/>
        </w:rPr>
        <w:t>ochrony ofiar przemocy w toku postępowania sądowego</w:t>
      </w:r>
    </w:p>
    <w:p w:rsidR="00CC3DE5" w:rsidRPr="00FA09CC" w:rsidRDefault="00CC3DE5" w:rsidP="0024594C">
      <w:pPr>
        <w:autoSpaceDE w:val="0"/>
        <w:autoSpaceDN w:val="0"/>
        <w:adjustRightInd w:val="0"/>
        <w:ind w:left="0" w:firstLine="0"/>
        <w:rPr>
          <w:rFonts w:eastAsiaTheme="minorEastAsia"/>
          <w:b/>
          <w:bCs/>
          <w:lang w:eastAsia="pl-PL"/>
        </w:rPr>
      </w:pPr>
      <w:r w:rsidRPr="00FA09CC">
        <w:rPr>
          <w:rFonts w:eastAsiaTheme="minorEastAsia"/>
          <w:lang w:eastAsia="pl-PL"/>
        </w:rPr>
        <w:t>Ministerstwo Sprawiedliwości podjęło działania zmierzające do wzmocnienia pozycji oraz zwiększenia zabezpieczenia interesów osób małoletnich – pokrzywdzonych i świadków przestępstw</w:t>
      </w:r>
      <w:r w:rsidR="001B23C8">
        <w:rPr>
          <w:rFonts w:eastAsiaTheme="minorEastAsia"/>
          <w:lang w:eastAsia="pl-PL"/>
        </w:rPr>
        <w:t>,</w:t>
      </w:r>
      <w:r w:rsidRPr="00FA09CC">
        <w:rPr>
          <w:rFonts w:eastAsiaTheme="minorEastAsia"/>
          <w:lang w:eastAsia="pl-PL"/>
        </w:rPr>
        <w:t xml:space="preserve"> a także osób dorosłych</w:t>
      </w:r>
      <w:r w:rsidR="000A777E">
        <w:rPr>
          <w:rFonts w:eastAsiaTheme="minorEastAsia"/>
          <w:lang w:eastAsia="pl-PL"/>
        </w:rPr>
        <w:t>,</w:t>
      </w:r>
      <w:r w:rsidRPr="00FA09CC">
        <w:rPr>
          <w:rFonts w:eastAsiaTheme="minorEastAsia"/>
          <w:lang w:eastAsia="pl-PL"/>
        </w:rPr>
        <w:t xml:space="preserve"> pokrzywdzonych przestępstwami przeciwko wolności seksualnej i obyczajności (zmiany w Kodeksie postępowania karnego oraz Kodeksie karnym wykonawczym). </w:t>
      </w:r>
      <w:r w:rsidRPr="00FA09CC">
        <w:rPr>
          <w:rFonts w:eastAsiaTheme="minorEastAsia"/>
          <w:bCs/>
          <w:lang w:eastAsia="pl-PL"/>
        </w:rPr>
        <w:t>Zmiany będą dotyczyć, w szczególności:</w:t>
      </w:r>
    </w:p>
    <w:p w:rsidR="00CC3DE5" w:rsidRPr="00FA09CC" w:rsidRDefault="00CC3DE5" w:rsidP="0024594C">
      <w:pPr>
        <w:numPr>
          <w:ilvl w:val="0"/>
          <w:numId w:val="29"/>
        </w:numPr>
        <w:autoSpaceDE w:val="0"/>
        <w:autoSpaceDN w:val="0"/>
        <w:adjustRightInd w:val="0"/>
        <w:rPr>
          <w:rFonts w:eastAsiaTheme="minorEastAsia"/>
          <w:lang w:eastAsia="pl-PL"/>
        </w:rPr>
      </w:pPr>
      <w:r w:rsidRPr="00FA09CC">
        <w:rPr>
          <w:rFonts w:eastAsiaTheme="minorEastAsia"/>
          <w:lang w:eastAsia="pl-PL"/>
        </w:rPr>
        <w:t xml:space="preserve">wzmocnienia i dostosowania form pouczeń i informowania małoletnich o ich prawach </w:t>
      </w:r>
      <w:r w:rsidR="008350C3">
        <w:rPr>
          <w:rFonts w:eastAsiaTheme="minorEastAsia"/>
          <w:lang w:eastAsia="pl-PL"/>
        </w:rPr>
        <w:br/>
      </w:r>
      <w:r w:rsidRPr="00FA09CC">
        <w:rPr>
          <w:rFonts w:eastAsiaTheme="minorEastAsia"/>
          <w:lang w:eastAsia="pl-PL"/>
        </w:rPr>
        <w:t>i obowiązkach,</w:t>
      </w:r>
    </w:p>
    <w:p w:rsidR="00CC3DE5" w:rsidRPr="00FA09CC" w:rsidRDefault="00CC3DE5" w:rsidP="0024594C">
      <w:pPr>
        <w:numPr>
          <w:ilvl w:val="0"/>
          <w:numId w:val="29"/>
        </w:numPr>
        <w:autoSpaceDE w:val="0"/>
        <w:autoSpaceDN w:val="0"/>
        <w:adjustRightInd w:val="0"/>
        <w:rPr>
          <w:rFonts w:eastAsiaTheme="minorEastAsia"/>
          <w:lang w:eastAsia="pl-PL"/>
        </w:rPr>
      </w:pPr>
      <w:r w:rsidRPr="00FA09CC">
        <w:rPr>
          <w:rFonts w:eastAsiaTheme="minorEastAsia"/>
          <w:lang w:eastAsia="pl-PL"/>
        </w:rPr>
        <w:t>ochrony osób przesłuchiwanych,</w:t>
      </w:r>
    </w:p>
    <w:p w:rsidR="00CC3DE5" w:rsidRPr="00FA09CC" w:rsidRDefault="000A0A05" w:rsidP="0024594C">
      <w:pPr>
        <w:numPr>
          <w:ilvl w:val="0"/>
          <w:numId w:val="29"/>
        </w:numPr>
        <w:autoSpaceDE w:val="0"/>
        <w:autoSpaceDN w:val="0"/>
        <w:adjustRightInd w:val="0"/>
        <w:rPr>
          <w:rFonts w:eastAsiaTheme="minorEastAsia"/>
          <w:lang w:eastAsia="pl-PL"/>
        </w:rPr>
      </w:pPr>
      <w:r w:rsidRPr="00FA09CC">
        <w:rPr>
          <w:rFonts w:eastAsiaTheme="minorEastAsia"/>
          <w:lang w:eastAsia="pl-PL"/>
        </w:rPr>
        <w:t>możliwości uchylenia przez sąd skierowanych do pokrzywdzonego pytań dotyczących życia seksualnego w sprawach o niektóre przestępstwa, gdy pytania te nie są niezbędne d</w:t>
      </w:r>
      <w:r w:rsidR="00C62327">
        <w:rPr>
          <w:rFonts w:eastAsiaTheme="minorEastAsia"/>
          <w:lang w:eastAsia="pl-PL"/>
        </w:rPr>
        <w:t>o</w:t>
      </w:r>
      <w:r w:rsidRPr="00FA09CC">
        <w:rPr>
          <w:rFonts w:eastAsiaTheme="minorEastAsia"/>
          <w:lang w:eastAsia="pl-PL"/>
        </w:rPr>
        <w:t xml:space="preserve"> rozstrzygnięcia sprawy,</w:t>
      </w:r>
    </w:p>
    <w:p w:rsidR="00CC3DE5" w:rsidRPr="00FA09CC" w:rsidRDefault="000A0A05" w:rsidP="0024594C">
      <w:pPr>
        <w:numPr>
          <w:ilvl w:val="0"/>
          <w:numId w:val="29"/>
        </w:numPr>
        <w:autoSpaceDE w:val="0"/>
        <w:autoSpaceDN w:val="0"/>
        <w:adjustRightInd w:val="0"/>
        <w:rPr>
          <w:rFonts w:eastAsiaTheme="minorEastAsia"/>
          <w:lang w:eastAsia="pl-PL"/>
        </w:rPr>
      </w:pPr>
      <w:r w:rsidRPr="00FA09CC">
        <w:rPr>
          <w:rFonts w:eastAsiaTheme="minorEastAsia"/>
          <w:lang w:eastAsia="pl-PL"/>
        </w:rPr>
        <w:t>wyłączenia z mocy prawa jawności rozpraw we wszystkich sprawach dotyczących przestępstw przeciwko wolności seksualnej i obyczajności,</w:t>
      </w:r>
    </w:p>
    <w:p w:rsidR="00CC3DE5" w:rsidRPr="00FA09CC" w:rsidRDefault="000A0A05" w:rsidP="0024594C">
      <w:pPr>
        <w:numPr>
          <w:ilvl w:val="0"/>
          <w:numId w:val="29"/>
        </w:numPr>
        <w:autoSpaceDE w:val="0"/>
        <w:autoSpaceDN w:val="0"/>
        <w:adjustRightInd w:val="0"/>
        <w:rPr>
          <w:rFonts w:eastAsiaTheme="minorEastAsia"/>
          <w:lang w:eastAsia="pl-PL"/>
        </w:rPr>
      </w:pPr>
      <w:r w:rsidRPr="00FA09CC">
        <w:rPr>
          <w:rFonts w:eastAsiaTheme="minorEastAsia"/>
          <w:lang w:eastAsia="pl-PL"/>
        </w:rPr>
        <w:lastRenderedPageBreak/>
        <w:t>zakresu szkoleń sędziów z zakresu przesłuchiwania osób niepełnoletnich,</w:t>
      </w:r>
    </w:p>
    <w:p w:rsidR="00CC3DE5" w:rsidRPr="00FA09CC" w:rsidRDefault="000A0A05" w:rsidP="0024594C">
      <w:pPr>
        <w:numPr>
          <w:ilvl w:val="0"/>
          <w:numId w:val="29"/>
        </w:numPr>
        <w:autoSpaceDE w:val="0"/>
        <w:autoSpaceDN w:val="0"/>
        <w:adjustRightInd w:val="0"/>
        <w:rPr>
          <w:rFonts w:eastAsiaTheme="minorEastAsia"/>
          <w:lang w:eastAsia="pl-PL"/>
        </w:rPr>
      </w:pPr>
      <w:r w:rsidRPr="00FA09CC">
        <w:rPr>
          <w:rFonts w:eastAsiaTheme="minorEastAsia"/>
          <w:lang w:eastAsia="pl-PL"/>
        </w:rPr>
        <w:t xml:space="preserve">doprecyzowania regulacji prawnych dotyczących kuratora reprezentującego dziecko </w:t>
      </w:r>
      <w:r w:rsidR="008350C3">
        <w:rPr>
          <w:rFonts w:eastAsiaTheme="minorEastAsia"/>
          <w:lang w:eastAsia="pl-PL"/>
        </w:rPr>
        <w:br/>
      </w:r>
      <w:r w:rsidRPr="00FA09CC">
        <w:rPr>
          <w:rFonts w:eastAsiaTheme="minorEastAsia"/>
          <w:lang w:eastAsia="pl-PL"/>
        </w:rPr>
        <w:t>w postępowaniu karnym,</w:t>
      </w:r>
    </w:p>
    <w:p w:rsidR="005F25E3" w:rsidRPr="00FA09CC" w:rsidRDefault="000A0A05" w:rsidP="0024594C">
      <w:pPr>
        <w:numPr>
          <w:ilvl w:val="0"/>
          <w:numId w:val="29"/>
        </w:numPr>
        <w:autoSpaceDE w:val="0"/>
        <w:autoSpaceDN w:val="0"/>
        <w:adjustRightInd w:val="0"/>
        <w:rPr>
          <w:rFonts w:eastAsiaTheme="minorEastAsia"/>
          <w:lang w:eastAsia="pl-PL"/>
        </w:rPr>
      </w:pPr>
      <w:r w:rsidRPr="00FA09CC">
        <w:rPr>
          <w:rFonts w:eastAsiaTheme="minorEastAsia"/>
          <w:lang w:eastAsia="pl-PL"/>
        </w:rPr>
        <w:t>obligatoryjnego zapewnienia przekazywania informacji o opuszczeniu zakładu karnego przez skazan</w:t>
      </w:r>
      <w:r w:rsidR="00802A22">
        <w:rPr>
          <w:rFonts w:eastAsiaTheme="minorEastAsia"/>
          <w:lang w:eastAsia="pl-PL"/>
        </w:rPr>
        <w:t>ych</w:t>
      </w:r>
      <w:r w:rsidRPr="00FA09CC">
        <w:rPr>
          <w:rFonts w:eastAsiaTheme="minorEastAsia"/>
          <w:lang w:eastAsia="pl-PL"/>
        </w:rPr>
        <w:t xml:space="preserve"> w sprawach o przestępstwa popełnione z użyciem przemocy lub groźby bezprawnej, a także </w:t>
      </w:r>
      <w:r w:rsidR="00802A22">
        <w:rPr>
          <w:rFonts w:eastAsiaTheme="minorEastAsia"/>
          <w:lang w:eastAsia="pl-PL"/>
        </w:rPr>
        <w:t xml:space="preserve">skazanych we </w:t>
      </w:r>
      <w:r w:rsidRPr="00FA09CC">
        <w:rPr>
          <w:rFonts w:eastAsiaTheme="minorEastAsia"/>
          <w:lang w:eastAsia="pl-PL"/>
        </w:rPr>
        <w:t xml:space="preserve">wszystkich sprawach o przestępstwa, gdy pokrzywdzonym </w:t>
      </w:r>
      <w:r w:rsidR="00802A22">
        <w:rPr>
          <w:rFonts w:eastAsiaTheme="minorEastAsia"/>
          <w:lang w:eastAsia="pl-PL"/>
        </w:rPr>
        <w:t>była</w:t>
      </w:r>
      <w:r w:rsidRPr="00FA09CC">
        <w:rPr>
          <w:rFonts w:eastAsiaTheme="minorEastAsia"/>
          <w:lang w:eastAsia="pl-PL"/>
        </w:rPr>
        <w:t xml:space="preserve"> osoba małoletnia,</w:t>
      </w:r>
    </w:p>
    <w:p w:rsidR="00CC3DE5" w:rsidRPr="00FA09CC" w:rsidRDefault="000A0A05" w:rsidP="0024594C">
      <w:pPr>
        <w:pStyle w:val="Akapitzlist"/>
        <w:numPr>
          <w:ilvl w:val="0"/>
          <w:numId w:val="29"/>
        </w:numPr>
        <w:rPr>
          <w:color w:val="000000" w:themeColor="text1"/>
        </w:rPr>
      </w:pPr>
      <w:r w:rsidRPr="00FA09CC">
        <w:t>wprowadzenie pełnomocnika z urzędu dla małoletniego pokrzywdzonego przestępstwami przeciwko wolności seksualnej i obyczajności, jeżeli nie ma on pełnomocnika z wyboru</w:t>
      </w:r>
      <w:r w:rsidR="00DB5FE3" w:rsidRPr="00FA09CC">
        <w:t>.</w:t>
      </w:r>
    </w:p>
    <w:p w:rsidR="00812503" w:rsidRPr="00FA09CC" w:rsidRDefault="00812503" w:rsidP="0024594C">
      <w:pPr>
        <w:pStyle w:val="Adresodbiorcy"/>
        <w:widowControl w:val="0"/>
        <w:shd w:val="clear" w:color="auto" w:fill="FFFFFF" w:themeFill="background1"/>
        <w:suppressAutoHyphens/>
        <w:spacing w:line="240" w:lineRule="auto"/>
        <w:rPr>
          <w:rFonts w:ascii="Times New Roman" w:hAnsi="Times New Roman"/>
          <w:b/>
          <w:color w:val="000000" w:themeColor="text1"/>
          <w:spacing w:val="0"/>
          <w:sz w:val="24"/>
          <w:szCs w:val="24"/>
        </w:rPr>
      </w:pPr>
    </w:p>
    <w:p w:rsidR="00805F1B" w:rsidRPr="00FA09CC" w:rsidRDefault="000A0A05" w:rsidP="0024594C">
      <w:pPr>
        <w:pStyle w:val="Adresodbiorcy"/>
        <w:widowControl w:val="0"/>
        <w:shd w:val="clear" w:color="auto" w:fill="FFFFFF" w:themeFill="background1"/>
        <w:suppressAutoHyphens/>
        <w:spacing w:line="240" w:lineRule="auto"/>
        <w:rPr>
          <w:rFonts w:ascii="Times New Roman" w:hAnsi="Times New Roman"/>
          <w:b/>
          <w:color w:val="000000" w:themeColor="text1"/>
          <w:spacing w:val="0"/>
          <w:sz w:val="24"/>
          <w:szCs w:val="24"/>
        </w:rPr>
      </w:pPr>
      <w:r w:rsidRPr="00FA09CC">
        <w:rPr>
          <w:rFonts w:ascii="Times New Roman" w:hAnsi="Times New Roman"/>
          <w:b/>
          <w:color w:val="000000" w:themeColor="text1"/>
          <w:spacing w:val="0"/>
          <w:sz w:val="24"/>
          <w:szCs w:val="24"/>
        </w:rPr>
        <w:t>Paragraf 306 – pomoc prawna</w:t>
      </w:r>
    </w:p>
    <w:p w:rsidR="0089223A" w:rsidRPr="00FA09CC" w:rsidRDefault="00D1587A" w:rsidP="0024594C">
      <w:pPr>
        <w:pStyle w:val="Adresodbiorcy"/>
        <w:widowControl w:val="0"/>
        <w:shd w:val="clear" w:color="auto" w:fill="FFFFFF" w:themeFill="background1"/>
        <w:suppressAutoHyphens/>
        <w:spacing w:line="240" w:lineRule="auto"/>
        <w:rPr>
          <w:rFonts w:ascii="Times New Roman" w:hAnsi="Times New Roman"/>
          <w:color w:val="000000" w:themeColor="text1"/>
          <w:spacing w:val="0"/>
          <w:sz w:val="24"/>
          <w:szCs w:val="24"/>
        </w:rPr>
      </w:pPr>
      <w:r w:rsidRPr="00FA09CC">
        <w:rPr>
          <w:rFonts w:ascii="Times New Roman" w:hAnsi="Times New Roman"/>
          <w:color w:val="000000" w:themeColor="text1"/>
          <w:spacing w:val="0"/>
          <w:sz w:val="24"/>
          <w:szCs w:val="24"/>
        </w:rPr>
        <w:t xml:space="preserve">Zawarte w raporcie uwagi </w:t>
      </w:r>
      <w:r w:rsidR="00802A22">
        <w:rPr>
          <w:rFonts w:ascii="Times New Roman" w:hAnsi="Times New Roman"/>
          <w:color w:val="000000" w:themeColor="text1"/>
          <w:spacing w:val="0"/>
          <w:sz w:val="24"/>
          <w:szCs w:val="24"/>
        </w:rPr>
        <w:t xml:space="preserve">dotyczące słabej </w:t>
      </w:r>
      <w:r w:rsidR="000A0A05" w:rsidRPr="00FA09CC">
        <w:rPr>
          <w:rFonts w:ascii="Times New Roman" w:hAnsi="Times New Roman"/>
          <w:color w:val="000000" w:themeColor="text1"/>
          <w:spacing w:val="0"/>
          <w:sz w:val="24"/>
          <w:szCs w:val="24"/>
        </w:rPr>
        <w:t xml:space="preserve">znajomości i nieefektywności systemu nieodpłatnej pomocy prawnej i nieodpłatnego poradnictwa obywatelskiego pomijają okoliczność, że system ten jest stosunkowo nowy, a nadto ma charakter ogólny. </w:t>
      </w:r>
    </w:p>
    <w:p w:rsidR="00B11C13" w:rsidRPr="00FA09CC" w:rsidRDefault="000A0A05" w:rsidP="0024594C">
      <w:pPr>
        <w:pStyle w:val="Adresodbiorcy"/>
        <w:widowControl w:val="0"/>
        <w:shd w:val="clear" w:color="auto" w:fill="FFFFFF" w:themeFill="background1"/>
        <w:suppressAutoHyphens/>
        <w:spacing w:line="240" w:lineRule="auto"/>
        <w:rPr>
          <w:rFonts w:ascii="Times New Roman" w:hAnsi="Times New Roman"/>
          <w:color w:val="000000" w:themeColor="text1"/>
          <w:spacing w:val="0"/>
          <w:sz w:val="24"/>
          <w:szCs w:val="24"/>
        </w:rPr>
      </w:pPr>
      <w:r w:rsidRPr="00FA09CC">
        <w:rPr>
          <w:rFonts w:ascii="Times New Roman" w:hAnsi="Times New Roman"/>
          <w:color w:val="000000" w:themeColor="text1"/>
          <w:spacing w:val="0"/>
          <w:sz w:val="24"/>
          <w:szCs w:val="24"/>
        </w:rPr>
        <w:t>Ustawodawstwo przewiduje możliwość tworzenia</w:t>
      </w:r>
      <w:r w:rsidR="00802A22">
        <w:rPr>
          <w:rFonts w:ascii="Times New Roman" w:hAnsi="Times New Roman"/>
          <w:color w:val="000000" w:themeColor="text1"/>
          <w:spacing w:val="0"/>
          <w:sz w:val="24"/>
          <w:szCs w:val="24"/>
        </w:rPr>
        <w:t>,</w:t>
      </w:r>
      <w:r w:rsidRPr="00FA09CC">
        <w:rPr>
          <w:rFonts w:ascii="Times New Roman" w:hAnsi="Times New Roman"/>
          <w:color w:val="000000" w:themeColor="text1"/>
          <w:spacing w:val="0"/>
          <w:sz w:val="24"/>
          <w:szCs w:val="24"/>
        </w:rPr>
        <w:t xml:space="preserve"> w ramach </w:t>
      </w:r>
      <w:r w:rsidR="00802A22">
        <w:rPr>
          <w:rFonts w:ascii="Times New Roman" w:hAnsi="Times New Roman"/>
          <w:color w:val="000000" w:themeColor="text1"/>
          <w:spacing w:val="0"/>
          <w:sz w:val="24"/>
          <w:szCs w:val="24"/>
        </w:rPr>
        <w:t xml:space="preserve">tego </w:t>
      </w:r>
      <w:r w:rsidR="00C62327">
        <w:rPr>
          <w:rFonts w:ascii="Times New Roman" w:hAnsi="Times New Roman"/>
          <w:color w:val="000000" w:themeColor="text1"/>
          <w:spacing w:val="0"/>
          <w:sz w:val="24"/>
          <w:szCs w:val="24"/>
        </w:rPr>
        <w:t>systemu</w:t>
      </w:r>
      <w:r w:rsidR="00802A22">
        <w:rPr>
          <w:rFonts w:ascii="Times New Roman" w:hAnsi="Times New Roman"/>
          <w:color w:val="000000" w:themeColor="text1"/>
          <w:spacing w:val="0"/>
          <w:sz w:val="24"/>
          <w:szCs w:val="24"/>
        </w:rPr>
        <w:t>,</w:t>
      </w:r>
      <w:r w:rsidR="00C62327">
        <w:rPr>
          <w:rFonts w:ascii="Times New Roman" w:hAnsi="Times New Roman"/>
          <w:color w:val="000000" w:themeColor="text1"/>
          <w:spacing w:val="0"/>
          <w:sz w:val="24"/>
          <w:szCs w:val="24"/>
        </w:rPr>
        <w:t xml:space="preserve"> </w:t>
      </w:r>
      <w:r w:rsidRPr="00FA09CC">
        <w:rPr>
          <w:rFonts w:ascii="Times New Roman" w:hAnsi="Times New Roman"/>
          <w:color w:val="000000" w:themeColor="text1"/>
          <w:spacing w:val="0"/>
          <w:sz w:val="24"/>
          <w:szCs w:val="24"/>
        </w:rPr>
        <w:t xml:space="preserve">punktów wyspecjalizowanych w określonych dziedzinach pomocy. Tą drogą w przyszłości mogą wykształcić się również punkty specjalizujące się w przemocy wobec kobiet. </w:t>
      </w:r>
    </w:p>
    <w:p w:rsidR="0089223A" w:rsidRPr="00FA09CC" w:rsidRDefault="000A0A05" w:rsidP="0024594C">
      <w:pPr>
        <w:pStyle w:val="Adresodbiorcy"/>
        <w:widowControl w:val="0"/>
        <w:shd w:val="clear" w:color="auto" w:fill="FFFFFF" w:themeFill="background1"/>
        <w:suppressAutoHyphens/>
        <w:spacing w:line="240" w:lineRule="auto"/>
        <w:rPr>
          <w:rFonts w:ascii="Times New Roman" w:hAnsi="Times New Roman"/>
          <w:color w:val="000000" w:themeColor="text1"/>
          <w:spacing w:val="0"/>
          <w:sz w:val="24"/>
          <w:szCs w:val="24"/>
        </w:rPr>
      </w:pPr>
      <w:r w:rsidRPr="00FA09CC">
        <w:rPr>
          <w:rFonts w:ascii="Times New Roman" w:hAnsi="Times New Roman"/>
          <w:color w:val="000000" w:themeColor="text1"/>
          <w:spacing w:val="0"/>
          <w:sz w:val="24"/>
          <w:szCs w:val="24"/>
        </w:rPr>
        <w:t xml:space="preserve">Pomoc prawna świadczona jest obecnie w 365 miejscach nieodpłatnej pomocy prawnej </w:t>
      </w:r>
      <w:r w:rsidR="008350C3">
        <w:rPr>
          <w:rFonts w:ascii="Times New Roman" w:hAnsi="Times New Roman"/>
          <w:color w:val="000000" w:themeColor="text1"/>
          <w:spacing w:val="0"/>
          <w:sz w:val="24"/>
          <w:szCs w:val="24"/>
        </w:rPr>
        <w:br/>
      </w:r>
      <w:r w:rsidRPr="00FA09CC">
        <w:rPr>
          <w:rFonts w:ascii="Times New Roman" w:hAnsi="Times New Roman"/>
          <w:color w:val="000000" w:themeColor="text1"/>
          <w:spacing w:val="0"/>
          <w:sz w:val="24"/>
          <w:szCs w:val="24"/>
        </w:rPr>
        <w:t xml:space="preserve">i nieodpłatnego poradnictwa obywatelskiego (2017 r. </w:t>
      </w:r>
      <w:r w:rsidR="00D1587A" w:rsidRPr="00FA09CC">
        <w:rPr>
          <w:rFonts w:ascii="Times New Roman" w:hAnsi="Times New Roman"/>
          <w:color w:val="000000" w:themeColor="text1"/>
          <w:spacing w:val="0"/>
          <w:sz w:val="24"/>
          <w:szCs w:val="24"/>
        </w:rPr>
        <w:t>–</w:t>
      </w:r>
      <w:r w:rsidRPr="00FA09CC">
        <w:rPr>
          <w:rFonts w:ascii="Times New Roman" w:hAnsi="Times New Roman"/>
          <w:color w:val="000000" w:themeColor="text1"/>
          <w:spacing w:val="0"/>
          <w:sz w:val="24"/>
          <w:szCs w:val="24"/>
        </w:rPr>
        <w:t xml:space="preserve"> 77</w:t>
      </w:r>
      <w:r w:rsidR="00D1587A" w:rsidRPr="00FA09CC">
        <w:rPr>
          <w:rFonts w:ascii="Times New Roman" w:hAnsi="Times New Roman"/>
          <w:color w:val="000000" w:themeColor="text1"/>
          <w:spacing w:val="0"/>
          <w:sz w:val="24"/>
          <w:szCs w:val="24"/>
        </w:rPr>
        <w:t xml:space="preserve"> </w:t>
      </w:r>
      <w:r w:rsidRPr="00FA09CC">
        <w:rPr>
          <w:rFonts w:ascii="Times New Roman" w:hAnsi="Times New Roman"/>
          <w:color w:val="000000" w:themeColor="text1"/>
          <w:spacing w:val="0"/>
          <w:sz w:val="24"/>
          <w:szCs w:val="24"/>
        </w:rPr>
        <w:t xml:space="preserve">miejsc, 2018 r. – 95). Wsparcie udzielane jest każdemu pokrzywdzonemu przestępstwem, przebywającemu na terytorium Polski. Jest oferowana bez przeszkód biurokratycznych, na etapie przed wszczęciem postępowania karnego i w jego trakcie. </w:t>
      </w:r>
    </w:p>
    <w:p w:rsidR="0089223A" w:rsidRPr="00FA09CC" w:rsidRDefault="000A0A05" w:rsidP="0024594C">
      <w:pPr>
        <w:pStyle w:val="Adresodbiorcy"/>
        <w:widowControl w:val="0"/>
        <w:shd w:val="clear" w:color="auto" w:fill="FFFFFF" w:themeFill="background1"/>
        <w:suppressAutoHyphens/>
        <w:spacing w:line="240" w:lineRule="auto"/>
        <w:rPr>
          <w:rFonts w:ascii="Times New Roman" w:hAnsi="Times New Roman"/>
          <w:color w:val="000000" w:themeColor="text1"/>
          <w:spacing w:val="0"/>
          <w:sz w:val="24"/>
          <w:szCs w:val="24"/>
        </w:rPr>
      </w:pPr>
      <w:r w:rsidRPr="00FA09CC">
        <w:rPr>
          <w:rFonts w:ascii="Times New Roman" w:hAnsi="Times New Roman"/>
          <w:color w:val="000000" w:themeColor="text1"/>
          <w:spacing w:val="0"/>
          <w:sz w:val="24"/>
          <w:szCs w:val="24"/>
        </w:rPr>
        <w:t>Ze środków Funduszu Sprawiedliwości sfinansowano platformę internetową (https://www.funduszsprawiedliwosci.gov.pl/) zapewniającą dostęp</w:t>
      </w:r>
      <w:r w:rsidR="00C62327">
        <w:rPr>
          <w:rFonts w:ascii="Times New Roman" w:hAnsi="Times New Roman"/>
          <w:color w:val="000000" w:themeColor="text1"/>
          <w:spacing w:val="0"/>
          <w:sz w:val="24"/>
          <w:szCs w:val="24"/>
        </w:rPr>
        <w:t>,</w:t>
      </w:r>
      <w:r w:rsidRPr="00FA09CC">
        <w:rPr>
          <w:rFonts w:ascii="Times New Roman" w:hAnsi="Times New Roman"/>
          <w:color w:val="000000" w:themeColor="text1"/>
          <w:spacing w:val="0"/>
          <w:sz w:val="24"/>
          <w:szCs w:val="24"/>
        </w:rPr>
        <w:t xml:space="preserve"> poprzez infolinię</w:t>
      </w:r>
      <w:r w:rsidR="00C62327">
        <w:rPr>
          <w:rFonts w:ascii="Times New Roman" w:hAnsi="Times New Roman"/>
          <w:color w:val="000000" w:themeColor="text1"/>
          <w:spacing w:val="0"/>
          <w:sz w:val="24"/>
          <w:szCs w:val="24"/>
        </w:rPr>
        <w:t>,</w:t>
      </w:r>
      <w:r w:rsidRPr="00FA09CC">
        <w:rPr>
          <w:rFonts w:ascii="Times New Roman" w:hAnsi="Times New Roman"/>
          <w:color w:val="000000" w:themeColor="text1"/>
          <w:spacing w:val="0"/>
          <w:sz w:val="24"/>
          <w:szCs w:val="24"/>
        </w:rPr>
        <w:t xml:space="preserve"> do pomocy z Funduszu Sprawiedliwości (telefoniczna Linia Pomocy Pokrzywdzonym, poczta elektroniczna, komunikator). Platforma jest dostępna </w:t>
      </w:r>
      <w:r w:rsidR="00C62327">
        <w:rPr>
          <w:rFonts w:ascii="Times New Roman" w:hAnsi="Times New Roman"/>
          <w:color w:val="000000" w:themeColor="text1"/>
          <w:spacing w:val="0"/>
          <w:sz w:val="24"/>
          <w:szCs w:val="24"/>
        </w:rPr>
        <w:t xml:space="preserve">również </w:t>
      </w:r>
      <w:r w:rsidRPr="00FA09CC">
        <w:rPr>
          <w:rFonts w:ascii="Times New Roman" w:hAnsi="Times New Roman"/>
          <w:color w:val="000000" w:themeColor="text1"/>
          <w:spacing w:val="0"/>
          <w:sz w:val="24"/>
          <w:szCs w:val="24"/>
        </w:rPr>
        <w:t xml:space="preserve">w języku angielskim </w:t>
      </w:r>
      <w:r w:rsidR="008350C3">
        <w:rPr>
          <w:rFonts w:ascii="Times New Roman" w:hAnsi="Times New Roman"/>
          <w:color w:val="000000" w:themeColor="text1"/>
          <w:spacing w:val="0"/>
          <w:sz w:val="24"/>
          <w:szCs w:val="24"/>
        </w:rPr>
        <w:br/>
      </w:r>
      <w:r w:rsidRPr="00FA09CC">
        <w:rPr>
          <w:rFonts w:ascii="Times New Roman" w:hAnsi="Times New Roman"/>
          <w:color w:val="000000" w:themeColor="text1"/>
          <w:spacing w:val="0"/>
          <w:sz w:val="24"/>
          <w:szCs w:val="24"/>
        </w:rPr>
        <w:t>i ukraińskim.</w:t>
      </w:r>
    </w:p>
    <w:p w:rsidR="00B11C13" w:rsidRPr="00FA09CC" w:rsidRDefault="00802A22" w:rsidP="0024594C">
      <w:pPr>
        <w:pStyle w:val="Adresodbiorcy"/>
        <w:widowControl w:val="0"/>
        <w:shd w:val="clear" w:color="auto" w:fill="FFFFFF" w:themeFill="background1"/>
        <w:suppressAutoHyphens/>
        <w:spacing w:line="240" w:lineRule="auto"/>
        <w:rPr>
          <w:rFonts w:ascii="Times New Roman" w:hAnsi="Times New Roman"/>
          <w:color w:val="000000" w:themeColor="text1"/>
          <w:spacing w:val="0"/>
          <w:sz w:val="24"/>
          <w:szCs w:val="24"/>
        </w:rPr>
      </w:pPr>
      <w:r>
        <w:rPr>
          <w:rFonts w:ascii="Times New Roman" w:hAnsi="Times New Roman"/>
          <w:color w:val="000000" w:themeColor="text1"/>
          <w:spacing w:val="0"/>
          <w:sz w:val="24"/>
          <w:szCs w:val="24"/>
        </w:rPr>
        <w:t>W raporcie</w:t>
      </w:r>
      <w:r w:rsidR="00313A1D">
        <w:rPr>
          <w:rFonts w:ascii="Times New Roman" w:hAnsi="Times New Roman"/>
          <w:color w:val="000000" w:themeColor="text1"/>
          <w:spacing w:val="0"/>
          <w:sz w:val="24"/>
          <w:szCs w:val="24"/>
        </w:rPr>
        <w:t xml:space="preserve"> </w:t>
      </w:r>
      <w:r>
        <w:rPr>
          <w:rFonts w:ascii="Times New Roman" w:hAnsi="Times New Roman"/>
          <w:color w:val="000000" w:themeColor="text1"/>
          <w:spacing w:val="0"/>
          <w:sz w:val="24"/>
          <w:szCs w:val="24"/>
        </w:rPr>
        <w:t>p</w:t>
      </w:r>
      <w:r w:rsidR="000A0A05" w:rsidRPr="00FA09CC">
        <w:rPr>
          <w:rFonts w:ascii="Times New Roman" w:hAnsi="Times New Roman"/>
          <w:color w:val="000000" w:themeColor="text1"/>
          <w:spacing w:val="0"/>
          <w:sz w:val="24"/>
          <w:szCs w:val="24"/>
        </w:rPr>
        <w:t xml:space="preserve">ominięto </w:t>
      </w:r>
      <w:r w:rsidR="00C62327">
        <w:rPr>
          <w:rFonts w:ascii="Times New Roman" w:hAnsi="Times New Roman"/>
          <w:color w:val="000000" w:themeColor="text1"/>
          <w:spacing w:val="0"/>
          <w:sz w:val="24"/>
          <w:szCs w:val="24"/>
        </w:rPr>
        <w:t>także</w:t>
      </w:r>
      <w:r w:rsidR="001666B9">
        <w:rPr>
          <w:rFonts w:ascii="Times New Roman" w:hAnsi="Times New Roman"/>
          <w:color w:val="000000" w:themeColor="text1"/>
          <w:spacing w:val="0"/>
          <w:sz w:val="24"/>
          <w:szCs w:val="24"/>
        </w:rPr>
        <w:t xml:space="preserve"> </w:t>
      </w:r>
      <w:r w:rsidR="000A0A05" w:rsidRPr="00FA09CC">
        <w:rPr>
          <w:rFonts w:ascii="Times New Roman" w:hAnsi="Times New Roman"/>
          <w:color w:val="000000" w:themeColor="text1"/>
          <w:spacing w:val="0"/>
          <w:sz w:val="24"/>
          <w:szCs w:val="24"/>
        </w:rPr>
        <w:t xml:space="preserve">fakt, że system ten działa obok innych systemów pomocy </w:t>
      </w:r>
      <w:r w:rsidR="008350C3">
        <w:rPr>
          <w:rFonts w:ascii="Times New Roman" w:hAnsi="Times New Roman"/>
          <w:color w:val="000000" w:themeColor="text1"/>
          <w:spacing w:val="0"/>
          <w:sz w:val="24"/>
          <w:szCs w:val="24"/>
        </w:rPr>
        <w:br/>
      </w:r>
      <w:r w:rsidR="000A0A05" w:rsidRPr="00FA09CC">
        <w:rPr>
          <w:rFonts w:ascii="Times New Roman" w:hAnsi="Times New Roman"/>
          <w:color w:val="000000" w:themeColor="text1"/>
          <w:spacing w:val="0"/>
          <w:sz w:val="24"/>
          <w:szCs w:val="24"/>
        </w:rPr>
        <w:t>i pełnomocnictwa. Poradnictwo prawne na rzecz ofiar przemocy w rodzinie świadczą centra interwencji kryzysowej, specjalistyczne ośrodki wsparcia dla ofiar przemocy w rodzinie, punkty konsultacyjne, powiatowe ośrodki wsparcia, powiatowe centra pomocy w rodzinie, co zostało przedstawione w sprawozdaniu Polski z wykonywania konwencji.</w:t>
      </w:r>
    </w:p>
    <w:p w:rsidR="00B11C13" w:rsidRPr="00FA09CC" w:rsidRDefault="000A0A05" w:rsidP="0024594C">
      <w:pPr>
        <w:pStyle w:val="Adresodbiorcy"/>
        <w:widowControl w:val="0"/>
        <w:shd w:val="clear" w:color="auto" w:fill="FFFFFF" w:themeFill="background1"/>
        <w:suppressAutoHyphens/>
        <w:spacing w:line="240" w:lineRule="auto"/>
        <w:rPr>
          <w:rFonts w:ascii="Times New Roman" w:hAnsi="Times New Roman"/>
          <w:color w:val="000000" w:themeColor="text1"/>
          <w:spacing w:val="0"/>
          <w:sz w:val="24"/>
          <w:szCs w:val="24"/>
        </w:rPr>
      </w:pPr>
      <w:r w:rsidRPr="00FA09CC">
        <w:rPr>
          <w:rFonts w:ascii="Times New Roman" w:hAnsi="Times New Roman"/>
          <w:color w:val="000000" w:themeColor="text1"/>
          <w:spacing w:val="0"/>
          <w:sz w:val="24"/>
          <w:szCs w:val="24"/>
        </w:rPr>
        <w:t xml:space="preserve">Władze powiatów mają obowiązek prowadzenia list wszystkich jednostek nieodpłatnego poradnictwa, dostępnego na danym terenie. </w:t>
      </w:r>
    </w:p>
    <w:p w:rsidR="00526C75" w:rsidRDefault="00526C75" w:rsidP="0024594C">
      <w:pPr>
        <w:rPr>
          <w:b/>
          <w:color w:val="000000" w:themeColor="text1"/>
        </w:rPr>
      </w:pPr>
    </w:p>
    <w:p w:rsidR="00282BCA" w:rsidRPr="00FA09CC" w:rsidRDefault="000A0A05" w:rsidP="0024594C">
      <w:pPr>
        <w:ind w:left="0" w:firstLine="0"/>
        <w:rPr>
          <w:b/>
          <w:color w:val="000000" w:themeColor="text1"/>
        </w:rPr>
      </w:pPr>
      <w:r w:rsidRPr="00FA09CC">
        <w:rPr>
          <w:b/>
          <w:color w:val="000000" w:themeColor="text1"/>
        </w:rPr>
        <w:t>Paragraf 322 – procedury azylowe – trudności w dostępie</w:t>
      </w:r>
    </w:p>
    <w:p w:rsidR="00B4717B" w:rsidRPr="00FA09CC" w:rsidRDefault="00D1587A" w:rsidP="0024594C">
      <w:pPr>
        <w:ind w:left="0" w:firstLine="0"/>
        <w:rPr>
          <w:color w:val="000000" w:themeColor="text1"/>
        </w:rPr>
      </w:pPr>
      <w:r w:rsidRPr="00FA09CC">
        <w:rPr>
          <w:color w:val="000000" w:themeColor="text1"/>
        </w:rPr>
        <w:t>Z</w:t>
      </w:r>
      <w:r w:rsidR="00DB5FE3" w:rsidRPr="00FA09CC">
        <w:rPr>
          <w:color w:val="000000" w:themeColor="text1"/>
        </w:rPr>
        <w:t>awarte w raporcie s</w:t>
      </w:r>
      <w:r w:rsidR="003F6FA1" w:rsidRPr="00FA09CC">
        <w:rPr>
          <w:color w:val="000000" w:themeColor="text1"/>
        </w:rPr>
        <w:t>twierdzenie</w:t>
      </w:r>
      <w:r w:rsidR="00B4717B" w:rsidRPr="00FA09CC">
        <w:rPr>
          <w:color w:val="000000" w:themeColor="text1"/>
        </w:rPr>
        <w:t>, że konieczne jest zbadanie powodów ograniczeń w dostępie kobiet i dziewcząt do procedury uchodźczej</w:t>
      </w:r>
      <w:r w:rsidRPr="00FA09CC">
        <w:rPr>
          <w:color w:val="000000" w:themeColor="text1"/>
        </w:rPr>
        <w:t xml:space="preserve"> nie zostało poparte</w:t>
      </w:r>
      <w:r w:rsidR="00B4717B" w:rsidRPr="00FA09CC">
        <w:rPr>
          <w:color w:val="000000" w:themeColor="text1"/>
        </w:rPr>
        <w:t xml:space="preserve"> dowod</w:t>
      </w:r>
      <w:r w:rsidRPr="00FA09CC">
        <w:rPr>
          <w:color w:val="000000" w:themeColor="text1"/>
        </w:rPr>
        <w:t>ami</w:t>
      </w:r>
      <w:r w:rsidR="00B4717B" w:rsidRPr="00FA09CC">
        <w:rPr>
          <w:color w:val="000000" w:themeColor="text1"/>
        </w:rPr>
        <w:t xml:space="preserve"> na istnienie taki</w:t>
      </w:r>
      <w:r w:rsidRPr="00FA09CC">
        <w:rPr>
          <w:color w:val="000000" w:themeColor="text1"/>
        </w:rPr>
        <w:t>ch ograniczeń</w:t>
      </w:r>
      <w:r w:rsidR="00B4717B" w:rsidRPr="00FA09CC">
        <w:rPr>
          <w:color w:val="000000" w:themeColor="text1"/>
        </w:rPr>
        <w:t>.</w:t>
      </w:r>
    </w:p>
    <w:p w:rsidR="00282BCA" w:rsidRPr="00FA09CC" w:rsidRDefault="00282BCA" w:rsidP="0024594C">
      <w:pPr>
        <w:ind w:left="0" w:firstLine="0"/>
        <w:rPr>
          <w:color w:val="000000" w:themeColor="text1"/>
        </w:rPr>
      </w:pPr>
    </w:p>
    <w:p w:rsidR="00282BCA" w:rsidRPr="00FA09CC" w:rsidRDefault="000A0A05" w:rsidP="0024594C">
      <w:pPr>
        <w:ind w:left="0" w:firstLine="0"/>
        <w:rPr>
          <w:b/>
          <w:color w:val="000000" w:themeColor="text1"/>
        </w:rPr>
      </w:pPr>
      <w:r w:rsidRPr="00FA09CC">
        <w:rPr>
          <w:b/>
          <w:color w:val="000000" w:themeColor="text1"/>
        </w:rPr>
        <w:t>Paragraf 324 – przeprowadzanie rozmowy z osobą wnioskującą o azyl</w:t>
      </w:r>
    </w:p>
    <w:p w:rsidR="000E0B91" w:rsidRPr="00FA09CC" w:rsidRDefault="000A0A05" w:rsidP="0024594C">
      <w:pPr>
        <w:ind w:left="0" w:firstLine="0"/>
        <w:rPr>
          <w:color w:val="000000" w:themeColor="text1"/>
        </w:rPr>
      </w:pPr>
      <w:r w:rsidRPr="00FA09CC">
        <w:rPr>
          <w:color w:val="000000" w:themeColor="text1"/>
        </w:rPr>
        <w:t>Wątpliwości budzą przedstawione w raporcie ustalenia dotyczące dostępności tłumacza</w:t>
      </w:r>
      <w:r w:rsidR="000A777E">
        <w:rPr>
          <w:color w:val="000000" w:themeColor="text1"/>
        </w:rPr>
        <w:t>,</w:t>
      </w:r>
      <w:r w:rsidRPr="00FA09CC">
        <w:rPr>
          <w:color w:val="000000" w:themeColor="text1"/>
        </w:rPr>
        <w:t xml:space="preserve"> </w:t>
      </w:r>
      <w:r w:rsidR="008350C3">
        <w:rPr>
          <w:color w:val="000000" w:themeColor="text1"/>
        </w:rPr>
        <w:br/>
      </w:r>
      <w:r w:rsidRPr="00FA09CC">
        <w:rPr>
          <w:color w:val="000000" w:themeColor="text1"/>
        </w:rPr>
        <w:t>w rzeczywistości niezwykle rzadko zdarza się, by problemem było znalezienie odpowiedniego dla wnioskodawczyni tłumacza. W toku prowadzonych przez Urząd do spraw Cudzoziemców postępowań o udzielenie ochrony międzynarodowej zapewnia się nie tylko możliwość przesłuchania wnioskodawcy przez osobę tej samej płci, ale także z udziałem psychologa, lekarza lub tłumacza, płci wskazanej przez cudzoziemca.</w:t>
      </w:r>
    </w:p>
    <w:p w:rsidR="00282BCA" w:rsidRPr="00FA09CC" w:rsidRDefault="000A0A05" w:rsidP="0024594C">
      <w:pPr>
        <w:ind w:left="0" w:firstLine="0"/>
        <w:rPr>
          <w:color w:val="000000" w:themeColor="text1"/>
        </w:rPr>
      </w:pPr>
      <w:r w:rsidRPr="00FA09CC">
        <w:rPr>
          <w:color w:val="000000" w:themeColor="text1"/>
        </w:rPr>
        <w:t>Prawo polskie wyraźnie przewiduje możliwość przyznania statusu uchodźcy osobie prześladowanej z uwagi na „płeć społeczno-kulturową”, co obejmuje także przypadki prześladowania uwarunkowanego tożsamością płciową wnioskodawcy. W praktyce</w:t>
      </w:r>
      <w:r w:rsidR="00802A22">
        <w:rPr>
          <w:color w:val="000000" w:themeColor="text1"/>
        </w:rPr>
        <w:t>,</w:t>
      </w:r>
      <w:r w:rsidRPr="00FA09CC">
        <w:rPr>
          <w:color w:val="000000" w:themeColor="text1"/>
        </w:rPr>
        <w:t xml:space="preserve"> </w:t>
      </w:r>
      <w:r w:rsidR="00D76610">
        <w:rPr>
          <w:color w:val="000000" w:themeColor="text1"/>
        </w:rPr>
        <w:t>osoba</w:t>
      </w:r>
      <w:r w:rsidRPr="00FA09CC">
        <w:rPr>
          <w:color w:val="000000" w:themeColor="text1"/>
        </w:rPr>
        <w:t xml:space="preserve"> </w:t>
      </w:r>
      <w:r w:rsidRPr="00FA09CC">
        <w:rPr>
          <w:color w:val="000000" w:themeColor="text1"/>
        </w:rPr>
        <w:lastRenderedPageBreak/>
        <w:t xml:space="preserve">zagrożona tego typu prześladowaniem może otrzymać status uchodźcy z uwagi na przynależność do prześladowanej grupy społecznej. </w:t>
      </w:r>
    </w:p>
    <w:p w:rsidR="00282BCA" w:rsidRPr="00FA09CC" w:rsidRDefault="00282BCA" w:rsidP="0024594C">
      <w:pPr>
        <w:ind w:left="0" w:firstLine="0"/>
        <w:rPr>
          <w:color w:val="000000" w:themeColor="text1"/>
        </w:rPr>
      </w:pPr>
    </w:p>
    <w:p w:rsidR="00282BCA" w:rsidRPr="00FA09CC" w:rsidRDefault="000A0A05" w:rsidP="0024594C">
      <w:pPr>
        <w:ind w:left="0" w:firstLine="0"/>
        <w:rPr>
          <w:b/>
          <w:color w:val="000000" w:themeColor="text1"/>
        </w:rPr>
      </w:pPr>
      <w:r w:rsidRPr="00FA09CC">
        <w:rPr>
          <w:b/>
          <w:color w:val="000000" w:themeColor="text1"/>
        </w:rPr>
        <w:t>Paragraf 327 – procedury azylowe – przeprowadzanie wywiadu</w:t>
      </w:r>
    </w:p>
    <w:p w:rsidR="00AC2016" w:rsidRPr="00FA09CC" w:rsidRDefault="00AC2016" w:rsidP="0024594C">
      <w:pPr>
        <w:ind w:left="0" w:firstLine="0"/>
        <w:rPr>
          <w:color w:val="000000" w:themeColor="text1"/>
        </w:rPr>
      </w:pPr>
      <w:r w:rsidRPr="00FA09CC">
        <w:rPr>
          <w:color w:val="000000" w:themeColor="text1"/>
        </w:rPr>
        <w:t xml:space="preserve">Zdanie </w:t>
      </w:r>
      <w:r w:rsidR="00A75556" w:rsidRPr="00FA09CC">
        <w:rPr>
          <w:color w:val="000000" w:themeColor="text1"/>
        </w:rPr>
        <w:t xml:space="preserve">trzecie </w:t>
      </w:r>
      <w:r w:rsidR="00DB5FE3" w:rsidRPr="00FA09CC">
        <w:rPr>
          <w:color w:val="000000" w:themeColor="text1"/>
        </w:rPr>
        <w:t xml:space="preserve">paragrafu </w:t>
      </w:r>
      <w:r w:rsidRPr="00FA09CC">
        <w:rPr>
          <w:color w:val="000000" w:themeColor="text1"/>
        </w:rPr>
        <w:t xml:space="preserve">zawiera </w:t>
      </w:r>
      <w:r w:rsidR="001666B9">
        <w:rPr>
          <w:color w:val="000000" w:themeColor="text1"/>
        </w:rPr>
        <w:t xml:space="preserve">niepoparte dowodami </w:t>
      </w:r>
      <w:r w:rsidR="003B6B4E" w:rsidRPr="00FA09CC">
        <w:rPr>
          <w:color w:val="000000" w:themeColor="text1"/>
        </w:rPr>
        <w:t>stwierdzenie</w:t>
      </w:r>
      <w:r w:rsidRPr="00FA09CC">
        <w:rPr>
          <w:color w:val="000000" w:themeColor="text1"/>
        </w:rPr>
        <w:t>, że</w:t>
      </w:r>
      <w:r w:rsidR="00282BCA" w:rsidRPr="00FA09CC">
        <w:rPr>
          <w:color w:val="000000" w:themeColor="text1"/>
        </w:rPr>
        <w:t xml:space="preserve"> wnioskodawca</w:t>
      </w:r>
      <w:r w:rsidR="00802A22">
        <w:rPr>
          <w:color w:val="000000" w:themeColor="text1"/>
        </w:rPr>
        <w:t>,</w:t>
      </w:r>
      <w:r w:rsidR="00282BCA" w:rsidRPr="00FA09CC">
        <w:rPr>
          <w:color w:val="000000" w:themeColor="text1"/>
        </w:rPr>
        <w:t xml:space="preserve"> </w:t>
      </w:r>
      <w:r w:rsidR="008350C3">
        <w:rPr>
          <w:color w:val="000000" w:themeColor="text1"/>
        </w:rPr>
        <w:br/>
      </w:r>
      <w:r w:rsidR="00282BCA" w:rsidRPr="00FA09CC">
        <w:rPr>
          <w:color w:val="000000" w:themeColor="text1"/>
        </w:rPr>
        <w:t>w praktyce</w:t>
      </w:r>
      <w:r w:rsidR="00802A22">
        <w:rPr>
          <w:color w:val="000000" w:themeColor="text1"/>
        </w:rPr>
        <w:t>,</w:t>
      </w:r>
      <w:r w:rsidR="00282BCA" w:rsidRPr="00FA09CC">
        <w:rPr>
          <w:color w:val="000000" w:themeColor="text1"/>
        </w:rPr>
        <w:t xml:space="preserve"> nie ma możliwości skorygowania treści protokołu przesłuchania. </w:t>
      </w:r>
      <w:r w:rsidR="00145C75">
        <w:rPr>
          <w:color w:val="000000" w:themeColor="text1"/>
        </w:rPr>
        <w:t>Dokument, który</w:t>
      </w:r>
      <w:r w:rsidR="0096411E">
        <w:rPr>
          <w:color w:val="000000" w:themeColor="text1"/>
        </w:rPr>
        <w:t xml:space="preserve"> </w:t>
      </w:r>
      <w:r w:rsidR="00282BCA" w:rsidRPr="00FA09CC">
        <w:rPr>
          <w:color w:val="000000" w:themeColor="text1"/>
        </w:rPr>
        <w:t xml:space="preserve">w tekście </w:t>
      </w:r>
      <w:r w:rsidR="000A0A05" w:rsidRPr="00FA09CC">
        <w:rPr>
          <w:color w:val="000000" w:themeColor="text1"/>
        </w:rPr>
        <w:t xml:space="preserve">raportu </w:t>
      </w:r>
      <w:r w:rsidR="003B6B4E" w:rsidRPr="00FA09CC">
        <w:rPr>
          <w:color w:val="000000" w:themeColor="text1"/>
        </w:rPr>
        <w:t>określan</w:t>
      </w:r>
      <w:r w:rsidR="00145C75">
        <w:rPr>
          <w:color w:val="000000" w:themeColor="text1"/>
        </w:rPr>
        <w:t>y</w:t>
      </w:r>
      <w:r w:rsidR="003B6B4E" w:rsidRPr="00FA09CC">
        <w:rPr>
          <w:color w:val="000000" w:themeColor="text1"/>
        </w:rPr>
        <w:t xml:space="preserve"> jest jako </w:t>
      </w:r>
      <w:r w:rsidR="00C62327">
        <w:rPr>
          <w:color w:val="000000" w:themeColor="text1"/>
        </w:rPr>
        <w:t>„</w:t>
      </w:r>
      <w:r w:rsidR="000A0A05" w:rsidRPr="00FA09CC">
        <w:rPr>
          <w:color w:val="000000" w:themeColor="text1"/>
        </w:rPr>
        <w:t>pisemn</w:t>
      </w:r>
      <w:r w:rsidR="003B6B4E" w:rsidRPr="00FA09CC">
        <w:rPr>
          <w:color w:val="000000" w:themeColor="text1"/>
        </w:rPr>
        <w:t>e</w:t>
      </w:r>
      <w:r w:rsidR="000A0A05" w:rsidRPr="00FA09CC">
        <w:rPr>
          <w:color w:val="000000" w:themeColor="text1"/>
        </w:rPr>
        <w:t xml:space="preserve"> sprawozdanie</w:t>
      </w:r>
      <w:r w:rsidR="00C62327">
        <w:rPr>
          <w:color w:val="000000" w:themeColor="text1"/>
        </w:rPr>
        <w:t>”</w:t>
      </w:r>
      <w:r w:rsidR="003B6B4E" w:rsidRPr="00FA09CC">
        <w:rPr>
          <w:color w:val="000000" w:themeColor="text1"/>
        </w:rPr>
        <w:t>,</w:t>
      </w:r>
      <w:r w:rsidR="000A0A05" w:rsidRPr="00FA09CC">
        <w:rPr>
          <w:color w:val="000000" w:themeColor="text1"/>
        </w:rPr>
        <w:t xml:space="preserve"> w istocie jest protokołem, który na koniec każdego przesłuchania jest odczytywany, w taki sposób, by wnioskodawca miał możliwość skorygować jego treść. Urząd do spraw Cudzoziemców uwzględnia również uwagi do protokołów przesyłane przez wnioskodawców już po zakończeniu przesłuchania. W związku z tym nagrywanie przesłuchań w istotny sposób nie wpłynęłoby na poprawę jakości postępowania dowodowego. </w:t>
      </w:r>
    </w:p>
    <w:p w:rsidR="00AC2016" w:rsidRPr="00FA09CC" w:rsidRDefault="000A0A05" w:rsidP="0024594C">
      <w:pPr>
        <w:ind w:left="0" w:firstLine="0"/>
        <w:rPr>
          <w:color w:val="000000" w:themeColor="text1"/>
        </w:rPr>
      </w:pPr>
      <w:r w:rsidRPr="00FA09CC">
        <w:rPr>
          <w:color w:val="000000" w:themeColor="text1"/>
        </w:rPr>
        <w:t>Niezgodne z</w:t>
      </w:r>
      <w:r w:rsidR="001666B9">
        <w:rPr>
          <w:color w:val="000000" w:themeColor="text1"/>
        </w:rPr>
        <w:t>e stanem faktycznym</w:t>
      </w:r>
      <w:r w:rsidRPr="00FA09CC">
        <w:rPr>
          <w:color w:val="000000" w:themeColor="text1"/>
        </w:rPr>
        <w:t xml:space="preserve"> są przedstawione w zdaniu czwartym </w:t>
      </w:r>
      <w:r w:rsidR="003E6DBB" w:rsidRPr="00FA09CC">
        <w:rPr>
          <w:color w:val="000000" w:themeColor="text1"/>
        </w:rPr>
        <w:t xml:space="preserve">paragrafu </w:t>
      </w:r>
      <w:r w:rsidRPr="00FA09CC">
        <w:rPr>
          <w:color w:val="000000" w:themeColor="text1"/>
        </w:rPr>
        <w:t>informacje na temat niewłaściwego postępowania przy rozpytaniu kobiet-żon, czy nie chcą złożyć odrębnego wniosku. Rozmowa dotycząca chęci złożenia odrębnego wniosku przeprowadzana jest przez funkcjonariusz</w:t>
      </w:r>
      <w:r w:rsidR="00C62327">
        <w:rPr>
          <w:color w:val="000000" w:themeColor="text1"/>
        </w:rPr>
        <w:t>a</w:t>
      </w:r>
      <w:r w:rsidRPr="00FA09CC">
        <w:rPr>
          <w:color w:val="000000" w:themeColor="text1"/>
        </w:rPr>
        <w:t>-kobiet</w:t>
      </w:r>
      <w:r w:rsidR="00C62327">
        <w:rPr>
          <w:color w:val="000000" w:themeColor="text1"/>
        </w:rPr>
        <w:t>ę</w:t>
      </w:r>
      <w:r w:rsidRPr="00FA09CC">
        <w:rPr>
          <w:color w:val="000000" w:themeColor="text1"/>
        </w:rPr>
        <w:t>. Nie ma potrzeby tłumaczenia tego pytania przez tłumacza, ani też proszenia męża o przetłumaczenie, ponieważ informacja o takiej możliwości stanowi od</w:t>
      </w:r>
      <w:r w:rsidR="003B6B4E" w:rsidRPr="00FA09CC">
        <w:rPr>
          <w:color w:val="000000" w:themeColor="text1"/>
        </w:rPr>
        <w:t>rębną ulotkę. Ulotka jest</w:t>
      </w:r>
      <w:r w:rsidRPr="00FA09CC">
        <w:rPr>
          <w:color w:val="000000" w:themeColor="text1"/>
        </w:rPr>
        <w:t xml:space="preserve"> dostępn</w:t>
      </w:r>
      <w:r w:rsidR="003B6B4E" w:rsidRPr="00FA09CC">
        <w:rPr>
          <w:color w:val="000000" w:themeColor="text1"/>
        </w:rPr>
        <w:t>a</w:t>
      </w:r>
      <w:r w:rsidRPr="00FA09CC">
        <w:rPr>
          <w:color w:val="000000" w:themeColor="text1"/>
        </w:rPr>
        <w:t xml:space="preserve"> w każdej placówce Straży Granicznej w 22 wersjach językowych, co w pełni zaspokaja potrzeby.</w:t>
      </w:r>
    </w:p>
    <w:p w:rsidR="000B39B1" w:rsidRPr="00FA09CC" w:rsidRDefault="000A0A05" w:rsidP="0024594C">
      <w:pPr>
        <w:ind w:left="0" w:firstLine="0"/>
        <w:rPr>
          <w:color w:val="000000" w:themeColor="text1"/>
        </w:rPr>
      </w:pPr>
      <w:r w:rsidRPr="00FA09CC">
        <w:rPr>
          <w:color w:val="000000" w:themeColor="text1"/>
        </w:rPr>
        <w:t xml:space="preserve">Wątpliwości budzi, w jaki sposób autorzy raportu doszli do </w:t>
      </w:r>
      <w:r w:rsidR="00C62327" w:rsidRPr="00FA09CC">
        <w:rPr>
          <w:color w:val="000000" w:themeColor="text1"/>
        </w:rPr>
        <w:t xml:space="preserve">wniosku </w:t>
      </w:r>
      <w:r w:rsidRPr="00FA09CC">
        <w:rPr>
          <w:color w:val="000000" w:themeColor="text1"/>
        </w:rPr>
        <w:t xml:space="preserve">zawartego w zdaniu piątym </w:t>
      </w:r>
      <w:r w:rsidR="00C62327">
        <w:rPr>
          <w:color w:val="000000" w:themeColor="text1"/>
        </w:rPr>
        <w:t>paragrafu</w:t>
      </w:r>
      <w:r w:rsidRPr="00FA09CC">
        <w:rPr>
          <w:color w:val="000000" w:themeColor="text1"/>
        </w:rPr>
        <w:t xml:space="preserve">, że raporty o kraju pochodzenia wnioskodawczyni nie uwzględniają specyficznej sytuacji kobiet. W istocie, informacje o kraju pochodzenia wnioskodawczyni obejmują, o ile to właściwe, dane dotyczące prześladowań uwarunkowanych płcią. </w:t>
      </w:r>
    </w:p>
    <w:p w:rsidR="000B39B1" w:rsidRPr="00FA09CC" w:rsidRDefault="000A0A05" w:rsidP="0024594C">
      <w:pPr>
        <w:ind w:left="0" w:firstLine="0"/>
        <w:rPr>
          <w:color w:val="000000" w:themeColor="text1"/>
        </w:rPr>
      </w:pPr>
      <w:r w:rsidRPr="00FA09CC">
        <w:rPr>
          <w:color w:val="000000" w:themeColor="text1"/>
        </w:rPr>
        <w:t xml:space="preserve">Postępowanie o udzielenie ochrony międzynarodowej zostało zorganizowane w taki sposób, by zrealizować ustawowy obowiązek ustalenia, czy wnioskodawczyni </w:t>
      </w:r>
      <w:r w:rsidR="00802A22">
        <w:rPr>
          <w:color w:val="000000" w:themeColor="text1"/>
        </w:rPr>
        <w:t xml:space="preserve">nie jest </w:t>
      </w:r>
      <w:r w:rsidRPr="00FA09CC">
        <w:rPr>
          <w:color w:val="000000" w:themeColor="text1"/>
        </w:rPr>
        <w:t xml:space="preserve">ofiarą przemocy uwarunkowanej płcią. </w:t>
      </w:r>
    </w:p>
    <w:p w:rsidR="00AC2016" w:rsidRPr="00FA09CC" w:rsidRDefault="00AC2016" w:rsidP="0024594C">
      <w:pPr>
        <w:ind w:left="0" w:firstLine="0"/>
        <w:rPr>
          <w:color w:val="000000" w:themeColor="text1"/>
        </w:rPr>
      </w:pPr>
    </w:p>
    <w:p w:rsidR="00282BCA" w:rsidRPr="00FA09CC" w:rsidRDefault="000A0A05" w:rsidP="0024594C">
      <w:pPr>
        <w:ind w:left="0" w:firstLine="0"/>
        <w:rPr>
          <w:b/>
          <w:color w:val="000000" w:themeColor="text1"/>
        </w:rPr>
      </w:pPr>
      <w:r w:rsidRPr="00FA09CC">
        <w:rPr>
          <w:b/>
          <w:color w:val="000000" w:themeColor="text1"/>
        </w:rPr>
        <w:t>Paragraf 328 – zalecenia dotyczące procedury azylowej</w:t>
      </w:r>
    </w:p>
    <w:p w:rsidR="000B39B1" w:rsidRPr="00FA09CC" w:rsidRDefault="000A0A05" w:rsidP="0024594C">
      <w:pPr>
        <w:ind w:left="0" w:firstLine="0"/>
        <w:rPr>
          <w:color w:val="000000" w:themeColor="text1"/>
        </w:rPr>
      </w:pPr>
      <w:r w:rsidRPr="00FA09CC">
        <w:rPr>
          <w:color w:val="000000" w:themeColor="text1"/>
        </w:rPr>
        <w:t xml:space="preserve">Obecny sposób prowadzenia postępowań o udzielenie ochrony międzynarodowej uwzględnia kwestie </w:t>
      </w:r>
      <w:r w:rsidR="00802A22">
        <w:rPr>
          <w:color w:val="000000" w:themeColor="text1"/>
        </w:rPr>
        <w:t xml:space="preserve">dotyczące </w:t>
      </w:r>
      <w:r w:rsidRPr="00FA09CC">
        <w:rPr>
          <w:color w:val="000000" w:themeColor="text1"/>
        </w:rPr>
        <w:t xml:space="preserve">płci wnioskodawcy, w szczególności w związku z obowiązkiem identyfikacji osób wymagających szczególnego traktowania, do których, zgodnie z art. 68 ust. 1 pkt 4 i 10 ustawy </w:t>
      </w:r>
      <w:r w:rsidR="00C62327">
        <w:rPr>
          <w:color w:val="000000" w:themeColor="text1"/>
        </w:rPr>
        <w:t xml:space="preserve">z 13 czerwca 2003 r. </w:t>
      </w:r>
      <w:r w:rsidRPr="00FA09CC">
        <w:rPr>
          <w:color w:val="000000" w:themeColor="text1"/>
        </w:rPr>
        <w:t xml:space="preserve">o udzielaniu cudzoziemcom ochrony na terytorium RP, można zaliczyć kobiety ciężarne oraz ofiary przemocy psychicznej, fizycznej, w tym seksualnej, a także ofiary przemocy ze względu na płeć, orientację seksualną i tożsamość płciową. Taka identyfikacja może zostać dokonana nie tylko na początku procedury, ale </w:t>
      </w:r>
      <w:r w:rsidR="008350C3">
        <w:rPr>
          <w:color w:val="000000" w:themeColor="text1"/>
        </w:rPr>
        <w:br/>
      </w:r>
      <w:r w:rsidRPr="00FA09CC">
        <w:rPr>
          <w:color w:val="000000" w:themeColor="text1"/>
        </w:rPr>
        <w:t xml:space="preserve">i także na dowolnym innym jej etapie. </w:t>
      </w:r>
    </w:p>
    <w:p w:rsidR="00282BCA" w:rsidRPr="00FA09CC" w:rsidRDefault="00282BCA" w:rsidP="0024594C">
      <w:pPr>
        <w:ind w:left="0" w:firstLine="0"/>
        <w:rPr>
          <w:iCs/>
          <w:color w:val="000000" w:themeColor="text1"/>
        </w:rPr>
      </w:pPr>
    </w:p>
    <w:p w:rsidR="00282BCA" w:rsidRPr="00FA09CC" w:rsidRDefault="000A0A05" w:rsidP="0024594C">
      <w:pPr>
        <w:ind w:left="0" w:firstLine="0"/>
        <w:rPr>
          <w:b/>
          <w:iCs/>
          <w:color w:val="000000" w:themeColor="text1"/>
        </w:rPr>
      </w:pPr>
      <w:r w:rsidRPr="00FA09CC">
        <w:rPr>
          <w:b/>
          <w:iCs/>
          <w:color w:val="000000" w:themeColor="text1"/>
        </w:rPr>
        <w:t>Paragraf 331 – ośrodki pobytowe</w:t>
      </w:r>
    </w:p>
    <w:p w:rsidR="00444620" w:rsidRPr="00FA09CC" w:rsidRDefault="000A0A05" w:rsidP="0024594C">
      <w:pPr>
        <w:ind w:left="0" w:firstLine="0"/>
        <w:rPr>
          <w:color w:val="000000" w:themeColor="text1"/>
        </w:rPr>
      </w:pPr>
      <w:r w:rsidRPr="00FA09CC">
        <w:rPr>
          <w:iCs/>
          <w:color w:val="000000" w:themeColor="text1"/>
        </w:rPr>
        <w:t xml:space="preserve">W związku ze zdaniem drugim </w:t>
      </w:r>
      <w:r w:rsidR="003F6FA1" w:rsidRPr="00FA09CC">
        <w:rPr>
          <w:iCs/>
          <w:color w:val="000000" w:themeColor="text1"/>
        </w:rPr>
        <w:t xml:space="preserve">paragrafu (niska liczba raportowanych przypadków przemocy) </w:t>
      </w:r>
      <w:r w:rsidR="00444620" w:rsidRPr="00FA09CC">
        <w:rPr>
          <w:iCs/>
          <w:color w:val="000000" w:themeColor="text1"/>
        </w:rPr>
        <w:t xml:space="preserve">należy wskazać, że </w:t>
      </w:r>
      <w:r w:rsidR="00282BCA" w:rsidRPr="00FA09CC">
        <w:rPr>
          <w:color w:val="000000" w:themeColor="text1"/>
        </w:rPr>
        <w:t>raportowana liczba przypadków to liczba, która została stwierdzona w ośrodkach i</w:t>
      </w:r>
      <w:r w:rsidR="00C62327">
        <w:rPr>
          <w:color w:val="000000" w:themeColor="text1"/>
        </w:rPr>
        <w:t>,</w:t>
      </w:r>
      <w:r w:rsidR="00282BCA" w:rsidRPr="00FA09CC">
        <w:rPr>
          <w:color w:val="000000" w:themeColor="text1"/>
        </w:rPr>
        <w:t xml:space="preserve"> </w:t>
      </w:r>
      <w:r w:rsidR="00444620" w:rsidRPr="00FA09CC">
        <w:rPr>
          <w:color w:val="000000" w:themeColor="text1"/>
        </w:rPr>
        <w:t>w ocenie władz polskich</w:t>
      </w:r>
      <w:r w:rsidR="00C62327">
        <w:rPr>
          <w:color w:val="000000" w:themeColor="text1"/>
        </w:rPr>
        <w:t>,</w:t>
      </w:r>
      <w:r w:rsidR="00282BCA" w:rsidRPr="00FA09CC">
        <w:rPr>
          <w:color w:val="000000" w:themeColor="text1"/>
        </w:rPr>
        <w:t xml:space="preserve"> odpowiada rzeczywistej liczbie przypadków przemocy z powod</w:t>
      </w:r>
      <w:r w:rsidR="00444620" w:rsidRPr="00FA09CC">
        <w:rPr>
          <w:color w:val="000000" w:themeColor="text1"/>
        </w:rPr>
        <w:t>u</w:t>
      </w:r>
      <w:r w:rsidR="00282BCA" w:rsidRPr="00FA09CC">
        <w:rPr>
          <w:color w:val="000000" w:themeColor="text1"/>
        </w:rPr>
        <w:t xml:space="preserve"> płci, które </w:t>
      </w:r>
      <w:r w:rsidR="00444620" w:rsidRPr="00FA09CC">
        <w:rPr>
          <w:color w:val="000000" w:themeColor="text1"/>
        </w:rPr>
        <w:t xml:space="preserve">zdarzyły się w </w:t>
      </w:r>
      <w:r w:rsidR="00282BCA" w:rsidRPr="00FA09CC">
        <w:rPr>
          <w:color w:val="000000" w:themeColor="text1"/>
        </w:rPr>
        <w:t xml:space="preserve">ośrodkach. </w:t>
      </w:r>
    </w:p>
    <w:p w:rsidR="00282BCA" w:rsidRPr="00FA09CC" w:rsidRDefault="000A0A05" w:rsidP="0024594C">
      <w:pPr>
        <w:ind w:left="0" w:firstLine="0"/>
        <w:rPr>
          <w:color w:val="000000" w:themeColor="text1"/>
        </w:rPr>
      </w:pPr>
      <w:r w:rsidRPr="00FA09CC">
        <w:rPr>
          <w:color w:val="000000" w:themeColor="text1"/>
        </w:rPr>
        <w:t xml:space="preserve">W związku ze stwierdzeniem zawartym w zdaniu trzecim, że </w:t>
      </w:r>
      <w:r w:rsidRPr="00FA09CC">
        <w:rPr>
          <w:iCs/>
          <w:color w:val="000000" w:themeColor="text1"/>
        </w:rPr>
        <w:t xml:space="preserve">specjalistyczna reakcja </w:t>
      </w:r>
      <w:r w:rsidR="008350C3">
        <w:rPr>
          <w:iCs/>
          <w:color w:val="000000" w:themeColor="text1"/>
        </w:rPr>
        <w:br/>
      </w:r>
      <w:r w:rsidRPr="00FA09CC">
        <w:rPr>
          <w:iCs/>
          <w:color w:val="000000" w:themeColor="text1"/>
        </w:rPr>
        <w:t xml:space="preserve">w przypadku przemocy domowej, taka jak procedura </w:t>
      </w:r>
      <w:r w:rsidR="00C62327">
        <w:rPr>
          <w:iCs/>
          <w:color w:val="000000" w:themeColor="text1"/>
        </w:rPr>
        <w:t>„</w:t>
      </w:r>
      <w:r w:rsidRPr="00FA09CC">
        <w:rPr>
          <w:iCs/>
          <w:color w:val="000000" w:themeColor="text1"/>
        </w:rPr>
        <w:t>Niebieskiej Karty</w:t>
      </w:r>
      <w:r w:rsidR="00C62327">
        <w:rPr>
          <w:iCs/>
          <w:color w:val="000000" w:themeColor="text1"/>
        </w:rPr>
        <w:t>”</w:t>
      </w:r>
      <w:r w:rsidRPr="00FA09CC">
        <w:rPr>
          <w:iCs/>
          <w:color w:val="000000" w:themeColor="text1"/>
        </w:rPr>
        <w:t>, nie jest dostępna dla kobiet ubiegających się o ochronę międzynarodową</w:t>
      </w:r>
      <w:r w:rsidRPr="00C62327">
        <w:rPr>
          <w:iCs/>
          <w:color w:val="000000" w:themeColor="text1"/>
        </w:rPr>
        <w:t>,</w:t>
      </w:r>
      <w:r w:rsidRPr="00FA09CC">
        <w:rPr>
          <w:iCs/>
          <w:color w:val="000000" w:themeColor="text1"/>
        </w:rPr>
        <w:t xml:space="preserve"> ani nie istnieją szczególne wytyczne lub protokoły działania służące zapobieganiu oraz reakcji na przypadki wymuszonych małżeństw lub przemocy z powodów honorowych, to należy wskazać, że wielokrotnie</w:t>
      </w:r>
      <w:r w:rsidRPr="00FA09CC">
        <w:rPr>
          <w:color w:val="000000" w:themeColor="text1"/>
        </w:rPr>
        <w:t xml:space="preserve"> Niebieskie Karty były zakładane dla kobiet ubiega</w:t>
      </w:r>
      <w:r w:rsidR="00C62327">
        <w:rPr>
          <w:color w:val="000000" w:themeColor="text1"/>
        </w:rPr>
        <w:t>jących</w:t>
      </w:r>
      <w:r w:rsidRPr="00FA09CC">
        <w:rPr>
          <w:color w:val="000000" w:themeColor="text1"/>
        </w:rPr>
        <w:t xml:space="preserve"> się o ochronę międzynarodową, będących ofiarami przemocy </w:t>
      </w:r>
      <w:r w:rsidR="00C62327">
        <w:rPr>
          <w:color w:val="000000" w:themeColor="text1"/>
        </w:rPr>
        <w:t xml:space="preserve">w rodzinie </w:t>
      </w:r>
      <w:r w:rsidRPr="00FA09CC">
        <w:rPr>
          <w:color w:val="000000" w:themeColor="text1"/>
        </w:rPr>
        <w:t xml:space="preserve">w ośrodkach dla cudzoziemców. </w:t>
      </w:r>
    </w:p>
    <w:p w:rsidR="00081765" w:rsidRPr="00FA09CC" w:rsidRDefault="00081765" w:rsidP="0024594C">
      <w:pPr>
        <w:ind w:left="0" w:firstLine="0"/>
        <w:rPr>
          <w:color w:val="000000" w:themeColor="text1"/>
        </w:rPr>
      </w:pPr>
    </w:p>
    <w:p w:rsidR="00081765" w:rsidRPr="00FA09CC" w:rsidRDefault="000A0A05" w:rsidP="0024594C">
      <w:pPr>
        <w:ind w:left="0" w:firstLine="0"/>
        <w:rPr>
          <w:b/>
          <w:color w:val="000000" w:themeColor="text1"/>
        </w:rPr>
      </w:pPr>
      <w:r w:rsidRPr="00FA09CC">
        <w:rPr>
          <w:b/>
          <w:color w:val="000000" w:themeColor="text1"/>
        </w:rPr>
        <w:lastRenderedPageBreak/>
        <w:t>Paragraf 333 – wsparcie udzielane osobom przebywającym w ośrodkach recepcyjnych</w:t>
      </w:r>
    </w:p>
    <w:p w:rsidR="00282BCA" w:rsidRPr="00FA09CC" w:rsidRDefault="000A0A05" w:rsidP="0024594C">
      <w:pPr>
        <w:ind w:left="0" w:firstLine="0"/>
        <w:rPr>
          <w:color w:val="000000" w:themeColor="text1"/>
        </w:rPr>
      </w:pPr>
      <w:r w:rsidRPr="00FA09CC">
        <w:rPr>
          <w:color w:val="000000" w:themeColor="text1"/>
        </w:rPr>
        <w:t xml:space="preserve">Wszyscy cudzoziemcy wnioskujący o ochronę międzynarodową, którzy przybywają do ośrodków recepcyjnych, otrzymują w pierwszym dniu pobytu zestaw informacji na temat systemu opieki zdrowotnej. Informacja dostępna jest w językach obcych najczęściej używanych przez cudzoziemców (rosyjski, ukraiński, gruziński, arabski, angielski). Informacja przedstawia zakres dostępnej pomocy lekarskiej, miejsce jej świadczenia, </w:t>
      </w:r>
      <w:r w:rsidR="00434271" w:rsidRPr="00FA09CC">
        <w:rPr>
          <w:color w:val="000000" w:themeColor="text1"/>
        </w:rPr>
        <w:t>porady jak postępować w razi</w:t>
      </w:r>
      <w:r w:rsidR="00DB5FE3" w:rsidRPr="00FA09CC">
        <w:rPr>
          <w:color w:val="000000" w:themeColor="text1"/>
        </w:rPr>
        <w:t>e nagłego zagrożenia zdrowia i ż</w:t>
      </w:r>
      <w:r w:rsidR="00434271" w:rsidRPr="00FA09CC">
        <w:rPr>
          <w:color w:val="000000" w:themeColor="text1"/>
        </w:rPr>
        <w:t>ycia, gwałtownego pogorszenia się stanu zdrowia w nocy, weekendy lub święta, jak realizować recepty na leki oraz produkty medyczne. W ramach usług opieki medycznej działa infolinia operatora medycznego, obsługiwana w j</w:t>
      </w:r>
      <w:r w:rsidR="00C62327">
        <w:rPr>
          <w:color w:val="000000" w:themeColor="text1"/>
        </w:rPr>
        <w:t>ęzyku</w:t>
      </w:r>
      <w:r w:rsidR="00434271" w:rsidRPr="00FA09CC">
        <w:rPr>
          <w:color w:val="000000" w:themeColor="text1"/>
        </w:rPr>
        <w:t xml:space="preserve"> angielskim, ro</w:t>
      </w:r>
      <w:r w:rsidR="00856C5A" w:rsidRPr="00FA09CC">
        <w:rPr>
          <w:color w:val="000000" w:themeColor="text1"/>
        </w:rPr>
        <w:t>s</w:t>
      </w:r>
      <w:r w:rsidR="00434271" w:rsidRPr="00FA09CC">
        <w:rPr>
          <w:color w:val="000000" w:themeColor="text1"/>
        </w:rPr>
        <w:t xml:space="preserve">yjskim, ukraińskim, polskim, </w:t>
      </w:r>
      <w:r w:rsidRPr="00FA09CC">
        <w:rPr>
          <w:color w:val="000000" w:themeColor="text1"/>
        </w:rPr>
        <w:t xml:space="preserve">za pośrednictwem </w:t>
      </w:r>
      <w:r w:rsidR="00434271" w:rsidRPr="00FA09CC">
        <w:rPr>
          <w:color w:val="000000" w:themeColor="text1"/>
        </w:rPr>
        <w:t xml:space="preserve">której cudzoziemcy mogą umówić się do lekarza specjalisty i uzyskać </w:t>
      </w:r>
      <w:r w:rsidR="00DB5FE3" w:rsidRPr="00FA09CC">
        <w:rPr>
          <w:color w:val="000000" w:themeColor="text1"/>
        </w:rPr>
        <w:t>i</w:t>
      </w:r>
      <w:r w:rsidR="00434271" w:rsidRPr="00FA09CC">
        <w:rPr>
          <w:color w:val="000000" w:themeColor="text1"/>
        </w:rPr>
        <w:t>nfo</w:t>
      </w:r>
      <w:r w:rsidR="00DB5FE3" w:rsidRPr="00FA09CC">
        <w:rPr>
          <w:color w:val="000000" w:themeColor="text1"/>
        </w:rPr>
        <w:t>r</w:t>
      </w:r>
      <w:r w:rsidR="00434271" w:rsidRPr="00FA09CC">
        <w:rPr>
          <w:color w:val="000000" w:themeColor="text1"/>
        </w:rPr>
        <w:t>macj</w:t>
      </w:r>
      <w:r w:rsidR="00DB5FE3" w:rsidRPr="00FA09CC">
        <w:rPr>
          <w:color w:val="000000" w:themeColor="text1"/>
        </w:rPr>
        <w:t>ę</w:t>
      </w:r>
      <w:r w:rsidR="00434271" w:rsidRPr="00FA09CC">
        <w:rPr>
          <w:color w:val="000000" w:themeColor="text1"/>
        </w:rPr>
        <w:t xml:space="preserve"> na t</w:t>
      </w:r>
      <w:r w:rsidR="00DB5FE3" w:rsidRPr="00FA09CC">
        <w:rPr>
          <w:color w:val="000000" w:themeColor="text1"/>
        </w:rPr>
        <w:t>em</w:t>
      </w:r>
      <w:r w:rsidR="00434271" w:rsidRPr="00FA09CC">
        <w:rPr>
          <w:color w:val="000000" w:themeColor="text1"/>
        </w:rPr>
        <w:t xml:space="preserve">aty związane z opieką medyczną i psychologiczną. </w:t>
      </w:r>
      <w:r w:rsidRPr="00FA09CC">
        <w:rPr>
          <w:color w:val="000000" w:themeColor="text1"/>
        </w:rPr>
        <w:t xml:space="preserve">Dodatkowo, operator medyczny obsługujący cudzoziemców zatrudnia lub współpracuje z tłumaczami z najbardziej popularnych języków </w:t>
      </w:r>
      <w:r w:rsidR="00C62327">
        <w:rPr>
          <w:color w:val="000000" w:themeColor="text1"/>
        </w:rPr>
        <w:t>(</w:t>
      </w:r>
      <w:r w:rsidRPr="00FA09CC">
        <w:rPr>
          <w:color w:val="000000" w:themeColor="text1"/>
        </w:rPr>
        <w:t>rosyjski, ukraiński, angielski, gruziński</w:t>
      </w:r>
      <w:r w:rsidR="00C62327">
        <w:rPr>
          <w:color w:val="000000" w:themeColor="text1"/>
        </w:rPr>
        <w:t>)</w:t>
      </w:r>
      <w:r w:rsidRPr="00FA09CC">
        <w:rPr>
          <w:color w:val="000000" w:themeColor="text1"/>
        </w:rPr>
        <w:t xml:space="preserve"> oraz z tłumaczami </w:t>
      </w:r>
      <w:r w:rsidR="00C62327" w:rsidRPr="00FA09CC">
        <w:rPr>
          <w:color w:val="000000" w:themeColor="text1"/>
        </w:rPr>
        <w:t xml:space="preserve">języków </w:t>
      </w:r>
      <w:r w:rsidRPr="00FA09CC">
        <w:rPr>
          <w:color w:val="000000" w:themeColor="text1"/>
        </w:rPr>
        <w:t>rzadkich</w:t>
      </w:r>
      <w:r w:rsidR="00C62327">
        <w:rPr>
          <w:color w:val="000000" w:themeColor="text1"/>
        </w:rPr>
        <w:t>,</w:t>
      </w:r>
      <w:r w:rsidRPr="00FA09CC">
        <w:rPr>
          <w:color w:val="000000" w:themeColor="text1"/>
        </w:rPr>
        <w:t xml:space="preserve"> takich jak perski, arabski, czeczeński czy uzbecki. </w:t>
      </w:r>
    </w:p>
    <w:p w:rsidR="00282BCA" w:rsidRPr="00FA09CC" w:rsidRDefault="000A0A05" w:rsidP="0024594C">
      <w:pPr>
        <w:ind w:left="0" w:firstLine="0"/>
        <w:rPr>
          <w:color w:val="000000" w:themeColor="text1"/>
        </w:rPr>
      </w:pPr>
      <w:r w:rsidRPr="00FA09CC">
        <w:rPr>
          <w:color w:val="000000" w:themeColor="text1"/>
        </w:rPr>
        <w:t>Zasadą jest organizowanie wizyt lekarskich dla kobiet cudzoziemek odpowiednio do ich preferencji oraz przy uwzględnieniu zróżnicowania kulturowego. Zasada dotycząca udzielania pomocy ginekologicznej przez kobietę ginekologa jest realizowana w oparciu o odpowiednie zapisy umowy między Urzędem do spraw Cudzoziemców a operatorem medycznym. Obecny operator medyczny współpracuje z Urzędem do spraw Cudzoziemców od sześciu lat i posiada największe w Polsce doświadczenie w świadczeniu usług medycznych oraz pomocy psychologicznej cudzoziemcom ubiegającym się o ochronę międzynarodową.</w:t>
      </w:r>
    </w:p>
    <w:p w:rsidR="000317B7" w:rsidRPr="00FA09CC" w:rsidRDefault="000A0A05" w:rsidP="0024594C">
      <w:pPr>
        <w:ind w:left="0" w:firstLine="0"/>
        <w:rPr>
          <w:color w:val="000000" w:themeColor="text1"/>
        </w:rPr>
      </w:pPr>
      <w:r w:rsidRPr="00FA09CC">
        <w:rPr>
          <w:color w:val="000000" w:themeColor="text1"/>
        </w:rPr>
        <w:t>Opieka psychologiczna nad cudzoziemcami ubiegający</w:t>
      </w:r>
      <w:r w:rsidR="00434271" w:rsidRPr="00FA09CC">
        <w:rPr>
          <w:color w:val="000000" w:themeColor="text1"/>
        </w:rPr>
        <w:t>mi</w:t>
      </w:r>
      <w:r w:rsidRPr="00FA09CC">
        <w:rPr>
          <w:color w:val="000000" w:themeColor="text1"/>
        </w:rPr>
        <w:t xml:space="preserve"> się o ochronę międzynarodową jest świadczona we wszystkich ośrodkach, jak również dostępna jest dla tych, którzy mieszkają poza ośrodkami. Świadczenia psychologiczne obejmują wsparcie psychologiczne, działania edukacyjne, psychoterapię w ujęciu behawioralnym, interwencję kryzysową. </w:t>
      </w:r>
    </w:p>
    <w:p w:rsidR="000317B7" w:rsidRPr="00FA09CC" w:rsidRDefault="000A0A05" w:rsidP="0024594C">
      <w:pPr>
        <w:ind w:left="0" w:firstLine="0"/>
        <w:rPr>
          <w:color w:val="000000" w:themeColor="text1"/>
        </w:rPr>
      </w:pPr>
      <w:r w:rsidRPr="00FA09CC">
        <w:rPr>
          <w:color w:val="000000" w:themeColor="text1"/>
        </w:rPr>
        <w:t xml:space="preserve">W przypadkach uznanych przez pracowników Urzędu do spraw Cudzoziemców za wyjątkowe, operator medyczny jest zobowiązany do świadczenia natychmiastowych konsultacji psychologicznych dla dzieci oraz </w:t>
      </w:r>
      <w:r w:rsidR="00434271" w:rsidRPr="00FA09CC">
        <w:rPr>
          <w:color w:val="000000" w:themeColor="text1"/>
        </w:rPr>
        <w:t>młodzieży</w:t>
      </w:r>
      <w:r w:rsidRPr="00FA09CC">
        <w:rPr>
          <w:color w:val="000000" w:themeColor="text1"/>
        </w:rPr>
        <w:t xml:space="preserve">. Potrzeba udzielenia konsultacji psychologicznej dziecku jest przekazywana przez telefon przez pracownika ośrodka, </w:t>
      </w:r>
      <w:r w:rsidR="00A651F3">
        <w:rPr>
          <w:color w:val="000000" w:themeColor="text1"/>
        </w:rPr>
        <w:br/>
      </w:r>
      <w:r w:rsidRPr="00FA09CC">
        <w:rPr>
          <w:color w:val="000000" w:themeColor="text1"/>
        </w:rPr>
        <w:t xml:space="preserve">a wyznaczona data konsultacji nie może być późniejsza niż dwa dni od daty zgłoszenia. </w:t>
      </w:r>
    </w:p>
    <w:p w:rsidR="000317B7" w:rsidRPr="00FA09CC" w:rsidRDefault="000A0A05" w:rsidP="0024594C">
      <w:pPr>
        <w:ind w:left="0" w:firstLine="0"/>
        <w:rPr>
          <w:color w:val="000000" w:themeColor="text1"/>
        </w:rPr>
      </w:pPr>
      <w:r w:rsidRPr="00FA09CC">
        <w:rPr>
          <w:color w:val="000000" w:themeColor="text1"/>
        </w:rPr>
        <w:t>Z uwagi na wyjątkowo intymny charakter rozmów z psychologiem, w ośrodkach zatrudnieni są psychologowie, którzy mówią po rosyjsku, który to język używany jest przez większość cudzoziemców ubiegających się o ochronę międzynarodową w Polsce.</w:t>
      </w:r>
    </w:p>
    <w:p w:rsidR="006536C8" w:rsidRPr="00FA09CC" w:rsidRDefault="000A0A05" w:rsidP="0024594C">
      <w:pPr>
        <w:ind w:left="0" w:firstLine="0"/>
        <w:rPr>
          <w:color w:val="000000" w:themeColor="text1"/>
        </w:rPr>
      </w:pPr>
      <w:r w:rsidRPr="00FA09CC">
        <w:rPr>
          <w:color w:val="000000" w:themeColor="text1"/>
        </w:rPr>
        <w:t xml:space="preserve">Świadczenia realizowane są w oparciu o aktualne standardy oceny psychologicznej cudzoziemców ubiegających się o ochronę międzynarodową w Polsce, przygotowane przez Polskie Stowarzyszenie Psychologiczne. </w:t>
      </w:r>
    </w:p>
    <w:p w:rsidR="00C62327" w:rsidRDefault="000A0A05" w:rsidP="0024594C">
      <w:pPr>
        <w:ind w:left="0" w:firstLine="0"/>
        <w:rPr>
          <w:color w:val="000000" w:themeColor="text1"/>
        </w:rPr>
      </w:pPr>
      <w:r w:rsidRPr="00FA09CC">
        <w:rPr>
          <w:color w:val="000000" w:themeColor="text1"/>
        </w:rPr>
        <w:t xml:space="preserve">Jeśli ocena psychologiczna wskazuje potrzebę zastosowania leczenia specjalistycznego, pacjent jest kierowany do kliniki psychiatrycznej. </w:t>
      </w:r>
    </w:p>
    <w:p w:rsidR="006536C8" w:rsidRPr="00FA09CC" w:rsidRDefault="000A0A05" w:rsidP="0024594C">
      <w:pPr>
        <w:ind w:left="0" w:firstLine="0"/>
        <w:rPr>
          <w:color w:val="000000" w:themeColor="text1"/>
        </w:rPr>
      </w:pPr>
      <w:r w:rsidRPr="00FA09CC">
        <w:rPr>
          <w:color w:val="000000" w:themeColor="text1"/>
        </w:rPr>
        <w:t xml:space="preserve">Indywidualne podejście do pacjenta oraz bliska współpraca z psychologiem </w:t>
      </w:r>
      <w:r w:rsidR="00C62327">
        <w:rPr>
          <w:color w:val="000000" w:themeColor="text1"/>
        </w:rPr>
        <w:t>i</w:t>
      </w:r>
      <w:r w:rsidRPr="00FA09CC">
        <w:rPr>
          <w:color w:val="000000" w:themeColor="text1"/>
        </w:rPr>
        <w:t xml:space="preserve"> pozostałym personelem medycznym pozwala na objęcie kompleksową opieką psychologiczną </w:t>
      </w:r>
      <w:r w:rsidR="00C62327">
        <w:rPr>
          <w:color w:val="000000" w:themeColor="text1"/>
        </w:rPr>
        <w:t>wszystkich osób</w:t>
      </w:r>
      <w:r w:rsidRPr="00FA09CC">
        <w:rPr>
          <w:color w:val="000000" w:themeColor="text1"/>
        </w:rPr>
        <w:t xml:space="preserve"> ubiegając</w:t>
      </w:r>
      <w:r w:rsidR="00C62327">
        <w:rPr>
          <w:color w:val="000000" w:themeColor="text1"/>
        </w:rPr>
        <w:t>ych</w:t>
      </w:r>
      <w:r w:rsidRPr="00FA09CC">
        <w:rPr>
          <w:color w:val="000000" w:themeColor="text1"/>
        </w:rPr>
        <w:t xml:space="preserve"> się o ochronę międzynarodową, szczególnie osób ze szczególnymi potrzebami. </w:t>
      </w:r>
    </w:p>
    <w:p w:rsidR="00282BCA" w:rsidRPr="00FA09CC" w:rsidRDefault="000A0A05" w:rsidP="0024594C">
      <w:pPr>
        <w:ind w:left="0" w:firstLine="0"/>
        <w:rPr>
          <w:color w:val="000000" w:themeColor="text1"/>
        </w:rPr>
      </w:pPr>
      <w:r w:rsidRPr="00FA09CC">
        <w:rPr>
          <w:color w:val="000000" w:themeColor="text1"/>
        </w:rPr>
        <w:t xml:space="preserve">Urząd do spraw Cudzoziemców </w:t>
      </w:r>
      <w:r w:rsidR="00C62327" w:rsidRPr="00FA09CC">
        <w:rPr>
          <w:color w:val="000000" w:themeColor="text1"/>
        </w:rPr>
        <w:t xml:space="preserve">zobowiązany </w:t>
      </w:r>
      <w:r w:rsidRPr="00FA09CC">
        <w:rPr>
          <w:color w:val="000000" w:themeColor="text1"/>
        </w:rPr>
        <w:t xml:space="preserve">jest identyfikować osoby mające szczególne potrzeby, nie tylko bezpośrednio po złożeniu wniosku, ale również </w:t>
      </w:r>
      <w:r w:rsidR="00E36470">
        <w:rPr>
          <w:color w:val="000000" w:themeColor="text1"/>
        </w:rPr>
        <w:t xml:space="preserve">na wszystkich </w:t>
      </w:r>
      <w:r w:rsidRPr="00FA09CC">
        <w:rPr>
          <w:color w:val="000000" w:themeColor="text1"/>
        </w:rPr>
        <w:t>etap</w:t>
      </w:r>
      <w:r w:rsidR="00E36470">
        <w:rPr>
          <w:color w:val="000000" w:themeColor="text1"/>
        </w:rPr>
        <w:t>ach</w:t>
      </w:r>
      <w:r w:rsidRPr="00FA09CC">
        <w:rPr>
          <w:color w:val="000000" w:themeColor="text1"/>
        </w:rPr>
        <w:t xml:space="preserve"> procedury azylowej. Ocena, czy cudzoziemiec jest osobą, która wymaga szczególnego traktowania</w:t>
      </w:r>
      <w:r w:rsidR="00E36470">
        <w:rPr>
          <w:color w:val="000000" w:themeColor="text1"/>
        </w:rPr>
        <w:t>,</w:t>
      </w:r>
      <w:r w:rsidRPr="00FA09CC">
        <w:rPr>
          <w:color w:val="000000" w:themeColor="text1"/>
        </w:rPr>
        <w:t xml:space="preserve"> w t</w:t>
      </w:r>
      <w:r w:rsidR="00E36470">
        <w:rPr>
          <w:color w:val="000000" w:themeColor="text1"/>
        </w:rPr>
        <w:t>oku</w:t>
      </w:r>
      <w:r w:rsidRPr="00FA09CC">
        <w:rPr>
          <w:color w:val="000000" w:themeColor="text1"/>
        </w:rPr>
        <w:t xml:space="preserve"> procedury udzielania ochrony na terytorium Polski</w:t>
      </w:r>
      <w:r w:rsidR="00E36470">
        <w:rPr>
          <w:color w:val="000000" w:themeColor="text1"/>
        </w:rPr>
        <w:t>,</w:t>
      </w:r>
      <w:r w:rsidRPr="00FA09CC">
        <w:rPr>
          <w:color w:val="000000" w:themeColor="text1"/>
        </w:rPr>
        <w:t xml:space="preserve"> w odniesieniu do pomocy socjalnej, jest dokonywana przez:</w:t>
      </w:r>
    </w:p>
    <w:p w:rsidR="00282BCA" w:rsidRPr="00FA09CC" w:rsidRDefault="000A0A05" w:rsidP="0024594C">
      <w:pPr>
        <w:pStyle w:val="Akapitzlist"/>
        <w:numPr>
          <w:ilvl w:val="0"/>
          <w:numId w:val="9"/>
        </w:numPr>
        <w:rPr>
          <w:color w:val="000000" w:themeColor="text1"/>
        </w:rPr>
      </w:pPr>
      <w:r w:rsidRPr="00FA09CC">
        <w:rPr>
          <w:color w:val="000000" w:themeColor="text1"/>
        </w:rPr>
        <w:t>lekarza, podczas specjalnej trzystopniowej, wstępnej procedury w filtrze epidemiologicznym w ośrodkach recepcyjnych,</w:t>
      </w:r>
    </w:p>
    <w:p w:rsidR="00282BCA" w:rsidRPr="00FA09CC" w:rsidRDefault="000A0A05" w:rsidP="0024594C">
      <w:pPr>
        <w:pStyle w:val="Akapitzlist"/>
        <w:numPr>
          <w:ilvl w:val="0"/>
          <w:numId w:val="9"/>
        </w:numPr>
        <w:rPr>
          <w:color w:val="000000" w:themeColor="text1"/>
        </w:rPr>
      </w:pPr>
      <w:r w:rsidRPr="00FA09CC">
        <w:rPr>
          <w:color w:val="000000" w:themeColor="text1"/>
        </w:rPr>
        <w:lastRenderedPageBreak/>
        <w:t>psychologa</w:t>
      </w:r>
      <w:r w:rsidR="00434271" w:rsidRPr="00FA09CC">
        <w:rPr>
          <w:color w:val="000000" w:themeColor="text1"/>
        </w:rPr>
        <w:t xml:space="preserve"> lub lekarza</w:t>
      </w:r>
      <w:r w:rsidRPr="00FA09CC">
        <w:rPr>
          <w:color w:val="000000" w:themeColor="text1"/>
        </w:rPr>
        <w:t>, jeśli w trakcie świadczenia pomocy socjalnej pojawią się nowe okoliczności,</w:t>
      </w:r>
    </w:p>
    <w:p w:rsidR="00282BCA" w:rsidRPr="00FA09CC" w:rsidRDefault="000A0A05" w:rsidP="0024594C">
      <w:pPr>
        <w:pStyle w:val="Akapitzlist"/>
        <w:numPr>
          <w:ilvl w:val="0"/>
          <w:numId w:val="9"/>
        </w:numPr>
        <w:rPr>
          <w:color w:val="000000" w:themeColor="text1"/>
        </w:rPr>
      </w:pPr>
      <w:r w:rsidRPr="00FA09CC">
        <w:rPr>
          <w:color w:val="000000" w:themeColor="text1"/>
        </w:rPr>
        <w:t>psychologa, na wniosek pracownika Departamentu Postępowań Uchodźczych Urzędu do spraw Cudzoziemców, jeśli w trakcie procedury o udzielenie ochrony międzynarodowej pojawią się nowe okoliczności,</w:t>
      </w:r>
    </w:p>
    <w:p w:rsidR="00282BCA" w:rsidRPr="00FA09CC" w:rsidRDefault="000A0A05" w:rsidP="0024594C">
      <w:pPr>
        <w:pStyle w:val="Akapitzlist"/>
        <w:numPr>
          <w:ilvl w:val="0"/>
          <w:numId w:val="9"/>
        </w:numPr>
        <w:rPr>
          <w:color w:val="000000" w:themeColor="text1"/>
        </w:rPr>
      </w:pPr>
      <w:r w:rsidRPr="00FA09CC">
        <w:rPr>
          <w:color w:val="000000" w:themeColor="text1"/>
        </w:rPr>
        <w:t>pracowników Departamentu Pomocy Socjalnej Urzędu do spraw Cudzoziemców obecnych we wszystkich ośrodkach dla cudzoziemców, na podstawie ich codziennych rozmów i obserwacji.</w:t>
      </w:r>
    </w:p>
    <w:p w:rsidR="00282BCA" w:rsidRPr="00FA09CC" w:rsidRDefault="000A0A05" w:rsidP="0024594C">
      <w:pPr>
        <w:ind w:left="0" w:firstLine="0"/>
        <w:rPr>
          <w:color w:val="000000" w:themeColor="text1"/>
        </w:rPr>
      </w:pPr>
      <w:r w:rsidRPr="00FA09CC">
        <w:rPr>
          <w:color w:val="000000" w:themeColor="text1"/>
        </w:rPr>
        <w:t xml:space="preserve">Od 2015 r. stosowana jest procedura wewnętrzna (zmodyfikowana w 2018 r.), która określa wszystkie fazy świadczenia pomocy socjalnej osobom o szczególnych potrzebach, w podziale na kategorie tych osób. Każdy przypadek jest rozpatrywany indywidualnie, odpowiednio do szczególnych potrzeb cudzoziemca. </w:t>
      </w:r>
    </w:p>
    <w:p w:rsidR="00081765" w:rsidRPr="00FA09CC" w:rsidRDefault="00081765" w:rsidP="0024594C">
      <w:pPr>
        <w:ind w:left="0" w:firstLine="0"/>
        <w:rPr>
          <w:color w:val="000000" w:themeColor="text1"/>
        </w:rPr>
      </w:pPr>
      <w:bookmarkStart w:id="8" w:name="ezdPracownikAtrybut2"/>
      <w:bookmarkStart w:id="9" w:name="ezdPracownikNazwa"/>
      <w:bookmarkStart w:id="10" w:name="ezdPracownikStanowisko"/>
      <w:bookmarkStart w:id="11" w:name="ezdPracownikWydzialNazwa"/>
      <w:bookmarkEnd w:id="8"/>
      <w:bookmarkEnd w:id="9"/>
      <w:bookmarkEnd w:id="10"/>
      <w:bookmarkEnd w:id="11"/>
    </w:p>
    <w:p w:rsidR="00081765" w:rsidRPr="00FA09CC" w:rsidRDefault="000A0A05" w:rsidP="0024594C">
      <w:pPr>
        <w:ind w:left="0" w:firstLine="0"/>
        <w:rPr>
          <w:b/>
          <w:color w:val="000000" w:themeColor="text1"/>
        </w:rPr>
      </w:pPr>
      <w:r w:rsidRPr="00FA09CC">
        <w:rPr>
          <w:b/>
          <w:color w:val="000000" w:themeColor="text1"/>
        </w:rPr>
        <w:t>Paragraf 334 – warunki umieszczania w detencji</w:t>
      </w:r>
    </w:p>
    <w:p w:rsidR="00FC7A27" w:rsidRPr="00FA09CC" w:rsidRDefault="000A0A05" w:rsidP="0024594C">
      <w:pPr>
        <w:ind w:left="0" w:firstLine="0"/>
        <w:rPr>
          <w:color w:val="000000" w:themeColor="text1"/>
        </w:rPr>
      </w:pPr>
      <w:r w:rsidRPr="00FA09CC">
        <w:rPr>
          <w:color w:val="000000" w:themeColor="text1"/>
        </w:rPr>
        <w:t>W raporcie przywołany został jeden wyrok dotyczący cudzoziemki, która przebywała kilka miesięcy z dziećmi w ośrodku detencyjnym (przypis 246) i na nim oparta została teza, że polskie przepisy mogą prowadzić do umieszczania w detencji osoby, która doświadczyła przemocy</w:t>
      </w:r>
      <w:r w:rsidR="000512F1" w:rsidRPr="00FA09CC">
        <w:rPr>
          <w:color w:val="000000" w:themeColor="text1"/>
        </w:rPr>
        <w:t>.</w:t>
      </w:r>
      <w:r w:rsidRPr="00FA09CC">
        <w:rPr>
          <w:color w:val="000000" w:themeColor="text1"/>
        </w:rPr>
        <w:t xml:space="preserve"> Jeden przypadek nie świadczy </w:t>
      </w:r>
      <w:r w:rsidR="000512F1" w:rsidRPr="00FA09CC">
        <w:rPr>
          <w:color w:val="000000" w:themeColor="text1"/>
        </w:rPr>
        <w:t xml:space="preserve">ani </w:t>
      </w:r>
      <w:r w:rsidRPr="00FA09CC">
        <w:rPr>
          <w:color w:val="000000" w:themeColor="text1"/>
        </w:rPr>
        <w:t xml:space="preserve">o praktyce, ani </w:t>
      </w:r>
      <w:r w:rsidR="000512F1" w:rsidRPr="00FA09CC">
        <w:rPr>
          <w:color w:val="000000" w:themeColor="text1"/>
        </w:rPr>
        <w:t xml:space="preserve">o </w:t>
      </w:r>
      <w:r w:rsidRPr="00FA09CC">
        <w:rPr>
          <w:color w:val="000000" w:themeColor="text1"/>
        </w:rPr>
        <w:t xml:space="preserve">tym, że przepisy na to pozwalają. </w:t>
      </w:r>
    </w:p>
    <w:p w:rsidR="007C1F66" w:rsidRDefault="00F15AC5" w:rsidP="0024594C">
      <w:pPr>
        <w:ind w:left="0" w:firstLine="0"/>
        <w:rPr>
          <w:color w:val="000000" w:themeColor="text1"/>
        </w:rPr>
      </w:pPr>
      <w:r w:rsidRPr="00FA09CC">
        <w:rPr>
          <w:color w:val="000000" w:themeColor="text1"/>
        </w:rPr>
        <w:t>Jak wskaza</w:t>
      </w:r>
      <w:r w:rsidR="000512F1" w:rsidRPr="00FA09CC">
        <w:rPr>
          <w:color w:val="000000" w:themeColor="text1"/>
        </w:rPr>
        <w:t xml:space="preserve">ne zostało </w:t>
      </w:r>
      <w:r w:rsidR="000A0A05" w:rsidRPr="00FA09CC">
        <w:rPr>
          <w:color w:val="000000" w:themeColor="text1"/>
        </w:rPr>
        <w:t>w raporcie, obowiązują przepisy określające przesłanki negatywne detencji</w:t>
      </w:r>
      <w:r w:rsidR="000512F1" w:rsidRPr="00FA09CC">
        <w:rPr>
          <w:color w:val="000000" w:themeColor="text1"/>
        </w:rPr>
        <w:t xml:space="preserve"> </w:t>
      </w:r>
      <w:r w:rsidR="000A777E">
        <w:rPr>
          <w:color w:val="000000" w:themeColor="text1"/>
        </w:rPr>
        <w:t>–</w:t>
      </w:r>
      <w:r w:rsidR="000512F1" w:rsidRPr="00FA09CC">
        <w:rPr>
          <w:color w:val="000000" w:themeColor="text1"/>
        </w:rPr>
        <w:t xml:space="preserve"> a</w:t>
      </w:r>
      <w:r w:rsidR="000A0A05" w:rsidRPr="00FA09CC">
        <w:rPr>
          <w:color w:val="000000" w:themeColor="text1"/>
        </w:rPr>
        <w:t xml:space="preserve">rtykuł 88a ust. 3 pkt 2 ustawy </w:t>
      </w:r>
      <w:r w:rsidR="000512F1" w:rsidRPr="00FA09CC">
        <w:rPr>
          <w:color w:val="000000" w:themeColor="text1"/>
        </w:rPr>
        <w:t xml:space="preserve">o udzielaniu cudzoziemcom ochrony na terytorium RP </w:t>
      </w:r>
      <w:r w:rsidR="000A0A05" w:rsidRPr="00FA09CC">
        <w:rPr>
          <w:color w:val="000000" w:themeColor="text1"/>
        </w:rPr>
        <w:t xml:space="preserve">stanowi, że nie jest umieszczany w detencji cudzoziemiec, którego stan psychofizyczny może uzasadniać domniemanie, że był on poddany przemocy. </w:t>
      </w:r>
    </w:p>
    <w:p w:rsidR="00FC7A27" w:rsidRPr="00FA09CC" w:rsidRDefault="000512F1" w:rsidP="0024594C">
      <w:pPr>
        <w:ind w:left="0" w:firstLine="0"/>
        <w:rPr>
          <w:bCs/>
          <w:color w:val="000000" w:themeColor="text1"/>
        </w:rPr>
      </w:pPr>
      <w:r w:rsidRPr="00FA09CC">
        <w:rPr>
          <w:color w:val="000000" w:themeColor="text1"/>
        </w:rPr>
        <w:t xml:space="preserve">Zawarte w raporcie </w:t>
      </w:r>
      <w:r w:rsidR="00FC7A27" w:rsidRPr="00FA09CC">
        <w:rPr>
          <w:bCs/>
          <w:color w:val="000000" w:themeColor="text1"/>
        </w:rPr>
        <w:t>wskaz</w:t>
      </w:r>
      <w:r w:rsidRPr="00FA09CC">
        <w:rPr>
          <w:bCs/>
          <w:color w:val="000000" w:themeColor="text1"/>
        </w:rPr>
        <w:t>anie</w:t>
      </w:r>
      <w:r w:rsidR="00FC7A27" w:rsidRPr="00FA09CC">
        <w:rPr>
          <w:bCs/>
          <w:color w:val="000000" w:themeColor="text1"/>
        </w:rPr>
        <w:t xml:space="preserve">, </w:t>
      </w:r>
      <w:r w:rsidR="00565F1E" w:rsidRPr="00FA09CC">
        <w:rPr>
          <w:bCs/>
          <w:color w:val="000000" w:themeColor="text1"/>
        </w:rPr>
        <w:t xml:space="preserve">że „dzieci ubiegające się o ochronę” mogą być </w:t>
      </w:r>
      <w:r w:rsidR="00FC7A27" w:rsidRPr="00FA09CC">
        <w:rPr>
          <w:bCs/>
          <w:color w:val="000000" w:themeColor="text1"/>
        </w:rPr>
        <w:t>umieszczon</w:t>
      </w:r>
      <w:r w:rsidR="00565F1E" w:rsidRPr="00FA09CC">
        <w:rPr>
          <w:bCs/>
          <w:color w:val="000000" w:themeColor="text1"/>
        </w:rPr>
        <w:t>e</w:t>
      </w:r>
      <w:r w:rsidR="00FC7A27" w:rsidRPr="00FA09CC">
        <w:rPr>
          <w:bCs/>
          <w:color w:val="000000" w:themeColor="text1"/>
        </w:rPr>
        <w:t xml:space="preserve"> </w:t>
      </w:r>
      <w:r w:rsidR="00A651F3">
        <w:rPr>
          <w:bCs/>
          <w:color w:val="000000" w:themeColor="text1"/>
        </w:rPr>
        <w:br/>
      </w:r>
      <w:r w:rsidR="00FC7A27" w:rsidRPr="00FA09CC">
        <w:rPr>
          <w:bCs/>
          <w:color w:val="000000" w:themeColor="text1"/>
        </w:rPr>
        <w:t xml:space="preserve">w detencji, nie w pełni </w:t>
      </w:r>
      <w:r w:rsidR="00565F1E" w:rsidRPr="00FA09CC">
        <w:rPr>
          <w:bCs/>
          <w:color w:val="000000" w:themeColor="text1"/>
        </w:rPr>
        <w:t xml:space="preserve">jest </w:t>
      </w:r>
      <w:r w:rsidR="00FC7A27" w:rsidRPr="00FA09CC">
        <w:rPr>
          <w:bCs/>
          <w:color w:val="000000" w:themeColor="text1"/>
        </w:rPr>
        <w:t>zgodne z obowiązującym praw</w:t>
      </w:r>
      <w:r w:rsidR="00F15AC5" w:rsidRPr="00FA09CC">
        <w:rPr>
          <w:bCs/>
          <w:color w:val="000000" w:themeColor="text1"/>
        </w:rPr>
        <w:t>em.</w:t>
      </w:r>
      <w:r w:rsidR="00FC7A27" w:rsidRPr="00FA09CC">
        <w:rPr>
          <w:color w:val="000000" w:themeColor="text1"/>
        </w:rPr>
        <w:t xml:space="preserve"> D</w:t>
      </w:r>
      <w:r w:rsidR="00282BCA" w:rsidRPr="00FA09CC">
        <w:rPr>
          <w:color w:val="000000" w:themeColor="text1"/>
        </w:rPr>
        <w:t>etencja może dotyczyć tylko dzieci znajdujących się pod opieką prawnego opiekuna</w:t>
      </w:r>
      <w:r w:rsidR="003F6FA1" w:rsidRPr="00FA09CC">
        <w:rPr>
          <w:color w:val="000000" w:themeColor="text1"/>
        </w:rPr>
        <w:t>. M</w:t>
      </w:r>
      <w:r w:rsidR="00FC7A27" w:rsidRPr="00FA09CC">
        <w:rPr>
          <w:bCs/>
          <w:color w:val="000000" w:themeColor="text1"/>
        </w:rPr>
        <w:t>ałoletni bez opieki nie mogą być umieszczeni w ośrodku detencyjnym, co wynika z art. 88a ust. 3 pkt. 3 ustawy.</w:t>
      </w:r>
    </w:p>
    <w:p w:rsidR="00282BCA" w:rsidRPr="00FA09CC" w:rsidRDefault="00FC7A27" w:rsidP="0024594C">
      <w:pPr>
        <w:ind w:left="0" w:firstLine="0"/>
        <w:rPr>
          <w:bCs/>
          <w:color w:val="000000" w:themeColor="text1"/>
        </w:rPr>
      </w:pPr>
      <w:r w:rsidRPr="00FA09CC">
        <w:rPr>
          <w:bCs/>
          <w:color w:val="000000" w:themeColor="text1"/>
        </w:rPr>
        <w:t>Zwa</w:t>
      </w:r>
      <w:r w:rsidR="003F6FA1" w:rsidRPr="00FA09CC">
        <w:rPr>
          <w:bCs/>
          <w:color w:val="000000" w:themeColor="text1"/>
        </w:rPr>
        <w:t>ż</w:t>
      </w:r>
      <w:r w:rsidRPr="00FA09CC">
        <w:rPr>
          <w:bCs/>
          <w:color w:val="000000" w:themeColor="text1"/>
        </w:rPr>
        <w:t xml:space="preserve">ywszy te wyjaśnienia, </w:t>
      </w:r>
      <w:r w:rsidR="00565F1E" w:rsidRPr="00FA09CC">
        <w:rPr>
          <w:bCs/>
          <w:color w:val="000000" w:themeColor="text1"/>
        </w:rPr>
        <w:t xml:space="preserve">uzasadnione byłoby </w:t>
      </w:r>
      <w:r w:rsidRPr="00FA09CC">
        <w:rPr>
          <w:bCs/>
          <w:color w:val="000000" w:themeColor="text1"/>
        </w:rPr>
        <w:t>jedynie wskazanie</w:t>
      </w:r>
      <w:r w:rsidR="00802A22">
        <w:rPr>
          <w:bCs/>
          <w:color w:val="000000" w:themeColor="text1"/>
        </w:rPr>
        <w:t xml:space="preserve"> w raporcie</w:t>
      </w:r>
      <w:r w:rsidRPr="00FA09CC">
        <w:rPr>
          <w:bCs/>
          <w:color w:val="000000" w:themeColor="text1"/>
        </w:rPr>
        <w:t xml:space="preserve">, że mimo przepisów zawierających odpowiednie gwarancje w tym obszarze doszło do wyroku, </w:t>
      </w:r>
      <w:r w:rsidR="00A651F3">
        <w:rPr>
          <w:bCs/>
          <w:color w:val="000000" w:themeColor="text1"/>
        </w:rPr>
        <w:br/>
      </w:r>
      <w:r w:rsidRPr="00FA09CC">
        <w:rPr>
          <w:bCs/>
          <w:color w:val="000000" w:themeColor="text1"/>
        </w:rPr>
        <w:t>o którym mowa w przypisie 246.</w:t>
      </w:r>
    </w:p>
    <w:p w:rsidR="00081765" w:rsidRPr="00FA09CC" w:rsidRDefault="00081765" w:rsidP="0024594C">
      <w:pPr>
        <w:ind w:left="0" w:firstLine="0"/>
        <w:rPr>
          <w:b/>
          <w:color w:val="000000" w:themeColor="text1"/>
        </w:rPr>
      </w:pPr>
    </w:p>
    <w:p w:rsidR="00081765" w:rsidRPr="00FA09CC" w:rsidRDefault="000A0A05" w:rsidP="0024594C">
      <w:pPr>
        <w:ind w:left="0" w:firstLine="0"/>
        <w:rPr>
          <w:color w:val="000000" w:themeColor="text1"/>
        </w:rPr>
      </w:pPr>
      <w:r w:rsidRPr="00FA09CC">
        <w:rPr>
          <w:b/>
          <w:color w:val="000000" w:themeColor="text1"/>
        </w:rPr>
        <w:t>Paragraf 335</w:t>
      </w:r>
      <w:r w:rsidRPr="00FA09CC">
        <w:rPr>
          <w:color w:val="000000" w:themeColor="text1"/>
        </w:rPr>
        <w:t xml:space="preserve"> </w:t>
      </w:r>
      <w:r w:rsidRPr="00FA09CC">
        <w:rPr>
          <w:b/>
          <w:color w:val="000000" w:themeColor="text1"/>
        </w:rPr>
        <w:t>– postępowanie z cudzoziemcami wymagającymi szczególnego traktowania</w:t>
      </w:r>
    </w:p>
    <w:p w:rsidR="00FC7A27" w:rsidRPr="00FA09CC" w:rsidRDefault="000A0A05" w:rsidP="0024594C">
      <w:pPr>
        <w:ind w:left="0" w:firstLine="0"/>
        <w:rPr>
          <w:bCs/>
          <w:color w:val="000000" w:themeColor="text1"/>
        </w:rPr>
      </w:pPr>
      <w:r w:rsidRPr="00FA09CC">
        <w:rPr>
          <w:bCs/>
          <w:color w:val="000000" w:themeColor="text1"/>
        </w:rPr>
        <w:t xml:space="preserve">Wprawdzie GREVIO wskazał, że istnieje dokument </w:t>
      </w:r>
      <w:r w:rsidR="000A777E">
        <w:rPr>
          <w:bCs/>
          <w:color w:val="000000" w:themeColor="text1"/>
        </w:rPr>
        <w:t>–</w:t>
      </w:r>
      <w:r w:rsidRPr="00FA09CC">
        <w:rPr>
          <w:bCs/>
          <w:color w:val="000000" w:themeColor="text1"/>
        </w:rPr>
        <w:t xml:space="preserve"> zbiór zasad dotyczących postępowania z osobami wymagającymi szczególnego traktowania i że został on zmodyfikowany w 2019 r., jednak dodał, że zmiany nie wydają się uwzględniać wcześniej stwierdzonych wyzwań, takich jak konieczność przeprowadzania badań lekarskich, </w:t>
      </w:r>
      <w:r w:rsidR="00802A22">
        <w:rPr>
          <w:bCs/>
          <w:color w:val="000000" w:themeColor="text1"/>
        </w:rPr>
        <w:t xml:space="preserve">w celu </w:t>
      </w:r>
      <w:r w:rsidRPr="00FA09CC">
        <w:rPr>
          <w:bCs/>
          <w:color w:val="000000" w:themeColor="text1"/>
        </w:rPr>
        <w:t>ujawni</w:t>
      </w:r>
      <w:r w:rsidR="00802A22">
        <w:rPr>
          <w:bCs/>
          <w:color w:val="000000" w:themeColor="text1"/>
        </w:rPr>
        <w:t>enia</w:t>
      </w:r>
      <w:r w:rsidRPr="00FA09CC">
        <w:rPr>
          <w:bCs/>
          <w:color w:val="000000" w:themeColor="text1"/>
        </w:rPr>
        <w:t xml:space="preserve"> problem</w:t>
      </w:r>
      <w:r w:rsidR="00802A22">
        <w:rPr>
          <w:bCs/>
          <w:color w:val="000000" w:themeColor="text1"/>
        </w:rPr>
        <w:t>ów</w:t>
      </w:r>
      <w:r w:rsidRPr="00FA09CC">
        <w:rPr>
          <w:bCs/>
          <w:color w:val="000000" w:themeColor="text1"/>
        </w:rPr>
        <w:t xml:space="preserve"> w zakresie zdrowia psychicznego i identyfik</w:t>
      </w:r>
      <w:r w:rsidR="00802A22">
        <w:rPr>
          <w:bCs/>
          <w:color w:val="000000" w:themeColor="text1"/>
        </w:rPr>
        <w:t>acji</w:t>
      </w:r>
      <w:r w:rsidRPr="00FA09CC">
        <w:rPr>
          <w:bCs/>
          <w:color w:val="000000" w:themeColor="text1"/>
        </w:rPr>
        <w:t xml:space="preserve"> o</w:t>
      </w:r>
      <w:r w:rsidR="00802A22">
        <w:rPr>
          <w:bCs/>
          <w:color w:val="000000" w:themeColor="text1"/>
        </w:rPr>
        <w:t>sób</w:t>
      </w:r>
      <w:r w:rsidRPr="00FA09CC">
        <w:rPr>
          <w:bCs/>
          <w:color w:val="000000" w:themeColor="text1"/>
        </w:rPr>
        <w:t xml:space="preserve"> ubiegając</w:t>
      </w:r>
      <w:r w:rsidR="00802A22">
        <w:rPr>
          <w:bCs/>
          <w:color w:val="000000" w:themeColor="text1"/>
        </w:rPr>
        <w:t>ych</w:t>
      </w:r>
      <w:r w:rsidRPr="00FA09CC">
        <w:rPr>
          <w:bCs/>
          <w:color w:val="000000" w:themeColor="text1"/>
        </w:rPr>
        <w:t xml:space="preserve"> się o ochronę jako ofiary przemocy ze względu na płeć, a tym samym wykluczone z detencji. Wydaje się, że </w:t>
      </w:r>
      <w:r w:rsidR="00565F1E" w:rsidRPr="00FA09CC">
        <w:rPr>
          <w:bCs/>
          <w:color w:val="000000" w:themeColor="text1"/>
        </w:rPr>
        <w:t xml:space="preserve">ocena ta wynika </w:t>
      </w:r>
      <w:r w:rsidR="00A651F3">
        <w:rPr>
          <w:bCs/>
          <w:color w:val="000000" w:themeColor="text1"/>
        </w:rPr>
        <w:br/>
      </w:r>
      <w:r w:rsidR="00565F1E" w:rsidRPr="00FA09CC">
        <w:rPr>
          <w:bCs/>
          <w:color w:val="000000" w:themeColor="text1"/>
        </w:rPr>
        <w:t>z niedostatecznie szczegółowej analizy tego dokumentu</w:t>
      </w:r>
      <w:r w:rsidRPr="00FA09CC">
        <w:rPr>
          <w:bCs/>
          <w:color w:val="000000" w:themeColor="text1"/>
        </w:rPr>
        <w:t>.</w:t>
      </w:r>
    </w:p>
    <w:p w:rsidR="00731A17" w:rsidRPr="00FA09CC" w:rsidRDefault="000A0A05" w:rsidP="0024594C">
      <w:pPr>
        <w:ind w:left="0" w:firstLine="0"/>
        <w:rPr>
          <w:bCs/>
          <w:color w:val="FF0000"/>
        </w:rPr>
      </w:pPr>
      <w:r w:rsidRPr="00FA09CC">
        <w:rPr>
          <w:bCs/>
          <w:color w:val="000000" w:themeColor="text1"/>
        </w:rPr>
        <w:t xml:space="preserve">Ponadto, </w:t>
      </w:r>
      <w:r w:rsidR="000E596F" w:rsidRPr="00FA09CC">
        <w:rPr>
          <w:bCs/>
          <w:color w:val="000000" w:themeColor="text1"/>
        </w:rPr>
        <w:t>wątpliwości budzi</w:t>
      </w:r>
      <w:r w:rsidRPr="00FA09CC">
        <w:rPr>
          <w:bCs/>
          <w:color w:val="000000" w:themeColor="text1"/>
        </w:rPr>
        <w:t xml:space="preserve"> przywołanie raportu </w:t>
      </w:r>
      <w:r w:rsidR="00E36470">
        <w:rPr>
          <w:bCs/>
          <w:color w:val="000000" w:themeColor="text1"/>
        </w:rPr>
        <w:t>Komitetu przeciw Torturom (</w:t>
      </w:r>
      <w:r w:rsidRPr="00FA09CC">
        <w:rPr>
          <w:bCs/>
          <w:color w:val="000000" w:themeColor="text1"/>
        </w:rPr>
        <w:t>CAT</w:t>
      </w:r>
      <w:r w:rsidR="00E36470">
        <w:rPr>
          <w:bCs/>
          <w:color w:val="000000" w:themeColor="text1"/>
        </w:rPr>
        <w:t>)</w:t>
      </w:r>
      <w:r w:rsidRPr="00FA09CC">
        <w:rPr>
          <w:bCs/>
          <w:color w:val="000000" w:themeColor="text1"/>
        </w:rPr>
        <w:t xml:space="preserve"> z 2019 r. (przypis 247</w:t>
      </w:r>
      <w:r w:rsidR="003A3B78">
        <w:rPr>
          <w:bCs/>
          <w:color w:val="000000" w:themeColor="text1"/>
        </w:rPr>
        <w:t xml:space="preserve">) </w:t>
      </w:r>
      <w:r w:rsidRPr="00FA09CC">
        <w:rPr>
          <w:bCs/>
          <w:color w:val="000000" w:themeColor="text1"/>
        </w:rPr>
        <w:t xml:space="preserve">z uwagi na to, że </w:t>
      </w:r>
      <w:r w:rsidR="009C6537" w:rsidRPr="00FA09CC">
        <w:rPr>
          <w:bCs/>
          <w:color w:val="000000" w:themeColor="text1"/>
        </w:rPr>
        <w:t xml:space="preserve">spotkanie delegacji polskiej z </w:t>
      </w:r>
      <w:r w:rsidR="00731A17" w:rsidRPr="00FA09CC">
        <w:rPr>
          <w:bCs/>
          <w:color w:val="000000" w:themeColor="text1"/>
        </w:rPr>
        <w:t xml:space="preserve">CAT </w:t>
      </w:r>
      <w:r w:rsidR="009C6537" w:rsidRPr="00FA09CC">
        <w:rPr>
          <w:bCs/>
          <w:color w:val="000000" w:themeColor="text1"/>
        </w:rPr>
        <w:t xml:space="preserve">odbyło się </w:t>
      </w:r>
      <w:r w:rsidR="00731A17" w:rsidRPr="00FA09CC">
        <w:rPr>
          <w:bCs/>
          <w:color w:val="000000" w:themeColor="text1"/>
        </w:rPr>
        <w:t>w lipcu 2019 r., a zmiany w dokumencie „Zasady postępowania (…)” zostały dokonane w czerwcu 2019 r.</w:t>
      </w:r>
      <w:r w:rsidR="00F15AC5" w:rsidRPr="00FA09CC">
        <w:rPr>
          <w:bCs/>
          <w:color w:val="000000" w:themeColor="text1"/>
        </w:rPr>
        <w:t xml:space="preserve"> T</w:t>
      </w:r>
      <w:r w:rsidR="00731A17" w:rsidRPr="00FA09CC">
        <w:rPr>
          <w:bCs/>
          <w:color w:val="000000" w:themeColor="text1"/>
        </w:rPr>
        <w:t xml:space="preserve">rudno było zatem dokonywać oceny </w:t>
      </w:r>
      <w:r w:rsidR="00731A17" w:rsidRPr="00FA09CC">
        <w:rPr>
          <w:bCs/>
        </w:rPr>
        <w:t xml:space="preserve">nowych wytycznych miesiąc po ich wprowadzeniu, tym bardziej, że CAT nie miał okazji zapoznania się z dokumentem, </w:t>
      </w:r>
      <w:r w:rsidR="000E596F" w:rsidRPr="00FA09CC">
        <w:rPr>
          <w:bCs/>
        </w:rPr>
        <w:t xml:space="preserve">a </w:t>
      </w:r>
      <w:r w:rsidR="00F77A48" w:rsidRPr="00FA09CC">
        <w:rPr>
          <w:bCs/>
        </w:rPr>
        <w:t xml:space="preserve">podczas spotkania delegacji polskiej z komitetem </w:t>
      </w:r>
      <w:r w:rsidR="00731A17" w:rsidRPr="00FA09CC">
        <w:rPr>
          <w:bCs/>
        </w:rPr>
        <w:t>otrzymał tylko krótką informację o jego modyfikacji.</w:t>
      </w:r>
    </w:p>
    <w:p w:rsidR="00081765" w:rsidRPr="00FA09CC" w:rsidRDefault="00081765" w:rsidP="0024594C">
      <w:pPr>
        <w:ind w:left="0" w:firstLine="0"/>
        <w:rPr>
          <w:color w:val="000000" w:themeColor="text1"/>
        </w:rPr>
      </w:pPr>
    </w:p>
    <w:p w:rsidR="00731A17" w:rsidRPr="00FA09CC" w:rsidRDefault="000A0A05" w:rsidP="0024594C">
      <w:pPr>
        <w:ind w:left="0" w:firstLine="0"/>
        <w:rPr>
          <w:b/>
          <w:color w:val="000000" w:themeColor="text1"/>
        </w:rPr>
      </w:pPr>
      <w:r w:rsidRPr="00FA09CC">
        <w:rPr>
          <w:b/>
          <w:color w:val="000000" w:themeColor="text1"/>
        </w:rPr>
        <w:t>Paragraf</w:t>
      </w:r>
      <w:r w:rsidR="00812503" w:rsidRPr="00FA09CC">
        <w:rPr>
          <w:b/>
          <w:color w:val="000000" w:themeColor="text1"/>
        </w:rPr>
        <w:t>y</w:t>
      </w:r>
      <w:r w:rsidRPr="00FA09CC">
        <w:rPr>
          <w:b/>
          <w:color w:val="000000" w:themeColor="text1"/>
        </w:rPr>
        <w:t xml:space="preserve"> 340</w:t>
      </w:r>
      <w:r w:rsidR="00763F3F">
        <w:rPr>
          <w:b/>
          <w:color w:val="000000" w:themeColor="text1"/>
        </w:rPr>
        <w:t xml:space="preserve"> </w:t>
      </w:r>
      <w:r w:rsidRPr="00FA09CC">
        <w:rPr>
          <w:b/>
          <w:color w:val="000000" w:themeColor="text1"/>
        </w:rPr>
        <w:t>i 341(b)</w:t>
      </w:r>
      <w:r w:rsidRPr="00FA09CC">
        <w:rPr>
          <w:color w:val="000000" w:themeColor="text1"/>
        </w:rPr>
        <w:t xml:space="preserve"> </w:t>
      </w:r>
      <w:r w:rsidRPr="00FA09CC">
        <w:rPr>
          <w:b/>
          <w:color w:val="000000" w:themeColor="text1"/>
        </w:rPr>
        <w:t xml:space="preserve">– zasada </w:t>
      </w:r>
      <w:r w:rsidRPr="001109CF">
        <w:rPr>
          <w:b/>
          <w:i/>
          <w:color w:val="000000" w:themeColor="text1"/>
        </w:rPr>
        <w:t>non-refoulement</w:t>
      </w:r>
    </w:p>
    <w:p w:rsidR="00630844" w:rsidRPr="00FA09CC" w:rsidRDefault="000A0A05" w:rsidP="0024594C">
      <w:pPr>
        <w:ind w:left="0" w:firstLine="0"/>
        <w:rPr>
          <w:color w:val="000000" w:themeColor="text1"/>
        </w:rPr>
      </w:pPr>
      <w:r w:rsidRPr="00FA09CC">
        <w:rPr>
          <w:color w:val="000000" w:themeColor="text1"/>
        </w:rPr>
        <w:t xml:space="preserve">Zarzut, jakoby Polska nie dawała kobietom i </w:t>
      </w:r>
      <w:r w:rsidRPr="00FA09CC">
        <w:rPr>
          <w:bCs/>
          <w:color w:val="000000" w:themeColor="text1"/>
        </w:rPr>
        <w:t xml:space="preserve">dziewczętom możliwości swobodnego wypowiedzenia się w sprawie </w:t>
      </w:r>
      <w:r w:rsidR="00802A22">
        <w:rPr>
          <w:bCs/>
          <w:color w:val="000000" w:themeColor="text1"/>
        </w:rPr>
        <w:t>ich</w:t>
      </w:r>
      <w:r w:rsidRPr="00FA09CC">
        <w:rPr>
          <w:bCs/>
          <w:color w:val="000000" w:themeColor="text1"/>
        </w:rPr>
        <w:t xml:space="preserve"> obaw, zarówno na przejści</w:t>
      </w:r>
      <w:r w:rsidR="00900A0E">
        <w:rPr>
          <w:bCs/>
          <w:color w:val="000000" w:themeColor="text1"/>
        </w:rPr>
        <w:t>ach</w:t>
      </w:r>
      <w:r w:rsidRPr="00FA09CC">
        <w:rPr>
          <w:bCs/>
          <w:color w:val="000000" w:themeColor="text1"/>
        </w:rPr>
        <w:t xml:space="preserve"> graniczny</w:t>
      </w:r>
      <w:r w:rsidR="00900A0E">
        <w:rPr>
          <w:bCs/>
          <w:color w:val="000000" w:themeColor="text1"/>
        </w:rPr>
        <w:t>ch</w:t>
      </w:r>
      <w:r w:rsidRPr="00FA09CC">
        <w:rPr>
          <w:bCs/>
          <w:color w:val="000000" w:themeColor="text1"/>
        </w:rPr>
        <w:t xml:space="preserve">, jak </w:t>
      </w:r>
      <w:r w:rsidR="00A651F3">
        <w:rPr>
          <w:bCs/>
          <w:color w:val="000000" w:themeColor="text1"/>
        </w:rPr>
        <w:br/>
      </w:r>
      <w:r w:rsidRPr="00FA09CC">
        <w:rPr>
          <w:bCs/>
          <w:color w:val="000000" w:themeColor="text1"/>
        </w:rPr>
        <w:t>i w ośrodkach detencyjnych</w:t>
      </w:r>
      <w:r w:rsidRPr="00FA09CC">
        <w:rPr>
          <w:color w:val="000000" w:themeColor="text1"/>
        </w:rPr>
        <w:t xml:space="preserve">, </w:t>
      </w:r>
      <w:r w:rsidR="000E596F" w:rsidRPr="00FA09CC">
        <w:rPr>
          <w:color w:val="000000" w:themeColor="text1"/>
        </w:rPr>
        <w:t>nie ma podstaw w prawie i faktach</w:t>
      </w:r>
      <w:r w:rsidRPr="00FA09CC">
        <w:rPr>
          <w:color w:val="000000" w:themeColor="text1"/>
        </w:rPr>
        <w:t xml:space="preserve">. </w:t>
      </w:r>
    </w:p>
    <w:p w:rsidR="00ED0D97" w:rsidRPr="00FA09CC" w:rsidRDefault="000A0A05" w:rsidP="0024594C">
      <w:pPr>
        <w:ind w:left="0" w:firstLine="0"/>
        <w:rPr>
          <w:bCs/>
          <w:color w:val="000000" w:themeColor="text1"/>
        </w:rPr>
      </w:pPr>
      <w:r w:rsidRPr="00FA09CC">
        <w:rPr>
          <w:color w:val="000000" w:themeColor="text1"/>
        </w:rPr>
        <w:lastRenderedPageBreak/>
        <w:t xml:space="preserve">Na przejściu granicznym w Terespolu i Medyce Straż Graniczna przyjmuje wnioski </w:t>
      </w:r>
      <w:r w:rsidR="00A651F3">
        <w:rPr>
          <w:color w:val="000000" w:themeColor="text1"/>
        </w:rPr>
        <w:br/>
      </w:r>
      <w:r w:rsidRPr="00FA09CC">
        <w:rPr>
          <w:color w:val="000000" w:themeColor="text1"/>
        </w:rPr>
        <w:t xml:space="preserve">w wydzielonych pomieszczeniach, </w:t>
      </w:r>
      <w:r w:rsidRPr="00FA09CC">
        <w:rPr>
          <w:bCs/>
          <w:color w:val="000000" w:themeColor="text1"/>
        </w:rPr>
        <w:t>zapewniając</w:t>
      </w:r>
      <w:r w:rsidR="00ED0D97" w:rsidRPr="00FA09CC">
        <w:rPr>
          <w:bCs/>
          <w:color w:val="000000" w:themeColor="text1"/>
        </w:rPr>
        <w:t>ych</w:t>
      </w:r>
      <w:r w:rsidR="00731A17" w:rsidRPr="00FA09CC">
        <w:rPr>
          <w:bCs/>
          <w:color w:val="000000" w:themeColor="text1"/>
        </w:rPr>
        <w:t xml:space="preserve"> warunki prywatności. </w:t>
      </w:r>
    </w:p>
    <w:p w:rsidR="00630844" w:rsidRPr="00FA09CC" w:rsidRDefault="00731A17" w:rsidP="0024594C">
      <w:pPr>
        <w:ind w:left="0" w:firstLine="0"/>
        <w:rPr>
          <w:color w:val="000000" w:themeColor="text1"/>
        </w:rPr>
      </w:pPr>
      <w:r w:rsidRPr="00FA09CC">
        <w:rPr>
          <w:bCs/>
          <w:color w:val="000000" w:themeColor="text1"/>
        </w:rPr>
        <w:t xml:space="preserve">Wnioski o udzielenie ochrony międzynarodowej przyjmowane są od osób deklarujących obawy przed powrotem, tak by nie doszło do </w:t>
      </w:r>
      <w:r w:rsidRPr="00D76610">
        <w:rPr>
          <w:bCs/>
          <w:i/>
          <w:color w:val="000000" w:themeColor="text1"/>
        </w:rPr>
        <w:t>refoulement</w:t>
      </w:r>
      <w:r w:rsidR="00282BCA" w:rsidRPr="00FA09CC">
        <w:rPr>
          <w:color w:val="000000" w:themeColor="text1"/>
        </w:rPr>
        <w:t xml:space="preserve">. </w:t>
      </w:r>
    </w:p>
    <w:p w:rsidR="00282BCA" w:rsidRPr="00FA09CC" w:rsidRDefault="000A0A05" w:rsidP="0024594C">
      <w:pPr>
        <w:ind w:left="0" w:firstLine="0"/>
        <w:rPr>
          <w:color w:val="000000" w:themeColor="text1"/>
        </w:rPr>
      </w:pPr>
      <w:r w:rsidRPr="00FA09CC">
        <w:rPr>
          <w:color w:val="000000" w:themeColor="text1"/>
        </w:rPr>
        <w:t xml:space="preserve">W przypadku osób przebywających w strzeżonych ośrodkach wszelkie czynności administracyjne wykonywane są w odrębnych pomieszczeniach. Ponadto, zgodnie z art. 348 ustawy </w:t>
      </w:r>
      <w:r w:rsidR="00E36470">
        <w:rPr>
          <w:color w:val="000000" w:themeColor="text1"/>
        </w:rPr>
        <w:t xml:space="preserve">z 12 grudnia 2013 r. </w:t>
      </w:r>
      <w:r w:rsidRPr="00FA09CC">
        <w:rPr>
          <w:color w:val="000000" w:themeColor="text1"/>
        </w:rPr>
        <w:t>o cudzoziemcach w toku postępowania w sprawie zobowiązania cudzoziemca do powrotu zawsze rozpatrywane są przesłanki udzielenia cudzoziemcowi zgody na pobyt ze względów humanitarnych, w oparciu o przepisy Konwencji o ochronie praw człowieka i podstawowych wolności. Taka konstrukcja prawna gwaran</w:t>
      </w:r>
      <w:r w:rsidR="00E36470">
        <w:rPr>
          <w:color w:val="000000" w:themeColor="text1"/>
        </w:rPr>
        <w:t>tuje</w:t>
      </w:r>
      <w:r w:rsidRPr="00FA09CC">
        <w:rPr>
          <w:color w:val="000000" w:themeColor="text1"/>
        </w:rPr>
        <w:t xml:space="preserve"> stosowani</w:t>
      </w:r>
      <w:r w:rsidR="00E36470">
        <w:rPr>
          <w:color w:val="000000" w:themeColor="text1"/>
        </w:rPr>
        <w:t>e</w:t>
      </w:r>
      <w:r w:rsidRPr="00FA09CC">
        <w:rPr>
          <w:color w:val="000000" w:themeColor="text1"/>
        </w:rPr>
        <w:t xml:space="preserve"> zasady </w:t>
      </w:r>
      <w:r w:rsidRPr="00D76610">
        <w:rPr>
          <w:i/>
          <w:color w:val="000000" w:themeColor="text1"/>
        </w:rPr>
        <w:t>non-refoulement</w:t>
      </w:r>
      <w:r w:rsidRPr="00FA09CC">
        <w:rPr>
          <w:color w:val="000000" w:themeColor="text1"/>
        </w:rPr>
        <w:t>.</w:t>
      </w:r>
    </w:p>
    <w:p w:rsidR="00282BCA" w:rsidRPr="00FA09CC" w:rsidRDefault="000A0A05" w:rsidP="0024594C">
      <w:pPr>
        <w:ind w:left="0" w:firstLine="0"/>
        <w:rPr>
          <w:color w:val="000000" w:themeColor="text1"/>
        </w:rPr>
      </w:pPr>
      <w:r w:rsidRPr="00FA09CC">
        <w:rPr>
          <w:color w:val="000000" w:themeColor="text1"/>
        </w:rPr>
        <w:t xml:space="preserve">Ponadto, każdy wniosek o udzielenie ochrony międzynarodowej rozpatrywany jest w sposób indywidualny, a każda decyzja kończąca postępowanie o udzielenie ochrony międzynarodowej poprzedzona jest obiektywną oraz wszechstronną oceną materiału dowodowego, co gwarantuje w praktyce realizację zasady </w:t>
      </w:r>
      <w:r w:rsidRPr="00D76610">
        <w:rPr>
          <w:i/>
          <w:color w:val="000000" w:themeColor="text1"/>
        </w:rPr>
        <w:t>non-refoulement</w:t>
      </w:r>
      <w:r w:rsidRPr="00FA09CC">
        <w:rPr>
          <w:color w:val="000000" w:themeColor="text1"/>
        </w:rPr>
        <w:t>.</w:t>
      </w:r>
    </w:p>
    <w:p w:rsidR="00282BCA" w:rsidRPr="00FA09CC" w:rsidRDefault="00282BCA" w:rsidP="0024594C">
      <w:pPr>
        <w:pStyle w:val="Adresodbiorcy"/>
        <w:widowControl w:val="0"/>
        <w:shd w:val="clear" w:color="auto" w:fill="FFFFFF" w:themeFill="background1"/>
        <w:suppressAutoHyphens/>
        <w:spacing w:line="240" w:lineRule="auto"/>
        <w:rPr>
          <w:rFonts w:ascii="Times New Roman" w:hAnsi="Times New Roman"/>
          <w:color w:val="000000" w:themeColor="text1"/>
          <w:spacing w:val="0"/>
          <w:sz w:val="24"/>
          <w:szCs w:val="24"/>
          <w:shd w:val="clear" w:color="auto" w:fill="FFFFFF"/>
        </w:rPr>
      </w:pPr>
    </w:p>
    <w:p w:rsidR="00DD2086" w:rsidRPr="00FA09CC" w:rsidRDefault="00DD2086" w:rsidP="0024594C">
      <w:pPr>
        <w:pStyle w:val="Adresodbiorcy"/>
        <w:widowControl w:val="0"/>
        <w:suppressAutoHyphens/>
        <w:spacing w:line="240" w:lineRule="auto"/>
        <w:rPr>
          <w:rFonts w:ascii="Times New Roman" w:hAnsi="Times New Roman"/>
          <w:color w:val="000000" w:themeColor="text1"/>
          <w:spacing w:val="0"/>
          <w:sz w:val="24"/>
          <w:szCs w:val="24"/>
        </w:rPr>
      </w:pPr>
    </w:p>
    <w:bookmarkEnd w:id="0"/>
    <w:p w:rsidR="006900A8" w:rsidRPr="00FA09CC" w:rsidRDefault="006900A8" w:rsidP="0024594C">
      <w:pPr>
        <w:ind w:left="0" w:firstLine="0"/>
        <w:rPr>
          <w:color w:val="000000" w:themeColor="text1"/>
        </w:rPr>
      </w:pPr>
    </w:p>
    <w:sectPr w:rsidR="006900A8" w:rsidRPr="00FA09CC" w:rsidSect="006900A8">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61ED3" w:rsidRDefault="00C61ED3" w:rsidP="00DA5B32">
      <w:r>
        <w:separator/>
      </w:r>
    </w:p>
  </w:endnote>
  <w:endnote w:type="continuationSeparator" w:id="0">
    <w:p w:rsidR="00C61ED3" w:rsidRDefault="00C61ED3" w:rsidP="00DA5B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Tahoma">
    <w:panose1 w:val="020B0604030504040204"/>
    <w:charset w:val="EE"/>
    <w:family w:val="swiss"/>
    <w:pitch w:val="variable"/>
    <w:sig w:usb0="E1002EFF" w:usb1="C000605B" w:usb2="00000029" w:usb3="00000000" w:csb0="000101FF" w:csb1="00000000"/>
  </w:font>
  <w:font w:name="Liberation Serif">
    <w:altName w:val="Times New Roman"/>
    <w:charset w:val="00"/>
    <w:family w:val="roman"/>
    <w:pitch w:val="variable"/>
  </w:font>
  <w:font w:name="NSimSun">
    <w:panose1 w:val="02010609030101010101"/>
    <w:charset w:val="86"/>
    <w:family w:val="modern"/>
    <w:pitch w:val="fixed"/>
    <w:sig w:usb0="0000028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TimesNewRomanPS-ItalicMT">
    <w:altName w:val="Times New Roman"/>
    <w:panose1 w:val="00000000000000000000"/>
    <w:charset w:val="EE"/>
    <w:family w:val="auto"/>
    <w:notTrueType/>
    <w:pitch w:val="default"/>
    <w:sig w:usb0="00000007" w:usb1="00000000" w:usb2="00000000" w:usb3="00000000" w:csb0="00000003" w:csb1="00000000"/>
  </w:font>
  <w:font w:name="MyriadPro-Light">
    <w:altName w:val="MS Mincho"/>
    <w:panose1 w:val="00000000000000000000"/>
    <w:charset w:val="80"/>
    <w:family w:val="auto"/>
    <w:notTrueType/>
    <w:pitch w:val="default"/>
    <w:sig w:usb0="00000001" w:usb1="08070000" w:usb2="00000010" w:usb3="00000000" w:csb0="00020000" w:csb1="00000000"/>
  </w:font>
  <w:font w:name="Arial Unicode MS">
    <w:panose1 w:val="020B0604020202020204"/>
    <w:charset w:val="80"/>
    <w:family w:val="swiss"/>
    <w:pitch w:val="variable"/>
    <w:sig w:usb0="F7FFAFFF" w:usb1="E9DFFFFF" w:usb2="0000003F" w:usb3="00000000" w:csb0="003F01FF" w:csb1="00000000"/>
  </w:font>
  <w:font w:name="TimesNewRomanPSMT">
    <w:altName w:val="Times New Roman"/>
    <w:panose1 w:val="00000000000000000000"/>
    <w:charset w:val="00"/>
    <w:family w:val="swiss"/>
    <w:notTrueType/>
    <w:pitch w:val="default"/>
    <w:sig w:usb0="00000007" w:usb1="00000000" w:usb2="00000000" w:usb3="00000000" w:csb0="00000003"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sz w:val="20"/>
        <w:szCs w:val="20"/>
      </w:rPr>
      <w:id w:val="14646657"/>
      <w:docPartObj>
        <w:docPartGallery w:val="Page Numbers (Bottom of Page)"/>
        <w:docPartUnique/>
      </w:docPartObj>
    </w:sdtPr>
    <w:sdtEndPr/>
    <w:sdtContent>
      <w:p w:rsidR="006928B9" w:rsidRPr="00793180" w:rsidRDefault="006928B9">
        <w:pPr>
          <w:pStyle w:val="Stopka"/>
          <w:jc w:val="center"/>
          <w:rPr>
            <w:sz w:val="20"/>
            <w:szCs w:val="20"/>
          </w:rPr>
        </w:pPr>
        <w:r w:rsidRPr="00793180">
          <w:rPr>
            <w:sz w:val="20"/>
            <w:szCs w:val="20"/>
          </w:rPr>
          <w:fldChar w:fldCharType="begin"/>
        </w:r>
        <w:r w:rsidRPr="00793180">
          <w:rPr>
            <w:sz w:val="20"/>
            <w:szCs w:val="20"/>
          </w:rPr>
          <w:instrText xml:space="preserve"> PAGE   \* MERGEFORMAT </w:instrText>
        </w:r>
        <w:r w:rsidRPr="00793180">
          <w:rPr>
            <w:sz w:val="20"/>
            <w:szCs w:val="20"/>
          </w:rPr>
          <w:fldChar w:fldCharType="separate"/>
        </w:r>
        <w:r w:rsidR="009C0423">
          <w:rPr>
            <w:noProof/>
            <w:sz w:val="20"/>
            <w:szCs w:val="20"/>
          </w:rPr>
          <w:t>28</w:t>
        </w:r>
        <w:r w:rsidRPr="00793180">
          <w:rPr>
            <w:sz w:val="20"/>
            <w:szCs w:val="20"/>
          </w:rPr>
          <w:fldChar w:fldCharType="end"/>
        </w:r>
      </w:p>
    </w:sdtContent>
  </w:sdt>
  <w:p w:rsidR="006928B9" w:rsidRDefault="006928B9">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61ED3" w:rsidRDefault="00C61ED3" w:rsidP="00DA5B32">
      <w:r>
        <w:separator/>
      </w:r>
    </w:p>
  </w:footnote>
  <w:footnote w:type="continuationSeparator" w:id="0">
    <w:p w:rsidR="00C61ED3" w:rsidRDefault="00C61ED3" w:rsidP="00DA5B32">
      <w:r>
        <w:continuationSeparator/>
      </w:r>
    </w:p>
  </w:footnote>
  <w:footnote w:id="1">
    <w:p w:rsidR="006928B9" w:rsidRDefault="006928B9">
      <w:pPr>
        <w:pStyle w:val="Tekstprzypisudolnego"/>
      </w:pPr>
      <w:r>
        <w:rPr>
          <w:rStyle w:val="Odwoanieprzypisudolnego"/>
        </w:rPr>
        <w:footnoteRef/>
      </w:r>
      <w:r>
        <w:t xml:space="preserve"> Ustawa z 30 kwietnia 2020 r. o zmianie ustawy Kodeks postępowania cywilnego i niektórych innych ustaw</w:t>
      </w:r>
    </w:p>
  </w:footnote>
  <w:footnote w:id="2">
    <w:p w:rsidR="006928B9" w:rsidRPr="000C3568" w:rsidRDefault="006928B9" w:rsidP="00E419AB">
      <w:pPr>
        <w:pStyle w:val="Tekstprzypisudolnego"/>
        <w:jc w:val="both"/>
      </w:pPr>
      <w:r w:rsidRPr="000C3568">
        <w:rPr>
          <w:rStyle w:val="Odwoanieprzypisudolnego"/>
        </w:rPr>
        <w:footnoteRef/>
      </w:r>
      <w:r>
        <w:t xml:space="preserve"> Ad. art. 32</w:t>
      </w:r>
      <w:r w:rsidRPr="000C3568">
        <w:t xml:space="preserve"> </w:t>
      </w:r>
      <w:r>
        <w:t xml:space="preserve">postanowienie Trybunału Konstytucyjnego </w:t>
      </w:r>
      <w:r w:rsidRPr="000C3568">
        <w:t>z 24 października 2001 r.</w:t>
      </w:r>
      <w:r>
        <w:t>,</w:t>
      </w:r>
      <w:r w:rsidRPr="000C3568">
        <w:t xml:space="preserve"> SK 10/01</w:t>
      </w:r>
      <w:r>
        <w:t>,</w:t>
      </w:r>
      <w:r w:rsidRPr="000C3568">
        <w:t xml:space="preserve"> </w:t>
      </w:r>
      <w:r>
        <w:t xml:space="preserve">cz. III, pkt 2, </w:t>
      </w:r>
      <w:hyperlink r:id="rId1" w:history="1">
        <w:r w:rsidRPr="00FC4F61">
          <w:rPr>
            <w:rStyle w:val="Hipercze"/>
            <w:color w:val="000000" w:themeColor="text1"/>
            <w:u w:val="none"/>
          </w:rPr>
          <w:t>https://trybunal.gov.pl/fileadmin/content/omowienia/SK_10_01_PL.pdf</w:t>
        </w:r>
      </w:hyperlink>
      <w:r w:rsidRPr="00FC4F61">
        <w:rPr>
          <w:color w:val="000000" w:themeColor="text1"/>
        </w:rPr>
        <w:t>,</w:t>
      </w:r>
      <w:r w:rsidRPr="00510EDA">
        <w:rPr>
          <w:color w:val="000000" w:themeColor="text1"/>
        </w:rPr>
        <w:t xml:space="preserve"> ad art. 33 - wyrok Trybunału</w:t>
      </w:r>
      <w:r w:rsidRPr="000C3568">
        <w:t xml:space="preserve"> Konstytucyjnego z 28 marca 2000 r.</w:t>
      </w:r>
      <w:r>
        <w:t>,</w:t>
      </w:r>
      <w:r w:rsidRPr="000C3568">
        <w:t xml:space="preserve"> K 27/99</w:t>
      </w:r>
      <w:r>
        <w:t xml:space="preserve">, cz. III pkt 2, </w:t>
      </w:r>
      <w:r w:rsidRPr="00963874">
        <w:t>https://sip.legalis.pl/document-full.seam?documentId=mrswglrugaztgna</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1716A9"/>
    <w:multiLevelType w:val="hybridMultilevel"/>
    <w:tmpl w:val="25048E06"/>
    <w:lvl w:ilvl="0" w:tplc="58D6A534">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 w15:restartNumberingAfterBreak="0">
    <w:nsid w:val="053733DD"/>
    <w:multiLevelType w:val="hybridMultilevel"/>
    <w:tmpl w:val="BFE8A6A0"/>
    <w:lvl w:ilvl="0" w:tplc="A1D60C56">
      <w:start w:val="1"/>
      <w:numFmt w:val="bullet"/>
      <w:lvlText w:val="–"/>
      <w:lvlJc w:val="left"/>
      <w:pPr>
        <w:ind w:left="360" w:hanging="360"/>
      </w:pPr>
      <w:rPr>
        <w:rFonts w:ascii="Times New Roman" w:hAnsi="Times New Roman" w:cs="Times New Roman" w:hint="default"/>
        <w:color w:val="auto"/>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2" w15:restartNumberingAfterBreak="0">
    <w:nsid w:val="09DC6E7F"/>
    <w:multiLevelType w:val="hybridMultilevel"/>
    <w:tmpl w:val="8A045576"/>
    <w:lvl w:ilvl="0" w:tplc="C000394C">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3" w15:restartNumberingAfterBreak="0">
    <w:nsid w:val="0CAC4DEC"/>
    <w:multiLevelType w:val="hybridMultilevel"/>
    <w:tmpl w:val="49A83612"/>
    <w:lvl w:ilvl="0" w:tplc="58D6A534">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4" w15:restartNumberingAfterBreak="0">
    <w:nsid w:val="0D7F66E9"/>
    <w:multiLevelType w:val="hybridMultilevel"/>
    <w:tmpl w:val="6F20AC5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 w15:restartNumberingAfterBreak="0">
    <w:nsid w:val="11C2768F"/>
    <w:multiLevelType w:val="hybridMultilevel"/>
    <w:tmpl w:val="531CC8E4"/>
    <w:lvl w:ilvl="0" w:tplc="58D6A534">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6" w15:restartNumberingAfterBreak="0">
    <w:nsid w:val="141113C8"/>
    <w:multiLevelType w:val="hybridMultilevel"/>
    <w:tmpl w:val="13AE4EE4"/>
    <w:lvl w:ilvl="0" w:tplc="C000394C">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 w15:restartNumberingAfterBreak="0">
    <w:nsid w:val="14AF3652"/>
    <w:multiLevelType w:val="hybridMultilevel"/>
    <w:tmpl w:val="62326C34"/>
    <w:lvl w:ilvl="0" w:tplc="58D6A534">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8" w15:restartNumberingAfterBreak="0">
    <w:nsid w:val="167A04EF"/>
    <w:multiLevelType w:val="hybridMultilevel"/>
    <w:tmpl w:val="08CA9EBA"/>
    <w:lvl w:ilvl="0" w:tplc="C000394C">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9" w15:restartNumberingAfterBreak="0">
    <w:nsid w:val="17042B4A"/>
    <w:multiLevelType w:val="multilevel"/>
    <w:tmpl w:val="FBF44D82"/>
    <w:lvl w:ilvl="0">
      <w:numFmt w:val="bullet"/>
      <w:lvlText w:val=""/>
      <w:lvlJc w:val="left"/>
      <w:pPr>
        <w:ind w:left="1429" w:hanging="360"/>
      </w:pPr>
      <w:rPr>
        <w:rFonts w:ascii="Symbol" w:hAnsi="Symbol"/>
        <w:color w:val="00B0F0"/>
      </w:rPr>
    </w:lvl>
    <w:lvl w:ilvl="1">
      <w:numFmt w:val="bullet"/>
      <w:lvlText w:val="o"/>
      <w:lvlJc w:val="left"/>
      <w:pPr>
        <w:ind w:left="2149" w:hanging="360"/>
      </w:pPr>
      <w:rPr>
        <w:rFonts w:ascii="Courier New" w:hAnsi="Courier New" w:cs="Courier New"/>
      </w:rPr>
    </w:lvl>
    <w:lvl w:ilvl="2">
      <w:numFmt w:val="bullet"/>
      <w:lvlText w:val=""/>
      <w:lvlJc w:val="left"/>
      <w:pPr>
        <w:ind w:left="2869" w:hanging="360"/>
      </w:pPr>
      <w:rPr>
        <w:rFonts w:ascii="Wingdings" w:hAnsi="Wingdings"/>
      </w:rPr>
    </w:lvl>
    <w:lvl w:ilvl="3">
      <w:numFmt w:val="bullet"/>
      <w:lvlText w:val=""/>
      <w:lvlJc w:val="left"/>
      <w:pPr>
        <w:ind w:left="3589" w:hanging="360"/>
      </w:pPr>
      <w:rPr>
        <w:rFonts w:ascii="Symbol" w:hAnsi="Symbol"/>
      </w:rPr>
    </w:lvl>
    <w:lvl w:ilvl="4">
      <w:numFmt w:val="bullet"/>
      <w:lvlText w:val="o"/>
      <w:lvlJc w:val="left"/>
      <w:pPr>
        <w:ind w:left="4309" w:hanging="360"/>
      </w:pPr>
      <w:rPr>
        <w:rFonts w:ascii="Courier New" w:hAnsi="Courier New" w:cs="Courier New"/>
      </w:rPr>
    </w:lvl>
    <w:lvl w:ilvl="5">
      <w:numFmt w:val="bullet"/>
      <w:lvlText w:val=""/>
      <w:lvlJc w:val="left"/>
      <w:pPr>
        <w:ind w:left="5029" w:hanging="360"/>
      </w:pPr>
      <w:rPr>
        <w:rFonts w:ascii="Wingdings" w:hAnsi="Wingdings"/>
      </w:rPr>
    </w:lvl>
    <w:lvl w:ilvl="6">
      <w:numFmt w:val="bullet"/>
      <w:lvlText w:val=""/>
      <w:lvlJc w:val="left"/>
      <w:pPr>
        <w:ind w:left="5749" w:hanging="360"/>
      </w:pPr>
      <w:rPr>
        <w:rFonts w:ascii="Symbol" w:hAnsi="Symbol"/>
      </w:rPr>
    </w:lvl>
    <w:lvl w:ilvl="7">
      <w:numFmt w:val="bullet"/>
      <w:lvlText w:val="o"/>
      <w:lvlJc w:val="left"/>
      <w:pPr>
        <w:ind w:left="6469" w:hanging="360"/>
      </w:pPr>
      <w:rPr>
        <w:rFonts w:ascii="Courier New" w:hAnsi="Courier New" w:cs="Courier New"/>
      </w:rPr>
    </w:lvl>
    <w:lvl w:ilvl="8">
      <w:numFmt w:val="bullet"/>
      <w:lvlText w:val=""/>
      <w:lvlJc w:val="left"/>
      <w:pPr>
        <w:ind w:left="7189" w:hanging="360"/>
      </w:pPr>
      <w:rPr>
        <w:rFonts w:ascii="Wingdings" w:hAnsi="Wingdings"/>
      </w:rPr>
    </w:lvl>
  </w:abstractNum>
  <w:abstractNum w:abstractNumId="10" w15:restartNumberingAfterBreak="0">
    <w:nsid w:val="196C7C77"/>
    <w:multiLevelType w:val="hybridMultilevel"/>
    <w:tmpl w:val="439E879C"/>
    <w:lvl w:ilvl="0" w:tplc="58D6A534">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1" w15:restartNumberingAfterBreak="0">
    <w:nsid w:val="1A3053F2"/>
    <w:multiLevelType w:val="hybridMultilevel"/>
    <w:tmpl w:val="484A9A66"/>
    <w:lvl w:ilvl="0" w:tplc="58D6A534">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2" w15:restartNumberingAfterBreak="0">
    <w:nsid w:val="1E596EEC"/>
    <w:multiLevelType w:val="hybridMultilevel"/>
    <w:tmpl w:val="5E66E7AA"/>
    <w:lvl w:ilvl="0" w:tplc="58D6A534">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3" w15:restartNumberingAfterBreak="0">
    <w:nsid w:val="21D1165A"/>
    <w:multiLevelType w:val="hybridMultilevel"/>
    <w:tmpl w:val="60F89E66"/>
    <w:lvl w:ilvl="0" w:tplc="C000394C">
      <w:start w:val="1"/>
      <w:numFmt w:val="bullet"/>
      <w:lvlText w:val=""/>
      <w:lvlJc w:val="left"/>
      <w:pPr>
        <w:ind w:left="360" w:hanging="360"/>
      </w:pPr>
      <w:rPr>
        <w:rFonts w:ascii="Symbol" w:hAnsi="Symbol" w:hint="default"/>
      </w:rPr>
    </w:lvl>
    <w:lvl w:ilvl="1" w:tplc="04150003">
      <w:start w:val="1"/>
      <w:numFmt w:val="decimal"/>
      <w:lvlText w:val="%2."/>
      <w:lvlJc w:val="left"/>
      <w:pPr>
        <w:tabs>
          <w:tab w:val="num" w:pos="1440"/>
        </w:tabs>
        <w:ind w:left="1440" w:hanging="360"/>
      </w:pPr>
    </w:lvl>
    <w:lvl w:ilvl="2" w:tplc="04150005">
      <w:start w:val="1"/>
      <w:numFmt w:val="decimal"/>
      <w:lvlText w:val="%3."/>
      <w:lvlJc w:val="left"/>
      <w:pPr>
        <w:tabs>
          <w:tab w:val="num" w:pos="2160"/>
        </w:tabs>
        <w:ind w:left="2160" w:hanging="360"/>
      </w:pPr>
    </w:lvl>
    <w:lvl w:ilvl="3" w:tplc="04150001">
      <w:start w:val="1"/>
      <w:numFmt w:val="decimal"/>
      <w:lvlText w:val="%4."/>
      <w:lvlJc w:val="left"/>
      <w:pPr>
        <w:tabs>
          <w:tab w:val="num" w:pos="2880"/>
        </w:tabs>
        <w:ind w:left="2880" w:hanging="360"/>
      </w:pPr>
    </w:lvl>
    <w:lvl w:ilvl="4" w:tplc="04150003">
      <w:start w:val="1"/>
      <w:numFmt w:val="decimal"/>
      <w:lvlText w:val="%5."/>
      <w:lvlJc w:val="left"/>
      <w:pPr>
        <w:tabs>
          <w:tab w:val="num" w:pos="3600"/>
        </w:tabs>
        <w:ind w:left="3600" w:hanging="360"/>
      </w:pPr>
    </w:lvl>
    <w:lvl w:ilvl="5" w:tplc="04150005">
      <w:start w:val="1"/>
      <w:numFmt w:val="decimal"/>
      <w:lvlText w:val="%6."/>
      <w:lvlJc w:val="left"/>
      <w:pPr>
        <w:tabs>
          <w:tab w:val="num" w:pos="4320"/>
        </w:tabs>
        <w:ind w:left="4320" w:hanging="360"/>
      </w:pPr>
    </w:lvl>
    <w:lvl w:ilvl="6" w:tplc="04150001">
      <w:start w:val="1"/>
      <w:numFmt w:val="decimal"/>
      <w:lvlText w:val="%7."/>
      <w:lvlJc w:val="left"/>
      <w:pPr>
        <w:tabs>
          <w:tab w:val="num" w:pos="5040"/>
        </w:tabs>
        <w:ind w:left="5040" w:hanging="360"/>
      </w:pPr>
    </w:lvl>
    <w:lvl w:ilvl="7" w:tplc="04150003">
      <w:start w:val="1"/>
      <w:numFmt w:val="decimal"/>
      <w:lvlText w:val="%8."/>
      <w:lvlJc w:val="left"/>
      <w:pPr>
        <w:tabs>
          <w:tab w:val="num" w:pos="5760"/>
        </w:tabs>
        <w:ind w:left="5760" w:hanging="360"/>
      </w:pPr>
    </w:lvl>
    <w:lvl w:ilvl="8" w:tplc="04150005">
      <w:start w:val="1"/>
      <w:numFmt w:val="decimal"/>
      <w:lvlText w:val="%9."/>
      <w:lvlJc w:val="left"/>
      <w:pPr>
        <w:tabs>
          <w:tab w:val="num" w:pos="6480"/>
        </w:tabs>
        <w:ind w:left="6480" w:hanging="360"/>
      </w:pPr>
    </w:lvl>
  </w:abstractNum>
  <w:abstractNum w:abstractNumId="14" w15:restartNumberingAfterBreak="0">
    <w:nsid w:val="24904E8F"/>
    <w:multiLevelType w:val="multilevel"/>
    <w:tmpl w:val="034238EC"/>
    <w:lvl w:ilvl="0">
      <w:start w:val="1"/>
      <w:numFmt w:val="decimal"/>
      <w:lvlText w:val="%1."/>
      <w:lvlJc w:val="left"/>
      <w:pPr>
        <w:ind w:left="1428" w:hanging="360"/>
      </w:pPr>
      <w:rPr>
        <w:color w:val="00B0F0"/>
      </w:rPr>
    </w:lvl>
    <w:lvl w:ilvl="1">
      <w:start w:val="1"/>
      <w:numFmt w:val="lowerLetter"/>
      <w:lvlText w:val="%2."/>
      <w:lvlJc w:val="left"/>
      <w:pPr>
        <w:ind w:left="2148" w:hanging="360"/>
      </w:pPr>
    </w:lvl>
    <w:lvl w:ilvl="2">
      <w:start w:val="1"/>
      <w:numFmt w:val="lowerRoman"/>
      <w:lvlText w:val="%3."/>
      <w:lvlJc w:val="right"/>
      <w:pPr>
        <w:ind w:left="2868" w:hanging="180"/>
      </w:pPr>
    </w:lvl>
    <w:lvl w:ilvl="3">
      <w:start w:val="1"/>
      <w:numFmt w:val="decimal"/>
      <w:lvlText w:val="%4."/>
      <w:lvlJc w:val="left"/>
      <w:pPr>
        <w:ind w:left="3588" w:hanging="360"/>
      </w:pPr>
    </w:lvl>
    <w:lvl w:ilvl="4">
      <w:start w:val="1"/>
      <w:numFmt w:val="lowerLetter"/>
      <w:lvlText w:val="%5."/>
      <w:lvlJc w:val="left"/>
      <w:pPr>
        <w:ind w:left="4308" w:hanging="360"/>
      </w:pPr>
    </w:lvl>
    <w:lvl w:ilvl="5">
      <w:start w:val="1"/>
      <w:numFmt w:val="lowerRoman"/>
      <w:lvlText w:val="%6."/>
      <w:lvlJc w:val="right"/>
      <w:pPr>
        <w:ind w:left="5028" w:hanging="180"/>
      </w:pPr>
    </w:lvl>
    <w:lvl w:ilvl="6">
      <w:start w:val="1"/>
      <w:numFmt w:val="decimal"/>
      <w:lvlText w:val="%7."/>
      <w:lvlJc w:val="left"/>
      <w:pPr>
        <w:ind w:left="5748" w:hanging="360"/>
      </w:pPr>
    </w:lvl>
    <w:lvl w:ilvl="7">
      <w:start w:val="1"/>
      <w:numFmt w:val="lowerLetter"/>
      <w:lvlText w:val="%8."/>
      <w:lvlJc w:val="left"/>
      <w:pPr>
        <w:ind w:left="6468" w:hanging="360"/>
      </w:pPr>
    </w:lvl>
    <w:lvl w:ilvl="8">
      <w:start w:val="1"/>
      <w:numFmt w:val="lowerRoman"/>
      <w:lvlText w:val="%9."/>
      <w:lvlJc w:val="right"/>
      <w:pPr>
        <w:ind w:left="7188" w:hanging="180"/>
      </w:pPr>
    </w:lvl>
  </w:abstractNum>
  <w:abstractNum w:abstractNumId="15" w15:restartNumberingAfterBreak="0">
    <w:nsid w:val="284B00EC"/>
    <w:multiLevelType w:val="hybridMultilevel"/>
    <w:tmpl w:val="F88E0DF6"/>
    <w:lvl w:ilvl="0" w:tplc="A1D60C56">
      <w:start w:val="1"/>
      <w:numFmt w:val="bullet"/>
      <w:lvlText w:val="–"/>
      <w:lvlJc w:val="left"/>
      <w:pPr>
        <w:ind w:left="360" w:hanging="360"/>
      </w:pPr>
      <w:rPr>
        <w:rFonts w:ascii="Times New Roman" w:hAnsi="Times New Roman" w:cs="Times New Roman" w:hint="default"/>
        <w:color w:val="auto"/>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6" w15:restartNumberingAfterBreak="0">
    <w:nsid w:val="2A4C51DA"/>
    <w:multiLevelType w:val="hybridMultilevel"/>
    <w:tmpl w:val="E2AED39A"/>
    <w:lvl w:ilvl="0" w:tplc="58D6A534">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7" w15:restartNumberingAfterBreak="0">
    <w:nsid w:val="2E233168"/>
    <w:multiLevelType w:val="hybridMultilevel"/>
    <w:tmpl w:val="5324E868"/>
    <w:lvl w:ilvl="0" w:tplc="58D6A534">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8" w15:restartNumberingAfterBreak="0">
    <w:nsid w:val="2F7F6971"/>
    <w:multiLevelType w:val="hybridMultilevel"/>
    <w:tmpl w:val="BD446B14"/>
    <w:lvl w:ilvl="0" w:tplc="C000394C">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9" w15:restartNumberingAfterBreak="0">
    <w:nsid w:val="302A65EF"/>
    <w:multiLevelType w:val="hybridMultilevel"/>
    <w:tmpl w:val="8318A788"/>
    <w:lvl w:ilvl="0" w:tplc="0415000B">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0" w15:restartNumberingAfterBreak="0">
    <w:nsid w:val="326E7013"/>
    <w:multiLevelType w:val="hybridMultilevel"/>
    <w:tmpl w:val="B99C3FE0"/>
    <w:lvl w:ilvl="0" w:tplc="58D6A534">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21" w15:restartNumberingAfterBreak="0">
    <w:nsid w:val="340B514F"/>
    <w:multiLevelType w:val="multilevel"/>
    <w:tmpl w:val="1A56B358"/>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22" w15:restartNumberingAfterBreak="0">
    <w:nsid w:val="34C63CA6"/>
    <w:multiLevelType w:val="hybridMultilevel"/>
    <w:tmpl w:val="AAE0E010"/>
    <w:lvl w:ilvl="0" w:tplc="C000394C">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23" w15:restartNumberingAfterBreak="0">
    <w:nsid w:val="44E26204"/>
    <w:multiLevelType w:val="hybridMultilevel"/>
    <w:tmpl w:val="E8802134"/>
    <w:lvl w:ilvl="0" w:tplc="04150001">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24" w15:restartNumberingAfterBreak="0">
    <w:nsid w:val="44EB274E"/>
    <w:multiLevelType w:val="hybridMultilevel"/>
    <w:tmpl w:val="0D8E628E"/>
    <w:lvl w:ilvl="0" w:tplc="58D6A534">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25" w15:restartNumberingAfterBreak="0">
    <w:nsid w:val="497B43CB"/>
    <w:multiLevelType w:val="hybridMultilevel"/>
    <w:tmpl w:val="1FD8E418"/>
    <w:lvl w:ilvl="0" w:tplc="A1D60C56">
      <w:start w:val="1"/>
      <w:numFmt w:val="bullet"/>
      <w:lvlText w:val="–"/>
      <w:lvlJc w:val="left"/>
      <w:pPr>
        <w:ind w:left="360" w:hanging="360"/>
      </w:pPr>
      <w:rPr>
        <w:rFonts w:ascii="Times New Roman" w:hAnsi="Times New Roman" w:cs="Times New Roman" w:hint="default"/>
        <w:color w:val="auto"/>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26" w15:restartNumberingAfterBreak="0">
    <w:nsid w:val="567F7E70"/>
    <w:multiLevelType w:val="hybridMultilevel"/>
    <w:tmpl w:val="D25A79E6"/>
    <w:lvl w:ilvl="0" w:tplc="C000394C">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27" w15:restartNumberingAfterBreak="0">
    <w:nsid w:val="56BA6EC2"/>
    <w:multiLevelType w:val="hybridMultilevel"/>
    <w:tmpl w:val="8CDA2210"/>
    <w:lvl w:ilvl="0" w:tplc="58D6A534">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28" w15:restartNumberingAfterBreak="0">
    <w:nsid w:val="59E15F31"/>
    <w:multiLevelType w:val="hybridMultilevel"/>
    <w:tmpl w:val="255EE572"/>
    <w:lvl w:ilvl="0" w:tplc="58D6A534">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29" w15:restartNumberingAfterBreak="0">
    <w:nsid w:val="5F0E562E"/>
    <w:multiLevelType w:val="hybridMultilevel"/>
    <w:tmpl w:val="EB581A6C"/>
    <w:lvl w:ilvl="0" w:tplc="C000394C">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30" w15:restartNumberingAfterBreak="0">
    <w:nsid w:val="64D474C9"/>
    <w:multiLevelType w:val="hybridMultilevel"/>
    <w:tmpl w:val="0A4A1A4A"/>
    <w:lvl w:ilvl="0" w:tplc="58D6A534">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31" w15:restartNumberingAfterBreak="0">
    <w:nsid w:val="66510758"/>
    <w:multiLevelType w:val="hybridMultilevel"/>
    <w:tmpl w:val="0748D946"/>
    <w:lvl w:ilvl="0" w:tplc="C000394C">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2" w15:restartNumberingAfterBreak="0">
    <w:nsid w:val="6730797D"/>
    <w:multiLevelType w:val="hybridMultilevel"/>
    <w:tmpl w:val="E3E0AED8"/>
    <w:lvl w:ilvl="0" w:tplc="58D6A534">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33" w15:restartNumberingAfterBreak="0">
    <w:nsid w:val="690D573A"/>
    <w:multiLevelType w:val="hybridMultilevel"/>
    <w:tmpl w:val="09D225F8"/>
    <w:lvl w:ilvl="0" w:tplc="58D6A534">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34" w15:restartNumberingAfterBreak="0">
    <w:nsid w:val="6AC13A19"/>
    <w:multiLevelType w:val="hybridMultilevel"/>
    <w:tmpl w:val="05F24E3A"/>
    <w:lvl w:ilvl="0" w:tplc="58D6A534">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35" w15:restartNumberingAfterBreak="0">
    <w:nsid w:val="6BDF236E"/>
    <w:multiLevelType w:val="hybridMultilevel"/>
    <w:tmpl w:val="C6342C30"/>
    <w:lvl w:ilvl="0" w:tplc="C000394C">
      <w:start w:val="1"/>
      <w:numFmt w:val="bullet"/>
      <w:lvlText w:val=""/>
      <w:lvlJc w:val="left"/>
      <w:pPr>
        <w:ind w:left="360" w:hanging="360"/>
      </w:pPr>
      <w:rPr>
        <w:rFonts w:ascii="Symbol" w:hAnsi="Symbol" w:hint="default"/>
        <w:color w:val="auto"/>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36" w15:restartNumberingAfterBreak="0">
    <w:nsid w:val="6C0A0761"/>
    <w:multiLevelType w:val="hybridMultilevel"/>
    <w:tmpl w:val="A1FA9A46"/>
    <w:lvl w:ilvl="0" w:tplc="58D6A534">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37" w15:restartNumberingAfterBreak="0">
    <w:nsid w:val="6DED7803"/>
    <w:multiLevelType w:val="hybridMultilevel"/>
    <w:tmpl w:val="DE6A0D80"/>
    <w:lvl w:ilvl="0" w:tplc="58D6A534">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38" w15:restartNumberingAfterBreak="0">
    <w:nsid w:val="6FA26643"/>
    <w:multiLevelType w:val="hybridMultilevel"/>
    <w:tmpl w:val="C578008C"/>
    <w:lvl w:ilvl="0" w:tplc="C000394C">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39" w15:restartNumberingAfterBreak="0">
    <w:nsid w:val="6FDB6CE8"/>
    <w:multiLevelType w:val="hybridMultilevel"/>
    <w:tmpl w:val="8E42233A"/>
    <w:lvl w:ilvl="0" w:tplc="58D6A534">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40" w15:restartNumberingAfterBreak="0">
    <w:nsid w:val="71A170FE"/>
    <w:multiLevelType w:val="hybridMultilevel"/>
    <w:tmpl w:val="11B8152A"/>
    <w:lvl w:ilvl="0" w:tplc="58D6A534">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41" w15:restartNumberingAfterBreak="0">
    <w:nsid w:val="735A230B"/>
    <w:multiLevelType w:val="multilevel"/>
    <w:tmpl w:val="47DAFFAA"/>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42" w15:restartNumberingAfterBreak="0">
    <w:nsid w:val="7D24224F"/>
    <w:multiLevelType w:val="hybridMultilevel"/>
    <w:tmpl w:val="BE00929A"/>
    <w:lvl w:ilvl="0" w:tplc="C000394C">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num w:numId="1">
    <w:abstractNumId w:val="13"/>
  </w:num>
  <w:num w:numId="2">
    <w:abstractNumId w:val="10"/>
  </w:num>
  <w:num w:numId="3">
    <w:abstractNumId w:val="1"/>
  </w:num>
  <w:num w:numId="4">
    <w:abstractNumId w:val="28"/>
  </w:num>
  <w:num w:numId="5">
    <w:abstractNumId w:val="11"/>
  </w:num>
  <w:num w:numId="6">
    <w:abstractNumId w:val="36"/>
  </w:num>
  <w:num w:numId="7">
    <w:abstractNumId w:val="39"/>
  </w:num>
  <w:num w:numId="8">
    <w:abstractNumId w:val="16"/>
  </w:num>
  <w:num w:numId="9">
    <w:abstractNumId w:val="3"/>
  </w:num>
  <w:num w:numId="10">
    <w:abstractNumId w:val="31"/>
  </w:num>
  <w:num w:numId="11">
    <w:abstractNumId w:val="33"/>
  </w:num>
  <w:num w:numId="12">
    <w:abstractNumId w:val="22"/>
  </w:num>
  <w:num w:numId="13">
    <w:abstractNumId w:val="5"/>
  </w:num>
  <w:num w:numId="14">
    <w:abstractNumId w:val="21"/>
  </w:num>
  <w:num w:numId="15">
    <w:abstractNumId w:val="41"/>
  </w:num>
  <w:num w:numId="16">
    <w:abstractNumId w:val="14"/>
  </w:num>
  <w:num w:numId="17">
    <w:abstractNumId w:val="9"/>
  </w:num>
  <w:num w:numId="18">
    <w:abstractNumId w:val="24"/>
  </w:num>
  <w:num w:numId="19">
    <w:abstractNumId w:val="7"/>
  </w:num>
  <w:num w:numId="20">
    <w:abstractNumId w:val="30"/>
  </w:num>
  <w:num w:numId="21">
    <w:abstractNumId w:val="27"/>
  </w:num>
  <w:num w:numId="22">
    <w:abstractNumId w:val="34"/>
  </w:num>
  <w:num w:numId="23">
    <w:abstractNumId w:val="12"/>
  </w:num>
  <w:num w:numId="24">
    <w:abstractNumId w:val="32"/>
  </w:num>
  <w:num w:numId="25">
    <w:abstractNumId w:val="20"/>
  </w:num>
  <w:num w:numId="26">
    <w:abstractNumId w:val="2"/>
  </w:num>
  <w:num w:numId="27">
    <w:abstractNumId w:val="19"/>
  </w:num>
  <w:num w:numId="28">
    <w:abstractNumId w:val="29"/>
  </w:num>
  <w:num w:numId="29">
    <w:abstractNumId w:val="8"/>
  </w:num>
  <w:num w:numId="30">
    <w:abstractNumId w:val="35"/>
  </w:num>
  <w:num w:numId="31">
    <w:abstractNumId w:val="26"/>
  </w:num>
  <w:num w:numId="32">
    <w:abstractNumId w:val="6"/>
  </w:num>
  <w:num w:numId="33">
    <w:abstractNumId w:val="18"/>
  </w:num>
  <w:num w:numId="34">
    <w:abstractNumId w:val="0"/>
  </w:num>
  <w:num w:numId="35">
    <w:abstractNumId w:val="40"/>
  </w:num>
  <w:num w:numId="36">
    <w:abstractNumId w:val="17"/>
  </w:num>
  <w:num w:numId="37">
    <w:abstractNumId w:val="4"/>
  </w:num>
  <w:num w:numId="38">
    <w:abstractNumId w:val="37"/>
  </w:num>
  <w:num w:numId="39">
    <w:abstractNumId w:val="23"/>
  </w:num>
  <w:num w:numId="40">
    <w:abstractNumId w:val="15"/>
  </w:num>
  <w:num w:numId="41">
    <w:abstractNumId w:val="25"/>
  </w:num>
  <w:num w:numId="42">
    <w:abstractNumId w:val="38"/>
  </w:num>
  <w:num w:numId="43">
    <w:abstractNumId w:val="42"/>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2"/>
  </w:compat>
  <w:rsids>
    <w:rsidRoot w:val="00F35938"/>
    <w:rsid w:val="00000F44"/>
    <w:rsid w:val="00003BA3"/>
    <w:rsid w:val="000043EA"/>
    <w:rsid w:val="00007FAC"/>
    <w:rsid w:val="00010407"/>
    <w:rsid w:val="00010A28"/>
    <w:rsid w:val="00012DA4"/>
    <w:rsid w:val="00020089"/>
    <w:rsid w:val="00022324"/>
    <w:rsid w:val="000317B7"/>
    <w:rsid w:val="00031D72"/>
    <w:rsid w:val="00035922"/>
    <w:rsid w:val="000404B2"/>
    <w:rsid w:val="00045FF8"/>
    <w:rsid w:val="000461E8"/>
    <w:rsid w:val="000501B4"/>
    <w:rsid w:val="00050354"/>
    <w:rsid w:val="000512F1"/>
    <w:rsid w:val="0005259D"/>
    <w:rsid w:val="000531DB"/>
    <w:rsid w:val="0005350B"/>
    <w:rsid w:val="000562F1"/>
    <w:rsid w:val="00057560"/>
    <w:rsid w:val="00057BE2"/>
    <w:rsid w:val="0006121F"/>
    <w:rsid w:val="00062C57"/>
    <w:rsid w:val="00064892"/>
    <w:rsid w:val="00065DF7"/>
    <w:rsid w:val="000660FD"/>
    <w:rsid w:val="00066345"/>
    <w:rsid w:val="00066490"/>
    <w:rsid w:val="000672D5"/>
    <w:rsid w:val="000704EE"/>
    <w:rsid w:val="00070821"/>
    <w:rsid w:val="00072C29"/>
    <w:rsid w:val="00074669"/>
    <w:rsid w:val="00074920"/>
    <w:rsid w:val="00081765"/>
    <w:rsid w:val="000834F2"/>
    <w:rsid w:val="000840CA"/>
    <w:rsid w:val="0008495F"/>
    <w:rsid w:val="0008511C"/>
    <w:rsid w:val="000858E1"/>
    <w:rsid w:val="0008670A"/>
    <w:rsid w:val="000918D0"/>
    <w:rsid w:val="0009341D"/>
    <w:rsid w:val="0009679A"/>
    <w:rsid w:val="00097514"/>
    <w:rsid w:val="000A0A05"/>
    <w:rsid w:val="000A1537"/>
    <w:rsid w:val="000A777E"/>
    <w:rsid w:val="000B029E"/>
    <w:rsid w:val="000B30B7"/>
    <w:rsid w:val="000B39B1"/>
    <w:rsid w:val="000B42F3"/>
    <w:rsid w:val="000B6B53"/>
    <w:rsid w:val="000C6505"/>
    <w:rsid w:val="000C6BE4"/>
    <w:rsid w:val="000D0096"/>
    <w:rsid w:val="000D0704"/>
    <w:rsid w:val="000D2F4F"/>
    <w:rsid w:val="000D38A2"/>
    <w:rsid w:val="000D3FD5"/>
    <w:rsid w:val="000D4033"/>
    <w:rsid w:val="000D60A9"/>
    <w:rsid w:val="000E0632"/>
    <w:rsid w:val="000E0B91"/>
    <w:rsid w:val="000E0F33"/>
    <w:rsid w:val="000E596F"/>
    <w:rsid w:val="000E5F75"/>
    <w:rsid w:val="000E6ECD"/>
    <w:rsid w:val="000E7C90"/>
    <w:rsid w:val="000F1418"/>
    <w:rsid w:val="000F145C"/>
    <w:rsid w:val="000F31A3"/>
    <w:rsid w:val="000F34E6"/>
    <w:rsid w:val="000F37C2"/>
    <w:rsid w:val="000F66C1"/>
    <w:rsid w:val="00100363"/>
    <w:rsid w:val="001016F0"/>
    <w:rsid w:val="00102BA6"/>
    <w:rsid w:val="0010325D"/>
    <w:rsid w:val="00103F9E"/>
    <w:rsid w:val="001109CF"/>
    <w:rsid w:val="00117DC3"/>
    <w:rsid w:val="00121252"/>
    <w:rsid w:val="0012164F"/>
    <w:rsid w:val="00126CA1"/>
    <w:rsid w:val="0012763D"/>
    <w:rsid w:val="001302A9"/>
    <w:rsid w:val="00130D71"/>
    <w:rsid w:val="00131890"/>
    <w:rsid w:val="001358A5"/>
    <w:rsid w:val="00140267"/>
    <w:rsid w:val="001421EA"/>
    <w:rsid w:val="00145C75"/>
    <w:rsid w:val="00146458"/>
    <w:rsid w:val="0015059D"/>
    <w:rsid w:val="00153213"/>
    <w:rsid w:val="001538FF"/>
    <w:rsid w:val="001547AC"/>
    <w:rsid w:val="00154BBE"/>
    <w:rsid w:val="00155F0A"/>
    <w:rsid w:val="00164039"/>
    <w:rsid w:val="001640B2"/>
    <w:rsid w:val="00164FF2"/>
    <w:rsid w:val="00165AC1"/>
    <w:rsid w:val="0016651A"/>
    <w:rsid w:val="001666B9"/>
    <w:rsid w:val="00167663"/>
    <w:rsid w:val="0017059A"/>
    <w:rsid w:val="001710D2"/>
    <w:rsid w:val="001713FA"/>
    <w:rsid w:val="00174A10"/>
    <w:rsid w:val="001756F3"/>
    <w:rsid w:val="00175B96"/>
    <w:rsid w:val="00176B19"/>
    <w:rsid w:val="00176C71"/>
    <w:rsid w:val="00177341"/>
    <w:rsid w:val="0018114D"/>
    <w:rsid w:val="00181513"/>
    <w:rsid w:val="00187996"/>
    <w:rsid w:val="001915C6"/>
    <w:rsid w:val="00191F70"/>
    <w:rsid w:val="001939A4"/>
    <w:rsid w:val="001946B2"/>
    <w:rsid w:val="0019482E"/>
    <w:rsid w:val="001A00BD"/>
    <w:rsid w:val="001A10D7"/>
    <w:rsid w:val="001A1289"/>
    <w:rsid w:val="001A24A0"/>
    <w:rsid w:val="001A2513"/>
    <w:rsid w:val="001A53EC"/>
    <w:rsid w:val="001A5E6F"/>
    <w:rsid w:val="001A6B8A"/>
    <w:rsid w:val="001B150E"/>
    <w:rsid w:val="001B21AF"/>
    <w:rsid w:val="001B23C8"/>
    <w:rsid w:val="001B3827"/>
    <w:rsid w:val="001B4396"/>
    <w:rsid w:val="001B5DDD"/>
    <w:rsid w:val="001B7CD7"/>
    <w:rsid w:val="001C0633"/>
    <w:rsid w:val="001C3C8A"/>
    <w:rsid w:val="001C4058"/>
    <w:rsid w:val="001C528C"/>
    <w:rsid w:val="001C66EC"/>
    <w:rsid w:val="001C6767"/>
    <w:rsid w:val="001C7304"/>
    <w:rsid w:val="001D151D"/>
    <w:rsid w:val="001D57BD"/>
    <w:rsid w:val="001D72B0"/>
    <w:rsid w:val="001D7AE6"/>
    <w:rsid w:val="001E0ADA"/>
    <w:rsid w:val="001E2622"/>
    <w:rsid w:val="001E5CF8"/>
    <w:rsid w:val="001E6E95"/>
    <w:rsid w:val="001E6FAC"/>
    <w:rsid w:val="001F1A11"/>
    <w:rsid w:val="001F1FA2"/>
    <w:rsid w:val="001F31AF"/>
    <w:rsid w:val="001F4442"/>
    <w:rsid w:val="001F65BE"/>
    <w:rsid w:val="002011D6"/>
    <w:rsid w:val="0020137C"/>
    <w:rsid w:val="002032B5"/>
    <w:rsid w:val="002042A4"/>
    <w:rsid w:val="002058D6"/>
    <w:rsid w:val="002113B5"/>
    <w:rsid w:val="00211515"/>
    <w:rsid w:val="00212041"/>
    <w:rsid w:val="002137D7"/>
    <w:rsid w:val="00217F67"/>
    <w:rsid w:val="00221DBA"/>
    <w:rsid w:val="00223430"/>
    <w:rsid w:val="00224B21"/>
    <w:rsid w:val="00224D2F"/>
    <w:rsid w:val="002259B1"/>
    <w:rsid w:val="002268B2"/>
    <w:rsid w:val="00230491"/>
    <w:rsid w:val="002313AB"/>
    <w:rsid w:val="002322CE"/>
    <w:rsid w:val="002325DE"/>
    <w:rsid w:val="00233853"/>
    <w:rsid w:val="00240439"/>
    <w:rsid w:val="002421E7"/>
    <w:rsid w:val="00242462"/>
    <w:rsid w:val="0024311F"/>
    <w:rsid w:val="0024594C"/>
    <w:rsid w:val="00246CF8"/>
    <w:rsid w:val="00246F28"/>
    <w:rsid w:val="0025042B"/>
    <w:rsid w:val="00251D02"/>
    <w:rsid w:val="00254769"/>
    <w:rsid w:val="00256001"/>
    <w:rsid w:val="00256509"/>
    <w:rsid w:val="00261743"/>
    <w:rsid w:val="002625DA"/>
    <w:rsid w:val="00263DA0"/>
    <w:rsid w:val="00265317"/>
    <w:rsid w:val="00266F65"/>
    <w:rsid w:val="0026742B"/>
    <w:rsid w:val="002704C7"/>
    <w:rsid w:val="00271A39"/>
    <w:rsid w:val="00271E75"/>
    <w:rsid w:val="00272002"/>
    <w:rsid w:val="0027256A"/>
    <w:rsid w:val="00272985"/>
    <w:rsid w:val="002730DA"/>
    <w:rsid w:val="00280937"/>
    <w:rsid w:val="00282BCA"/>
    <w:rsid w:val="00286197"/>
    <w:rsid w:val="002906DF"/>
    <w:rsid w:val="002908E9"/>
    <w:rsid w:val="00291CCE"/>
    <w:rsid w:val="00293608"/>
    <w:rsid w:val="00295A13"/>
    <w:rsid w:val="002974D8"/>
    <w:rsid w:val="002A0104"/>
    <w:rsid w:val="002A5906"/>
    <w:rsid w:val="002B0BB0"/>
    <w:rsid w:val="002B25F8"/>
    <w:rsid w:val="002B5F38"/>
    <w:rsid w:val="002C1ADE"/>
    <w:rsid w:val="002C3490"/>
    <w:rsid w:val="002C615F"/>
    <w:rsid w:val="002C6B36"/>
    <w:rsid w:val="002C7ABB"/>
    <w:rsid w:val="002D195A"/>
    <w:rsid w:val="002D3C7D"/>
    <w:rsid w:val="002D4674"/>
    <w:rsid w:val="002D668B"/>
    <w:rsid w:val="002E1AB0"/>
    <w:rsid w:val="002E1C8A"/>
    <w:rsid w:val="002E230F"/>
    <w:rsid w:val="002E6EBB"/>
    <w:rsid w:val="002F142F"/>
    <w:rsid w:val="002F154D"/>
    <w:rsid w:val="002F1A61"/>
    <w:rsid w:val="002F2B02"/>
    <w:rsid w:val="002F56B5"/>
    <w:rsid w:val="00301442"/>
    <w:rsid w:val="0030186C"/>
    <w:rsid w:val="00301CAF"/>
    <w:rsid w:val="00302E75"/>
    <w:rsid w:val="00306DE0"/>
    <w:rsid w:val="00306E1F"/>
    <w:rsid w:val="003073C1"/>
    <w:rsid w:val="00310783"/>
    <w:rsid w:val="00310AC6"/>
    <w:rsid w:val="0031260B"/>
    <w:rsid w:val="00313A1D"/>
    <w:rsid w:val="0031475D"/>
    <w:rsid w:val="00316546"/>
    <w:rsid w:val="003235F2"/>
    <w:rsid w:val="00325993"/>
    <w:rsid w:val="00327A55"/>
    <w:rsid w:val="00335731"/>
    <w:rsid w:val="00336415"/>
    <w:rsid w:val="0034136F"/>
    <w:rsid w:val="00343310"/>
    <w:rsid w:val="0034486C"/>
    <w:rsid w:val="00344E42"/>
    <w:rsid w:val="00350585"/>
    <w:rsid w:val="00352743"/>
    <w:rsid w:val="0036118E"/>
    <w:rsid w:val="00361DA9"/>
    <w:rsid w:val="00362B1C"/>
    <w:rsid w:val="00362D3A"/>
    <w:rsid w:val="00365684"/>
    <w:rsid w:val="003665CB"/>
    <w:rsid w:val="00370E8A"/>
    <w:rsid w:val="003731BC"/>
    <w:rsid w:val="003806B3"/>
    <w:rsid w:val="00380EC2"/>
    <w:rsid w:val="00381F4D"/>
    <w:rsid w:val="00382E7C"/>
    <w:rsid w:val="00390D8B"/>
    <w:rsid w:val="00393DE0"/>
    <w:rsid w:val="003942F1"/>
    <w:rsid w:val="0039514C"/>
    <w:rsid w:val="00395C45"/>
    <w:rsid w:val="00396084"/>
    <w:rsid w:val="00396764"/>
    <w:rsid w:val="00396DF5"/>
    <w:rsid w:val="003A0A02"/>
    <w:rsid w:val="003A25CE"/>
    <w:rsid w:val="003A3B78"/>
    <w:rsid w:val="003A3D79"/>
    <w:rsid w:val="003B1A8A"/>
    <w:rsid w:val="003B58E8"/>
    <w:rsid w:val="003B6B4E"/>
    <w:rsid w:val="003B7A61"/>
    <w:rsid w:val="003C003C"/>
    <w:rsid w:val="003C2D85"/>
    <w:rsid w:val="003C3543"/>
    <w:rsid w:val="003C7279"/>
    <w:rsid w:val="003C7569"/>
    <w:rsid w:val="003C77D3"/>
    <w:rsid w:val="003C7AFB"/>
    <w:rsid w:val="003D11C8"/>
    <w:rsid w:val="003D25DE"/>
    <w:rsid w:val="003D2D62"/>
    <w:rsid w:val="003D60A2"/>
    <w:rsid w:val="003D6646"/>
    <w:rsid w:val="003D6A2E"/>
    <w:rsid w:val="003D7AA0"/>
    <w:rsid w:val="003E0865"/>
    <w:rsid w:val="003E0F18"/>
    <w:rsid w:val="003E20B2"/>
    <w:rsid w:val="003E61D5"/>
    <w:rsid w:val="003E6DBB"/>
    <w:rsid w:val="003F3EDE"/>
    <w:rsid w:val="003F6B46"/>
    <w:rsid w:val="003F6FA1"/>
    <w:rsid w:val="003F7529"/>
    <w:rsid w:val="00400EC0"/>
    <w:rsid w:val="004039B2"/>
    <w:rsid w:val="00403F2D"/>
    <w:rsid w:val="00404F59"/>
    <w:rsid w:val="00406820"/>
    <w:rsid w:val="00410E5E"/>
    <w:rsid w:val="004128A3"/>
    <w:rsid w:val="004137D2"/>
    <w:rsid w:val="00415B21"/>
    <w:rsid w:val="004177F1"/>
    <w:rsid w:val="00423E7D"/>
    <w:rsid w:val="00424DF8"/>
    <w:rsid w:val="00430678"/>
    <w:rsid w:val="00433AF6"/>
    <w:rsid w:val="00434271"/>
    <w:rsid w:val="004342C5"/>
    <w:rsid w:val="00435D20"/>
    <w:rsid w:val="00440918"/>
    <w:rsid w:val="00444620"/>
    <w:rsid w:val="00445495"/>
    <w:rsid w:val="004460B2"/>
    <w:rsid w:val="00455487"/>
    <w:rsid w:val="004564BF"/>
    <w:rsid w:val="00460B92"/>
    <w:rsid w:val="00461E43"/>
    <w:rsid w:val="00462D45"/>
    <w:rsid w:val="00463D3F"/>
    <w:rsid w:val="0046424C"/>
    <w:rsid w:val="00467342"/>
    <w:rsid w:val="00470588"/>
    <w:rsid w:val="00474579"/>
    <w:rsid w:val="004753B7"/>
    <w:rsid w:val="0048594A"/>
    <w:rsid w:val="00487414"/>
    <w:rsid w:val="00490F55"/>
    <w:rsid w:val="00492D7F"/>
    <w:rsid w:val="00493E8F"/>
    <w:rsid w:val="00495619"/>
    <w:rsid w:val="0049664E"/>
    <w:rsid w:val="004A3116"/>
    <w:rsid w:val="004A313A"/>
    <w:rsid w:val="004A4380"/>
    <w:rsid w:val="004A5A18"/>
    <w:rsid w:val="004A5C7A"/>
    <w:rsid w:val="004A5E2D"/>
    <w:rsid w:val="004A63CD"/>
    <w:rsid w:val="004A6758"/>
    <w:rsid w:val="004A6C48"/>
    <w:rsid w:val="004A7A98"/>
    <w:rsid w:val="004A7CB1"/>
    <w:rsid w:val="004B0CDF"/>
    <w:rsid w:val="004B125D"/>
    <w:rsid w:val="004B5998"/>
    <w:rsid w:val="004B740E"/>
    <w:rsid w:val="004B7699"/>
    <w:rsid w:val="004C01FC"/>
    <w:rsid w:val="004C2984"/>
    <w:rsid w:val="004C31E4"/>
    <w:rsid w:val="004C3D27"/>
    <w:rsid w:val="004C3E1C"/>
    <w:rsid w:val="004D1E53"/>
    <w:rsid w:val="004D5CCB"/>
    <w:rsid w:val="004D761B"/>
    <w:rsid w:val="004D7E93"/>
    <w:rsid w:val="004E15A4"/>
    <w:rsid w:val="004E2847"/>
    <w:rsid w:val="004E65C0"/>
    <w:rsid w:val="004F456F"/>
    <w:rsid w:val="004F4AB6"/>
    <w:rsid w:val="004F4DDD"/>
    <w:rsid w:val="004F52C1"/>
    <w:rsid w:val="005017F1"/>
    <w:rsid w:val="00502BDA"/>
    <w:rsid w:val="00502D4F"/>
    <w:rsid w:val="00507644"/>
    <w:rsid w:val="00510CD4"/>
    <w:rsid w:val="00510EDA"/>
    <w:rsid w:val="0051133F"/>
    <w:rsid w:val="0051215D"/>
    <w:rsid w:val="00513010"/>
    <w:rsid w:val="005178BA"/>
    <w:rsid w:val="00520C0A"/>
    <w:rsid w:val="00521470"/>
    <w:rsid w:val="00522858"/>
    <w:rsid w:val="005228BB"/>
    <w:rsid w:val="00523120"/>
    <w:rsid w:val="00524A95"/>
    <w:rsid w:val="00526C75"/>
    <w:rsid w:val="00532677"/>
    <w:rsid w:val="005341BF"/>
    <w:rsid w:val="00534590"/>
    <w:rsid w:val="005348FB"/>
    <w:rsid w:val="005356AA"/>
    <w:rsid w:val="00536466"/>
    <w:rsid w:val="0054095D"/>
    <w:rsid w:val="00540A02"/>
    <w:rsid w:val="00541599"/>
    <w:rsid w:val="00541C6C"/>
    <w:rsid w:val="005442AF"/>
    <w:rsid w:val="0054505F"/>
    <w:rsid w:val="0054746B"/>
    <w:rsid w:val="005530EF"/>
    <w:rsid w:val="00553F9E"/>
    <w:rsid w:val="005549DF"/>
    <w:rsid w:val="00557A76"/>
    <w:rsid w:val="005647DB"/>
    <w:rsid w:val="00565034"/>
    <w:rsid w:val="00565B70"/>
    <w:rsid w:val="00565F1E"/>
    <w:rsid w:val="00566E4A"/>
    <w:rsid w:val="00571104"/>
    <w:rsid w:val="005746B3"/>
    <w:rsid w:val="00575E44"/>
    <w:rsid w:val="0057600A"/>
    <w:rsid w:val="00576110"/>
    <w:rsid w:val="005831BC"/>
    <w:rsid w:val="00584B2C"/>
    <w:rsid w:val="005900D1"/>
    <w:rsid w:val="00590D7E"/>
    <w:rsid w:val="005927C2"/>
    <w:rsid w:val="00595AE9"/>
    <w:rsid w:val="005A10CA"/>
    <w:rsid w:val="005A19DF"/>
    <w:rsid w:val="005A2C54"/>
    <w:rsid w:val="005A3B48"/>
    <w:rsid w:val="005A61AF"/>
    <w:rsid w:val="005A688D"/>
    <w:rsid w:val="005A7905"/>
    <w:rsid w:val="005B11B9"/>
    <w:rsid w:val="005B1517"/>
    <w:rsid w:val="005B3E82"/>
    <w:rsid w:val="005B5088"/>
    <w:rsid w:val="005B638C"/>
    <w:rsid w:val="005C05F7"/>
    <w:rsid w:val="005C1CDC"/>
    <w:rsid w:val="005C4E5B"/>
    <w:rsid w:val="005D03C7"/>
    <w:rsid w:val="005D07EC"/>
    <w:rsid w:val="005D2395"/>
    <w:rsid w:val="005D6C96"/>
    <w:rsid w:val="005E032E"/>
    <w:rsid w:val="005E0D0A"/>
    <w:rsid w:val="005E13F1"/>
    <w:rsid w:val="005E16F8"/>
    <w:rsid w:val="005E373E"/>
    <w:rsid w:val="005E3BC9"/>
    <w:rsid w:val="005F0674"/>
    <w:rsid w:val="005F25E3"/>
    <w:rsid w:val="005F374A"/>
    <w:rsid w:val="005F5408"/>
    <w:rsid w:val="005F5A7A"/>
    <w:rsid w:val="005F684C"/>
    <w:rsid w:val="005F6A39"/>
    <w:rsid w:val="005F77BF"/>
    <w:rsid w:val="00600B17"/>
    <w:rsid w:val="00601B3D"/>
    <w:rsid w:val="006036DC"/>
    <w:rsid w:val="006069E7"/>
    <w:rsid w:val="0061594E"/>
    <w:rsid w:val="00615B11"/>
    <w:rsid w:val="00615C4F"/>
    <w:rsid w:val="006167AB"/>
    <w:rsid w:val="00617A5E"/>
    <w:rsid w:val="00617E65"/>
    <w:rsid w:val="006209F4"/>
    <w:rsid w:val="00622A81"/>
    <w:rsid w:val="00622B2A"/>
    <w:rsid w:val="00623320"/>
    <w:rsid w:val="006243EB"/>
    <w:rsid w:val="00625400"/>
    <w:rsid w:val="00626006"/>
    <w:rsid w:val="00630844"/>
    <w:rsid w:val="00630A65"/>
    <w:rsid w:val="006318F5"/>
    <w:rsid w:val="0063393B"/>
    <w:rsid w:val="00634BAB"/>
    <w:rsid w:val="00636FFA"/>
    <w:rsid w:val="0064176D"/>
    <w:rsid w:val="006417E5"/>
    <w:rsid w:val="0064445F"/>
    <w:rsid w:val="00646076"/>
    <w:rsid w:val="00646D87"/>
    <w:rsid w:val="00650110"/>
    <w:rsid w:val="00650173"/>
    <w:rsid w:val="00650AD8"/>
    <w:rsid w:val="00652E1F"/>
    <w:rsid w:val="006536C8"/>
    <w:rsid w:val="00654B09"/>
    <w:rsid w:val="00655EBF"/>
    <w:rsid w:val="006570E6"/>
    <w:rsid w:val="00660C60"/>
    <w:rsid w:val="00666F7C"/>
    <w:rsid w:val="00667E7F"/>
    <w:rsid w:val="006716CA"/>
    <w:rsid w:val="00671E2F"/>
    <w:rsid w:val="006728C2"/>
    <w:rsid w:val="00675081"/>
    <w:rsid w:val="0067693B"/>
    <w:rsid w:val="00676C68"/>
    <w:rsid w:val="00677187"/>
    <w:rsid w:val="00677CA9"/>
    <w:rsid w:val="00685BA7"/>
    <w:rsid w:val="006875C3"/>
    <w:rsid w:val="00687E88"/>
    <w:rsid w:val="006900A8"/>
    <w:rsid w:val="0069288E"/>
    <w:rsid w:val="006928B9"/>
    <w:rsid w:val="006955DC"/>
    <w:rsid w:val="00695D57"/>
    <w:rsid w:val="006A0CF7"/>
    <w:rsid w:val="006A78B1"/>
    <w:rsid w:val="006C01BC"/>
    <w:rsid w:val="006C111E"/>
    <w:rsid w:val="006C18E4"/>
    <w:rsid w:val="006C3773"/>
    <w:rsid w:val="006C70B8"/>
    <w:rsid w:val="006D3470"/>
    <w:rsid w:val="006D64D3"/>
    <w:rsid w:val="006D7D71"/>
    <w:rsid w:val="006D7E91"/>
    <w:rsid w:val="006E1DEF"/>
    <w:rsid w:val="006E28DC"/>
    <w:rsid w:val="006E2A52"/>
    <w:rsid w:val="006E30AB"/>
    <w:rsid w:val="006E7C4B"/>
    <w:rsid w:val="006F1096"/>
    <w:rsid w:val="006F2E48"/>
    <w:rsid w:val="006F3035"/>
    <w:rsid w:val="006F4C1A"/>
    <w:rsid w:val="006F7372"/>
    <w:rsid w:val="007006F7"/>
    <w:rsid w:val="00702031"/>
    <w:rsid w:val="00703D4F"/>
    <w:rsid w:val="00704C9A"/>
    <w:rsid w:val="00704EF8"/>
    <w:rsid w:val="00704FD3"/>
    <w:rsid w:val="00706179"/>
    <w:rsid w:val="00706324"/>
    <w:rsid w:val="00714F45"/>
    <w:rsid w:val="00720927"/>
    <w:rsid w:val="00721BF4"/>
    <w:rsid w:val="00721D04"/>
    <w:rsid w:val="00722E7E"/>
    <w:rsid w:val="007253E1"/>
    <w:rsid w:val="00726D71"/>
    <w:rsid w:val="0073007C"/>
    <w:rsid w:val="00731413"/>
    <w:rsid w:val="00731A17"/>
    <w:rsid w:val="00731A89"/>
    <w:rsid w:val="00732518"/>
    <w:rsid w:val="0073521E"/>
    <w:rsid w:val="00735390"/>
    <w:rsid w:val="00741394"/>
    <w:rsid w:val="0074193C"/>
    <w:rsid w:val="007426E7"/>
    <w:rsid w:val="00743980"/>
    <w:rsid w:val="0075083B"/>
    <w:rsid w:val="007510A6"/>
    <w:rsid w:val="00751A51"/>
    <w:rsid w:val="0075209D"/>
    <w:rsid w:val="00755DA5"/>
    <w:rsid w:val="00757A64"/>
    <w:rsid w:val="00763F3F"/>
    <w:rsid w:val="00767ACF"/>
    <w:rsid w:val="00770095"/>
    <w:rsid w:val="007705A4"/>
    <w:rsid w:val="007728CD"/>
    <w:rsid w:val="00780DAA"/>
    <w:rsid w:val="00781899"/>
    <w:rsid w:val="007902F4"/>
    <w:rsid w:val="00790612"/>
    <w:rsid w:val="00790ACD"/>
    <w:rsid w:val="00793180"/>
    <w:rsid w:val="0079376F"/>
    <w:rsid w:val="00794413"/>
    <w:rsid w:val="00797C41"/>
    <w:rsid w:val="007A2309"/>
    <w:rsid w:val="007A2867"/>
    <w:rsid w:val="007A29E8"/>
    <w:rsid w:val="007A5B88"/>
    <w:rsid w:val="007A5D00"/>
    <w:rsid w:val="007B06F7"/>
    <w:rsid w:val="007B12A5"/>
    <w:rsid w:val="007B1B91"/>
    <w:rsid w:val="007B28F9"/>
    <w:rsid w:val="007B5E09"/>
    <w:rsid w:val="007B6AAB"/>
    <w:rsid w:val="007B7904"/>
    <w:rsid w:val="007C1F66"/>
    <w:rsid w:val="007C2718"/>
    <w:rsid w:val="007C2B78"/>
    <w:rsid w:val="007C454D"/>
    <w:rsid w:val="007C5F71"/>
    <w:rsid w:val="007D0538"/>
    <w:rsid w:val="007D2317"/>
    <w:rsid w:val="007D33CD"/>
    <w:rsid w:val="007D388C"/>
    <w:rsid w:val="007D3D84"/>
    <w:rsid w:val="007D5217"/>
    <w:rsid w:val="007D5AF8"/>
    <w:rsid w:val="007D6B00"/>
    <w:rsid w:val="007E42A4"/>
    <w:rsid w:val="007E4D90"/>
    <w:rsid w:val="007E5435"/>
    <w:rsid w:val="007E5A40"/>
    <w:rsid w:val="007E6035"/>
    <w:rsid w:val="007E614F"/>
    <w:rsid w:val="007E714B"/>
    <w:rsid w:val="007F01B2"/>
    <w:rsid w:val="007F2B59"/>
    <w:rsid w:val="007F3391"/>
    <w:rsid w:val="007F38D0"/>
    <w:rsid w:val="007F6B8B"/>
    <w:rsid w:val="007F7502"/>
    <w:rsid w:val="00800DFD"/>
    <w:rsid w:val="00802A22"/>
    <w:rsid w:val="00805F1B"/>
    <w:rsid w:val="00810671"/>
    <w:rsid w:val="00812503"/>
    <w:rsid w:val="008138E7"/>
    <w:rsid w:val="00816214"/>
    <w:rsid w:val="0082107E"/>
    <w:rsid w:val="00821CE9"/>
    <w:rsid w:val="00822B16"/>
    <w:rsid w:val="0082636B"/>
    <w:rsid w:val="00830570"/>
    <w:rsid w:val="00831CEC"/>
    <w:rsid w:val="00832D17"/>
    <w:rsid w:val="008350C3"/>
    <w:rsid w:val="0083745D"/>
    <w:rsid w:val="00837EB4"/>
    <w:rsid w:val="008405FA"/>
    <w:rsid w:val="008411A4"/>
    <w:rsid w:val="00842047"/>
    <w:rsid w:val="0084397F"/>
    <w:rsid w:val="008511CF"/>
    <w:rsid w:val="0085318A"/>
    <w:rsid w:val="00853BC1"/>
    <w:rsid w:val="00853C21"/>
    <w:rsid w:val="00853F50"/>
    <w:rsid w:val="00854D6C"/>
    <w:rsid w:val="00856C5A"/>
    <w:rsid w:val="008623F8"/>
    <w:rsid w:val="00862C8F"/>
    <w:rsid w:val="00864DE2"/>
    <w:rsid w:val="00865880"/>
    <w:rsid w:val="00867EED"/>
    <w:rsid w:val="0087137F"/>
    <w:rsid w:val="00872EDB"/>
    <w:rsid w:val="008738F0"/>
    <w:rsid w:val="008809B0"/>
    <w:rsid w:val="00880BA6"/>
    <w:rsid w:val="00881E75"/>
    <w:rsid w:val="0088421E"/>
    <w:rsid w:val="008842B2"/>
    <w:rsid w:val="00885FA8"/>
    <w:rsid w:val="00890302"/>
    <w:rsid w:val="0089223A"/>
    <w:rsid w:val="00893B91"/>
    <w:rsid w:val="00895D44"/>
    <w:rsid w:val="00896CB6"/>
    <w:rsid w:val="008A1440"/>
    <w:rsid w:val="008A2924"/>
    <w:rsid w:val="008A638C"/>
    <w:rsid w:val="008B0C1E"/>
    <w:rsid w:val="008B4EE1"/>
    <w:rsid w:val="008B6C72"/>
    <w:rsid w:val="008C2C51"/>
    <w:rsid w:val="008C40AC"/>
    <w:rsid w:val="008C5A76"/>
    <w:rsid w:val="008C6E97"/>
    <w:rsid w:val="008C7C12"/>
    <w:rsid w:val="008D17B5"/>
    <w:rsid w:val="008D2207"/>
    <w:rsid w:val="008D51FE"/>
    <w:rsid w:val="008D531C"/>
    <w:rsid w:val="008D5BB1"/>
    <w:rsid w:val="008D6F8B"/>
    <w:rsid w:val="008E2A2B"/>
    <w:rsid w:val="008E4614"/>
    <w:rsid w:val="008E543E"/>
    <w:rsid w:val="008E76ED"/>
    <w:rsid w:val="008E7ACA"/>
    <w:rsid w:val="008F5EA4"/>
    <w:rsid w:val="00900A0E"/>
    <w:rsid w:val="00902794"/>
    <w:rsid w:val="00902FD2"/>
    <w:rsid w:val="0090533A"/>
    <w:rsid w:val="0090748C"/>
    <w:rsid w:val="0092126C"/>
    <w:rsid w:val="009246CC"/>
    <w:rsid w:val="00933472"/>
    <w:rsid w:val="00933BD1"/>
    <w:rsid w:val="00934821"/>
    <w:rsid w:val="009407EF"/>
    <w:rsid w:val="00940BD8"/>
    <w:rsid w:val="00943A82"/>
    <w:rsid w:val="0094535F"/>
    <w:rsid w:val="0094561F"/>
    <w:rsid w:val="0094586E"/>
    <w:rsid w:val="00947331"/>
    <w:rsid w:val="009519AB"/>
    <w:rsid w:val="00954A4C"/>
    <w:rsid w:val="00954D49"/>
    <w:rsid w:val="0096411E"/>
    <w:rsid w:val="00967087"/>
    <w:rsid w:val="009746F7"/>
    <w:rsid w:val="0097698B"/>
    <w:rsid w:val="00980964"/>
    <w:rsid w:val="009854B8"/>
    <w:rsid w:val="009879AC"/>
    <w:rsid w:val="00995A00"/>
    <w:rsid w:val="009976FF"/>
    <w:rsid w:val="00997B31"/>
    <w:rsid w:val="00997BB7"/>
    <w:rsid w:val="009A30FA"/>
    <w:rsid w:val="009A3F10"/>
    <w:rsid w:val="009A5F5C"/>
    <w:rsid w:val="009A641D"/>
    <w:rsid w:val="009A7575"/>
    <w:rsid w:val="009B2ADB"/>
    <w:rsid w:val="009B3C63"/>
    <w:rsid w:val="009B7E69"/>
    <w:rsid w:val="009C0423"/>
    <w:rsid w:val="009C56A5"/>
    <w:rsid w:val="009C6537"/>
    <w:rsid w:val="009C7964"/>
    <w:rsid w:val="009C7F41"/>
    <w:rsid w:val="009D0936"/>
    <w:rsid w:val="009D30A0"/>
    <w:rsid w:val="009D3444"/>
    <w:rsid w:val="009D707F"/>
    <w:rsid w:val="009D78DF"/>
    <w:rsid w:val="009E325A"/>
    <w:rsid w:val="009E5D0A"/>
    <w:rsid w:val="009F4ACD"/>
    <w:rsid w:val="009F6706"/>
    <w:rsid w:val="00A00AE4"/>
    <w:rsid w:val="00A01107"/>
    <w:rsid w:val="00A02225"/>
    <w:rsid w:val="00A04A72"/>
    <w:rsid w:val="00A07271"/>
    <w:rsid w:val="00A10B5F"/>
    <w:rsid w:val="00A1218E"/>
    <w:rsid w:val="00A13FBF"/>
    <w:rsid w:val="00A2018D"/>
    <w:rsid w:val="00A2061A"/>
    <w:rsid w:val="00A210A2"/>
    <w:rsid w:val="00A218C2"/>
    <w:rsid w:val="00A23E7A"/>
    <w:rsid w:val="00A253CF"/>
    <w:rsid w:val="00A26371"/>
    <w:rsid w:val="00A2768A"/>
    <w:rsid w:val="00A27B3B"/>
    <w:rsid w:val="00A30677"/>
    <w:rsid w:val="00A30F85"/>
    <w:rsid w:val="00A31DD2"/>
    <w:rsid w:val="00A32FE7"/>
    <w:rsid w:val="00A365C6"/>
    <w:rsid w:val="00A4015D"/>
    <w:rsid w:val="00A40309"/>
    <w:rsid w:val="00A41355"/>
    <w:rsid w:val="00A465DA"/>
    <w:rsid w:val="00A46795"/>
    <w:rsid w:val="00A50A79"/>
    <w:rsid w:val="00A5221C"/>
    <w:rsid w:val="00A52C06"/>
    <w:rsid w:val="00A6097B"/>
    <w:rsid w:val="00A651F3"/>
    <w:rsid w:val="00A65AAC"/>
    <w:rsid w:val="00A66717"/>
    <w:rsid w:val="00A671AC"/>
    <w:rsid w:val="00A75556"/>
    <w:rsid w:val="00A7600A"/>
    <w:rsid w:val="00A77C4B"/>
    <w:rsid w:val="00A81983"/>
    <w:rsid w:val="00A82833"/>
    <w:rsid w:val="00A842AB"/>
    <w:rsid w:val="00A85118"/>
    <w:rsid w:val="00A8779D"/>
    <w:rsid w:val="00A91B11"/>
    <w:rsid w:val="00A928DA"/>
    <w:rsid w:val="00A93B18"/>
    <w:rsid w:val="00A959B4"/>
    <w:rsid w:val="00AA0DAB"/>
    <w:rsid w:val="00AA185D"/>
    <w:rsid w:val="00AA3D87"/>
    <w:rsid w:val="00AA4612"/>
    <w:rsid w:val="00AA46A6"/>
    <w:rsid w:val="00AA5D83"/>
    <w:rsid w:val="00AA75A9"/>
    <w:rsid w:val="00AB33BB"/>
    <w:rsid w:val="00AB4B53"/>
    <w:rsid w:val="00AB6328"/>
    <w:rsid w:val="00AB696E"/>
    <w:rsid w:val="00AB6AE5"/>
    <w:rsid w:val="00AB6B19"/>
    <w:rsid w:val="00AB725B"/>
    <w:rsid w:val="00AC2016"/>
    <w:rsid w:val="00AC56E7"/>
    <w:rsid w:val="00AC67D5"/>
    <w:rsid w:val="00AD0C57"/>
    <w:rsid w:val="00AD1181"/>
    <w:rsid w:val="00AD1CE4"/>
    <w:rsid w:val="00AD318A"/>
    <w:rsid w:val="00AD3733"/>
    <w:rsid w:val="00AD3A87"/>
    <w:rsid w:val="00AD5F1E"/>
    <w:rsid w:val="00AD663C"/>
    <w:rsid w:val="00AD6655"/>
    <w:rsid w:val="00AE4848"/>
    <w:rsid w:val="00AF0304"/>
    <w:rsid w:val="00AF66BC"/>
    <w:rsid w:val="00AF73AF"/>
    <w:rsid w:val="00B0504E"/>
    <w:rsid w:val="00B05BB3"/>
    <w:rsid w:val="00B11C13"/>
    <w:rsid w:val="00B125BD"/>
    <w:rsid w:val="00B16B2B"/>
    <w:rsid w:val="00B16D69"/>
    <w:rsid w:val="00B231CA"/>
    <w:rsid w:val="00B246FF"/>
    <w:rsid w:val="00B32A5B"/>
    <w:rsid w:val="00B34973"/>
    <w:rsid w:val="00B37B25"/>
    <w:rsid w:val="00B419C5"/>
    <w:rsid w:val="00B4717B"/>
    <w:rsid w:val="00B5379D"/>
    <w:rsid w:val="00B56CBC"/>
    <w:rsid w:val="00B5752C"/>
    <w:rsid w:val="00B62D77"/>
    <w:rsid w:val="00B63C47"/>
    <w:rsid w:val="00B65B6B"/>
    <w:rsid w:val="00B72378"/>
    <w:rsid w:val="00B8000B"/>
    <w:rsid w:val="00B83E4F"/>
    <w:rsid w:val="00B846D5"/>
    <w:rsid w:val="00B8482B"/>
    <w:rsid w:val="00B86C79"/>
    <w:rsid w:val="00B86E7F"/>
    <w:rsid w:val="00B86EF8"/>
    <w:rsid w:val="00B91E83"/>
    <w:rsid w:val="00B9276C"/>
    <w:rsid w:val="00B933C2"/>
    <w:rsid w:val="00B94778"/>
    <w:rsid w:val="00B952D4"/>
    <w:rsid w:val="00B95BE5"/>
    <w:rsid w:val="00B9668F"/>
    <w:rsid w:val="00B97FD5"/>
    <w:rsid w:val="00BA662B"/>
    <w:rsid w:val="00BA6D8E"/>
    <w:rsid w:val="00BB590B"/>
    <w:rsid w:val="00BB7D5A"/>
    <w:rsid w:val="00BC1E82"/>
    <w:rsid w:val="00BC4F5C"/>
    <w:rsid w:val="00BD0CF7"/>
    <w:rsid w:val="00BD0E24"/>
    <w:rsid w:val="00BD3BCB"/>
    <w:rsid w:val="00BD3CB9"/>
    <w:rsid w:val="00BE2C8C"/>
    <w:rsid w:val="00BE2E8C"/>
    <w:rsid w:val="00BE5A2E"/>
    <w:rsid w:val="00BE719B"/>
    <w:rsid w:val="00BE7323"/>
    <w:rsid w:val="00BF036D"/>
    <w:rsid w:val="00BF4C96"/>
    <w:rsid w:val="00BF5FD4"/>
    <w:rsid w:val="00BF7C1A"/>
    <w:rsid w:val="00C018BD"/>
    <w:rsid w:val="00C03557"/>
    <w:rsid w:val="00C053C4"/>
    <w:rsid w:val="00C05F09"/>
    <w:rsid w:val="00C06F10"/>
    <w:rsid w:val="00C15B6D"/>
    <w:rsid w:val="00C26702"/>
    <w:rsid w:val="00C322E8"/>
    <w:rsid w:val="00C37104"/>
    <w:rsid w:val="00C41D0A"/>
    <w:rsid w:val="00C42120"/>
    <w:rsid w:val="00C424C5"/>
    <w:rsid w:val="00C429AE"/>
    <w:rsid w:val="00C439EC"/>
    <w:rsid w:val="00C44AAD"/>
    <w:rsid w:val="00C45A39"/>
    <w:rsid w:val="00C46157"/>
    <w:rsid w:val="00C47CE6"/>
    <w:rsid w:val="00C50072"/>
    <w:rsid w:val="00C52BBE"/>
    <w:rsid w:val="00C60B2A"/>
    <w:rsid w:val="00C61ED3"/>
    <w:rsid w:val="00C62327"/>
    <w:rsid w:val="00C639C4"/>
    <w:rsid w:val="00C71D76"/>
    <w:rsid w:val="00C725F8"/>
    <w:rsid w:val="00C7664F"/>
    <w:rsid w:val="00C833FA"/>
    <w:rsid w:val="00C853A2"/>
    <w:rsid w:val="00C86728"/>
    <w:rsid w:val="00C874E0"/>
    <w:rsid w:val="00C91D92"/>
    <w:rsid w:val="00C92F1B"/>
    <w:rsid w:val="00C94B86"/>
    <w:rsid w:val="00C95A2B"/>
    <w:rsid w:val="00CA00AB"/>
    <w:rsid w:val="00CA20CA"/>
    <w:rsid w:val="00CA411A"/>
    <w:rsid w:val="00CA4492"/>
    <w:rsid w:val="00CA5A53"/>
    <w:rsid w:val="00CB2C33"/>
    <w:rsid w:val="00CB3294"/>
    <w:rsid w:val="00CB5F25"/>
    <w:rsid w:val="00CB61BE"/>
    <w:rsid w:val="00CB633F"/>
    <w:rsid w:val="00CB7EAA"/>
    <w:rsid w:val="00CC10DA"/>
    <w:rsid w:val="00CC1D59"/>
    <w:rsid w:val="00CC2388"/>
    <w:rsid w:val="00CC2C97"/>
    <w:rsid w:val="00CC3202"/>
    <w:rsid w:val="00CC3DE5"/>
    <w:rsid w:val="00CD0AA7"/>
    <w:rsid w:val="00CD4E76"/>
    <w:rsid w:val="00CE0DAA"/>
    <w:rsid w:val="00CE12D6"/>
    <w:rsid w:val="00CE162E"/>
    <w:rsid w:val="00CE18D3"/>
    <w:rsid w:val="00CE27C3"/>
    <w:rsid w:val="00CF3599"/>
    <w:rsid w:val="00CF3B63"/>
    <w:rsid w:val="00D006CC"/>
    <w:rsid w:val="00D04705"/>
    <w:rsid w:val="00D060E7"/>
    <w:rsid w:val="00D1473F"/>
    <w:rsid w:val="00D1587A"/>
    <w:rsid w:val="00D15946"/>
    <w:rsid w:val="00D16CA5"/>
    <w:rsid w:val="00D2062A"/>
    <w:rsid w:val="00D206DA"/>
    <w:rsid w:val="00D23370"/>
    <w:rsid w:val="00D2377B"/>
    <w:rsid w:val="00D2708C"/>
    <w:rsid w:val="00D31526"/>
    <w:rsid w:val="00D3173E"/>
    <w:rsid w:val="00D3389D"/>
    <w:rsid w:val="00D34915"/>
    <w:rsid w:val="00D36BBB"/>
    <w:rsid w:val="00D374BE"/>
    <w:rsid w:val="00D37A17"/>
    <w:rsid w:val="00D413FA"/>
    <w:rsid w:val="00D419AD"/>
    <w:rsid w:val="00D447D1"/>
    <w:rsid w:val="00D46BEC"/>
    <w:rsid w:val="00D677B1"/>
    <w:rsid w:val="00D70337"/>
    <w:rsid w:val="00D713F3"/>
    <w:rsid w:val="00D73537"/>
    <w:rsid w:val="00D75C0C"/>
    <w:rsid w:val="00D76610"/>
    <w:rsid w:val="00D81A09"/>
    <w:rsid w:val="00D83B2B"/>
    <w:rsid w:val="00D83F75"/>
    <w:rsid w:val="00D85C0E"/>
    <w:rsid w:val="00D86956"/>
    <w:rsid w:val="00D9131E"/>
    <w:rsid w:val="00D956EA"/>
    <w:rsid w:val="00DA184C"/>
    <w:rsid w:val="00DA1ADC"/>
    <w:rsid w:val="00DA2A60"/>
    <w:rsid w:val="00DA3463"/>
    <w:rsid w:val="00DA5B32"/>
    <w:rsid w:val="00DB3383"/>
    <w:rsid w:val="00DB5FE3"/>
    <w:rsid w:val="00DB7687"/>
    <w:rsid w:val="00DB7AA8"/>
    <w:rsid w:val="00DC00AB"/>
    <w:rsid w:val="00DC05D0"/>
    <w:rsid w:val="00DC0E97"/>
    <w:rsid w:val="00DC5631"/>
    <w:rsid w:val="00DD2086"/>
    <w:rsid w:val="00DD7035"/>
    <w:rsid w:val="00DD7455"/>
    <w:rsid w:val="00DE0C45"/>
    <w:rsid w:val="00DE4972"/>
    <w:rsid w:val="00DE509E"/>
    <w:rsid w:val="00DE6FD5"/>
    <w:rsid w:val="00DF0354"/>
    <w:rsid w:val="00DF0869"/>
    <w:rsid w:val="00DF5344"/>
    <w:rsid w:val="00DF7523"/>
    <w:rsid w:val="00E023E1"/>
    <w:rsid w:val="00E0623C"/>
    <w:rsid w:val="00E172AB"/>
    <w:rsid w:val="00E2000C"/>
    <w:rsid w:val="00E20713"/>
    <w:rsid w:val="00E22BBE"/>
    <w:rsid w:val="00E247B3"/>
    <w:rsid w:val="00E263CD"/>
    <w:rsid w:val="00E27AF7"/>
    <w:rsid w:val="00E27D20"/>
    <w:rsid w:val="00E30DD4"/>
    <w:rsid w:val="00E34C7C"/>
    <w:rsid w:val="00E36470"/>
    <w:rsid w:val="00E36BE2"/>
    <w:rsid w:val="00E376C0"/>
    <w:rsid w:val="00E37A1E"/>
    <w:rsid w:val="00E409F9"/>
    <w:rsid w:val="00E41419"/>
    <w:rsid w:val="00E419AB"/>
    <w:rsid w:val="00E46A53"/>
    <w:rsid w:val="00E511ED"/>
    <w:rsid w:val="00E53749"/>
    <w:rsid w:val="00E56266"/>
    <w:rsid w:val="00E56E4A"/>
    <w:rsid w:val="00E56EBD"/>
    <w:rsid w:val="00E57481"/>
    <w:rsid w:val="00E63468"/>
    <w:rsid w:val="00E63545"/>
    <w:rsid w:val="00E65D89"/>
    <w:rsid w:val="00E70649"/>
    <w:rsid w:val="00E71192"/>
    <w:rsid w:val="00E71349"/>
    <w:rsid w:val="00E74994"/>
    <w:rsid w:val="00E838B7"/>
    <w:rsid w:val="00E8492A"/>
    <w:rsid w:val="00E84E29"/>
    <w:rsid w:val="00E856FD"/>
    <w:rsid w:val="00E86F4D"/>
    <w:rsid w:val="00E87D1B"/>
    <w:rsid w:val="00E90FC7"/>
    <w:rsid w:val="00EA00EF"/>
    <w:rsid w:val="00EA052A"/>
    <w:rsid w:val="00EA0AA2"/>
    <w:rsid w:val="00EA432E"/>
    <w:rsid w:val="00EA48F1"/>
    <w:rsid w:val="00EB0F87"/>
    <w:rsid w:val="00EB3C06"/>
    <w:rsid w:val="00EB3DBD"/>
    <w:rsid w:val="00EB549C"/>
    <w:rsid w:val="00EB7DAE"/>
    <w:rsid w:val="00EC0176"/>
    <w:rsid w:val="00EC1D41"/>
    <w:rsid w:val="00EC1E52"/>
    <w:rsid w:val="00EC234A"/>
    <w:rsid w:val="00EC36AD"/>
    <w:rsid w:val="00EC4F74"/>
    <w:rsid w:val="00EC68E3"/>
    <w:rsid w:val="00ED0D97"/>
    <w:rsid w:val="00ED55B8"/>
    <w:rsid w:val="00EE0FA3"/>
    <w:rsid w:val="00EE32C9"/>
    <w:rsid w:val="00EF04A8"/>
    <w:rsid w:val="00EF50BD"/>
    <w:rsid w:val="00EF57AD"/>
    <w:rsid w:val="00EF657A"/>
    <w:rsid w:val="00F000DE"/>
    <w:rsid w:val="00F00F9A"/>
    <w:rsid w:val="00F0128F"/>
    <w:rsid w:val="00F01F56"/>
    <w:rsid w:val="00F0391A"/>
    <w:rsid w:val="00F06559"/>
    <w:rsid w:val="00F074B2"/>
    <w:rsid w:val="00F1039F"/>
    <w:rsid w:val="00F10C9B"/>
    <w:rsid w:val="00F15AC5"/>
    <w:rsid w:val="00F15FC2"/>
    <w:rsid w:val="00F23E81"/>
    <w:rsid w:val="00F262DF"/>
    <w:rsid w:val="00F26A78"/>
    <w:rsid w:val="00F27DBE"/>
    <w:rsid w:val="00F27EB0"/>
    <w:rsid w:val="00F314CF"/>
    <w:rsid w:val="00F3153D"/>
    <w:rsid w:val="00F33750"/>
    <w:rsid w:val="00F35938"/>
    <w:rsid w:val="00F43B33"/>
    <w:rsid w:val="00F44FDC"/>
    <w:rsid w:val="00F474B4"/>
    <w:rsid w:val="00F50A65"/>
    <w:rsid w:val="00F52B61"/>
    <w:rsid w:val="00F54535"/>
    <w:rsid w:val="00F55479"/>
    <w:rsid w:val="00F57850"/>
    <w:rsid w:val="00F57AD8"/>
    <w:rsid w:val="00F60A6D"/>
    <w:rsid w:val="00F6323C"/>
    <w:rsid w:val="00F641F2"/>
    <w:rsid w:val="00F72C94"/>
    <w:rsid w:val="00F73DAC"/>
    <w:rsid w:val="00F73E71"/>
    <w:rsid w:val="00F75499"/>
    <w:rsid w:val="00F76360"/>
    <w:rsid w:val="00F77A48"/>
    <w:rsid w:val="00F81751"/>
    <w:rsid w:val="00F915B0"/>
    <w:rsid w:val="00F9561C"/>
    <w:rsid w:val="00F97828"/>
    <w:rsid w:val="00FA09CC"/>
    <w:rsid w:val="00FA0D83"/>
    <w:rsid w:val="00FB0A8C"/>
    <w:rsid w:val="00FB0AB4"/>
    <w:rsid w:val="00FB1DD2"/>
    <w:rsid w:val="00FB21D8"/>
    <w:rsid w:val="00FC1D46"/>
    <w:rsid w:val="00FC31F2"/>
    <w:rsid w:val="00FC4F61"/>
    <w:rsid w:val="00FC6E9B"/>
    <w:rsid w:val="00FC7A27"/>
    <w:rsid w:val="00FD02CC"/>
    <w:rsid w:val="00FD2992"/>
    <w:rsid w:val="00FD4F96"/>
    <w:rsid w:val="00FD555D"/>
    <w:rsid w:val="00FD5D41"/>
    <w:rsid w:val="00FD5E3E"/>
    <w:rsid w:val="00FD6EB4"/>
    <w:rsid w:val="00FE04C8"/>
    <w:rsid w:val="00FE2953"/>
    <w:rsid w:val="00FE3006"/>
    <w:rsid w:val="00FE5787"/>
    <w:rsid w:val="00FE628F"/>
    <w:rsid w:val="00FE7DE3"/>
    <w:rsid w:val="00FF0FB5"/>
    <w:rsid w:val="00FF5EE0"/>
    <w:rsid w:val="00FF6949"/>
    <w:rsid w:val="00FF7883"/>
    <w:rsid w:val="00FF7E68"/>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B9BE50"/>
  <w15:docId w15:val="{91885BA0-E382-4707-8639-AEAC0A9847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4"/>
        <w:szCs w:val="24"/>
        <w:lang w:val="pl-PL" w:eastAsia="en-US" w:bidi="ar-SA"/>
      </w:rPr>
    </w:rPrDefault>
    <w:pPrDefault>
      <w:pPr>
        <w:ind w:left="714" w:hanging="357"/>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6900A8"/>
  </w:style>
  <w:style w:type="paragraph" w:styleId="Nagwek2">
    <w:name w:val="heading 2"/>
    <w:basedOn w:val="Normalny"/>
    <w:next w:val="Normalny"/>
    <w:link w:val="Nagwek2Znak"/>
    <w:uiPriority w:val="9"/>
    <w:unhideWhenUsed/>
    <w:qFormat/>
    <w:rsid w:val="00B933C2"/>
    <w:pPr>
      <w:keepNext/>
      <w:keepLines/>
      <w:spacing w:before="40" w:line="256" w:lineRule="auto"/>
      <w:ind w:left="0" w:firstLine="0"/>
      <w:jc w:val="left"/>
      <w:outlineLvl w:val="1"/>
    </w:pPr>
    <w:rPr>
      <w:rFonts w:asciiTheme="majorHAnsi" w:eastAsiaTheme="majorEastAsia" w:hAnsiTheme="majorHAnsi" w:cstheme="majorBidi"/>
      <w:color w:val="365F91" w:themeColor="accent1" w:themeShade="BF"/>
      <w:sz w:val="26"/>
      <w:szCs w:val="2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Adresodbiorcy">
    <w:name w:val="Adres odbiorcy"/>
    <w:basedOn w:val="Normalny"/>
    <w:rsid w:val="00F35938"/>
    <w:pPr>
      <w:spacing w:line="220" w:lineRule="atLeast"/>
      <w:ind w:left="0" w:firstLine="0"/>
    </w:pPr>
    <w:rPr>
      <w:rFonts w:ascii="Arial" w:eastAsia="Times New Roman" w:hAnsi="Arial"/>
      <w:spacing w:val="-5"/>
      <w:sz w:val="20"/>
      <w:szCs w:val="20"/>
    </w:rPr>
  </w:style>
  <w:style w:type="character" w:customStyle="1" w:styleId="jlqj4b">
    <w:name w:val="jlqj4b"/>
    <w:basedOn w:val="Domylnaczcionkaakapitu"/>
    <w:rsid w:val="00F35938"/>
  </w:style>
  <w:style w:type="character" w:customStyle="1" w:styleId="TekstdymkaZnak">
    <w:name w:val="Tekst dymka Znak"/>
    <w:basedOn w:val="Domylnaczcionkaakapitu"/>
    <w:link w:val="Tekstdymka"/>
    <w:uiPriority w:val="99"/>
    <w:semiHidden/>
    <w:qFormat/>
    <w:rsid w:val="00C95A2B"/>
    <w:rPr>
      <w:rFonts w:ascii="Segoe UI" w:eastAsia="Times New Roman" w:hAnsi="Segoe UI" w:cs="Segoe UI"/>
      <w:sz w:val="18"/>
      <w:szCs w:val="18"/>
      <w:lang w:eastAsia="pl-PL"/>
    </w:rPr>
  </w:style>
  <w:style w:type="paragraph" w:styleId="Tekstdymka">
    <w:name w:val="Balloon Text"/>
    <w:basedOn w:val="Normalny"/>
    <w:link w:val="TekstdymkaZnak"/>
    <w:uiPriority w:val="99"/>
    <w:semiHidden/>
    <w:unhideWhenUsed/>
    <w:qFormat/>
    <w:rsid w:val="00C95A2B"/>
    <w:pPr>
      <w:ind w:left="0" w:firstLine="0"/>
      <w:jc w:val="left"/>
    </w:pPr>
    <w:rPr>
      <w:rFonts w:ascii="Segoe UI" w:eastAsia="Times New Roman" w:hAnsi="Segoe UI" w:cs="Segoe UI"/>
      <w:sz w:val="18"/>
      <w:szCs w:val="18"/>
      <w:lang w:eastAsia="pl-PL"/>
    </w:rPr>
  </w:style>
  <w:style w:type="character" w:customStyle="1" w:styleId="TekstdymkaZnak1">
    <w:name w:val="Tekst dymka Znak1"/>
    <w:basedOn w:val="Domylnaczcionkaakapitu"/>
    <w:uiPriority w:val="99"/>
    <w:semiHidden/>
    <w:rsid w:val="00C95A2B"/>
    <w:rPr>
      <w:rFonts w:ascii="Tahoma" w:hAnsi="Tahoma" w:cs="Tahoma"/>
      <w:sz w:val="16"/>
      <w:szCs w:val="16"/>
    </w:rPr>
  </w:style>
  <w:style w:type="paragraph" w:styleId="Tekstprzypisudolnego">
    <w:name w:val="footnote text"/>
    <w:aliases w:val="Fußnote,Podrozdzia3,Podrozdział,Tekst przypisu Znak Znak Znak Znak,Tekst przypisu Znak Znak Znak Znak Znak,Tekst przypisu Znak Znak Znak Znak Znak Znak Znak,Tekst przypisu Znak Znak Znak Znak Znak Znak Znak Znak Zn,ft,o,footnotes"/>
    <w:basedOn w:val="Normalny"/>
    <w:link w:val="TekstprzypisudolnegoZnak"/>
    <w:uiPriority w:val="99"/>
    <w:qFormat/>
    <w:rsid w:val="00DA5B32"/>
    <w:pPr>
      <w:ind w:left="0" w:firstLine="0"/>
      <w:jc w:val="left"/>
    </w:pPr>
    <w:rPr>
      <w:rFonts w:eastAsia="Times New Roman"/>
      <w:sz w:val="20"/>
      <w:szCs w:val="20"/>
      <w:lang w:eastAsia="pl-PL"/>
    </w:rPr>
  </w:style>
  <w:style w:type="character" w:customStyle="1" w:styleId="TekstprzypisudolnegoZnak">
    <w:name w:val="Tekst przypisu dolnego Znak"/>
    <w:aliases w:val="Fußnote Znak,Podrozdzia3 Znak,Podrozdział Znak,Tekst przypisu Znak Znak Znak Znak Znak1,Tekst przypisu Znak Znak Znak Znak Znak Znak,Tekst przypisu Znak Znak Znak Znak Znak Znak Znak Znak,ft Znak,o Znak,footnotes Znak"/>
    <w:basedOn w:val="Domylnaczcionkaakapitu"/>
    <w:link w:val="Tekstprzypisudolnego"/>
    <w:uiPriority w:val="99"/>
    <w:rsid w:val="00DA5B32"/>
    <w:rPr>
      <w:rFonts w:eastAsia="Times New Roman"/>
      <w:sz w:val="20"/>
      <w:szCs w:val="20"/>
      <w:lang w:eastAsia="pl-PL"/>
    </w:rPr>
  </w:style>
  <w:style w:type="character" w:styleId="Odwoanieprzypisudolnego">
    <w:name w:val="footnote reference"/>
    <w:aliases w:val="Odwołanie przypisu,Footnote Refernece,BVI fnr,Footnote symbol,SUPERS,(Footnote Reference),Footnote,Voetnootverwijzing,Times 10 Point,Exposant 3 Point,Footnote reference number,note TESI,EN Footnote Reference,-E Fußnotenzeichen"/>
    <w:link w:val="FootnoteReferneceCarcter"/>
    <w:uiPriority w:val="99"/>
    <w:qFormat/>
    <w:rsid w:val="00DA5B32"/>
    <w:rPr>
      <w:vertAlign w:val="superscript"/>
    </w:rPr>
  </w:style>
  <w:style w:type="character" w:styleId="Hipercze">
    <w:name w:val="Hyperlink"/>
    <w:basedOn w:val="Domylnaczcionkaakapitu"/>
    <w:uiPriority w:val="99"/>
    <w:unhideWhenUsed/>
    <w:rsid w:val="00DA5B32"/>
    <w:rPr>
      <w:color w:val="0000FF" w:themeColor="hyperlink"/>
      <w:u w:val="single"/>
    </w:rPr>
  </w:style>
  <w:style w:type="paragraph" w:styleId="Akapitzlist">
    <w:name w:val="List Paragraph"/>
    <w:aliases w:val="Bullet1,Styl moj,Akapit z listą11,List Paragraph1,aotm_załączniki,Paragraf,Dot pt,F5 List Paragraph,Recommendation,List Paragraph11,Kolorowa lista — akcent 11,Akapit z listą1,Numerowanie,List Paragraph,Listaszerű bekezdés1,No Spacing1,2,3"/>
    <w:basedOn w:val="Normalny"/>
    <w:link w:val="AkapitzlistZnak"/>
    <w:qFormat/>
    <w:rsid w:val="00885FA8"/>
    <w:pPr>
      <w:autoSpaceDE w:val="0"/>
      <w:autoSpaceDN w:val="0"/>
      <w:adjustRightInd w:val="0"/>
      <w:ind w:left="720" w:firstLine="0"/>
      <w:contextualSpacing/>
    </w:pPr>
    <w:rPr>
      <w:rFonts w:eastAsia="Times New Roman"/>
      <w:lang w:eastAsia="zh-CN"/>
    </w:rPr>
  </w:style>
  <w:style w:type="character" w:customStyle="1" w:styleId="AkapitzlistZnak">
    <w:name w:val="Akapit z listą Znak"/>
    <w:aliases w:val="Bullet1 Znak,Styl moj Znak,Akapit z listą11 Znak,List Paragraph1 Znak,aotm_załączniki Znak,Paragraf Znak,Dot pt Znak,F5 List Paragraph Znak,Recommendation Znak,List Paragraph11 Znak,Kolorowa lista — akcent 11 Znak,Numerowanie Znak"/>
    <w:link w:val="Akapitzlist"/>
    <w:uiPriority w:val="34"/>
    <w:qFormat/>
    <w:locked/>
    <w:rsid w:val="00885FA8"/>
    <w:rPr>
      <w:rFonts w:eastAsia="Times New Roman"/>
      <w:lang w:eastAsia="zh-CN"/>
    </w:rPr>
  </w:style>
  <w:style w:type="paragraph" w:styleId="Tekstprzypisukocowego">
    <w:name w:val="endnote text"/>
    <w:basedOn w:val="Normalny"/>
    <w:link w:val="TekstprzypisukocowegoZnak"/>
    <w:uiPriority w:val="99"/>
    <w:semiHidden/>
    <w:unhideWhenUsed/>
    <w:rsid w:val="00B9668F"/>
    <w:rPr>
      <w:sz w:val="20"/>
      <w:szCs w:val="20"/>
    </w:rPr>
  </w:style>
  <w:style w:type="character" w:customStyle="1" w:styleId="TekstprzypisukocowegoZnak">
    <w:name w:val="Tekst przypisu końcowego Znak"/>
    <w:basedOn w:val="Domylnaczcionkaakapitu"/>
    <w:link w:val="Tekstprzypisukocowego"/>
    <w:uiPriority w:val="99"/>
    <w:semiHidden/>
    <w:rsid w:val="00B9668F"/>
    <w:rPr>
      <w:sz w:val="20"/>
      <w:szCs w:val="20"/>
    </w:rPr>
  </w:style>
  <w:style w:type="character" w:styleId="Odwoanieprzypisukocowego">
    <w:name w:val="endnote reference"/>
    <w:basedOn w:val="Domylnaczcionkaakapitu"/>
    <w:uiPriority w:val="99"/>
    <w:semiHidden/>
    <w:unhideWhenUsed/>
    <w:rsid w:val="00B9668F"/>
    <w:rPr>
      <w:vertAlign w:val="superscript"/>
    </w:rPr>
  </w:style>
  <w:style w:type="paragraph" w:customStyle="1" w:styleId="menfont">
    <w:name w:val="men font"/>
    <w:basedOn w:val="Normalny"/>
    <w:rsid w:val="00D04705"/>
    <w:pPr>
      <w:ind w:left="0" w:firstLine="0"/>
      <w:jc w:val="left"/>
    </w:pPr>
    <w:rPr>
      <w:rFonts w:ascii="Arial" w:eastAsia="Times New Roman" w:hAnsi="Arial" w:cs="Arial"/>
      <w:lang w:eastAsia="pl-PL"/>
    </w:rPr>
  </w:style>
  <w:style w:type="character" w:customStyle="1" w:styleId="Nagwek2Znak">
    <w:name w:val="Nagłówek 2 Znak"/>
    <w:basedOn w:val="Domylnaczcionkaakapitu"/>
    <w:link w:val="Nagwek2"/>
    <w:uiPriority w:val="9"/>
    <w:rsid w:val="00B933C2"/>
    <w:rPr>
      <w:rFonts w:asciiTheme="majorHAnsi" w:eastAsiaTheme="majorEastAsia" w:hAnsiTheme="majorHAnsi" w:cstheme="majorBidi"/>
      <w:color w:val="365F91" w:themeColor="accent1" w:themeShade="BF"/>
      <w:sz w:val="26"/>
      <w:szCs w:val="26"/>
    </w:rPr>
  </w:style>
  <w:style w:type="character" w:customStyle="1" w:styleId="Tekst-formularz">
    <w:name w:val="Tekst - formularz"/>
    <w:basedOn w:val="Domylnaczcionkaakapitu"/>
    <w:uiPriority w:val="1"/>
    <w:rsid w:val="00B933C2"/>
    <w:rPr>
      <w:rFonts w:asciiTheme="minorHAnsi" w:hAnsiTheme="minorHAnsi"/>
      <w:b w:val="0"/>
      <w:i w:val="0"/>
      <w:color w:val="000000" w:themeColor="text1"/>
      <w:sz w:val="24"/>
    </w:rPr>
  </w:style>
  <w:style w:type="paragraph" w:customStyle="1" w:styleId="FootnoteReferneceCarcter">
    <w:name w:val="Footnote Refernece Carácter"/>
    <w:aliases w:val="ftref Carácter,4_G Carácter"/>
    <w:basedOn w:val="Normalny"/>
    <w:link w:val="Odwoanieprzypisudolnego"/>
    <w:uiPriority w:val="99"/>
    <w:rsid w:val="00B933C2"/>
    <w:pPr>
      <w:spacing w:before="120" w:after="160" w:line="240" w:lineRule="exact"/>
      <w:ind w:left="0" w:firstLine="0"/>
    </w:pPr>
    <w:rPr>
      <w:vertAlign w:val="superscript"/>
    </w:rPr>
  </w:style>
  <w:style w:type="character" w:styleId="Pogrubienie">
    <w:name w:val="Strong"/>
    <w:uiPriority w:val="22"/>
    <w:qFormat/>
    <w:rsid w:val="003665CB"/>
    <w:rPr>
      <w:b/>
      <w:bCs/>
    </w:rPr>
  </w:style>
  <w:style w:type="paragraph" w:styleId="Nagwek">
    <w:name w:val="header"/>
    <w:basedOn w:val="Normalny"/>
    <w:link w:val="NagwekZnak"/>
    <w:uiPriority w:val="99"/>
    <w:semiHidden/>
    <w:unhideWhenUsed/>
    <w:rsid w:val="00793180"/>
    <w:pPr>
      <w:tabs>
        <w:tab w:val="center" w:pos="4536"/>
        <w:tab w:val="right" w:pos="9072"/>
      </w:tabs>
    </w:pPr>
  </w:style>
  <w:style w:type="character" w:customStyle="1" w:styleId="NagwekZnak">
    <w:name w:val="Nagłówek Znak"/>
    <w:basedOn w:val="Domylnaczcionkaakapitu"/>
    <w:link w:val="Nagwek"/>
    <w:uiPriority w:val="99"/>
    <w:semiHidden/>
    <w:rsid w:val="00793180"/>
  </w:style>
  <w:style w:type="paragraph" w:styleId="Stopka">
    <w:name w:val="footer"/>
    <w:basedOn w:val="Normalny"/>
    <w:link w:val="StopkaZnak"/>
    <w:uiPriority w:val="99"/>
    <w:unhideWhenUsed/>
    <w:rsid w:val="00793180"/>
    <w:pPr>
      <w:tabs>
        <w:tab w:val="center" w:pos="4536"/>
        <w:tab w:val="right" w:pos="9072"/>
      </w:tabs>
    </w:pPr>
  </w:style>
  <w:style w:type="character" w:customStyle="1" w:styleId="StopkaZnak">
    <w:name w:val="Stopka Znak"/>
    <w:basedOn w:val="Domylnaczcionkaakapitu"/>
    <w:link w:val="Stopka"/>
    <w:uiPriority w:val="99"/>
    <w:rsid w:val="00793180"/>
  </w:style>
  <w:style w:type="table" w:styleId="Tabela-Siatka">
    <w:name w:val="Table Grid"/>
    <w:basedOn w:val="Standardowy"/>
    <w:uiPriority w:val="39"/>
    <w:rsid w:val="003C7569"/>
    <w:pPr>
      <w:ind w:left="0" w:firstLine="0"/>
      <w:jc w:val="left"/>
    </w:pPr>
    <w:rPr>
      <w:rFonts w:ascii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kstpodstawowyb">
    <w:name w:val="Tekst podstawowy.b"/>
    <w:basedOn w:val="Normalny"/>
    <w:rsid w:val="00954D49"/>
    <w:pPr>
      <w:ind w:left="0" w:firstLine="0"/>
    </w:pPr>
    <w:rPr>
      <w:rFonts w:eastAsia="Times New Roman"/>
      <w:lang w:eastAsia="pl-PL"/>
    </w:rPr>
  </w:style>
  <w:style w:type="paragraph" w:styleId="NormalnyWeb">
    <w:name w:val="Normal (Web)"/>
    <w:basedOn w:val="Normalny"/>
    <w:unhideWhenUsed/>
    <w:rsid w:val="00AD1181"/>
    <w:pPr>
      <w:spacing w:before="100" w:beforeAutospacing="1" w:after="100" w:afterAutospacing="1"/>
      <w:ind w:left="0" w:firstLine="0"/>
      <w:jc w:val="left"/>
    </w:pPr>
    <w:rPr>
      <w:rFonts w:eastAsia="Times New Roman"/>
      <w:lang w:eastAsia="pl-PL"/>
    </w:rPr>
  </w:style>
  <w:style w:type="paragraph" w:customStyle="1" w:styleId="Standard">
    <w:name w:val="Standard"/>
    <w:rsid w:val="00035922"/>
    <w:pPr>
      <w:suppressAutoHyphens/>
      <w:autoSpaceDN w:val="0"/>
      <w:ind w:left="0" w:firstLine="0"/>
      <w:jc w:val="left"/>
      <w:textAlignment w:val="baseline"/>
    </w:pPr>
    <w:rPr>
      <w:rFonts w:ascii="Liberation Serif" w:eastAsia="NSimSun" w:hAnsi="Liberation Serif" w:cs="Mangal"/>
      <w:kern w:val="3"/>
      <w:lang w:eastAsia="zh-CN" w:bidi="hi-IN"/>
    </w:rPr>
  </w:style>
  <w:style w:type="character" w:customStyle="1" w:styleId="viiyi">
    <w:name w:val="viiyi"/>
    <w:basedOn w:val="Domylnaczcionkaakapitu"/>
    <w:rsid w:val="00F50A65"/>
  </w:style>
  <w:style w:type="paragraph" w:styleId="Tekstpodstawowy">
    <w:name w:val="Body Text"/>
    <w:basedOn w:val="Normalny"/>
    <w:link w:val="TekstpodstawowyZnak"/>
    <w:semiHidden/>
    <w:rsid w:val="00DE0C45"/>
    <w:pPr>
      <w:spacing w:after="220" w:line="220" w:lineRule="atLeast"/>
      <w:ind w:left="0" w:firstLine="0"/>
    </w:pPr>
    <w:rPr>
      <w:rFonts w:ascii="Arial" w:eastAsia="Times New Roman" w:hAnsi="Arial"/>
      <w:spacing w:val="-5"/>
      <w:sz w:val="20"/>
      <w:szCs w:val="20"/>
    </w:rPr>
  </w:style>
  <w:style w:type="character" w:customStyle="1" w:styleId="TekstpodstawowyZnak">
    <w:name w:val="Tekst podstawowy Znak"/>
    <w:basedOn w:val="Domylnaczcionkaakapitu"/>
    <w:link w:val="Tekstpodstawowy"/>
    <w:semiHidden/>
    <w:rsid w:val="00DE0C45"/>
    <w:rPr>
      <w:rFonts w:ascii="Arial" w:eastAsia="Times New Roman" w:hAnsi="Arial"/>
      <w:spacing w:val="-5"/>
      <w:sz w:val="20"/>
      <w:szCs w:val="20"/>
    </w:rPr>
  </w:style>
  <w:style w:type="paragraph" w:styleId="Tekstkomentarza">
    <w:name w:val="annotation text"/>
    <w:basedOn w:val="Normalny"/>
    <w:link w:val="TekstkomentarzaZnak"/>
    <w:uiPriority w:val="99"/>
    <w:unhideWhenUsed/>
    <w:rsid w:val="001C7304"/>
    <w:rPr>
      <w:sz w:val="20"/>
      <w:szCs w:val="20"/>
    </w:rPr>
  </w:style>
  <w:style w:type="character" w:customStyle="1" w:styleId="TekstkomentarzaZnak">
    <w:name w:val="Tekst komentarza Znak"/>
    <w:basedOn w:val="Domylnaczcionkaakapitu"/>
    <w:link w:val="Tekstkomentarza"/>
    <w:uiPriority w:val="99"/>
    <w:rsid w:val="001C7304"/>
    <w:rPr>
      <w:sz w:val="20"/>
      <w:szCs w:val="20"/>
    </w:rPr>
  </w:style>
  <w:style w:type="character" w:styleId="Odwoaniedokomentarza">
    <w:name w:val="annotation reference"/>
    <w:basedOn w:val="Domylnaczcionkaakapitu"/>
    <w:uiPriority w:val="99"/>
    <w:semiHidden/>
    <w:unhideWhenUsed/>
    <w:rsid w:val="00731A17"/>
    <w:rPr>
      <w:sz w:val="16"/>
      <w:szCs w:val="16"/>
    </w:rPr>
  </w:style>
  <w:style w:type="paragraph" w:styleId="Tematkomentarza">
    <w:name w:val="annotation subject"/>
    <w:basedOn w:val="Tekstkomentarza"/>
    <w:next w:val="Tekstkomentarza"/>
    <w:link w:val="TematkomentarzaZnak"/>
    <w:uiPriority w:val="99"/>
    <w:semiHidden/>
    <w:unhideWhenUsed/>
    <w:rsid w:val="00731A17"/>
    <w:rPr>
      <w:b/>
      <w:bCs/>
    </w:rPr>
  </w:style>
  <w:style w:type="character" w:customStyle="1" w:styleId="TematkomentarzaZnak">
    <w:name w:val="Temat komentarza Znak"/>
    <w:basedOn w:val="TekstkomentarzaZnak"/>
    <w:link w:val="Tematkomentarza"/>
    <w:uiPriority w:val="99"/>
    <w:semiHidden/>
    <w:rsid w:val="00731A17"/>
    <w:rPr>
      <w:b/>
      <w:bCs/>
      <w:sz w:val="20"/>
      <w:szCs w:val="20"/>
    </w:rPr>
  </w:style>
  <w:style w:type="paragraph" w:customStyle="1" w:styleId="BVI">
    <w:name w:val="BVI"/>
    <w:basedOn w:val="Normalny"/>
    <w:uiPriority w:val="99"/>
    <w:rsid w:val="00BB7D5A"/>
    <w:pPr>
      <w:spacing w:after="160" w:line="240" w:lineRule="exact"/>
      <w:ind w:left="0" w:firstLine="0"/>
    </w:pPr>
    <w:rPr>
      <w:rFonts w:asciiTheme="minorHAnsi" w:hAnsiTheme="minorHAnsi" w:cstheme="minorBidi"/>
      <w:sz w:val="22"/>
      <w:szCs w:val="22"/>
      <w:vertAlign w:val="superscript"/>
    </w:rPr>
  </w:style>
  <w:style w:type="paragraph" w:customStyle="1" w:styleId="pismamz">
    <w:name w:val="pisma_mz"/>
    <w:basedOn w:val="Normalny"/>
    <w:link w:val="pismamzZnak"/>
    <w:qFormat/>
    <w:rsid w:val="00B16D69"/>
    <w:pPr>
      <w:spacing w:line="360" w:lineRule="auto"/>
      <w:ind w:left="0" w:firstLine="0"/>
      <w:contextualSpacing/>
    </w:pPr>
    <w:rPr>
      <w:rFonts w:ascii="Arial" w:hAnsi="Arial" w:cstheme="minorBidi"/>
      <w:sz w:val="22"/>
      <w:szCs w:val="22"/>
    </w:rPr>
  </w:style>
  <w:style w:type="character" w:customStyle="1" w:styleId="pismamzZnak">
    <w:name w:val="pisma_mz Znak"/>
    <w:basedOn w:val="Domylnaczcionkaakapitu"/>
    <w:link w:val="pismamz"/>
    <w:rsid w:val="00B16D69"/>
    <w:rPr>
      <w:rFonts w:ascii="Arial" w:hAnsi="Arial" w:cstheme="minorBidi"/>
      <w:sz w:val="22"/>
      <w:szCs w:val="22"/>
    </w:rPr>
  </w:style>
  <w:style w:type="paragraph" w:styleId="Poprawka">
    <w:name w:val="Revision"/>
    <w:hidden/>
    <w:uiPriority w:val="99"/>
    <w:semiHidden/>
    <w:rsid w:val="00B16D69"/>
    <w:pPr>
      <w:ind w:left="0" w:firstLine="0"/>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04459539">
      <w:bodyDiv w:val="1"/>
      <w:marLeft w:val="0"/>
      <w:marRight w:val="0"/>
      <w:marTop w:val="0"/>
      <w:marBottom w:val="0"/>
      <w:divBdr>
        <w:top w:val="none" w:sz="0" w:space="0" w:color="auto"/>
        <w:left w:val="none" w:sz="0" w:space="0" w:color="auto"/>
        <w:bottom w:val="none" w:sz="0" w:space="0" w:color="auto"/>
        <w:right w:val="none" w:sz="0" w:space="0" w:color="auto"/>
      </w:divBdr>
    </w:div>
    <w:div w:id="952587913">
      <w:bodyDiv w:val="1"/>
      <w:marLeft w:val="0"/>
      <w:marRight w:val="0"/>
      <w:marTop w:val="0"/>
      <w:marBottom w:val="0"/>
      <w:divBdr>
        <w:top w:val="none" w:sz="0" w:space="0" w:color="auto"/>
        <w:left w:val="none" w:sz="0" w:space="0" w:color="auto"/>
        <w:bottom w:val="none" w:sz="0" w:space="0" w:color="auto"/>
        <w:right w:val="none" w:sz="0" w:space="0" w:color="auto"/>
      </w:divBdr>
    </w:div>
    <w:div w:id="1004624595">
      <w:bodyDiv w:val="1"/>
      <w:marLeft w:val="0"/>
      <w:marRight w:val="0"/>
      <w:marTop w:val="0"/>
      <w:marBottom w:val="0"/>
      <w:divBdr>
        <w:top w:val="none" w:sz="0" w:space="0" w:color="auto"/>
        <w:left w:val="none" w:sz="0" w:space="0" w:color="auto"/>
        <w:bottom w:val="none" w:sz="0" w:space="0" w:color="auto"/>
        <w:right w:val="none" w:sz="0" w:space="0" w:color="auto"/>
      </w:divBdr>
    </w:div>
    <w:div w:id="1298022786">
      <w:bodyDiv w:val="1"/>
      <w:marLeft w:val="0"/>
      <w:marRight w:val="0"/>
      <w:marTop w:val="0"/>
      <w:marBottom w:val="0"/>
      <w:divBdr>
        <w:top w:val="none" w:sz="0" w:space="0" w:color="auto"/>
        <w:left w:val="none" w:sz="0" w:space="0" w:color="auto"/>
        <w:bottom w:val="none" w:sz="0" w:space="0" w:color="auto"/>
        <w:right w:val="none" w:sz="0" w:space="0" w:color="auto"/>
      </w:divBdr>
    </w:div>
    <w:div w:id="1352416733">
      <w:bodyDiv w:val="1"/>
      <w:marLeft w:val="0"/>
      <w:marRight w:val="0"/>
      <w:marTop w:val="0"/>
      <w:marBottom w:val="0"/>
      <w:divBdr>
        <w:top w:val="none" w:sz="0" w:space="0" w:color="auto"/>
        <w:left w:val="none" w:sz="0" w:space="0" w:color="auto"/>
        <w:bottom w:val="none" w:sz="0" w:space="0" w:color="auto"/>
        <w:right w:val="none" w:sz="0" w:space="0" w:color="auto"/>
      </w:divBdr>
    </w:div>
    <w:div w:id="1540705000">
      <w:bodyDiv w:val="1"/>
      <w:marLeft w:val="0"/>
      <w:marRight w:val="0"/>
      <w:marTop w:val="0"/>
      <w:marBottom w:val="0"/>
      <w:divBdr>
        <w:top w:val="none" w:sz="0" w:space="0" w:color="auto"/>
        <w:left w:val="none" w:sz="0" w:space="0" w:color="auto"/>
        <w:bottom w:val="none" w:sz="0" w:space="0" w:color="auto"/>
        <w:right w:val="none" w:sz="0" w:space="0" w:color="auto"/>
      </w:divBdr>
    </w:div>
    <w:div w:id="18004164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1" Type="http://schemas.openxmlformats.org/officeDocument/2006/relationships/hyperlink" Target="https://trybunal.gov.pl/fileadmin/content/omowienia/SK_10_01_PL.pdf"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A5AA2DD-4C9F-4257-B905-A4A7C6274CDE}">
  <ds:schemaRefs>
    <ds:schemaRef ds:uri="http://schemas.openxmlformats.org/officeDocument/2006/bibliography"/>
  </ds:schemaRefs>
</ds:datastoreItem>
</file>

<file path=customXml/itemProps2.xml><?xml version="1.0" encoding="utf-8"?>
<ds:datastoreItem xmlns:ds="http://schemas.openxmlformats.org/officeDocument/2006/customXml" ds:itemID="{DDA7B360-A5C1-48F7-8C76-E52CA3C398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34</Pages>
  <Words>17134</Words>
  <Characters>102806</Characters>
  <Application>Microsoft Office Word</Application>
  <DocSecurity>0</DocSecurity>
  <Lines>856</Lines>
  <Paragraphs>239</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119701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Joanna Maciejewska</cp:lastModifiedBy>
  <cp:revision>4</cp:revision>
  <cp:lastPrinted>2021-08-26T10:30:00Z</cp:lastPrinted>
  <dcterms:created xsi:type="dcterms:W3CDTF">2021-09-06T11:15:00Z</dcterms:created>
  <dcterms:modified xsi:type="dcterms:W3CDTF">2021-09-08T09:21:00Z</dcterms:modified>
</cp:coreProperties>
</file>