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90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6945"/>
      </w:tblGrid>
      <w:tr w:rsidR="00AB3F6A" w:rsidRPr="00A67844" w:rsidTr="00477C00">
        <w:trPr>
          <w:trHeight w:hRule="exact" w:val="509"/>
        </w:trPr>
        <w:tc>
          <w:tcPr>
            <w:tcW w:w="1644" w:type="pct"/>
            <w:shd w:val="clear" w:color="auto" w:fill="FFFFFF"/>
            <w:vAlign w:val="center"/>
          </w:tcPr>
          <w:p w:rsidR="00AB3F6A" w:rsidRPr="006828C0" w:rsidRDefault="00AB3F6A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6828C0">
              <w:rPr>
                <w:rFonts w:ascii="Arial" w:hAnsi="Arial" w:cs="Arial"/>
                <w:szCs w:val="20"/>
              </w:rPr>
              <w:t>Numer porządkowy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AB3F6A" w:rsidRPr="006828C0" w:rsidRDefault="00AB3F6A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74CCA">
              <w:rPr>
                <w:rFonts w:ascii="Arial" w:hAnsi="Arial" w:cs="Arial"/>
                <w:b/>
                <w:sz w:val="28"/>
                <w:szCs w:val="28"/>
              </w:rPr>
              <w:t>09.4179</w:t>
            </w:r>
          </w:p>
        </w:tc>
      </w:tr>
      <w:tr w:rsidR="00AB3F6A" w:rsidRPr="00A67844" w:rsidTr="00477C00">
        <w:trPr>
          <w:trHeight w:hRule="exact" w:val="3330"/>
        </w:trPr>
        <w:tc>
          <w:tcPr>
            <w:tcW w:w="1644" w:type="pct"/>
            <w:shd w:val="clear" w:color="auto" w:fill="FFFFFF"/>
            <w:vAlign w:val="center"/>
          </w:tcPr>
          <w:p w:rsidR="00AB3F6A" w:rsidRPr="006828C0" w:rsidRDefault="00AB3F6A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AB3F6A" w:rsidRDefault="00AB3F6A" w:rsidP="00D27486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 w:rsidRPr="00E201CD">
              <w:rPr>
                <w:rFonts w:ascii="Arial" w:hAnsi="Arial" w:cs="Arial"/>
                <w:b/>
                <w:szCs w:val="20"/>
              </w:rPr>
              <w:t>Umowa</w:t>
            </w:r>
            <w:r w:rsidRPr="006828C0">
              <w:rPr>
                <w:rFonts w:ascii="Arial" w:hAnsi="Arial" w:cs="Arial"/>
                <w:szCs w:val="20"/>
              </w:rPr>
              <w:t xml:space="preserve"> </w:t>
            </w: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między Unią Europejską a Królestwem Norwegii, zatwierdzona decyzją Rady 2011/818/UE z dnia 8 listopada 2011 r.</w:t>
            </w:r>
          </w:p>
          <w:p w:rsidR="001C2041" w:rsidRPr="00FE3E4F" w:rsidRDefault="001C2041" w:rsidP="001C2041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201CD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>
              <w:rPr>
                <w:rFonts w:ascii="Arial" w:hAnsi="Arial" w:cs="Arial"/>
                <w:szCs w:val="20"/>
              </w:rPr>
              <w:t xml:space="preserve"> z dnia 17 grudnia 2019 </w:t>
            </w:r>
            <w:r w:rsidRPr="00FE3E4F">
              <w:rPr>
                <w:rFonts w:ascii="Arial" w:hAnsi="Arial" w:cs="Arial"/>
                <w:szCs w:val="20"/>
              </w:rPr>
              <w:t>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1C2041" w:rsidRPr="006828C0" w:rsidRDefault="001C2041" w:rsidP="001C204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201CD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FE3E4F">
              <w:rPr>
                <w:rFonts w:ascii="Arial" w:hAnsi="Arial" w:cs="Arial"/>
                <w:szCs w:val="20"/>
              </w:rPr>
              <w:t xml:space="preserve"> z dnia 17 grudnia 2019 r. ustanawiające zasady stosowania rozporządzeń Parlamentu Europejskiego i Rady (WE) nr 1306/2013, (UE) nr 1308/2013 i (UE) nr 510/2014 w odniesieniu do systemu</w:t>
            </w:r>
            <w:r w:rsidRPr="00FE3E4F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1C2041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.</w:t>
            </w:r>
          </w:p>
        </w:tc>
      </w:tr>
      <w:tr w:rsidR="00AB3F6A" w:rsidRPr="00A67844" w:rsidTr="00477C00">
        <w:trPr>
          <w:trHeight w:hRule="exact" w:val="566"/>
        </w:trPr>
        <w:tc>
          <w:tcPr>
            <w:tcW w:w="1644" w:type="pct"/>
            <w:shd w:val="clear" w:color="auto" w:fill="FFFFFF"/>
            <w:vAlign w:val="center"/>
          </w:tcPr>
          <w:p w:rsidR="00AB3F6A" w:rsidRPr="006828C0" w:rsidRDefault="00AB3F6A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AB3F6A" w:rsidRPr="006828C0" w:rsidRDefault="00AB3F6A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Od 1 stycznia do 31 grudnia</w:t>
            </w:r>
          </w:p>
        </w:tc>
      </w:tr>
      <w:tr w:rsidR="00AB3F6A" w:rsidRPr="00A67844" w:rsidTr="00477C00">
        <w:trPr>
          <w:trHeight w:hRule="exact" w:val="557"/>
        </w:trPr>
        <w:tc>
          <w:tcPr>
            <w:tcW w:w="1644" w:type="pct"/>
            <w:shd w:val="clear" w:color="auto" w:fill="FFFFFF"/>
            <w:vAlign w:val="center"/>
          </w:tcPr>
          <w:p w:rsidR="00AB3F6A" w:rsidRPr="006828C0" w:rsidRDefault="00AB3F6A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AB3F6A" w:rsidRPr="006828C0" w:rsidRDefault="00AB3F6A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Od 1 stycznia do 30 czerwca</w:t>
            </w: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br/>
              <w:t>Od 1 lipca do 31 grudnia</w:t>
            </w:r>
          </w:p>
        </w:tc>
      </w:tr>
      <w:tr w:rsidR="008A1B6F" w:rsidRPr="00A67844" w:rsidTr="00201C9D">
        <w:trPr>
          <w:trHeight w:hRule="exact" w:val="4130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E201CD" w:rsidRDefault="00E201CD" w:rsidP="00E201C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Zgodnie z art. 6, 7 i 8 rozporządzenia</w:t>
            </w:r>
            <w:r w:rsidR="001B2BC6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(UE) 2020/761.</w:t>
            </w:r>
          </w:p>
          <w:p w:rsidR="00E201CD" w:rsidRDefault="00E201CD" w:rsidP="00E201C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E201CD" w:rsidRDefault="00E201CD" w:rsidP="00E201C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</w:t>
            </w:r>
            <w:r w:rsidRPr="00E201CD">
              <w:rPr>
                <w:rFonts w:ascii="Arial" w:hAnsi="Arial" w:cs="Arial"/>
                <w:szCs w:val="20"/>
                <w:u w:val="single"/>
              </w:rPr>
              <w:t>między 23 i 30 listopada roku poprzedzającego</w:t>
            </w:r>
            <w:r w:rsidRPr="00DC5949">
              <w:rPr>
                <w:rFonts w:ascii="Arial" w:hAnsi="Arial" w:cs="Arial"/>
                <w:szCs w:val="20"/>
              </w:rPr>
              <w:t>.</w:t>
            </w:r>
          </w:p>
          <w:p w:rsidR="00626CC9" w:rsidRDefault="00626CC9" w:rsidP="00E201C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3E50">
              <w:rPr>
                <w:rFonts w:ascii="Arial" w:hAnsi="Arial" w:cs="Arial"/>
              </w:rPr>
              <w:t>W listopadzie podmioty mogą składać dwa wnioski na każdy kontyngent taryfowy: jeden wniosek o pozwolenie ważn</w:t>
            </w:r>
            <w:r>
              <w:rPr>
                <w:rFonts w:ascii="Arial" w:hAnsi="Arial" w:cs="Arial"/>
              </w:rPr>
              <w:t>e</w:t>
            </w:r>
            <w:r w:rsidRPr="00643E50">
              <w:rPr>
                <w:rFonts w:ascii="Arial" w:hAnsi="Arial" w:cs="Arial"/>
              </w:rPr>
              <w:t xml:space="preserve"> od grudnia i jeden wniosek o pozwolenie ważn</w:t>
            </w:r>
            <w:r>
              <w:rPr>
                <w:rFonts w:ascii="Arial" w:hAnsi="Arial" w:cs="Arial"/>
              </w:rPr>
              <w:t>e</w:t>
            </w:r>
            <w:r w:rsidRPr="00643E50">
              <w:rPr>
                <w:rFonts w:ascii="Arial" w:hAnsi="Arial" w:cs="Arial"/>
              </w:rPr>
              <w:t xml:space="preserve"> od stycznia.</w:t>
            </w:r>
          </w:p>
          <w:p w:rsidR="00E201CD" w:rsidRDefault="00E201CD" w:rsidP="00E201CD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za wyjątkiem grudnia, w którym to miesiącu nie składa się żadnych wniosków.</w:t>
            </w:r>
          </w:p>
          <w:p w:rsidR="00E201CD" w:rsidRDefault="00E201CD" w:rsidP="00E201CD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E201CD" w:rsidRDefault="00E201CD" w:rsidP="00E201CD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  <w:p w:rsidR="008A1B6F" w:rsidRDefault="008A1B6F" w:rsidP="00D27486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7928EA" w:rsidRPr="00DC5949" w:rsidRDefault="007928EA" w:rsidP="00D27486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8A1B6F" w:rsidRPr="00DC5949" w:rsidRDefault="008A1B6F" w:rsidP="00D27486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8A1B6F" w:rsidRPr="00DC5949" w:rsidRDefault="008A1B6F" w:rsidP="00D27486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  <w:p w:rsidR="008A1B6F" w:rsidRPr="00A67844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8A1B6F" w:rsidRPr="00A67844" w:rsidTr="00477C00">
        <w:trPr>
          <w:trHeight w:hRule="exact" w:val="429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Opis produktu (*)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A67844" w:rsidRDefault="00936CE2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Ser i twaróg</w:t>
            </w:r>
          </w:p>
        </w:tc>
      </w:tr>
      <w:tr w:rsidR="008A1B6F" w:rsidRPr="00A67844" w:rsidTr="00477C00">
        <w:trPr>
          <w:trHeight w:hRule="exact" w:val="425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E74CCA" w:rsidRDefault="00936CE2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74CCA">
              <w:rPr>
                <w:rStyle w:val="Teksttreci295ptBezpogrubienia"/>
                <w:rFonts w:ascii="Arial" w:eastAsiaTheme="minorHAnsi" w:hAnsi="Arial" w:cs="Arial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Norwegia</w:t>
            </w:r>
          </w:p>
        </w:tc>
      </w:tr>
      <w:tr w:rsidR="008A1B6F" w:rsidRPr="00A67844" w:rsidTr="00477C00">
        <w:trPr>
          <w:trHeight w:hRule="exact" w:val="829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A67844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pacing w:val="0"/>
                <w:sz w:val="20"/>
                <w:szCs w:val="20"/>
                <w:lang w:eastAsia="en-US" w:bidi="ar-SA"/>
              </w:rPr>
              <w:t>Nie</w:t>
            </w:r>
          </w:p>
        </w:tc>
      </w:tr>
      <w:tr w:rsidR="008A1B6F" w:rsidRPr="00A67844" w:rsidTr="001B2BC6">
        <w:trPr>
          <w:trHeight w:hRule="exact" w:val="602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A67844" w:rsidRDefault="000F30A4" w:rsidP="000F30A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Tak. Świadectwo przewozowe EUR.1</w:t>
            </w:r>
          </w:p>
        </w:tc>
      </w:tr>
      <w:tr w:rsidR="008A1B6F" w:rsidRPr="00A67844" w:rsidTr="00477C00">
        <w:trPr>
          <w:trHeight w:hRule="exact" w:val="855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Ilość w kg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7 200 000 kg, w następującym podziale:</w:t>
            </w:r>
          </w:p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3 600 000 kg przypadające na podokres od 1 stycznia do 30 czerwca</w:t>
            </w: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br/>
              <w:t>3 600 000 kg przypadające na podokres od 1 lipca do 31 grudnia</w:t>
            </w:r>
          </w:p>
        </w:tc>
      </w:tr>
      <w:tr w:rsidR="008A1B6F" w:rsidRPr="00A67844" w:rsidTr="00477C00">
        <w:trPr>
          <w:trHeight w:hRule="exact" w:val="427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0406</w:t>
            </w:r>
          </w:p>
        </w:tc>
      </w:tr>
      <w:tr w:rsidR="008A1B6F" w:rsidRPr="00A67844" w:rsidTr="00477C00">
        <w:trPr>
          <w:trHeight w:hRule="exact" w:val="410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Cło w ramach kontyngentu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0 EUR</w:t>
            </w:r>
          </w:p>
        </w:tc>
      </w:tr>
      <w:tr w:rsidR="008A1B6F" w:rsidRPr="00A67844" w:rsidTr="00477C00">
        <w:trPr>
          <w:trHeight w:hRule="exact" w:val="2429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lastRenderedPageBreak/>
              <w:t>Dowód handlu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Default="008A1B6F" w:rsidP="00D27486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Tak. 25 ton</w:t>
            </w:r>
          </w:p>
          <w:p w:rsidR="007928EA" w:rsidRDefault="007928EA" w:rsidP="007928EA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Wraz z pierwszym wnioskiem o pozwolenie na dany rok kontyngentowy przedsiębiorca przedkłada dowód handlu potwierdzający przywóz do Unii lub wywóz z Unii 25 ton produktów objętych rynkiem mleka i przetworów mlecznych (załącznik I część XVI rozporządzenia (UE nr 1308/2013) w każdym z dwóch dwunastomiesięcznych okresów kończących się na 2 miesiące przed możliwością złożenia pierwszego wniosku na dany rok kontyngentowy.</w:t>
            </w:r>
          </w:p>
          <w:p w:rsidR="007928EA" w:rsidRPr="006828C0" w:rsidRDefault="007928EA" w:rsidP="007928E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8A1B6F" w:rsidRPr="00A67844" w:rsidTr="00477C00">
        <w:trPr>
          <w:trHeight w:hRule="exact" w:val="565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35 EUR za 100 kg masy netto</w:t>
            </w:r>
          </w:p>
        </w:tc>
      </w:tr>
      <w:tr w:rsidR="008A1B6F" w:rsidRPr="00A67844" w:rsidTr="00477C00">
        <w:trPr>
          <w:trHeight w:hRule="exact" w:val="1549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7928EA" w:rsidRDefault="007928EA" w:rsidP="007928E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„tak" w tej sekcji.</w:t>
            </w:r>
          </w:p>
          <w:p w:rsidR="007928EA" w:rsidRPr="00A67844" w:rsidRDefault="007928EA" w:rsidP="007928E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Sekcja 19 pozwolenia </w:t>
            </w:r>
            <w:r w:rsidR="00375B9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–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</w:t>
            </w:r>
            <w:r w:rsidR="00375B9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%</w:t>
            </w:r>
          </w:p>
          <w:p w:rsidR="007928EA" w:rsidRDefault="007928EA" w:rsidP="007928E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sekcji 20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wniosku i pozwolenia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należy podać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„</w:t>
            </w:r>
            <w:r w:rsidR="00CA4E96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Numer </w:t>
            </w:r>
            <w:r w:rsidR="00BA085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porządkowy 09.4179;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8A1B6F" w:rsidRPr="006828C0" w:rsidRDefault="007928EA" w:rsidP="007928E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sekcji 20 wniosku i 24 pozwolenia należy podać: „Stawka celna w ramach kontyngentu – 0 EUR””</w:t>
            </w:r>
          </w:p>
        </w:tc>
      </w:tr>
      <w:tr w:rsidR="00CA4E96" w:rsidRPr="00A67844" w:rsidTr="00477C00">
        <w:trPr>
          <w:trHeight w:hRule="exact" w:val="1288"/>
        </w:trPr>
        <w:tc>
          <w:tcPr>
            <w:tcW w:w="1644" w:type="pct"/>
            <w:shd w:val="clear" w:color="auto" w:fill="FFFFFF"/>
            <w:vAlign w:val="center"/>
          </w:tcPr>
          <w:p w:rsidR="00CA4E96" w:rsidRPr="006828C0" w:rsidRDefault="00CA4E96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wydania pozwolenia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CA4E96" w:rsidRDefault="00CA4E96" w:rsidP="00CA4E96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CA4E96">
              <w:rPr>
                <w:rStyle w:val="Teksttreci29"/>
                <w:rFonts w:ascii="Arial" w:hAnsi="Arial" w:cs="Arial"/>
                <w:b w:val="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375B95" w:rsidRPr="00375B95" w:rsidRDefault="00375B95" w:rsidP="00CA4E96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Cs w:val="20"/>
              </w:rPr>
            </w:pPr>
            <w:r w:rsidRPr="00375B95">
              <w:rPr>
                <w:rStyle w:val="Teksttreci295ptBezpogrubienia"/>
                <w:rFonts w:ascii="Arial" w:hAnsi="Arial" w:cs="Arial"/>
                <w:b w:val="0"/>
                <w:szCs w:val="20"/>
              </w:rPr>
              <w:t>Pozwolenia z terminem ważności od 1 stycznia są wydawane od 15 do 31 grudnia roku poprzedniego.</w:t>
            </w:r>
          </w:p>
          <w:p w:rsidR="00CA4E96" w:rsidRPr="00BD2D23" w:rsidRDefault="00CA4E96" w:rsidP="00E42A28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8A1B6F" w:rsidRPr="00A67844" w:rsidTr="00EE32BE">
        <w:trPr>
          <w:trHeight w:hRule="exact" w:val="1689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EE32BE" w:rsidRDefault="00EE32BE" w:rsidP="0089098C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Zgodnie z art. 13 rozporządzenia wykonawczego (UE) 2020/761</w:t>
            </w:r>
          </w:p>
          <w:p w:rsidR="0089098C" w:rsidRPr="00C808B1" w:rsidRDefault="0089098C" w:rsidP="0089098C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Dla wniosków złożonych w okresie od 23 do 30 listopada roku poprzedniego, pozwolenia są ważne od 1 stycznia </w:t>
            </w:r>
            <w:r w:rsidR="00600455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</w:t>
            </w:r>
            <w:r w:rsidR="001417CC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o 31 lipca roku następnego</w:t>
            </w: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</w:p>
          <w:p w:rsidR="008A1B6F" w:rsidRDefault="0089098C" w:rsidP="0089098C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Dla wniosków złożonych w trakcie trwania roku kontyngentowego, pozwolenia są ważne od pierwszego dnia miesiąca następującego po złożeniu wniosku do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: </w:t>
            </w:r>
          </w:p>
          <w:p w:rsidR="0089098C" w:rsidRPr="00C808B1" w:rsidRDefault="0089098C" w:rsidP="008909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31 lipca – w przypadku I podokresu,</w:t>
            </w:r>
          </w:p>
          <w:p w:rsidR="0089098C" w:rsidRPr="0089098C" w:rsidRDefault="0089098C" w:rsidP="0089098C">
            <w:pPr>
              <w:pStyle w:val="Akapitzlist"/>
              <w:numPr>
                <w:ilvl w:val="0"/>
                <w:numId w:val="1"/>
              </w:numPr>
              <w:spacing w:after="100" w:afterAutospacing="1" w:line="240" w:lineRule="auto"/>
              <w:rPr>
                <w:rFonts w:ascii="Arial" w:hAnsi="Arial" w:cs="Arial"/>
                <w:szCs w:val="20"/>
              </w:rPr>
            </w:pPr>
            <w:r w:rsidRPr="0089098C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31 grudnia – w przypadku II podokresu..</w:t>
            </w:r>
          </w:p>
        </w:tc>
      </w:tr>
      <w:tr w:rsidR="008A1B6F" w:rsidRPr="00A67844" w:rsidTr="00477C00">
        <w:trPr>
          <w:trHeight w:hRule="exact" w:val="973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6828C0" w:rsidRDefault="0089098C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  <w:t xml:space="preserve">Tak. </w:t>
            </w:r>
            <w:r w:rsidRPr="0089098C">
              <w:rPr>
                <w:rStyle w:val="Teksttreci295ptBezpogrubienia"/>
                <w:rFonts w:ascii="Arial" w:hAnsi="Arial" w:cs="Arial"/>
                <w:b w:val="0"/>
                <w:szCs w:val="20"/>
              </w:rPr>
              <w:t xml:space="preserve">Przejmujący musi mieć siedzibę i być zarejestrowany do celów VAT na terenie UE. </w:t>
            </w:r>
            <w:r w:rsidRPr="0089098C">
              <w:rPr>
                <w:rStyle w:val="Teksttreci29"/>
                <w:rFonts w:ascii="Arial" w:hAnsi="Arial" w:cs="Arial"/>
                <w:b w:val="0"/>
                <w:szCs w:val="20"/>
              </w:rPr>
              <w:t>Przejmujący prawa do pozwolenia jest zobowiązany do przedłożenia dowodu handlu (patrz wyżej).</w:t>
            </w:r>
          </w:p>
        </w:tc>
      </w:tr>
      <w:tr w:rsidR="008A1B6F" w:rsidRPr="00A67844" w:rsidTr="00477C00">
        <w:trPr>
          <w:trHeight w:hRule="exact" w:val="566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Nie</w:t>
            </w:r>
          </w:p>
        </w:tc>
      </w:tr>
      <w:tr w:rsidR="008A1B6F" w:rsidRPr="00A67844" w:rsidTr="00477C00">
        <w:trPr>
          <w:trHeight w:hRule="exact" w:val="586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Nie</w:t>
            </w:r>
          </w:p>
        </w:tc>
      </w:tr>
      <w:tr w:rsidR="008A1B6F" w:rsidRPr="00A67844" w:rsidTr="00477C00">
        <w:trPr>
          <w:trHeight w:hRule="exact" w:val="586"/>
        </w:trPr>
        <w:tc>
          <w:tcPr>
            <w:tcW w:w="1644" w:type="pct"/>
            <w:shd w:val="clear" w:color="auto" w:fill="FFFFFF"/>
            <w:vAlign w:val="center"/>
          </w:tcPr>
          <w:p w:rsidR="008A1B6F" w:rsidRPr="006828C0" w:rsidRDefault="008A1B6F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828C0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A1B6F" w:rsidRPr="006828C0" w:rsidRDefault="00E42A28" w:rsidP="00D27486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Cs w:val="20"/>
              </w:rPr>
              <w:t>Nie</w:t>
            </w:r>
          </w:p>
        </w:tc>
      </w:tr>
      <w:tr w:rsidR="0089098C" w:rsidRPr="00A67844" w:rsidTr="00477C00">
        <w:trPr>
          <w:trHeight w:hRule="exact" w:val="586"/>
        </w:trPr>
        <w:tc>
          <w:tcPr>
            <w:tcW w:w="1644" w:type="pct"/>
            <w:shd w:val="clear" w:color="auto" w:fill="FFFFFF"/>
            <w:vAlign w:val="center"/>
          </w:tcPr>
          <w:p w:rsidR="0089098C" w:rsidRPr="006828C0" w:rsidRDefault="0089098C" w:rsidP="00D27486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na zwrot pozwolenia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89098C" w:rsidRDefault="0089098C" w:rsidP="00D27486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Cs w:val="20"/>
              </w:rPr>
              <w:t>60 dni od daty wygaśnięcie ważności pozwolenia</w:t>
            </w:r>
          </w:p>
        </w:tc>
      </w:tr>
      <w:tr w:rsidR="00626CC9" w:rsidRPr="00A67844" w:rsidTr="00201C9D">
        <w:trPr>
          <w:trHeight w:hRule="exact" w:val="1789"/>
        </w:trPr>
        <w:tc>
          <w:tcPr>
            <w:tcW w:w="1644" w:type="pct"/>
            <w:shd w:val="clear" w:color="auto" w:fill="FFFFFF"/>
            <w:vAlign w:val="center"/>
          </w:tcPr>
          <w:p w:rsidR="00626CC9" w:rsidRPr="00201C9D" w:rsidRDefault="00626CC9" w:rsidP="00D27486">
            <w:pPr>
              <w:spacing w:after="0" w:line="240" w:lineRule="auto"/>
              <w:rPr>
                <w:rFonts w:ascii="Arial" w:hAnsi="Arial" w:cs="Arial"/>
                <w:caps/>
                <w:szCs w:val="20"/>
              </w:rPr>
            </w:pPr>
            <w:r>
              <w:rPr>
                <w:rFonts w:ascii="Arial" w:hAnsi="Arial" w:cs="Arial"/>
                <w:szCs w:val="20"/>
              </w:rPr>
              <w:t>UWAGA</w:t>
            </w:r>
          </w:p>
        </w:tc>
        <w:tc>
          <w:tcPr>
            <w:tcW w:w="3356" w:type="pct"/>
            <w:shd w:val="clear" w:color="auto" w:fill="FFFFFF"/>
            <w:vAlign w:val="center"/>
          </w:tcPr>
          <w:p w:rsidR="00626CC9" w:rsidRPr="00C371BF" w:rsidRDefault="00626CC9" w:rsidP="00626CC9">
            <w:pPr>
              <w:spacing w:after="0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C371BF">
              <w:rPr>
                <w:rStyle w:val="Teksttreci29"/>
                <w:rFonts w:ascii="Arial" w:hAnsi="Arial" w:cs="Arial"/>
                <w:b w:val="0"/>
                <w:szCs w:val="20"/>
              </w:rPr>
              <w:t>Realizacja pozwolenia poniżej 95% ilości, na jaką wydano pozwolenie skutkuje częściowym przepadkiem zabezpieczenia.</w:t>
            </w:r>
          </w:p>
          <w:p w:rsidR="00626CC9" w:rsidRPr="00C371BF" w:rsidRDefault="00626CC9" w:rsidP="00626CC9">
            <w:pPr>
              <w:spacing w:after="0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C371BF">
              <w:rPr>
                <w:rStyle w:val="Teksttreci29"/>
                <w:rFonts w:ascii="Arial" w:hAnsi="Arial" w:cs="Arial"/>
                <w:b w:val="0"/>
                <w:szCs w:val="20"/>
              </w:rPr>
              <w:t>Realizacja pozwolenia poniżej 5% następuje całkowity przepadek zabezpieczenia.</w:t>
            </w:r>
          </w:p>
          <w:p w:rsidR="00626CC9" w:rsidRDefault="00626CC9" w:rsidP="00626CC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 w:rsidRPr="00C371BF">
              <w:rPr>
                <w:rFonts w:ascii="Arial" w:hAnsi="Arial" w:cs="Arial"/>
                <w:szCs w:val="20"/>
              </w:rPr>
              <w:t>Jeżeli pozwolenie zostało zrealizowane w terminie jego ważności, ale upłynął termin na jego zwrot, zabezpieczenie ulega przepadkowi w wysokości 3 % za każdy dzień kalendarzowy po upływie tego terminu.</w:t>
            </w:r>
          </w:p>
        </w:tc>
      </w:tr>
    </w:tbl>
    <w:p w:rsidR="00AB3F6A" w:rsidRPr="00A67844" w:rsidRDefault="00AB3F6A" w:rsidP="00AB3F6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B3F6A" w:rsidRDefault="00AB3F6A" w:rsidP="00AB3F6A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sz w:val="14"/>
          <w:szCs w:val="14"/>
        </w:rPr>
        <w:t xml:space="preserve">(*) </w:t>
      </w:r>
      <w:r>
        <w:rPr>
          <w:rFonts w:cs="Cambria"/>
          <w:i/>
          <w:iCs/>
          <w:sz w:val="16"/>
          <w:szCs w:val="16"/>
        </w:rPr>
        <w:t>Niezależnie od zasad interpretacji Nomenklatury scalonej opis produktu należy traktować jedynie orientacyjnie, ponieważ ustalenia preferencyjne w kontekście niniejszego załącznika określają kody CN.</w:t>
      </w:r>
    </w:p>
    <w:p w:rsidR="00AB3F6A" w:rsidRDefault="00AB3F6A" w:rsidP="00AB3F6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B3F6A" w:rsidRDefault="00AB3F6A" w:rsidP="00AB3F6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B3F6A" w:rsidRPr="00A67844" w:rsidRDefault="00AB3F6A" w:rsidP="00AB3F6A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384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6814"/>
      </w:tblGrid>
      <w:tr w:rsidR="003234FF" w:rsidRPr="00A67844" w:rsidTr="001534FB">
        <w:trPr>
          <w:trHeight w:hRule="exact" w:val="480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lastRenderedPageBreak/>
              <w:t>Numer porządkowy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E74CCA" w:rsidRDefault="003234FF" w:rsidP="00826AEE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74CCA">
              <w:rPr>
                <w:rFonts w:ascii="Arial" w:hAnsi="Arial" w:cs="Arial"/>
                <w:b/>
                <w:sz w:val="28"/>
                <w:szCs w:val="28"/>
              </w:rPr>
              <w:t>09.4228</w:t>
            </w:r>
          </w:p>
        </w:tc>
      </w:tr>
      <w:tr w:rsidR="003234FF" w:rsidRPr="00282D16" w:rsidTr="001534FB">
        <w:trPr>
          <w:trHeight w:hRule="exact" w:val="3372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Default="003234FF" w:rsidP="00826AE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 w:rsidRPr="0045518C">
              <w:rPr>
                <w:rFonts w:ascii="Arial" w:hAnsi="Arial" w:cs="Arial"/>
                <w:b/>
                <w:szCs w:val="20"/>
              </w:rPr>
              <w:t>Umowa</w:t>
            </w:r>
            <w:r w:rsidRPr="00282D16">
              <w:rPr>
                <w:rFonts w:ascii="Arial" w:hAnsi="Arial" w:cs="Arial"/>
                <w:b/>
                <w:szCs w:val="20"/>
              </w:rPr>
              <w:t xml:space="preserve"> </w:t>
            </w: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między Unią Europejską a Królestwem Norwegii, zatwierdzona decyzją Rady 2011/818/UE z dnia 8 listopada 2011 r.</w:t>
            </w:r>
          </w:p>
          <w:p w:rsidR="003234FF" w:rsidRPr="00FE3E4F" w:rsidRDefault="003234FF" w:rsidP="00826AEE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45518C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>
              <w:rPr>
                <w:rFonts w:ascii="Arial" w:hAnsi="Arial" w:cs="Arial"/>
                <w:szCs w:val="20"/>
              </w:rPr>
              <w:t xml:space="preserve"> z dnia 17 grudnia 2019 </w:t>
            </w:r>
            <w:r w:rsidRPr="00FE3E4F">
              <w:rPr>
                <w:rFonts w:ascii="Arial" w:hAnsi="Arial" w:cs="Arial"/>
                <w:szCs w:val="20"/>
              </w:rPr>
              <w:t>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45518C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FE3E4F">
              <w:rPr>
                <w:rFonts w:ascii="Arial" w:hAnsi="Arial" w:cs="Arial"/>
                <w:szCs w:val="20"/>
              </w:rPr>
              <w:t xml:space="preserve"> z dnia 17 grudnia 2019 r. ustanawiające zasady stosowania rozporządzeń Parlamentu Europejskiego i Rady (WE) nr 1306/2013, (UE) nr 1308/2013 i (UE) nr 510/2014 w odniesieniu do systemu</w:t>
            </w:r>
            <w:r w:rsidRPr="00FE3E4F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5518C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</w:tc>
      </w:tr>
      <w:tr w:rsidR="003234FF" w:rsidRPr="00A67844" w:rsidTr="001534FB">
        <w:trPr>
          <w:trHeight w:hRule="exact" w:val="542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Od 1 stycznia do 31 grudnia</w:t>
            </w:r>
          </w:p>
        </w:tc>
      </w:tr>
      <w:tr w:rsidR="003234FF" w:rsidRPr="00A67844" w:rsidTr="001534FB">
        <w:trPr>
          <w:trHeight w:hRule="exact" w:val="615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Od 1 stycznia do 30 czerwca</w:t>
            </w: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br/>
              <w:t>Od 1 lipca do 31 grudnia</w:t>
            </w:r>
          </w:p>
        </w:tc>
      </w:tr>
      <w:tr w:rsidR="003234FF" w:rsidRPr="00A67844" w:rsidTr="00201C9D">
        <w:trPr>
          <w:trHeight w:hRule="exact" w:val="4215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477C00" w:rsidRDefault="00477C00" w:rsidP="00477C00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Zgodnie z art. 6, 7 i 8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A085F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wykonawczego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(UE) 2020/761.</w:t>
            </w:r>
          </w:p>
          <w:p w:rsidR="00477C00" w:rsidRDefault="00477C00" w:rsidP="00477C00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477C00" w:rsidRDefault="00477C00" w:rsidP="00477C0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</w:t>
            </w:r>
            <w:r w:rsidRPr="00E201CD">
              <w:rPr>
                <w:rFonts w:ascii="Arial" w:hAnsi="Arial" w:cs="Arial"/>
                <w:szCs w:val="20"/>
                <w:u w:val="single"/>
              </w:rPr>
              <w:t>między 23 i 30 listopada roku poprzedzającego</w:t>
            </w:r>
            <w:r w:rsidRPr="00DC5949">
              <w:rPr>
                <w:rFonts w:ascii="Arial" w:hAnsi="Arial" w:cs="Arial"/>
                <w:szCs w:val="20"/>
              </w:rPr>
              <w:t>.</w:t>
            </w:r>
          </w:p>
          <w:p w:rsidR="002A51B4" w:rsidRDefault="002A51B4" w:rsidP="00477C00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3E50">
              <w:rPr>
                <w:rFonts w:ascii="Arial" w:hAnsi="Arial" w:cs="Arial"/>
              </w:rPr>
              <w:t>W listopadzie podmioty mogą składać dwa wnioski na każdy kontyngent taryfowy: jeden wniosek o pozwolenie ważn</w:t>
            </w:r>
            <w:r>
              <w:rPr>
                <w:rFonts w:ascii="Arial" w:hAnsi="Arial" w:cs="Arial"/>
              </w:rPr>
              <w:t>e</w:t>
            </w:r>
            <w:r w:rsidRPr="00643E50">
              <w:rPr>
                <w:rFonts w:ascii="Arial" w:hAnsi="Arial" w:cs="Arial"/>
              </w:rPr>
              <w:t xml:space="preserve"> od grudnia i jeden wniosek o pozwolenie ważn</w:t>
            </w:r>
            <w:r>
              <w:rPr>
                <w:rFonts w:ascii="Arial" w:hAnsi="Arial" w:cs="Arial"/>
              </w:rPr>
              <w:t>e</w:t>
            </w:r>
            <w:r w:rsidRPr="00643E50">
              <w:rPr>
                <w:rFonts w:ascii="Arial" w:hAnsi="Arial" w:cs="Arial"/>
              </w:rPr>
              <w:t xml:space="preserve"> od stycznia.</w:t>
            </w:r>
          </w:p>
          <w:p w:rsidR="00477C00" w:rsidRDefault="00477C00" w:rsidP="00477C00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za wyjątkiem grudnia, w którym to miesiącu nie składa się żadnych wniosków.</w:t>
            </w:r>
          </w:p>
          <w:p w:rsidR="00477C00" w:rsidRDefault="00477C00" w:rsidP="00477C00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 ramach ww. numeru kontyngentu, w  danym miesiącu przedsiębiorca może złożyć więcej niż jeden wniosek o pozwolenie, pod  warunkiem że każdy wniosek będzie  dotyczył innego kodu CN. Wnioski takie należy składać jednocześnie.</w:t>
            </w:r>
          </w:p>
          <w:p w:rsidR="00477C00" w:rsidRDefault="00477C00" w:rsidP="00477C00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  <w:p w:rsidR="00477C00" w:rsidRDefault="00477C00" w:rsidP="00477C00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</w:p>
          <w:p w:rsidR="003234FF" w:rsidRPr="00282D16" w:rsidRDefault="003234FF" w:rsidP="00477C00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3234FF" w:rsidRPr="00A67844" w:rsidTr="001534FB">
        <w:trPr>
          <w:trHeight w:hRule="exact" w:val="589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Opis produktu (*)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Serwatka i serwatka zmodyfikowana, nawet zagęszczona lub zawierająca dodatek cukru lub innego środka słodzącego</w:t>
            </w:r>
          </w:p>
        </w:tc>
      </w:tr>
      <w:tr w:rsidR="003234FF" w:rsidRPr="00A67844" w:rsidTr="001534FB">
        <w:trPr>
          <w:trHeight w:hRule="exact" w:val="547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E74CCA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E74CCA">
              <w:rPr>
                <w:rStyle w:val="Teksttreci295ptBezpogrubienia"/>
                <w:rFonts w:ascii="Arial" w:hAnsi="Arial" w:cs="Arial"/>
                <w:szCs w:val="20"/>
              </w:rPr>
              <w:t>Norwegia</w:t>
            </w:r>
          </w:p>
        </w:tc>
      </w:tr>
      <w:tr w:rsidR="003234FF" w:rsidRPr="00A67844" w:rsidTr="001534FB">
        <w:trPr>
          <w:trHeight w:hRule="exact" w:val="991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Nie</w:t>
            </w:r>
          </w:p>
        </w:tc>
      </w:tr>
      <w:tr w:rsidR="003234FF" w:rsidRPr="00A67844" w:rsidTr="001534FB">
        <w:trPr>
          <w:trHeight w:hRule="exact" w:val="703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Tak. Świadectwo przewozowe EUR.1</w:t>
            </w:r>
          </w:p>
        </w:tc>
      </w:tr>
      <w:tr w:rsidR="003234FF" w:rsidRPr="00A67844" w:rsidTr="001534FB">
        <w:trPr>
          <w:trHeight w:hRule="exact" w:val="918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Ilość w kg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1 250 000 kg, w następującym podziale:</w:t>
            </w:r>
          </w:p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625 000 kg przypadające na podokres od 1 stycznia do 30 czerwca</w:t>
            </w: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br/>
              <w:t>625 000 kg przypadające na podokres od 1 lipca do 31 grudnia</w:t>
            </w:r>
          </w:p>
        </w:tc>
      </w:tr>
      <w:tr w:rsidR="003234FF" w:rsidRPr="00A67844" w:rsidTr="001534FB">
        <w:trPr>
          <w:trHeight w:hRule="exact" w:val="547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0404</w:t>
            </w:r>
            <w:r w:rsidR="001534FB">
              <w:rPr>
                <w:rStyle w:val="Teksttreci295ptBezpogrubienia"/>
                <w:rFonts w:ascii="Arial" w:hAnsi="Arial" w:cs="Arial"/>
                <w:b w:val="0"/>
                <w:szCs w:val="20"/>
              </w:rPr>
              <w:t xml:space="preserve"> </w:t>
            </w: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10</w:t>
            </w:r>
          </w:p>
        </w:tc>
      </w:tr>
      <w:tr w:rsidR="003234FF" w:rsidRPr="00A67844" w:rsidTr="001534FB">
        <w:trPr>
          <w:trHeight w:hRule="exact" w:val="547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lastRenderedPageBreak/>
              <w:t>Cło w ramach kontyngentu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0 EUR</w:t>
            </w:r>
          </w:p>
        </w:tc>
      </w:tr>
      <w:tr w:rsidR="003234FF" w:rsidRPr="00A67844" w:rsidTr="001534FB">
        <w:trPr>
          <w:trHeight w:hRule="exact" w:val="2429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1534FB" w:rsidRDefault="001534FB" w:rsidP="001534FB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Tak. 25 ton</w:t>
            </w:r>
          </w:p>
          <w:p w:rsidR="001534FB" w:rsidRDefault="001534FB" w:rsidP="001534FB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Wraz z pierwszym wnioskiem o pozwolenie na dany rok kontyngentowy przedsiębiorca przedkłada dowód handlu potwierdzający przywóz do Unii lub wywóz z Unii 25 ton produktów objętych rynkiem mleka i przetworów mlecznych (załącznik I część XVI rozporządzenia (UE nr 1308/2013) w każdym z dwóch dwunastomiesięcznych okresów kończących się na 2 miesiące przed możliwością złożenia pierwszego wniosku na dany rok kontyngentowy.</w:t>
            </w:r>
          </w:p>
          <w:p w:rsidR="003234FF" w:rsidRPr="00282D16" w:rsidRDefault="001534FB" w:rsidP="001534F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3234FF" w:rsidRPr="00A67844" w:rsidTr="001534FB">
        <w:trPr>
          <w:trHeight w:hRule="exact" w:val="647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3 5 EUR za 100 kg masy netto</w:t>
            </w:r>
          </w:p>
        </w:tc>
      </w:tr>
      <w:tr w:rsidR="003234FF" w:rsidRPr="00A67844" w:rsidTr="001534FB">
        <w:trPr>
          <w:trHeight w:hRule="exact" w:val="1607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1534FB" w:rsidRDefault="001534FB" w:rsidP="001534FB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„tak" w tej sekcji.</w:t>
            </w:r>
          </w:p>
          <w:p w:rsidR="001534FB" w:rsidRPr="00A67844" w:rsidRDefault="001534FB" w:rsidP="001534F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19 pozwolenia – 0 %</w:t>
            </w:r>
          </w:p>
          <w:p w:rsidR="001534FB" w:rsidRDefault="001534FB" w:rsidP="001534FB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sekcji 20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wniosku i pozwolenia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należy podać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„</w:t>
            </w:r>
            <w:r w:rsidR="00AF716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Numer porządkowy 09.4228;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3234FF" w:rsidRPr="00282D16" w:rsidRDefault="001534FB" w:rsidP="001534F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sekcji 20 wniosku i 24 pozwolenia należy podać: „Stawka celna w ramach kontyngentu – 0 EUR””</w:t>
            </w:r>
          </w:p>
        </w:tc>
      </w:tr>
      <w:tr w:rsidR="001534FB" w:rsidRPr="00A67844" w:rsidTr="001534FB">
        <w:trPr>
          <w:trHeight w:hRule="exact" w:val="1276"/>
        </w:trPr>
        <w:tc>
          <w:tcPr>
            <w:tcW w:w="1520" w:type="pct"/>
            <w:shd w:val="clear" w:color="auto" w:fill="FFFFFF"/>
            <w:vAlign w:val="center"/>
          </w:tcPr>
          <w:p w:rsidR="001534FB" w:rsidRPr="00282D16" w:rsidRDefault="001534FB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wydania pozwolenia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1534FB" w:rsidRDefault="001534FB" w:rsidP="001534FB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CA4E96">
              <w:rPr>
                <w:rStyle w:val="Teksttreci29"/>
                <w:rFonts w:ascii="Arial" w:hAnsi="Arial" w:cs="Arial"/>
                <w:b w:val="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1534FB" w:rsidRPr="00375B95" w:rsidRDefault="001534FB" w:rsidP="001534FB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Cs w:val="20"/>
              </w:rPr>
            </w:pPr>
            <w:r w:rsidRPr="00375B95">
              <w:rPr>
                <w:rStyle w:val="Teksttreci295ptBezpogrubienia"/>
                <w:rFonts w:ascii="Arial" w:hAnsi="Arial" w:cs="Arial"/>
                <w:b w:val="0"/>
                <w:szCs w:val="20"/>
              </w:rPr>
              <w:t>Pozwolenia z terminem ważności od 1 stycznia są wydawane od 15 do 31 grudnia roku poprzedniego.</w:t>
            </w:r>
          </w:p>
          <w:p w:rsidR="001534FB" w:rsidRPr="00BD2D23" w:rsidRDefault="001534FB" w:rsidP="00826AEE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3234FF" w:rsidRPr="00A67844" w:rsidTr="00EE32BE">
        <w:trPr>
          <w:trHeight w:hRule="exact" w:val="1706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EE32BE" w:rsidRDefault="00EE32BE" w:rsidP="00EE32BE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Zgodnie z art. 13 rozporządzenia wykonawczego (UE) 2020/761</w:t>
            </w:r>
          </w:p>
          <w:p w:rsidR="001534FB" w:rsidRPr="00C808B1" w:rsidRDefault="001534FB" w:rsidP="001534FB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Dla wniosków złożonych w okresie od 23 do 30 listopada roku poprzedniego, pozwolenia są ważne od 1 stycznia </w:t>
            </w:r>
            <w:r w:rsidR="00FB5B5E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do 31 lipca </w:t>
            </w: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roku następnego.</w:t>
            </w:r>
          </w:p>
          <w:p w:rsidR="001534FB" w:rsidRDefault="001534FB" w:rsidP="001534FB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Dla wniosków złożonych w trakcie trwania roku kontyngentowego, pozwolenia są ważne od pierwszego dnia miesiąca następującego po złożeniu wniosku do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: </w:t>
            </w:r>
          </w:p>
          <w:p w:rsidR="001534FB" w:rsidRPr="00C808B1" w:rsidRDefault="001534FB" w:rsidP="001534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31 lipca – w przypadku I podokresu,</w:t>
            </w:r>
          </w:p>
          <w:p w:rsidR="003234FF" w:rsidRPr="001534FB" w:rsidRDefault="001534FB" w:rsidP="001534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534F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31 grud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nia – w przypadku II podokresu.</w:t>
            </w:r>
          </w:p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3234FF" w:rsidRPr="00A67844" w:rsidTr="001534FB">
        <w:trPr>
          <w:trHeight w:hRule="exact" w:val="849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1534FB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  <w:t xml:space="preserve">Tak. </w:t>
            </w:r>
            <w:r w:rsidRPr="0089098C">
              <w:rPr>
                <w:rStyle w:val="Teksttreci295ptBezpogrubienia"/>
                <w:rFonts w:ascii="Arial" w:hAnsi="Arial" w:cs="Arial"/>
                <w:b w:val="0"/>
                <w:szCs w:val="20"/>
              </w:rPr>
              <w:t xml:space="preserve">Przejmujący musi mieć siedzibę i być zarejestrowany do celów VAT na terenie UE. </w:t>
            </w:r>
            <w:r w:rsidRPr="0089098C">
              <w:rPr>
                <w:rStyle w:val="Teksttreci29"/>
                <w:rFonts w:ascii="Arial" w:hAnsi="Arial" w:cs="Arial"/>
                <w:b w:val="0"/>
                <w:szCs w:val="20"/>
              </w:rPr>
              <w:t>Przejmujący prawa do pozwolenia jest zobowiązany do przedłożenia dowodu handlu (patrz wyżej).</w:t>
            </w:r>
          </w:p>
        </w:tc>
      </w:tr>
      <w:tr w:rsidR="003234FF" w:rsidRPr="00A67844" w:rsidTr="001534FB">
        <w:trPr>
          <w:trHeight w:hRule="exact" w:val="410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Nie</w:t>
            </w:r>
          </w:p>
        </w:tc>
      </w:tr>
      <w:tr w:rsidR="003234FF" w:rsidRPr="00A67844" w:rsidTr="001534FB">
        <w:trPr>
          <w:trHeight w:hRule="exact" w:val="583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Nie</w:t>
            </w:r>
          </w:p>
        </w:tc>
      </w:tr>
      <w:tr w:rsidR="003234FF" w:rsidRPr="00A67844" w:rsidTr="001534FB">
        <w:trPr>
          <w:trHeight w:hRule="exact" w:val="566"/>
        </w:trPr>
        <w:tc>
          <w:tcPr>
            <w:tcW w:w="152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82D16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3234FF" w:rsidRPr="00282D16" w:rsidRDefault="003234FF" w:rsidP="00826AE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 w:rsidRPr="00282D16">
              <w:rPr>
                <w:rStyle w:val="Teksttreci295ptBezpogrubienia"/>
                <w:rFonts w:ascii="Arial" w:hAnsi="Arial" w:cs="Arial"/>
                <w:b w:val="0"/>
                <w:szCs w:val="20"/>
              </w:rPr>
              <w:t>Nie</w:t>
            </w:r>
          </w:p>
        </w:tc>
      </w:tr>
      <w:tr w:rsidR="001534FB" w:rsidRPr="00A67844" w:rsidTr="001534FB">
        <w:trPr>
          <w:trHeight w:hRule="exact" w:val="566"/>
        </w:trPr>
        <w:tc>
          <w:tcPr>
            <w:tcW w:w="1520" w:type="pct"/>
            <w:shd w:val="clear" w:color="auto" w:fill="FFFFFF"/>
            <w:vAlign w:val="center"/>
          </w:tcPr>
          <w:p w:rsidR="001534FB" w:rsidRPr="00282D16" w:rsidRDefault="001534FB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na zwrot pozwolenia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1534FB" w:rsidRPr="00282D16" w:rsidRDefault="001534FB" w:rsidP="00826AEE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Cs w:val="20"/>
              </w:rPr>
              <w:t>60 dni od daty wygaśnięcia ważności pozwolenia</w:t>
            </w:r>
          </w:p>
        </w:tc>
      </w:tr>
      <w:tr w:rsidR="002A51B4" w:rsidRPr="00A67844" w:rsidTr="00201C9D">
        <w:trPr>
          <w:trHeight w:hRule="exact" w:val="1710"/>
        </w:trPr>
        <w:tc>
          <w:tcPr>
            <w:tcW w:w="1520" w:type="pct"/>
            <w:shd w:val="clear" w:color="auto" w:fill="FFFFFF"/>
            <w:vAlign w:val="center"/>
          </w:tcPr>
          <w:p w:rsidR="002A51B4" w:rsidRDefault="002A51B4" w:rsidP="00826AE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UWAGA</w:t>
            </w:r>
          </w:p>
        </w:tc>
        <w:tc>
          <w:tcPr>
            <w:tcW w:w="3480" w:type="pct"/>
            <w:shd w:val="clear" w:color="auto" w:fill="FFFFFF"/>
            <w:vAlign w:val="center"/>
          </w:tcPr>
          <w:p w:rsidR="002A51B4" w:rsidRPr="00C371BF" w:rsidRDefault="002A51B4" w:rsidP="002A51B4">
            <w:pPr>
              <w:spacing w:after="0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C371BF">
              <w:rPr>
                <w:rStyle w:val="Teksttreci29"/>
                <w:rFonts w:ascii="Arial" w:hAnsi="Arial" w:cs="Arial"/>
                <w:b w:val="0"/>
                <w:szCs w:val="20"/>
              </w:rPr>
              <w:t>Realizacja pozwolenia poniżej 95% ilości, na jaką wydano pozwolenie skutkuje częściowym przepadkiem zabezpieczenia.</w:t>
            </w:r>
          </w:p>
          <w:p w:rsidR="002A51B4" w:rsidRPr="00C371BF" w:rsidRDefault="002A51B4" w:rsidP="002A51B4">
            <w:pPr>
              <w:spacing w:after="0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C371BF">
              <w:rPr>
                <w:rStyle w:val="Teksttreci29"/>
                <w:rFonts w:ascii="Arial" w:hAnsi="Arial" w:cs="Arial"/>
                <w:b w:val="0"/>
                <w:szCs w:val="20"/>
              </w:rPr>
              <w:t>Realizacja pozwolenia poniżej 5% następuje całkowity przepadek zabezpieczenia.</w:t>
            </w:r>
          </w:p>
          <w:p w:rsidR="002A51B4" w:rsidRDefault="002A51B4" w:rsidP="002A51B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 w:rsidRPr="00C371BF">
              <w:rPr>
                <w:rFonts w:ascii="Arial" w:hAnsi="Arial" w:cs="Arial"/>
                <w:szCs w:val="20"/>
              </w:rPr>
              <w:t>Jeżeli pozwolenie zostało zrealizowane w terminie jego ważności, ale upłynął termin na jego zwrot, zabezpieczenie ulega przepadkowi w wysokości 3 % za każdy dzień kalendarzowy po upływie tego terminu.</w:t>
            </w:r>
          </w:p>
        </w:tc>
      </w:tr>
    </w:tbl>
    <w:p w:rsidR="003234FF" w:rsidRPr="00A67844" w:rsidRDefault="003234FF" w:rsidP="003234FF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3234FF" w:rsidRPr="00A67844" w:rsidRDefault="003234FF" w:rsidP="003234FF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sz w:val="14"/>
          <w:szCs w:val="14"/>
        </w:rPr>
        <w:t xml:space="preserve">(*) </w:t>
      </w:r>
      <w:r>
        <w:rPr>
          <w:rFonts w:cs="Cambria"/>
          <w:i/>
          <w:iCs/>
          <w:sz w:val="16"/>
          <w:szCs w:val="16"/>
        </w:rPr>
        <w:t>Niezależnie od zasad interpretacji Nomenklatury scalonej opis produktu należy traktować jedynie orientacyjnie, ponieważ ustalenia preferencyjne w kontekście niniejszego załącznika określają kody CN.</w:t>
      </w:r>
    </w:p>
    <w:p w:rsidR="003234FF" w:rsidRPr="00A67844" w:rsidRDefault="003234FF" w:rsidP="003234FF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3234FF" w:rsidRDefault="003234FF" w:rsidP="003234FF">
      <w:pPr>
        <w:spacing w:after="0" w:line="240" w:lineRule="auto"/>
        <w:ind w:hanging="567"/>
        <w:jc w:val="both"/>
        <w:rPr>
          <w:rFonts w:ascii="Arial" w:hAnsi="Arial" w:cs="Arial"/>
          <w:szCs w:val="20"/>
        </w:rPr>
      </w:pPr>
    </w:p>
    <w:tbl>
      <w:tblPr>
        <w:tblW w:w="5690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7369"/>
      </w:tblGrid>
      <w:tr w:rsidR="003234FF" w:rsidRPr="003234FF" w:rsidTr="000379E8">
        <w:trPr>
          <w:trHeight w:hRule="exact" w:val="547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3234FF">
              <w:rPr>
                <w:rFonts w:ascii="Arial" w:hAnsi="Arial" w:cs="Arial"/>
                <w:b/>
                <w:szCs w:val="20"/>
              </w:rPr>
              <w:lastRenderedPageBreak/>
              <w:t>Numer porządkowy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E74CCA" w:rsidRDefault="003234FF" w:rsidP="003234FF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74CCA">
              <w:rPr>
                <w:rFonts w:ascii="Arial" w:hAnsi="Arial" w:cs="Arial"/>
                <w:b/>
                <w:sz w:val="28"/>
                <w:szCs w:val="28"/>
              </w:rPr>
              <w:t>09.4229</w:t>
            </w:r>
          </w:p>
        </w:tc>
      </w:tr>
      <w:tr w:rsidR="003234FF" w:rsidRPr="003234FF" w:rsidTr="000379E8">
        <w:trPr>
          <w:trHeight w:hRule="exact" w:val="3146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79E8">
              <w:rPr>
                <w:rFonts w:ascii="Arial" w:hAnsi="Arial" w:cs="Arial"/>
                <w:b/>
                <w:szCs w:val="20"/>
              </w:rPr>
              <w:t>Umowa</w:t>
            </w:r>
            <w:r w:rsidRPr="003234FF">
              <w:rPr>
                <w:rFonts w:ascii="Arial" w:hAnsi="Arial" w:cs="Arial"/>
                <w:szCs w:val="20"/>
              </w:rPr>
              <w:t xml:space="preserve"> między Unią Europejską a Królestwem Norwegii, zatwierdzona decyzją Rady 2011/818/UE z dnia 8 listopada 2011 r.</w:t>
            </w:r>
          </w:p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  <w:u w:val="single"/>
              </w:rPr>
            </w:pPr>
            <w:r w:rsidRPr="000379E8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3234FF">
              <w:rPr>
                <w:rFonts w:ascii="Arial" w:hAnsi="Arial" w:cs="Arial"/>
                <w:szCs w:val="20"/>
              </w:rPr>
              <w:t xml:space="preserve">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  <w:u w:val="single"/>
              </w:rPr>
            </w:pPr>
            <w:r w:rsidRPr="000379E8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3234FF">
              <w:rPr>
                <w:rFonts w:ascii="Arial" w:hAnsi="Arial" w:cs="Arial"/>
                <w:szCs w:val="20"/>
              </w:rPr>
              <w:t xml:space="preserve"> z dnia 17 grudnia 2019 r. ustanawiające zasady stosowania rozporządzeń Parlamentu Europejskiego i Rady (WE) nr 1306/2013, (UE) nr 1308/2013 i (UE) nr 510/2014 w odniesieniu do </w:t>
            </w:r>
            <w:r w:rsidRPr="000379E8">
              <w:rPr>
                <w:rFonts w:ascii="Arial" w:hAnsi="Arial" w:cs="Arial"/>
                <w:szCs w:val="20"/>
              </w:rPr>
              <w:t>systemu</w:t>
            </w:r>
            <w:r w:rsidRPr="000379E8">
              <w:rPr>
                <w:rFonts w:ascii="Arial" w:hAnsi="Arial" w:cs="Arial"/>
                <w:color w:val="0000FF"/>
                <w:szCs w:val="20"/>
              </w:rPr>
              <w:t xml:space="preserve"> </w:t>
            </w:r>
            <w:r w:rsidRPr="000379E8">
              <w:rPr>
                <w:rFonts w:ascii="Arial" w:hAnsi="Arial" w:cs="Arial"/>
                <w:color w:val="000000" w:themeColor="text1"/>
                <w:szCs w:val="20"/>
              </w:rPr>
              <w:t>administrowania kontyngentami taryfowymi przy wykorzystaniu pozwoleń.</w:t>
            </w:r>
          </w:p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3234FF" w:rsidRPr="003234FF" w:rsidTr="000379E8">
        <w:trPr>
          <w:trHeight w:hRule="exact" w:val="580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Okres </w:t>
            </w:r>
            <w:r w:rsidRPr="003234FF">
              <w:rPr>
                <w:rFonts w:ascii="Arial" w:hAnsi="Arial" w:cs="Arial"/>
                <w:szCs w:val="20"/>
              </w:rPr>
              <w:t>obowiązywania kontyngentu taryfowego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Od 1 stycznia do 31 grudnia</w:t>
            </w:r>
          </w:p>
        </w:tc>
      </w:tr>
      <w:tr w:rsidR="003234FF" w:rsidRPr="003234FF" w:rsidTr="000379E8">
        <w:trPr>
          <w:trHeight w:hRule="exact" w:val="690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Podokresy obowiązywania kontyngentu taryfo</w:t>
            </w:r>
            <w:r w:rsidRPr="003234FF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wego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Default="003234FF" w:rsidP="000379E8">
            <w:pPr>
              <w:spacing w:after="0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Od 1 stycznia do 30 czerwca</w:t>
            </w:r>
          </w:p>
          <w:p w:rsidR="000379E8" w:rsidRPr="003234FF" w:rsidRDefault="000379E8" w:rsidP="000379E8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Od 1 lipca do 31 grudnia</w:t>
            </w:r>
          </w:p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3234FF" w:rsidRPr="003234FF" w:rsidTr="00201C9D">
        <w:trPr>
          <w:trHeight w:hRule="exact" w:val="3832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0379E8" w:rsidRDefault="000379E8" w:rsidP="000379E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Zgodnie z art. 6, 7 i 8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F716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wykonawczego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(UE) 2020/761.</w:t>
            </w:r>
          </w:p>
          <w:p w:rsidR="000379E8" w:rsidRDefault="000379E8" w:rsidP="000379E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Wnioski o pozwolenie na przywóz mogą składać przedsiębiorcy, którzy mają siedzibę i są zarejestrowani do celów podatku VAT w Polsce.</w:t>
            </w:r>
          </w:p>
          <w:p w:rsidR="000379E8" w:rsidRDefault="000379E8" w:rsidP="000379E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</w:t>
            </w:r>
            <w:r w:rsidRPr="00E201CD">
              <w:rPr>
                <w:rFonts w:ascii="Arial" w:hAnsi="Arial" w:cs="Arial"/>
                <w:szCs w:val="20"/>
                <w:u w:val="single"/>
              </w:rPr>
              <w:t>między 23 i 30 listopada roku poprzedzającego</w:t>
            </w:r>
            <w:r w:rsidRPr="00DC5949">
              <w:rPr>
                <w:rFonts w:ascii="Arial" w:hAnsi="Arial" w:cs="Arial"/>
                <w:szCs w:val="20"/>
              </w:rPr>
              <w:t>.</w:t>
            </w:r>
          </w:p>
          <w:p w:rsidR="00020B52" w:rsidRDefault="00020B52" w:rsidP="000379E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3E50">
              <w:rPr>
                <w:rFonts w:ascii="Arial" w:hAnsi="Arial" w:cs="Arial"/>
              </w:rPr>
              <w:t>W listopadzie podmioty mogą składać dwa wnioski na każdy kontyngent taryfowy: jeden wniosek o pozwolenie ważn</w:t>
            </w:r>
            <w:r>
              <w:rPr>
                <w:rFonts w:ascii="Arial" w:hAnsi="Arial" w:cs="Arial"/>
              </w:rPr>
              <w:t>e</w:t>
            </w:r>
            <w:r w:rsidRPr="00643E50">
              <w:rPr>
                <w:rFonts w:ascii="Arial" w:hAnsi="Arial" w:cs="Arial"/>
              </w:rPr>
              <w:t xml:space="preserve"> od grudnia i jeden wniosek o pozwolenie ważn</w:t>
            </w:r>
            <w:r>
              <w:rPr>
                <w:rFonts w:ascii="Arial" w:hAnsi="Arial" w:cs="Arial"/>
              </w:rPr>
              <w:t>e</w:t>
            </w:r>
            <w:r w:rsidRPr="00643E50">
              <w:rPr>
                <w:rFonts w:ascii="Arial" w:hAnsi="Arial" w:cs="Arial"/>
              </w:rPr>
              <w:t xml:space="preserve"> od stycznia.</w:t>
            </w:r>
          </w:p>
          <w:p w:rsidR="000379E8" w:rsidRDefault="000379E8" w:rsidP="000379E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za wyjątkiem grudnia, w którym to miesiącu nie składa się żadnych wniosków.</w:t>
            </w:r>
          </w:p>
          <w:p w:rsidR="000379E8" w:rsidRDefault="000379E8" w:rsidP="000379E8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 ramach ww. numeru kontyngentu, w  danym miesiącu przedsiębiorca może złożyć </w:t>
            </w:r>
            <w:r w:rsidR="00EA615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tylko jeden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wniosek o pozwolenie</w:t>
            </w:r>
            <w:r w:rsidR="00EA615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</w:p>
          <w:p w:rsidR="003234FF" w:rsidRPr="003234FF" w:rsidRDefault="000379E8" w:rsidP="000379E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3234FF" w:rsidRPr="003234FF" w:rsidTr="000379E8">
        <w:trPr>
          <w:trHeight w:hRule="exact" w:val="847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Opis produktu *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Serwatka i serwatka zmodyfikowana, w proszku, granulkach lub w innej stałej postaci, niezawierająca dodatku cukru lub innego środka słodzącego, o zawartości białka (zawartość azotu × 6,38) ≤ 15 % masy i o zawartości tłuszczu ≤ 1,5 % masy</w:t>
            </w:r>
          </w:p>
        </w:tc>
      </w:tr>
      <w:tr w:rsidR="003234FF" w:rsidRPr="003234FF" w:rsidTr="000379E8">
        <w:trPr>
          <w:trHeight w:hRule="exact" w:val="278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E74CCA" w:rsidRDefault="003234FF" w:rsidP="003234FF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E74CCA">
              <w:rPr>
                <w:rFonts w:ascii="Arial" w:hAnsi="Arial" w:cs="Arial"/>
                <w:b/>
                <w:szCs w:val="20"/>
              </w:rPr>
              <w:t>Norwegia</w:t>
            </w:r>
          </w:p>
        </w:tc>
      </w:tr>
      <w:tr w:rsidR="003234FF" w:rsidRPr="003234FF" w:rsidTr="000379E8">
        <w:trPr>
          <w:trHeight w:hRule="exact" w:val="991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Nie</w:t>
            </w:r>
          </w:p>
        </w:tc>
      </w:tr>
      <w:tr w:rsidR="003234FF" w:rsidRPr="003234FF" w:rsidTr="000379E8">
        <w:trPr>
          <w:trHeight w:hRule="exact" w:val="580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Tak. Świadectwo przewozowe EUR.1</w:t>
            </w:r>
          </w:p>
        </w:tc>
      </w:tr>
      <w:tr w:rsidR="003234FF" w:rsidRPr="003234FF" w:rsidTr="000379E8">
        <w:trPr>
          <w:trHeight w:hRule="exact" w:val="843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Ilość w kilogramach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0379E8" w:rsidP="003234FF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="003234FF" w:rsidRPr="003234FF">
              <w:rPr>
                <w:rFonts w:ascii="Arial" w:hAnsi="Arial" w:cs="Arial"/>
                <w:szCs w:val="20"/>
              </w:rPr>
              <w:t>3 150 000 kg, w następującym podziale: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7282"/>
            </w:tblGrid>
            <w:tr w:rsidR="003234FF" w:rsidRPr="003234FF" w:rsidTr="00826A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234FF" w:rsidRPr="003234FF" w:rsidRDefault="003234FF" w:rsidP="003234FF">
                  <w:pPr>
                    <w:spacing w:before="100" w:beforeAutospacing="1" w:after="100" w:afterAutospacing="1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3234FF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3234FF" w:rsidRPr="003234FF" w:rsidRDefault="003234FF" w:rsidP="003234FF">
                  <w:pPr>
                    <w:spacing w:before="100" w:beforeAutospacing="1" w:after="100" w:afterAutospacing="1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3234FF">
                    <w:rPr>
                      <w:rFonts w:ascii="Arial" w:hAnsi="Arial" w:cs="Arial"/>
                      <w:szCs w:val="20"/>
                    </w:rPr>
                    <w:t>1 575 000 kg przypadające na podokres od 1 stycznia do 30 czerwca</w:t>
                  </w:r>
                </w:p>
              </w:tc>
            </w:tr>
          </w:tbl>
          <w:p w:rsidR="003234FF" w:rsidRPr="003234FF" w:rsidRDefault="003234FF" w:rsidP="003234FF">
            <w:pPr>
              <w:contextualSpacing/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7278"/>
            </w:tblGrid>
            <w:tr w:rsidR="003234FF" w:rsidRPr="003234FF" w:rsidTr="00826A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234FF" w:rsidRPr="003234FF" w:rsidRDefault="003234FF" w:rsidP="003234FF">
                  <w:pPr>
                    <w:spacing w:before="100" w:beforeAutospacing="1" w:after="100" w:afterAutospacing="1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3234FF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3234FF" w:rsidRPr="003234FF" w:rsidRDefault="003234FF" w:rsidP="003234FF">
                  <w:pPr>
                    <w:spacing w:before="100" w:beforeAutospacing="1" w:after="100" w:afterAutospacing="1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3234FF">
                    <w:rPr>
                      <w:rFonts w:ascii="Arial" w:hAnsi="Arial" w:cs="Arial"/>
                      <w:szCs w:val="20"/>
                    </w:rPr>
                    <w:t>1 575 000 kg przypadające na podokres od 1 lipca do 31 grudnia</w:t>
                  </w:r>
                </w:p>
              </w:tc>
            </w:tr>
          </w:tbl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3234FF" w:rsidRPr="003234FF" w:rsidTr="000379E8">
        <w:trPr>
          <w:trHeight w:hRule="exact" w:val="418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0404 10 02</w:t>
            </w:r>
          </w:p>
        </w:tc>
      </w:tr>
      <w:tr w:rsidR="003234FF" w:rsidRPr="003234FF" w:rsidTr="000379E8">
        <w:trPr>
          <w:trHeight w:hRule="exact" w:val="424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Cło w ramach kontyngentu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pacing w:val="-10"/>
                <w:szCs w:val="20"/>
              </w:rPr>
              <w:t>0 EUR</w:t>
            </w:r>
          </w:p>
        </w:tc>
      </w:tr>
      <w:tr w:rsidR="003234FF" w:rsidRPr="003234FF" w:rsidTr="000379E8">
        <w:trPr>
          <w:trHeight w:hRule="exact" w:val="2400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lastRenderedPageBreak/>
              <w:t>Dowód handlu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0379E8" w:rsidRDefault="000379E8" w:rsidP="000379E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Cs w:val="20"/>
              </w:rPr>
            </w:pPr>
            <w:r w:rsidRPr="006828C0">
              <w:rPr>
                <w:rStyle w:val="Teksttreci295ptBezpogrubienia"/>
                <w:rFonts w:ascii="Arial" w:hAnsi="Arial" w:cs="Arial"/>
                <w:b w:val="0"/>
                <w:szCs w:val="20"/>
              </w:rPr>
              <w:t>Tak. 25 ton</w:t>
            </w:r>
          </w:p>
          <w:p w:rsidR="000379E8" w:rsidRDefault="000379E8" w:rsidP="000379E8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Wraz z pierwszym wnioskiem o pozwolenie na dany rok kontyngentowy przedsiębiorca przedkłada dowód handlu potwierdzający przywóz do Unii lub wywóz z Unii 25 ton produktów objętych rynkiem mleka i przetworów mlecznych (załącznik I część XVI rozporządzenia (UE nr 1308/2013) w każdym z dwóch dwunastomiesięcznych okresów kończących się na 2 miesiące przed możliwością złożenia pierwszego wniosku na dany rok kontyngentowy.</w:t>
            </w:r>
          </w:p>
          <w:p w:rsidR="003234FF" w:rsidRPr="003234FF" w:rsidRDefault="000379E8" w:rsidP="000379E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Dowód handlu może być przestawiony bądź w formie zgłoszeń celnych bądź zrealizowanych pozwoleń na przywóz/wywóz. Ww. dokumenty winny być właściwie poświadczone przez organy celne.</w:t>
            </w:r>
          </w:p>
        </w:tc>
      </w:tr>
      <w:tr w:rsidR="003234FF" w:rsidRPr="003234FF" w:rsidTr="000379E8">
        <w:trPr>
          <w:trHeight w:hRule="exact" w:val="591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pacing w:val="-10"/>
                <w:szCs w:val="20"/>
              </w:rPr>
              <w:t xml:space="preserve">35 EUR za 100 kg </w:t>
            </w:r>
            <w:r w:rsidRPr="003234FF">
              <w:rPr>
                <w:rFonts w:ascii="Arial" w:hAnsi="Arial" w:cs="Arial"/>
                <w:szCs w:val="20"/>
              </w:rPr>
              <w:t>masy netto</w:t>
            </w:r>
          </w:p>
        </w:tc>
      </w:tr>
      <w:tr w:rsidR="003234FF" w:rsidRPr="003234FF" w:rsidTr="000379E8">
        <w:trPr>
          <w:trHeight w:hRule="exact" w:val="1408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0379E8" w:rsidRDefault="000379E8" w:rsidP="000379E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„tak" w tej sekcji.</w:t>
            </w:r>
          </w:p>
          <w:p w:rsidR="000379E8" w:rsidRPr="00A67844" w:rsidRDefault="000379E8" w:rsidP="000379E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19 pozwolenia – 0 %</w:t>
            </w:r>
          </w:p>
          <w:p w:rsidR="000379E8" w:rsidRDefault="000379E8" w:rsidP="000379E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sekcji 20 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wniosku i pozwolenia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należy podać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„</w:t>
            </w:r>
            <w:r w:rsidR="00AF716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Numer porządkowy 09.4229;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3234FF" w:rsidRPr="003234FF" w:rsidRDefault="000379E8" w:rsidP="000379E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sekcji 20 wniosku i 24 pozwolenia należy podać: „Stawka celna w ramach kontyngentu – 0 EUR””</w:t>
            </w:r>
          </w:p>
        </w:tc>
      </w:tr>
      <w:tr w:rsidR="000379E8" w:rsidRPr="003234FF" w:rsidTr="000379E8">
        <w:trPr>
          <w:trHeight w:hRule="exact" w:val="1131"/>
        </w:trPr>
        <w:tc>
          <w:tcPr>
            <w:tcW w:w="1439" w:type="pct"/>
            <w:shd w:val="clear" w:color="auto" w:fill="FFFFFF"/>
            <w:vAlign w:val="center"/>
          </w:tcPr>
          <w:p w:rsidR="000379E8" w:rsidRPr="003234FF" w:rsidRDefault="000379E8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Termin wydania pozwolenia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0379E8" w:rsidRDefault="000379E8" w:rsidP="000379E8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CA4E96">
              <w:rPr>
                <w:rStyle w:val="Teksttreci29"/>
                <w:rFonts w:ascii="Arial" w:hAnsi="Arial" w:cs="Arial"/>
                <w:b w:val="0"/>
                <w:szCs w:val="20"/>
              </w:rPr>
              <w:t>Pozwolenia na przywóz wydawane są po opublikowaniu przez KE (na stronie EUROPA nie później niż 22. dnia miesiąca, w którym składane były wnioski o pozwolenia) współczynnika przydziału i przed końcem danego miesiąca.</w:t>
            </w:r>
          </w:p>
          <w:p w:rsidR="000379E8" w:rsidRPr="00375B95" w:rsidRDefault="000379E8" w:rsidP="000379E8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bCs w:val="0"/>
                <w:szCs w:val="20"/>
              </w:rPr>
            </w:pPr>
            <w:r w:rsidRPr="00375B95">
              <w:rPr>
                <w:rStyle w:val="Teksttreci295ptBezpogrubienia"/>
                <w:rFonts w:ascii="Arial" w:hAnsi="Arial" w:cs="Arial"/>
                <w:b w:val="0"/>
                <w:szCs w:val="20"/>
              </w:rPr>
              <w:t>Pozwolenia z terminem ważności od 1 stycznia są wydawane od 15 do 31 grudnia roku poprzedniego.</w:t>
            </w:r>
          </w:p>
          <w:p w:rsidR="000379E8" w:rsidRPr="003234FF" w:rsidRDefault="000379E8" w:rsidP="003234FF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3234FF" w:rsidRPr="003234FF" w:rsidTr="00EE32BE">
        <w:trPr>
          <w:trHeight w:hRule="exact" w:val="1714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EE32BE" w:rsidRDefault="00EE32BE" w:rsidP="00EE32BE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Zgodnie z art. 13 rozporządzenia wykonawczego (UE) 2020/761</w:t>
            </w:r>
          </w:p>
          <w:p w:rsidR="000379E8" w:rsidRPr="00C808B1" w:rsidRDefault="000379E8" w:rsidP="000379E8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Dla wniosków złożonych w okresie od 23 do 30 listopada roku poprzedniego, pozwolenia są ważne od 1 stycznia </w:t>
            </w:r>
            <w:r w:rsidR="00600455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do 31 lipca </w:t>
            </w: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roku następnego.</w:t>
            </w:r>
          </w:p>
          <w:p w:rsidR="000379E8" w:rsidRDefault="000379E8" w:rsidP="000379E8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Dla wniosków złożonych w trakcie trwania roku kontyngentowego, pozwolenia są ważne od pierwszego dnia miesiąca następującego po złożeniu wniosku do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: </w:t>
            </w:r>
          </w:p>
          <w:p w:rsidR="000379E8" w:rsidRPr="00C808B1" w:rsidRDefault="000379E8" w:rsidP="000379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C808B1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31 lipca – w przypadku I podokresu,</w:t>
            </w:r>
          </w:p>
          <w:p w:rsidR="000379E8" w:rsidRPr="001534FB" w:rsidRDefault="000379E8" w:rsidP="000379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534F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31 grud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nia – w przypadku II podokresu.</w:t>
            </w:r>
          </w:p>
          <w:p w:rsidR="003234FF" w:rsidRPr="003234FF" w:rsidRDefault="003234FF" w:rsidP="003234FF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3234FF" w:rsidRPr="003234FF" w:rsidTr="000379E8">
        <w:trPr>
          <w:trHeight w:hRule="exact" w:val="843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0379E8" w:rsidP="003234FF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  <w:t xml:space="preserve">Tak. </w:t>
            </w:r>
            <w:r w:rsidRPr="0089098C">
              <w:rPr>
                <w:rStyle w:val="Teksttreci295ptBezpogrubienia"/>
                <w:rFonts w:ascii="Arial" w:hAnsi="Arial" w:cs="Arial"/>
                <w:b w:val="0"/>
                <w:szCs w:val="20"/>
              </w:rPr>
              <w:t xml:space="preserve">Przejmujący musi mieć siedzibę i być zarejestrowany do celów VAT na terenie UE. </w:t>
            </w:r>
            <w:r w:rsidRPr="0089098C">
              <w:rPr>
                <w:rStyle w:val="Teksttreci29"/>
                <w:rFonts w:ascii="Arial" w:hAnsi="Arial" w:cs="Arial"/>
                <w:b w:val="0"/>
                <w:szCs w:val="20"/>
              </w:rPr>
              <w:t>Przejmujący prawa do pozwolenia jest zobowiązany do przedłożenia dowodu handlu (patrz wyżej).</w:t>
            </w:r>
          </w:p>
        </w:tc>
      </w:tr>
      <w:tr w:rsidR="003234FF" w:rsidRPr="003234FF" w:rsidTr="000379E8">
        <w:trPr>
          <w:trHeight w:hRule="exact" w:val="400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Ilość referencyjna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pacing w:val="-10"/>
                <w:szCs w:val="20"/>
              </w:rPr>
              <w:t>Nie</w:t>
            </w:r>
          </w:p>
        </w:tc>
      </w:tr>
      <w:tr w:rsidR="003234FF" w:rsidRPr="003234FF" w:rsidTr="000379E8">
        <w:trPr>
          <w:trHeight w:hRule="exact" w:val="596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pacing w:val="-10"/>
                <w:szCs w:val="20"/>
              </w:rPr>
              <w:t>Nie</w:t>
            </w:r>
          </w:p>
        </w:tc>
      </w:tr>
      <w:tr w:rsidR="003234FF" w:rsidRPr="003234FF" w:rsidTr="000379E8">
        <w:trPr>
          <w:trHeight w:hRule="exact" w:val="392"/>
        </w:trPr>
        <w:tc>
          <w:tcPr>
            <w:tcW w:w="1439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pacing w:val="-10"/>
                <w:szCs w:val="20"/>
              </w:rPr>
              <w:t>Warunki szczególne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3234FF" w:rsidRPr="003234FF" w:rsidRDefault="003234FF" w:rsidP="003234FF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3234FF">
              <w:rPr>
                <w:rFonts w:ascii="Arial" w:hAnsi="Arial" w:cs="Arial"/>
                <w:spacing w:val="-10"/>
                <w:szCs w:val="20"/>
              </w:rPr>
              <w:t>Nie</w:t>
            </w:r>
          </w:p>
        </w:tc>
      </w:tr>
      <w:tr w:rsidR="000379E8" w:rsidRPr="003234FF" w:rsidTr="000379E8">
        <w:trPr>
          <w:trHeight w:hRule="exact" w:val="392"/>
        </w:trPr>
        <w:tc>
          <w:tcPr>
            <w:tcW w:w="1439" w:type="pct"/>
            <w:shd w:val="clear" w:color="auto" w:fill="FFFFFF"/>
            <w:vAlign w:val="center"/>
          </w:tcPr>
          <w:p w:rsidR="000379E8" w:rsidRPr="003234FF" w:rsidRDefault="000379E8" w:rsidP="003234FF">
            <w:pPr>
              <w:spacing w:after="0" w:line="240" w:lineRule="auto"/>
              <w:rPr>
                <w:rFonts w:ascii="Arial" w:hAnsi="Arial" w:cs="Arial"/>
                <w:spacing w:val="-10"/>
                <w:szCs w:val="20"/>
              </w:rPr>
            </w:pPr>
            <w:r>
              <w:rPr>
                <w:rFonts w:ascii="Arial" w:hAnsi="Arial" w:cs="Arial"/>
                <w:spacing w:val="-10"/>
                <w:szCs w:val="20"/>
              </w:rPr>
              <w:t>Termin na zwrot pozwolenia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0379E8" w:rsidRPr="003234FF" w:rsidRDefault="000379E8" w:rsidP="003234FF">
            <w:pPr>
              <w:spacing w:after="0" w:line="240" w:lineRule="auto"/>
              <w:rPr>
                <w:rFonts w:ascii="Arial" w:hAnsi="Arial" w:cs="Arial"/>
                <w:spacing w:val="-10"/>
                <w:szCs w:val="20"/>
              </w:rPr>
            </w:pPr>
            <w:r>
              <w:rPr>
                <w:rFonts w:ascii="Arial" w:hAnsi="Arial" w:cs="Arial"/>
                <w:spacing w:val="-10"/>
                <w:szCs w:val="20"/>
              </w:rPr>
              <w:t>60 dni od daty wygaśnięcie ważności pozwolenia</w:t>
            </w:r>
          </w:p>
        </w:tc>
      </w:tr>
      <w:tr w:rsidR="00020B52" w:rsidRPr="003234FF" w:rsidTr="00201C9D">
        <w:trPr>
          <w:trHeight w:hRule="exact" w:val="1903"/>
        </w:trPr>
        <w:tc>
          <w:tcPr>
            <w:tcW w:w="1439" w:type="pct"/>
            <w:shd w:val="clear" w:color="auto" w:fill="FFFFFF"/>
            <w:vAlign w:val="center"/>
          </w:tcPr>
          <w:p w:rsidR="00020B52" w:rsidRDefault="00020B52" w:rsidP="003234FF">
            <w:pPr>
              <w:spacing w:after="0" w:line="240" w:lineRule="auto"/>
              <w:rPr>
                <w:rFonts w:ascii="Arial" w:hAnsi="Arial" w:cs="Arial"/>
                <w:spacing w:val="-10"/>
                <w:szCs w:val="20"/>
              </w:rPr>
            </w:pPr>
            <w:r>
              <w:rPr>
                <w:rFonts w:ascii="Arial" w:hAnsi="Arial" w:cs="Arial"/>
                <w:spacing w:val="-10"/>
                <w:szCs w:val="20"/>
              </w:rPr>
              <w:t>UWAGA</w:t>
            </w:r>
          </w:p>
        </w:tc>
        <w:tc>
          <w:tcPr>
            <w:tcW w:w="3561" w:type="pct"/>
            <w:shd w:val="clear" w:color="auto" w:fill="FFFFFF"/>
            <w:vAlign w:val="center"/>
          </w:tcPr>
          <w:p w:rsidR="00020B52" w:rsidRPr="00C371BF" w:rsidRDefault="00020B52" w:rsidP="00020B52">
            <w:pPr>
              <w:spacing w:after="0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C371BF">
              <w:rPr>
                <w:rStyle w:val="Teksttreci29"/>
                <w:rFonts w:ascii="Arial" w:hAnsi="Arial" w:cs="Arial"/>
                <w:b w:val="0"/>
                <w:szCs w:val="20"/>
              </w:rPr>
              <w:t>Realizacja pozwolenia poniżej 95% ilości, na jaką wydano pozwolenie skutkuje częściowym przepadkiem zabezpieczenia.</w:t>
            </w:r>
          </w:p>
          <w:p w:rsidR="00020B52" w:rsidRPr="00C371BF" w:rsidRDefault="00020B52" w:rsidP="00020B52">
            <w:pPr>
              <w:spacing w:after="0"/>
              <w:rPr>
                <w:rStyle w:val="Teksttreci29"/>
                <w:rFonts w:ascii="Arial" w:hAnsi="Arial" w:cs="Arial"/>
                <w:b w:val="0"/>
                <w:szCs w:val="20"/>
              </w:rPr>
            </w:pPr>
            <w:r w:rsidRPr="00C371BF">
              <w:rPr>
                <w:rStyle w:val="Teksttreci29"/>
                <w:rFonts w:ascii="Arial" w:hAnsi="Arial" w:cs="Arial"/>
                <w:b w:val="0"/>
                <w:szCs w:val="20"/>
              </w:rPr>
              <w:t>Realizacja pozwolenia poniżej 5% następuje całkowity przepadek zabezpieczenia.</w:t>
            </w:r>
          </w:p>
          <w:p w:rsidR="00020B52" w:rsidRDefault="00020B52" w:rsidP="00020B52">
            <w:pPr>
              <w:spacing w:after="0" w:line="240" w:lineRule="auto"/>
              <w:rPr>
                <w:rFonts w:ascii="Arial" w:hAnsi="Arial" w:cs="Arial"/>
                <w:spacing w:val="-10"/>
                <w:szCs w:val="20"/>
              </w:rPr>
            </w:pPr>
            <w:r w:rsidRPr="00C371BF">
              <w:rPr>
                <w:rFonts w:ascii="Arial" w:hAnsi="Arial" w:cs="Arial"/>
                <w:szCs w:val="20"/>
              </w:rPr>
              <w:t>Jeżeli pozwolenie zostało zrealizowane w terminie jego ważności, ale upłynął termin na jego zwrot, zabezpieczenie ulega przepadkowi w wysokości 3 % za każdy dzień kalendarzowy po upływie tego terminu.</w:t>
            </w:r>
          </w:p>
        </w:tc>
      </w:tr>
    </w:tbl>
    <w:p w:rsidR="003234FF" w:rsidRPr="003234FF" w:rsidRDefault="003234FF" w:rsidP="003234FF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3234FF" w:rsidRPr="003234FF" w:rsidRDefault="003234FF" w:rsidP="003234FF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3234FF" w:rsidRPr="003234FF" w:rsidRDefault="003234FF" w:rsidP="003234FF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3234FF">
        <w:rPr>
          <w:sz w:val="14"/>
          <w:szCs w:val="14"/>
        </w:rPr>
        <w:t xml:space="preserve">(*) </w:t>
      </w:r>
      <w:r w:rsidRPr="003234FF">
        <w:rPr>
          <w:rFonts w:cs="Cambria"/>
          <w:i/>
          <w:iCs/>
          <w:sz w:val="16"/>
          <w:szCs w:val="16"/>
        </w:rPr>
        <w:t>Niezależnie od zasad interpretacji Nomenklatury scalonej opis produktu należy traktować jedynie orientacyjnie, ponieważ ustalenia preferencyjne w kontekście niniejszego załącznika określają kody CN.</w:t>
      </w:r>
    </w:p>
    <w:p w:rsidR="003234FF" w:rsidRPr="003234FF" w:rsidRDefault="003234FF" w:rsidP="003234FF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3234FF" w:rsidRPr="00A67844" w:rsidRDefault="003234FF" w:rsidP="003234FF">
      <w:pPr>
        <w:spacing w:after="0" w:line="240" w:lineRule="auto"/>
        <w:ind w:hanging="567"/>
        <w:jc w:val="both"/>
        <w:rPr>
          <w:rFonts w:ascii="Arial" w:hAnsi="Arial" w:cs="Arial"/>
          <w:szCs w:val="20"/>
        </w:rPr>
      </w:pPr>
    </w:p>
    <w:p w:rsidR="00AB3F6A" w:rsidRPr="00A67844" w:rsidRDefault="00AB3F6A" w:rsidP="00AB3F6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B3F6A" w:rsidRPr="00A67844" w:rsidRDefault="00AB3F6A" w:rsidP="00AB3F6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B3F6A" w:rsidRPr="00A67844" w:rsidRDefault="00AB3F6A" w:rsidP="00AB3F6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1F67" w:rsidRDefault="00651F67"/>
    <w:sectPr w:rsidR="00651F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65" w:rsidRDefault="003F0A65" w:rsidP="00AB3F6A">
      <w:pPr>
        <w:spacing w:after="0" w:line="240" w:lineRule="auto"/>
      </w:pPr>
      <w:r>
        <w:separator/>
      </w:r>
    </w:p>
  </w:endnote>
  <w:endnote w:type="continuationSeparator" w:id="0">
    <w:p w:rsidR="003F0A65" w:rsidRDefault="003F0A65" w:rsidP="00AB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65" w:rsidRDefault="003F0A65" w:rsidP="00AB3F6A">
      <w:pPr>
        <w:spacing w:after="0" w:line="240" w:lineRule="auto"/>
      </w:pPr>
      <w:r>
        <w:separator/>
      </w:r>
    </w:p>
  </w:footnote>
  <w:footnote w:type="continuationSeparator" w:id="0">
    <w:p w:rsidR="003F0A65" w:rsidRDefault="003F0A65" w:rsidP="00AB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6A" w:rsidRDefault="00AB3F6A">
    <w:pPr>
      <w:pStyle w:val="Nagwek"/>
    </w:pPr>
    <w:r>
      <w:t>Kontyngent</w:t>
    </w:r>
    <w:r w:rsidR="00551B35">
      <w:t>y</w:t>
    </w:r>
    <w:r>
      <w:t xml:space="preserve">  taryfow</w:t>
    </w:r>
    <w:r w:rsidR="00551B35">
      <w:t>e</w:t>
    </w:r>
    <w:r>
      <w:t xml:space="preserve"> w sektorze mleka i przetworów mlecznych</w:t>
    </w:r>
    <w:r w:rsidR="00551B35">
      <w:t xml:space="preserve"> z Norwegii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B8E"/>
    <w:multiLevelType w:val="hybridMultilevel"/>
    <w:tmpl w:val="838AA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6A"/>
    <w:rsid w:val="00013A8C"/>
    <w:rsid w:val="00020B52"/>
    <w:rsid w:val="000379E8"/>
    <w:rsid w:val="000F30A4"/>
    <w:rsid w:val="001417CC"/>
    <w:rsid w:val="001534FB"/>
    <w:rsid w:val="001B2BC6"/>
    <w:rsid w:val="001C2041"/>
    <w:rsid w:val="00201C9D"/>
    <w:rsid w:val="002A51B4"/>
    <w:rsid w:val="003234FF"/>
    <w:rsid w:val="00375B95"/>
    <w:rsid w:val="003F0A65"/>
    <w:rsid w:val="0045518C"/>
    <w:rsid w:val="00477C00"/>
    <w:rsid w:val="00551B35"/>
    <w:rsid w:val="005714C9"/>
    <w:rsid w:val="00600455"/>
    <w:rsid w:val="00626CC9"/>
    <w:rsid w:val="00651F67"/>
    <w:rsid w:val="006828C0"/>
    <w:rsid w:val="006967D7"/>
    <w:rsid w:val="006B15E2"/>
    <w:rsid w:val="007928EA"/>
    <w:rsid w:val="007E73EC"/>
    <w:rsid w:val="0089098C"/>
    <w:rsid w:val="008A1B6F"/>
    <w:rsid w:val="008F0A6C"/>
    <w:rsid w:val="00936CE2"/>
    <w:rsid w:val="009A107F"/>
    <w:rsid w:val="00AB3F6A"/>
    <w:rsid w:val="00AF7167"/>
    <w:rsid w:val="00B23524"/>
    <w:rsid w:val="00BA085F"/>
    <w:rsid w:val="00CA4E96"/>
    <w:rsid w:val="00E201CD"/>
    <w:rsid w:val="00E42A28"/>
    <w:rsid w:val="00E74CCA"/>
    <w:rsid w:val="00EA6159"/>
    <w:rsid w:val="00EE32BE"/>
    <w:rsid w:val="00F16B0C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F6A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AB3F6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B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F6A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AB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F6A"/>
    <w:rPr>
      <w:rFonts w:ascii="Cambria" w:hAnsi="Cambria"/>
      <w:sz w:val="20"/>
    </w:rPr>
  </w:style>
  <w:style w:type="character" w:styleId="Hipercze">
    <w:name w:val="Hyperlink"/>
    <w:basedOn w:val="Domylnaczcionkaakapitu"/>
    <w:rsid w:val="001C2041"/>
    <w:rPr>
      <w:color w:val="0000FF"/>
      <w:u w:val="single"/>
    </w:rPr>
  </w:style>
  <w:style w:type="character" w:customStyle="1" w:styleId="Teksttreci29">
    <w:name w:val="Tekst treści (2) + 9"/>
    <w:aliases w:val="5 pt,Bez pogrubienia"/>
    <w:basedOn w:val="Domylnaczcionkaakapitu"/>
    <w:rsid w:val="00CA4E96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8909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F6A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AB3F6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B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F6A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AB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F6A"/>
    <w:rPr>
      <w:rFonts w:ascii="Cambria" w:hAnsi="Cambria"/>
      <w:sz w:val="20"/>
    </w:rPr>
  </w:style>
  <w:style w:type="character" w:styleId="Hipercze">
    <w:name w:val="Hyperlink"/>
    <w:basedOn w:val="Domylnaczcionkaakapitu"/>
    <w:rsid w:val="001C2041"/>
    <w:rPr>
      <w:color w:val="0000FF"/>
      <w:u w:val="single"/>
    </w:rPr>
  </w:style>
  <w:style w:type="character" w:customStyle="1" w:styleId="Teksttreci29">
    <w:name w:val="Tekst treści (2) + 9"/>
    <w:aliases w:val="5 pt,Bez pogrubienia"/>
    <w:basedOn w:val="Domylnaczcionkaakapitu"/>
    <w:rsid w:val="00CA4E96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8909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2445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Barcikowska Dorota</dc:creator>
  <cp:lastModifiedBy>Wawrenty Beata</cp:lastModifiedBy>
  <cp:revision>7</cp:revision>
  <dcterms:created xsi:type="dcterms:W3CDTF">2023-01-17T07:14:00Z</dcterms:created>
  <dcterms:modified xsi:type="dcterms:W3CDTF">2023-01-20T13:49:00Z</dcterms:modified>
</cp:coreProperties>
</file>