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Załącznik do uchwały nr 10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Komitetu Rady Ministrów do Spraw Cyfryzacji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 dnia 16 kwietnia 2020 r. 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agwek1"/>
        <w:spacing w:lineRule="auto" w:line="240" w:before="0" w:after="120"/>
        <w:jc w:val="center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 xml:space="preserve">Raport z postępu rzeczowo-finansowego projektu informatycznego </w:t>
      </w:r>
    </w:p>
    <w:p>
      <w:pPr>
        <w:pStyle w:val="Nagwek1"/>
        <w:spacing w:lineRule="auto" w:line="240" w:before="0" w:after="120"/>
        <w:jc w:val="center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>za IV kwartał 2020 roku</w:t>
      </w:r>
    </w:p>
    <w:p>
      <w:pPr>
        <w:pStyle w:val="Normal"/>
        <w:spacing w:before="0" w:after="360"/>
        <w:jc w:val="center"/>
        <w:rPr>
          <w:rFonts w:ascii="Arial" w:hAnsi="Arial" w:cs="Arial"/>
        </w:rPr>
      </w:pPr>
      <w:r>
        <w:rPr>
          <w:rFonts w:cs="Arial" w:ascii="Arial" w:hAnsi="Arial"/>
        </w:rPr>
        <w:t>(dane należy wskazać w zakresie odnoszącym się do okresu sprawozdawczego)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691"/>
        <w:gridCol w:w="6381"/>
      </w:tblGrid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Ucyfrowienie zasobów akademickich regionu kujawsko-pomorskiego dla potrzeb nauki i dydaktyki całego kraju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before="0" w:after="11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Uniwersytet Mikołaja Kopernika w Toruniu 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Uniwersytet Mikołaja Kopernika w Toruniu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Uniwersytet Kazimierza Wielkiego w Bydgoszczy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Programu Operacyjnego Polska Cyfrowa na lata 2014 – 2020, Oś Priorytetowa nr 2 „E- 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udostępnianie zasobów. Część budżetowa z której finansowany jest projekt, to: część 27- Informatyzacja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</w:rPr>
              <w:t>4 599 042,05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</w:rPr>
              <w:t>4 599 042,05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Data rozpoczęcia realizacji projektu: 01.08.2018 r.</w:t>
              <w:br/>
              <w:t>Data zakończenia realizacji projektu: 31.07.2021 r.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0"/>
        <w:ind w:left="284" w:right="282" w:hanging="284"/>
        <w:rPr>
          <w:rFonts w:ascii="Arial" w:hAnsi="Arial" w:cs="Arial"/>
          <w:b/>
          <w:b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 xml:space="preserve">Otoczenie prawne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>
      <w:pPr>
        <w:pStyle w:val="Nagwek3"/>
        <w:spacing w:before="40" w:after="360"/>
        <w:ind w:left="284" w:hanging="284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ab/>
      </w:r>
      <w:r>
        <w:rPr>
          <w:rFonts w:cs="Arial" w:ascii="Arial" w:hAnsi="Arial"/>
          <w:sz w:val="18"/>
          <w:szCs w:val="18"/>
        </w:rPr>
        <w:t>Nie dotyczy</w:t>
      </w:r>
      <w:r>
        <w:rPr>
          <w:rFonts w:eastAsia="Calibri" w:cs="Arial" w:ascii="Arial" w:hAnsi="Arial" w:eastAsiaTheme="minorHAnsi"/>
          <w:color w:val="0070C0"/>
          <w:sz w:val="18"/>
          <w:szCs w:val="18"/>
        </w:rPr>
        <w:t xml:space="preserve"> </w:t>
      </w:r>
    </w:p>
    <w:p>
      <w:pPr>
        <w:pStyle w:val="Nagwek2"/>
        <w:numPr>
          <w:ilvl w:val="0"/>
          <w:numId w:val="1"/>
        </w:numPr>
        <w:ind w:left="426" w:hanging="426"/>
        <w:rPr>
          <w:rFonts w:ascii="Arial" w:hAnsi="Arial" w:eastAsia="Calibri" w:cs="Arial" w:eastAsiaTheme="minorHAnsi"/>
          <w:b/>
          <w:b/>
          <w:i/>
          <w:i/>
          <w:color w:val="auto"/>
          <w:sz w:val="24"/>
          <w:szCs w:val="24"/>
        </w:rPr>
      </w:pPr>
      <w:r>
        <w:rPr>
          <w:rFonts w:cs="Arial" w:ascii="Arial" w:hAnsi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971"/>
        <w:gridCol w:w="3259"/>
        <w:gridCol w:w="3404"/>
      </w:tblGrid>
      <w:tr>
        <w:trPr>
          <w:tblHeader w:val="true"/>
        </w:trPr>
        <w:tc>
          <w:tcPr>
            <w:tcW w:w="297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rPr/>
        <w:tc>
          <w:tcPr>
            <w:tcW w:w="2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80,6 %</w:t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74,90%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67,55%</w:t>
            </w:r>
          </w:p>
        </w:tc>
        <w:tc>
          <w:tcPr>
            <w:tcW w:w="3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77,45%</w:t>
            </w:r>
          </w:p>
        </w:tc>
      </w:tr>
    </w:tbl>
    <w:p>
      <w:pPr>
        <w:pStyle w:val="Nagwek3"/>
        <w:spacing w:before="40" w:after="200"/>
        <w:rPr>
          <w:rStyle w:val="Nagwek2Znak"/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Fonts w:eastAsia="Calibri" w:cs="Arial" w:eastAsiaTheme="minorHAnsi" w:ascii="Arial" w:hAnsi="Arial"/>
          <w:color w:val="767171" w:themeColor="background2" w:themeShade="80"/>
          <w:sz w:val="20"/>
          <w:szCs w:val="20"/>
        </w:rPr>
      </w:r>
    </w:p>
    <w:p>
      <w:pPr>
        <w:pStyle w:val="Nagwek3"/>
        <w:numPr>
          <w:ilvl w:val="0"/>
          <w:numId w:val="1"/>
        </w:numPr>
        <w:spacing w:before="40" w:after="200"/>
        <w:ind w:left="426" w:hanging="426"/>
        <w:rPr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Postęp rzeczowy</w:t>
      </w:r>
      <w:r>
        <w:rPr>
          <w:rFonts w:cs="Arial" w:ascii="Arial" w:hAnsi="Arial"/>
          <w:color w:val="auto"/>
        </w:rPr>
        <w:t xml:space="preserve">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126"/>
        <w:gridCol w:w="1506"/>
        <w:gridCol w:w="1289"/>
        <w:gridCol w:w="1914"/>
        <w:gridCol w:w="2804"/>
      </w:tblGrid>
      <w:tr>
        <w:trPr>
          <w:tblHeader w:val="true"/>
        </w:trPr>
        <w:tc>
          <w:tcPr>
            <w:tcW w:w="212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cs="Arial" w:ascii="Arial" w:hAnsi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 xml:space="preserve">Ogłoszenie dotyczące wyboru wykonawcy studium wykonalności projektu 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11-2015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color w:val="0070C0"/>
                <w:sz w:val="18"/>
              </w:rPr>
            </w:pPr>
            <w:r>
              <w:rPr/>
              <w:t>11-2015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Wybór wykonawcy studium wykonalności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11-2015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11-2015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na wykonanie studium wykonalności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12-2015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12-2015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Opracowanie studium wykonalności potwierdzone protokołem odbioru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01-2016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02-2016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osiągnięty -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wykonawca dostarczył opracowany dokument z opóźnieniem, na tej podstawie sporządzono protokół przekazania w kolejnym miesiącu. Rzeczywisty termin osiągnięcia kamienia nie przekroczył daty punktu ostatecznego. 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Przygotowanie aktualizacji studium wykonalności potwierdzone protokołem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11-2017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11-2017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partnerskiej UMK i UKW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Wskaźnik nr: 1 - 2,00sz. 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11-2017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11-2017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Opublikowanie ogłoszenia o publicznej prezentacji 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09-2017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08-2017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Zorganizowanie publicznej prezentacji założeń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09-2017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09-2017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Wystąpienie z wnioskiem o pozytywną ocenę projektu do KRMC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09-2017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10-2017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 – wniosek został skierowany w dniu 03.10.2017 r., tj. niezwłocznie po przygotowaniu niezbędnych załączników. Rzeczywisty termin osiągnięcia kamienia nie przekroczył daty punktu ostatecznego.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Uzyskanie z KRMC pozytywnej oceny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10-2017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11-2017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 – Przyczyna przekroczenia planowanego terminu: konieczność przeprowadzenia dodatkowych konsultacji z różnymi organami opiniotwórczymi.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Zatrudnienie bibliotekarzy, archiwistów, konserwatora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08-2018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08-2018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Wyselekcjonowanie zasobów i konserwacja zachowawcza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Wybór dostawcy oprogramowania i sprzętu oraz zawarcie umów dotyczących ww. dostaw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08-2018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ind w:left="6" w:hanging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11-2019</w:t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osiągnięty.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Przyczyny nieosiągnięcia pełnego kamienia w zaplanowanym terminie: Duże obciążenie zadaniami pracowników uczelni prowadzących wymaganą przepisami prawa procedurę wyłonienia dostawców, możliwe terminy wdrożenia oprogramowania dłuższe niż początkowo zakładano, opóźnienie w zakupie niezbędnego serwera w ramach projektu E-kultura. Nie złożono w pierwszych terminach ofert na zakup części oprogramowania. W drugim terminie jedna z ofert przekraczała przewidziane środki na zakup. Trzeci termin zakończył się powodzeniem. 04.11.2019 podpisano z dostawcą umowę na ostatnie przewidziane w tym kamieniu oprogramowanie. Umowę zrealizowano terminowo 11.2020.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Potwierdzenie odbioru oprogramowania i sprzętu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3440_3432004142"/>
            <w:r>
              <w:rPr/>
              <w:t>Brak powiązania ze wskaźnikiem</w:t>
            </w:r>
            <w:bookmarkEnd w:id="0"/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11-2019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osiągnięty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Przyczyna nieosiągnięcia pełnego kamienia w zaplanowanym terminie: nieosiągnięcie kamienia dot. wyboru dostawcy.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Instalacja oprogramowania i sprzętu wybranych w drodze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zamówienia publicznego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Web"/>
              <w:spacing w:lineRule="auto" w:line="240" w:before="0" w:after="0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Brak 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bezpośredniego 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powiązania ze wskaźnikiem</w:t>
              <w:br/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09-2018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11-2020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osiągnięty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Przyczyna nieosiągnięcia kamienia w zaplanowanym terminie: nieosiągnięcie kamienia dot. wyboru dostawcy.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Ascii"/>
              </w:rPr>
            </w:pPr>
            <w:r>
              <w:rPr>
                <w:rFonts w:cs="Calibri" w:cstheme="minorAscii"/>
              </w:rPr>
              <w:t xml:space="preserve">Zakończono proces wdrażania ostatniego oprogramowania: 11.2020. 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Zaangażowanie pracowników do skanowania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09-2018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Skanowanie obrazów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Web"/>
              <w:spacing w:lineRule="auto" w:line="240" w:before="0" w:after="0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Wskaźnik nr: </w:t>
              <w:br/>
              <w:t>2 – 28.000 szt. 6 – 5,09 TB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color w:val="C9211E"/>
              </w:rPr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Wybór wykonawców prac koniecznych do spełnienia standardu WCAG 2.0 AA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06-2019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Osiągnięty. Przyczyna nieosiągnięcia kamienia w zaplanowanym terminie: złożone oferty w odpowiedzi na ogłoszenie w Bazie Konkurencyjności przewyższały kwotę przeznaczoną do realizacji tego zadania.</w:t>
              <w:br/>
              <w:t>CPPC wyraziło zgodę na zmianę kategorii wydatków, która pozwoliła na zatrudnienie 2 osób na ¾ etatu każda, które wykonują to zadanie w siedzibie Lidera. Zatrudnienie nastąpiło 01.06.2019r.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Wykonanie prac koniecznych do spełnienia standardu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WCAG 2.0 AA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Ogłoszenie dot. zamówienia publicznego na wybór wykonawcy usługi dotyczącej skanowania srebrnych opraw 11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03-2019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03-2019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Wybór wykonawcy usługi skanowania srebrnych opraw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05-2019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04-2019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z wykonawcą skanów srebrnych opraw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05-2019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05-2019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Wykonanie skanów srebrnych opraw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  <w:sz w:val="22"/>
                <w:szCs w:val="22"/>
              </w:rPr>
              <w:t xml:space="preserve">Wskaźnik nr: </w:t>
            </w:r>
            <w:r>
              <w:rPr>
                <w:rFonts w:cs="Calibri" w:cstheme="minorHAnsi"/>
              </w:rPr>
              <w:t>8 – 385 szt.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04-2020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04-2020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Zaangażowanie pracowników do przetwarzania plików po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skanowaniu do formatów do upowszechniania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Przetworzenie plików po skanowaniu do formatów odpowiednich do upowszechnienia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Zaangażowanie pracowników odpowiedzialnych za przygotowanie metadanych opisowych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Przygotowanie metadanych opisowych na platformę dLibra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Upowszechnienie metadanych w Internecie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Wskaźnik nr: </w:t>
              <w:br/>
              <w:t xml:space="preserve">3 –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28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.000 szt.</w:t>
            </w:r>
          </w:p>
          <w:p>
            <w:pPr>
              <w:pStyle w:val="NormalWeb"/>
              <w:spacing w:lineRule="auto" w:line="240" w:before="0" w:after="0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4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 – 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1 </w:t>
            </w: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szt. </w:t>
            </w:r>
          </w:p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5 – 129.000</w:t>
            </w:r>
          </w:p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7 – 0,0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 TB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Ogłoszenie postępowania w zakresie wyboru wykonawcy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audytu zewnętrznego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03-2021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planowany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z wykonawcą audytu zewnętrznego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Przeprowadzenie audytu zew. pod kątem zgodności z WCAG i podpisanie protokołu wykonania usługi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Zabezpieczenie plików na dyskach twardych i na DVD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pracowników zatrudnionych do prac przy retrokonwersji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Brak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 xml:space="preserve">bezpośredniego </w:t>
            </w: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12-2018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Wykonanie retrokonwersji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Wskaźnik nr: 3 – </w:t>
            </w:r>
            <w:r>
              <w:rPr/>
              <w:t>15</w:t>
            </w:r>
            <w:r>
              <w:rPr/>
              <w:t>.000 szt.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07-2020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09-2020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br/>
            </w:r>
            <w:r>
              <w:rPr>
                <w:rFonts w:cs="Calibri" w:cstheme="minorHAnsi"/>
              </w:rPr>
              <w:t xml:space="preserve">Przyczyna nieosiągnięcia kamienia w zaplanowanym terminie: wybuch pandemii spowodował skierowanie przez uczelnię części pracowników do pracy zdalnej co uniemożliwiło prowadzenie prac w zaplanowanym tempie. Prace zakończono 2 miesiące po terminie planowanym, za to z nadwyżką oraz przed upływem daty punktu krytycznego. </w:t>
            </w:r>
            <w:r>
              <w:rPr/>
              <w:br/>
              <w:t xml:space="preserve">Partner-UKW zakończył zadanie terminowo. 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Przygotowanie i odbiór tablicy informacyjnej i utworzenie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zakładki dotyczącej projektu na stronach www UMK i UKW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09-2018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11-2018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Osiągnięty. Pierwsza część kamienia milowego osiągnięta w terminie (utworzenie zakładki) natomiast druga część kamienia milowego (Przygotowanie i odbiór tablicy informacyjnej) osiągnięta po terminie.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Przyczyną nieosiągnięcia pełnego kamienia milowego w terminie było zbyt duże obciążenie zadaniami pracowników uczelni prowadzących wymaganą przepisami prawa procedurę wyłonienia dostawców. Termin osiągnięcia pełnego kamienia nie przekroczył „Daty punktu ostatecznego”.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Opracowanie i druk broszur informacyjnych, plakatów, roll-up'ów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04-2019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realizacji. Kamień częściowo osiągnięty. Opracowano i wydrukowano plakaty i roll-up’y. Po uzyskanie zgody CPPC na realizację tego zadania z uwzględnieniem dwu dodatków zadaniowych, wykonanie broszur zaplanowano na styczeń i luty 2021 mając zdigitalizowany dostatecznie szeroki materiał do należytej promocji projektu w broszurach.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Wykonanie wystaw ruchomych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03-2021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 trakcie realizacji. W UMK i UKW opracowano, wydrukowano i zaprezentowano pierwsze z dwu wystaw ruchomych. 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Organizacja konferencji podsumowującej realizację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Przygotowanie i odbiór tablicy pamiątkowej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Upowszechnienie informacji dotyczącej projektu, jego zakończenia oraz uzyskanych rezultatów (proces ciągły)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Kierownika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Asystenta Kierownika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Koordynatora projektu po stronie Partnera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 trakcie realizacji 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Zaangażowanie asystenta Koordynatora po stronie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Partnera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Sporządzenie końcowego wniosku o płatność przez Kierownika projektu</w:t>
            </w:r>
          </w:p>
        </w:tc>
        <w:tc>
          <w:tcPr>
            <w:tcW w:w="15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4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544"/>
        <w:gridCol w:w="1277"/>
        <w:gridCol w:w="1841"/>
        <w:gridCol w:w="1701"/>
        <w:gridCol w:w="2271"/>
      </w:tblGrid>
      <w:tr>
        <w:trPr>
          <w:tblHeader w:val="true"/>
        </w:trPr>
        <w:tc>
          <w:tcPr>
            <w:tcW w:w="254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84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Wartość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7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 xml:space="preserve">1. Wskaźnik kluczowy (obligatoryjny) – wskaźnik produktu: Liczba podmiotów, które udostępniły on-line informacje sektora 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2,00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2,00</w:t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>2. Wskaźnik kluczowy (adekwatny do projektu) – wskaźnik produktu: Liczba zdigitalizowanych dokumentów zawierających informacje sektora publicznego.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28.000,00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19 612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</w:rPr>
              <w:t>3. Wskaźnik kluczowy (adekwatny do projektu) – wskaźnik produktu: Liczba udostępnionych on-line dokumentów zawierających informacje sektora publicznego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43.000 ,00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33 097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 xml:space="preserve">4. Wskaźnik kluczowy (adekwatny do projektu) – wskaźnik produktu: Liczba baz danych udostępnionych on-line poprzez API 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1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1</w:t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>5. Wskaźnik kluczowy (obligatoryjny) –wskaźnik rezultatu bezpośredniego: Liczba pobrań/ odtworzeń dokumentów zawierających informacje sektora publicznego.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szt./rok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 xml:space="preserve">129.000,00 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07.2022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135 206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>6. Wskaźnik specyficzny dla programu (adekwatny do projektu) – wskaźnik produktu: Rozmiar zdigitalizowanej informacji sektora publicznego.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TB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5,09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14,92</w:t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/>
              <w:t>7. Wskaźnik specyficzny dla programu (adekwatny do projektu) – wskaźnik produktu: Rozmiar udostępnionych on-line informacji sektora publicznego.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TB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 xml:space="preserve">0,01 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07.2021</w:t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0,19</w:t>
            </w:r>
          </w:p>
        </w:tc>
      </w:tr>
      <w:tr>
        <w:trPr/>
        <w:tc>
          <w:tcPr>
            <w:tcW w:w="2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/>
              <w:t>8. Wskaźnik specyficzny dla programu (adekwatny do projektu) – wskaźnik rezultatu bezpośredniego: Liczba pobrań/ odtworzeń unikatowych 11 srebrnych opraw książkowych.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385,00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07.2022</w:t>
            </w:r>
          </w:p>
        </w:tc>
        <w:tc>
          <w:tcPr>
            <w:tcW w:w="22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98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E-usługi A2A, A2B, A2C</w:t>
      </w:r>
      <w:r>
        <w:rPr>
          <w:rFonts w:cs="Arial" w:ascii="Arial" w:hAnsi="Arial"/>
          <w:color w:val="auto"/>
        </w:rPr>
        <w:t xml:space="preserve"> </w:t>
      </w:r>
      <w:bookmarkStart w:id="1" w:name="_Hlk506932259"/>
      <w:r>
        <w:rPr>
          <w:rFonts w:cs="Arial" w:ascii="Arial" w:hAnsi="Arial"/>
          <w:sz w:val="20"/>
          <w:szCs w:val="20"/>
        </w:rPr>
        <w:t>&lt;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936"/>
        <w:gridCol w:w="1169"/>
        <w:gridCol w:w="1133"/>
        <w:gridCol w:w="4395"/>
      </w:tblGrid>
      <w:tr>
        <w:trPr>
          <w:tblHeader w:val="true"/>
        </w:trPr>
        <w:tc>
          <w:tcPr>
            <w:tcW w:w="293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9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0"/>
        <w:ind w:left="284" w:hanging="284"/>
        <w:rPr>
          <w:rStyle w:val="Nagwek3Znak"/>
          <w:rFonts w:ascii="Arial" w:hAnsi="Arial" w:eastAsia="Calibri" w:cs="Arial" w:eastAsiaTheme="minorHAnsi"/>
          <w:b/>
          <w:b/>
          <w:color w:val="0070C0"/>
          <w:sz w:val="26"/>
          <w:szCs w:val="26"/>
        </w:rPr>
      </w:pPr>
      <w:r>
        <w:rPr>
          <w:rStyle w:val="Nagwek3Znak"/>
          <w:rFonts w:eastAsia="Calibri" w:cs="Arial" w:ascii="Arial" w:hAnsi="Arial" w:eastAsiaTheme="minorHAnsi"/>
          <w:b/>
          <w:color w:val="auto"/>
        </w:rPr>
        <w:t>Udostępnione informacje sektora publicznego i zdigitalizowane zasoby</w:t>
      </w:r>
      <w:r>
        <w:rPr>
          <w:rStyle w:val="Nagwek3Znak"/>
          <w:rFonts w:eastAsia="Calibri" w:cs="Arial" w:ascii="Arial" w:hAnsi="Arial" w:eastAsiaTheme="minorHAnsi"/>
          <w:b/>
          <w:color w:val="auto"/>
          <w:sz w:val="26"/>
          <w:szCs w:val="26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936"/>
        <w:gridCol w:w="1169"/>
        <w:gridCol w:w="1133"/>
        <w:gridCol w:w="4395"/>
      </w:tblGrid>
      <w:tr>
        <w:trPr>
          <w:tblHeader w:val="true"/>
        </w:trPr>
        <w:tc>
          <w:tcPr>
            <w:tcW w:w="293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9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Poszerzenie otwartej naukowej bazy źródłowej o 28 000,00 zdigitalizowanych obiektów cyfrowych ze zbiorów Uniwersytetu Mikołaja Kopernika oraz Uniwersytetu Kazimierza Wielkiego.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07-2021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W trakcie realizacji</w:t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Otwarta naukowa baza źródłowa została poszerzona w 3kw. 2020 o 1861 obiekty cyfrowe. Razem jest już 18097 obiektów cyfrowych. Plan projektu przewiduje osiągnięcie wskaźnika 28000 do końca 07.2021.</w:t>
            </w:r>
          </w:p>
        </w:tc>
      </w:tr>
      <w:tr>
        <w:trPr/>
        <w:tc>
          <w:tcPr>
            <w:tcW w:w="29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 xml:space="preserve">Poszerzenie otwartej naukowej bazy źródłowej o 15 000,00 nowych elektronicznych opisów bibliograficznych. 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07-2020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09-2020</w:t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Otwarta naukowa baza źródłowa została poszerzona w 3 kw. 2020 r. o 3887 nowych rekordów. Razem jest 18221 rekordów. Plan projektu przewidywał osiągnięcie wskaźnika 15000 do końca 07.2020. W wyniku pandemii zadanie zakończono 30.09.2020 i osiągnięto nadwyżkę 3221 ob. Wynik: 15 000+3 221.</w:t>
            </w:r>
          </w:p>
        </w:tc>
      </w:tr>
    </w:tbl>
    <w:p>
      <w:pPr>
        <w:pStyle w:val="Nagwek3"/>
        <w:numPr>
          <w:ilvl w:val="0"/>
          <w:numId w:val="1"/>
        </w:numPr>
        <w:spacing w:before="360" w:after="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auto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auto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cs="Arial" w:ascii="Arial" w:hAnsi="Arial"/>
          <w:sz w:val="20"/>
          <w:szCs w:val="18"/>
        </w:rPr>
        <w:t xml:space="preserve"> 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547"/>
        <w:gridCol w:w="1700"/>
        <w:gridCol w:w="1843"/>
        <w:gridCol w:w="3543"/>
      </w:tblGrid>
      <w:tr>
        <w:trPr>
          <w:tblHeader w:val="true"/>
        </w:trPr>
        <w:tc>
          <w:tcPr>
            <w:tcW w:w="2547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  <w:tc>
          <w:tcPr>
            <w:tcW w:w="17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  <w:tc>
          <w:tcPr>
            <w:tcW w:w="3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auto"/>
        </w:rPr>
        <w:t xml:space="preserve"> </w:t>
      </w:r>
      <w:r>
        <w:rPr>
          <w:rFonts w:cs="Arial" w:ascii="Arial" w:hAnsi="Arial"/>
          <w:color w:val="0070C0"/>
        </w:rPr>
        <w:t xml:space="preserve"> 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264"/>
        <w:gridCol w:w="1696"/>
        <w:gridCol w:w="2126"/>
        <w:gridCol w:w="2411"/>
      </w:tblGrid>
      <w:tr>
        <w:trPr>
          <w:tblHeader w:val="true"/>
        </w:trPr>
        <w:tc>
          <w:tcPr>
            <w:tcW w:w="326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Sposób zarzadzania ryzykiem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Ryzyko wydłużenia czasu realizacji projektu w obszarze ryzyka formalno-instytucjonalnego.</w:t>
            </w:r>
            <w:r>
              <w:rPr>
                <w:color w:val="C00000"/>
              </w:rPr>
              <w:t xml:space="preserve"> </w:t>
            </w:r>
            <w:r>
              <w:rPr/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</w:rPr>
            </w:pPr>
            <w:r>
              <w:rPr/>
              <w:t>mała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- spodziewany efekt: stopniowy postęp prac jako wynik działań takich jak pomoc osobom zaangażowanym w części administracyjnej w tworzeniu opisów przedmiotu zamówienia, dokonaniu rozpoznania rynku firm specjalizujących się w danym oprogramowaniu i usługach. Zasięganie rad u innych instytucji. 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</w:rPr>
            </w:pPr>
            <w:r>
              <w:rPr>
                <w:color w:val="000000"/>
              </w:rPr>
              <w:t>- brak zmian w zakresie ryzyka. Kluczowi dla projektu dostawcy zostali już wyłonieni.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mała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niskie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000000"/>
              </w:rPr>
              <w:t>- spodziewany efekt: Jeśli p</w:t>
            </w:r>
            <w:r>
              <w:rPr/>
              <w:t>rocedura przetargowa i wybór wykonawców zostaną przeprowadzone odpowiednio wcześnie to działania powinny rozpocząć się terminowo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 w:themeColor="text1" w:themeShade="ff" w:themeTint="ff"/>
              </w:rPr>
              <w:t>- siła oddziaływania zmieniona na małą, ponieważ przetargi kluczowe dla projektu zostały już zakończone.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znikome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spodziewany efekt działań: znikome prawdopodobieństwo wystąpienia ryzyka. Uzasadnienie: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color w:val="000000"/>
              </w:rPr>
              <w:t xml:space="preserve">- brak zmian w zakresie ryzyka. Prowadzona jest </w:t>
            </w:r>
            <w:r>
              <w:rPr>
                <w:rFonts w:cs="Calibri" w:cstheme="minorHAnsi"/>
              </w:rPr>
              <w:t>stała współpraca z partnerem.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Ryzyko wydłużenia czasu realizacji projektu w obszarze ryzyka technicznego i środowiskowego.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Czynnik ryzyka: problemy techniczno-technologiczne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bidi w:val="0"/>
              <w:spacing w:lineRule="auto" w:line="259" w:beforeAutospacing="0" w:before="0" w:afterAutospacing="0" w:after="0"/>
              <w:ind w:left="0" w:right="0" w:hanging="0"/>
              <w:jc w:val="left"/>
              <w:rPr/>
            </w:pPr>
            <w:r>
              <w:rPr>
                <w:rFonts w:cs="Calibri" w:cstheme="minorAscii"/>
              </w:rPr>
              <w:t>wysokie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 spodziewany efekt działań: Prace przeprowadzane są przez osoby i firmy posiadające odpowiednie doświadczenie w realizacji podobnych inwestycji, w związku z czym nie powinny wystąpić opóźnienia lub problemy związane z zastosowaniem nieodpowiedniego wyposażenia lub niewłaściwej technologii.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Ascii"/>
                <w:color w:val="000000" w:themeColor="text1" w:themeShade="ff" w:themeTint="ff"/>
              </w:rPr>
            </w:pPr>
            <w:r>
              <w:rPr>
                <w:color w:val="000000" w:themeColor="text1" w:themeShade="ff" w:themeTint="ff"/>
              </w:rPr>
              <w:t>- ryzyko rośnie ze względu na zagrożenie koronawirusem. Dużych skanerów czy stanowiska do fotografowania nie będzie można zabrać do domu w wypadku pracy zdalnej.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 w:themeColor="text1" w:themeShade="ff" w:themeTint="ff"/>
              </w:rPr>
              <w:t>-zmiana w zakresie prawdopodobieństwa wystąpienia ryzyka na: wysokie ze względu na przedłużający się stan epidemii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awarii sprzętu komputerowego i digitalizacyjnego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problemy techniczno-technologiczne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 spodziewany efekt działań: brak przestojów lub minimalne przestoje w pracy na sprzęcie dzięki przeprowadzanym pilnym naprawom sprzętu lub wymianie na nowy ze środków własnych Uczelni.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color w:val="000000"/>
              </w:rPr>
              <w:t>- brak zmian w zakresie ryzyka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bidi w:val="0"/>
              <w:spacing w:lineRule="auto" w:line="259" w:beforeAutospacing="0" w:before="0" w:afterAutospacing="0" w:after="0"/>
              <w:ind w:left="0" w:right="0" w:hanging="0"/>
              <w:jc w:val="left"/>
              <w:rPr/>
            </w:pPr>
            <w:r>
              <w:rPr>
                <w:rFonts w:cs="Calibri" w:cstheme="minorAscii"/>
              </w:rPr>
              <w:t>mała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spodziewany efekt działań: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Stopniowy postęp prac, który pozwoli na korektę najważniejszych książek i czasopism. Wysoka cena wykonania usługi zewnętrznej zadania zw. z prowadzeniem korekty po maszynowym OCR została przekwalifikowana za zgodą CPPC na zatrudnienie dwu osób na ¾ etatu, które wykonują to zadanie w siedzibie beneficjenta od 01.06.2019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Cała kwota zostaje przeznaczona na wynagrodzenie, inne koszty zw. ze stanowiskiem pracy Lider pokrywa z własnych funduszy. Przeznaczona kwota w projekcie wystarczy na korektę wybranej części czasopism i książek. Po podwyżkach na UMK wynagrodzenie dwu pracowników jest poniżej kwoty, która obowiązuje na uczelni na podobnym stanowisku.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Ascii" w:cstheme="minorAscii" w:hAnsiTheme="minorAscii"/>
                <w:color w:val="000000" w:themeColor="text1" w:themeShade="ff" w:themeTint="ff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color w:val="000000" w:themeColor="text1" w:themeShade="ff" w:themeTint="ff"/>
                <w:sz w:val="22"/>
                <w:szCs w:val="22"/>
              </w:rPr>
              <w:t>- zmiana w zakresie prawdopodobieństwa wystąpienia ryzyka na małą ze względu na to, że rozstrzygnięto wykonanie usług zewnętrznych kluczowych dla projektu i wskaźników.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przekroczenia zakładanych kosztów eksploatacji w obszarze ryzyka technicznego i środowiskowego.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wzrost cen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Wykonywanie dotychczasowych prac w projekcie odbywa się na podstawie umowy o pracę lub dodatków specjalnych zadaniowych.</w:t>
            </w:r>
            <w:r>
              <w:rPr/>
              <w:br/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brak zmian w zakresie ryzyka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nieosiągnięcia wskaźników projektu w obszarze ryzyka technicznego i środowiskowego.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Niezrealizowanie pełnego zakresu projektu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Nieprawidłowe oszacowanie wartości wskaźników.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Ascii"/>
              </w:rPr>
            </w:pPr>
            <w:r>
              <w:rPr>
                <w:rFonts w:cs="Calibri" w:cstheme="minorAscii"/>
              </w:rPr>
              <w:t>niskie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bieżące monitorowanie postępu prac i rozwiązywanie powstających problemów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efekt: stopniowy postęp prac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 xml:space="preserve">- zmiana w zakresie prawdopodobieństwa na niskie, ze względu na zaawansowanie prac. Zagrożeniem może być wydłużenie prac przy projekcie, ale bez zagrożenia osiągniecia wskaźników docelowych.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zmian kadrowych w obszarze ryzyka społecznego.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Choroby/niezdolności do pracy osób wykonujących czynności objęte projektem.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wysokie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zatrudnienie osoby w zastępstwie za chorego pracownika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-zatrudnienie osoby w miejsce pracownika, który odszedł z uczelni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zwiększenia obsady o dodatkowego pracowników w sekcji digitalizacji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-spodziewany efekt: rozłożenie obowiązków na większą grupę pracowników zminimalizuje efekty nieobecności pracowników na skutek chorób. 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- z powodu zagrożenia pandemią pracownicy zostali oddelegowani w znacznym stopniu do pracy zdalnej, aby uniknąć ognisk zachorowań 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-w 10.2020 Beneficjent i Partner znów przeszli na pracę częściowo zdalną (model hybrydowy) decyzją władz obu jednostek.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brak zmian w zakresie ryzyka</w:t>
            </w:r>
          </w:p>
        </w:tc>
      </w:tr>
      <w:tr>
        <w:trPr/>
        <w:tc>
          <w:tcPr>
            <w:tcW w:w="326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Ryzyko 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opóźnienia w dostawie i instalacji środków trwałych i wartości niematerialnych i prawnych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mała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Ascii"/>
              </w:rPr>
            </w:pPr>
            <w:r>
              <w:rPr>
                <w:rFonts w:cs="Calibri" w:cstheme="minorAscii"/>
              </w:rPr>
              <w:t>niskie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 xml:space="preserve">- wdrożono oprogramowanie do prowadzenia Bibliotek Cyfrowych oraz oprogramowania do zarządzania procesem digitalizacji. </w:t>
            </w:r>
            <w:r>
              <w:rPr/>
              <w:br/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używane są również arkusze kalkulacyjne do monitorowania prac w projekcie.</w:t>
            </w:r>
          </w:p>
          <w:p>
            <w:pPr>
              <w:pStyle w:val="Normal"/>
              <w:spacing w:lineRule="auto" w:line="240" w:before="0" w:after="0"/>
              <w:ind w:left="0" w:hanging="0"/>
              <w:rPr>
                <w:rFonts w:cs="Calibri" w:cstheme="minorAscii"/>
              </w:rPr>
            </w:pPr>
            <w:r>
              <w:rPr>
                <w:rFonts w:cs="Calibri" w:cstheme="minorAscii"/>
              </w:rPr>
              <w:t xml:space="preserve">-Prawdopodobieństwo zmienione na niskie, ponieważ zakończono wdrażanie przewidzianych w projekcie oprogramowań. </w:t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3260"/>
        <w:gridCol w:w="1701"/>
        <w:gridCol w:w="2124"/>
        <w:gridCol w:w="2694"/>
      </w:tblGrid>
      <w:tr>
        <w:trPr>
          <w:trHeight w:val="724" w:hRule="atLeast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MS MinNew Roman" w:cs="Arial"/>
                <w:b/>
                <w:b/>
                <w:bCs/>
                <w:sz w:val="20"/>
              </w:rPr>
            </w:pPr>
            <w:r>
              <w:rPr>
                <w:rFonts w:eastAsia="MS MinNew Roman" w:cs="Arial" w:ascii="Arial" w:hAnsi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Caption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Sposób zarzadzania ryzykiem</w:t>
            </w:r>
          </w:p>
        </w:tc>
      </w:tr>
      <w:tr>
        <w:trPr>
          <w:trHeight w:val="724" w:hRule="atLeast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/>
              <w:t>Ryzyko techniczne – utrata danych spowodowana awarią systemu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</w:rPr>
              <w:t>duża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cs="Calibri Light" w:ascii="Calibri Light" w:hAnsi="Calibri Light"/>
                <w:b w:val="false"/>
                <w:bCs w:val="false"/>
              </w:rPr>
              <w:t>znikome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Web"/>
              <w:spacing w:before="0" w:after="0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Stosowany system bezpieczeństwa ma na celu eliminowanie ryzyka jakim jest brak dostępu do biblioteki spowodowany awarią systemu. Wszystkie usługi systemowe tworzące bibliotekę cyfrową wraz z gromadzonymi danymi objęte są zautomatyzowaną procedurą tworzenia pełnych i przyrostowych kopii zapasowych na serwerze backupowym.</w:t>
            </w:r>
          </w:p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>
          <w:rStyle w:val="Nagwek2Znak"/>
          <w:rFonts w:ascii="Arial" w:hAnsi="Arial" w:eastAsia="Calibri" w:cs="Arial" w:eastAsiaTheme="minorHAnsi"/>
          <w:b/>
          <w:b/>
          <w:color w:val="auto"/>
          <w:sz w:val="24"/>
          <w:szCs w:val="24"/>
        </w:rPr>
      </w:pPr>
      <w:r>
        <w:rPr>
          <w:rStyle w:val="Nagwek2Znak"/>
          <w:rFonts w:eastAsia="Calibri" w:cs="Arial" w:ascii="Arial" w:hAnsi="Arial" w:eastAsiaTheme="minorHAnsi"/>
          <w:b/>
          <w:color w:val="auto"/>
          <w:sz w:val="24"/>
          <w:szCs w:val="24"/>
        </w:rPr>
        <w:t>Wymiarowanie systemu informatycznego</w:t>
      </w:r>
    </w:p>
    <w:p>
      <w:pPr>
        <w:pStyle w:val="Normal"/>
        <w:rPr>
          <w:rStyle w:val="Nagwek2Znak"/>
          <w:rFonts w:ascii="Arial" w:hAnsi="Arial" w:eastAsia="Calibri" w:cs="Arial" w:eastAsiaTheme="minorHAnsi"/>
          <w:bCs/>
          <w:color w:val="auto"/>
          <w:sz w:val="24"/>
          <w:szCs w:val="24"/>
        </w:rPr>
      </w:pPr>
      <w:r>
        <w:rPr>
          <w:rStyle w:val="Nagwek2Znak"/>
          <w:rFonts w:eastAsia="Calibri" w:cs="Arial" w:ascii="Arial" w:hAnsi="Arial" w:eastAsiaTheme="minorHAnsi"/>
          <w:bCs/>
          <w:color w:val="auto"/>
          <w:sz w:val="24"/>
          <w:szCs w:val="24"/>
        </w:rPr>
        <w:t>Nie dotyczy</w:t>
      </w:r>
    </w:p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>
          <w:rFonts w:ascii="Arial" w:hAnsi="Arial" w:cs="Arial"/>
          <w:color w:val="0070C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Dane kontaktowe:</w:t>
      </w:r>
      <w:r>
        <w:rPr>
          <w:rFonts w:cs="Arial" w:ascii="Arial" w:hAnsi="Arial"/>
          <w:b/>
        </w:rPr>
        <w:t xml:space="preserve"> </w:t>
      </w:r>
    </w:p>
    <w:p>
      <w:pPr>
        <w:pStyle w:val="NormalWeb"/>
        <w:spacing w:beforeAutospacing="0" w:before="363" w:after="159"/>
        <w:rPr/>
      </w:pPr>
      <w:r>
        <w:rPr>
          <w:rFonts w:cs="Calibri" w:ascii="Calibri" w:hAnsi="Calibri" w:asciiTheme="minorHAnsi" w:cstheme="minorHAnsi" w:hAnsiTheme="minorHAnsi"/>
        </w:rPr>
        <w:t>dr Anna Karolina Zawada</w:t>
        <w:br/>
        <w:t>Koordynator projektu POPC.02.03.01-00-0039/18</w:t>
        <w:br/>
        <w:t>Oddział Komputeryzacji i Digitalizacji</w:t>
        <w:br/>
        <w:t>Biblioteka Uniwersytecka</w:t>
        <w:br/>
        <w:t>Uniwersytet Mikołaja Kopernika w Toruniu</w:t>
        <w:br/>
      </w:r>
      <w:hyperlink r:id="rId2">
        <w:r>
          <w:rPr>
            <w:rStyle w:val="Czeinternetowe"/>
            <w:rFonts w:cs="Calibri" w:ascii="Calibri" w:hAnsi="Calibri" w:asciiTheme="minorHAnsi" w:cstheme="minorHAnsi" w:hAnsiTheme="minorHAnsi"/>
          </w:rPr>
          <w:t>kz@umk.pl</w:t>
        </w:r>
      </w:hyperlink>
      <w:r>
        <w:rPr>
          <w:rFonts w:cs="Calibri" w:ascii="Calibri" w:hAnsi="Calibri" w:asciiTheme="minorHAnsi" w:cstheme="minorHAnsi" w:hAnsiTheme="minorHAnsi"/>
        </w:rPr>
        <w:br/>
        <w:t>tel. 56 611 4420</w:t>
      </w:r>
    </w:p>
    <w:p>
      <w:pPr>
        <w:pStyle w:val="NormalWeb"/>
        <w:spacing w:before="280" w:after="0"/>
        <w:rPr/>
      </w:pPr>
      <w:r>
        <w:rPr/>
      </w:r>
    </w:p>
    <w:p>
      <w:pPr>
        <w:pStyle w:val="NormalWeb"/>
        <w:spacing w:before="280" w:after="0"/>
        <w:rPr/>
      </w:pPr>
      <w:r>
        <w:rPr/>
      </w:r>
    </w:p>
    <w:p>
      <w:pPr>
        <w:pStyle w:val="NormalWeb"/>
        <w:spacing w:before="280" w:after="0"/>
        <w:rPr/>
      </w:pPr>
      <w:r>
        <w:rPr>
          <w:rFonts w:cs="Arial" w:ascii="Arial" w:hAnsi="Arial"/>
        </w:rPr>
        <w:t xml:space="preserve">Załącznik nr 1 </w:t>
      </w:r>
    </w:p>
    <w:p>
      <w:pPr>
        <w:pStyle w:val="NormalWeb"/>
        <w:spacing w:before="280" w:after="0"/>
        <w:rPr/>
      </w:pPr>
      <w:r>
        <w:rPr>
          <w:rFonts w:cs="Arial" w:ascii="Arial" w:hAnsi="Arial"/>
        </w:rPr>
        <w:t>Wzór raportu z wymiarowania systemu informatycznego – NIE DOTYCZY</w:t>
      </w:r>
    </w:p>
    <w:p>
      <w:pPr>
        <w:pStyle w:val="Normal"/>
        <w:spacing w:before="0" w:after="0"/>
        <w:jc w:val="both"/>
        <w:rPr/>
      </w:pPr>
      <w:r>
        <w:rPr/>
      </w:r>
    </w:p>
    <w:sectPr>
      <w:headerReference w:type="default" r:id="rId3"/>
      <w:footerReference w:type="default" r:id="rId4"/>
      <w:footnotePr>
        <w:numFmt w:val="decimal"/>
      </w:footnotePr>
      <w:type w:val="nextPage"/>
      <w:pgSz w:w="11906" w:h="16838"/>
      <w:pgMar w:left="1417" w:right="1416" w:header="709" w:top="1417" w:footer="709" w:bottom="1417" w:gutter="0"/>
      <w:pgBorders w:display="allPages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50" w:leader="none"/>
        <w:tab w:val="left" w:pos="5818" w:leader="none"/>
      </w:tabs>
      <w:ind w:right="260" w:hanging="0"/>
      <w:jc w:val="right"/>
      <w:rPr/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sz w:val="24"/>
        <w:szCs w:val="24"/>
      </w:rPr>
      <w:instrText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16</w:t>
    </w:r>
    <w:r>
      <w:rPr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sz w:val="24"/>
        <w:szCs w:val="24"/>
      </w:rPr>
      <w:instrText> NUMPAGES \* ARABIC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16</w:t>
    </w:r>
    <w:r>
      <w:rPr>
        <w:sz w:val="24"/>
        <w:szCs w:val="24"/>
      </w:rPr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Sekcja dotyczy projektów realizowanych ze środków UE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4"/>
        <w:i w:val="false"/>
        <w:b/>
        <w:szCs w:val="26"/>
        <w:rFonts w:ascii="Arial" w:hAnsi="Arial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33bec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9e4c6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9e4c6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0f30b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1c2d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b2420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0f30b9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c77b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c77bb"/>
    <w:rPr/>
  </w:style>
  <w:style w:type="character" w:styleId="BodyText1Char" w:customStyle="1">
    <w:name w:val="Body Text 1 Char"/>
    <w:basedOn w:val="DefaultParagraphFont"/>
    <w:link w:val="BodyText1"/>
    <w:qFormat/>
    <w:rsid w:val="002b6f21"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6a60aa"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e1643"/>
    <w:rPr/>
  </w:style>
  <w:style w:type="character" w:styleId="Czeinternetowe">
    <w:name w:val="Łącze internetowe"/>
    <w:basedOn w:val="DefaultParagraphFont"/>
    <w:uiPriority w:val="99"/>
    <w:semiHidden/>
    <w:unhideWhenUsed/>
    <w:rsid w:val="00c778c3"/>
    <w:rPr>
      <w:color w:val="0563C1"/>
      <w:u w:val="singl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e1643"/>
    <w:pPr>
      <w:spacing w:before="0" w:after="120"/>
    </w:pPr>
    <w:rPr/>
  </w:style>
  <w:style w:type="paragraph" w:styleId="Lista">
    <w:name w:val="List"/>
    <w:basedOn w:val="Tretekstu"/>
    <w:pPr/>
    <w:rPr>
      <w:rFonts w:cs="Free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77418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1c2d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c2d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2d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bb242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Normal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"/>
    <w:link w:val="BodyText1Char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Normal"/>
    <w:link w:val="Tekstpodstawowy2Znak"/>
    <w:qFormat/>
    <w:rsid w:val="006a60aa"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Times New Roman"/>
      <w:b/>
      <w:bCs/>
      <w:kern w:val="2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25f19"/>
    <w:pPr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z@umk.pl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6272-2E85-4FB4-AA93-D2499544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LibreOffice/6.3.3.1$Linux_X86_64 LibreOffice_project/30$Build-1</Application>
  <Pages>16</Pages>
  <Words>2566</Words>
  <Characters>18115</Characters>
  <CharactersWithSpaces>20299</CharactersWithSpaces>
  <Paragraphs>448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2021-01-14T14:14:00Z</dcterms:created>
  <dc:creator/>
  <dc:description/>
  <dc:language>pl-PL</dc:language>
  <cp:lastModifiedBy/>
  <dcterms:modified xsi:type="dcterms:W3CDTF">2021-02-10T15:46:03Z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