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4007" w:rsidRPr="00AE40E0" w:rsidRDefault="00214007" w:rsidP="002140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" w:lineRule="atLeast"/>
        <w:jc w:val="center"/>
        <w:rPr>
          <w:rFonts w:ascii="Book Antiqua" w:hAnsi="Book Antiqua" w:cs="Times New Roman"/>
          <w:b/>
          <w:bCs/>
          <w:sz w:val="24"/>
          <w:szCs w:val="24"/>
        </w:rPr>
      </w:pPr>
      <w:r w:rsidRPr="00AE40E0">
        <w:rPr>
          <w:rFonts w:ascii="Book Antiqua" w:hAnsi="Book Antiqua" w:cs="Times New Roman"/>
          <w:b/>
          <w:bCs/>
          <w:sz w:val="24"/>
          <w:szCs w:val="24"/>
        </w:rPr>
        <w:t xml:space="preserve">WSPÓLNA DEKLARACJA  </w:t>
      </w:r>
    </w:p>
    <w:p w:rsidR="00214007" w:rsidRPr="00AE40E0" w:rsidRDefault="00214007" w:rsidP="002140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" w:lineRule="atLeast"/>
        <w:jc w:val="center"/>
        <w:rPr>
          <w:rFonts w:ascii="Book Antiqua" w:hAnsi="Book Antiqua" w:cs="Times New Roman"/>
          <w:b/>
          <w:bCs/>
          <w:sz w:val="24"/>
          <w:szCs w:val="24"/>
        </w:rPr>
      </w:pPr>
      <w:r w:rsidRPr="00AE40E0">
        <w:rPr>
          <w:rFonts w:ascii="Book Antiqua" w:hAnsi="Book Antiqua" w:cs="Times New Roman"/>
          <w:b/>
          <w:bCs/>
          <w:sz w:val="24"/>
          <w:szCs w:val="24"/>
        </w:rPr>
        <w:t>MINISTRÓW ROLNICTWA</w:t>
      </w:r>
    </w:p>
    <w:p w:rsidR="00214007" w:rsidRPr="00AE40E0" w:rsidRDefault="00214007" w:rsidP="002140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" w:lineRule="atLeast"/>
        <w:jc w:val="center"/>
        <w:rPr>
          <w:rFonts w:ascii="Book Antiqua" w:hAnsi="Book Antiqua" w:cs="Times New Roman"/>
          <w:b/>
          <w:bCs/>
          <w:sz w:val="24"/>
          <w:szCs w:val="24"/>
        </w:rPr>
      </w:pPr>
      <w:r w:rsidRPr="00AE40E0">
        <w:rPr>
          <w:rFonts w:ascii="Book Antiqua" w:hAnsi="Book Antiqua" w:cs="Times New Roman"/>
          <w:b/>
          <w:bCs/>
          <w:sz w:val="24"/>
          <w:szCs w:val="24"/>
        </w:rPr>
        <w:t xml:space="preserve">PRZYFRONTOWYCH PAŃSTW CZŁONKOWSKICH </w:t>
      </w:r>
      <w:r w:rsidRPr="00AE40E0">
        <w:rPr>
          <w:rFonts w:ascii="Book Antiqua" w:hAnsi="Book Antiqua" w:cs="Times New Roman"/>
          <w:b/>
          <w:bCs/>
          <w:i/>
          <w:sz w:val="24"/>
          <w:szCs w:val="24"/>
        </w:rPr>
        <w:t>(</w:t>
      </w:r>
      <w:bookmarkStart w:id="0" w:name="_Hlk202780553"/>
      <w:r w:rsidRPr="00AE40E0">
        <w:rPr>
          <w:rFonts w:ascii="Book Antiqua" w:hAnsi="Book Antiqua" w:cs="Times New Roman"/>
          <w:b/>
          <w:bCs/>
          <w:i/>
          <w:sz w:val="24"/>
          <w:szCs w:val="24"/>
        </w:rPr>
        <w:t>Bułgaria, Polska, Rumunia, Słowacja i Węgry)</w:t>
      </w:r>
      <w:bookmarkEnd w:id="0"/>
    </w:p>
    <w:p w:rsidR="00214007" w:rsidRPr="00AE40E0" w:rsidRDefault="00214007" w:rsidP="002140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" w:lineRule="atLeast"/>
        <w:jc w:val="center"/>
        <w:rPr>
          <w:rFonts w:ascii="Book Antiqua" w:hAnsi="Book Antiqua" w:cs="Times New Roman"/>
          <w:b/>
          <w:sz w:val="24"/>
          <w:szCs w:val="24"/>
        </w:rPr>
      </w:pPr>
      <w:r w:rsidRPr="00AE40E0">
        <w:rPr>
          <w:rFonts w:ascii="Book Antiqua" w:hAnsi="Book Antiqua" w:cs="Times New Roman"/>
          <w:b/>
          <w:sz w:val="24"/>
          <w:szCs w:val="24"/>
        </w:rPr>
        <w:t>w sprawie rolnych aspektów zmiany umowy handlowej UE-Ukraina</w:t>
      </w:r>
    </w:p>
    <w:p w:rsidR="00214007" w:rsidRPr="00AE40E0" w:rsidRDefault="00214007" w:rsidP="002140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" w:lineRule="atLeast"/>
        <w:jc w:val="center"/>
        <w:rPr>
          <w:rFonts w:ascii="Book Antiqua" w:hAnsi="Book Antiqua" w:cs="Times New Roman"/>
          <w:b/>
          <w:sz w:val="24"/>
          <w:szCs w:val="24"/>
        </w:rPr>
      </w:pPr>
    </w:p>
    <w:p w:rsidR="00214007" w:rsidRPr="00AE40E0" w:rsidRDefault="00214007" w:rsidP="002140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" w:lineRule="atLeast"/>
        <w:jc w:val="center"/>
        <w:rPr>
          <w:rFonts w:ascii="Book Antiqua" w:hAnsi="Book Antiqua" w:cs="Times New Roman"/>
          <w:i/>
          <w:sz w:val="24"/>
          <w:szCs w:val="24"/>
        </w:rPr>
      </w:pPr>
      <w:r w:rsidRPr="00AE40E0">
        <w:rPr>
          <w:rFonts w:ascii="Book Antiqua" w:hAnsi="Book Antiqua" w:cs="Times New Roman"/>
          <w:b/>
          <w:i/>
          <w:sz w:val="24"/>
          <w:szCs w:val="24"/>
        </w:rPr>
        <w:t>Budapeszt, 9 lipca 2025 r.</w:t>
      </w:r>
    </w:p>
    <w:p w:rsidR="00214007" w:rsidRPr="00AE40E0" w:rsidRDefault="00214007" w:rsidP="00214007">
      <w:pPr>
        <w:spacing w:line="25" w:lineRule="atLeast"/>
        <w:jc w:val="both"/>
        <w:rPr>
          <w:rFonts w:ascii="Book Antiqua" w:hAnsi="Book Antiqua" w:cs="Times New Roman"/>
          <w:sz w:val="24"/>
          <w:szCs w:val="24"/>
        </w:rPr>
      </w:pPr>
    </w:p>
    <w:p w:rsidR="00214007" w:rsidRPr="00AE40E0" w:rsidRDefault="00214007" w:rsidP="00214007">
      <w:pPr>
        <w:spacing w:line="25" w:lineRule="atLeast"/>
        <w:jc w:val="both"/>
        <w:rPr>
          <w:rFonts w:ascii="Book Antiqua" w:hAnsi="Book Antiqua" w:cs="Times New Roman"/>
          <w:sz w:val="24"/>
          <w:szCs w:val="24"/>
        </w:rPr>
      </w:pPr>
      <w:r w:rsidRPr="00AE40E0">
        <w:rPr>
          <w:rFonts w:ascii="Book Antiqua" w:hAnsi="Book Antiqua" w:cs="Times New Roman"/>
          <w:sz w:val="24"/>
          <w:szCs w:val="24"/>
        </w:rPr>
        <w:t>My, ministrowie rolnictwa przyfrontowych państw członkowskich (Bułgarii, Polski, Rumunii, Słowacji i Węgier), spotkaliśmy się w Budapeszcie 9 lipca 2025 r. na zaproszenie Węgier, które obecnie sprawują prezydencję w V4, i omówiliśmy oraz uzgodniliśmy nasze wspólne stanowisko w sprawie przeglądu pogłębionej i kompleksowej strefy wolnego handlu między UE a Ukrainą (DCFTA).</w:t>
      </w:r>
    </w:p>
    <w:p w:rsidR="00214007" w:rsidRPr="00AE40E0" w:rsidRDefault="00214007" w:rsidP="00214007">
      <w:pPr>
        <w:spacing w:line="25" w:lineRule="atLeast"/>
        <w:jc w:val="both"/>
        <w:rPr>
          <w:rFonts w:ascii="Book Antiqua" w:hAnsi="Book Antiqua" w:cs="Times New Roman"/>
          <w:sz w:val="24"/>
          <w:szCs w:val="24"/>
        </w:rPr>
      </w:pPr>
      <w:r w:rsidRPr="00AE40E0">
        <w:rPr>
          <w:rFonts w:ascii="Book Antiqua" w:hAnsi="Book Antiqua" w:cs="Times New Roman"/>
          <w:sz w:val="24"/>
          <w:szCs w:val="24"/>
        </w:rPr>
        <w:t xml:space="preserve">My, ministrowie rolnictwa przyfrontowych państw członkowskich </w:t>
      </w:r>
    </w:p>
    <w:p w:rsidR="00214007" w:rsidRPr="00AE40E0" w:rsidRDefault="00214007" w:rsidP="00214007">
      <w:pPr>
        <w:pStyle w:val="Akapitzlist"/>
        <w:numPr>
          <w:ilvl w:val="0"/>
          <w:numId w:val="1"/>
        </w:numPr>
        <w:spacing w:line="25" w:lineRule="atLeast"/>
        <w:ind w:left="567" w:hanging="567"/>
        <w:contextualSpacing w:val="0"/>
        <w:jc w:val="both"/>
        <w:rPr>
          <w:rFonts w:ascii="Book Antiqua" w:hAnsi="Book Antiqua" w:cs="Times New Roman"/>
          <w:sz w:val="24"/>
          <w:szCs w:val="24"/>
        </w:rPr>
      </w:pPr>
      <w:proofErr w:type="spellStart"/>
      <w:r w:rsidRPr="00AE40E0">
        <w:rPr>
          <w:rFonts w:ascii="Book Antiqua" w:hAnsi="Book Antiqua" w:cs="Times New Roman"/>
          <w:sz w:val="24"/>
          <w:szCs w:val="24"/>
        </w:rPr>
        <w:t>Przypominamy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,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że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w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ostatnich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latach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wysoki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wolumen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ukraińskiego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importu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rolnego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znacząco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zakłócił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rynki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w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naszych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krajach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,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ponieważ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zdecydowana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większość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towarów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importowanych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z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Ukrainy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do UE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trafiła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do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przyfrontowych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państw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członkowskich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,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tworząc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nierówne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warunki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działania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dla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naszych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rolników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. </w:t>
      </w:r>
    </w:p>
    <w:p w:rsidR="00214007" w:rsidRPr="00AE40E0" w:rsidRDefault="00214007" w:rsidP="00214007">
      <w:pPr>
        <w:pStyle w:val="Akapitzlist"/>
        <w:numPr>
          <w:ilvl w:val="0"/>
          <w:numId w:val="1"/>
        </w:numPr>
        <w:spacing w:line="25" w:lineRule="atLeast"/>
        <w:ind w:left="567" w:hanging="567"/>
        <w:contextualSpacing w:val="0"/>
        <w:jc w:val="both"/>
        <w:rPr>
          <w:rFonts w:ascii="Book Antiqua" w:hAnsi="Book Antiqua" w:cs="Times New Roman"/>
          <w:sz w:val="24"/>
          <w:szCs w:val="24"/>
        </w:rPr>
      </w:pPr>
      <w:r w:rsidRPr="00AE40E0">
        <w:rPr>
          <w:rFonts w:ascii="Book Antiqua" w:hAnsi="Book Antiqua" w:cs="Times New Roman"/>
          <w:sz w:val="24"/>
          <w:szCs w:val="24"/>
        </w:rPr>
        <w:t xml:space="preserve">PODKREŚLAMY,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że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pełna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liberalizacja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importu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z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Ukrainy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doprowadziła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do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nierównowagi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,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która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zagraża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stabilności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naszych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sektorów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rolnych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.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Negatywne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konsekwencje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tego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importu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są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oczywiste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,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ponieważ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podważają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konkurencyjność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lokalnych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producentów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,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prowadzą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do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zakłóceń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na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rynku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,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utraty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naszych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tradycyjnych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kierunków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eksportowych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i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wywierają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nadmierną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presję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na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nasze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gospodarki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wiejskie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>.</w:t>
      </w:r>
    </w:p>
    <w:p w:rsidR="00214007" w:rsidRPr="00AE40E0" w:rsidRDefault="00214007" w:rsidP="00214007">
      <w:pPr>
        <w:pStyle w:val="Akapitzlist"/>
        <w:numPr>
          <w:ilvl w:val="0"/>
          <w:numId w:val="1"/>
        </w:numPr>
        <w:spacing w:line="25" w:lineRule="atLeast"/>
        <w:ind w:left="567" w:hanging="567"/>
        <w:contextualSpacing w:val="0"/>
        <w:jc w:val="both"/>
        <w:rPr>
          <w:rFonts w:ascii="Book Antiqua" w:hAnsi="Book Antiqua" w:cs="Times New Roman"/>
          <w:sz w:val="24"/>
          <w:szCs w:val="24"/>
        </w:rPr>
      </w:pPr>
      <w:r w:rsidRPr="00AE40E0">
        <w:rPr>
          <w:rFonts w:ascii="Book Antiqua" w:hAnsi="Book Antiqua" w:cs="Times New Roman"/>
          <w:sz w:val="24"/>
          <w:szCs w:val="24"/>
        </w:rPr>
        <w:t xml:space="preserve">Z ZADOWOLENIEM PRZYJMUJEMY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stopniowe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wycofywanie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systemu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autonomicznych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środków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handlowych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(ATM),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który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od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samego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początku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okazał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się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niezrównoważonym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mechanizmem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i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niewystarczającą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obroną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interesów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przyfrontowych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państw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członkowskich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. </w:t>
      </w:r>
    </w:p>
    <w:p w:rsidR="00214007" w:rsidRPr="00AE40E0" w:rsidRDefault="00214007" w:rsidP="00214007">
      <w:pPr>
        <w:pStyle w:val="Akapitzlist"/>
        <w:numPr>
          <w:ilvl w:val="0"/>
          <w:numId w:val="1"/>
        </w:numPr>
        <w:spacing w:line="25" w:lineRule="atLeast"/>
        <w:ind w:left="567" w:hanging="567"/>
        <w:contextualSpacing w:val="0"/>
        <w:jc w:val="both"/>
        <w:rPr>
          <w:rFonts w:ascii="Book Antiqua" w:hAnsi="Book Antiqua" w:cs="Times New Roman"/>
          <w:sz w:val="24"/>
          <w:szCs w:val="24"/>
        </w:rPr>
      </w:pPr>
      <w:r w:rsidRPr="00AE40E0">
        <w:rPr>
          <w:rFonts w:ascii="Book Antiqua" w:hAnsi="Book Antiqua" w:cs="Times New Roman"/>
          <w:sz w:val="24"/>
          <w:szCs w:val="24"/>
        </w:rPr>
        <w:t xml:space="preserve">WYRAŻAMY ZANIEPOKOJENIE,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że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porozumienie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co do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zasady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osiągnięte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między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Komisją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a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Ukrainą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w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sprawie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przeglądu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DCFTA UE-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Ukraina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w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oparciu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o art. 29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układu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o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stowarzyszeniu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między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Unią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Europejską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a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Ukrainą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nie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uwzględnia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w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pełni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interesów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przyfrontowych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państw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członkowskich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. </w:t>
      </w:r>
      <w:bookmarkStart w:id="1" w:name="_Hlk202814257"/>
      <w:r w:rsidRPr="00AE40E0">
        <w:rPr>
          <w:rFonts w:ascii="Book Antiqua" w:hAnsi="Book Antiqua" w:cs="Times New Roman"/>
          <w:sz w:val="24"/>
          <w:szCs w:val="24"/>
        </w:rPr>
        <w:t xml:space="preserve">PODKREŚLAMY,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że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w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procedurze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prowadzącej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do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zawarcia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umowy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zasadniczo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brakowało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przejrzystości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wobec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państw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członkowskich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>.</w:t>
      </w:r>
    </w:p>
    <w:bookmarkEnd w:id="1"/>
    <w:p w:rsidR="00214007" w:rsidRPr="00AE40E0" w:rsidRDefault="00214007" w:rsidP="00214007">
      <w:pPr>
        <w:pStyle w:val="Akapitzlist"/>
        <w:numPr>
          <w:ilvl w:val="0"/>
          <w:numId w:val="1"/>
        </w:numPr>
        <w:spacing w:line="25" w:lineRule="atLeast"/>
        <w:ind w:left="567" w:hanging="567"/>
        <w:contextualSpacing w:val="0"/>
        <w:jc w:val="both"/>
        <w:rPr>
          <w:rFonts w:ascii="Book Antiqua" w:hAnsi="Book Antiqua" w:cs="Times New Roman"/>
          <w:sz w:val="24"/>
          <w:szCs w:val="24"/>
        </w:rPr>
      </w:pPr>
      <w:r w:rsidRPr="00AE40E0">
        <w:rPr>
          <w:rFonts w:ascii="Book Antiqua" w:hAnsi="Book Antiqua" w:cs="Times New Roman"/>
          <w:sz w:val="24"/>
          <w:szCs w:val="24"/>
        </w:rPr>
        <w:t xml:space="preserve">PODKREŚLAMY,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że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przegląd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powinien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kłaść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szczególny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nacisk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na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interesy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przyfrontowych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państw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członkowskich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, aby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zapewnić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ich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rolnikom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wystarczającą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ochronę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>.</w:t>
      </w:r>
    </w:p>
    <w:p w:rsidR="00214007" w:rsidRPr="00AE40E0" w:rsidRDefault="00214007" w:rsidP="00214007">
      <w:pPr>
        <w:spacing w:line="25" w:lineRule="atLeast"/>
        <w:jc w:val="both"/>
        <w:rPr>
          <w:rFonts w:ascii="Book Antiqua" w:hAnsi="Book Antiqua" w:cs="Times New Roman"/>
          <w:sz w:val="24"/>
          <w:szCs w:val="24"/>
        </w:rPr>
      </w:pPr>
      <w:r w:rsidRPr="00AE40E0">
        <w:rPr>
          <w:rFonts w:ascii="Book Antiqua" w:hAnsi="Book Antiqua" w:cs="Times New Roman"/>
          <w:sz w:val="24"/>
          <w:szCs w:val="24"/>
        </w:rPr>
        <w:t xml:space="preserve">Dlatego </w:t>
      </w:r>
    </w:p>
    <w:p w:rsidR="00214007" w:rsidRPr="00AE40E0" w:rsidRDefault="00214007" w:rsidP="00214007">
      <w:pPr>
        <w:pStyle w:val="Akapitzlist"/>
        <w:numPr>
          <w:ilvl w:val="0"/>
          <w:numId w:val="1"/>
        </w:numPr>
        <w:spacing w:line="25" w:lineRule="atLeast"/>
        <w:ind w:left="567" w:hanging="567"/>
        <w:contextualSpacing w:val="0"/>
        <w:jc w:val="both"/>
        <w:rPr>
          <w:rFonts w:ascii="Book Antiqua" w:hAnsi="Book Antiqua" w:cs="Times New Roman"/>
          <w:sz w:val="24"/>
          <w:szCs w:val="24"/>
        </w:rPr>
      </w:pPr>
      <w:r w:rsidRPr="00AE40E0">
        <w:rPr>
          <w:rFonts w:ascii="Book Antiqua" w:hAnsi="Book Antiqua" w:cs="Times New Roman"/>
          <w:sz w:val="24"/>
          <w:szCs w:val="24"/>
        </w:rPr>
        <w:lastRenderedPageBreak/>
        <w:t xml:space="preserve">WIERZYMY,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że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ramy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ustanowione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przez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DCFTA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stanowiły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solidną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i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przewidywalną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podstawę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dla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naszych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stosunków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handlowych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,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i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UBOLEWAMY,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że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poziom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przedwojennych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kontyngentów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taryfowych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(TRQ)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nie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został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utrzymany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>.</w:t>
      </w:r>
    </w:p>
    <w:p w:rsidR="00214007" w:rsidRPr="00AE40E0" w:rsidRDefault="00214007" w:rsidP="00214007">
      <w:pPr>
        <w:pStyle w:val="Akapitzlist"/>
        <w:numPr>
          <w:ilvl w:val="0"/>
          <w:numId w:val="1"/>
        </w:numPr>
        <w:spacing w:line="25" w:lineRule="atLeast"/>
        <w:ind w:left="567" w:hanging="567"/>
        <w:contextualSpacing w:val="0"/>
        <w:jc w:val="both"/>
        <w:rPr>
          <w:rFonts w:ascii="Book Antiqua" w:hAnsi="Book Antiqua" w:cs="Times New Roman"/>
          <w:sz w:val="24"/>
          <w:szCs w:val="24"/>
        </w:rPr>
      </w:pPr>
      <w:r w:rsidRPr="00AE40E0">
        <w:rPr>
          <w:rFonts w:ascii="Book Antiqua" w:hAnsi="Book Antiqua" w:cs="Times New Roman"/>
          <w:sz w:val="24"/>
          <w:szCs w:val="24"/>
        </w:rPr>
        <w:t xml:space="preserve">PODKREŚLAMY,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że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proponowane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zwiększenie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kontyngentów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taryfowych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(TRQ),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zwłaszcza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w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przypadku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cukru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,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drobiu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,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jaj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,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pszenicy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,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kukurydzy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i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miodu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,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przekracza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oczekiwania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.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Jeśli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ostateczna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decyzja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doprowadzi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do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zwiększenia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kontyngentów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taryfowych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, WZYWAMY do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ich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stopniowego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wprowadzania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przez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określony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czas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w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celu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ograniczenia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ich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wzrostu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do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poziomów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bezpiecznych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z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punktu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widzenia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wrażliwości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danych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sektorów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. </w:t>
      </w:r>
    </w:p>
    <w:p w:rsidR="00214007" w:rsidRPr="00AE40E0" w:rsidRDefault="00214007" w:rsidP="00214007">
      <w:pPr>
        <w:pStyle w:val="Akapitzlist"/>
        <w:numPr>
          <w:ilvl w:val="0"/>
          <w:numId w:val="1"/>
        </w:numPr>
        <w:spacing w:line="25" w:lineRule="atLeast"/>
        <w:ind w:left="567" w:hanging="567"/>
        <w:contextualSpacing w:val="0"/>
        <w:jc w:val="both"/>
        <w:rPr>
          <w:rFonts w:ascii="Book Antiqua" w:hAnsi="Book Antiqua" w:cs="Times New Roman"/>
          <w:sz w:val="24"/>
          <w:szCs w:val="24"/>
        </w:rPr>
      </w:pPr>
      <w:r w:rsidRPr="00AE40E0">
        <w:rPr>
          <w:rFonts w:ascii="Book Antiqua" w:hAnsi="Book Antiqua" w:cs="Times New Roman"/>
          <w:sz w:val="24"/>
          <w:szCs w:val="24"/>
        </w:rPr>
        <w:t xml:space="preserve">Z ZADOWOLENIEM PRZYJMUJEMY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zamiar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regionalnego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stosowania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dwustronnych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przepisów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ochronnych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podobnych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do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tych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zawartych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w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porozumieniu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o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Europejskim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Obszarze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Gospodarczym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. WZYWAMY, aby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przepisy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te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miały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zastosowanie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do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wszystkich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produktów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rolnych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, w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tym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tych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,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dla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których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cła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UE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zostały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już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lub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są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w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pełni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zliberalizowane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.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Te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dwustronne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przepisy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ochronne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powinny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mieć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zastosowanie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,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jeśli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import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niekorzystnie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wpływa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na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rynek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unijny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lub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rynek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jednego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lub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kilku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państw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członkowskich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>.</w:t>
      </w:r>
    </w:p>
    <w:p w:rsidR="00214007" w:rsidRPr="00AE40E0" w:rsidRDefault="00214007" w:rsidP="00214007">
      <w:pPr>
        <w:pStyle w:val="Akapitzlist"/>
        <w:numPr>
          <w:ilvl w:val="0"/>
          <w:numId w:val="1"/>
        </w:numPr>
        <w:spacing w:line="25" w:lineRule="atLeast"/>
        <w:ind w:left="567" w:hanging="567"/>
        <w:contextualSpacing w:val="0"/>
        <w:jc w:val="both"/>
        <w:rPr>
          <w:rFonts w:ascii="Book Antiqua" w:hAnsi="Book Antiqua" w:cs="Times New Roman"/>
          <w:sz w:val="24"/>
          <w:szCs w:val="24"/>
        </w:rPr>
      </w:pPr>
      <w:r w:rsidRPr="00AE40E0">
        <w:rPr>
          <w:rFonts w:ascii="Book Antiqua" w:hAnsi="Book Antiqua" w:cs="Times New Roman"/>
          <w:sz w:val="24"/>
          <w:szCs w:val="24"/>
        </w:rPr>
        <w:t xml:space="preserve">WZYWAMY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Komisję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do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wdrożenia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automatycznie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stosowanych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regionalnych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środków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ochronnych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dla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przyfrontowych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państw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członkowskich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poprzez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ustanowienie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indywidualnych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progów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ilościowych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(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kontyngentów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)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dla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najbardziej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wrażliwych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produktów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rolnych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.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Podstawą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tych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indywidualnych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progów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(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kwot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)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powinny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być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normalne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,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przedwojenne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dwustronne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przepływy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handlowe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między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każdym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przyfrontowym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państwem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członkowskim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a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Ukrainą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>.</w:t>
      </w:r>
    </w:p>
    <w:p w:rsidR="00214007" w:rsidRPr="00AE40E0" w:rsidRDefault="00214007" w:rsidP="00214007">
      <w:pPr>
        <w:pStyle w:val="Akapitzlist"/>
        <w:numPr>
          <w:ilvl w:val="0"/>
          <w:numId w:val="1"/>
        </w:numPr>
        <w:spacing w:line="25" w:lineRule="atLeast"/>
        <w:ind w:left="567" w:hanging="567"/>
        <w:contextualSpacing w:val="0"/>
        <w:jc w:val="both"/>
        <w:rPr>
          <w:rFonts w:ascii="Book Antiqua" w:hAnsi="Book Antiqua" w:cs="Times New Roman"/>
          <w:sz w:val="24"/>
          <w:szCs w:val="24"/>
        </w:rPr>
      </w:pPr>
      <w:r w:rsidRPr="00AE40E0">
        <w:rPr>
          <w:rFonts w:ascii="Book Antiqua" w:hAnsi="Book Antiqua" w:cs="Times New Roman"/>
          <w:sz w:val="24"/>
          <w:szCs w:val="24"/>
        </w:rPr>
        <w:t xml:space="preserve">PODKREŚLAMY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znaczenie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wprowadzenia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klauzuli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przeglądowej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,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która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zapewniłaby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możliwość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ponownej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oceny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umowy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w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ciągu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dwóch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lat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od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jej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zastosowania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,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zapobiegając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w ten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sposób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przyszłym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zakłóceniom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rynku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i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zapewniając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uczciwą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konkurencję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dla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naszych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rolników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>.</w:t>
      </w:r>
    </w:p>
    <w:p w:rsidR="00214007" w:rsidRPr="00AE40E0" w:rsidRDefault="00214007" w:rsidP="00214007">
      <w:pPr>
        <w:pStyle w:val="Akapitzlist"/>
        <w:numPr>
          <w:ilvl w:val="0"/>
          <w:numId w:val="1"/>
        </w:numPr>
        <w:spacing w:line="25" w:lineRule="atLeast"/>
        <w:ind w:left="567" w:hanging="567"/>
        <w:contextualSpacing w:val="0"/>
        <w:jc w:val="both"/>
        <w:rPr>
          <w:rFonts w:ascii="Book Antiqua" w:hAnsi="Book Antiqua" w:cs="Times New Roman"/>
          <w:sz w:val="24"/>
          <w:szCs w:val="24"/>
        </w:rPr>
      </w:pPr>
      <w:r w:rsidRPr="00AE40E0">
        <w:rPr>
          <w:rFonts w:ascii="Book Antiqua" w:hAnsi="Book Antiqua" w:cs="Times New Roman"/>
          <w:sz w:val="24"/>
          <w:szCs w:val="24"/>
        </w:rPr>
        <w:t xml:space="preserve">ZGADZAMY SIĘ,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że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ważne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jest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wprowadzenie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wszystkich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odpowiednich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przepisów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sanitarnych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i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fitosanitarnych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,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dotyczących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dobrostanu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zwierząt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,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zdrowia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publicznego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i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środowiska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,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zgodnie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ze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standardami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UE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dla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ukraińskiej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produkcji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rolnej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. </w:t>
      </w:r>
    </w:p>
    <w:p w:rsidR="00214007" w:rsidRPr="00AE40E0" w:rsidRDefault="00214007" w:rsidP="00214007">
      <w:pPr>
        <w:pStyle w:val="Akapitzlist"/>
        <w:numPr>
          <w:ilvl w:val="0"/>
          <w:numId w:val="1"/>
        </w:numPr>
        <w:spacing w:line="25" w:lineRule="atLeast"/>
        <w:ind w:left="567" w:hanging="567"/>
        <w:contextualSpacing w:val="0"/>
        <w:jc w:val="both"/>
        <w:rPr>
          <w:rFonts w:ascii="Book Antiqua" w:hAnsi="Book Antiqua" w:cs="Times New Roman"/>
          <w:sz w:val="24"/>
          <w:szCs w:val="24"/>
        </w:rPr>
      </w:pPr>
      <w:r w:rsidRPr="00AE40E0">
        <w:rPr>
          <w:rFonts w:ascii="Book Antiqua" w:hAnsi="Book Antiqua" w:cs="Times New Roman"/>
          <w:sz w:val="24"/>
          <w:szCs w:val="24"/>
        </w:rPr>
        <w:t xml:space="preserve">WZYWAMY do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opracowania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specjalnego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rozwiązania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dla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kukurydzy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,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ponieważ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zerowa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stawka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celna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jest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stosowana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zgodnie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z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obecną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metodą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obliczania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, co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uniemożliwia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nałożenie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ceł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na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importowaną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kukurydzę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niezależnie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od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importowanej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ilości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. W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związku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z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tym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PROPONUJEMY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przegląd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poziomu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progów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referencyjnych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w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rozporządzeniu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o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wspólnej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organizacji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rynku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(CMO).</w:t>
      </w:r>
    </w:p>
    <w:p w:rsidR="00214007" w:rsidRPr="00AE40E0" w:rsidRDefault="00214007" w:rsidP="00214007">
      <w:pPr>
        <w:pStyle w:val="Akapitzlist"/>
        <w:numPr>
          <w:ilvl w:val="0"/>
          <w:numId w:val="1"/>
        </w:numPr>
        <w:spacing w:line="25" w:lineRule="atLeast"/>
        <w:ind w:left="567" w:hanging="567"/>
        <w:contextualSpacing w:val="0"/>
        <w:jc w:val="both"/>
        <w:rPr>
          <w:rFonts w:ascii="Book Antiqua" w:hAnsi="Book Antiqua" w:cs="Times New Roman"/>
          <w:sz w:val="24"/>
          <w:szCs w:val="24"/>
        </w:rPr>
      </w:pPr>
      <w:r w:rsidRPr="00AE40E0">
        <w:rPr>
          <w:rFonts w:ascii="Book Antiqua" w:hAnsi="Book Antiqua" w:cs="Times New Roman"/>
          <w:sz w:val="24"/>
          <w:szCs w:val="24"/>
        </w:rPr>
        <w:t xml:space="preserve">WZYWAMY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Komisję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do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wprowadzenia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progu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minimalnych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cen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importowych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dla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odpowiednich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produktów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rolnych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,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poniżej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którego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uruchamiane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byłyby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środki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ochronne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, aby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zapobiec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sprzedaży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importowanych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towarów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poniżej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kosztów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krajowych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produktów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rolnych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>.</w:t>
      </w:r>
    </w:p>
    <w:p w:rsidR="00214007" w:rsidRPr="00AE40E0" w:rsidRDefault="00214007" w:rsidP="00214007">
      <w:pPr>
        <w:pStyle w:val="Akapitzlist"/>
        <w:numPr>
          <w:ilvl w:val="0"/>
          <w:numId w:val="1"/>
        </w:numPr>
        <w:spacing w:line="25" w:lineRule="atLeast"/>
        <w:ind w:left="567" w:hanging="567"/>
        <w:contextualSpacing w:val="0"/>
        <w:jc w:val="both"/>
        <w:rPr>
          <w:rFonts w:ascii="Book Antiqua" w:hAnsi="Book Antiqua" w:cs="Times New Roman"/>
          <w:sz w:val="24"/>
          <w:szCs w:val="24"/>
        </w:rPr>
      </w:pPr>
      <w:r w:rsidRPr="00AE40E0">
        <w:rPr>
          <w:rFonts w:ascii="Book Antiqua" w:hAnsi="Book Antiqua" w:cs="Times New Roman"/>
          <w:sz w:val="24"/>
          <w:szCs w:val="24"/>
        </w:rPr>
        <w:t xml:space="preserve">Z ZADOWOLENIEM PRZYJMUJEMY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utrzymanie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systemu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cen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wejścia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,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który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chroni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przed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importem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owoców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i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warzyw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po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niskich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cenach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. </w:t>
      </w:r>
    </w:p>
    <w:p w:rsidR="00214007" w:rsidRPr="00AE40E0" w:rsidRDefault="00214007" w:rsidP="00214007">
      <w:pPr>
        <w:pStyle w:val="Akapitzlist"/>
        <w:numPr>
          <w:ilvl w:val="0"/>
          <w:numId w:val="1"/>
        </w:numPr>
        <w:spacing w:line="25" w:lineRule="atLeast"/>
        <w:ind w:left="567" w:hanging="567"/>
        <w:contextualSpacing w:val="0"/>
        <w:jc w:val="both"/>
        <w:rPr>
          <w:rFonts w:ascii="Book Antiqua" w:hAnsi="Book Antiqua" w:cs="Times New Roman"/>
          <w:sz w:val="24"/>
          <w:szCs w:val="24"/>
        </w:rPr>
      </w:pPr>
      <w:r w:rsidRPr="00AE40E0">
        <w:rPr>
          <w:rFonts w:ascii="Book Antiqua" w:hAnsi="Book Antiqua" w:cs="Times New Roman"/>
          <w:sz w:val="24"/>
          <w:szCs w:val="24"/>
        </w:rPr>
        <w:lastRenderedPageBreak/>
        <w:t xml:space="preserve">ZACHĘCAMY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Komisję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do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rozważenia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ustanowienia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specjalnego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funduszu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w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celu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zrekompensowania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ewentualnych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strat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poniesionych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przez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producentów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rolnych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w UE w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przypadku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nadmiernego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importu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z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Ukrainy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w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przyszłości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>.</w:t>
      </w:r>
    </w:p>
    <w:p w:rsidR="00214007" w:rsidRPr="00AE40E0" w:rsidRDefault="00214007" w:rsidP="00214007">
      <w:pPr>
        <w:pStyle w:val="Akapitzlist"/>
        <w:numPr>
          <w:ilvl w:val="0"/>
          <w:numId w:val="1"/>
        </w:numPr>
        <w:spacing w:line="25" w:lineRule="atLeast"/>
        <w:ind w:left="567" w:hanging="567"/>
        <w:contextualSpacing w:val="0"/>
        <w:jc w:val="both"/>
        <w:rPr>
          <w:rFonts w:ascii="Book Antiqua" w:hAnsi="Book Antiqua" w:cs="Times New Roman"/>
          <w:sz w:val="24"/>
          <w:szCs w:val="24"/>
        </w:rPr>
      </w:pPr>
      <w:r w:rsidRPr="00AE40E0">
        <w:rPr>
          <w:rFonts w:ascii="Book Antiqua" w:hAnsi="Book Antiqua" w:cs="Times New Roman"/>
          <w:sz w:val="24"/>
          <w:szCs w:val="24"/>
        </w:rPr>
        <w:t xml:space="preserve">PODKREŚLAMY,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że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szeroka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akceptacja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ostatecznego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porozumienia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zależy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od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właściwego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włączenia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środków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określonych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w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niniejszej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deklaracji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,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które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mają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zasadnicze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znaczenie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dla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państw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członkowskich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najbardziej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bezpośrednio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dotkniętych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skutkami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porozumienia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>.</w:t>
      </w:r>
    </w:p>
    <w:p w:rsidR="00214007" w:rsidRPr="00AE40E0" w:rsidRDefault="00214007" w:rsidP="00214007">
      <w:pPr>
        <w:pStyle w:val="Akapitzlist"/>
        <w:numPr>
          <w:ilvl w:val="0"/>
          <w:numId w:val="1"/>
        </w:numPr>
        <w:spacing w:line="25" w:lineRule="atLeast"/>
        <w:ind w:left="567" w:hanging="567"/>
        <w:contextualSpacing w:val="0"/>
        <w:jc w:val="both"/>
        <w:rPr>
          <w:rFonts w:ascii="Book Antiqua" w:hAnsi="Book Antiqua" w:cs="Times New Roman"/>
          <w:sz w:val="24"/>
          <w:szCs w:val="24"/>
        </w:rPr>
      </w:pPr>
      <w:r w:rsidRPr="00AE40E0">
        <w:rPr>
          <w:rFonts w:ascii="Book Antiqua" w:hAnsi="Book Antiqua" w:cs="Times New Roman"/>
          <w:sz w:val="24"/>
          <w:szCs w:val="24"/>
        </w:rPr>
        <w:t xml:space="preserve">WZYWAMY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Komisję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do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uwzględnienia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niniejszego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E40E0">
        <w:rPr>
          <w:rFonts w:ascii="Book Antiqua" w:hAnsi="Book Antiqua" w:cs="Times New Roman"/>
          <w:sz w:val="24"/>
          <w:szCs w:val="24"/>
        </w:rPr>
        <w:t>oświadczenia</w:t>
      </w:r>
      <w:proofErr w:type="spellEnd"/>
      <w:r w:rsidRPr="00AE40E0">
        <w:rPr>
          <w:rFonts w:ascii="Book Antiqua" w:hAnsi="Book Antiqua" w:cs="Times New Roman"/>
          <w:sz w:val="24"/>
          <w:szCs w:val="24"/>
        </w:rPr>
        <w:t>.</w:t>
      </w:r>
      <w:bookmarkStart w:id="2" w:name="_GoBack"/>
      <w:bookmarkEnd w:id="2"/>
    </w:p>
    <w:p w:rsidR="00214007" w:rsidRPr="00AE40E0" w:rsidRDefault="00214007" w:rsidP="00214007">
      <w:pPr>
        <w:spacing w:line="25" w:lineRule="atLeast"/>
        <w:jc w:val="center"/>
        <w:rPr>
          <w:rFonts w:ascii="Book Antiqua" w:hAnsi="Book Antiqua" w:cs="Times New Roman"/>
          <w:sz w:val="24"/>
          <w:szCs w:val="24"/>
        </w:rPr>
      </w:pPr>
      <w:r w:rsidRPr="00AE40E0">
        <w:rPr>
          <w:rFonts w:ascii="Book Antiqua" w:hAnsi="Book Antiqua" w:cs="Times New Roman"/>
          <w:sz w:val="24"/>
          <w:szCs w:val="24"/>
        </w:rPr>
        <w:t>***</w:t>
      </w:r>
    </w:p>
    <w:p w:rsidR="00214007" w:rsidRPr="00AE40E0" w:rsidRDefault="00214007" w:rsidP="00214007">
      <w:pPr>
        <w:spacing w:line="25" w:lineRule="atLeast"/>
        <w:jc w:val="center"/>
        <w:rPr>
          <w:rFonts w:ascii="Book Antiqua" w:hAnsi="Book Antiqua" w:cs="Times New Roman"/>
          <w:sz w:val="24"/>
          <w:szCs w:val="24"/>
        </w:rPr>
      </w:pPr>
    </w:p>
    <w:tbl>
      <w:tblPr>
        <w:tblW w:w="9570" w:type="dxa"/>
        <w:tblInd w:w="-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70"/>
        <w:gridCol w:w="4800"/>
      </w:tblGrid>
      <w:tr w:rsidR="00AE40E0" w:rsidRPr="00AE40E0" w:rsidTr="006B5EC1">
        <w:trPr>
          <w:trHeight w:val="1080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</w:tcPr>
          <w:p w:rsidR="00214007" w:rsidRPr="00AE40E0" w:rsidRDefault="00214007" w:rsidP="006B5EC1">
            <w:pPr>
              <w:spacing w:line="25" w:lineRule="atLeast"/>
              <w:ind w:left="187"/>
              <w:jc w:val="center"/>
              <w:rPr>
                <w:rFonts w:ascii="Book Antiqua" w:hAnsi="Book Antiqua" w:cs="Times New Roman"/>
                <w:b/>
                <w:bCs/>
                <w:sz w:val="24"/>
                <w:szCs w:val="24"/>
              </w:rPr>
            </w:pPr>
          </w:p>
          <w:p w:rsidR="00214007" w:rsidRPr="00AE40E0" w:rsidRDefault="00214007" w:rsidP="006B5EC1">
            <w:pPr>
              <w:spacing w:line="25" w:lineRule="atLeast"/>
              <w:ind w:left="187"/>
              <w:jc w:val="center"/>
              <w:rPr>
                <w:rFonts w:ascii="Book Antiqua" w:hAnsi="Book Antiqua" w:cs="Times New Roman"/>
                <w:b/>
                <w:bCs/>
                <w:sz w:val="24"/>
                <w:szCs w:val="24"/>
              </w:rPr>
            </w:pPr>
            <w:proofErr w:type="spellStart"/>
            <w:r w:rsidRPr="00AE40E0">
              <w:rPr>
                <w:rFonts w:ascii="Book Antiqua" w:hAnsi="Book Antiqua" w:cs="Times New Roman"/>
                <w:b/>
                <w:bCs/>
                <w:sz w:val="24"/>
                <w:szCs w:val="24"/>
              </w:rPr>
              <w:t>Georgi</w:t>
            </w:r>
            <w:proofErr w:type="spellEnd"/>
            <w:r w:rsidRPr="00AE40E0">
              <w:rPr>
                <w:rFonts w:ascii="Book Antiqua" w:hAnsi="Book Antiqua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E40E0">
              <w:rPr>
                <w:rFonts w:ascii="Book Antiqua" w:hAnsi="Book Antiqua" w:cs="Times New Roman"/>
                <w:b/>
                <w:bCs/>
                <w:sz w:val="24"/>
                <w:szCs w:val="24"/>
              </w:rPr>
              <w:t>Tahov</w:t>
            </w:r>
            <w:proofErr w:type="spellEnd"/>
            <w:r w:rsidRPr="00AE40E0">
              <w:rPr>
                <w:rFonts w:ascii="Book Antiqua" w:hAnsi="Book Antiqua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AE40E0">
              <w:rPr>
                <w:rFonts w:ascii="Book Antiqua" w:hAnsi="Book Antiqua" w:cs="Times New Roman"/>
                <w:b/>
                <w:bCs/>
                <w:sz w:val="24"/>
                <w:szCs w:val="24"/>
              </w:rPr>
              <w:t>PhD</w:t>
            </w:r>
            <w:proofErr w:type="spellEnd"/>
          </w:p>
          <w:p w:rsidR="00214007" w:rsidRPr="00AE40E0" w:rsidRDefault="00214007" w:rsidP="006B5EC1">
            <w:pPr>
              <w:spacing w:line="25" w:lineRule="atLeast"/>
              <w:ind w:left="187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  <w:r w:rsidRPr="00AE40E0">
              <w:rPr>
                <w:rFonts w:ascii="Book Antiqua" w:hAnsi="Book Antiqua" w:cs="Times New Roman"/>
                <w:sz w:val="24"/>
                <w:szCs w:val="24"/>
              </w:rPr>
              <w:t>minister rolnictwa i żywności Bułgarii</w:t>
            </w:r>
          </w:p>
          <w:p w:rsidR="00214007" w:rsidRPr="00AE40E0" w:rsidRDefault="00214007" w:rsidP="006B5EC1">
            <w:pPr>
              <w:spacing w:line="25" w:lineRule="atLeast"/>
              <w:ind w:left="187"/>
              <w:jc w:val="both"/>
              <w:rPr>
                <w:rFonts w:ascii="Book Antiqua" w:hAnsi="Book Antiqu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214007" w:rsidRPr="00AE40E0" w:rsidRDefault="00214007" w:rsidP="006B5EC1">
            <w:pPr>
              <w:spacing w:line="25" w:lineRule="atLeast"/>
              <w:jc w:val="center"/>
              <w:rPr>
                <w:rFonts w:ascii="Book Antiqua" w:hAnsi="Book Antiqua" w:cs="Times New Roman"/>
                <w:b/>
                <w:bCs/>
                <w:sz w:val="24"/>
                <w:szCs w:val="24"/>
              </w:rPr>
            </w:pPr>
          </w:p>
          <w:p w:rsidR="00214007" w:rsidRPr="00AE40E0" w:rsidRDefault="00214007" w:rsidP="006B5EC1">
            <w:pPr>
              <w:spacing w:line="25" w:lineRule="atLeast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  <w:r w:rsidRPr="00AE40E0">
              <w:rPr>
                <w:rFonts w:ascii="Book Antiqua" w:hAnsi="Book Antiqua" w:cs="Times New Roman"/>
                <w:b/>
                <w:bCs/>
                <w:sz w:val="24"/>
                <w:szCs w:val="24"/>
              </w:rPr>
              <w:t>Czesław Siekierski</w:t>
            </w:r>
          </w:p>
          <w:p w:rsidR="00214007" w:rsidRPr="00AE40E0" w:rsidRDefault="00214007" w:rsidP="006B5EC1">
            <w:pPr>
              <w:spacing w:line="25" w:lineRule="atLeast"/>
              <w:ind w:left="187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  <w:r w:rsidRPr="00AE40E0">
              <w:rPr>
                <w:rFonts w:ascii="Book Antiqua" w:hAnsi="Book Antiqua" w:cs="Times New Roman"/>
                <w:sz w:val="24"/>
                <w:szCs w:val="24"/>
              </w:rPr>
              <w:t>minister rolnictwa i rozwoju wsi Polski</w:t>
            </w:r>
          </w:p>
          <w:p w:rsidR="00214007" w:rsidRPr="00AE40E0" w:rsidRDefault="00214007" w:rsidP="006B5EC1">
            <w:pPr>
              <w:spacing w:line="25" w:lineRule="atLeast"/>
              <w:ind w:left="187"/>
              <w:jc w:val="both"/>
              <w:rPr>
                <w:rFonts w:ascii="Book Antiqua" w:hAnsi="Book Antiqua" w:cs="Times New Roman"/>
                <w:b/>
                <w:bCs/>
                <w:sz w:val="24"/>
                <w:szCs w:val="24"/>
              </w:rPr>
            </w:pPr>
          </w:p>
        </w:tc>
      </w:tr>
      <w:tr w:rsidR="00AE40E0" w:rsidRPr="00AE40E0" w:rsidTr="006B5EC1">
        <w:trPr>
          <w:trHeight w:val="1605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</w:tcPr>
          <w:p w:rsidR="00214007" w:rsidRPr="00AE40E0" w:rsidRDefault="00214007" w:rsidP="006B5EC1">
            <w:pPr>
              <w:spacing w:line="25" w:lineRule="atLeast"/>
              <w:ind w:left="187"/>
              <w:jc w:val="center"/>
              <w:rPr>
                <w:rFonts w:ascii="Book Antiqua" w:hAnsi="Book Antiqua" w:cs="Times New Roman"/>
                <w:b/>
                <w:bCs/>
                <w:sz w:val="24"/>
                <w:szCs w:val="24"/>
              </w:rPr>
            </w:pPr>
            <w:proofErr w:type="spellStart"/>
            <w:r w:rsidRPr="00AE40E0">
              <w:rPr>
                <w:rFonts w:ascii="Book Antiqua" w:hAnsi="Book Antiqua" w:cs="Times New Roman"/>
                <w:b/>
                <w:bCs/>
                <w:sz w:val="24"/>
                <w:szCs w:val="24"/>
              </w:rPr>
              <w:t>Florin</w:t>
            </w:r>
            <w:proofErr w:type="spellEnd"/>
            <w:r w:rsidRPr="00AE40E0">
              <w:rPr>
                <w:rFonts w:ascii="Book Antiqua" w:hAnsi="Book Antiqua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E40E0">
              <w:rPr>
                <w:rFonts w:ascii="Book Antiqua" w:hAnsi="Book Antiqua" w:cs="Times New Roman"/>
                <w:b/>
                <w:bCs/>
                <w:sz w:val="24"/>
                <w:szCs w:val="24"/>
              </w:rPr>
              <w:t>Ionut</w:t>
            </w:r>
            <w:proofErr w:type="spellEnd"/>
            <w:r w:rsidRPr="00AE40E0">
              <w:rPr>
                <w:rFonts w:ascii="Book Antiqua" w:hAnsi="Book Antiqua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E40E0">
              <w:rPr>
                <w:rFonts w:ascii="Book Antiqua" w:hAnsi="Book Antiqua" w:cs="Times New Roman"/>
                <w:b/>
                <w:bCs/>
                <w:sz w:val="24"/>
                <w:szCs w:val="24"/>
              </w:rPr>
              <w:t>Barbu</w:t>
            </w:r>
            <w:proofErr w:type="spellEnd"/>
          </w:p>
          <w:p w:rsidR="00214007" w:rsidRPr="00AE40E0" w:rsidRDefault="00214007" w:rsidP="006B5EC1">
            <w:pPr>
              <w:spacing w:line="25" w:lineRule="atLeast"/>
              <w:ind w:left="187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  <w:r w:rsidRPr="00AE40E0">
              <w:rPr>
                <w:rFonts w:ascii="Book Antiqua" w:hAnsi="Book Antiqua" w:cs="Times New Roman"/>
                <w:sz w:val="24"/>
                <w:szCs w:val="24"/>
              </w:rPr>
              <w:t>minister rolnictwa i rozwoju wsi Rumunii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214007" w:rsidRPr="00AE40E0" w:rsidRDefault="00214007" w:rsidP="006B5EC1">
            <w:pPr>
              <w:spacing w:line="25" w:lineRule="atLeast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  <w:r w:rsidRPr="00AE40E0">
              <w:rPr>
                <w:rFonts w:ascii="Book Antiqua" w:hAnsi="Book Antiqua" w:cs="Times New Roman"/>
                <w:b/>
                <w:bCs/>
                <w:sz w:val="24"/>
                <w:szCs w:val="24"/>
              </w:rPr>
              <w:t xml:space="preserve">Richard </w:t>
            </w:r>
            <w:proofErr w:type="spellStart"/>
            <w:r w:rsidRPr="00AE40E0">
              <w:rPr>
                <w:rFonts w:ascii="Book Antiqua" w:hAnsi="Book Antiqua" w:cs="Times New Roman"/>
                <w:b/>
                <w:bCs/>
                <w:sz w:val="24"/>
                <w:szCs w:val="24"/>
              </w:rPr>
              <w:t>Takáč</w:t>
            </w:r>
            <w:proofErr w:type="spellEnd"/>
          </w:p>
          <w:p w:rsidR="00214007" w:rsidRPr="00AE40E0" w:rsidRDefault="00214007" w:rsidP="006B5EC1">
            <w:pPr>
              <w:spacing w:line="25" w:lineRule="atLeast"/>
              <w:ind w:left="187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  <w:r w:rsidRPr="00AE40E0">
              <w:rPr>
                <w:rFonts w:ascii="Book Antiqua" w:hAnsi="Book Antiqua" w:cs="Times New Roman"/>
                <w:sz w:val="24"/>
                <w:szCs w:val="24"/>
              </w:rPr>
              <w:t>minister rolnictwa i rozwoju wsi Słowacji</w:t>
            </w:r>
          </w:p>
          <w:p w:rsidR="00214007" w:rsidRPr="00AE40E0" w:rsidRDefault="00214007" w:rsidP="006B5EC1">
            <w:pPr>
              <w:spacing w:line="25" w:lineRule="atLeast"/>
              <w:ind w:left="187"/>
              <w:jc w:val="both"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214007" w:rsidRPr="00AE40E0" w:rsidRDefault="00214007" w:rsidP="006B5EC1">
            <w:pPr>
              <w:spacing w:line="25" w:lineRule="atLeast"/>
              <w:ind w:left="187"/>
              <w:jc w:val="both"/>
              <w:rPr>
                <w:rFonts w:ascii="Book Antiqua" w:hAnsi="Book Antiqua" w:cs="Times New Roman"/>
                <w:b/>
                <w:bCs/>
                <w:sz w:val="24"/>
                <w:szCs w:val="24"/>
              </w:rPr>
            </w:pPr>
          </w:p>
        </w:tc>
      </w:tr>
      <w:tr w:rsidR="00AE40E0" w:rsidRPr="00AE40E0" w:rsidTr="006B5EC1">
        <w:trPr>
          <w:trHeight w:val="1785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</w:tcPr>
          <w:p w:rsidR="00214007" w:rsidRPr="00AE40E0" w:rsidRDefault="00214007" w:rsidP="006B5EC1">
            <w:pPr>
              <w:spacing w:line="25" w:lineRule="atLeast"/>
              <w:ind w:left="187"/>
              <w:jc w:val="center"/>
              <w:rPr>
                <w:rFonts w:ascii="Book Antiqua" w:hAnsi="Book Antiqua" w:cs="Times New Roman"/>
                <w:b/>
                <w:sz w:val="24"/>
                <w:szCs w:val="24"/>
              </w:rPr>
            </w:pPr>
            <w:proofErr w:type="spellStart"/>
            <w:r w:rsidRPr="00AE40E0">
              <w:rPr>
                <w:rFonts w:ascii="Book Antiqua" w:hAnsi="Book Antiqua" w:cs="Times New Roman"/>
                <w:b/>
                <w:sz w:val="24"/>
                <w:szCs w:val="24"/>
              </w:rPr>
              <w:t>István</w:t>
            </w:r>
            <w:proofErr w:type="spellEnd"/>
            <w:r w:rsidRPr="00AE40E0">
              <w:rPr>
                <w:rFonts w:ascii="Book Antiqua" w:hAnsi="Book Antiqua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E40E0">
              <w:rPr>
                <w:rFonts w:ascii="Book Antiqua" w:hAnsi="Book Antiqua" w:cs="Times New Roman"/>
                <w:b/>
                <w:sz w:val="24"/>
                <w:szCs w:val="24"/>
              </w:rPr>
              <w:t>Nagy</w:t>
            </w:r>
            <w:proofErr w:type="spellEnd"/>
          </w:p>
          <w:p w:rsidR="00214007" w:rsidRPr="00AE40E0" w:rsidRDefault="00214007" w:rsidP="006B5EC1">
            <w:pPr>
              <w:spacing w:line="25" w:lineRule="atLeast"/>
              <w:ind w:left="187"/>
              <w:jc w:val="center"/>
              <w:rPr>
                <w:rFonts w:ascii="Book Antiqua" w:hAnsi="Book Antiqua" w:cs="Times New Roman"/>
                <w:b/>
                <w:bCs/>
                <w:sz w:val="24"/>
                <w:szCs w:val="24"/>
              </w:rPr>
            </w:pPr>
            <w:r w:rsidRPr="00AE40E0">
              <w:rPr>
                <w:rFonts w:ascii="Book Antiqua" w:eastAsia="Meiryo" w:hAnsi="Book Antiqua" w:cs="Times New Roman"/>
                <w:sz w:val="24"/>
                <w:szCs w:val="24"/>
              </w:rPr>
              <w:t>minister rolnictwa Węgier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214007" w:rsidRPr="00AE40E0" w:rsidRDefault="00214007" w:rsidP="006B5EC1">
            <w:pPr>
              <w:rPr>
                <w:rFonts w:ascii="Book Antiqua" w:hAnsi="Book Antiqua" w:cs="Times New Roman"/>
                <w:b/>
                <w:bCs/>
                <w:sz w:val="24"/>
                <w:szCs w:val="24"/>
              </w:rPr>
            </w:pPr>
          </w:p>
          <w:p w:rsidR="00214007" w:rsidRPr="00AE40E0" w:rsidRDefault="00214007" w:rsidP="006B5EC1">
            <w:pPr>
              <w:spacing w:line="25" w:lineRule="atLeast"/>
              <w:ind w:left="187"/>
              <w:jc w:val="both"/>
              <w:rPr>
                <w:rFonts w:ascii="Book Antiqua" w:hAnsi="Book Antiqua" w:cs="Times New Roman"/>
                <w:b/>
                <w:bCs/>
                <w:sz w:val="24"/>
                <w:szCs w:val="24"/>
              </w:rPr>
            </w:pPr>
          </w:p>
        </w:tc>
      </w:tr>
    </w:tbl>
    <w:p w:rsidR="00214007" w:rsidRPr="00AE40E0" w:rsidRDefault="00214007" w:rsidP="00214007">
      <w:pPr>
        <w:rPr>
          <w:rFonts w:ascii="Book Antiqua" w:eastAsia="Meiryo" w:hAnsi="Book Antiqua" w:cs="Times New Roman"/>
          <w:sz w:val="24"/>
          <w:szCs w:val="24"/>
        </w:rPr>
      </w:pPr>
    </w:p>
    <w:p w:rsidR="00684EA6" w:rsidRPr="00AE40E0" w:rsidRDefault="00684EA6"/>
    <w:sectPr w:rsidR="00684EA6" w:rsidRPr="00AE40E0" w:rsidSect="00EC577D">
      <w:footerReference w:type="default" r:id="rId7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3AD0" w:rsidRDefault="00353AD0">
      <w:pPr>
        <w:spacing w:after="0" w:line="240" w:lineRule="auto"/>
      </w:pPr>
      <w:r>
        <w:separator/>
      </w:r>
    </w:p>
  </w:endnote>
  <w:endnote w:type="continuationSeparator" w:id="0">
    <w:p w:rsidR="00353AD0" w:rsidRDefault="00353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5881" w:rsidRDefault="00353AD0">
    <w:pPr>
      <w:pStyle w:val="Stopka"/>
      <w:jc w:val="center"/>
    </w:pPr>
  </w:p>
  <w:p w:rsidR="00FD5881" w:rsidRDefault="00353AD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3AD0" w:rsidRDefault="00353AD0">
      <w:pPr>
        <w:spacing w:after="0" w:line="240" w:lineRule="auto"/>
      </w:pPr>
      <w:r>
        <w:separator/>
      </w:r>
    </w:p>
  </w:footnote>
  <w:footnote w:type="continuationSeparator" w:id="0">
    <w:p w:rsidR="00353AD0" w:rsidRDefault="00353A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F24DDB"/>
    <w:multiLevelType w:val="hybridMultilevel"/>
    <w:tmpl w:val="A99067E0"/>
    <w:lvl w:ilvl="0" w:tplc="A7D413C8">
      <w:start w:val="1"/>
      <w:numFmt w:val="decimal"/>
      <w:lvlText w:val="(%1)"/>
      <w:lvlJc w:val="left"/>
      <w:pPr>
        <w:ind w:left="1068" w:hanging="360"/>
      </w:pPr>
      <w:rPr>
        <w:rFonts w:hint="default"/>
        <w:sz w:val="22"/>
      </w:rPr>
    </w:lvl>
    <w:lvl w:ilvl="1" w:tplc="040E0019">
      <w:start w:val="1"/>
      <w:numFmt w:val="lowerLetter"/>
      <w:lvlText w:val="%2."/>
      <w:lvlJc w:val="left"/>
      <w:pPr>
        <w:ind w:left="1864" w:hanging="360"/>
      </w:pPr>
    </w:lvl>
    <w:lvl w:ilvl="2" w:tplc="040E001B" w:tentative="1">
      <w:start w:val="1"/>
      <w:numFmt w:val="lowerRoman"/>
      <w:lvlText w:val="%3."/>
      <w:lvlJc w:val="right"/>
      <w:pPr>
        <w:ind w:left="2584" w:hanging="180"/>
      </w:pPr>
    </w:lvl>
    <w:lvl w:ilvl="3" w:tplc="040E000F" w:tentative="1">
      <w:start w:val="1"/>
      <w:numFmt w:val="decimal"/>
      <w:lvlText w:val="%4."/>
      <w:lvlJc w:val="left"/>
      <w:pPr>
        <w:ind w:left="3304" w:hanging="360"/>
      </w:pPr>
    </w:lvl>
    <w:lvl w:ilvl="4" w:tplc="040E0019" w:tentative="1">
      <w:start w:val="1"/>
      <w:numFmt w:val="lowerLetter"/>
      <w:lvlText w:val="%5."/>
      <w:lvlJc w:val="left"/>
      <w:pPr>
        <w:ind w:left="4024" w:hanging="360"/>
      </w:pPr>
    </w:lvl>
    <w:lvl w:ilvl="5" w:tplc="040E001B" w:tentative="1">
      <w:start w:val="1"/>
      <w:numFmt w:val="lowerRoman"/>
      <w:lvlText w:val="%6."/>
      <w:lvlJc w:val="right"/>
      <w:pPr>
        <w:ind w:left="4744" w:hanging="180"/>
      </w:pPr>
    </w:lvl>
    <w:lvl w:ilvl="6" w:tplc="040E000F" w:tentative="1">
      <w:start w:val="1"/>
      <w:numFmt w:val="decimal"/>
      <w:lvlText w:val="%7."/>
      <w:lvlJc w:val="left"/>
      <w:pPr>
        <w:ind w:left="5464" w:hanging="360"/>
      </w:pPr>
    </w:lvl>
    <w:lvl w:ilvl="7" w:tplc="040E0019" w:tentative="1">
      <w:start w:val="1"/>
      <w:numFmt w:val="lowerLetter"/>
      <w:lvlText w:val="%8."/>
      <w:lvlJc w:val="left"/>
      <w:pPr>
        <w:ind w:left="6184" w:hanging="360"/>
      </w:pPr>
    </w:lvl>
    <w:lvl w:ilvl="8" w:tplc="040E001B" w:tentative="1">
      <w:start w:val="1"/>
      <w:numFmt w:val="lowerRoman"/>
      <w:lvlText w:val="%9."/>
      <w:lvlJc w:val="right"/>
      <w:pPr>
        <w:ind w:left="69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5F3"/>
    <w:rsid w:val="00214007"/>
    <w:rsid w:val="00353AD0"/>
    <w:rsid w:val="00684EA6"/>
    <w:rsid w:val="00AE40E0"/>
    <w:rsid w:val="00D21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7F6DA"/>
  <w15:chartTrackingRefBased/>
  <w15:docId w15:val="{B457645E-7591-444B-A2BB-ECA75FC50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4007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14007"/>
    <w:pPr>
      <w:spacing w:line="259" w:lineRule="auto"/>
      <w:ind w:left="720"/>
      <w:contextualSpacing/>
    </w:pPr>
    <w:rPr>
      <w:lang w:val="en-GB"/>
    </w:rPr>
  </w:style>
  <w:style w:type="paragraph" w:styleId="Stopka">
    <w:name w:val="footer"/>
    <w:basedOn w:val="Normalny"/>
    <w:link w:val="StopkaZnak"/>
    <w:uiPriority w:val="99"/>
    <w:unhideWhenUsed/>
    <w:rsid w:val="00214007"/>
    <w:pPr>
      <w:tabs>
        <w:tab w:val="center" w:pos="4536"/>
        <w:tab w:val="right" w:pos="9072"/>
      </w:tabs>
      <w:spacing w:after="0" w:line="240" w:lineRule="auto"/>
    </w:pPr>
    <w:rPr>
      <w:lang w:val="en-GB"/>
    </w:rPr>
  </w:style>
  <w:style w:type="character" w:customStyle="1" w:styleId="StopkaZnak">
    <w:name w:val="Stopka Znak"/>
    <w:basedOn w:val="Domylnaczcionkaakapitu"/>
    <w:link w:val="Stopka"/>
    <w:uiPriority w:val="99"/>
    <w:rsid w:val="00214007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7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809</Words>
  <Characters>4856</Characters>
  <Application>Microsoft Office Word</Application>
  <DocSecurity>0</DocSecurity>
  <Lines>40</Lines>
  <Paragraphs>11</Paragraphs>
  <ScaleCrop>false</ScaleCrop>
  <Company/>
  <LinksUpToDate>false</LinksUpToDate>
  <CharactersWithSpaces>5654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Szumotalska-Samorek Katarzyna</dc:creator>
  <cp:keywords/>
  <dc:description/>
  <cp:lastModifiedBy>Szumotalska-Samorek Katarzyna</cp:lastModifiedBy>
  <cp:revision>3</cp:revision>
  <dcterms:created xsi:type="dcterms:W3CDTF">2025-07-09T15:00:00Z</dcterms:created>
  <dcterms:modified xsi:type="dcterms:W3CDTF">2025-07-09T15:02:00Z</dcterms:modified>
</cp:coreProperties>
</file>