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79" w:rsidRPr="00D13806" w:rsidRDefault="00D13806" w:rsidP="00B54A79">
      <w:pPr>
        <w:keepNext/>
        <w:suppressAutoHyphens/>
        <w:spacing w:before="120" w:after="360" w:line="360" w:lineRule="auto"/>
        <w:jc w:val="center"/>
        <w:rPr>
          <w:rFonts w:ascii="Times" w:eastAsia="Times New Roman" w:hAnsi="Times" w:cs="Arial"/>
          <w:b/>
          <w:bCs/>
          <w:sz w:val="24"/>
          <w:szCs w:val="24"/>
          <w:lang w:eastAsia="pl-PL"/>
        </w:rPr>
      </w:pPr>
      <w:r w:rsidRPr="00D13806">
        <w:rPr>
          <w:rFonts w:ascii="Times" w:eastAsia="Times New Roman" w:hAnsi="Times" w:cs="Arial"/>
          <w:b/>
          <w:bCs/>
          <w:sz w:val="24"/>
          <w:szCs w:val="24"/>
          <w:lang w:eastAsia="pl-PL"/>
        </w:rPr>
        <w:t>UZASADNIENIE</w:t>
      </w:r>
    </w:p>
    <w:p w:rsidR="00B54A79" w:rsidRPr="00B54A79" w:rsidRDefault="00B54A79" w:rsidP="00B54A79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B54A79">
        <w:rPr>
          <w:rFonts w:ascii="Times" w:eastAsia="Times New Roman" w:hAnsi="Times" w:cs="Arial"/>
          <w:sz w:val="24"/>
          <w:szCs w:val="20"/>
          <w:lang w:eastAsia="pl-PL"/>
        </w:rPr>
        <w:t xml:space="preserve">Sporządzenie projektu zarządzenia Prezesa Rady Ministrów zmieniającego zarządzenie w sprawie utworzenia Międzyresortowego Zespołu do Spraw Zagrożeń Terrorystycznych jest konsekwencją rozwiązań wprowadzonych m.in. ustawą z dnia 5 grudnia 2024 r. </w:t>
      </w:r>
      <w:r w:rsidRPr="00B54A79">
        <w:rPr>
          <w:rFonts w:ascii="Times" w:eastAsia="Times New Roman" w:hAnsi="Times" w:cs="Arial"/>
          <w:i/>
          <w:sz w:val="24"/>
          <w:szCs w:val="20"/>
          <w:lang w:eastAsia="pl-PL"/>
        </w:rPr>
        <w:t xml:space="preserve">o ochronie ludności i obronie cywilnej </w:t>
      </w:r>
      <w:r w:rsidRPr="00B54A79">
        <w:rPr>
          <w:rFonts w:ascii="Times" w:eastAsia="Times New Roman" w:hAnsi="Times" w:cs="Arial"/>
          <w:sz w:val="24"/>
          <w:szCs w:val="20"/>
          <w:lang w:eastAsia="pl-PL"/>
        </w:rPr>
        <w:t>i odnosi się do zmian w składzie Zespołu, w szczególności usunięcia z jego składu Szefa Obrony Cywilnej.</w:t>
      </w:r>
    </w:p>
    <w:p w:rsidR="00B54A79" w:rsidRPr="00B54A79" w:rsidRDefault="00B54A79" w:rsidP="00B54A79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B54A79">
        <w:rPr>
          <w:rFonts w:ascii="Times" w:eastAsia="Times New Roman" w:hAnsi="Times" w:cs="Arial"/>
          <w:sz w:val="24"/>
          <w:szCs w:val="20"/>
          <w:lang w:eastAsia="pl-PL"/>
        </w:rPr>
        <w:t xml:space="preserve">Ponadto dostosowano brzmienie § 3 ust. 1 pkt 2 zarządzenia do aktualnego modelu działów administracji rządowej poprzez wskazanie w nim ministra właściwego do spraw finansów publicznych i instytucji finansowych. Zgodnie z ustawą z dnia 4 września 1997 r. </w:t>
      </w:r>
      <w:r w:rsidRPr="00B54A79">
        <w:rPr>
          <w:rFonts w:ascii="Times" w:eastAsia="Times New Roman" w:hAnsi="Times" w:cs="Arial"/>
          <w:i/>
          <w:sz w:val="24"/>
          <w:szCs w:val="20"/>
          <w:lang w:eastAsia="pl-PL"/>
        </w:rPr>
        <w:t>o działach administracji rządowej</w:t>
      </w:r>
      <w:r w:rsidRPr="00B54A79">
        <w:rPr>
          <w:rFonts w:ascii="Times" w:eastAsia="Times New Roman" w:hAnsi="Times" w:cs="Arial"/>
          <w:sz w:val="24"/>
          <w:szCs w:val="20"/>
          <w:lang w:eastAsia="pl-PL"/>
        </w:rPr>
        <w:t xml:space="preserve"> oraz rozporządzeniem Prezesa Rady Ministrów z dnia 25 lipca 2025 r. </w:t>
      </w:r>
      <w:r w:rsidRPr="00B54A79">
        <w:rPr>
          <w:rFonts w:ascii="Times" w:eastAsia="Times New Roman" w:hAnsi="Times" w:cs="Arial"/>
          <w:i/>
          <w:sz w:val="24"/>
          <w:szCs w:val="20"/>
          <w:lang w:eastAsia="pl-PL"/>
        </w:rPr>
        <w:t>w sprawie szczegółowego zakresu działania Ministra Finansów i Gospodarki</w:t>
      </w:r>
      <w:r w:rsidRPr="00B54A79">
        <w:rPr>
          <w:rFonts w:ascii="Times" w:eastAsia="Times New Roman" w:hAnsi="Times" w:cs="Arial"/>
          <w:sz w:val="24"/>
          <w:szCs w:val="20"/>
          <w:lang w:eastAsia="pl-PL"/>
        </w:rPr>
        <w:t>, kierowanie działami administracji rządowej „budżet”, „finanse publiczne”, „instytucje finansowe” powierza się jednemu ministrowi. W konsekwencji proponowane brzmienie § 3 ust. 1 pkt 2 zarządzenia nie sugeruje faktycznej wieloosobowej reprezentacji resortu finansów w kierownictwie Zespołu, lecz odzwierciedla zakres kompetencji jednego konstytucyjnego organu administracji rządowej.</w:t>
      </w:r>
    </w:p>
    <w:p w:rsidR="00B54A79" w:rsidRPr="00B54A79" w:rsidRDefault="00B54A79" w:rsidP="00B54A79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B54A79">
        <w:rPr>
          <w:rFonts w:ascii="Times" w:eastAsia="Times New Roman" w:hAnsi="Times" w:cs="Arial"/>
          <w:sz w:val="24"/>
          <w:szCs w:val="20"/>
          <w:lang w:eastAsia="pl-PL"/>
        </w:rPr>
        <w:t>W projekcie uaktualniono także nazwę sekretarza stanu lub podsekretarza stanu wyznaczonego przez ministra właściwego do spraw wewnętrznych względem aktualnego modelu podziału zakresu czynności Sekretarzy i Podsekretarzy Stanu w Ministerstwie Spraw Wewnętrznych i Administracji</w:t>
      </w:r>
      <w:bookmarkStart w:id="0" w:name="_GoBack"/>
      <w:bookmarkEnd w:id="0"/>
      <w:r w:rsidRPr="00B54A79">
        <w:rPr>
          <w:rFonts w:ascii="Times" w:eastAsia="Times New Roman" w:hAnsi="Times" w:cs="Arial"/>
          <w:sz w:val="24"/>
          <w:szCs w:val="20"/>
          <w:lang w:eastAsia="pl-PL"/>
        </w:rPr>
        <w:t>.</w:t>
      </w:r>
    </w:p>
    <w:p w:rsidR="00B54A79" w:rsidRPr="00B54A79" w:rsidRDefault="00B54A79" w:rsidP="00B54A79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B54A79">
        <w:rPr>
          <w:rFonts w:ascii="Times" w:eastAsia="Times New Roman" w:hAnsi="Times" w:cs="Arial"/>
          <w:sz w:val="24"/>
          <w:szCs w:val="20"/>
          <w:lang w:eastAsia="pl-PL"/>
        </w:rPr>
        <w:t xml:space="preserve">W projekcie proponuje się także zmianę terminu złożenia sprawozdania z działalności Zespołu za rok ubiegły (§ 4 ust. 6), poprzez jego wydłużenie do 31 marca każdego roku. Zmiana ta wynika z konieczności przedkładania sprawozdania w pierwszej kolejności do Stałego Komitetu Rady Ministrów, a następnie do Rady Ministrów, zgodnie z przyjętą obecnie praktyką. Mając na uwadze czas trwania uzgodnień treści sprawozdania na etapie SKRM, nie jest możliwe dotrzymanie terminu 31 stycznia na przedłożenie sprawozdania Radzie Ministrów.   </w:t>
      </w:r>
    </w:p>
    <w:p w:rsidR="00B54A79" w:rsidRPr="00B54A79" w:rsidRDefault="00B54A79" w:rsidP="00B54A79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54A7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Wejście w życie projektowanego zarządzenia nie spowoduje skutków finansowych w rozumieniu art. 50 ustawy z dnia 27 sierpnia 2009 r. </w:t>
      </w:r>
      <w:r w:rsidRPr="00B54A79">
        <w:rPr>
          <w:rFonts w:ascii="Times" w:eastAsia="Times New Roman" w:hAnsi="Times" w:cs="Arial"/>
          <w:bCs/>
          <w:i/>
          <w:sz w:val="24"/>
          <w:szCs w:val="20"/>
          <w:lang w:eastAsia="pl-PL"/>
        </w:rPr>
        <w:t>o finansach publicznych</w:t>
      </w:r>
      <w:r w:rsidR="0072347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nie spowoduje </w:t>
      </w:r>
      <w:r w:rsidRPr="00B54A7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zwiększenia wydatków związanych </w:t>
      </w:r>
      <w:r w:rsidR="0072347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54A79">
        <w:rPr>
          <w:rFonts w:ascii="Times" w:eastAsia="Times New Roman" w:hAnsi="Times" w:cs="Arial"/>
          <w:bCs/>
          <w:sz w:val="24"/>
          <w:szCs w:val="20"/>
          <w:lang w:eastAsia="pl-PL"/>
        </w:rPr>
        <w:t>z funkcjonowaniem Zespołu.</w:t>
      </w:r>
    </w:p>
    <w:p w:rsidR="00B54A79" w:rsidRPr="00B54A79" w:rsidRDefault="00B54A79" w:rsidP="00B54A79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54A79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Z uwagi na zakres zmian oraz charakter zarządzenia przewiduje się jego wejście w życie z dniem podpisania.</w:t>
      </w:r>
    </w:p>
    <w:p w:rsidR="00195311" w:rsidRDefault="00195311"/>
    <w:sectPr w:rsidR="00195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79"/>
    <w:rsid w:val="00195311"/>
    <w:rsid w:val="005D3304"/>
    <w:rsid w:val="0071169A"/>
    <w:rsid w:val="00723471"/>
    <w:rsid w:val="00833452"/>
    <w:rsid w:val="00B54A79"/>
    <w:rsid w:val="00D13806"/>
    <w:rsid w:val="00FE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3997"/>
  <w15:chartTrackingRefBased/>
  <w15:docId w15:val="{054824AD-6E0B-44C2-9102-C306C560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Mościcka Anna</dc:creator>
  <cp:keywords/>
  <dc:description/>
  <cp:lastModifiedBy>Książek Ewelina</cp:lastModifiedBy>
  <cp:revision>7</cp:revision>
  <dcterms:created xsi:type="dcterms:W3CDTF">2026-06-30T09:10:00Z</dcterms:created>
  <dcterms:modified xsi:type="dcterms:W3CDTF">2026-07-02T09:05:00Z</dcterms:modified>
</cp:coreProperties>
</file>