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BA22" w14:textId="3A91174F" w:rsidR="00D80050" w:rsidRPr="00DE3396" w:rsidRDefault="00D80050" w:rsidP="00D80050">
      <w:pPr>
        <w:pStyle w:val="OZNPROJEKTUwskazaniedatylubwersjiprojektu"/>
        <w:rPr>
          <w:rFonts w:cs="Times New Roman"/>
        </w:rPr>
      </w:pPr>
      <w:r w:rsidRPr="00DE3396">
        <w:rPr>
          <w:rFonts w:cs="Times New Roman"/>
        </w:rPr>
        <w:t xml:space="preserve">Projekt z dnia </w:t>
      </w:r>
      <w:r w:rsidR="00555B26">
        <w:rPr>
          <w:rFonts w:cs="Times New Roman"/>
        </w:rPr>
        <w:t>11</w:t>
      </w:r>
      <w:r w:rsidRPr="00DE3396">
        <w:rPr>
          <w:rFonts w:cs="Times New Roman"/>
        </w:rPr>
        <w:t>.</w:t>
      </w:r>
      <w:r w:rsidR="008B2E41" w:rsidRPr="00DE3396">
        <w:rPr>
          <w:rFonts w:cs="Times New Roman"/>
        </w:rPr>
        <w:t>1</w:t>
      </w:r>
      <w:r w:rsidR="00555B26">
        <w:rPr>
          <w:rFonts w:cs="Times New Roman"/>
        </w:rPr>
        <w:t>2</w:t>
      </w:r>
      <w:r w:rsidRPr="00DE3396">
        <w:rPr>
          <w:rFonts w:cs="Times New Roman"/>
        </w:rPr>
        <w:t>.2025 r.</w:t>
      </w:r>
    </w:p>
    <w:p w14:paraId="3CCF383C" w14:textId="722807B1" w:rsidR="00E71DD5" w:rsidRPr="00FC5980" w:rsidRDefault="00E71DD5" w:rsidP="00E71DD5">
      <w:pPr>
        <w:pStyle w:val="OZNRODZAKTUtznustawalubrozporzdzenieiorganwydajcy"/>
        <w:rPr>
          <w:rFonts w:ascii="Times New Roman" w:hAnsi="Times New Roman"/>
        </w:rPr>
      </w:pPr>
      <w:r w:rsidRPr="00FC5980">
        <w:rPr>
          <w:rFonts w:ascii="Times New Roman" w:hAnsi="Times New Roman"/>
        </w:rPr>
        <w:t>UCHWAŁA NR</w:t>
      </w:r>
      <w:r w:rsidR="00F71D74" w:rsidRPr="00FC5980">
        <w:rPr>
          <w:rFonts w:ascii="Times New Roman" w:hAnsi="Times New Roman"/>
        </w:rPr>
        <w:t xml:space="preserve"> </w:t>
      </w:r>
      <w:r w:rsidR="006E78CC" w:rsidRPr="00FC5980">
        <w:rPr>
          <w:rFonts w:ascii="Times New Roman" w:hAnsi="Times New Roman"/>
        </w:rPr>
        <w:t xml:space="preserve"> </w:t>
      </w:r>
      <w:r w:rsidR="00D80050" w:rsidRPr="00FC5980">
        <w:rPr>
          <w:rFonts w:ascii="Times New Roman" w:hAnsi="Times New Roman"/>
        </w:rPr>
        <w:t xml:space="preserve">   </w:t>
      </w:r>
      <w:r w:rsidR="006E78CC" w:rsidRPr="00FC5980">
        <w:rPr>
          <w:rFonts w:ascii="Times New Roman" w:hAnsi="Times New Roman"/>
        </w:rPr>
        <w:t>/202</w:t>
      </w:r>
      <w:r w:rsidR="000D3195" w:rsidRPr="00FC5980">
        <w:rPr>
          <w:rFonts w:ascii="Times New Roman" w:hAnsi="Times New Roman"/>
        </w:rPr>
        <w:t>5</w:t>
      </w:r>
    </w:p>
    <w:p w14:paraId="74AD1B1A" w14:textId="77777777" w:rsidR="00E71DD5" w:rsidRPr="00FC5980" w:rsidRDefault="00E71DD5" w:rsidP="00E71DD5">
      <w:pPr>
        <w:pStyle w:val="OZNRODZAKTUtznustawalubrozporzdzenieiorganwydajcy"/>
        <w:rPr>
          <w:rFonts w:ascii="Times New Roman" w:hAnsi="Times New Roman"/>
        </w:rPr>
      </w:pPr>
      <w:r w:rsidRPr="00FC5980">
        <w:rPr>
          <w:rFonts w:ascii="Times New Roman" w:hAnsi="Times New Roman"/>
        </w:rPr>
        <w:t>RADY MINISTRÓW</w:t>
      </w:r>
    </w:p>
    <w:p w14:paraId="2FF5B553" w14:textId="4D282EB4" w:rsidR="00E71DD5" w:rsidRPr="00FC5980" w:rsidRDefault="00E71DD5" w:rsidP="00E71DD5">
      <w:pPr>
        <w:pStyle w:val="DATAAKTUdatauchwalenialubwydaniaaktu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z dnia</w:t>
      </w:r>
      <w:r w:rsidR="00D80050" w:rsidRPr="00FC5980">
        <w:rPr>
          <w:rFonts w:ascii="Times New Roman" w:hAnsi="Times New Roman" w:cs="Times New Roman"/>
        </w:rPr>
        <w:t xml:space="preserve">         </w:t>
      </w:r>
      <w:r w:rsidRPr="00FC5980">
        <w:rPr>
          <w:rFonts w:ascii="Times New Roman" w:hAnsi="Times New Roman" w:cs="Times New Roman"/>
        </w:rPr>
        <w:t xml:space="preserve"> 202</w:t>
      </w:r>
      <w:r w:rsidR="000D3195" w:rsidRPr="00FC5980">
        <w:rPr>
          <w:rFonts w:ascii="Times New Roman" w:hAnsi="Times New Roman" w:cs="Times New Roman"/>
        </w:rPr>
        <w:t>5</w:t>
      </w:r>
      <w:r w:rsidRPr="00FC5980">
        <w:rPr>
          <w:rFonts w:ascii="Times New Roman" w:hAnsi="Times New Roman" w:cs="Times New Roman"/>
        </w:rPr>
        <w:t xml:space="preserve"> r.</w:t>
      </w:r>
    </w:p>
    <w:p w14:paraId="0039F4D1" w14:textId="77777777" w:rsidR="00E71DD5" w:rsidRPr="00FC5980" w:rsidRDefault="00E71DD5" w:rsidP="00E71DD5">
      <w:pPr>
        <w:pStyle w:val="TYTUAKTUprzedmiotregulacjiustawylubrozporzdzenia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 xml:space="preserve">zmieniająca uchwałę w sprawie ustanowienia programu wieloletniego pod nazwą „Wieloletni program inwestycji w zakresie rewitalizacji i rozbudowy Narodowego Instytutu Onkologii im. Marii Skłodowskiej-Curie </w:t>
      </w:r>
      <w:r w:rsidR="00CF3BD5" w:rsidRPr="00FC5980">
        <w:rPr>
          <w:rFonts w:ascii="Times New Roman" w:hAnsi="Times New Roman" w:cs="Times New Roman"/>
        </w:rPr>
        <w:t>–</w:t>
      </w:r>
      <w:r w:rsidRPr="00FC5980">
        <w:rPr>
          <w:rFonts w:ascii="Times New Roman" w:hAnsi="Times New Roman" w:cs="Times New Roman"/>
        </w:rPr>
        <w:t xml:space="preserve"> Państwowego Instytutu Badawczego – etap I” </w:t>
      </w:r>
    </w:p>
    <w:p w14:paraId="4A71AA3A" w14:textId="2CA4A2EF" w:rsidR="00E71DD5" w:rsidRPr="00FC5980" w:rsidRDefault="000C1FD2" w:rsidP="00E71DD5">
      <w:pPr>
        <w:pStyle w:val="NIEARTTEKSTtekstnieartykuowanynppodstprawnarozplubpreambua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 xml:space="preserve">Na podstawie art. 136 ust. 2 ustawy z dnia 27 sierpnia 2009 r. o finansach publicznych (Dz. U. z </w:t>
      </w:r>
      <w:r w:rsidR="008C5BB3" w:rsidRPr="00FC5980">
        <w:rPr>
          <w:rFonts w:ascii="Times New Roman" w:hAnsi="Times New Roman" w:cs="Times New Roman"/>
        </w:rPr>
        <w:t xml:space="preserve">2025 </w:t>
      </w:r>
      <w:r w:rsidRPr="00FC5980">
        <w:rPr>
          <w:rFonts w:ascii="Times New Roman" w:hAnsi="Times New Roman" w:cs="Times New Roman"/>
        </w:rPr>
        <w:t xml:space="preserve">r. poz. </w:t>
      </w:r>
      <w:r w:rsidR="008C5BB3" w:rsidRPr="00FC5980">
        <w:rPr>
          <w:rFonts w:ascii="Times New Roman" w:hAnsi="Times New Roman" w:cs="Times New Roman"/>
        </w:rPr>
        <w:t>1483</w:t>
      </w:r>
      <w:r w:rsidRPr="00FC5980">
        <w:rPr>
          <w:rFonts w:ascii="Times New Roman" w:hAnsi="Times New Roman" w:cs="Times New Roman"/>
        </w:rPr>
        <w:t>) Rada Ministrów uchwala, co następuje</w:t>
      </w:r>
      <w:r w:rsidR="00D80050" w:rsidRPr="00FC5980">
        <w:rPr>
          <w:rFonts w:ascii="Times New Roman" w:hAnsi="Times New Roman" w:cs="Times New Roman"/>
        </w:rPr>
        <w:t>:</w:t>
      </w:r>
    </w:p>
    <w:p w14:paraId="059C44AC" w14:textId="7608A63C" w:rsidR="00E71DD5" w:rsidRPr="00FC5980" w:rsidRDefault="00E71DD5" w:rsidP="00D80050">
      <w:pPr>
        <w:pStyle w:val="ARTartustawynprozporzdzenia"/>
        <w:rPr>
          <w:rFonts w:ascii="Times New Roman" w:hAnsi="Times New Roman" w:cs="Times New Roman"/>
        </w:rPr>
      </w:pPr>
      <w:r w:rsidRPr="00FC5980">
        <w:rPr>
          <w:rStyle w:val="Ppogrubienie"/>
          <w:rFonts w:ascii="Times New Roman" w:hAnsi="Times New Roman" w:cs="Times New Roman"/>
        </w:rPr>
        <w:t>§ 1.</w:t>
      </w:r>
      <w:r w:rsidRPr="00FC5980">
        <w:rPr>
          <w:rFonts w:ascii="Times New Roman" w:hAnsi="Times New Roman" w:cs="Times New Roman"/>
        </w:rPr>
        <w:t> </w:t>
      </w:r>
      <w:r w:rsidR="006355B0" w:rsidRPr="00FC5980">
        <w:rPr>
          <w:rFonts w:ascii="Times New Roman" w:hAnsi="Times New Roman" w:cs="Times New Roman"/>
        </w:rPr>
        <w:t xml:space="preserve">W uchwale nr 95/2019 Rady Ministrów z dnia 10 września 2019 r. w sprawie ustanowienia programu wieloletniego pod nazwą „Wieloletni program inwestycji w zakresie rewitalizacji i rozbudowy Narodowego Instytutu Onkologii im. Marii Skłodowskiej-Curie </w:t>
      </w:r>
      <w:r w:rsidR="006355B0" w:rsidRPr="00FC5980">
        <w:rPr>
          <w:rFonts w:ascii="Times New Roman" w:hAnsi="Times New Roman" w:cs="Times New Roman"/>
        </w:rPr>
        <w:sym w:font="Symbol" w:char="F02D"/>
      </w:r>
      <w:r w:rsidR="006355B0" w:rsidRPr="00FC5980">
        <w:rPr>
          <w:rFonts w:ascii="Times New Roman" w:hAnsi="Times New Roman" w:cs="Times New Roman"/>
        </w:rPr>
        <w:t xml:space="preserve"> Państwowego Instytutu Badawczego – etap I”, zmienionej uchwałą nr 165/2020 Rady Ministrów z dnia 16 listopada 2020 r., uchwałą nr 268/2022 Rady Ministrów z dnia 28 grudnia 2022 r. oraz </w:t>
      </w:r>
      <w:r w:rsidR="008018BB" w:rsidRPr="00FC5980">
        <w:rPr>
          <w:rFonts w:ascii="Times New Roman" w:hAnsi="Times New Roman" w:cs="Times New Roman"/>
        </w:rPr>
        <w:t xml:space="preserve">uchwałą nr 151 </w:t>
      </w:r>
      <w:r w:rsidR="004B49A9" w:rsidRPr="00FC5980">
        <w:rPr>
          <w:rFonts w:ascii="Times New Roman" w:hAnsi="Times New Roman" w:cs="Times New Roman"/>
        </w:rPr>
        <w:t xml:space="preserve">Rady Ministrów </w:t>
      </w:r>
      <w:r w:rsidR="008018BB" w:rsidRPr="00FC5980">
        <w:rPr>
          <w:rFonts w:ascii="Times New Roman" w:hAnsi="Times New Roman" w:cs="Times New Roman"/>
        </w:rPr>
        <w:t>z dnia 17 grudnia 2024 r.</w:t>
      </w:r>
      <w:r w:rsidR="006355B0" w:rsidRPr="00FC5980">
        <w:rPr>
          <w:rFonts w:ascii="Times New Roman" w:hAnsi="Times New Roman" w:cs="Times New Roman"/>
        </w:rPr>
        <w:t>,</w:t>
      </w:r>
      <w:r w:rsidR="008018BB" w:rsidRPr="00FC5980">
        <w:rPr>
          <w:rFonts w:ascii="Times New Roman" w:hAnsi="Times New Roman" w:cs="Times New Roman"/>
        </w:rPr>
        <w:t xml:space="preserve"> </w:t>
      </w:r>
      <w:r w:rsidRPr="00FC5980">
        <w:rPr>
          <w:rFonts w:ascii="Times New Roman" w:hAnsi="Times New Roman" w:cs="Times New Roman"/>
        </w:rPr>
        <w:t>wprowadza się następujące zmiany:</w:t>
      </w:r>
    </w:p>
    <w:p w14:paraId="2860B8DB" w14:textId="69D9B4F0" w:rsidR="00E71DD5" w:rsidRPr="00FC5980" w:rsidRDefault="006E78CC" w:rsidP="00D80050">
      <w:pPr>
        <w:pStyle w:val="PKTpunkt"/>
        <w:spacing w:before="120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1</w:t>
      </w:r>
      <w:r w:rsidR="00E71DD5" w:rsidRPr="00FC5980">
        <w:rPr>
          <w:rFonts w:ascii="Times New Roman" w:hAnsi="Times New Roman" w:cs="Times New Roman"/>
        </w:rPr>
        <w:t>)</w:t>
      </w:r>
      <w:r w:rsidR="00E71DD5" w:rsidRPr="00FC5980">
        <w:rPr>
          <w:rFonts w:ascii="Times New Roman" w:hAnsi="Times New Roman" w:cs="Times New Roman"/>
        </w:rPr>
        <w:tab/>
      </w:r>
      <w:r w:rsidR="00AB30AA">
        <w:rPr>
          <w:rFonts w:ascii="Times New Roman" w:hAnsi="Times New Roman" w:cs="Times New Roman"/>
        </w:rPr>
        <w:t xml:space="preserve">w </w:t>
      </w:r>
      <w:r w:rsidR="00E71DD5" w:rsidRPr="00FC5980">
        <w:rPr>
          <w:rFonts w:ascii="Times New Roman" w:hAnsi="Times New Roman" w:cs="Times New Roman"/>
        </w:rPr>
        <w:t xml:space="preserve">§ 4 </w:t>
      </w:r>
      <w:r w:rsidR="00123E0F" w:rsidRPr="00FC5980">
        <w:rPr>
          <w:rFonts w:ascii="Times New Roman" w:hAnsi="Times New Roman" w:cs="Times New Roman"/>
        </w:rPr>
        <w:t xml:space="preserve">ust. 2 </w:t>
      </w:r>
      <w:r w:rsidR="00E71DD5" w:rsidRPr="00FC5980">
        <w:rPr>
          <w:rFonts w:ascii="Times New Roman" w:hAnsi="Times New Roman" w:cs="Times New Roman"/>
        </w:rPr>
        <w:t>otrzymuje brzmienie:</w:t>
      </w:r>
    </w:p>
    <w:p w14:paraId="1E13AE70" w14:textId="77EC7CE1" w:rsidR="00E71DD5" w:rsidRPr="00FC5980" w:rsidRDefault="00F71D74" w:rsidP="00D80050">
      <w:pPr>
        <w:pStyle w:val="ZARTzmar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 xml:space="preserve">  </w:t>
      </w:r>
      <w:r w:rsidR="00123E0F" w:rsidRPr="00FC5980">
        <w:rPr>
          <w:rFonts w:ascii="Times New Roman" w:hAnsi="Times New Roman" w:cs="Times New Roman"/>
        </w:rPr>
        <w:t>„</w:t>
      </w:r>
      <w:r w:rsidR="008C5BB3" w:rsidRPr="00FC5980">
        <w:rPr>
          <w:rFonts w:ascii="Times New Roman" w:hAnsi="Times New Roman" w:cs="Times New Roman"/>
        </w:rPr>
        <w:t xml:space="preserve">2. </w:t>
      </w:r>
      <w:r w:rsidR="00E71DD5" w:rsidRPr="00FC5980">
        <w:rPr>
          <w:rFonts w:ascii="Times New Roman" w:hAnsi="Times New Roman" w:cs="Times New Roman"/>
        </w:rPr>
        <w:t>Nakłady z budżetu państwa, o których mowa w ust. 1 pkt 1, w poszczególnych latach wyniosą:</w:t>
      </w:r>
    </w:p>
    <w:p w14:paraId="7417B755" w14:textId="77777777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1)</w:t>
      </w:r>
      <w:r w:rsidRPr="00FC5980">
        <w:rPr>
          <w:rFonts w:ascii="Times New Roman" w:hAnsi="Times New Roman" w:cs="Times New Roman"/>
        </w:rPr>
        <w:tab/>
        <w:t xml:space="preserve">2020 r. – 448 tys. zł; </w:t>
      </w:r>
    </w:p>
    <w:p w14:paraId="4CE11E01" w14:textId="13907732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2)</w:t>
      </w:r>
      <w:r w:rsidRPr="00FC5980">
        <w:rPr>
          <w:rFonts w:ascii="Times New Roman" w:hAnsi="Times New Roman" w:cs="Times New Roman"/>
        </w:rPr>
        <w:tab/>
        <w:t xml:space="preserve">2021 r. – </w:t>
      </w:r>
      <w:r w:rsidR="006E78CC" w:rsidRPr="00FC5980">
        <w:rPr>
          <w:rFonts w:ascii="Times New Roman" w:hAnsi="Times New Roman" w:cs="Times New Roman"/>
        </w:rPr>
        <w:t>23</w:t>
      </w:r>
      <w:r w:rsidR="000C1FD2" w:rsidRPr="00FC5980">
        <w:rPr>
          <w:rFonts w:ascii="Times New Roman" w:hAnsi="Times New Roman" w:cs="Times New Roman"/>
        </w:rPr>
        <w:t xml:space="preserve"> </w:t>
      </w:r>
      <w:r w:rsidR="006E78CC" w:rsidRPr="00FC5980">
        <w:rPr>
          <w:rFonts w:ascii="Times New Roman" w:hAnsi="Times New Roman" w:cs="Times New Roman"/>
        </w:rPr>
        <w:t>880</w:t>
      </w:r>
      <w:r w:rsidRPr="00FC5980">
        <w:rPr>
          <w:rFonts w:ascii="Times New Roman" w:hAnsi="Times New Roman" w:cs="Times New Roman"/>
        </w:rPr>
        <w:t xml:space="preserve"> tys. zł;</w:t>
      </w:r>
    </w:p>
    <w:p w14:paraId="7348FC61" w14:textId="77777777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3)</w:t>
      </w:r>
      <w:r w:rsidRPr="00FC5980">
        <w:rPr>
          <w:rFonts w:ascii="Times New Roman" w:hAnsi="Times New Roman" w:cs="Times New Roman"/>
        </w:rPr>
        <w:tab/>
        <w:t>2022 r. – 0 tys. zł;</w:t>
      </w:r>
    </w:p>
    <w:p w14:paraId="52070448" w14:textId="11464D52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4)</w:t>
      </w:r>
      <w:r w:rsidRPr="00FC5980">
        <w:rPr>
          <w:rFonts w:ascii="Times New Roman" w:hAnsi="Times New Roman" w:cs="Times New Roman"/>
        </w:rPr>
        <w:tab/>
        <w:t xml:space="preserve">2023 r. – </w:t>
      </w:r>
      <w:r w:rsidR="00CF3BD5" w:rsidRPr="00FC5980">
        <w:rPr>
          <w:rFonts w:ascii="Times New Roman" w:hAnsi="Times New Roman" w:cs="Times New Roman"/>
        </w:rPr>
        <w:t>35</w:t>
      </w:r>
      <w:r w:rsidR="000C1FD2" w:rsidRPr="00FC5980">
        <w:rPr>
          <w:rFonts w:ascii="Times New Roman" w:hAnsi="Times New Roman" w:cs="Times New Roman"/>
        </w:rPr>
        <w:t xml:space="preserve"> </w:t>
      </w:r>
      <w:r w:rsidRPr="00FC5980">
        <w:rPr>
          <w:rFonts w:ascii="Times New Roman" w:hAnsi="Times New Roman" w:cs="Times New Roman"/>
        </w:rPr>
        <w:t>332 tys. zł;</w:t>
      </w:r>
    </w:p>
    <w:p w14:paraId="723C1F7C" w14:textId="0462D896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5)</w:t>
      </w:r>
      <w:r w:rsidRPr="00FC5980">
        <w:rPr>
          <w:rFonts w:ascii="Times New Roman" w:hAnsi="Times New Roman" w:cs="Times New Roman"/>
        </w:rPr>
        <w:tab/>
        <w:t xml:space="preserve">2024 r. – </w:t>
      </w:r>
      <w:r w:rsidR="001E1BAB" w:rsidRPr="00FC5980">
        <w:rPr>
          <w:rFonts w:ascii="Times New Roman" w:hAnsi="Times New Roman" w:cs="Times New Roman"/>
        </w:rPr>
        <w:t xml:space="preserve">1 </w:t>
      </w:r>
      <w:r w:rsidR="00122B4F" w:rsidRPr="00FC5980">
        <w:rPr>
          <w:rFonts w:ascii="Times New Roman" w:hAnsi="Times New Roman" w:cs="Times New Roman"/>
        </w:rPr>
        <w:t xml:space="preserve">803 </w:t>
      </w:r>
      <w:r w:rsidRPr="00FC5980">
        <w:rPr>
          <w:rFonts w:ascii="Times New Roman" w:hAnsi="Times New Roman" w:cs="Times New Roman"/>
        </w:rPr>
        <w:t>tys. zł;</w:t>
      </w:r>
    </w:p>
    <w:p w14:paraId="0790D661" w14:textId="6538CAC1" w:rsidR="00E71DD5" w:rsidRPr="00FC5980" w:rsidRDefault="00E71DD5" w:rsidP="00431974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6)</w:t>
      </w:r>
      <w:r w:rsidRPr="00FC5980">
        <w:rPr>
          <w:rFonts w:ascii="Times New Roman" w:hAnsi="Times New Roman" w:cs="Times New Roman"/>
        </w:rPr>
        <w:tab/>
        <w:t>2025 r</w:t>
      </w:r>
      <w:r w:rsidR="000C1FD2" w:rsidRPr="00FC5980">
        <w:rPr>
          <w:rFonts w:ascii="Times New Roman" w:hAnsi="Times New Roman" w:cs="Times New Roman"/>
        </w:rPr>
        <w:t>.</w:t>
      </w:r>
      <w:r w:rsidR="00431974" w:rsidRPr="00FC5980">
        <w:rPr>
          <w:rFonts w:ascii="Times New Roman" w:hAnsi="Times New Roman" w:cs="Times New Roman"/>
        </w:rPr>
        <w:t xml:space="preserve"> – 10 800</w:t>
      </w:r>
      <w:r w:rsidRPr="00FC5980">
        <w:rPr>
          <w:rFonts w:ascii="Times New Roman" w:hAnsi="Times New Roman" w:cs="Times New Roman"/>
        </w:rPr>
        <w:t xml:space="preserve"> tys. zł;</w:t>
      </w:r>
    </w:p>
    <w:p w14:paraId="5A7D044E" w14:textId="608903CA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7)</w:t>
      </w:r>
      <w:r w:rsidRPr="00FC5980">
        <w:rPr>
          <w:rFonts w:ascii="Times New Roman" w:hAnsi="Times New Roman" w:cs="Times New Roman"/>
        </w:rPr>
        <w:tab/>
        <w:t xml:space="preserve">2026 r. – </w:t>
      </w:r>
      <w:r w:rsidR="00CF3BD5" w:rsidRPr="00FC5980">
        <w:rPr>
          <w:rFonts w:ascii="Times New Roman" w:hAnsi="Times New Roman" w:cs="Times New Roman"/>
        </w:rPr>
        <w:t>189</w:t>
      </w:r>
      <w:r w:rsidR="000C1FD2" w:rsidRPr="00FC5980">
        <w:rPr>
          <w:rFonts w:ascii="Times New Roman" w:hAnsi="Times New Roman" w:cs="Times New Roman"/>
        </w:rPr>
        <w:t xml:space="preserve"> </w:t>
      </w:r>
      <w:r w:rsidRPr="00FC5980">
        <w:rPr>
          <w:rFonts w:ascii="Times New Roman" w:hAnsi="Times New Roman" w:cs="Times New Roman"/>
        </w:rPr>
        <w:t>000 tys. zł;</w:t>
      </w:r>
    </w:p>
    <w:p w14:paraId="091AFF9A" w14:textId="4A3D62D6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8)</w:t>
      </w:r>
      <w:r w:rsidRPr="00FC5980">
        <w:rPr>
          <w:rFonts w:ascii="Times New Roman" w:hAnsi="Times New Roman" w:cs="Times New Roman"/>
        </w:rPr>
        <w:tab/>
        <w:t xml:space="preserve">2027 r. – </w:t>
      </w:r>
      <w:r w:rsidR="00CF3BD5" w:rsidRPr="00FC5980">
        <w:rPr>
          <w:rFonts w:ascii="Times New Roman" w:hAnsi="Times New Roman" w:cs="Times New Roman"/>
        </w:rPr>
        <w:t>227</w:t>
      </w:r>
      <w:r w:rsidR="000C1FD2" w:rsidRPr="00FC5980">
        <w:rPr>
          <w:rFonts w:ascii="Times New Roman" w:hAnsi="Times New Roman" w:cs="Times New Roman"/>
        </w:rPr>
        <w:t xml:space="preserve"> </w:t>
      </w:r>
      <w:r w:rsidRPr="00FC5980">
        <w:rPr>
          <w:rFonts w:ascii="Times New Roman" w:hAnsi="Times New Roman" w:cs="Times New Roman"/>
        </w:rPr>
        <w:t>747 tys. zł;</w:t>
      </w:r>
    </w:p>
    <w:p w14:paraId="6BCC738F" w14:textId="240C98B6" w:rsidR="00E71DD5" w:rsidRPr="00FC5980" w:rsidRDefault="00E71DD5" w:rsidP="00E71DD5">
      <w:pPr>
        <w:pStyle w:val="ZPKTzmpktartykuempunktem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9)</w:t>
      </w:r>
      <w:r w:rsidRPr="00FC5980">
        <w:rPr>
          <w:rFonts w:ascii="Times New Roman" w:hAnsi="Times New Roman" w:cs="Times New Roman"/>
        </w:rPr>
        <w:tab/>
        <w:t xml:space="preserve">2028 r. – </w:t>
      </w:r>
      <w:r w:rsidR="00431974" w:rsidRPr="00FC5980">
        <w:rPr>
          <w:rFonts w:ascii="Times New Roman" w:hAnsi="Times New Roman" w:cs="Times New Roman"/>
        </w:rPr>
        <w:t>249 775</w:t>
      </w:r>
      <w:r w:rsidR="00122B4F" w:rsidRPr="00FC5980">
        <w:rPr>
          <w:rFonts w:ascii="Times New Roman" w:hAnsi="Times New Roman" w:cs="Times New Roman"/>
        </w:rPr>
        <w:t xml:space="preserve"> </w:t>
      </w:r>
      <w:r w:rsidRPr="00FC5980">
        <w:rPr>
          <w:rFonts w:ascii="Times New Roman" w:hAnsi="Times New Roman" w:cs="Times New Roman"/>
        </w:rPr>
        <w:t>tys. zł.</w:t>
      </w:r>
      <w:r w:rsidR="00123E0F" w:rsidRPr="00FC5980">
        <w:rPr>
          <w:rFonts w:ascii="Times New Roman" w:hAnsi="Times New Roman" w:cs="Times New Roman"/>
        </w:rPr>
        <w:t>”</w:t>
      </w:r>
      <w:r w:rsidR="00AB30AA">
        <w:rPr>
          <w:rFonts w:ascii="Times New Roman" w:hAnsi="Times New Roman" w:cs="Times New Roman"/>
        </w:rPr>
        <w:t>;</w:t>
      </w:r>
    </w:p>
    <w:p w14:paraId="27D0734A" w14:textId="357D0A73" w:rsidR="00E71DD5" w:rsidRPr="00FC5980" w:rsidRDefault="00123E0F" w:rsidP="00E71DD5">
      <w:pPr>
        <w:pStyle w:val="PKTpunkt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2</w:t>
      </w:r>
      <w:r w:rsidR="00E71DD5" w:rsidRPr="00FC5980">
        <w:rPr>
          <w:rFonts w:ascii="Times New Roman" w:hAnsi="Times New Roman" w:cs="Times New Roman"/>
        </w:rPr>
        <w:t>)</w:t>
      </w:r>
      <w:r w:rsidR="00E71DD5" w:rsidRPr="00FC5980">
        <w:rPr>
          <w:rFonts w:ascii="Times New Roman" w:hAnsi="Times New Roman" w:cs="Times New Roman"/>
        </w:rPr>
        <w:tab/>
      </w:r>
      <w:r w:rsidR="000C1FD2" w:rsidRPr="00FC5980">
        <w:rPr>
          <w:rFonts w:ascii="Times New Roman" w:hAnsi="Times New Roman" w:cs="Times New Roman"/>
        </w:rPr>
        <w:t>w załączniku do uchwały:</w:t>
      </w:r>
    </w:p>
    <w:p w14:paraId="19F7254F" w14:textId="430B66EB" w:rsidR="000C1FD2" w:rsidRPr="00FC5980" w:rsidRDefault="000C1FD2" w:rsidP="00BB2561">
      <w:pPr>
        <w:pStyle w:val="Spistreci1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lastRenderedPageBreak/>
        <w:t>w rozdziale</w:t>
      </w:r>
      <w:r w:rsidR="00F46A8D"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5</w:t>
      </w:r>
      <w:r w:rsidR="00B32EDE"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hyperlink w:anchor="_Toc177112114" w:history="1">
        <w:r w:rsidRPr="00FC5980">
          <w:rPr>
            <w:rFonts w:ascii="Times New Roman" w:eastAsiaTheme="minorEastAsia" w:hAnsi="Times New Roman" w:cs="Times New Roman"/>
            <w:bCs/>
            <w:sz w:val="24"/>
            <w:szCs w:val="24"/>
            <w:lang w:eastAsia="pl-PL"/>
          </w:rPr>
          <w:t>„Planowane cele i obszary rozwoju działalności Narodowego Instytutu Onkologii im. Marii Skłodowskiej-Curie – Państwowego Instytutu Badawczego</w:t>
        </w:r>
      </w:hyperlink>
      <w:r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”</w:t>
      </w:r>
      <w:r w:rsidR="00AB30A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:</w:t>
      </w:r>
    </w:p>
    <w:p w14:paraId="060DA49E" w14:textId="701C35D3" w:rsidR="00BB2561" w:rsidRPr="00FC5980" w:rsidRDefault="00441302" w:rsidP="00441302">
      <w:pPr>
        <w:pStyle w:val="Spistreci2"/>
        <w:numPr>
          <w:ilvl w:val="0"/>
          <w:numId w:val="0"/>
        </w:numPr>
        <w:ind w:left="12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2561" w:rsidRPr="00FC5980">
        <w:rPr>
          <w:rFonts w:ascii="Times New Roman" w:hAnsi="Times New Roman" w:cs="Times New Roman"/>
          <w:sz w:val="24"/>
          <w:szCs w:val="24"/>
        </w:rPr>
        <w:t>podrozdział 5.3.</w:t>
      </w:r>
      <w:hyperlink w:anchor="_Toc177112117" w:history="1">
        <w:r w:rsidR="00BB2561" w:rsidRPr="00FC5980">
          <w:rPr>
            <w:rFonts w:ascii="Times New Roman" w:hAnsi="Times New Roman" w:cs="Times New Roman"/>
            <w:sz w:val="24"/>
            <w:szCs w:val="24"/>
          </w:rPr>
          <w:t xml:space="preserve"> „</w:t>
        </w:r>
        <w:r w:rsidR="000C1FD2" w:rsidRPr="00FC5980">
          <w:rPr>
            <w:rFonts w:ascii="Times New Roman" w:hAnsi="Times New Roman" w:cs="Times New Roman"/>
            <w:sz w:val="24"/>
            <w:szCs w:val="24"/>
          </w:rPr>
          <w:t>Informacja na temat jednostek odpowiedzialnych za realizację Programu</w:t>
        </w:r>
        <w:r w:rsidR="00BB2561" w:rsidRPr="00FC5980">
          <w:rPr>
            <w:rFonts w:ascii="Times New Roman" w:hAnsi="Times New Roman" w:cs="Times New Roman"/>
            <w:sz w:val="24"/>
            <w:szCs w:val="24"/>
          </w:rPr>
          <w:t>”</w:t>
        </w:r>
        <w:r w:rsidR="000C1FD2" w:rsidRPr="00FC598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B2561" w:rsidRPr="00FC5980">
        <w:rPr>
          <w:rFonts w:ascii="Times New Roman" w:hAnsi="Times New Roman" w:cs="Times New Roman"/>
          <w:sz w:val="24"/>
          <w:szCs w:val="24"/>
        </w:rPr>
        <w:t>otrzymuje brzmienie określone w załączniku nr 1 do niniejszej uchwały,</w:t>
      </w:r>
    </w:p>
    <w:p w14:paraId="30D9046B" w14:textId="12B985DB" w:rsidR="000C1FD2" w:rsidRPr="00FC5980" w:rsidRDefault="00441302" w:rsidP="00441302">
      <w:pPr>
        <w:pStyle w:val="Spistreci2"/>
        <w:numPr>
          <w:ilvl w:val="0"/>
          <w:numId w:val="0"/>
        </w:numPr>
        <w:ind w:left="12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2561" w:rsidRPr="00FC5980">
        <w:rPr>
          <w:rFonts w:ascii="Times New Roman" w:hAnsi="Times New Roman" w:cs="Times New Roman"/>
          <w:sz w:val="24"/>
          <w:szCs w:val="24"/>
        </w:rPr>
        <w:t xml:space="preserve">podrozdział </w:t>
      </w:r>
      <w:hyperlink w:anchor="_Toc177112118" w:history="1">
        <w:r w:rsidR="000C1FD2" w:rsidRPr="00FC5980">
          <w:rPr>
            <w:rFonts w:ascii="Times New Roman" w:hAnsi="Times New Roman" w:cs="Times New Roman"/>
            <w:sz w:val="24"/>
            <w:szCs w:val="24"/>
          </w:rPr>
          <w:t>5.4</w:t>
        </w:r>
        <w:r w:rsidR="00BB2561" w:rsidRPr="00FC5980">
          <w:rPr>
            <w:rFonts w:ascii="Times New Roman" w:hAnsi="Times New Roman" w:cs="Times New Roman"/>
            <w:sz w:val="24"/>
            <w:szCs w:val="24"/>
          </w:rPr>
          <w:t>. „</w:t>
        </w:r>
        <w:r w:rsidR="000C1FD2" w:rsidRPr="00FC5980">
          <w:rPr>
            <w:rFonts w:ascii="Times New Roman" w:hAnsi="Times New Roman" w:cs="Times New Roman"/>
            <w:sz w:val="24"/>
            <w:szCs w:val="24"/>
          </w:rPr>
          <w:t>Struktura zarządzania systemem monitorowania w ramach Programu, w tym wskazania w ujęciu zadaniowym mierników realizacji Programu</w:t>
        </w:r>
      </w:hyperlink>
      <w:r w:rsidR="00BB2561" w:rsidRPr="00FC5980">
        <w:rPr>
          <w:rFonts w:ascii="Times New Roman" w:hAnsi="Times New Roman" w:cs="Times New Roman"/>
          <w:sz w:val="24"/>
          <w:szCs w:val="24"/>
        </w:rPr>
        <w:t>” otrzymuje brzmienie określone w załączniku nr 2 do niniejszej uchwały,</w:t>
      </w:r>
    </w:p>
    <w:p w14:paraId="191A7842" w14:textId="277812C6" w:rsidR="008C5BB3" w:rsidRPr="00FC5980" w:rsidRDefault="00F46A8D" w:rsidP="008C5BB3">
      <w:pPr>
        <w:pStyle w:val="Spistreci1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rozdziale 7 „Źródła finansowania”</w:t>
      </w:r>
      <w:r w:rsidR="008C5BB3" w:rsidRPr="00FC5980">
        <w:rPr>
          <w:rFonts w:ascii="Times New Roman" w:hAnsi="Times New Roman" w:cs="Times New Roman"/>
        </w:rPr>
        <w:t xml:space="preserve"> </w:t>
      </w:r>
      <w:r w:rsidR="008C5BB3"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podrozdział 7.1. „Zestawienie planowanych środków z poszczególnych źródeł na finansowanie inwestycji w kolejnych latach realizacji” otrzymuje brzmienie określone w załączniku nr 3 do niniejszej uchwały,</w:t>
      </w:r>
    </w:p>
    <w:p w14:paraId="2BBDE243" w14:textId="447501C2" w:rsidR="00F46A8D" w:rsidRPr="00FC5980" w:rsidRDefault="00F46A8D" w:rsidP="00FC5980">
      <w:pPr>
        <w:pStyle w:val="Spistreci1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rozdziale 9 „Mierniki stopnia realizacji inwestycji”</w:t>
      </w:r>
      <w:r w:rsidR="008C5BB3" w:rsidRPr="00FC5980">
        <w:rPr>
          <w:rFonts w:ascii="Times New Roman" w:hAnsi="Times New Roman" w:cs="Times New Roman"/>
        </w:rPr>
        <w:t xml:space="preserve"> </w:t>
      </w:r>
      <w:r w:rsidR="008C5BB3" w:rsidRPr="00FC598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podrozdział 9.1. „Mierniki” otrzymuje brzmienie określone w załączniku nr 4 do niniejszej uchwały.</w:t>
      </w:r>
    </w:p>
    <w:p w14:paraId="02E3AF2F" w14:textId="77777777" w:rsidR="00E71DD5" w:rsidRPr="00FC5980" w:rsidRDefault="00E71DD5" w:rsidP="00E71DD5">
      <w:pPr>
        <w:pStyle w:val="ARTartustawynprozporzdzenia"/>
        <w:rPr>
          <w:rFonts w:ascii="Times New Roman" w:hAnsi="Times New Roman" w:cs="Times New Roman"/>
        </w:rPr>
      </w:pPr>
      <w:r w:rsidRPr="00FC5980">
        <w:rPr>
          <w:rStyle w:val="Ppogrubienie"/>
          <w:rFonts w:ascii="Times New Roman" w:hAnsi="Times New Roman" w:cs="Times New Roman"/>
        </w:rPr>
        <w:t>§ 2.</w:t>
      </w:r>
      <w:r w:rsidRPr="00FC5980">
        <w:rPr>
          <w:rFonts w:ascii="Times New Roman" w:hAnsi="Times New Roman" w:cs="Times New Roman"/>
        </w:rPr>
        <w:t> Uchwała wchodzi w życie z dniem podjęcia.</w:t>
      </w:r>
    </w:p>
    <w:p w14:paraId="73C4549F" w14:textId="77777777" w:rsidR="00E71DD5" w:rsidRPr="00DE3396" w:rsidRDefault="00E71DD5" w:rsidP="00E71DD5">
      <w:pPr>
        <w:rPr>
          <w:rFonts w:cs="Times New Roman"/>
        </w:rPr>
      </w:pPr>
    </w:p>
    <w:p w14:paraId="4DEF3A98" w14:textId="77777777" w:rsidR="00CF3BD5" w:rsidRPr="00FC5980" w:rsidRDefault="00CF3BD5" w:rsidP="00CF3BD5">
      <w:pPr>
        <w:pStyle w:val="NAZORGWYDnazwaorganuwydajcegoprojektowanyakt"/>
        <w:rPr>
          <w:rFonts w:ascii="Times New Roman" w:hAnsi="Times New Roman"/>
        </w:rPr>
      </w:pPr>
      <w:r w:rsidRPr="00FC5980">
        <w:rPr>
          <w:rFonts w:ascii="Times New Roman" w:hAnsi="Times New Roman"/>
        </w:rPr>
        <w:t>PREZES RADY MINISTRÓW</w:t>
      </w:r>
    </w:p>
    <w:p w14:paraId="6069F4A3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5BDAECDA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78BD46A7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104C5E3F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5CC847D0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0A77E7DC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3506889D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56B3B085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4687D514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64063648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5D5D5613" w14:textId="7B3F6AF1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4AF68BBF" w14:textId="6E5B2B49" w:rsidR="005C793F" w:rsidRPr="00DE3396" w:rsidRDefault="005C793F" w:rsidP="00CF3BD5">
      <w:pPr>
        <w:pStyle w:val="ODNONIKtreodnonika"/>
        <w:ind w:firstLine="4252"/>
        <w:rPr>
          <w:rFonts w:cs="Times New Roman"/>
        </w:rPr>
      </w:pPr>
    </w:p>
    <w:p w14:paraId="3A988934" w14:textId="77777777" w:rsidR="005C793F" w:rsidRPr="00DE3396" w:rsidRDefault="005C793F" w:rsidP="00CF3BD5">
      <w:pPr>
        <w:pStyle w:val="ODNONIKtreodnonika"/>
        <w:ind w:firstLine="4252"/>
        <w:rPr>
          <w:rFonts w:cs="Times New Roman"/>
        </w:rPr>
      </w:pPr>
    </w:p>
    <w:p w14:paraId="60BC02A6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1E165469" w14:textId="77777777" w:rsidR="008C5BB3" w:rsidRPr="00DE3396" w:rsidRDefault="008C5BB3" w:rsidP="00CF3BD5">
      <w:pPr>
        <w:pStyle w:val="ODNONIKtreodnonika"/>
        <w:ind w:firstLine="4252"/>
        <w:rPr>
          <w:rFonts w:cs="Times New Roman"/>
        </w:rPr>
      </w:pPr>
    </w:p>
    <w:p w14:paraId="27BE7BCA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519FB3EC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0DF06F68" w14:textId="77777777" w:rsidR="008C5BB3" w:rsidRPr="00DE3396" w:rsidRDefault="008C5BB3" w:rsidP="00CF3BD5">
      <w:pPr>
        <w:pStyle w:val="ODNONIKtreodnonika"/>
        <w:ind w:firstLine="4252"/>
        <w:rPr>
          <w:rFonts w:cs="Times New Roman"/>
        </w:rPr>
      </w:pPr>
    </w:p>
    <w:p w14:paraId="3A945B0C" w14:textId="77777777" w:rsidR="008C5BB3" w:rsidRPr="00DE3396" w:rsidRDefault="008C5BB3" w:rsidP="00CF3BD5">
      <w:pPr>
        <w:pStyle w:val="ODNONIKtreodnonika"/>
        <w:ind w:firstLine="4252"/>
        <w:rPr>
          <w:rFonts w:cs="Times New Roman"/>
        </w:rPr>
      </w:pPr>
    </w:p>
    <w:p w14:paraId="0628FB65" w14:textId="77777777" w:rsidR="008C5BB3" w:rsidRPr="00DE3396" w:rsidRDefault="008C5BB3" w:rsidP="00CF3BD5">
      <w:pPr>
        <w:pStyle w:val="ODNONIKtreodnonika"/>
        <w:ind w:firstLine="4252"/>
        <w:rPr>
          <w:rFonts w:cs="Times New Roman"/>
        </w:rPr>
      </w:pPr>
    </w:p>
    <w:p w14:paraId="76C63FC5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1E1040E3" w14:textId="77777777" w:rsidR="00F300A5" w:rsidRPr="00DE3396" w:rsidRDefault="00F300A5" w:rsidP="00CF3BD5">
      <w:pPr>
        <w:pStyle w:val="ODNONIKtreodnonika"/>
        <w:ind w:firstLine="4252"/>
        <w:rPr>
          <w:rFonts w:cs="Times New Roman"/>
        </w:rPr>
      </w:pPr>
    </w:p>
    <w:p w14:paraId="296B0D19" w14:textId="77777777" w:rsidR="00F300A5" w:rsidRPr="00DE3396" w:rsidRDefault="00F300A5" w:rsidP="00CF3BD5">
      <w:pPr>
        <w:pStyle w:val="ODNONIKtreodnonika"/>
        <w:ind w:firstLine="4252"/>
        <w:rPr>
          <w:rFonts w:cs="Times New Roman"/>
        </w:rPr>
      </w:pPr>
    </w:p>
    <w:p w14:paraId="69A3B1F5" w14:textId="77777777" w:rsidR="00F300A5" w:rsidRPr="00DE3396" w:rsidRDefault="00F300A5" w:rsidP="00CF3BD5">
      <w:pPr>
        <w:pStyle w:val="ODNONIKtreodnonika"/>
        <w:ind w:firstLine="4252"/>
        <w:rPr>
          <w:rFonts w:cs="Times New Roman"/>
        </w:rPr>
      </w:pPr>
    </w:p>
    <w:p w14:paraId="5C05F669" w14:textId="77777777" w:rsidR="00F300A5" w:rsidRPr="00DE3396" w:rsidRDefault="00F300A5" w:rsidP="00CF3BD5">
      <w:pPr>
        <w:pStyle w:val="ODNONIKtreodnonika"/>
        <w:ind w:firstLine="4252"/>
        <w:rPr>
          <w:rFonts w:cs="Times New Roman"/>
        </w:rPr>
      </w:pPr>
    </w:p>
    <w:p w14:paraId="0A3C68FF" w14:textId="77777777" w:rsidR="00F300A5" w:rsidRPr="00DE3396" w:rsidRDefault="00F300A5" w:rsidP="00CF3BD5">
      <w:pPr>
        <w:pStyle w:val="ODNONIKtreodnonika"/>
        <w:ind w:firstLine="4252"/>
        <w:rPr>
          <w:rFonts w:cs="Times New Roman"/>
        </w:rPr>
      </w:pPr>
    </w:p>
    <w:p w14:paraId="2E895D02" w14:textId="77777777" w:rsidR="006148A0" w:rsidRPr="00DE3396" w:rsidRDefault="006148A0" w:rsidP="00CF3BD5">
      <w:pPr>
        <w:pStyle w:val="ODNONIKtreodnonika"/>
        <w:ind w:firstLine="4252"/>
        <w:rPr>
          <w:rFonts w:cs="Times New Roman"/>
        </w:rPr>
      </w:pPr>
    </w:p>
    <w:p w14:paraId="7C3922B0" w14:textId="32A7E1C1" w:rsidR="006148A0" w:rsidRPr="00DE3396" w:rsidRDefault="006148A0" w:rsidP="006148A0">
      <w:pPr>
        <w:tabs>
          <w:tab w:val="left" w:pos="1560"/>
        </w:tabs>
        <w:spacing w:after="120"/>
        <w:jc w:val="center"/>
        <w:rPr>
          <w:rFonts w:cs="Times New Roman"/>
          <w:b/>
          <w:szCs w:val="24"/>
        </w:rPr>
      </w:pPr>
      <w:r w:rsidRPr="00DE3396">
        <w:rPr>
          <w:rFonts w:cs="Times New Roman"/>
          <w:b/>
          <w:szCs w:val="24"/>
        </w:rPr>
        <w:lastRenderedPageBreak/>
        <w:t>UZASADNIENIE</w:t>
      </w:r>
    </w:p>
    <w:p w14:paraId="74C584B5" w14:textId="108B975E" w:rsidR="007B21AB" w:rsidRPr="00DE3396" w:rsidRDefault="00C12A2E" w:rsidP="00B45CC7">
      <w:pPr>
        <w:tabs>
          <w:tab w:val="left" w:pos="1560"/>
        </w:tabs>
        <w:spacing w:after="120"/>
        <w:ind w:firstLine="425"/>
        <w:jc w:val="both"/>
        <w:rPr>
          <w:rFonts w:cs="Times New Roman"/>
          <w:szCs w:val="24"/>
        </w:rPr>
      </w:pPr>
      <w:r w:rsidRPr="00DE3396">
        <w:rPr>
          <w:rFonts w:cs="Times New Roman"/>
          <w:szCs w:val="24"/>
        </w:rPr>
        <w:t xml:space="preserve">   </w:t>
      </w:r>
      <w:r w:rsidR="006148A0" w:rsidRPr="00DE3396">
        <w:rPr>
          <w:rFonts w:cs="Times New Roman"/>
          <w:szCs w:val="24"/>
        </w:rPr>
        <w:t xml:space="preserve">Celem projektowanej uchwały Rady Ministrów jest </w:t>
      </w:r>
      <w:r w:rsidR="00F300A5" w:rsidRPr="00DE3396">
        <w:rPr>
          <w:rFonts w:cs="Times New Roman"/>
          <w:szCs w:val="24"/>
        </w:rPr>
        <w:t xml:space="preserve">nowelizacja </w:t>
      </w:r>
      <w:r w:rsidR="006148A0" w:rsidRPr="00DE3396">
        <w:rPr>
          <w:rFonts w:cs="Times New Roman"/>
          <w:szCs w:val="24"/>
        </w:rPr>
        <w:t xml:space="preserve">programu wieloletniego pod nazwą „Wieloletni program inwestycji w zakresie rewitalizacji i rozbudowy Narodowego Instytutu Onkologii im. Marii Skłodowskiej-Curie </w:t>
      </w:r>
      <w:r w:rsidR="006148A0" w:rsidRPr="00DE3396">
        <w:rPr>
          <w:rFonts w:cs="Times New Roman"/>
          <w:szCs w:val="24"/>
        </w:rPr>
        <w:sym w:font="Symbol" w:char="F02D"/>
      </w:r>
      <w:r w:rsidR="006148A0" w:rsidRPr="00DE3396">
        <w:rPr>
          <w:rFonts w:cs="Times New Roman"/>
          <w:szCs w:val="24"/>
        </w:rPr>
        <w:t xml:space="preserve"> Państwowego Instytutu Badawczego – etap I”, zwanego dalej „Programem”</w:t>
      </w:r>
      <w:r w:rsidRPr="00DE3396">
        <w:rPr>
          <w:rFonts w:cs="Times New Roman"/>
          <w:szCs w:val="24"/>
        </w:rPr>
        <w:t>, w zakresie zmiany</w:t>
      </w:r>
      <w:r w:rsidR="006148A0" w:rsidRPr="00DE3396">
        <w:rPr>
          <w:rFonts w:cs="Times New Roman"/>
          <w:szCs w:val="24"/>
        </w:rPr>
        <w:t>:</w:t>
      </w:r>
    </w:p>
    <w:p w14:paraId="5958765A" w14:textId="255F8C74" w:rsidR="00C12A2E" w:rsidRPr="00DE3396" w:rsidRDefault="00C12A2E" w:rsidP="00F525F3">
      <w:pPr>
        <w:pStyle w:val="Akapitzlist"/>
        <w:numPr>
          <w:ilvl w:val="0"/>
          <w:numId w:val="33"/>
        </w:numPr>
        <w:tabs>
          <w:tab w:val="left" w:pos="1560"/>
        </w:tabs>
        <w:spacing w:after="120" w:line="360" w:lineRule="auto"/>
        <w:ind w:left="357" w:hanging="357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E3396">
        <w:rPr>
          <w:rFonts w:ascii="Times New Roman" w:eastAsiaTheme="minorEastAsia" w:hAnsi="Times New Roman"/>
          <w:sz w:val="24"/>
          <w:szCs w:val="24"/>
          <w:lang w:eastAsia="pl-PL"/>
        </w:rPr>
        <w:t>wysokości finansowania Programu w poszczególnych latach jego realizacji ze środków części 46 – Zdrowie, przy niezmienionych łącznych nakładach w wysokości 738 785 tys. zł;</w:t>
      </w:r>
    </w:p>
    <w:p w14:paraId="10CA59FF" w14:textId="252044E6" w:rsidR="00C12A2E" w:rsidRPr="00DE3396" w:rsidRDefault="00B1016A" w:rsidP="00C12A2E">
      <w:pPr>
        <w:pStyle w:val="Akapitzlist"/>
        <w:numPr>
          <w:ilvl w:val="0"/>
          <w:numId w:val="33"/>
        </w:numPr>
        <w:tabs>
          <w:tab w:val="left" w:pos="1560"/>
        </w:tabs>
        <w:spacing w:after="120" w:line="360" w:lineRule="auto"/>
        <w:ind w:left="357" w:hanging="357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E3396">
        <w:rPr>
          <w:rFonts w:ascii="Times New Roman" w:eastAsia="Times New Roman" w:hAnsi="Times New Roman"/>
          <w:sz w:val="24"/>
          <w:szCs w:val="24"/>
          <w:lang w:eastAsia="pl-PL"/>
        </w:rPr>
        <w:t>mierników stopnia realizacji inwestycji</w:t>
      </w:r>
      <w:r w:rsidR="00C12A2E" w:rsidRPr="00DE3396">
        <w:rPr>
          <w:rFonts w:ascii="Times New Roman" w:eastAsia="Times New Roman" w:hAnsi="Times New Roman"/>
          <w:sz w:val="24"/>
          <w:szCs w:val="24"/>
          <w:lang w:eastAsia="pl-PL"/>
        </w:rPr>
        <w:t xml:space="preserve"> w poszczególnych latach</w:t>
      </w:r>
      <w:r w:rsidRPr="00DE3396">
        <w:rPr>
          <w:rFonts w:ascii="Times New Roman" w:eastAsia="Times New Roman" w:hAnsi="Times New Roman"/>
          <w:sz w:val="24"/>
          <w:szCs w:val="24"/>
          <w:lang w:eastAsia="pl-PL"/>
        </w:rPr>
        <w:t xml:space="preserve"> oraz zakresu rzeczowego zrealizowanego celu</w:t>
      </w:r>
      <w:r w:rsidR="00C12A2E" w:rsidRPr="00DE339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C73D4FF" w14:textId="379B53E4" w:rsidR="00C12A2E" w:rsidRPr="00DE3396" w:rsidRDefault="00C12A2E" w:rsidP="00C12A2E">
      <w:pPr>
        <w:pStyle w:val="Akapitzlist"/>
        <w:numPr>
          <w:ilvl w:val="0"/>
          <w:numId w:val="33"/>
        </w:numPr>
        <w:tabs>
          <w:tab w:val="left" w:pos="1560"/>
        </w:tabs>
        <w:spacing w:after="120" w:line="360" w:lineRule="auto"/>
        <w:ind w:left="357" w:hanging="357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FC5980">
        <w:rPr>
          <w:rFonts w:ascii="Times New Roman" w:hAnsi="Times New Roman"/>
          <w:sz w:val="24"/>
          <w:szCs w:val="24"/>
        </w:rPr>
        <w:t>informacji dotyczących jednostek odpowiedzialnych za realizację Programu oraz struktury zarządzania systemem monitorowania w ramach Programu, w tym wskazania w ujęciu zadaniowym mierników realizacji Programu.</w:t>
      </w:r>
    </w:p>
    <w:p w14:paraId="27EA5DAA" w14:textId="282623A1" w:rsidR="001D3F78" w:rsidRPr="00DE3396" w:rsidRDefault="00C12A2E" w:rsidP="00FC5980">
      <w:pPr>
        <w:tabs>
          <w:tab w:val="left" w:pos="1560"/>
        </w:tabs>
        <w:spacing w:after="120"/>
        <w:jc w:val="both"/>
        <w:rPr>
          <w:rFonts w:cs="Times New Roman"/>
          <w:szCs w:val="24"/>
        </w:rPr>
      </w:pPr>
      <w:r w:rsidRPr="00DE3396">
        <w:rPr>
          <w:rFonts w:cs="Times New Roman"/>
          <w:szCs w:val="24"/>
        </w:rPr>
        <w:t>N</w:t>
      </w:r>
      <w:r w:rsidR="001D3F78" w:rsidRPr="00DE3396">
        <w:rPr>
          <w:rFonts w:cs="Times New Roman"/>
          <w:szCs w:val="24"/>
        </w:rPr>
        <w:t>akłady z budżetu państwa w poszczególnych latach wyniosą:</w:t>
      </w:r>
    </w:p>
    <w:p w14:paraId="65181C38" w14:textId="77777777" w:rsidR="001D3F78" w:rsidRPr="00DE3396" w:rsidRDefault="001D3F78" w:rsidP="009C1DF2">
      <w:pPr>
        <w:pStyle w:val="PKTpunkt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2020 r. – 448 tys. zł (bez zmian);</w:t>
      </w:r>
    </w:p>
    <w:p w14:paraId="68FF8BE6" w14:textId="77777777" w:rsidR="001D3F78" w:rsidRPr="00DE3396" w:rsidRDefault="001D3F78" w:rsidP="009C1DF2">
      <w:pPr>
        <w:pStyle w:val="PKTpunkt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2021 r. – 23 880 tys. zł (bez zmian);</w:t>
      </w:r>
    </w:p>
    <w:p w14:paraId="2EA6E48D" w14:textId="77777777" w:rsidR="001D3F78" w:rsidRPr="00DE3396" w:rsidRDefault="001D3F78" w:rsidP="009C1DF2">
      <w:pPr>
        <w:pStyle w:val="PKTpunkt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2022 r. – 0 tys. zł (bez zmian);</w:t>
      </w:r>
    </w:p>
    <w:p w14:paraId="539AC193" w14:textId="77777777" w:rsidR="001D3F78" w:rsidRPr="00DE3396" w:rsidRDefault="001D3F78" w:rsidP="009C1DF2">
      <w:pPr>
        <w:pStyle w:val="PKTpunkt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2023 r. – 35 332 tys. zł (bez zmian);</w:t>
      </w:r>
    </w:p>
    <w:p w14:paraId="730101C3" w14:textId="77777777" w:rsidR="001D3F78" w:rsidRPr="00DE3396" w:rsidRDefault="001D3F78" w:rsidP="009C1DF2">
      <w:pPr>
        <w:pStyle w:val="PKTpunkt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2024 r. – 1 803 tys. zł (było 2 000 tys. zł – zmniejszenie o 197 tys. zł);</w:t>
      </w:r>
    </w:p>
    <w:p w14:paraId="08AD7C1F" w14:textId="0C13F282" w:rsidR="001D3F78" w:rsidRPr="00DE3396" w:rsidRDefault="001D3F78" w:rsidP="009C1DF2">
      <w:pPr>
        <w:pStyle w:val="PKTpunkt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2025 r. – 10</w:t>
      </w:r>
      <w:r w:rsidR="009C1DF2" w:rsidRPr="00DE3396">
        <w:rPr>
          <w:rFonts w:ascii="Times New Roman" w:hAnsi="Times New Roman" w:cs="Times New Roman"/>
          <w:szCs w:val="24"/>
        </w:rPr>
        <w:t> </w:t>
      </w:r>
      <w:r w:rsidRPr="00DE3396">
        <w:rPr>
          <w:rFonts w:ascii="Times New Roman" w:hAnsi="Times New Roman" w:cs="Times New Roman"/>
          <w:szCs w:val="24"/>
        </w:rPr>
        <w:t>800</w:t>
      </w:r>
      <w:r w:rsidR="009C1DF2" w:rsidRPr="00DE3396">
        <w:rPr>
          <w:rFonts w:ascii="Times New Roman" w:hAnsi="Times New Roman" w:cs="Times New Roman"/>
          <w:szCs w:val="24"/>
        </w:rPr>
        <w:t xml:space="preserve"> tys</w:t>
      </w:r>
      <w:r w:rsidRPr="00DE3396">
        <w:rPr>
          <w:rFonts w:ascii="Times New Roman" w:hAnsi="Times New Roman" w:cs="Times New Roman"/>
          <w:szCs w:val="24"/>
        </w:rPr>
        <w:t>. zł (było 19 000 tys. zł – zmniejszenie o 8 200 tys. zł);</w:t>
      </w:r>
    </w:p>
    <w:p w14:paraId="027F627E" w14:textId="77777777" w:rsidR="001D3F78" w:rsidRPr="00DE3396" w:rsidRDefault="001D3F78" w:rsidP="009C1DF2">
      <w:pPr>
        <w:pStyle w:val="PKTpunkt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2026 r. – 189 000 tys. zł (bez zmian);</w:t>
      </w:r>
    </w:p>
    <w:p w14:paraId="6BF23C36" w14:textId="77777777" w:rsidR="001D3F78" w:rsidRPr="00DE3396" w:rsidRDefault="001D3F78" w:rsidP="009C1DF2">
      <w:pPr>
        <w:pStyle w:val="USTustnpkodeksu"/>
        <w:numPr>
          <w:ilvl w:val="0"/>
          <w:numId w:val="4"/>
        </w:numPr>
        <w:ind w:left="357" w:hanging="357"/>
        <w:rPr>
          <w:rFonts w:ascii="Times New Roman" w:hAnsi="Times New Roman" w:cs="Times New Roman"/>
          <w:szCs w:val="24"/>
        </w:rPr>
      </w:pPr>
      <w:r w:rsidRPr="00DE3396">
        <w:rPr>
          <w:rFonts w:ascii="Times New Roman" w:hAnsi="Times New Roman" w:cs="Times New Roman"/>
          <w:szCs w:val="24"/>
        </w:rPr>
        <w:t>w 2027 r. – 227 747 tys. zł (bez zmian);</w:t>
      </w:r>
    </w:p>
    <w:p w14:paraId="46FCC58D" w14:textId="7F336C3E" w:rsidR="001D3F78" w:rsidRPr="00DE3396" w:rsidRDefault="001D3F78" w:rsidP="009C1DF2">
      <w:pPr>
        <w:pStyle w:val="USTustnpkodeksu"/>
        <w:numPr>
          <w:ilvl w:val="0"/>
          <w:numId w:val="4"/>
        </w:numPr>
        <w:autoSpaceDE/>
        <w:autoSpaceDN/>
        <w:adjustRightInd/>
        <w:spacing w:after="120"/>
        <w:ind w:left="357" w:hanging="357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r w:rsidRPr="00DE3396">
        <w:rPr>
          <w:rFonts w:ascii="Times New Roman" w:hAnsi="Times New Roman" w:cs="Times New Roman"/>
          <w:szCs w:val="24"/>
        </w:rPr>
        <w:t xml:space="preserve">w 2028 r. – 249 775 tys. zł (było 241 378 tys. zł – zwiększenie </w:t>
      </w:r>
      <w:r w:rsidR="009C1DF2" w:rsidRPr="00DE3396">
        <w:rPr>
          <w:rFonts w:ascii="Times New Roman" w:hAnsi="Times New Roman" w:cs="Times New Roman"/>
          <w:szCs w:val="24"/>
        </w:rPr>
        <w:t xml:space="preserve">o </w:t>
      </w:r>
      <w:r w:rsidRPr="00DE3396">
        <w:rPr>
          <w:rFonts w:ascii="Times New Roman" w:hAnsi="Times New Roman" w:cs="Times New Roman"/>
          <w:szCs w:val="24"/>
        </w:rPr>
        <w:t>8 397 tys. zł).</w:t>
      </w:r>
    </w:p>
    <w:p w14:paraId="6A338C36" w14:textId="33D09CE7" w:rsidR="001D3F78" w:rsidRPr="00DE3396" w:rsidRDefault="001D3F78" w:rsidP="004648EF">
      <w:pPr>
        <w:pStyle w:val="Bezodstpw"/>
        <w:spacing w:after="120"/>
        <w:jc w:val="both"/>
        <w:rPr>
          <w:rFonts w:ascii="Times New Roman" w:hAnsi="Times New Roman"/>
        </w:rPr>
      </w:pPr>
      <w:r w:rsidRPr="00DE3396">
        <w:rPr>
          <w:rFonts w:ascii="Times New Roman" w:hAnsi="Times New Roman"/>
        </w:rPr>
        <w:t xml:space="preserve">Zmiany w wysokości finansowania z części 46 – Zdrowie w latach 2020–2028 </w:t>
      </w:r>
      <w:r w:rsidR="00F300A5" w:rsidRPr="00DE3396">
        <w:rPr>
          <w:rFonts w:ascii="Times New Roman" w:hAnsi="Times New Roman"/>
        </w:rPr>
        <w:t xml:space="preserve">przedstawia </w:t>
      </w:r>
      <w:r w:rsidRPr="00DE3396">
        <w:rPr>
          <w:rFonts w:ascii="Times New Roman" w:hAnsi="Times New Roman"/>
        </w:rPr>
        <w:t>poniższa tabela</w:t>
      </w:r>
      <w:r w:rsidR="00F300A5" w:rsidRPr="00DE3396">
        <w:rPr>
          <w:rFonts w:ascii="Times New Roman" w:hAnsi="Times New Roman"/>
        </w:rPr>
        <w:t>:</w:t>
      </w:r>
    </w:p>
    <w:tbl>
      <w:tblPr>
        <w:tblW w:w="42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295"/>
        <w:gridCol w:w="1262"/>
        <w:gridCol w:w="977"/>
      </w:tblGrid>
      <w:tr w:rsidR="001D3F78" w:rsidRPr="00DE3396" w14:paraId="5DA2A55F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5696D33A" w14:textId="77777777" w:rsidR="001D3F78" w:rsidRPr="00DE3396" w:rsidRDefault="001D3F78" w:rsidP="004648E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Rok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13D90641" w14:textId="2E62EC53" w:rsidR="004648EF" w:rsidRPr="00DE3396" w:rsidRDefault="001D3F78" w:rsidP="004648EF">
            <w:pPr>
              <w:widowControl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Środki wg obowiązującej uchwały</w:t>
            </w:r>
            <w:r w:rsidR="004648EF" w:rsidRPr="00DE3396">
              <w:rPr>
                <w:rFonts w:cs="Times New Roman"/>
                <w:bCs/>
                <w:sz w:val="20"/>
              </w:rPr>
              <w:t xml:space="preserve"> </w:t>
            </w:r>
            <w:r w:rsidR="004648EF" w:rsidRPr="00DE3396">
              <w:rPr>
                <w:rFonts w:cs="Times New Roman"/>
                <w:bCs/>
                <w:sz w:val="20"/>
              </w:rPr>
              <w:br/>
            </w:r>
            <w:r w:rsidR="004648EF" w:rsidRPr="00DE3396">
              <w:rPr>
                <w:rFonts w:cs="Times New Roman"/>
                <w:color w:val="000000"/>
                <w:sz w:val="20"/>
              </w:rPr>
              <w:t>w tys. zł</w:t>
            </w:r>
          </w:p>
          <w:p w14:paraId="73322937" w14:textId="77777777" w:rsidR="001D3F78" w:rsidRPr="00DE3396" w:rsidRDefault="001D3F78" w:rsidP="004648E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0561C471" w14:textId="7A4F32EF" w:rsidR="004648EF" w:rsidRPr="00DE3396" w:rsidRDefault="001D3F78" w:rsidP="004648EF">
            <w:pPr>
              <w:widowControl/>
              <w:spacing w:line="240" w:lineRule="auto"/>
              <w:jc w:val="center"/>
              <w:rPr>
                <w:rFonts w:cs="Times New Roman"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Środki wg procedowanej uchwały</w:t>
            </w:r>
            <w:r w:rsidR="004648EF" w:rsidRPr="00DE3396">
              <w:rPr>
                <w:rFonts w:cs="Times New Roman"/>
                <w:color w:val="000000"/>
                <w:sz w:val="20"/>
              </w:rPr>
              <w:t xml:space="preserve"> </w:t>
            </w:r>
            <w:r w:rsidR="004648EF" w:rsidRPr="00DE3396">
              <w:rPr>
                <w:rFonts w:cs="Times New Roman"/>
                <w:color w:val="000000"/>
                <w:sz w:val="20"/>
              </w:rPr>
              <w:br/>
              <w:t>w tys. zł</w:t>
            </w:r>
          </w:p>
          <w:p w14:paraId="66641851" w14:textId="61197DB3" w:rsidR="001D3F78" w:rsidRPr="00DE3396" w:rsidRDefault="001D3F78" w:rsidP="004648E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2905C6A6" w14:textId="77777777" w:rsidR="001D3F78" w:rsidRPr="00DE3396" w:rsidRDefault="001D3F78" w:rsidP="004648EF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Różnica</w:t>
            </w:r>
          </w:p>
        </w:tc>
      </w:tr>
      <w:tr w:rsidR="001D3F78" w:rsidRPr="00DE3396" w14:paraId="37CB1FB9" w14:textId="77777777" w:rsidTr="00423AF2">
        <w:trPr>
          <w:trHeight w:val="143"/>
        </w:trPr>
        <w:tc>
          <w:tcPr>
            <w:tcW w:w="718" w:type="dxa"/>
            <w:shd w:val="clear" w:color="000000" w:fill="FFFFFF"/>
            <w:noWrap/>
            <w:vAlign w:val="center"/>
          </w:tcPr>
          <w:p w14:paraId="43AF09E6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1</w:t>
            </w:r>
          </w:p>
        </w:tc>
        <w:tc>
          <w:tcPr>
            <w:tcW w:w="1295" w:type="dxa"/>
            <w:shd w:val="clear" w:color="000000" w:fill="FFFFFF"/>
            <w:noWrap/>
            <w:vAlign w:val="center"/>
          </w:tcPr>
          <w:p w14:paraId="2D1B94F9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</w:t>
            </w:r>
          </w:p>
        </w:tc>
        <w:tc>
          <w:tcPr>
            <w:tcW w:w="1262" w:type="dxa"/>
            <w:shd w:val="clear" w:color="000000" w:fill="FFFFFF"/>
            <w:noWrap/>
            <w:vAlign w:val="center"/>
          </w:tcPr>
          <w:p w14:paraId="162ED4D3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1DA75741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4=3-2</w:t>
            </w:r>
          </w:p>
        </w:tc>
      </w:tr>
      <w:tr w:rsidR="001D3F78" w:rsidRPr="00DE3396" w14:paraId="488183DC" w14:textId="77777777" w:rsidTr="00423AF2">
        <w:trPr>
          <w:trHeight w:val="130"/>
        </w:trPr>
        <w:tc>
          <w:tcPr>
            <w:tcW w:w="718" w:type="dxa"/>
            <w:shd w:val="clear" w:color="000000" w:fill="FFFFFF"/>
            <w:noWrap/>
            <w:vAlign w:val="center"/>
            <w:hideMark/>
          </w:tcPr>
          <w:p w14:paraId="068CBE26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SUMA</w:t>
            </w:r>
          </w:p>
        </w:tc>
        <w:tc>
          <w:tcPr>
            <w:tcW w:w="1295" w:type="dxa"/>
            <w:shd w:val="clear" w:color="000000" w:fill="FFFFFF"/>
            <w:noWrap/>
            <w:vAlign w:val="center"/>
            <w:hideMark/>
          </w:tcPr>
          <w:p w14:paraId="60676549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738 785</w:t>
            </w:r>
          </w:p>
        </w:tc>
        <w:tc>
          <w:tcPr>
            <w:tcW w:w="1262" w:type="dxa"/>
            <w:shd w:val="clear" w:color="000000" w:fill="FFFFFF"/>
            <w:noWrap/>
            <w:vAlign w:val="center"/>
            <w:hideMark/>
          </w:tcPr>
          <w:p w14:paraId="79A5852C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738 785</w:t>
            </w:r>
          </w:p>
        </w:tc>
        <w:tc>
          <w:tcPr>
            <w:tcW w:w="977" w:type="dxa"/>
            <w:noWrap/>
            <w:vAlign w:val="center"/>
            <w:hideMark/>
          </w:tcPr>
          <w:p w14:paraId="5DF2D927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0</w:t>
            </w:r>
          </w:p>
        </w:tc>
      </w:tr>
      <w:tr w:rsidR="001D3F78" w:rsidRPr="00DE3396" w14:paraId="01006FCA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2BAC6ED5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2020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1124A80A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448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464F461F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448</w:t>
            </w:r>
          </w:p>
        </w:tc>
        <w:tc>
          <w:tcPr>
            <w:tcW w:w="977" w:type="dxa"/>
            <w:noWrap/>
            <w:vAlign w:val="center"/>
            <w:hideMark/>
          </w:tcPr>
          <w:p w14:paraId="6A41FFD5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0</w:t>
            </w:r>
          </w:p>
        </w:tc>
      </w:tr>
      <w:tr w:rsidR="001D3F78" w:rsidRPr="00DE3396" w14:paraId="54E7E48D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08CD50F5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2021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47A77FCD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23 880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7FDEB4AC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23 880</w:t>
            </w:r>
          </w:p>
        </w:tc>
        <w:tc>
          <w:tcPr>
            <w:tcW w:w="977" w:type="dxa"/>
            <w:noWrap/>
            <w:vAlign w:val="center"/>
            <w:hideMark/>
          </w:tcPr>
          <w:p w14:paraId="1DC620E0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0</w:t>
            </w:r>
          </w:p>
        </w:tc>
      </w:tr>
      <w:tr w:rsidR="001D3F78" w:rsidRPr="00DE3396" w14:paraId="08ADDF47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5F37D162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2022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7B688679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73FBC30B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0</w:t>
            </w:r>
          </w:p>
        </w:tc>
        <w:tc>
          <w:tcPr>
            <w:tcW w:w="977" w:type="dxa"/>
            <w:noWrap/>
            <w:vAlign w:val="center"/>
            <w:hideMark/>
          </w:tcPr>
          <w:p w14:paraId="1C767D33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0</w:t>
            </w:r>
          </w:p>
        </w:tc>
      </w:tr>
      <w:tr w:rsidR="001D3F78" w:rsidRPr="00DE3396" w14:paraId="3103F522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115B60CA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2023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799CEF7C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35 332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149C5A8A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35 332</w:t>
            </w:r>
          </w:p>
        </w:tc>
        <w:tc>
          <w:tcPr>
            <w:tcW w:w="977" w:type="dxa"/>
            <w:noWrap/>
            <w:vAlign w:val="center"/>
            <w:hideMark/>
          </w:tcPr>
          <w:p w14:paraId="4D4A2897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0</w:t>
            </w:r>
          </w:p>
        </w:tc>
      </w:tr>
      <w:tr w:rsidR="001D3F78" w:rsidRPr="00DE3396" w14:paraId="06BBDDBB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7FDFEFBE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lastRenderedPageBreak/>
              <w:t>2024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4CFD366C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2 000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291DA461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1 803</w:t>
            </w:r>
          </w:p>
        </w:tc>
        <w:tc>
          <w:tcPr>
            <w:tcW w:w="977" w:type="dxa"/>
            <w:noWrap/>
            <w:vAlign w:val="center"/>
            <w:hideMark/>
          </w:tcPr>
          <w:p w14:paraId="7137DA3A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-197</w:t>
            </w:r>
          </w:p>
        </w:tc>
      </w:tr>
      <w:tr w:rsidR="001D3F78" w:rsidRPr="00DE3396" w14:paraId="6CDA4519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70360FBE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2025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6506F0CB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19 000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565096DA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color w:val="000000"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10 800</w:t>
            </w:r>
          </w:p>
        </w:tc>
        <w:tc>
          <w:tcPr>
            <w:tcW w:w="977" w:type="dxa"/>
            <w:noWrap/>
            <w:vAlign w:val="center"/>
            <w:hideMark/>
          </w:tcPr>
          <w:p w14:paraId="6CB813BE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-8 200</w:t>
            </w:r>
          </w:p>
        </w:tc>
      </w:tr>
      <w:tr w:rsidR="001D3F78" w:rsidRPr="00DE3396" w14:paraId="4CF02E24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0C99D1A3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2026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040C0FF1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189 000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5DCC4D17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189 000</w:t>
            </w:r>
          </w:p>
        </w:tc>
        <w:tc>
          <w:tcPr>
            <w:tcW w:w="977" w:type="dxa"/>
            <w:noWrap/>
            <w:vAlign w:val="center"/>
            <w:hideMark/>
          </w:tcPr>
          <w:p w14:paraId="01B66292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0</w:t>
            </w:r>
          </w:p>
        </w:tc>
      </w:tr>
      <w:tr w:rsidR="001D3F78" w:rsidRPr="00DE3396" w14:paraId="261CD500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3526F046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2027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31DC8C11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227 747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74F62B75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227 747</w:t>
            </w:r>
          </w:p>
        </w:tc>
        <w:tc>
          <w:tcPr>
            <w:tcW w:w="977" w:type="dxa"/>
            <w:noWrap/>
            <w:vAlign w:val="center"/>
            <w:hideMark/>
          </w:tcPr>
          <w:p w14:paraId="22EE2C0E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0</w:t>
            </w:r>
          </w:p>
        </w:tc>
      </w:tr>
      <w:tr w:rsidR="001D3F78" w:rsidRPr="00DE3396" w14:paraId="1D808488" w14:textId="77777777" w:rsidTr="00423AF2">
        <w:trPr>
          <w:trHeight w:val="290"/>
        </w:trPr>
        <w:tc>
          <w:tcPr>
            <w:tcW w:w="718" w:type="dxa"/>
            <w:shd w:val="clear" w:color="000000" w:fill="DAE9F8"/>
            <w:noWrap/>
            <w:vAlign w:val="center"/>
            <w:hideMark/>
          </w:tcPr>
          <w:p w14:paraId="3B243884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2028</w:t>
            </w:r>
          </w:p>
        </w:tc>
        <w:tc>
          <w:tcPr>
            <w:tcW w:w="1295" w:type="dxa"/>
            <w:shd w:val="clear" w:color="000000" w:fill="DAE9F8"/>
            <w:noWrap/>
            <w:vAlign w:val="center"/>
            <w:hideMark/>
          </w:tcPr>
          <w:p w14:paraId="7798FFC9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sz w:val="20"/>
              </w:rPr>
              <w:t>241 378</w:t>
            </w:r>
          </w:p>
        </w:tc>
        <w:tc>
          <w:tcPr>
            <w:tcW w:w="1262" w:type="dxa"/>
            <w:shd w:val="clear" w:color="000000" w:fill="F2F2F2"/>
            <w:noWrap/>
            <w:vAlign w:val="center"/>
            <w:hideMark/>
          </w:tcPr>
          <w:p w14:paraId="4399A812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color w:val="000000"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249 775</w:t>
            </w:r>
          </w:p>
        </w:tc>
        <w:tc>
          <w:tcPr>
            <w:tcW w:w="977" w:type="dxa"/>
            <w:noWrap/>
            <w:vAlign w:val="center"/>
            <w:hideMark/>
          </w:tcPr>
          <w:p w14:paraId="78D1A3A9" w14:textId="77777777" w:rsidR="001D3F78" w:rsidRPr="00DE3396" w:rsidRDefault="001D3F78" w:rsidP="009C1DF2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cs="Times New Roman"/>
                <w:bCs/>
                <w:sz w:val="20"/>
              </w:rPr>
            </w:pPr>
            <w:r w:rsidRPr="00DE3396">
              <w:rPr>
                <w:rFonts w:cs="Times New Roman"/>
                <w:bCs/>
                <w:color w:val="000000"/>
                <w:sz w:val="20"/>
              </w:rPr>
              <w:t>8 397</w:t>
            </w:r>
          </w:p>
        </w:tc>
      </w:tr>
    </w:tbl>
    <w:p w14:paraId="498C8211" w14:textId="77777777" w:rsidR="00DE3396" w:rsidRDefault="00DE3396" w:rsidP="00DE3396">
      <w:pPr>
        <w:pStyle w:val="Bezodstpw"/>
        <w:spacing w:before="120" w:after="120"/>
        <w:ind w:firstLine="357"/>
        <w:jc w:val="both"/>
        <w:rPr>
          <w:rFonts w:ascii="Times New Roman" w:hAnsi="Times New Roman"/>
          <w:color w:val="000000" w:themeColor="text1"/>
        </w:rPr>
      </w:pPr>
    </w:p>
    <w:p w14:paraId="2C56ED2F" w14:textId="46E729E8" w:rsidR="001B76A1" w:rsidRPr="00FC5980" w:rsidRDefault="00DE3396" w:rsidP="00B45CC7">
      <w:pPr>
        <w:pStyle w:val="Bezodstpw"/>
        <w:spacing w:before="120" w:after="120"/>
        <w:ind w:firstLine="425"/>
        <w:jc w:val="both"/>
        <w:rPr>
          <w:rFonts w:ascii="Times New Roman" w:hAnsi="Times New Roman"/>
        </w:rPr>
      </w:pPr>
      <w:r>
        <w:rPr>
          <w:color w:val="000000" w:themeColor="text1"/>
        </w:rPr>
        <w:t xml:space="preserve">Projektowana uchwała </w:t>
      </w:r>
      <w:r w:rsidR="007C18B3" w:rsidRPr="00DE3396">
        <w:rPr>
          <w:color w:val="000000" w:themeColor="text1"/>
        </w:rPr>
        <w:t>ma na celu zmianę wysokości nakładów na realizację inwestycji w</w:t>
      </w:r>
      <w:r>
        <w:rPr>
          <w:color w:val="000000" w:themeColor="text1"/>
        </w:rPr>
        <w:t> </w:t>
      </w:r>
      <w:r w:rsidR="007C18B3" w:rsidRPr="00DE3396">
        <w:rPr>
          <w:color w:val="000000" w:themeColor="text1"/>
        </w:rPr>
        <w:t xml:space="preserve">poszczególnych latach realizacji </w:t>
      </w:r>
      <w:r>
        <w:rPr>
          <w:color w:val="000000" w:themeColor="text1"/>
        </w:rPr>
        <w:t xml:space="preserve">Programu </w:t>
      </w:r>
      <w:r w:rsidR="007C18B3" w:rsidRPr="00DE3396">
        <w:rPr>
          <w:color w:val="000000" w:themeColor="text1"/>
        </w:rPr>
        <w:t xml:space="preserve">zgodnie z harmonogramem. </w:t>
      </w:r>
      <w:r w:rsidR="00F300A5" w:rsidRPr="00FC5980">
        <w:rPr>
          <w:rFonts w:ascii="Times New Roman" w:hAnsi="Times New Roman"/>
        </w:rPr>
        <w:t>Z</w:t>
      </w:r>
      <w:r w:rsidR="001B76A1" w:rsidRPr="00FC5980">
        <w:rPr>
          <w:rFonts w:ascii="Times New Roman" w:hAnsi="Times New Roman"/>
        </w:rPr>
        <w:t>miany poziomu finansowania Programu</w:t>
      </w:r>
      <w:r w:rsidR="007326D2" w:rsidRPr="00FC5980">
        <w:rPr>
          <w:rFonts w:ascii="Times New Roman" w:hAnsi="Times New Roman"/>
        </w:rPr>
        <w:t xml:space="preserve"> w zakresie środków z budżetu</w:t>
      </w:r>
      <w:r w:rsidR="00F46A8D" w:rsidRPr="00FC5980">
        <w:rPr>
          <w:rFonts w:ascii="Times New Roman" w:hAnsi="Times New Roman"/>
        </w:rPr>
        <w:t xml:space="preserve"> </w:t>
      </w:r>
      <w:r w:rsidR="007326D2" w:rsidRPr="00FC5980">
        <w:rPr>
          <w:rFonts w:ascii="Times New Roman" w:hAnsi="Times New Roman"/>
        </w:rPr>
        <w:t>państwa z części 46 – Zdrowie</w:t>
      </w:r>
      <w:r w:rsidR="001B76A1" w:rsidRPr="00FC5980">
        <w:rPr>
          <w:rFonts w:ascii="Times New Roman" w:hAnsi="Times New Roman"/>
        </w:rPr>
        <w:t xml:space="preserve"> </w:t>
      </w:r>
      <w:r w:rsidR="00F300A5" w:rsidRPr="00FC5980">
        <w:rPr>
          <w:rFonts w:ascii="Times New Roman" w:hAnsi="Times New Roman"/>
        </w:rPr>
        <w:t>wynikają z</w:t>
      </w:r>
      <w:r w:rsidRPr="00DE3396">
        <w:t xml:space="preserve"> </w:t>
      </w:r>
      <w:r w:rsidRPr="00DE3396">
        <w:rPr>
          <w:rFonts w:ascii="Times New Roman" w:hAnsi="Times New Roman"/>
        </w:rPr>
        <w:t>braku możliwości wydatkowania środków dotacji</w:t>
      </w:r>
      <w:r w:rsidR="001B76A1" w:rsidRPr="00FC5980">
        <w:rPr>
          <w:rFonts w:ascii="Times New Roman" w:hAnsi="Times New Roman"/>
        </w:rPr>
        <w:t xml:space="preserve">: </w:t>
      </w:r>
    </w:p>
    <w:p w14:paraId="46E59A9A" w14:textId="6318677B" w:rsidR="00255591" w:rsidRPr="00FC5980" w:rsidRDefault="00DE3396" w:rsidP="00442F79">
      <w:pPr>
        <w:widowControl/>
        <w:numPr>
          <w:ilvl w:val="0"/>
          <w:numId w:val="41"/>
        </w:numPr>
        <w:autoSpaceDE/>
        <w:autoSpaceDN/>
        <w:adjustRightInd/>
        <w:ind w:left="414" w:hanging="357"/>
        <w:jc w:val="both"/>
        <w:rPr>
          <w:rFonts w:cs="Times New Roman"/>
          <w:szCs w:val="24"/>
        </w:rPr>
      </w:pPr>
      <w:r w:rsidRPr="00DE3396">
        <w:rPr>
          <w:rFonts w:cs="Times New Roman"/>
          <w:szCs w:val="24"/>
        </w:rPr>
        <w:t>w 2024 r.</w:t>
      </w:r>
      <w:r>
        <w:rPr>
          <w:rFonts w:cs="Times New Roman"/>
          <w:szCs w:val="24"/>
        </w:rPr>
        <w:t xml:space="preserve"> w wysokości </w:t>
      </w:r>
      <w:r w:rsidR="00255591" w:rsidRPr="00FC5980">
        <w:rPr>
          <w:rFonts w:cs="Times New Roman"/>
          <w:b/>
          <w:bCs/>
          <w:szCs w:val="24"/>
        </w:rPr>
        <w:t>197 tys. zł</w:t>
      </w:r>
      <w:r w:rsidR="00255591" w:rsidRPr="00FC5980">
        <w:rPr>
          <w:rFonts w:cs="Times New Roman"/>
          <w:szCs w:val="24"/>
        </w:rPr>
        <w:t>, na które składa się</w:t>
      </w:r>
      <w:r w:rsidR="008C5BB3" w:rsidRPr="00FC5980">
        <w:rPr>
          <w:rFonts w:cs="Times New Roman"/>
          <w:szCs w:val="24"/>
        </w:rPr>
        <w:t>:</w:t>
      </w:r>
      <w:r w:rsidR="00255591" w:rsidRPr="00FC5980">
        <w:rPr>
          <w:rFonts w:cs="Times New Roman"/>
          <w:szCs w:val="24"/>
        </w:rPr>
        <w:t xml:space="preserve"> </w:t>
      </w:r>
    </w:p>
    <w:p w14:paraId="7168D0CC" w14:textId="15F48D6B" w:rsidR="00255591" w:rsidRPr="00FC5980" w:rsidRDefault="008C5BB3" w:rsidP="00FC5980">
      <w:pPr>
        <w:pStyle w:val="Akapitzlist"/>
        <w:numPr>
          <w:ilvl w:val="0"/>
          <w:numId w:val="43"/>
        </w:numPr>
        <w:spacing w:after="12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C5980">
        <w:rPr>
          <w:rFonts w:ascii="Times New Roman" w:hAnsi="Times New Roman"/>
          <w:sz w:val="24"/>
          <w:szCs w:val="24"/>
        </w:rPr>
        <w:t xml:space="preserve">zaplanowana </w:t>
      </w:r>
      <w:r w:rsidR="00255591" w:rsidRPr="00FC5980">
        <w:rPr>
          <w:rFonts w:ascii="Times New Roman" w:hAnsi="Times New Roman"/>
          <w:sz w:val="24"/>
          <w:szCs w:val="24"/>
        </w:rPr>
        <w:t xml:space="preserve">do wydatkowania kwota </w:t>
      </w:r>
      <w:r w:rsidR="00255591" w:rsidRPr="00FC5980">
        <w:rPr>
          <w:rFonts w:ascii="Times New Roman" w:hAnsi="Times New Roman"/>
          <w:b/>
          <w:bCs/>
          <w:sz w:val="24"/>
          <w:szCs w:val="24"/>
        </w:rPr>
        <w:t>186 tys. zł</w:t>
      </w:r>
      <w:r w:rsidR="008B2E41" w:rsidRPr="00FC598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B2E41" w:rsidRPr="00FC5980">
        <w:rPr>
          <w:rFonts w:ascii="Times New Roman" w:hAnsi="Times New Roman"/>
          <w:sz w:val="24"/>
          <w:szCs w:val="24"/>
        </w:rPr>
        <w:t>która była przeznaczona na</w:t>
      </w:r>
      <w:r w:rsidR="00255591" w:rsidRPr="00FC5980">
        <w:rPr>
          <w:rFonts w:ascii="Times New Roman" w:hAnsi="Times New Roman"/>
          <w:sz w:val="24"/>
          <w:szCs w:val="24"/>
        </w:rPr>
        <w:t xml:space="preserve"> płatności za opracowanie dokumentacji projektowej. Ze względu na opóźnienie w postępowaniu przetargowym na wyłonienie Wykonawcy dokumentacji projektowej, wynikające z okoliczności niemożliwych do przewidzenia, spowodowane </w:t>
      </w:r>
      <w:r w:rsidR="00F300A5" w:rsidRPr="00FC5980">
        <w:rPr>
          <w:rFonts w:ascii="Times New Roman" w:hAnsi="Times New Roman"/>
          <w:sz w:val="24"/>
          <w:szCs w:val="24"/>
        </w:rPr>
        <w:t xml:space="preserve">złożeniem </w:t>
      </w:r>
      <w:r w:rsidR="00255591" w:rsidRPr="00FC5980">
        <w:rPr>
          <w:rFonts w:ascii="Times New Roman" w:hAnsi="Times New Roman"/>
          <w:sz w:val="24"/>
          <w:szCs w:val="24"/>
        </w:rPr>
        <w:t xml:space="preserve">odwołań Oferentów do Krajowej Izby Odwoławczej, a następnie złożenia skargi do Sądu Odwoławczego – Sądu Zamówień Publicznych, dopiero w dniu 31 grudnia 2024 r. możliwe było podpisanie umowy z Wykonawcą na opracowanie kompletnej dokumentacji projektowej w zakresie rewitalizacji i rozbudowy Narodowego Instytutu Onkologii im. Marii Skłodowskiej-Curie </w:t>
      </w:r>
      <w:r w:rsidR="00255591" w:rsidRPr="00FC5980">
        <w:rPr>
          <w:rFonts w:ascii="Times New Roman" w:hAnsi="Times New Roman"/>
          <w:sz w:val="24"/>
          <w:szCs w:val="24"/>
        </w:rPr>
        <w:sym w:font="Symbol" w:char="F02D"/>
      </w:r>
      <w:r w:rsidR="00255591" w:rsidRPr="00FC5980">
        <w:rPr>
          <w:rFonts w:ascii="Times New Roman" w:hAnsi="Times New Roman"/>
          <w:sz w:val="24"/>
          <w:szCs w:val="24"/>
        </w:rPr>
        <w:t xml:space="preserve"> Państwowego Instytutu Badawczego</w:t>
      </w:r>
      <w:r w:rsidR="008B2E41" w:rsidRPr="00FC5980">
        <w:rPr>
          <w:rFonts w:ascii="Times New Roman" w:hAnsi="Times New Roman"/>
          <w:sz w:val="24"/>
          <w:szCs w:val="24"/>
        </w:rPr>
        <w:t>,</w:t>
      </w:r>
      <w:r w:rsidR="00255591" w:rsidRPr="00FC5980">
        <w:rPr>
          <w:rFonts w:ascii="Times New Roman" w:hAnsi="Times New Roman"/>
          <w:sz w:val="24"/>
          <w:szCs w:val="24"/>
        </w:rPr>
        <w:t xml:space="preserve"> zwanego dalej </w:t>
      </w:r>
      <w:r w:rsidR="008B2E41" w:rsidRPr="00FC5980">
        <w:rPr>
          <w:rFonts w:ascii="Times New Roman" w:hAnsi="Times New Roman"/>
          <w:sz w:val="24"/>
          <w:szCs w:val="24"/>
        </w:rPr>
        <w:t>„</w:t>
      </w:r>
      <w:r w:rsidR="00255591" w:rsidRPr="00FC5980">
        <w:rPr>
          <w:rFonts w:ascii="Times New Roman" w:hAnsi="Times New Roman"/>
          <w:sz w:val="24"/>
          <w:szCs w:val="24"/>
        </w:rPr>
        <w:t>NIO-PIB</w:t>
      </w:r>
      <w:r w:rsidR="008B2E41" w:rsidRPr="00FC5980">
        <w:rPr>
          <w:rFonts w:ascii="Times New Roman" w:hAnsi="Times New Roman"/>
          <w:sz w:val="24"/>
          <w:szCs w:val="24"/>
        </w:rPr>
        <w:t>”</w:t>
      </w:r>
      <w:r w:rsidRPr="00FC5980">
        <w:rPr>
          <w:rFonts w:ascii="Times New Roman" w:hAnsi="Times New Roman"/>
          <w:sz w:val="24"/>
          <w:szCs w:val="24"/>
        </w:rPr>
        <w:t>,</w:t>
      </w:r>
    </w:p>
    <w:p w14:paraId="74EAE4D5" w14:textId="1B83D852" w:rsidR="007326D2" w:rsidRPr="00FC5980" w:rsidRDefault="008B2E41" w:rsidP="00FC5980">
      <w:pPr>
        <w:pStyle w:val="Akapitzlist"/>
        <w:numPr>
          <w:ilvl w:val="0"/>
          <w:numId w:val="43"/>
        </w:numPr>
        <w:spacing w:after="12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C5980">
        <w:rPr>
          <w:rFonts w:ascii="Times New Roman" w:hAnsi="Times New Roman"/>
          <w:sz w:val="24"/>
          <w:szCs w:val="24"/>
        </w:rPr>
        <w:t xml:space="preserve">kwota </w:t>
      </w:r>
      <w:r w:rsidR="00255591" w:rsidRPr="00FC5980">
        <w:rPr>
          <w:rFonts w:ascii="Times New Roman" w:hAnsi="Times New Roman"/>
          <w:b/>
          <w:bCs/>
          <w:sz w:val="24"/>
          <w:szCs w:val="24"/>
        </w:rPr>
        <w:t xml:space="preserve">11 tys. </w:t>
      </w:r>
      <w:r w:rsidR="00255591" w:rsidRPr="000864A4">
        <w:rPr>
          <w:rFonts w:ascii="Times New Roman" w:hAnsi="Times New Roman"/>
          <w:b/>
          <w:bCs/>
          <w:sz w:val="24"/>
          <w:szCs w:val="24"/>
        </w:rPr>
        <w:t>zł</w:t>
      </w:r>
      <w:r w:rsidR="00442F79" w:rsidRPr="00B45CC7">
        <w:rPr>
          <w:rFonts w:ascii="Times New Roman" w:hAnsi="Times New Roman"/>
          <w:sz w:val="24"/>
          <w:szCs w:val="24"/>
        </w:rPr>
        <w:t>, która</w:t>
      </w:r>
      <w:r w:rsidR="00255591" w:rsidRPr="00B45CC7">
        <w:rPr>
          <w:rFonts w:ascii="Times New Roman" w:hAnsi="Times New Roman"/>
          <w:sz w:val="24"/>
          <w:szCs w:val="24"/>
        </w:rPr>
        <w:t xml:space="preserve"> </w:t>
      </w:r>
      <w:r w:rsidR="00255591" w:rsidRPr="000864A4">
        <w:rPr>
          <w:rFonts w:ascii="Times New Roman" w:hAnsi="Times New Roman"/>
          <w:sz w:val="24"/>
          <w:szCs w:val="24"/>
        </w:rPr>
        <w:t>została</w:t>
      </w:r>
      <w:r w:rsidR="00255591" w:rsidRPr="00FC5980">
        <w:rPr>
          <w:rFonts w:ascii="Times New Roman" w:hAnsi="Times New Roman"/>
          <w:sz w:val="24"/>
          <w:szCs w:val="24"/>
        </w:rPr>
        <w:t xml:space="preserve"> zwrócona przez </w:t>
      </w:r>
      <w:r w:rsidRPr="00FC5980">
        <w:rPr>
          <w:rFonts w:ascii="Times New Roman" w:hAnsi="Times New Roman"/>
          <w:sz w:val="24"/>
          <w:szCs w:val="24"/>
        </w:rPr>
        <w:t>NIO-PIB</w:t>
      </w:r>
      <w:r w:rsidR="00255591" w:rsidRPr="00FC5980">
        <w:rPr>
          <w:rFonts w:ascii="Times New Roman" w:hAnsi="Times New Roman"/>
          <w:sz w:val="24"/>
          <w:szCs w:val="24"/>
        </w:rPr>
        <w:t xml:space="preserve"> jako wydatkowana niezgodnie z przeznaczeniem, za zakres robót dodatkowych dotyczących demontażu klimatyzator</w:t>
      </w:r>
      <w:r w:rsidR="005C0802" w:rsidRPr="00FC5980">
        <w:rPr>
          <w:rFonts w:ascii="Times New Roman" w:hAnsi="Times New Roman"/>
          <w:sz w:val="24"/>
          <w:szCs w:val="24"/>
        </w:rPr>
        <w:t>ów</w:t>
      </w:r>
      <w:r w:rsidR="00255591" w:rsidRPr="00FC5980">
        <w:rPr>
          <w:rFonts w:ascii="Times New Roman" w:hAnsi="Times New Roman"/>
          <w:sz w:val="24"/>
          <w:szCs w:val="24"/>
        </w:rPr>
        <w:t xml:space="preserve"> z budynku pralni, które nie zostały zakwalifikowane przez Ministerstwo Zdrowia do </w:t>
      </w:r>
      <w:r w:rsidR="005C0802" w:rsidRPr="00FC5980">
        <w:rPr>
          <w:rFonts w:ascii="Times New Roman" w:hAnsi="Times New Roman"/>
          <w:sz w:val="24"/>
          <w:szCs w:val="24"/>
        </w:rPr>
        <w:t xml:space="preserve">realizacji w ramach </w:t>
      </w:r>
      <w:r w:rsidR="00255591" w:rsidRPr="00FC5980">
        <w:rPr>
          <w:rFonts w:ascii="Times New Roman" w:hAnsi="Times New Roman"/>
          <w:sz w:val="24"/>
          <w:szCs w:val="24"/>
        </w:rPr>
        <w:t xml:space="preserve">nakładów na </w:t>
      </w:r>
      <w:r w:rsidRPr="00FC5980">
        <w:rPr>
          <w:rFonts w:ascii="Times New Roman" w:hAnsi="Times New Roman"/>
          <w:sz w:val="24"/>
          <w:szCs w:val="24"/>
        </w:rPr>
        <w:t>Program</w:t>
      </w:r>
      <w:r w:rsidR="008C5BB3" w:rsidRPr="00FC5980">
        <w:rPr>
          <w:rFonts w:ascii="Times New Roman" w:hAnsi="Times New Roman"/>
          <w:sz w:val="24"/>
          <w:szCs w:val="24"/>
        </w:rPr>
        <w:t>;</w:t>
      </w:r>
    </w:p>
    <w:p w14:paraId="76871624" w14:textId="0194403B" w:rsidR="00E100F6" w:rsidRPr="00E100F6" w:rsidRDefault="00DE3396" w:rsidP="00E100F6">
      <w:pPr>
        <w:widowControl/>
        <w:numPr>
          <w:ilvl w:val="0"/>
          <w:numId w:val="41"/>
        </w:numPr>
        <w:autoSpaceDE/>
        <w:autoSpaceDN/>
        <w:adjustRightInd/>
        <w:spacing w:after="120" w:line="269" w:lineRule="auto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w 2025 r. w wysokości </w:t>
      </w:r>
      <w:r w:rsidR="00617D9C" w:rsidRPr="00FC5980">
        <w:rPr>
          <w:rFonts w:cs="Times New Roman"/>
          <w:b/>
          <w:bCs/>
          <w:szCs w:val="24"/>
        </w:rPr>
        <w:t>8 200 tys. zł</w:t>
      </w:r>
      <w:r w:rsidR="00E100F6">
        <w:rPr>
          <w:rFonts w:cs="Times New Roman"/>
          <w:b/>
          <w:bCs/>
          <w:szCs w:val="24"/>
        </w:rPr>
        <w:t>:</w:t>
      </w:r>
      <w:r w:rsidR="00617D9C" w:rsidRPr="00FC5980">
        <w:rPr>
          <w:rFonts w:cs="Times New Roman"/>
          <w:szCs w:val="24"/>
        </w:rPr>
        <w:t xml:space="preserve"> </w:t>
      </w:r>
    </w:p>
    <w:p w14:paraId="196D3B8B" w14:textId="01DD3E9A" w:rsidR="00A04F4D" w:rsidRPr="00FC5980" w:rsidRDefault="008B2E41" w:rsidP="00442F79">
      <w:pPr>
        <w:widowControl/>
        <w:autoSpaceDE/>
        <w:autoSpaceDN/>
        <w:adjustRightInd/>
        <w:spacing w:after="120"/>
        <w:ind w:left="425"/>
        <w:jc w:val="both"/>
        <w:rPr>
          <w:rFonts w:cs="Times New Roman"/>
          <w:bCs/>
          <w:szCs w:val="24"/>
        </w:rPr>
      </w:pPr>
      <w:r w:rsidRPr="00FC5980">
        <w:rPr>
          <w:rFonts w:cs="Times New Roman"/>
          <w:bCs/>
          <w:szCs w:val="24"/>
        </w:rPr>
        <w:t>z</w:t>
      </w:r>
      <w:r w:rsidR="001B76A1" w:rsidRPr="00FC5980">
        <w:rPr>
          <w:rFonts w:cs="Times New Roman"/>
          <w:bCs/>
          <w:szCs w:val="24"/>
        </w:rPr>
        <w:t xml:space="preserve"> uwagi na </w:t>
      </w:r>
      <w:r w:rsidR="009C1DF2" w:rsidRPr="00FC5980">
        <w:rPr>
          <w:rFonts w:cs="Times New Roman"/>
          <w:bCs/>
          <w:szCs w:val="24"/>
        </w:rPr>
        <w:t xml:space="preserve">późny </w:t>
      </w:r>
      <w:r w:rsidR="001B76A1" w:rsidRPr="00FC5980">
        <w:rPr>
          <w:rFonts w:cs="Times New Roman"/>
          <w:bCs/>
          <w:szCs w:val="24"/>
        </w:rPr>
        <w:t>termin podpisania umowy</w:t>
      </w:r>
      <w:r w:rsidR="007326D2" w:rsidRPr="00FC5980">
        <w:rPr>
          <w:rFonts w:cs="Times New Roman"/>
          <w:szCs w:val="24"/>
        </w:rPr>
        <w:t xml:space="preserve"> z Wykonawcą dokumentacji projektowej oraz etapowy proces opracowania dokumentacji i wynikające z </w:t>
      </w:r>
      <w:r w:rsidR="001636AD" w:rsidRPr="00FC5980">
        <w:rPr>
          <w:rFonts w:cs="Times New Roman"/>
          <w:szCs w:val="24"/>
        </w:rPr>
        <w:t>tego faktu płatności</w:t>
      </w:r>
      <w:r w:rsidR="00AB20EB" w:rsidRPr="00FC5980">
        <w:rPr>
          <w:rFonts w:cs="Times New Roman"/>
          <w:szCs w:val="24"/>
        </w:rPr>
        <w:t xml:space="preserve">. </w:t>
      </w:r>
      <w:r w:rsidRPr="00FC5980">
        <w:rPr>
          <w:rFonts w:cs="Times New Roman"/>
          <w:szCs w:val="24"/>
        </w:rPr>
        <w:t>Ponadto</w:t>
      </w:r>
      <w:r w:rsidR="00FC5980" w:rsidRPr="00FC5980">
        <w:rPr>
          <w:rFonts w:cs="Times New Roman"/>
          <w:szCs w:val="24"/>
        </w:rPr>
        <w:t>,</w:t>
      </w:r>
      <w:r w:rsidRPr="00FC5980">
        <w:rPr>
          <w:rFonts w:cs="Times New Roman"/>
          <w:szCs w:val="24"/>
        </w:rPr>
        <w:t xml:space="preserve"> </w:t>
      </w:r>
      <w:r w:rsidR="001B76A1" w:rsidRPr="00FC5980">
        <w:rPr>
          <w:rFonts w:cs="Times New Roman"/>
          <w:szCs w:val="24"/>
        </w:rPr>
        <w:t>w związku ze złożonym i skompl</w:t>
      </w:r>
      <w:r w:rsidR="001636AD" w:rsidRPr="00FC5980">
        <w:rPr>
          <w:rFonts w:cs="Times New Roman"/>
          <w:szCs w:val="24"/>
        </w:rPr>
        <w:t>ikowanym charakterem Inwestycji</w:t>
      </w:r>
      <w:r w:rsidR="009C1DF2" w:rsidRPr="00FC5980">
        <w:rPr>
          <w:rFonts w:cs="Times New Roman"/>
          <w:szCs w:val="24"/>
        </w:rPr>
        <w:t xml:space="preserve">, </w:t>
      </w:r>
      <w:r w:rsidR="001B76A1" w:rsidRPr="00FC5980">
        <w:rPr>
          <w:rFonts w:cs="Times New Roman"/>
          <w:szCs w:val="24"/>
        </w:rPr>
        <w:t xml:space="preserve">w trakcie postępowania o wydanie </w:t>
      </w:r>
      <w:r w:rsidR="001636AD" w:rsidRPr="00FC5980">
        <w:rPr>
          <w:rFonts w:cs="Times New Roman"/>
          <w:szCs w:val="24"/>
        </w:rPr>
        <w:t>decyzji o ustaleniu lokalizacji inwestycji celu publicznego</w:t>
      </w:r>
      <w:r w:rsidR="001B76A1" w:rsidRPr="00FC5980">
        <w:rPr>
          <w:rFonts w:cs="Times New Roman"/>
          <w:szCs w:val="24"/>
        </w:rPr>
        <w:t xml:space="preserve">, </w:t>
      </w:r>
      <w:r w:rsidR="001636AD" w:rsidRPr="00FC5980">
        <w:rPr>
          <w:rFonts w:cs="Times New Roman"/>
          <w:szCs w:val="24"/>
        </w:rPr>
        <w:t xml:space="preserve">organ właściwy do wydania decyzji </w:t>
      </w:r>
      <w:r w:rsidR="001B76A1" w:rsidRPr="00FC5980">
        <w:rPr>
          <w:rFonts w:cs="Times New Roman"/>
          <w:szCs w:val="24"/>
        </w:rPr>
        <w:t>zobowiązał NIO-PIB do złożenia koniecznych wyjaśnień i uzupełnień</w:t>
      </w:r>
      <w:r w:rsidR="001636AD" w:rsidRPr="00FC5980">
        <w:rPr>
          <w:rFonts w:cs="Times New Roman"/>
          <w:szCs w:val="24"/>
        </w:rPr>
        <w:t>, co wydłuża czas oczekiwania na decyzję</w:t>
      </w:r>
      <w:r w:rsidR="00F525F3" w:rsidRPr="00FC5980">
        <w:rPr>
          <w:rFonts w:cs="Times New Roman"/>
          <w:szCs w:val="24"/>
        </w:rPr>
        <w:t xml:space="preserve">. </w:t>
      </w:r>
      <w:r w:rsidR="00F525F3" w:rsidRPr="00FC5980">
        <w:rPr>
          <w:rFonts w:cs="Times New Roman"/>
          <w:bCs/>
          <w:szCs w:val="24"/>
        </w:rPr>
        <w:t>Wydana decyzja</w:t>
      </w:r>
      <w:r w:rsidR="004A4243" w:rsidRPr="004A4243">
        <w:t xml:space="preserve"> </w:t>
      </w:r>
      <w:r w:rsidR="004A4243" w:rsidRPr="004A4243">
        <w:rPr>
          <w:rFonts w:cs="Times New Roman"/>
          <w:bCs/>
          <w:szCs w:val="24"/>
        </w:rPr>
        <w:t>o ustaleniu</w:t>
      </w:r>
      <w:r w:rsidR="00F525F3" w:rsidRPr="00FC5980">
        <w:rPr>
          <w:rFonts w:cs="Times New Roman"/>
          <w:bCs/>
          <w:szCs w:val="24"/>
        </w:rPr>
        <w:t xml:space="preserve"> lokalizacji inwestycji celu publicznego wraz z projektem budowlanym będzie podstawą do </w:t>
      </w:r>
      <w:r w:rsidR="00F525F3" w:rsidRPr="00FC5980">
        <w:rPr>
          <w:rFonts w:cs="Times New Roman"/>
          <w:bCs/>
          <w:szCs w:val="24"/>
        </w:rPr>
        <w:lastRenderedPageBreak/>
        <w:t xml:space="preserve">złożenia wniosku o wydanie pozwolenia na budowę. Złożenie wniosku o wydanie pozwolenia na budowę </w:t>
      </w:r>
      <w:r w:rsidR="00AB30AA" w:rsidRPr="00FC5980">
        <w:rPr>
          <w:rFonts w:cs="Times New Roman"/>
          <w:szCs w:val="24"/>
        </w:rPr>
        <w:t xml:space="preserve">jest </w:t>
      </w:r>
      <w:r w:rsidR="00F525F3" w:rsidRPr="00FC5980">
        <w:rPr>
          <w:rFonts w:cs="Times New Roman"/>
          <w:bCs/>
          <w:szCs w:val="24"/>
        </w:rPr>
        <w:t>planowane w grudniu 2025 r.</w:t>
      </w:r>
      <w:r w:rsidRPr="00FC5980">
        <w:rPr>
          <w:rFonts w:cs="Times New Roman"/>
          <w:bCs/>
          <w:szCs w:val="24"/>
        </w:rPr>
        <w:t xml:space="preserve"> </w:t>
      </w:r>
      <w:r w:rsidR="00E100F6">
        <w:rPr>
          <w:rFonts w:cs="Times New Roman"/>
          <w:bCs/>
        </w:rPr>
        <w:t>Niewykorzystane</w:t>
      </w:r>
      <w:r w:rsidR="00E100F6" w:rsidRPr="00FC5980">
        <w:rPr>
          <w:rFonts w:cs="Times New Roman"/>
          <w:bCs/>
        </w:rPr>
        <w:t xml:space="preserve"> </w:t>
      </w:r>
      <w:r w:rsidR="00A04F4D" w:rsidRPr="00FC5980">
        <w:rPr>
          <w:rFonts w:cs="Times New Roman"/>
          <w:bCs/>
        </w:rPr>
        <w:t xml:space="preserve">w 2025 r. środki w wysokości 8 200 </w:t>
      </w:r>
      <w:r w:rsidR="00A04F4D" w:rsidRPr="00267266">
        <w:rPr>
          <w:rFonts w:cs="Times New Roman"/>
          <w:bCs/>
          <w:shd w:val="clear" w:color="auto" w:fill="FFFFFF" w:themeFill="background1"/>
        </w:rPr>
        <w:t xml:space="preserve">tys. zł, </w:t>
      </w:r>
      <w:r w:rsidR="00BF0DBA" w:rsidRPr="00267266">
        <w:rPr>
          <w:rFonts w:cs="Times New Roman"/>
          <w:shd w:val="clear" w:color="auto" w:fill="FFFFFF" w:themeFill="background1"/>
        </w:rPr>
        <w:t xml:space="preserve">zostać </w:t>
      </w:r>
      <w:r w:rsidR="00A04F4D" w:rsidRPr="00267266">
        <w:rPr>
          <w:rFonts w:cs="Times New Roman"/>
          <w:bCs/>
          <w:shd w:val="clear" w:color="auto" w:fill="FFFFFF" w:themeFill="background1"/>
        </w:rPr>
        <w:t>mają przekazane, zgodnie</w:t>
      </w:r>
      <w:r w:rsidR="00A04F4D" w:rsidRPr="00FC5980">
        <w:rPr>
          <w:rFonts w:cs="Times New Roman"/>
          <w:bCs/>
        </w:rPr>
        <w:t xml:space="preserve"> z art. 131d ust. </w:t>
      </w:r>
      <w:r w:rsidR="000864A4">
        <w:rPr>
          <w:rFonts w:cs="Times New Roman"/>
          <w:bCs/>
        </w:rPr>
        <w:t xml:space="preserve">2 i </w:t>
      </w:r>
      <w:r w:rsidR="00A04F4D" w:rsidRPr="00FC5980">
        <w:rPr>
          <w:rFonts w:cs="Times New Roman"/>
          <w:bCs/>
        </w:rPr>
        <w:t xml:space="preserve">3 ustawy z dnia 27 sierpnia 2004 r. o świadczeniach opieki zdrowotnej finansowanych ze środków publicznych (Dz. U. z </w:t>
      </w:r>
      <w:r w:rsidR="00222A5A" w:rsidRPr="00FC5980">
        <w:rPr>
          <w:rFonts w:cs="Times New Roman"/>
          <w:bCs/>
        </w:rPr>
        <w:t xml:space="preserve">2025 </w:t>
      </w:r>
      <w:r w:rsidR="00A04F4D" w:rsidRPr="00FC5980">
        <w:rPr>
          <w:rFonts w:cs="Times New Roman"/>
          <w:bCs/>
        </w:rPr>
        <w:t>r. poz. 146</w:t>
      </w:r>
      <w:r w:rsidR="00222A5A" w:rsidRPr="00FC5980">
        <w:rPr>
          <w:rFonts w:cs="Times New Roman"/>
          <w:bCs/>
        </w:rPr>
        <w:t>1</w:t>
      </w:r>
      <w:r w:rsidR="00A04F4D" w:rsidRPr="00FC5980">
        <w:rPr>
          <w:rFonts w:cs="Times New Roman"/>
          <w:bCs/>
        </w:rPr>
        <w:t xml:space="preserve">, z późn. zm.), do Narodowego Funduszu Zdrowia. </w:t>
      </w:r>
    </w:p>
    <w:p w14:paraId="4A88C4AC" w14:textId="543FE6C6" w:rsidR="007B21AB" w:rsidRPr="00DE3396" w:rsidRDefault="00AB20EB" w:rsidP="00B45CC7">
      <w:pPr>
        <w:pStyle w:val="Akapitzlist"/>
        <w:tabs>
          <w:tab w:val="left" w:pos="0"/>
        </w:tabs>
        <w:spacing w:after="120" w:line="36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3396">
        <w:rPr>
          <w:rFonts w:ascii="Times New Roman" w:hAnsi="Times New Roman"/>
          <w:sz w:val="24"/>
          <w:szCs w:val="24"/>
        </w:rPr>
        <w:t>Ponadto</w:t>
      </w:r>
      <w:r w:rsidR="00157539">
        <w:rPr>
          <w:rFonts w:ascii="Times New Roman" w:hAnsi="Times New Roman"/>
          <w:sz w:val="24"/>
          <w:szCs w:val="24"/>
        </w:rPr>
        <w:t>,</w:t>
      </w:r>
      <w:r w:rsidRPr="00DE3396">
        <w:rPr>
          <w:rFonts w:ascii="Times New Roman" w:hAnsi="Times New Roman"/>
          <w:sz w:val="24"/>
          <w:szCs w:val="24"/>
        </w:rPr>
        <w:t xml:space="preserve"> projektowana uchwała wprowadza zmiany do </w:t>
      </w:r>
      <w:r w:rsidR="00891D91" w:rsidRPr="00DE3396">
        <w:rPr>
          <w:rFonts w:ascii="Times New Roman" w:hAnsi="Times New Roman"/>
          <w:sz w:val="24"/>
          <w:szCs w:val="24"/>
        </w:rPr>
        <w:t>załącznik</w:t>
      </w:r>
      <w:r w:rsidRPr="00DE3396">
        <w:rPr>
          <w:rFonts w:ascii="Times New Roman" w:hAnsi="Times New Roman"/>
          <w:sz w:val="24"/>
          <w:szCs w:val="24"/>
        </w:rPr>
        <w:t>a</w:t>
      </w:r>
      <w:r w:rsidR="00891D91" w:rsidRPr="00DE3396">
        <w:rPr>
          <w:rFonts w:ascii="Times New Roman" w:hAnsi="Times New Roman"/>
          <w:sz w:val="24"/>
          <w:szCs w:val="24"/>
        </w:rPr>
        <w:t xml:space="preserve"> do uchwały </w:t>
      </w:r>
      <w:r w:rsidR="008B2E41" w:rsidRPr="00DE3396">
        <w:rPr>
          <w:rFonts w:ascii="Times New Roman" w:hAnsi="Times New Roman"/>
          <w:sz w:val="24"/>
          <w:szCs w:val="24"/>
        </w:rPr>
        <w:t>w</w:t>
      </w:r>
      <w:r w:rsidR="007B21AB" w:rsidRPr="00DE3396">
        <w:rPr>
          <w:rFonts w:ascii="Times New Roman" w:hAnsi="Times New Roman"/>
          <w:sz w:val="24"/>
          <w:szCs w:val="24"/>
        </w:rPr>
        <w:t>:</w:t>
      </w:r>
    </w:p>
    <w:p w14:paraId="7A6635E0" w14:textId="6C89DF0B" w:rsidR="001B76A1" w:rsidRPr="00DE3396" w:rsidRDefault="003C5245" w:rsidP="003C5245">
      <w:pPr>
        <w:pStyle w:val="Bezodstpw"/>
        <w:suppressAutoHyphens w:val="0"/>
        <w:spacing w:after="120"/>
        <w:jc w:val="both"/>
        <w:rPr>
          <w:rFonts w:ascii="Times New Roman" w:hAnsi="Times New Roman"/>
          <w:color w:val="000000" w:themeColor="text1"/>
        </w:rPr>
      </w:pPr>
      <w:bookmarkStart w:id="0" w:name="_Toc107838776"/>
      <w:bookmarkStart w:id="1" w:name="_Toc177112114"/>
      <w:r>
        <w:rPr>
          <w:rFonts w:ascii="Times New Roman" w:eastAsia="Calibri" w:hAnsi="Times New Roman"/>
          <w:kern w:val="0"/>
          <w:lang w:eastAsia="en-US"/>
        </w:rPr>
        <w:t xml:space="preserve">1) 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 xml:space="preserve">rozdziale </w:t>
      </w:r>
      <w:r w:rsidR="007B6446" w:rsidRPr="00DE3396">
        <w:rPr>
          <w:rFonts w:ascii="Times New Roman" w:eastAsia="Calibri" w:hAnsi="Times New Roman"/>
          <w:kern w:val="0"/>
          <w:lang w:eastAsia="en-US"/>
        </w:rPr>
        <w:t>5</w:t>
      </w:r>
      <w:r w:rsidR="00267266">
        <w:rPr>
          <w:rFonts w:ascii="Times New Roman" w:eastAsia="Calibri" w:hAnsi="Times New Roman"/>
          <w:kern w:val="0"/>
          <w:lang w:eastAsia="en-US"/>
        </w:rPr>
        <w:t>.</w:t>
      </w:r>
      <w:r w:rsidR="007B6446" w:rsidRPr="00DE3396">
        <w:rPr>
          <w:rFonts w:ascii="Times New Roman" w:eastAsia="Calibri" w:hAnsi="Times New Roman"/>
          <w:kern w:val="0"/>
          <w:lang w:eastAsia="en-US"/>
        </w:rPr>
        <w:t xml:space="preserve"> „Planowane cele i obszary rozwoju działalności Narodowego Instytutu Onkologii</w:t>
      </w:r>
      <w:bookmarkEnd w:id="0"/>
      <w:bookmarkEnd w:id="1"/>
      <w:r w:rsidR="007B6446" w:rsidRPr="00DE3396">
        <w:rPr>
          <w:rFonts w:ascii="Times New Roman" w:eastAsia="Calibri" w:hAnsi="Times New Roman"/>
          <w:kern w:val="0"/>
          <w:lang w:eastAsia="en-US"/>
        </w:rPr>
        <w:t xml:space="preserve"> im. Marii Skłodowskiej-Curie – Państwowego Instytutu Badawczego” </w:t>
      </w:r>
      <w:r w:rsidR="00AB20EB" w:rsidRPr="00DE3396">
        <w:rPr>
          <w:rFonts w:ascii="Times New Roman" w:eastAsia="Calibri" w:hAnsi="Times New Roman"/>
          <w:kern w:val="0"/>
          <w:lang w:eastAsia="en-US"/>
        </w:rPr>
        <w:t>w p</w:t>
      </w:r>
      <w:r w:rsidR="00AB20EB" w:rsidRPr="00DE3396">
        <w:rPr>
          <w:rFonts w:ascii="Times New Roman" w:hAnsi="Times New Roman"/>
        </w:rPr>
        <w:t xml:space="preserve">odrozdziale </w:t>
      </w:r>
      <w:r w:rsidR="007B6446" w:rsidRPr="00DE3396">
        <w:rPr>
          <w:rFonts w:ascii="Times New Roman" w:hAnsi="Times New Roman"/>
        </w:rPr>
        <w:t>5.3. „</w:t>
      </w:r>
      <w:r w:rsidR="00257A87" w:rsidRPr="00DE3396">
        <w:rPr>
          <w:rFonts w:ascii="Times New Roman" w:hAnsi="Times New Roman"/>
        </w:rPr>
        <w:t>I</w:t>
      </w:r>
      <w:r w:rsidR="007B21AB" w:rsidRPr="00DE3396">
        <w:rPr>
          <w:rFonts w:ascii="Times New Roman" w:hAnsi="Times New Roman"/>
        </w:rPr>
        <w:t>nformacj</w:t>
      </w:r>
      <w:r w:rsidR="007B6446" w:rsidRPr="00DE3396">
        <w:rPr>
          <w:rFonts w:ascii="Times New Roman" w:hAnsi="Times New Roman"/>
        </w:rPr>
        <w:t>a</w:t>
      </w:r>
      <w:r w:rsidR="007B21AB" w:rsidRPr="00DE3396">
        <w:rPr>
          <w:rFonts w:ascii="Times New Roman" w:hAnsi="Times New Roman"/>
        </w:rPr>
        <w:t xml:space="preserve"> </w:t>
      </w:r>
      <w:r w:rsidR="007B6446" w:rsidRPr="00DE3396">
        <w:rPr>
          <w:rFonts w:ascii="Times New Roman" w:hAnsi="Times New Roman"/>
        </w:rPr>
        <w:t>na temat</w:t>
      </w:r>
      <w:r w:rsidR="007B21AB" w:rsidRPr="00DE3396">
        <w:rPr>
          <w:rFonts w:ascii="Times New Roman" w:hAnsi="Times New Roman"/>
        </w:rPr>
        <w:t xml:space="preserve"> jednostek odpowiedzialnych za realizację Programu</w:t>
      </w:r>
      <w:r w:rsidR="007B6446" w:rsidRPr="00DE3396">
        <w:rPr>
          <w:rFonts w:ascii="Times New Roman" w:hAnsi="Times New Roman"/>
        </w:rPr>
        <w:t>”</w:t>
      </w:r>
      <w:r w:rsidR="00617D9C" w:rsidRPr="00DE3396">
        <w:rPr>
          <w:rFonts w:ascii="Times New Roman" w:hAnsi="Times New Roman"/>
        </w:rPr>
        <w:t xml:space="preserve"> </w:t>
      </w:r>
      <w:r w:rsidR="007B21AB" w:rsidRPr="00DE3396">
        <w:rPr>
          <w:rFonts w:ascii="Times New Roman" w:hAnsi="Times New Roman"/>
        </w:rPr>
        <w:t xml:space="preserve">oraz </w:t>
      </w:r>
      <w:r w:rsidR="00AB20EB" w:rsidRPr="00DE3396">
        <w:rPr>
          <w:rFonts w:ascii="Times New Roman" w:hAnsi="Times New Roman"/>
        </w:rPr>
        <w:t xml:space="preserve">podrozdziale </w:t>
      </w:r>
      <w:r w:rsidR="007B6446" w:rsidRPr="00DE3396">
        <w:rPr>
          <w:rFonts w:ascii="Times New Roman" w:hAnsi="Times New Roman"/>
        </w:rPr>
        <w:t xml:space="preserve">5.4. „Struktura </w:t>
      </w:r>
      <w:r w:rsidR="007B21AB" w:rsidRPr="00DE3396">
        <w:rPr>
          <w:rFonts w:ascii="Times New Roman" w:hAnsi="Times New Roman"/>
        </w:rPr>
        <w:t xml:space="preserve">zarządzania systemem monitorowania </w:t>
      </w:r>
      <w:r w:rsidR="00257A87" w:rsidRPr="00DE3396">
        <w:rPr>
          <w:rFonts w:ascii="Times New Roman" w:hAnsi="Times New Roman"/>
        </w:rPr>
        <w:t>w ramach Programu</w:t>
      </w:r>
      <w:r w:rsidR="00E9616C" w:rsidRPr="00DE3396">
        <w:rPr>
          <w:rFonts w:ascii="Times New Roman" w:hAnsi="Times New Roman"/>
        </w:rPr>
        <w:t>, w tym wskazania w ujęciu zadaniowym mierników realizacji Programu</w:t>
      </w:r>
      <w:r w:rsidR="007B6446" w:rsidRPr="00DE3396">
        <w:rPr>
          <w:rFonts w:ascii="Times New Roman" w:hAnsi="Times New Roman"/>
        </w:rPr>
        <w:t>”</w:t>
      </w:r>
      <w:r w:rsidR="008B2E41" w:rsidRPr="00DE3396">
        <w:rPr>
          <w:rFonts w:ascii="Times New Roman" w:hAnsi="Times New Roman"/>
        </w:rPr>
        <w:t>, które</w:t>
      </w:r>
      <w:r w:rsidR="007B6446" w:rsidRPr="00DE3396">
        <w:rPr>
          <w:rFonts w:ascii="Times New Roman" w:hAnsi="Times New Roman"/>
        </w:rPr>
        <w:t xml:space="preserve"> </w:t>
      </w:r>
      <w:r w:rsidR="00B32EDE" w:rsidRPr="00DE3396">
        <w:rPr>
          <w:rFonts w:ascii="Times New Roman" w:hAnsi="Times New Roman"/>
        </w:rPr>
        <w:t>są</w:t>
      </w:r>
      <w:r w:rsidR="001B76A1" w:rsidRPr="00DE3396">
        <w:rPr>
          <w:rFonts w:ascii="Times New Roman" w:hAnsi="Times New Roman"/>
          <w:color w:val="000000" w:themeColor="text1"/>
        </w:rPr>
        <w:t xml:space="preserve"> </w:t>
      </w:r>
      <w:r w:rsidR="00B32EDE" w:rsidRPr="00DE3396">
        <w:rPr>
          <w:rFonts w:ascii="Times New Roman" w:hAnsi="Times New Roman"/>
          <w:color w:val="000000" w:themeColor="text1"/>
        </w:rPr>
        <w:t xml:space="preserve">wynikiem </w:t>
      </w:r>
      <w:r w:rsidR="001B76A1" w:rsidRPr="00DE3396">
        <w:rPr>
          <w:rFonts w:ascii="Times New Roman" w:hAnsi="Times New Roman"/>
          <w:color w:val="000000" w:themeColor="text1"/>
        </w:rPr>
        <w:t>wejści</w:t>
      </w:r>
      <w:r w:rsidR="00B32EDE" w:rsidRPr="00DE3396">
        <w:rPr>
          <w:rFonts w:ascii="Times New Roman" w:hAnsi="Times New Roman"/>
          <w:color w:val="000000" w:themeColor="text1"/>
        </w:rPr>
        <w:t>a</w:t>
      </w:r>
      <w:r w:rsidR="001B76A1" w:rsidRPr="00DE3396">
        <w:rPr>
          <w:rFonts w:ascii="Times New Roman" w:hAnsi="Times New Roman"/>
          <w:color w:val="000000" w:themeColor="text1"/>
        </w:rPr>
        <w:t xml:space="preserve"> </w:t>
      </w:r>
      <w:r w:rsidR="00B32EDE" w:rsidRPr="00DE3396">
        <w:rPr>
          <w:rFonts w:ascii="Times New Roman" w:hAnsi="Times New Roman"/>
          <w:color w:val="000000" w:themeColor="text1"/>
        </w:rPr>
        <w:t xml:space="preserve">inwestycji w kolejną fazę </w:t>
      </w:r>
      <w:r w:rsidR="001B76A1" w:rsidRPr="00DE3396">
        <w:rPr>
          <w:rFonts w:ascii="Times New Roman" w:hAnsi="Times New Roman"/>
          <w:color w:val="000000" w:themeColor="text1"/>
        </w:rPr>
        <w:t>realizacji Programu</w:t>
      </w:r>
      <w:r w:rsidR="00617D9C" w:rsidRPr="00DE3396">
        <w:rPr>
          <w:rFonts w:ascii="Times New Roman" w:hAnsi="Times New Roman"/>
          <w:color w:val="000000" w:themeColor="text1"/>
        </w:rPr>
        <w:t>, tj. realizacji prac związanych z przygotowaniem kompletnej dokumentacji projektowej dla budowy i rozbudowy NIO-PIB i planowanym rozpoczęciem w 2026 r. robót budowlanych dotyczących nowego budynku klinicznego</w:t>
      </w:r>
      <w:r w:rsidR="00B32EDE" w:rsidRPr="00DE3396">
        <w:rPr>
          <w:rFonts w:ascii="Times New Roman" w:hAnsi="Times New Roman"/>
          <w:color w:val="000000" w:themeColor="text1"/>
        </w:rPr>
        <w:t>. A</w:t>
      </w:r>
      <w:r w:rsidR="001B76A1" w:rsidRPr="00DE3396">
        <w:rPr>
          <w:rFonts w:ascii="Times New Roman" w:hAnsi="Times New Roman"/>
          <w:color w:val="000000" w:themeColor="text1"/>
        </w:rPr>
        <w:t>ktualiz</w:t>
      </w:r>
      <w:r w:rsidR="00257A87" w:rsidRPr="00DE3396">
        <w:rPr>
          <w:rFonts w:ascii="Times New Roman" w:hAnsi="Times New Roman"/>
          <w:color w:val="000000" w:themeColor="text1"/>
        </w:rPr>
        <w:t>acja</w:t>
      </w:r>
      <w:r w:rsidR="00B32EDE" w:rsidRPr="00DE3396">
        <w:rPr>
          <w:rFonts w:ascii="Times New Roman" w:hAnsi="Times New Roman"/>
          <w:color w:val="000000" w:themeColor="text1"/>
        </w:rPr>
        <w:t xml:space="preserve"> </w:t>
      </w:r>
      <w:r w:rsidR="001B76A1" w:rsidRPr="00DE3396">
        <w:rPr>
          <w:rFonts w:ascii="Times New Roman" w:hAnsi="Times New Roman"/>
          <w:color w:val="000000" w:themeColor="text1"/>
        </w:rPr>
        <w:t>i</w:t>
      </w:r>
      <w:r w:rsidR="00B32EDE" w:rsidRPr="00DE3396">
        <w:rPr>
          <w:rFonts w:ascii="Times New Roman" w:hAnsi="Times New Roman"/>
          <w:color w:val="000000" w:themeColor="text1"/>
        </w:rPr>
        <w:t xml:space="preserve"> </w:t>
      </w:r>
      <w:r w:rsidR="001B76A1" w:rsidRPr="00DE3396">
        <w:rPr>
          <w:rFonts w:ascii="Times New Roman" w:hAnsi="Times New Roman"/>
          <w:color w:val="000000" w:themeColor="text1"/>
        </w:rPr>
        <w:t>uszczegółowi</w:t>
      </w:r>
      <w:r w:rsidR="00257A87" w:rsidRPr="00DE3396">
        <w:rPr>
          <w:rFonts w:ascii="Times New Roman" w:hAnsi="Times New Roman"/>
          <w:color w:val="000000" w:themeColor="text1"/>
        </w:rPr>
        <w:t>enie</w:t>
      </w:r>
      <w:r w:rsidR="00B32EDE" w:rsidRPr="00DE3396">
        <w:rPr>
          <w:rFonts w:ascii="Times New Roman" w:hAnsi="Times New Roman"/>
          <w:color w:val="000000" w:themeColor="text1"/>
        </w:rPr>
        <w:t xml:space="preserve"> dotyczy</w:t>
      </w:r>
      <w:r w:rsidR="001B76A1" w:rsidRPr="00DE3396">
        <w:rPr>
          <w:rFonts w:ascii="Times New Roman" w:hAnsi="Times New Roman"/>
          <w:color w:val="000000" w:themeColor="text1"/>
        </w:rPr>
        <w:t xml:space="preserve"> informacj</w:t>
      </w:r>
      <w:r w:rsidR="00257A87" w:rsidRPr="00DE3396">
        <w:rPr>
          <w:rFonts w:ascii="Times New Roman" w:hAnsi="Times New Roman"/>
          <w:color w:val="000000" w:themeColor="text1"/>
        </w:rPr>
        <w:t>i</w:t>
      </w:r>
      <w:r w:rsidR="001B76A1" w:rsidRPr="00DE3396">
        <w:rPr>
          <w:rFonts w:ascii="Times New Roman" w:hAnsi="Times New Roman"/>
          <w:color w:val="000000" w:themeColor="text1"/>
        </w:rPr>
        <w:t xml:space="preserve"> w zakresie struktury organizacji jednostek odpowiedzialnych za prowadzenie Inwestycji oraz zarządzania systemem monitorowania stopnia realizacji celu wobec zaplanowanego budżetu, harmonogramu, działań oraz rezultatów przedsięwzięcia inwestycyjnego</w:t>
      </w:r>
      <w:r w:rsidR="00B32EDE" w:rsidRPr="00DE3396">
        <w:rPr>
          <w:rFonts w:ascii="Times New Roman" w:hAnsi="Times New Roman"/>
          <w:color w:val="000000" w:themeColor="text1"/>
        </w:rPr>
        <w:t xml:space="preserve">. </w:t>
      </w:r>
      <w:r w:rsidR="007B1F2A" w:rsidRPr="00DE3396">
        <w:rPr>
          <w:rFonts w:ascii="Times New Roman" w:hAnsi="Times New Roman"/>
          <w:color w:val="000000" w:themeColor="text1"/>
        </w:rPr>
        <w:t>W</w:t>
      </w:r>
      <w:r w:rsidR="00257A87" w:rsidRPr="00DE3396">
        <w:rPr>
          <w:rFonts w:ascii="Times New Roman" w:hAnsi="Times New Roman"/>
          <w:color w:val="000000" w:themeColor="text1"/>
        </w:rPr>
        <w:t>zmocnieniu ulegnie</w:t>
      </w:r>
      <w:r w:rsidR="001B76A1" w:rsidRPr="00DE3396">
        <w:rPr>
          <w:rFonts w:ascii="Times New Roman" w:hAnsi="Times New Roman"/>
          <w:color w:val="000000" w:themeColor="text1"/>
        </w:rPr>
        <w:t xml:space="preserve"> nadzór inwestorski, co pozwoli na zwiększenie kontroli nad realizowanym zadaniem budowlanym i będzie służyć w szczególności skutecznej i efektywnej realizacji Programu</w:t>
      </w:r>
      <w:r w:rsidR="008B2E41" w:rsidRPr="00DE3396">
        <w:rPr>
          <w:rFonts w:ascii="Times New Roman" w:hAnsi="Times New Roman"/>
          <w:color w:val="000000" w:themeColor="text1"/>
        </w:rPr>
        <w:t>;</w:t>
      </w:r>
    </w:p>
    <w:p w14:paraId="6B3288DF" w14:textId="61394297" w:rsidR="00F6294B" w:rsidRPr="00DE3396" w:rsidRDefault="003C5245" w:rsidP="003C5245">
      <w:pPr>
        <w:pStyle w:val="Bezodstpw"/>
        <w:suppressAutoHyphens w:val="0"/>
        <w:spacing w:after="120"/>
        <w:jc w:val="both"/>
        <w:rPr>
          <w:rFonts w:ascii="Times New Roman" w:eastAsia="Calibri" w:hAnsi="Times New Roman"/>
          <w:kern w:val="0"/>
          <w:lang w:eastAsia="en-US"/>
        </w:rPr>
      </w:pPr>
      <w:r>
        <w:rPr>
          <w:rFonts w:ascii="Times New Roman" w:eastAsia="Calibri" w:hAnsi="Times New Roman"/>
          <w:kern w:val="0"/>
          <w:lang w:eastAsia="en-US"/>
        </w:rPr>
        <w:t xml:space="preserve">2) 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 xml:space="preserve">rozdziale </w:t>
      </w:r>
      <w:r w:rsidR="007B6446" w:rsidRPr="00DE3396">
        <w:rPr>
          <w:rFonts w:ascii="Times New Roman" w:eastAsia="Calibri" w:hAnsi="Times New Roman"/>
          <w:kern w:val="0"/>
          <w:lang w:eastAsia="en-US"/>
        </w:rPr>
        <w:t>7</w:t>
      </w:r>
      <w:r w:rsidR="00267266">
        <w:rPr>
          <w:rFonts w:ascii="Times New Roman" w:eastAsia="Calibri" w:hAnsi="Times New Roman"/>
          <w:kern w:val="0"/>
          <w:lang w:eastAsia="en-US"/>
        </w:rPr>
        <w:t>.</w:t>
      </w:r>
      <w:r w:rsidR="007B6446" w:rsidRPr="00DE3396">
        <w:rPr>
          <w:rFonts w:ascii="Times New Roman" w:eastAsia="Calibri" w:hAnsi="Times New Roman"/>
          <w:kern w:val="0"/>
          <w:lang w:eastAsia="en-US"/>
        </w:rPr>
        <w:t xml:space="preserve"> „Źródła finansowania” </w:t>
      </w:r>
      <w:r w:rsidR="00AB20EB" w:rsidRPr="00DE3396">
        <w:rPr>
          <w:rFonts w:ascii="Times New Roman" w:eastAsia="Calibri" w:hAnsi="Times New Roman"/>
          <w:kern w:val="0"/>
          <w:lang w:eastAsia="en-US"/>
        </w:rPr>
        <w:t xml:space="preserve">w </w:t>
      </w:r>
      <w:r w:rsidR="00F6294B" w:rsidRPr="00DE3396">
        <w:rPr>
          <w:rFonts w:ascii="Times New Roman" w:eastAsia="Calibri" w:hAnsi="Times New Roman"/>
          <w:kern w:val="0"/>
          <w:lang w:eastAsia="en-US"/>
        </w:rPr>
        <w:t>podrozdzia</w:t>
      </w:r>
      <w:r w:rsidR="00AB20EB" w:rsidRPr="00DE3396">
        <w:rPr>
          <w:rFonts w:ascii="Times New Roman" w:eastAsia="Calibri" w:hAnsi="Times New Roman"/>
          <w:kern w:val="0"/>
          <w:lang w:eastAsia="en-US"/>
        </w:rPr>
        <w:t>le</w:t>
      </w:r>
      <w:r w:rsidR="00F6294B" w:rsidRPr="00DE3396">
        <w:rPr>
          <w:rFonts w:ascii="Times New Roman" w:eastAsia="Calibri" w:hAnsi="Times New Roman"/>
          <w:kern w:val="0"/>
          <w:lang w:eastAsia="en-US"/>
        </w:rPr>
        <w:t xml:space="preserve"> 7.1. „Zestawienie planowanych środków z poszczególnych źródeł na finansowanie inwestycji w kolejnych latach realizacji”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 xml:space="preserve">, które </w:t>
      </w:r>
      <w:r w:rsidR="00B32EDE" w:rsidRPr="00DE3396">
        <w:rPr>
          <w:rFonts w:ascii="Times New Roman" w:eastAsia="Calibri" w:hAnsi="Times New Roman"/>
          <w:kern w:val="0"/>
          <w:lang w:eastAsia="en-US"/>
        </w:rPr>
        <w:t>wynika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>ją</w:t>
      </w:r>
      <w:r w:rsidR="00B32EDE" w:rsidRPr="00DE3396">
        <w:rPr>
          <w:rFonts w:ascii="Times New Roman" w:eastAsia="Calibri" w:hAnsi="Times New Roman"/>
          <w:kern w:val="0"/>
          <w:lang w:eastAsia="en-US"/>
        </w:rPr>
        <w:t xml:space="preserve"> z </w:t>
      </w:r>
      <w:r w:rsidR="00617D9C" w:rsidRPr="00DE3396">
        <w:rPr>
          <w:rFonts w:ascii="Times New Roman" w:eastAsia="Calibri" w:hAnsi="Times New Roman"/>
          <w:kern w:val="0"/>
          <w:lang w:eastAsia="en-US"/>
        </w:rPr>
        <w:t xml:space="preserve">braku możliwości </w:t>
      </w:r>
      <w:r w:rsidR="00B32EDE" w:rsidRPr="00DE3396">
        <w:rPr>
          <w:rFonts w:ascii="Times New Roman" w:eastAsia="Calibri" w:hAnsi="Times New Roman"/>
          <w:kern w:val="0"/>
          <w:lang w:eastAsia="en-US"/>
        </w:rPr>
        <w:t xml:space="preserve">wydatkowania 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 xml:space="preserve">wszystkich </w:t>
      </w:r>
      <w:r w:rsidR="00B32EDE" w:rsidRPr="00DE3396">
        <w:rPr>
          <w:rFonts w:ascii="Times New Roman" w:eastAsia="Calibri" w:hAnsi="Times New Roman"/>
          <w:kern w:val="0"/>
          <w:lang w:eastAsia="en-US"/>
        </w:rPr>
        <w:t xml:space="preserve">środków 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 xml:space="preserve">dotacji zaplanowanych na rok </w:t>
      </w:r>
      <w:r w:rsidR="00B32EDE" w:rsidRPr="00DE3396">
        <w:rPr>
          <w:rFonts w:ascii="Times New Roman" w:eastAsia="Calibri" w:hAnsi="Times New Roman"/>
          <w:kern w:val="0"/>
          <w:lang w:eastAsia="en-US"/>
        </w:rPr>
        <w:t>2024 i 2025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>;</w:t>
      </w:r>
    </w:p>
    <w:p w14:paraId="23BB071D" w14:textId="558273F7" w:rsidR="00617D9C" w:rsidRPr="00DE3396" w:rsidRDefault="003C5245" w:rsidP="003C5245">
      <w:pPr>
        <w:pStyle w:val="Bezodstpw"/>
        <w:suppressAutoHyphens w:val="0"/>
        <w:spacing w:after="12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kern w:val="0"/>
          <w:lang w:eastAsia="en-US"/>
        </w:rPr>
        <w:t xml:space="preserve">3) </w:t>
      </w:r>
      <w:r w:rsidR="008B2E41" w:rsidRPr="00DE3396">
        <w:rPr>
          <w:rFonts w:ascii="Times New Roman" w:eastAsia="Calibri" w:hAnsi="Times New Roman"/>
          <w:kern w:val="0"/>
          <w:lang w:eastAsia="en-US"/>
        </w:rPr>
        <w:t>rozdziale</w:t>
      </w:r>
      <w:r w:rsidR="008B2E41" w:rsidRPr="00157539">
        <w:rPr>
          <w:rFonts w:ascii="Times New Roman" w:eastAsiaTheme="minorEastAsia" w:hAnsi="Times New Roman"/>
          <w:bCs/>
          <w:lang w:eastAsia="pl-PL"/>
        </w:rPr>
        <w:t xml:space="preserve"> </w:t>
      </w:r>
      <w:r w:rsidR="007B6446" w:rsidRPr="00157539">
        <w:rPr>
          <w:rFonts w:ascii="Times New Roman" w:eastAsiaTheme="minorEastAsia" w:hAnsi="Times New Roman"/>
          <w:bCs/>
          <w:lang w:eastAsia="pl-PL"/>
        </w:rPr>
        <w:t xml:space="preserve">9. </w:t>
      </w:r>
      <w:r w:rsidR="007B6446" w:rsidRPr="00157539">
        <w:rPr>
          <w:rFonts w:ascii="Times New Roman" w:eastAsiaTheme="minorEastAsia" w:hAnsi="Times New Roman" w:hint="eastAsia"/>
          <w:bCs/>
          <w:lang w:eastAsia="pl-PL"/>
        </w:rPr>
        <w:t>„</w:t>
      </w:r>
      <w:r w:rsidR="007B6446" w:rsidRPr="00157539">
        <w:rPr>
          <w:rFonts w:ascii="Times New Roman" w:eastAsiaTheme="minorEastAsia" w:hAnsi="Times New Roman"/>
          <w:bCs/>
          <w:lang w:eastAsia="pl-PL"/>
        </w:rPr>
        <w:t>Mierniki stopnia realizacji inwestycji</w:t>
      </w:r>
      <w:r w:rsidR="007B6446" w:rsidRPr="00157539">
        <w:rPr>
          <w:rFonts w:ascii="Times New Roman" w:eastAsiaTheme="minorEastAsia" w:hAnsi="Times New Roman" w:hint="eastAsia"/>
          <w:bCs/>
          <w:lang w:eastAsia="pl-PL"/>
        </w:rPr>
        <w:t>”</w:t>
      </w:r>
      <w:r w:rsidR="004F2F82">
        <w:rPr>
          <w:rFonts w:ascii="Times New Roman" w:eastAsiaTheme="minorEastAsia" w:hAnsi="Times New Roman"/>
          <w:bCs/>
          <w:lang w:eastAsia="pl-PL"/>
        </w:rPr>
        <w:t xml:space="preserve"> </w:t>
      </w:r>
      <w:r w:rsidR="00AB20EB" w:rsidRPr="00DE3396">
        <w:rPr>
          <w:rFonts w:ascii="Times New Roman" w:eastAsiaTheme="minorEastAsia" w:hAnsi="Times New Roman"/>
          <w:bCs/>
          <w:lang w:eastAsia="pl-PL"/>
        </w:rPr>
        <w:t xml:space="preserve">w </w:t>
      </w:r>
      <w:r w:rsidR="00AB20EB" w:rsidRPr="00157539">
        <w:rPr>
          <w:rFonts w:ascii="Times New Roman" w:eastAsiaTheme="minorEastAsia" w:hAnsi="Times New Roman"/>
        </w:rPr>
        <w:t>podrozdzia</w:t>
      </w:r>
      <w:r w:rsidR="00AB20EB" w:rsidRPr="00DE3396">
        <w:rPr>
          <w:rFonts w:ascii="Times New Roman" w:eastAsiaTheme="minorEastAsia" w:hAnsi="Times New Roman"/>
        </w:rPr>
        <w:t xml:space="preserve">le </w:t>
      </w:r>
      <w:r w:rsidR="007B6446" w:rsidRPr="00157539">
        <w:rPr>
          <w:rFonts w:ascii="Times New Roman" w:hAnsi="Times New Roman"/>
        </w:rPr>
        <w:t xml:space="preserve">9.1. </w:t>
      </w:r>
      <w:r w:rsidR="007B6446" w:rsidRPr="00157539">
        <w:rPr>
          <w:rFonts w:ascii="Times New Roman" w:hAnsi="Times New Roman" w:hint="eastAsia"/>
        </w:rPr>
        <w:t>„</w:t>
      </w:r>
      <w:r w:rsidR="007B6446" w:rsidRPr="00157539">
        <w:rPr>
          <w:rFonts w:ascii="Times New Roman" w:hAnsi="Times New Roman"/>
        </w:rPr>
        <w:t>Mierniki</w:t>
      </w:r>
      <w:r w:rsidR="007B6446" w:rsidRPr="00157539">
        <w:rPr>
          <w:rFonts w:ascii="Times New Roman" w:hAnsi="Times New Roman" w:hint="eastAsia"/>
        </w:rPr>
        <w:t>”</w:t>
      </w:r>
      <w:r w:rsidR="008B2E41" w:rsidRPr="00157539">
        <w:rPr>
          <w:rFonts w:ascii="Times New Roman" w:hAnsi="Times New Roman"/>
        </w:rPr>
        <w:t>,</w:t>
      </w:r>
      <w:r w:rsidR="008B2E41" w:rsidRPr="00DE3396">
        <w:rPr>
          <w:rFonts w:ascii="Times New Roman" w:hAnsi="Times New Roman"/>
        </w:rPr>
        <w:t xml:space="preserve"> które wynikają</w:t>
      </w:r>
      <w:bookmarkStart w:id="2" w:name="_Hlk178683387"/>
      <w:r w:rsidR="008B2E41" w:rsidRPr="00DE3396">
        <w:rPr>
          <w:rFonts w:ascii="Times New Roman" w:hAnsi="Times New Roman"/>
        </w:rPr>
        <w:t xml:space="preserve"> ze </w:t>
      </w:r>
      <w:r w:rsidR="00F46943" w:rsidRPr="00DE3396">
        <w:rPr>
          <w:rFonts w:ascii="Times New Roman" w:hAnsi="Times New Roman"/>
        </w:rPr>
        <w:t>z</w:t>
      </w:r>
      <w:r w:rsidR="006148A0" w:rsidRPr="00DE3396">
        <w:rPr>
          <w:rFonts w:ascii="Times New Roman" w:hAnsi="Times New Roman"/>
          <w:color w:val="000000" w:themeColor="text1"/>
        </w:rPr>
        <w:t>mian</w:t>
      </w:r>
      <w:r w:rsidR="008B2E41" w:rsidRPr="00DE3396">
        <w:rPr>
          <w:rFonts w:ascii="Times New Roman" w:hAnsi="Times New Roman"/>
          <w:color w:val="000000" w:themeColor="text1"/>
        </w:rPr>
        <w:t>y wysokości nakładów na realizację inwestycji w poszczególnych latach realizacji</w:t>
      </w:r>
      <w:r w:rsidR="00AB20EB" w:rsidRPr="00DE3396">
        <w:rPr>
          <w:rFonts w:ascii="Times New Roman" w:hAnsi="Times New Roman"/>
          <w:color w:val="000000" w:themeColor="text1"/>
        </w:rPr>
        <w:t>.</w:t>
      </w:r>
      <w:r w:rsidR="008B2E41" w:rsidRPr="00DE3396">
        <w:rPr>
          <w:rFonts w:ascii="Times New Roman" w:hAnsi="Times New Roman"/>
          <w:color w:val="000000" w:themeColor="text1"/>
        </w:rPr>
        <w:t xml:space="preserve"> </w:t>
      </w:r>
      <w:r w:rsidR="00E95FCA" w:rsidRPr="00DE3396">
        <w:rPr>
          <w:rFonts w:ascii="Times New Roman" w:hAnsi="Times New Roman"/>
          <w:color w:val="000000" w:themeColor="text1"/>
        </w:rPr>
        <w:t>Z</w:t>
      </w:r>
      <w:r w:rsidR="00F46943" w:rsidRPr="00DE3396">
        <w:rPr>
          <w:rFonts w:ascii="Times New Roman" w:hAnsi="Times New Roman"/>
        </w:rPr>
        <w:t xml:space="preserve">miana ta </w:t>
      </w:r>
      <w:r w:rsidR="00ED2199" w:rsidRPr="00DE3396">
        <w:rPr>
          <w:rFonts w:ascii="Times New Roman" w:hAnsi="Times New Roman"/>
          <w:color w:val="000000" w:themeColor="text1"/>
        </w:rPr>
        <w:t xml:space="preserve">w niewielkim stopniu </w:t>
      </w:r>
      <w:r w:rsidR="006148A0" w:rsidRPr="00DE3396">
        <w:rPr>
          <w:rFonts w:ascii="Times New Roman" w:hAnsi="Times New Roman"/>
          <w:color w:val="000000" w:themeColor="text1"/>
        </w:rPr>
        <w:t>wpły</w:t>
      </w:r>
      <w:r w:rsidR="00F46943" w:rsidRPr="00DE3396">
        <w:rPr>
          <w:rFonts w:ascii="Times New Roman" w:hAnsi="Times New Roman"/>
          <w:color w:val="000000" w:themeColor="text1"/>
        </w:rPr>
        <w:t>wa</w:t>
      </w:r>
      <w:r w:rsidR="006148A0" w:rsidRPr="00DE3396">
        <w:rPr>
          <w:rFonts w:ascii="Times New Roman" w:hAnsi="Times New Roman"/>
          <w:color w:val="000000" w:themeColor="text1"/>
        </w:rPr>
        <w:t xml:space="preserve"> na wartości </w:t>
      </w:r>
      <w:r w:rsidR="00F46943" w:rsidRPr="00DE3396">
        <w:rPr>
          <w:rFonts w:ascii="Times New Roman" w:hAnsi="Times New Roman"/>
        </w:rPr>
        <w:t>miernika stopnia realizacji I</w:t>
      </w:r>
      <w:r w:rsidR="006148A0" w:rsidRPr="00DE3396">
        <w:rPr>
          <w:rFonts w:ascii="Times New Roman" w:hAnsi="Times New Roman"/>
        </w:rPr>
        <w:t>nwestycji</w:t>
      </w:r>
      <w:r w:rsidR="00F13F0B" w:rsidRPr="00DE3396">
        <w:rPr>
          <w:rFonts w:ascii="Times New Roman" w:hAnsi="Times New Roman"/>
        </w:rPr>
        <w:t>,</w:t>
      </w:r>
      <w:r w:rsidR="006148A0" w:rsidRPr="00DE3396">
        <w:rPr>
          <w:rFonts w:ascii="Times New Roman" w:hAnsi="Times New Roman"/>
        </w:rPr>
        <w:t xml:space="preserve"> </w:t>
      </w:r>
      <w:bookmarkEnd w:id="2"/>
      <w:r w:rsidR="006148A0" w:rsidRPr="00DE3396">
        <w:rPr>
          <w:rFonts w:ascii="Times New Roman" w:hAnsi="Times New Roman"/>
        </w:rPr>
        <w:t>jakim jest udział zrealizowanego zakresu rzeczowego, liczony narastająco w okresach rocznych z uwzględnieniem wagi prac.</w:t>
      </w:r>
      <w:r w:rsidR="00ED2199" w:rsidRPr="00DE3396">
        <w:rPr>
          <w:rFonts w:ascii="Times New Roman" w:hAnsi="Times New Roman"/>
        </w:rPr>
        <w:t xml:space="preserve"> </w:t>
      </w:r>
      <w:r w:rsidR="00945D5D" w:rsidRPr="00DE3396">
        <w:rPr>
          <w:rFonts w:ascii="Times New Roman" w:hAnsi="Times New Roman"/>
        </w:rPr>
        <w:t>Z</w:t>
      </w:r>
      <w:r w:rsidR="00E95FCA" w:rsidRPr="00DE3396">
        <w:rPr>
          <w:rFonts w:ascii="Times New Roman" w:hAnsi="Times New Roman"/>
        </w:rPr>
        <w:t>akres rzeczowy mierników dostosowan</w:t>
      </w:r>
      <w:r w:rsidR="00945D5D" w:rsidRPr="00DE3396">
        <w:rPr>
          <w:rFonts w:ascii="Times New Roman" w:hAnsi="Times New Roman"/>
        </w:rPr>
        <w:t>o</w:t>
      </w:r>
      <w:r w:rsidR="00E95FCA" w:rsidRPr="00DE3396">
        <w:rPr>
          <w:rFonts w:ascii="Times New Roman" w:hAnsi="Times New Roman"/>
        </w:rPr>
        <w:t xml:space="preserve"> do faktycznych realizacji.</w:t>
      </w:r>
    </w:p>
    <w:p w14:paraId="3FC7FDB4" w14:textId="77777777" w:rsidR="00A04F4D" w:rsidRPr="00157539" w:rsidRDefault="00A04F4D" w:rsidP="00B45CC7">
      <w:pPr>
        <w:pStyle w:val="ARTartustawynprozporzdzenia"/>
        <w:ind w:firstLine="425"/>
        <w:rPr>
          <w:rFonts w:ascii="Times New Roman" w:hAnsi="Times New Roman" w:cs="Times New Roman"/>
        </w:rPr>
      </w:pPr>
      <w:r w:rsidRPr="00157539">
        <w:rPr>
          <w:rFonts w:ascii="Times New Roman" w:hAnsi="Times New Roman" w:cs="Times New Roman"/>
        </w:rPr>
        <w:lastRenderedPageBreak/>
        <w:t>Przewiduje się, że uchwała wejdzie w życie z dniem podjęcia.</w:t>
      </w:r>
    </w:p>
    <w:p w14:paraId="2A024F82" w14:textId="4FA5E414" w:rsidR="008B2E41" w:rsidRPr="00FC5980" w:rsidDel="008B2E41" w:rsidRDefault="008B2E41" w:rsidP="00B45CC7">
      <w:pPr>
        <w:pStyle w:val="ARTartustawynprozporzdzenia"/>
        <w:ind w:firstLine="425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Projekt uchwały nie będzie miał wpływu na działalność mikro-, małych i średnich przedsiębiorców.</w:t>
      </w:r>
    </w:p>
    <w:p w14:paraId="6C919E18" w14:textId="77777777" w:rsidR="00A04F4D" w:rsidRPr="00FC5980" w:rsidRDefault="00A04F4D" w:rsidP="00B45CC7">
      <w:pPr>
        <w:pStyle w:val="NIEARTTEKSTtekstnieartykuowanynppodstprawnarozplubpreambua"/>
        <w:ind w:firstLine="425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 xml:space="preserve">Uchwała nie zawiera przepisów technicznych w rozumieniu przepisów rozporządzenia Rady Ministrów z dnia 23 grudnia 2002 r. w sprawie sposobu funkcjonowania krajowego systemu notyfikacji norm i aktów prawnych (Dz. U. poz. 2039 oraz z 2004 r. poz. 597) i w związku z tym nie podlega procedurze notyfikacji. </w:t>
      </w:r>
    </w:p>
    <w:p w14:paraId="296AFBDA" w14:textId="77777777" w:rsidR="00A04F4D" w:rsidRPr="00FC5980" w:rsidRDefault="00A04F4D" w:rsidP="00B45CC7">
      <w:pPr>
        <w:pStyle w:val="NIEARTTEKSTtekstnieartykuowanynppodstprawnarozplubpreambua"/>
        <w:ind w:firstLine="425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Projekt nie zawiera wymogów nakładanych na usługodawców podlegających notyfikacji, o której mowa w art. 15 ust. 7 i art. 39 ust. 5 dyrektywy 2006/123/WE Parlamentu Europejskiego i Rady z dnia 12 grudnia 2006 r. dotyczącej usług na rynku wewnętrznym (Dz. Urz. UE L 376 z 27.12.2006, str. 36).</w:t>
      </w:r>
    </w:p>
    <w:p w14:paraId="7BAA53E3" w14:textId="11FFC5C2" w:rsidR="008B2E41" w:rsidRPr="00FC5980" w:rsidRDefault="008B2E41" w:rsidP="00B45CC7">
      <w:pPr>
        <w:pStyle w:val="ARTartustawynprozporzdzenia"/>
        <w:ind w:firstLine="425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Projekt uchwały nie wymaga przedłożenia właściwym instytucjom i organom Unii Europejskiej, w tym Europejskiemu Bankowi Centralnemu, w celu uzyskania opinii, dokonania powiadomienia, konsultacji lub uzgodnienia.</w:t>
      </w:r>
    </w:p>
    <w:p w14:paraId="00A5C64A" w14:textId="5326341E" w:rsidR="008B2E41" w:rsidRPr="00FC5980" w:rsidRDefault="008B2E41" w:rsidP="00B45CC7">
      <w:pPr>
        <w:pStyle w:val="ARTartustawynprozporzdzenia"/>
        <w:ind w:firstLine="425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Projekt nie jest objęty prawem Unii Europejskiej.</w:t>
      </w:r>
    </w:p>
    <w:p w14:paraId="62829E2F" w14:textId="1EC6A54C" w:rsidR="008B2E41" w:rsidRPr="00FC5980" w:rsidRDefault="008B2E41" w:rsidP="00B45CC7">
      <w:pPr>
        <w:pStyle w:val="ARTartustawynprozporzdzenia"/>
        <w:ind w:firstLine="425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Projekt uchwały nie wywiera wpływu na obszar danych osobowych. W związku z tym, nie przeprowadzono oceny skutków ochrony danych osobowych, o której mowa w art. 35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  <w:p w14:paraId="084C9ADD" w14:textId="77777777" w:rsidR="00A04F4D" w:rsidRPr="00FC5980" w:rsidRDefault="00A04F4D" w:rsidP="00B45CC7">
      <w:pPr>
        <w:pStyle w:val="NIEARTTEKSTtekstnieartykuowanynppodstprawnarozplubpreambua"/>
        <w:ind w:firstLine="425"/>
        <w:rPr>
          <w:rFonts w:ascii="Times New Roman" w:hAnsi="Times New Roman" w:cs="Times New Roman"/>
        </w:rPr>
      </w:pPr>
      <w:r w:rsidRPr="00FC5980">
        <w:rPr>
          <w:rFonts w:ascii="Times New Roman" w:hAnsi="Times New Roman" w:cs="Times New Roman"/>
        </w:rPr>
        <w:t>Należy wskazać, że nie ma możliwości podjęcia alternatywnych w stosunku do projektowanej uchwały środków umożliwiających osiągnięcie zamierzonego celu.</w:t>
      </w:r>
    </w:p>
    <w:p w14:paraId="11758FE6" w14:textId="5A56675B" w:rsidR="006148A0" w:rsidRPr="00DE3396" w:rsidRDefault="006148A0" w:rsidP="00A04F4D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sectPr w:rsidR="006148A0" w:rsidRPr="00DE3396" w:rsidSect="00F46943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F5A6" w14:textId="77777777" w:rsidR="00545F6A" w:rsidRDefault="00545F6A">
      <w:r>
        <w:separator/>
      </w:r>
    </w:p>
  </w:endnote>
  <w:endnote w:type="continuationSeparator" w:id="0">
    <w:p w14:paraId="3D553B8F" w14:textId="77777777" w:rsidR="00545F6A" w:rsidRDefault="0054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EE"/>
    <w:family w:val="auto"/>
    <w:pitch w:val="variable"/>
    <w:sig w:usb0="00000001" w:usb1="5000206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409106"/>
      <w:docPartObj>
        <w:docPartGallery w:val="Page Numbers (Bottom of Page)"/>
        <w:docPartUnique/>
      </w:docPartObj>
    </w:sdtPr>
    <w:sdtContent>
      <w:p w14:paraId="512DEDBF" w14:textId="611ACC6A" w:rsidR="007427C8" w:rsidRDefault="007427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56">
          <w:rPr>
            <w:noProof/>
          </w:rPr>
          <w:t>3</w:t>
        </w:r>
        <w:r>
          <w:fldChar w:fldCharType="end"/>
        </w:r>
      </w:p>
    </w:sdtContent>
  </w:sdt>
  <w:p w14:paraId="18414132" w14:textId="77777777" w:rsidR="00F46943" w:rsidRDefault="00F46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D12F" w14:textId="77777777" w:rsidR="00545F6A" w:rsidRDefault="00545F6A">
      <w:r>
        <w:separator/>
      </w:r>
    </w:p>
  </w:footnote>
  <w:footnote w:type="continuationSeparator" w:id="0">
    <w:p w14:paraId="18CE6F4B" w14:textId="77777777" w:rsidR="00545F6A" w:rsidRDefault="0054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EA79" w14:textId="5858ED35" w:rsidR="001B76A1" w:rsidRPr="00B371CC" w:rsidRDefault="001B76A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B3C56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4A8"/>
    <w:multiLevelType w:val="multilevel"/>
    <w:tmpl w:val="AD52D032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Tahoma" w:hAnsi="Tahoma" w:cs="Tahoma" w:hint="default"/>
        <w:b/>
        <w:i w:val="0"/>
        <w:color w:val="auto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Tahoma" w:hAnsi="Tahoma" w:cs="Tahoma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Tahoma" w:hAnsi="Tahoma" w:cs="Tahoma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D63692"/>
    <w:multiLevelType w:val="hybridMultilevel"/>
    <w:tmpl w:val="76365824"/>
    <w:lvl w:ilvl="0" w:tplc="C4547384">
      <w:start w:val="1"/>
      <w:numFmt w:val="bullet"/>
      <w:pStyle w:val="Spistreci2"/>
      <w:lvlText w:val=""/>
      <w:lvlJc w:val="left"/>
      <w:pPr>
        <w:ind w:left="1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09FA674A"/>
    <w:multiLevelType w:val="hybridMultilevel"/>
    <w:tmpl w:val="90CED714"/>
    <w:lvl w:ilvl="0" w:tplc="04150011">
      <w:start w:val="1"/>
      <w:numFmt w:val="decimal"/>
      <w:lvlText w:val="%1)"/>
      <w:lvlJc w:val="left"/>
      <w:pPr>
        <w:ind w:left="-810" w:hanging="360"/>
      </w:pPr>
    </w:lvl>
    <w:lvl w:ilvl="1" w:tplc="04150019" w:tentative="1">
      <w:start w:val="1"/>
      <w:numFmt w:val="lowerLetter"/>
      <w:lvlText w:val="%2."/>
      <w:lvlJc w:val="left"/>
      <w:pPr>
        <w:ind w:left="-90" w:hanging="360"/>
      </w:pPr>
    </w:lvl>
    <w:lvl w:ilvl="2" w:tplc="0415001B" w:tentative="1">
      <w:start w:val="1"/>
      <w:numFmt w:val="lowerRoman"/>
      <w:lvlText w:val="%3."/>
      <w:lvlJc w:val="right"/>
      <w:pPr>
        <w:ind w:left="630" w:hanging="180"/>
      </w:pPr>
    </w:lvl>
    <w:lvl w:ilvl="3" w:tplc="0415000F" w:tentative="1">
      <w:start w:val="1"/>
      <w:numFmt w:val="decimal"/>
      <w:lvlText w:val="%4."/>
      <w:lvlJc w:val="left"/>
      <w:pPr>
        <w:ind w:left="1350" w:hanging="360"/>
      </w:pPr>
    </w:lvl>
    <w:lvl w:ilvl="4" w:tplc="04150019" w:tentative="1">
      <w:start w:val="1"/>
      <w:numFmt w:val="lowerLetter"/>
      <w:lvlText w:val="%5."/>
      <w:lvlJc w:val="left"/>
      <w:pPr>
        <w:ind w:left="2070" w:hanging="360"/>
      </w:pPr>
    </w:lvl>
    <w:lvl w:ilvl="5" w:tplc="0415001B" w:tentative="1">
      <w:start w:val="1"/>
      <w:numFmt w:val="lowerRoman"/>
      <w:lvlText w:val="%6."/>
      <w:lvlJc w:val="right"/>
      <w:pPr>
        <w:ind w:left="2790" w:hanging="180"/>
      </w:pPr>
    </w:lvl>
    <w:lvl w:ilvl="6" w:tplc="0415000F" w:tentative="1">
      <w:start w:val="1"/>
      <w:numFmt w:val="decimal"/>
      <w:lvlText w:val="%7."/>
      <w:lvlJc w:val="left"/>
      <w:pPr>
        <w:ind w:left="3510" w:hanging="360"/>
      </w:pPr>
    </w:lvl>
    <w:lvl w:ilvl="7" w:tplc="04150019" w:tentative="1">
      <w:start w:val="1"/>
      <w:numFmt w:val="lowerLetter"/>
      <w:lvlText w:val="%8."/>
      <w:lvlJc w:val="left"/>
      <w:pPr>
        <w:ind w:left="4230" w:hanging="360"/>
      </w:pPr>
    </w:lvl>
    <w:lvl w:ilvl="8" w:tplc="0415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3" w15:restartNumberingAfterBreak="0">
    <w:nsid w:val="0C252A28"/>
    <w:multiLevelType w:val="hybridMultilevel"/>
    <w:tmpl w:val="8E1A1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734A5"/>
    <w:multiLevelType w:val="hybridMultilevel"/>
    <w:tmpl w:val="9F3A1D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C7393"/>
    <w:multiLevelType w:val="hybridMultilevel"/>
    <w:tmpl w:val="52309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3140A"/>
    <w:multiLevelType w:val="hybridMultilevel"/>
    <w:tmpl w:val="EB688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60907"/>
    <w:multiLevelType w:val="hybridMultilevel"/>
    <w:tmpl w:val="EB408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6D68"/>
    <w:multiLevelType w:val="hybridMultilevel"/>
    <w:tmpl w:val="124689F8"/>
    <w:lvl w:ilvl="0" w:tplc="932EC4F8">
      <w:start w:val="1"/>
      <w:numFmt w:val="lowerLetter"/>
      <w:pStyle w:val="Spistreci1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4650059"/>
    <w:multiLevelType w:val="hybridMultilevel"/>
    <w:tmpl w:val="3714818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47841A3"/>
    <w:multiLevelType w:val="multilevel"/>
    <w:tmpl w:val="D78CD2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FB6203"/>
    <w:multiLevelType w:val="hybridMultilevel"/>
    <w:tmpl w:val="7B365F12"/>
    <w:lvl w:ilvl="0" w:tplc="BE2E8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82F45"/>
    <w:multiLevelType w:val="hybridMultilevel"/>
    <w:tmpl w:val="79DA3B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156BC"/>
    <w:multiLevelType w:val="hybridMultilevel"/>
    <w:tmpl w:val="16783E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229CB"/>
    <w:multiLevelType w:val="hybridMultilevel"/>
    <w:tmpl w:val="11D68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1C82"/>
    <w:multiLevelType w:val="hybridMultilevel"/>
    <w:tmpl w:val="E0F49F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4AFC"/>
    <w:multiLevelType w:val="hybridMultilevel"/>
    <w:tmpl w:val="D19E5494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5636635"/>
    <w:multiLevelType w:val="hybridMultilevel"/>
    <w:tmpl w:val="BC2423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B1FE6"/>
    <w:multiLevelType w:val="hybridMultilevel"/>
    <w:tmpl w:val="CD7CB4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330A9"/>
    <w:multiLevelType w:val="hybridMultilevel"/>
    <w:tmpl w:val="F4F2677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8BE53F4"/>
    <w:multiLevelType w:val="hybridMultilevel"/>
    <w:tmpl w:val="E45652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E3B28"/>
    <w:multiLevelType w:val="hybridMultilevel"/>
    <w:tmpl w:val="905A3A0A"/>
    <w:lvl w:ilvl="0" w:tplc="0BB80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0360A"/>
    <w:multiLevelType w:val="hybridMultilevel"/>
    <w:tmpl w:val="C728E69E"/>
    <w:lvl w:ilvl="0" w:tplc="2CF400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71BEC"/>
    <w:multiLevelType w:val="hybridMultilevel"/>
    <w:tmpl w:val="44ACE0A6"/>
    <w:lvl w:ilvl="0" w:tplc="EEDC1B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D678B"/>
    <w:multiLevelType w:val="hybridMultilevel"/>
    <w:tmpl w:val="0BA2BFFA"/>
    <w:lvl w:ilvl="0" w:tplc="68340CF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ECDE902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1749B"/>
    <w:multiLevelType w:val="hybridMultilevel"/>
    <w:tmpl w:val="7CA2F66A"/>
    <w:lvl w:ilvl="0" w:tplc="F58ED20E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EastAsia" w:hAnsi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483BAD"/>
    <w:multiLevelType w:val="hybridMultilevel"/>
    <w:tmpl w:val="08725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37987"/>
    <w:multiLevelType w:val="hybridMultilevel"/>
    <w:tmpl w:val="FE3493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231D03"/>
    <w:multiLevelType w:val="hybridMultilevel"/>
    <w:tmpl w:val="8A08C6E2"/>
    <w:lvl w:ilvl="0" w:tplc="1F460256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A12DD0"/>
    <w:multiLevelType w:val="hybridMultilevel"/>
    <w:tmpl w:val="6A90B8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C6123"/>
    <w:multiLevelType w:val="hybridMultilevel"/>
    <w:tmpl w:val="709EE9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B30EC"/>
    <w:multiLevelType w:val="hybridMultilevel"/>
    <w:tmpl w:val="3680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E5CAE"/>
    <w:multiLevelType w:val="hybridMultilevel"/>
    <w:tmpl w:val="807EE3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3C2F41"/>
    <w:multiLevelType w:val="hybridMultilevel"/>
    <w:tmpl w:val="F62479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C0024"/>
    <w:multiLevelType w:val="hybridMultilevel"/>
    <w:tmpl w:val="86525C9C"/>
    <w:lvl w:ilvl="0" w:tplc="66F07A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012E0"/>
    <w:multiLevelType w:val="hybridMultilevel"/>
    <w:tmpl w:val="9D881492"/>
    <w:lvl w:ilvl="0" w:tplc="9CBA180E">
      <w:start w:val="1"/>
      <w:numFmt w:val="lowerLetter"/>
      <w:lvlText w:val="%1)"/>
      <w:lvlJc w:val="left"/>
      <w:pPr>
        <w:ind w:left="185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6" w15:restartNumberingAfterBreak="0">
    <w:nsid w:val="7C954147"/>
    <w:multiLevelType w:val="hybridMultilevel"/>
    <w:tmpl w:val="241804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163A"/>
    <w:multiLevelType w:val="hybridMultilevel"/>
    <w:tmpl w:val="3714818C"/>
    <w:lvl w:ilvl="0" w:tplc="76B4558C">
      <w:start w:val="1"/>
      <w:numFmt w:val="lowerLetter"/>
      <w:lvlText w:val="%1)"/>
      <w:lvlJc w:val="left"/>
      <w:pPr>
        <w:ind w:left="717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FFD511F"/>
    <w:multiLevelType w:val="hybridMultilevel"/>
    <w:tmpl w:val="837A87D2"/>
    <w:lvl w:ilvl="0" w:tplc="2F4A94AE">
      <w:start w:val="17"/>
      <w:numFmt w:val="bullet"/>
      <w:lvlText w:val=""/>
      <w:lvlJc w:val="left"/>
      <w:pPr>
        <w:ind w:left="717" w:hanging="360"/>
      </w:pPr>
      <w:rPr>
        <w:rFonts w:ascii="Symbol" w:eastAsiaTheme="minorEastAsia" w:hAnsi="Symbol" w:cs="Aria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78730697">
    <w:abstractNumId w:val="19"/>
  </w:num>
  <w:num w:numId="2" w16cid:durableId="1358694660">
    <w:abstractNumId w:val="3"/>
  </w:num>
  <w:num w:numId="3" w16cid:durableId="1611858860">
    <w:abstractNumId w:val="24"/>
  </w:num>
  <w:num w:numId="4" w16cid:durableId="828903870">
    <w:abstractNumId w:val="4"/>
  </w:num>
  <w:num w:numId="5" w16cid:durableId="1522016356">
    <w:abstractNumId w:val="5"/>
  </w:num>
  <w:num w:numId="6" w16cid:durableId="1650745014">
    <w:abstractNumId w:val="37"/>
  </w:num>
  <w:num w:numId="7" w16cid:durableId="1801993082">
    <w:abstractNumId w:val="9"/>
  </w:num>
  <w:num w:numId="8" w16cid:durableId="786120597">
    <w:abstractNumId w:val="28"/>
  </w:num>
  <w:num w:numId="9" w16cid:durableId="2008092452">
    <w:abstractNumId w:val="7"/>
  </w:num>
  <w:num w:numId="10" w16cid:durableId="298651818">
    <w:abstractNumId w:val="15"/>
  </w:num>
  <w:num w:numId="11" w16cid:durableId="1595434071">
    <w:abstractNumId w:val="14"/>
  </w:num>
  <w:num w:numId="12" w16cid:durableId="1708874436">
    <w:abstractNumId w:val="18"/>
  </w:num>
  <w:num w:numId="13" w16cid:durableId="1773161441">
    <w:abstractNumId w:val="31"/>
  </w:num>
  <w:num w:numId="14" w16cid:durableId="304551711">
    <w:abstractNumId w:val="20"/>
  </w:num>
  <w:num w:numId="15" w16cid:durableId="1526482472">
    <w:abstractNumId w:val="36"/>
  </w:num>
  <w:num w:numId="16" w16cid:durableId="1181625692">
    <w:abstractNumId w:val="30"/>
  </w:num>
  <w:num w:numId="17" w16cid:durableId="688071065">
    <w:abstractNumId w:val="33"/>
  </w:num>
  <w:num w:numId="18" w16cid:durableId="357317075">
    <w:abstractNumId w:val="17"/>
  </w:num>
  <w:num w:numId="19" w16cid:durableId="1193882433">
    <w:abstractNumId w:val="10"/>
  </w:num>
  <w:num w:numId="20" w16cid:durableId="291443151">
    <w:abstractNumId w:val="21"/>
  </w:num>
  <w:num w:numId="21" w16cid:durableId="62915604">
    <w:abstractNumId w:val="38"/>
  </w:num>
  <w:num w:numId="22" w16cid:durableId="928122487">
    <w:abstractNumId w:val="23"/>
  </w:num>
  <w:num w:numId="23" w16cid:durableId="1415544472">
    <w:abstractNumId w:val="0"/>
  </w:num>
  <w:num w:numId="24" w16cid:durableId="695350976">
    <w:abstractNumId w:val="11"/>
  </w:num>
  <w:num w:numId="25" w16cid:durableId="2048019206">
    <w:abstractNumId w:val="25"/>
  </w:num>
  <w:num w:numId="26" w16cid:durableId="431897517">
    <w:abstractNumId w:val="29"/>
  </w:num>
  <w:num w:numId="27" w16cid:durableId="1031801170">
    <w:abstractNumId w:val="13"/>
  </w:num>
  <w:num w:numId="28" w16cid:durableId="536745087">
    <w:abstractNumId w:val="6"/>
  </w:num>
  <w:num w:numId="29" w16cid:durableId="727339459">
    <w:abstractNumId w:val="26"/>
  </w:num>
  <w:num w:numId="30" w16cid:durableId="154731364">
    <w:abstractNumId w:val="2"/>
  </w:num>
  <w:num w:numId="31" w16cid:durableId="86774011">
    <w:abstractNumId w:val="34"/>
  </w:num>
  <w:num w:numId="32" w16cid:durableId="1139374429">
    <w:abstractNumId w:val="32"/>
  </w:num>
  <w:num w:numId="33" w16cid:durableId="1152217648">
    <w:abstractNumId w:val="27"/>
  </w:num>
  <w:num w:numId="34" w16cid:durableId="1891530710">
    <w:abstractNumId w:val="16"/>
  </w:num>
  <w:num w:numId="35" w16cid:durableId="1511916133">
    <w:abstractNumId w:val="8"/>
  </w:num>
  <w:num w:numId="36" w16cid:durableId="404231292">
    <w:abstractNumId w:val="1"/>
  </w:num>
  <w:num w:numId="37" w16cid:durableId="1770853515">
    <w:abstractNumId w:val="8"/>
  </w:num>
  <w:num w:numId="38" w16cid:durableId="897858148">
    <w:abstractNumId w:val="1"/>
  </w:num>
  <w:num w:numId="39" w16cid:durableId="924876301">
    <w:abstractNumId w:val="8"/>
  </w:num>
  <w:num w:numId="40" w16cid:durableId="1448548085">
    <w:abstractNumId w:val="1"/>
  </w:num>
  <w:num w:numId="41" w16cid:durableId="1380351069">
    <w:abstractNumId w:val="12"/>
  </w:num>
  <w:num w:numId="42" w16cid:durableId="640885593">
    <w:abstractNumId w:val="22"/>
  </w:num>
  <w:num w:numId="43" w16cid:durableId="319120886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D5"/>
    <w:rsid w:val="000012DA"/>
    <w:rsid w:val="0000246E"/>
    <w:rsid w:val="00003862"/>
    <w:rsid w:val="000073C7"/>
    <w:rsid w:val="00012A35"/>
    <w:rsid w:val="00016099"/>
    <w:rsid w:val="00017DC2"/>
    <w:rsid w:val="00021522"/>
    <w:rsid w:val="00023471"/>
    <w:rsid w:val="00023F13"/>
    <w:rsid w:val="00027D74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6DE"/>
    <w:rsid w:val="00046A75"/>
    <w:rsid w:val="00047312"/>
    <w:rsid w:val="000508BD"/>
    <w:rsid w:val="000517AB"/>
    <w:rsid w:val="00051CC8"/>
    <w:rsid w:val="0005339C"/>
    <w:rsid w:val="000539F8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4A4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FD2"/>
    <w:rsid w:val="000C4BC4"/>
    <w:rsid w:val="000D0110"/>
    <w:rsid w:val="000D2468"/>
    <w:rsid w:val="000D318A"/>
    <w:rsid w:val="000D3195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060"/>
    <w:rsid w:val="001042BA"/>
    <w:rsid w:val="00106880"/>
    <w:rsid w:val="00106D03"/>
    <w:rsid w:val="00110465"/>
    <w:rsid w:val="00110628"/>
    <w:rsid w:val="0011245A"/>
    <w:rsid w:val="0011493E"/>
    <w:rsid w:val="00115B72"/>
    <w:rsid w:val="001209EC"/>
    <w:rsid w:val="00120A9E"/>
    <w:rsid w:val="00122B4F"/>
    <w:rsid w:val="00123432"/>
    <w:rsid w:val="00123E0F"/>
    <w:rsid w:val="00125A9C"/>
    <w:rsid w:val="001270A2"/>
    <w:rsid w:val="00130ADE"/>
    <w:rsid w:val="00131237"/>
    <w:rsid w:val="001329AC"/>
    <w:rsid w:val="00134CA0"/>
    <w:rsid w:val="0014026F"/>
    <w:rsid w:val="00147A47"/>
    <w:rsid w:val="00147AA1"/>
    <w:rsid w:val="0015193C"/>
    <w:rsid w:val="001520CF"/>
    <w:rsid w:val="001565F5"/>
    <w:rsid w:val="0015667C"/>
    <w:rsid w:val="00157110"/>
    <w:rsid w:val="0015742A"/>
    <w:rsid w:val="00157539"/>
    <w:rsid w:val="00157DA1"/>
    <w:rsid w:val="00161777"/>
    <w:rsid w:val="00163147"/>
    <w:rsid w:val="001636AD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2DC"/>
    <w:rsid w:val="001A5BEF"/>
    <w:rsid w:val="001A7F15"/>
    <w:rsid w:val="001B342E"/>
    <w:rsid w:val="001B5460"/>
    <w:rsid w:val="001B76A1"/>
    <w:rsid w:val="001C1832"/>
    <w:rsid w:val="001C188C"/>
    <w:rsid w:val="001C5E07"/>
    <w:rsid w:val="001D1783"/>
    <w:rsid w:val="001D3F78"/>
    <w:rsid w:val="001D53CD"/>
    <w:rsid w:val="001D55A3"/>
    <w:rsid w:val="001D5AF5"/>
    <w:rsid w:val="001E1BAB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EBC"/>
    <w:rsid w:val="002166AD"/>
    <w:rsid w:val="00217871"/>
    <w:rsid w:val="00221ED8"/>
    <w:rsid w:val="00222A5A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91"/>
    <w:rsid w:val="002555D4"/>
    <w:rsid w:val="00255EF9"/>
    <w:rsid w:val="00255FA4"/>
    <w:rsid w:val="00257A87"/>
    <w:rsid w:val="00261A16"/>
    <w:rsid w:val="00263522"/>
    <w:rsid w:val="0026449B"/>
    <w:rsid w:val="00264EC6"/>
    <w:rsid w:val="00267266"/>
    <w:rsid w:val="00271013"/>
    <w:rsid w:val="00273E3A"/>
    <w:rsid w:val="00273FE4"/>
    <w:rsid w:val="002765B4"/>
    <w:rsid w:val="00276A94"/>
    <w:rsid w:val="00283599"/>
    <w:rsid w:val="0029405D"/>
    <w:rsid w:val="00294FA6"/>
    <w:rsid w:val="00295A6F"/>
    <w:rsid w:val="002A20C4"/>
    <w:rsid w:val="002A570F"/>
    <w:rsid w:val="002A5CFA"/>
    <w:rsid w:val="002A612F"/>
    <w:rsid w:val="002A7292"/>
    <w:rsid w:val="002A7358"/>
    <w:rsid w:val="002A7902"/>
    <w:rsid w:val="002B0F6B"/>
    <w:rsid w:val="002B23B8"/>
    <w:rsid w:val="002B4429"/>
    <w:rsid w:val="002B68A6"/>
    <w:rsid w:val="002B7FAF"/>
    <w:rsid w:val="002C17D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EC2"/>
    <w:rsid w:val="002F669F"/>
    <w:rsid w:val="00301C97"/>
    <w:rsid w:val="0031004C"/>
    <w:rsid w:val="003105F6"/>
    <w:rsid w:val="00311297"/>
    <w:rsid w:val="003113BE"/>
    <w:rsid w:val="003122CA"/>
    <w:rsid w:val="003148FD"/>
    <w:rsid w:val="00315F15"/>
    <w:rsid w:val="00321080"/>
    <w:rsid w:val="00322D45"/>
    <w:rsid w:val="0032569A"/>
    <w:rsid w:val="00325A1F"/>
    <w:rsid w:val="003268F9"/>
    <w:rsid w:val="00330BAF"/>
    <w:rsid w:val="00332E7C"/>
    <w:rsid w:val="00334E3A"/>
    <w:rsid w:val="003361DD"/>
    <w:rsid w:val="00341A6A"/>
    <w:rsid w:val="00344A37"/>
    <w:rsid w:val="00345B9C"/>
    <w:rsid w:val="00352DAE"/>
    <w:rsid w:val="00354051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04CB"/>
    <w:rsid w:val="003A306E"/>
    <w:rsid w:val="003A60DC"/>
    <w:rsid w:val="003A6A46"/>
    <w:rsid w:val="003A7A63"/>
    <w:rsid w:val="003B000C"/>
    <w:rsid w:val="003B0F1D"/>
    <w:rsid w:val="003B4A57"/>
    <w:rsid w:val="003B5908"/>
    <w:rsid w:val="003C0AD9"/>
    <w:rsid w:val="003C0ED0"/>
    <w:rsid w:val="003C1D49"/>
    <w:rsid w:val="003C35C4"/>
    <w:rsid w:val="003C5245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204"/>
    <w:rsid w:val="00413D8E"/>
    <w:rsid w:val="004140F2"/>
    <w:rsid w:val="00417B22"/>
    <w:rsid w:val="00421085"/>
    <w:rsid w:val="00423AF2"/>
    <w:rsid w:val="0042465E"/>
    <w:rsid w:val="00424DF7"/>
    <w:rsid w:val="00431974"/>
    <w:rsid w:val="00432B76"/>
    <w:rsid w:val="00434D01"/>
    <w:rsid w:val="00435D26"/>
    <w:rsid w:val="00440C99"/>
    <w:rsid w:val="00441302"/>
    <w:rsid w:val="0044175C"/>
    <w:rsid w:val="00442F79"/>
    <w:rsid w:val="00445F4D"/>
    <w:rsid w:val="004504C0"/>
    <w:rsid w:val="004550FB"/>
    <w:rsid w:val="004610A3"/>
    <w:rsid w:val="0046111A"/>
    <w:rsid w:val="0046266D"/>
    <w:rsid w:val="00462946"/>
    <w:rsid w:val="00463F43"/>
    <w:rsid w:val="004648EF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DE7"/>
    <w:rsid w:val="00485FAD"/>
    <w:rsid w:val="00487AED"/>
    <w:rsid w:val="00491EDF"/>
    <w:rsid w:val="00492A3F"/>
    <w:rsid w:val="00494F62"/>
    <w:rsid w:val="004A18A7"/>
    <w:rsid w:val="004A2001"/>
    <w:rsid w:val="004A3590"/>
    <w:rsid w:val="004A4243"/>
    <w:rsid w:val="004B00A7"/>
    <w:rsid w:val="004B25E2"/>
    <w:rsid w:val="004B34D7"/>
    <w:rsid w:val="004B4607"/>
    <w:rsid w:val="004B49A9"/>
    <w:rsid w:val="004B5037"/>
    <w:rsid w:val="004B5B2F"/>
    <w:rsid w:val="004B626A"/>
    <w:rsid w:val="004B660E"/>
    <w:rsid w:val="004C05BD"/>
    <w:rsid w:val="004C3B06"/>
    <w:rsid w:val="004C3F97"/>
    <w:rsid w:val="004C4DA9"/>
    <w:rsid w:val="004C7EE7"/>
    <w:rsid w:val="004D2DEE"/>
    <w:rsid w:val="004D2E1F"/>
    <w:rsid w:val="004D7FD9"/>
    <w:rsid w:val="004E1324"/>
    <w:rsid w:val="004E19A5"/>
    <w:rsid w:val="004E37E5"/>
    <w:rsid w:val="004E3FDB"/>
    <w:rsid w:val="004F01D7"/>
    <w:rsid w:val="004F1F4A"/>
    <w:rsid w:val="004F296D"/>
    <w:rsid w:val="004F2F82"/>
    <w:rsid w:val="004F508B"/>
    <w:rsid w:val="004F695F"/>
    <w:rsid w:val="004F6CA4"/>
    <w:rsid w:val="004F7D03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5F6A"/>
    <w:rsid w:val="0054761E"/>
    <w:rsid w:val="005479D9"/>
    <w:rsid w:val="00555B26"/>
    <w:rsid w:val="005572BD"/>
    <w:rsid w:val="00557A12"/>
    <w:rsid w:val="00560AC7"/>
    <w:rsid w:val="00561AFB"/>
    <w:rsid w:val="00561FA8"/>
    <w:rsid w:val="005635ED"/>
    <w:rsid w:val="00565253"/>
    <w:rsid w:val="00567A9B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0802"/>
    <w:rsid w:val="005C348E"/>
    <w:rsid w:val="005C5C1A"/>
    <w:rsid w:val="005C68E1"/>
    <w:rsid w:val="005C793F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48A0"/>
    <w:rsid w:val="00615772"/>
    <w:rsid w:val="0061683D"/>
    <w:rsid w:val="00617D9C"/>
    <w:rsid w:val="00621256"/>
    <w:rsid w:val="00621FCC"/>
    <w:rsid w:val="00622E4B"/>
    <w:rsid w:val="006253BA"/>
    <w:rsid w:val="006333DA"/>
    <w:rsid w:val="00635134"/>
    <w:rsid w:val="006355B0"/>
    <w:rsid w:val="006356E2"/>
    <w:rsid w:val="00640223"/>
    <w:rsid w:val="00642A65"/>
    <w:rsid w:val="00644261"/>
    <w:rsid w:val="00645DCE"/>
    <w:rsid w:val="006465AC"/>
    <w:rsid w:val="006465BF"/>
    <w:rsid w:val="0065078A"/>
    <w:rsid w:val="00652325"/>
    <w:rsid w:val="00653B22"/>
    <w:rsid w:val="00657BF4"/>
    <w:rsid w:val="00660111"/>
    <w:rsid w:val="006603FB"/>
    <w:rsid w:val="006606C2"/>
    <w:rsid w:val="006608DF"/>
    <w:rsid w:val="006623AC"/>
    <w:rsid w:val="006678AF"/>
    <w:rsid w:val="006701EF"/>
    <w:rsid w:val="00673BA5"/>
    <w:rsid w:val="0067447C"/>
    <w:rsid w:val="00680058"/>
    <w:rsid w:val="00681F9F"/>
    <w:rsid w:val="006840EA"/>
    <w:rsid w:val="006844E2"/>
    <w:rsid w:val="00684AC4"/>
    <w:rsid w:val="00685267"/>
    <w:rsid w:val="006872AE"/>
    <w:rsid w:val="00690082"/>
    <w:rsid w:val="00690252"/>
    <w:rsid w:val="00692777"/>
    <w:rsid w:val="006946BB"/>
    <w:rsid w:val="006969FA"/>
    <w:rsid w:val="006A35D5"/>
    <w:rsid w:val="006A4436"/>
    <w:rsid w:val="006A748A"/>
    <w:rsid w:val="006C419E"/>
    <w:rsid w:val="006C4A31"/>
    <w:rsid w:val="006C5AC2"/>
    <w:rsid w:val="006C6AFB"/>
    <w:rsid w:val="006D2735"/>
    <w:rsid w:val="006D3FAB"/>
    <w:rsid w:val="006D45B2"/>
    <w:rsid w:val="006E0FCC"/>
    <w:rsid w:val="006E1E96"/>
    <w:rsid w:val="006E40B6"/>
    <w:rsid w:val="006E473A"/>
    <w:rsid w:val="006E5726"/>
    <w:rsid w:val="006E5E21"/>
    <w:rsid w:val="006E78CC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6D2"/>
    <w:rsid w:val="00736A64"/>
    <w:rsid w:val="00737F6A"/>
    <w:rsid w:val="007410B6"/>
    <w:rsid w:val="007427C8"/>
    <w:rsid w:val="00744C6F"/>
    <w:rsid w:val="007457F6"/>
    <w:rsid w:val="00745ABB"/>
    <w:rsid w:val="00746E38"/>
    <w:rsid w:val="00747CD5"/>
    <w:rsid w:val="00752722"/>
    <w:rsid w:val="00753B51"/>
    <w:rsid w:val="00756629"/>
    <w:rsid w:val="007575D2"/>
    <w:rsid w:val="00757B4F"/>
    <w:rsid w:val="00757B6A"/>
    <w:rsid w:val="007610E0"/>
    <w:rsid w:val="007621AA"/>
    <w:rsid w:val="0076260A"/>
    <w:rsid w:val="0076406B"/>
    <w:rsid w:val="00764A67"/>
    <w:rsid w:val="00766BC6"/>
    <w:rsid w:val="007670B8"/>
    <w:rsid w:val="00770F6B"/>
    <w:rsid w:val="00771883"/>
    <w:rsid w:val="00776DC2"/>
    <w:rsid w:val="007770B3"/>
    <w:rsid w:val="00780122"/>
    <w:rsid w:val="0078214B"/>
    <w:rsid w:val="0078498A"/>
    <w:rsid w:val="00791B0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F2A"/>
    <w:rsid w:val="007B21AB"/>
    <w:rsid w:val="007B3C56"/>
    <w:rsid w:val="007B6446"/>
    <w:rsid w:val="007B75BC"/>
    <w:rsid w:val="007B7B0B"/>
    <w:rsid w:val="007C0BD6"/>
    <w:rsid w:val="007C18B3"/>
    <w:rsid w:val="007C3806"/>
    <w:rsid w:val="007C5BB7"/>
    <w:rsid w:val="007C686E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18BB"/>
    <w:rsid w:val="00802949"/>
    <w:rsid w:val="0080301E"/>
    <w:rsid w:val="0080365F"/>
    <w:rsid w:val="00812BE5"/>
    <w:rsid w:val="00814EC5"/>
    <w:rsid w:val="00817429"/>
    <w:rsid w:val="00821514"/>
    <w:rsid w:val="00821E35"/>
    <w:rsid w:val="00824591"/>
    <w:rsid w:val="00824AED"/>
    <w:rsid w:val="008254B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44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77A0B"/>
    <w:rsid w:val="008802AF"/>
    <w:rsid w:val="00881926"/>
    <w:rsid w:val="0088318F"/>
    <w:rsid w:val="0088331D"/>
    <w:rsid w:val="008852B0"/>
    <w:rsid w:val="00885AE7"/>
    <w:rsid w:val="00886B60"/>
    <w:rsid w:val="00887889"/>
    <w:rsid w:val="00891D91"/>
    <w:rsid w:val="00891FBF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2E41"/>
    <w:rsid w:val="008B3859"/>
    <w:rsid w:val="008B436D"/>
    <w:rsid w:val="008B4E49"/>
    <w:rsid w:val="008B7712"/>
    <w:rsid w:val="008B7B26"/>
    <w:rsid w:val="008C192E"/>
    <w:rsid w:val="008C3524"/>
    <w:rsid w:val="008C4061"/>
    <w:rsid w:val="008C4229"/>
    <w:rsid w:val="008C5BB3"/>
    <w:rsid w:val="008C5BE0"/>
    <w:rsid w:val="008C7233"/>
    <w:rsid w:val="008D0178"/>
    <w:rsid w:val="008D2434"/>
    <w:rsid w:val="008D46F9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5D5D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5A0"/>
    <w:rsid w:val="00976287"/>
    <w:rsid w:val="00980B1A"/>
    <w:rsid w:val="00984E03"/>
    <w:rsid w:val="00987E85"/>
    <w:rsid w:val="009A05E4"/>
    <w:rsid w:val="009A0D12"/>
    <w:rsid w:val="009A0E95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DF2"/>
    <w:rsid w:val="009C328C"/>
    <w:rsid w:val="009C4444"/>
    <w:rsid w:val="009C79AD"/>
    <w:rsid w:val="009C7CA6"/>
    <w:rsid w:val="009D183D"/>
    <w:rsid w:val="009D3316"/>
    <w:rsid w:val="009D50A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4F4D"/>
    <w:rsid w:val="00A079C1"/>
    <w:rsid w:val="00A12520"/>
    <w:rsid w:val="00A130FD"/>
    <w:rsid w:val="00A13D6D"/>
    <w:rsid w:val="00A13F53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7492"/>
    <w:rsid w:val="00A30E4F"/>
    <w:rsid w:val="00A32253"/>
    <w:rsid w:val="00A3310E"/>
    <w:rsid w:val="00A333A0"/>
    <w:rsid w:val="00A3653D"/>
    <w:rsid w:val="00A36969"/>
    <w:rsid w:val="00A37E70"/>
    <w:rsid w:val="00A400BB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63"/>
    <w:rsid w:val="00A638DA"/>
    <w:rsid w:val="00A65B41"/>
    <w:rsid w:val="00A65E00"/>
    <w:rsid w:val="00A66A78"/>
    <w:rsid w:val="00A7436E"/>
    <w:rsid w:val="00A74E96"/>
    <w:rsid w:val="00A75A8E"/>
    <w:rsid w:val="00A76009"/>
    <w:rsid w:val="00A824DD"/>
    <w:rsid w:val="00A83676"/>
    <w:rsid w:val="00A83B7B"/>
    <w:rsid w:val="00A84274"/>
    <w:rsid w:val="00A850F3"/>
    <w:rsid w:val="00A864E3"/>
    <w:rsid w:val="00A873D8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0EB"/>
    <w:rsid w:val="00AB22C6"/>
    <w:rsid w:val="00AB2872"/>
    <w:rsid w:val="00AB2AD0"/>
    <w:rsid w:val="00AB30AA"/>
    <w:rsid w:val="00AB67FC"/>
    <w:rsid w:val="00AB7672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FB1"/>
    <w:rsid w:val="00AF4CAA"/>
    <w:rsid w:val="00AF571A"/>
    <w:rsid w:val="00AF60A0"/>
    <w:rsid w:val="00AF67FC"/>
    <w:rsid w:val="00AF7DF5"/>
    <w:rsid w:val="00B006E5"/>
    <w:rsid w:val="00B024C2"/>
    <w:rsid w:val="00B07700"/>
    <w:rsid w:val="00B1016A"/>
    <w:rsid w:val="00B13921"/>
    <w:rsid w:val="00B14DFE"/>
    <w:rsid w:val="00B1528C"/>
    <w:rsid w:val="00B16ACD"/>
    <w:rsid w:val="00B21487"/>
    <w:rsid w:val="00B232D1"/>
    <w:rsid w:val="00B24DB5"/>
    <w:rsid w:val="00B31F9E"/>
    <w:rsid w:val="00B3268F"/>
    <w:rsid w:val="00B32C2C"/>
    <w:rsid w:val="00B32EDE"/>
    <w:rsid w:val="00B33A1A"/>
    <w:rsid w:val="00B33E6C"/>
    <w:rsid w:val="00B371CC"/>
    <w:rsid w:val="00B41CD9"/>
    <w:rsid w:val="00B427E6"/>
    <w:rsid w:val="00B428A6"/>
    <w:rsid w:val="00B43E1F"/>
    <w:rsid w:val="00B45CC7"/>
    <w:rsid w:val="00B45FBC"/>
    <w:rsid w:val="00B51A7D"/>
    <w:rsid w:val="00B535C2"/>
    <w:rsid w:val="00B55544"/>
    <w:rsid w:val="00B55C4C"/>
    <w:rsid w:val="00B5707B"/>
    <w:rsid w:val="00B616D5"/>
    <w:rsid w:val="00B62790"/>
    <w:rsid w:val="00B642FC"/>
    <w:rsid w:val="00B64D26"/>
    <w:rsid w:val="00B64FBB"/>
    <w:rsid w:val="00B66902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6AE"/>
    <w:rsid w:val="00BB1E19"/>
    <w:rsid w:val="00BB21D1"/>
    <w:rsid w:val="00BB2561"/>
    <w:rsid w:val="00BB2D7D"/>
    <w:rsid w:val="00BB32F2"/>
    <w:rsid w:val="00BB4338"/>
    <w:rsid w:val="00BB6C0E"/>
    <w:rsid w:val="00BB7B38"/>
    <w:rsid w:val="00BC11E5"/>
    <w:rsid w:val="00BC35A8"/>
    <w:rsid w:val="00BC4BC6"/>
    <w:rsid w:val="00BC52FD"/>
    <w:rsid w:val="00BC6E62"/>
    <w:rsid w:val="00BC7443"/>
    <w:rsid w:val="00BD0648"/>
    <w:rsid w:val="00BD1040"/>
    <w:rsid w:val="00BD34AA"/>
    <w:rsid w:val="00BD5539"/>
    <w:rsid w:val="00BE0C44"/>
    <w:rsid w:val="00BE1B8B"/>
    <w:rsid w:val="00BE2A18"/>
    <w:rsid w:val="00BE2C01"/>
    <w:rsid w:val="00BE41EC"/>
    <w:rsid w:val="00BE56FB"/>
    <w:rsid w:val="00BE6D98"/>
    <w:rsid w:val="00BF0DBA"/>
    <w:rsid w:val="00BF32B1"/>
    <w:rsid w:val="00BF3DDE"/>
    <w:rsid w:val="00BF6589"/>
    <w:rsid w:val="00BF6F7F"/>
    <w:rsid w:val="00C00647"/>
    <w:rsid w:val="00C02764"/>
    <w:rsid w:val="00C04CEF"/>
    <w:rsid w:val="00C0662F"/>
    <w:rsid w:val="00C11943"/>
    <w:rsid w:val="00C12A2E"/>
    <w:rsid w:val="00C12E96"/>
    <w:rsid w:val="00C14763"/>
    <w:rsid w:val="00C16141"/>
    <w:rsid w:val="00C21DF0"/>
    <w:rsid w:val="00C2363F"/>
    <w:rsid w:val="00C236C8"/>
    <w:rsid w:val="00C260B1"/>
    <w:rsid w:val="00C26E56"/>
    <w:rsid w:val="00C306D3"/>
    <w:rsid w:val="00C31406"/>
    <w:rsid w:val="00C37194"/>
    <w:rsid w:val="00C40637"/>
    <w:rsid w:val="00C40F6C"/>
    <w:rsid w:val="00C44426"/>
    <w:rsid w:val="00C445F3"/>
    <w:rsid w:val="00C451F4"/>
    <w:rsid w:val="00C45EB1"/>
    <w:rsid w:val="00C53E26"/>
    <w:rsid w:val="00C54A3A"/>
    <w:rsid w:val="00C55566"/>
    <w:rsid w:val="00C56448"/>
    <w:rsid w:val="00C667BE"/>
    <w:rsid w:val="00C6766B"/>
    <w:rsid w:val="00C72223"/>
    <w:rsid w:val="00C75C3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0C3E"/>
    <w:rsid w:val="00CA463B"/>
    <w:rsid w:val="00CA50B8"/>
    <w:rsid w:val="00CB18D0"/>
    <w:rsid w:val="00CB1C8A"/>
    <w:rsid w:val="00CB24F5"/>
    <w:rsid w:val="00CB2663"/>
    <w:rsid w:val="00CB3BBE"/>
    <w:rsid w:val="00CB59E9"/>
    <w:rsid w:val="00CC0315"/>
    <w:rsid w:val="00CC0D6A"/>
    <w:rsid w:val="00CC3831"/>
    <w:rsid w:val="00CC3E3D"/>
    <w:rsid w:val="00CC519B"/>
    <w:rsid w:val="00CD12C1"/>
    <w:rsid w:val="00CD214E"/>
    <w:rsid w:val="00CD286F"/>
    <w:rsid w:val="00CD46FA"/>
    <w:rsid w:val="00CD5973"/>
    <w:rsid w:val="00CE31A6"/>
    <w:rsid w:val="00CE41D1"/>
    <w:rsid w:val="00CF09AA"/>
    <w:rsid w:val="00CF19BD"/>
    <w:rsid w:val="00CF3BD5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09F2"/>
    <w:rsid w:val="00D62870"/>
    <w:rsid w:val="00D631E1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50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396"/>
    <w:rsid w:val="00DE590F"/>
    <w:rsid w:val="00DE621C"/>
    <w:rsid w:val="00DE740F"/>
    <w:rsid w:val="00DE7DC1"/>
    <w:rsid w:val="00DF3F7E"/>
    <w:rsid w:val="00DF620D"/>
    <w:rsid w:val="00DF7648"/>
    <w:rsid w:val="00E00E29"/>
    <w:rsid w:val="00E01489"/>
    <w:rsid w:val="00E02BAB"/>
    <w:rsid w:val="00E04CEB"/>
    <w:rsid w:val="00E060BC"/>
    <w:rsid w:val="00E100F6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820"/>
    <w:rsid w:val="00E37C2F"/>
    <w:rsid w:val="00E41C28"/>
    <w:rsid w:val="00E46308"/>
    <w:rsid w:val="00E51E17"/>
    <w:rsid w:val="00E52DAB"/>
    <w:rsid w:val="00E539B0"/>
    <w:rsid w:val="00E5417B"/>
    <w:rsid w:val="00E55994"/>
    <w:rsid w:val="00E60606"/>
    <w:rsid w:val="00E60C66"/>
    <w:rsid w:val="00E6164D"/>
    <w:rsid w:val="00E618C9"/>
    <w:rsid w:val="00E61D3C"/>
    <w:rsid w:val="00E62774"/>
    <w:rsid w:val="00E6307C"/>
    <w:rsid w:val="00E636FA"/>
    <w:rsid w:val="00E66C50"/>
    <w:rsid w:val="00E679D3"/>
    <w:rsid w:val="00E71208"/>
    <w:rsid w:val="00E71444"/>
    <w:rsid w:val="00E71C91"/>
    <w:rsid w:val="00E71DD5"/>
    <w:rsid w:val="00E720A1"/>
    <w:rsid w:val="00E75DDA"/>
    <w:rsid w:val="00E773E8"/>
    <w:rsid w:val="00E83ADD"/>
    <w:rsid w:val="00E84F38"/>
    <w:rsid w:val="00E85623"/>
    <w:rsid w:val="00E86E2C"/>
    <w:rsid w:val="00E87441"/>
    <w:rsid w:val="00E91FAE"/>
    <w:rsid w:val="00E95FCA"/>
    <w:rsid w:val="00E9616C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199"/>
    <w:rsid w:val="00ED2AE0"/>
    <w:rsid w:val="00ED5553"/>
    <w:rsid w:val="00ED5E36"/>
    <w:rsid w:val="00ED6961"/>
    <w:rsid w:val="00EE16EA"/>
    <w:rsid w:val="00EE6DDE"/>
    <w:rsid w:val="00EF0B96"/>
    <w:rsid w:val="00EF0B9C"/>
    <w:rsid w:val="00EF3486"/>
    <w:rsid w:val="00EF47AF"/>
    <w:rsid w:val="00EF53B6"/>
    <w:rsid w:val="00F00B73"/>
    <w:rsid w:val="00F03C1E"/>
    <w:rsid w:val="00F115CA"/>
    <w:rsid w:val="00F13339"/>
    <w:rsid w:val="00F13B27"/>
    <w:rsid w:val="00F13F0B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00A5"/>
    <w:rsid w:val="00F33F8B"/>
    <w:rsid w:val="00F340B2"/>
    <w:rsid w:val="00F37CD4"/>
    <w:rsid w:val="00F40873"/>
    <w:rsid w:val="00F43390"/>
    <w:rsid w:val="00F43C7C"/>
    <w:rsid w:val="00F443B2"/>
    <w:rsid w:val="00F458D8"/>
    <w:rsid w:val="00F46943"/>
    <w:rsid w:val="00F46A8D"/>
    <w:rsid w:val="00F50237"/>
    <w:rsid w:val="00F5073E"/>
    <w:rsid w:val="00F51F49"/>
    <w:rsid w:val="00F525F3"/>
    <w:rsid w:val="00F53596"/>
    <w:rsid w:val="00F55BA8"/>
    <w:rsid w:val="00F55DB1"/>
    <w:rsid w:val="00F56ACA"/>
    <w:rsid w:val="00F600FE"/>
    <w:rsid w:val="00F6294B"/>
    <w:rsid w:val="00F62E4D"/>
    <w:rsid w:val="00F66B34"/>
    <w:rsid w:val="00F675B9"/>
    <w:rsid w:val="00F711C9"/>
    <w:rsid w:val="00F71D74"/>
    <w:rsid w:val="00F74C59"/>
    <w:rsid w:val="00F75C3A"/>
    <w:rsid w:val="00F77FAE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0765"/>
    <w:rsid w:val="00FC2E3D"/>
    <w:rsid w:val="00FC3BDE"/>
    <w:rsid w:val="00FC5980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6ED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16F900"/>
  <w15:docId w15:val="{8D869834-B22B-4713-8E5A-357E06F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14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D3195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6148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aliases w:val="Numerowanie,sw tekst"/>
    <w:basedOn w:val="Normalny"/>
    <w:link w:val="AkapitzlistZnak"/>
    <w:uiPriority w:val="34"/>
    <w:qFormat/>
    <w:rsid w:val="006148A0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Numerowanie Znak,sw tekst Znak"/>
    <w:link w:val="Akapitzlist"/>
    <w:uiPriority w:val="34"/>
    <w:locked/>
    <w:rsid w:val="006148A0"/>
    <w:rPr>
      <w:rFonts w:ascii="Calibri" w:eastAsia="Calibri" w:hAnsi="Calibri"/>
      <w:sz w:val="22"/>
      <w:szCs w:val="22"/>
      <w:lang w:eastAsia="en-US"/>
    </w:rPr>
  </w:style>
  <w:style w:type="paragraph" w:customStyle="1" w:styleId="EYHeading1">
    <w:name w:val="EY Heading 1"/>
    <w:basedOn w:val="Normalny"/>
    <w:next w:val="Normalny"/>
    <w:qFormat/>
    <w:rsid w:val="00B66902"/>
    <w:pPr>
      <w:pageBreakBefore/>
      <w:widowControl/>
      <w:numPr>
        <w:numId w:val="23"/>
      </w:numPr>
      <w:autoSpaceDE/>
      <w:autoSpaceDN/>
      <w:adjustRightInd/>
      <w:spacing w:after="360" w:line="240" w:lineRule="auto"/>
    </w:pPr>
    <w:rPr>
      <w:rFonts w:ascii="EYInterstate Light" w:eastAsia="Times New Roman" w:hAnsi="EYInterstate Light" w:cs="Times New Roman"/>
      <w:b/>
      <w:color w:val="808080"/>
      <w:kern w:val="12"/>
      <w:sz w:val="32"/>
      <w:szCs w:val="24"/>
      <w:lang w:val="en-US" w:eastAsia="en-US"/>
    </w:rPr>
  </w:style>
  <w:style w:type="paragraph" w:customStyle="1" w:styleId="EYHeading2">
    <w:name w:val="EY Heading 2"/>
    <w:basedOn w:val="EYHeading1"/>
    <w:next w:val="Normalny"/>
    <w:qFormat/>
    <w:rsid w:val="00B66902"/>
    <w:pPr>
      <w:keepNext/>
      <w:pageBreakBefore w:val="0"/>
      <w:numPr>
        <w:ilvl w:val="1"/>
      </w:numPr>
      <w:spacing w:before="120" w:after="120"/>
      <w:outlineLvl w:val="1"/>
    </w:pPr>
    <w:rPr>
      <w:color w:val="auto"/>
      <w:sz w:val="28"/>
    </w:rPr>
  </w:style>
  <w:style w:type="paragraph" w:customStyle="1" w:styleId="EYHeading3">
    <w:name w:val="EY Heading 3"/>
    <w:basedOn w:val="EYHeading1"/>
    <w:next w:val="Normalny"/>
    <w:qFormat/>
    <w:rsid w:val="00B66902"/>
    <w:pPr>
      <w:keepNext/>
      <w:pageBreakBefore w:val="0"/>
      <w:numPr>
        <w:ilvl w:val="2"/>
      </w:numPr>
      <w:spacing w:before="120" w:after="120"/>
      <w:jc w:val="both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qFormat/>
    <w:rsid w:val="00B66902"/>
    <w:pPr>
      <w:numPr>
        <w:ilvl w:val="3"/>
      </w:numPr>
      <w:outlineLvl w:val="3"/>
    </w:pPr>
    <w:rPr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BB2561"/>
    <w:pPr>
      <w:widowControl/>
      <w:numPr>
        <w:numId w:val="35"/>
      </w:numPr>
      <w:tabs>
        <w:tab w:val="left" w:pos="440"/>
        <w:tab w:val="right" w:leader="dot" w:pos="907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DE3396"/>
    <w:pPr>
      <w:widowControl/>
      <w:numPr>
        <w:numId w:val="36"/>
      </w:numPr>
      <w:tabs>
        <w:tab w:val="left" w:pos="880"/>
        <w:tab w:val="right" w:leader="dot" w:pos="9060"/>
      </w:tabs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C1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EACE07-064B-4645-B274-0C8C5BF1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6</Pages>
  <Words>1495</Words>
  <Characters>8970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Leonowicz Grażyna</cp:lastModifiedBy>
  <cp:revision>3</cp:revision>
  <cp:lastPrinted>2025-10-03T07:50:00Z</cp:lastPrinted>
  <dcterms:created xsi:type="dcterms:W3CDTF">2025-12-11T07:24:00Z</dcterms:created>
  <dcterms:modified xsi:type="dcterms:W3CDTF">2025-12-11T07:52:00Z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