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91CC" w14:textId="77777777" w:rsidR="003830F4" w:rsidRPr="00D622DD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D622DD">
        <w:rPr>
          <w:rFonts w:ascii="Arial" w:hAnsi="Arial" w:cs="Arial"/>
          <w:b/>
          <w:bCs/>
          <w:sz w:val="22"/>
          <w:szCs w:val="22"/>
        </w:rPr>
        <w:t>NSP-III.7570.145.2023</w:t>
      </w:r>
      <w:bookmarkEnd w:id="0"/>
      <w:r w:rsidRPr="00D622DD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D622DD">
        <w:rPr>
          <w:rFonts w:ascii="Arial" w:hAnsi="Arial" w:cs="Arial"/>
          <w:b/>
          <w:bCs/>
          <w:sz w:val="22"/>
          <w:szCs w:val="22"/>
        </w:rPr>
        <w:t>PM</w:t>
      </w:r>
      <w:bookmarkEnd w:id="1"/>
    </w:p>
    <w:p w14:paraId="7DE7023E" w14:textId="77777777" w:rsidR="003830F4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bookmarkStart w:id="2" w:name="ezdPracownikMiejscowoscPodpisu"/>
      <w:r w:rsidRPr="00AB66CA">
        <w:rPr>
          <w:rFonts w:ascii="Arial" w:hAnsi="Arial" w:cs="Arial"/>
          <w:sz w:val="22"/>
          <w:szCs w:val="22"/>
        </w:rPr>
        <w:t>Gdańsk</w:t>
      </w:r>
      <w:bookmarkEnd w:id="2"/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r>
        <w:rPr>
          <w:rFonts w:ascii="Arial" w:hAnsi="Arial" w:cs="Arial"/>
          <w:sz w:val="22"/>
          <w:szCs w:val="22"/>
        </w:rPr>
        <w:t>29 czerwca 2026</w:t>
      </w:r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14:paraId="224DFB23" w14:textId="77777777" w:rsidR="00000000" w:rsidRPr="00AB66CA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</w:p>
    <w:p w14:paraId="24A835DF" w14:textId="77777777" w:rsidR="00000000" w:rsidRDefault="00000000" w:rsidP="00D622DD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r w:rsidRPr="00D622DD">
        <w:rPr>
          <w:rFonts w:ascii="Arial" w:hAnsi="Arial" w:cs="Arial"/>
          <w:sz w:val="22"/>
          <w:szCs w:val="22"/>
        </w:rPr>
        <w:t>Szanowni Państwo,</w:t>
      </w:r>
    </w:p>
    <w:p w14:paraId="642782C7" w14:textId="77777777" w:rsidR="00000000" w:rsidRPr="00D622DD" w:rsidRDefault="00000000" w:rsidP="00D622DD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</w:p>
    <w:p w14:paraId="5AD0F32B" w14:textId="77777777" w:rsidR="00000000" w:rsidRDefault="00000000" w:rsidP="00D622DD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r w:rsidRPr="00D622DD">
        <w:rPr>
          <w:rFonts w:ascii="Arial" w:hAnsi="Arial" w:cs="Arial"/>
          <w:sz w:val="22"/>
          <w:szCs w:val="22"/>
        </w:rPr>
        <w:t>na podstawie art. 36 ustawy z dnia 14 czerwca 1960 r. - Kodeks postępowania administracyjnego (</w:t>
      </w:r>
      <w:bookmarkStart w:id="4" w:name="_Hlk218074037"/>
      <w:r w:rsidRPr="00D622DD">
        <w:rPr>
          <w:rFonts w:ascii="Arial" w:hAnsi="Arial" w:cs="Arial"/>
          <w:sz w:val="22"/>
          <w:szCs w:val="22"/>
        </w:rPr>
        <w:t>j.t. Dz. U. z 2025 r., poz. 1691</w:t>
      </w:r>
      <w:bookmarkEnd w:id="4"/>
      <w:r w:rsidRPr="00D622DD">
        <w:rPr>
          <w:rFonts w:ascii="Arial" w:hAnsi="Arial" w:cs="Arial"/>
          <w:sz w:val="22"/>
          <w:szCs w:val="22"/>
        </w:rPr>
        <w:t xml:space="preserve">) </w:t>
      </w:r>
      <w:r w:rsidRPr="00D622DD">
        <w:rPr>
          <w:rFonts w:ascii="Arial" w:hAnsi="Arial" w:cs="Arial"/>
          <w:iCs/>
          <w:sz w:val="22"/>
          <w:szCs w:val="22"/>
        </w:rPr>
        <w:t xml:space="preserve">zawiadamiam, że </w:t>
      </w:r>
      <w:r w:rsidRPr="00D622DD">
        <w:rPr>
          <w:rFonts w:ascii="Arial" w:hAnsi="Arial" w:cs="Arial"/>
          <w:sz w:val="22"/>
          <w:szCs w:val="22"/>
        </w:rPr>
        <w:t>w związku z obowiązkiem zapewnienia wszystkim stronom postępowania możliwości realizacji podstawowych uprawnień procesowych, w tym możliwości zapoznania oraz wypowiedzenia się co do zebranych dowodów i materiałów oraz zgłoszonych żądań, a także koniecznością uzyskania informacji o aktualnej wysokości świadczeń głównych wierzytelności zabezpieczonych hipotecznie na nieruchomości</w:t>
      </w:r>
      <w:r w:rsidRPr="00D622DD">
        <w:rPr>
          <w:rFonts w:ascii="Arial" w:hAnsi="Arial" w:cs="Arial"/>
          <w:iCs/>
          <w:sz w:val="22"/>
          <w:szCs w:val="22"/>
        </w:rPr>
        <w:t xml:space="preserve">, zakończenie ponownie prowadzonego postępowania w sprawie ustalenia odszkodowania </w:t>
      </w:r>
      <w:r w:rsidRPr="00D622DD">
        <w:rPr>
          <w:rFonts w:ascii="Arial" w:hAnsi="Arial" w:cs="Arial"/>
          <w:sz w:val="22"/>
          <w:szCs w:val="22"/>
        </w:rPr>
        <w:t xml:space="preserve">za nieruchomość oznaczoną jako działki </w:t>
      </w:r>
      <w:r w:rsidRPr="00D622DD">
        <w:rPr>
          <w:rFonts w:ascii="Arial" w:hAnsi="Arial" w:cs="Arial"/>
          <w:b/>
          <w:sz w:val="22"/>
          <w:szCs w:val="22"/>
        </w:rPr>
        <w:t>nr 1350/1 o pow. 0,0135 ha i nr 1350/2 o pow. 0,1252 ha</w:t>
      </w:r>
      <w:r w:rsidRPr="00D622DD">
        <w:rPr>
          <w:rFonts w:ascii="Arial" w:hAnsi="Arial" w:cs="Arial"/>
          <w:bCs/>
          <w:sz w:val="22"/>
          <w:szCs w:val="22"/>
        </w:rPr>
        <w:t>,</w:t>
      </w:r>
      <w:r w:rsidRPr="00D622DD">
        <w:rPr>
          <w:rFonts w:ascii="Arial" w:hAnsi="Arial" w:cs="Arial"/>
          <w:b/>
          <w:sz w:val="22"/>
          <w:szCs w:val="22"/>
        </w:rPr>
        <w:t xml:space="preserve"> </w:t>
      </w:r>
      <w:r w:rsidRPr="00D622DD">
        <w:rPr>
          <w:rFonts w:ascii="Arial" w:hAnsi="Arial" w:cs="Arial"/>
          <w:bCs/>
          <w:sz w:val="22"/>
          <w:szCs w:val="22"/>
        </w:rPr>
        <w:t>które powstały z podziału działki</w:t>
      </w:r>
      <w:r w:rsidRPr="00D622DD">
        <w:rPr>
          <w:rFonts w:ascii="Arial" w:hAnsi="Arial" w:cs="Arial"/>
          <w:b/>
          <w:sz w:val="22"/>
          <w:szCs w:val="22"/>
        </w:rPr>
        <w:t xml:space="preserve"> nr 1350</w:t>
      </w:r>
      <w:r w:rsidRPr="00D622DD">
        <w:rPr>
          <w:rFonts w:ascii="Arial" w:hAnsi="Arial" w:cs="Arial"/>
          <w:sz w:val="22"/>
          <w:szCs w:val="22"/>
        </w:rPr>
        <w:t xml:space="preserve">, położoną w gminie </w:t>
      </w:r>
      <w:r w:rsidRPr="00D622DD">
        <w:rPr>
          <w:rFonts w:ascii="Arial" w:hAnsi="Arial" w:cs="Arial"/>
          <w:b/>
          <w:bCs/>
          <w:sz w:val="22"/>
          <w:szCs w:val="22"/>
        </w:rPr>
        <w:t>Żukowo</w:t>
      </w:r>
      <w:r w:rsidRPr="00D622DD">
        <w:rPr>
          <w:rFonts w:ascii="Arial" w:hAnsi="Arial" w:cs="Arial"/>
          <w:sz w:val="22"/>
          <w:szCs w:val="22"/>
        </w:rPr>
        <w:t xml:space="preserve">, obręb </w:t>
      </w:r>
      <w:r w:rsidRPr="00D622DD">
        <w:rPr>
          <w:rFonts w:ascii="Arial" w:hAnsi="Arial" w:cs="Arial"/>
          <w:b/>
          <w:sz w:val="22"/>
          <w:szCs w:val="22"/>
        </w:rPr>
        <w:t>Chwaszczyno (nr 0004)</w:t>
      </w:r>
      <w:r w:rsidRPr="00D622DD">
        <w:rPr>
          <w:rFonts w:ascii="Arial" w:hAnsi="Arial" w:cs="Arial"/>
          <w:sz w:val="22"/>
          <w:szCs w:val="22"/>
        </w:rPr>
        <w:t xml:space="preserve">, powiat kartuski, której własność przeszła z mocy prawa na rzecz Skarbu Państwa na podstawie ostatecznej decyzji Wojewody Pomorskiego z dnia 3 października 2022 r. nr WI-III.7820.21.2021.MKH o zezwoleniu na realizację inwestycji drogowej pn. </w:t>
      </w:r>
      <w:r w:rsidRPr="00D622DD">
        <w:rPr>
          <w:rFonts w:ascii="Arial" w:hAnsi="Arial" w:cs="Arial"/>
          <w:i/>
          <w:iCs/>
          <w:sz w:val="22"/>
          <w:szCs w:val="22"/>
        </w:rPr>
        <w:t>"Budowa Obwodnicy Metropolii Trójmiejskiej. Zadanie 1: węzeł Chwaszczyno (bez węzła) – węzeł Żukowo (bez węzła)"</w:t>
      </w:r>
      <w:r w:rsidRPr="00D622DD">
        <w:rPr>
          <w:rFonts w:ascii="Arial" w:hAnsi="Arial" w:cs="Arial"/>
          <w:sz w:val="22"/>
          <w:szCs w:val="22"/>
        </w:rPr>
        <w:t xml:space="preserve">, w terminie wcześniej wskazanym </w:t>
      </w:r>
      <w:r w:rsidRPr="00D622DD">
        <w:rPr>
          <w:rFonts w:ascii="Arial" w:hAnsi="Arial" w:cs="Arial"/>
          <w:iCs/>
          <w:sz w:val="22"/>
          <w:szCs w:val="22"/>
        </w:rPr>
        <w:t>nie jest możliwe</w:t>
      </w:r>
      <w:r w:rsidRPr="00D622DD">
        <w:rPr>
          <w:rFonts w:ascii="Arial" w:hAnsi="Arial" w:cs="Arial"/>
          <w:sz w:val="22"/>
          <w:szCs w:val="22"/>
        </w:rPr>
        <w:t>.</w:t>
      </w:r>
    </w:p>
    <w:p w14:paraId="1D0DA186" w14:textId="77777777" w:rsidR="00000000" w:rsidRDefault="00000000" w:rsidP="00D622DD">
      <w:pPr>
        <w:pStyle w:val="Bezodstpw"/>
        <w:suppressAutoHyphens/>
        <w:spacing w:after="360" w:line="300" w:lineRule="auto"/>
        <w:rPr>
          <w:rFonts w:ascii="Arial" w:hAnsi="Arial" w:cs="Arial"/>
          <w:b/>
          <w:sz w:val="22"/>
          <w:szCs w:val="22"/>
        </w:rPr>
      </w:pPr>
      <w:r w:rsidRPr="00D622DD">
        <w:rPr>
          <w:rFonts w:ascii="Arial" w:hAnsi="Arial" w:cs="Arial"/>
          <w:sz w:val="22"/>
          <w:szCs w:val="22"/>
        </w:rPr>
        <w:t xml:space="preserve">W związku z powyższym, wyznaczam nowy termin załatwienia sprawy do dnia </w:t>
      </w:r>
      <w:r>
        <w:rPr>
          <w:rFonts w:ascii="Arial" w:hAnsi="Arial" w:cs="Arial"/>
          <w:b/>
          <w:sz w:val="22"/>
          <w:szCs w:val="22"/>
        </w:rPr>
        <w:t>31 sierpnia</w:t>
      </w:r>
      <w:r w:rsidRPr="00D622DD">
        <w:rPr>
          <w:rFonts w:ascii="Arial" w:hAnsi="Arial" w:cs="Arial"/>
          <w:b/>
          <w:sz w:val="22"/>
          <w:szCs w:val="22"/>
        </w:rPr>
        <w:t> 2026 r.</w:t>
      </w:r>
    </w:p>
    <w:p w14:paraId="2EFA508C" w14:textId="77777777" w:rsidR="00000000" w:rsidRDefault="00000000" w:rsidP="00D622DD">
      <w:pPr>
        <w:pStyle w:val="Bezodstpw"/>
        <w:suppressAutoHyphens/>
        <w:spacing w:after="360" w:line="300" w:lineRule="auto"/>
        <w:rPr>
          <w:rFonts w:ascii="Arial" w:hAnsi="Arial" w:cs="Arial"/>
          <w:b/>
          <w:sz w:val="22"/>
          <w:szCs w:val="22"/>
        </w:rPr>
      </w:pPr>
    </w:p>
    <w:p w14:paraId="53F0CD8B" w14:textId="77777777" w:rsidR="00000000" w:rsidRDefault="00000000" w:rsidP="00D622DD">
      <w:pPr>
        <w:pStyle w:val="Bezodstpw"/>
        <w:suppressAutoHyphens/>
        <w:spacing w:after="360" w:line="300" w:lineRule="auto"/>
        <w:rPr>
          <w:rFonts w:ascii="Arial" w:hAnsi="Arial" w:cs="Arial"/>
          <w:b/>
          <w:sz w:val="22"/>
          <w:szCs w:val="22"/>
        </w:rPr>
      </w:pPr>
    </w:p>
    <w:p w14:paraId="580A40A9" w14:textId="77777777" w:rsidR="00000000" w:rsidRPr="00D622DD" w:rsidRDefault="00000000" w:rsidP="00D622DD">
      <w:pPr>
        <w:spacing w:after="120"/>
        <w:rPr>
          <w:rFonts w:ascii="Arial" w:eastAsia="Bookman Old Style" w:hAnsi="Arial" w:cs="Arial"/>
          <w:b/>
          <w:bCs/>
          <w:sz w:val="20"/>
          <w:szCs w:val="20"/>
        </w:rPr>
      </w:pPr>
      <w:r w:rsidRPr="00D622DD">
        <w:rPr>
          <w:rFonts w:ascii="Arial" w:eastAsia="Bookman Old Style" w:hAnsi="Arial" w:cs="Arial"/>
          <w:b/>
          <w:bCs/>
          <w:sz w:val="20"/>
          <w:szCs w:val="20"/>
        </w:rPr>
        <w:lastRenderedPageBreak/>
        <w:t>Pouczenie:</w:t>
      </w:r>
    </w:p>
    <w:p w14:paraId="1C5F7434" w14:textId="77777777" w:rsidR="00000000" w:rsidRPr="00D622DD" w:rsidRDefault="00000000" w:rsidP="00D622DD">
      <w:pPr>
        <w:spacing w:after="120"/>
        <w:rPr>
          <w:rFonts w:ascii="Arial" w:hAnsi="Arial" w:cs="Arial"/>
          <w:sz w:val="20"/>
          <w:szCs w:val="20"/>
        </w:rPr>
      </w:pPr>
      <w:r w:rsidRPr="00D622DD">
        <w:rPr>
          <w:rFonts w:ascii="Arial" w:hAnsi="Arial" w:cs="Arial"/>
          <w:sz w:val="20"/>
          <w:szCs w:val="20"/>
        </w:rPr>
        <w:t>Stronie służy prawo do wniesienia ponaglenia, jeżeli:</w:t>
      </w:r>
    </w:p>
    <w:p w14:paraId="14F9BC72" w14:textId="77777777" w:rsidR="00000000" w:rsidRDefault="00000000" w:rsidP="005F471E">
      <w:pPr>
        <w:numPr>
          <w:ilvl w:val="0"/>
          <w:numId w:val="7"/>
        </w:numPr>
        <w:spacing w:after="120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D622DD">
        <w:rPr>
          <w:rFonts w:ascii="Arial" w:hAnsi="Arial" w:cs="Arial"/>
          <w:sz w:val="20"/>
          <w:szCs w:val="20"/>
        </w:rPr>
        <w:t>nie załatwiono sprawy w terminie określonym w art. 35 lub przepisach szczególnych ani w terminie wskazanym zgodnie z art. 36 § 1 (bezczynność);</w:t>
      </w:r>
    </w:p>
    <w:p w14:paraId="4BBF14D1" w14:textId="77777777" w:rsidR="00000000" w:rsidRPr="00D622DD" w:rsidRDefault="00000000" w:rsidP="00D622DD">
      <w:pPr>
        <w:spacing w:after="120"/>
        <w:ind w:left="284"/>
        <w:contextualSpacing/>
        <w:rPr>
          <w:rFonts w:ascii="Arial" w:hAnsi="Arial" w:cs="Arial"/>
          <w:sz w:val="20"/>
          <w:szCs w:val="20"/>
        </w:rPr>
      </w:pPr>
    </w:p>
    <w:p w14:paraId="7C8E60A0" w14:textId="77777777" w:rsidR="00000000" w:rsidRPr="00D622DD" w:rsidRDefault="00000000" w:rsidP="00D622DD">
      <w:pPr>
        <w:numPr>
          <w:ilvl w:val="0"/>
          <w:numId w:val="7"/>
        </w:numPr>
        <w:spacing w:before="240" w:after="120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D622DD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7D1DDDFF" w14:textId="77777777" w:rsidR="00000000" w:rsidRPr="00D622DD" w:rsidRDefault="00000000" w:rsidP="00D622DD">
      <w:pPr>
        <w:widowControl w:val="0"/>
        <w:suppressAutoHyphens/>
        <w:spacing w:after="120"/>
        <w:ind w:left="284"/>
        <w:rPr>
          <w:rFonts w:ascii="Arial" w:eastAsia="Bookman Old Style" w:hAnsi="Arial" w:cs="Arial"/>
          <w:b/>
          <w:bCs/>
          <w:sz w:val="20"/>
          <w:szCs w:val="20"/>
        </w:rPr>
      </w:pPr>
      <w:r w:rsidRPr="00D622DD">
        <w:rPr>
          <w:rFonts w:ascii="Arial" w:hAnsi="Arial" w:cs="Arial"/>
          <w:sz w:val="20"/>
          <w:szCs w:val="20"/>
        </w:rPr>
        <w:t xml:space="preserve">Ponaglenie wnosi się do Ministra Finansów i Gospodarki za pośrednictwem Wojewody Pomorskiego. Ponaglenie powinno zawierać uzasadnienie </w:t>
      </w:r>
      <w:r w:rsidRPr="00D622DD">
        <w:rPr>
          <w:rFonts w:ascii="Arial" w:eastAsia="Bookman Old Style" w:hAnsi="Arial" w:cs="Arial"/>
          <w:bCs/>
          <w:i/>
          <w:sz w:val="20"/>
          <w:szCs w:val="20"/>
        </w:rPr>
        <w:t xml:space="preserve">(art. 37 § 1-3 ustawy z dnia 14 czerwca 1960 r. Kodeks postępowania administracyjnego; </w:t>
      </w:r>
      <w:r w:rsidRPr="00D622DD">
        <w:rPr>
          <w:rFonts w:ascii="Arial" w:hAnsi="Arial" w:cs="Arial"/>
          <w:i/>
          <w:sz w:val="20"/>
          <w:szCs w:val="20"/>
        </w:rPr>
        <w:t>j.t. Dz. U. z 2025 r., poz. 1691).</w:t>
      </w:r>
    </w:p>
    <w:p w14:paraId="7DDA73D9" w14:textId="77777777" w:rsidR="00000000" w:rsidRPr="00D622DD" w:rsidRDefault="00000000" w:rsidP="00D622DD">
      <w:pPr>
        <w:pStyle w:val="Bezodstpw"/>
        <w:suppressAutoHyphens/>
        <w:spacing w:after="360" w:line="300" w:lineRule="auto"/>
        <w:rPr>
          <w:rFonts w:ascii="Arial" w:hAnsi="Arial" w:cs="Arial"/>
          <w:b/>
          <w:sz w:val="22"/>
          <w:szCs w:val="22"/>
        </w:rPr>
      </w:pPr>
    </w:p>
    <w:p w14:paraId="409B418B" w14:textId="77777777" w:rsidR="003830F4" w:rsidRDefault="00000000" w:rsidP="000D3AFF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0"/>
          <w:szCs w:val="20"/>
        </w:rPr>
      </w:pPr>
      <w:r w:rsidRPr="00544B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AB8997" wp14:editId="1ECA35CE">
                <wp:simplePos x="0" y="0"/>
                <wp:positionH relativeFrom="column">
                  <wp:posOffset>-73660</wp:posOffset>
                </wp:positionH>
                <wp:positionV relativeFrom="paragraph">
                  <wp:posOffset>93980</wp:posOffset>
                </wp:positionV>
                <wp:extent cx="3765550" cy="1543050"/>
                <wp:effectExtent l="0" t="0" r="6350" b="0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1457A" w14:textId="77777777" w:rsidR="003830F4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poważaniem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07534572" w14:textId="77777777" w:rsidR="003830F4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5"/>
                          </w:p>
                          <w:p w14:paraId="209BDE17" w14:textId="77777777" w:rsidR="003830F4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6"/>
                          </w:p>
                          <w:p w14:paraId="16A3CA43" w14:textId="77777777" w:rsidR="003830F4" w:rsidRPr="00747C01" w:rsidRDefault="00000000" w:rsidP="00AF3203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7"/>
                          </w:p>
                          <w:p w14:paraId="24931EC5" w14:textId="77777777" w:rsidR="003830F4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1.5pt;margin-left:-5.8pt;margin-top:7.4pt;mso-height-percent:0;mso-height-relative:margin;mso-width-percent:0;mso-width-relative:margin;mso-wrap-distance-bottom:3.6pt;mso-wrap-distance-left:9pt;mso-wrap-distance-right:9pt;mso-wrap-distance-top:3.6pt;position:absolute;width:296.5pt;z-index:-251658240" fillcolor="white" stroked="f" strokeweight="0.75pt">
                <v:stroke joinstyle="miter"/>
                <v:textbox>
                  <w:txbxContent>
                    <w:p w:rsidR="00000000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 poważaniem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000000" w:rsidP="00AF3203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5"/>
                    </w:p>
                    <w:p w:rsidR="00000000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6"/>
                    </w:p>
                    <w:p w:rsidR="00000000" w:rsidRPr="00747C01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7"/>
                    </w:p>
                    <w:p w:rsidR="00000000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2E5920" w14:textId="77777777" w:rsidR="00000000" w:rsidRDefault="00000000" w:rsidP="00D622DD">
      <w:pPr>
        <w:pStyle w:val="Bezodstpw"/>
        <w:spacing w:after="120" w:line="300" w:lineRule="auto"/>
        <w:rPr>
          <w:rFonts w:ascii="Arial" w:hAnsi="Arial" w:cs="Arial"/>
          <w:sz w:val="20"/>
          <w:szCs w:val="20"/>
        </w:rPr>
      </w:pPr>
    </w:p>
    <w:p w14:paraId="501DDC1E" w14:textId="77777777" w:rsidR="00000000" w:rsidRPr="00D622DD" w:rsidRDefault="00000000" w:rsidP="00D622DD">
      <w:pPr>
        <w:pStyle w:val="Bezodstpw"/>
        <w:spacing w:after="120" w:line="300" w:lineRule="auto"/>
        <w:rPr>
          <w:rFonts w:ascii="Arial" w:hAnsi="Arial" w:cs="Arial"/>
          <w:sz w:val="20"/>
          <w:szCs w:val="20"/>
        </w:rPr>
      </w:pPr>
      <w:r w:rsidRPr="00D622DD">
        <w:rPr>
          <w:rFonts w:ascii="Arial" w:hAnsi="Arial" w:cs="Arial"/>
          <w:b/>
          <w:bCs/>
          <w:sz w:val="20"/>
          <w:szCs w:val="20"/>
        </w:rPr>
        <w:t>Strona BIP Pomorskiego Urzędu Wojewódzkiego w Gdańsku</w:t>
      </w:r>
    </w:p>
    <w:p w14:paraId="24924D48" w14:textId="77777777" w:rsidR="00000000" w:rsidRPr="007E2602" w:rsidRDefault="00000000" w:rsidP="007E2602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</w:p>
    <w:sectPr w:rsidR="00D622DD" w:rsidRPr="007E2602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18F2" w14:textId="77777777" w:rsidR="00A529F2" w:rsidRDefault="00A529F2">
      <w:r>
        <w:separator/>
      </w:r>
    </w:p>
  </w:endnote>
  <w:endnote w:type="continuationSeparator" w:id="0">
    <w:p w14:paraId="0366C596" w14:textId="77777777" w:rsidR="00A529F2" w:rsidRDefault="00A5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7926" w14:textId="77777777" w:rsidR="003830F4" w:rsidRDefault="003830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294074E" w14:textId="77777777" w:rsidR="003830F4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3830F4" w14:paraId="22483217" w14:textId="77777777" w:rsidTr="00AB66CA">
      <w:tc>
        <w:tcPr>
          <w:tcW w:w="5245" w:type="dxa"/>
          <w:vMerge w:val="restart"/>
        </w:tcPr>
        <w:p w14:paraId="13E91B06" w14:textId="77777777" w:rsidR="003830F4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8"/>
        </w:p>
        <w:p w14:paraId="70BE66EE" w14:textId="77777777" w:rsidR="003830F4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9"/>
        </w:p>
        <w:p w14:paraId="537FA9AD" w14:textId="77777777" w:rsidR="003830F4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639D3D5E" w14:textId="77777777" w:rsidR="003830F4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0"/>
        </w:p>
      </w:tc>
    </w:tr>
    <w:tr w:rsidR="003830F4" w14:paraId="1A7F5479" w14:textId="77777777" w:rsidTr="00AB66CA">
      <w:tc>
        <w:tcPr>
          <w:tcW w:w="5245" w:type="dxa"/>
          <w:vMerge/>
        </w:tcPr>
        <w:p w14:paraId="46B66842" w14:textId="77777777" w:rsidR="003830F4" w:rsidRPr="00EC65D1" w:rsidRDefault="003830F4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ECA85E4" w14:textId="77777777" w:rsidR="003830F4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830F4" w14:paraId="40C37CB2" w14:textId="77777777" w:rsidTr="00AB66CA">
      <w:tc>
        <w:tcPr>
          <w:tcW w:w="5245" w:type="dxa"/>
          <w:vMerge/>
        </w:tcPr>
        <w:p w14:paraId="21D854DD" w14:textId="77777777" w:rsidR="003830F4" w:rsidRPr="00EC65D1" w:rsidRDefault="003830F4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33C70E4" w14:textId="77777777" w:rsidR="003830F4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830F4" w14:paraId="4FDACBC5" w14:textId="77777777" w:rsidTr="00AB66CA">
      <w:tc>
        <w:tcPr>
          <w:tcW w:w="5245" w:type="dxa"/>
          <w:vMerge/>
        </w:tcPr>
        <w:p w14:paraId="26939667" w14:textId="77777777" w:rsidR="003830F4" w:rsidRPr="00EC65D1" w:rsidRDefault="003830F4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6FDC0D1" w14:textId="77777777" w:rsidR="003830F4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17C8271A" w14:textId="77777777" w:rsidR="003830F4" w:rsidRPr="002E7131" w:rsidRDefault="003830F4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4C69" w14:textId="77777777" w:rsidR="003830F4" w:rsidRDefault="003830F4" w:rsidP="00164787">
    <w:pPr>
      <w:pStyle w:val="Stopka"/>
      <w:spacing w:line="300" w:lineRule="auto"/>
      <w:jc w:val="right"/>
      <w:rPr>
        <w:rFonts w:ascii="Arial" w:hAnsi="Arial" w:cs="Arial"/>
        <w:sz w:val="16"/>
        <w:szCs w:val="16"/>
      </w:rPr>
    </w:pPr>
  </w:p>
  <w:p w14:paraId="77C44696" w14:textId="77777777" w:rsidR="003830F4" w:rsidRDefault="003830F4" w:rsidP="00E735B5">
    <w:pPr>
      <w:pStyle w:val="Stopka"/>
      <w:pBdr>
        <w:bottom w:val="single" w:sz="4" w:space="1" w:color="auto"/>
      </w:pBdr>
      <w:spacing w:line="300" w:lineRule="auto"/>
      <w:rPr>
        <w:noProof/>
      </w:rPr>
    </w:pPr>
  </w:p>
  <w:p w14:paraId="3FD4DECE" w14:textId="77777777" w:rsidR="003830F4" w:rsidRDefault="00000000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 wp14:anchorId="479EB412" wp14:editId="2E6EF387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4577B" w14:textId="77777777" w:rsidR="003830F4" w:rsidRDefault="00000000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14:paraId="5E4CF0EF" w14:textId="77777777" w:rsidR="003830F4" w:rsidRPr="000A3EAC" w:rsidRDefault="00000000" w:rsidP="00ED266C">
    <w:pPr>
      <w:pStyle w:val="Stopka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14:paraId="48C3E634" w14:textId="77777777" w:rsidR="003830F4" w:rsidRPr="002E7131" w:rsidRDefault="003830F4" w:rsidP="00164787">
    <w:pPr>
      <w:pStyle w:val="Stopka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3830F4" w14:paraId="66527C0D" w14:textId="77777777" w:rsidTr="00AB66CA">
      <w:tc>
        <w:tcPr>
          <w:tcW w:w="5245" w:type="dxa"/>
          <w:vMerge w:val="restart"/>
        </w:tcPr>
        <w:p w14:paraId="1E632984" w14:textId="77777777" w:rsidR="003830F4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1"/>
        </w:p>
        <w:p w14:paraId="5D3C7183" w14:textId="77777777" w:rsidR="003830F4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2"/>
        </w:p>
        <w:p w14:paraId="72DB9025" w14:textId="77777777" w:rsidR="003830F4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6C35C84F" w14:textId="77777777" w:rsidR="003830F4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3"/>
        </w:p>
      </w:tc>
    </w:tr>
    <w:tr w:rsidR="003830F4" w14:paraId="2645B04D" w14:textId="77777777" w:rsidTr="00AB66CA">
      <w:tc>
        <w:tcPr>
          <w:tcW w:w="5245" w:type="dxa"/>
          <w:vMerge/>
        </w:tcPr>
        <w:p w14:paraId="056DFA95" w14:textId="77777777" w:rsidR="003830F4" w:rsidRPr="00D529DE" w:rsidRDefault="003830F4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732E345" w14:textId="77777777" w:rsidR="003830F4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830F4" w14:paraId="3651D9D8" w14:textId="77777777" w:rsidTr="00AB66CA">
      <w:tc>
        <w:tcPr>
          <w:tcW w:w="5245" w:type="dxa"/>
          <w:vMerge/>
        </w:tcPr>
        <w:p w14:paraId="5A893278" w14:textId="77777777" w:rsidR="003830F4" w:rsidRPr="00D529DE" w:rsidRDefault="003830F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C61FDC8" w14:textId="77777777" w:rsidR="003830F4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830F4" w14:paraId="75A8FF59" w14:textId="77777777" w:rsidTr="00AB66CA">
      <w:tc>
        <w:tcPr>
          <w:tcW w:w="5245" w:type="dxa"/>
          <w:vMerge/>
        </w:tcPr>
        <w:p w14:paraId="7D1EF46E" w14:textId="77777777" w:rsidR="003830F4" w:rsidRPr="00D529DE" w:rsidRDefault="003830F4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7940C4F" w14:textId="77777777" w:rsidR="003830F4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F58F290" w14:textId="77777777" w:rsidR="003830F4" w:rsidRPr="002E7131" w:rsidRDefault="003830F4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6652" w14:textId="77777777" w:rsidR="00A529F2" w:rsidRDefault="00A529F2">
      <w:r>
        <w:separator/>
      </w:r>
    </w:p>
  </w:footnote>
  <w:footnote w:type="continuationSeparator" w:id="0">
    <w:p w14:paraId="1CE1AC8A" w14:textId="77777777" w:rsidR="00A529F2" w:rsidRDefault="00A52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5BE7" w14:textId="77777777" w:rsidR="003830F4" w:rsidRDefault="003830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F086" w14:textId="77777777" w:rsidR="003830F4" w:rsidRDefault="003830F4">
    <w:pPr>
      <w:pStyle w:val="Nagwek"/>
      <w:rPr>
        <w:rFonts w:ascii="Arial" w:hAnsi="Arial" w:cs="Arial"/>
        <w:sz w:val="22"/>
        <w:szCs w:val="22"/>
      </w:rPr>
    </w:pPr>
  </w:p>
  <w:p w14:paraId="6B3D20C4" w14:textId="77777777" w:rsidR="003830F4" w:rsidRDefault="003830F4">
    <w:pPr>
      <w:pStyle w:val="Nagwek"/>
      <w:rPr>
        <w:rFonts w:ascii="Arial" w:hAnsi="Arial" w:cs="Arial"/>
        <w:sz w:val="22"/>
        <w:szCs w:val="22"/>
      </w:rPr>
    </w:pPr>
  </w:p>
  <w:p w14:paraId="231EE21C" w14:textId="77777777" w:rsidR="003830F4" w:rsidRDefault="003830F4">
    <w:pPr>
      <w:pStyle w:val="Nagwek"/>
      <w:rPr>
        <w:rFonts w:ascii="Arial" w:hAnsi="Arial" w:cs="Arial"/>
        <w:sz w:val="22"/>
        <w:szCs w:val="22"/>
      </w:rPr>
    </w:pPr>
  </w:p>
  <w:p w14:paraId="72D51D04" w14:textId="77777777" w:rsidR="003830F4" w:rsidRDefault="003830F4">
    <w:pPr>
      <w:pStyle w:val="Nagwek"/>
      <w:rPr>
        <w:rFonts w:ascii="Arial" w:hAnsi="Arial" w:cs="Arial"/>
        <w:sz w:val="22"/>
        <w:szCs w:val="22"/>
      </w:rPr>
    </w:pPr>
  </w:p>
  <w:p w14:paraId="74C72247" w14:textId="77777777" w:rsidR="003830F4" w:rsidRPr="00DB47ED" w:rsidRDefault="003830F4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2FD8" w14:textId="77777777" w:rsidR="003830F4" w:rsidRPr="001F7A58" w:rsidRDefault="00000000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13236B3B" w14:textId="77777777" w:rsidR="003830F4" w:rsidRPr="002E7131" w:rsidRDefault="003830F4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50D5705A" w14:textId="77777777" w:rsidR="003830F4" w:rsidRPr="002E7131" w:rsidRDefault="003830F4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062"/>
    <w:multiLevelType w:val="hybridMultilevel"/>
    <w:tmpl w:val="F8E85E48"/>
    <w:lvl w:ilvl="0" w:tplc="4C189C6E">
      <w:start w:val="1"/>
      <w:numFmt w:val="decimal"/>
      <w:lvlText w:val="%1)"/>
      <w:lvlJc w:val="left"/>
      <w:pPr>
        <w:ind w:left="720" w:hanging="360"/>
      </w:pPr>
    </w:lvl>
    <w:lvl w:ilvl="1" w:tplc="9F9815BA">
      <w:start w:val="1"/>
      <w:numFmt w:val="lowerLetter"/>
      <w:lvlText w:val="%2."/>
      <w:lvlJc w:val="left"/>
      <w:pPr>
        <w:ind w:left="1440" w:hanging="360"/>
      </w:pPr>
    </w:lvl>
    <w:lvl w:ilvl="2" w:tplc="01DE0EA4">
      <w:start w:val="1"/>
      <w:numFmt w:val="lowerRoman"/>
      <w:lvlText w:val="%3."/>
      <w:lvlJc w:val="right"/>
      <w:pPr>
        <w:ind w:left="2160" w:hanging="180"/>
      </w:pPr>
    </w:lvl>
    <w:lvl w:ilvl="3" w:tplc="ECF4FD2E">
      <w:start w:val="1"/>
      <w:numFmt w:val="decimal"/>
      <w:lvlText w:val="%4."/>
      <w:lvlJc w:val="left"/>
      <w:pPr>
        <w:ind w:left="2880" w:hanging="360"/>
      </w:pPr>
    </w:lvl>
    <w:lvl w:ilvl="4" w:tplc="8542BEB0">
      <w:start w:val="1"/>
      <w:numFmt w:val="lowerLetter"/>
      <w:lvlText w:val="%5."/>
      <w:lvlJc w:val="left"/>
      <w:pPr>
        <w:ind w:left="3600" w:hanging="360"/>
      </w:pPr>
    </w:lvl>
    <w:lvl w:ilvl="5" w:tplc="F94EEE2E">
      <w:start w:val="1"/>
      <w:numFmt w:val="lowerRoman"/>
      <w:lvlText w:val="%6."/>
      <w:lvlJc w:val="right"/>
      <w:pPr>
        <w:ind w:left="4320" w:hanging="180"/>
      </w:pPr>
    </w:lvl>
    <w:lvl w:ilvl="6" w:tplc="DDE2BDD0">
      <w:start w:val="1"/>
      <w:numFmt w:val="decimal"/>
      <w:lvlText w:val="%7."/>
      <w:lvlJc w:val="left"/>
      <w:pPr>
        <w:ind w:left="5040" w:hanging="360"/>
      </w:pPr>
    </w:lvl>
    <w:lvl w:ilvl="7" w:tplc="43E624B0">
      <w:start w:val="1"/>
      <w:numFmt w:val="lowerLetter"/>
      <w:lvlText w:val="%8."/>
      <w:lvlJc w:val="left"/>
      <w:pPr>
        <w:ind w:left="5760" w:hanging="360"/>
      </w:pPr>
    </w:lvl>
    <w:lvl w:ilvl="8" w:tplc="D070DE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4D62"/>
    <w:multiLevelType w:val="hybridMultilevel"/>
    <w:tmpl w:val="D6D8CF08"/>
    <w:lvl w:ilvl="0" w:tplc="CC72D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1348B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0686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BAA4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DECE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4209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1C52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A012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F06F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22BB9"/>
    <w:multiLevelType w:val="hybridMultilevel"/>
    <w:tmpl w:val="F9B88CEA"/>
    <w:lvl w:ilvl="0" w:tplc="97CCE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4A6F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DA91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4C1E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2C5F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F8AC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A232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5444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78B1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568CC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A08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CE05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C0EA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923E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34E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70FB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7849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B49B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AE50BB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96223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9CC2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5410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86F2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8E1A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2012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C088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488A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5EF2C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31A1F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0458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A299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E40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C614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4E04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78CA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3E31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C59A27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3FC14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822B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DE6D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5A7A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B8F2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F27C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ACA2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5AD1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1677513">
    <w:abstractNumId w:val="2"/>
  </w:num>
  <w:num w:numId="2" w16cid:durableId="2036300031">
    <w:abstractNumId w:val="5"/>
  </w:num>
  <w:num w:numId="3" w16cid:durableId="1935435752">
    <w:abstractNumId w:val="1"/>
  </w:num>
  <w:num w:numId="4" w16cid:durableId="711540330">
    <w:abstractNumId w:val="4"/>
  </w:num>
  <w:num w:numId="5" w16cid:durableId="607741146">
    <w:abstractNumId w:val="3"/>
  </w:num>
  <w:num w:numId="6" w16cid:durableId="356927391">
    <w:abstractNumId w:val="6"/>
  </w:num>
  <w:num w:numId="7" w16cid:durableId="2111851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F4"/>
    <w:rsid w:val="003830F4"/>
    <w:rsid w:val="004E0D7E"/>
    <w:rsid w:val="00A529F2"/>
    <w:rsid w:val="00C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2984F"/>
  <w15:docId w15:val="{156FAB5D-EE77-4993-A94E-7B6F37D0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65E6-950D-4DA3-9FA0-A236506A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Paulina Mierzejewska</cp:lastModifiedBy>
  <cp:revision>2</cp:revision>
  <cp:lastPrinted>2026-04-15T16:32:00Z</cp:lastPrinted>
  <dcterms:created xsi:type="dcterms:W3CDTF">2026-06-29T11:43:00Z</dcterms:created>
  <dcterms:modified xsi:type="dcterms:W3CDTF">2026-06-29T11:43:00Z</dcterms:modified>
</cp:coreProperties>
</file>