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B8" w:rsidRPr="00321EBD" w:rsidRDefault="00887DB8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Kielce, dnia 22 grudnia 2025 r.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WOO-I.420.12.2025.PP.7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21EBD">
        <w:rPr>
          <w:rFonts w:asciiTheme="minorHAnsi" w:hAnsiTheme="minorHAnsi" w:cstheme="minorHAnsi"/>
          <w:b/>
        </w:rPr>
        <w:t>D E C Y Z J A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21EBD">
        <w:rPr>
          <w:rFonts w:asciiTheme="minorHAnsi" w:hAnsiTheme="minorHAnsi" w:cstheme="minorHAnsi"/>
          <w:b/>
        </w:rPr>
        <w:t>o   ś r o d o w i s k o w y c h   u w a r u n k o w a n i a c h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Na podstawie art. 104 ustawy z dnia 14 czerwca 1960 r. Kodeks postępowania administracyjnego (tekst jedn. Dz. U. z 2025 r. poz. 1691) – cyt. dalej jako „k.p.a.” oraz art. 71 ust. 2 pkt 2, art. 75 ust. 1 pkt 1 lit. d, art. 84 ust. 1 i 2, art. 85 ust. 1 i ust. 2 pkt 2 ustawy z dnia 3 października 2008 r. o udostępnianiu informacji o środowisku i jego ochronie, udziale społeczeństwa w ochronie środowiska oraz o ocenach oddziaływania na środowisko (tekst jedn. Dz. U. z 2024 r. poz. 1112 ze zm.) – cyt. dalej jako „UUOŚ”, po rozpatrzeniu wniosku o</w:t>
      </w:r>
      <w:r w:rsidR="00321EBD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wydanie decyzji o środowiskowych uwarunkowaniach,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21EBD">
        <w:rPr>
          <w:rFonts w:asciiTheme="minorHAnsi" w:hAnsiTheme="minorHAnsi" w:cstheme="minorHAnsi"/>
          <w:b/>
        </w:rPr>
        <w:t>stwierdzam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brak potrzeby przeprowadzenia oceny oddziaływania na środowisko przedsięwzięcia polegającego na </w:t>
      </w:r>
      <w:r w:rsidRPr="00B82072">
        <w:rPr>
          <w:rFonts w:asciiTheme="minorHAnsi" w:hAnsiTheme="minorHAnsi" w:cstheme="minorHAnsi"/>
          <w:b/>
        </w:rPr>
        <w:t>zmianie lasu na użytek rolny na działkach oznaczonych numerami ewidencyjnymi 121/2, 128/5, 128/7, obręb Wólka Żabna, gmina Staszów</w:t>
      </w:r>
      <w:r w:rsidRPr="00321EBD">
        <w:rPr>
          <w:rFonts w:asciiTheme="minorHAnsi" w:hAnsiTheme="minorHAnsi" w:cstheme="minorHAnsi"/>
        </w:rPr>
        <w:t xml:space="preserve">, planowanego przez Panią Urszulę </w:t>
      </w:r>
      <w:proofErr w:type="spellStart"/>
      <w:r w:rsidRPr="00321EBD">
        <w:rPr>
          <w:rFonts w:asciiTheme="minorHAnsi" w:hAnsiTheme="minorHAnsi" w:cstheme="minorHAnsi"/>
        </w:rPr>
        <w:t>Rajczak-Stondzik</w:t>
      </w:r>
      <w:proofErr w:type="spellEnd"/>
      <w:r w:rsidRPr="00321EBD">
        <w:rPr>
          <w:rFonts w:asciiTheme="minorHAnsi" w:hAnsiTheme="minorHAnsi" w:cstheme="minorHAnsi"/>
        </w:rPr>
        <w:t>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21EBD">
        <w:rPr>
          <w:rFonts w:asciiTheme="minorHAnsi" w:hAnsiTheme="minorHAnsi" w:cstheme="minorHAnsi"/>
          <w:b/>
        </w:rPr>
        <w:t>Uzasadnienie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 dniu 29.07.2025 r. do Regionalnej Dyrekcji Ochrony Środowiska</w:t>
      </w:r>
      <w:bookmarkStart w:id="0" w:name="_GoBack"/>
      <w:bookmarkEnd w:id="0"/>
      <w:r w:rsidRPr="00321EBD">
        <w:rPr>
          <w:rFonts w:asciiTheme="minorHAnsi" w:hAnsiTheme="minorHAnsi" w:cstheme="minorHAnsi"/>
        </w:rPr>
        <w:t xml:space="preserve"> w Kielcach wpłynął wniosek Pani Urszuli </w:t>
      </w:r>
      <w:proofErr w:type="spellStart"/>
      <w:r w:rsidRPr="00321EBD">
        <w:rPr>
          <w:rFonts w:asciiTheme="minorHAnsi" w:hAnsiTheme="minorHAnsi" w:cstheme="minorHAnsi"/>
        </w:rPr>
        <w:t>Rajczak-Stondzik</w:t>
      </w:r>
      <w:proofErr w:type="spellEnd"/>
      <w:r w:rsidRPr="00321EBD">
        <w:rPr>
          <w:rFonts w:asciiTheme="minorHAnsi" w:hAnsiTheme="minorHAnsi" w:cstheme="minorHAnsi"/>
        </w:rPr>
        <w:t xml:space="preserve"> z dnia 22.07.2025 r. w sprawie wydania decyzji o</w:t>
      </w:r>
      <w:r w:rsidR="00321EBD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środowiskowych uwarunkowaniach dla przedsięwzięcia polegającego na zmianie lasu na użytek rolny na działkach oznaczonych numerami ewidencyjnymi 121/2, 128/5 i 128/7, obręb Wólka Żabna, gmina Staszów.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Do wniosku uzupełnionego w dniu 03.09.2025 r. dołączono kartę informacyjną przedsięwzięcia (dalej KIP) opracowaną zgodnie z art. 62a ust.1 ustawy UUOŚ, poświadczoną przez właściwy organ kopię mapy ewidencyjnej obejmującej przewidywany teren realizacji oraz obszar oddziaływania przedsięwzięcia, mapę w skali zapewniającej czytelność przedstawionych danych z zaznaczonym terenem realizacji i obszarem oddziaływania przedsięwzięcia, zaświadczenie wydane przez Burmistrza Miasta i Gminy Staszów znak: IPP-II.6727.324.2025.XI z dnia 28.08.2025 r. o braku obowiązującego miejscowego planu zagospodarowania przestrzennego dla terenu realizacji przedsięwzięcia, uproszczone wypisy </w:t>
      </w:r>
      <w:r w:rsidRPr="00321EBD">
        <w:rPr>
          <w:rFonts w:asciiTheme="minorHAnsi" w:hAnsiTheme="minorHAnsi" w:cstheme="minorHAnsi"/>
        </w:rPr>
        <w:lastRenderedPageBreak/>
        <w:t>rejestru gruntów dla działek objętych terenem realizacji i zasięgiem oddziaływania przedsięwzięcia oraz potwierdzenie wniesienia opłaty skarbowej z tytułu wydania decyzji o</w:t>
      </w:r>
      <w:r w:rsidR="00321EBD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środowiskowych uwarunkowaniach.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Zgodnie z art. 75 ust. 1 pkt 1 lit. d ustawy UUOŚ, w przypadku zmiany lasu niestanowiącego własności Skarbu Państwa, na użytek rolny organem właściwym do wydania decyzji o</w:t>
      </w:r>
      <w:r w:rsidR="00321EBD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środowiskowych uwarunkowaniach jest regionalny dyrektor ochrony środowiska.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Przedmiotowe zamierzenie należy do kategorii przedsięwzięć mogących potencjalnie znacząco oddziaływać na środowisko, dla których przeprowadzenie oceny oddziaływania przedsięwzięcia na środowisko może być wymagane tj. o których mowa w art. 59 ust. 1 pkt 2 ww. ustawy UUOŚ, wymienionych w § 3 ust. 1 pkt 88 lit. c rozporządzenia Rady Ministrów z</w:t>
      </w:r>
      <w:r w:rsidR="00321EBD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dnia 10 września 2019 r. w sprawie przedsięwzięć mogących znacząco oddziaływać na środowisko (Dz. U. z 2019 r., poz. 1839 ze zm.) tj. zmiana lasu, innego gruntu o zwartej powierzchni co najmniej 0,10 ha pokrytego roślinnością leśną - drzewami i krzewami oraz runem leśnym - lub nieużytku na użytek rolny lub wylesienie mające na celu zmianę sposobu użytkowania terenu na obszarach objętych formami ochrony przyrody, o których mowa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art. 6 ust. 1 pkt 1-5, 8 i 9 ustawy z dnia 16 kwietnia 2004 r. o ochronie przyrody, lub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otulinach form ochrony przyrody, o których mowa w art. 6 ust. 1 pkt 1-3 tej ustawy.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Dane o złożonym wniosku zamieszczone zostały w Publicznie dostępnym wykazie danych o</w:t>
      </w:r>
      <w:r w:rsidR="00674560">
        <w:rPr>
          <w:rFonts w:asciiTheme="minorHAnsi" w:hAnsiTheme="minorHAnsi" w:cstheme="minorHAnsi"/>
          <w:sz w:val="22"/>
        </w:rPr>
        <w:t> </w:t>
      </w:r>
      <w:r w:rsidRPr="00321EBD">
        <w:rPr>
          <w:rFonts w:asciiTheme="minorHAnsi" w:hAnsiTheme="minorHAnsi" w:cstheme="minorHAnsi"/>
        </w:rPr>
        <w:t>dokumentach zawierających informacje o środowisku i jego ochronie, prowadzonym przez Regionalną Dyrekcję Ochrony Środowiska w Kielcach.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O wszczęciu postępowania, strony zostały powiadomione, zgodnie z wymogami art. 61 § 1 i § 4 oraz art. 49 k.p.a., w związku z art. 74 ust. 3 ustawy UUOŚ, obwieszczeniem znak: WOO-I.420.12.2025.PP.2 z dnia 03.10.2025 r.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 toku prowadzonego postępowania, w trybie art. 64 ust. 1 pkt 4 ustawy UUOŚ, tut. organ wystąpił pismem znak: WOO-I.420.12.2025.PP.3 z dnia 03.10.2025 r. do Dyrektora Zarządu Zlewni w Sandomierzu Państwowego Gospodarstwa Wodnego Wody Polskie o opinię, co do potrzeby przeprowadzenia oceny oddziaływania przedsięwzięcia na środowisko, w aspekcie celów środowiskowych ustanowionych dla jednolitych części wód. Na podstawie art. 64 ust. 1 pkt 2 ustawy UUOŚ, dla planowanego przedsięwzięcia nie jest wymagane zasięgnięcie opinii Państwowego Powiatowego Inspektora Sanitarnego.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Obwieszczenie znak: WOO-I.420.420.12.2025.PP.2 z dnia 03.10.2025 r. zawiadamiające o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 xml:space="preserve">powyższym zostało wywieszone na tablicy ogłoszeń w siedzibie Regionalnej Dyrekcji Ochrony Środowiska w Kielcach oraz zamieszczone w Biuletynie Informacji Publicznej Regionalnej Dyrekcji Ochrony Środowiska w Kielcach w terminie od 07.10.2025 r. do 21.10.2025 r. Ponadto, zgodnie z art. 74 ust. 3aa ustawy UUOŚ, tut. organ zawiadomił </w:t>
      </w:r>
      <w:r w:rsidRPr="00321EBD">
        <w:rPr>
          <w:rFonts w:asciiTheme="minorHAnsi" w:hAnsiTheme="minorHAnsi" w:cstheme="minorHAnsi"/>
        </w:rPr>
        <w:lastRenderedPageBreak/>
        <w:t>Burmistrza Miasta i Gminy Staszów o wszczęciu postępowania zmierzającego do wydania decyzji o środowiskowych uwarunkowaniach oraz o konieczności udostępnienia powiadomienia w Biuletynie Informacji Publicznej lub dokonanie publicznego ogłoszenia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sposób zwyczajowo przyjęty w danej miejscowości.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Dyrektor Zarządu Zlewni w Sandomierzu Państwowego Gospodarstwa Wodnego Wody Polskie pismem znak: KS.ZZŚ.4901.152.2025.DO z dnia 21.10.2025 r. (data wpływu: 03.11.2025 r.) wyraził opinię, że planowane przedsięwzięcie nie wymaga przeprowadzenia oceny oddziaływania na środowisko.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Stosownie do art. 10 § 1 k.p.a., przed wydaniem decyzji o środowiskowych uwarunkowaniach strony postępowania zawiadomiono obwieszczeniem o zebraniu dowodów oraz możliwości zapoznania się z materiałami i dowodami w przedmiotowej sprawie, jak również możliwości wniesienia uwag i wniosków w terminie 7 dni od dnia doręczenia zawiadomienia. Obwieszczenie znak: WOO-I.420.12.2025.PP.5 z dnia 06.11.2025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r. informujące o powyższym zostało wywieszone na tablicy ogłoszeń w siedzibie Regionalnej Dyrekcji Ochrony Środowiska w Kielcach oraz zamieszczone w Biuletynie Informacji Publicznej Regionalnej Dyrekcji Ochrony Środowiska w Kielcach w terminie od 12.11.2025 r. do 26.11.2025 r. Ponadto tut. organ zawiadomił o powyższym Burmistrza Miasta i Gminy Staszów oraz o konieczności udostępnienia powiadomienia w Biuletynie Informacji Publicznej lub dokonanie publicznego ogłoszenia w sposób zwyczajowo przyjęty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danej miejscowości.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 trakcie prowadzonego postępowania nie wniesiono uwag lub żądań w przedmiotowej sprawie.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Informacje zawarte w KIP pozwalają na stwierdzenie, że planowane zamierzenie nie powinno w sposób znaczący negatywnie oddziaływać na środowisko.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Planowane zamierzenie polegało będzie na przekształceniu gruntów leśnych o łącznej powierzchni 0,25 ha na użytek rolny na częściach działek o nr ewid. 121/2, 128/5 i 128/7, obręb Wólka Żabna, gmina Staszów, powiat staszowski, województwo świętokrzyskie.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Jak wynika z uproszczonych wypisów z rejestru gruntów, przedmiotowe działki o łącznej powierzchni 1,1682 ha stanowią: grunty rolne zabudowane (Br-RV) o powierzchni 0,09 ha, drogi (dr) o powierzchni 0,03 ha, lasy (</w:t>
      </w:r>
      <w:proofErr w:type="spellStart"/>
      <w:r w:rsidRPr="00321EBD">
        <w:rPr>
          <w:rFonts w:asciiTheme="minorHAnsi" w:hAnsiTheme="minorHAnsi" w:cstheme="minorHAnsi"/>
        </w:rPr>
        <w:t>Ls</w:t>
      </w:r>
      <w:proofErr w:type="spellEnd"/>
      <w:r w:rsidRPr="00321EBD">
        <w:rPr>
          <w:rFonts w:asciiTheme="minorHAnsi" w:hAnsiTheme="minorHAnsi" w:cstheme="minorHAnsi"/>
        </w:rPr>
        <w:t>) o łącznej powierzchni 0,25 ha, grunty orne (RV, RVI) o łącznej powierzchni 0,42 ha, grunty pod rowami (W-ŁV) o łącznej powierzchni 0,051 ha, łąki trwałe (ŁV) o powierzchni 0,3182 ha oraz nieużytki (N) o powierzchni 0,009 ha.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Użytki leśne, będące przedmiotem niniejszego zamierzenia obejmują wschodnią część działki o nr ewid. 121/2, większość powierzchni działki o nr ewid. 128/5 oraz północny fragment działki o nr ewid. 128/7.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lastRenderedPageBreak/>
        <w:t>Zgodnie z przedłożoną dokumentacją, dla przedsięwzięcia pn.: „Wykonanie trzech stawów zasilanych wodami gruntowymi zlokalizowanych na działkach oznaczonych numerami ewidencyjnymi 121/2, 124/2, 125/1, 125/3, 127/2, 127/4, 128/5, 128/7 obręb Wólka Żabna, gmina Staszów”, planowanego do realizacji na działkach objętych przedmiotowym zamierzeniem, Burmistrz Miasta i Gminy Staszów wydał decyzję Nr 4/2023 z dnia 22.08.2023 r. o środowiskowych uwarunkowaniach orzekającą o braku obowiązku przeprowadzenia oceny oddziaływania na środowisko. Jak wynika z KIP, obecnie na działkach objętych wnioskiem o wydanie niniejszej decyzji oraz pozostałych działkach należących do Wnioskodawcy tj. działkach o nr ewid. 124/2, 125/1, 125/3, 127/2 obręb Wólka Żabna, gmina Staszów, zlokalizowane są stawy hodowlane. Planowana zmiana lasu na użytek rolny będzie miała na celu uporządkowanie i wyeliminowanie rozbieżności między istniejącym stanem w ewidencji gruntów i budynków (tj. oznaczeniem użytków i konturów klasyfikacyjnych jako las), a faktycznym zagospodarowaniem i użytkowaniem tych terenów – powyższe umożliwi dalsze prowadzenie gospodarki związanej z hodowlą ryb w istniejących stawach, dla których Wnioskodawca uzyskał ww. decyzję o środowiskowych uwarunkowaniach.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Jak wynika z treści zaświadczenia wydanego przez Burmistrza Miasta i Gminy Staszów znak: IPP-II.6727.324.2025.XI z dnia 28.08.2025 r. teren realizacji przedsięwzięcia nie jest objęty ustaleniami obowiązującego miejscowego planu zagospodarowania przestrzennego.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Zgodnie z ogólnodostępnymi mapami tj. https:/www.geoportal.gov.pl/oraz https:/www.google.com/maps, sąsiedztwo terenu realizacji stanowią stawy hodowlane, tereny zadrzewione, tereny leśne, nieużytki, inne zbiornik wodne. Najbliższa zabudowa mieszkalna zlokalizowana jest we wschodniej części działki o nr ewid. 121/2 wnioskowanej do przekształcenia, w odległości ok. 10 m w kierunku wschodnim od granicy zamierzenia.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 ramach realizacji przedsięwzięcia nie będą wykonywane prace mające na celu zmianę rzędnych terenu, zmianę ukształtowania terenu. Jak wynika z dokumentacji sprawy, teren przeznaczony do przekształcenia nie jest pokryty roślinnością o charakterze leśnym – nie występują na nim drzewa, krzewy, podszyt, runo leśne. Zachodnia część działki inwestycyjnej o nr ewid. 128/7 pokryta jest trawą i niską roślinnością. Pozostały teren realizacji przedsięwzięcia stanowią obecnie stawy oraz groble, które porośnięte są gatunkami roślinności wodnej i szuwarowej tj.: pałka szerokolistna (</w:t>
      </w:r>
      <w:proofErr w:type="spellStart"/>
      <w:r w:rsidRPr="00321EBD">
        <w:rPr>
          <w:rFonts w:asciiTheme="minorHAnsi" w:hAnsiTheme="minorHAnsi" w:cstheme="minorHAnsi"/>
        </w:rPr>
        <w:t>Typha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latifolia</w:t>
      </w:r>
      <w:proofErr w:type="spellEnd"/>
      <w:r w:rsidRPr="00321EBD">
        <w:rPr>
          <w:rFonts w:asciiTheme="minorHAnsi" w:hAnsiTheme="minorHAnsi" w:cstheme="minorHAnsi"/>
        </w:rPr>
        <w:t xml:space="preserve"> L.), trzcina pospolita (</w:t>
      </w:r>
      <w:proofErr w:type="spellStart"/>
      <w:r w:rsidRPr="00321EBD">
        <w:rPr>
          <w:rFonts w:asciiTheme="minorHAnsi" w:hAnsiTheme="minorHAnsi" w:cstheme="minorHAnsi"/>
        </w:rPr>
        <w:t>Phragmites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australis</w:t>
      </w:r>
      <w:proofErr w:type="spellEnd"/>
      <w:r w:rsidRPr="00321EBD">
        <w:rPr>
          <w:rFonts w:asciiTheme="minorHAnsi" w:hAnsiTheme="minorHAnsi" w:cstheme="minorHAnsi"/>
        </w:rPr>
        <w:t xml:space="preserve"> (</w:t>
      </w:r>
      <w:proofErr w:type="spellStart"/>
      <w:r w:rsidRPr="00321EBD">
        <w:rPr>
          <w:rFonts w:asciiTheme="minorHAnsi" w:hAnsiTheme="minorHAnsi" w:cstheme="minorHAnsi"/>
        </w:rPr>
        <w:t>Cav</w:t>
      </w:r>
      <w:proofErr w:type="spellEnd"/>
      <w:r w:rsidRPr="00321EBD">
        <w:rPr>
          <w:rFonts w:asciiTheme="minorHAnsi" w:hAnsiTheme="minorHAnsi" w:cstheme="minorHAnsi"/>
        </w:rPr>
        <w:t>.)</w:t>
      </w:r>
      <w:proofErr w:type="spellStart"/>
      <w:r w:rsidRPr="00321EBD">
        <w:rPr>
          <w:rFonts w:asciiTheme="minorHAnsi" w:hAnsiTheme="minorHAnsi" w:cstheme="minorHAnsi"/>
        </w:rPr>
        <w:t>Trin</w:t>
      </w:r>
      <w:proofErr w:type="spellEnd"/>
      <w:r w:rsidRPr="00321EBD">
        <w:rPr>
          <w:rFonts w:asciiTheme="minorHAnsi" w:hAnsiTheme="minorHAnsi" w:cstheme="minorHAnsi"/>
        </w:rPr>
        <w:t xml:space="preserve">. ex </w:t>
      </w:r>
      <w:proofErr w:type="spellStart"/>
      <w:r w:rsidRPr="00321EBD">
        <w:rPr>
          <w:rFonts w:asciiTheme="minorHAnsi" w:hAnsiTheme="minorHAnsi" w:cstheme="minorHAnsi"/>
        </w:rPr>
        <w:t>Steud</w:t>
      </w:r>
      <w:proofErr w:type="spellEnd"/>
      <w:r w:rsidRPr="00321EBD">
        <w:rPr>
          <w:rFonts w:asciiTheme="minorHAnsi" w:hAnsiTheme="minorHAnsi" w:cstheme="minorHAnsi"/>
        </w:rPr>
        <w:t>), mozga trzcinowata (</w:t>
      </w:r>
      <w:proofErr w:type="spellStart"/>
      <w:r w:rsidRPr="00321EBD">
        <w:rPr>
          <w:rFonts w:asciiTheme="minorHAnsi" w:hAnsiTheme="minorHAnsi" w:cstheme="minorHAnsi"/>
        </w:rPr>
        <w:t>Phalaris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arundinacea</w:t>
      </w:r>
      <w:proofErr w:type="spellEnd"/>
      <w:r w:rsidRPr="00321EBD">
        <w:rPr>
          <w:rFonts w:asciiTheme="minorHAnsi" w:hAnsiTheme="minorHAnsi" w:cstheme="minorHAnsi"/>
        </w:rPr>
        <w:t xml:space="preserve"> L.), żabieniec babka wodna (</w:t>
      </w:r>
      <w:proofErr w:type="spellStart"/>
      <w:r w:rsidRPr="00321EBD">
        <w:rPr>
          <w:rFonts w:asciiTheme="minorHAnsi" w:hAnsiTheme="minorHAnsi" w:cstheme="minorHAnsi"/>
        </w:rPr>
        <w:t>Alisma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plantago-aquatica</w:t>
      </w:r>
      <w:proofErr w:type="spellEnd"/>
      <w:r w:rsidRPr="00321EBD">
        <w:rPr>
          <w:rFonts w:asciiTheme="minorHAnsi" w:hAnsiTheme="minorHAnsi" w:cstheme="minorHAnsi"/>
        </w:rPr>
        <w:t xml:space="preserve"> L.). Zamierzenie nie będzie wiązać się z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 xml:space="preserve">wycinką drzew i krzewów. Zgodnie z KIP na ww. terenach objętych zamierzeniem nie </w:t>
      </w:r>
      <w:r w:rsidRPr="00321EBD">
        <w:rPr>
          <w:rFonts w:asciiTheme="minorHAnsi" w:hAnsiTheme="minorHAnsi" w:cstheme="minorHAnsi"/>
        </w:rPr>
        <w:lastRenderedPageBreak/>
        <w:t>stwierdzono występowania chronionych gatunków roślin, grzybów oraz siedlisk przyrodniczych.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Zgodnie z dokumentacją sprawy, w obrębie istniejących stawów mogą występować gatunki zwierząt związanych ze środowiskiem wodnym. W wyniku przeprowadzonej wizji terenowej zaobserwowano gatunki zwierząt tj.: żaba trawna (Rana </w:t>
      </w:r>
      <w:proofErr w:type="spellStart"/>
      <w:r w:rsidRPr="00321EBD">
        <w:rPr>
          <w:rFonts w:asciiTheme="minorHAnsi" w:hAnsiTheme="minorHAnsi" w:cstheme="minorHAnsi"/>
        </w:rPr>
        <w:t>temporaria</w:t>
      </w:r>
      <w:proofErr w:type="spellEnd"/>
      <w:r w:rsidRPr="00321EBD">
        <w:rPr>
          <w:rFonts w:asciiTheme="minorHAnsi" w:hAnsiTheme="minorHAnsi" w:cstheme="minorHAnsi"/>
        </w:rPr>
        <w:t>), ropucha szara (Bufo bufo), jaszczurka zwinka  (</w:t>
      </w:r>
      <w:proofErr w:type="spellStart"/>
      <w:r w:rsidRPr="00321EBD">
        <w:rPr>
          <w:rFonts w:asciiTheme="minorHAnsi" w:hAnsiTheme="minorHAnsi" w:cstheme="minorHAnsi"/>
        </w:rPr>
        <w:t>Lacerta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agilis</w:t>
      </w:r>
      <w:proofErr w:type="spellEnd"/>
      <w:r w:rsidRPr="00321EBD">
        <w:rPr>
          <w:rFonts w:asciiTheme="minorHAnsi" w:hAnsiTheme="minorHAnsi" w:cstheme="minorHAnsi"/>
        </w:rPr>
        <w:t>), zaskroniec zwyczajny (</w:t>
      </w:r>
      <w:proofErr w:type="spellStart"/>
      <w:r w:rsidRPr="00321EBD">
        <w:rPr>
          <w:rFonts w:asciiTheme="minorHAnsi" w:hAnsiTheme="minorHAnsi" w:cstheme="minorHAnsi"/>
        </w:rPr>
        <w:t>Natrix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natrix</w:t>
      </w:r>
      <w:proofErr w:type="spellEnd"/>
      <w:r w:rsidRPr="00321EBD">
        <w:rPr>
          <w:rFonts w:asciiTheme="minorHAnsi" w:hAnsiTheme="minorHAnsi" w:cstheme="minorHAnsi"/>
        </w:rPr>
        <w:t>), traszka zwyczajna (</w:t>
      </w:r>
      <w:proofErr w:type="spellStart"/>
      <w:r w:rsidRPr="00321EBD">
        <w:rPr>
          <w:rFonts w:asciiTheme="minorHAnsi" w:hAnsiTheme="minorHAnsi" w:cstheme="minorHAnsi"/>
        </w:rPr>
        <w:t>Lissotriton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vulgaris</w:t>
      </w:r>
      <w:proofErr w:type="spellEnd"/>
      <w:r w:rsidRPr="00321EBD">
        <w:rPr>
          <w:rFonts w:asciiTheme="minorHAnsi" w:hAnsiTheme="minorHAnsi" w:cstheme="minorHAnsi"/>
        </w:rPr>
        <w:t>), kaczka krzyżówka (</w:t>
      </w:r>
      <w:proofErr w:type="spellStart"/>
      <w:r w:rsidRPr="00321EBD">
        <w:rPr>
          <w:rFonts w:asciiTheme="minorHAnsi" w:hAnsiTheme="minorHAnsi" w:cstheme="minorHAnsi"/>
        </w:rPr>
        <w:t>Anas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platyrhynchos</w:t>
      </w:r>
      <w:proofErr w:type="spellEnd"/>
      <w:r w:rsidRPr="00321EBD">
        <w:rPr>
          <w:rFonts w:asciiTheme="minorHAnsi" w:hAnsiTheme="minorHAnsi" w:cstheme="minorHAnsi"/>
        </w:rPr>
        <w:t>), łyska zwyczajna (</w:t>
      </w:r>
      <w:proofErr w:type="spellStart"/>
      <w:r w:rsidRPr="00321EBD">
        <w:rPr>
          <w:rFonts w:asciiTheme="minorHAnsi" w:hAnsiTheme="minorHAnsi" w:cstheme="minorHAnsi"/>
        </w:rPr>
        <w:t>Fulica</w:t>
      </w:r>
      <w:proofErr w:type="spellEnd"/>
      <w:r w:rsidRPr="00321EBD">
        <w:rPr>
          <w:rFonts w:asciiTheme="minorHAnsi" w:hAnsiTheme="minorHAnsi" w:cstheme="minorHAnsi"/>
        </w:rPr>
        <w:t xml:space="preserve"> </w:t>
      </w:r>
      <w:proofErr w:type="spellStart"/>
      <w:r w:rsidRPr="00321EBD">
        <w:rPr>
          <w:rFonts w:asciiTheme="minorHAnsi" w:hAnsiTheme="minorHAnsi" w:cstheme="minorHAnsi"/>
        </w:rPr>
        <w:t>atra</w:t>
      </w:r>
      <w:proofErr w:type="spellEnd"/>
      <w:r w:rsidRPr="00321EBD">
        <w:rPr>
          <w:rFonts w:asciiTheme="minorHAnsi" w:hAnsiTheme="minorHAnsi" w:cstheme="minorHAnsi"/>
        </w:rPr>
        <w:t>) – zgodnie z rozporządzeniem Ministra Środowiska z dnia 16 grudnia 2016 r.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sprawie ochrony gatunkowej zwierząt (tekst jedn. Dz. U. z 2022 r., poz. 2380) – ww. zwierzęta objęte są ochroną gatunkową, za wyjątkiem kaczki krzyżówki oraz łyski zwyczajnej. Przedsięwzięcie nie będzie prowadzić do zmiany sposobu zagospodarowania i użytkowania terenu i tym samym nie będzie wiązać się z negatywnym wpływem na środowisko, w tym na stwierdzone gatunki zwierząt.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Planowane zamierzenie zlokalizowane będzie w granicach Jeleniowsko-Staszowskiego Obszaru Chronionego Krajobrazu, ustanowionego Uchwałą Nr XXXV/624/13 Sejmiku Województwa Świętokrzyskiego z dnia 23 września 2013 r. dotyczącą wyznaczenia Jeleniowsko-Staszowskiego Obszaru Chronionego Krajobrazu (Dz. Urz. Woj. Święt. z 2013 r. poz. 3316). Zgodnie z dokumentacją sprawy, planowana inwestycja nie naruszy działań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zakresie czynnej ochrony ekosystemów ustalonych</w:t>
      </w:r>
      <w:r w:rsidR="00674560">
        <w:rPr>
          <w:rFonts w:asciiTheme="minorHAnsi" w:hAnsiTheme="minorHAnsi" w:cstheme="minorHAnsi"/>
        </w:rPr>
        <w:t xml:space="preserve"> w ww. uchwale tj. zachowanie i </w:t>
      </w:r>
      <w:r w:rsidRPr="00321EBD">
        <w:rPr>
          <w:rFonts w:asciiTheme="minorHAnsi" w:hAnsiTheme="minorHAnsi" w:cstheme="minorHAnsi"/>
        </w:rPr>
        <w:t xml:space="preserve">ochrona zbiorników wód powierzchniowych naturalnych i sztucznych, utrzymanie meandrów na wybranych odcinkach cieków; </w:t>
      </w:r>
      <w:r w:rsidRPr="00321EBD">
        <w:rPr>
          <w:rFonts w:asciiTheme="minorHAnsi" w:hAnsiTheme="minorHAnsi" w:cstheme="minorHAnsi"/>
        </w:rPr>
        <w:tab/>
        <w:t>zachowanie śródpolnych i śródleśnych torfowisk, terenów podmokłych, oczek wodnych, polan, wrzosowisk, muraw, niedopuszczenie do ich i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uproduktywnienia lub też sukcesji; utrzymanie ciągłości i trwałości ekosystemów leśnych; zachowanie i ewentualne odtwarzanie lokalnych i regionalnych korytarzy ekologicznych; ochrona stanowisk chronionych gatunków roślin, zwierząt i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 xml:space="preserve">grzybów; szczególna ochrona ekosystemów i krajobrazów wyjątkowo cennych, poprzez uznawanie ich za rezerwaty przyrody, zespoły przyrodniczo-krajobrazowe i użytki ekologiczne oraz zachowanie wyróżniających się tworów przyrody nieożywionej. Na przedmiotowym terenie obowiązują zakazy wynikające z ww. uchwały. Realizacja zamierzenia nie będzie wiązać się z: zabijaniem dziko występujących zwierząt, niszczeniem ich nor, legowisk, innych schronień i miejsc rozrodu oraz tarlisk, złożonej ikry, z wyjątkiem amatorskiego połowu ryb oraz wykonywania czynności związanych z racjonalną gospodarką rolną, leśną, rybacką i łowiecką; likwidowaniem i niszczeniem </w:t>
      </w:r>
      <w:proofErr w:type="spellStart"/>
      <w:r w:rsidRPr="00321EBD">
        <w:rPr>
          <w:rFonts w:asciiTheme="minorHAnsi" w:hAnsiTheme="minorHAnsi" w:cstheme="minorHAnsi"/>
        </w:rPr>
        <w:t>zadrzewień</w:t>
      </w:r>
      <w:proofErr w:type="spellEnd"/>
      <w:r w:rsidRPr="00321EBD">
        <w:rPr>
          <w:rFonts w:asciiTheme="minorHAnsi" w:hAnsiTheme="minorHAnsi" w:cstheme="minorHAnsi"/>
        </w:rPr>
        <w:t xml:space="preserve"> śródpolnych, przydrożnych i nadwodnych, jeżeli nie wynikają one z potrzeby ochrony przeciwpowodziowej i zapewnienia bezpieczeństwa ruchu drogowego lub wodnego lub budowy, odbudowy, </w:t>
      </w:r>
      <w:r w:rsidRPr="00321EBD">
        <w:rPr>
          <w:rFonts w:asciiTheme="minorHAnsi" w:hAnsiTheme="minorHAnsi" w:cstheme="minorHAnsi"/>
        </w:rPr>
        <w:lastRenderedPageBreak/>
        <w:t>utrzymania, remontów lub naprawy urządzeń wodnych; dokonywaniem zmian stosunków wodnych, jeżeli służą innym celom niż ochrona przyrody lub zrównoważone wykorzystanie użytków rolnych i leśnych oraz racjonalną gospodarką wodną lub rybacką oraz likwidowaniem naturalnych zbiorników wodnych, starorzeczy i obszarów wodno-błotnych. Mając na uwadze powyższe, procedura dotycząca oceny oddziaływania na środowisko wykazała brak znacząco negatywnego wpływu na ochronę przyrody Jeleniowsko-Staszowskiego Obszaru Chronionego Krajobrazu, w związku z czym w przedmiotowej sprawie zastosowanie ma odstępstwo od wprowadzonych zakazów, o którym mowa w § 4 ust. 2 pkt 3 ww. aktu prawa miejscowego, tj. „zakazy, o których mowa w ust. 1 nie dotyczą: (...) realizacji przedsięwzięć mogących znacząco oddziaływać na środowisko, dla których procedura dotycząca oceny oddziaływania na środowisko wykazała brak znacząco negatywnego wpływu na ochronę przyrody obszaru chronionego krajobrazu”.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Planowane zamierzenie zlokalizowane będzie w granicach korytarzy ekologicznych Góry Świętokrzyskie i Dolina Wisły KPdC-3B (2005 r.) oraz Góry Świętokrzyskie -Dolina Wisły KPdC-8A (2012 r.). Zamierzenie nie powinno spowodować zaburzeń w funkcjonowaniu ww. korytarzy oraz lokalnych korytarzy migracyjnych, gdyż w sąsiedztwie przedsięwzięcia znajdują się tereny otwarte, niezabudowane, umożliwiające swobodne przemieszczanie się zwierząt. Z uwagi na powyższe, przedsięwzięcie nie powinno wpłynąć na stan zachowania populacji występujących tam zwierząt.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Teren realizacji przedsięwzięcia zlokalizowany jest w odległości ok. 3,2 km w kierunku północno-zachodnim od specjalnego obszaru ochrony siedlisk Natura 2000 Kras Staszowski PLH260023. Z uwagi na charakter przedsięwzięcia, realizacja zamierzenia nie będzie znacząco oddziaływać na cele ochrony ww. obszaru Natura 2000, w tym w szczególności na stan siedlisk przyrodniczych, siedlisk gatunków roślin i zwierząt, gatunków obszarów Natura 2000 oraz integralność obszaru Natura 2000 i jego powiązania z innymi obszarami.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Jak wynika z opinii Dyrektora Zarządu Zlewni w Sandomierzu Państwowego Gospodarstwa Wodnego Wody Polskie – pismo znak: KS.ZZŚ.4901.152.2025.DO z dnia 21.10.2025 r., przedsięwzięcie zlokalizowane będzie w obszarze:</w:t>
      </w:r>
    </w:p>
    <w:p w:rsidR="00321EBD" w:rsidRPr="00321EBD" w:rsidRDefault="00216519" w:rsidP="00321EBD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Jednolitej Części Wód Podziemnych oznaczonej europejskim kodem </w:t>
      </w:r>
      <w:proofErr w:type="spellStart"/>
      <w:r w:rsidRPr="00321EBD">
        <w:rPr>
          <w:rFonts w:asciiTheme="minorHAnsi" w:hAnsiTheme="minorHAnsi" w:cstheme="minorHAnsi"/>
        </w:rPr>
        <w:t>JCWPd</w:t>
      </w:r>
      <w:proofErr w:type="spellEnd"/>
      <w:r w:rsidRPr="00321EBD">
        <w:rPr>
          <w:rFonts w:asciiTheme="minorHAnsi" w:hAnsiTheme="minorHAnsi" w:cstheme="minorHAnsi"/>
        </w:rPr>
        <w:t xml:space="preserve"> PLGW2000115, region wodny Górnej-Zachodniej Wisły. Do wód tego obszaru stan chemiczny i stan ilościowy oceniono jak dobry. Ocena ryzyka dla </w:t>
      </w:r>
      <w:proofErr w:type="spellStart"/>
      <w:r w:rsidRPr="00321EBD">
        <w:rPr>
          <w:rFonts w:asciiTheme="minorHAnsi" w:hAnsiTheme="minorHAnsi" w:cstheme="minorHAnsi"/>
        </w:rPr>
        <w:t>JCWPd</w:t>
      </w:r>
      <w:proofErr w:type="spellEnd"/>
      <w:r w:rsidRPr="00321EBD">
        <w:rPr>
          <w:rFonts w:asciiTheme="minorHAnsi" w:hAnsiTheme="minorHAnsi" w:cstheme="minorHAnsi"/>
        </w:rPr>
        <w:t xml:space="preserve"> - zagrożona. Celem środowiskowym dla przedmiotowej </w:t>
      </w:r>
      <w:proofErr w:type="spellStart"/>
      <w:r w:rsidRPr="00321EBD">
        <w:rPr>
          <w:rFonts w:asciiTheme="minorHAnsi" w:hAnsiTheme="minorHAnsi" w:cstheme="minorHAnsi"/>
        </w:rPr>
        <w:t>JCWPd</w:t>
      </w:r>
      <w:proofErr w:type="spellEnd"/>
      <w:r w:rsidRPr="00321EBD">
        <w:rPr>
          <w:rFonts w:asciiTheme="minorHAnsi" w:hAnsiTheme="minorHAnsi" w:cstheme="minorHAnsi"/>
        </w:rPr>
        <w:t xml:space="preserve"> jest dobry stan chemiczny wód i dobry stan ilościowy;</w:t>
      </w:r>
    </w:p>
    <w:p w:rsidR="00216519" w:rsidRPr="00321EBD" w:rsidRDefault="00216519" w:rsidP="00321EBD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Jednolitej Części Wód Powierzchniowych rzecznych oznaczonej europejskim kodem RW20000621789 o nazwie Czarna od zbiornika Chańcza do ujścia, region wodny Górnej-</w:t>
      </w:r>
      <w:r w:rsidRPr="00321EBD">
        <w:rPr>
          <w:rFonts w:asciiTheme="minorHAnsi" w:hAnsiTheme="minorHAnsi" w:cstheme="minorHAnsi"/>
        </w:rPr>
        <w:lastRenderedPageBreak/>
        <w:t xml:space="preserve">Zachodniej Wisły – silnie zmieniona część wód i monitorowana. Celem środowiskowym dla ww. JCWP jest osiągnięcie umiarkowanego potencjału ekologicznego (złagodzone wskaźniki: [IO, EFI+PL/ IBI_PL]; pozostałe wskaźniki - II klasa jakości); zapewnienie drożności cieku dla migracji ichtiofauny o ile jest monitorowany wskaźnik </w:t>
      </w:r>
      <w:proofErr w:type="spellStart"/>
      <w:r w:rsidRPr="00321EBD">
        <w:rPr>
          <w:rFonts w:asciiTheme="minorHAnsi" w:hAnsiTheme="minorHAnsi" w:cstheme="minorHAnsi"/>
        </w:rPr>
        <w:t>diadromiczny</w:t>
      </w:r>
      <w:proofErr w:type="spellEnd"/>
      <w:r w:rsidRPr="00321EBD">
        <w:rPr>
          <w:rFonts w:asciiTheme="minorHAnsi" w:hAnsiTheme="minorHAnsi" w:cstheme="minorHAnsi"/>
        </w:rPr>
        <w:t xml:space="preserve"> D; stan chemiczny: dla złagodzonych wskaźników [</w:t>
      </w:r>
      <w:proofErr w:type="spellStart"/>
      <w:r w:rsidRPr="00321EBD">
        <w:rPr>
          <w:rFonts w:asciiTheme="minorHAnsi" w:hAnsiTheme="minorHAnsi" w:cstheme="minorHAnsi"/>
        </w:rPr>
        <w:t>benzo</w:t>
      </w:r>
      <w:proofErr w:type="spellEnd"/>
      <w:r w:rsidRPr="00321EBD">
        <w:rPr>
          <w:rFonts w:asciiTheme="minorHAnsi" w:hAnsiTheme="minorHAnsi" w:cstheme="minorHAnsi"/>
        </w:rPr>
        <w:t>(a)</w:t>
      </w:r>
      <w:proofErr w:type="spellStart"/>
      <w:r w:rsidRPr="00321EBD">
        <w:rPr>
          <w:rFonts w:asciiTheme="minorHAnsi" w:hAnsiTheme="minorHAnsi" w:cstheme="minorHAnsi"/>
        </w:rPr>
        <w:t>piren</w:t>
      </w:r>
      <w:proofErr w:type="spellEnd"/>
      <w:r w:rsidRPr="00321EBD">
        <w:rPr>
          <w:rFonts w:asciiTheme="minorHAnsi" w:hAnsiTheme="minorHAnsi" w:cstheme="minorHAnsi"/>
        </w:rPr>
        <w:t>(w)] poniżej stanu dobrego, dla pozostałych wskaźników - stan dobry.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Ponadto, ww. opinii Dyrektor Zarządu Zlewni w Sandomierzu wskazał, iż w obszarze oddziaływania stawów znajdują się rowy melioracyjne. Przedsięwzięcie zlokalizowane będzie na terenie nieudokumentowanego Głównych Zbiorników Wód Podziemnych nr 423 </w:t>
      </w:r>
      <w:proofErr w:type="spellStart"/>
      <w:r w:rsidRPr="00321EBD">
        <w:rPr>
          <w:rFonts w:asciiTheme="minorHAnsi" w:hAnsiTheme="minorHAnsi" w:cstheme="minorHAnsi"/>
        </w:rPr>
        <w:t>Subzbiornik</w:t>
      </w:r>
      <w:proofErr w:type="spellEnd"/>
      <w:r w:rsidRPr="00321EBD">
        <w:rPr>
          <w:rFonts w:asciiTheme="minorHAnsi" w:hAnsiTheme="minorHAnsi" w:cstheme="minorHAnsi"/>
        </w:rPr>
        <w:t xml:space="preserve"> Staszów. Planowane zamierzenie znajduje się poza strefami ochronnymi ujęć wód, poza obszarami szczególnego zagrożenia powodzią, w rozumieniu art. 16 pkt 34 ustawy z dnia 20 lipca 2017 r. Prawo wodne (tekst jedn. Dz. U. z 2025 r. poz. 960 z </w:t>
      </w:r>
      <w:proofErr w:type="spellStart"/>
      <w:r w:rsidRPr="00321EBD">
        <w:rPr>
          <w:rFonts w:asciiTheme="minorHAnsi" w:hAnsiTheme="minorHAnsi" w:cstheme="minorHAnsi"/>
        </w:rPr>
        <w:t>późn</w:t>
      </w:r>
      <w:proofErr w:type="spellEnd"/>
      <w:r w:rsidRPr="00321EBD">
        <w:rPr>
          <w:rFonts w:asciiTheme="minorHAnsi" w:hAnsiTheme="minorHAnsi" w:cstheme="minorHAnsi"/>
        </w:rPr>
        <w:t>. zm.). Biorąc pod uwagę powyższe, w tym ww. opinię Dyrektora Zarządu Zlewni w Sandomierzu Państwowego Gospodarstwa Wodnego Wody Polskie, z uwagi na charakter zamierzenia, nie przewiduje się negatywnego wpływu ww. przedsięwzięcia na możliwość osiągnięcia celów środowiskowych dla jednolitych części wód podziemnych, jednolitych części wód powierzchniowych, obszarów chronionych, o których mowa w art. 57, art. 59 i art. 61 ww. ustawy z dnia 20 lipca 2017 r. Prawo wodne.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 zasięgu oddziaływania przedsięwzięcia nie występują obszary wybrzeży, tereny ochrony uzdrowiskowej. Planowane przedsięwzięcie nie jest zlokalizowane na obszarach o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krajobrazie mającym znaczenie historyczne, kulturowe i archeologiczne. W sytuacji ewentualnego odkrycia przedmiotu, co do którego istnieje przypuszczenie, iż jest on zabytkiem należy wstrzymać wszelkie roboty mogące uszkodzić lub zniszczyć odkryty przedmiot, zabezpieczyć, przy użyciu dostępnych środków, ten przedmiot i miejsce jego odkrycia, niezwłocznie zawiadomić o tym Świętokrzyskiego Wojewódzkiego Konserwatora Zabytków lub Burmistrza Miasta i Gminy Staszów.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Zamierzenie zlokalizowane jest poza terenami osuwisk (źródło: https://mapa.osuwiska.pgi.gov.pl/). Teren przedsięwzięcia nie jest zaliczany do terenów podgórskich i górskich wymienionych w Zarządzeniu Nr 18/2000 Wojewody Świętokrzyskiego z dnia 2 marca 2000 r. w sprawie ustalenia wykazu miejscowości zaliczonych do terenów podgórskich i górskich na terenie województwa świętokrzyskiego (Dz. Urz. Woj. Święt. z 2000 r. Nr 13, poz. 104). 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 uwagi na zmianę Dyrektywy Parlamentu Europejskiego i Rady 2014/52/UE z dnia 16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 xml:space="preserve">kwietnia 2014 r. zmieniająca dyrektywę 2011/92/UE w sprawie oceny wpływu wywieranego przez niektóre przedsięwzięcia publiczne i prywatne na środowisko, analizując </w:t>
      </w:r>
      <w:r w:rsidRPr="00321EBD">
        <w:rPr>
          <w:rFonts w:asciiTheme="minorHAnsi" w:hAnsiTheme="minorHAnsi" w:cstheme="minorHAnsi"/>
        </w:rPr>
        <w:lastRenderedPageBreak/>
        <w:t>wpływ przedsięwzięcia na łagodzenie zmian klimatu oraz jego adaptację do zmian klimatu należy stwierdzić, że planowane przedsięwzięcie wpłynie neutralnie na łagodzenie zmian klimatu.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 uwagi na charakter planowanego przedsięwzięcia, w tym brak działań mających na celu zmianę sposobu zagospodarowania i użytkowania, nie przewiduje się negatywnego wpływu przedsięwzięcia na walory krajobrazowe.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 związku z powyższym oraz wypełnieniem przez Wnioskodawcę wymogów formalnych do uzyskania decyzji o środowiskowych uwarunkowaniach na realizację przedsięwzięcia, po szczegółowej analizie zgromadzonych materiałów oraz specyfiki planowanego przedsięwzięcia we wszystkich aspektach środowiskowych orzeczono jak w osnowie decyzji.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Zgodnie z ustawą z dnia 16 listopada 2006 r. o opłacie skarbowej (tekst jedn. Dz. U. z 2023 r. poz. 2111 ze zm.), Wnioskodawca dokonał opłaty skarbowej w wysokości 205 zł.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21EBD">
        <w:rPr>
          <w:rFonts w:asciiTheme="minorHAnsi" w:hAnsiTheme="minorHAnsi" w:cstheme="minorHAnsi"/>
          <w:b/>
        </w:rPr>
        <w:t>Pouczenie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Od niniejszej decyzji stronie służy odwołanie do Generalnego Dyrektora Ochrony Środowiska, za pośrednictwem Regionalnego Dyrektora Ochrony Środowiska w Kielcach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 xml:space="preserve">terminie 14 dni od dnia doręczenia decyzji. 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Zgodnie z art. 57 § 5 pkt 1 i 2 ustawy z dnia 14czerwca 1960 r. k.p.a., termin uważa się za zachowany, jeżeli przed jego upływem pismo zostało wysłane na adres do doręczeń elektronicznych organu administracji publicznej, a nadawca otrzymał dowód otrzymania, o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którym mowa w art. 41 ustawy z dnia 18 listopada 2020 r. o doręczeniach elektronicznych (tekst jedn. Dz. U. z 2024 r. poz. 1045 ze zm.) lub nadane w polskiej placówce pocztowej operatora wyznaczonego w rozumieniu ustawy z dnia 23 listopada 2012 r. Prawo pocztowe (tekst jedn. Dz. U. z 2025 r. poz. 366 ze zm.) albo placówce pocztowej operatora świadczącego pocztowe usługi powszechne w innym państwie członkowskim Unii Europejskiej, Konfederacji Szwajcarskiej albo państwie członkowskim Europejskiego Porozumienia o Wolnym Handlu (EFTA)-stronie umowy o Europejskim Obszarze Gospodarczym.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Zgodnie z art. 127a § 1 i § 2 k.p.a. w trakcie biegu terminu do wniesienia odwołania strona może zrzec się prawa do wniesienia odwołania wobec organu administracji publicznej, który wydał decyzję. Z dniem doręczenia organowi administracji publicznej oświadczenia o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 xml:space="preserve">zrzeczeniu się prawa do wniesienia odwołania przez ostatnią ze stron postępowania, decyzja staje się ostateczna i prawomocna. 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Strony zrzekając się prawa do wniesienia odwołania zrzekają się zatem równocześnie prawa wniesienia skargi do sądu.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lastRenderedPageBreak/>
        <w:t>Zgodnie z art. 130 § 4 k.p.a., decyzja podlega wykonaniu przed upływem terminu do wniesienia odwołania, jeżeli jest zgodna z żądaniem wszystkich stron lub jeżeli wszystkie strony zrzekły się prawa do wniesienia odwołania.</w:t>
      </w:r>
    </w:p>
    <w:p w:rsidR="00674560" w:rsidRDefault="00674560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Iwona Kędzierska - Gębska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Regionalny Dyrektor Ochrony Środowiska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 Kielcach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/-podpisany cyfrowo/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321EBD">
        <w:rPr>
          <w:rFonts w:asciiTheme="minorHAnsi" w:hAnsiTheme="minorHAnsi" w:cstheme="minorHAnsi"/>
          <w:b/>
          <w:u w:val="single"/>
        </w:rPr>
        <w:t>Załączniki: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Załącznik 1 Charakterystyka przedsięwzięcia.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Załącznik 2 Teren realizacji inwestycji.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321EBD">
        <w:rPr>
          <w:rFonts w:asciiTheme="minorHAnsi" w:hAnsiTheme="minorHAnsi" w:cstheme="minorHAnsi"/>
          <w:b/>
          <w:u w:val="single"/>
        </w:rPr>
        <w:t xml:space="preserve">Otrzymują: 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1. Pani Urszula </w:t>
      </w:r>
      <w:proofErr w:type="spellStart"/>
      <w:r w:rsidRPr="00321EBD">
        <w:rPr>
          <w:rFonts w:asciiTheme="minorHAnsi" w:hAnsiTheme="minorHAnsi" w:cstheme="minorHAnsi"/>
        </w:rPr>
        <w:t>Rajczak-Stondzik</w:t>
      </w:r>
      <w:proofErr w:type="spellEnd"/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2. Pozostałe strony poprzez obwieszczenie: </w:t>
      </w:r>
    </w:p>
    <w:p w:rsidR="00321EBD" w:rsidRPr="00321EBD" w:rsidRDefault="00216519" w:rsidP="00321EB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wywieszone na tablicy ogłoszeń w siedzibie Regionalnej Dyrekcji Ochrony Środowiska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Kielcach,</w:t>
      </w:r>
    </w:p>
    <w:p w:rsidR="00321EBD" w:rsidRPr="00321EBD" w:rsidRDefault="00216519" w:rsidP="00321EB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udostępnione w Biuletynie Informacji Publicznej Regionalnej Dyrekcji Ochrony Środowiska w Kielcach,</w:t>
      </w:r>
    </w:p>
    <w:p w:rsidR="00216519" w:rsidRPr="00321EBD" w:rsidRDefault="00216519" w:rsidP="00321EB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>udostępnione za pośrednictwem Burmistrza Miasta i Gminy Staszów w Biuletynie Informacji Publicznej lub publiczne ogłoszenie dokonane w sposób zwyczajowo przyjęty w</w:t>
      </w:r>
      <w:r w:rsidR="00674560">
        <w:rPr>
          <w:rFonts w:asciiTheme="minorHAnsi" w:hAnsiTheme="minorHAnsi" w:cstheme="minorHAnsi"/>
        </w:rPr>
        <w:t> </w:t>
      </w:r>
      <w:r w:rsidRPr="00321EBD">
        <w:rPr>
          <w:rFonts w:asciiTheme="minorHAnsi" w:hAnsiTheme="minorHAnsi" w:cstheme="minorHAnsi"/>
        </w:rPr>
        <w:t>danej miejscowości – zgodnie z art. 74 ust. 3aa UUOŚ.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  <w:r w:rsidRPr="00321EBD">
        <w:rPr>
          <w:rFonts w:asciiTheme="minorHAnsi" w:hAnsiTheme="minorHAnsi" w:cstheme="minorHAnsi"/>
        </w:rPr>
        <w:t xml:space="preserve">3. Aa. 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321EBD">
        <w:rPr>
          <w:rFonts w:asciiTheme="minorHAnsi" w:hAnsiTheme="minorHAnsi" w:cstheme="minorHAnsi"/>
          <w:b/>
          <w:u w:val="single"/>
        </w:rPr>
        <w:t>Do wiadomości:</w:t>
      </w:r>
    </w:p>
    <w:p w:rsidR="00216519" w:rsidRPr="00674560" w:rsidRDefault="00216519" w:rsidP="00674560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74560">
        <w:rPr>
          <w:rFonts w:asciiTheme="minorHAnsi" w:hAnsiTheme="minorHAnsi" w:cstheme="minorHAnsi"/>
        </w:rPr>
        <w:t>Dyrektor Zarządu Zlewni w Sandomierzu Państwowego Gospodarstwa Wodnego Wody Polskie – przedłożenie elektroniczne e-doręczenie</w:t>
      </w:r>
    </w:p>
    <w:p w:rsidR="00216519" w:rsidRPr="00321EBD" w:rsidRDefault="00216519" w:rsidP="00321EBD">
      <w:pPr>
        <w:spacing w:line="360" w:lineRule="auto"/>
        <w:jc w:val="both"/>
        <w:rPr>
          <w:rFonts w:asciiTheme="minorHAnsi" w:hAnsiTheme="minorHAnsi" w:cstheme="minorHAnsi"/>
        </w:rPr>
      </w:pPr>
    </w:p>
    <w:p w:rsidR="00766533" w:rsidRPr="00887DB8" w:rsidRDefault="00766533" w:rsidP="00216519">
      <w:pPr>
        <w:spacing w:line="360" w:lineRule="auto"/>
        <w:jc w:val="both"/>
      </w:pPr>
    </w:p>
    <w:sectPr w:rsidR="00766533" w:rsidRPr="00887DB8" w:rsidSect="00524008">
      <w:headerReference w:type="first" r:id="rId8"/>
      <w:pgSz w:w="11906" w:h="16838"/>
      <w:pgMar w:top="624" w:right="1418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A8" w:rsidRDefault="00F109A8" w:rsidP="007577F0">
      <w:r>
        <w:separator/>
      </w:r>
    </w:p>
  </w:endnote>
  <w:endnote w:type="continuationSeparator" w:id="0">
    <w:p w:rsidR="00F109A8" w:rsidRDefault="00F109A8" w:rsidP="0075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A8" w:rsidRDefault="00F109A8" w:rsidP="007577F0">
      <w:r>
        <w:separator/>
      </w:r>
    </w:p>
  </w:footnote>
  <w:footnote w:type="continuationSeparator" w:id="0">
    <w:p w:rsidR="00F109A8" w:rsidRDefault="00F109A8" w:rsidP="00757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F0" w:rsidRDefault="007577F0" w:rsidP="007577F0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7AB13FCF" wp14:editId="7CE9D1FF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77F0" w:rsidRDefault="007577F0" w:rsidP="007577F0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7577F0" w:rsidRPr="007F297D" w:rsidRDefault="007577F0" w:rsidP="007577F0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7577F0" w:rsidRPr="007577F0" w:rsidRDefault="007577F0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A12BF"/>
    <w:multiLevelType w:val="hybridMultilevel"/>
    <w:tmpl w:val="B72E15CC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840A7"/>
    <w:multiLevelType w:val="hybridMultilevel"/>
    <w:tmpl w:val="00F4EF48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D31614"/>
    <w:multiLevelType w:val="hybridMultilevel"/>
    <w:tmpl w:val="277AF8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F0"/>
    <w:rsid w:val="000117BE"/>
    <w:rsid w:val="00216519"/>
    <w:rsid w:val="002A074E"/>
    <w:rsid w:val="00321EBD"/>
    <w:rsid w:val="00524008"/>
    <w:rsid w:val="006005F1"/>
    <w:rsid w:val="00674560"/>
    <w:rsid w:val="00695323"/>
    <w:rsid w:val="007577F0"/>
    <w:rsid w:val="00766533"/>
    <w:rsid w:val="00887DB8"/>
    <w:rsid w:val="008E47C3"/>
    <w:rsid w:val="00B82072"/>
    <w:rsid w:val="00F1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577F0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7577F0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7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7F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21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577F0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7577F0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7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7F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21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3171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4</cp:revision>
  <dcterms:created xsi:type="dcterms:W3CDTF">2025-10-23T12:27:00Z</dcterms:created>
  <dcterms:modified xsi:type="dcterms:W3CDTF">2025-12-22T07:01:00Z</dcterms:modified>
</cp:coreProperties>
</file>