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2EAC6" w14:textId="6A2337D8" w:rsidR="001B0509" w:rsidRDefault="001B0509" w:rsidP="0079602B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B0509">
        <w:rPr>
          <w:rFonts w:ascii="Arial" w:hAnsi="Arial" w:cs="Arial"/>
          <w:b/>
          <w:sz w:val="20"/>
          <w:szCs w:val="20"/>
        </w:rPr>
        <w:t>DKA.III.</w:t>
      </w:r>
      <w:r w:rsidR="009F42BD">
        <w:rPr>
          <w:rFonts w:ascii="Arial" w:hAnsi="Arial" w:cs="Arial"/>
          <w:b/>
          <w:sz w:val="20"/>
          <w:szCs w:val="20"/>
        </w:rPr>
        <w:t>0320</w:t>
      </w:r>
      <w:r w:rsidR="00B1217E">
        <w:rPr>
          <w:rFonts w:ascii="Arial" w:hAnsi="Arial" w:cs="Arial"/>
          <w:b/>
          <w:sz w:val="20"/>
          <w:szCs w:val="20"/>
        </w:rPr>
        <w:t>.2.202</w:t>
      </w:r>
      <w:r w:rsidR="00361179">
        <w:rPr>
          <w:rFonts w:ascii="Arial" w:hAnsi="Arial" w:cs="Arial"/>
          <w:b/>
          <w:sz w:val="20"/>
          <w:szCs w:val="20"/>
        </w:rPr>
        <w:t>5</w:t>
      </w:r>
    </w:p>
    <w:p w14:paraId="5D8E2093" w14:textId="678AFA35" w:rsidR="00FF45E0" w:rsidRPr="002C7691" w:rsidRDefault="00FF45E0" w:rsidP="0079602B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2C7691">
        <w:rPr>
          <w:rFonts w:ascii="Arial" w:hAnsi="Arial" w:cs="Arial"/>
          <w:b/>
          <w:sz w:val="20"/>
          <w:szCs w:val="20"/>
        </w:rPr>
        <w:t xml:space="preserve">IK: </w:t>
      </w:r>
      <w:r w:rsidR="002C7691" w:rsidRPr="002C7691">
        <w:rPr>
          <w:rFonts w:ascii="Arial" w:hAnsi="Arial" w:cs="Arial"/>
          <w:b/>
          <w:sz w:val="20"/>
          <w:szCs w:val="20"/>
        </w:rPr>
        <w:t xml:space="preserve">1087478 </w:t>
      </w:r>
    </w:p>
    <w:p w14:paraId="44DA361F" w14:textId="082EEB7E" w:rsidR="007F4A6F" w:rsidRPr="00290284" w:rsidRDefault="00CE2028" w:rsidP="0079602B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>Sprawozdanie z wykonania planu działalności</w:t>
      </w:r>
      <w:r w:rsidR="00FF45E0" w:rsidRPr="00DB4E3F">
        <w:rPr>
          <w:rFonts w:ascii="Arial" w:hAnsi="Arial" w:cs="Arial"/>
          <w:b/>
          <w:sz w:val="20"/>
          <w:szCs w:val="20"/>
        </w:rPr>
        <w:t xml:space="preserve"> </w:t>
      </w:r>
      <w:r w:rsidRPr="00DB4E3F">
        <w:rPr>
          <w:rFonts w:ascii="Arial" w:hAnsi="Arial" w:cs="Arial"/>
          <w:b/>
          <w:sz w:val="20"/>
          <w:szCs w:val="20"/>
        </w:rPr>
        <w:t xml:space="preserve">Ministra </w:t>
      </w:r>
      <w:r w:rsidR="003257E4" w:rsidRPr="00DB4E3F">
        <w:rPr>
          <w:rFonts w:ascii="Arial" w:hAnsi="Arial" w:cs="Arial"/>
          <w:b/>
          <w:sz w:val="20"/>
          <w:szCs w:val="20"/>
        </w:rPr>
        <w:t xml:space="preserve">Aktywów Państwowych </w:t>
      </w:r>
      <w:r w:rsidRPr="00DB4E3F">
        <w:rPr>
          <w:rFonts w:ascii="Arial" w:hAnsi="Arial" w:cs="Arial"/>
          <w:b/>
          <w:sz w:val="20"/>
          <w:szCs w:val="20"/>
        </w:rPr>
        <w:t xml:space="preserve">za rok </w:t>
      </w:r>
      <w:r w:rsidRPr="00290284">
        <w:rPr>
          <w:rFonts w:ascii="Arial" w:hAnsi="Arial" w:cs="Arial"/>
          <w:b/>
          <w:sz w:val="20"/>
          <w:szCs w:val="20"/>
        </w:rPr>
        <w:t>20</w:t>
      </w:r>
      <w:r w:rsidR="00E64D5B" w:rsidRPr="00290284">
        <w:rPr>
          <w:rFonts w:ascii="Arial" w:hAnsi="Arial" w:cs="Arial"/>
          <w:b/>
          <w:sz w:val="20"/>
          <w:szCs w:val="20"/>
        </w:rPr>
        <w:t>2</w:t>
      </w:r>
      <w:r w:rsidR="000D5C2A" w:rsidRPr="00290284">
        <w:rPr>
          <w:rFonts w:ascii="Arial" w:hAnsi="Arial" w:cs="Arial"/>
          <w:b/>
          <w:sz w:val="20"/>
          <w:szCs w:val="20"/>
        </w:rPr>
        <w:t>4</w:t>
      </w:r>
    </w:p>
    <w:p w14:paraId="025B14F0" w14:textId="0E779A5A" w:rsidR="007F4A6F" w:rsidRPr="00DB4E3F" w:rsidRDefault="00CE2028" w:rsidP="0079602B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 xml:space="preserve">dla działów administracji rządowej: </w:t>
      </w:r>
      <w:r w:rsidR="003257E4" w:rsidRPr="00DB4E3F">
        <w:rPr>
          <w:rFonts w:ascii="Arial" w:hAnsi="Arial" w:cs="Arial"/>
          <w:b/>
          <w:sz w:val="20"/>
          <w:szCs w:val="20"/>
        </w:rPr>
        <w:t>aktywa państwowe, gospodarka złożami kopalin</w:t>
      </w:r>
      <w:r w:rsidR="00487ADB" w:rsidRPr="00DB4E3F">
        <w:rPr>
          <w:rFonts w:ascii="Arial" w:hAnsi="Arial" w:cs="Arial"/>
          <w:b/>
          <w:sz w:val="20"/>
          <w:szCs w:val="20"/>
        </w:rPr>
        <w:t>, łączność</w:t>
      </w:r>
    </w:p>
    <w:p w14:paraId="7B3EEE36" w14:textId="77777777" w:rsidR="007F4A6F" w:rsidRPr="00DB4E3F" w:rsidRDefault="00114CC5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</w:p>
    <w:p w14:paraId="38458235" w14:textId="7732D103" w:rsidR="007F4A6F" w:rsidRPr="0039532F" w:rsidRDefault="00CE2028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 xml:space="preserve">CZĘŚĆ A: Realizacja najważniejszych celów w roku </w:t>
      </w:r>
      <w:r w:rsidRPr="0039532F">
        <w:rPr>
          <w:rFonts w:ascii="Arial" w:hAnsi="Arial" w:cs="Arial"/>
          <w:b/>
          <w:sz w:val="20"/>
          <w:szCs w:val="20"/>
        </w:rPr>
        <w:t>20</w:t>
      </w:r>
      <w:r w:rsidR="003257E4" w:rsidRPr="0039532F">
        <w:rPr>
          <w:rFonts w:ascii="Arial" w:hAnsi="Arial" w:cs="Arial"/>
          <w:b/>
          <w:sz w:val="20"/>
          <w:szCs w:val="20"/>
        </w:rPr>
        <w:t>2</w:t>
      </w:r>
      <w:r w:rsidR="000D5C2A" w:rsidRPr="0039532F">
        <w:rPr>
          <w:rFonts w:ascii="Arial" w:hAnsi="Arial" w:cs="Arial"/>
          <w:b/>
          <w:sz w:val="20"/>
          <w:szCs w:val="20"/>
        </w:rPr>
        <w:t>4</w:t>
      </w:r>
    </w:p>
    <w:p w14:paraId="5DA10E15" w14:textId="77777777" w:rsidR="007F4A6F" w:rsidRPr="00DB4E3F" w:rsidRDefault="00CE2028" w:rsidP="0079602B">
      <w:pPr>
        <w:spacing w:before="120" w:after="120"/>
        <w:ind w:left="-57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r w:rsidRPr="00DB4E3F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A planu na rok, którego dotyczy sprawozdanie)</w:t>
      </w:r>
    </w:p>
    <w:tbl>
      <w:tblPr>
        <w:tblStyle w:val="Tabela-Siatka"/>
        <w:tblW w:w="16101" w:type="dxa"/>
        <w:tblLook w:val="04A0" w:firstRow="1" w:lastRow="0" w:firstColumn="1" w:lastColumn="0" w:noHBand="0" w:noVBand="1"/>
      </w:tblPr>
      <w:tblGrid>
        <w:gridCol w:w="846"/>
        <w:gridCol w:w="1997"/>
        <w:gridCol w:w="2829"/>
        <w:gridCol w:w="1889"/>
        <w:gridCol w:w="1970"/>
        <w:gridCol w:w="3229"/>
        <w:gridCol w:w="3341"/>
      </w:tblGrid>
      <w:tr w:rsidR="00E833D1" w:rsidRPr="00DB4E3F" w14:paraId="1BE21A20" w14:textId="77777777" w:rsidTr="00544C12">
        <w:trPr>
          <w:tblHeader/>
        </w:trPr>
        <w:tc>
          <w:tcPr>
            <w:tcW w:w="846" w:type="dxa"/>
            <w:vMerge w:val="restart"/>
            <w:shd w:val="clear" w:color="auto" w:fill="D9E2F3" w:themeFill="accent5" w:themeFillTint="33"/>
            <w:vAlign w:val="center"/>
          </w:tcPr>
          <w:p w14:paraId="06A62BE0" w14:textId="77777777" w:rsidR="007F4A6F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97" w:type="dxa"/>
            <w:vMerge w:val="restart"/>
            <w:shd w:val="clear" w:color="auto" w:fill="D9E2F3" w:themeFill="accent5" w:themeFillTint="33"/>
            <w:vAlign w:val="center"/>
          </w:tcPr>
          <w:p w14:paraId="2FEDE799" w14:textId="77777777" w:rsidR="007F4A6F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688" w:type="dxa"/>
            <w:gridSpan w:val="3"/>
            <w:shd w:val="clear" w:color="auto" w:fill="D9E2F3" w:themeFill="accent5" w:themeFillTint="33"/>
            <w:vAlign w:val="center"/>
          </w:tcPr>
          <w:p w14:paraId="54DAAD66" w14:textId="77777777" w:rsidR="007F4A6F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229" w:type="dxa"/>
            <w:vMerge w:val="restart"/>
            <w:shd w:val="clear" w:color="auto" w:fill="D9E2F3" w:themeFill="accent5" w:themeFillTint="33"/>
            <w:vAlign w:val="center"/>
          </w:tcPr>
          <w:p w14:paraId="643B1392" w14:textId="77777777" w:rsidR="007F4A6F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Najważniejsze planowane zadania służące realizacji celu</w:t>
            </w:r>
          </w:p>
        </w:tc>
        <w:tc>
          <w:tcPr>
            <w:tcW w:w="3341" w:type="dxa"/>
            <w:vMerge w:val="restart"/>
            <w:shd w:val="clear" w:color="auto" w:fill="D9E2F3" w:themeFill="accent5" w:themeFillTint="33"/>
            <w:vAlign w:val="center"/>
          </w:tcPr>
          <w:p w14:paraId="496AA8FF" w14:textId="77777777" w:rsidR="007F4A6F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Najważniejsze podjęte zadania służące realizacji celu</w:t>
            </w:r>
          </w:p>
        </w:tc>
      </w:tr>
      <w:tr w:rsidR="00E9577A" w:rsidRPr="00DB4E3F" w14:paraId="1C48D8B5" w14:textId="77777777" w:rsidTr="00544C12">
        <w:trPr>
          <w:tblHeader/>
        </w:trPr>
        <w:tc>
          <w:tcPr>
            <w:tcW w:w="846" w:type="dxa"/>
            <w:vMerge/>
            <w:shd w:val="clear" w:color="auto" w:fill="D9E2F3" w:themeFill="accent5" w:themeFillTint="33"/>
            <w:vAlign w:val="center"/>
          </w:tcPr>
          <w:p w14:paraId="4C110F26" w14:textId="77777777" w:rsidR="007F4A6F" w:rsidRPr="00DB4E3F" w:rsidRDefault="00114CC5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7" w:type="dxa"/>
            <w:vMerge/>
            <w:shd w:val="clear" w:color="auto" w:fill="D9E2F3" w:themeFill="accent5" w:themeFillTint="33"/>
          </w:tcPr>
          <w:p w14:paraId="457EF042" w14:textId="77777777" w:rsidR="007F4A6F" w:rsidRPr="00DB4E3F" w:rsidRDefault="00114CC5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D9E2F3" w:themeFill="accent5" w:themeFillTint="33"/>
            <w:vAlign w:val="center"/>
          </w:tcPr>
          <w:p w14:paraId="31D3EA72" w14:textId="77777777" w:rsidR="007F4A6F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89" w:type="dxa"/>
            <w:shd w:val="clear" w:color="auto" w:fill="D9E2F3" w:themeFill="accent5" w:themeFillTint="33"/>
            <w:vAlign w:val="center"/>
          </w:tcPr>
          <w:p w14:paraId="29D5E26B" w14:textId="77777777" w:rsidR="007F4A6F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70" w:type="dxa"/>
            <w:shd w:val="clear" w:color="auto" w:fill="D9E2F3" w:themeFill="accent5" w:themeFillTint="33"/>
            <w:vAlign w:val="center"/>
          </w:tcPr>
          <w:p w14:paraId="0D5BF5E5" w14:textId="77777777" w:rsidR="007F4A6F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229" w:type="dxa"/>
            <w:vMerge/>
            <w:shd w:val="clear" w:color="auto" w:fill="D9E2F3" w:themeFill="accent5" w:themeFillTint="33"/>
          </w:tcPr>
          <w:p w14:paraId="1BF50F8F" w14:textId="77777777" w:rsidR="007F4A6F" w:rsidRPr="00DB4E3F" w:rsidRDefault="00114CC5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vMerge/>
            <w:shd w:val="clear" w:color="auto" w:fill="D9E2F3" w:themeFill="accent5" w:themeFillTint="33"/>
          </w:tcPr>
          <w:p w14:paraId="2362B1B9" w14:textId="77777777" w:rsidR="007F4A6F" w:rsidRPr="00DB4E3F" w:rsidRDefault="00114CC5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577A" w:rsidRPr="00DB4E3F" w14:paraId="3985D3EF" w14:textId="77777777" w:rsidTr="00544C12">
        <w:trPr>
          <w:tblHeader/>
        </w:trPr>
        <w:tc>
          <w:tcPr>
            <w:tcW w:w="846" w:type="dxa"/>
            <w:shd w:val="clear" w:color="auto" w:fill="D9E2F3" w:themeFill="accent5" w:themeFillTint="33"/>
            <w:vAlign w:val="center"/>
          </w:tcPr>
          <w:p w14:paraId="31AE4AB5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97" w:type="dxa"/>
            <w:shd w:val="clear" w:color="auto" w:fill="D9E2F3" w:themeFill="accent5" w:themeFillTint="33"/>
            <w:vAlign w:val="center"/>
          </w:tcPr>
          <w:p w14:paraId="0674C904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29" w:type="dxa"/>
            <w:shd w:val="clear" w:color="auto" w:fill="D9E2F3" w:themeFill="accent5" w:themeFillTint="33"/>
            <w:vAlign w:val="center"/>
          </w:tcPr>
          <w:p w14:paraId="495047F7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89" w:type="dxa"/>
            <w:shd w:val="clear" w:color="auto" w:fill="D9E2F3" w:themeFill="accent5" w:themeFillTint="33"/>
            <w:vAlign w:val="center"/>
          </w:tcPr>
          <w:p w14:paraId="27E59A56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70" w:type="dxa"/>
            <w:shd w:val="clear" w:color="auto" w:fill="D9E2F3" w:themeFill="accent5" w:themeFillTint="33"/>
            <w:vAlign w:val="center"/>
          </w:tcPr>
          <w:p w14:paraId="2E5E9349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29" w:type="dxa"/>
            <w:shd w:val="clear" w:color="auto" w:fill="D9E2F3" w:themeFill="accent5" w:themeFillTint="33"/>
            <w:vAlign w:val="center"/>
          </w:tcPr>
          <w:p w14:paraId="7D451A47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41" w:type="dxa"/>
            <w:shd w:val="clear" w:color="auto" w:fill="D9E2F3" w:themeFill="accent5" w:themeFillTint="33"/>
            <w:vAlign w:val="center"/>
          </w:tcPr>
          <w:p w14:paraId="5F0E0FED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2A150D" w:rsidRPr="00DB4E3F" w14:paraId="08BDE37B" w14:textId="77777777" w:rsidTr="00544C12">
        <w:tc>
          <w:tcPr>
            <w:tcW w:w="846" w:type="dxa"/>
            <w:vAlign w:val="center"/>
          </w:tcPr>
          <w:p w14:paraId="5E2053AF" w14:textId="0321A88D" w:rsidR="002A150D" w:rsidRPr="00DB4E3F" w:rsidRDefault="002A150D" w:rsidP="00E21D5F">
            <w:pPr>
              <w:pStyle w:val="Akapitzlist"/>
              <w:numPr>
                <w:ilvl w:val="0"/>
                <w:numId w:val="6"/>
              </w:numPr>
              <w:spacing w:before="60" w:after="60"/>
              <w:ind w:left="592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93754F1" w14:textId="073F1143" w:rsidR="002A150D" w:rsidRPr="00542FBD" w:rsidRDefault="002A150D" w:rsidP="00C708B2">
            <w:pPr>
              <w:pStyle w:val="trescpisma"/>
            </w:pPr>
            <w:r w:rsidRPr="00C708B2">
              <w:t>Realizacja interesów Skarbu Państwa w podmiotach nadzorowanych i podległych.</w:t>
            </w:r>
          </w:p>
        </w:tc>
        <w:tc>
          <w:tcPr>
            <w:tcW w:w="2829" w:type="dxa"/>
            <w:shd w:val="clear" w:color="auto" w:fill="auto"/>
          </w:tcPr>
          <w:p w14:paraId="7AC25865" w14:textId="0EB5E59A" w:rsidR="002A150D" w:rsidRPr="00542FBD" w:rsidRDefault="002A150D" w:rsidP="0079602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 xml:space="preserve">Wykonywanie praw z akcji/udziałów w związku z Walnym Zgromadzeniem (WZ)/Zgromadzeniem Wspólników (ZW) spółek z udziałem Skarbu Państwa, w których prawa z akcji i udziałów wykonuje minister właściwy do spraw aktywów państwowych (w %) </w:t>
            </w:r>
            <w:r w:rsidR="00402AE6" w:rsidRPr="00542FBD">
              <w:rPr>
                <w:rFonts w:ascii="Arial" w:hAnsi="Arial" w:cs="Arial"/>
                <w:sz w:val="20"/>
                <w:szCs w:val="20"/>
              </w:rPr>
              <w:br/>
            </w:r>
            <w:r w:rsidRPr="00542FBD">
              <w:rPr>
                <w:rFonts w:ascii="Arial" w:hAnsi="Arial" w:cs="Arial"/>
                <w:sz w:val="20"/>
                <w:szCs w:val="20"/>
              </w:rPr>
              <w:t>– (notatka na Walne Zgromadzenie/Zgromadzenie Wspólników przez łączną liczbę odbytych WZ/ZW)</w:t>
            </w:r>
          </w:p>
        </w:tc>
        <w:tc>
          <w:tcPr>
            <w:tcW w:w="1889" w:type="dxa"/>
          </w:tcPr>
          <w:p w14:paraId="0CC61966" w14:textId="5F0D3BCF" w:rsidR="002A150D" w:rsidRPr="00542FBD" w:rsidRDefault="002A150D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≥ 80%</w:t>
            </w:r>
          </w:p>
        </w:tc>
        <w:tc>
          <w:tcPr>
            <w:tcW w:w="1970" w:type="dxa"/>
            <w:shd w:val="clear" w:color="auto" w:fill="auto"/>
          </w:tcPr>
          <w:p w14:paraId="26C91787" w14:textId="05B85CCE" w:rsidR="002A150D" w:rsidRPr="00542FBD" w:rsidRDefault="00B835FB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99,</w:t>
            </w:r>
            <w:r w:rsidR="00742094" w:rsidRPr="00542FBD">
              <w:rPr>
                <w:rFonts w:ascii="Arial" w:hAnsi="Arial" w:cs="Arial"/>
                <w:sz w:val="20"/>
                <w:szCs w:val="20"/>
              </w:rPr>
              <w:t>49</w:t>
            </w:r>
            <w:r w:rsidR="006805BC" w:rsidRPr="00542FB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229" w:type="dxa"/>
          </w:tcPr>
          <w:p w14:paraId="0B9855BC" w14:textId="54ED9FFF" w:rsidR="002A150D" w:rsidRPr="00542FBD" w:rsidRDefault="002A150D" w:rsidP="00796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>Zapewnienie właściwego nadzoru właścicielskiego i ochrony praw i interesów w spółkach z udziałem Skarbu Państwa, w których prawa z akcji/udziałów wykonuje minister właściwy do spraw aktywów państwowych.</w:t>
            </w:r>
          </w:p>
        </w:tc>
        <w:tc>
          <w:tcPr>
            <w:tcW w:w="3341" w:type="dxa"/>
            <w:shd w:val="clear" w:color="auto" w:fill="auto"/>
          </w:tcPr>
          <w:p w14:paraId="6E1DCFE8" w14:textId="3DCB0491" w:rsidR="002A150D" w:rsidRPr="00542FBD" w:rsidRDefault="00651121" w:rsidP="00651121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2FBD">
              <w:rPr>
                <w:rFonts w:ascii="Arial" w:hAnsi="Arial" w:cs="Arial"/>
                <w:sz w:val="20"/>
                <w:szCs w:val="20"/>
              </w:rPr>
              <w:t xml:space="preserve">Zapewnienie właściwego nadzoru właścicielskiego i ochrony praw </w:t>
            </w:r>
            <w:r w:rsidR="00F14F6D" w:rsidRPr="00542FBD">
              <w:rPr>
                <w:rFonts w:ascii="Arial" w:hAnsi="Arial" w:cs="Arial"/>
                <w:sz w:val="20"/>
                <w:szCs w:val="20"/>
              </w:rPr>
              <w:br/>
            </w:r>
            <w:r w:rsidRPr="00542FBD">
              <w:rPr>
                <w:rFonts w:ascii="Arial" w:hAnsi="Arial" w:cs="Arial"/>
                <w:sz w:val="20"/>
                <w:szCs w:val="20"/>
              </w:rPr>
              <w:t>i interesów w spółkach z udziałem Skarbu Państwa, w których prawa z akcji/udziałów wykonuje minister właściwy do spraw aktywów państwowych.</w:t>
            </w:r>
          </w:p>
        </w:tc>
      </w:tr>
      <w:tr w:rsidR="00544C12" w:rsidRPr="00DB4E3F" w14:paraId="21128DAB" w14:textId="77777777" w:rsidTr="00544C12">
        <w:tc>
          <w:tcPr>
            <w:tcW w:w="846" w:type="dxa"/>
            <w:vAlign w:val="center"/>
          </w:tcPr>
          <w:p w14:paraId="22A7194C" w14:textId="2376C6B4" w:rsidR="003976DD" w:rsidRPr="00DB4E3F" w:rsidRDefault="003976DD" w:rsidP="00E21D5F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60" w:after="60"/>
              <w:ind w:left="59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</w:tcPr>
          <w:p w14:paraId="7F8248C7" w14:textId="1C559909" w:rsidR="003976DD" w:rsidRPr="007913BC" w:rsidRDefault="0020466E" w:rsidP="00C708B2">
            <w:pPr>
              <w:pStyle w:val="trescpisma"/>
            </w:pPr>
            <w:r w:rsidRPr="007913BC">
              <w:t xml:space="preserve">Wykonanie obowiązków </w:t>
            </w:r>
            <w:r w:rsidR="003343FD" w:rsidRPr="007913BC">
              <w:t xml:space="preserve">Ministra </w:t>
            </w:r>
            <w:r w:rsidRPr="007913BC">
              <w:t xml:space="preserve">w zakresie </w:t>
            </w:r>
            <w:r w:rsidRPr="007913BC">
              <w:lastRenderedPageBreak/>
              <w:t>nieodpłatnego zbywania akcji/udziałów Skarbu Państwa na rzecz osób uprawnionych na podstawie ustawy</w:t>
            </w:r>
            <w:r w:rsidR="003343FD" w:rsidRPr="007913BC">
              <w:t xml:space="preserve"> z dnia 30 sierpnia 1996 r.</w:t>
            </w:r>
            <w:r w:rsidRPr="007913BC">
              <w:t xml:space="preserve"> o komercjalizacji i niektórych uprawnieniach pracowników</w:t>
            </w:r>
            <w:r w:rsidR="003343FD" w:rsidRPr="007913BC">
              <w:t xml:space="preserve"> (Dz. U. z 2023 r. poz. 343)</w:t>
            </w:r>
          </w:p>
        </w:tc>
        <w:tc>
          <w:tcPr>
            <w:tcW w:w="2829" w:type="dxa"/>
            <w:shd w:val="clear" w:color="auto" w:fill="auto"/>
          </w:tcPr>
          <w:p w14:paraId="442F0822" w14:textId="19DE0E8B" w:rsidR="003976DD" w:rsidRPr="00DB4E3F" w:rsidRDefault="006C7AE4" w:rsidP="00C708B2">
            <w:pPr>
              <w:pStyle w:val="trescpisma"/>
            </w:pPr>
            <w:r w:rsidRPr="007913BC">
              <w:rPr>
                <w:lang w:eastAsia="en-US"/>
              </w:rPr>
              <w:lastRenderedPageBreak/>
              <w:t>Odsetek prawidłowo przygotowanych przez spółki u</w:t>
            </w:r>
            <w:r w:rsidR="009B6771" w:rsidRPr="007913BC">
              <w:rPr>
                <w:lang w:eastAsia="en-US"/>
              </w:rPr>
              <w:t xml:space="preserve">mów nieodpłatnego zbycia </w:t>
            </w:r>
            <w:r w:rsidR="009B6771" w:rsidRPr="007913BC">
              <w:rPr>
                <w:lang w:eastAsia="en-US"/>
              </w:rPr>
              <w:lastRenderedPageBreak/>
              <w:t>akcji/</w:t>
            </w:r>
            <w:r w:rsidRPr="007913BC">
              <w:rPr>
                <w:lang w:eastAsia="en-US"/>
              </w:rPr>
              <w:t>udziałów zawartych przez Ministra Aktywów Państwowych z</w:t>
            </w:r>
            <w:r w:rsidR="00EB1831" w:rsidRPr="007913BC">
              <w:rPr>
                <w:lang w:eastAsia="en-US"/>
              </w:rPr>
              <w:t xml:space="preserve"> </w:t>
            </w:r>
            <w:r w:rsidRPr="007913BC">
              <w:rPr>
                <w:lang w:eastAsia="en-US"/>
              </w:rPr>
              <w:t>osobami uprawnionymi</w:t>
            </w:r>
          </w:p>
        </w:tc>
        <w:tc>
          <w:tcPr>
            <w:tcW w:w="1889" w:type="dxa"/>
            <w:shd w:val="clear" w:color="auto" w:fill="auto"/>
          </w:tcPr>
          <w:p w14:paraId="5B57D458" w14:textId="6281713D" w:rsidR="003976DD" w:rsidRPr="007913BC" w:rsidRDefault="006C7AE4" w:rsidP="00C708B2">
            <w:pPr>
              <w:pStyle w:val="trescpisma"/>
            </w:pPr>
            <w:r w:rsidRPr="007913BC">
              <w:lastRenderedPageBreak/>
              <w:t>100%</w:t>
            </w:r>
          </w:p>
        </w:tc>
        <w:tc>
          <w:tcPr>
            <w:tcW w:w="1970" w:type="dxa"/>
            <w:shd w:val="clear" w:color="auto" w:fill="auto"/>
          </w:tcPr>
          <w:p w14:paraId="537A258F" w14:textId="2CEEDB5D" w:rsidR="003976DD" w:rsidRPr="007913BC" w:rsidRDefault="00EB54AD" w:rsidP="00C708B2">
            <w:pPr>
              <w:pStyle w:val="trescpisma"/>
              <w:rPr>
                <w:highlight w:val="yellow"/>
              </w:rPr>
            </w:pPr>
            <w:r w:rsidRPr="007913BC">
              <w:t>100</w:t>
            </w:r>
            <w:r w:rsidR="00B955BC" w:rsidRPr="007913BC">
              <w:t>%</w:t>
            </w:r>
          </w:p>
        </w:tc>
        <w:tc>
          <w:tcPr>
            <w:tcW w:w="3229" w:type="dxa"/>
            <w:shd w:val="clear" w:color="auto" w:fill="auto"/>
          </w:tcPr>
          <w:p w14:paraId="5230CBE1" w14:textId="0FCD1502" w:rsidR="006C7AE4" w:rsidRPr="007913BC" w:rsidRDefault="006C7AE4" w:rsidP="00C708B2">
            <w:pPr>
              <w:pStyle w:val="trescpisma"/>
            </w:pPr>
            <w:r w:rsidRPr="007913BC">
              <w:t>Weryfikacja umów nieo</w:t>
            </w:r>
            <w:r w:rsidR="00FF45E0" w:rsidRPr="007913BC">
              <w:t xml:space="preserve">dpłatnego zbycia akcji/udziałów </w:t>
            </w:r>
            <w:r w:rsidRPr="007913BC">
              <w:t>przygotowywanych przez</w:t>
            </w:r>
            <w:r w:rsidR="00CC1DD8" w:rsidRPr="007913BC">
              <w:t> </w:t>
            </w:r>
            <w:r w:rsidRPr="007913BC">
              <w:t>spółki.</w:t>
            </w:r>
          </w:p>
          <w:p w14:paraId="627D56BD" w14:textId="71DD6572" w:rsidR="003976DD" w:rsidRPr="0080427A" w:rsidRDefault="00B955BC" w:rsidP="00C708B2">
            <w:pPr>
              <w:pStyle w:val="trescpisma"/>
            </w:pPr>
            <w:r w:rsidRPr="007913BC">
              <w:lastRenderedPageBreak/>
              <w:t xml:space="preserve">Zawieranie umów </w:t>
            </w:r>
            <w:r w:rsidR="006C7AE4" w:rsidRPr="007913BC">
              <w:t>nieodpłatnego zbycia akcji/udziałów przez Ministra Aktywów Państwowych</w:t>
            </w:r>
            <w:r w:rsidR="006C7AE4" w:rsidRPr="0080427A">
              <w:t>.</w:t>
            </w:r>
          </w:p>
        </w:tc>
        <w:tc>
          <w:tcPr>
            <w:tcW w:w="3341" w:type="dxa"/>
            <w:shd w:val="clear" w:color="auto" w:fill="auto"/>
          </w:tcPr>
          <w:p w14:paraId="2BEECA49" w14:textId="77777777" w:rsidR="00906E20" w:rsidRPr="007913BC" w:rsidRDefault="0079602B" w:rsidP="00C708B2">
            <w:pPr>
              <w:pStyle w:val="trescpisma"/>
              <w:numPr>
                <w:ilvl w:val="0"/>
                <w:numId w:val="14"/>
              </w:numPr>
            </w:pPr>
            <w:r w:rsidRPr="007913BC">
              <w:lastRenderedPageBreak/>
              <w:t xml:space="preserve">Prowadzenie weryfikacji umów nieodpłatnego zbycia akcji/udziałów </w:t>
            </w:r>
            <w:r w:rsidRPr="007913BC">
              <w:lastRenderedPageBreak/>
              <w:t>przygotowywanych przez spółki Skarbu Państwa.</w:t>
            </w:r>
          </w:p>
          <w:p w14:paraId="7D7588EB" w14:textId="38C30049" w:rsidR="003976DD" w:rsidRPr="0080427A" w:rsidRDefault="0079602B" w:rsidP="00C708B2">
            <w:pPr>
              <w:pStyle w:val="trescpisma"/>
              <w:numPr>
                <w:ilvl w:val="0"/>
                <w:numId w:val="14"/>
              </w:numPr>
            </w:pPr>
            <w:r w:rsidRPr="007913BC">
              <w:t xml:space="preserve">Zawieranie w imieniu Ministra Aktywów Państwowych umów nieodpłatnego zbycia akcji/udziałów z osobami uprawnionymi. </w:t>
            </w:r>
          </w:p>
        </w:tc>
      </w:tr>
      <w:tr w:rsidR="00544C12" w:rsidRPr="00DB4E3F" w14:paraId="2C097069" w14:textId="77777777" w:rsidTr="00544C12">
        <w:tc>
          <w:tcPr>
            <w:tcW w:w="846" w:type="dxa"/>
            <w:vAlign w:val="center"/>
          </w:tcPr>
          <w:p w14:paraId="309EF209" w14:textId="3A0CAB4E" w:rsidR="007F52F8" w:rsidRPr="00DB4E3F" w:rsidRDefault="007F52F8" w:rsidP="00E21D5F">
            <w:pPr>
              <w:pStyle w:val="Akapitzlist"/>
              <w:numPr>
                <w:ilvl w:val="0"/>
                <w:numId w:val="6"/>
              </w:numPr>
              <w:tabs>
                <w:tab w:val="left" w:pos="360"/>
              </w:tabs>
              <w:spacing w:before="60" w:after="60"/>
              <w:ind w:left="59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CB80607" w14:textId="45654262" w:rsidR="007F52F8" w:rsidRPr="007913BC" w:rsidRDefault="007F52F8" w:rsidP="00C708B2">
            <w:pPr>
              <w:pStyle w:val="trescpisma"/>
            </w:pPr>
            <w:r w:rsidRPr="00C708B2">
              <w:t xml:space="preserve">Rozwój sektora </w:t>
            </w:r>
            <w:r w:rsidR="00FF45E0" w:rsidRPr="00C708B2">
              <w:t>energetycznego, w </w:t>
            </w:r>
            <w:r w:rsidRPr="00C708B2">
              <w:t>tym rozwój sektora morskiej energetyki wiatrowej</w:t>
            </w:r>
            <w:r w:rsidR="002A150D" w:rsidRPr="00C708B2">
              <w:t>.</w:t>
            </w:r>
          </w:p>
        </w:tc>
        <w:tc>
          <w:tcPr>
            <w:tcW w:w="2829" w:type="dxa"/>
            <w:shd w:val="clear" w:color="auto" w:fill="auto"/>
          </w:tcPr>
          <w:p w14:paraId="6C377F20" w14:textId="77777777" w:rsidR="0020466E" w:rsidRPr="00C708B2" w:rsidRDefault="0020466E" w:rsidP="00C708B2">
            <w:pPr>
              <w:pStyle w:val="trescpisma"/>
            </w:pPr>
            <w:r w:rsidRPr="00C708B2">
              <w:t xml:space="preserve">Realizacja zadań ustawowych </w:t>
            </w:r>
          </w:p>
          <w:p w14:paraId="2814DFEB" w14:textId="77777777" w:rsidR="0020466E" w:rsidRPr="00C708B2" w:rsidRDefault="0020466E" w:rsidP="00C708B2">
            <w:pPr>
              <w:pStyle w:val="trescpisma"/>
            </w:pPr>
            <w:r w:rsidRPr="00C708B2">
              <w:t>określonych</w:t>
            </w:r>
          </w:p>
          <w:p w14:paraId="040EEC14" w14:textId="77777777" w:rsidR="0071123C" w:rsidRPr="00C708B2" w:rsidRDefault="0020466E" w:rsidP="00C708B2">
            <w:pPr>
              <w:pStyle w:val="trescpisma"/>
            </w:pPr>
            <w:r w:rsidRPr="00C708B2">
              <w:t>w</w:t>
            </w:r>
            <w:r w:rsidR="0071123C" w:rsidRPr="00C708B2">
              <w:t>:</w:t>
            </w:r>
            <w:r w:rsidRPr="00C708B2">
              <w:t xml:space="preserve"> </w:t>
            </w:r>
          </w:p>
          <w:p w14:paraId="31952D64" w14:textId="0A36A91B" w:rsidR="0020466E" w:rsidRPr="00C708B2" w:rsidRDefault="0020466E" w:rsidP="00C708B2">
            <w:pPr>
              <w:pStyle w:val="trescpisma"/>
            </w:pPr>
            <w:r w:rsidRPr="00C708B2">
              <w:t>ustawie z dnia 17</w:t>
            </w:r>
            <w:r w:rsidR="00685030" w:rsidRPr="00C708B2">
              <w:t xml:space="preserve"> </w:t>
            </w:r>
            <w:r w:rsidRPr="00C708B2">
              <w:t>grudnia 2020 r.</w:t>
            </w:r>
            <w:r w:rsidR="00685030" w:rsidRPr="00C708B2">
              <w:t xml:space="preserve"> </w:t>
            </w:r>
            <w:r w:rsidRPr="00C708B2">
              <w:t>o promowaniu</w:t>
            </w:r>
          </w:p>
          <w:p w14:paraId="42FB2B59" w14:textId="77777777" w:rsidR="0020466E" w:rsidRPr="00C708B2" w:rsidRDefault="0020466E" w:rsidP="00C708B2">
            <w:pPr>
              <w:pStyle w:val="trescpisma"/>
            </w:pPr>
            <w:r w:rsidRPr="00C708B2">
              <w:t>wytwarzania energii</w:t>
            </w:r>
          </w:p>
          <w:p w14:paraId="3A2F4DFB" w14:textId="1F22C389" w:rsidR="007F52F8" w:rsidRPr="00C708B2" w:rsidRDefault="0020466E" w:rsidP="00C708B2">
            <w:pPr>
              <w:pStyle w:val="trescpisma"/>
            </w:pPr>
            <w:r w:rsidRPr="00C708B2">
              <w:t>elektrycznej</w:t>
            </w:r>
            <w:r w:rsidR="00685030" w:rsidRPr="00C708B2">
              <w:t xml:space="preserve"> </w:t>
            </w:r>
            <w:r w:rsidRPr="00C708B2">
              <w:t>w morskich farmach</w:t>
            </w:r>
            <w:r w:rsidR="00685030" w:rsidRPr="00C708B2">
              <w:t xml:space="preserve"> </w:t>
            </w:r>
            <w:r w:rsidRPr="00C708B2">
              <w:t>wiatrowych</w:t>
            </w:r>
            <w:r w:rsidR="006F257E" w:rsidRPr="00C708B2">
              <w:t xml:space="preserve"> </w:t>
            </w:r>
            <w:r w:rsidRPr="00C708B2">
              <w:t>(Dz. U. z 202</w:t>
            </w:r>
            <w:r w:rsidR="0071123C" w:rsidRPr="00C708B2">
              <w:t>3</w:t>
            </w:r>
            <w:r w:rsidRPr="00C708B2">
              <w:t xml:space="preserve"> r.</w:t>
            </w:r>
            <w:r w:rsidR="006F257E" w:rsidRPr="00C708B2">
              <w:t xml:space="preserve"> </w:t>
            </w:r>
            <w:r w:rsidRPr="00C708B2">
              <w:t>poz. 1</w:t>
            </w:r>
            <w:r w:rsidR="0071123C" w:rsidRPr="00C708B2">
              <w:t>385</w:t>
            </w:r>
            <w:r w:rsidRPr="00C708B2">
              <w:t xml:space="preserve">, z </w:t>
            </w:r>
            <w:proofErr w:type="spellStart"/>
            <w:r w:rsidRPr="00C708B2">
              <w:t>późn</w:t>
            </w:r>
            <w:proofErr w:type="spellEnd"/>
            <w:r w:rsidRPr="00C708B2">
              <w:t>. zm.).</w:t>
            </w:r>
          </w:p>
          <w:p w14:paraId="690B62F0" w14:textId="77777777" w:rsidR="0071123C" w:rsidRPr="00C708B2" w:rsidRDefault="0071123C" w:rsidP="00C708B2">
            <w:pPr>
              <w:pStyle w:val="trescpisma"/>
            </w:pPr>
            <w:r w:rsidRPr="00C708B2">
              <w:lastRenderedPageBreak/>
              <w:t xml:space="preserve">ustawie z dnia 24 lipca 2015 r. o przygotowaniu i realizacji strategicznych inwestycji w zakresie sieci przesyłowych (Dz. U. z 2023 r. poz. 1680 z </w:t>
            </w:r>
            <w:proofErr w:type="spellStart"/>
            <w:r w:rsidRPr="00C708B2">
              <w:t>późń</w:t>
            </w:r>
            <w:proofErr w:type="spellEnd"/>
            <w:r w:rsidRPr="00C708B2">
              <w:t>. zm.);</w:t>
            </w:r>
          </w:p>
          <w:p w14:paraId="1ACC34AE" w14:textId="17D2C735" w:rsidR="0071123C" w:rsidRPr="00F81C3A" w:rsidRDefault="0071123C" w:rsidP="00C708B2">
            <w:pPr>
              <w:pStyle w:val="trescpisma"/>
            </w:pPr>
            <w:r w:rsidRPr="00C708B2">
              <w:t xml:space="preserve">ustawie z dnia 29 czerwca 2011 r. o przygotowaniu i realizacji inwestycji w zakresie obiektów energetyki jądrowej oraz inwestycji towarzyszących (Dz. U. z 2021 r. poz. 1484, z </w:t>
            </w:r>
            <w:proofErr w:type="spellStart"/>
            <w:r w:rsidRPr="00C708B2">
              <w:t>późn</w:t>
            </w:r>
            <w:proofErr w:type="spellEnd"/>
            <w:r w:rsidRPr="00C708B2">
              <w:t>. zm.)</w:t>
            </w:r>
          </w:p>
        </w:tc>
        <w:tc>
          <w:tcPr>
            <w:tcW w:w="1889" w:type="dxa"/>
            <w:shd w:val="clear" w:color="auto" w:fill="auto"/>
          </w:tcPr>
          <w:p w14:paraId="270DAD89" w14:textId="560453F0" w:rsidR="007F52F8" w:rsidRPr="00F81C3A" w:rsidRDefault="0020466E" w:rsidP="00C708B2">
            <w:pPr>
              <w:pStyle w:val="trescpisma"/>
            </w:pPr>
            <w:r w:rsidRPr="00F81C3A">
              <w:lastRenderedPageBreak/>
              <w:t>90</w:t>
            </w:r>
            <w:r w:rsidR="007F52F8" w:rsidRPr="00F81C3A">
              <w:t>%</w:t>
            </w:r>
          </w:p>
        </w:tc>
        <w:tc>
          <w:tcPr>
            <w:tcW w:w="1970" w:type="dxa"/>
            <w:shd w:val="clear" w:color="auto" w:fill="auto"/>
          </w:tcPr>
          <w:p w14:paraId="52C72EB2" w14:textId="12B3D9F5" w:rsidR="007F52F8" w:rsidRPr="00F81C3A" w:rsidRDefault="002A150D" w:rsidP="00C708B2">
            <w:pPr>
              <w:pStyle w:val="trescpisma"/>
              <w:rPr>
                <w:highlight w:val="yellow"/>
              </w:rPr>
            </w:pPr>
            <w:r w:rsidRPr="00F81C3A">
              <w:t>100%</w:t>
            </w:r>
          </w:p>
        </w:tc>
        <w:tc>
          <w:tcPr>
            <w:tcW w:w="3229" w:type="dxa"/>
            <w:shd w:val="clear" w:color="auto" w:fill="auto"/>
          </w:tcPr>
          <w:p w14:paraId="1E9FC6C5" w14:textId="4414B64E" w:rsidR="0080427A" w:rsidRPr="00C708B2" w:rsidRDefault="0080427A" w:rsidP="00C708B2">
            <w:pPr>
              <w:pStyle w:val="trescpisma"/>
              <w:rPr>
                <w:lang w:eastAsia="en-US"/>
              </w:rPr>
            </w:pPr>
            <w:r w:rsidRPr="00C708B2">
              <w:rPr>
                <w:lang w:eastAsia="en-US"/>
              </w:rPr>
              <w:t xml:space="preserve">Opiniowanie kierunków zmiany prawa w celu optymalnego wykorzystania aktywów państwowych </w:t>
            </w:r>
            <w:r w:rsidR="0071123C" w:rsidRPr="00C708B2">
              <w:rPr>
                <w:lang w:eastAsia="en-US"/>
              </w:rPr>
              <w:br/>
            </w:r>
            <w:r w:rsidRPr="00C708B2">
              <w:rPr>
                <w:lang w:eastAsia="en-US"/>
              </w:rPr>
              <w:t>w zakresie pozwalającym na rozwój sektora energetycznego, w tym rozwój sektora morskiej energetyki wiatrowej.</w:t>
            </w:r>
          </w:p>
          <w:p w14:paraId="72993906" w14:textId="1EAAA893" w:rsidR="0080427A" w:rsidRPr="00C708B2" w:rsidRDefault="0080427A" w:rsidP="00C708B2">
            <w:pPr>
              <w:pStyle w:val="trescpisma"/>
              <w:rPr>
                <w:lang w:eastAsia="en-US"/>
              </w:rPr>
            </w:pPr>
            <w:r w:rsidRPr="00C708B2">
              <w:rPr>
                <w:lang w:eastAsia="en-US"/>
              </w:rPr>
              <w:t xml:space="preserve">Obsługa zadań Pełnomocnika do spraw koordynacji działań podmiotów objętych nadzorem właścicielskim Ministra Aktywów Państwowych </w:t>
            </w:r>
            <w:r w:rsidR="0071123C" w:rsidRPr="00C708B2">
              <w:rPr>
                <w:lang w:eastAsia="en-US"/>
              </w:rPr>
              <w:br/>
            </w:r>
            <w:r w:rsidRPr="00C708B2">
              <w:rPr>
                <w:lang w:eastAsia="en-US"/>
              </w:rPr>
              <w:lastRenderedPageBreak/>
              <w:t>w procesie realizacji inwestycji w zakresie morskich farm wiatrowych.</w:t>
            </w:r>
          </w:p>
          <w:p w14:paraId="7B2D83A0" w14:textId="071335E9" w:rsidR="0080427A" w:rsidRPr="00C708B2" w:rsidRDefault="0080427A" w:rsidP="00C708B2">
            <w:pPr>
              <w:pStyle w:val="trescpisma"/>
              <w:rPr>
                <w:lang w:eastAsia="en-US"/>
              </w:rPr>
            </w:pPr>
            <w:r w:rsidRPr="00C708B2">
              <w:rPr>
                <w:lang w:eastAsia="en-US"/>
              </w:rPr>
              <w:t xml:space="preserve">Przedstawianie opinii ministra właściwego do spraw aktywów państwowych do rozporządzenia Ministra Klimatu określającego maksymalną cenę, wyrażoną w złotych za 1 MWh, jaka może być wskazana w ofertach złożonych w aukcji przez wytwórców </w:t>
            </w:r>
            <w:r w:rsidR="0085120B" w:rsidRPr="00C708B2">
              <w:rPr>
                <w:lang w:eastAsia="en-US"/>
              </w:rPr>
              <w:t>p</w:t>
            </w:r>
            <w:r w:rsidRPr="00C708B2">
              <w:rPr>
                <w:lang w:eastAsia="en-US"/>
              </w:rPr>
              <w:t>rowadzących działalność gospodarczą w sektorze morskiej energetyki wiatrowej.</w:t>
            </w:r>
          </w:p>
          <w:p w14:paraId="1C1F996C" w14:textId="2616735D" w:rsidR="0080427A" w:rsidRPr="00C708B2" w:rsidRDefault="0080427A" w:rsidP="00C708B2">
            <w:pPr>
              <w:pStyle w:val="trescpisma"/>
              <w:rPr>
                <w:lang w:eastAsia="en-US"/>
              </w:rPr>
            </w:pPr>
            <w:r w:rsidRPr="00C708B2">
              <w:rPr>
                <w:lang w:eastAsia="en-US"/>
              </w:rPr>
              <w:t>Analiza i przetwarzanie informacji przekazywanych przez Prezesa URE dotyczących rozwoju sektora morskiej energetyki wiatrowej.</w:t>
            </w:r>
          </w:p>
          <w:p w14:paraId="034D874D" w14:textId="0F42EA38" w:rsidR="0080427A" w:rsidRPr="00C708B2" w:rsidRDefault="0080427A" w:rsidP="00C708B2">
            <w:pPr>
              <w:pStyle w:val="trescpisma"/>
              <w:rPr>
                <w:lang w:eastAsia="en-US"/>
              </w:rPr>
            </w:pPr>
            <w:r w:rsidRPr="00C708B2">
              <w:rPr>
                <w:lang w:eastAsia="en-US"/>
              </w:rPr>
              <w:t>Analiza i przetwarzanie informacji przekazywanych przez Prezesa URE dotyczących planu łańcucha dostaw materiałów i usług.</w:t>
            </w:r>
          </w:p>
          <w:p w14:paraId="576E9A9A" w14:textId="77777777" w:rsidR="007F52F8" w:rsidRPr="00C708B2" w:rsidRDefault="0080427A" w:rsidP="00C708B2">
            <w:pPr>
              <w:pStyle w:val="trescpisma"/>
              <w:rPr>
                <w:lang w:eastAsia="en-US"/>
              </w:rPr>
            </w:pPr>
            <w:r w:rsidRPr="00C708B2">
              <w:rPr>
                <w:lang w:eastAsia="en-US"/>
              </w:rPr>
              <w:t xml:space="preserve">Opiniowanie wniosków inwestorów o wydanie pozwoleń na wznoszenie lub wykorzystywanie sztucznych wysp, konstrukcji i urządzeń </w:t>
            </w:r>
            <w:r w:rsidR="0071123C" w:rsidRPr="00C708B2">
              <w:rPr>
                <w:lang w:eastAsia="en-US"/>
              </w:rPr>
              <w:br/>
            </w:r>
            <w:r w:rsidRPr="00C708B2">
              <w:rPr>
                <w:lang w:eastAsia="en-US"/>
              </w:rPr>
              <w:lastRenderedPageBreak/>
              <w:t>w polskich obszarach morskich ustalających ich lokalizację oraz określających warunki ich wykorzystania na tych obszarach, a także opiniowanie wniosków inwestorów dotyczących infrastruktury kablowej.</w:t>
            </w:r>
          </w:p>
          <w:p w14:paraId="314590BA" w14:textId="77777777" w:rsidR="0071123C" w:rsidRPr="00C708B2" w:rsidRDefault="0071123C" w:rsidP="00C708B2">
            <w:pPr>
              <w:pStyle w:val="trescpisma"/>
              <w:rPr>
                <w:lang w:eastAsia="en-US"/>
              </w:rPr>
            </w:pPr>
            <w:r w:rsidRPr="00C708B2">
              <w:rPr>
                <w:lang w:eastAsia="en-US"/>
              </w:rPr>
              <w:t>Wydawanie opinii na podstawie przepisów ustawy z dnia 24 lipca 2015 r. o przygotowaniu i realizacji strategicznych inwestycji w zakresie sieci przesyłowych.</w:t>
            </w:r>
          </w:p>
          <w:p w14:paraId="3E5738E8" w14:textId="5C33DA1D" w:rsidR="0071123C" w:rsidRPr="00CF0E9D" w:rsidRDefault="0071123C" w:rsidP="00C708B2">
            <w:pPr>
              <w:pStyle w:val="trescpisma"/>
              <w:rPr>
                <w:lang w:eastAsia="en-US"/>
              </w:rPr>
            </w:pPr>
            <w:r w:rsidRPr="00C708B2">
              <w:rPr>
                <w:lang w:eastAsia="en-US"/>
              </w:rPr>
              <w:t xml:space="preserve">Wydawanie opinii </w:t>
            </w:r>
            <w:r w:rsidR="00906E20" w:rsidRPr="00C708B2">
              <w:rPr>
                <w:lang w:eastAsia="en-US"/>
              </w:rPr>
              <w:t>na podstawie przepisów ustawy z dnia 29 czerwca 2011 r. o przygotowaniu i realizacji inwestycji w zakresie obiektów energetyki jądrowej oraz inwestycji towarzyszących.</w:t>
            </w:r>
          </w:p>
        </w:tc>
        <w:tc>
          <w:tcPr>
            <w:tcW w:w="3341" w:type="dxa"/>
            <w:shd w:val="clear" w:color="auto" w:fill="auto"/>
          </w:tcPr>
          <w:p w14:paraId="0AD40205" w14:textId="02D31D3A" w:rsidR="00906E20" w:rsidRPr="00C708B2" w:rsidRDefault="0080427A" w:rsidP="00C708B2">
            <w:pPr>
              <w:pStyle w:val="trescpisma"/>
            </w:pPr>
            <w:r w:rsidRPr="00C708B2">
              <w:lastRenderedPageBreak/>
              <w:t>W 202</w:t>
            </w:r>
            <w:r w:rsidR="00906E20" w:rsidRPr="00C708B2">
              <w:t>4 r. wydano łączenie 24 opinie MAP. Przedstawiono także szereg uwag i propozycji zmian przepisów prawa w zakresie pozwalającym na rozwój sektora energetyki. W 26 przypadkach, będących przedmiotem opinii MAP, właściwy organ zakończył postępowanie wydaniem decyzji.</w:t>
            </w:r>
          </w:p>
          <w:p w14:paraId="332EF8BE" w14:textId="505A66E3" w:rsidR="00CF0E9D" w:rsidRPr="0080427A" w:rsidRDefault="00CF0E9D" w:rsidP="00906E20">
            <w:pPr>
              <w:pStyle w:val="Akapitzlist"/>
              <w:spacing w:before="60" w:after="60"/>
              <w:ind w:left="31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357D3" w14:textId="3D0F235B" w:rsidR="00065CDC" w:rsidRDefault="00065CDC" w:rsidP="0079602B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08CC3673" w14:textId="1D518BD5" w:rsidR="00350EFC" w:rsidRDefault="00350EFC" w:rsidP="0079602B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5C6E2ABE" w14:textId="096A95FD" w:rsidR="00350EFC" w:rsidRDefault="00350EFC" w:rsidP="0079602B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5908D204" w14:textId="61FF2A80" w:rsidR="00350EFC" w:rsidRDefault="00350EFC" w:rsidP="0079602B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150E68B0" w14:textId="64D2E8E6" w:rsidR="00513B8F" w:rsidRDefault="00513B8F" w:rsidP="0079602B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0A3DABE8" w14:textId="77777777" w:rsidR="00513B8F" w:rsidRDefault="00513B8F" w:rsidP="0079602B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092E7EF6" w14:textId="77777777" w:rsidR="00350EFC" w:rsidRPr="00DB4E3F" w:rsidRDefault="00350EFC" w:rsidP="0079602B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685FDAB1" w14:textId="7AF8896B" w:rsidR="00103529" w:rsidRDefault="00CE2028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t xml:space="preserve">CZĘŚĆ B: Realizacja celów priorytetowych wynikających z budżetu państwa w układzie zadaniowym w roku </w:t>
      </w:r>
      <w:r w:rsidRPr="00513B8F">
        <w:rPr>
          <w:rFonts w:ascii="Arial" w:hAnsi="Arial" w:cs="Arial"/>
          <w:b/>
          <w:sz w:val="20"/>
          <w:szCs w:val="20"/>
        </w:rPr>
        <w:t>20</w:t>
      </w:r>
      <w:r w:rsidR="003257E4" w:rsidRPr="00513B8F">
        <w:rPr>
          <w:rFonts w:ascii="Arial" w:hAnsi="Arial" w:cs="Arial"/>
          <w:b/>
          <w:sz w:val="20"/>
          <w:szCs w:val="20"/>
        </w:rPr>
        <w:t>2</w:t>
      </w:r>
      <w:r w:rsidR="00986C66" w:rsidRPr="00513B8F">
        <w:rPr>
          <w:rFonts w:ascii="Arial" w:hAnsi="Arial" w:cs="Arial"/>
          <w:b/>
          <w:sz w:val="20"/>
          <w:szCs w:val="20"/>
        </w:rPr>
        <w:t>4</w:t>
      </w:r>
    </w:p>
    <w:p w14:paraId="4055A6E5" w14:textId="1EC86CA3" w:rsidR="00103529" w:rsidRDefault="00CE2028" w:rsidP="0079602B">
      <w:pPr>
        <w:spacing w:before="120" w:after="120"/>
        <w:jc w:val="left"/>
        <w:rPr>
          <w:rFonts w:ascii="Arial" w:hAnsi="Arial" w:cs="Arial"/>
          <w:i/>
          <w:iCs/>
          <w:color w:val="000000"/>
          <w:sz w:val="20"/>
          <w:szCs w:val="20"/>
        </w:rPr>
      </w:pPr>
      <w:r w:rsidRPr="00DB4E3F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B planu na rok, którego dotyczy sprawozdanie. Nie należy wymieniać celów uprzednio wskazanych w części A</w:t>
      </w:r>
    </w:p>
    <w:p w14:paraId="09FC6889" w14:textId="77777777" w:rsidR="00513B8F" w:rsidRPr="00DB4E3F" w:rsidRDefault="00513B8F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822"/>
        <w:gridCol w:w="2008"/>
        <w:gridCol w:w="2835"/>
        <w:gridCol w:w="1843"/>
        <w:gridCol w:w="1985"/>
        <w:gridCol w:w="3118"/>
        <w:gridCol w:w="3493"/>
        <w:gridCol w:w="51"/>
      </w:tblGrid>
      <w:tr w:rsidR="00451497" w:rsidRPr="00DB4E3F" w14:paraId="4513789F" w14:textId="77777777" w:rsidTr="0047283A">
        <w:tc>
          <w:tcPr>
            <w:tcW w:w="822" w:type="dxa"/>
            <w:vMerge w:val="restart"/>
            <w:shd w:val="clear" w:color="auto" w:fill="D9E2F3" w:themeFill="accent5" w:themeFillTint="33"/>
            <w:vAlign w:val="center"/>
          </w:tcPr>
          <w:p w14:paraId="30F07CEE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08" w:type="dxa"/>
            <w:vMerge w:val="restart"/>
            <w:shd w:val="clear" w:color="auto" w:fill="D9E2F3" w:themeFill="accent5" w:themeFillTint="33"/>
            <w:vAlign w:val="center"/>
          </w:tcPr>
          <w:p w14:paraId="14F572DB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663" w:type="dxa"/>
            <w:gridSpan w:val="3"/>
            <w:shd w:val="clear" w:color="auto" w:fill="D9E2F3" w:themeFill="accent5" w:themeFillTint="33"/>
            <w:vAlign w:val="center"/>
          </w:tcPr>
          <w:p w14:paraId="2743FE79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118" w:type="dxa"/>
            <w:vMerge w:val="restart"/>
            <w:shd w:val="clear" w:color="auto" w:fill="D9E2F3" w:themeFill="accent5" w:themeFillTint="33"/>
            <w:vAlign w:val="center"/>
          </w:tcPr>
          <w:p w14:paraId="7686234C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544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1305156B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R="00242DD7" w:rsidRPr="00DB4E3F" w14:paraId="71902396" w14:textId="77777777" w:rsidTr="0047283A">
        <w:tc>
          <w:tcPr>
            <w:tcW w:w="822" w:type="dxa"/>
            <w:vMerge/>
            <w:shd w:val="clear" w:color="auto" w:fill="D9E2F3" w:themeFill="accent5" w:themeFillTint="33"/>
          </w:tcPr>
          <w:p w14:paraId="170741EF" w14:textId="77777777" w:rsidR="00103529" w:rsidRPr="00DB4E3F" w:rsidRDefault="00114CC5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D9E2F3" w:themeFill="accent5" w:themeFillTint="33"/>
          </w:tcPr>
          <w:p w14:paraId="0C791CF5" w14:textId="77777777" w:rsidR="00103529" w:rsidRPr="00DB4E3F" w:rsidRDefault="00114CC5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D58A026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C048DAC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05BBDE59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118" w:type="dxa"/>
            <w:vMerge/>
            <w:shd w:val="clear" w:color="auto" w:fill="D9E2F3" w:themeFill="accent5" w:themeFillTint="33"/>
          </w:tcPr>
          <w:p w14:paraId="134DAE50" w14:textId="77777777" w:rsidR="00103529" w:rsidRPr="00DB4E3F" w:rsidRDefault="00114CC5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  <w:shd w:val="clear" w:color="auto" w:fill="D9E2F3" w:themeFill="accent5" w:themeFillTint="33"/>
          </w:tcPr>
          <w:p w14:paraId="2624EC76" w14:textId="77777777" w:rsidR="00103529" w:rsidRPr="00DB4E3F" w:rsidRDefault="00114CC5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2DD7" w:rsidRPr="00DB4E3F" w14:paraId="5146EF9E" w14:textId="77777777" w:rsidTr="0047283A">
        <w:tc>
          <w:tcPr>
            <w:tcW w:w="822" w:type="dxa"/>
            <w:shd w:val="clear" w:color="auto" w:fill="D9E2F3" w:themeFill="accent5" w:themeFillTint="33"/>
            <w:vAlign w:val="center"/>
          </w:tcPr>
          <w:p w14:paraId="41B21E97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08" w:type="dxa"/>
            <w:shd w:val="clear" w:color="auto" w:fill="D9E2F3" w:themeFill="accent5" w:themeFillTint="33"/>
            <w:vAlign w:val="center"/>
          </w:tcPr>
          <w:p w14:paraId="694C4C50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F188184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5A2D605F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D9E2F3" w:themeFill="accent5" w:themeFillTint="33"/>
            <w:vAlign w:val="center"/>
          </w:tcPr>
          <w:p w14:paraId="19D6F7ED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D9E2F3" w:themeFill="accent5" w:themeFillTint="33"/>
            <w:vAlign w:val="center"/>
          </w:tcPr>
          <w:p w14:paraId="66F209A6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  <w:gridSpan w:val="2"/>
            <w:shd w:val="clear" w:color="auto" w:fill="D9E2F3" w:themeFill="accent5" w:themeFillTint="33"/>
            <w:vAlign w:val="center"/>
          </w:tcPr>
          <w:p w14:paraId="6E691B3D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13B8F" w:rsidRPr="00DB4E3F" w14:paraId="55E476FD" w14:textId="77777777" w:rsidTr="00513B8F">
        <w:trPr>
          <w:gridAfter w:val="1"/>
          <w:wAfter w:w="51" w:type="dxa"/>
          <w:trHeight w:val="2452"/>
        </w:trPr>
        <w:tc>
          <w:tcPr>
            <w:tcW w:w="822" w:type="dxa"/>
            <w:vAlign w:val="center"/>
          </w:tcPr>
          <w:p w14:paraId="7DF52541" w14:textId="77777777" w:rsidR="00513B8F" w:rsidRPr="00DB4E3F" w:rsidRDefault="00513B8F" w:rsidP="00E21D5F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</w:tcPr>
          <w:p w14:paraId="6C90C039" w14:textId="77777777" w:rsidR="00513B8F" w:rsidRPr="006B5C85" w:rsidRDefault="00513B8F" w:rsidP="00C708B2">
            <w:pPr>
              <w:pStyle w:val="trescpisma"/>
            </w:pPr>
          </w:p>
          <w:p w14:paraId="40A31DA8" w14:textId="37DB2114" w:rsidR="00513B8F" w:rsidRPr="006B5C85" w:rsidRDefault="00513B8F" w:rsidP="00C708B2">
            <w:pPr>
              <w:pStyle w:val="trescpisma"/>
            </w:pPr>
            <w:r w:rsidRPr="006B5C85">
              <w:t>Zabezpieczenie potrzeb rynku w zakresie dostaw surowca krajowego</w:t>
            </w:r>
          </w:p>
        </w:tc>
        <w:tc>
          <w:tcPr>
            <w:tcW w:w="2835" w:type="dxa"/>
          </w:tcPr>
          <w:p w14:paraId="658B9B8B" w14:textId="77777777" w:rsidR="00513B8F" w:rsidRPr="006B5C85" w:rsidRDefault="00513B8F" w:rsidP="0079602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52C3549" w14:textId="77777777" w:rsidR="00265E43" w:rsidRPr="006B5C85" w:rsidRDefault="00265E43" w:rsidP="0079602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B5975D" w14:textId="7AD915F4" w:rsidR="00513B8F" w:rsidRPr="006B5C85" w:rsidRDefault="00513B8F" w:rsidP="0079602B">
            <w:pPr>
              <w:pStyle w:val="Akapitzlist"/>
              <w:spacing w:before="60" w:after="6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5C85">
              <w:rPr>
                <w:rFonts w:ascii="Arial" w:hAnsi="Arial" w:cs="Arial"/>
                <w:sz w:val="20"/>
                <w:szCs w:val="20"/>
              </w:rPr>
              <w:t>Roczne wydobycie węgla kamiennego (w tonach)</w:t>
            </w:r>
          </w:p>
        </w:tc>
        <w:tc>
          <w:tcPr>
            <w:tcW w:w="1843" w:type="dxa"/>
          </w:tcPr>
          <w:p w14:paraId="4F2ECEB8" w14:textId="77777777" w:rsidR="00513B8F" w:rsidRPr="006B5C85" w:rsidRDefault="00513B8F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E4F67" w14:textId="77777777" w:rsidR="00265E43" w:rsidRPr="006B5C85" w:rsidRDefault="00265E43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CA2C0" w14:textId="12D038C3" w:rsidR="00513B8F" w:rsidRPr="006B5C85" w:rsidRDefault="00513B8F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C85">
              <w:rPr>
                <w:rFonts w:ascii="Arial" w:hAnsi="Arial" w:cs="Arial"/>
                <w:sz w:val="20"/>
                <w:szCs w:val="20"/>
              </w:rPr>
              <w:t>≥ 52 mln t</w:t>
            </w:r>
          </w:p>
        </w:tc>
        <w:tc>
          <w:tcPr>
            <w:tcW w:w="1985" w:type="dxa"/>
          </w:tcPr>
          <w:p w14:paraId="11BD5753" w14:textId="77777777" w:rsidR="00513B8F" w:rsidRPr="006B5C85" w:rsidRDefault="00513B8F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3CB3F2" w14:textId="77777777" w:rsidR="00265E43" w:rsidRPr="006B5C85" w:rsidRDefault="00265E43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2D81F" w14:textId="77777777" w:rsidR="00513B8F" w:rsidRPr="006B5C85" w:rsidRDefault="00265E43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C85">
              <w:rPr>
                <w:rFonts w:ascii="Arial" w:hAnsi="Arial" w:cs="Arial"/>
                <w:sz w:val="20"/>
                <w:szCs w:val="20"/>
              </w:rPr>
              <w:t>Nie dotyczy</w:t>
            </w:r>
          </w:p>
          <w:p w14:paraId="4A88A09E" w14:textId="77777777" w:rsidR="00C8613F" w:rsidRPr="006B5C85" w:rsidRDefault="00C8613F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7C8307" w14:textId="33F86A58" w:rsidR="00C8613F" w:rsidRPr="006B5C85" w:rsidRDefault="00C8613F" w:rsidP="0079602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D5C65C" w14:textId="77777777" w:rsidR="00513B8F" w:rsidRPr="006B5C85" w:rsidRDefault="00513B8F" w:rsidP="0079602B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C2E4069" w14:textId="77777777" w:rsidR="00265E43" w:rsidRPr="006B5C85" w:rsidRDefault="00265E43" w:rsidP="0079602B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BB9750" w14:textId="0228D61E" w:rsidR="00513B8F" w:rsidRPr="006B5C85" w:rsidRDefault="00513B8F" w:rsidP="0079602B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5C85">
              <w:rPr>
                <w:rFonts w:ascii="Arial" w:hAnsi="Arial" w:cs="Arial"/>
                <w:iCs/>
                <w:sz w:val="20"/>
                <w:szCs w:val="20"/>
              </w:rPr>
              <w:t>Gospodarka złożami kopal</w:t>
            </w:r>
            <w:r w:rsidR="0024730F">
              <w:rPr>
                <w:rFonts w:ascii="Arial" w:hAnsi="Arial" w:cs="Arial"/>
                <w:iCs/>
                <w:sz w:val="20"/>
                <w:szCs w:val="20"/>
              </w:rPr>
              <w:t>in</w:t>
            </w:r>
          </w:p>
        </w:tc>
        <w:tc>
          <w:tcPr>
            <w:tcW w:w="3493" w:type="dxa"/>
          </w:tcPr>
          <w:p w14:paraId="5F9469D5" w14:textId="77777777" w:rsidR="00513B8F" w:rsidRPr="006B5C85" w:rsidRDefault="00513B8F" w:rsidP="00402AE6">
            <w:pPr>
              <w:pStyle w:val="Akapitzlist"/>
              <w:spacing w:after="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DBB93E" w14:textId="77777777" w:rsidR="006B5C85" w:rsidRPr="006B5C85" w:rsidRDefault="006B5C85" w:rsidP="000472BE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3240A" w14:textId="0B3BB316" w:rsidR="00C708B2" w:rsidRPr="00C07C86" w:rsidRDefault="006B5C85" w:rsidP="003A4CEF">
            <w:pPr>
              <w:pStyle w:val="Akapitzlist"/>
              <w:spacing w:after="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2BE">
              <w:rPr>
                <w:rFonts w:ascii="Arial" w:hAnsi="Arial" w:cs="Arial"/>
                <w:sz w:val="20"/>
                <w:szCs w:val="20"/>
              </w:rPr>
              <w:t>Utrata zadania</w:t>
            </w:r>
            <w:r w:rsidR="000472BE" w:rsidRPr="000472BE">
              <w:rPr>
                <w:rFonts w:ascii="Arial" w:hAnsi="Arial" w:cs="Arial"/>
                <w:sz w:val="20"/>
                <w:szCs w:val="20"/>
              </w:rPr>
              <w:t xml:space="preserve"> (Rozporządzenie Prezesa Rady Ministrów</w:t>
            </w:r>
            <w:r w:rsidR="000472BE">
              <w:rPr>
                <w:rFonts w:ascii="Arial" w:hAnsi="Arial" w:cs="Arial"/>
                <w:sz w:val="20"/>
                <w:szCs w:val="20"/>
              </w:rPr>
              <w:br/>
            </w:r>
            <w:r w:rsidR="000472BE" w:rsidRPr="000472BE">
              <w:rPr>
                <w:rFonts w:ascii="Arial" w:hAnsi="Arial" w:cs="Arial"/>
                <w:sz w:val="20"/>
                <w:szCs w:val="20"/>
              </w:rPr>
              <w:t>z dn. 19 grudnia 2023 r.</w:t>
            </w:r>
            <w:r w:rsidR="00287D6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356C4" w:rsidRPr="00C07C86">
              <w:rPr>
                <w:rFonts w:ascii="Arial" w:hAnsi="Arial" w:cs="Arial"/>
                <w:sz w:val="20"/>
                <w:szCs w:val="20"/>
              </w:rPr>
              <w:t>wyjaśnienia są zawarte</w:t>
            </w:r>
            <w:r w:rsidR="00287D63" w:rsidRPr="00C07C86">
              <w:rPr>
                <w:rFonts w:ascii="Arial" w:hAnsi="Arial" w:cs="Arial"/>
                <w:sz w:val="20"/>
                <w:szCs w:val="20"/>
              </w:rPr>
              <w:t xml:space="preserve"> w części D</w:t>
            </w:r>
            <w:r w:rsidR="000472BE" w:rsidRPr="00C07C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A87D87" w14:textId="02AE8CFB" w:rsidR="00685A7D" w:rsidRPr="000472BE" w:rsidRDefault="00685A7D" w:rsidP="003A4CEF">
            <w:pPr>
              <w:pStyle w:val="Akapitzlist"/>
              <w:spacing w:after="0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ED225" w14:textId="7AC1A4EC" w:rsidR="0047283A" w:rsidRDefault="0047283A" w:rsidP="0047283A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71E0E02D" w14:textId="444EE8E2" w:rsidR="00350EFC" w:rsidRDefault="00350EFC" w:rsidP="0047283A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22490BA2" w14:textId="082B413F" w:rsidR="00350EFC" w:rsidRDefault="00350EFC" w:rsidP="0047283A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7E72CF25" w14:textId="1581C6AA" w:rsidR="00513B8F" w:rsidRDefault="00513B8F" w:rsidP="0047283A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2EAF23ED" w14:textId="10020F78" w:rsidR="00513B8F" w:rsidRDefault="00513B8F" w:rsidP="0047283A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3A18364D" w14:textId="77777777" w:rsidR="00513B8F" w:rsidRDefault="00513B8F" w:rsidP="0047283A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02D1F50B" w14:textId="4BB262F0" w:rsidR="00350EFC" w:rsidRDefault="00350EFC" w:rsidP="0047283A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158A7705" w14:textId="77777777" w:rsidR="00350EFC" w:rsidRDefault="00350EFC" w:rsidP="0047283A">
      <w:pPr>
        <w:spacing w:after="160"/>
        <w:jc w:val="left"/>
        <w:rPr>
          <w:rFonts w:ascii="Arial" w:hAnsi="Arial" w:cs="Arial"/>
          <w:b/>
          <w:sz w:val="20"/>
          <w:szCs w:val="20"/>
        </w:rPr>
      </w:pPr>
    </w:p>
    <w:p w14:paraId="477C6F94" w14:textId="471B7485" w:rsidR="00103529" w:rsidRPr="00513B8F" w:rsidRDefault="00CE2028" w:rsidP="0047283A">
      <w:pPr>
        <w:spacing w:after="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b/>
          <w:sz w:val="20"/>
          <w:szCs w:val="20"/>
        </w:rPr>
        <w:lastRenderedPageBreak/>
        <w:t xml:space="preserve">CZĘŚĆ C: Realizacja innych celów w </w:t>
      </w:r>
      <w:r w:rsidRPr="00513B8F">
        <w:rPr>
          <w:rFonts w:ascii="Arial" w:hAnsi="Arial" w:cs="Arial"/>
          <w:b/>
          <w:sz w:val="20"/>
          <w:szCs w:val="20"/>
        </w:rPr>
        <w:t>roku 20</w:t>
      </w:r>
      <w:r w:rsidR="003257E4" w:rsidRPr="00513B8F">
        <w:rPr>
          <w:rFonts w:ascii="Arial" w:hAnsi="Arial" w:cs="Arial"/>
          <w:b/>
          <w:sz w:val="20"/>
          <w:szCs w:val="20"/>
        </w:rPr>
        <w:t>2</w:t>
      </w:r>
      <w:r w:rsidR="008301DF" w:rsidRPr="00513B8F">
        <w:rPr>
          <w:rFonts w:ascii="Arial" w:hAnsi="Arial" w:cs="Arial"/>
          <w:b/>
          <w:sz w:val="20"/>
          <w:szCs w:val="20"/>
        </w:rPr>
        <w:t>4</w:t>
      </w:r>
    </w:p>
    <w:p w14:paraId="0BD164E0" w14:textId="77777777" w:rsidR="00103529" w:rsidRPr="00DB4E3F" w:rsidRDefault="00CE2028" w:rsidP="0079602B">
      <w:pPr>
        <w:spacing w:before="120" w:after="120"/>
        <w:jc w:val="left"/>
        <w:rPr>
          <w:rFonts w:ascii="Arial" w:hAnsi="Arial" w:cs="Arial"/>
          <w:b/>
          <w:sz w:val="20"/>
          <w:szCs w:val="20"/>
        </w:rPr>
      </w:pPr>
      <w:r w:rsidRPr="00DB4E3F">
        <w:rPr>
          <w:rFonts w:ascii="Arial" w:hAnsi="Arial" w:cs="Arial"/>
          <w:i/>
          <w:iCs/>
          <w:color w:val="000000"/>
          <w:sz w:val="20"/>
          <w:szCs w:val="20"/>
        </w:rPr>
        <w:t>(w tej części sprawozdania należy wymienić cele wskazane w części C planu na rok, którego dotyczy sprawozdanie)</w:t>
      </w:r>
    </w:p>
    <w:tbl>
      <w:tblPr>
        <w:tblStyle w:val="Tabela-Siatka"/>
        <w:tblW w:w="16155" w:type="dxa"/>
        <w:tblLook w:val="04A0" w:firstRow="1" w:lastRow="0" w:firstColumn="1" w:lastColumn="0" w:noHBand="0" w:noVBand="1"/>
      </w:tblPr>
      <w:tblGrid>
        <w:gridCol w:w="829"/>
        <w:gridCol w:w="2084"/>
        <w:gridCol w:w="2811"/>
        <w:gridCol w:w="1836"/>
        <w:gridCol w:w="1791"/>
        <w:gridCol w:w="3422"/>
        <w:gridCol w:w="3382"/>
      </w:tblGrid>
      <w:tr w:rsidR="00513B8F" w:rsidRPr="00DB4E3F" w14:paraId="681D46F2" w14:textId="77777777" w:rsidTr="00341B71">
        <w:tc>
          <w:tcPr>
            <w:tcW w:w="829" w:type="dxa"/>
            <w:vMerge w:val="restart"/>
            <w:shd w:val="clear" w:color="auto" w:fill="D9E2F3" w:themeFill="accent5" w:themeFillTint="33"/>
            <w:vAlign w:val="center"/>
          </w:tcPr>
          <w:p w14:paraId="7B178C42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84" w:type="dxa"/>
            <w:vMerge w:val="restart"/>
            <w:shd w:val="clear" w:color="auto" w:fill="D9E2F3" w:themeFill="accent5" w:themeFillTint="33"/>
            <w:vAlign w:val="center"/>
          </w:tcPr>
          <w:p w14:paraId="516CCA98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6438" w:type="dxa"/>
            <w:gridSpan w:val="3"/>
            <w:shd w:val="clear" w:color="auto" w:fill="D9E2F3" w:themeFill="accent5" w:themeFillTint="33"/>
            <w:vAlign w:val="center"/>
          </w:tcPr>
          <w:p w14:paraId="55A5048E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3422" w:type="dxa"/>
            <w:vMerge w:val="restart"/>
            <w:shd w:val="clear" w:color="auto" w:fill="D9E2F3" w:themeFill="accent5" w:themeFillTint="33"/>
            <w:vAlign w:val="center"/>
          </w:tcPr>
          <w:p w14:paraId="36ACA589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Planowane podzadania budżetowe służące realizacji celu</w:t>
            </w:r>
          </w:p>
        </w:tc>
        <w:tc>
          <w:tcPr>
            <w:tcW w:w="3382" w:type="dxa"/>
            <w:vMerge w:val="restart"/>
            <w:shd w:val="clear" w:color="auto" w:fill="D9E2F3" w:themeFill="accent5" w:themeFillTint="33"/>
            <w:vAlign w:val="center"/>
          </w:tcPr>
          <w:p w14:paraId="18574C78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Podjęte podzadania budżetowe służące realizacji celu</w:t>
            </w:r>
          </w:p>
        </w:tc>
      </w:tr>
      <w:tr w:rsidR="00513B8F" w:rsidRPr="00DB4E3F" w14:paraId="2B1ACBDE" w14:textId="77777777" w:rsidTr="00341B71">
        <w:tc>
          <w:tcPr>
            <w:tcW w:w="829" w:type="dxa"/>
            <w:vMerge/>
            <w:shd w:val="clear" w:color="auto" w:fill="D9E2F3" w:themeFill="accent5" w:themeFillTint="33"/>
          </w:tcPr>
          <w:p w14:paraId="4637AA53" w14:textId="77777777" w:rsidR="00103529" w:rsidRPr="00DB4E3F" w:rsidRDefault="00114CC5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D9E2F3" w:themeFill="accent5" w:themeFillTint="33"/>
          </w:tcPr>
          <w:p w14:paraId="608E0805" w14:textId="77777777" w:rsidR="00103529" w:rsidRPr="00DB4E3F" w:rsidRDefault="00114CC5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D9E2F3" w:themeFill="accent5" w:themeFillTint="33"/>
            <w:vAlign w:val="center"/>
          </w:tcPr>
          <w:p w14:paraId="43D687CD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36" w:type="dxa"/>
            <w:shd w:val="clear" w:color="auto" w:fill="D9E2F3" w:themeFill="accent5" w:themeFillTint="33"/>
            <w:vAlign w:val="center"/>
          </w:tcPr>
          <w:p w14:paraId="1824911A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planowana wartość do osiągniecia na koniec roku, którego dotyczy sprawozdanie</w:t>
            </w:r>
          </w:p>
        </w:tc>
        <w:tc>
          <w:tcPr>
            <w:tcW w:w="1791" w:type="dxa"/>
            <w:shd w:val="clear" w:color="auto" w:fill="D9E2F3" w:themeFill="accent5" w:themeFillTint="33"/>
            <w:vAlign w:val="center"/>
          </w:tcPr>
          <w:p w14:paraId="4DDF4CD0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3422" w:type="dxa"/>
            <w:vMerge/>
            <w:shd w:val="clear" w:color="auto" w:fill="D9E2F3" w:themeFill="accent5" w:themeFillTint="33"/>
          </w:tcPr>
          <w:p w14:paraId="0A92B483" w14:textId="77777777" w:rsidR="00103529" w:rsidRPr="00DB4E3F" w:rsidRDefault="00114CC5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2" w:type="dxa"/>
            <w:vMerge/>
            <w:shd w:val="clear" w:color="auto" w:fill="D9E2F3" w:themeFill="accent5" w:themeFillTint="33"/>
          </w:tcPr>
          <w:p w14:paraId="3923BD1D" w14:textId="77777777" w:rsidR="00103529" w:rsidRPr="00DB4E3F" w:rsidRDefault="00114CC5" w:rsidP="0079602B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3B8F" w:rsidRPr="00DB4E3F" w14:paraId="644FAB63" w14:textId="77777777" w:rsidTr="00341B71">
        <w:tc>
          <w:tcPr>
            <w:tcW w:w="829" w:type="dxa"/>
            <w:shd w:val="clear" w:color="auto" w:fill="D9E2F3" w:themeFill="accent5" w:themeFillTint="33"/>
            <w:vAlign w:val="center"/>
          </w:tcPr>
          <w:p w14:paraId="3E0BBE51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84" w:type="dxa"/>
            <w:shd w:val="clear" w:color="auto" w:fill="D9E2F3" w:themeFill="accent5" w:themeFillTint="33"/>
            <w:vAlign w:val="center"/>
          </w:tcPr>
          <w:p w14:paraId="63910BE1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11" w:type="dxa"/>
            <w:shd w:val="clear" w:color="auto" w:fill="D9E2F3" w:themeFill="accent5" w:themeFillTint="33"/>
            <w:vAlign w:val="center"/>
          </w:tcPr>
          <w:p w14:paraId="4E81AA80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36" w:type="dxa"/>
            <w:shd w:val="clear" w:color="auto" w:fill="D9E2F3" w:themeFill="accent5" w:themeFillTint="33"/>
            <w:vAlign w:val="center"/>
          </w:tcPr>
          <w:p w14:paraId="5F76E2B0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shd w:val="clear" w:color="auto" w:fill="D9E2F3" w:themeFill="accent5" w:themeFillTint="33"/>
            <w:vAlign w:val="center"/>
          </w:tcPr>
          <w:p w14:paraId="6EE3733E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2" w:type="dxa"/>
            <w:shd w:val="clear" w:color="auto" w:fill="D9E2F3" w:themeFill="accent5" w:themeFillTint="33"/>
            <w:vAlign w:val="center"/>
          </w:tcPr>
          <w:p w14:paraId="26C914A6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82" w:type="dxa"/>
            <w:shd w:val="clear" w:color="auto" w:fill="D9E2F3" w:themeFill="accent5" w:themeFillTint="33"/>
            <w:vAlign w:val="center"/>
          </w:tcPr>
          <w:p w14:paraId="0B29F95A" w14:textId="77777777" w:rsidR="00103529" w:rsidRPr="00DB4E3F" w:rsidRDefault="00CE2028" w:rsidP="0079602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E3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13B8F" w:rsidRPr="00DB4E3F" w14:paraId="3A231BCE" w14:textId="77777777" w:rsidTr="00341B71">
        <w:tc>
          <w:tcPr>
            <w:tcW w:w="829" w:type="dxa"/>
            <w:vAlign w:val="center"/>
          </w:tcPr>
          <w:p w14:paraId="406F3658" w14:textId="77777777" w:rsidR="00F371EF" w:rsidRPr="00DB4E3F" w:rsidRDefault="00F371EF" w:rsidP="00E21D5F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58493A8" w14:textId="19F9CFB5" w:rsidR="00F371EF" w:rsidRPr="00C708B2" w:rsidRDefault="008B413C" w:rsidP="00C708B2">
            <w:pPr>
              <w:pStyle w:val="trescpisma"/>
            </w:pPr>
            <w:r w:rsidRPr="00C708B2">
              <w:t>Realizacja zadań wynikających</w:t>
            </w:r>
            <w:r w:rsidR="0070079E" w:rsidRPr="00C708B2">
              <w:t xml:space="preserve"> </w:t>
            </w:r>
            <w:r w:rsidRPr="00C708B2">
              <w:t xml:space="preserve">z art. 21 i art. 8a ust. 1 pkt 3 ustawy z dnia </w:t>
            </w:r>
            <w:r w:rsidR="002B11AD" w:rsidRPr="00C708B2">
              <w:br/>
            </w:r>
            <w:r w:rsidRPr="00C708B2">
              <w:t xml:space="preserve">16 grudnia 2016 r. </w:t>
            </w:r>
            <w:r w:rsidR="002B11AD" w:rsidRPr="00C708B2">
              <w:br/>
            </w:r>
            <w:r w:rsidRPr="00C708B2">
              <w:t>o zasadach zarządzania mieniem</w:t>
            </w:r>
            <w:r w:rsidR="0070079E" w:rsidRPr="00C708B2">
              <w:t xml:space="preserve"> </w:t>
            </w:r>
            <w:r w:rsidRPr="00C708B2">
              <w:t>państwowym.</w:t>
            </w:r>
          </w:p>
        </w:tc>
        <w:tc>
          <w:tcPr>
            <w:tcW w:w="2811" w:type="dxa"/>
          </w:tcPr>
          <w:p w14:paraId="4A2144A9" w14:textId="25E71655" w:rsidR="00F371EF" w:rsidRPr="00C708B2" w:rsidRDefault="00F371EF" w:rsidP="00C708B2">
            <w:pPr>
              <w:pStyle w:val="trescpisma"/>
            </w:pPr>
            <w:r w:rsidRPr="00C708B2">
              <w:t>Przeprowadzenie egzaminów (przeprowadzone egzaminy/</w:t>
            </w:r>
            <w:r w:rsidR="002B11AD" w:rsidRPr="00C708B2">
              <w:t>6</w:t>
            </w:r>
            <w:r w:rsidRPr="00C708B2">
              <w:t xml:space="preserve"> zaplanowanych egzaminów)</w:t>
            </w:r>
          </w:p>
        </w:tc>
        <w:tc>
          <w:tcPr>
            <w:tcW w:w="1836" w:type="dxa"/>
          </w:tcPr>
          <w:p w14:paraId="7953DCCF" w14:textId="6A0D10C2" w:rsidR="00F371EF" w:rsidRPr="00C708B2" w:rsidRDefault="00875A6F" w:rsidP="00C708B2">
            <w:pPr>
              <w:pStyle w:val="trescpisma"/>
            </w:pPr>
            <w:r w:rsidRPr="00C708B2">
              <w:t>≥</w:t>
            </w:r>
            <w:r w:rsidR="00F371EF" w:rsidRPr="00C708B2">
              <w:t xml:space="preserve"> </w:t>
            </w:r>
            <w:r w:rsidR="00D15B10" w:rsidRPr="00C708B2">
              <w:t>7</w:t>
            </w:r>
            <w:r w:rsidR="00F371EF" w:rsidRPr="00C708B2">
              <w:t>5%</w:t>
            </w:r>
          </w:p>
        </w:tc>
        <w:tc>
          <w:tcPr>
            <w:tcW w:w="1791" w:type="dxa"/>
          </w:tcPr>
          <w:p w14:paraId="214AF41A" w14:textId="6D3DF012" w:rsidR="00F371EF" w:rsidRPr="00C708B2" w:rsidRDefault="002B11AD" w:rsidP="00C708B2">
            <w:pPr>
              <w:pStyle w:val="trescpisma"/>
            </w:pPr>
            <w:r w:rsidRPr="00C708B2">
              <w:t>216,66</w:t>
            </w:r>
            <w:r w:rsidR="00530947" w:rsidRPr="00C708B2">
              <w:t>%</w:t>
            </w:r>
          </w:p>
        </w:tc>
        <w:tc>
          <w:tcPr>
            <w:tcW w:w="3422" w:type="dxa"/>
          </w:tcPr>
          <w:p w14:paraId="19177399" w14:textId="77777777" w:rsidR="00D15B10" w:rsidRPr="00C708B2" w:rsidRDefault="00D15B10" w:rsidP="00C708B2">
            <w:pPr>
              <w:pStyle w:val="trescpisma"/>
            </w:pPr>
            <w:r w:rsidRPr="00C708B2">
              <w:t>Organizacja i przeprowadzanie egzaminów dla kandydatów na członków organów nadzorczych.</w:t>
            </w:r>
          </w:p>
          <w:p w14:paraId="53834982" w14:textId="7896C57D" w:rsidR="00F371EF" w:rsidRPr="00C708B2" w:rsidRDefault="00D15B10" w:rsidP="00C708B2">
            <w:pPr>
              <w:pStyle w:val="trescpisma"/>
            </w:pPr>
            <w:r w:rsidRPr="00C708B2">
              <w:t>Prowadzenie listy osób, które złożyły z wynikiem pozytywnym egzamin, o którym mowa w art. 19 ust. 1 pkt 1 lit. h-k ustawy z dnia 16 grudnia 2016 r. o zasadach zarządzania mieniem państwowym.</w:t>
            </w:r>
          </w:p>
        </w:tc>
        <w:tc>
          <w:tcPr>
            <w:tcW w:w="3382" w:type="dxa"/>
          </w:tcPr>
          <w:p w14:paraId="6EA7E5AD" w14:textId="441CE756" w:rsidR="009D2180" w:rsidRPr="00C708B2" w:rsidRDefault="002B11AD" w:rsidP="00C708B2">
            <w:pPr>
              <w:pStyle w:val="trescpisma"/>
            </w:pPr>
            <w:r w:rsidRPr="00C708B2">
              <w:t xml:space="preserve">W okresie 1.01-31.12.2024 r. odbyło się 13 egzaminów: </w:t>
            </w:r>
            <w:r w:rsidR="00452B78">
              <w:t>20</w:t>
            </w:r>
            <w:r w:rsidRPr="00C708B2">
              <w:t>.04, 18.05, 19.05, 15.06, 16.06, 29.06, 30.06, 13.07, 14.07, 21.09, 19.10, 23.11 i 14.12. Na listach uczestników egzaminu znajdowało się 387, ostatecznie do egzaminu przystąpiło 356. Wynik pozytywny egzaminu uzyskały 94 osoby, co stanowi 26,40% liczby osób, które przystąpiły do egzaminu. Dane osób, które złożyły egzamin z wynikiem pozytywnym zostały wpisane na listę, o której mowa w art. 8a ust. 1 pkt 3 ustawy z dnia 16 grudnia 2016 r. o zasadach zarządzania mieniem państwowym.</w:t>
            </w:r>
          </w:p>
        </w:tc>
      </w:tr>
      <w:tr w:rsidR="00513B8F" w:rsidRPr="00DB4E3F" w14:paraId="75E0EC5C" w14:textId="77777777" w:rsidTr="00341B71">
        <w:tc>
          <w:tcPr>
            <w:tcW w:w="829" w:type="dxa"/>
            <w:vAlign w:val="center"/>
          </w:tcPr>
          <w:p w14:paraId="0ABA41B4" w14:textId="77777777" w:rsidR="00091830" w:rsidRPr="00DB4E3F" w:rsidRDefault="00091830" w:rsidP="00091830">
            <w:pPr>
              <w:pStyle w:val="Akapitzlist"/>
              <w:numPr>
                <w:ilvl w:val="0"/>
                <w:numId w:val="5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6775063" w14:textId="252ABCAC" w:rsidR="00091830" w:rsidRPr="00DB4E3F" w:rsidRDefault="00513B8F" w:rsidP="00C708B2">
            <w:pPr>
              <w:pStyle w:val="trescpisma"/>
            </w:pPr>
            <w:r>
              <w:t>Zapewnienie ram prawnych dla skutecznego funkcjonowania zliberalizowanego rynku pocztowego.</w:t>
            </w:r>
            <w:r w:rsidRPr="00DB4E3F">
              <w:t xml:space="preserve"> </w:t>
            </w:r>
          </w:p>
        </w:tc>
        <w:tc>
          <w:tcPr>
            <w:tcW w:w="2811" w:type="dxa"/>
          </w:tcPr>
          <w:p w14:paraId="4A53B012" w14:textId="2C91976F" w:rsidR="00091830" w:rsidRPr="00DB4E3F" w:rsidRDefault="00091830" w:rsidP="00C708B2">
            <w:pPr>
              <w:pStyle w:val="trescpisma"/>
            </w:pPr>
            <w:r w:rsidRPr="002B11AD">
              <w:t>Stopień liczby przygotowanych aktów normatywnych w stosunku do liczby aktów planowanych do opracowania.</w:t>
            </w:r>
          </w:p>
        </w:tc>
        <w:tc>
          <w:tcPr>
            <w:tcW w:w="1836" w:type="dxa"/>
          </w:tcPr>
          <w:p w14:paraId="07966EAC" w14:textId="686B3AD7" w:rsidR="00091830" w:rsidRPr="00DB4E3F" w:rsidRDefault="00091830" w:rsidP="00C708B2">
            <w:pPr>
              <w:pStyle w:val="trescpisma"/>
            </w:pPr>
            <w:r w:rsidRPr="002B11AD">
              <w:t>100%</w:t>
            </w:r>
          </w:p>
        </w:tc>
        <w:tc>
          <w:tcPr>
            <w:tcW w:w="1791" w:type="dxa"/>
          </w:tcPr>
          <w:p w14:paraId="31205E94" w14:textId="74BD28D0" w:rsidR="00091830" w:rsidRPr="00DB4E3F" w:rsidRDefault="00091830" w:rsidP="00C708B2">
            <w:pPr>
              <w:pStyle w:val="trescpisma"/>
            </w:pPr>
            <w:r w:rsidRPr="002B11AD">
              <w:t>45%</w:t>
            </w:r>
          </w:p>
        </w:tc>
        <w:tc>
          <w:tcPr>
            <w:tcW w:w="3422" w:type="dxa"/>
          </w:tcPr>
          <w:p w14:paraId="17D3A42F" w14:textId="77777777" w:rsidR="00091830" w:rsidRPr="002B11AD" w:rsidRDefault="00091830" w:rsidP="00C708B2">
            <w:pPr>
              <w:pStyle w:val="trescpisma"/>
              <w:rPr>
                <w:lang w:eastAsia="en-US"/>
              </w:rPr>
            </w:pPr>
            <w:r w:rsidRPr="002B11AD">
              <w:rPr>
                <w:lang w:eastAsia="en-US"/>
              </w:rPr>
              <w:t>Ratyfikacja Aktów Światowego Związku Pocztowego przyjętych w 2018 r. na Kongresie w Addis Abebie.</w:t>
            </w:r>
          </w:p>
          <w:p w14:paraId="2D4E52DA" w14:textId="77777777" w:rsidR="00091830" w:rsidRPr="002B11AD" w:rsidRDefault="00091830" w:rsidP="00C708B2">
            <w:pPr>
              <w:pStyle w:val="trescpisma"/>
              <w:rPr>
                <w:lang w:eastAsia="en-US"/>
              </w:rPr>
            </w:pPr>
            <w:r w:rsidRPr="002B11AD">
              <w:rPr>
                <w:lang w:eastAsia="en-US"/>
              </w:rPr>
              <w:t>Ratyfikacja Aktów Światowego Związku Pocztowego przyjętych w 2019 r. na Kongresie w Genewie.</w:t>
            </w:r>
          </w:p>
          <w:p w14:paraId="41D9200B" w14:textId="30CD3C61" w:rsidR="00091830" w:rsidRPr="00D15B10" w:rsidRDefault="00091830" w:rsidP="00C708B2">
            <w:pPr>
              <w:pStyle w:val="trescpisma"/>
              <w:rPr>
                <w:rFonts w:eastAsia="Times New Roman"/>
              </w:rPr>
            </w:pPr>
            <w:r w:rsidRPr="002B11AD">
              <w:rPr>
                <w:lang w:eastAsia="en-US"/>
              </w:rPr>
              <w:lastRenderedPageBreak/>
              <w:t>Ratyfikacja Aktów Światowego Związku Pocztowego przyjętych w 2021 r. na Kongresie w Abidżanie</w:t>
            </w:r>
          </w:p>
        </w:tc>
        <w:tc>
          <w:tcPr>
            <w:tcW w:w="3382" w:type="dxa"/>
          </w:tcPr>
          <w:p w14:paraId="41AF1C63" w14:textId="3CE4998B" w:rsidR="00091830" w:rsidRPr="00D15B10" w:rsidRDefault="00091830" w:rsidP="00C708B2">
            <w:pPr>
              <w:pStyle w:val="trescpisma"/>
              <w:rPr>
                <w:highlight w:val="yellow"/>
              </w:rPr>
            </w:pPr>
            <w:r w:rsidRPr="002B11AD">
              <w:lastRenderedPageBreak/>
              <w:t>Brak zasobów do realizacji zadania z uwagi na konieczność realizacji innych priorytetowych pilnych zadań.</w:t>
            </w:r>
          </w:p>
        </w:tc>
      </w:tr>
      <w:tr w:rsidR="00513B8F" w:rsidRPr="008A6010" w14:paraId="5DE94664" w14:textId="77777777" w:rsidTr="00341B71">
        <w:tc>
          <w:tcPr>
            <w:tcW w:w="829" w:type="dxa"/>
            <w:vAlign w:val="center"/>
          </w:tcPr>
          <w:p w14:paraId="5F6EEFEC" w14:textId="2A862F89" w:rsidR="00091830" w:rsidRPr="00875A6F" w:rsidRDefault="00350EFC" w:rsidP="00091830">
            <w:pPr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918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84" w:type="dxa"/>
          </w:tcPr>
          <w:p w14:paraId="3DF70D59" w14:textId="42386075" w:rsidR="00091830" w:rsidRPr="00C237F1" w:rsidRDefault="00091830" w:rsidP="00C708B2">
            <w:pPr>
              <w:pStyle w:val="trescpisma"/>
            </w:pPr>
            <w:r>
              <w:t>Zapewnienie spójnej polityki zagranicznej Ministerstwa Aktywów Państwowych w zakresie organizacji i koordynacji dwustronnej i wielostronnej współpracy międzynarodowej oraz spraw związanych z członkostwem w Unii Europejskiej.</w:t>
            </w:r>
          </w:p>
        </w:tc>
        <w:tc>
          <w:tcPr>
            <w:tcW w:w="2811" w:type="dxa"/>
          </w:tcPr>
          <w:p w14:paraId="49C7D64A" w14:textId="07D945A5" w:rsidR="00091830" w:rsidRPr="00C237F1" w:rsidRDefault="00091830" w:rsidP="00C708B2">
            <w:pPr>
              <w:pStyle w:val="trescpisma"/>
            </w:pPr>
            <w:r>
              <w:t>Opracowanie planu współpracy zagranicznej Ministerstwa Aktywów Państwowych na 2024 rok.</w:t>
            </w:r>
          </w:p>
        </w:tc>
        <w:tc>
          <w:tcPr>
            <w:tcW w:w="1836" w:type="dxa"/>
          </w:tcPr>
          <w:p w14:paraId="1274AF40" w14:textId="355175F4" w:rsidR="00091830" w:rsidRPr="00C237F1" w:rsidRDefault="00091830" w:rsidP="00C708B2">
            <w:pPr>
              <w:pStyle w:val="trescpisma"/>
            </w:pPr>
            <w:r w:rsidRPr="00DB4E3F">
              <w:t>1</w:t>
            </w:r>
            <w:r>
              <w:t>00%</w:t>
            </w:r>
          </w:p>
        </w:tc>
        <w:tc>
          <w:tcPr>
            <w:tcW w:w="1791" w:type="dxa"/>
          </w:tcPr>
          <w:p w14:paraId="2173DFFA" w14:textId="1126CF29" w:rsidR="00091830" w:rsidRPr="008A6010" w:rsidRDefault="00091830" w:rsidP="00C708B2">
            <w:pPr>
              <w:pStyle w:val="trescpisma"/>
              <w:rPr>
                <w:highlight w:val="yellow"/>
              </w:rPr>
            </w:pPr>
            <w:r>
              <w:t>100%</w:t>
            </w:r>
          </w:p>
        </w:tc>
        <w:tc>
          <w:tcPr>
            <w:tcW w:w="3422" w:type="dxa"/>
          </w:tcPr>
          <w:p w14:paraId="7564365C" w14:textId="18E6103E" w:rsidR="00091830" w:rsidRPr="00C237F1" w:rsidRDefault="00091830" w:rsidP="00C708B2">
            <w:pPr>
              <w:pStyle w:val="trescpisma"/>
              <w:rPr>
                <w:iCs/>
                <w:highlight w:val="yellow"/>
              </w:rPr>
            </w:pPr>
            <w:r>
              <w:rPr>
                <w:rFonts w:eastAsia="Times New Roman"/>
              </w:rPr>
              <w:t xml:space="preserve">Sporządzenie planu współpracy zagranicznej </w:t>
            </w:r>
            <w:r>
              <w:t>Ministerstwa Aktywów Państwowych na 2024 rok.</w:t>
            </w:r>
          </w:p>
        </w:tc>
        <w:tc>
          <w:tcPr>
            <w:tcW w:w="3382" w:type="dxa"/>
          </w:tcPr>
          <w:p w14:paraId="619865C6" w14:textId="77777777" w:rsidR="00091830" w:rsidRDefault="00091830" w:rsidP="00C708B2">
            <w:pPr>
              <w:pStyle w:val="trescpisma"/>
            </w:pPr>
            <w:r>
              <w:t>Zebranie uwag KO MAP do projektu planu współpracy międzynarodowej MAP.</w:t>
            </w:r>
          </w:p>
          <w:p w14:paraId="6B78E222" w14:textId="2DCC7A7C" w:rsidR="00CA0D5B" w:rsidRPr="008A6010" w:rsidRDefault="00CA0D5B" w:rsidP="00C708B2">
            <w:pPr>
              <w:pStyle w:val="trescpisma"/>
              <w:rPr>
                <w:highlight w:val="yellow"/>
              </w:rPr>
            </w:pPr>
            <w:r w:rsidRPr="00CA0D5B">
              <w:t>Plan współpracy zagranicznej Ministerstwa Aktywów Państwowych na 2024 rok został zatwierdzony.</w:t>
            </w:r>
          </w:p>
        </w:tc>
      </w:tr>
      <w:tr w:rsidR="00513B8F" w:rsidRPr="008A6010" w14:paraId="01BA8B8B" w14:textId="77777777" w:rsidTr="004E2D82">
        <w:trPr>
          <w:trHeight w:val="2904"/>
        </w:trPr>
        <w:tc>
          <w:tcPr>
            <w:tcW w:w="829" w:type="dxa"/>
            <w:vAlign w:val="center"/>
          </w:tcPr>
          <w:p w14:paraId="593E467D" w14:textId="6FEEF3E2" w:rsidR="00091830" w:rsidRPr="00875A6F" w:rsidRDefault="00350EFC" w:rsidP="00091830">
            <w:pPr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918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14:paraId="45231349" w14:textId="0F9A805C" w:rsidR="00091830" w:rsidRPr="00B823FC" w:rsidRDefault="00091830" w:rsidP="00C708B2">
            <w:pPr>
              <w:pStyle w:val="trescpisma"/>
            </w:pPr>
            <w:r w:rsidRPr="00D97F51">
              <w:t>Usprawnienie pozyskiwania przez spółki Skarbu Państwa funduszy europejskich oraz innych dostępnych źródeł finansowania z udziałem środków europejskich.</w:t>
            </w:r>
          </w:p>
        </w:tc>
        <w:tc>
          <w:tcPr>
            <w:tcW w:w="2811" w:type="dxa"/>
            <w:shd w:val="clear" w:color="auto" w:fill="auto"/>
          </w:tcPr>
          <w:p w14:paraId="6DA7A43E" w14:textId="353B09A3" w:rsidR="00091830" w:rsidRPr="00B823FC" w:rsidRDefault="00091830" w:rsidP="00C708B2">
            <w:pPr>
              <w:pStyle w:val="trescpisma"/>
            </w:pPr>
            <w:r w:rsidRPr="00C237F1">
              <w:t>Spółki Skarbu Państwa, wsparte w zakresie możliwości uzyskania pomocy ze środków funduszy europejskich oraz innych dostępnych źródeł europejskich</w:t>
            </w:r>
          </w:p>
        </w:tc>
        <w:tc>
          <w:tcPr>
            <w:tcW w:w="1836" w:type="dxa"/>
            <w:shd w:val="clear" w:color="auto" w:fill="auto"/>
          </w:tcPr>
          <w:p w14:paraId="5354DEBA" w14:textId="34ED7F3E" w:rsidR="00091830" w:rsidRPr="00B823FC" w:rsidRDefault="00091830" w:rsidP="00C708B2">
            <w:pPr>
              <w:pStyle w:val="trescpisma"/>
            </w:pPr>
            <w:r w:rsidRPr="00C237F1">
              <w:t xml:space="preserve">≥ </w:t>
            </w:r>
            <w:r>
              <w:t>5</w:t>
            </w:r>
            <w:r w:rsidRPr="00C237F1">
              <w:t>0</w:t>
            </w:r>
          </w:p>
        </w:tc>
        <w:tc>
          <w:tcPr>
            <w:tcW w:w="1791" w:type="dxa"/>
            <w:shd w:val="clear" w:color="auto" w:fill="auto"/>
          </w:tcPr>
          <w:p w14:paraId="79F15750" w14:textId="16373CE0" w:rsidR="00091830" w:rsidRPr="00B823FC" w:rsidRDefault="00091830" w:rsidP="00C708B2">
            <w:pPr>
              <w:pStyle w:val="trescpisma"/>
            </w:pPr>
            <w:r>
              <w:t>71</w:t>
            </w:r>
          </w:p>
        </w:tc>
        <w:tc>
          <w:tcPr>
            <w:tcW w:w="3422" w:type="dxa"/>
            <w:shd w:val="clear" w:color="auto" w:fill="auto"/>
          </w:tcPr>
          <w:p w14:paraId="75CD0A7E" w14:textId="60271E90" w:rsidR="00091830" w:rsidRPr="00B823FC" w:rsidRDefault="00091830" w:rsidP="00C708B2">
            <w:pPr>
              <w:pStyle w:val="trescpisma"/>
              <w:rPr>
                <w:sz w:val="22"/>
                <w:lang w:eastAsia="en-US"/>
              </w:rPr>
            </w:pPr>
            <w:r w:rsidRPr="00C237F1">
              <w:t>Wsparcie i rozwój spółek Skarbu Państwa z wykorzystaniem zewnętrznych środków finansowania w ramach polityki spójności oraz innych dostępnych źródeł europejskich.</w:t>
            </w:r>
          </w:p>
        </w:tc>
        <w:tc>
          <w:tcPr>
            <w:tcW w:w="3382" w:type="dxa"/>
            <w:shd w:val="clear" w:color="auto" w:fill="auto"/>
          </w:tcPr>
          <w:p w14:paraId="7ECFAE25" w14:textId="5E4AD97C" w:rsidR="00DE25C8" w:rsidRDefault="00C63062" w:rsidP="00C708B2">
            <w:pPr>
              <w:pStyle w:val="trescpisma"/>
            </w:pPr>
            <w:r>
              <w:t>Odbywały się s</w:t>
            </w:r>
            <w:r w:rsidR="00DE25C8">
              <w:t xml:space="preserve">potkania z przedstawicielami Spółek Skarbu Państwa w szczególności w zakresie możliwości uzyskania wsparcia finansowego na realizację planowanych projektów SSP ze środków KPO w ramach inwestycji za realizację których </w:t>
            </w:r>
            <w:r w:rsidR="00B21706">
              <w:t>o</w:t>
            </w:r>
            <w:r w:rsidR="00DE25C8">
              <w:t>dpowiedzialny jest MAP oraz innych dostępnych źródeł finansowania</w:t>
            </w:r>
            <w:r w:rsidR="00B21706">
              <w:t>.</w:t>
            </w:r>
          </w:p>
          <w:p w14:paraId="56186A80" w14:textId="26D497F3" w:rsidR="00B13263" w:rsidRPr="00B823FC" w:rsidRDefault="00F12EE2" w:rsidP="00C708B2">
            <w:pPr>
              <w:pStyle w:val="trescpisma"/>
            </w:pPr>
            <w:r>
              <w:t>Dokonywano w</w:t>
            </w:r>
            <w:r w:rsidR="00DE25C8">
              <w:t>sparci</w:t>
            </w:r>
            <w:r>
              <w:t>a</w:t>
            </w:r>
            <w:r w:rsidR="00DE25C8">
              <w:t xml:space="preserve"> w zakresie przygotowywania dokumentacji </w:t>
            </w:r>
            <w:r>
              <w:br/>
            </w:r>
            <w:r w:rsidR="00DE25C8">
              <w:t>w celu pozyskania wsparcia na realizację projektów w ramach inwestycji A2.1.1 KPO</w:t>
            </w:r>
            <w:r w:rsidR="008B2369">
              <w:t>,</w:t>
            </w:r>
            <w:r w:rsidR="00DE25C8">
              <w:t xml:space="preserve"> za którą MAP jest odpowiedzialny efektem czego było podpisanie Umów o objęcie wsparciem przez SSP.</w:t>
            </w:r>
          </w:p>
        </w:tc>
      </w:tr>
    </w:tbl>
    <w:p w14:paraId="4B70335C" w14:textId="27C1878F" w:rsidR="00103529" w:rsidRPr="00C75659" w:rsidRDefault="00CE2028" w:rsidP="0070079E">
      <w:pPr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DB4E3F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CZĘŚĆ D: Informacja dotycząca realizacji celów objętych planem działalności na rok </w:t>
      </w:r>
      <w:r w:rsidRPr="00C75659">
        <w:rPr>
          <w:rFonts w:ascii="Arial" w:hAnsi="Arial" w:cs="Arial"/>
          <w:b/>
          <w:bCs/>
          <w:sz w:val="20"/>
          <w:szCs w:val="20"/>
        </w:rPr>
        <w:t>20</w:t>
      </w:r>
      <w:r w:rsidR="007D4A8B" w:rsidRPr="00C75659">
        <w:rPr>
          <w:rFonts w:ascii="Arial" w:hAnsi="Arial" w:cs="Arial"/>
          <w:b/>
          <w:bCs/>
          <w:sz w:val="20"/>
          <w:szCs w:val="20"/>
        </w:rPr>
        <w:t>2</w:t>
      </w:r>
      <w:r w:rsidR="008301DF" w:rsidRPr="00C75659">
        <w:rPr>
          <w:rFonts w:ascii="Arial" w:hAnsi="Arial" w:cs="Arial"/>
          <w:b/>
          <w:bCs/>
          <w:sz w:val="20"/>
          <w:szCs w:val="20"/>
        </w:rPr>
        <w:t>4</w:t>
      </w:r>
    </w:p>
    <w:p w14:paraId="6DF32E2A" w14:textId="2008FF39" w:rsidR="001130E1" w:rsidRPr="003A4CEF" w:rsidRDefault="001130E1" w:rsidP="004463B3">
      <w:pPr>
        <w:spacing w:before="240" w:after="0"/>
        <w:rPr>
          <w:rFonts w:ascii="Arial" w:hAnsi="Arial" w:cs="Arial"/>
          <w:sz w:val="20"/>
          <w:szCs w:val="20"/>
        </w:rPr>
      </w:pPr>
      <w:r w:rsidRPr="003A4CEF">
        <w:rPr>
          <w:rFonts w:ascii="Arial" w:hAnsi="Arial" w:cs="Arial"/>
          <w:sz w:val="20"/>
          <w:szCs w:val="20"/>
        </w:rPr>
        <w:t>W części B pkt 1.</w:t>
      </w:r>
    </w:p>
    <w:p w14:paraId="7DFC37C4" w14:textId="77777777" w:rsidR="003A4CEF" w:rsidRPr="003A4CEF" w:rsidRDefault="003A4CEF" w:rsidP="003A4CEF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2E0FE6C1" w14:textId="77777777" w:rsidR="001F65A3" w:rsidRPr="00C07C86" w:rsidRDefault="00D25B5C" w:rsidP="001F65A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07C86">
        <w:rPr>
          <w:rFonts w:ascii="Arial" w:hAnsi="Arial" w:cs="Arial"/>
          <w:sz w:val="20"/>
          <w:szCs w:val="20"/>
        </w:rPr>
        <w:t>Zgodnie z a</w:t>
      </w:r>
      <w:r w:rsidRPr="00C07C86">
        <w:rPr>
          <w:rFonts w:ascii="Arial" w:hAnsi="Arial" w:cs="Arial"/>
          <w:sz w:val="20"/>
          <w:szCs w:val="20"/>
          <w:lang w:eastAsia="en-US"/>
        </w:rPr>
        <w:t>rt. 70 ust.</w:t>
      </w:r>
      <w:r w:rsidRPr="00C07C86">
        <w:rPr>
          <w:rFonts w:ascii="Arial" w:hAnsi="Arial" w:cs="Arial"/>
          <w:sz w:val="20"/>
          <w:szCs w:val="20"/>
        </w:rPr>
        <w:t xml:space="preserve"> 1 </w:t>
      </w:r>
      <w:r w:rsidRPr="00C07C86">
        <w:rPr>
          <w:rFonts w:ascii="Arial" w:hAnsi="Arial" w:cs="Arial"/>
          <w:sz w:val="20"/>
          <w:szCs w:val="20"/>
          <w:lang w:eastAsia="en-US"/>
        </w:rPr>
        <w:t xml:space="preserve">ustawy z dnia 27 sierpnia 2009 r. o finansach publicznych (Dz. U. z 2024 r. poz. 1530 z </w:t>
      </w:r>
      <w:proofErr w:type="spellStart"/>
      <w:r w:rsidRPr="00C07C86">
        <w:rPr>
          <w:rFonts w:ascii="Arial" w:hAnsi="Arial" w:cs="Arial"/>
          <w:sz w:val="20"/>
          <w:szCs w:val="20"/>
          <w:lang w:eastAsia="en-US"/>
        </w:rPr>
        <w:t>późn</w:t>
      </w:r>
      <w:proofErr w:type="spellEnd"/>
      <w:r w:rsidRPr="00C07C86">
        <w:rPr>
          <w:rFonts w:ascii="Arial" w:hAnsi="Arial" w:cs="Arial"/>
          <w:sz w:val="20"/>
          <w:szCs w:val="20"/>
          <w:lang w:eastAsia="en-US"/>
        </w:rPr>
        <w:t xml:space="preserve">. zm.) </w:t>
      </w:r>
      <w:r w:rsidRPr="00C07C86">
        <w:rPr>
          <w:rFonts w:ascii="Arial" w:hAnsi="Arial" w:cs="Arial"/>
          <w:sz w:val="20"/>
          <w:szCs w:val="20"/>
        </w:rPr>
        <w:t>odpowiedzialność za sporządzenie planu działalności spoczywa na ministrze i obejmuje kierowane przez niego działy administracji rządowej. Plan jest sporządzany do końca listopada każdego roku i dotyczy roku następnego. Natomiast sprawozdanie obejmujące rok poprzedni należy przedstawić do końca kwietnia (a</w:t>
      </w:r>
      <w:r w:rsidRPr="00C07C86">
        <w:rPr>
          <w:rFonts w:ascii="Arial" w:hAnsi="Arial" w:cs="Arial"/>
          <w:sz w:val="20"/>
          <w:szCs w:val="20"/>
          <w:lang w:eastAsia="en-US"/>
        </w:rPr>
        <w:t>rt. 70 ust.</w:t>
      </w:r>
      <w:r w:rsidRPr="00C07C86">
        <w:rPr>
          <w:rFonts w:ascii="Arial" w:hAnsi="Arial" w:cs="Arial"/>
          <w:sz w:val="20"/>
          <w:szCs w:val="20"/>
        </w:rPr>
        <w:t xml:space="preserve"> 3). </w:t>
      </w:r>
      <w:r w:rsidR="001F65A3" w:rsidRPr="00C07C86">
        <w:rPr>
          <w:rFonts w:ascii="Arial" w:hAnsi="Arial" w:cs="Arial"/>
          <w:bCs/>
          <w:sz w:val="20"/>
          <w:szCs w:val="20"/>
        </w:rPr>
        <w:t>Sporządzenie sprawozdania z działalności wymaga przygotowania informacji w układzie odpowiadającym elementom zawartym w planie.</w:t>
      </w:r>
    </w:p>
    <w:p w14:paraId="679BCC74" w14:textId="77777777" w:rsidR="00D25B5C" w:rsidRPr="00C07C86" w:rsidRDefault="00D25B5C" w:rsidP="00D25B5C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07C86">
        <w:rPr>
          <w:rFonts w:ascii="Arial" w:hAnsi="Arial" w:cs="Arial"/>
          <w:sz w:val="20"/>
          <w:szCs w:val="20"/>
        </w:rPr>
        <w:t xml:space="preserve">Mając powyższe na uwadze, Plan działalności Ministra Aktywów Państwowych za rok 2024 był zatwierdzony dla działów administracji rządowej: aktywa państwowe, gospodarka złożami kopalin, łączność. Plan działalności Ministra Aktywów Państwowych zawierał  najważniejsze cele i zadania ministra do realizacji w 2024 r. </w:t>
      </w:r>
    </w:p>
    <w:p w14:paraId="05C21FA4" w14:textId="77777777" w:rsidR="00D25B5C" w:rsidRPr="00C07C86" w:rsidRDefault="00D25B5C" w:rsidP="00D25B5C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07C86">
        <w:rPr>
          <w:rFonts w:ascii="Arial" w:hAnsi="Arial" w:cs="Arial"/>
          <w:bCs/>
          <w:sz w:val="20"/>
          <w:szCs w:val="20"/>
        </w:rPr>
        <w:t xml:space="preserve">Należy podkreślić, </w:t>
      </w:r>
      <w:r w:rsidRPr="00C07C86">
        <w:rPr>
          <w:rFonts w:ascii="Arial" w:hAnsi="Arial" w:cs="Arial"/>
          <w:b/>
          <w:sz w:val="20"/>
          <w:szCs w:val="20"/>
        </w:rPr>
        <w:t xml:space="preserve"> </w:t>
      </w:r>
      <w:r w:rsidRPr="00C07C86">
        <w:rPr>
          <w:rFonts w:ascii="Arial" w:hAnsi="Arial" w:cs="Arial"/>
          <w:sz w:val="20"/>
          <w:szCs w:val="20"/>
          <w:lang w:eastAsia="en-US"/>
        </w:rPr>
        <w:t xml:space="preserve">że miernik o nazwie „Roczne wydobycie węgla kamiennego (w tonach)” </w:t>
      </w:r>
      <w:r w:rsidRPr="00C07C86">
        <w:rPr>
          <w:rFonts w:ascii="Arial" w:hAnsi="Arial" w:cs="Arial"/>
          <w:sz w:val="20"/>
          <w:szCs w:val="20"/>
        </w:rPr>
        <w:t xml:space="preserve">zaplanowany </w:t>
      </w:r>
      <w:r w:rsidRPr="00C07C86">
        <w:rPr>
          <w:rFonts w:ascii="Arial" w:hAnsi="Arial" w:cs="Arial"/>
          <w:sz w:val="20"/>
          <w:szCs w:val="20"/>
          <w:lang w:eastAsia="en-US"/>
        </w:rPr>
        <w:t xml:space="preserve">był przez Ministra Aktywów Państwowych w części 48 – Gospodarka złożami kopalin, której </w:t>
      </w:r>
      <w:r w:rsidRPr="00C07C86">
        <w:rPr>
          <w:rFonts w:ascii="Arial" w:hAnsi="Arial" w:cs="Arial"/>
          <w:sz w:val="20"/>
          <w:szCs w:val="20"/>
        </w:rPr>
        <w:t xml:space="preserve">Minister był </w:t>
      </w:r>
      <w:r w:rsidRPr="00C07C86">
        <w:rPr>
          <w:rFonts w:ascii="Arial" w:hAnsi="Arial" w:cs="Arial"/>
          <w:sz w:val="20"/>
          <w:szCs w:val="20"/>
          <w:lang w:eastAsia="en-US"/>
        </w:rPr>
        <w:t>dysponentem do dnia 13 grudnia 2023 r.</w:t>
      </w:r>
    </w:p>
    <w:p w14:paraId="03449D51" w14:textId="3A03BA2C" w:rsidR="00D25B5C" w:rsidRPr="00C07C86" w:rsidRDefault="00D25B5C" w:rsidP="00D25B5C">
      <w:pPr>
        <w:spacing w:line="240" w:lineRule="auto"/>
        <w:rPr>
          <w:rFonts w:ascii="Arial" w:hAnsi="Arial" w:cs="Arial"/>
          <w:sz w:val="20"/>
          <w:szCs w:val="20"/>
        </w:rPr>
      </w:pPr>
      <w:r w:rsidRPr="00C07C86">
        <w:rPr>
          <w:rFonts w:ascii="Arial" w:hAnsi="Arial" w:cs="Arial"/>
          <w:sz w:val="20"/>
          <w:szCs w:val="20"/>
        </w:rPr>
        <w:t xml:space="preserve">Na podstawie Rozporządzenia  Prezesa Rady Ministrów z dn. 19 grudnia 2023 r. </w:t>
      </w:r>
      <w:r w:rsidRPr="00C07C86">
        <w:rPr>
          <w:rFonts w:ascii="Arial" w:hAnsi="Arial" w:cs="Arial"/>
          <w:sz w:val="20"/>
          <w:szCs w:val="20"/>
          <w:lang w:eastAsia="en-US"/>
        </w:rPr>
        <w:t xml:space="preserve">(Dz. U. poz. 2727 z </w:t>
      </w:r>
      <w:proofErr w:type="spellStart"/>
      <w:r w:rsidRPr="00C07C86">
        <w:rPr>
          <w:rFonts w:ascii="Arial" w:hAnsi="Arial" w:cs="Arial"/>
          <w:sz w:val="20"/>
          <w:szCs w:val="20"/>
          <w:lang w:eastAsia="en-US"/>
        </w:rPr>
        <w:t>późn</w:t>
      </w:r>
      <w:proofErr w:type="spellEnd"/>
      <w:r w:rsidRPr="00C07C86">
        <w:rPr>
          <w:rFonts w:ascii="Arial" w:hAnsi="Arial" w:cs="Arial"/>
          <w:sz w:val="20"/>
          <w:szCs w:val="20"/>
          <w:lang w:eastAsia="en-US"/>
        </w:rPr>
        <w:t xml:space="preserve">. zm.) </w:t>
      </w:r>
      <w:r w:rsidRPr="00C07C86">
        <w:rPr>
          <w:rFonts w:ascii="Arial" w:hAnsi="Arial" w:cs="Arial"/>
          <w:sz w:val="20"/>
          <w:szCs w:val="20"/>
        </w:rPr>
        <w:t xml:space="preserve">to Minister Przemysłu kieruje działem AR – gospodarka złożami kopalin oraz sprawuje nadzór nad Prezesem Wyższego Urzędu Górniczego. </w:t>
      </w:r>
      <w:r w:rsidR="001F65A3" w:rsidRPr="00C07C86">
        <w:rPr>
          <w:rFonts w:ascii="Arial" w:hAnsi="Arial" w:cs="Arial"/>
          <w:sz w:val="20"/>
          <w:szCs w:val="20"/>
        </w:rPr>
        <w:t xml:space="preserve"> </w:t>
      </w:r>
      <w:r w:rsidRPr="00C07C86">
        <w:rPr>
          <w:rFonts w:ascii="Arial" w:hAnsi="Arial" w:cs="Arial"/>
          <w:sz w:val="20"/>
          <w:szCs w:val="20"/>
        </w:rPr>
        <w:t xml:space="preserve">W związku z powyższym w 2024 r. z Ministerstwa Aktywów Państwowych obsługującego sprawy działów administracji rządowej - aktywa państwowe, łączność i gospodarka złożami kopalin wydzielono komórki organizacyjne zajmujące się sprawami działu AR – gospodarka złożami kopalin </w:t>
      </w:r>
      <w:r w:rsidRPr="00C07C86">
        <w:rPr>
          <w:rFonts w:ascii="Arial" w:hAnsi="Arial" w:cs="Arial"/>
          <w:sz w:val="20"/>
          <w:szCs w:val="20"/>
          <w:lang w:eastAsia="en-US"/>
        </w:rPr>
        <w:t>(Dz. U. poz. 2724)</w:t>
      </w:r>
      <w:r w:rsidRPr="00C07C86">
        <w:rPr>
          <w:rFonts w:ascii="Arial" w:hAnsi="Arial" w:cs="Arial"/>
          <w:sz w:val="20"/>
          <w:szCs w:val="20"/>
        </w:rPr>
        <w:t xml:space="preserve">. </w:t>
      </w:r>
      <w:r w:rsidR="001F65A3" w:rsidRPr="00C07C86">
        <w:rPr>
          <w:rFonts w:ascii="Arial" w:hAnsi="Arial" w:cs="Arial"/>
          <w:sz w:val="20"/>
          <w:szCs w:val="20"/>
        </w:rPr>
        <w:t xml:space="preserve"> </w:t>
      </w:r>
    </w:p>
    <w:p w14:paraId="6A502785" w14:textId="736179D1" w:rsidR="00D25B5C" w:rsidRPr="00C07C86" w:rsidRDefault="00D25B5C" w:rsidP="005276D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07C86">
        <w:rPr>
          <w:rFonts w:ascii="Arial" w:hAnsi="Arial" w:cs="Arial"/>
          <w:sz w:val="20"/>
          <w:szCs w:val="20"/>
          <w:lang w:eastAsia="en-US"/>
        </w:rPr>
        <w:t xml:space="preserve">Stwierdzić należy zatem, iż w roku sprawozdawczym, tj. 2024, Minister Aktywów Państwowych nie był kierującym działem administracji rządowej gospodarka złożami kopalin. </w:t>
      </w:r>
      <w:r w:rsidR="005276D0" w:rsidRPr="00C07C86">
        <w:rPr>
          <w:rFonts w:ascii="Arial" w:hAnsi="Arial" w:cs="Arial"/>
          <w:sz w:val="20"/>
          <w:szCs w:val="20"/>
        </w:rPr>
        <w:br/>
      </w:r>
      <w:r w:rsidR="001F65A3" w:rsidRPr="00C07C86">
        <w:rPr>
          <w:rFonts w:ascii="Arial" w:hAnsi="Arial" w:cs="Arial"/>
          <w:sz w:val="20"/>
          <w:szCs w:val="20"/>
        </w:rPr>
        <w:t>W związku z tym</w:t>
      </w:r>
      <w:r w:rsidR="005276D0" w:rsidRPr="00C07C86">
        <w:rPr>
          <w:rFonts w:ascii="Arial" w:hAnsi="Arial" w:cs="Arial"/>
          <w:sz w:val="20"/>
          <w:szCs w:val="20"/>
        </w:rPr>
        <w:t xml:space="preserve">, </w:t>
      </w:r>
      <w:r w:rsidR="005276D0" w:rsidRPr="00C07C86">
        <w:rPr>
          <w:rFonts w:ascii="Arial" w:hAnsi="Arial" w:cs="Arial"/>
          <w:iCs/>
          <w:sz w:val="20"/>
          <w:szCs w:val="20"/>
        </w:rPr>
        <w:t xml:space="preserve">cele wskazane w części B planu na rok 2024, którego dotyczy sprawozdanie, nie były realizowane przez </w:t>
      </w:r>
      <w:r w:rsidR="005276D0" w:rsidRPr="00C07C86">
        <w:rPr>
          <w:rFonts w:ascii="Arial" w:hAnsi="Arial" w:cs="Arial"/>
          <w:sz w:val="20"/>
          <w:szCs w:val="20"/>
        </w:rPr>
        <w:t xml:space="preserve"> Ministra Aktywów Państwowych .</w:t>
      </w:r>
    </w:p>
    <w:p w14:paraId="7D8B33A5" w14:textId="77777777" w:rsidR="005276D0" w:rsidRPr="00C07C86" w:rsidRDefault="005276D0" w:rsidP="005276D0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B776BBA" w14:textId="3BA2A992" w:rsidR="002F23CE" w:rsidRPr="00885EA7" w:rsidRDefault="00CE2028" w:rsidP="00A562D3">
      <w:pPr>
        <w:spacing w:before="240" w:after="0"/>
        <w:rPr>
          <w:rFonts w:ascii="Arial" w:hAnsi="Arial" w:cs="Arial"/>
          <w:sz w:val="20"/>
          <w:szCs w:val="20"/>
        </w:rPr>
      </w:pPr>
      <w:r w:rsidRPr="00885EA7">
        <w:rPr>
          <w:rFonts w:ascii="Arial" w:hAnsi="Arial" w:cs="Arial"/>
          <w:sz w:val="20"/>
          <w:szCs w:val="20"/>
        </w:rPr>
        <w:t xml:space="preserve">W części </w:t>
      </w:r>
      <w:r w:rsidR="00B26C1C" w:rsidRPr="00885EA7">
        <w:rPr>
          <w:rFonts w:ascii="Arial" w:hAnsi="Arial" w:cs="Arial"/>
          <w:sz w:val="20"/>
          <w:szCs w:val="20"/>
        </w:rPr>
        <w:t>C</w:t>
      </w:r>
      <w:r w:rsidRPr="00885EA7">
        <w:rPr>
          <w:rFonts w:ascii="Arial" w:hAnsi="Arial" w:cs="Arial"/>
          <w:sz w:val="20"/>
          <w:szCs w:val="20"/>
        </w:rPr>
        <w:t xml:space="preserve"> </w:t>
      </w:r>
    </w:p>
    <w:p w14:paraId="6E91384E" w14:textId="77777777" w:rsidR="00D25B5C" w:rsidRDefault="009F0A59" w:rsidP="00A562D3">
      <w:pPr>
        <w:pStyle w:val="trescpisma"/>
        <w:jc w:val="both"/>
      </w:pPr>
      <w:r w:rsidRPr="00E70A18">
        <w:t>W części C pkt 2 „Zapewnienie ram prawnych dla skutecznego funkcjonowania zliberalizowanego rynku pocztowego” Przyczyną niezrealizowania celu i nieosiągnięcia zaplanowanego wykonania miernika był</w:t>
      </w:r>
      <w:r w:rsidR="003859B9" w:rsidRPr="00E70A18">
        <w:t xml:space="preserve"> brak zasobów do realizacji zadania, który wynika z niewspółmiernie dużej liczby koniecznych do realizacji zadań bieżących w stosunku do posiadanych zasobów kadrowych. W 2024 r. zrealizowano pilne i konieczne zmiany legislacyjne: ustawa z dnia 20 marca 2024</w:t>
      </w:r>
      <w:r w:rsidR="00951283" w:rsidRPr="00E70A18">
        <w:t xml:space="preserve"> o zmianie ustawy – Prawo pocztowe oraz ustawy </w:t>
      </w:r>
      <w:r w:rsidR="002A589B">
        <w:br/>
      </w:r>
      <w:r w:rsidR="00951283" w:rsidRPr="00E70A18">
        <w:t xml:space="preserve">o zmianie ustawy – Prawo pocztowe (Dz.U. z 2024 r. poz. 467), rozporządzenie Ministra Aktywów Państwowych z dnia 21 listopada 2024 r. zmieniające rozporządzenie w sprawie warunków wykonywania usług powszechnych przez operatora wyznaczonego (Dz.U. z 2024 r. poz. 1745), rozporządzenie Ministra Aktywów Państwowych z dnia 30 października 2024 r. zmieniające rozporządzenie w sprawie konkursu na operatora pocztowego wyznaczonego do świadczenia usług powszechnych 2024 r. (Dz.U. z 2024 r. poz. 1624). </w:t>
      </w:r>
      <w:r w:rsidR="00D25B5C">
        <w:br/>
      </w:r>
      <w:r w:rsidR="00951283" w:rsidRPr="00E70A18">
        <w:t>Działa</w:t>
      </w:r>
      <w:r w:rsidR="00D25B5C">
        <w:t>nia</w:t>
      </w:r>
      <w:r w:rsidR="00951283" w:rsidRPr="00E70A18">
        <w:t xml:space="preserve"> te wpisują się w cel „Zapewnienie ram prawnych dla funkcjonowania zliberalizowanego rynku pocztowego”. W 2024 r. priorytetowym zadaniem służącym realizacji tego celu było zapewnienie Poczcie Polskiej S.A.</w:t>
      </w:r>
      <w:r w:rsidR="00C54AAE">
        <w:t>,</w:t>
      </w:r>
      <w:r w:rsidR="00951283" w:rsidRPr="00E70A18">
        <w:t xml:space="preserve"> jako operatorowi wyznaczonemu do świadczeni</w:t>
      </w:r>
      <w:r w:rsidR="00C54AAE">
        <w:t>a</w:t>
      </w:r>
      <w:r w:rsidR="00951283" w:rsidRPr="00E70A18">
        <w:t xml:space="preserve"> pocztowych usług powszechnych</w:t>
      </w:r>
      <w:r w:rsidR="00C54AAE">
        <w:t>,</w:t>
      </w:r>
      <w:r w:rsidR="00951283" w:rsidRPr="00E70A18">
        <w:t xml:space="preserve"> środków niezbędnych dla jej dalszego funkcjonowania. </w:t>
      </w:r>
      <w:r w:rsidR="002A589B">
        <w:br/>
      </w:r>
    </w:p>
    <w:p w14:paraId="72D11728" w14:textId="77777777" w:rsidR="005276D0" w:rsidRDefault="00951283" w:rsidP="00A562D3">
      <w:pPr>
        <w:pStyle w:val="trescpisma"/>
        <w:jc w:val="both"/>
      </w:pPr>
      <w:r w:rsidRPr="00E70A18">
        <w:t xml:space="preserve">W tym celu DN II wspólnie z UKE i UOKiK intensywnie współpracował z Komisją Europejską, która 15 listopada 2024 r. wydała decyzje potwierdzającą zgodność z prawem europejskim pomocy publicznej polegającej na udzieleniu Poczcie Polskiej S.A. finansowania kosztu netto za lata 2021-2025. Decyzja ta umożliwiła zapewnienie finansowania kosztu netto z tytułu obowiązku świadczenia powszechnych usług pocztowych za lata 2021-2025. Jednocześnie prowadzono działania w celu uruchomienia wstępnej płatności na poczet finansowania kosztu netto obowiązku świadczenia usług powszechnych jeszcze przed wydaniem przez Komisję Europejską decyzji w sprawie dopuszczalności pomocy publicznej w tym zakresie. Finansowanie to zostało wypłacone Poczcie Polskiej 14 czerwca 2024 r. </w:t>
      </w:r>
    </w:p>
    <w:p w14:paraId="1E30BB58" w14:textId="6049305C" w:rsidR="009F0A59" w:rsidRPr="00E70A18" w:rsidRDefault="00951283" w:rsidP="00A562D3">
      <w:pPr>
        <w:pStyle w:val="trescpisma"/>
        <w:jc w:val="both"/>
      </w:pPr>
      <w:r w:rsidRPr="00E70A18">
        <w:lastRenderedPageBreak/>
        <w:t xml:space="preserve">Należy również dodać, że wśród pilnych i często nieprzewidywalnych liczbowo zadań są skargi i wnioski, których przeważająca część w MAP jest realizowana przez DN II oraz rozpatrywanie </w:t>
      </w:r>
      <w:proofErr w:type="spellStart"/>
      <w:r w:rsidRPr="00E70A18">
        <w:t>odwołań</w:t>
      </w:r>
      <w:proofErr w:type="spellEnd"/>
      <w:r w:rsidRPr="00E70A18">
        <w:t xml:space="preserve"> od decyzji w zakresie używania niezarejestrowanego odbiornika radiofonicznego lub telewizyjnego. Pozostałe zadania były realizowane w miarę możliwości kadrowych. Opóźnienie dotyczące ratyfikacji Aktów Światowego Związku Pocztowego nie wpływa na funkcjonowanie rynku usług pocztowych</w:t>
      </w:r>
      <w:r w:rsidR="000E34D2" w:rsidRPr="00E70A18">
        <w:t>, dlatego zdecydowano na przesunięcie zasobów kadrowych do realizacji zadań, których opóźnienie mogło spowodować znaczne szkody.</w:t>
      </w:r>
    </w:p>
    <w:tbl>
      <w:tblPr>
        <w:tblW w:w="15843" w:type="dxa"/>
        <w:tblLook w:val="04A0" w:firstRow="1" w:lastRow="0" w:firstColumn="1" w:lastColumn="0" w:noHBand="0" w:noVBand="1"/>
      </w:tblPr>
      <w:tblGrid>
        <w:gridCol w:w="8647"/>
        <w:gridCol w:w="7196"/>
      </w:tblGrid>
      <w:tr w:rsidR="003257E4" w:rsidRPr="00DB4E3F" w14:paraId="573A8581" w14:textId="77777777" w:rsidTr="00C41FED">
        <w:tc>
          <w:tcPr>
            <w:tcW w:w="8647" w:type="dxa"/>
            <w:vMerge w:val="restart"/>
            <w:vAlign w:val="bottom"/>
          </w:tcPr>
          <w:p w14:paraId="76CF16F0" w14:textId="2B9AFB25" w:rsidR="003257E4" w:rsidRPr="00DB4E3F" w:rsidRDefault="00C356C4" w:rsidP="003A4CEF">
            <w:pPr>
              <w:tabs>
                <w:tab w:val="center" w:pos="1134"/>
                <w:tab w:val="center" w:pos="12758"/>
              </w:tabs>
              <w:spacing w:after="6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ezdDataPodpisu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71F2F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3E12C5">
              <w:rPr>
                <w:rFonts w:ascii="ArialMT" w:hAnsi="ArialMT" w:cs="ArialMT"/>
                <w:sz w:val="20"/>
                <w:szCs w:val="20"/>
                <w:lang w:eastAsia="en-US"/>
              </w:rPr>
              <w:t>04 kwietnia 2025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4F0CDF" w:rsidRPr="00DB4E3F">
              <w:rPr>
                <w:rFonts w:ascii="Arial" w:eastAsia="Times New Roman" w:hAnsi="Arial" w:cs="Arial"/>
                <w:sz w:val="20"/>
                <w:szCs w:val="20"/>
              </w:rPr>
              <w:t>r.</w:t>
            </w:r>
          </w:p>
        </w:tc>
        <w:tc>
          <w:tcPr>
            <w:tcW w:w="7196" w:type="dxa"/>
          </w:tcPr>
          <w:p w14:paraId="01AFFAF0" w14:textId="77777777" w:rsidR="003257E4" w:rsidRPr="00DB4E3F" w:rsidRDefault="003257E4" w:rsidP="003A4CEF">
            <w:pPr>
              <w:pStyle w:val="trescpisma"/>
            </w:pPr>
          </w:p>
        </w:tc>
      </w:tr>
      <w:tr w:rsidR="00D25B5C" w:rsidRPr="00DB4E3F" w14:paraId="221226A2" w14:textId="77777777" w:rsidTr="00C41FED">
        <w:tc>
          <w:tcPr>
            <w:tcW w:w="8647" w:type="dxa"/>
            <w:vMerge/>
            <w:vAlign w:val="center"/>
          </w:tcPr>
          <w:p w14:paraId="2CE59EB9" w14:textId="77777777" w:rsidR="00D25B5C" w:rsidRPr="00DB4E3F" w:rsidRDefault="00D25B5C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14:paraId="0006DB27" w14:textId="77777777" w:rsidR="00D25B5C" w:rsidRPr="00DB4E3F" w:rsidRDefault="00D25B5C" w:rsidP="00C708B2">
            <w:pPr>
              <w:pStyle w:val="trescpisma"/>
            </w:pPr>
          </w:p>
        </w:tc>
      </w:tr>
      <w:tr w:rsidR="00D25B5C" w:rsidRPr="00DB4E3F" w14:paraId="21250139" w14:textId="77777777" w:rsidTr="00C41FED">
        <w:tc>
          <w:tcPr>
            <w:tcW w:w="8647" w:type="dxa"/>
            <w:vMerge/>
            <w:vAlign w:val="center"/>
          </w:tcPr>
          <w:p w14:paraId="1E28F83C" w14:textId="77777777" w:rsidR="00D25B5C" w:rsidRPr="00DB4E3F" w:rsidRDefault="00D25B5C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14:paraId="054100C1" w14:textId="77777777" w:rsidR="00D25B5C" w:rsidRDefault="00391666" w:rsidP="00C708B2">
            <w:pPr>
              <w:pStyle w:val="trescpisma"/>
            </w:pPr>
            <w:r>
              <w:t xml:space="preserve">                                                  Jakub Jaworowski</w:t>
            </w:r>
          </w:p>
          <w:p w14:paraId="24C7D437" w14:textId="6BDD598F" w:rsidR="00391666" w:rsidRPr="00DB4E3F" w:rsidRDefault="00391666" w:rsidP="00C708B2">
            <w:pPr>
              <w:pStyle w:val="trescpisma"/>
            </w:pPr>
            <w:r>
              <w:t xml:space="preserve">                                                          </w:t>
            </w:r>
            <w:r w:rsidR="007F1F4A">
              <w:t>m</w:t>
            </w:r>
            <w:bookmarkStart w:id="1" w:name="_GoBack"/>
            <w:bookmarkEnd w:id="1"/>
            <w:r>
              <w:t xml:space="preserve">inister </w:t>
            </w:r>
          </w:p>
        </w:tc>
      </w:tr>
      <w:tr w:rsidR="003257E4" w:rsidRPr="00DB4E3F" w14:paraId="4307F239" w14:textId="77777777" w:rsidTr="00C41FED">
        <w:tc>
          <w:tcPr>
            <w:tcW w:w="8647" w:type="dxa"/>
            <w:vMerge/>
            <w:vAlign w:val="center"/>
            <w:hideMark/>
          </w:tcPr>
          <w:p w14:paraId="72DF5112" w14:textId="77777777" w:rsidR="003257E4" w:rsidRPr="00DB4E3F" w:rsidRDefault="003257E4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14:paraId="7C361D1E" w14:textId="6ED3D1B4" w:rsidR="003257E4" w:rsidRPr="00DB4E3F" w:rsidRDefault="00322F4E" w:rsidP="00C708B2">
            <w:pPr>
              <w:pStyle w:val="trescpisma"/>
            </w:pPr>
            <w:bookmarkStart w:id="2" w:name="ezdPracownikWydzialAtrybut1"/>
            <w:bookmarkEnd w:id="2"/>
            <w:r>
              <w:t xml:space="preserve">                                     dokument podpisany elektronicznie</w:t>
            </w:r>
          </w:p>
        </w:tc>
      </w:tr>
      <w:tr w:rsidR="003257E4" w:rsidRPr="00DB4E3F" w14:paraId="7C52A2CA" w14:textId="77777777" w:rsidTr="00C41FED">
        <w:tc>
          <w:tcPr>
            <w:tcW w:w="8647" w:type="dxa"/>
            <w:vMerge/>
            <w:vAlign w:val="center"/>
            <w:hideMark/>
          </w:tcPr>
          <w:p w14:paraId="22E444F5" w14:textId="77777777" w:rsidR="003257E4" w:rsidRPr="00DB4E3F" w:rsidRDefault="003257E4" w:rsidP="0079602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6" w:type="dxa"/>
          </w:tcPr>
          <w:p w14:paraId="2A363316" w14:textId="4BD83E04" w:rsidR="003257E4" w:rsidRPr="00DB4E3F" w:rsidRDefault="003E12C5" w:rsidP="00C708B2">
            <w:pPr>
              <w:pStyle w:val="trescpisma"/>
            </w:pPr>
            <w:bookmarkStart w:id="3" w:name="ezdIdentyfikatorDokumentuPDF"/>
            <w:bookmarkEnd w:id="3"/>
            <w:r>
              <w:rPr>
                <w:rFonts w:ascii="ArialMT" w:hAnsi="ArialMT" w:cs="ArialMT"/>
                <w:lang w:eastAsia="en-US"/>
              </w:rPr>
              <w:t xml:space="preserve">                                            1087478.3976146.3173640</w:t>
            </w:r>
          </w:p>
        </w:tc>
      </w:tr>
    </w:tbl>
    <w:p w14:paraId="093C0A62" w14:textId="77777777" w:rsidR="004F0CDF" w:rsidRPr="00DB4E3F" w:rsidRDefault="00CE2028" w:rsidP="0079602B">
      <w:pPr>
        <w:tabs>
          <w:tab w:val="center" w:pos="1134"/>
          <w:tab w:val="center" w:pos="12333"/>
        </w:tabs>
        <w:spacing w:after="0"/>
        <w:jc w:val="left"/>
        <w:rPr>
          <w:rFonts w:ascii="Arial" w:hAnsi="Arial" w:cs="Arial"/>
          <w:i/>
          <w:sz w:val="20"/>
          <w:szCs w:val="20"/>
        </w:rPr>
      </w:pPr>
      <w:r w:rsidRPr="00DB4E3F">
        <w:rPr>
          <w:rFonts w:ascii="Arial" w:hAnsi="Arial" w:cs="Arial"/>
          <w:i/>
          <w:sz w:val="20"/>
          <w:szCs w:val="20"/>
        </w:rPr>
        <w:t xml:space="preserve">………………………………. </w:t>
      </w:r>
      <w:r w:rsidRPr="00DB4E3F">
        <w:rPr>
          <w:rFonts w:ascii="Arial" w:hAnsi="Arial" w:cs="Arial"/>
          <w:i/>
          <w:sz w:val="20"/>
          <w:szCs w:val="20"/>
        </w:rPr>
        <w:tab/>
        <w:t>……………………………….</w:t>
      </w:r>
    </w:p>
    <w:p w14:paraId="5F6713C3" w14:textId="77777777" w:rsidR="00103529" w:rsidRPr="00DB4E3F" w:rsidRDefault="004F0CDF" w:rsidP="0079602B">
      <w:pPr>
        <w:tabs>
          <w:tab w:val="center" w:pos="1134"/>
          <w:tab w:val="center" w:pos="12333"/>
        </w:tabs>
        <w:spacing w:after="0"/>
        <w:jc w:val="left"/>
        <w:rPr>
          <w:rFonts w:ascii="Arial" w:hAnsi="Arial" w:cs="Arial"/>
          <w:i/>
          <w:sz w:val="20"/>
          <w:szCs w:val="20"/>
        </w:rPr>
      </w:pPr>
      <w:r w:rsidRPr="00DB4E3F">
        <w:rPr>
          <w:rFonts w:ascii="Arial" w:hAnsi="Arial" w:cs="Arial"/>
          <w:i/>
          <w:sz w:val="20"/>
          <w:szCs w:val="20"/>
        </w:rPr>
        <w:tab/>
      </w:r>
      <w:r w:rsidR="00CE2028" w:rsidRPr="00DB4E3F">
        <w:rPr>
          <w:rFonts w:ascii="Arial" w:hAnsi="Arial" w:cs="Arial"/>
          <w:i/>
          <w:sz w:val="20"/>
          <w:szCs w:val="20"/>
        </w:rPr>
        <w:t>(data)</w:t>
      </w:r>
      <w:r w:rsidR="00CE2028" w:rsidRPr="00DB4E3F">
        <w:rPr>
          <w:rFonts w:ascii="Arial" w:hAnsi="Arial" w:cs="Arial"/>
          <w:i/>
          <w:sz w:val="20"/>
          <w:szCs w:val="20"/>
        </w:rPr>
        <w:tab/>
        <w:t>(podpis ministra)</w:t>
      </w:r>
    </w:p>
    <w:sectPr w:rsidR="00103529" w:rsidRPr="00DB4E3F" w:rsidSect="004C6801">
      <w:footerReference w:type="default" r:id="rId11"/>
      <w:pgSz w:w="16838" w:h="11906" w:orient="landscape" w:code="9"/>
      <w:pgMar w:top="568" w:right="536" w:bottom="1134" w:left="426" w:header="5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D56B2" w14:textId="77777777" w:rsidR="00114CC5" w:rsidRDefault="00114CC5">
      <w:pPr>
        <w:spacing w:after="0" w:line="240" w:lineRule="auto"/>
      </w:pPr>
      <w:r>
        <w:separator/>
      </w:r>
    </w:p>
  </w:endnote>
  <w:endnote w:type="continuationSeparator" w:id="0">
    <w:p w14:paraId="066B40E1" w14:textId="77777777" w:rsidR="00114CC5" w:rsidRDefault="00114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949236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952140" w14:textId="6503C063" w:rsidR="00ED60CE" w:rsidRPr="00ED60CE" w:rsidRDefault="00ED60CE" w:rsidP="00ED60CE">
            <w:pPr>
              <w:pStyle w:val="Stopka"/>
              <w:jc w:val="center"/>
              <w:rPr>
                <w:rFonts w:ascii="Arial" w:hAnsi="Arial" w:cs="Arial"/>
              </w:rPr>
            </w:pPr>
            <w:r w:rsidRPr="00ED60C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B34E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D60C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B34E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D60C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F4F07" w14:textId="77777777" w:rsidR="00114CC5" w:rsidRDefault="00114CC5" w:rsidP="003E1493">
      <w:pPr>
        <w:spacing w:after="0" w:line="240" w:lineRule="auto"/>
      </w:pPr>
      <w:r>
        <w:separator/>
      </w:r>
    </w:p>
  </w:footnote>
  <w:footnote w:type="continuationSeparator" w:id="0">
    <w:p w14:paraId="3763A44C" w14:textId="77777777" w:rsidR="00114CC5" w:rsidRDefault="00114CC5" w:rsidP="003E1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B5183"/>
    <w:multiLevelType w:val="hybridMultilevel"/>
    <w:tmpl w:val="9E5C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6263E"/>
    <w:multiLevelType w:val="hybridMultilevel"/>
    <w:tmpl w:val="F954B2B8"/>
    <w:lvl w:ilvl="0" w:tplc="1C6814A4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kern w:val="0"/>
        <w:sz w:val="20"/>
        <w:vertAlign w:val="baseline"/>
        <w14:cntxtAlts w14:val="0"/>
      </w:rPr>
    </w:lvl>
    <w:lvl w:ilvl="1" w:tplc="1CBEE57E" w:tentative="1">
      <w:start w:val="1"/>
      <w:numFmt w:val="lowerLetter"/>
      <w:lvlText w:val="%2."/>
      <w:lvlJc w:val="left"/>
      <w:pPr>
        <w:ind w:left="1440" w:hanging="360"/>
      </w:pPr>
    </w:lvl>
    <w:lvl w:ilvl="2" w:tplc="BEAC7ACE" w:tentative="1">
      <w:start w:val="1"/>
      <w:numFmt w:val="lowerRoman"/>
      <w:lvlText w:val="%3."/>
      <w:lvlJc w:val="right"/>
      <w:pPr>
        <w:ind w:left="2160" w:hanging="180"/>
      </w:pPr>
    </w:lvl>
    <w:lvl w:ilvl="3" w:tplc="B1DCB946" w:tentative="1">
      <w:start w:val="1"/>
      <w:numFmt w:val="decimal"/>
      <w:lvlText w:val="%4."/>
      <w:lvlJc w:val="left"/>
      <w:pPr>
        <w:ind w:left="2880" w:hanging="360"/>
      </w:pPr>
    </w:lvl>
    <w:lvl w:ilvl="4" w:tplc="3880D628" w:tentative="1">
      <w:start w:val="1"/>
      <w:numFmt w:val="lowerLetter"/>
      <w:lvlText w:val="%5."/>
      <w:lvlJc w:val="left"/>
      <w:pPr>
        <w:ind w:left="3600" w:hanging="360"/>
      </w:pPr>
    </w:lvl>
    <w:lvl w:ilvl="5" w:tplc="6F48A5F6" w:tentative="1">
      <w:start w:val="1"/>
      <w:numFmt w:val="lowerRoman"/>
      <w:lvlText w:val="%6."/>
      <w:lvlJc w:val="right"/>
      <w:pPr>
        <w:ind w:left="4320" w:hanging="180"/>
      </w:pPr>
    </w:lvl>
    <w:lvl w:ilvl="6" w:tplc="5A98EBD8" w:tentative="1">
      <w:start w:val="1"/>
      <w:numFmt w:val="decimal"/>
      <w:lvlText w:val="%7."/>
      <w:lvlJc w:val="left"/>
      <w:pPr>
        <w:ind w:left="5040" w:hanging="360"/>
      </w:pPr>
    </w:lvl>
    <w:lvl w:ilvl="7" w:tplc="40963162" w:tentative="1">
      <w:start w:val="1"/>
      <w:numFmt w:val="lowerLetter"/>
      <w:lvlText w:val="%8."/>
      <w:lvlJc w:val="left"/>
      <w:pPr>
        <w:ind w:left="5760" w:hanging="360"/>
      </w:pPr>
    </w:lvl>
    <w:lvl w:ilvl="8" w:tplc="0C580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4172"/>
    <w:multiLevelType w:val="hybridMultilevel"/>
    <w:tmpl w:val="F6FCD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4B38"/>
    <w:multiLevelType w:val="hybridMultilevel"/>
    <w:tmpl w:val="6A1085CC"/>
    <w:lvl w:ilvl="0" w:tplc="4DC4E29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4" w15:restartNumberingAfterBreak="0">
    <w:nsid w:val="364D60A9"/>
    <w:multiLevelType w:val="hybridMultilevel"/>
    <w:tmpl w:val="AD96E4BE"/>
    <w:lvl w:ilvl="0" w:tplc="FD2082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2443C44" w:tentative="1">
      <w:start w:val="1"/>
      <w:numFmt w:val="lowerLetter"/>
      <w:lvlText w:val="%2."/>
      <w:lvlJc w:val="left"/>
      <w:pPr>
        <w:ind w:left="1440" w:hanging="360"/>
      </w:pPr>
    </w:lvl>
    <w:lvl w:ilvl="2" w:tplc="46F45F80" w:tentative="1">
      <w:start w:val="1"/>
      <w:numFmt w:val="lowerRoman"/>
      <w:lvlText w:val="%3."/>
      <w:lvlJc w:val="right"/>
      <w:pPr>
        <w:ind w:left="2160" w:hanging="180"/>
      </w:pPr>
    </w:lvl>
    <w:lvl w:ilvl="3" w:tplc="38D82902" w:tentative="1">
      <w:start w:val="1"/>
      <w:numFmt w:val="decimal"/>
      <w:lvlText w:val="%4."/>
      <w:lvlJc w:val="left"/>
      <w:pPr>
        <w:ind w:left="2880" w:hanging="360"/>
      </w:pPr>
    </w:lvl>
    <w:lvl w:ilvl="4" w:tplc="BE5A2B3A" w:tentative="1">
      <w:start w:val="1"/>
      <w:numFmt w:val="lowerLetter"/>
      <w:lvlText w:val="%5."/>
      <w:lvlJc w:val="left"/>
      <w:pPr>
        <w:ind w:left="3600" w:hanging="360"/>
      </w:pPr>
    </w:lvl>
    <w:lvl w:ilvl="5" w:tplc="CA7C90B2" w:tentative="1">
      <w:start w:val="1"/>
      <w:numFmt w:val="lowerRoman"/>
      <w:lvlText w:val="%6."/>
      <w:lvlJc w:val="right"/>
      <w:pPr>
        <w:ind w:left="4320" w:hanging="180"/>
      </w:pPr>
    </w:lvl>
    <w:lvl w:ilvl="6" w:tplc="9438CADC" w:tentative="1">
      <w:start w:val="1"/>
      <w:numFmt w:val="decimal"/>
      <w:lvlText w:val="%7."/>
      <w:lvlJc w:val="left"/>
      <w:pPr>
        <w:ind w:left="5040" w:hanging="360"/>
      </w:pPr>
    </w:lvl>
    <w:lvl w:ilvl="7" w:tplc="D1E0F72C" w:tentative="1">
      <w:start w:val="1"/>
      <w:numFmt w:val="lowerLetter"/>
      <w:lvlText w:val="%8."/>
      <w:lvlJc w:val="left"/>
      <w:pPr>
        <w:ind w:left="5760" w:hanging="360"/>
      </w:pPr>
    </w:lvl>
    <w:lvl w:ilvl="8" w:tplc="E4FA0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828EB"/>
    <w:multiLevelType w:val="hybridMultilevel"/>
    <w:tmpl w:val="89FAAB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B3F7C"/>
    <w:multiLevelType w:val="hybridMultilevel"/>
    <w:tmpl w:val="7A605B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5C04BF"/>
    <w:multiLevelType w:val="hybridMultilevel"/>
    <w:tmpl w:val="C6100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E0FC3"/>
    <w:multiLevelType w:val="hybridMultilevel"/>
    <w:tmpl w:val="D9BA3030"/>
    <w:lvl w:ilvl="0" w:tplc="0BE49028">
      <w:start w:val="1"/>
      <w:numFmt w:val="decimal"/>
      <w:lvlText w:val="%1."/>
      <w:lvlJc w:val="left"/>
      <w:pPr>
        <w:ind w:left="720" w:hanging="360"/>
      </w:pPr>
    </w:lvl>
    <w:lvl w:ilvl="1" w:tplc="F9C0E688" w:tentative="1">
      <w:start w:val="1"/>
      <w:numFmt w:val="lowerLetter"/>
      <w:lvlText w:val="%2."/>
      <w:lvlJc w:val="left"/>
      <w:pPr>
        <w:ind w:left="1440" w:hanging="360"/>
      </w:pPr>
    </w:lvl>
    <w:lvl w:ilvl="2" w:tplc="B11AE96E" w:tentative="1">
      <w:start w:val="1"/>
      <w:numFmt w:val="lowerRoman"/>
      <w:lvlText w:val="%3."/>
      <w:lvlJc w:val="right"/>
      <w:pPr>
        <w:ind w:left="2160" w:hanging="180"/>
      </w:pPr>
    </w:lvl>
    <w:lvl w:ilvl="3" w:tplc="D410174C" w:tentative="1">
      <w:start w:val="1"/>
      <w:numFmt w:val="decimal"/>
      <w:lvlText w:val="%4."/>
      <w:lvlJc w:val="left"/>
      <w:pPr>
        <w:ind w:left="2880" w:hanging="360"/>
      </w:pPr>
    </w:lvl>
    <w:lvl w:ilvl="4" w:tplc="FE82672C" w:tentative="1">
      <w:start w:val="1"/>
      <w:numFmt w:val="lowerLetter"/>
      <w:lvlText w:val="%5."/>
      <w:lvlJc w:val="left"/>
      <w:pPr>
        <w:ind w:left="3600" w:hanging="360"/>
      </w:pPr>
    </w:lvl>
    <w:lvl w:ilvl="5" w:tplc="9EA21AF2" w:tentative="1">
      <w:start w:val="1"/>
      <w:numFmt w:val="lowerRoman"/>
      <w:lvlText w:val="%6."/>
      <w:lvlJc w:val="right"/>
      <w:pPr>
        <w:ind w:left="4320" w:hanging="180"/>
      </w:pPr>
    </w:lvl>
    <w:lvl w:ilvl="6" w:tplc="F4EC8A9C" w:tentative="1">
      <w:start w:val="1"/>
      <w:numFmt w:val="decimal"/>
      <w:lvlText w:val="%7."/>
      <w:lvlJc w:val="left"/>
      <w:pPr>
        <w:ind w:left="5040" w:hanging="360"/>
      </w:pPr>
    </w:lvl>
    <w:lvl w:ilvl="7" w:tplc="0E66B336" w:tentative="1">
      <w:start w:val="1"/>
      <w:numFmt w:val="lowerLetter"/>
      <w:lvlText w:val="%8."/>
      <w:lvlJc w:val="left"/>
      <w:pPr>
        <w:ind w:left="5760" w:hanging="360"/>
      </w:pPr>
    </w:lvl>
    <w:lvl w:ilvl="8" w:tplc="C9F08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2CFA"/>
    <w:multiLevelType w:val="hybridMultilevel"/>
    <w:tmpl w:val="CF60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9406A"/>
    <w:multiLevelType w:val="hybridMultilevel"/>
    <w:tmpl w:val="BE90283A"/>
    <w:lvl w:ilvl="0" w:tplc="C74C669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D12EA"/>
    <w:multiLevelType w:val="hybridMultilevel"/>
    <w:tmpl w:val="D6725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34D91"/>
    <w:multiLevelType w:val="hybridMultilevel"/>
    <w:tmpl w:val="7A605B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B2387D"/>
    <w:multiLevelType w:val="hybridMultilevel"/>
    <w:tmpl w:val="99223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F2F09"/>
    <w:multiLevelType w:val="hybridMultilevel"/>
    <w:tmpl w:val="2E7E2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4"/>
  </w:num>
  <w:num w:numId="8">
    <w:abstractNumId w:val="11"/>
  </w:num>
  <w:num w:numId="9">
    <w:abstractNumId w:val="4"/>
  </w:num>
  <w:num w:numId="10">
    <w:abstractNumId w:val="5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97"/>
    <w:rsid w:val="0002776F"/>
    <w:rsid w:val="000472BE"/>
    <w:rsid w:val="000508D4"/>
    <w:rsid w:val="0006531C"/>
    <w:rsid w:val="00065CDC"/>
    <w:rsid w:val="00067F85"/>
    <w:rsid w:val="00091830"/>
    <w:rsid w:val="00095B0F"/>
    <w:rsid w:val="000A01B4"/>
    <w:rsid w:val="000A1BE2"/>
    <w:rsid w:val="000D5C2A"/>
    <w:rsid w:val="000D74E8"/>
    <w:rsid w:val="000E34D2"/>
    <w:rsid w:val="001105F1"/>
    <w:rsid w:val="001130E1"/>
    <w:rsid w:val="00114CC5"/>
    <w:rsid w:val="00123469"/>
    <w:rsid w:val="001372D5"/>
    <w:rsid w:val="00144CB0"/>
    <w:rsid w:val="00145D04"/>
    <w:rsid w:val="00153F8E"/>
    <w:rsid w:val="00157F8F"/>
    <w:rsid w:val="001725D4"/>
    <w:rsid w:val="00173F8F"/>
    <w:rsid w:val="00174B96"/>
    <w:rsid w:val="00177F25"/>
    <w:rsid w:val="00185932"/>
    <w:rsid w:val="00197118"/>
    <w:rsid w:val="001B0509"/>
    <w:rsid w:val="001B56BA"/>
    <w:rsid w:val="001C7FAE"/>
    <w:rsid w:val="001F59B4"/>
    <w:rsid w:val="001F65A3"/>
    <w:rsid w:val="0020466E"/>
    <w:rsid w:val="00214F51"/>
    <w:rsid w:val="00242DD7"/>
    <w:rsid w:val="002465AD"/>
    <w:rsid w:val="0024730F"/>
    <w:rsid w:val="002570D6"/>
    <w:rsid w:val="00265E43"/>
    <w:rsid w:val="00280331"/>
    <w:rsid w:val="0028255D"/>
    <w:rsid w:val="00284E3F"/>
    <w:rsid w:val="00287D63"/>
    <w:rsid w:val="00290284"/>
    <w:rsid w:val="002A150D"/>
    <w:rsid w:val="002A589B"/>
    <w:rsid w:val="002B11AD"/>
    <w:rsid w:val="002B7215"/>
    <w:rsid w:val="002C7691"/>
    <w:rsid w:val="002D2481"/>
    <w:rsid w:val="002D3A35"/>
    <w:rsid w:val="002E0878"/>
    <w:rsid w:val="002E1F43"/>
    <w:rsid w:val="002F23CE"/>
    <w:rsid w:val="003102DA"/>
    <w:rsid w:val="00310DD4"/>
    <w:rsid w:val="00322F4E"/>
    <w:rsid w:val="003257E4"/>
    <w:rsid w:val="00333DFB"/>
    <w:rsid w:val="00333EA5"/>
    <w:rsid w:val="003343FD"/>
    <w:rsid w:val="00341B71"/>
    <w:rsid w:val="00350EFC"/>
    <w:rsid w:val="003544CF"/>
    <w:rsid w:val="00360A4C"/>
    <w:rsid w:val="00361179"/>
    <w:rsid w:val="00363056"/>
    <w:rsid w:val="00370C09"/>
    <w:rsid w:val="00371F2F"/>
    <w:rsid w:val="00381553"/>
    <w:rsid w:val="00385071"/>
    <w:rsid w:val="003859B9"/>
    <w:rsid w:val="00391666"/>
    <w:rsid w:val="0039532F"/>
    <w:rsid w:val="003976DD"/>
    <w:rsid w:val="003A3973"/>
    <w:rsid w:val="003A4CEF"/>
    <w:rsid w:val="003B4C01"/>
    <w:rsid w:val="003B5376"/>
    <w:rsid w:val="003D0E99"/>
    <w:rsid w:val="003D17E5"/>
    <w:rsid w:val="003E12C5"/>
    <w:rsid w:val="003E431B"/>
    <w:rsid w:val="00402AE6"/>
    <w:rsid w:val="00407878"/>
    <w:rsid w:val="004174F9"/>
    <w:rsid w:val="00434979"/>
    <w:rsid w:val="004463B3"/>
    <w:rsid w:val="00447E3E"/>
    <w:rsid w:val="00451497"/>
    <w:rsid w:val="00452B78"/>
    <w:rsid w:val="004574A5"/>
    <w:rsid w:val="0047283A"/>
    <w:rsid w:val="0048000C"/>
    <w:rsid w:val="00487ADB"/>
    <w:rsid w:val="004A2C16"/>
    <w:rsid w:val="004B4DA3"/>
    <w:rsid w:val="004B5A67"/>
    <w:rsid w:val="004C6801"/>
    <w:rsid w:val="004E110D"/>
    <w:rsid w:val="004E2562"/>
    <w:rsid w:val="004E2D82"/>
    <w:rsid w:val="004E39FC"/>
    <w:rsid w:val="004F0CDF"/>
    <w:rsid w:val="005004C5"/>
    <w:rsid w:val="00513B8F"/>
    <w:rsid w:val="00514232"/>
    <w:rsid w:val="0052609E"/>
    <w:rsid w:val="005276D0"/>
    <w:rsid w:val="00530947"/>
    <w:rsid w:val="005313F9"/>
    <w:rsid w:val="00542FBD"/>
    <w:rsid w:val="00544C12"/>
    <w:rsid w:val="00550706"/>
    <w:rsid w:val="00572E4B"/>
    <w:rsid w:val="00586C83"/>
    <w:rsid w:val="0059282A"/>
    <w:rsid w:val="00594C29"/>
    <w:rsid w:val="005A0A58"/>
    <w:rsid w:val="005B0253"/>
    <w:rsid w:val="005B34E6"/>
    <w:rsid w:val="005D6219"/>
    <w:rsid w:val="005F1FC4"/>
    <w:rsid w:val="00616E3F"/>
    <w:rsid w:val="006238A6"/>
    <w:rsid w:val="00630DE4"/>
    <w:rsid w:val="00651121"/>
    <w:rsid w:val="0065737E"/>
    <w:rsid w:val="00660218"/>
    <w:rsid w:val="006805BC"/>
    <w:rsid w:val="00685030"/>
    <w:rsid w:val="00685A7D"/>
    <w:rsid w:val="00687176"/>
    <w:rsid w:val="0069307F"/>
    <w:rsid w:val="00697429"/>
    <w:rsid w:val="006A15C2"/>
    <w:rsid w:val="006A33F6"/>
    <w:rsid w:val="006B3456"/>
    <w:rsid w:val="006B5C85"/>
    <w:rsid w:val="006C0563"/>
    <w:rsid w:val="006C7AE4"/>
    <w:rsid w:val="006E2377"/>
    <w:rsid w:val="006F1D91"/>
    <w:rsid w:val="006F257E"/>
    <w:rsid w:val="006F7C7A"/>
    <w:rsid w:val="0070079E"/>
    <w:rsid w:val="0071123C"/>
    <w:rsid w:val="00712697"/>
    <w:rsid w:val="0072795B"/>
    <w:rsid w:val="00730353"/>
    <w:rsid w:val="00742094"/>
    <w:rsid w:val="00752997"/>
    <w:rsid w:val="007549FA"/>
    <w:rsid w:val="00756AFB"/>
    <w:rsid w:val="00766356"/>
    <w:rsid w:val="00775E18"/>
    <w:rsid w:val="00776A97"/>
    <w:rsid w:val="00780A5E"/>
    <w:rsid w:val="00787A9C"/>
    <w:rsid w:val="007913BC"/>
    <w:rsid w:val="00793839"/>
    <w:rsid w:val="00794C34"/>
    <w:rsid w:val="0079602B"/>
    <w:rsid w:val="007B1138"/>
    <w:rsid w:val="007D4A8B"/>
    <w:rsid w:val="007E55DC"/>
    <w:rsid w:val="007F1F4A"/>
    <w:rsid w:val="007F52F8"/>
    <w:rsid w:val="0080203C"/>
    <w:rsid w:val="0080427A"/>
    <w:rsid w:val="008301DF"/>
    <w:rsid w:val="008443AB"/>
    <w:rsid w:val="0085120B"/>
    <w:rsid w:val="00867468"/>
    <w:rsid w:val="008728BD"/>
    <w:rsid w:val="00875A6F"/>
    <w:rsid w:val="00885EA7"/>
    <w:rsid w:val="008A6010"/>
    <w:rsid w:val="008B2369"/>
    <w:rsid w:val="008B413C"/>
    <w:rsid w:val="008C18E2"/>
    <w:rsid w:val="008C743C"/>
    <w:rsid w:val="008D1F81"/>
    <w:rsid w:val="008D4844"/>
    <w:rsid w:val="00906E20"/>
    <w:rsid w:val="00912FFD"/>
    <w:rsid w:val="009241BF"/>
    <w:rsid w:val="00932CD4"/>
    <w:rsid w:val="00945CC8"/>
    <w:rsid w:val="00951283"/>
    <w:rsid w:val="00952062"/>
    <w:rsid w:val="00970B30"/>
    <w:rsid w:val="00986C66"/>
    <w:rsid w:val="0099446B"/>
    <w:rsid w:val="009B6771"/>
    <w:rsid w:val="009C35B9"/>
    <w:rsid w:val="009C7856"/>
    <w:rsid w:val="009D2180"/>
    <w:rsid w:val="009F0A59"/>
    <w:rsid w:val="009F42BD"/>
    <w:rsid w:val="00A05867"/>
    <w:rsid w:val="00A168EA"/>
    <w:rsid w:val="00A479E3"/>
    <w:rsid w:val="00A562D3"/>
    <w:rsid w:val="00A6239E"/>
    <w:rsid w:val="00A83ABB"/>
    <w:rsid w:val="00A91F89"/>
    <w:rsid w:val="00A94507"/>
    <w:rsid w:val="00AA663E"/>
    <w:rsid w:val="00AB3650"/>
    <w:rsid w:val="00AC28C7"/>
    <w:rsid w:val="00AE408B"/>
    <w:rsid w:val="00B1217E"/>
    <w:rsid w:val="00B129AA"/>
    <w:rsid w:val="00B13263"/>
    <w:rsid w:val="00B17C76"/>
    <w:rsid w:val="00B21706"/>
    <w:rsid w:val="00B26C1C"/>
    <w:rsid w:val="00B336B4"/>
    <w:rsid w:val="00B36492"/>
    <w:rsid w:val="00B47FA2"/>
    <w:rsid w:val="00B771C2"/>
    <w:rsid w:val="00B823FC"/>
    <w:rsid w:val="00B835FB"/>
    <w:rsid w:val="00B90F95"/>
    <w:rsid w:val="00B955BC"/>
    <w:rsid w:val="00BA07B1"/>
    <w:rsid w:val="00BA5BB1"/>
    <w:rsid w:val="00BA5CC0"/>
    <w:rsid w:val="00BB197B"/>
    <w:rsid w:val="00BE429C"/>
    <w:rsid w:val="00BF54C9"/>
    <w:rsid w:val="00C005DE"/>
    <w:rsid w:val="00C07C86"/>
    <w:rsid w:val="00C2367E"/>
    <w:rsid w:val="00C237F1"/>
    <w:rsid w:val="00C336A0"/>
    <w:rsid w:val="00C356C4"/>
    <w:rsid w:val="00C41FED"/>
    <w:rsid w:val="00C5483F"/>
    <w:rsid w:val="00C54AAE"/>
    <w:rsid w:val="00C55D95"/>
    <w:rsid w:val="00C60EE4"/>
    <w:rsid w:val="00C63062"/>
    <w:rsid w:val="00C708B2"/>
    <w:rsid w:val="00C72A72"/>
    <w:rsid w:val="00C75659"/>
    <w:rsid w:val="00C760A2"/>
    <w:rsid w:val="00C8613F"/>
    <w:rsid w:val="00C9708F"/>
    <w:rsid w:val="00CA0D5B"/>
    <w:rsid w:val="00CA11EA"/>
    <w:rsid w:val="00CA1BC8"/>
    <w:rsid w:val="00CC1DD8"/>
    <w:rsid w:val="00CC3F2A"/>
    <w:rsid w:val="00CD094E"/>
    <w:rsid w:val="00CD2BE4"/>
    <w:rsid w:val="00CE2028"/>
    <w:rsid w:val="00CF018C"/>
    <w:rsid w:val="00CF0E9D"/>
    <w:rsid w:val="00D028D7"/>
    <w:rsid w:val="00D03B7B"/>
    <w:rsid w:val="00D15B10"/>
    <w:rsid w:val="00D1608C"/>
    <w:rsid w:val="00D2467E"/>
    <w:rsid w:val="00D25B5C"/>
    <w:rsid w:val="00D329D7"/>
    <w:rsid w:val="00D70CA2"/>
    <w:rsid w:val="00D81077"/>
    <w:rsid w:val="00D97F51"/>
    <w:rsid w:val="00DA00AE"/>
    <w:rsid w:val="00DA63A0"/>
    <w:rsid w:val="00DB4E3F"/>
    <w:rsid w:val="00DD677F"/>
    <w:rsid w:val="00DE25C8"/>
    <w:rsid w:val="00DF0DFF"/>
    <w:rsid w:val="00E1008E"/>
    <w:rsid w:val="00E20433"/>
    <w:rsid w:val="00E21D5F"/>
    <w:rsid w:val="00E36BD8"/>
    <w:rsid w:val="00E514FD"/>
    <w:rsid w:val="00E52EB2"/>
    <w:rsid w:val="00E60ECD"/>
    <w:rsid w:val="00E64D5B"/>
    <w:rsid w:val="00E70A18"/>
    <w:rsid w:val="00E75369"/>
    <w:rsid w:val="00E833D1"/>
    <w:rsid w:val="00E94EEE"/>
    <w:rsid w:val="00E9577A"/>
    <w:rsid w:val="00E97568"/>
    <w:rsid w:val="00EA586A"/>
    <w:rsid w:val="00EB1831"/>
    <w:rsid w:val="00EB54AD"/>
    <w:rsid w:val="00EB6DA5"/>
    <w:rsid w:val="00ED0765"/>
    <w:rsid w:val="00ED584B"/>
    <w:rsid w:val="00ED60CE"/>
    <w:rsid w:val="00EE5CEE"/>
    <w:rsid w:val="00EE6B85"/>
    <w:rsid w:val="00EF0EF3"/>
    <w:rsid w:val="00F11256"/>
    <w:rsid w:val="00F12EE2"/>
    <w:rsid w:val="00F14F6D"/>
    <w:rsid w:val="00F16407"/>
    <w:rsid w:val="00F26EEE"/>
    <w:rsid w:val="00F371EF"/>
    <w:rsid w:val="00F40253"/>
    <w:rsid w:val="00F44752"/>
    <w:rsid w:val="00F57CC0"/>
    <w:rsid w:val="00F60510"/>
    <w:rsid w:val="00F61708"/>
    <w:rsid w:val="00F71E68"/>
    <w:rsid w:val="00F81C3A"/>
    <w:rsid w:val="00FB5EE8"/>
    <w:rsid w:val="00FD11B8"/>
    <w:rsid w:val="00FF2CC0"/>
    <w:rsid w:val="00F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3A20"/>
  <w15:docId w15:val="{B9A85A66-F3EE-46E3-AA8C-C50ECA4E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62B1"/>
    <w:pPr>
      <w:spacing w:after="200" w:line="276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2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62B1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39"/>
    <w:rsid w:val="007F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List Paragraph_0,List Paragraph_0_0,Numerowanie,Wyliczanie"/>
    <w:basedOn w:val="Normalny"/>
    <w:link w:val="AkapitzlistZnak"/>
    <w:qFormat/>
    <w:rsid w:val="007F4A6F"/>
    <w:pPr>
      <w:ind w:left="720"/>
      <w:contextualSpacing/>
    </w:pPr>
  </w:style>
  <w:style w:type="paragraph" w:customStyle="1" w:styleId="trescpisma">
    <w:name w:val="tresc.pisma"/>
    <w:basedOn w:val="Normalny"/>
    <w:link w:val="trescpismaZnak"/>
    <w:autoRedefine/>
    <w:qFormat/>
    <w:rsid w:val="00C708B2"/>
    <w:pPr>
      <w:spacing w:before="60" w:after="60"/>
      <w:jc w:val="left"/>
    </w:pPr>
    <w:rPr>
      <w:rFonts w:ascii="Arial" w:hAnsi="Arial" w:cs="Arial"/>
      <w:sz w:val="20"/>
      <w:szCs w:val="20"/>
    </w:rPr>
  </w:style>
  <w:style w:type="character" w:customStyle="1" w:styleId="trescpismaZnak">
    <w:name w:val="tresc.pisma Znak"/>
    <w:link w:val="trescpisma"/>
    <w:rsid w:val="00C708B2"/>
    <w:rPr>
      <w:rFonts w:ascii="Arial" w:hAnsi="Arial" w:cs="Arial"/>
      <w:sz w:val="20"/>
      <w:szCs w:val="20"/>
      <w:lang w:eastAsia="pl-PL"/>
    </w:rPr>
  </w:style>
  <w:style w:type="paragraph" w:customStyle="1" w:styleId="ZnakZnak4">
    <w:name w:val="Znak Znak4"/>
    <w:basedOn w:val="Normalny"/>
    <w:rsid w:val="003E1493"/>
    <w:pPr>
      <w:spacing w:after="0" w:line="360" w:lineRule="auto"/>
    </w:pPr>
    <w:rPr>
      <w:rFonts w:ascii="Verdana" w:eastAsia="Times New Roman" w:hAnsi="Verdana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3E1493"/>
    <w:pPr>
      <w:spacing w:after="0" w:line="240" w:lineRule="auto"/>
      <w:jc w:val="left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4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E14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36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6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67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7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D"/>
    <w:rPr>
      <w:rFonts w:ascii="Segoe UI" w:hAnsi="Segoe UI" w:cs="Segoe UI"/>
      <w:sz w:val="18"/>
      <w:szCs w:val="18"/>
      <w:lang w:eastAsia="pl-PL"/>
    </w:rPr>
  </w:style>
  <w:style w:type="paragraph" w:customStyle="1" w:styleId="Tektre">
    <w:name w:val="Tek treść"/>
    <w:basedOn w:val="Normalny"/>
    <w:rsid w:val="00B90F95"/>
    <w:pPr>
      <w:keepLines/>
      <w:widowControl w:val="0"/>
      <w:spacing w:after="120" w:line="252" w:lineRule="auto"/>
    </w:pPr>
    <w:rPr>
      <w:rFonts w:eastAsia="Times New Roman"/>
      <w:spacing w:val="-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0C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List Paragraph_0 Znak,List Paragraph_0_0 Znak,Numerowanie Znak,Wyliczanie Znak"/>
    <w:link w:val="Akapitzlist"/>
    <w:locked/>
    <w:rsid w:val="006C7AE4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5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6E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6E2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6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A5507B82A7A47A81FFA4EC51E5209" ma:contentTypeVersion="9" ma:contentTypeDescription="Create a new document." ma:contentTypeScope="" ma:versionID="a4b14c5807f5f1c4a447f3d4b0f382b7">
  <xsd:schema xmlns:xsd="http://www.w3.org/2001/XMLSchema" xmlns:xs="http://www.w3.org/2001/XMLSchema" xmlns:p="http://schemas.microsoft.com/office/2006/metadata/properties" xmlns:ns3="0ccf8abe-1f45-4a0c-843a-f16745b35e0b" targetNamespace="http://schemas.microsoft.com/office/2006/metadata/properties" ma:root="true" ma:fieldsID="ab23be236acba9880c46ab687af62148" ns3:_="">
    <xsd:import namespace="0ccf8abe-1f45-4a0c-843a-f16745b35e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f8abe-1f45-4a0c-843a-f16745b35e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E1D7-3460-4094-A199-54E549DEE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347FE-B1A1-45FF-8613-271565BB6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f8abe-1f45-4a0c-843a-f16745b35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EA9C7-26EA-423C-AC0F-48BE62199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9D4C9B-B5F7-4A14-9C62-DFE35CEF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2103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Bielasińska</dc:creator>
  <cp:lastModifiedBy>Golian Magdalena</cp:lastModifiedBy>
  <cp:revision>11</cp:revision>
  <cp:lastPrinted>2025-03-25T10:51:00Z</cp:lastPrinted>
  <dcterms:created xsi:type="dcterms:W3CDTF">2025-04-07T07:06:00Z</dcterms:created>
  <dcterms:modified xsi:type="dcterms:W3CDTF">2025-04-07T12:43:00Z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0x0101009E7A5507B82A7A47A81FFA4EC51E5209</vt:lpwstr>
  </property>
</Properties>
</file>