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90C06" w14:textId="44960468" w:rsidR="00BA64EC" w:rsidRDefault="00A41398" w:rsidP="00BA64EC">
      <w:pPr>
        <w:pStyle w:val="Nagwekspisutreci"/>
        <w:numPr>
          <w:ilvl w:val="0"/>
          <w:numId w:val="0"/>
        </w:numPr>
        <w:spacing w:before="120" w:after="240"/>
        <w:ind w:left="432" w:hanging="432"/>
        <w:rPr>
          <w:rFonts w:ascii="Lato" w:eastAsiaTheme="minorHAnsi" w:hAnsi="Lato" w:cstheme="minorBidi"/>
          <w:kern w:val="2"/>
          <w:sz w:val="22"/>
          <w:szCs w:val="22"/>
          <w:lang w:eastAsia="en-US"/>
          <w14:ligatures w14:val="standardContextual"/>
        </w:rPr>
      </w:pPr>
      <w:r>
        <w:rPr>
          <w:rFonts w:ascii="Lato" w:eastAsiaTheme="minorHAnsi" w:hAnsi="Lato" w:cstheme="minorBidi"/>
          <w:kern w:val="2"/>
          <w:sz w:val="22"/>
          <w:szCs w:val="22"/>
          <w:lang w:eastAsia="en-US"/>
          <w14:ligatures w14:val="standardContextual"/>
        </w:rPr>
        <w:t xml:space="preserve"> </w:t>
      </w:r>
      <w:r w:rsidR="00BA64EC">
        <w:rPr>
          <w:noProof/>
          <w14:ligatures w14:val="standardContextual"/>
        </w:rPr>
        <mc:AlternateContent>
          <mc:Choice Requires="wps">
            <w:drawing>
              <wp:anchor distT="0" distB="0" distL="114300" distR="114300" simplePos="0" relativeHeight="251961344" behindDoc="0" locked="0" layoutInCell="1" allowOverlap="1" wp14:anchorId="23AE4DAA" wp14:editId="119144C8">
                <wp:simplePos x="0" y="0"/>
                <wp:positionH relativeFrom="margin">
                  <wp:align>right</wp:align>
                </wp:positionH>
                <wp:positionV relativeFrom="paragraph">
                  <wp:posOffset>93257</wp:posOffset>
                </wp:positionV>
                <wp:extent cx="1954924" cy="930166"/>
                <wp:effectExtent l="0" t="0" r="26670" b="22860"/>
                <wp:wrapNone/>
                <wp:docPr id="1816841406" name="Prostokąt 9"/>
                <wp:cNvGraphicFramePr/>
                <a:graphic xmlns:a="http://schemas.openxmlformats.org/drawingml/2006/main">
                  <a:graphicData uri="http://schemas.microsoft.com/office/word/2010/wordprocessingShape">
                    <wps:wsp>
                      <wps:cNvSpPr/>
                      <wps:spPr>
                        <a:xfrm>
                          <a:off x="0" y="0"/>
                          <a:ext cx="1954924" cy="930166"/>
                        </a:xfrm>
                        <a:prstGeom prst="rect">
                          <a:avLst/>
                        </a:prstGeom>
                        <a:solidFill>
                          <a:srgbClr val="920000"/>
                        </a:solid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3EFBA45" w14:textId="77777777" w:rsidR="00BA64EC" w:rsidRPr="003D525D" w:rsidRDefault="00BA64EC" w:rsidP="00BA64EC">
                            <w:pPr>
                              <w:spacing w:after="0"/>
                              <w:jc w:val="center"/>
                              <w:rPr>
                                <w:rFonts w:ascii="Bahnschrift" w:hAnsi="Bahnschrift"/>
                                <w:sz w:val="40"/>
                                <w:szCs w:val="40"/>
                              </w:rPr>
                            </w:pPr>
                            <w:r w:rsidRPr="003D525D">
                              <w:rPr>
                                <w:rFonts w:ascii="Bahnschrift" w:hAnsi="Bahnschrift"/>
                                <w:sz w:val="40"/>
                                <w:szCs w:val="40"/>
                              </w:rPr>
                              <w:t xml:space="preserve">WERSJA </w:t>
                            </w:r>
                            <w:r>
                              <w:rPr>
                                <w:rFonts w:ascii="Bahnschrift" w:hAnsi="Bahnschrift"/>
                                <w:sz w:val="40"/>
                                <w:szCs w:val="40"/>
                              </w:rPr>
                              <w:br/>
                            </w:r>
                            <w:r w:rsidRPr="003D525D">
                              <w:rPr>
                                <w:rFonts w:ascii="Bahnschrift" w:hAnsi="Bahnschrift"/>
                                <w:sz w:val="40"/>
                                <w:szCs w:val="40"/>
                              </w:rPr>
                              <w:t>WS</w:t>
                            </w:r>
                            <w:r>
                              <w:rPr>
                                <w:rFonts w:ascii="Bahnschrift" w:hAnsi="Bahnschrift"/>
                                <w:sz w:val="40"/>
                                <w:szCs w:val="40"/>
                              </w:rPr>
                              <w:t>T</w:t>
                            </w:r>
                            <w:r w:rsidRPr="003D525D">
                              <w:rPr>
                                <w:rFonts w:ascii="Bahnschrift" w:hAnsi="Bahnschrift"/>
                                <w:sz w:val="40"/>
                                <w:szCs w:val="40"/>
                              </w:rPr>
                              <w:t>ĘPNA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E4DAA" id="Prostokąt 9" o:spid="_x0000_s1026" style="position:absolute;left:0;text-align:left;margin-left:102.75pt;margin-top:7.35pt;width:153.95pt;height:73.25pt;z-index:251961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" fillcolor="#920000" strokecolor="#7f7f7f [1612]" strokeweight="1pt">
                <v:textbox>
                  <w:txbxContent>
                    <w:p w14:paraId="73EFBA45" w14:textId="77777777" w:rsidR="00BA64EC" w:rsidRPr="003D525D" w:rsidRDefault="00BA64EC" w:rsidP="00BA64EC">
                      <w:pPr>
                        <w:spacing w:after="0"/>
                        <w:jc w:val="center"/>
                        <w:rPr>
                          <w:rFonts w:ascii="Bahnschrift" w:hAnsi="Bahnschrift"/>
                          <w:sz w:val="40"/>
                          <w:szCs w:val="40"/>
                        </w:rPr>
                      </w:pPr>
                      <w:r w:rsidRPr="003D525D">
                        <w:rPr>
                          <w:rFonts w:ascii="Bahnschrift" w:hAnsi="Bahnschrift"/>
                          <w:sz w:val="40"/>
                          <w:szCs w:val="40"/>
                        </w:rPr>
                        <w:t xml:space="preserve">WERSJA </w:t>
                      </w:r>
                      <w:r>
                        <w:rPr>
                          <w:rFonts w:ascii="Bahnschrift" w:hAnsi="Bahnschrift"/>
                          <w:sz w:val="40"/>
                          <w:szCs w:val="40"/>
                        </w:rPr>
                        <w:br/>
                      </w:r>
                      <w:r w:rsidRPr="003D525D">
                        <w:rPr>
                          <w:rFonts w:ascii="Bahnschrift" w:hAnsi="Bahnschrift"/>
                          <w:sz w:val="40"/>
                          <w:szCs w:val="40"/>
                        </w:rPr>
                        <w:t>WS</w:t>
                      </w:r>
                      <w:r>
                        <w:rPr>
                          <w:rFonts w:ascii="Bahnschrift" w:hAnsi="Bahnschrift"/>
                          <w:sz w:val="40"/>
                          <w:szCs w:val="40"/>
                        </w:rPr>
                        <w:t>T</w:t>
                      </w:r>
                      <w:r w:rsidRPr="003D525D">
                        <w:rPr>
                          <w:rFonts w:ascii="Bahnschrift" w:hAnsi="Bahnschrift"/>
                          <w:sz w:val="40"/>
                          <w:szCs w:val="40"/>
                        </w:rPr>
                        <w:t>ĘPNA</w:t>
                      </w:r>
                    </w:p>
                  </w:txbxContent>
                </v:textbox>
                <w10:wrap anchorx="margin"/>
              </v:rect>
            </w:pict>
          </mc:Fallback>
        </mc:AlternateContent>
      </w:r>
      <w:r w:rsidR="00BA64EC">
        <w:rPr>
          <w:noProof/>
        </w:rPr>
        <w:drawing>
          <wp:anchor distT="0" distB="0" distL="114300" distR="114300" simplePos="0" relativeHeight="251960320" behindDoc="1" locked="0" layoutInCell="1" allowOverlap="1" wp14:anchorId="4A77C4E6" wp14:editId="3227239B">
            <wp:simplePos x="0" y="0"/>
            <wp:positionH relativeFrom="margin">
              <wp:posOffset>-174516</wp:posOffset>
            </wp:positionH>
            <wp:positionV relativeFrom="paragraph">
              <wp:posOffset>0</wp:posOffset>
            </wp:positionV>
            <wp:extent cx="2534285" cy="850900"/>
            <wp:effectExtent l="0" t="0" r="0" b="0"/>
            <wp:wrapTight wrapText="bothSides">
              <wp:wrapPolygon edited="0">
                <wp:start x="2598" y="2418"/>
                <wp:lineTo x="1137" y="4352"/>
                <wp:lineTo x="812" y="9672"/>
                <wp:lineTo x="974" y="15958"/>
                <wp:lineTo x="2760" y="18376"/>
                <wp:lineTo x="6008" y="19343"/>
                <wp:lineTo x="20458" y="19343"/>
                <wp:lineTo x="20620" y="8221"/>
                <wp:lineTo x="14451" y="5319"/>
                <wp:lineTo x="4221" y="2418"/>
                <wp:lineTo x="2598" y="2418"/>
              </wp:wrapPolygon>
            </wp:wrapTight>
            <wp:docPr id="1207440670" name="Obraz 6" descr="Obraz zawierający tekst, Czcionka, logo,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440670" name="Obraz 6" descr="Obraz zawierający tekst, Czcionka, logo, symbol&#10;&#10;Opis wygenerowany automatyczn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4285"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BA64EC">
        <w:rPr>
          <w:rFonts w:ascii="Lato" w:eastAsiaTheme="minorHAnsi" w:hAnsi="Lato" w:cstheme="minorBidi"/>
          <w:noProof/>
          <w:kern w:val="2"/>
          <w:sz w:val="22"/>
          <w:szCs w:val="22"/>
          <w:lang w:eastAsia="en-US"/>
          <w14:ligatures w14:val="standardContextual"/>
        </w:rPr>
        <mc:AlternateContent>
          <mc:Choice Requires="wps">
            <w:drawing>
              <wp:anchor distT="0" distB="0" distL="114300" distR="114300" simplePos="0" relativeHeight="251959296" behindDoc="1" locked="0" layoutInCell="1" allowOverlap="1" wp14:anchorId="1EA2614D" wp14:editId="29254B8D">
                <wp:simplePos x="0" y="0"/>
                <wp:positionH relativeFrom="page">
                  <wp:posOffset>-15766</wp:posOffset>
                </wp:positionH>
                <wp:positionV relativeFrom="paragraph">
                  <wp:posOffset>-899796</wp:posOffset>
                </wp:positionV>
                <wp:extent cx="7582952" cy="10815145"/>
                <wp:effectExtent l="0" t="0" r="0" b="5715"/>
                <wp:wrapNone/>
                <wp:docPr id="234755205" name="Prostokąt 2"/>
                <wp:cNvGraphicFramePr/>
                <a:graphic xmlns:a="http://schemas.openxmlformats.org/drawingml/2006/main">
                  <a:graphicData uri="http://schemas.microsoft.com/office/word/2010/wordprocessingShape">
                    <wps:wsp>
                      <wps:cNvSpPr/>
                      <wps:spPr>
                        <a:xfrm>
                          <a:off x="0" y="0"/>
                          <a:ext cx="7582952" cy="10815145"/>
                        </a:xfrm>
                        <a:prstGeom prst="rect">
                          <a:avLst/>
                        </a:prstGeom>
                        <a:solidFill>
                          <a:schemeClr val="bg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EC9D7CF" w14:textId="77777777" w:rsidR="00BA64EC" w:rsidRDefault="00BA64EC" w:rsidP="00BA64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2614D" id="Prostokąt 2" o:spid="_x0000_s1027" style="position:absolute;left:0;text-align:left;margin-left:-1.25pt;margin-top:-70.85pt;width:597.1pt;height:851.6pt;z-index:-25135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" fillcolor="#7f7f7f [1612]" stroked="f" strokeweight="1pt">
                <v:textbox>
                  <w:txbxContent>
                    <w:p w14:paraId="4EC9D7CF" w14:textId="77777777" w:rsidR="00BA64EC" w:rsidRDefault="00BA64EC" w:rsidP="00BA64EC">
                      <w:pPr>
                        <w:jc w:val="center"/>
                      </w:pPr>
                    </w:p>
                  </w:txbxContent>
                </v:textbox>
                <w10:wrap anchorx="page"/>
              </v:rect>
            </w:pict>
          </mc:Fallback>
        </mc:AlternateContent>
      </w:r>
      <w:r w:rsidR="00BA64EC">
        <w:rPr>
          <w:rFonts w:ascii="Lato" w:eastAsiaTheme="minorHAnsi" w:hAnsi="Lato" w:cstheme="minorBidi"/>
          <w:kern w:val="2"/>
          <w:sz w:val="22"/>
          <w:szCs w:val="22"/>
          <w:lang w:eastAsia="en-US"/>
          <w14:ligatures w14:val="standardContextual"/>
        </w:rPr>
        <w:t xml:space="preserve"> </w:t>
      </w:r>
    </w:p>
    <w:p w14:paraId="48FF0444" w14:textId="77777777" w:rsidR="00BA64EC" w:rsidRDefault="00BA64EC" w:rsidP="00BA64EC">
      <w:pPr>
        <w:pStyle w:val="Tytu"/>
        <w:rPr>
          <w:rFonts w:eastAsiaTheme="minorHAnsi"/>
        </w:rPr>
      </w:pPr>
    </w:p>
    <w:p w14:paraId="7A53867B" w14:textId="77777777" w:rsidR="00BA64EC" w:rsidRDefault="00BA64EC" w:rsidP="00BA64EC">
      <w:pPr>
        <w:pStyle w:val="Tytu"/>
        <w:rPr>
          <w:rFonts w:eastAsiaTheme="minorHAnsi"/>
        </w:rPr>
      </w:pPr>
    </w:p>
    <w:p w14:paraId="6327870F" w14:textId="397900ED" w:rsidR="001144FC" w:rsidRDefault="00373FD3" w:rsidP="00373FD3">
      <w:pPr>
        <w:pStyle w:val="Tytu"/>
        <w:rPr>
          <w:rFonts w:eastAsiaTheme="minorHAnsi"/>
          <w:b/>
          <w:bCs/>
          <w:sz w:val="68"/>
          <w:szCs w:val="68"/>
        </w:rPr>
      </w:pPr>
      <w:r>
        <w:rPr>
          <w:rFonts w:eastAsiaTheme="minorHAnsi"/>
          <w:b/>
          <w:bCs/>
          <w:sz w:val="68"/>
          <w:szCs w:val="68"/>
        </w:rPr>
        <w:t>Załącznik 3. do aKPEiK</w:t>
      </w:r>
    </w:p>
    <w:p w14:paraId="1B7275D1" w14:textId="0F9F976C" w:rsidR="00373FD3" w:rsidRPr="00FF3BC7" w:rsidRDefault="00FF3BC7" w:rsidP="00FF3BC7">
      <w:pPr>
        <w:spacing w:before="160"/>
        <w:jc w:val="left"/>
        <w:rPr>
          <w:rFonts w:ascii="Bahnschrift" w:hAnsi="Bahnschrift"/>
          <w:color w:val="FFFFFF" w:themeColor="background1"/>
          <w:sz w:val="56"/>
          <w:szCs w:val="56"/>
        </w:rPr>
      </w:pPr>
      <w:r w:rsidRPr="00FF3BC7">
        <w:rPr>
          <w:rFonts w:ascii="Bahnschrift" w:hAnsi="Bahnschrift"/>
          <w:b/>
          <w:bCs/>
          <w:color w:val="FFFFFF" w:themeColor="background1"/>
          <w:sz w:val="56"/>
          <w:szCs w:val="56"/>
        </w:rPr>
        <w:t>Opis środków poprawy efektywności i współczynnika PEF w sieciach</w:t>
      </w:r>
    </w:p>
    <w:p w14:paraId="365F7DF0" w14:textId="5B1C2082" w:rsidR="00A41398" w:rsidRDefault="00A17DD8" w:rsidP="001144FC">
      <w:pPr>
        <w:pStyle w:val="Nagwekspisutreci"/>
        <w:numPr>
          <w:ilvl w:val="0"/>
          <w:numId w:val="0"/>
        </w:numPr>
        <w:spacing w:before="0" w:after="360"/>
        <w:ind w:left="432" w:hanging="432"/>
        <w:rPr>
          <w:rFonts w:ascii="Lato" w:eastAsiaTheme="minorHAnsi" w:hAnsi="Lato" w:cstheme="minorBidi"/>
          <w:kern w:val="2"/>
          <w:sz w:val="22"/>
          <w:szCs w:val="22"/>
          <w:lang w:eastAsia="en-US"/>
          <w14:ligatures w14:val="standardContextual"/>
        </w:rPr>
      </w:pPr>
      <w:r w:rsidRPr="00694A4E">
        <w:rPr>
          <w:noProof/>
        </w:rPr>
        <w:drawing>
          <wp:anchor distT="0" distB="0" distL="114300" distR="114300" simplePos="0" relativeHeight="251966464" behindDoc="0" locked="0" layoutInCell="1" allowOverlap="1" wp14:anchorId="1A6522F2" wp14:editId="0B2EEBE4">
            <wp:simplePos x="0" y="0"/>
            <wp:positionH relativeFrom="page">
              <wp:align>left</wp:align>
            </wp:positionH>
            <wp:positionV relativeFrom="paragraph">
              <wp:posOffset>202260</wp:posOffset>
            </wp:positionV>
            <wp:extent cx="7559418" cy="4643252"/>
            <wp:effectExtent l="0" t="0" r="3810" b="5080"/>
            <wp:wrapNone/>
            <wp:docPr id="9" name="Obraz 8" descr="Obraz zawierający roślina, donica, roślina domowa, zioło&#10;&#10;Opis wygenerowany automatycznie">
              <a:extLst xmlns:a="http://schemas.openxmlformats.org/drawingml/2006/main">
                <a:ext uri="{FF2B5EF4-FFF2-40B4-BE49-F238E27FC236}">
                  <a16:creationId xmlns:a16="http://schemas.microsoft.com/office/drawing/2014/main" id="{36223417-3A6E-79A3-E3B0-F15469B9EF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8" descr="Obraz zawierający roślina, donica, roślina domowa, zioło&#10;&#10;Opis wygenerowany automatycznie">
                      <a:extLst>
                        <a:ext uri="{FF2B5EF4-FFF2-40B4-BE49-F238E27FC236}">
                          <a16:creationId xmlns:a16="http://schemas.microsoft.com/office/drawing/2014/main" id="{36223417-3A6E-79A3-E3B0-F15469B9EF54}"/>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7568164" cy="46486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28110CD" w14:textId="2C6D4093" w:rsidR="00BA64EC" w:rsidRDefault="00BA64EC" w:rsidP="00BA64EC">
      <w:pPr>
        <w:jc w:val="center"/>
      </w:pPr>
    </w:p>
    <w:p w14:paraId="337B9218" w14:textId="440DA913" w:rsidR="00BA64EC" w:rsidRDefault="00BA64EC" w:rsidP="00BA64EC">
      <w:pPr>
        <w:sectPr w:rsidR="00BA64EC" w:rsidSect="00A758CF">
          <w:headerReference w:type="default" r:id="rId10"/>
          <w:footerReference w:type="default" r:id="rId11"/>
          <w:pgSz w:w="11906" w:h="16838"/>
          <w:pgMar w:top="1417" w:right="1417" w:bottom="1417" w:left="1417" w:header="708" w:footer="708" w:gutter="0"/>
          <w:cols w:space="708"/>
          <w:docGrid w:linePitch="360"/>
        </w:sectPr>
      </w:pPr>
      <w:r>
        <w:rPr>
          <w:noProof/>
        </w:rPr>
        <mc:AlternateContent>
          <mc:Choice Requires="wps">
            <w:drawing>
              <wp:anchor distT="0" distB="0" distL="114300" distR="114300" simplePos="0" relativeHeight="251964416" behindDoc="0" locked="0" layoutInCell="1" allowOverlap="1" wp14:anchorId="363AE446" wp14:editId="45236429">
                <wp:simplePos x="0" y="0"/>
                <wp:positionH relativeFrom="margin">
                  <wp:align>left</wp:align>
                </wp:positionH>
                <wp:positionV relativeFrom="paragraph">
                  <wp:posOffset>4406900</wp:posOffset>
                </wp:positionV>
                <wp:extent cx="1813035" cy="403761"/>
                <wp:effectExtent l="0" t="0" r="0" b="0"/>
                <wp:wrapNone/>
                <wp:docPr id="361459272" name="Pole tekstowe 7"/>
                <wp:cNvGraphicFramePr/>
                <a:graphic xmlns:a="http://schemas.openxmlformats.org/drawingml/2006/main">
                  <a:graphicData uri="http://schemas.microsoft.com/office/word/2010/wordprocessingShape">
                    <wps:wsp>
                      <wps:cNvSpPr txBox="1"/>
                      <wps:spPr>
                        <a:xfrm>
                          <a:off x="0" y="0"/>
                          <a:ext cx="1813035" cy="403761"/>
                        </a:xfrm>
                        <a:prstGeom prst="rect">
                          <a:avLst/>
                        </a:prstGeom>
                        <a:noFill/>
                        <a:ln w="6350">
                          <a:noFill/>
                        </a:ln>
                      </wps:spPr>
                      <wps:txbx>
                        <w:txbxContent>
                          <w:p w14:paraId="120D6C9E" w14:textId="77777777" w:rsidR="00BA64EC" w:rsidRPr="003D525D" w:rsidRDefault="00BA64EC" w:rsidP="00BA64EC">
                            <w:pPr>
                              <w:rPr>
                                <w:rFonts w:ascii="Bahnschrift" w:hAnsi="Bahnschrift"/>
                                <w:color w:val="FFFFFF" w:themeColor="background1"/>
                                <w:sz w:val="24"/>
                                <w:szCs w:val="28"/>
                              </w:rPr>
                            </w:pPr>
                            <w:r w:rsidRPr="003D525D">
                              <w:rPr>
                                <w:rFonts w:ascii="Bahnschrift" w:hAnsi="Bahnschrift"/>
                                <w:color w:val="FFFFFF" w:themeColor="background1"/>
                                <w:sz w:val="24"/>
                                <w:szCs w:val="28"/>
                              </w:rPr>
                              <w:t>Warszawa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3AE446" id="_x0000_t202" coordsize="21600,21600" o:spt="202" path="m,l,21600r21600,l21600,xe">
                <v:stroke joinstyle="miter"/>
                <v:path gradientshapeok="t" o:connecttype="rect"/>
              </v:shapetype>
              <v:shape id="Pole tekstowe 7" o:spid="_x0000_s1028" type="#_x0000_t202" style="position:absolute;left:0;text-align:left;margin-left:0;margin-top:347pt;width:142.75pt;height:31.8pt;z-index:2519644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" filled="f" stroked="f" strokeweight=".5pt">
                <v:textbox inset="0,0,0,0">
                  <w:txbxContent>
                    <w:p w14:paraId="120D6C9E" w14:textId="77777777" w:rsidR="00BA64EC" w:rsidRPr="003D525D" w:rsidRDefault="00BA64EC" w:rsidP="00BA64EC">
                      <w:pPr>
                        <w:rPr>
                          <w:rFonts w:ascii="Bahnschrift" w:hAnsi="Bahnschrift"/>
                          <w:color w:val="FFFFFF" w:themeColor="background1"/>
                          <w:sz w:val="24"/>
                          <w:szCs w:val="28"/>
                        </w:rPr>
                      </w:pPr>
                      <w:r w:rsidRPr="003D525D">
                        <w:rPr>
                          <w:rFonts w:ascii="Bahnschrift" w:hAnsi="Bahnschrift"/>
                          <w:color w:val="FFFFFF" w:themeColor="background1"/>
                          <w:sz w:val="24"/>
                          <w:szCs w:val="28"/>
                        </w:rPr>
                        <w:t>Warszawa 2024</w:t>
                      </w:r>
                    </w:p>
                  </w:txbxContent>
                </v:textbox>
                <w10:wrap anchorx="margin"/>
              </v:shape>
            </w:pict>
          </mc:Fallback>
        </mc:AlternateContent>
      </w:r>
    </w:p>
    <w:sdt>
      <w:sdtPr>
        <w:rPr>
          <w:rFonts w:ascii="Lato" w:eastAsiaTheme="minorHAnsi" w:hAnsi="Lato" w:cstheme="minorBidi"/>
          <w:kern w:val="2"/>
          <w:sz w:val="22"/>
          <w:szCs w:val="22"/>
          <w:lang w:eastAsia="en-US"/>
          <w14:ligatures w14:val="standardContextual"/>
        </w:rPr>
        <w:id w:val="-956637696"/>
        <w:docPartObj>
          <w:docPartGallery w:val="Table of Contents"/>
          <w:docPartUnique/>
        </w:docPartObj>
      </w:sdtPr>
      <w:sdtEndPr>
        <w:rPr>
          <w:b/>
          <w:bCs/>
          <w:sz w:val="20"/>
        </w:rPr>
      </w:sdtEndPr>
      <w:sdtContent>
        <w:p w14:paraId="54D38F87" w14:textId="624619FA" w:rsidR="00BA46AC" w:rsidRPr="00BA64EC" w:rsidRDefault="00BA46AC" w:rsidP="00D05B5D">
          <w:pPr>
            <w:pStyle w:val="Nagwekspisutreci"/>
            <w:numPr>
              <w:ilvl w:val="0"/>
              <w:numId w:val="0"/>
            </w:numPr>
            <w:spacing w:before="120" w:after="240"/>
            <w:ind w:left="432" w:hanging="432"/>
            <w:rPr>
              <w:rFonts w:ascii="Bahnschrift" w:hAnsi="Bahnschrift"/>
              <w:b/>
              <w:bCs/>
              <w:sz w:val="48"/>
              <w:szCs w:val="48"/>
            </w:rPr>
          </w:pPr>
          <w:r w:rsidRPr="00BA64EC">
            <w:rPr>
              <w:rFonts w:ascii="Bahnschrift" w:hAnsi="Bahnschrift"/>
              <w:b/>
              <w:bCs/>
              <w:sz w:val="48"/>
              <w:szCs w:val="48"/>
            </w:rPr>
            <w:t>Spis treści</w:t>
          </w:r>
        </w:p>
        <w:p w14:paraId="1D8E3F61" w14:textId="6A586FC1" w:rsidR="00FF3BC7" w:rsidRDefault="00955EE6">
          <w:pPr>
            <w:pStyle w:val="Spistreci1"/>
            <w:rPr>
              <w:rFonts w:asciiTheme="minorHAnsi" w:eastAsiaTheme="minorEastAsia" w:hAnsiTheme="minorHAnsi"/>
              <w:noProof/>
              <w:lang w:eastAsia="pl-PL"/>
            </w:rPr>
          </w:pPr>
          <w:r>
            <w:fldChar w:fldCharType="begin"/>
          </w:r>
          <w:r>
            <w:instrText xml:space="preserve"> TOC \o "1-4" \h \z \u </w:instrText>
          </w:r>
          <w:r>
            <w:fldChar w:fldCharType="separate"/>
          </w:r>
          <w:hyperlink w:anchor="_Toc159424903" w:history="1">
            <w:r w:rsidR="00FF3BC7" w:rsidRPr="0092194A">
              <w:rPr>
                <w:rStyle w:val="Hipercze"/>
                <w:noProof/>
              </w:rPr>
              <w:t>Część A. Środki z dziedziny polityki mające na celu realizację wymaganych oszczędności końcowego zużycia energii, o których mowa w art. 8 ust. 1 dyrektywy 2023/1791</w:t>
            </w:r>
            <w:r w:rsidR="00FF3BC7">
              <w:rPr>
                <w:noProof/>
                <w:webHidden/>
              </w:rPr>
              <w:tab/>
            </w:r>
            <w:r w:rsidR="00FF3BC7">
              <w:rPr>
                <w:noProof/>
                <w:webHidden/>
              </w:rPr>
              <w:fldChar w:fldCharType="begin"/>
            </w:r>
            <w:r w:rsidR="00FF3BC7">
              <w:rPr>
                <w:noProof/>
                <w:webHidden/>
              </w:rPr>
              <w:instrText xml:space="preserve"> PAGEREF _Toc159424903 \h </w:instrText>
            </w:r>
            <w:r w:rsidR="00FF3BC7">
              <w:rPr>
                <w:noProof/>
                <w:webHidden/>
              </w:rPr>
            </w:r>
            <w:r w:rsidR="00FF3BC7">
              <w:rPr>
                <w:noProof/>
                <w:webHidden/>
              </w:rPr>
              <w:fldChar w:fldCharType="separate"/>
            </w:r>
            <w:r w:rsidR="00FD1148">
              <w:rPr>
                <w:noProof/>
                <w:webHidden/>
              </w:rPr>
              <w:t>3</w:t>
            </w:r>
            <w:r w:rsidR="00FF3BC7">
              <w:rPr>
                <w:noProof/>
                <w:webHidden/>
              </w:rPr>
              <w:fldChar w:fldCharType="end"/>
            </w:r>
          </w:hyperlink>
        </w:p>
        <w:p w14:paraId="7522366A" w14:textId="0D493C1C" w:rsidR="00FF3BC7" w:rsidRDefault="00FD1148">
          <w:pPr>
            <w:pStyle w:val="Spistreci1"/>
            <w:rPr>
              <w:rFonts w:asciiTheme="minorHAnsi" w:eastAsiaTheme="minorEastAsia" w:hAnsiTheme="minorHAnsi"/>
              <w:noProof/>
              <w:lang w:eastAsia="pl-PL"/>
            </w:rPr>
          </w:pPr>
          <w:hyperlink w:anchor="_Toc159424904" w:history="1">
            <w:r w:rsidR="00FF3BC7" w:rsidRPr="0092194A">
              <w:rPr>
                <w:rStyle w:val="Hipercze"/>
                <w:noProof/>
              </w:rPr>
              <w:t>Część B. Wartości współczynnika nakładu energii pierwotnej dla energii elektrycznej z sieci elektroenergetycznej (ang. Primary Energy Factor – PEF) dla Polski</w:t>
            </w:r>
            <w:r w:rsidR="00FF3BC7">
              <w:rPr>
                <w:noProof/>
                <w:webHidden/>
              </w:rPr>
              <w:tab/>
            </w:r>
            <w:r w:rsidR="00FF3BC7">
              <w:rPr>
                <w:noProof/>
                <w:webHidden/>
              </w:rPr>
              <w:fldChar w:fldCharType="begin"/>
            </w:r>
            <w:r w:rsidR="00FF3BC7">
              <w:rPr>
                <w:noProof/>
                <w:webHidden/>
              </w:rPr>
              <w:instrText xml:space="preserve"> PAGEREF _Toc159424904 \h </w:instrText>
            </w:r>
            <w:r w:rsidR="00FF3BC7">
              <w:rPr>
                <w:noProof/>
                <w:webHidden/>
              </w:rPr>
            </w:r>
            <w:r w:rsidR="00FF3BC7">
              <w:rPr>
                <w:noProof/>
                <w:webHidden/>
              </w:rPr>
              <w:fldChar w:fldCharType="separate"/>
            </w:r>
            <w:r>
              <w:rPr>
                <w:noProof/>
                <w:webHidden/>
              </w:rPr>
              <w:t>44</w:t>
            </w:r>
            <w:r w:rsidR="00FF3BC7">
              <w:rPr>
                <w:noProof/>
                <w:webHidden/>
              </w:rPr>
              <w:fldChar w:fldCharType="end"/>
            </w:r>
          </w:hyperlink>
        </w:p>
        <w:p w14:paraId="3C8E79F8" w14:textId="371E52F3" w:rsidR="00FF3BC7" w:rsidRDefault="00FD1148">
          <w:pPr>
            <w:pStyle w:val="Spistreci1"/>
            <w:rPr>
              <w:rFonts w:asciiTheme="minorHAnsi" w:eastAsiaTheme="minorEastAsia" w:hAnsiTheme="minorHAnsi"/>
              <w:noProof/>
              <w:lang w:eastAsia="pl-PL"/>
            </w:rPr>
          </w:pPr>
          <w:hyperlink w:anchor="_Toc159424905" w:history="1">
            <w:r w:rsidR="00FF3BC7" w:rsidRPr="0092194A">
              <w:rPr>
                <w:rStyle w:val="Hipercze"/>
                <w:noProof/>
              </w:rPr>
              <w:t>Źródła danych</w:t>
            </w:r>
            <w:r w:rsidR="00FF3BC7">
              <w:rPr>
                <w:noProof/>
                <w:webHidden/>
              </w:rPr>
              <w:tab/>
            </w:r>
            <w:r w:rsidR="00FF3BC7">
              <w:rPr>
                <w:noProof/>
                <w:webHidden/>
              </w:rPr>
              <w:fldChar w:fldCharType="begin"/>
            </w:r>
            <w:r w:rsidR="00FF3BC7">
              <w:rPr>
                <w:noProof/>
                <w:webHidden/>
              </w:rPr>
              <w:instrText xml:space="preserve"> PAGEREF _Toc159424905 \h </w:instrText>
            </w:r>
            <w:r w:rsidR="00FF3BC7">
              <w:rPr>
                <w:noProof/>
                <w:webHidden/>
              </w:rPr>
            </w:r>
            <w:r w:rsidR="00FF3BC7">
              <w:rPr>
                <w:noProof/>
                <w:webHidden/>
              </w:rPr>
              <w:fldChar w:fldCharType="separate"/>
            </w:r>
            <w:r>
              <w:rPr>
                <w:noProof/>
                <w:webHidden/>
              </w:rPr>
              <w:t>47</w:t>
            </w:r>
            <w:r w:rsidR="00FF3BC7">
              <w:rPr>
                <w:noProof/>
                <w:webHidden/>
              </w:rPr>
              <w:fldChar w:fldCharType="end"/>
            </w:r>
          </w:hyperlink>
        </w:p>
        <w:p w14:paraId="53360017" w14:textId="40E9E381" w:rsidR="00BA46AC" w:rsidRDefault="00955EE6">
          <w:r>
            <w:rPr>
              <w:rFonts w:ascii="Bahnschrift" w:hAnsi="Bahnschrift"/>
              <w:sz w:val="22"/>
            </w:rPr>
            <w:fldChar w:fldCharType="end"/>
          </w:r>
        </w:p>
      </w:sdtContent>
    </w:sdt>
    <w:p w14:paraId="537E9E8B" w14:textId="77777777" w:rsidR="00BA46AC" w:rsidRDefault="00BA46AC" w:rsidP="008F3871">
      <w:pPr>
        <w:pStyle w:val="Nagwek1"/>
      </w:pPr>
      <w:r>
        <w:br w:type="page"/>
      </w:r>
    </w:p>
    <w:p w14:paraId="6BD5C1E4" w14:textId="2CC5A37C" w:rsidR="00F34BD4" w:rsidRDefault="00FF3BC7" w:rsidP="00FF3BC7">
      <w:pPr>
        <w:pStyle w:val="Nagwek1"/>
        <w:numPr>
          <w:ilvl w:val="0"/>
          <w:numId w:val="0"/>
        </w:numPr>
      </w:pPr>
      <w:bookmarkStart w:id="0" w:name="_Toc159424903"/>
      <w:r>
        <w:lastRenderedPageBreak/>
        <w:t>Część A</w:t>
      </w:r>
      <w:r w:rsidR="005B01A5">
        <w:t xml:space="preserve">. </w:t>
      </w:r>
      <w:r w:rsidR="00F34BD4" w:rsidRPr="00FF3BC7">
        <w:t>Środki</w:t>
      </w:r>
      <w:r w:rsidR="00F34BD4" w:rsidRPr="00373FD3">
        <w:t xml:space="preserve"> z dziedziny polityki mające na celu realizację wymaganych oszczędności końcowego zużycia energii, o których mowa w art. 8 ust. 1 dyrektywy 2023/1791</w:t>
      </w:r>
      <w:bookmarkEnd w:id="0"/>
    </w:p>
    <w:p w14:paraId="223400C1" w14:textId="77777777" w:rsidR="00F34BD4" w:rsidRPr="009C725B" w:rsidRDefault="00F34BD4" w:rsidP="00373FD3">
      <w:r w:rsidRPr="009C725B">
        <w:t xml:space="preserve">Państwa członkowskie zgodnie z art. </w:t>
      </w:r>
      <w:r>
        <w:t>8</w:t>
      </w:r>
      <w:r w:rsidRPr="009C725B">
        <w:t xml:space="preserve">  </w:t>
      </w:r>
      <w:r>
        <w:t xml:space="preserve">ust. 2 </w:t>
      </w:r>
      <w:r w:rsidRPr="009C725B">
        <w:t>dyrektywy</w:t>
      </w:r>
      <w:r>
        <w:t xml:space="preserve"> </w:t>
      </w:r>
      <w:r w:rsidRPr="009C725B">
        <w:t xml:space="preserve"> zobowiązane są do osiągniecia łącznej wartości oszczędności końcowego zużycia energii poprzez: </w:t>
      </w:r>
    </w:p>
    <w:p w14:paraId="400DA50F" w14:textId="77777777" w:rsidR="00F34BD4" w:rsidRPr="009C725B" w:rsidRDefault="00F34BD4" w:rsidP="00FF3BC7">
      <w:pPr>
        <w:numPr>
          <w:ilvl w:val="0"/>
          <w:numId w:val="26"/>
        </w:numPr>
      </w:pPr>
      <w:r w:rsidRPr="009C725B">
        <w:t xml:space="preserve">ustanowienie systemu zobowiązującego do efektywności energetycznej; </w:t>
      </w:r>
    </w:p>
    <w:p w14:paraId="66820C16" w14:textId="77777777" w:rsidR="00F34BD4" w:rsidRPr="009C725B" w:rsidRDefault="00F34BD4" w:rsidP="00FF3BC7">
      <w:pPr>
        <w:numPr>
          <w:ilvl w:val="0"/>
          <w:numId w:val="26"/>
        </w:numPr>
      </w:pPr>
      <w:r w:rsidRPr="009C725B">
        <w:t xml:space="preserve">przyjęcie alternatywnych środków z dziedziny polityki lub </w:t>
      </w:r>
    </w:p>
    <w:p w14:paraId="26168774" w14:textId="77777777" w:rsidR="00F34BD4" w:rsidRPr="009C725B" w:rsidRDefault="00F34BD4" w:rsidP="00FF3BC7">
      <w:pPr>
        <w:numPr>
          <w:ilvl w:val="0"/>
          <w:numId w:val="26"/>
        </w:numPr>
      </w:pPr>
      <w:r w:rsidRPr="009C725B">
        <w:t>mogą łączyć wymienione powyżej sposoby.</w:t>
      </w:r>
    </w:p>
    <w:p w14:paraId="4957305A" w14:textId="77777777" w:rsidR="00F34BD4" w:rsidRPr="009C725B" w:rsidRDefault="00F34BD4" w:rsidP="00373FD3">
      <w:r>
        <w:t>S</w:t>
      </w:r>
      <w:r w:rsidRPr="009C725B">
        <w:t>ystemy zobowiązujące do efektywności energetycznej oraz alternatywne środki z</w:t>
      </w:r>
      <w:r>
        <w:t> </w:t>
      </w:r>
      <w:r w:rsidRPr="009C725B">
        <w:t xml:space="preserve">dziedziny polityki są w tym zakresie </w:t>
      </w:r>
      <w:r>
        <w:t>równoważ</w:t>
      </w:r>
      <w:r w:rsidRPr="009C725B">
        <w:t>ne. Państwa członkowskie mają dużą elastyczność i szeroką swobodę w wyborze spośród różnego rodzaju środków systemu najlepiej dopasowanego do ich szczególnej sytuacji</w:t>
      </w:r>
      <w:r>
        <w:t>, uwarunkowań</w:t>
      </w:r>
      <w:r w:rsidRPr="009C725B">
        <w:t xml:space="preserve"> i okoliczności.</w:t>
      </w:r>
    </w:p>
    <w:p w14:paraId="30E6C3EA" w14:textId="77777777" w:rsidR="00F34BD4" w:rsidRDefault="00F34BD4" w:rsidP="00373FD3">
      <w:r>
        <w:t xml:space="preserve">Obowiązek oszczędności energii finalnej w </w:t>
      </w:r>
      <w:r w:rsidRPr="004D7678">
        <w:t xml:space="preserve">Polsce </w:t>
      </w:r>
      <w:r>
        <w:t xml:space="preserve">jest realizowany od 2021 r. poprzez </w:t>
      </w:r>
      <w:r w:rsidRPr="004D7678">
        <w:t>system zobowiązujący do efektywności energetycznej</w:t>
      </w:r>
      <w:r>
        <w:t xml:space="preserve"> (system świadectw efektywności energetycznej) oraz alternatywne środki z dziedziny polityki. Od 2024 roku Polska będzie kontynuować ww. podejście w realizacji nowego celu  wynikającego z art. 8 ust. 1 dyrektywy. Planowane jest zachowanie dotychczasowego poziomu obowiązku dla podmiotów zobowiązanych w ramach systemu świadectw efektywności energetycznej (więcej informacji w rozdziale 2.1), pozostałą część wymaganych całkowitych skumulowanych oszczędności Polska zapewni poprzez alternatywne środki z dziedziny polityki (więcej w rozdziale 2.2).</w:t>
      </w:r>
    </w:p>
    <w:p w14:paraId="379105C7" w14:textId="77777777" w:rsidR="00FF3BC7" w:rsidRDefault="00FF3BC7" w:rsidP="00373FD3"/>
    <w:p w14:paraId="55301944" w14:textId="77777777" w:rsidR="00F34BD4" w:rsidRDefault="00F34BD4" w:rsidP="00FF3BC7">
      <w:pPr>
        <w:pStyle w:val="NormalnyWeb"/>
        <w:numPr>
          <w:ilvl w:val="1"/>
          <w:numId w:val="2"/>
        </w:numPr>
        <w:spacing w:before="120" w:beforeAutospacing="0" w:after="60" w:afterAutospacing="0" w:line="360" w:lineRule="auto"/>
        <w:ind w:left="1134" w:hanging="567"/>
        <w:rPr>
          <w:rFonts w:ascii="Lato" w:hAnsi="Lato" w:cs="Arial"/>
          <w:b/>
          <w:color w:val="1F3864" w:themeColor="accent1" w:themeShade="80"/>
          <w:sz w:val="22"/>
          <w:szCs w:val="22"/>
        </w:rPr>
      </w:pPr>
      <w:r>
        <w:rPr>
          <w:rFonts w:ascii="Lato" w:hAnsi="Lato" w:cs="Arial"/>
          <w:b/>
          <w:color w:val="1F3864" w:themeColor="accent1" w:themeShade="80"/>
          <w:sz w:val="22"/>
          <w:szCs w:val="22"/>
        </w:rPr>
        <w:t>System zobowiązujący do efektywności energetycznej</w:t>
      </w:r>
      <w:r w:rsidRPr="00323DC2">
        <w:rPr>
          <w:rFonts w:ascii="Lato" w:hAnsi="Lato" w:cs="Arial"/>
          <w:b/>
          <w:color w:val="1F3864" w:themeColor="accent1" w:themeShade="80"/>
          <w:sz w:val="22"/>
          <w:szCs w:val="22"/>
        </w:rPr>
        <w:t>, o który</w:t>
      </w:r>
      <w:r>
        <w:rPr>
          <w:rFonts w:ascii="Lato" w:hAnsi="Lato" w:cs="Arial"/>
          <w:b/>
          <w:color w:val="1F3864" w:themeColor="accent1" w:themeShade="80"/>
          <w:sz w:val="22"/>
          <w:szCs w:val="22"/>
        </w:rPr>
        <w:t>m</w:t>
      </w:r>
      <w:r w:rsidRPr="00323DC2">
        <w:rPr>
          <w:rFonts w:ascii="Lato" w:hAnsi="Lato" w:cs="Arial"/>
          <w:b/>
          <w:color w:val="1F3864" w:themeColor="accent1" w:themeShade="80"/>
          <w:sz w:val="22"/>
          <w:szCs w:val="22"/>
        </w:rPr>
        <w:t xml:space="preserve"> mowa w art. </w:t>
      </w:r>
      <w:r>
        <w:rPr>
          <w:rFonts w:ascii="Lato" w:hAnsi="Lato" w:cs="Arial"/>
          <w:b/>
          <w:color w:val="1F3864" w:themeColor="accent1" w:themeShade="80"/>
          <w:sz w:val="22"/>
          <w:szCs w:val="22"/>
        </w:rPr>
        <w:t xml:space="preserve">9 </w:t>
      </w:r>
      <w:r w:rsidRPr="00323DC2">
        <w:rPr>
          <w:rFonts w:ascii="Lato" w:hAnsi="Lato" w:cs="Arial"/>
          <w:b/>
          <w:color w:val="1F3864" w:themeColor="accent1" w:themeShade="80"/>
          <w:sz w:val="22"/>
          <w:szCs w:val="22"/>
        </w:rPr>
        <w:t xml:space="preserve">dyrektywy </w:t>
      </w:r>
      <w:r>
        <w:rPr>
          <w:rFonts w:ascii="Lato" w:hAnsi="Lato" w:cs="Arial"/>
          <w:b/>
          <w:color w:val="1F3864" w:themeColor="accent1" w:themeShade="80"/>
          <w:sz w:val="22"/>
          <w:szCs w:val="22"/>
        </w:rPr>
        <w:t>2023/1791/UE</w:t>
      </w:r>
    </w:p>
    <w:p w14:paraId="31462D2E" w14:textId="77777777" w:rsidR="00F34BD4" w:rsidRDefault="00F34BD4" w:rsidP="00FF3BC7">
      <w:pPr>
        <w:pStyle w:val="Akapitzlist"/>
        <w:numPr>
          <w:ilvl w:val="0"/>
          <w:numId w:val="3"/>
        </w:numPr>
        <w:spacing w:before="120" w:after="240" w:line="360" w:lineRule="auto"/>
        <w:ind w:left="1134" w:hanging="357"/>
        <w:jc w:val="left"/>
        <w:rPr>
          <w:b/>
          <w:bCs/>
          <w:color w:val="2F5496" w:themeColor="accent1" w:themeShade="BF"/>
        </w:rPr>
      </w:pPr>
      <w:r>
        <w:rPr>
          <w:b/>
          <w:bCs/>
          <w:color w:val="2F5496" w:themeColor="accent1" w:themeShade="BF"/>
        </w:rPr>
        <w:t>Skrócony opis środka</w:t>
      </w:r>
    </w:p>
    <w:tbl>
      <w:tblPr>
        <w:tblStyle w:val="Tabela-Siatka"/>
        <w:tblW w:w="8729" w:type="dxa"/>
        <w:tblInd w:w="360" w:type="dxa"/>
        <w:tblBorders>
          <w:top w:val="none" w:sz="0" w:space="0" w:color="auto"/>
          <w:left w:val="none" w:sz="0" w:space="0" w:color="auto"/>
          <w:bottom w:val="none" w:sz="0" w:space="0" w:color="auto"/>
          <w:right w:val="none" w:sz="0" w:space="0" w:color="auto"/>
          <w:insideH w:val="single" w:sz="12" w:space="0" w:color="auto"/>
          <w:insideV w:val="none" w:sz="0" w:space="0" w:color="auto"/>
        </w:tblBorders>
        <w:tblLook w:val="04A0" w:firstRow="1" w:lastRow="0" w:firstColumn="1" w:lastColumn="0" w:noHBand="0" w:noVBand="1"/>
      </w:tblPr>
      <w:tblGrid>
        <w:gridCol w:w="1644"/>
        <w:gridCol w:w="7085"/>
      </w:tblGrid>
      <w:tr w:rsidR="00F34BD4" w:rsidRPr="002B0945" w14:paraId="7102764A" w14:textId="77777777" w:rsidTr="00B823C1">
        <w:tc>
          <w:tcPr>
            <w:tcW w:w="1644" w:type="dxa"/>
            <w:vAlign w:val="center"/>
          </w:tcPr>
          <w:p w14:paraId="6C4011A1"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 xml:space="preserve">Nazwa </w:t>
            </w:r>
            <w:r>
              <w:rPr>
                <w:rFonts w:cs="Times New Roman"/>
                <w:i/>
                <w:iCs/>
                <w:color w:val="5B9BD5" w:themeColor="accent5"/>
              </w:rPr>
              <w:t>środka</w:t>
            </w:r>
          </w:p>
        </w:tc>
        <w:tc>
          <w:tcPr>
            <w:tcW w:w="7085" w:type="dxa"/>
            <w:vAlign w:val="center"/>
          </w:tcPr>
          <w:p w14:paraId="70F1381C" w14:textId="77777777" w:rsidR="00F34BD4" w:rsidRPr="002B0945" w:rsidRDefault="00F34BD4" w:rsidP="00FF3BC7">
            <w:pPr>
              <w:spacing w:line="276" w:lineRule="auto"/>
              <w:rPr>
                <w:b/>
                <w:bCs/>
              </w:rPr>
            </w:pPr>
            <w:r>
              <w:rPr>
                <w:b/>
                <w:bCs/>
              </w:rPr>
              <w:t>System świadectw efektywności energetycznej, tzw. system białych certyfikatów</w:t>
            </w:r>
          </w:p>
        </w:tc>
      </w:tr>
      <w:tr w:rsidR="00F34BD4" w:rsidRPr="004A2365" w14:paraId="0EDA42E6" w14:textId="77777777" w:rsidTr="00B823C1">
        <w:tc>
          <w:tcPr>
            <w:tcW w:w="1644" w:type="dxa"/>
            <w:vAlign w:val="center"/>
          </w:tcPr>
          <w:p w14:paraId="0680F949"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Kategoria</w:t>
            </w:r>
          </w:p>
        </w:tc>
        <w:tc>
          <w:tcPr>
            <w:tcW w:w="7085" w:type="dxa"/>
            <w:vAlign w:val="center"/>
          </w:tcPr>
          <w:p w14:paraId="1CE81780" w14:textId="77777777" w:rsidR="00F34BD4" w:rsidRPr="004A2365" w:rsidRDefault="00F34BD4" w:rsidP="00FF3BC7">
            <w:pPr>
              <w:spacing w:line="276" w:lineRule="auto"/>
              <w:rPr>
                <w:rFonts w:cs="Times New Roman"/>
              </w:rPr>
            </w:pPr>
            <w:r w:rsidRPr="004A2365">
              <w:rPr>
                <w:rFonts w:cs="Times New Roman"/>
              </w:rPr>
              <w:t>Mechanizm finansowy</w:t>
            </w:r>
          </w:p>
        </w:tc>
      </w:tr>
      <w:tr w:rsidR="00F34BD4" w:rsidRPr="004A2365" w14:paraId="1EAE7C81" w14:textId="77777777" w:rsidTr="00B823C1">
        <w:tc>
          <w:tcPr>
            <w:tcW w:w="1644" w:type="dxa"/>
            <w:vAlign w:val="center"/>
          </w:tcPr>
          <w:p w14:paraId="66452A46" w14:textId="77777777" w:rsidR="00F34BD4" w:rsidRPr="005F6322" w:rsidRDefault="00F34BD4" w:rsidP="00FF3BC7">
            <w:pPr>
              <w:spacing w:line="276" w:lineRule="auto"/>
              <w:jc w:val="center"/>
              <w:rPr>
                <w:rFonts w:cs="Times New Roman"/>
                <w:i/>
                <w:iCs/>
                <w:color w:val="5B9BD5" w:themeColor="accent5"/>
              </w:rPr>
            </w:pPr>
            <w:r>
              <w:rPr>
                <w:rFonts w:cs="Times New Roman"/>
                <w:i/>
                <w:iCs/>
                <w:color w:val="5B9BD5" w:themeColor="accent5"/>
              </w:rPr>
              <w:t xml:space="preserve">Podstawa prawna </w:t>
            </w:r>
            <w:r w:rsidRPr="005F6322">
              <w:rPr>
                <w:rFonts w:cs="Times New Roman"/>
                <w:i/>
                <w:iCs/>
                <w:color w:val="5B9BD5" w:themeColor="accent5"/>
              </w:rPr>
              <w:t xml:space="preserve"> </w:t>
            </w:r>
          </w:p>
        </w:tc>
        <w:tc>
          <w:tcPr>
            <w:tcW w:w="7085" w:type="dxa"/>
            <w:vAlign w:val="center"/>
          </w:tcPr>
          <w:p w14:paraId="0673AC87" w14:textId="77777777" w:rsidR="00F34BD4" w:rsidRPr="004A2365" w:rsidRDefault="00F34BD4" w:rsidP="00FF3BC7">
            <w:pPr>
              <w:spacing w:line="276" w:lineRule="auto"/>
            </w:pPr>
            <w:r>
              <w:t>S</w:t>
            </w:r>
            <w:r w:rsidRPr="00267B06">
              <w:t xml:space="preserve">ystem funkcjonuje na podstawie ustawy z dnia 20 maja 2016 roku </w:t>
            </w:r>
            <w:r w:rsidRPr="004655BD">
              <w:rPr>
                <w:i/>
                <w:iCs/>
              </w:rPr>
              <w:t>o efektywności energetycznej</w:t>
            </w:r>
            <w:r>
              <w:rPr>
                <w:i/>
                <w:iCs/>
              </w:rPr>
              <w:t xml:space="preserve"> </w:t>
            </w:r>
            <w:r w:rsidRPr="005418DD">
              <w:t>(Dz. U. z 2021 r. poz. 2166)</w:t>
            </w:r>
            <w:r>
              <w:t>.</w:t>
            </w:r>
          </w:p>
        </w:tc>
      </w:tr>
      <w:tr w:rsidR="00F34BD4" w:rsidRPr="001304B7" w14:paraId="17F4A44E" w14:textId="77777777" w:rsidTr="00B823C1">
        <w:tc>
          <w:tcPr>
            <w:tcW w:w="1644" w:type="dxa"/>
            <w:vAlign w:val="center"/>
          </w:tcPr>
          <w:p w14:paraId="26EB22F4" w14:textId="77777777" w:rsidR="00F34BD4" w:rsidRPr="005F6322" w:rsidRDefault="00F34BD4" w:rsidP="00FF3BC7">
            <w:pPr>
              <w:spacing w:line="276" w:lineRule="auto"/>
              <w:jc w:val="center"/>
              <w:rPr>
                <w:rFonts w:cs="Times New Roman"/>
                <w:i/>
                <w:iCs/>
                <w:color w:val="5B9BD5" w:themeColor="accent5"/>
              </w:rPr>
            </w:pPr>
            <w:r>
              <w:rPr>
                <w:rFonts w:cs="Times New Roman"/>
                <w:i/>
                <w:iCs/>
                <w:color w:val="5B9BD5" w:themeColor="accent5"/>
              </w:rPr>
              <w:t>Realizacja obowiązku</w:t>
            </w:r>
            <w:r w:rsidRPr="005F6322">
              <w:rPr>
                <w:rFonts w:cs="Times New Roman"/>
                <w:i/>
                <w:iCs/>
                <w:color w:val="5B9BD5" w:themeColor="accent5"/>
              </w:rPr>
              <w:t xml:space="preserve"> </w:t>
            </w:r>
          </w:p>
        </w:tc>
        <w:tc>
          <w:tcPr>
            <w:tcW w:w="7085" w:type="dxa"/>
            <w:shd w:val="clear" w:color="auto" w:fill="auto"/>
            <w:vAlign w:val="center"/>
          </w:tcPr>
          <w:p w14:paraId="25A8A610" w14:textId="77777777" w:rsidR="00F34BD4" w:rsidRDefault="00F34BD4" w:rsidP="00FF3BC7">
            <w:pPr>
              <w:spacing w:line="276" w:lineRule="auto"/>
              <w:rPr>
                <w:rFonts w:ascii="Times New Roman" w:eastAsia="Calibri" w:hAnsi="Times New Roman" w:cs="Arial"/>
              </w:rPr>
            </w:pPr>
            <w:r>
              <w:t>P</w:t>
            </w:r>
            <w:r w:rsidRPr="7A6EF002">
              <w:t xml:space="preserve">odmioty zobowiązane realizują obowiązek uzyskania oszczędności energii </w:t>
            </w:r>
            <w:r w:rsidRPr="455F2474">
              <w:t>poprzez</w:t>
            </w:r>
            <w:r w:rsidRPr="7A6EF002">
              <w:t>:</w:t>
            </w:r>
          </w:p>
          <w:p w14:paraId="51F768DC" w14:textId="77777777" w:rsidR="00F34BD4" w:rsidRPr="00075176" w:rsidRDefault="00F34BD4" w:rsidP="00FF3BC7">
            <w:pPr>
              <w:pStyle w:val="Akapitzlist"/>
              <w:numPr>
                <w:ilvl w:val="0"/>
                <w:numId w:val="15"/>
              </w:numPr>
              <w:spacing w:line="276" w:lineRule="auto"/>
            </w:pPr>
            <w:r w:rsidRPr="3FCD4BA0">
              <w:t>r</w:t>
            </w:r>
            <w:r w:rsidRPr="00075176">
              <w:t>ealizowanie przedsięwzięć służących poprawie efektywności energetycznej u odbiorcy końco</w:t>
            </w:r>
            <w:r w:rsidRPr="3FCD4BA0">
              <w:t>w</w:t>
            </w:r>
            <w:r w:rsidRPr="00075176">
              <w:t>ego, w wyniku</w:t>
            </w:r>
            <w:r w:rsidRPr="3FCD4BA0">
              <w:t xml:space="preserve"> </w:t>
            </w:r>
            <w:r w:rsidRPr="7A51CC91">
              <w:t xml:space="preserve">których uzyskuje się </w:t>
            </w:r>
            <w:r w:rsidRPr="77C30386">
              <w:t>oszczędność</w:t>
            </w:r>
            <w:r w:rsidRPr="7A51CC91">
              <w:t xml:space="preserve"> energii finalnej </w:t>
            </w:r>
            <w:r w:rsidRPr="28187ABC">
              <w:t>potwierdzonej audytem efektywności energetycznej,</w:t>
            </w:r>
          </w:p>
          <w:p w14:paraId="1B7EB0D7" w14:textId="77777777" w:rsidR="00F34BD4" w:rsidRPr="00075176" w:rsidRDefault="00F34BD4" w:rsidP="00FF3BC7">
            <w:pPr>
              <w:pStyle w:val="Akapitzlist"/>
              <w:numPr>
                <w:ilvl w:val="0"/>
                <w:numId w:val="15"/>
              </w:numPr>
              <w:spacing w:line="276" w:lineRule="auto"/>
            </w:pPr>
            <w:r w:rsidRPr="6FEC4436">
              <w:lastRenderedPageBreak/>
              <w:t>uzyskanie</w:t>
            </w:r>
            <w:r w:rsidRPr="3AF91034">
              <w:t xml:space="preserve"> i przedstawienie do umorzenia Prezesowi URE świadectw efektywności energetycznej</w:t>
            </w:r>
            <w:r w:rsidRPr="6FEC4436">
              <w:t xml:space="preserve">, </w:t>
            </w:r>
            <w:r w:rsidRPr="017194EF">
              <w:t>zwanych</w:t>
            </w:r>
            <w:r w:rsidRPr="6FEC4436">
              <w:t xml:space="preserve"> białymi certyfikatami,</w:t>
            </w:r>
          </w:p>
          <w:p w14:paraId="6652F7AD" w14:textId="77777777" w:rsidR="00F34BD4" w:rsidRPr="001304B7" w:rsidRDefault="00F34BD4" w:rsidP="00FF3BC7">
            <w:pPr>
              <w:numPr>
                <w:ilvl w:val="0"/>
                <w:numId w:val="15"/>
              </w:numPr>
              <w:spacing w:line="276" w:lineRule="auto"/>
              <w:jc w:val="left"/>
              <w:rPr>
                <w:rFonts w:cs="Times New Roman"/>
              </w:rPr>
            </w:pPr>
            <w:r w:rsidRPr="017194EF">
              <w:t>realizowanie</w:t>
            </w:r>
            <w:r w:rsidRPr="624ABB5E">
              <w:t xml:space="preserve"> </w:t>
            </w:r>
            <w:r w:rsidRPr="48A69F47">
              <w:t>przedsięwzięć służących</w:t>
            </w:r>
            <w:r w:rsidRPr="624ABB5E">
              <w:t xml:space="preserve"> poprawie </w:t>
            </w:r>
            <w:r w:rsidRPr="3FB51F62">
              <w:t>efektywności</w:t>
            </w:r>
            <w:r w:rsidRPr="624ABB5E">
              <w:t xml:space="preserve"> energetycznej u obiorcy końcowego </w:t>
            </w:r>
            <w:r w:rsidRPr="3FB51F62">
              <w:t xml:space="preserve">w ramach </w:t>
            </w:r>
            <w:r w:rsidRPr="0E837A00">
              <w:t xml:space="preserve">programów bezzwrotnych </w:t>
            </w:r>
            <w:r w:rsidRPr="0314F8C7">
              <w:t>dofinansowań.</w:t>
            </w:r>
          </w:p>
        </w:tc>
      </w:tr>
      <w:tr w:rsidR="00F34BD4" w:rsidRPr="002C14E5" w14:paraId="2D5FDAFD" w14:textId="77777777" w:rsidTr="00B823C1">
        <w:tc>
          <w:tcPr>
            <w:tcW w:w="1644" w:type="dxa"/>
            <w:vAlign w:val="center"/>
          </w:tcPr>
          <w:p w14:paraId="1F5012DD" w14:textId="77777777" w:rsidR="00F34BD4" w:rsidRPr="005F6322" w:rsidRDefault="00F34BD4" w:rsidP="00FF3BC7">
            <w:pPr>
              <w:spacing w:line="276" w:lineRule="auto"/>
              <w:jc w:val="center"/>
              <w:rPr>
                <w:rFonts w:cs="Times New Roman"/>
                <w:i/>
                <w:iCs/>
                <w:color w:val="5B9BD5" w:themeColor="accent5"/>
              </w:rPr>
            </w:pPr>
            <w:r>
              <w:rPr>
                <w:rFonts w:cs="Times New Roman"/>
                <w:i/>
                <w:iCs/>
                <w:color w:val="5B9BD5" w:themeColor="accent5"/>
              </w:rPr>
              <w:lastRenderedPageBreak/>
              <w:t>Podmioty zobowiązane</w:t>
            </w:r>
          </w:p>
        </w:tc>
        <w:tc>
          <w:tcPr>
            <w:tcW w:w="7085" w:type="dxa"/>
            <w:vAlign w:val="center"/>
          </w:tcPr>
          <w:p w14:paraId="5DF0698C" w14:textId="77777777" w:rsidR="00F34BD4" w:rsidRDefault="00F34BD4" w:rsidP="00FF3BC7">
            <w:pPr>
              <w:pStyle w:val="Akapitzlist"/>
              <w:numPr>
                <w:ilvl w:val="0"/>
                <w:numId w:val="25"/>
              </w:numPr>
              <w:spacing w:line="276" w:lineRule="auto"/>
            </w:pPr>
            <w:r>
              <w:t>przedsiębiorstwa energetyczne</w:t>
            </w:r>
          </w:p>
          <w:p w14:paraId="6B0E01B7" w14:textId="77777777" w:rsidR="00F34BD4" w:rsidRDefault="00F34BD4" w:rsidP="00FF3BC7">
            <w:pPr>
              <w:pStyle w:val="Akapitzlist"/>
              <w:numPr>
                <w:ilvl w:val="0"/>
                <w:numId w:val="25"/>
              </w:numPr>
              <w:spacing w:line="276" w:lineRule="auto"/>
            </w:pPr>
            <w:r>
              <w:t xml:space="preserve">odbiorców końcowych </w:t>
            </w:r>
            <w:r w:rsidRPr="00252C5F">
              <w:t>przyłączonych do sieci będących członkami giełdy</w:t>
            </w:r>
          </w:p>
          <w:p w14:paraId="1364ABDD" w14:textId="77777777" w:rsidR="00F34BD4" w:rsidRDefault="00F34BD4" w:rsidP="00FF3BC7">
            <w:pPr>
              <w:pStyle w:val="Akapitzlist"/>
              <w:numPr>
                <w:ilvl w:val="0"/>
                <w:numId w:val="25"/>
              </w:numPr>
              <w:spacing w:line="276" w:lineRule="auto"/>
            </w:pPr>
            <w:r>
              <w:t xml:space="preserve">odbiorców końcowych </w:t>
            </w:r>
            <w:r w:rsidRPr="00252C5F">
              <w:t>przyłączonych do sieci będących członkami giełdy</w:t>
            </w:r>
            <w:r>
              <w:t xml:space="preserve"> izby rozrachunkowej</w:t>
            </w:r>
          </w:p>
          <w:p w14:paraId="182203CC" w14:textId="77777777" w:rsidR="00F34BD4" w:rsidRPr="005418DD" w:rsidRDefault="00F34BD4" w:rsidP="00FF3BC7">
            <w:pPr>
              <w:pStyle w:val="Akapitzlist"/>
              <w:numPr>
                <w:ilvl w:val="0"/>
                <w:numId w:val="25"/>
              </w:numPr>
              <w:spacing w:line="276" w:lineRule="auto"/>
            </w:pPr>
            <w:r w:rsidRPr="005418DD">
              <w:rPr>
                <w:rFonts w:eastAsia="Calibri" w:cs="Arial"/>
              </w:rPr>
              <w:t>odbiorców końcowych przyłączonych do sieci sprowadzających gaz ziemny w ramach nabycia wewnątrzwspólnotowego lub importu</w:t>
            </w:r>
          </w:p>
          <w:p w14:paraId="6BF859A9" w14:textId="77777777" w:rsidR="00F34BD4" w:rsidRPr="005418DD" w:rsidRDefault="00F34BD4" w:rsidP="00FF3BC7">
            <w:pPr>
              <w:pStyle w:val="Akapitzlist"/>
              <w:numPr>
                <w:ilvl w:val="0"/>
                <w:numId w:val="25"/>
              </w:numPr>
              <w:spacing w:line="276" w:lineRule="auto"/>
            </w:pPr>
            <w:r>
              <w:t>t</w:t>
            </w:r>
            <w:r w:rsidRPr="005418DD">
              <w:t xml:space="preserve">owarowe domy maklerskie lub domy maklerskie </w:t>
            </w:r>
          </w:p>
          <w:p w14:paraId="31949D35" w14:textId="77777777" w:rsidR="00F34BD4" w:rsidRPr="005418DD" w:rsidRDefault="00F34BD4" w:rsidP="00FF3BC7">
            <w:pPr>
              <w:pStyle w:val="Akapitzlist"/>
              <w:numPr>
                <w:ilvl w:val="0"/>
                <w:numId w:val="25"/>
              </w:numPr>
              <w:spacing w:line="276" w:lineRule="auto"/>
            </w:pPr>
            <w:r>
              <w:t>p</w:t>
            </w:r>
            <w:r w:rsidRPr="005418DD">
              <w:t>odmioty paliwowe wprowadzające do obrotu paliwa ciekłe.</w:t>
            </w:r>
          </w:p>
        </w:tc>
      </w:tr>
      <w:tr w:rsidR="00F34BD4" w:rsidRPr="004A2365" w14:paraId="35F3F2B9" w14:textId="77777777" w:rsidTr="00B823C1">
        <w:tc>
          <w:tcPr>
            <w:tcW w:w="1644" w:type="dxa"/>
            <w:vAlign w:val="center"/>
          </w:tcPr>
          <w:p w14:paraId="5160E27E"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Instytucja wdrażająca</w:t>
            </w:r>
          </w:p>
        </w:tc>
        <w:tc>
          <w:tcPr>
            <w:tcW w:w="7085" w:type="dxa"/>
            <w:vAlign w:val="center"/>
          </w:tcPr>
          <w:p w14:paraId="0CDDD9A9" w14:textId="77777777" w:rsidR="00F34BD4" w:rsidRPr="004A2365" w:rsidRDefault="00F34BD4" w:rsidP="00FF3BC7">
            <w:pPr>
              <w:spacing w:line="276" w:lineRule="auto"/>
              <w:rPr>
                <w:rFonts w:cs="Times New Roman"/>
              </w:rPr>
            </w:pPr>
            <w:r>
              <w:rPr>
                <w:rFonts w:cs="Times New Roman"/>
              </w:rPr>
              <w:t>Ministerstwo Klimatu i Środowiska</w:t>
            </w:r>
          </w:p>
        </w:tc>
      </w:tr>
      <w:tr w:rsidR="00F34BD4" w:rsidRPr="004A2365" w14:paraId="026F4CCE" w14:textId="77777777" w:rsidTr="00B823C1">
        <w:tc>
          <w:tcPr>
            <w:tcW w:w="1644" w:type="dxa"/>
            <w:vAlign w:val="center"/>
          </w:tcPr>
          <w:p w14:paraId="6AB3843D"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Instytucja nadzorująca</w:t>
            </w:r>
          </w:p>
        </w:tc>
        <w:tc>
          <w:tcPr>
            <w:tcW w:w="7085" w:type="dxa"/>
            <w:vAlign w:val="center"/>
          </w:tcPr>
          <w:p w14:paraId="03E4FA9F" w14:textId="77777777" w:rsidR="00F34BD4" w:rsidRPr="004A2365" w:rsidRDefault="00F34BD4" w:rsidP="00FF3BC7">
            <w:pPr>
              <w:spacing w:line="276" w:lineRule="auto"/>
              <w:rPr>
                <w:rFonts w:cs="Times New Roman"/>
              </w:rPr>
            </w:pPr>
            <w:r>
              <w:rPr>
                <w:rFonts w:cs="Times New Roman"/>
              </w:rPr>
              <w:t xml:space="preserve">Urząd Regulacji Energii </w:t>
            </w:r>
          </w:p>
        </w:tc>
      </w:tr>
      <w:tr w:rsidR="00F34BD4" w14:paraId="25DCB722" w14:textId="77777777" w:rsidTr="00B823C1">
        <w:tc>
          <w:tcPr>
            <w:tcW w:w="1644" w:type="dxa"/>
            <w:vAlign w:val="center"/>
          </w:tcPr>
          <w:p w14:paraId="02E2204E" w14:textId="77777777" w:rsidR="00F34BD4" w:rsidRPr="005F6322" w:rsidRDefault="00F34BD4" w:rsidP="00FF3BC7">
            <w:pPr>
              <w:spacing w:line="276" w:lineRule="auto"/>
              <w:jc w:val="center"/>
              <w:rPr>
                <w:rFonts w:cs="Times New Roman"/>
                <w:i/>
                <w:iCs/>
                <w:color w:val="5B9BD5" w:themeColor="accent5"/>
              </w:rPr>
            </w:pPr>
            <w:r>
              <w:rPr>
                <w:rFonts w:cs="Times New Roman"/>
                <w:i/>
                <w:iCs/>
                <w:color w:val="5B9BD5" w:themeColor="accent5"/>
              </w:rPr>
              <w:t>Oszczędność końcowego zużycia energii</w:t>
            </w:r>
          </w:p>
        </w:tc>
        <w:tc>
          <w:tcPr>
            <w:tcW w:w="7085" w:type="dxa"/>
            <w:vAlign w:val="center"/>
          </w:tcPr>
          <w:p w14:paraId="37FDFCEC" w14:textId="77777777" w:rsidR="00F34BD4" w:rsidRDefault="00F34BD4" w:rsidP="00FF3BC7">
            <w:pPr>
              <w:spacing w:line="276" w:lineRule="auto"/>
              <w:rPr>
                <w:rFonts w:cs="Times New Roman"/>
              </w:rPr>
            </w:pPr>
            <w:r w:rsidRPr="00341BF1">
              <w:rPr>
                <w:rFonts w:cs="Times New Roman"/>
              </w:rPr>
              <w:t xml:space="preserve">27 197 </w:t>
            </w:r>
            <w:proofErr w:type="spellStart"/>
            <w:r w:rsidRPr="00341BF1">
              <w:rPr>
                <w:rFonts w:cs="Times New Roman"/>
              </w:rPr>
              <w:t>ktoe</w:t>
            </w:r>
            <w:proofErr w:type="spellEnd"/>
            <w:r>
              <w:rPr>
                <w:rFonts w:cs="Times New Roman"/>
              </w:rPr>
              <w:t xml:space="preserve"> (całkowita skumulowana oszczędność końcowego zużycia energii)</w:t>
            </w:r>
          </w:p>
        </w:tc>
      </w:tr>
    </w:tbl>
    <w:p w14:paraId="1F6A578A" w14:textId="77777777" w:rsidR="00F34BD4" w:rsidRPr="005418DD" w:rsidRDefault="00F34BD4" w:rsidP="00F34BD4">
      <w:pPr>
        <w:spacing w:before="120" w:after="240" w:line="360" w:lineRule="auto"/>
        <w:rPr>
          <w:b/>
          <w:bCs/>
          <w:color w:val="2F5496" w:themeColor="accent1" w:themeShade="BF"/>
        </w:rPr>
      </w:pPr>
    </w:p>
    <w:p w14:paraId="4DAD07D9" w14:textId="77777777" w:rsidR="00F34BD4" w:rsidRPr="002A4CCB" w:rsidRDefault="00F34BD4" w:rsidP="00FF3BC7">
      <w:pPr>
        <w:pStyle w:val="Akapitzlist"/>
        <w:numPr>
          <w:ilvl w:val="0"/>
          <w:numId w:val="3"/>
        </w:numPr>
        <w:spacing w:before="120" w:after="240" w:line="360" w:lineRule="auto"/>
        <w:ind w:left="1134" w:hanging="357"/>
        <w:jc w:val="left"/>
        <w:rPr>
          <w:b/>
          <w:bCs/>
          <w:color w:val="2F5496" w:themeColor="accent1" w:themeShade="BF"/>
        </w:rPr>
      </w:pPr>
      <w:r w:rsidRPr="002A4CCB">
        <w:rPr>
          <w:b/>
          <w:bCs/>
          <w:color w:val="2F5496" w:themeColor="accent1" w:themeShade="BF"/>
        </w:rPr>
        <w:t>Opis środka</w:t>
      </w:r>
    </w:p>
    <w:p w14:paraId="0212EAF3" w14:textId="77777777" w:rsidR="00F34BD4" w:rsidRPr="00267B06" w:rsidRDefault="00F34BD4" w:rsidP="00373FD3">
      <w:r w:rsidRPr="00267B06">
        <w:t xml:space="preserve">W ramach systemu zobowiązującego do efektywności energetycznej państwa członkowskie zapewniają spełnienie wymogu osiągnięcia oszczędności końcowego zużycia energii przez </w:t>
      </w:r>
      <w:r w:rsidRPr="5B9E3DA0">
        <w:t>strony</w:t>
      </w:r>
      <w:r w:rsidRPr="00267B06">
        <w:t xml:space="preserve"> zobowiązane</w:t>
      </w:r>
      <w:r w:rsidRPr="5B9E3DA0">
        <w:t xml:space="preserve"> spośród</w:t>
      </w:r>
      <w:r w:rsidRPr="00267B06">
        <w:t xml:space="preserve"> </w:t>
      </w:r>
      <w:r w:rsidRPr="29BAD6E2">
        <w:t>operatorów systemów przesyłowych,</w:t>
      </w:r>
      <w:r w:rsidRPr="7E27C7CE">
        <w:t xml:space="preserve"> </w:t>
      </w:r>
      <w:r w:rsidRPr="00267B06">
        <w:t>dystrybutorów energii</w:t>
      </w:r>
      <w:r>
        <w:t>, p</w:t>
      </w:r>
      <w:r w:rsidRPr="00267B06">
        <w:t xml:space="preserve">rzedsiębiorstwa prowadzące detaliczną sprzedaż energii </w:t>
      </w:r>
      <w:r w:rsidRPr="1324B391">
        <w:t xml:space="preserve">lub </w:t>
      </w:r>
      <w:r w:rsidRPr="1A721C7B">
        <w:t xml:space="preserve">przedsiębiorstwa prowadzące dystrybucję i sprzedaż detaliczną paliw </w:t>
      </w:r>
      <w:r w:rsidRPr="7BBDC340">
        <w:t>transportowych</w:t>
      </w:r>
      <w:r w:rsidRPr="1324B391">
        <w:t xml:space="preserve"> </w:t>
      </w:r>
      <w:r w:rsidRPr="00267B06">
        <w:t xml:space="preserve">i działające na ich terytorium. </w:t>
      </w:r>
    </w:p>
    <w:p w14:paraId="2ACC1AF6" w14:textId="77777777" w:rsidR="00F34BD4" w:rsidRPr="00267B06" w:rsidRDefault="00F34BD4" w:rsidP="00373FD3">
      <w:r w:rsidRPr="00267B06">
        <w:t xml:space="preserve">W Polsce system zobowiązujący do efektywności energetycznej został wprowadzony poprzez ustawowe nałożenie obowiązku </w:t>
      </w:r>
      <w:r w:rsidRPr="73413B3A">
        <w:t xml:space="preserve">uzyskania </w:t>
      </w:r>
      <w:r w:rsidRPr="0B24D009">
        <w:t>oszczędności</w:t>
      </w:r>
      <w:r w:rsidRPr="73413B3A">
        <w:t xml:space="preserve"> energii </w:t>
      </w:r>
      <w:r w:rsidRPr="00267B06">
        <w:t>na</w:t>
      </w:r>
      <w:r w:rsidRPr="0B24D009">
        <w:t xml:space="preserve"> tzw.</w:t>
      </w:r>
      <w:r w:rsidRPr="00267B06">
        <w:t xml:space="preserve"> podmioty zobowiązane począwszy od 1 stycznia 2013 roku. Obecnie system ten funkcjonuje na podstawie ustawy z dnia 20 maja 2016 roku </w:t>
      </w:r>
      <w:r w:rsidRPr="00373FD3">
        <w:t>o efektywności energetycznej</w:t>
      </w:r>
      <w:r w:rsidRPr="7B346CDA">
        <w:t xml:space="preserve">. </w:t>
      </w:r>
      <w:r w:rsidRPr="29D74932">
        <w:t xml:space="preserve">Ostatnia </w:t>
      </w:r>
      <w:r w:rsidRPr="6B6B2C8A">
        <w:t>zmiana</w:t>
      </w:r>
      <w:r w:rsidRPr="29D74932">
        <w:t xml:space="preserve"> </w:t>
      </w:r>
      <w:r w:rsidRPr="016DFA09">
        <w:t xml:space="preserve">ww. ustawy została </w:t>
      </w:r>
      <w:r w:rsidRPr="15695BA9">
        <w:t xml:space="preserve">wprowadzona </w:t>
      </w:r>
      <w:r w:rsidRPr="43FC5DEF">
        <w:t xml:space="preserve">ustawą z dnia 20 kwietnia 2021 r. </w:t>
      </w:r>
      <w:r w:rsidRPr="00373FD3">
        <w:t>o zmianie ustawy o efektywności energetycznej oraz niektórych innych ustaw</w:t>
      </w:r>
      <w:r w:rsidRPr="39F49039">
        <w:t xml:space="preserve"> (Dz. U. z 2021 r. poz. 868).</w:t>
      </w:r>
    </w:p>
    <w:p w14:paraId="73330910" w14:textId="77777777" w:rsidR="00F34BD4" w:rsidRPr="00267B06" w:rsidRDefault="00F34BD4" w:rsidP="00373FD3">
      <w:r w:rsidRPr="00267B06">
        <w:t xml:space="preserve">Ustawa o efektywności energetycznej nakłada obowiązek </w:t>
      </w:r>
      <w:r w:rsidRPr="61C10051">
        <w:t xml:space="preserve">uzyskania oszczędności </w:t>
      </w:r>
      <w:r w:rsidRPr="2941F205">
        <w:t>energii</w:t>
      </w:r>
      <w:r w:rsidRPr="00267B06">
        <w:t xml:space="preserve"> na następujące grupy przedsiębiorców: </w:t>
      </w:r>
    </w:p>
    <w:p w14:paraId="07EF966A" w14:textId="77777777" w:rsidR="00F34BD4" w:rsidRPr="00252C5F" w:rsidRDefault="00F34BD4" w:rsidP="00FF3BC7">
      <w:pPr>
        <w:numPr>
          <w:ilvl w:val="0"/>
          <w:numId w:val="27"/>
        </w:numPr>
      </w:pPr>
      <w:r w:rsidRPr="00252C5F">
        <w:t>przedsiębiorstwa energetyczne wykonujące działalność gospodarczą w zakresie wytwarzania lub obrotu energią elektryczną, ciepłem lub gazem ziemnym i sprzedające energię elektryczną, ciepło lub gaz ziemny odbiorcom końcowym przyłączonym do sieci</w:t>
      </w:r>
      <w:r w:rsidRPr="2402CBBC">
        <w:t xml:space="preserve"> </w:t>
      </w:r>
      <w:r w:rsidRPr="27AA67B6">
        <w:t xml:space="preserve">na terytorium </w:t>
      </w:r>
      <w:r w:rsidRPr="75B9B797">
        <w:t>Rzeczypospolitej Polskiej</w:t>
      </w:r>
      <w:r w:rsidRPr="00252C5F">
        <w:t xml:space="preserve">, </w:t>
      </w:r>
    </w:p>
    <w:p w14:paraId="0D6A0DB1" w14:textId="77777777" w:rsidR="00F34BD4" w:rsidRPr="00252C5F" w:rsidRDefault="00F34BD4" w:rsidP="00FF3BC7">
      <w:pPr>
        <w:numPr>
          <w:ilvl w:val="0"/>
          <w:numId w:val="27"/>
        </w:numPr>
      </w:pPr>
      <w:r w:rsidRPr="00252C5F">
        <w:t xml:space="preserve">odbiorców końcowych przyłączonych do sieci na terytorium Rzeczypospolitej Polskiej, będących członkami giełdy w rozumieniu ustawy z dnia 26 października 2000 r. </w:t>
      </w:r>
      <w:r w:rsidRPr="00373FD3">
        <w:t>o giełdach towarowych</w:t>
      </w:r>
      <w:r w:rsidRPr="00373FD3">
        <w:footnoteReference w:id="1"/>
      </w:r>
      <w:r w:rsidRPr="00373FD3">
        <w:t xml:space="preserve"> </w:t>
      </w:r>
      <w:r w:rsidRPr="00075176">
        <w:t xml:space="preserve">lub </w:t>
      </w:r>
      <w:r w:rsidRPr="00075176">
        <w:lastRenderedPageBreak/>
        <w:t>członkiem rynku regulowanego</w:t>
      </w:r>
      <w:r w:rsidRPr="00252C5F">
        <w:t>, w odniesieniu do transakcji zawieranych we własnym imieniu na giełdzie towarowej lub na rynku regulowanym</w:t>
      </w:r>
      <w:r w:rsidRPr="01766205">
        <w:t xml:space="preserve"> przez ten podmiot</w:t>
      </w:r>
      <w:r w:rsidRPr="00252C5F">
        <w:t>,</w:t>
      </w:r>
    </w:p>
    <w:p w14:paraId="389C0715" w14:textId="77777777" w:rsidR="00F34BD4" w:rsidRPr="00373FD3" w:rsidRDefault="00F34BD4" w:rsidP="00FF3BC7">
      <w:pPr>
        <w:numPr>
          <w:ilvl w:val="0"/>
          <w:numId w:val="27"/>
        </w:numPr>
      </w:pPr>
      <w:r w:rsidRPr="00373FD3">
        <w:t xml:space="preserve">odbiorców końcowych przyłączonych do sieci na terytorium Rzeczypospolitej Polskiej będących członkami giełdowej izby rozrachunkowej w rozumieniu ustawy z dnia 26 października 2000 r. o giełdach towarowych, w odniesieniu do transakcji zawieranych przez nich poza giełdą towarową lub rynkiem, o których mowa w </w:t>
      </w:r>
      <w:proofErr w:type="spellStart"/>
      <w:r w:rsidRPr="00373FD3">
        <w:t>tiret</w:t>
      </w:r>
      <w:proofErr w:type="spellEnd"/>
      <w:r w:rsidRPr="00373FD3">
        <w:t xml:space="preserve"> 2, będących przedmiotami rozliczeń prowadzonych w ramach tej izby przez spółkę prowadzącą giełdową izbę rozrachunkową, przez Krajowy Depozyt Papierów Wartościowych S.A. lub przez spółkę, której Krajowy Depozyt Papierów Wartościowych S.A. przekazał wykonywanie czynności z zakresu zadań, o których mowa w art. 48 ust. 2 ustawy z dnia 29 lipca 2005 r. o obrocie instrumentami finansowymi (Dz. U. z 2021 r. poz. 328),</w:t>
      </w:r>
    </w:p>
    <w:p w14:paraId="54C88AEB" w14:textId="77777777" w:rsidR="00F34BD4" w:rsidRPr="00373FD3" w:rsidRDefault="00F34BD4" w:rsidP="00FF3BC7">
      <w:pPr>
        <w:numPr>
          <w:ilvl w:val="0"/>
          <w:numId w:val="27"/>
        </w:numPr>
      </w:pPr>
      <w:r w:rsidRPr="00373FD3">
        <w:t>odbiorców końcowych przyłączonych do sieci na terytorium Rzeczypospolitej Polskiej sprowadzających gaz ziemny w ramach nabycia wewnątrzwspólnotowego lub importu w rozumieniu przepisów o podatku akcyzowym, w odniesieniu do ilości tego gazu zużytego na własny użytek,</w:t>
      </w:r>
    </w:p>
    <w:p w14:paraId="2C862E7E" w14:textId="77777777" w:rsidR="00F34BD4" w:rsidRDefault="00F34BD4" w:rsidP="00FF3BC7">
      <w:pPr>
        <w:numPr>
          <w:ilvl w:val="0"/>
          <w:numId w:val="27"/>
        </w:numPr>
      </w:pPr>
      <w:r w:rsidRPr="00252C5F">
        <w:t>towarowe domy maklerskie lub domy maklerskie</w:t>
      </w:r>
      <w:r w:rsidRPr="3CA28F97">
        <w:t xml:space="preserve"> w rozumieniu ustawy z dnia 26 października 2000 r. </w:t>
      </w:r>
      <w:r w:rsidRPr="00373FD3">
        <w:t>o giełdach towarowych</w:t>
      </w:r>
      <w:r w:rsidRPr="00252C5F">
        <w:t xml:space="preserve">, w odniesieniu do transakcji realizowanych na giełdzie towarowej </w:t>
      </w:r>
      <w:r w:rsidRPr="70A23377">
        <w:t xml:space="preserve"> lub na rynku organizowanym przez podmiot prowadzący na terytorium Rzeczypospolitej Polskiej rynek regulowany, na zlecenie odbiorców końcowych przyłączonych do sieci na terytorium Rzeczypospolitej Polskiej</w:t>
      </w:r>
      <w:r>
        <w:t>,</w:t>
      </w:r>
    </w:p>
    <w:p w14:paraId="32B25870" w14:textId="77777777" w:rsidR="00F34BD4" w:rsidRPr="00252C5F" w:rsidRDefault="00F34BD4" w:rsidP="00FF3BC7">
      <w:pPr>
        <w:numPr>
          <w:ilvl w:val="0"/>
          <w:numId w:val="27"/>
        </w:numPr>
      </w:pPr>
      <w:r>
        <w:t>podmiot</w:t>
      </w:r>
      <w:r w:rsidRPr="1E4A8F41">
        <w:t>y</w:t>
      </w:r>
      <w:r>
        <w:t xml:space="preserve"> paliwowe wprowadzające do obrotu paliwa ciekłe</w:t>
      </w:r>
      <w:r w:rsidRPr="00252C5F">
        <w:t xml:space="preserve">. </w:t>
      </w:r>
    </w:p>
    <w:p w14:paraId="7EF79128" w14:textId="77777777" w:rsidR="00F34BD4" w:rsidRPr="00373FD3" w:rsidRDefault="00F34BD4" w:rsidP="00373FD3">
      <w:r w:rsidRPr="7A6EF002">
        <w:t xml:space="preserve">Wyżej wymienione podmioty zobowiązane realizują obowiązek uzyskania oszczędności energii </w:t>
      </w:r>
      <w:r w:rsidRPr="455F2474">
        <w:t>poprzez</w:t>
      </w:r>
      <w:r w:rsidRPr="7A6EF002">
        <w:t>:</w:t>
      </w:r>
    </w:p>
    <w:p w14:paraId="7A88AEE1" w14:textId="77777777" w:rsidR="00F34BD4" w:rsidRPr="00075176" w:rsidRDefault="00F34BD4" w:rsidP="00FF3BC7">
      <w:pPr>
        <w:numPr>
          <w:ilvl w:val="0"/>
          <w:numId w:val="28"/>
        </w:numPr>
      </w:pPr>
      <w:r w:rsidRPr="3FCD4BA0">
        <w:t>r</w:t>
      </w:r>
      <w:r w:rsidRPr="00075176">
        <w:t>ealizowanie przedsięwzięć służących poprawie efektywności energetycznej u odbiorcy końco</w:t>
      </w:r>
      <w:r w:rsidRPr="3FCD4BA0">
        <w:t>w</w:t>
      </w:r>
      <w:r w:rsidRPr="00075176">
        <w:t>ego, w wyniku</w:t>
      </w:r>
      <w:r w:rsidRPr="3FCD4BA0">
        <w:t xml:space="preserve"> </w:t>
      </w:r>
      <w:r w:rsidRPr="7A51CC91">
        <w:t xml:space="preserve">których uzyskuje się </w:t>
      </w:r>
      <w:r w:rsidRPr="77C30386">
        <w:t>oszczędność</w:t>
      </w:r>
      <w:r w:rsidRPr="7A51CC91">
        <w:t xml:space="preserve"> energii finalnej </w:t>
      </w:r>
      <w:r w:rsidRPr="28187ABC">
        <w:t>potwierdzonej audytem efektywności energetycznej,</w:t>
      </w:r>
    </w:p>
    <w:p w14:paraId="68A9D79C" w14:textId="77777777" w:rsidR="00F34BD4" w:rsidRPr="00075176" w:rsidRDefault="00F34BD4" w:rsidP="00FF3BC7">
      <w:pPr>
        <w:numPr>
          <w:ilvl w:val="0"/>
          <w:numId w:val="28"/>
        </w:numPr>
      </w:pPr>
      <w:r w:rsidRPr="6FEC4436">
        <w:t>uzyskanie</w:t>
      </w:r>
      <w:r w:rsidRPr="3AF91034">
        <w:t xml:space="preserve"> i przedstawienie do umorzenia Prezesowi URE świadectw efektywności energetycznej</w:t>
      </w:r>
      <w:r w:rsidRPr="6FEC4436">
        <w:t xml:space="preserve">, </w:t>
      </w:r>
      <w:r w:rsidRPr="017194EF">
        <w:t>zwanych</w:t>
      </w:r>
      <w:r w:rsidRPr="6FEC4436">
        <w:t xml:space="preserve"> białymi certyfikatami,</w:t>
      </w:r>
    </w:p>
    <w:p w14:paraId="56C16ED6" w14:textId="77777777" w:rsidR="00F34BD4" w:rsidRPr="00075176" w:rsidRDefault="00F34BD4" w:rsidP="00FF3BC7">
      <w:pPr>
        <w:numPr>
          <w:ilvl w:val="0"/>
          <w:numId w:val="28"/>
        </w:numPr>
      </w:pPr>
      <w:r w:rsidRPr="017194EF">
        <w:t>realizowanie</w:t>
      </w:r>
      <w:r w:rsidRPr="624ABB5E">
        <w:t xml:space="preserve"> </w:t>
      </w:r>
      <w:r w:rsidRPr="48A69F47">
        <w:t>przedsięwzięć służących</w:t>
      </w:r>
      <w:r w:rsidRPr="624ABB5E">
        <w:t xml:space="preserve"> poprawie </w:t>
      </w:r>
      <w:r w:rsidRPr="3FB51F62">
        <w:t>efektywności</w:t>
      </w:r>
      <w:r w:rsidRPr="624ABB5E">
        <w:t xml:space="preserve"> energetycznej u obiorcy końcowego </w:t>
      </w:r>
      <w:r w:rsidRPr="3FB51F62">
        <w:t xml:space="preserve">w ramach </w:t>
      </w:r>
      <w:r w:rsidRPr="0E837A00">
        <w:t xml:space="preserve">programów bezzwrotnych </w:t>
      </w:r>
      <w:r w:rsidRPr="0314F8C7">
        <w:t>dofinansowań.</w:t>
      </w:r>
      <w:r w:rsidRPr="05CAFDD8">
        <w:t xml:space="preserve"> </w:t>
      </w:r>
    </w:p>
    <w:p w14:paraId="55C5E88C" w14:textId="77777777" w:rsidR="00F34BD4" w:rsidRPr="00267B06" w:rsidRDefault="00F34BD4" w:rsidP="00373FD3">
      <w:r w:rsidRPr="00267B06">
        <w:t xml:space="preserve">W myśl art. 30 ust. 1 ustawy </w:t>
      </w:r>
      <w:r w:rsidRPr="00373FD3">
        <w:t>o efektywności energetycznej</w:t>
      </w:r>
      <w:r w:rsidRPr="00267B06">
        <w:t xml:space="preserve"> ze świadectwa efektywności energetycznej wynikają zbywalne prawa majątkowe, które są towarem giełdowym w rozumieniu ustawy z dnia 26 października 2000 r. </w:t>
      </w:r>
      <w:r w:rsidRPr="00373FD3">
        <w:t xml:space="preserve">o giełdach towarowych, </w:t>
      </w:r>
      <w:r w:rsidRPr="00075176">
        <w:t>a więc podlegają obrotowi</w:t>
      </w:r>
      <w:r w:rsidRPr="00267B06">
        <w:t xml:space="preserve">. W przypadku podmiotów, które zgodnie z ustawą są objęte obowiązkiem pozyskania świadectw efektywności energetycznej, a nie uzyskają ich i nie umorzą lub nie zrealizują przedsięwzięć służących poprawie efektywności energetycznej u odbiorcy końcowego udokumentowanych audytem </w:t>
      </w:r>
      <w:r w:rsidRPr="4530394C">
        <w:t>efektywności energetycznej</w:t>
      </w:r>
      <w:r w:rsidRPr="00267B06">
        <w:t xml:space="preserve">, muszą uiścić opłatę zastępczą w odpowiedniej wysokości określonej ustawą. W ramach systemu zobowiązującego do efektywności energetycznej podmioty zobowiązane mają określone ustawowo ilości energii końcowej, które są obowiązane uzyskać i przedstawić do umorzenia za każdy kolejny rok. </w:t>
      </w:r>
    </w:p>
    <w:p w14:paraId="247736C7" w14:textId="77777777" w:rsidR="00F34BD4" w:rsidRPr="00267B06" w:rsidRDefault="00F34BD4" w:rsidP="00373FD3">
      <w:r w:rsidRPr="00267B06">
        <w:t>Świadectwa efektywności energetycznej można uzyskać tylko za przedsięwzięcia, których rodzaje zostały określone w art. 19 ust. 1 ustawy. Zgodnie z ustawą o efektywności energetycznej Prezes URE wydaje świadectwa na wniosek podmiotu, u którego będzie realizowane przedsięwzięcie służące poprawie efektywności energetycznej; lub podmiotu przez niego upoważnionego.</w:t>
      </w:r>
    </w:p>
    <w:p w14:paraId="0C7D23B2" w14:textId="77777777" w:rsidR="00F34BD4" w:rsidRPr="00267B06" w:rsidRDefault="00F34BD4" w:rsidP="00373FD3">
      <w:r w:rsidRPr="00267B06">
        <w:t xml:space="preserve">Wykaz wszystkich kwalifikowalnych działań/przedsięwzięć w ramach zgłoszonego przez Polskę systemu zobowiązującego do efektywności energetycznej został ogłoszony przez Ministra Klimatu i Środowiska w </w:t>
      </w:r>
      <w:r w:rsidRPr="00267B06">
        <w:lastRenderedPageBreak/>
        <w:t>drodze obwieszczenia i opublikowany w Dzienniku Urzędowym Monitor Polski</w:t>
      </w:r>
      <w:r w:rsidRPr="00373FD3">
        <w:footnoteReference w:id="2"/>
      </w:r>
      <w:r w:rsidRPr="00267B06">
        <w:t>. Świadectwo efektywności energetycznej wydawane w ramach systemu stanowi potwierdzenie deklarowanej oszczędności energii wynikającej z realizacji przedsięwzięcia służącego poprawie efektywności energetycznej. Warunkiem uzyskania świadectwa jest m.in. sporządzenie dla danego przedsięwzięcia audytu efektywności energetycznej. Audyt ten jest przedkładany Prezesowi URE przez podmiot zgłaszający przedsięwzięcie służące poprawie efektywności energetycznej.</w:t>
      </w:r>
    </w:p>
    <w:p w14:paraId="37CF2E5E" w14:textId="77777777" w:rsidR="00F34BD4" w:rsidRPr="00373FD3" w:rsidRDefault="00F34BD4" w:rsidP="00373FD3">
      <w:r w:rsidRPr="00373FD3">
        <w:t>Dodatkowo od 1 stycznia 2022 r. podmioty zobowiązane, lub podmioty przez nie upoważnione mogą realizować programy bezzwrotnych dofinansowań w celu współfinansowania przedsięwzięć służących poprawie efektywności energetycznej, polegających na wymianie urządzeń lub instalacji służących do celów ogrzewania lub przygotowania ciepłej wody użytkowej na urządzenia lub instalacje służące do celów ogrzewania lub przygotowania ciepłej wody użytkowej charakteryzujące się wyższą klasą efektywności energetycznej, o której mowa w aktach delegowanych w rozumieniu art. 2 ust. 1 ustawy z dnia 14 września 2012 r. o etykietowaniu energetycznym produktów związanych z energią (Dz. U. z 2020 r. poz. 378), z zastrzeżeniem art. 7 ust. 2 rozporządzenia Parlamentu Europejskiego i Rady (UE) 2017/1369 z dnia 4 lipca 2017 r. ustanawiającego ramy etykietowania energetycznego i uchylającego dyrektywę 2010/30/UE (Dz. Urz. UE L 198 z 28.07.2017, str. 1),  bądź przyłączeniu do sieci ciepłowniczej na podstawie umów zawieranych z odbiorcami końcowymi.</w:t>
      </w:r>
    </w:p>
    <w:p w14:paraId="2232A9A9" w14:textId="77777777" w:rsidR="00F34BD4" w:rsidRPr="00373FD3" w:rsidRDefault="00F34BD4" w:rsidP="00373FD3">
      <w:r w:rsidRPr="00373FD3">
        <w:t>Ilość energii finalnej, wyrażonej w tonach oleju ekwiwalentnego, zaoszczędzonej w ciągu roku kalendarzowego przez odbiorców końcowych w wyniku realizacji programu bezzwrotnych dofinansowań oblicza się z uwzględnieniem wartości referencyjnych. Przez wartość referencyjną oszczędności energii finalnej, rozumie się przeciętną ilość średniorocznych oszczędności energii finalnej, wyrażoną w tonach</w:t>
      </w:r>
      <w:r w:rsidRPr="00075176">
        <w:rPr>
          <w:rFonts w:eastAsia="Times New Roman" w:cs="Times New Roman"/>
          <w:color w:val="000000" w:themeColor="text1"/>
        </w:rPr>
        <w:t xml:space="preserve"> oleju ekwiwalentnego na rok, uzyskaną w wyniku realizacji danego rodzaju przedsięwzięcia służącego </w:t>
      </w:r>
      <w:r w:rsidRPr="00373FD3">
        <w:t>poprawie efektywności energetycznej.</w:t>
      </w:r>
    </w:p>
    <w:p w14:paraId="0CA38640" w14:textId="77777777" w:rsidR="00F34BD4" w:rsidRPr="00267B06" w:rsidRDefault="00F34BD4" w:rsidP="00373FD3">
      <w:r w:rsidRPr="00267B06">
        <w:t xml:space="preserve">Natomiast w odniesieniu do możliwości przewidzianej </w:t>
      </w:r>
      <w:r w:rsidRPr="00AF11EC">
        <w:t xml:space="preserve">w art. 9 ust. 11 lit. a) </w:t>
      </w:r>
      <w:r>
        <w:t xml:space="preserve">dyrektywy </w:t>
      </w:r>
      <w:r w:rsidRPr="00AF11EC">
        <w:t>należy podkreślić, że podmioty zobowiązane mogą zaliczać na poczet</w:t>
      </w:r>
      <w:r w:rsidRPr="00267B06">
        <w:t xml:space="preserve"> swoich zobowiązań poświadczone oszczędności energii osiągnięte przez strony trzecie, ale nie odbywa się to w taki sposób, żeby strony te musiały uzyskiwać oszczędności energii w imieniu podmiotów zobowiązanych. Świadectwa efektywności energetycznej wydawane są na wniosek podmiotu, u którego realizowane jest przedsięwzięcie służące poprawie efektywności energetycznej lub podmiotu przez niego upoważnionego. Podmioty te działają na zasadach rynkowych i są niezależne od podmiotów zobowiązanych. System nie przewiduje takiej możliwości, aby podmioty zobowiązane realizowały swój obowiązek za pośrednictwem innych akredytowanych przez państwo podmiotów. Zgodnie z ustawą o efektywności energetycznej prawa majątkowe wynikające ze świadectw są zbywalne i stanowią towar podlegający obrotowi na giełdzie towarowej lub rynku regulowanym. Zatem podmioty zobowiązane mogą kupować te prawa majątkowe na rynku i przedstawiać je do umorzenia Prezesowi URE w celu zaliczenia na poczet realizacji swojego obowiązku. </w:t>
      </w:r>
    </w:p>
    <w:p w14:paraId="7861EE28" w14:textId="77777777" w:rsidR="00F34BD4" w:rsidRPr="004D7678" w:rsidRDefault="00F34BD4" w:rsidP="00FF3BC7">
      <w:pPr>
        <w:pStyle w:val="Akapitzlist"/>
        <w:numPr>
          <w:ilvl w:val="0"/>
          <w:numId w:val="3"/>
        </w:numPr>
        <w:spacing w:before="120" w:after="240" w:line="360" w:lineRule="auto"/>
        <w:ind w:left="1134" w:hanging="357"/>
        <w:jc w:val="left"/>
        <w:rPr>
          <w:b/>
          <w:color w:val="2F5496" w:themeColor="accent1" w:themeShade="BF"/>
        </w:rPr>
      </w:pPr>
      <w:r w:rsidRPr="00B4693F">
        <w:rPr>
          <w:b/>
          <w:bCs/>
          <w:color w:val="2F5496" w:themeColor="accent1" w:themeShade="BF"/>
        </w:rPr>
        <w:t xml:space="preserve">Zastosowane metody obliczeniowe, o których mowa w pkt 1 Załącznika V do dyrektywy </w:t>
      </w:r>
      <w:r>
        <w:rPr>
          <w:b/>
          <w:bCs/>
          <w:color w:val="2F5496" w:themeColor="accent1" w:themeShade="BF"/>
        </w:rPr>
        <w:t>2023/1791/UE</w:t>
      </w:r>
    </w:p>
    <w:p w14:paraId="5FFA7B7A" w14:textId="77777777" w:rsidR="00F34BD4" w:rsidRPr="003B2E20" w:rsidRDefault="00F34BD4" w:rsidP="00373FD3">
      <w:r w:rsidRPr="003B2E20">
        <w:t xml:space="preserve">W ramach systemu zobowiązującego do efektywności energetycznej funkcjonującego na podstawie ustawy z dnia 20 maja 2016 roku </w:t>
      </w:r>
      <w:r w:rsidRPr="00373FD3">
        <w:t>o efektywności energetycznej</w:t>
      </w:r>
      <w:r w:rsidRPr="003B2E20">
        <w:t xml:space="preserve"> podmioty zgłaszające przedsięwzięcia służące poprawie efektywności energetycznej </w:t>
      </w:r>
      <w:r>
        <w:t xml:space="preserve">są zobowiązane </w:t>
      </w:r>
      <w:r w:rsidRPr="003B2E20">
        <w:t xml:space="preserve"> przedłożyć Prezesowi URE prawidłowo wypełniony wniosek wraz z audytem efektywności energetycznej sporządzonym dla tego przedsięwzięcia. Szczegółowy zakres i sposób sporządzania audytu efektywności energetycznej, sposób i tryb jego weryfikacji oraz metody obliczania oszczędności energii zostały określone w rozporządzeniu </w:t>
      </w:r>
      <w:r w:rsidRPr="00752DC1">
        <w:t xml:space="preserve">Ministra Klimatu </w:t>
      </w:r>
      <w:bookmarkStart w:id="1" w:name="highlightHit_0"/>
      <w:bookmarkEnd w:id="1"/>
      <w:r w:rsidRPr="00752DC1">
        <w:t xml:space="preserve">i Środowiska </w:t>
      </w:r>
      <w:r>
        <w:t xml:space="preserve">z dnia 12 kwietnia 2022 r. </w:t>
      </w:r>
      <w:r w:rsidRPr="58CC05AA">
        <w:t>zmieniającym</w:t>
      </w:r>
      <w:r w:rsidRPr="00752DC1">
        <w:t xml:space="preserve"> rozporządzenie </w:t>
      </w:r>
      <w:bookmarkStart w:id="2" w:name="highlightHit_1"/>
      <w:bookmarkEnd w:id="2"/>
      <w:r w:rsidRPr="00373FD3">
        <w:t xml:space="preserve">w </w:t>
      </w:r>
      <w:bookmarkStart w:id="3" w:name="highlightHit_2"/>
      <w:bookmarkEnd w:id="3"/>
      <w:r w:rsidRPr="00373FD3">
        <w:t xml:space="preserve">sprawie </w:t>
      </w:r>
      <w:bookmarkStart w:id="4" w:name="highlightHit_3"/>
      <w:bookmarkEnd w:id="4"/>
      <w:r w:rsidRPr="00373FD3">
        <w:lastRenderedPageBreak/>
        <w:t xml:space="preserve">szczegółowego </w:t>
      </w:r>
      <w:bookmarkStart w:id="5" w:name="highlightHit_4"/>
      <w:bookmarkEnd w:id="5"/>
      <w:r w:rsidRPr="00373FD3">
        <w:t xml:space="preserve">zakresu </w:t>
      </w:r>
      <w:bookmarkStart w:id="6" w:name="highlightHit_5"/>
      <w:bookmarkEnd w:id="6"/>
      <w:r w:rsidRPr="00373FD3">
        <w:t xml:space="preserve">i </w:t>
      </w:r>
      <w:bookmarkStart w:id="7" w:name="highlightHit_6"/>
      <w:bookmarkEnd w:id="7"/>
      <w:r w:rsidRPr="00373FD3">
        <w:t xml:space="preserve">sposobu </w:t>
      </w:r>
      <w:bookmarkStart w:id="8" w:name="highlightHit_7"/>
      <w:bookmarkEnd w:id="8"/>
      <w:r w:rsidRPr="00373FD3">
        <w:t xml:space="preserve">sporządzania </w:t>
      </w:r>
      <w:bookmarkStart w:id="9" w:name="highlightHit_8"/>
      <w:bookmarkEnd w:id="9"/>
      <w:r w:rsidRPr="00373FD3">
        <w:t xml:space="preserve">audytu </w:t>
      </w:r>
      <w:bookmarkStart w:id="10" w:name="highlightHit_9"/>
      <w:bookmarkEnd w:id="10"/>
      <w:r w:rsidRPr="00373FD3">
        <w:t xml:space="preserve">efektywności </w:t>
      </w:r>
      <w:bookmarkStart w:id="11" w:name="highlightHit_10"/>
      <w:bookmarkEnd w:id="11"/>
      <w:r w:rsidRPr="00373FD3">
        <w:t xml:space="preserve">energetycznej </w:t>
      </w:r>
      <w:bookmarkStart w:id="12" w:name="highlightHit_11"/>
      <w:bookmarkEnd w:id="12"/>
      <w:r w:rsidRPr="00373FD3">
        <w:t xml:space="preserve">oraz </w:t>
      </w:r>
      <w:bookmarkStart w:id="13" w:name="highlightHit_12"/>
      <w:bookmarkEnd w:id="13"/>
      <w:r w:rsidRPr="00373FD3">
        <w:t xml:space="preserve">metod </w:t>
      </w:r>
      <w:bookmarkStart w:id="14" w:name="highlightHit_13"/>
      <w:bookmarkEnd w:id="14"/>
      <w:r w:rsidRPr="00373FD3">
        <w:t xml:space="preserve">obliczania </w:t>
      </w:r>
      <w:bookmarkStart w:id="15" w:name="highlightHit_14"/>
      <w:bookmarkEnd w:id="15"/>
      <w:r w:rsidRPr="00373FD3">
        <w:t xml:space="preserve">oszczędności </w:t>
      </w:r>
      <w:bookmarkStart w:id="16" w:name="highlightHit_15"/>
      <w:bookmarkEnd w:id="16"/>
      <w:r w:rsidRPr="00373FD3">
        <w:t>energii</w:t>
      </w:r>
      <w:r w:rsidRPr="003B2E20">
        <w:t xml:space="preserve"> (Dz. U. z 20</w:t>
      </w:r>
      <w:r>
        <w:t>22</w:t>
      </w:r>
      <w:r w:rsidRPr="003B2E20">
        <w:t xml:space="preserve"> r. poz. </w:t>
      </w:r>
      <w:r>
        <w:t>956</w:t>
      </w:r>
      <w:r w:rsidRPr="003B2E20">
        <w:t>).</w:t>
      </w:r>
    </w:p>
    <w:p w14:paraId="275FD668" w14:textId="77777777" w:rsidR="00F34BD4" w:rsidRPr="003B2E20" w:rsidRDefault="00F34BD4" w:rsidP="00373FD3">
      <w:r w:rsidRPr="003B2E20">
        <w:t>Zgodnie z rozporządzeniem audyt efektywności energetycznej sporządzany dla przedsięwzięcia służącego poprawie efektywności energetycznej w zakresie oceny stanu technicznego oraz analizy zużycia energii (budynku, urządzenia lub instalacji), stosownie do sposobu sporządzania audytu, obejmuje w szczególności:</w:t>
      </w:r>
    </w:p>
    <w:p w14:paraId="22B11A84" w14:textId="77777777" w:rsidR="00F34BD4" w:rsidRPr="0029132A" w:rsidRDefault="00F34BD4" w:rsidP="00FF3BC7">
      <w:pPr>
        <w:pStyle w:val="Akapitzlist"/>
        <w:numPr>
          <w:ilvl w:val="0"/>
          <w:numId w:val="9"/>
        </w:numPr>
        <w:tabs>
          <w:tab w:val="num" w:pos="540"/>
        </w:tabs>
        <w:spacing w:after="0" w:line="360" w:lineRule="auto"/>
      </w:pPr>
      <w:r w:rsidRPr="0029132A">
        <w:t>inwentaryzację techniczną, zawierającą określenie rodzaju budynku, urządzenia lub instalacji i ich parametrów pracy oraz ogólnych danych technicznych wraz z dokumentacją lub opisem technicznym;</w:t>
      </w:r>
    </w:p>
    <w:p w14:paraId="7F52FF68" w14:textId="77777777" w:rsidR="00F34BD4" w:rsidRPr="0029132A" w:rsidRDefault="00F34BD4" w:rsidP="00FF3BC7">
      <w:pPr>
        <w:pStyle w:val="Akapitzlist"/>
        <w:numPr>
          <w:ilvl w:val="0"/>
          <w:numId w:val="9"/>
        </w:numPr>
        <w:tabs>
          <w:tab w:val="num" w:pos="540"/>
        </w:tabs>
        <w:spacing w:after="0" w:line="360" w:lineRule="auto"/>
      </w:pPr>
      <w:r w:rsidRPr="0029132A">
        <w:t xml:space="preserve">wyniki pomiarów wielkości fizycznych i parametrów pracy obiektu, urządzenia lub instalacji, z uwzględnieniem: </w:t>
      </w:r>
    </w:p>
    <w:p w14:paraId="2E1D4799" w14:textId="77777777" w:rsidR="00F34BD4" w:rsidRPr="0029132A" w:rsidRDefault="00F34BD4" w:rsidP="00FF3BC7">
      <w:pPr>
        <w:pStyle w:val="Akapitzlist"/>
        <w:numPr>
          <w:ilvl w:val="0"/>
          <w:numId w:val="10"/>
        </w:numPr>
        <w:spacing w:after="0" w:line="360" w:lineRule="auto"/>
      </w:pPr>
      <w:r w:rsidRPr="0029132A">
        <w:t xml:space="preserve">czynników wpływających na zużycie energii, </w:t>
      </w:r>
    </w:p>
    <w:p w14:paraId="34507427" w14:textId="77777777" w:rsidR="00F34BD4" w:rsidRPr="0029132A" w:rsidRDefault="00F34BD4" w:rsidP="00FF3BC7">
      <w:pPr>
        <w:pStyle w:val="Akapitzlist"/>
        <w:numPr>
          <w:ilvl w:val="0"/>
          <w:numId w:val="10"/>
        </w:numPr>
        <w:spacing w:after="0" w:line="360" w:lineRule="auto"/>
      </w:pPr>
      <w:r w:rsidRPr="0029132A">
        <w:t>charakterystyki sprzętu służącego do wykonywania pomiarów wraz z dokumentacją tych pomiarów oraz określeniem okresów, w których pomiary te wykonano,</w:t>
      </w:r>
    </w:p>
    <w:p w14:paraId="0D84BF28" w14:textId="77777777" w:rsidR="00F34BD4" w:rsidRPr="0029132A" w:rsidRDefault="00F34BD4" w:rsidP="00FF3BC7">
      <w:pPr>
        <w:pStyle w:val="Akapitzlist"/>
        <w:numPr>
          <w:ilvl w:val="0"/>
          <w:numId w:val="9"/>
        </w:numPr>
        <w:tabs>
          <w:tab w:val="num" w:pos="540"/>
        </w:tabs>
        <w:spacing w:after="0" w:line="360" w:lineRule="auto"/>
      </w:pPr>
      <w:r w:rsidRPr="0029132A">
        <w:t xml:space="preserve">wyniki oszacowań zużycia energii przez obiekt, urządzenie lub instalację, z wykorzystaniem metod analitycznych i z uwzględnieniem danych znamionowych lub katalogowych oraz czynników wpływających na zużycie energii. </w:t>
      </w:r>
    </w:p>
    <w:p w14:paraId="38A623D8" w14:textId="77777777" w:rsidR="00F34BD4" w:rsidRPr="003B2E20" w:rsidRDefault="00F34BD4" w:rsidP="00373FD3">
      <w:r w:rsidRPr="003B2E20">
        <w:t xml:space="preserve">Należy jednak podkreślić, że w przypadku, gdy do prawidłowej oceny stanu technicznego oraz analizy zużycia energii przez obiekt, urządzenie lub instalację nie jest konieczne wykonanie pomiarów wielkości fizycznych i parametrów ich pracy wykonuje się tylko oszacowania zużycia energii wraz z uzasadnieniem. W związku z tym, w zależności od dokonanej oceny, stosowane są metody obliczania oszczędności energii określone </w:t>
      </w:r>
      <w:r w:rsidRPr="00F71EDC">
        <w:t>w pkt 1) lit. a) b) lub c) Załącznika V:</w:t>
      </w:r>
      <w:r w:rsidRPr="003B2E20">
        <w:t xml:space="preserve"> mierzona oszczędność energii (</w:t>
      </w:r>
      <w:proofErr w:type="spellStart"/>
      <w:r w:rsidRPr="003B2E20">
        <w:t>metered</w:t>
      </w:r>
      <w:proofErr w:type="spellEnd"/>
      <w:r w:rsidRPr="003B2E20">
        <w:t xml:space="preserve"> </w:t>
      </w:r>
      <w:proofErr w:type="spellStart"/>
      <w:r w:rsidRPr="003B2E20">
        <w:t>savings</w:t>
      </w:r>
      <w:proofErr w:type="spellEnd"/>
      <w:r w:rsidRPr="003B2E20">
        <w:t>), tj. wynikająca z pomiarów zużycia energii, skalowana oszczędność energii (</w:t>
      </w:r>
      <w:proofErr w:type="spellStart"/>
      <w:r w:rsidRPr="003B2E20">
        <w:t>scaled</w:t>
      </w:r>
      <w:proofErr w:type="spellEnd"/>
      <w:r w:rsidRPr="003B2E20">
        <w:t xml:space="preserve"> </w:t>
      </w:r>
      <w:proofErr w:type="spellStart"/>
      <w:r w:rsidRPr="003B2E20">
        <w:t>savings</w:t>
      </w:r>
      <w:proofErr w:type="spellEnd"/>
      <w:r w:rsidRPr="003B2E20">
        <w:t>), tj. techniczne oszacowania oszczędności energii lub też zakładana oszczędność energii/„ex-</w:t>
      </w:r>
      <w:proofErr w:type="spellStart"/>
      <w:r w:rsidRPr="003B2E20">
        <w:t>ante</w:t>
      </w:r>
      <w:proofErr w:type="spellEnd"/>
      <w:r w:rsidRPr="003B2E20">
        <w:t>” (</w:t>
      </w:r>
      <w:proofErr w:type="spellStart"/>
      <w:r w:rsidRPr="003B2E20">
        <w:t>deemed</w:t>
      </w:r>
      <w:proofErr w:type="spellEnd"/>
      <w:r w:rsidRPr="003B2E20">
        <w:t xml:space="preserve"> </w:t>
      </w:r>
      <w:proofErr w:type="spellStart"/>
      <w:r w:rsidRPr="003B2E20">
        <w:t>savings</w:t>
      </w:r>
      <w:proofErr w:type="spellEnd"/>
      <w:r w:rsidRPr="003B2E20">
        <w:t>). Jednak ostatnia z tych metod może być stosowana tylko dla niektórych kategorii prostych przedsięwzięć wskazanych w rozporządzeniu, dla których audyt może być sporządzony jako tzw. audyt uproszczony. Oceny stanu technicznego wraz z analizą zużycia energii oraz wyboru metody obliczania oszczędności dokonują wykwalifikowani audytorzy energetyczni, których działania są niezależne od podmiotów zobowiązanych. Audyt efektywności energetycznej obejmuje również określenie czynników wpływających na zużycie energii. Czynniki te mogą dotyczyć kwestii usytuowania budynku i jego zasiedlenia (gęstość, okresowość), warunków eksploatacyjnych (temperatura, wilgotność, intensywność oświetlenia i wentylacji) oraz wielkość produkcji. Ponadto audyt efektywności energetycznej zawiera wykaz obowiązujących przepisów, norm, dokumentów i danych źródłowych, w szczególności specjalistycznych opracowań w zakresie najlepszych dostępnych technologii lub dobrych praktyk, z których korzystał sporządzający audyt.</w:t>
      </w:r>
    </w:p>
    <w:p w14:paraId="58B9E5CA" w14:textId="77777777" w:rsidR="00F34BD4" w:rsidRPr="00373FD3" w:rsidRDefault="00F34BD4" w:rsidP="00373FD3">
      <w:r w:rsidRPr="6B3B16EB">
        <w:t xml:space="preserve">Dodatkowo w ramach programów bezzwrotnych dofinansowań ilość zaoszczędzonej energii końcowej </w:t>
      </w:r>
      <w:r w:rsidRPr="59207C9B">
        <w:t xml:space="preserve">w wyniku ich </w:t>
      </w:r>
      <w:r w:rsidRPr="3CC6FE7E">
        <w:t>realizacji</w:t>
      </w:r>
      <w:r w:rsidRPr="59207C9B">
        <w:t xml:space="preserve"> określa się </w:t>
      </w:r>
      <w:r w:rsidRPr="7ACDD89C">
        <w:t>z uwzględnieniem wartości</w:t>
      </w:r>
      <w:r w:rsidRPr="59207C9B">
        <w:t xml:space="preserve"> referencyjnych. </w:t>
      </w:r>
      <w:r w:rsidRPr="49D7A90C">
        <w:t>Wartości referencyjne i sposób ich obliczania został określony w rozporządzeniu</w:t>
      </w:r>
      <w:r w:rsidRPr="56CEEFCA">
        <w:t xml:space="preserve"> </w:t>
      </w:r>
      <w:r w:rsidRPr="541FDB25">
        <w:t xml:space="preserve">Ministra Klimatu i Środowiska z dnia 22 listopada 2021 r. </w:t>
      </w:r>
      <w:r w:rsidRPr="00373FD3">
        <w:t>w sprawie wartości referencyjnych oszczędności energii finalnej dla przedsięwzięć służących poprawie efektywności energetycznej oraz w sprawie sposobu obliczania tych wartości</w:t>
      </w:r>
      <w:r w:rsidRPr="541FDB25">
        <w:t xml:space="preserve"> (Dz. U. z 2021 r. poz. 2172).</w:t>
      </w:r>
      <w:r w:rsidRPr="49D7A90C">
        <w:t xml:space="preserve"> </w:t>
      </w:r>
      <w:r w:rsidRPr="37536C78">
        <w:t xml:space="preserve">Wartości referencyjne dla przedsięwzięć  </w:t>
      </w:r>
      <w:r w:rsidRPr="00373FD3">
        <w:t xml:space="preserve">służących poprawie efektywności energetycznej, polegających na wymianie w budynkach mieszkalnych jednorodzinnych standardowych indywidualnych źródeł ciepła oraz sposób obliczania wartości referencyjnych oszczędności energii finalnej dla przedsięwzięć służących poprawie efektywności energetycznej, polegających na wymianie źródeł ciepła, w sposób ustandaryzowany określają ilość osiągniętej oszczędności energii końcowej bez potrzeby sporządzania audytu. </w:t>
      </w:r>
    </w:p>
    <w:p w14:paraId="6EB16BCB" w14:textId="77777777" w:rsidR="00F34BD4" w:rsidRPr="00B4693F" w:rsidRDefault="00F34BD4" w:rsidP="00FF3BC7">
      <w:pPr>
        <w:pStyle w:val="Akapitzlist"/>
        <w:numPr>
          <w:ilvl w:val="0"/>
          <w:numId w:val="3"/>
        </w:numPr>
        <w:spacing w:before="120" w:after="240" w:line="360" w:lineRule="auto"/>
        <w:ind w:left="1134" w:hanging="357"/>
        <w:jc w:val="left"/>
        <w:rPr>
          <w:b/>
          <w:bCs/>
          <w:color w:val="2F5496" w:themeColor="accent1" w:themeShade="BF"/>
        </w:rPr>
      </w:pPr>
      <w:r w:rsidRPr="00B4693F">
        <w:rPr>
          <w:b/>
          <w:bCs/>
          <w:color w:val="2F5496" w:themeColor="accent1" w:themeShade="BF"/>
        </w:rPr>
        <w:lastRenderedPageBreak/>
        <w:t>Metoda wyrażania wielkości oszczędności energii (oszczędność energii pierwotnej lub końcowej)</w:t>
      </w:r>
    </w:p>
    <w:p w14:paraId="27813CCA" w14:textId="77777777" w:rsidR="00F34BD4" w:rsidRPr="00DF20A0" w:rsidRDefault="00F34BD4" w:rsidP="00373FD3">
      <w:r w:rsidRPr="171B3358">
        <w:t>Zgodnie z</w:t>
      </w:r>
      <w:r>
        <w:t xml:space="preserve"> pkt. 3 lit. d) Załącznika V</w:t>
      </w:r>
      <w:r w:rsidRPr="171B3358">
        <w:t xml:space="preserve"> państwa członkowskie wyrażają wielkość oszczędności energii wymaganą od każdej strony zobowiązanej w kategoriach zużycia energii końcowej lub pierwotnej. Metodę wybraną w celu wyrażenia wymaganej wielkości oszczędności energii wykorzystuje się także w celu obliczania oszczędności zgłaszanych przez strony zobowiązane.</w:t>
      </w:r>
    </w:p>
    <w:p w14:paraId="2405D68B" w14:textId="77777777" w:rsidR="00F34BD4" w:rsidRDefault="00F34BD4" w:rsidP="00373FD3">
      <w:r w:rsidRPr="00D43788">
        <w:t xml:space="preserve">W ramach systemu zobowiązującego do efektywności energetycznej sporządzenie audytu dla danego przedsięwzięcia jest obligatoryjnym wymogiem, od którego spełnienia uwarunkowane jest ubieganie się o przyznanie świadectwa (białego certyfikatu). Na podstawie audytu określane są podstawowe parametry przedsięwzięcia służącego poprawie efektywności energetycznej, takie jak średnioroczna oszczędność energii końcowej i średnioroczna oszczędność energii pierwotnej. Parametry te są zapisywane w karcie audytu efektywności energetycznej. Zgodnie z przepisami ustawy o efektywności energetycznej podmioty zobowiązane muszą uzyskać w każdym roku oszczędności energii końcowej. </w:t>
      </w:r>
    </w:p>
    <w:p w14:paraId="0F045F13" w14:textId="77777777" w:rsidR="00F34BD4" w:rsidRPr="00D43788" w:rsidRDefault="00F34BD4" w:rsidP="00373FD3">
      <w:r w:rsidRPr="00D43788">
        <w:t xml:space="preserve">W związku z tym świadectwo wydawane przez Prezesa URE zawiera również, wyrażoną w tonach oleju ekwiwalentnego, ilość energii końcowej zaoszczędzonej średnio w ciągu roku, w wyniku realizacji przedsięwzięcia służącego poprawie efektywności energetycznej. Natomiast w przypadku gdy w wyniku realizacji danego przedsięwzięcia uzyskiwana jest oszczędność energii pierwotnej, wielkość oszczędności energii zawartą na świadectwie ustala się z uwzględnieniem współczynników konwersji. </w:t>
      </w:r>
    </w:p>
    <w:p w14:paraId="35C027CE" w14:textId="77777777" w:rsidR="00F34BD4" w:rsidRDefault="00F34BD4" w:rsidP="00373FD3">
      <w:r w:rsidRPr="00075176">
        <w:t>Współczynniki konwersji wynikające ze sprawności procesów przetworzenia energii pierwotnej w energię końcową zostały określone w rozporządzeniu Ministra Klimatu i Środowiska zmieniającego rozporządzenie w sprawie szczegółowego zakresu i sposobu sporządzania audytu efektywności energetycznej oraz metod obliczania oszczędności energii. Wartości współczynników zostały określone oddzielnie w zależności od rodzaju nośnika energii, w tym m.</w:t>
      </w:r>
      <w:r>
        <w:t xml:space="preserve"> </w:t>
      </w:r>
      <w:r w:rsidRPr="00075176">
        <w:t>in.</w:t>
      </w:r>
      <w:r>
        <w:t xml:space="preserve"> </w:t>
      </w:r>
      <w:r w:rsidRPr="00075176">
        <w:t>energii elektrycznej dostarczanej z sieci elektroenergetycznej, ciepła dostarczanego z sieci ciepłowniczej i gazu ziemnego sieciowego</w:t>
      </w:r>
      <w:r w:rsidRPr="171B3358">
        <w:t xml:space="preserve">. </w:t>
      </w:r>
    </w:p>
    <w:p w14:paraId="27C3E3C0" w14:textId="77777777" w:rsidR="00F34BD4" w:rsidRPr="00B4693F" w:rsidRDefault="00F34BD4" w:rsidP="00FF3BC7">
      <w:pPr>
        <w:pStyle w:val="Akapitzlist"/>
        <w:numPr>
          <w:ilvl w:val="0"/>
          <w:numId w:val="3"/>
        </w:numPr>
        <w:spacing w:before="120" w:after="240" w:line="360" w:lineRule="auto"/>
        <w:ind w:left="1134" w:hanging="357"/>
        <w:jc w:val="left"/>
        <w:rPr>
          <w:b/>
          <w:bCs/>
          <w:color w:val="2F5496" w:themeColor="accent1" w:themeShade="BF"/>
        </w:rPr>
      </w:pPr>
      <w:r w:rsidRPr="00B4693F">
        <w:rPr>
          <w:b/>
          <w:bCs/>
          <w:color w:val="2F5496" w:themeColor="accent1" w:themeShade="BF"/>
        </w:rPr>
        <w:t>Okres obowiązywania środków i tempo zmniejszania się oszczędności w tym okresie</w:t>
      </w:r>
    </w:p>
    <w:p w14:paraId="21051564" w14:textId="77777777" w:rsidR="00F34BD4" w:rsidRPr="00D43788" w:rsidRDefault="00F34BD4" w:rsidP="00373FD3">
      <w:r w:rsidRPr="00D43788">
        <w:t>W odniesieniu do okresu obowiązywania środków z dziedziny polityki (</w:t>
      </w:r>
      <w:proofErr w:type="spellStart"/>
      <w:r w:rsidRPr="00D43788">
        <w:t>lifetime</w:t>
      </w:r>
      <w:proofErr w:type="spellEnd"/>
      <w:r w:rsidRPr="00D43788">
        <w:t xml:space="preserve"> of </w:t>
      </w:r>
      <w:proofErr w:type="spellStart"/>
      <w:r w:rsidRPr="00D43788">
        <w:t>measures</w:t>
      </w:r>
      <w:proofErr w:type="spellEnd"/>
      <w:r w:rsidRPr="00D43788">
        <w:t xml:space="preserve">), o którym mowa </w:t>
      </w:r>
      <w:r w:rsidRPr="005C1BF5">
        <w:t xml:space="preserve">w pkt 2 lit. p) Załącznika V do dyrektywy </w:t>
      </w:r>
      <w:r>
        <w:t>2023/1791/UE</w:t>
      </w:r>
      <w:r w:rsidRPr="00D43788">
        <w:t>, w ramach systemu zobowiązującego do efektywności energetycznej stosowana jest „metoda bezpośrednia”, zgodnie z Zaleceniem Komisji</w:t>
      </w:r>
      <w:bookmarkStart w:id="17" w:name="_Ref133923497"/>
      <w:r w:rsidRPr="00373FD3">
        <w:footnoteReference w:id="3"/>
      </w:r>
      <w:bookmarkEnd w:id="17"/>
      <w:r>
        <w:t>.</w:t>
      </w:r>
      <w:r w:rsidRPr="00D43788">
        <w:t xml:space="preserve"> W ramach tej metody przy obliczaniu oszczędności energii bierze się pod uwagę cały „czas trwania” środka. Pojęcie „czasu trwania” poszczególnych środków mających na celu oszczędność energii odnosi się do faktu, że oszczędności można uzyskać nie tylko w roku wdrożenia, ale również w kolejnych latach. „Czas trwania” to w związku z tym okres, w którym działanie w dalszym ciągu będzie przynosiło wymierne oszczędności Dokonuje się tego, obliczając oszczędności energii, jakie zostaną osiągnięte w związku z każdym przedsięwzięciem służącym poprawie efektywności energetycznej w okresie między rokiem jego wdrożenia a końcem okresu objętego obowiązkiem. Polska nie stosuje innej metody, która jest dopuszczalna na mocy przepisów pkt 2 lit. </w:t>
      </w:r>
      <w:r>
        <w:t>p</w:t>
      </w:r>
      <w:r w:rsidRPr="00D43788">
        <w:t xml:space="preserve">) Załącznika V. </w:t>
      </w:r>
    </w:p>
    <w:p w14:paraId="5B127298" w14:textId="77777777" w:rsidR="00F34BD4" w:rsidRPr="00D43788" w:rsidRDefault="00F34BD4" w:rsidP="00373FD3">
      <w:r w:rsidRPr="00D43788">
        <w:t>Czas trwania środka z dziedziny polityki, rozumiany jako okres uzyskiwania oszczędności energii wyrażony w latach kalendarzowych, określony jest w karcie audytu energetycznego, publikowanej dla każdego wydanego świadectwa na stronie internetowej w Biuletynie Informacji Publicznej URE. Przykładowo dla oszczędności ciepła wykorzystywanego do ogrzewania pomieszczeń bilans wykonuje się dla standardowego okresu grzewczego ze standardowymi temperaturami zewnętrznymi. W przypadku audytu zakładu produkcyjnego oszczędność energii odnosi się do pierwotnej, bazowej wielkości produkcji w okresie roku.</w:t>
      </w:r>
    </w:p>
    <w:p w14:paraId="6DC3262E" w14:textId="778D9811" w:rsidR="00F34BD4" w:rsidRPr="00D43788" w:rsidRDefault="00F34BD4" w:rsidP="00373FD3">
      <w:r w:rsidRPr="00D43788">
        <w:lastRenderedPageBreak/>
        <w:t>Przewiduje się stosowanie orientacyjnych wartości czasów trwania środków określonych dla poszczególnych rodzajów środków z dziedziny polityki przedstawionych w wykazie w tabeli zawartej w Dodatku VIII Zalece</w:t>
      </w:r>
      <w:r>
        <w:t>ń</w:t>
      </w:r>
      <w:r w:rsidRPr="00D43788">
        <w:t xml:space="preserve"> Komisji</w:t>
      </w:r>
      <w:r w:rsidRPr="00373FD3">
        <w:fldChar w:fldCharType="begin"/>
      </w:r>
      <w:r w:rsidRPr="00373FD3">
        <w:instrText xml:space="preserve"> NOTEREF _Ref133923497 \h  \* MERGEFORMAT </w:instrText>
      </w:r>
      <w:r w:rsidRPr="00373FD3">
        <w:fldChar w:fldCharType="separate"/>
      </w:r>
      <w:r w:rsidR="00FD1148">
        <w:t>3</w:t>
      </w:r>
      <w:r w:rsidRPr="00373FD3">
        <w:fldChar w:fldCharType="end"/>
      </w:r>
      <w:r w:rsidRPr="00D43788">
        <w:t xml:space="preserve">. </w:t>
      </w:r>
    </w:p>
    <w:p w14:paraId="729CA14D" w14:textId="77777777" w:rsidR="00F34BD4" w:rsidRDefault="00F34BD4" w:rsidP="00373FD3">
      <w:r w:rsidRPr="00D43788">
        <w:t xml:space="preserve">Metoda „bezpośrednia” w sposób oczywisty spełnia warunek, zgodnie z którym stosowana metoda obliczeniowa musi doprowadzić do rzeczywistego osiągnięcia wymaganej ilości oszczędności energii w okresie objętym obowiązkiem. </w:t>
      </w:r>
    </w:p>
    <w:p w14:paraId="7DE50B11" w14:textId="77777777" w:rsidR="00F34BD4" w:rsidRPr="00B4693F" w:rsidRDefault="00F34BD4" w:rsidP="00FF3BC7">
      <w:pPr>
        <w:pStyle w:val="Akapitzlist"/>
        <w:numPr>
          <w:ilvl w:val="0"/>
          <w:numId w:val="3"/>
        </w:numPr>
        <w:spacing w:before="120" w:after="240" w:line="360" w:lineRule="auto"/>
        <w:ind w:left="1134" w:hanging="357"/>
        <w:jc w:val="left"/>
        <w:rPr>
          <w:b/>
          <w:bCs/>
          <w:color w:val="2F5496" w:themeColor="accent1" w:themeShade="BF"/>
        </w:rPr>
      </w:pPr>
      <w:r w:rsidRPr="00B4693F">
        <w:rPr>
          <w:b/>
          <w:bCs/>
          <w:color w:val="2F5496" w:themeColor="accent1" w:themeShade="BF"/>
        </w:rPr>
        <w:t>Krótki opis metody obliczania oszczędności energii, w tym sposobów zapewniania dodatkowości i istotności oraz metod i poziomów referencyjnych stosowanych do oszczędności szacowanej i skalowanych</w:t>
      </w:r>
    </w:p>
    <w:p w14:paraId="56E6945E" w14:textId="77777777" w:rsidR="00F34BD4" w:rsidRPr="00665104" w:rsidRDefault="00F34BD4" w:rsidP="00373FD3">
      <w:r w:rsidRPr="00665104">
        <w:t xml:space="preserve">Oszczędności energii, które mają być osiągnięte do 2030 r. </w:t>
      </w:r>
      <w:r w:rsidRPr="00896BC0">
        <w:t xml:space="preserve">zgodnie z art. 8 ust. 1 lit. b) dyrektywy </w:t>
      </w:r>
      <w:r>
        <w:t>2023/1791/UE</w:t>
      </w:r>
      <w:r w:rsidRPr="00896BC0">
        <w:t>, będą obliczane na dwa sposoby. Oszczędnoś</w:t>
      </w:r>
      <w:r w:rsidRPr="00665104">
        <w:t xml:space="preserve">ci energii finalnej określane są dla wybranych środków z dziedziny polityki metodą oceny typu </w:t>
      </w:r>
      <w:proofErr w:type="spellStart"/>
      <w:r w:rsidRPr="00373FD3">
        <w:t>bottom-up</w:t>
      </w:r>
      <w:proofErr w:type="spellEnd"/>
      <w:r w:rsidRPr="00373FD3">
        <w:footnoteReference w:id="4"/>
      </w:r>
      <w:r>
        <w:t>.</w:t>
      </w:r>
      <w:r w:rsidRPr="00665104">
        <w:t xml:space="preserve"> Metoda ta umożliwia pokazanie bezpośredniego związku pomiędzy realizacją tych środków a polityką energetyczną państwa. Środki monitorowane metodą </w:t>
      </w:r>
      <w:proofErr w:type="spellStart"/>
      <w:r w:rsidRPr="00373FD3">
        <w:t>bottom-up</w:t>
      </w:r>
      <w:proofErr w:type="spellEnd"/>
      <w:r w:rsidRPr="00665104">
        <w:t xml:space="preserve"> obejmują znaczną część całkowitej wymaganej oszczędności energii finalnej. </w:t>
      </w:r>
    </w:p>
    <w:p w14:paraId="66D6CA77" w14:textId="77777777" w:rsidR="00F34BD4" w:rsidRPr="00075176" w:rsidRDefault="00F34BD4" w:rsidP="00F34BD4">
      <w:pPr>
        <w:spacing w:after="0" w:line="360" w:lineRule="auto"/>
        <w:ind w:firstLine="709"/>
        <w:rPr>
          <w:b/>
          <w:bCs/>
          <w:i/>
          <w:iCs/>
          <w:color w:val="5B9BD5" w:themeColor="accent5"/>
        </w:rPr>
      </w:pPr>
      <w:r w:rsidRPr="00075176">
        <w:rPr>
          <w:b/>
          <w:bCs/>
          <w:i/>
          <w:iCs/>
          <w:color w:val="5B9BD5" w:themeColor="accent5"/>
        </w:rPr>
        <w:t>Zasada dodatkowości</w:t>
      </w:r>
    </w:p>
    <w:p w14:paraId="59221BC8" w14:textId="77777777" w:rsidR="00F34BD4" w:rsidRPr="00665104" w:rsidRDefault="00F34BD4" w:rsidP="00373FD3">
      <w:r>
        <w:t>U</w:t>
      </w:r>
      <w:r w:rsidRPr="00665104">
        <w:t xml:space="preserve">znane mogą zostać wyłącznie oszczędności energii przekraczające poziomy unijnych wymagań dotyczących wycofywania z obrotu określonych produktów związanych z energią w następstwie </w:t>
      </w:r>
      <w:r w:rsidRPr="0071320E">
        <w:t>wdrożenia środków wykonawczych na mocy dyrektywy 2009/125/WE</w:t>
      </w:r>
      <w:bookmarkStart w:id="18" w:name="_Ref135213769"/>
      <w:r w:rsidRPr="00373FD3">
        <w:footnoteReference w:id="5"/>
      </w:r>
      <w:bookmarkEnd w:id="18"/>
      <w:r w:rsidRPr="0071320E">
        <w:t>.</w:t>
      </w:r>
      <w:r w:rsidRPr="00665104">
        <w:t xml:space="preserve"> W</w:t>
      </w:r>
      <w:r>
        <w:t> </w:t>
      </w:r>
      <w:r w:rsidRPr="00665104">
        <w:t xml:space="preserve">szczególności wymagania te zostały wprowadzone dla produktów związanych z takimi przedsięwzięciami jak: modernizacja instalacji oświetlenia, wymiana silników elektrycznych czy też wymiana kotłów/źródeł ciepła w instalacjach ogrzewczych. Stosowanie zasady dodatkowości zostało zapewnione w taki sposób, iż dla ww. przedsięwzięć (wymiany urządzeń/sprzętu objętych wymogami dotyczącymi </w:t>
      </w:r>
      <w:proofErr w:type="spellStart"/>
      <w:r w:rsidRPr="00665104">
        <w:t>ekoprojektu</w:t>
      </w:r>
      <w:proofErr w:type="spellEnd"/>
      <w:r w:rsidRPr="00665104">
        <w:t xml:space="preserve">) dokonano stosownych korekt w formułach stosowanych przy obliczaniu oszczędności energii w ramach sporządzania audytu efektywności energetycznej. W przypadku tych przedsięwzięć minimalne poziomy wynikające z wdrożenia przepisów unijnych dotyczących wymogów </w:t>
      </w:r>
      <w:proofErr w:type="spellStart"/>
      <w:r w:rsidRPr="00665104">
        <w:t>ekoprojektu</w:t>
      </w:r>
      <w:proofErr w:type="spellEnd"/>
      <w:r w:rsidRPr="00665104">
        <w:t xml:space="preserve"> są wyznaczane i stosowane jako poziomy referencyjne będące punktami wyjścia przy obliczaniu oszczędności energii.</w:t>
      </w:r>
    </w:p>
    <w:p w14:paraId="0C90BEB9" w14:textId="77777777" w:rsidR="00F34BD4" w:rsidRPr="00075176" w:rsidRDefault="00F34BD4" w:rsidP="00FF3BC7">
      <w:pPr>
        <w:keepNext/>
        <w:spacing w:after="0" w:line="360" w:lineRule="auto"/>
        <w:ind w:firstLine="709"/>
        <w:rPr>
          <w:b/>
          <w:bCs/>
          <w:i/>
          <w:iCs/>
          <w:color w:val="5B9BD5" w:themeColor="accent5"/>
        </w:rPr>
      </w:pPr>
      <w:r w:rsidRPr="00075176">
        <w:rPr>
          <w:b/>
          <w:bCs/>
          <w:i/>
          <w:iCs/>
          <w:color w:val="5B9BD5" w:themeColor="accent5"/>
        </w:rPr>
        <w:t>Zasada istotności</w:t>
      </w:r>
    </w:p>
    <w:p w14:paraId="27F16460" w14:textId="0D359744" w:rsidR="00F34BD4" w:rsidRPr="00665104" w:rsidRDefault="00F34BD4" w:rsidP="00373FD3">
      <w:r>
        <w:t>A</w:t>
      </w:r>
      <w:r w:rsidRPr="00665104">
        <w:t>by odpowiednie działania indywidualne podejmowane przez krajowe organy mogły być kwalifikowalne, muszą one być „istotne” dla osiągnięcia zgłoszonych oszczędności energii. Zgodnie z Zaleceniem Komisj</w:t>
      </w:r>
      <w:r>
        <w:t>i</w:t>
      </w:r>
      <w:r w:rsidRPr="00373FD3">
        <w:fldChar w:fldCharType="begin"/>
      </w:r>
      <w:r w:rsidRPr="00373FD3">
        <w:instrText xml:space="preserve"> NOTEREF _Ref133923497 \h  \* MERGEFORMAT </w:instrText>
      </w:r>
      <w:r w:rsidRPr="00373FD3">
        <w:fldChar w:fldCharType="separate"/>
      </w:r>
      <w:r w:rsidR="00FD1148">
        <w:t>3</w:t>
      </w:r>
      <w:r w:rsidRPr="00373FD3">
        <w:fldChar w:fldCharType="end"/>
      </w:r>
      <w:r w:rsidRPr="00665104">
        <w:t xml:space="preserve">, termin „istotny” oznacza, że organy te muszą mieć udział w przedmiotowym działaniu indywidualnego oraz że dotacja lub zaangażowanie strony zobowiązanej musi wyraźnie mieć większy niż minimalny wpływ na decyzję użytkownika końcowego o podjęciu inwestycji w poprawę efektywności energetycznej. Zatem państwa członkowskie muszą być w stanie wykazać, że oszczędności wynikają ze środków z dziedziny polityki wprowadzonych w celu uzyskania oszczędności końcowego zużycia energii. </w:t>
      </w:r>
    </w:p>
    <w:p w14:paraId="72A46DF2" w14:textId="77777777" w:rsidR="00F34BD4" w:rsidRDefault="00F34BD4" w:rsidP="00373FD3">
      <w:r w:rsidRPr="00665104">
        <w:t xml:space="preserve">Spełnienie zasady „istotności” w ramach funkcjonującego w Polsce systemu zobowiązującego do efektywności energetycznej gwarantuje obowiązek przedłożenia Prezesowi URE audytu efektywności energetycznej oraz ustalenie poziomu minimalnego oszczędności energii końcowej, od którego </w:t>
      </w:r>
      <w:r w:rsidRPr="00665104">
        <w:lastRenderedPageBreak/>
        <w:t>przyznawane jest świadectwo efektywności energetycznej, równego 10 ton oleju ekwiwalentnego (</w:t>
      </w:r>
      <w:proofErr w:type="spellStart"/>
      <w:r w:rsidRPr="00665104">
        <w:t>toe</w:t>
      </w:r>
      <w:proofErr w:type="spellEnd"/>
      <w:r w:rsidRPr="00665104">
        <w:t xml:space="preserve">) średnio w ciągu roku. Świadectwa są wydawane wyłącznie za realizację działań przynoszących znaczące oszczędności energii. Mogą to być pojedyncze duże przedsięwzięcia lub kilka przedsięwzięć tego samego rodzaju osiągających skumulowaną oszczędność energii równą co najmniej 10 </w:t>
      </w:r>
      <w:proofErr w:type="spellStart"/>
      <w:r w:rsidRPr="00665104">
        <w:t>toe</w:t>
      </w:r>
      <w:proofErr w:type="spellEnd"/>
      <w:r w:rsidRPr="00665104">
        <w:t xml:space="preserve">. W ramach systemu określone są zatem ogólne wymogi zgodnie z którymi podmioty ubiegające się o świadectwo efektywności energetycznej muszą udokumentować i udowodnić swój bezpośredni wkład we wdrożenie działania, tj. wymagane jest, aby udowodniły: czy wkład został wniesiony bezpośrednio czy przez pośredników oraz czy decyzja została podjęta przed wdrożeniem działania. Ponadto zgodnie z przepisami ustawy o efektywności energetycznej strony zobowiązane muszą przedstawiać Prezesowi URE na jego żądanie wszelkie dokumenty lub informacje niezbędne do oceny wykonania obowiązku. </w:t>
      </w:r>
    </w:p>
    <w:p w14:paraId="291ACA29" w14:textId="77777777" w:rsidR="00F34BD4" w:rsidRDefault="00F34BD4" w:rsidP="00373FD3">
      <w:r>
        <w:t>Dodatkowo w odniesieniu do programów bezzwrotnych dofinansowań należy zaznaczyć, że o</w:t>
      </w:r>
      <w:r w:rsidRPr="00472C44">
        <w:t xml:space="preserve">szczędności energii finalnej uzyskane w ramach </w:t>
      </w:r>
      <w:r>
        <w:t>tych programów</w:t>
      </w:r>
      <w:r w:rsidRPr="00472C44">
        <w:t xml:space="preserve"> są istotne dla osiągnięcia krajowego celu w zakresie oszczędności energii, określonego w art. 8 dyrektywy. Szczególne znaczenie należy przypisać efektowi skali. W ramach </w:t>
      </w:r>
      <w:r>
        <w:t>programów bezzwrotnych dofinansowań</w:t>
      </w:r>
      <w:r w:rsidRPr="00472C44">
        <w:t xml:space="preserve"> uzyskuje się istotne oszczędności energii finalnej podczas realizacji wielu przedsięwzięć służących poprawie efektywności energetycznej przynoszących stosunkowo niewielką ilość oszczędności energii.</w:t>
      </w:r>
    </w:p>
    <w:p w14:paraId="03CA5A72" w14:textId="77777777" w:rsidR="00F34BD4" w:rsidRPr="00B4693F" w:rsidRDefault="00F34BD4" w:rsidP="00FF3BC7">
      <w:pPr>
        <w:pStyle w:val="Akapitzlist"/>
        <w:numPr>
          <w:ilvl w:val="0"/>
          <w:numId w:val="3"/>
        </w:numPr>
        <w:spacing w:before="120" w:after="240" w:line="360" w:lineRule="auto"/>
        <w:ind w:left="1134" w:hanging="357"/>
        <w:jc w:val="left"/>
        <w:rPr>
          <w:b/>
          <w:bCs/>
          <w:color w:val="2F5496" w:themeColor="accent1" w:themeShade="BF"/>
        </w:rPr>
      </w:pPr>
      <w:r w:rsidRPr="00B4693F">
        <w:rPr>
          <w:b/>
          <w:bCs/>
          <w:color w:val="2F5496" w:themeColor="accent1" w:themeShade="BF"/>
        </w:rPr>
        <w:t xml:space="preserve">Oszczędność energii finalnej i skumulowana oszczędność </w:t>
      </w:r>
      <w:r>
        <w:rPr>
          <w:b/>
          <w:bCs/>
          <w:color w:val="2F5496" w:themeColor="accent1" w:themeShade="BF"/>
        </w:rPr>
        <w:t>końcowego zużycia energii</w:t>
      </w:r>
      <w:r w:rsidRPr="00B4693F">
        <w:rPr>
          <w:b/>
          <w:bCs/>
          <w:color w:val="2F5496" w:themeColor="accent1" w:themeShade="BF"/>
        </w:rPr>
        <w:t xml:space="preserve"> w okresie 2021-2030</w:t>
      </w:r>
    </w:p>
    <w:p w14:paraId="04FC68D6" w14:textId="77777777" w:rsidR="00F34BD4" w:rsidRDefault="00F34BD4" w:rsidP="00373FD3">
      <w:r w:rsidRPr="00165AA4">
        <w:t>W Polsce</w:t>
      </w:r>
      <w:r w:rsidRPr="76BE6E13">
        <w:t>,</w:t>
      </w:r>
      <w:r w:rsidRPr="00165AA4">
        <w:t xml:space="preserve"> obecny cel w zakresie oszczędności energii </w:t>
      </w:r>
      <w:r>
        <w:t>końcowej</w:t>
      </w:r>
      <w:r w:rsidRPr="00165AA4">
        <w:t xml:space="preserve"> dotyczy energii sprzedawanej odbiorcom końcowym (</w:t>
      </w:r>
      <w:r>
        <w:t>system zobowiązujący do efektywności energetycznej</w:t>
      </w:r>
      <w:r w:rsidRPr="00165AA4">
        <w:t xml:space="preserve">). </w:t>
      </w:r>
      <w:r w:rsidRPr="76BE6E13">
        <w:t>Dla podmiotów</w:t>
      </w:r>
      <w:r w:rsidRPr="00165AA4">
        <w:t xml:space="preserve"> zobowiązanych prowadzących sprzedaż energii elektrycznej, gazu ziemnego i ciepła sieciowego </w:t>
      </w:r>
      <w:r>
        <w:t xml:space="preserve">wynosi on </w:t>
      </w:r>
      <w:r w:rsidRPr="00165AA4">
        <w:t xml:space="preserve">1,5% wolumenu rocznej sprzedaży do odbiorców końcowych. </w:t>
      </w:r>
      <w:r w:rsidRPr="76BE6E13">
        <w:t>Dla podmiotów</w:t>
      </w:r>
      <w:r w:rsidRPr="00165AA4">
        <w:t xml:space="preserve"> zobowiązanych prowadzących sprzedaż paliw płynnych, w ustawie</w:t>
      </w:r>
      <w:r>
        <w:t xml:space="preserve"> z dnia 20 maja 2016 r. </w:t>
      </w:r>
      <w:r w:rsidRPr="00165AA4">
        <w:t xml:space="preserve"> </w:t>
      </w:r>
      <w:r w:rsidRPr="00373FD3">
        <w:t>o efektywności energetycznej</w:t>
      </w:r>
      <w:r>
        <w:t xml:space="preserve"> (Dz. U. z 2021 r. poz. 2166)</w:t>
      </w:r>
      <w:r w:rsidRPr="00165AA4">
        <w:t xml:space="preserve"> określono podejście progresywne: w 2021 r. – 0,2%, w 2022 r. – 0,2%, w 2023 – 0,4%, w 2024 – 0,4%, w 2025 – 0,5%, w 2026 – 0,6%, w 2027 – 0,7%, w 2028 – 0,8%, w 2029 – 0,9, w 2030 – 1,0% wolumenu rocznej sprzedaży do odbiorców końcowych. </w:t>
      </w:r>
      <w:r w:rsidRPr="663FA424">
        <w:t xml:space="preserve">Zatem obowiązek o którym mowa powyżej będzie </w:t>
      </w:r>
      <w:r w:rsidRPr="00075176">
        <w:t>rozłożony  w  czasie</w:t>
      </w:r>
      <w:r w:rsidRPr="663FA424">
        <w:t>,</w:t>
      </w:r>
      <w:r w:rsidRPr="00075176">
        <w:t xml:space="preserve"> tak jak przedstawiono to w</w:t>
      </w:r>
      <w:r>
        <w:t xml:space="preserve"> </w:t>
      </w:r>
      <w:r w:rsidRPr="76BE6E13">
        <w:t xml:space="preserve">Tab. </w:t>
      </w:r>
      <w:r>
        <w:t>4</w:t>
      </w:r>
      <w:r w:rsidRPr="004D7678">
        <w:t>.</w:t>
      </w:r>
      <w:r>
        <w:t xml:space="preserve"> Wartość oszczędności nowych średniorocznych oszczędności w 2021 roku została uzupełniona o uzyskane oszczędności wynikające z realizacji obowiązku przed podmioty zobowiązane.  </w:t>
      </w:r>
    </w:p>
    <w:p w14:paraId="624E8DAA" w14:textId="7E2A1C29" w:rsidR="00F34BD4" w:rsidRDefault="00F34BD4" w:rsidP="00F34BD4">
      <w:pPr>
        <w:pStyle w:val="Legenda"/>
        <w:keepNext/>
        <w:spacing w:before="120"/>
        <w:jc w:val="center"/>
      </w:pPr>
      <w:r w:rsidRPr="00DA0D6E">
        <w:rPr>
          <w:rStyle w:val="rynqvb"/>
          <w:b/>
        </w:rPr>
        <w:t xml:space="preserve">Tab. </w:t>
      </w:r>
      <w:r w:rsidRPr="00DA0D6E">
        <w:rPr>
          <w:rStyle w:val="rynqvb"/>
          <w:b/>
        </w:rPr>
        <w:fldChar w:fldCharType="begin"/>
      </w:r>
      <w:r w:rsidRPr="00DA0D6E">
        <w:rPr>
          <w:rStyle w:val="rynqvb"/>
          <w:b/>
        </w:rPr>
        <w:instrText xml:space="preserve"> SEQ Tab. \* ARABIC </w:instrText>
      </w:r>
      <w:r w:rsidRPr="00DA0D6E">
        <w:rPr>
          <w:rStyle w:val="rynqvb"/>
          <w:b/>
        </w:rPr>
        <w:fldChar w:fldCharType="separate"/>
      </w:r>
      <w:r w:rsidR="00FD1148">
        <w:rPr>
          <w:rStyle w:val="rynqvb"/>
          <w:b/>
          <w:noProof/>
        </w:rPr>
        <w:t>1</w:t>
      </w:r>
      <w:r w:rsidRPr="00DA0D6E">
        <w:rPr>
          <w:rStyle w:val="rynqvb"/>
          <w:b/>
        </w:rPr>
        <w:fldChar w:fldCharType="end"/>
      </w:r>
      <w:r w:rsidRPr="00EF1B0B">
        <w:rPr>
          <w:rStyle w:val="rynqvb"/>
          <w:b/>
          <w:bCs/>
        </w:rPr>
        <w:t xml:space="preserve"> </w:t>
      </w:r>
      <w:r>
        <w:rPr>
          <w:rStyle w:val="rynqvb"/>
          <w:b/>
          <w:bCs/>
        </w:rPr>
        <w:t>System świadectw efektywności energetycznej: o</w:t>
      </w:r>
      <w:r w:rsidRPr="00E35197">
        <w:rPr>
          <w:rStyle w:val="rynqvb"/>
          <w:b/>
          <w:bCs/>
        </w:rPr>
        <w:t>szczędności</w:t>
      </w:r>
      <w:r>
        <w:rPr>
          <w:rStyle w:val="rynqvb"/>
          <w:b/>
          <w:bCs/>
        </w:rPr>
        <w:t xml:space="preserve"> końcowego zużycia</w:t>
      </w:r>
      <w:r w:rsidRPr="00E35197">
        <w:rPr>
          <w:rStyle w:val="rynqvb"/>
          <w:b/>
          <w:bCs/>
        </w:rPr>
        <w:t xml:space="preserve"> energii osiągnię</w:t>
      </w:r>
      <w:r>
        <w:rPr>
          <w:rStyle w:val="rynqvb"/>
          <w:b/>
          <w:bCs/>
        </w:rPr>
        <w:t>te w 2021 roku oraz szacunkowe oszczędności</w:t>
      </w:r>
      <w:r w:rsidRPr="00E35197">
        <w:rPr>
          <w:rStyle w:val="rynqvb"/>
          <w:b/>
          <w:bCs/>
        </w:rPr>
        <w:t xml:space="preserve"> </w:t>
      </w:r>
      <w:r>
        <w:rPr>
          <w:rStyle w:val="rynqvb"/>
          <w:b/>
          <w:bCs/>
        </w:rPr>
        <w:t>do osiągnięcia</w:t>
      </w:r>
      <w:r w:rsidRPr="00E35197">
        <w:rPr>
          <w:rStyle w:val="rynqvb"/>
          <w:b/>
          <w:bCs/>
        </w:rPr>
        <w:t xml:space="preserve"> latach 202</w:t>
      </w:r>
      <w:r>
        <w:rPr>
          <w:rStyle w:val="rynqvb"/>
          <w:b/>
          <w:bCs/>
        </w:rPr>
        <w:t>2</w:t>
      </w:r>
      <w:r w:rsidRPr="00E35197">
        <w:rPr>
          <w:rStyle w:val="rynqvb"/>
          <w:b/>
          <w:bCs/>
        </w:rPr>
        <w:t xml:space="preserve">-2030 – roczne i skumulowane </w:t>
      </w:r>
    </w:p>
    <w:tbl>
      <w:tblPr>
        <w:tblpPr w:leftFromText="141" w:rightFromText="141" w:vertAnchor="text" w:horzAnchor="margin" w:tblpY="196"/>
        <w:tblW w:w="5060" w:type="pct"/>
        <w:tblCellMar>
          <w:left w:w="70" w:type="dxa"/>
          <w:right w:w="70" w:type="dxa"/>
        </w:tblCellMar>
        <w:tblLook w:val="04A0" w:firstRow="1" w:lastRow="0" w:firstColumn="1" w:lastColumn="0" w:noHBand="0" w:noVBand="1"/>
      </w:tblPr>
      <w:tblGrid>
        <w:gridCol w:w="1394"/>
        <w:gridCol w:w="669"/>
        <w:gridCol w:w="623"/>
        <w:gridCol w:w="623"/>
        <w:gridCol w:w="623"/>
        <w:gridCol w:w="655"/>
        <w:gridCol w:w="655"/>
        <w:gridCol w:w="623"/>
        <w:gridCol w:w="623"/>
        <w:gridCol w:w="623"/>
        <w:gridCol w:w="655"/>
        <w:gridCol w:w="1410"/>
      </w:tblGrid>
      <w:tr w:rsidR="00F34BD4" w:rsidRPr="004D43AB" w14:paraId="1345DB1B" w14:textId="77777777" w:rsidTr="00B823C1">
        <w:trPr>
          <w:trHeight w:val="283"/>
        </w:trPr>
        <w:tc>
          <w:tcPr>
            <w:tcW w:w="1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DAE3D" w14:textId="77777777" w:rsidR="00F34BD4" w:rsidRPr="00D94B5E" w:rsidRDefault="00F34BD4" w:rsidP="00B823C1">
            <w:pPr>
              <w:spacing w:after="0"/>
              <w:jc w:val="center"/>
              <w:rPr>
                <w:color w:val="000000"/>
                <w:szCs w:val="20"/>
                <w:lang w:eastAsia="pl-PL"/>
              </w:rPr>
            </w:pPr>
            <w:r w:rsidRPr="00D94B5E">
              <w:rPr>
                <w:color w:val="000000"/>
                <w:szCs w:val="20"/>
                <w:lang w:eastAsia="pl-PL"/>
              </w:rPr>
              <w:t>Rok</w:t>
            </w:r>
          </w:p>
        </w:tc>
        <w:tc>
          <w:tcPr>
            <w:tcW w:w="669" w:type="dxa"/>
            <w:tcBorders>
              <w:top w:val="single" w:sz="4" w:space="0" w:color="auto"/>
              <w:left w:val="nil"/>
              <w:bottom w:val="single" w:sz="4" w:space="0" w:color="auto"/>
              <w:right w:val="single" w:sz="4" w:space="0" w:color="auto"/>
            </w:tcBorders>
            <w:shd w:val="clear" w:color="auto" w:fill="auto"/>
            <w:noWrap/>
            <w:vAlign w:val="center"/>
            <w:hideMark/>
          </w:tcPr>
          <w:p w14:paraId="0E324131" w14:textId="77777777" w:rsidR="00F34BD4" w:rsidRPr="00D94B5E" w:rsidRDefault="00F34BD4" w:rsidP="00B823C1">
            <w:pPr>
              <w:spacing w:after="0"/>
              <w:jc w:val="center"/>
              <w:rPr>
                <w:color w:val="000000"/>
                <w:szCs w:val="20"/>
                <w:lang w:eastAsia="pl-PL"/>
              </w:rPr>
            </w:pPr>
            <w:r w:rsidRPr="00D94B5E">
              <w:rPr>
                <w:color w:val="000000"/>
                <w:szCs w:val="20"/>
                <w:lang w:eastAsia="pl-PL"/>
              </w:rPr>
              <w:t>2021</w:t>
            </w:r>
          </w:p>
        </w:tc>
        <w:tc>
          <w:tcPr>
            <w:tcW w:w="623" w:type="dxa"/>
            <w:tcBorders>
              <w:top w:val="single" w:sz="4" w:space="0" w:color="auto"/>
              <w:left w:val="nil"/>
              <w:bottom w:val="single" w:sz="4" w:space="0" w:color="auto"/>
              <w:right w:val="single" w:sz="4" w:space="0" w:color="auto"/>
            </w:tcBorders>
            <w:shd w:val="clear" w:color="auto" w:fill="auto"/>
            <w:noWrap/>
            <w:vAlign w:val="center"/>
            <w:hideMark/>
          </w:tcPr>
          <w:p w14:paraId="38FB9EFC" w14:textId="77777777" w:rsidR="00F34BD4" w:rsidRPr="00D94B5E" w:rsidRDefault="00F34BD4" w:rsidP="00B823C1">
            <w:pPr>
              <w:spacing w:after="0"/>
              <w:jc w:val="center"/>
              <w:rPr>
                <w:color w:val="000000"/>
                <w:szCs w:val="20"/>
                <w:lang w:eastAsia="pl-PL"/>
              </w:rPr>
            </w:pPr>
            <w:r w:rsidRPr="00D94B5E">
              <w:rPr>
                <w:color w:val="000000"/>
                <w:szCs w:val="20"/>
                <w:lang w:eastAsia="pl-PL"/>
              </w:rPr>
              <w:t>2022</w:t>
            </w:r>
          </w:p>
        </w:tc>
        <w:tc>
          <w:tcPr>
            <w:tcW w:w="623" w:type="dxa"/>
            <w:tcBorders>
              <w:top w:val="single" w:sz="4" w:space="0" w:color="auto"/>
              <w:left w:val="nil"/>
              <w:bottom w:val="single" w:sz="4" w:space="0" w:color="auto"/>
              <w:right w:val="single" w:sz="4" w:space="0" w:color="auto"/>
            </w:tcBorders>
            <w:shd w:val="clear" w:color="auto" w:fill="auto"/>
            <w:noWrap/>
            <w:vAlign w:val="center"/>
            <w:hideMark/>
          </w:tcPr>
          <w:p w14:paraId="280F0D81" w14:textId="77777777" w:rsidR="00F34BD4" w:rsidRPr="00D94B5E" w:rsidRDefault="00F34BD4" w:rsidP="00B823C1">
            <w:pPr>
              <w:spacing w:after="0"/>
              <w:jc w:val="center"/>
              <w:rPr>
                <w:color w:val="000000"/>
                <w:szCs w:val="20"/>
                <w:lang w:eastAsia="pl-PL"/>
              </w:rPr>
            </w:pPr>
            <w:r w:rsidRPr="00D94B5E">
              <w:rPr>
                <w:color w:val="000000"/>
                <w:szCs w:val="20"/>
                <w:lang w:eastAsia="pl-PL"/>
              </w:rPr>
              <w:t>2023</w:t>
            </w:r>
          </w:p>
        </w:tc>
        <w:tc>
          <w:tcPr>
            <w:tcW w:w="623" w:type="dxa"/>
            <w:tcBorders>
              <w:top w:val="single" w:sz="4" w:space="0" w:color="auto"/>
              <w:left w:val="nil"/>
              <w:bottom w:val="single" w:sz="4" w:space="0" w:color="auto"/>
              <w:right w:val="single" w:sz="4" w:space="0" w:color="auto"/>
            </w:tcBorders>
            <w:shd w:val="clear" w:color="auto" w:fill="auto"/>
            <w:noWrap/>
            <w:vAlign w:val="center"/>
            <w:hideMark/>
          </w:tcPr>
          <w:p w14:paraId="6485CD2D" w14:textId="77777777" w:rsidR="00F34BD4" w:rsidRPr="00D94B5E" w:rsidRDefault="00F34BD4" w:rsidP="00B823C1">
            <w:pPr>
              <w:spacing w:after="0"/>
              <w:jc w:val="center"/>
              <w:rPr>
                <w:color w:val="000000"/>
                <w:szCs w:val="20"/>
                <w:lang w:eastAsia="pl-PL"/>
              </w:rPr>
            </w:pPr>
            <w:r w:rsidRPr="00D94B5E">
              <w:rPr>
                <w:color w:val="000000"/>
                <w:szCs w:val="20"/>
                <w:lang w:eastAsia="pl-PL"/>
              </w:rPr>
              <w:t>2024</w:t>
            </w:r>
          </w:p>
        </w:tc>
        <w:tc>
          <w:tcPr>
            <w:tcW w:w="655" w:type="dxa"/>
            <w:tcBorders>
              <w:top w:val="single" w:sz="4" w:space="0" w:color="auto"/>
              <w:left w:val="nil"/>
              <w:bottom w:val="single" w:sz="4" w:space="0" w:color="auto"/>
              <w:right w:val="single" w:sz="4" w:space="0" w:color="auto"/>
            </w:tcBorders>
            <w:shd w:val="clear" w:color="auto" w:fill="auto"/>
            <w:noWrap/>
            <w:vAlign w:val="center"/>
            <w:hideMark/>
          </w:tcPr>
          <w:p w14:paraId="7C1D23D7" w14:textId="77777777" w:rsidR="00F34BD4" w:rsidRPr="00D94B5E" w:rsidRDefault="00F34BD4" w:rsidP="00B823C1">
            <w:pPr>
              <w:spacing w:after="0"/>
              <w:jc w:val="center"/>
              <w:rPr>
                <w:color w:val="000000"/>
                <w:szCs w:val="20"/>
                <w:lang w:eastAsia="pl-PL"/>
              </w:rPr>
            </w:pPr>
            <w:r w:rsidRPr="00D94B5E">
              <w:rPr>
                <w:color w:val="000000"/>
                <w:szCs w:val="20"/>
                <w:lang w:eastAsia="pl-PL"/>
              </w:rPr>
              <w:t>2025</w:t>
            </w:r>
          </w:p>
        </w:tc>
        <w:tc>
          <w:tcPr>
            <w:tcW w:w="655" w:type="dxa"/>
            <w:tcBorders>
              <w:top w:val="single" w:sz="4" w:space="0" w:color="auto"/>
              <w:left w:val="nil"/>
              <w:bottom w:val="single" w:sz="4" w:space="0" w:color="auto"/>
              <w:right w:val="single" w:sz="4" w:space="0" w:color="auto"/>
            </w:tcBorders>
            <w:shd w:val="clear" w:color="auto" w:fill="auto"/>
            <w:noWrap/>
            <w:vAlign w:val="center"/>
            <w:hideMark/>
          </w:tcPr>
          <w:p w14:paraId="04F4EFE9" w14:textId="77777777" w:rsidR="00F34BD4" w:rsidRPr="00D94B5E" w:rsidRDefault="00F34BD4" w:rsidP="00B823C1">
            <w:pPr>
              <w:spacing w:after="0"/>
              <w:jc w:val="center"/>
              <w:rPr>
                <w:color w:val="000000"/>
                <w:szCs w:val="20"/>
                <w:lang w:eastAsia="pl-PL"/>
              </w:rPr>
            </w:pPr>
            <w:r w:rsidRPr="00D94B5E">
              <w:rPr>
                <w:color w:val="000000"/>
                <w:szCs w:val="20"/>
                <w:lang w:eastAsia="pl-PL"/>
              </w:rPr>
              <w:t>2026</w:t>
            </w:r>
          </w:p>
        </w:tc>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14:paraId="43A47A69" w14:textId="77777777" w:rsidR="00F34BD4" w:rsidRPr="00D94B5E" w:rsidRDefault="00F34BD4" w:rsidP="00B823C1">
            <w:pPr>
              <w:spacing w:after="0"/>
              <w:jc w:val="center"/>
              <w:rPr>
                <w:color w:val="000000"/>
                <w:szCs w:val="20"/>
                <w:lang w:eastAsia="pl-PL"/>
              </w:rPr>
            </w:pPr>
            <w:r w:rsidRPr="00D94B5E">
              <w:rPr>
                <w:color w:val="000000"/>
                <w:szCs w:val="20"/>
                <w:lang w:eastAsia="pl-PL"/>
              </w:rPr>
              <w:t>2027</w:t>
            </w:r>
          </w:p>
        </w:tc>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14:paraId="17F8F3E6" w14:textId="77777777" w:rsidR="00F34BD4" w:rsidRPr="00D94B5E" w:rsidRDefault="00F34BD4" w:rsidP="00B823C1">
            <w:pPr>
              <w:spacing w:after="0"/>
              <w:jc w:val="center"/>
              <w:rPr>
                <w:color w:val="000000"/>
                <w:szCs w:val="20"/>
                <w:lang w:eastAsia="pl-PL"/>
              </w:rPr>
            </w:pPr>
            <w:r w:rsidRPr="00D94B5E">
              <w:rPr>
                <w:color w:val="000000"/>
                <w:szCs w:val="20"/>
                <w:lang w:eastAsia="pl-PL"/>
              </w:rPr>
              <w:t>2028</w:t>
            </w:r>
          </w:p>
        </w:tc>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14:paraId="44B18BA8" w14:textId="77777777" w:rsidR="00F34BD4" w:rsidRPr="00D94B5E" w:rsidRDefault="00F34BD4" w:rsidP="00B823C1">
            <w:pPr>
              <w:spacing w:after="0"/>
              <w:jc w:val="center"/>
              <w:rPr>
                <w:color w:val="000000"/>
                <w:szCs w:val="20"/>
                <w:lang w:eastAsia="pl-PL"/>
              </w:rPr>
            </w:pPr>
            <w:r w:rsidRPr="00D94B5E">
              <w:rPr>
                <w:color w:val="000000"/>
                <w:szCs w:val="20"/>
                <w:lang w:eastAsia="pl-PL"/>
              </w:rPr>
              <w:t>2029</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78259" w14:textId="77777777" w:rsidR="00F34BD4" w:rsidRPr="00D94B5E" w:rsidRDefault="00F34BD4" w:rsidP="00B823C1">
            <w:pPr>
              <w:spacing w:after="0"/>
              <w:jc w:val="center"/>
              <w:rPr>
                <w:color w:val="000000"/>
                <w:szCs w:val="20"/>
                <w:lang w:eastAsia="pl-PL"/>
              </w:rPr>
            </w:pPr>
            <w:r w:rsidRPr="00D94B5E">
              <w:rPr>
                <w:color w:val="000000"/>
                <w:szCs w:val="20"/>
                <w:lang w:eastAsia="pl-PL"/>
              </w:rPr>
              <w:t>2030</w:t>
            </w:r>
          </w:p>
        </w:tc>
        <w:tc>
          <w:tcPr>
            <w:tcW w:w="1410" w:type="dxa"/>
            <w:tcBorders>
              <w:top w:val="nil"/>
              <w:left w:val="single" w:sz="4" w:space="0" w:color="auto"/>
              <w:bottom w:val="single" w:sz="4" w:space="0" w:color="auto"/>
            </w:tcBorders>
            <w:shd w:val="clear" w:color="auto" w:fill="auto"/>
            <w:noWrap/>
            <w:vAlign w:val="center"/>
            <w:hideMark/>
          </w:tcPr>
          <w:p w14:paraId="546073C3" w14:textId="77777777" w:rsidR="00F34BD4" w:rsidRPr="00D94B5E" w:rsidRDefault="00F34BD4" w:rsidP="00B823C1">
            <w:pPr>
              <w:spacing w:after="0"/>
              <w:jc w:val="center"/>
              <w:rPr>
                <w:color w:val="000000"/>
                <w:szCs w:val="20"/>
                <w:lang w:eastAsia="pl-PL"/>
              </w:rPr>
            </w:pPr>
          </w:p>
        </w:tc>
      </w:tr>
      <w:tr w:rsidR="00F34BD4" w:rsidRPr="004D43AB" w14:paraId="44DC4E40" w14:textId="77777777" w:rsidTr="00B823C1">
        <w:trPr>
          <w:trHeight w:val="283"/>
        </w:trPr>
        <w:tc>
          <w:tcPr>
            <w:tcW w:w="1394" w:type="dxa"/>
            <w:vMerge w:val="restart"/>
            <w:tcBorders>
              <w:top w:val="nil"/>
              <w:left w:val="single" w:sz="4" w:space="0" w:color="auto"/>
              <w:right w:val="single" w:sz="4" w:space="0" w:color="auto"/>
            </w:tcBorders>
            <w:shd w:val="clear" w:color="auto" w:fill="auto"/>
            <w:vAlign w:val="center"/>
            <w:hideMark/>
          </w:tcPr>
          <w:p w14:paraId="79F3576C" w14:textId="77777777" w:rsidR="00F34BD4" w:rsidRPr="00D94B5E" w:rsidRDefault="00F34BD4" w:rsidP="00B823C1">
            <w:pPr>
              <w:spacing w:after="0"/>
              <w:jc w:val="center"/>
              <w:rPr>
                <w:color w:val="000000"/>
                <w:szCs w:val="20"/>
                <w:lang w:eastAsia="pl-PL"/>
              </w:rPr>
            </w:pPr>
            <w:r w:rsidRPr="00D94B5E">
              <w:rPr>
                <w:color w:val="000000"/>
                <w:szCs w:val="20"/>
                <w:lang w:eastAsia="pl-PL"/>
              </w:rPr>
              <w:t>Oszczędności końcowego zużycia energii (</w:t>
            </w:r>
            <w:proofErr w:type="spellStart"/>
            <w:r w:rsidRPr="00D94B5E">
              <w:rPr>
                <w:color w:val="000000"/>
                <w:szCs w:val="20"/>
                <w:lang w:eastAsia="pl-PL"/>
              </w:rPr>
              <w:t>ktoe</w:t>
            </w:r>
            <w:proofErr w:type="spellEnd"/>
            <w:r w:rsidRPr="00D94B5E">
              <w:rPr>
                <w:color w:val="000000"/>
                <w:szCs w:val="20"/>
                <w:lang w:eastAsia="pl-PL"/>
              </w:rPr>
              <w:t>)</w:t>
            </w:r>
          </w:p>
        </w:tc>
        <w:tc>
          <w:tcPr>
            <w:tcW w:w="669" w:type="dxa"/>
            <w:tcBorders>
              <w:top w:val="nil"/>
              <w:left w:val="nil"/>
              <w:bottom w:val="single" w:sz="4" w:space="0" w:color="auto"/>
              <w:right w:val="single" w:sz="4" w:space="0" w:color="auto"/>
            </w:tcBorders>
            <w:shd w:val="clear" w:color="auto" w:fill="auto"/>
            <w:noWrap/>
            <w:vAlign w:val="center"/>
          </w:tcPr>
          <w:p w14:paraId="076DC86B" w14:textId="77777777" w:rsidR="00F34BD4" w:rsidRPr="00D94B5E" w:rsidRDefault="00F34BD4" w:rsidP="00B823C1">
            <w:pPr>
              <w:spacing w:after="0"/>
              <w:jc w:val="center"/>
              <w:rPr>
                <w:color w:val="000000"/>
                <w:szCs w:val="20"/>
                <w:lang w:eastAsia="pl-PL"/>
              </w:rPr>
            </w:pPr>
            <w:r w:rsidRPr="00D94B5E">
              <w:rPr>
                <w:rFonts w:cs="Calibri"/>
                <w:color w:val="000000"/>
                <w:szCs w:val="20"/>
              </w:rPr>
              <w:t> </w:t>
            </w:r>
          </w:p>
        </w:tc>
        <w:tc>
          <w:tcPr>
            <w:tcW w:w="623" w:type="dxa"/>
            <w:tcBorders>
              <w:top w:val="nil"/>
              <w:left w:val="nil"/>
              <w:bottom w:val="single" w:sz="4" w:space="0" w:color="auto"/>
              <w:right w:val="single" w:sz="4" w:space="0" w:color="auto"/>
            </w:tcBorders>
            <w:shd w:val="clear" w:color="auto" w:fill="auto"/>
            <w:noWrap/>
            <w:vAlign w:val="center"/>
          </w:tcPr>
          <w:p w14:paraId="19AE5FDB" w14:textId="77777777" w:rsidR="00F34BD4" w:rsidRPr="00D94B5E" w:rsidRDefault="00F34BD4" w:rsidP="00B823C1">
            <w:pPr>
              <w:spacing w:after="0"/>
              <w:jc w:val="center"/>
              <w:rPr>
                <w:color w:val="000000"/>
                <w:szCs w:val="20"/>
                <w:lang w:eastAsia="pl-PL"/>
              </w:rPr>
            </w:pPr>
            <w:r w:rsidRPr="00D94B5E">
              <w:rPr>
                <w:rFonts w:cs="Calibri"/>
                <w:color w:val="000000"/>
                <w:szCs w:val="20"/>
              </w:rPr>
              <w:t> </w:t>
            </w:r>
          </w:p>
        </w:tc>
        <w:tc>
          <w:tcPr>
            <w:tcW w:w="623" w:type="dxa"/>
            <w:tcBorders>
              <w:top w:val="nil"/>
              <w:left w:val="nil"/>
              <w:bottom w:val="single" w:sz="4" w:space="0" w:color="auto"/>
              <w:right w:val="single" w:sz="4" w:space="0" w:color="auto"/>
            </w:tcBorders>
            <w:shd w:val="clear" w:color="auto" w:fill="auto"/>
            <w:noWrap/>
            <w:vAlign w:val="center"/>
          </w:tcPr>
          <w:p w14:paraId="51A003C3" w14:textId="77777777" w:rsidR="00F34BD4" w:rsidRPr="00D94B5E" w:rsidRDefault="00F34BD4" w:rsidP="00B823C1">
            <w:pPr>
              <w:spacing w:after="0"/>
              <w:jc w:val="center"/>
              <w:rPr>
                <w:color w:val="000000"/>
                <w:szCs w:val="20"/>
                <w:lang w:eastAsia="pl-PL"/>
              </w:rPr>
            </w:pPr>
            <w:r w:rsidRPr="00D94B5E">
              <w:rPr>
                <w:rFonts w:cs="Calibri"/>
                <w:color w:val="000000"/>
                <w:szCs w:val="20"/>
              </w:rPr>
              <w:t> </w:t>
            </w:r>
          </w:p>
        </w:tc>
        <w:tc>
          <w:tcPr>
            <w:tcW w:w="623" w:type="dxa"/>
            <w:tcBorders>
              <w:top w:val="nil"/>
              <w:left w:val="nil"/>
              <w:bottom w:val="single" w:sz="4" w:space="0" w:color="auto"/>
              <w:right w:val="single" w:sz="4" w:space="0" w:color="auto"/>
            </w:tcBorders>
            <w:shd w:val="clear" w:color="auto" w:fill="auto"/>
            <w:noWrap/>
            <w:vAlign w:val="center"/>
          </w:tcPr>
          <w:p w14:paraId="02BD3A51" w14:textId="77777777" w:rsidR="00F34BD4" w:rsidRPr="00D94B5E" w:rsidRDefault="00F34BD4" w:rsidP="00B823C1">
            <w:pPr>
              <w:spacing w:after="0"/>
              <w:jc w:val="center"/>
              <w:rPr>
                <w:color w:val="000000"/>
                <w:szCs w:val="20"/>
                <w:lang w:eastAsia="pl-PL"/>
              </w:rPr>
            </w:pPr>
            <w:r w:rsidRPr="00D94B5E">
              <w:rPr>
                <w:rFonts w:cs="Calibri"/>
                <w:color w:val="000000"/>
                <w:szCs w:val="20"/>
              </w:rPr>
              <w:t> </w:t>
            </w:r>
          </w:p>
        </w:tc>
        <w:tc>
          <w:tcPr>
            <w:tcW w:w="655" w:type="dxa"/>
            <w:tcBorders>
              <w:top w:val="nil"/>
              <w:left w:val="nil"/>
              <w:bottom w:val="single" w:sz="4" w:space="0" w:color="auto"/>
              <w:right w:val="single" w:sz="4" w:space="0" w:color="auto"/>
            </w:tcBorders>
            <w:shd w:val="clear" w:color="auto" w:fill="auto"/>
            <w:noWrap/>
            <w:vAlign w:val="center"/>
          </w:tcPr>
          <w:p w14:paraId="3072ED2C" w14:textId="77777777" w:rsidR="00F34BD4" w:rsidRPr="00D94B5E" w:rsidRDefault="00F34BD4" w:rsidP="00B823C1">
            <w:pPr>
              <w:spacing w:after="0"/>
              <w:jc w:val="center"/>
              <w:rPr>
                <w:color w:val="000000"/>
                <w:szCs w:val="20"/>
                <w:lang w:eastAsia="pl-PL"/>
              </w:rPr>
            </w:pPr>
            <w:r w:rsidRPr="00D94B5E">
              <w:rPr>
                <w:rFonts w:cs="Calibri"/>
                <w:color w:val="000000"/>
                <w:szCs w:val="20"/>
              </w:rPr>
              <w:t> </w:t>
            </w:r>
          </w:p>
        </w:tc>
        <w:tc>
          <w:tcPr>
            <w:tcW w:w="655" w:type="dxa"/>
            <w:tcBorders>
              <w:top w:val="nil"/>
              <w:left w:val="nil"/>
              <w:bottom w:val="single" w:sz="4" w:space="0" w:color="auto"/>
              <w:right w:val="single" w:sz="4" w:space="0" w:color="auto"/>
            </w:tcBorders>
            <w:shd w:val="clear" w:color="auto" w:fill="auto"/>
            <w:noWrap/>
            <w:vAlign w:val="center"/>
          </w:tcPr>
          <w:p w14:paraId="44019038" w14:textId="77777777" w:rsidR="00F34BD4" w:rsidRPr="00D94B5E" w:rsidRDefault="00F34BD4" w:rsidP="00B823C1">
            <w:pPr>
              <w:spacing w:after="0"/>
              <w:jc w:val="center"/>
              <w:rPr>
                <w:color w:val="000000"/>
                <w:szCs w:val="20"/>
                <w:lang w:eastAsia="pl-PL"/>
              </w:rPr>
            </w:pPr>
            <w:r w:rsidRPr="00D94B5E">
              <w:rPr>
                <w:rFonts w:cs="Calibri"/>
                <w:color w:val="000000"/>
                <w:szCs w:val="20"/>
              </w:rPr>
              <w:t> </w:t>
            </w:r>
          </w:p>
        </w:tc>
        <w:tc>
          <w:tcPr>
            <w:tcW w:w="623" w:type="dxa"/>
            <w:tcBorders>
              <w:top w:val="single" w:sz="4" w:space="0" w:color="auto"/>
              <w:left w:val="single" w:sz="4" w:space="0" w:color="auto"/>
              <w:bottom w:val="single" w:sz="4" w:space="0" w:color="auto"/>
              <w:right w:val="single" w:sz="4" w:space="0" w:color="auto"/>
            </w:tcBorders>
            <w:vAlign w:val="center"/>
          </w:tcPr>
          <w:p w14:paraId="0B06A005" w14:textId="77777777" w:rsidR="00F34BD4" w:rsidRPr="00D94B5E" w:rsidRDefault="00F34BD4" w:rsidP="00B823C1">
            <w:pPr>
              <w:spacing w:after="0"/>
              <w:jc w:val="center"/>
              <w:rPr>
                <w:color w:val="000000"/>
                <w:szCs w:val="20"/>
                <w:lang w:eastAsia="pl-PL"/>
              </w:rPr>
            </w:pPr>
            <w:r w:rsidRPr="00D94B5E">
              <w:rPr>
                <w:rFonts w:cs="Calibri"/>
                <w:color w:val="000000"/>
                <w:szCs w:val="20"/>
              </w:rPr>
              <w:t> </w:t>
            </w:r>
          </w:p>
        </w:tc>
        <w:tc>
          <w:tcPr>
            <w:tcW w:w="623" w:type="dxa"/>
            <w:tcBorders>
              <w:top w:val="single" w:sz="4" w:space="0" w:color="auto"/>
              <w:left w:val="single" w:sz="4" w:space="0" w:color="auto"/>
              <w:bottom w:val="single" w:sz="4" w:space="0" w:color="auto"/>
              <w:right w:val="single" w:sz="4" w:space="0" w:color="auto"/>
            </w:tcBorders>
            <w:vAlign w:val="center"/>
          </w:tcPr>
          <w:p w14:paraId="183593F8" w14:textId="77777777" w:rsidR="00F34BD4" w:rsidRPr="00D94B5E" w:rsidRDefault="00F34BD4" w:rsidP="00B823C1">
            <w:pPr>
              <w:spacing w:after="0"/>
              <w:jc w:val="center"/>
              <w:rPr>
                <w:color w:val="000000"/>
                <w:szCs w:val="20"/>
                <w:lang w:eastAsia="pl-PL"/>
              </w:rPr>
            </w:pPr>
            <w:r w:rsidRPr="00D94B5E">
              <w:rPr>
                <w:rFonts w:cs="Calibri"/>
                <w:color w:val="000000"/>
                <w:szCs w:val="20"/>
              </w:rPr>
              <w:t> </w:t>
            </w:r>
          </w:p>
        </w:tc>
        <w:tc>
          <w:tcPr>
            <w:tcW w:w="623" w:type="dxa"/>
            <w:tcBorders>
              <w:top w:val="single" w:sz="4" w:space="0" w:color="auto"/>
              <w:left w:val="single" w:sz="4" w:space="0" w:color="auto"/>
              <w:bottom w:val="single" w:sz="4" w:space="0" w:color="auto"/>
              <w:right w:val="single" w:sz="4" w:space="0" w:color="auto"/>
            </w:tcBorders>
            <w:vAlign w:val="center"/>
          </w:tcPr>
          <w:p w14:paraId="5A7A54C1" w14:textId="77777777" w:rsidR="00F34BD4" w:rsidRPr="00D94B5E" w:rsidRDefault="00F34BD4" w:rsidP="00B823C1">
            <w:pPr>
              <w:spacing w:after="0"/>
              <w:jc w:val="center"/>
              <w:rPr>
                <w:color w:val="000000"/>
                <w:szCs w:val="20"/>
                <w:lang w:eastAsia="pl-PL"/>
              </w:rPr>
            </w:pPr>
            <w:r w:rsidRPr="00D94B5E">
              <w:rPr>
                <w:rFonts w:cs="Calibri"/>
                <w:color w:val="000000"/>
                <w:szCs w:val="20"/>
              </w:rPr>
              <w:t> </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124AC7" w14:textId="77777777" w:rsidR="00F34BD4" w:rsidRPr="00D94B5E" w:rsidRDefault="00F34BD4" w:rsidP="00B823C1">
            <w:pPr>
              <w:spacing w:after="0"/>
              <w:jc w:val="center"/>
              <w:rPr>
                <w:color w:val="000000"/>
                <w:szCs w:val="20"/>
                <w:lang w:eastAsia="pl-PL"/>
              </w:rPr>
            </w:pPr>
            <w:r w:rsidRPr="00D94B5E">
              <w:rPr>
                <w:rFonts w:cs="Calibri"/>
                <w:color w:val="000000"/>
                <w:szCs w:val="20"/>
              </w:rPr>
              <w:t>699</w:t>
            </w:r>
          </w:p>
        </w:tc>
        <w:tc>
          <w:tcPr>
            <w:tcW w:w="1410" w:type="dxa"/>
            <w:vMerge w:val="restart"/>
            <w:tcBorders>
              <w:top w:val="nil"/>
              <w:left w:val="single" w:sz="4" w:space="0" w:color="auto"/>
              <w:right w:val="single" w:sz="4" w:space="0" w:color="auto"/>
            </w:tcBorders>
            <w:shd w:val="clear" w:color="auto" w:fill="auto"/>
            <w:vAlign w:val="center"/>
            <w:hideMark/>
          </w:tcPr>
          <w:p w14:paraId="32CB85E4" w14:textId="77777777" w:rsidR="00F34BD4" w:rsidRPr="00D94B5E" w:rsidRDefault="00F34BD4" w:rsidP="00B823C1">
            <w:pPr>
              <w:spacing w:after="0"/>
              <w:jc w:val="center"/>
              <w:rPr>
                <w:color w:val="000000"/>
                <w:szCs w:val="20"/>
                <w:lang w:eastAsia="pl-PL"/>
              </w:rPr>
            </w:pPr>
            <w:r w:rsidRPr="00D94B5E">
              <w:rPr>
                <w:color w:val="000000"/>
                <w:szCs w:val="20"/>
                <w:lang w:eastAsia="pl-PL"/>
              </w:rPr>
              <w:t>Całkowite skumulowane oszczędności końcowego zużycia energii (do 2030)</w:t>
            </w:r>
          </w:p>
        </w:tc>
      </w:tr>
      <w:tr w:rsidR="00F34BD4" w:rsidRPr="004D43AB" w14:paraId="0F68EA69" w14:textId="77777777" w:rsidTr="00B823C1">
        <w:trPr>
          <w:trHeight w:val="283"/>
        </w:trPr>
        <w:tc>
          <w:tcPr>
            <w:tcW w:w="1394" w:type="dxa"/>
            <w:vMerge/>
            <w:tcBorders>
              <w:left w:val="single" w:sz="4" w:space="0" w:color="auto"/>
              <w:right w:val="single" w:sz="4" w:space="0" w:color="auto"/>
            </w:tcBorders>
            <w:shd w:val="clear" w:color="auto" w:fill="auto"/>
            <w:vAlign w:val="center"/>
            <w:hideMark/>
          </w:tcPr>
          <w:p w14:paraId="52B2BF98" w14:textId="77777777" w:rsidR="00F34BD4" w:rsidRPr="00D94B5E" w:rsidRDefault="00F34BD4" w:rsidP="00B823C1">
            <w:pPr>
              <w:spacing w:after="0"/>
              <w:jc w:val="center"/>
              <w:rPr>
                <w:color w:val="000000"/>
                <w:szCs w:val="20"/>
                <w:lang w:eastAsia="pl-PL"/>
              </w:rPr>
            </w:pPr>
          </w:p>
        </w:tc>
        <w:tc>
          <w:tcPr>
            <w:tcW w:w="669" w:type="dxa"/>
            <w:tcBorders>
              <w:top w:val="nil"/>
              <w:left w:val="nil"/>
              <w:bottom w:val="single" w:sz="4" w:space="0" w:color="auto"/>
              <w:right w:val="single" w:sz="4" w:space="0" w:color="auto"/>
            </w:tcBorders>
            <w:shd w:val="clear" w:color="auto" w:fill="auto"/>
            <w:noWrap/>
            <w:vAlign w:val="center"/>
          </w:tcPr>
          <w:p w14:paraId="2E6D1BF6" w14:textId="77777777" w:rsidR="00F34BD4" w:rsidRPr="00D94B5E" w:rsidRDefault="00F34BD4" w:rsidP="00B823C1">
            <w:pPr>
              <w:spacing w:after="0"/>
              <w:jc w:val="center"/>
              <w:rPr>
                <w:color w:val="000000"/>
                <w:szCs w:val="20"/>
                <w:lang w:eastAsia="pl-PL"/>
              </w:rPr>
            </w:pPr>
          </w:p>
        </w:tc>
        <w:tc>
          <w:tcPr>
            <w:tcW w:w="623" w:type="dxa"/>
            <w:tcBorders>
              <w:top w:val="nil"/>
              <w:left w:val="nil"/>
              <w:bottom w:val="single" w:sz="4" w:space="0" w:color="auto"/>
              <w:right w:val="single" w:sz="4" w:space="0" w:color="auto"/>
            </w:tcBorders>
            <w:shd w:val="clear" w:color="auto" w:fill="auto"/>
            <w:noWrap/>
            <w:vAlign w:val="center"/>
          </w:tcPr>
          <w:p w14:paraId="2AD67BDE" w14:textId="77777777" w:rsidR="00F34BD4" w:rsidRPr="00D94B5E" w:rsidRDefault="00F34BD4" w:rsidP="00B823C1">
            <w:pPr>
              <w:spacing w:after="0"/>
              <w:jc w:val="center"/>
              <w:rPr>
                <w:color w:val="000000"/>
                <w:szCs w:val="20"/>
                <w:lang w:eastAsia="pl-PL"/>
              </w:rPr>
            </w:pPr>
          </w:p>
        </w:tc>
        <w:tc>
          <w:tcPr>
            <w:tcW w:w="623" w:type="dxa"/>
            <w:tcBorders>
              <w:top w:val="nil"/>
              <w:left w:val="nil"/>
              <w:bottom w:val="single" w:sz="4" w:space="0" w:color="auto"/>
              <w:right w:val="single" w:sz="4" w:space="0" w:color="auto"/>
            </w:tcBorders>
            <w:shd w:val="clear" w:color="auto" w:fill="auto"/>
            <w:noWrap/>
            <w:vAlign w:val="center"/>
          </w:tcPr>
          <w:p w14:paraId="015AC2C7" w14:textId="77777777" w:rsidR="00F34BD4" w:rsidRPr="00D94B5E" w:rsidRDefault="00F34BD4" w:rsidP="00B823C1">
            <w:pPr>
              <w:spacing w:after="0"/>
              <w:jc w:val="center"/>
              <w:rPr>
                <w:color w:val="000000"/>
                <w:szCs w:val="20"/>
                <w:lang w:eastAsia="pl-PL"/>
              </w:rPr>
            </w:pPr>
          </w:p>
        </w:tc>
        <w:tc>
          <w:tcPr>
            <w:tcW w:w="623" w:type="dxa"/>
            <w:tcBorders>
              <w:top w:val="nil"/>
              <w:left w:val="nil"/>
              <w:bottom w:val="single" w:sz="4" w:space="0" w:color="auto"/>
              <w:right w:val="single" w:sz="4" w:space="0" w:color="auto"/>
            </w:tcBorders>
            <w:shd w:val="clear" w:color="auto" w:fill="auto"/>
            <w:noWrap/>
            <w:vAlign w:val="center"/>
          </w:tcPr>
          <w:p w14:paraId="11EEF894" w14:textId="77777777" w:rsidR="00F34BD4" w:rsidRPr="00D94B5E" w:rsidRDefault="00F34BD4" w:rsidP="00B823C1">
            <w:pPr>
              <w:spacing w:after="0"/>
              <w:jc w:val="center"/>
              <w:rPr>
                <w:color w:val="000000"/>
                <w:szCs w:val="20"/>
                <w:lang w:eastAsia="pl-PL"/>
              </w:rPr>
            </w:pPr>
            <w:r w:rsidRPr="00D94B5E">
              <w:rPr>
                <w:rFonts w:cs="Calibri"/>
                <w:color w:val="000000"/>
                <w:szCs w:val="20"/>
              </w:rPr>
              <w:t> </w:t>
            </w:r>
          </w:p>
        </w:tc>
        <w:tc>
          <w:tcPr>
            <w:tcW w:w="655" w:type="dxa"/>
            <w:tcBorders>
              <w:top w:val="nil"/>
              <w:left w:val="nil"/>
              <w:bottom w:val="single" w:sz="4" w:space="0" w:color="auto"/>
              <w:right w:val="single" w:sz="4" w:space="0" w:color="auto"/>
            </w:tcBorders>
            <w:shd w:val="clear" w:color="auto" w:fill="auto"/>
            <w:noWrap/>
            <w:vAlign w:val="center"/>
          </w:tcPr>
          <w:p w14:paraId="17C306A8" w14:textId="77777777" w:rsidR="00F34BD4" w:rsidRPr="00D94B5E" w:rsidRDefault="00F34BD4" w:rsidP="00B823C1">
            <w:pPr>
              <w:spacing w:after="0"/>
              <w:jc w:val="center"/>
              <w:rPr>
                <w:color w:val="000000"/>
                <w:szCs w:val="20"/>
                <w:lang w:eastAsia="pl-PL"/>
              </w:rPr>
            </w:pPr>
            <w:r w:rsidRPr="00D94B5E">
              <w:rPr>
                <w:rFonts w:cs="Calibri"/>
                <w:color w:val="000000"/>
                <w:szCs w:val="20"/>
              </w:rPr>
              <w:t> </w:t>
            </w:r>
          </w:p>
        </w:tc>
        <w:tc>
          <w:tcPr>
            <w:tcW w:w="655" w:type="dxa"/>
            <w:tcBorders>
              <w:top w:val="nil"/>
              <w:left w:val="nil"/>
              <w:bottom w:val="single" w:sz="4" w:space="0" w:color="auto"/>
              <w:right w:val="single" w:sz="4" w:space="0" w:color="auto"/>
            </w:tcBorders>
            <w:shd w:val="clear" w:color="auto" w:fill="auto"/>
            <w:noWrap/>
            <w:vAlign w:val="center"/>
          </w:tcPr>
          <w:p w14:paraId="2FE3258C" w14:textId="77777777" w:rsidR="00F34BD4" w:rsidRPr="00D94B5E" w:rsidRDefault="00F34BD4" w:rsidP="00B823C1">
            <w:pPr>
              <w:spacing w:after="0"/>
              <w:jc w:val="center"/>
              <w:rPr>
                <w:color w:val="000000"/>
                <w:szCs w:val="20"/>
                <w:lang w:eastAsia="pl-PL"/>
              </w:rPr>
            </w:pPr>
            <w:r w:rsidRPr="00D94B5E">
              <w:rPr>
                <w:rFonts w:cs="Calibri"/>
                <w:color w:val="000000"/>
                <w:szCs w:val="20"/>
              </w:rPr>
              <w:t> </w:t>
            </w:r>
          </w:p>
        </w:tc>
        <w:tc>
          <w:tcPr>
            <w:tcW w:w="623" w:type="dxa"/>
            <w:tcBorders>
              <w:top w:val="single" w:sz="4" w:space="0" w:color="auto"/>
              <w:left w:val="single" w:sz="4" w:space="0" w:color="auto"/>
              <w:bottom w:val="single" w:sz="4" w:space="0" w:color="auto"/>
              <w:right w:val="single" w:sz="4" w:space="0" w:color="auto"/>
            </w:tcBorders>
            <w:vAlign w:val="center"/>
          </w:tcPr>
          <w:p w14:paraId="38244B22" w14:textId="77777777" w:rsidR="00F34BD4" w:rsidRPr="00D94B5E" w:rsidRDefault="00F34BD4" w:rsidP="00B823C1">
            <w:pPr>
              <w:spacing w:after="0"/>
              <w:jc w:val="center"/>
              <w:rPr>
                <w:color w:val="000000"/>
                <w:szCs w:val="20"/>
                <w:lang w:eastAsia="pl-PL"/>
              </w:rPr>
            </w:pPr>
            <w:r w:rsidRPr="00D94B5E">
              <w:rPr>
                <w:rFonts w:cs="Calibri"/>
                <w:color w:val="000000"/>
                <w:szCs w:val="20"/>
              </w:rPr>
              <w:t> </w:t>
            </w:r>
          </w:p>
        </w:tc>
        <w:tc>
          <w:tcPr>
            <w:tcW w:w="623" w:type="dxa"/>
            <w:tcBorders>
              <w:top w:val="single" w:sz="4" w:space="0" w:color="auto"/>
              <w:left w:val="single" w:sz="4" w:space="0" w:color="auto"/>
              <w:bottom w:val="single" w:sz="4" w:space="0" w:color="auto"/>
              <w:right w:val="single" w:sz="4" w:space="0" w:color="auto"/>
            </w:tcBorders>
            <w:vAlign w:val="center"/>
          </w:tcPr>
          <w:p w14:paraId="63631C52" w14:textId="77777777" w:rsidR="00F34BD4" w:rsidRPr="00D94B5E" w:rsidRDefault="00F34BD4" w:rsidP="00B823C1">
            <w:pPr>
              <w:spacing w:after="0"/>
              <w:jc w:val="center"/>
              <w:rPr>
                <w:color w:val="000000"/>
                <w:szCs w:val="20"/>
                <w:lang w:eastAsia="pl-PL"/>
              </w:rPr>
            </w:pPr>
            <w:r w:rsidRPr="00D94B5E">
              <w:rPr>
                <w:rFonts w:cs="Calibri"/>
                <w:color w:val="000000"/>
                <w:szCs w:val="20"/>
              </w:rPr>
              <w:t> </w:t>
            </w:r>
          </w:p>
        </w:tc>
        <w:tc>
          <w:tcPr>
            <w:tcW w:w="623" w:type="dxa"/>
            <w:tcBorders>
              <w:top w:val="single" w:sz="4" w:space="0" w:color="auto"/>
              <w:left w:val="single" w:sz="4" w:space="0" w:color="auto"/>
              <w:bottom w:val="single" w:sz="4" w:space="0" w:color="auto"/>
              <w:right w:val="single" w:sz="4" w:space="0" w:color="auto"/>
            </w:tcBorders>
            <w:vAlign w:val="center"/>
          </w:tcPr>
          <w:p w14:paraId="6C426A86" w14:textId="77777777" w:rsidR="00F34BD4" w:rsidRPr="00D94B5E" w:rsidRDefault="00F34BD4" w:rsidP="00B823C1">
            <w:pPr>
              <w:spacing w:after="0"/>
              <w:jc w:val="center"/>
              <w:rPr>
                <w:color w:val="000000"/>
                <w:szCs w:val="20"/>
                <w:lang w:eastAsia="pl-PL"/>
              </w:rPr>
            </w:pPr>
            <w:r w:rsidRPr="00D94B5E">
              <w:rPr>
                <w:rFonts w:cs="Calibri"/>
                <w:color w:val="000000"/>
                <w:szCs w:val="20"/>
              </w:rPr>
              <w:t>675</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FD96BB" w14:textId="77777777" w:rsidR="00F34BD4" w:rsidRPr="00D94B5E" w:rsidRDefault="00F34BD4" w:rsidP="00B823C1">
            <w:pPr>
              <w:spacing w:after="0"/>
              <w:jc w:val="center"/>
              <w:rPr>
                <w:color w:val="000000"/>
                <w:szCs w:val="20"/>
                <w:lang w:eastAsia="pl-PL"/>
              </w:rPr>
            </w:pPr>
            <w:r w:rsidRPr="00D94B5E">
              <w:rPr>
                <w:rFonts w:cs="Calibri"/>
                <w:color w:val="000000"/>
                <w:szCs w:val="20"/>
              </w:rPr>
              <w:t>675</w:t>
            </w:r>
          </w:p>
        </w:tc>
        <w:tc>
          <w:tcPr>
            <w:tcW w:w="1410" w:type="dxa"/>
            <w:vMerge/>
            <w:tcBorders>
              <w:left w:val="single" w:sz="4" w:space="0" w:color="auto"/>
              <w:right w:val="single" w:sz="4" w:space="0" w:color="auto"/>
            </w:tcBorders>
            <w:shd w:val="clear" w:color="auto" w:fill="auto"/>
            <w:vAlign w:val="center"/>
            <w:hideMark/>
          </w:tcPr>
          <w:p w14:paraId="7D8C6E1B" w14:textId="77777777" w:rsidR="00F34BD4" w:rsidRPr="00D94B5E" w:rsidRDefault="00F34BD4" w:rsidP="00B823C1">
            <w:pPr>
              <w:spacing w:after="0"/>
              <w:jc w:val="center"/>
              <w:rPr>
                <w:color w:val="000000"/>
                <w:szCs w:val="20"/>
                <w:lang w:eastAsia="pl-PL"/>
              </w:rPr>
            </w:pPr>
          </w:p>
        </w:tc>
      </w:tr>
      <w:tr w:rsidR="00F34BD4" w:rsidRPr="004D43AB" w14:paraId="60E06198" w14:textId="77777777" w:rsidTr="00B823C1">
        <w:trPr>
          <w:trHeight w:val="283"/>
        </w:trPr>
        <w:tc>
          <w:tcPr>
            <w:tcW w:w="1394" w:type="dxa"/>
            <w:vMerge/>
            <w:tcBorders>
              <w:left w:val="single" w:sz="4" w:space="0" w:color="auto"/>
              <w:right w:val="single" w:sz="4" w:space="0" w:color="auto"/>
            </w:tcBorders>
            <w:shd w:val="clear" w:color="auto" w:fill="auto"/>
            <w:vAlign w:val="center"/>
            <w:hideMark/>
          </w:tcPr>
          <w:p w14:paraId="46F58780" w14:textId="77777777" w:rsidR="00F34BD4" w:rsidRPr="00D94B5E" w:rsidRDefault="00F34BD4" w:rsidP="00B823C1">
            <w:pPr>
              <w:spacing w:after="0"/>
              <w:jc w:val="center"/>
              <w:rPr>
                <w:color w:val="000000"/>
                <w:szCs w:val="20"/>
                <w:lang w:eastAsia="pl-PL"/>
              </w:rPr>
            </w:pPr>
          </w:p>
        </w:tc>
        <w:tc>
          <w:tcPr>
            <w:tcW w:w="669" w:type="dxa"/>
            <w:tcBorders>
              <w:top w:val="nil"/>
              <w:left w:val="nil"/>
              <w:bottom w:val="single" w:sz="4" w:space="0" w:color="auto"/>
              <w:right w:val="single" w:sz="4" w:space="0" w:color="auto"/>
            </w:tcBorders>
            <w:shd w:val="clear" w:color="auto" w:fill="auto"/>
            <w:noWrap/>
            <w:vAlign w:val="center"/>
          </w:tcPr>
          <w:p w14:paraId="545C0CAB" w14:textId="77777777" w:rsidR="00F34BD4" w:rsidRPr="00D94B5E" w:rsidRDefault="00F34BD4" w:rsidP="00B823C1">
            <w:pPr>
              <w:spacing w:after="0"/>
              <w:jc w:val="center"/>
              <w:rPr>
                <w:color w:val="000000"/>
                <w:szCs w:val="20"/>
                <w:lang w:eastAsia="pl-PL"/>
              </w:rPr>
            </w:pPr>
          </w:p>
        </w:tc>
        <w:tc>
          <w:tcPr>
            <w:tcW w:w="623" w:type="dxa"/>
            <w:tcBorders>
              <w:top w:val="nil"/>
              <w:left w:val="nil"/>
              <w:bottom w:val="single" w:sz="4" w:space="0" w:color="auto"/>
              <w:right w:val="single" w:sz="4" w:space="0" w:color="auto"/>
            </w:tcBorders>
            <w:shd w:val="clear" w:color="auto" w:fill="auto"/>
            <w:noWrap/>
            <w:vAlign w:val="center"/>
          </w:tcPr>
          <w:p w14:paraId="6A5EEDC9" w14:textId="77777777" w:rsidR="00F34BD4" w:rsidRPr="00D94B5E" w:rsidRDefault="00F34BD4" w:rsidP="00B823C1">
            <w:pPr>
              <w:spacing w:after="0"/>
              <w:jc w:val="center"/>
              <w:rPr>
                <w:color w:val="000000"/>
                <w:szCs w:val="20"/>
                <w:lang w:eastAsia="pl-PL"/>
              </w:rPr>
            </w:pPr>
          </w:p>
        </w:tc>
        <w:tc>
          <w:tcPr>
            <w:tcW w:w="623" w:type="dxa"/>
            <w:tcBorders>
              <w:top w:val="nil"/>
              <w:left w:val="nil"/>
              <w:bottom w:val="single" w:sz="4" w:space="0" w:color="auto"/>
              <w:right w:val="single" w:sz="4" w:space="0" w:color="auto"/>
            </w:tcBorders>
            <w:shd w:val="clear" w:color="auto" w:fill="auto"/>
            <w:noWrap/>
            <w:vAlign w:val="center"/>
          </w:tcPr>
          <w:p w14:paraId="56D526EA" w14:textId="77777777" w:rsidR="00F34BD4" w:rsidRPr="00D94B5E" w:rsidRDefault="00F34BD4" w:rsidP="00B823C1">
            <w:pPr>
              <w:spacing w:after="0"/>
              <w:jc w:val="center"/>
              <w:rPr>
                <w:color w:val="000000"/>
                <w:szCs w:val="20"/>
                <w:lang w:eastAsia="pl-PL"/>
              </w:rPr>
            </w:pPr>
          </w:p>
        </w:tc>
        <w:tc>
          <w:tcPr>
            <w:tcW w:w="623" w:type="dxa"/>
            <w:tcBorders>
              <w:top w:val="nil"/>
              <w:left w:val="nil"/>
              <w:bottom w:val="single" w:sz="4" w:space="0" w:color="auto"/>
              <w:right w:val="single" w:sz="4" w:space="0" w:color="auto"/>
            </w:tcBorders>
            <w:shd w:val="clear" w:color="auto" w:fill="auto"/>
            <w:noWrap/>
            <w:vAlign w:val="center"/>
          </w:tcPr>
          <w:p w14:paraId="4A42B241" w14:textId="77777777" w:rsidR="00F34BD4" w:rsidRPr="00D94B5E" w:rsidRDefault="00F34BD4" w:rsidP="00B823C1">
            <w:pPr>
              <w:spacing w:after="0"/>
              <w:jc w:val="center"/>
              <w:rPr>
                <w:color w:val="000000"/>
                <w:szCs w:val="20"/>
                <w:lang w:eastAsia="pl-PL"/>
              </w:rPr>
            </w:pPr>
            <w:r w:rsidRPr="00D94B5E">
              <w:rPr>
                <w:rFonts w:cs="Calibri"/>
                <w:color w:val="000000"/>
                <w:szCs w:val="20"/>
              </w:rPr>
              <w:t> </w:t>
            </w:r>
          </w:p>
        </w:tc>
        <w:tc>
          <w:tcPr>
            <w:tcW w:w="655" w:type="dxa"/>
            <w:tcBorders>
              <w:top w:val="nil"/>
              <w:left w:val="nil"/>
              <w:bottom w:val="single" w:sz="4" w:space="0" w:color="auto"/>
              <w:right w:val="single" w:sz="4" w:space="0" w:color="auto"/>
            </w:tcBorders>
            <w:shd w:val="clear" w:color="auto" w:fill="auto"/>
            <w:noWrap/>
            <w:vAlign w:val="center"/>
          </w:tcPr>
          <w:p w14:paraId="7BBD39E2" w14:textId="77777777" w:rsidR="00F34BD4" w:rsidRPr="00D94B5E" w:rsidRDefault="00F34BD4" w:rsidP="00B823C1">
            <w:pPr>
              <w:spacing w:after="0"/>
              <w:jc w:val="center"/>
              <w:rPr>
                <w:color w:val="000000"/>
                <w:szCs w:val="20"/>
                <w:lang w:eastAsia="pl-PL"/>
              </w:rPr>
            </w:pPr>
            <w:r w:rsidRPr="00D94B5E">
              <w:rPr>
                <w:rFonts w:cs="Calibri"/>
                <w:color w:val="000000"/>
                <w:szCs w:val="20"/>
              </w:rPr>
              <w:t> </w:t>
            </w:r>
          </w:p>
        </w:tc>
        <w:tc>
          <w:tcPr>
            <w:tcW w:w="655" w:type="dxa"/>
            <w:tcBorders>
              <w:top w:val="nil"/>
              <w:left w:val="nil"/>
              <w:bottom w:val="single" w:sz="4" w:space="0" w:color="auto"/>
              <w:right w:val="single" w:sz="4" w:space="0" w:color="auto"/>
            </w:tcBorders>
            <w:shd w:val="clear" w:color="auto" w:fill="auto"/>
            <w:noWrap/>
            <w:vAlign w:val="center"/>
          </w:tcPr>
          <w:p w14:paraId="25627DE0" w14:textId="77777777" w:rsidR="00F34BD4" w:rsidRPr="00D94B5E" w:rsidRDefault="00F34BD4" w:rsidP="00B823C1">
            <w:pPr>
              <w:spacing w:after="0"/>
              <w:jc w:val="center"/>
              <w:rPr>
                <w:color w:val="000000"/>
                <w:szCs w:val="20"/>
                <w:lang w:eastAsia="pl-PL"/>
              </w:rPr>
            </w:pPr>
            <w:r w:rsidRPr="00D94B5E">
              <w:rPr>
                <w:rFonts w:cs="Calibri"/>
                <w:color w:val="000000"/>
                <w:szCs w:val="20"/>
              </w:rPr>
              <w:t> </w:t>
            </w:r>
          </w:p>
        </w:tc>
        <w:tc>
          <w:tcPr>
            <w:tcW w:w="623" w:type="dxa"/>
            <w:tcBorders>
              <w:top w:val="single" w:sz="4" w:space="0" w:color="auto"/>
              <w:left w:val="single" w:sz="4" w:space="0" w:color="auto"/>
              <w:bottom w:val="single" w:sz="4" w:space="0" w:color="auto"/>
              <w:right w:val="single" w:sz="4" w:space="0" w:color="auto"/>
            </w:tcBorders>
            <w:vAlign w:val="center"/>
          </w:tcPr>
          <w:p w14:paraId="4E83CE12" w14:textId="77777777" w:rsidR="00F34BD4" w:rsidRPr="00D94B5E" w:rsidRDefault="00F34BD4" w:rsidP="00B823C1">
            <w:pPr>
              <w:spacing w:after="0"/>
              <w:jc w:val="center"/>
              <w:rPr>
                <w:color w:val="000000"/>
                <w:szCs w:val="20"/>
                <w:lang w:eastAsia="pl-PL"/>
              </w:rPr>
            </w:pPr>
            <w:r w:rsidRPr="00D94B5E">
              <w:rPr>
                <w:rFonts w:cs="Calibri"/>
                <w:color w:val="000000"/>
                <w:szCs w:val="20"/>
              </w:rPr>
              <w:t> </w:t>
            </w:r>
          </w:p>
        </w:tc>
        <w:tc>
          <w:tcPr>
            <w:tcW w:w="623" w:type="dxa"/>
            <w:tcBorders>
              <w:top w:val="single" w:sz="4" w:space="0" w:color="auto"/>
              <w:left w:val="single" w:sz="4" w:space="0" w:color="auto"/>
              <w:bottom w:val="single" w:sz="4" w:space="0" w:color="auto"/>
              <w:right w:val="single" w:sz="4" w:space="0" w:color="auto"/>
            </w:tcBorders>
            <w:vAlign w:val="center"/>
          </w:tcPr>
          <w:p w14:paraId="31855E42" w14:textId="77777777" w:rsidR="00F34BD4" w:rsidRPr="00D94B5E" w:rsidRDefault="00F34BD4" w:rsidP="00B823C1">
            <w:pPr>
              <w:spacing w:after="0"/>
              <w:jc w:val="center"/>
              <w:rPr>
                <w:color w:val="000000"/>
                <w:szCs w:val="20"/>
                <w:lang w:eastAsia="pl-PL"/>
              </w:rPr>
            </w:pPr>
            <w:r w:rsidRPr="00D94B5E">
              <w:rPr>
                <w:rFonts w:cs="Calibri"/>
                <w:color w:val="000000"/>
                <w:szCs w:val="20"/>
              </w:rPr>
              <w:t>650</w:t>
            </w:r>
          </w:p>
        </w:tc>
        <w:tc>
          <w:tcPr>
            <w:tcW w:w="623" w:type="dxa"/>
            <w:tcBorders>
              <w:top w:val="single" w:sz="4" w:space="0" w:color="auto"/>
              <w:left w:val="single" w:sz="4" w:space="0" w:color="auto"/>
              <w:bottom w:val="single" w:sz="4" w:space="0" w:color="auto"/>
              <w:right w:val="single" w:sz="4" w:space="0" w:color="auto"/>
            </w:tcBorders>
            <w:vAlign w:val="center"/>
          </w:tcPr>
          <w:p w14:paraId="647DDC05" w14:textId="77777777" w:rsidR="00F34BD4" w:rsidRPr="00D94B5E" w:rsidRDefault="00F34BD4" w:rsidP="00B823C1">
            <w:pPr>
              <w:spacing w:after="0"/>
              <w:jc w:val="center"/>
              <w:rPr>
                <w:color w:val="000000"/>
                <w:szCs w:val="20"/>
                <w:lang w:eastAsia="pl-PL"/>
              </w:rPr>
            </w:pPr>
            <w:r w:rsidRPr="00D94B5E">
              <w:rPr>
                <w:rFonts w:cs="Calibri"/>
                <w:color w:val="000000"/>
                <w:szCs w:val="20"/>
              </w:rPr>
              <w:t>650</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EA80C" w14:textId="77777777" w:rsidR="00F34BD4" w:rsidRPr="00D94B5E" w:rsidRDefault="00F34BD4" w:rsidP="00B823C1">
            <w:pPr>
              <w:spacing w:after="0"/>
              <w:jc w:val="center"/>
              <w:rPr>
                <w:color w:val="000000"/>
                <w:szCs w:val="20"/>
                <w:lang w:eastAsia="pl-PL"/>
              </w:rPr>
            </w:pPr>
            <w:r w:rsidRPr="00D94B5E">
              <w:rPr>
                <w:rFonts w:cs="Calibri"/>
                <w:color w:val="000000"/>
                <w:szCs w:val="20"/>
              </w:rPr>
              <w:t>650</w:t>
            </w:r>
          </w:p>
        </w:tc>
        <w:tc>
          <w:tcPr>
            <w:tcW w:w="1410" w:type="dxa"/>
            <w:vMerge/>
            <w:tcBorders>
              <w:left w:val="single" w:sz="4" w:space="0" w:color="auto"/>
              <w:right w:val="single" w:sz="4" w:space="0" w:color="auto"/>
            </w:tcBorders>
            <w:shd w:val="clear" w:color="auto" w:fill="auto"/>
            <w:vAlign w:val="center"/>
            <w:hideMark/>
          </w:tcPr>
          <w:p w14:paraId="6F31B457" w14:textId="77777777" w:rsidR="00F34BD4" w:rsidRPr="00D94B5E" w:rsidRDefault="00F34BD4" w:rsidP="00B823C1">
            <w:pPr>
              <w:spacing w:after="0"/>
              <w:jc w:val="center"/>
              <w:rPr>
                <w:color w:val="000000"/>
                <w:szCs w:val="20"/>
                <w:lang w:eastAsia="pl-PL"/>
              </w:rPr>
            </w:pPr>
          </w:p>
        </w:tc>
      </w:tr>
      <w:tr w:rsidR="00F34BD4" w:rsidRPr="004D43AB" w14:paraId="1BAAA3FF" w14:textId="77777777" w:rsidTr="00B823C1">
        <w:trPr>
          <w:trHeight w:val="283"/>
        </w:trPr>
        <w:tc>
          <w:tcPr>
            <w:tcW w:w="1394" w:type="dxa"/>
            <w:vMerge/>
            <w:tcBorders>
              <w:left w:val="single" w:sz="4" w:space="0" w:color="auto"/>
              <w:right w:val="single" w:sz="4" w:space="0" w:color="auto"/>
            </w:tcBorders>
            <w:vAlign w:val="center"/>
            <w:hideMark/>
          </w:tcPr>
          <w:p w14:paraId="1B0CE4F4" w14:textId="77777777" w:rsidR="00F34BD4" w:rsidRPr="00D94B5E" w:rsidRDefault="00F34BD4" w:rsidP="00B823C1">
            <w:pPr>
              <w:spacing w:after="0"/>
              <w:jc w:val="center"/>
              <w:rPr>
                <w:color w:val="000000"/>
                <w:szCs w:val="20"/>
                <w:lang w:eastAsia="pl-PL"/>
              </w:rPr>
            </w:pPr>
          </w:p>
        </w:tc>
        <w:tc>
          <w:tcPr>
            <w:tcW w:w="669" w:type="dxa"/>
            <w:tcBorders>
              <w:top w:val="nil"/>
              <w:left w:val="nil"/>
              <w:bottom w:val="single" w:sz="4" w:space="0" w:color="auto"/>
              <w:right w:val="single" w:sz="4" w:space="0" w:color="auto"/>
            </w:tcBorders>
            <w:shd w:val="clear" w:color="auto" w:fill="auto"/>
            <w:noWrap/>
            <w:vAlign w:val="center"/>
          </w:tcPr>
          <w:p w14:paraId="58B82B39" w14:textId="77777777" w:rsidR="00F34BD4" w:rsidRPr="00D94B5E" w:rsidRDefault="00F34BD4" w:rsidP="00B823C1">
            <w:pPr>
              <w:spacing w:after="0"/>
              <w:jc w:val="center"/>
              <w:rPr>
                <w:color w:val="000000"/>
                <w:szCs w:val="20"/>
                <w:lang w:eastAsia="pl-PL"/>
              </w:rPr>
            </w:pPr>
          </w:p>
        </w:tc>
        <w:tc>
          <w:tcPr>
            <w:tcW w:w="623" w:type="dxa"/>
            <w:tcBorders>
              <w:top w:val="nil"/>
              <w:left w:val="nil"/>
              <w:bottom w:val="single" w:sz="4" w:space="0" w:color="auto"/>
              <w:right w:val="single" w:sz="4" w:space="0" w:color="auto"/>
            </w:tcBorders>
            <w:shd w:val="clear" w:color="auto" w:fill="auto"/>
            <w:noWrap/>
            <w:vAlign w:val="center"/>
          </w:tcPr>
          <w:p w14:paraId="2C5F0798" w14:textId="77777777" w:rsidR="00F34BD4" w:rsidRPr="00D94B5E" w:rsidRDefault="00F34BD4" w:rsidP="00B823C1">
            <w:pPr>
              <w:spacing w:after="0"/>
              <w:jc w:val="center"/>
              <w:rPr>
                <w:color w:val="000000"/>
                <w:szCs w:val="20"/>
                <w:lang w:eastAsia="pl-PL"/>
              </w:rPr>
            </w:pPr>
          </w:p>
        </w:tc>
        <w:tc>
          <w:tcPr>
            <w:tcW w:w="623" w:type="dxa"/>
            <w:tcBorders>
              <w:top w:val="nil"/>
              <w:left w:val="nil"/>
              <w:bottom w:val="single" w:sz="4" w:space="0" w:color="auto"/>
              <w:right w:val="single" w:sz="4" w:space="0" w:color="auto"/>
            </w:tcBorders>
            <w:shd w:val="clear" w:color="auto" w:fill="auto"/>
            <w:noWrap/>
            <w:vAlign w:val="center"/>
          </w:tcPr>
          <w:p w14:paraId="54B31C8C" w14:textId="77777777" w:rsidR="00F34BD4" w:rsidRPr="00D94B5E" w:rsidRDefault="00F34BD4" w:rsidP="00B823C1">
            <w:pPr>
              <w:spacing w:after="0"/>
              <w:jc w:val="center"/>
              <w:rPr>
                <w:color w:val="000000"/>
                <w:szCs w:val="20"/>
                <w:lang w:eastAsia="pl-PL"/>
              </w:rPr>
            </w:pPr>
          </w:p>
        </w:tc>
        <w:tc>
          <w:tcPr>
            <w:tcW w:w="623" w:type="dxa"/>
            <w:tcBorders>
              <w:top w:val="nil"/>
              <w:left w:val="nil"/>
              <w:bottom w:val="single" w:sz="4" w:space="0" w:color="auto"/>
              <w:right w:val="single" w:sz="4" w:space="0" w:color="auto"/>
            </w:tcBorders>
            <w:shd w:val="clear" w:color="auto" w:fill="auto"/>
            <w:noWrap/>
            <w:vAlign w:val="center"/>
          </w:tcPr>
          <w:p w14:paraId="765B07E3" w14:textId="77777777" w:rsidR="00F34BD4" w:rsidRPr="00D94B5E" w:rsidRDefault="00F34BD4" w:rsidP="00B823C1">
            <w:pPr>
              <w:spacing w:after="0"/>
              <w:jc w:val="center"/>
              <w:rPr>
                <w:color w:val="000000"/>
                <w:szCs w:val="20"/>
                <w:lang w:eastAsia="pl-PL"/>
              </w:rPr>
            </w:pPr>
            <w:r w:rsidRPr="00D94B5E">
              <w:rPr>
                <w:rFonts w:cs="Calibri"/>
                <w:color w:val="000000"/>
                <w:szCs w:val="20"/>
              </w:rPr>
              <w:t> </w:t>
            </w:r>
          </w:p>
        </w:tc>
        <w:tc>
          <w:tcPr>
            <w:tcW w:w="655" w:type="dxa"/>
            <w:tcBorders>
              <w:top w:val="nil"/>
              <w:left w:val="nil"/>
              <w:bottom w:val="single" w:sz="4" w:space="0" w:color="auto"/>
              <w:right w:val="single" w:sz="4" w:space="0" w:color="auto"/>
            </w:tcBorders>
            <w:shd w:val="clear" w:color="auto" w:fill="auto"/>
            <w:noWrap/>
            <w:vAlign w:val="center"/>
          </w:tcPr>
          <w:p w14:paraId="1D4A9849" w14:textId="77777777" w:rsidR="00F34BD4" w:rsidRPr="00D94B5E" w:rsidRDefault="00F34BD4" w:rsidP="00B823C1">
            <w:pPr>
              <w:spacing w:after="0"/>
              <w:jc w:val="center"/>
              <w:rPr>
                <w:color w:val="000000"/>
                <w:szCs w:val="20"/>
                <w:lang w:eastAsia="pl-PL"/>
              </w:rPr>
            </w:pPr>
            <w:r w:rsidRPr="00D94B5E">
              <w:rPr>
                <w:rFonts w:cs="Calibri"/>
                <w:color w:val="000000"/>
                <w:szCs w:val="20"/>
              </w:rPr>
              <w:t> </w:t>
            </w:r>
          </w:p>
        </w:tc>
        <w:tc>
          <w:tcPr>
            <w:tcW w:w="655" w:type="dxa"/>
            <w:tcBorders>
              <w:top w:val="nil"/>
              <w:left w:val="nil"/>
              <w:bottom w:val="single" w:sz="4" w:space="0" w:color="auto"/>
              <w:right w:val="single" w:sz="4" w:space="0" w:color="auto"/>
            </w:tcBorders>
            <w:shd w:val="clear" w:color="auto" w:fill="auto"/>
            <w:noWrap/>
            <w:vAlign w:val="center"/>
          </w:tcPr>
          <w:p w14:paraId="51C0F612" w14:textId="77777777" w:rsidR="00F34BD4" w:rsidRPr="00D94B5E" w:rsidRDefault="00F34BD4" w:rsidP="00B823C1">
            <w:pPr>
              <w:spacing w:after="0"/>
              <w:jc w:val="center"/>
              <w:rPr>
                <w:color w:val="000000"/>
                <w:szCs w:val="20"/>
                <w:lang w:eastAsia="pl-PL"/>
              </w:rPr>
            </w:pPr>
            <w:r w:rsidRPr="00D94B5E">
              <w:rPr>
                <w:rFonts w:cs="Calibri"/>
                <w:color w:val="000000"/>
                <w:szCs w:val="20"/>
              </w:rPr>
              <w:t> </w:t>
            </w:r>
          </w:p>
        </w:tc>
        <w:tc>
          <w:tcPr>
            <w:tcW w:w="623" w:type="dxa"/>
            <w:tcBorders>
              <w:top w:val="single" w:sz="4" w:space="0" w:color="auto"/>
              <w:left w:val="single" w:sz="4" w:space="0" w:color="auto"/>
              <w:bottom w:val="single" w:sz="4" w:space="0" w:color="auto"/>
              <w:right w:val="single" w:sz="4" w:space="0" w:color="auto"/>
            </w:tcBorders>
            <w:vAlign w:val="center"/>
          </w:tcPr>
          <w:p w14:paraId="72ACEA4D" w14:textId="77777777" w:rsidR="00F34BD4" w:rsidRPr="00D94B5E" w:rsidRDefault="00F34BD4" w:rsidP="00B823C1">
            <w:pPr>
              <w:spacing w:after="0"/>
              <w:jc w:val="center"/>
              <w:rPr>
                <w:color w:val="000000"/>
                <w:szCs w:val="20"/>
                <w:lang w:eastAsia="pl-PL"/>
              </w:rPr>
            </w:pPr>
            <w:r w:rsidRPr="00D94B5E">
              <w:rPr>
                <w:rFonts w:cs="Calibri"/>
                <w:color w:val="000000"/>
                <w:szCs w:val="20"/>
              </w:rPr>
              <w:t>625</w:t>
            </w:r>
          </w:p>
        </w:tc>
        <w:tc>
          <w:tcPr>
            <w:tcW w:w="623" w:type="dxa"/>
            <w:tcBorders>
              <w:top w:val="single" w:sz="4" w:space="0" w:color="auto"/>
              <w:left w:val="single" w:sz="4" w:space="0" w:color="auto"/>
              <w:bottom w:val="single" w:sz="4" w:space="0" w:color="auto"/>
              <w:right w:val="single" w:sz="4" w:space="0" w:color="auto"/>
            </w:tcBorders>
            <w:vAlign w:val="center"/>
          </w:tcPr>
          <w:p w14:paraId="6EA57D09" w14:textId="77777777" w:rsidR="00F34BD4" w:rsidRPr="00D94B5E" w:rsidRDefault="00F34BD4" w:rsidP="00B823C1">
            <w:pPr>
              <w:spacing w:after="0"/>
              <w:jc w:val="center"/>
              <w:rPr>
                <w:color w:val="000000"/>
                <w:szCs w:val="20"/>
                <w:lang w:eastAsia="pl-PL"/>
              </w:rPr>
            </w:pPr>
            <w:r w:rsidRPr="00D94B5E">
              <w:rPr>
                <w:rFonts w:cs="Calibri"/>
                <w:color w:val="000000"/>
                <w:szCs w:val="20"/>
              </w:rPr>
              <w:t>625</w:t>
            </w:r>
          </w:p>
        </w:tc>
        <w:tc>
          <w:tcPr>
            <w:tcW w:w="623" w:type="dxa"/>
            <w:tcBorders>
              <w:top w:val="single" w:sz="4" w:space="0" w:color="auto"/>
              <w:left w:val="single" w:sz="4" w:space="0" w:color="auto"/>
              <w:bottom w:val="single" w:sz="4" w:space="0" w:color="auto"/>
              <w:right w:val="single" w:sz="4" w:space="0" w:color="auto"/>
            </w:tcBorders>
            <w:vAlign w:val="center"/>
          </w:tcPr>
          <w:p w14:paraId="5DBAC637" w14:textId="77777777" w:rsidR="00F34BD4" w:rsidRPr="00D94B5E" w:rsidRDefault="00F34BD4" w:rsidP="00B823C1">
            <w:pPr>
              <w:spacing w:after="0"/>
              <w:jc w:val="center"/>
              <w:rPr>
                <w:color w:val="000000"/>
                <w:szCs w:val="20"/>
                <w:lang w:eastAsia="pl-PL"/>
              </w:rPr>
            </w:pPr>
            <w:r w:rsidRPr="00D94B5E">
              <w:rPr>
                <w:rFonts w:cs="Calibri"/>
                <w:color w:val="000000"/>
                <w:szCs w:val="20"/>
              </w:rPr>
              <w:t>625</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3273C" w14:textId="77777777" w:rsidR="00F34BD4" w:rsidRPr="00D94B5E" w:rsidRDefault="00F34BD4" w:rsidP="00B823C1">
            <w:pPr>
              <w:spacing w:after="0"/>
              <w:jc w:val="center"/>
              <w:rPr>
                <w:color w:val="000000"/>
                <w:szCs w:val="20"/>
                <w:lang w:eastAsia="pl-PL"/>
              </w:rPr>
            </w:pPr>
            <w:r w:rsidRPr="00D94B5E">
              <w:rPr>
                <w:rFonts w:cs="Calibri"/>
                <w:color w:val="000000"/>
                <w:szCs w:val="20"/>
              </w:rPr>
              <w:t>625</w:t>
            </w:r>
          </w:p>
        </w:tc>
        <w:tc>
          <w:tcPr>
            <w:tcW w:w="1410" w:type="dxa"/>
            <w:vMerge/>
            <w:tcBorders>
              <w:left w:val="single" w:sz="4" w:space="0" w:color="auto"/>
              <w:right w:val="single" w:sz="4" w:space="0" w:color="auto"/>
            </w:tcBorders>
            <w:shd w:val="clear" w:color="auto" w:fill="auto"/>
            <w:vAlign w:val="center"/>
            <w:hideMark/>
          </w:tcPr>
          <w:p w14:paraId="4E152148" w14:textId="77777777" w:rsidR="00F34BD4" w:rsidRPr="00D94B5E" w:rsidRDefault="00F34BD4" w:rsidP="00B823C1">
            <w:pPr>
              <w:spacing w:after="0"/>
              <w:jc w:val="center"/>
              <w:rPr>
                <w:color w:val="000000"/>
                <w:szCs w:val="20"/>
                <w:lang w:eastAsia="pl-PL"/>
              </w:rPr>
            </w:pPr>
          </w:p>
        </w:tc>
      </w:tr>
      <w:tr w:rsidR="00F34BD4" w:rsidRPr="004D43AB" w14:paraId="0F1E927F" w14:textId="77777777" w:rsidTr="00B823C1">
        <w:trPr>
          <w:trHeight w:val="283"/>
        </w:trPr>
        <w:tc>
          <w:tcPr>
            <w:tcW w:w="1394" w:type="dxa"/>
            <w:vMerge/>
            <w:tcBorders>
              <w:left w:val="single" w:sz="4" w:space="0" w:color="auto"/>
              <w:right w:val="single" w:sz="4" w:space="0" w:color="auto"/>
            </w:tcBorders>
            <w:vAlign w:val="center"/>
            <w:hideMark/>
          </w:tcPr>
          <w:p w14:paraId="7C622322" w14:textId="77777777" w:rsidR="00F34BD4" w:rsidRPr="00D94B5E" w:rsidRDefault="00F34BD4" w:rsidP="00B823C1">
            <w:pPr>
              <w:spacing w:after="0"/>
              <w:jc w:val="center"/>
              <w:rPr>
                <w:color w:val="000000"/>
                <w:szCs w:val="20"/>
                <w:lang w:eastAsia="pl-PL"/>
              </w:rPr>
            </w:pPr>
          </w:p>
        </w:tc>
        <w:tc>
          <w:tcPr>
            <w:tcW w:w="669" w:type="dxa"/>
            <w:tcBorders>
              <w:top w:val="nil"/>
              <w:left w:val="nil"/>
              <w:bottom w:val="single" w:sz="4" w:space="0" w:color="auto"/>
              <w:right w:val="single" w:sz="4" w:space="0" w:color="auto"/>
            </w:tcBorders>
            <w:shd w:val="clear" w:color="auto" w:fill="auto"/>
            <w:noWrap/>
            <w:vAlign w:val="center"/>
          </w:tcPr>
          <w:p w14:paraId="5BEAC3B7" w14:textId="77777777" w:rsidR="00F34BD4" w:rsidRPr="00D94B5E" w:rsidRDefault="00F34BD4" w:rsidP="00B823C1">
            <w:pPr>
              <w:spacing w:after="0"/>
              <w:jc w:val="center"/>
              <w:rPr>
                <w:color w:val="000000"/>
                <w:szCs w:val="20"/>
                <w:lang w:eastAsia="pl-PL"/>
              </w:rPr>
            </w:pPr>
          </w:p>
        </w:tc>
        <w:tc>
          <w:tcPr>
            <w:tcW w:w="623" w:type="dxa"/>
            <w:tcBorders>
              <w:top w:val="nil"/>
              <w:left w:val="nil"/>
              <w:bottom w:val="single" w:sz="4" w:space="0" w:color="auto"/>
              <w:right w:val="single" w:sz="4" w:space="0" w:color="auto"/>
            </w:tcBorders>
            <w:shd w:val="clear" w:color="auto" w:fill="auto"/>
            <w:noWrap/>
            <w:vAlign w:val="center"/>
          </w:tcPr>
          <w:p w14:paraId="586320C4" w14:textId="77777777" w:rsidR="00F34BD4" w:rsidRPr="00D94B5E" w:rsidRDefault="00F34BD4" w:rsidP="00B823C1">
            <w:pPr>
              <w:spacing w:after="0"/>
              <w:jc w:val="center"/>
              <w:rPr>
                <w:color w:val="000000"/>
                <w:szCs w:val="20"/>
                <w:lang w:eastAsia="pl-PL"/>
              </w:rPr>
            </w:pPr>
          </w:p>
        </w:tc>
        <w:tc>
          <w:tcPr>
            <w:tcW w:w="623" w:type="dxa"/>
            <w:tcBorders>
              <w:top w:val="nil"/>
              <w:left w:val="nil"/>
              <w:bottom w:val="single" w:sz="4" w:space="0" w:color="auto"/>
              <w:right w:val="single" w:sz="4" w:space="0" w:color="auto"/>
            </w:tcBorders>
            <w:shd w:val="clear" w:color="auto" w:fill="auto"/>
            <w:noWrap/>
            <w:vAlign w:val="center"/>
          </w:tcPr>
          <w:p w14:paraId="6DECDE82" w14:textId="77777777" w:rsidR="00F34BD4" w:rsidRPr="00D94B5E" w:rsidRDefault="00F34BD4" w:rsidP="00B823C1">
            <w:pPr>
              <w:spacing w:after="0"/>
              <w:jc w:val="center"/>
              <w:rPr>
                <w:color w:val="000000"/>
                <w:szCs w:val="20"/>
                <w:lang w:eastAsia="pl-PL"/>
              </w:rPr>
            </w:pPr>
          </w:p>
        </w:tc>
        <w:tc>
          <w:tcPr>
            <w:tcW w:w="623" w:type="dxa"/>
            <w:tcBorders>
              <w:top w:val="nil"/>
              <w:left w:val="nil"/>
              <w:bottom w:val="single" w:sz="4" w:space="0" w:color="auto"/>
              <w:right w:val="single" w:sz="4" w:space="0" w:color="auto"/>
            </w:tcBorders>
            <w:shd w:val="clear" w:color="auto" w:fill="auto"/>
            <w:noWrap/>
            <w:vAlign w:val="center"/>
          </w:tcPr>
          <w:p w14:paraId="3321233A" w14:textId="77777777" w:rsidR="00F34BD4" w:rsidRPr="00D94B5E" w:rsidRDefault="00F34BD4" w:rsidP="00B823C1">
            <w:pPr>
              <w:spacing w:after="0"/>
              <w:jc w:val="center"/>
              <w:rPr>
                <w:color w:val="000000"/>
                <w:szCs w:val="20"/>
                <w:lang w:eastAsia="pl-PL"/>
              </w:rPr>
            </w:pPr>
            <w:r w:rsidRPr="00D94B5E">
              <w:rPr>
                <w:rFonts w:cs="Calibri"/>
                <w:color w:val="000000"/>
                <w:szCs w:val="20"/>
              </w:rPr>
              <w:t> </w:t>
            </w:r>
          </w:p>
        </w:tc>
        <w:tc>
          <w:tcPr>
            <w:tcW w:w="655" w:type="dxa"/>
            <w:tcBorders>
              <w:top w:val="nil"/>
              <w:left w:val="nil"/>
              <w:bottom w:val="single" w:sz="4" w:space="0" w:color="auto"/>
              <w:right w:val="single" w:sz="4" w:space="0" w:color="auto"/>
            </w:tcBorders>
            <w:shd w:val="clear" w:color="auto" w:fill="auto"/>
            <w:noWrap/>
            <w:vAlign w:val="center"/>
          </w:tcPr>
          <w:p w14:paraId="1951479B" w14:textId="77777777" w:rsidR="00F34BD4" w:rsidRPr="00D94B5E" w:rsidRDefault="00F34BD4" w:rsidP="00B823C1">
            <w:pPr>
              <w:spacing w:after="0"/>
              <w:jc w:val="center"/>
              <w:rPr>
                <w:color w:val="000000"/>
                <w:szCs w:val="20"/>
                <w:lang w:eastAsia="pl-PL"/>
              </w:rPr>
            </w:pPr>
            <w:r w:rsidRPr="00D94B5E">
              <w:rPr>
                <w:rFonts w:cs="Calibri"/>
                <w:color w:val="000000"/>
                <w:szCs w:val="20"/>
              </w:rPr>
              <w:t> </w:t>
            </w:r>
          </w:p>
        </w:tc>
        <w:tc>
          <w:tcPr>
            <w:tcW w:w="655" w:type="dxa"/>
            <w:tcBorders>
              <w:top w:val="nil"/>
              <w:left w:val="nil"/>
              <w:bottom w:val="single" w:sz="4" w:space="0" w:color="auto"/>
              <w:right w:val="single" w:sz="4" w:space="0" w:color="auto"/>
            </w:tcBorders>
            <w:shd w:val="clear" w:color="auto" w:fill="auto"/>
            <w:noWrap/>
            <w:vAlign w:val="center"/>
          </w:tcPr>
          <w:p w14:paraId="5E34CF7C" w14:textId="77777777" w:rsidR="00F34BD4" w:rsidRPr="00D94B5E" w:rsidRDefault="00F34BD4" w:rsidP="00B823C1">
            <w:pPr>
              <w:spacing w:after="0"/>
              <w:jc w:val="center"/>
              <w:rPr>
                <w:color w:val="000000"/>
                <w:szCs w:val="20"/>
                <w:lang w:eastAsia="pl-PL"/>
              </w:rPr>
            </w:pPr>
            <w:r w:rsidRPr="00D94B5E">
              <w:rPr>
                <w:rFonts w:cs="Calibri"/>
                <w:color w:val="000000"/>
                <w:szCs w:val="20"/>
              </w:rPr>
              <w:t>601</w:t>
            </w:r>
          </w:p>
        </w:tc>
        <w:tc>
          <w:tcPr>
            <w:tcW w:w="623" w:type="dxa"/>
            <w:tcBorders>
              <w:top w:val="single" w:sz="4" w:space="0" w:color="auto"/>
              <w:left w:val="single" w:sz="4" w:space="0" w:color="auto"/>
              <w:bottom w:val="single" w:sz="4" w:space="0" w:color="auto"/>
              <w:right w:val="single" w:sz="4" w:space="0" w:color="auto"/>
            </w:tcBorders>
            <w:vAlign w:val="center"/>
          </w:tcPr>
          <w:p w14:paraId="2B08C182" w14:textId="77777777" w:rsidR="00F34BD4" w:rsidRPr="00D94B5E" w:rsidRDefault="00F34BD4" w:rsidP="00B823C1">
            <w:pPr>
              <w:spacing w:after="0"/>
              <w:jc w:val="center"/>
              <w:rPr>
                <w:color w:val="000000"/>
                <w:szCs w:val="20"/>
                <w:lang w:eastAsia="pl-PL"/>
              </w:rPr>
            </w:pPr>
            <w:r w:rsidRPr="00D94B5E">
              <w:rPr>
                <w:rFonts w:cs="Calibri"/>
                <w:color w:val="000000"/>
                <w:szCs w:val="20"/>
              </w:rPr>
              <w:t>601</w:t>
            </w:r>
          </w:p>
        </w:tc>
        <w:tc>
          <w:tcPr>
            <w:tcW w:w="623" w:type="dxa"/>
            <w:tcBorders>
              <w:top w:val="single" w:sz="4" w:space="0" w:color="auto"/>
              <w:left w:val="single" w:sz="4" w:space="0" w:color="auto"/>
              <w:bottom w:val="single" w:sz="4" w:space="0" w:color="auto"/>
              <w:right w:val="single" w:sz="4" w:space="0" w:color="auto"/>
            </w:tcBorders>
            <w:vAlign w:val="center"/>
          </w:tcPr>
          <w:p w14:paraId="09F45C91" w14:textId="77777777" w:rsidR="00F34BD4" w:rsidRPr="00D94B5E" w:rsidRDefault="00F34BD4" w:rsidP="00B823C1">
            <w:pPr>
              <w:spacing w:after="0"/>
              <w:jc w:val="center"/>
              <w:rPr>
                <w:color w:val="000000"/>
                <w:szCs w:val="20"/>
                <w:lang w:eastAsia="pl-PL"/>
              </w:rPr>
            </w:pPr>
            <w:r w:rsidRPr="00D94B5E">
              <w:rPr>
                <w:rFonts w:cs="Calibri"/>
                <w:color w:val="000000"/>
                <w:szCs w:val="20"/>
              </w:rPr>
              <w:t>601</w:t>
            </w:r>
          </w:p>
        </w:tc>
        <w:tc>
          <w:tcPr>
            <w:tcW w:w="623" w:type="dxa"/>
            <w:tcBorders>
              <w:top w:val="single" w:sz="4" w:space="0" w:color="auto"/>
              <w:left w:val="single" w:sz="4" w:space="0" w:color="auto"/>
              <w:bottom w:val="single" w:sz="4" w:space="0" w:color="auto"/>
              <w:right w:val="single" w:sz="4" w:space="0" w:color="auto"/>
            </w:tcBorders>
            <w:vAlign w:val="center"/>
          </w:tcPr>
          <w:p w14:paraId="7E8FCCF6" w14:textId="77777777" w:rsidR="00F34BD4" w:rsidRPr="00D94B5E" w:rsidRDefault="00F34BD4" w:rsidP="00B823C1">
            <w:pPr>
              <w:spacing w:after="0"/>
              <w:jc w:val="center"/>
              <w:rPr>
                <w:color w:val="000000"/>
                <w:szCs w:val="20"/>
                <w:lang w:eastAsia="pl-PL"/>
              </w:rPr>
            </w:pPr>
            <w:r w:rsidRPr="00D94B5E">
              <w:rPr>
                <w:rFonts w:cs="Calibri"/>
                <w:color w:val="000000"/>
                <w:szCs w:val="20"/>
              </w:rPr>
              <w:t>601</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B6F299" w14:textId="77777777" w:rsidR="00F34BD4" w:rsidRPr="00D94B5E" w:rsidRDefault="00F34BD4" w:rsidP="00B823C1">
            <w:pPr>
              <w:spacing w:after="0"/>
              <w:jc w:val="center"/>
              <w:rPr>
                <w:color w:val="000000"/>
                <w:szCs w:val="20"/>
                <w:lang w:eastAsia="pl-PL"/>
              </w:rPr>
            </w:pPr>
            <w:r w:rsidRPr="00D94B5E">
              <w:rPr>
                <w:rFonts w:cs="Calibri"/>
                <w:color w:val="000000"/>
                <w:szCs w:val="20"/>
              </w:rPr>
              <w:t>601</w:t>
            </w:r>
          </w:p>
        </w:tc>
        <w:tc>
          <w:tcPr>
            <w:tcW w:w="1410" w:type="dxa"/>
            <w:vMerge/>
            <w:tcBorders>
              <w:left w:val="single" w:sz="4" w:space="0" w:color="auto"/>
              <w:right w:val="single" w:sz="4" w:space="0" w:color="auto"/>
            </w:tcBorders>
            <w:vAlign w:val="center"/>
            <w:hideMark/>
          </w:tcPr>
          <w:p w14:paraId="1E85D3E4" w14:textId="77777777" w:rsidR="00F34BD4" w:rsidRPr="00D94B5E" w:rsidRDefault="00F34BD4" w:rsidP="00B823C1">
            <w:pPr>
              <w:spacing w:after="0"/>
              <w:jc w:val="center"/>
              <w:rPr>
                <w:color w:val="000000"/>
                <w:szCs w:val="20"/>
                <w:lang w:eastAsia="pl-PL"/>
              </w:rPr>
            </w:pPr>
          </w:p>
        </w:tc>
      </w:tr>
      <w:tr w:rsidR="00F34BD4" w:rsidRPr="004D43AB" w14:paraId="36ACFE77" w14:textId="77777777" w:rsidTr="00B823C1">
        <w:trPr>
          <w:trHeight w:val="283"/>
        </w:trPr>
        <w:tc>
          <w:tcPr>
            <w:tcW w:w="1394" w:type="dxa"/>
            <w:vMerge/>
            <w:tcBorders>
              <w:left w:val="single" w:sz="4" w:space="0" w:color="auto"/>
              <w:right w:val="single" w:sz="4" w:space="0" w:color="auto"/>
            </w:tcBorders>
            <w:vAlign w:val="center"/>
            <w:hideMark/>
          </w:tcPr>
          <w:p w14:paraId="22E6BC40" w14:textId="77777777" w:rsidR="00F34BD4" w:rsidRPr="00D94B5E" w:rsidRDefault="00F34BD4" w:rsidP="00B823C1">
            <w:pPr>
              <w:spacing w:after="0"/>
              <w:jc w:val="center"/>
              <w:rPr>
                <w:color w:val="000000"/>
                <w:szCs w:val="20"/>
                <w:lang w:eastAsia="pl-PL"/>
              </w:rPr>
            </w:pPr>
          </w:p>
        </w:tc>
        <w:tc>
          <w:tcPr>
            <w:tcW w:w="669" w:type="dxa"/>
            <w:tcBorders>
              <w:top w:val="nil"/>
              <w:left w:val="nil"/>
              <w:bottom w:val="single" w:sz="4" w:space="0" w:color="auto"/>
              <w:right w:val="single" w:sz="4" w:space="0" w:color="auto"/>
            </w:tcBorders>
            <w:shd w:val="clear" w:color="auto" w:fill="auto"/>
            <w:noWrap/>
            <w:vAlign w:val="center"/>
          </w:tcPr>
          <w:p w14:paraId="08D099E0" w14:textId="77777777" w:rsidR="00F34BD4" w:rsidRPr="00D94B5E" w:rsidRDefault="00F34BD4" w:rsidP="00B823C1">
            <w:pPr>
              <w:spacing w:after="0"/>
              <w:jc w:val="center"/>
              <w:rPr>
                <w:color w:val="000000"/>
                <w:szCs w:val="20"/>
                <w:lang w:eastAsia="pl-PL"/>
              </w:rPr>
            </w:pPr>
          </w:p>
        </w:tc>
        <w:tc>
          <w:tcPr>
            <w:tcW w:w="623" w:type="dxa"/>
            <w:tcBorders>
              <w:top w:val="nil"/>
              <w:left w:val="nil"/>
              <w:bottom w:val="single" w:sz="4" w:space="0" w:color="auto"/>
              <w:right w:val="single" w:sz="4" w:space="0" w:color="auto"/>
            </w:tcBorders>
            <w:shd w:val="clear" w:color="auto" w:fill="auto"/>
            <w:noWrap/>
            <w:vAlign w:val="center"/>
          </w:tcPr>
          <w:p w14:paraId="45ABE9CF" w14:textId="77777777" w:rsidR="00F34BD4" w:rsidRPr="00D94B5E" w:rsidRDefault="00F34BD4" w:rsidP="00B823C1">
            <w:pPr>
              <w:spacing w:after="0"/>
              <w:jc w:val="center"/>
              <w:rPr>
                <w:color w:val="000000"/>
                <w:szCs w:val="20"/>
                <w:lang w:eastAsia="pl-PL"/>
              </w:rPr>
            </w:pPr>
          </w:p>
        </w:tc>
        <w:tc>
          <w:tcPr>
            <w:tcW w:w="623" w:type="dxa"/>
            <w:tcBorders>
              <w:top w:val="nil"/>
              <w:left w:val="nil"/>
              <w:bottom w:val="single" w:sz="4" w:space="0" w:color="auto"/>
              <w:right w:val="single" w:sz="4" w:space="0" w:color="auto"/>
            </w:tcBorders>
            <w:shd w:val="clear" w:color="auto" w:fill="auto"/>
            <w:noWrap/>
            <w:vAlign w:val="center"/>
          </w:tcPr>
          <w:p w14:paraId="6F359651" w14:textId="77777777" w:rsidR="00F34BD4" w:rsidRPr="00D94B5E" w:rsidRDefault="00F34BD4" w:rsidP="00B823C1">
            <w:pPr>
              <w:spacing w:after="0"/>
              <w:jc w:val="center"/>
              <w:rPr>
                <w:color w:val="000000"/>
                <w:szCs w:val="20"/>
                <w:lang w:eastAsia="pl-PL"/>
              </w:rPr>
            </w:pPr>
          </w:p>
        </w:tc>
        <w:tc>
          <w:tcPr>
            <w:tcW w:w="623" w:type="dxa"/>
            <w:tcBorders>
              <w:top w:val="nil"/>
              <w:left w:val="nil"/>
              <w:bottom w:val="single" w:sz="4" w:space="0" w:color="auto"/>
              <w:right w:val="single" w:sz="4" w:space="0" w:color="auto"/>
            </w:tcBorders>
            <w:shd w:val="clear" w:color="auto" w:fill="auto"/>
            <w:noWrap/>
            <w:vAlign w:val="center"/>
          </w:tcPr>
          <w:p w14:paraId="75D4A5BF" w14:textId="77777777" w:rsidR="00F34BD4" w:rsidRPr="00D94B5E" w:rsidRDefault="00F34BD4" w:rsidP="00B823C1">
            <w:pPr>
              <w:spacing w:after="0"/>
              <w:jc w:val="center"/>
              <w:rPr>
                <w:color w:val="000000"/>
                <w:szCs w:val="20"/>
                <w:lang w:eastAsia="pl-PL"/>
              </w:rPr>
            </w:pPr>
            <w:r w:rsidRPr="00D94B5E">
              <w:rPr>
                <w:rFonts w:cs="Calibri"/>
                <w:color w:val="000000"/>
                <w:szCs w:val="20"/>
              </w:rPr>
              <w:t> </w:t>
            </w:r>
          </w:p>
        </w:tc>
        <w:tc>
          <w:tcPr>
            <w:tcW w:w="655" w:type="dxa"/>
            <w:tcBorders>
              <w:top w:val="nil"/>
              <w:left w:val="nil"/>
              <w:bottom w:val="single" w:sz="4" w:space="0" w:color="auto"/>
              <w:right w:val="single" w:sz="4" w:space="0" w:color="auto"/>
            </w:tcBorders>
            <w:shd w:val="clear" w:color="auto" w:fill="auto"/>
            <w:noWrap/>
            <w:vAlign w:val="center"/>
          </w:tcPr>
          <w:p w14:paraId="79E78832" w14:textId="77777777" w:rsidR="00F34BD4" w:rsidRPr="00D94B5E" w:rsidRDefault="00F34BD4" w:rsidP="00B823C1">
            <w:pPr>
              <w:spacing w:after="0"/>
              <w:jc w:val="center"/>
              <w:rPr>
                <w:color w:val="000000"/>
                <w:szCs w:val="20"/>
                <w:lang w:eastAsia="pl-PL"/>
              </w:rPr>
            </w:pPr>
            <w:r w:rsidRPr="00D94B5E">
              <w:rPr>
                <w:rFonts w:cs="Calibri"/>
                <w:color w:val="000000"/>
                <w:szCs w:val="20"/>
              </w:rPr>
              <w:t>576</w:t>
            </w:r>
          </w:p>
        </w:tc>
        <w:tc>
          <w:tcPr>
            <w:tcW w:w="655" w:type="dxa"/>
            <w:tcBorders>
              <w:top w:val="nil"/>
              <w:left w:val="nil"/>
              <w:bottom w:val="single" w:sz="4" w:space="0" w:color="auto"/>
              <w:right w:val="single" w:sz="4" w:space="0" w:color="auto"/>
            </w:tcBorders>
            <w:shd w:val="clear" w:color="auto" w:fill="auto"/>
            <w:noWrap/>
            <w:vAlign w:val="center"/>
          </w:tcPr>
          <w:p w14:paraId="4260D116" w14:textId="77777777" w:rsidR="00F34BD4" w:rsidRPr="00D94B5E" w:rsidRDefault="00F34BD4" w:rsidP="00B823C1">
            <w:pPr>
              <w:spacing w:after="0"/>
              <w:jc w:val="center"/>
              <w:rPr>
                <w:color w:val="000000"/>
                <w:szCs w:val="20"/>
                <w:lang w:eastAsia="pl-PL"/>
              </w:rPr>
            </w:pPr>
            <w:r w:rsidRPr="00D94B5E">
              <w:rPr>
                <w:rFonts w:cs="Calibri"/>
                <w:color w:val="000000"/>
                <w:szCs w:val="20"/>
              </w:rPr>
              <w:t>576</w:t>
            </w:r>
          </w:p>
        </w:tc>
        <w:tc>
          <w:tcPr>
            <w:tcW w:w="623" w:type="dxa"/>
            <w:tcBorders>
              <w:top w:val="single" w:sz="4" w:space="0" w:color="auto"/>
              <w:left w:val="single" w:sz="4" w:space="0" w:color="auto"/>
              <w:bottom w:val="single" w:sz="4" w:space="0" w:color="auto"/>
              <w:right w:val="single" w:sz="4" w:space="0" w:color="auto"/>
            </w:tcBorders>
            <w:vAlign w:val="center"/>
          </w:tcPr>
          <w:p w14:paraId="17421AA0" w14:textId="77777777" w:rsidR="00F34BD4" w:rsidRPr="00D94B5E" w:rsidRDefault="00F34BD4" w:rsidP="00B823C1">
            <w:pPr>
              <w:spacing w:after="0"/>
              <w:jc w:val="center"/>
              <w:rPr>
                <w:color w:val="000000"/>
                <w:szCs w:val="20"/>
                <w:lang w:eastAsia="pl-PL"/>
              </w:rPr>
            </w:pPr>
            <w:r w:rsidRPr="00D94B5E">
              <w:rPr>
                <w:rFonts w:cs="Calibri"/>
                <w:color w:val="000000"/>
                <w:szCs w:val="20"/>
              </w:rPr>
              <w:t>576</w:t>
            </w:r>
          </w:p>
        </w:tc>
        <w:tc>
          <w:tcPr>
            <w:tcW w:w="623" w:type="dxa"/>
            <w:tcBorders>
              <w:top w:val="single" w:sz="4" w:space="0" w:color="auto"/>
              <w:left w:val="single" w:sz="4" w:space="0" w:color="auto"/>
              <w:bottom w:val="single" w:sz="4" w:space="0" w:color="auto"/>
              <w:right w:val="single" w:sz="4" w:space="0" w:color="auto"/>
            </w:tcBorders>
            <w:vAlign w:val="center"/>
          </w:tcPr>
          <w:p w14:paraId="5E043999" w14:textId="77777777" w:rsidR="00F34BD4" w:rsidRPr="00D94B5E" w:rsidRDefault="00F34BD4" w:rsidP="00B823C1">
            <w:pPr>
              <w:spacing w:after="0"/>
              <w:jc w:val="center"/>
              <w:rPr>
                <w:color w:val="000000"/>
                <w:szCs w:val="20"/>
                <w:lang w:eastAsia="pl-PL"/>
              </w:rPr>
            </w:pPr>
            <w:r w:rsidRPr="00D94B5E">
              <w:rPr>
                <w:rFonts w:cs="Calibri"/>
                <w:color w:val="000000"/>
                <w:szCs w:val="20"/>
              </w:rPr>
              <w:t>576</w:t>
            </w:r>
          </w:p>
        </w:tc>
        <w:tc>
          <w:tcPr>
            <w:tcW w:w="623" w:type="dxa"/>
            <w:tcBorders>
              <w:top w:val="single" w:sz="4" w:space="0" w:color="auto"/>
              <w:left w:val="single" w:sz="4" w:space="0" w:color="auto"/>
              <w:bottom w:val="single" w:sz="4" w:space="0" w:color="auto"/>
              <w:right w:val="single" w:sz="4" w:space="0" w:color="auto"/>
            </w:tcBorders>
            <w:vAlign w:val="center"/>
          </w:tcPr>
          <w:p w14:paraId="63229BBD" w14:textId="77777777" w:rsidR="00F34BD4" w:rsidRPr="00D94B5E" w:rsidRDefault="00F34BD4" w:rsidP="00B823C1">
            <w:pPr>
              <w:spacing w:after="0"/>
              <w:jc w:val="center"/>
              <w:rPr>
                <w:color w:val="000000"/>
                <w:szCs w:val="20"/>
                <w:lang w:eastAsia="pl-PL"/>
              </w:rPr>
            </w:pPr>
            <w:r w:rsidRPr="00D94B5E">
              <w:rPr>
                <w:rFonts w:cs="Calibri"/>
                <w:color w:val="000000"/>
                <w:szCs w:val="20"/>
              </w:rPr>
              <w:t>576</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BD96D9" w14:textId="77777777" w:rsidR="00F34BD4" w:rsidRPr="00D94B5E" w:rsidRDefault="00F34BD4" w:rsidP="00B823C1">
            <w:pPr>
              <w:spacing w:after="0"/>
              <w:jc w:val="center"/>
              <w:rPr>
                <w:color w:val="000000"/>
                <w:szCs w:val="20"/>
                <w:lang w:eastAsia="pl-PL"/>
              </w:rPr>
            </w:pPr>
            <w:r w:rsidRPr="00D94B5E">
              <w:rPr>
                <w:rFonts w:cs="Calibri"/>
                <w:color w:val="000000"/>
                <w:szCs w:val="20"/>
              </w:rPr>
              <w:t>576</w:t>
            </w:r>
          </w:p>
        </w:tc>
        <w:tc>
          <w:tcPr>
            <w:tcW w:w="1410" w:type="dxa"/>
            <w:vMerge/>
            <w:tcBorders>
              <w:left w:val="single" w:sz="4" w:space="0" w:color="auto"/>
              <w:right w:val="single" w:sz="4" w:space="0" w:color="auto"/>
            </w:tcBorders>
            <w:shd w:val="clear" w:color="auto" w:fill="auto"/>
            <w:vAlign w:val="center"/>
            <w:hideMark/>
          </w:tcPr>
          <w:p w14:paraId="2150DFF8" w14:textId="77777777" w:rsidR="00F34BD4" w:rsidRPr="00D94B5E" w:rsidRDefault="00F34BD4" w:rsidP="00B823C1">
            <w:pPr>
              <w:spacing w:after="0"/>
              <w:jc w:val="center"/>
              <w:rPr>
                <w:color w:val="000000"/>
                <w:szCs w:val="20"/>
                <w:lang w:eastAsia="pl-PL"/>
              </w:rPr>
            </w:pPr>
          </w:p>
        </w:tc>
      </w:tr>
      <w:tr w:rsidR="00F34BD4" w:rsidRPr="004D43AB" w14:paraId="70460D8E" w14:textId="77777777" w:rsidTr="00B823C1">
        <w:trPr>
          <w:trHeight w:val="283"/>
        </w:trPr>
        <w:tc>
          <w:tcPr>
            <w:tcW w:w="1394" w:type="dxa"/>
            <w:vMerge/>
            <w:tcBorders>
              <w:left w:val="single" w:sz="4" w:space="0" w:color="auto"/>
              <w:right w:val="single" w:sz="4" w:space="0" w:color="auto"/>
            </w:tcBorders>
            <w:vAlign w:val="center"/>
            <w:hideMark/>
          </w:tcPr>
          <w:p w14:paraId="25AAFF1D" w14:textId="77777777" w:rsidR="00F34BD4" w:rsidRPr="00D94B5E" w:rsidRDefault="00F34BD4" w:rsidP="00B823C1">
            <w:pPr>
              <w:spacing w:after="0"/>
              <w:jc w:val="center"/>
              <w:rPr>
                <w:color w:val="000000"/>
                <w:szCs w:val="20"/>
                <w:lang w:eastAsia="pl-PL"/>
              </w:rPr>
            </w:pPr>
          </w:p>
        </w:tc>
        <w:tc>
          <w:tcPr>
            <w:tcW w:w="669" w:type="dxa"/>
            <w:tcBorders>
              <w:top w:val="nil"/>
              <w:left w:val="nil"/>
              <w:bottom w:val="single" w:sz="4" w:space="0" w:color="auto"/>
              <w:right w:val="single" w:sz="4" w:space="0" w:color="auto"/>
            </w:tcBorders>
            <w:shd w:val="clear" w:color="auto" w:fill="auto"/>
            <w:noWrap/>
            <w:vAlign w:val="center"/>
          </w:tcPr>
          <w:p w14:paraId="2C09B3E2" w14:textId="77777777" w:rsidR="00F34BD4" w:rsidRPr="00D94B5E" w:rsidRDefault="00F34BD4" w:rsidP="00B823C1">
            <w:pPr>
              <w:spacing w:after="0"/>
              <w:jc w:val="center"/>
              <w:rPr>
                <w:color w:val="000000"/>
                <w:szCs w:val="20"/>
                <w:lang w:eastAsia="pl-PL"/>
              </w:rPr>
            </w:pPr>
          </w:p>
        </w:tc>
        <w:tc>
          <w:tcPr>
            <w:tcW w:w="623" w:type="dxa"/>
            <w:tcBorders>
              <w:top w:val="nil"/>
              <w:left w:val="nil"/>
              <w:bottom w:val="single" w:sz="4" w:space="0" w:color="auto"/>
              <w:right w:val="single" w:sz="4" w:space="0" w:color="auto"/>
            </w:tcBorders>
            <w:shd w:val="clear" w:color="auto" w:fill="auto"/>
            <w:noWrap/>
            <w:vAlign w:val="center"/>
          </w:tcPr>
          <w:p w14:paraId="0B46AF5C" w14:textId="77777777" w:rsidR="00F34BD4" w:rsidRPr="00D94B5E" w:rsidRDefault="00F34BD4" w:rsidP="00B823C1">
            <w:pPr>
              <w:spacing w:after="0"/>
              <w:jc w:val="center"/>
              <w:rPr>
                <w:color w:val="000000"/>
                <w:szCs w:val="20"/>
                <w:lang w:eastAsia="pl-PL"/>
              </w:rPr>
            </w:pPr>
          </w:p>
        </w:tc>
        <w:tc>
          <w:tcPr>
            <w:tcW w:w="623" w:type="dxa"/>
            <w:tcBorders>
              <w:top w:val="nil"/>
              <w:left w:val="nil"/>
              <w:bottom w:val="single" w:sz="4" w:space="0" w:color="auto"/>
              <w:right w:val="single" w:sz="4" w:space="0" w:color="auto"/>
            </w:tcBorders>
            <w:shd w:val="clear" w:color="auto" w:fill="auto"/>
            <w:noWrap/>
            <w:vAlign w:val="center"/>
          </w:tcPr>
          <w:p w14:paraId="31C21020" w14:textId="77777777" w:rsidR="00F34BD4" w:rsidRPr="00D94B5E" w:rsidRDefault="00F34BD4" w:rsidP="00B823C1">
            <w:pPr>
              <w:spacing w:after="0"/>
              <w:jc w:val="center"/>
              <w:rPr>
                <w:color w:val="000000"/>
                <w:szCs w:val="20"/>
                <w:lang w:eastAsia="pl-PL"/>
              </w:rPr>
            </w:pPr>
          </w:p>
        </w:tc>
        <w:tc>
          <w:tcPr>
            <w:tcW w:w="623" w:type="dxa"/>
            <w:tcBorders>
              <w:top w:val="nil"/>
              <w:left w:val="nil"/>
              <w:bottom w:val="single" w:sz="4" w:space="0" w:color="auto"/>
              <w:right w:val="single" w:sz="4" w:space="0" w:color="auto"/>
            </w:tcBorders>
            <w:shd w:val="clear" w:color="auto" w:fill="auto"/>
            <w:noWrap/>
            <w:vAlign w:val="center"/>
          </w:tcPr>
          <w:p w14:paraId="7CF15BD6" w14:textId="77777777" w:rsidR="00F34BD4" w:rsidRPr="00D94B5E" w:rsidRDefault="00F34BD4" w:rsidP="00B823C1">
            <w:pPr>
              <w:spacing w:after="0"/>
              <w:jc w:val="center"/>
              <w:rPr>
                <w:color w:val="000000"/>
                <w:szCs w:val="20"/>
                <w:lang w:eastAsia="pl-PL"/>
              </w:rPr>
            </w:pPr>
            <w:r w:rsidRPr="00D94B5E">
              <w:rPr>
                <w:rFonts w:cs="Calibri"/>
                <w:color w:val="000000"/>
                <w:szCs w:val="20"/>
              </w:rPr>
              <w:t>552</w:t>
            </w:r>
          </w:p>
        </w:tc>
        <w:tc>
          <w:tcPr>
            <w:tcW w:w="655" w:type="dxa"/>
            <w:tcBorders>
              <w:top w:val="nil"/>
              <w:left w:val="nil"/>
              <w:bottom w:val="single" w:sz="4" w:space="0" w:color="auto"/>
              <w:right w:val="single" w:sz="4" w:space="0" w:color="auto"/>
            </w:tcBorders>
            <w:shd w:val="clear" w:color="auto" w:fill="auto"/>
            <w:noWrap/>
            <w:vAlign w:val="center"/>
          </w:tcPr>
          <w:p w14:paraId="525D1422" w14:textId="77777777" w:rsidR="00F34BD4" w:rsidRPr="00D94B5E" w:rsidRDefault="00F34BD4" w:rsidP="00B823C1">
            <w:pPr>
              <w:spacing w:after="0"/>
              <w:jc w:val="center"/>
              <w:rPr>
                <w:color w:val="000000"/>
                <w:szCs w:val="20"/>
                <w:lang w:eastAsia="pl-PL"/>
              </w:rPr>
            </w:pPr>
            <w:r w:rsidRPr="00D94B5E">
              <w:rPr>
                <w:rFonts w:cs="Calibri"/>
                <w:color w:val="000000"/>
                <w:szCs w:val="20"/>
              </w:rPr>
              <w:t>552</w:t>
            </w:r>
          </w:p>
        </w:tc>
        <w:tc>
          <w:tcPr>
            <w:tcW w:w="655" w:type="dxa"/>
            <w:tcBorders>
              <w:top w:val="nil"/>
              <w:left w:val="nil"/>
              <w:bottom w:val="single" w:sz="4" w:space="0" w:color="auto"/>
              <w:right w:val="single" w:sz="4" w:space="0" w:color="auto"/>
            </w:tcBorders>
            <w:shd w:val="clear" w:color="auto" w:fill="auto"/>
            <w:noWrap/>
            <w:vAlign w:val="center"/>
          </w:tcPr>
          <w:p w14:paraId="57DA2BB3" w14:textId="77777777" w:rsidR="00F34BD4" w:rsidRPr="00D94B5E" w:rsidRDefault="00F34BD4" w:rsidP="00B823C1">
            <w:pPr>
              <w:spacing w:after="0"/>
              <w:jc w:val="center"/>
              <w:rPr>
                <w:color w:val="000000"/>
                <w:szCs w:val="20"/>
                <w:lang w:eastAsia="pl-PL"/>
              </w:rPr>
            </w:pPr>
            <w:r w:rsidRPr="00D94B5E">
              <w:rPr>
                <w:rFonts w:cs="Calibri"/>
                <w:color w:val="000000"/>
                <w:szCs w:val="20"/>
              </w:rPr>
              <w:t>552</w:t>
            </w:r>
          </w:p>
        </w:tc>
        <w:tc>
          <w:tcPr>
            <w:tcW w:w="623" w:type="dxa"/>
            <w:tcBorders>
              <w:top w:val="single" w:sz="4" w:space="0" w:color="auto"/>
              <w:left w:val="single" w:sz="4" w:space="0" w:color="auto"/>
              <w:bottom w:val="single" w:sz="4" w:space="0" w:color="auto"/>
              <w:right w:val="single" w:sz="4" w:space="0" w:color="auto"/>
            </w:tcBorders>
            <w:vAlign w:val="center"/>
          </w:tcPr>
          <w:p w14:paraId="67CB5993" w14:textId="77777777" w:rsidR="00F34BD4" w:rsidRPr="00D94B5E" w:rsidRDefault="00F34BD4" w:rsidP="00B823C1">
            <w:pPr>
              <w:spacing w:after="0"/>
              <w:jc w:val="center"/>
              <w:rPr>
                <w:color w:val="000000"/>
                <w:szCs w:val="20"/>
                <w:lang w:eastAsia="pl-PL"/>
              </w:rPr>
            </w:pPr>
            <w:r w:rsidRPr="00D94B5E">
              <w:rPr>
                <w:rFonts w:cs="Calibri"/>
                <w:color w:val="000000"/>
                <w:szCs w:val="20"/>
              </w:rPr>
              <w:t>552</w:t>
            </w:r>
          </w:p>
        </w:tc>
        <w:tc>
          <w:tcPr>
            <w:tcW w:w="623" w:type="dxa"/>
            <w:tcBorders>
              <w:top w:val="single" w:sz="4" w:space="0" w:color="auto"/>
              <w:left w:val="single" w:sz="4" w:space="0" w:color="auto"/>
              <w:bottom w:val="single" w:sz="4" w:space="0" w:color="auto"/>
              <w:right w:val="single" w:sz="4" w:space="0" w:color="auto"/>
            </w:tcBorders>
            <w:vAlign w:val="center"/>
          </w:tcPr>
          <w:p w14:paraId="7F385DA6" w14:textId="77777777" w:rsidR="00F34BD4" w:rsidRPr="00D94B5E" w:rsidRDefault="00F34BD4" w:rsidP="00B823C1">
            <w:pPr>
              <w:spacing w:after="0"/>
              <w:jc w:val="center"/>
              <w:rPr>
                <w:color w:val="000000"/>
                <w:szCs w:val="20"/>
                <w:lang w:eastAsia="pl-PL"/>
              </w:rPr>
            </w:pPr>
            <w:r w:rsidRPr="00D94B5E">
              <w:rPr>
                <w:rFonts w:cs="Calibri"/>
                <w:color w:val="000000"/>
                <w:szCs w:val="20"/>
              </w:rPr>
              <w:t>552</w:t>
            </w:r>
          </w:p>
        </w:tc>
        <w:tc>
          <w:tcPr>
            <w:tcW w:w="623" w:type="dxa"/>
            <w:tcBorders>
              <w:top w:val="single" w:sz="4" w:space="0" w:color="auto"/>
              <w:left w:val="single" w:sz="4" w:space="0" w:color="auto"/>
              <w:bottom w:val="single" w:sz="4" w:space="0" w:color="auto"/>
              <w:right w:val="single" w:sz="4" w:space="0" w:color="auto"/>
            </w:tcBorders>
            <w:vAlign w:val="center"/>
          </w:tcPr>
          <w:p w14:paraId="306DB62C" w14:textId="77777777" w:rsidR="00F34BD4" w:rsidRPr="00D94B5E" w:rsidRDefault="00F34BD4" w:rsidP="00B823C1">
            <w:pPr>
              <w:spacing w:after="0"/>
              <w:jc w:val="center"/>
              <w:rPr>
                <w:color w:val="000000"/>
                <w:szCs w:val="20"/>
                <w:lang w:eastAsia="pl-PL"/>
              </w:rPr>
            </w:pPr>
            <w:r w:rsidRPr="00D94B5E">
              <w:rPr>
                <w:rFonts w:cs="Calibri"/>
                <w:color w:val="000000"/>
                <w:szCs w:val="20"/>
              </w:rPr>
              <w:t>552</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F27C0A" w14:textId="77777777" w:rsidR="00F34BD4" w:rsidRPr="00D94B5E" w:rsidRDefault="00F34BD4" w:rsidP="00B823C1">
            <w:pPr>
              <w:spacing w:after="0"/>
              <w:jc w:val="center"/>
              <w:rPr>
                <w:color w:val="000000"/>
                <w:szCs w:val="20"/>
                <w:lang w:eastAsia="pl-PL"/>
              </w:rPr>
            </w:pPr>
            <w:r w:rsidRPr="00D94B5E">
              <w:rPr>
                <w:rFonts w:cs="Calibri"/>
                <w:color w:val="000000"/>
                <w:szCs w:val="20"/>
              </w:rPr>
              <w:t>552</w:t>
            </w:r>
          </w:p>
        </w:tc>
        <w:tc>
          <w:tcPr>
            <w:tcW w:w="1410" w:type="dxa"/>
            <w:vMerge/>
            <w:tcBorders>
              <w:left w:val="single" w:sz="4" w:space="0" w:color="auto"/>
              <w:right w:val="single" w:sz="4" w:space="0" w:color="auto"/>
            </w:tcBorders>
            <w:vAlign w:val="center"/>
            <w:hideMark/>
          </w:tcPr>
          <w:p w14:paraId="208D8578" w14:textId="77777777" w:rsidR="00F34BD4" w:rsidRPr="00D94B5E" w:rsidRDefault="00F34BD4" w:rsidP="00B823C1">
            <w:pPr>
              <w:spacing w:after="0"/>
              <w:jc w:val="center"/>
              <w:rPr>
                <w:color w:val="000000"/>
                <w:szCs w:val="20"/>
                <w:lang w:eastAsia="pl-PL"/>
              </w:rPr>
            </w:pPr>
          </w:p>
        </w:tc>
      </w:tr>
      <w:tr w:rsidR="00F34BD4" w:rsidRPr="004D43AB" w14:paraId="718F52AD" w14:textId="77777777" w:rsidTr="00B823C1">
        <w:trPr>
          <w:trHeight w:val="283"/>
        </w:trPr>
        <w:tc>
          <w:tcPr>
            <w:tcW w:w="1394" w:type="dxa"/>
            <w:vMerge/>
            <w:tcBorders>
              <w:left w:val="single" w:sz="4" w:space="0" w:color="auto"/>
              <w:right w:val="single" w:sz="4" w:space="0" w:color="auto"/>
            </w:tcBorders>
            <w:vAlign w:val="center"/>
          </w:tcPr>
          <w:p w14:paraId="4A82ECEF" w14:textId="77777777" w:rsidR="00F34BD4" w:rsidRPr="00D94B5E" w:rsidRDefault="00F34BD4" w:rsidP="00B823C1">
            <w:pPr>
              <w:spacing w:after="0"/>
              <w:jc w:val="center"/>
              <w:rPr>
                <w:color w:val="000000"/>
                <w:szCs w:val="20"/>
                <w:lang w:eastAsia="pl-PL"/>
              </w:rPr>
            </w:pPr>
          </w:p>
        </w:tc>
        <w:tc>
          <w:tcPr>
            <w:tcW w:w="669" w:type="dxa"/>
            <w:tcBorders>
              <w:top w:val="nil"/>
              <w:left w:val="nil"/>
              <w:bottom w:val="single" w:sz="4" w:space="0" w:color="auto"/>
              <w:right w:val="single" w:sz="4" w:space="0" w:color="auto"/>
            </w:tcBorders>
            <w:shd w:val="clear" w:color="auto" w:fill="auto"/>
            <w:noWrap/>
            <w:vAlign w:val="center"/>
          </w:tcPr>
          <w:p w14:paraId="1BC8597A" w14:textId="77777777" w:rsidR="00F34BD4" w:rsidRPr="00D94B5E" w:rsidRDefault="00F34BD4" w:rsidP="00B823C1">
            <w:pPr>
              <w:spacing w:after="0"/>
              <w:jc w:val="center"/>
              <w:rPr>
                <w:color w:val="000000"/>
                <w:szCs w:val="20"/>
                <w:lang w:eastAsia="pl-PL"/>
              </w:rPr>
            </w:pPr>
          </w:p>
        </w:tc>
        <w:tc>
          <w:tcPr>
            <w:tcW w:w="623" w:type="dxa"/>
            <w:tcBorders>
              <w:top w:val="nil"/>
              <w:left w:val="nil"/>
              <w:bottom w:val="single" w:sz="4" w:space="0" w:color="auto"/>
              <w:right w:val="single" w:sz="4" w:space="0" w:color="auto"/>
            </w:tcBorders>
            <w:shd w:val="clear" w:color="auto" w:fill="auto"/>
            <w:noWrap/>
            <w:vAlign w:val="center"/>
          </w:tcPr>
          <w:p w14:paraId="701D7030" w14:textId="77777777" w:rsidR="00F34BD4" w:rsidRPr="00D94B5E" w:rsidRDefault="00F34BD4" w:rsidP="00B823C1">
            <w:pPr>
              <w:spacing w:after="0"/>
              <w:jc w:val="center"/>
              <w:rPr>
                <w:color w:val="000000"/>
                <w:szCs w:val="20"/>
                <w:lang w:eastAsia="pl-PL"/>
              </w:rPr>
            </w:pPr>
          </w:p>
        </w:tc>
        <w:tc>
          <w:tcPr>
            <w:tcW w:w="623" w:type="dxa"/>
            <w:tcBorders>
              <w:top w:val="nil"/>
              <w:left w:val="nil"/>
              <w:bottom w:val="single" w:sz="4" w:space="0" w:color="auto"/>
              <w:right w:val="single" w:sz="4" w:space="0" w:color="auto"/>
            </w:tcBorders>
            <w:shd w:val="clear" w:color="auto" w:fill="auto"/>
            <w:noWrap/>
          </w:tcPr>
          <w:p w14:paraId="3465DD98" w14:textId="77777777" w:rsidR="00F34BD4" w:rsidRPr="00D94B5E" w:rsidRDefault="00F34BD4" w:rsidP="00B823C1">
            <w:pPr>
              <w:spacing w:after="0"/>
              <w:jc w:val="center"/>
              <w:rPr>
                <w:color w:val="000000"/>
                <w:szCs w:val="20"/>
                <w:lang w:eastAsia="pl-PL"/>
              </w:rPr>
            </w:pPr>
            <w:r w:rsidRPr="00D94B5E">
              <w:rPr>
                <w:color w:val="000000"/>
                <w:szCs w:val="20"/>
                <w:lang w:eastAsia="pl-PL"/>
              </w:rPr>
              <w:t>552</w:t>
            </w:r>
          </w:p>
        </w:tc>
        <w:tc>
          <w:tcPr>
            <w:tcW w:w="623" w:type="dxa"/>
            <w:tcBorders>
              <w:top w:val="nil"/>
              <w:left w:val="nil"/>
              <w:bottom w:val="single" w:sz="4" w:space="0" w:color="auto"/>
              <w:right w:val="single" w:sz="4" w:space="0" w:color="auto"/>
            </w:tcBorders>
            <w:shd w:val="clear" w:color="auto" w:fill="auto"/>
            <w:noWrap/>
          </w:tcPr>
          <w:p w14:paraId="42F2E94F" w14:textId="77777777" w:rsidR="00F34BD4" w:rsidRPr="00D94B5E" w:rsidRDefault="00F34BD4" w:rsidP="00B823C1">
            <w:pPr>
              <w:spacing w:after="0"/>
              <w:jc w:val="center"/>
              <w:rPr>
                <w:color w:val="000000"/>
                <w:szCs w:val="20"/>
                <w:lang w:eastAsia="pl-PL"/>
              </w:rPr>
            </w:pPr>
            <w:r w:rsidRPr="00D94B5E">
              <w:rPr>
                <w:color w:val="000000"/>
                <w:szCs w:val="20"/>
                <w:lang w:eastAsia="pl-PL"/>
              </w:rPr>
              <w:t>552</w:t>
            </w:r>
          </w:p>
        </w:tc>
        <w:tc>
          <w:tcPr>
            <w:tcW w:w="655" w:type="dxa"/>
            <w:tcBorders>
              <w:top w:val="nil"/>
              <w:left w:val="nil"/>
              <w:bottom w:val="single" w:sz="4" w:space="0" w:color="auto"/>
              <w:right w:val="single" w:sz="4" w:space="0" w:color="auto"/>
            </w:tcBorders>
            <w:shd w:val="clear" w:color="auto" w:fill="auto"/>
            <w:noWrap/>
          </w:tcPr>
          <w:p w14:paraId="7BED5469" w14:textId="77777777" w:rsidR="00F34BD4" w:rsidRPr="00D94B5E" w:rsidRDefault="00F34BD4" w:rsidP="00B823C1">
            <w:pPr>
              <w:spacing w:after="0"/>
              <w:jc w:val="center"/>
              <w:rPr>
                <w:color w:val="000000"/>
                <w:szCs w:val="20"/>
                <w:lang w:eastAsia="pl-PL"/>
              </w:rPr>
            </w:pPr>
            <w:r w:rsidRPr="00D94B5E">
              <w:rPr>
                <w:color w:val="000000"/>
                <w:szCs w:val="20"/>
                <w:lang w:eastAsia="pl-PL"/>
              </w:rPr>
              <w:t>552</w:t>
            </w:r>
          </w:p>
        </w:tc>
        <w:tc>
          <w:tcPr>
            <w:tcW w:w="655" w:type="dxa"/>
            <w:tcBorders>
              <w:top w:val="nil"/>
              <w:left w:val="nil"/>
              <w:bottom w:val="single" w:sz="4" w:space="0" w:color="auto"/>
              <w:right w:val="single" w:sz="4" w:space="0" w:color="auto"/>
            </w:tcBorders>
            <w:shd w:val="clear" w:color="auto" w:fill="auto"/>
            <w:noWrap/>
          </w:tcPr>
          <w:p w14:paraId="5ACC42BE" w14:textId="77777777" w:rsidR="00F34BD4" w:rsidRPr="00D94B5E" w:rsidRDefault="00F34BD4" w:rsidP="00B823C1">
            <w:pPr>
              <w:spacing w:after="0"/>
              <w:jc w:val="center"/>
              <w:rPr>
                <w:color w:val="000000"/>
                <w:szCs w:val="20"/>
                <w:lang w:eastAsia="pl-PL"/>
              </w:rPr>
            </w:pPr>
            <w:r w:rsidRPr="00D94B5E">
              <w:rPr>
                <w:color w:val="000000"/>
                <w:szCs w:val="20"/>
                <w:lang w:eastAsia="pl-PL"/>
              </w:rPr>
              <w:t>552</w:t>
            </w:r>
          </w:p>
        </w:tc>
        <w:tc>
          <w:tcPr>
            <w:tcW w:w="623" w:type="dxa"/>
            <w:tcBorders>
              <w:top w:val="single" w:sz="4" w:space="0" w:color="auto"/>
              <w:left w:val="single" w:sz="4" w:space="0" w:color="auto"/>
              <w:bottom w:val="single" w:sz="4" w:space="0" w:color="auto"/>
              <w:right w:val="single" w:sz="4" w:space="0" w:color="auto"/>
            </w:tcBorders>
          </w:tcPr>
          <w:p w14:paraId="692963F0" w14:textId="77777777" w:rsidR="00F34BD4" w:rsidRPr="00D94B5E" w:rsidRDefault="00F34BD4" w:rsidP="00B823C1">
            <w:pPr>
              <w:spacing w:after="0"/>
              <w:jc w:val="center"/>
              <w:rPr>
                <w:color w:val="000000"/>
                <w:szCs w:val="20"/>
                <w:lang w:eastAsia="pl-PL"/>
              </w:rPr>
            </w:pPr>
            <w:r w:rsidRPr="00D94B5E">
              <w:rPr>
                <w:color w:val="000000"/>
                <w:szCs w:val="20"/>
                <w:lang w:eastAsia="pl-PL"/>
              </w:rPr>
              <w:t>552</w:t>
            </w:r>
          </w:p>
        </w:tc>
        <w:tc>
          <w:tcPr>
            <w:tcW w:w="623" w:type="dxa"/>
            <w:tcBorders>
              <w:top w:val="single" w:sz="4" w:space="0" w:color="auto"/>
              <w:left w:val="single" w:sz="4" w:space="0" w:color="auto"/>
              <w:bottom w:val="single" w:sz="4" w:space="0" w:color="auto"/>
              <w:right w:val="single" w:sz="4" w:space="0" w:color="auto"/>
            </w:tcBorders>
          </w:tcPr>
          <w:p w14:paraId="73EBE41F" w14:textId="77777777" w:rsidR="00F34BD4" w:rsidRPr="00D94B5E" w:rsidRDefault="00F34BD4" w:rsidP="00B823C1">
            <w:pPr>
              <w:spacing w:after="0"/>
              <w:jc w:val="center"/>
              <w:rPr>
                <w:color w:val="000000"/>
                <w:szCs w:val="20"/>
                <w:lang w:eastAsia="pl-PL"/>
              </w:rPr>
            </w:pPr>
            <w:r w:rsidRPr="00D94B5E">
              <w:rPr>
                <w:color w:val="000000"/>
                <w:szCs w:val="20"/>
                <w:lang w:eastAsia="pl-PL"/>
              </w:rPr>
              <w:t>552</w:t>
            </w:r>
          </w:p>
        </w:tc>
        <w:tc>
          <w:tcPr>
            <w:tcW w:w="623" w:type="dxa"/>
            <w:tcBorders>
              <w:top w:val="single" w:sz="4" w:space="0" w:color="auto"/>
              <w:left w:val="single" w:sz="4" w:space="0" w:color="auto"/>
              <w:bottom w:val="single" w:sz="4" w:space="0" w:color="auto"/>
              <w:right w:val="single" w:sz="4" w:space="0" w:color="auto"/>
            </w:tcBorders>
          </w:tcPr>
          <w:p w14:paraId="3B9B75B8" w14:textId="77777777" w:rsidR="00F34BD4" w:rsidRPr="00D94B5E" w:rsidRDefault="00F34BD4" w:rsidP="00B823C1">
            <w:pPr>
              <w:spacing w:after="0"/>
              <w:jc w:val="center"/>
              <w:rPr>
                <w:color w:val="000000"/>
                <w:szCs w:val="20"/>
                <w:lang w:eastAsia="pl-PL"/>
              </w:rPr>
            </w:pPr>
            <w:r w:rsidRPr="00D94B5E">
              <w:rPr>
                <w:color w:val="000000"/>
                <w:szCs w:val="20"/>
                <w:lang w:eastAsia="pl-PL"/>
              </w:rPr>
              <w:t>552</w:t>
            </w:r>
          </w:p>
        </w:tc>
        <w:tc>
          <w:tcPr>
            <w:tcW w:w="655" w:type="dxa"/>
            <w:tcBorders>
              <w:top w:val="single" w:sz="4" w:space="0" w:color="auto"/>
              <w:left w:val="single" w:sz="4" w:space="0" w:color="auto"/>
              <w:bottom w:val="single" w:sz="4" w:space="0" w:color="auto"/>
              <w:right w:val="single" w:sz="4" w:space="0" w:color="auto"/>
            </w:tcBorders>
            <w:shd w:val="clear" w:color="auto" w:fill="auto"/>
            <w:noWrap/>
          </w:tcPr>
          <w:p w14:paraId="55FFE271" w14:textId="77777777" w:rsidR="00F34BD4" w:rsidRPr="00D94B5E" w:rsidRDefault="00F34BD4" w:rsidP="00B823C1">
            <w:pPr>
              <w:spacing w:after="0"/>
              <w:jc w:val="center"/>
              <w:rPr>
                <w:color w:val="000000"/>
                <w:szCs w:val="20"/>
                <w:lang w:eastAsia="pl-PL"/>
              </w:rPr>
            </w:pPr>
            <w:r w:rsidRPr="00D94B5E">
              <w:rPr>
                <w:color w:val="000000"/>
                <w:szCs w:val="20"/>
                <w:lang w:eastAsia="pl-PL"/>
              </w:rPr>
              <w:t>552</w:t>
            </w:r>
          </w:p>
        </w:tc>
        <w:tc>
          <w:tcPr>
            <w:tcW w:w="1410" w:type="dxa"/>
            <w:vMerge/>
            <w:tcBorders>
              <w:left w:val="single" w:sz="4" w:space="0" w:color="auto"/>
              <w:right w:val="single" w:sz="4" w:space="0" w:color="auto"/>
            </w:tcBorders>
            <w:vAlign w:val="center"/>
          </w:tcPr>
          <w:p w14:paraId="549EF7A5" w14:textId="77777777" w:rsidR="00F34BD4" w:rsidRPr="00D94B5E" w:rsidRDefault="00F34BD4" w:rsidP="00B823C1">
            <w:pPr>
              <w:spacing w:after="0"/>
              <w:jc w:val="center"/>
              <w:rPr>
                <w:color w:val="000000"/>
                <w:szCs w:val="20"/>
                <w:lang w:eastAsia="pl-PL"/>
              </w:rPr>
            </w:pPr>
          </w:p>
        </w:tc>
      </w:tr>
      <w:tr w:rsidR="00F34BD4" w:rsidRPr="004D43AB" w14:paraId="56630D31" w14:textId="77777777" w:rsidTr="00B823C1">
        <w:trPr>
          <w:trHeight w:val="283"/>
        </w:trPr>
        <w:tc>
          <w:tcPr>
            <w:tcW w:w="1394" w:type="dxa"/>
            <w:vMerge/>
            <w:tcBorders>
              <w:left w:val="single" w:sz="4" w:space="0" w:color="auto"/>
              <w:right w:val="single" w:sz="4" w:space="0" w:color="auto"/>
            </w:tcBorders>
            <w:vAlign w:val="center"/>
          </w:tcPr>
          <w:p w14:paraId="2263999B" w14:textId="77777777" w:rsidR="00F34BD4" w:rsidRPr="00D94B5E" w:rsidRDefault="00F34BD4" w:rsidP="00B823C1">
            <w:pPr>
              <w:spacing w:after="0"/>
              <w:jc w:val="center"/>
              <w:rPr>
                <w:color w:val="000000"/>
                <w:szCs w:val="20"/>
                <w:lang w:eastAsia="pl-PL"/>
              </w:rPr>
            </w:pPr>
          </w:p>
        </w:tc>
        <w:tc>
          <w:tcPr>
            <w:tcW w:w="669" w:type="dxa"/>
            <w:tcBorders>
              <w:top w:val="nil"/>
              <w:left w:val="nil"/>
              <w:bottom w:val="single" w:sz="4" w:space="0" w:color="auto"/>
              <w:right w:val="single" w:sz="4" w:space="0" w:color="auto"/>
            </w:tcBorders>
            <w:shd w:val="clear" w:color="auto" w:fill="auto"/>
            <w:noWrap/>
            <w:vAlign w:val="center"/>
          </w:tcPr>
          <w:p w14:paraId="6208925E" w14:textId="77777777" w:rsidR="00F34BD4" w:rsidRPr="00D94B5E" w:rsidRDefault="00F34BD4" w:rsidP="00B823C1">
            <w:pPr>
              <w:spacing w:after="0"/>
              <w:jc w:val="center"/>
              <w:rPr>
                <w:color w:val="000000"/>
                <w:szCs w:val="20"/>
                <w:lang w:eastAsia="pl-PL"/>
              </w:rPr>
            </w:pPr>
          </w:p>
        </w:tc>
        <w:tc>
          <w:tcPr>
            <w:tcW w:w="623" w:type="dxa"/>
            <w:tcBorders>
              <w:top w:val="nil"/>
              <w:left w:val="nil"/>
              <w:bottom w:val="single" w:sz="4" w:space="0" w:color="auto"/>
              <w:right w:val="single" w:sz="4" w:space="0" w:color="auto"/>
            </w:tcBorders>
            <w:shd w:val="clear" w:color="auto" w:fill="auto"/>
            <w:noWrap/>
          </w:tcPr>
          <w:p w14:paraId="7DE40FCA" w14:textId="77777777" w:rsidR="00F34BD4" w:rsidRPr="00D94B5E" w:rsidRDefault="00F34BD4" w:rsidP="00B823C1">
            <w:pPr>
              <w:spacing w:after="0"/>
              <w:jc w:val="center"/>
              <w:rPr>
                <w:color w:val="000000"/>
                <w:szCs w:val="20"/>
                <w:lang w:eastAsia="pl-PL"/>
              </w:rPr>
            </w:pPr>
            <w:r w:rsidRPr="00D94B5E">
              <w:rPr>
                <w:color w:val="000000"/>
                <w:szCs w:val="20"/>
                <w:lang w:eastAsia="pl-PL"/>
              </w:rPr>
              <w:t>503</w:t>
            </w:r>
          </w:p>
        </w:tc>
        <w:tc>
          <w:tcPr>
            <w:tcW w:w="623" w:type="dxa"/>
            <w:tcBorders>
              <w:top w:val="nil"/>
              <w:left w:val="nil"/>
              <w:bottom w:val="single" w:sz="4" w:space="0" w:color="auto"/>
              <w:right w:val="single" w:sz="4" w:space="0" w:color="auto"/>
            </w:tcBorders>
            <w:shd w:val="clear" w:color="auto" w:fill="auto"/>
            <w:noWrap/>
          </w:tcPr>
          <w:p w14:paraId="313EAAF3" w14:textId="77777777" w:rsidR="00F34BD4" w:rsidRPr="00D94B5E" w:rsidRDefault="00F34BD4" w:rsidP="00B823C1">
            <w:pPr>
              <w:spacing w:after="0"/>
              <w:jc w:val="center"/>
              <w:rPr>
                <w:color w:val="000000"/>
                <w:szCs w:val="20"/>
                <w:lang w:eastAsia="pl-PL"/>
              </w:rPr>
            </w:pPr>
            <w:r w:rsidRPr="00D94B5E">
              <w:rPr>
                <w:color w:val="000000"/>
                <w:szCs w:val="20"/>
                <w:lang w:eastAsia="pl-PL"/>
              </w:rPr>
              <w:t>503</w:t>
            </w:r>
          </w:p>
        </w:tc>
        <w:tc>
          <w:tcPr>
            <w:tcW w:w="623" w:type="dxa"/>
            <w:tcBorders>
              <w:top w:val="nil"/>
              <w:left w:val="nil"/>
              <w:bottom w:val="single" w:sz="4" w:space="0" w:color="auto"/>
              <w:right w:val="single" w:sz="4" w:space="0" w:color="auto"/>
            </w:tcBorders>
            <w:shd w:val="clear" w:color="auto" w:fill="auto"/>
            <w:noWrap/>
          </w:tcPr>
          <w:p w14:paraId="4C30FBC7" w14:textId="77777777" w:rsidR="00F34BD4" w:rsidRPr="00D94B5E" w:rsidRDefault="00F34BD4" w:rsidP="00B823C1">
            <w:pPr>
              <w:spacing w:after="0"/>
              <w:jc w:val="center"/>
              <w:rPr>
                <w:color w:val="000000"/>
                <w:szCs w:val="20"/>
                <w:lang w:eastAsia="pl-PL"/>
              </w:rPr>
            </w:pPr>
            <w:r w:rsidRPr="00D94B5E">
              <w:rPr>
                <w:color w:val="000000"/>
                <w:szCs w:val="20"/>
                <w:lang w:eastAsia="pl-PL"/>
              </w:rPr>
              <w:t>503</w:t>
            </w:r>
          </w:p>
        </w:tc>
        <w:tc>
          <w:tcPr>
            <w:tcW w:w="655" w:type="dxa"/>
            <w:tcBorders>
              <w:top w:val="nil"/>
              <w:left w:val="nil"/>
              <w:bottom w:val="single" w:sz="4" w:space="0" w:color="auto"/>
              <w:right w:val="single" w:sz="4" w:space="0" w:color="auto"/>
            </w:tcBorders>
            <w:shd w:val="clear" w:color="auto" w:fill="auto"/>
            <w:noWrap/>
          </w:tcPr>
          <w:p w14:paraId="0E37D06C" w14:textId="77777777" w:rsidR="00F34BD4" w:rsidRPr="00D94B5E" w:rsidRDefault="00F34BD4" w:rsidP="00B823C1">
            <w:pPr>
              <w:spacing w:after="0"/>
              <w:jc w:val="center"/>
              <w:rPr>
                <w:color w:val="000000"/>
                <w:szCs w:val="20"/>
                <w:lang w:eastAsia="pl-PL"/>
              </w:rPr>
            </w:pPr>
            <w:r w:rsidRPr="00D94B5E">
              <w:rPr>
                <w:color w:val="000000"/>
                <w:szCs w:val="20"/>
                <w:lang w:eastAsia="pl-PL"/>
              </w:rPr>
              <w:t>503</w:t>
            </w:r>
          </w:p>
        </w:tc>
        <w:tc>
          <w:tcPr>
            <w:tcW w:w="655" w:type="dxa"/>
            <w:tcBorders>
              <w:top w:val="nil"/>
              <w:left w:val="nil"/>
              <w:bottom w:val="single" w:sz="4" w:space="0" w:color="auto"/>
              <w:right w:val="single" w:sz="4" w:space="0" w:color="auto"/>
            </w:tcBorders>
            <w:shd w:val="clear" w:color="auto" w:fill="auto"/>
            <w:noWrap/>
          </w:tcPr>
          <w:p w14:paraId="0E436B85" w14:textId="77777777" w:rsidR="00F34BD4" w:rsidRPr="00D94B5E" w:rsidRDefault="00F34BD4" w:rsidP="00B823C1">
            <w:pPr>
              <w:spacing w:after="0"/>
              <w:jc w:val="center"/>
              <w:rPr>
                <w:color w:val="000000"/>
                <w:szCs w:val="20"/>
                <w:lang w:eastAsia="pl-PL"/>
              </w:rPr>
            </w:pPr>
            <w:r w:rsidRPr="00D94B5E">
              <w:rPr>
                <w:color w:val="000000"/>
                <w:szCs w:val="20"/>
                <w:lang w:eastAsia="pl-PL"/>
              </w:rPr>
              <w:t>503</w:t>
            </w:r>
          </w:p>
        </w:tc>
        <w:tc>
          <w:tcPr>
            <w:tcW w:w="623" w:type="dxa"/>
            <w:tcBorders>
              <w:top w:val="single" w:sz="4" w:space="0" w:color="auto"/>
              <w:left w:val="single" w:sz="4" w:space="0" w:color="auto"/>
              <w:bottom w:val="single" w:sz="4" w:space="0" w:color="auto"/>
              <w:right w:val="single" w:sz="4" w:space="0" w:color="auto"/>
            </w:tcBorders>
          </w:tcPr>
          <w:p w14:paraId="4B808E34" w14:textId="77777777" w:rsidR="00F34BD4" w:rsidRPr="00D94B5E" w:rsidRDefault="00F34BD4" w:rsidP="00B823C1">
            <w:pPr>
              <w:spacing w:after="0"/>
              <w:jc w:val="center"/>
              <w:rPr>
                <w:color w:val="000000"/>
                <w:szCs w:val="20"/>
                <w:lang w:eastAsia="pl-PL"/>
              </w:rPr>
            </w:pPr>
            <w:r w:rsidRPr="00D94B5E">
              <w:rPr>
                <w:color w:val="000000"/>
                <w:szCs w:val="20"/>
                <w:lang w:eastAsia="pl-PL"/>
              </w:rPr>
              <w:t>503</w:t>
            </w:r>
          </w:p>
        </w:tc>
        <w:tc>
          <w:tcPr>
            <w:tcW w:w="623" w:type="dxa"/>
            <w:tcBorders>
              <w:top w:val="single" w:sz="4" w:space="0" w:color="auto"/>
              <w:left w:val="single" w:sz="4" w:space="0" w:color="auto"/>
              <w:bottom w:val="single" w:sz="4" w:space="0" w:color="auto"/>
              <w:right w:val="single" w:sz="4" w:space="0" w:color="auto"/>
            </w:tcBorders>
          </w:tcPr>
          <w:p w14:paraId="1DDC4645" w14:textId="77777777" w:rsidR="00F34BD4" w:rsidRPr="00D94B5E" w:rsidRDefault="00F34BD4" w:rsidP="00B823C1">
            <w:pPr>
              <w:spacing w:after="0"/>
              <w:jc w:val="center"/>
              <w:rPr>
                <w:color w:val="000000"/>
                <w:szCs w:val="20"/>
                <w:lang w:eastAsia="pl-PL"/>
              </w:rPr>
            </w:pPr>
            <w:r w:rsidRPr="00D94B5E">
              <w:rPr>
                <w:color w:val="000000"/>
                <w:szCs w:val="20"/>
                <w:lang w:eastAsia="pl-PL"/>
              </w:rPr>
              <w:t>503</w:t>
            </w:r>
          </w:p>
        </w:tc>
        <w:tc>
          <w:tcPr>
            <w:tcW w:w="623" w:type="dxa"/>
            <w:tcBorders>
              <w:top w:val="single" w:sz="4" w:space="0" w:color="auto"/>
              <w:left w:val="single" w:sz="4" w:space="0" w:color="auto"/>
              <w:bottom w:val="single" w:sz="4" w:space="0" w:color="auto"/>
              <w:right w:val="single" w:sz="4" w:space="0" w:color="auto"/>
            </w:tcBorders>
          </w:tcPr>
          <w:p w14:paraId="268095B1" w14:textId="77777777" w:rsidR="00F34BD4" w:rsidRPr="00D94B5E" w:rsidRDefault="00F34BD4" w:rsidP="00B823C1">
            <w:pPr>
              <w:spacing w:after="0"/>
              <w:jc w:val="center"/>
              <w:rPr>
                <w:color w:val="000000"/>
                <w:szCs w:val="20"/>
                <w:lang w:eastAsia="pl-PL"/>
              </w:rPr>
            </w:pPr>
            <w:r w:rsidRPr="00D94B5E">
              <w:rPr>
                <w:color w:val="000000"/>
                <w:szCs w:val="20"/>
                <w:lang w:eastAsia="pl-PL"/>
              </w:rPr>
              <w:t>503</w:t>
            </w:r>
          </w:p>
        </w:tc>
        <w:tc>
          <w:tcPr>
            <w:tcW w:w="655" w:type="dxa"/>
            <w:tcBorders>
              <w:top w:val="single" w:sz="4" w:space="0" w:color="auto"/>
              <w:left w:val="single" w:sz="4" w:space="0" w:color="auto"/>
              <w:bottom w:val="single" w:sz="4" w:space="0" w:color="auto"/>
              <w:right w:val="single" w:sz="4" w:space="0" w:color="auto"/>
            </w:tcBorders>
            <w:shd w:val="clear" w:color="auto" w:fill="auto"/>
            <w:noWrap/>
          </w:tcPr>
          <w:p w14:paraId="2DFB6BDD" w14:textId="77777777" w:rsidR="00F34BD4" w:rsidRPr="00D94B5E" w:rsidRDefault="00F34BD4" w:rsidP="00B823C1">
            <w:pPr>
              <w:spacing w:after="0"/>
              <w:jc w:val="center"/>
              <w:rPr>
                <w:color w:val="000000"/>
                <w:szCs w:val="20"/>
                <w:lang w:eastAsia="pl-PL"/>
              </w:rPr>
            </w:pPr>
            <w:r w:rsidRPr="00D94B5E">
              <w:rPr>
                <w:color w:val="000000"/>
                <w:szCs w:val="20"/>
                <w:lang w:eastAsia="pl-PL"/>
              </w:rPr>
              <w:t>503</w:t>
            </w:r>
          </w:p>
        </w:tc>
        <w:tc>
          <w:tcPr>
            <w:tcW w:w="1410" w:type="dxa"/>
            <w:vMerge/>
            <w:tcBorders>
              <w:left w:val="single" w:sz="4" w:space="0" w:color="auto"/>
              <w:right w:val="single" w:sz="4" w:space="0" w:color="auto"/>
            </w:tcBorders>
            <w:vAlign w:val="center"/>
          </w:tcPr>
          <w:p w14:paraId="2165B87B" w14:textId="77777777" w:rsidR="00F34BD4" w:rsidRPr="00D94B5E" w:rsidRDefault="00F34BD4" w:rsidP="00B823C1">
            <w:pPr>
              <w:spacing w:after="0"/>
              <w:jc w:val="center"/>
              <w:rPr>
                <w:color w:val="000000"/>
                <w:szCs w:val="20"/>
                <w:lang w:eastAsia="pl-PL"/>
              </w:rPr>
            </w:pPr>
          </w:p>
        </w:tc>
      </w:tr>
      <w:tr w:rsidR="00F34BD4" w:rsidRPr="004D43AB" w14:paraId="07FF042A" w14:textId="77777777" w:rsidTr="00B823C1">
        <w:trPr>
          <w:trHeight w:val="283"/>
        </w:trPr>
        <w:tc>
          <w:tcPr>
            <w:tcW w:w="1394" w:type="dxa"/>
            <w:vMerge/>
            <w:tcBorders>
              <w:left w:val="single" w:sz="4" w:space="0" w:color="auto"/>
              <w:bottom w:val="single" w:sz="4" w:space="0" w:color="auto"/>
              <w:right w:val="single" w:sz="4" w:space="0" w:color="auto"/>
            </w:tcBorders>
            <w:vAlign w:val="center"/>
          </w:tcPr>
          <w:p w14:paraId="30FDE7B8" w14:textId="77777777" w:rsidR="00F34BD4" w:rsidRPr="00D94B5E" w:rsidRDefault="00F34BD4" w:rsidP="00B823C1">
            <w:pPr>
              <w:spacing w:after="0"/>
              <w:jc w:val="center"/>
              <w:rPr>
                <w:color w:val="000000"/>
                <w:szCs w:val="20"/>
                <w:lang w:eastAsia="pl-PL"/>
              </w:rPr>
            </w:pPr>
          </w:p>
        </w:tc>
        <w:tc>
          <w:tcPr>
            <w:tcW w:w="669" w:type="dxa"/>
            <w:tcBorders>
              <w:top w:val="nil"/>
              <w:left w:val="nil"/>
              <w:bottom w:val="single" w:sz="4" w:space="0" w:color="auto"/>
              <w:right w:val="single" w:sz="4" w:space="0" w:color="auto"/>
            </w:tcBorders>
            <w:shd w:val="clear" w:color="auto" w:fill="auto"/>
            <w:noWrap/>
            <w:vAlign w:val="center"/>
          </w:tcPr>
          <w:p w14:paraId="17AF4C4C" w14:textId="77777777" w:rsidR="00F34BD4" w:rsidRPr="00D94B5E" w:rsidRDefault="00F34BD4" w:rsidP="00B823C1">
            <w:pPr>
              <w:spacing w:after="0"/>
              <w:jc w:val="center"/>
              <w:rPr>
                <w:color w:val="000000"/>
                <w:szCs w:val="20"/>
                <w:lang w:eastAsia="pl-PL"/>
              </w:rPr>
            </w:pPr>
            <w:r w:rsidRPr="00D94B5E">
              <w:rPr>
                <w:color w:val="000000"/>
                <w:szCs w:val="20"/>
                <w:lang w:eastAsia="pl-PL"/>
              </w:rPr>
              <w:t>143</w:t>
            </w:r>
          </w:p>
        </w:tc>
        <w:tc>
          <w:tcPr>
            <w:tcW w:w="623" w:type="dxa"/>
            <w:tcBorders>
              <w:top w:val="nil"/>
              <w:left w:val="nil"/>
              <w:bottom w:val="single" w:sz="4" w:space="0" w:color="auto"/>
              <w:right w:val="single" w:sz="4" w:space="0" w:color="auto"/>
            </w:tcBorders>
            <w:shd w:val="clear" w:color="auto" w:fill="auto"/>
            <w:noWrap/>
          </w:tcPr>
          <w:p w14:paraId="3B0EB9E7" w14:textId="77777777" w:rsidR="00F34BD4" w:rsidRPr="00D94B5E" w:rsidRDefault="00F34BD4" w:rsidP="00B823C1">
            <w:pPr>
              <w:spacing w:after="0"/>
              <w:jc w:val="center"/>
              <w:rPr>
                <w:color w:val="000000"/>
                <w:szCs w:val="20"/>
                <w:lang w:eastAsia="pl-PL"/>
              </w:rPr>
            </w:pPr>
            <w:r w:rsidRPr="00D94B5E">
              <w:rPr>
                <w:color w:val="000000"/>
                <w:szCs w:val="20"/>
                <w:lang w:eastAsia="pl-PL"/>
              </w:rPr>
              <w:t>143</w:t>
            </w:r>
          </w:p>
        </w:tc>
        <w:tc>
          <w:tcPr>
            <w:tcW w:w="623" w:type="dxa"/>
            <w:tcBorders>
              <w:top w:val="nil"/>
              <w:left w:val="nil"/>
              <w:bottom w:val="single" w:sz="4" w:space="0" w:color="auto"/>
              <w:right w:val="single" w:sz="4" w:space="0" w:color="auto"/>
            </w:tcBorders>
            <w:shd w:val="clear" w:color="auto" w:fill="auto"/>
            <w:noWrap/>
          </w:tcPr>
          <w:p w14:paraId="3EFEB8E5" w14:textId="77777777" w:rsidR="00F34BD4" w:rsidRPr="00D94B5E" w:rsidRDefault="00F34BD4" w:rsidP="00B823C1">
            <w:pPr>
              <w:spacing w:after="0"/>
              <w:jc w:val="center"/>
              <w:rPr>
                <w:color w:val="000000"/>
                <w:szCs w:val="20"/>
                <w:lang w:eastAsia="pl-PL"/>
              </w:rPr>
            </w:pPr>
            <w:r w:rsidRPr="00D94B5E">
              <w:rPr>
                <w:color w:val="000000"/>
                <w:szCs w:val="20"/>
                <w:lang w:eastAsia="pl-PL"/>
              </w:rPr>
              <w:t>143</w:t>
            </w:r>
          </w:p>
        </w:tc>
        <w:tc>
          <w:tcPr>
            <w:tcW w:w="623" w:type="dxa"/>
            <w:tcBorders>
              <w:top w:val="nil"/>
              <w:left w:val="nil"/>
              <w:bottom w:val="single" w:sz="4" w:space="0" w:color="auto"/>
              <w:right w:val="single" w:sz="4" w:space="0" w:color="auto"/>
            </w:tcBorders>
            <w:shd w:val="clear" w:color="auto" w:fill="auto"/>
            <w:noWrap/>
          </w:tcPr>
          <w:p w14:paraId="4D080B32" w14:textId="77777777" w:rsidR="00F34BD4" w:rsidRPr="00D94B5E" w:rsidRDefault="00F34BD4" w:rsidP="00B823C1">
            <w:pPr>
              <w:spacing w:after="0"/>
              <w:jc w:val="center"/>
              <w:rPr>
                <w:color w:val="000000"/>
                <w:szCs w:val="20"/>
                <w:lang w:eastAsia="pl-PL"/>
              </w:rPr>
            </w:pPr>
            <w:r w:rsidRPr="00D94B5E">
              <w:rPr>
                <w:color w:val="000000"/>
                <w:szCs w:val="20"/>
                <w:lang w:eastAsia="pl-PL"/>
              </w:rPr>
              <w:t>143</w:t>
            </w:r>
          </w:p>
        </w:tc>
        <w:tc>
          <w:tcPr>
            <w:tcW w:w="655" w:type="dxa"/>
            <w:tcBorders>
              <w:top w:val="nil"/>
              <w:left w:val="nil"/>
              <w:bottom w:val="single" w:sz="4" w:space="0" w:color="auto"/>
              <w:right w:val="single" w:sz="4" w:space="0" w:color="auto"/>
            </w:tcBorders>
            <w:shd w:val="clear" w:color="auto" w:fill="auto"/>
            <w:noWrap/>
          </w:tcPr>
          <w:p w14:paraId="48A26D7B" w14:textId="77777777" w:rsidR="00F34BD4" w:rsidRPr="00D94B5E" w:rsidRDefault="00F34BD4" w:rsidP="00B823C1">
            <w:pPr>
              <w:spacing w:after="0"/>
              <w:jc w:val="center"/>
              <w:rPr>
                <w:color w:val="000000"/>
                <w:szCs w:val="20"/>
                <w:lang w:eastAsia="pl-PL"/>
              </w:rPr>
            </w:pPr>
            <w:r w:rsidRPr="00D94B5E">
              <w:rPr>
                <w:color w:val="000000"/>
                <w:szCs w:val="20"/>
                <w:lang w:eastAsia="pl-PL"/>
              </w:rPr>
              <w:t>143</w:t>
            </w:r>
          </w:p>
        </w:tc>
        <w:tc>
          <w:tcPr>
            <w:tcW w:w="655" w:type="dxa"/>
            <w:tcBorders>
              <w:top w:val="nil"/>
              <w:left w:val="nil"/>
              <w:bottom w:val="single" w:sz="4" w:space="0" w:color="auto"/>
              <w:right w:val="single" w:sz="4" w:space="0" w:color="auto"/>
            </w:tcBorders>
            <w:shd w:val="clear" w:color="auto" w:fill="auto"/>
            <w:noWrap/>
          </w:tcPr>
          <w:p w14:paraId="1A4EEC3D" w14:textId="77777777" w:rsidR="00F34BD4" w:rsidRPr="00D94B5E" w:rsidRDefault="00F34BD4" w:rsidP="00B823C1">
            <w:pPr>
              <w:spacing w:after="0"/>
              <w:jc w:val="center"/>
              <w:rPr>
                <w:color w:val="000000"/>
                <w:szCs w:val="20"/>
                <w:lang w:eastAsia="pl-PL"/>
              </w:rPr>
            </w:pPr>
            <w:r w:rsidRPr="00D94B5E">
              <w:rPr>
                <w:color w:val="000000"/>
                <w:szCs w:val="20"/>
                <w:lang w:eastAsia="pl-PL"/>
              </w:rPr>
              <w:t>143</w:t>
            </w:r>
          </w:p>
        </w:tc>
        <w:tc>
          <w:tcPr>
            <w:tcW w:w="623" w:type="dxa"/>
            <w:tcBorders>
              <w:top w:val="single" w:sz="4" w:space="0" w:color="auto"/>
              <w:left w:val="single" w:sz="4" w:space="0" w:color="auto"/>
              <w:bottom w:val="single" w:sz="4" w:space="0" w:color="auto"/>
              <w:right w:val="single" w:sz="4" w:space="0" w:color="auto"/>
            </w:tcBorders>
          </w:tcPr>
          <w:p w14:paraId="60C9B0DB" w14:textId="77777777" w:rsidR="00F34BD4" w:rsidRPr="00D94B5E" w:rsidRDefault="00F34BD4" w:rsidP="00B823C1">
            <w:pPr>
              <w:spacing w:after="0"/>
              <w:jc w:val="center"/>
              <w:rPr>
                <w:color w:val="000000"/>
                <w:szCs w:val="20"/>
                <w:lang w:eastAsia="pl-PL"/>
              </w:rPr>
            </w:pPr>
            <w:r w:rsidRPr="00D94B5E">
              <w:rPr>
                <w:color w:val="000000"/>
                <w:szCs w:val="20"/>
                <w:lang w:eastAsia="pl-PL"/>
              </w:rPr>
              <w:t>143</w:t>
            </w:r>
          </w:p>
        </w:tc>
        <w:tc>
          <w:tcPr>
            <w:tcW w:w="623" w:type="dxa"/>
            <w:tcBorders>
              <w:top w:val="single" w:sz="4" w:space="0" w:color="auto"/>
              <w:left w:val="single" w:sz="4" w:space="0" w:color="auto"/>
              <w:bottom w:val="single" w:sz="4" w:space="0" w:color="auto"/>
              <w:right w:val="single" w:sz="4" w:space="0" w:color="auto"/>
            </w:tcBorders>
          </w:tcPr>
          <w:p w14:paraId="3492B373" w14:textId="77777777" w:rsidR="00F34BD4" w:rsidRPr="00D94B5E" w:rsidRDefault="00F34BD4" w:rsidP="00B823C1">
            <w:pPr>
              <w:spacing w:after="0"/>
              <w:jc w:val="center"/>
              <w:rPr>
                <w:color w:val="000000"/>
                <w:szCs w:val="20"/>
                <w:lang w:eastAsia="pl-PL"/>
              </w:rPr>
            </w:pPr>
            <w:r w:rsidRPr="00D94B5E">
              <w:rPr>
                <w:color w:val="000000"/>
                <w:szCs w:val="20"/>
                <w:lang w:eastAsia="pl-PL"/>
              </w:rPr>
              <w:t>143</w:t>
            </w:r>
          </w:p>
        </w:tc>
        <w:tc>
          <w:tcPr>
            <w:tcW w:w="623" w:type="dxa"/>
            <w:tcBorders>
              <w:top w:val="single" w:sz="4" w:space="0" w:color="auto"/>
              <w:left w:val="single" w:sz="4" w:space="0" w:color="auto"/>
              <w:bottom w:val="single" w:sz="4" w:space="0" w:color="auto"/>
              <w:right w:val="single" w:sz="4" w:space="0" w:color="auto"/>
            </w:tcBorders>
          </w:tcPr>
          <w:p w14:paraId="7AFB2036" w14:textId="77777777" w:rsidR="00F34BD4" w:rsidRPr="00D94B5E" w:rsidRDefault="00F34BD4" w:rsidP="00B823C1">
            <w:pPr>
              <w:spacing w:after="0"/>
              <w:jc w:val="center"/>
              <w:rPr>
                <w:color w:val="000000"/>
                <w:szCs w:val="20"/>
                <w:lang w:eastAsia="pl-PL"/>
              </w:rPr>
            </w:pPr>
            <w:r w:rsidRPr="00D94B5E">
              <w:rPr>
                <w:color w:val="000000"/>
                <w:szCs w:val="20"/>
                <w:lang w:eastAsia="pl-PL"/>
              </w:rPr>
              <w:t>143</w:t>
            </w:r>
          </w:p>
        </w:tc>
        <w:tc>
          <w:tcPr>
            <w:tcW w:w="655" w:type="dxa"/>
            <w:tcBorders>
              <w:top w:val="single" w:sz="4" w:space="0" w:color="auto"/>
              <w:left w:val="single" w:sz="4" w:space="0" w:color="auto"/>
              <w:bottom w:val="single" w:sz="4" w:space="0" w:color="auto"/>
              <w:right w:val="single" w:sz="4" w:space="0" w:color="auto"/>
            </w:tcBorders>
            <w:shd w:val="clear" w:color="auto" w:fill="auto"/>
            <w:noWrap/>
          </w:tcPr>
          <w:p w14:paraId="0F0FA4DE" w14:textId="77777777" w:rsidR="00F34BD4" w:rsidRPr="00D94B5E" w:rsidRDefault="00F34BD4" w:rsidP="00B823C1">
            <w:pPr>
              <w:spacing w:after="0"/>
              <w:jc w:val="center"/>
              <w:rPr>
                <w:color w:val="000000"/>
                <w:szCs w:val="20"/>
                <w:lang w:eastAsia="pl-PL"/>
              </w:rPr>
            </w:pPr>
            <w:r w:rsidRPr="00D94B5E">
              <w:rPr>
                <w:color w:val="000000"/>
                <w:szCs w:val="20"/>
                <w:lang w:eastAsia="pl-PL"/>
              </w:rPr>
              <w:t>143</w:t>
            </w:r>
          </w:p>
        </w:tc>
        <w:tc>
          <w:tcPr>
            <w:tcW w:w="1410" w:type="dxa"/>
            <w:vMerge/>
            <w:tcBorders>
              <w:left w:val="single" w:sz="4" w:space="0" w:color="auto"/>
              <w:bottom w:val="single" w:sz="4" w:space="0" w:color="auto"/>
              <w:right w:val="single" w:sz="4" w:space="0" w:color="auto"/>
            </w:tcBorders>
            <w:vAlign w:val="center"/>
          </w:tcPr>
          <w:p w14:paraId="663485D4" w14:textId="77777777" w:rsidR="00F34BD4" w:rsidRPr="00D94B5E" w:rsidRDefault="00F34BD4" w:rsidP="00B823C1">
            <w:pPr>
              <w:spacing w:after="0"/>
              <w:jc w:val="center"/>
              <w:rPr>
                <w:color w:val="000000"/>
                <w:szCs w:val="20"/>
                <w:lang w:eastAsia="pl-PL"/>
              </w:rPr>
            </w:pPr>
          </w:p>
        </w:tc>
      </w:tr>
      <w:tr w:rsidR="00F34BD4" w:rsidRPr="004D43AB" w14:paraId="60F0ED77" w14:textId="77777777" w:rsidTr="00B823C1">
        <w:trPr>
          <w:trHeight w:val="283"/>
        </w:trPr>
        <w:tc>
          <w:tcPr>
            <w:tcW w:w="1394" w:type="dxa"/>
            <w:tcBorders>
              <w:top w:val="nil"/>
              <w:left w:val="single" w:sz="4" w:space="0" w:color="auto"/>
              <w:bottom w:val="single" w:sz="4" w:space="0" w:color="auto"/>
              <w:right w:val="single" w:sz="4" w:space="0" w:color="auto"/>
            </w:tcBorders>
            <w:shd w:val="clear" w:color="auto" w:fill="auto"/>
            <w:noWrap/>
            <w:vAlign w:val="center"/>
            <w:hideMark/>
          </w:tcPr>
          <w:p w14:paraId="5D4F732F" w14:textId="77777777" w:rsidR="00F34BD4" w:rsidRPr="00D94B5E" w:rsidRDefault="00F34BD4" w:rsidP="00B823C1">
            <w:pPr>
              <w:spacing w:after="0"/>
              <w:jc w:val="center"/>
              <w:rPr>
                <w:color w:val="000000"/>
                <w:szCs w:val="20"/>
                <w:lang w:eastAsia="pl-PL"/>
              </w:rPr>
            </w:pPr>
            <w:r w:rsidRPr="00D94B5E">
              <w:rPr>
                <w:color w:val="000000"/>
                <w:szCs w:val="20"/>
                <w:lang w:eastAsia="pl-PL"/>
              </w:rPr>
              <w:t>Razem (</w:t>
            </w:r>
            <w:proofErr w:type="spellStart"/>
            <w:r w:rsidRPr="00D94B5E">
              <w:rPr>
                <w:color w:val="000000"/>
                <w:szCs w:val="20"/>
                <w:lang w:eastAsia="pl-PL"/>
              </w:rPr>
              <w:t>ktoe</w:t>
            </w:r>
            <w:proofErr w:type="spellEnd"/>
            <w:r w:rsidRPr="00D94B5E">
              <w:rPr>
                <w:color w:val="000000"/>
                <w:szCs w:val="20"/>
                <w:lang w:eastAsia="pl-PL"/>
              </w:rPr>
              <w:t>)</w:t>
            </w:r>
          </w:p>
        </w:tc>
        <w:tc>
          <w:tcPr>
            <w:tcW w:w="669" w:type="dxa"/>
            <w:tcBorders>
              <w:top w:val="nil"/>
              <w:left w:val="nil"/>
              <w:bottom w:val="single" w:sz="4" w:space="0" w:color="auto"/>
              <w:right w:val="single" w:sz="4" w:space="0" w:color="auto"/>
            </w:tcBorders>
            <w:shd w:val="clear" w:color="auto" w:fill="auto"/>
            <w:noWrap/>
            <w:vAlign w:val="center"/>
          </w:tcPr>
          <w:p w14:paraId="4C02A731" w14:textId="77777777" w:rsidR="00F34BD4" w:rsidRPr="00D94B5E" w:rsidRDefault="00F34BD4" w:rsidP="00B823C1">
            <w:pPr>
              <w:spacing w:after="0"/>
              <w:jc w:val="center"/>
              <w:rPr>
                <w:b/>
                <w:bCs/>
                <w:color w:val="000000"/>
                <w:szCs w:val="20"/>
                <w:lang w:eastAsia="pl-PL"/>
              </w:rPr>
            </w:pPr>
            <w:r w:rsidRPr="00D94B5E">
              <w:rPr>
                <w:rFonts w:cs="Calibri"/>
                <w:b/>
                <w:bCs/>
                <w:color w:val="000000"/>
                <w:szCs w:val="20"/>
              </w:rPr>
              <w:t>143</w:t>
            </w:r>
          </w:p>
        </w:tc>
        <w:tc>
          <w:tcPr>
            <w:tcW w:w="623" w:type="dxa"/>
            <w:tcBorders>
              <w:top w:val="nil"/>
              <w:left w:val="nil"/>
              <w:bottom w:val="single" w:sz="4" w:space="0" w:color="auto"/>
              <w:right w:val="single" w:sz="4" w:space="0" w:color="auto"/>
            </w:tcBorders>
            <w:shd w:val="clear" w:color="auto" w:fill="auto"/>
            <w:noWrap/>
            <w:vAlign w:val="center"/>
          </w:tcPr>
          <w:p w14:paraId="1CD4E9D4" w14:textId="77777777" w:rsidR="00F34BD4" w:rsidRPr="00D94B5E" w:rsidRDefault="00F34BD4" w:rsidP="00B823C1">
            <w:pPr>
              <w:spacing w:after="0"/>
              <w:jc w:val="center"/>
              <w:rPr>
                <w:b/>
                <w:bCs/>
                <w:color w:val="000000"/>
                <w:szCs w:val="20"/>
                <w:lang w:eastAsia="pl-PL"/>
              </w:rPr>
            </w:pPr>
            <w:r w:rsidRPr="00D94B5E">
              <w:rPr>
                <w:rFonts w:cs="Calibri"/>
                <w:b/>
                <w:bCs/>
                <w:color w:val="000000"/>
                <w:szCs w:val="20"/>
              </w:rPr>
              <w:t>646</w:t>
            </w:r>
          </w:p>
        </w:tc>
        <w:tc>
          <w:tcPr>
            <w:tcW w:w="623" w:type="dxa"/>
            <w:tcBorders>
              <w:top w:val="nil"/>
              <w:left w:val="nil"/>
              <w:bottom w:val="single" w:sz="4" w:space="0" w:color="auto"/>
              <w:right w:val="single" w:sz="4" w:space="0" w:color="auto"/>
            </w:tcBorders>
            <w:shd w:val="clear" w:color="auto" w:fill="auto"/>
            <w:noWrap/>
            <w:vAlign w:val="center"/>
          </w:tcPr>
          <w:p w14:paraId="2F1B3A7D" w14:textId="77777777" w:rsidR="00F34BD4" w:rsidRPr="00D94B5E" w:rsidRDefault="00F34BD4" w:rsidP="00B823C1">
            <w:pPr>
              <w:spacing w:after="0"/>
              <w:jc w:val="center"/>
              <w:rPr>
                <w:b/>
                <w:bCs/>
                <w:color w:val="000000"/>
                <w:szCs w:val="20"/>
                <w:lang w:eastAsia="pl-PL"/>
              </w:rPr>
            </w:pPr>
            <w:r w:rsidRPr="00D94B5E">
              <w:rPr>
                <w:rFonts w:cs="Calibri"/>
                <w:b/>
                <w:bCs/>
                <w:color w:val="000000"/>
                <w:szCs w:val="20"/>
              </w:rPr>
              <w:t>1198</w:t>
            </w:r>
          </w:p>
        </w:tc>
        <w:tc>
          <w:tcPr>
            <w:tcW w:w="623" w:type="dxa"/>
            <w:tcBorders>
              <w:top w:val="nil"/>
              <w:left w:val="nil"/>
              <w:bottom w:val="single" w:sz="4" w:space="0" w:color="auto"/>
              <w:right w:val="single" w:sz="4" w:space="0" w:color="auto"/>
            </w:tcBorders>
            <w:shd w:val="clear" w:color="auto" w:fill="auto"/>
            <w:noWrap/>
            <w:vAlign w:val="center"/>
          </w:tcPr>
          <w:p w14:paraId="429FAA65" w14:textId="77777777" w:rsidR="00F34BD4" w:rsidRPr="00D94B5E" w:rsidRDefault="00F34BD4" w:rsidP="00B823C1">
            <w:pPr>
              <w:spacing w:after="0"/>
              <w:jc w:val="center"/>
              <w:rPr>
                <w:b/>
                <w:bCs/>
                <w:color w:val="000000"/>
                <w:szCs w:val="20"/>
                <w:lang w:eastAsia="pl-PL"/>
              </w:rPr>
            </w:pPr>
            <w:r w:rsidRPr="00D94B5E">
              <w:rPr>
                <w:rFonts w:cs="Calibri"/>
                <w:b/>
                <w:bCs/>
                <w:color w:val="000000"/>
                <w:szCs w:val="20"/>
              </w:rPr>
              <w:t>1750</w:t>
            </w:r>
          </w:p>
        </w:tc>
        <w:tc>
          <w:tcPr>
            <w:tcW w:w="655" w:type="dxa"/>
            <w:tcBorders>
              <w:top w:val="nil"/>
              <w:left w:val="nil"/>
              <w:bottom w:val="single" w:sz="4" w:space="0" w:color="auto"/>
              <w:right w:val="single" w:sz="4" w:space="0" w:color="auto"/>
            </w:tcBorders>
            <w:shd w:val="clear" w:color="auto" w:fill="auto"/>
            <w:noWrap/>
            <w:vAlign w:val="center"/>
          </w:tcPr>
          <w:p w14:paraId="0258CE7F" w14:textId="77777777" w:rsidR="00F34BD4" w:rsidRPr="00D94B5E" w:rsidRDefault="00F34BD4" w:rsidP="00B823C1">
            <w:pPr>
              <w:spacing w:after="0"/>
              <w:jc w:val="center"/>
              <w:rPr>
                <w:b/>
                <w:bCs/>
                <w:color w:val="000000"/>
                <w:szCs w:val="20"/>
                <w:lang w:eastAsia="pl-PL"/>
              </w:rPr>
            </w:pPr>
            <w:r w:rsidRPr="00D94B5E">
              <w:rPr>
                <w:rFonts w:cs="Calibri"/>
                <w:b/>
                <w:bCs/>
                <w:color w:val="000000"/>
                <w:szCs w:val="20"/>
              </w:rPr>
              <w:t>2326</w:t>
            </w:r>
          </w:p>
        </w:tc>
        <w:tc>
          <w:tcPr>
            <w:tcW w:w="655" w:type="dxa"/>
            <w:tcBorders>
              <w:top w:val="nil"/>
              <w:left w:val="nil"/>
              <w:bottom w:val="single" w:sz="4" w:space="0" w:color="auto"/>
              <w:right w:val="single" w:sz="4" w:space="0" w:color="auto"/>
            </w:tcBorders>
            <w:shd w:val="clear" w:color="auto" w:fill="auto"/>
            <w:noWrap/>
            <w:vAlign w:val="center"/>
          </w:tcPr>
          <w:p w14:paraId="23F67D89" w14:textId="77777777" w:rsidR="00F34BD4" w:rsidRPr="00D94B5E" w:rsidRDefault="00F34BD4" w:rsidP="00B823C1">
            <w:pPr>
              <w:spacing w:after="0"/>
              <w:jc w:val="center"/>
              <w:rPr>
                <w:b/>
                <w:bCs/>
                <w:color w:val="000000"/>
                <w:szCs w:val="20"/>
                <w:lang w:eastAsia="pl-PL"/>
              </w:rPr>
            </w:pPr>
            <w:r w:rsidRPr="00D94B5E">
              <w:rPr>
                <w:rFonts w:cs="Calibri"/>
                <w:b/>
                <w:bCs/>
                <w:color w:val="000000"/>
                <w:szCs w:val="20"/>
              </w:rPr>
              <w:t>2927</w:t>
            </w:r>
          </w:p>
        </w:tc>
        <w:tc>
          <w:tcPr>
            <w:tcW w:w="623" w:type="dxa"/>
            <w:tcBorders>
              <w:top w:val="single" w:sz="4" w:space="0" w:color="auto"/>
              <w:left w:val="single" w:sz="4" w:space="0" w:color="auto"/>
              <w:bottom w:val="single" w:sz="4" w:space="0" w:color="auto"/>
              <w:right w:val="single" w:sz="4" w:space="0" w:color="auto"/>
            </w:tcBorders>
            <w:vAlign w:val="center"/>
          </w:tcPr>
          <w:p w14:paraId="423AA85E" w14:textId="77777777" w:rsidR="00F34BD4" w:rsidRPr="00D94B5E" w:rsidRDefault="00F34BD4" w:rsidP="00B823C1">
            <w:pPr>
              <w:spacing w:after="0"/>
              <w:jc w:val="center"/>
              <w:rPr>
                <w:b/>
                <w:bCs/>
                <w:color w:val="000000"/>
                <w:szCs w:val="20"/>
                <w:lang w:eastAsia="pl-PL"/>
              </w:rPr>
            </w:pPr>
            <w:r w:rsidRPr="00D94B5E">
              <w:rPr>
                <w:rFonts w:cs="Calibri"/>
                <w:b/>
                <w:bCs/>
                <w:color w:val="000000"/>
                <w:szCs w:val="20"/>
              </w:rPr>
              <w:t>3552</w:t>
            </w:r>
          </w:p>
        </w:tc>
        <w:tc>
          <w:tcPr>
            <w:tcW w:w="623" w:type="dxa"/>
            <w:tcBorders>
              <w:top w:val="single" w:sz="4" w:space="0" w:color="auto"/>
              <w:left w:val="single" w:sz="4" w:space="0" w:color="auto"/>
              <w:bottom w:val="single" w:sz="4" w:space="0" w:color="auto"/>
              <w:right w:val="single" w:sz="4" w:space="0" w:color="auto"/>
            </w:tcBorders>
            <w:vAlign w:val="center"/>
          </w:tcPr>
          <w:p w14:paraId="5F5A0672" w14:textId="77777777" w:rsidR="00F34BD4" w:rsidRPr="00D94B5E" w:rsidRDefault="00F34BD4" w:rsidP="00B823C1">
            <w:pPr>
              <w:spacing w:after="0"/>
              <w:jc w:val="center"/>
              <w:rPr>
                <w:b/>
                <w:bCs/>
                <w:color w:val="000000"/>
                <w:szCs w:val="20"/>
                <w:lang w:eastAsia="pl-PL"/>
              </w:rPr>
            </w:pPr>
            <w:r w:rsidRPr="00D94B5E">
              <w:rPr>
                <w:rFonts w:cs="Calibri"/>
                <w:b/>
                <w:bCs/>
                <w:color w:val="000000"/>
                <w:szCs w:val="20"/>
              </w:rPr>
              <w:t>4202</w:t>
            </w:r>
          </w:p>
        </w:tc>
        <w:tc>
          <w:tcPr>
            <w:tcW w:w="623" w:type="dxa"/>
            <w:tcBorders>
              <w:top w:val="single" w:sz="4" w:space="0" w:color="auto"/>
              <w:left w:val="single" w:sz="4" w:space="0" w:color="auto"/>
              <w:bottom w:val="single" w:sz="4" w:space="0" w:color="auto"/>
              <w:right w:val="single" w:sz="4" w:space="0" w:color="auto"/>
            </w:tcBorders>
            <w:vAlign w:val="center"/>
          </w:tcPr>
          <w:p w14:paraId="1BB63DA0" w14:textId="77777777" w:rsidR="00F34BD4" w:rsidRPr="00D94B5E" w:rsidRDefault="00F34BD4" w:rsidP="00B823C1">
            <w:pPr>
              <w:spacing w:after="0"/>
              <w:jc w:val="center"/>
              <w:rPr>
                <w:b/>
                <w:bCs/>
                <w:color w:val="000000"/>
                <w:szCs w:val="20"/>
                <w:lang w:eastAsia="pl-PL"/>
              </w:rPr>
            </w:pPr>
            <w:r w:rsidRPr="00D94B5E">
              <w:rPr>
                <w:rFonts w:cs="Calibri"/>
                <w:b/>
                <w:bCs/>
                <w:color w:val="000000"/>
                <w:szCs w:val="20"/>
              </w:rPr>
              <w:t>4877</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6E06B" w14:textId="77777777" w:rsidR="00F34BD4" w:rsidRPr="00D94B5E" w:rsidRDefault="00F34BD4" w:rsidP="00B823C1">
            <w:pPr>
              <w:spacing w:after="0"/>
              <w:jc w:val="center"/>
              <w:rPr>
                <w:b/>
                <w:bCs/>
                <w:color w:val="000000"/>
                <w:szCs w:val="20"/>
                <w:lang w:eastAsia="pl-PL"/>
              </w:rPr>
            </w:pPr>
            <w:r w:rsidRPr="00D94B5E">
              <w:rPr>
                <w:rFonts w:cs="Calibri"/>
                <w:b/>
                <w:bCs/>
                <w:color w:val="000000"/>
                <w:szCs w:val="20"/>
              </w:rPr>
              <w:t>5576</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3ABC32AD" w14:textId="77777777" w:rsidR="00F34BD4" w:rsidRPr="00D94B5E" w:rsidRDefault="00F34BD4" w:rsidP="00B823C1">
            <w:pPr>
              <w:spacing w:after="0"/>
              <w:jc w:val="center"/>
              <w:rPr>
                <w:b/>
                <w:bCs/>
                <w:color w:val="000000"/>
                <w:szCs w:val="20"/>
                <w:lang w:eastAsia="pl-PL"/>
              </w:rPr>
            </w:pPr>
            <w:r w:rsidRPr="00341BF1">
              <w:rPr>
                <w:rFonts w:cs="Calibri"/>
                <w:b/>
                <w:color w:val="4472C4" w:themeColor="accent1"/>
                <w:szCs w:val="20"/>
              </w:rPr>
              <w:t>27 197</w:t>
            </w:r>
          </w:p>
        </w:tc>
      </w:tr>
    </w:tbl>
    <w:p w14:paraId="15D2C72C" w14:textId="77777777" w:rsidR="00F34BD4" w:rsidRDefault="00F34BD4" w:rsidP="00F34BD4">
      <w:pPr>
        <w:spacing w:after="0" w:line="360" w:lineRule="auto"/>
        <w:ind w:firstLine="709"/>
      </w:pPr>
    </w:p>
    <w:p w14:paraId="522FADC3" w14:textId="77777777" w:rsidR="00F34BD4" w:rsidRDefault="00F34BD4" w:rsidP="00373FD3">
      <w:r w:rsidRPr="00075176">
        <w:t xml:space="preserve">Szacuje się, że do 31 grudnia 2030 roku strony zobowiązane przedstawią </w:t>
      </w:r>
      <w:r>
        <w:t xml:space="preserve">całkowite </w:t>
      </w:r>
      <w:r w:rsidRPr="00075176">
        <w:t xml:space="preserve">skumulowane oszczędności energii w wysokości </w:t>
      </w:r>
      <w:r>
        <w:t>27 198</w:t>
      </w:r>
      <w:r w:rsidRPr="00312085">
        <w:t xml:space="preserve"> </w:t>
      </w:r>
      <w:proofErr w:type="spellStart"/>
      <w:r w:rsidRPr="00312085">
        <w:t>ktoe</w:t>
      </w:r>
      <w:proofErr w:type="spellEnd"/>
      <w:r>
        <w:t xml:space="preserve">. Zakładaną wysokość oszczędności końcowego zużycia energii od 2022 r. w ramach obowiązku, podmioty zobowiązane mogą realizować również poprzez </w:t>
      </w:r>
      <w:r>
        <w:lastRenderedPageBreak/>
        <w:t>program bezzwrotnych dofinansowań – zatem zakłada się, że wysokość nałożonego obowiązku zostanie osiągnięta</w:t>
      </w:r>
      <w:r w:rsidDel="008F0A18">
        <w:t>.</w:t>
      </w:r>
      <w:r>
        <w:t xml:space="preserve"> W związku z powyższym nie planuje się zwiększania poziomu obowiązku dla podmiotów zobowiązanych w ramach systemu świadectw efektywności energetycznej. Niemniej jednak planowane są zmiany ww. systemu tak aby był on przystępniejszy dla podmiotów zobowiązanych, co w rezultacie przyczyni się do osiągnięcia zamierzonego celu.</w:t>
      </w:r>
    </w:p>
    <w:p w14:paraId="06DB7186" w14:textId="77777777" w:rsidR="00F34BD4" w:rsidRPr="00D10181" w:rsidRDefault="00F34BD4" w:rsidP="00FF3BC7">
      <w:pPr>
        <w:pStyle w:val="Akapitzlist"/>
        <w:numPr>
          <w:ilvl w:val="0"/>
          <w:numId w:val="3"/>
        </w:numPr>
        <w:spacing w:before="120" w:after="240" w:line="360" w:lineRule="auto"/>
        <w:ind w:left="1134" w:hanging="357"/>
        <w:jc w:val="left"/>
        <w:rPr>
          <w:b/>
          <w:bCs/>
          <w:color w:val="2F5496" w:themeColor="accent1" w:themeShade="BF"/>
        </w:rPr>
      </w:pPr>
      <w:r w:rsidRPr="00D10181">
        <w:rPr>
          <w:b/>
          <w:bCs/>
          <w:color w:val="2F5496" w:themeColor="accent1" w:themeShade="BF"/>
        </w:rPr>
        <w:t>Informacja o sposobie postępowania z ewentualnym dublowaniem się środków i indywidualnych działań w celu unikania podwójnego zaliczania oszczędności energii</w:t>
      </w:r>
    </w:p>
    <w:p w14:paraId="2B9ECAF7" w14:textId="77777777" w:rsidR="00F34BD4" w:rsidRPr="00E920E1" w:rsidRDefault="00F34BD4" w:rsidP="00373FD3">
      <w:r w:rsidRPr="00E920E1">
        <w:t xml:space="preserve">Zgodnie z art. 8 ust. 14 dyrektywy </w:t>
      </w:r>
      <w:r>
        <w:t>2023/1791/UE</w:t>
      </w:r>
      <w:r w:rsidRPr="00E920E1">
        <w:t xml:space="preserve"> wymaga się, aby państwa członkowskie wykazywały, że w przypadkach, w których skutki środków z dziedziny polityki lub działań indywidualnych nakładają się na siebie, oszczędność energii nie była liczona podwójnie. </w:t>
      </w:r>
    </w:p>
    <w:p w14:paraId="05DD42CC" w14:textId="77777777" w:rsidR="00F34BD4" w:rsidRPr="00435887" w:rsidRDefault="00F34BD4" w:rsidP="00373FD3">
      <w:r w:rsidRPr="00E920E1">
        <w:t>W ramach systemu zobowiązującego do efektywności energetycznej świadectwa są wydawane przez Prezesa URE za realizację określonego przedsięwzięcia służącego poprawie efektywności energetycznej. Wszystkie świadectwa są numerowane i rejestrowane. Dane zawarte we wniosku o wydanie świadectwa efektywności energetycznej oraz w powiązanym z tym świadectwem audycie efektywności energetycznej jednoznacznie identyfikują miejsce, sposób i termin przeprowadzenia danego przedsięwzięcia. Wyklucza to możliwość wydania świadectw za to samo przedsięwzięcie dla dwu różnych podmiotów, czyli nie mogą być zgłaszane oszczędności energii wynikające z działania indywidualnego przez więcej niż jedną stronę zobowiązaną, o czym mówi Załącznik V pkt 3 lit. g) dyrektywy 20123/…/UE.</w:t>
      </w:r>
      <w:r w:rsidRPr="00435887">
        <w:t xml:space="preserve">  </w:t>
      </w:r>
    </w:p>
    <w:p w14:paraId="14583027" w14:textId="77777777" w:rsidR="00F34BD4" w:rsidRDefault="00F34BD4" w:rsidP="00373FD3">
      <w:r w:rsidRPr="00435887">
        <w:t>W tym zakresie skutecznym narzędziem jest prowadzenie krajowej bazy danych, w której rejestrowane są wydane świadectwa efektywności energetycznej wraz z informacją o podmiocie, który otrzymał wsparcie zachęcające do realizacji danego przedsięwzięcia służącego poprawie efektywności energetycznej.</w:t>
      </w:r>
    </w:p>
    <w:p w14:paraId="163C09CF" w14:textId="77777777" w:rsidR="00F34BD4" w:rsidRPr="00D10181" w:rsidRDefault="00F34BD4" w:rsidP="00FF3BC7">
      <w:pPr>
        <w:pStyle w:val="Akapitzlist"/>
        <w:numPr>
          <w:ilvl w:val="0"/>
          <w:numId w:val="3"/>
        </w:numPr>
        <w:spacing w:before="240" w:after="240" w:line="360" w:lineRule="auto"/>
        <w:ind w:left="1134" w:hanging="357"/>
        <w:jc w:val="left"/>
        <w:rPr>
          <w:b/>
          <w:bCs/>
          <w:color w:val="2F5496" w:themeColor="accent1" w:themeShade="BF"/>
        </w:rPr>
      </w:pPr>
      <w:r w:rsidRPr="00D10181">
        <w:rPr>
          <w:b/>
          <w:bCs/>
          <w:color w:val="2F5496" w:themeColor="accent1" w:themeShade="BF"/>
        </w:rPr>
        <w:t>Uwzględnianie różnic klimatycznych między regionami i zastosowane podejście</w:t>
      </w:r>
    </w:p>
    <w:p w14:paraId="1851022C" w14:textId="77777777" w:rsidR="00F34BD4" w:rsidRPr="00870C36" w:rsidRDefault="00F34BD4" w:rsidP="00373FD3">
      <w:r w:rsidRPr="00D87D8E">
        <w:t xml:space="preserve">W pkt 2 lit. o) Załącznika V do dyrektywy </w:t>
      </w:r>
      <w:r>
        <w:t>2023/1791/UE</w:t>
      </w:r>
      <w:r w:rsidRPr="00D87D8E">
        <w:t xml:space="preserve"> zezwala</w:t>
      </w:r>
      <w:r w:rsidRPr="00870C36">
        <w:t xml:space="preserve"> się, by państwa członkowskie dostosowywały oszczędności energii w celu uwzględnienia różnic klimatycznych między regionami. Przepis ten obejmuje dwie opcje: dostosowanie oszczędności energii do wartości standardowej lub przypisanie różnych oszczędności energii odpowiednio do różnic temperaturowych występujących między regionami. </w:t>
      </w:r>
    </w:p>
    <w:p w14:paraId="76CD1FC2" w14:textId="77777777" w:rsidR="00F34BD4" w:rsidRPr="00870C36" w:rsidRDefault="00F34BD4" w:rsidP="00373FD3">
      <w:r w:rsidRPr="00870C36">
        <w:t xml:space="preserve">Różnice klimatyczne między regionami są uwzględniane przy obliczaniu oszczędności energii wynikających z realizacji przedsięwzięć w zakresie przebudowy lub remontu budynków, w tym w szczególności przedsięwzięć termomodernizacyjnych. Przykładami przedsięwzięć termomodernizacyjnych są: ocieplenie ścian zewnętrznych, dachu lub stropodachu, modernizacja lub wymiana stolarki okiennej oraz modernizacja instalacji ciepłej wody użytkowej lub ogrzewania budynku. </w:t>
      </w:r>
    </w:p>
    <w:p w14:paraId="36484426" w14:textId="77777777" w:rsidR="00F34BD4" w:rsidRPr="00870C36" w:rsidRDefault="00F34BD4" w:rsidP="00373FD3">
      <w:r w:rsidRPr="00870C36">
        <w:t xml:space="preserve">Zgodnie z przepisami ustawy - Prawo budowlane, w Polsce zostały wprowadzone strefy klimatyczne o odwróconych obliczeniowych temperaturach zewnętrznych, wykorzystywanych do wyznaczenia bilansu ciepła, niezbędnego do ogrzewania pomieszczeń kubaturowych. W przypadku przedsięwzięć w zakresie przebudowy lub remontu budynku przy obliczaniu uzyskanych oszczędności energii stosowane mogą być współczynniki ostrości klimatu. Współczynniki te określa się dla poszczególnych województw na podstawie danych ze stacji pomiarowych. Przykładowo dla województwa o łagodniejszym klimacie na zachodzie kraju współczynnik ten wynosi 0,975, a dla województwa o ostrzejszym klimacie na wschodzie kraju wynosi on 1,124. Zatem różnice temperaturowe występujące między regionami są uwzględniane poprzez przypisanie różnych oszczędności energii odpowiednio do tych różnic. </w:t>
      </w:r>
    </w:p>
    <w:p w14:paraId="0D6B2439" w14:textId="77777777" w:rsidR="00F34BD4" w:rsidRPr="00D10181" w:rsidRDefault="00F34BD4" w:rsidP="00FF3BC7">
      <w:pPr>
        <w:pStyle w:val="Akapitzlist"/>
        <w:numPr>
          <w:ilvl w:val="0"/>
          <w:numId w:val="3"/>
        </w:numPr>
        <w:spacing w:before="120" w:after="240" w:line="360" w:lineRule="auto"/>
        <w:ind w:left="1134" w:hanging="357"/>
        <w:jc w:val="left"/>
        <w:rPr>
          <w:b/>
          <w:bCs/>
          <w:color w:val="2F5496" w:themeColor="accent1" w:themeShade="BF"/>
        </w:rPr>
      </w:pPr>
      <w:r w:rsidRPr="00D10181">
        <w:rPr>
          <w:b/>
          <w:bCs/>
          <w:color w:val="2F5496" w:themeColor="accent1" w:themeShade="BF"/>
        </w:rPr>
        <w:t>Monitorowanie i weryfikacja</w:t>
      </w:r>
    </w:p>
    <w:p w14:paraId="62595DF2" w14:textId="77777777" w:rsidR="00F34BD4" w:rsidRPr="00B6782A" w:rsidRDefault="00F34BD4" w:rsidP="00373FD3">
      <w:r w:rsidRPr="00B6782A">
        <w:t xml:space="preserve">W ramach systemu zobowiązującego do efektywności energetycznej, ustanowionego w Polsce na podstawie ustawy o efektywności energetycznej, podmiot zgłaszający przedsięwzięcie służące poprawie </w:t>
      </w:r>
      <w:r w:rsidRPr="00B6782A">
        <w:lastRenderedPageBreak/>
        <w:t>efektywności energetycznej musi przedłożyć Prezesowi URE audyt efektywności energetycznej sporządzony dla tego przedsięwzięcia.</w:t>
      </w:r>
    </w:p>
    <w:p w14:paraId="1975F272" w14:textId="77777777" w:rsidR="00F34BD4" w:rsidRPr="00B6782A" w:rsidRDefault="00F34BD4" w:rsidP="00373FD3">
      <w:r w:rsidRPr="00B6782A">
        <w:t>Zgodnie z obowiązującymi przepisami, Prezes URE dokonuje albo zleca dokonanie innym podmiotom, wyłonionym na zasadach i w trybie określonym w przepisach o zamówieniach publicznych, wyrywkowej weryfikacji audytu efektywności energetycznej oraz zgodności oszczędności energii uzyskanej w wyniku realizacji przedsięwzięcia służącego poprawie efektywności energetycznej z ilością oszczędności energii zadeklarowanej przez podmiot, któremu przyznane świadectwo efektywności energetycznej.</w:t>
      </w:r>
    </w:p>
    <w:p w14:paraId="5CE2B79C" w14:textId="77777777" w:rsidR="00F34BD4" w:rsidRPr="00B6782A" w:rsidRDefault="00F34BD4" w:rsidP="00373FD3">
      <w:r w:rsidRPr="00B6782A">
        <w:t>Wyrywkowej weryfikacji audytu efektywności energetycznej dokonują określone podmioty, które są niezależne od stron zobowiązanych. Weryfikatorami audytów mogą być pracownicy organu nadzorującego system tj. Urzędu Regulacji Energetyki (URE) albo podmioty zewnętrzne wyłonione przez Prezesa URE w procedurze zamówień publicznych.</w:t>
      </w:r>
    </w:p>
    <w:p w14:paraId="00AABE5B" w14:textId="77777777" w:rsidR="00F34BD4" w:rsidRPr="00B6782A" w:rsidRDefault="00F34BD4" w:rsidP="00373FD3">
      <w:r w:rsidRPr="00B6782A">
        <w:t xml:space="preserve">Ponadto zgodnie z obowiązującymi przepisami ustawowymi audyty efektywności energetycznej potwierdzające uzyskaną oszczędność energii oraz oświadczenia podmiotów, którym wydano świadectwa efektywności energetycznej, podlegają procedurze weryfikacji dokonywanej przez Prezesa URE. W przepisach ustawy przewidziano kary pieniężne za nie przedstawienie do umorzenia Prezesowi URE świadectwa efektywności energetycznej o wartości odpowiadającej brakującej oszczędności energii końcowej, jeżeli w wyniku weryfikacji zostało stwierdzone, że uzyskana oszczędność energii była niższa niż określona we wniosku o wydanie świadectwa. </w:t>
      </w:r>
    </w:p>
    <w:p w14:paraId="31556501" w14:textId="4F7EBD97" w:rsidR="00F34BD4" w:rsidRPr="00B6782A" w:rsidRDefault="00F34BD4" w:rsidP="00373FD3">
      <w:r w:rsidRPr="00B6782A">
        <w:t>Zgodnie z wytycznymi zawartymi w Zaleceniu Komisji</w:t>
      </w:r>
      <w:r w:rsidRPr="00373FD3">
        <w:fldChar w:fldCharType="begin"/>
      </w:r>
      <w:r w:rsidRPr="00373FD3">
        <w:instrText xml:space="preserve"> NOTEREF _Ref133923497 \h  \* MERGEFORMAT </w:instrText>
      </w:r>
      <w:r w:rsidRPr="00373FD3">
        <w:fldChar w:fldCharType="separate"/>
      </w:r>
      <w:r w:rsidR="00FD1148">
        <w:t>3</w:t>
      </w:r>
      <w:r w:rsidRPr="00373FD3">
        <w:fldChar w:fldCharType="end"/>
      </w:r>
      <w:r w:rsidRPr="00B6782A">
        <w:t xml:space="preserve">: wybranie statystycznie istotnej i reprezentatywnej próby środków mających na celu poprawę efektywności energetycznej obejmuje ustanowienie podzbioru populacji statystycznej działań służących oszczędności energii w ramach każdego ze środków, który to podzbiór dokładnie odzwierciedlałby całą populację wszystkich działań służących oszczędności energii, a tym samym umożliwiał wyciągnięcie uzasadnionych wniosków dotyczących zaufania do całości środków. </w:t>
      </w:r>
    </w:p>
    <w:p w14:paraId="341096D4" w14:textId="77777777" w:rsidR="00F34BD4" w:rsidRPr="00B6782A" w:rsidRDefault="00F34BD4" w:rsidP="00373FD3">
      <w:r w:rsidRPr="00B6782A">
        <w:t>W przepisach dotyczących funkcjonowania systemu zobowiązującego do efektywności energetycznej stosowane są pojęcia weryfikacji oraz kontroli, choć nie występują one zamiennie, lecz każde z nich dotyczy innego podmiotu oraz odrębnie zostały określone ich zasady. Zgodnie z tymi przepisami Prezes URE dokonuje weryfikacji formalnej wszystkich przedłożonych audytów efektywności energetycznej oraz weryfikacji wyrywkowej zgodności oszczędności energii końcowej osiągniętej z przedsięwzięcia lub przedsięwzięć tego samego rodzaju, służących poprawie efektywności energetycznej, których realizację zakończono, z ilością energii finalnej określonej we wniosku o wydanie świadectwa efektywności energetycznej. Z kolei inne przepisy ustawowe przewidują możliwości przeprowadzenia kontroli zgodności ze stanem faktycznym oświadczenia, dołączanego do wniosku o wydanie świadectwa efektywności energetycznej.</w:t>
      </w:r>
    </w:p>
    <w:p w14:paraId="7B772295" w14:textId="77777777" w:rsidR="00F34BD4" w:rsidRPr="00B6782A" w:rsidRDefault="00F34BD4" w:rsidP="00373FD3">
      <w:r w:rsidRPr="00B6782A">
        <w:t xml:space="preserve">Należy podkreślić, że zgodnie z przepisami ustawy wszystkie przedsięwzięcia, w związku z którymi wnioskowano o przyznanie świadectwa za osiągnięcie średniorocznej oszczędności energii końcowej w ilości powyżej 100 </w:t>
      </w:r>
      <w:proofErr w:type="spellStart"/>
      <w:r w:rsidRPr="00B6782A">
        <w:t>toe</w:t>
      </w:r>
      <w:proofErr w:type="spellEnd"/>
      <w:r w:rsidRPr="00B6782A">
        <w:t xml:space="preserve"> muszą być zweryfikowane po zrealizowaniu przedsięwzięcia poprzez sporządzenie audytu przez podmiot, który otrzymał to świadectwo. Jest to tzw. audyt powykonawczy potwierdzający uzyskaną oszczędność energii końcowej. Podmiot, który otrzymał świadectwo, załącza oświadczenie potwierdzające zgodność oszczędności energii uzyskanej po zrealizowaniu przedsięwzięcia z wielkością oszczędności energii określoną w świadectwie. Natomiast w przypadku przedsięwzięć, w związku z którymi przyznano świadectwa za osiągnięcie średniorocznej oszczędności energii końcowej w ilości poniżej 100 </w:t>
      </w:r>
      <w:proofErr w:type="spellStart"/>
      <w:r w:rsidRPr="00B6782A">
        <w:t>toe</w:t>
      </w:r>
      <w:proofErr w:type="spellEnd"/>
      <w:r w:rsidRPr="00B6782A">
        <w:t>, nie musi być sporządzany audyt powykonawczy, ale przeprowadzana jest dla tych przedsięwzięć przez Prezesa URE weryfikacja wyrywkowa.</w:t>
      </w:r>
    </w:p>
    <w:p w14:paraId="2476B557" w14:textId="77777777" w:rsidR="00F34BD4" w:rsidRPr="00B6782A" w:rsidRDefault="00F34BD4" w:rsidP="00373FD3">
      <w:r w:rsidRPr="00B6782A">
        <w:t xml:space="preserve">Weryfikacja wolumenu przedsięwzięć za które przyznano świadectwa dotyczy przypadku tzw. średniej liczby środków. Zatem w tym przypadku stosowna może być próbka obejmująca odsetek około 10% populacji, a liczba weryfikowanych audytów efektywności energetycznej powinna przekraczać 20, co jest w praktyce odpowiednie i reprezentatywne w odniesieniu do ogólnej liczby zgłaszanych środków. </w:t>
      </w:r>
    </w:p>
    <w:p w14:paraId="79178891" w14:textId="77777777" w:rsidR="00F34BD4" w:rsidRPr="00B6782A" w:rsidRDefault="00F34BD4" w:rsidP="00373FD3">
      <w:r w:rsidRPr="00B6782A">
        <w:lastRenderedPageBreak/>
        <w:t xml:space="preserve">Zgodnie z przepisami ustawy o efektywności energetycznej Prezes URE każdego roku publikuje informacje o wydanych świadectwach efektywności energetycznej wraz z kartami audytu efektywności energetycznej, oraz o osiągniętej łącznej oszczędności energii wynikającej z realizacji obowiązku przez podmioty zobowiązane, co zapewnia spełnienie wymogu </w:t>
      </w:r>
      <w:r w:rsidRPr="0009690A">
        <w:t>art. 9 ust. 12</w:t>
      </w:r>
      <w:r>
        <w:t xml:space="preserve">, </w:t>
      </w:r>
      <w:r w:rsidRPr="00B6782A">
        <w:t xml:space="preserve">o podawaniu do publicznej wiadomości informacji o oszczędności energii osiągniętej w ramach systemu. </w:t>
      </w:r>
    </w:p>
    <w:p w14:paraId="16DF2B33" w14:textId="77777777" w:rsidR="00F34BD4" w:rsidRDefault="00F34BD4" w:rsidP="00373FD3">
      <w:r w:rsidRPr="00B6782A">
        <w:t xml:space="preserve">W ramach systemu zobowiązującego do efektywności energetycznej za niedopełnienie obowiązku przewidziane są sankcje w postaci kar pieniężnych. Kary te są wymierzane zgodnie z zasadami, o których mowa w </w:t>
      </w:r>
      <w:r w:rsidRPr="00D94B5E">
        <w:t>art. 32 dyrektywy,</w:t>
      </w:r>
      <w:r w:rsidRPr="006A7930">
        <w:t xml:space="preserve"> tj.</w:t>
      </w:r>
      <w:r w:rsidRPr="00B6782A">
        <w:t xml:space="preserve"> powinny one być: „skuteczne, proporcjonalne i odstraszające”, toteż wysokość kary nie jest wyższa niż 10% przychodu ukaranego przedsiębiorstwa. Ustalając wysokość kar Prezes URE uwzględnia zakres naruszeń, powtarzalność naruszeń lub korzyści finansowe możliwe do uzyskania z tytułu naruszenia. Prezes URE może odstąpić od wymierzenia kary, jeżeli uzna zakres naruszeń za znikomy. </w:t>
      </w:r>
    </w:p>
    <w:p w14:paraId="5E7E51C0" w14:textId="77777777" w:rsidR="00F34BD4" w:rsidRPr="00373FD3" w:rsidRDefault="00F34BD4" w:rsidP="00FF3BC7">
      <w:pPr>
        <w:pStyle w:val="NormalnyWeb"/>
        <w:numPr>
          <w:ilvl w:val="1"/>
          <w:numId w:val="2"/>
        </w:numPr>
        <w:spacing w:before="120" w:beforeAutospacing="0" w:after="60" w:afterAutospacing="0" w:line="360" w:lineRule="auto"/>
        <w:ind w:left="1134" w:hanging="567"/>
        <w:rPr>
          <w:rFonts w:ascii="Lato" w:hAnsi="Lato" w:cs="Arial"/>
          <w:color w:val="1F3864" w:themeColor="accent1" w:themeShade="80"/>
          <w:sz w:val="22"/>
          <w:szCs w:val="22"/>
        </w:rPr>
      </w:pPr>
      <w:r w:rsidRPr="00373FD3">
        <w:rPr>
          <w:rFonts w:ascii="Lato" w:hAnsi="Lato" w:cs="Arial"/>
          <w:b/>
          <w:color w:val="1F3864" w:themeColor="accent1" w:themeShade="80"/>
          <w:sz w:val="22"/>
          <w:szCs w:val="22"/>
        </w:rPr>
        <w:t>Alternatywne środki z dziedziny polityki funkcjonujące w latach 2021-2030, o których mowa w art. 10 dyrektywy 2023/1791/UE</w:t>
      </w:r>
    </w:p>
    <w:p w14:paraId="2F132CA9" w14:textId="77777777" w:rsidR="00F34BD4" w:rsidRPr="00A1701E" w:rsidRDefault="00F34BD4" w:rsidP="00373FD3">
      <w:r w:rsidRPr="00A1701E">
        <w:t>Po przeprowadzeniu analizy funkcjonujących w Polsce instrumentów i środków poprawy efektywności energetycznej dokonano wyboru środków</w:t>
      </w:r>
      <w:r>
        <w:t xml:space="preserve"> z dziedziny polityki</w:t>
      </w:r>
      <w:r w:rsidRPr="00A1701E">
        <w:t xml:space="preserve">, </w:t>
      </w:r>
      <w:r w:rsidRPr="00A1701E" w:rsidDel="00943B12">
        <w:t xml:space="preserve">które zapewnią osiągnięcie wymaganych w art. </w:t>
      </w:r>
      <w:r w:rsidDel="00943B12">
        <w:t>8</w:t>
      </w:r>
      <w:r w:rsidRPr="00A1701E" w:rsidDel="00943B12">
        <w:t xml:space="preserve"> ust. 1</w:t>
      </w:r>
      <w:r w:rsidDel="00943B12">
        <w:t xml:space="preserve"> </w:t>
      </w:r>
      <w:r>
        <w:t>w sprawie efektywności energetycznej</w:t>
      </w:r>
      <w:r w:rsidRPr="00A1701E" w:rsidDel="00943B12">
        <w:t xml:space="preserve"> oszczędności energii końcowej na 2030 r. </w:t>
      </w:r>
    </w:p>
    <w:p w14:paraId="0DA5172E" w14:textId="77777777" w:rsidR="00F34BD4" w:rsidRPr="003547BB" w:rsidRDefault="00F34BD4" w:rsidP="00373FD3">
      <w:r w:rsidRPr="003547BB">
        <w:t xml:space="preserve">W związku z powyższym przewiduje się realizację następujących alternatywnych środków z dziedziny polityki: </w:t>
      </w:r>
    </w:p>
    <w:p w14:paraId="1176F3A4" w14:textId="77777777" w:rsidR="00F34BD4" w:rsidRPr="004A2365" w:rsidRDefault="00F34BD4" w:rsidP="00373FD3">
      <w:r w:rsidRPr="00373FD3">
        <w:t>w okresie 2021 – 2030</w:t>
      </w:r>
      <w:r w:rsidRPr="004A2365">
        <w:t>:</w:t>
      </w:r>
    </w:p>
    <w:p w14:paraId="1B6D8956" w14:textId="77777777" w:rsidR="00F34BD4" w:rsidRPr="00D94B5E" w:rsidRDefault="00F34BD4" w:rsidP="00FF3BC7">
      <w:pPr>
        <w:pStyle w:val="Akapitzlist"/>
        <w:numPr>
          <w:ilvl w:val="0"/>
          <w:numId w:val="29"/>
        </w:numPr>
      </w:pPr>
      <w:r w:rsidRPr="00D94B5E">
        <w:t>Fundusz Termomodernizacji i Remontów (Program TERMO)</w:t>
      </w:r>
      <w:r>
        <w:t>;</w:t>
      </w:r>
    </w:p>
    <w:p w14:paraId="543A68E8" w14:textId="77777777" w:rsidR="00F34BD4" w:rsidRPr="00D94B5E" w:rsidRDefault="00F34BD4" w:rsidP="00FF3BC7">
      <w:pPr>
        <w:pStyle w:val="Akapitzlist"/>
        <w:numPr>
          <w:ilvl w:val="0"/>
          <w:numId w:val="29"/>
        </w:numPr>
      </w:pPr>
      <w:r w:rsidRPr="00D94B5E">
        <w:t xml:space="preserve">Ulga </w:t>
      </w:r>
      <w:r>
        <w:t>podatkowa dotycząca wydatków poniesionych na termomodernizację jednorodzinnych budynków mieszkalnych;</w:t>
      </w:r>
    </w:p>
    <w:p w14:paraId="5FD75CC1" w14:textId="77777777" w:rsidR="00F34BD4" w:rsidRPr="00D94B5E" w:rsidRDefault="00F34BD4" w:rsidP="00FF3BC7">
      <w:pPr>
        <w:pStyle w:val="Akapitzlist"/>
        <w:numPr>
          <w:ilvl w:val="0"/>
          <w:numId w:val="29"/>
        </w:numPr>
      </w:pPr>
      <w:r w:rsidRPr="00D94B5E">
        <w:t>Rozwój Publicznego Transportu Zbiorowego w Miastach</w:t>
      </w:r>
      <w:r>
        <w:t>;</w:t>
      </w:r>
    </w:p>
    <w:p w14:paraId="640E3519" w14:textId="77777777" w:rsidR="00F34BD4" w:rsidRPr="00373FD3" w:rsidRDefault="00F34BD4" w:rsidP="00373FD3">
      <w:r w:rsidRPr="00373FD3">
        <w:t>w okresie 2022 – 2030</w:t>
      </w:r>
      <w:r w:rsidRPr="00D94B5E">
        <w:t>:</w:t>
      </w:r>
    </w:p>
    <w:p w14:paraId="1017E9E2" w14:textId="77777777" w:rsidR="00F34BD4" w:rsidRPr="00D94B5E" w:rsidRDefault="00F34BD4" w:rsidP="00FF3BC7">
      <w:pPr>
        <w:pStyle w:val="Akapitzlist"/>
        <w:numPr>
          <w:ilvl w:val="0"/>
          <w:numId w:val="30"/>
        </w:numPr>
      </w:pPr>
      <w:r w:rsidRPr="00D94B5E">
        <w:t>Poprawa Efektywności Energetycznej Budynków Mieszkalnych</w:t>
      </w:r>
      <w:r>
        <w:t>;</w:t>
      </w:r>
    </w:p>
    <w:p w14:paraId="007448DD" w14:textId="77777777" w:rsidR="00F34BD4" w:rsidRPr="00D94B5E" w:rsidRDefault="00F34BD4" w:rsidP="00FF3BC7">
      <w:pPr>
        <w:pStyle w:val="Akapitzlist"/>
        <w:numPr>
          <w:ilvl w:val="0"/>
          <w:numId w:val="30"/>
        </w:numPr>
      </w:pPr>
      <w:r w:rsidRPr="00D94B5E">
        <w:t>Efektywny Energetycznie Sektor Publiczny</w:t>
      </w:r>
      <w:r>
        <w:t>;</w:t>
      </w:r>
    </w:p>
    <w:p w14:paraId="081BFDE3" w14:textId="77777777" w:rsidR="00F34BD4" w:rsidRDefault="00F34BD4" w:rsidP="00FF3BC7">
      <w:pPr>
        <w:pStyle w:val="Akapitzlist"/>
        <w:numPr>
          <w:ilvl w:val="0"/>
          <w:numId w:val="30"/>
        </w:numPr>
      </w:pPr>
      <w:r w:rsidRPr="00D94B5E">
        <w:t>Opłata paliwowa i opłata emisyjna</w:t>
      </w:r>
      <w:r>
        <w:t>.</w:t>
      </w:r>
    </w:p>
    <w:p w14:paraId="34E79867" w14:textId="77777777" w:rsidR="00F34BD4" w:rsidRPr="00D94B5E" w:rsidRDefault="00F34BD4" w:rsidP="00F34BD4">
      <w:pPr>
        <w:spacing w:after="0" w:line="360" w:lineRule="auto"/>
        <w:ind w:left="1077"/>
        <w:rPr>
          <w:noProof/>
        </w:rPr>
      </w:pPr>
    </w:p>
    <w:p w14:paraId="33CE6978" w14:textId="6A39DB34" w:rsidR="00F34BD4" w:rsidRDefault="00F34BD4" w:rsidP="00373FD3">
      <w:r>
        <w:t xml:space="preserve">Polska od 2022 r. wprowadziła dodatkowe nowe środki alternatywne (4-5), które mają zapewnić Polsce osiągnięcie zwiększonego wymaganego celu całkowitych skumulowanych oszczędności końcowego zużycia energii do 2030 roku. </w:t>
      </w:r>
      <w:r w:rsidRPr="00341BF1">
        <w:t>Natom</w:t>
      </w:r>
      <w:r>
        <w:t>ia</w:t>
      </w:r>
      <w:r w:rsidRPr="00341BF1">
        <w:t xml:space="preserve">st środek pn. </w:t>
      </w:r>
      <w:r>
        <w:t>O</w:t>
      </w:r>
      <w:r w:rsidRPr="00341BF1">
        <w:t xml:space="preserve">płata paliwowa i opłata </w:t>
      </w:r>
      <w:proofErr w:type="spellStart"/>
      <w:r w:rsidRPr="00341BF1">
        <w:t>emisyjana</w:t>
      </w:r>
      <w:proofErr w:type="spellEnd"/>
      <w:r w:rsidRPr="00341BF1">
        <w:t xml:space="preserve"> zostały przyjęty jako środek uzupełniający, którego rolą jest </w:t>
      </w:r>
      <w:r>
        <w:t xml:space="preserve">jedynie </w:t>
      </w:r>
      <w:r w:rsidR="00FF3BC7" w:rsidRPr="00341BF1">
        <w:t>za</w:t>
      </w:r>
      <w:r w:rsidR="00FF3BC7">
        <w:t>bezpieczenie</w:t>
      </w:r>
      <w:r>
        <w:t xml:space="preserve"> wykonania </w:t>
      </w:r>
      <w:r w:rsidRPr="00341BF1">
        <w:t xml:space="preserve"> ww. celu. </w:t>
      </w:r>
    </w:p>
    <w:p w14:paraId="10B0EBB6" w14:textId="337B920B" w:rsidR="00F34BD4" w:rsidRDefault="00F34BD4" w:rsidP="00373FD3">
      <w:r>
        <w:t xml:space="preserve">Dodatkowo należy </w:t>
      </w:r>
      <w:r w:rsidR="00FF3BC7">
        <w:t>zauważyć</w:t>
      </w:r>
      <w:r>
        <w:t xml:space="preserve">, że ww. środki alternatywne będą funkcjonować w Polsce także  po 2030 roku. </w:t>
      </w:r>
    </w:p>
    <w:p w14:paraId="6E4F6F68" w14:textId="77777777" w:rsidR="00F34BD4" w:rsidRDefault="00F34BD4" w:rsidP="00373FD3"/>
    <w:p w14:paraId="42B24809" w14:textId="77777777" w:rsidR="00F34BD4" w:rsidRPr="00BC7E57" w:rsidRDefault="00F34BD4" w:rsidP="00FF3BC7">
      <w:pPr>
        <w:pStyle w:val="Akapitzlist"/>
        <w:numPr>
          <w:ilvl w:val="0"/>
          <w:numId w:val="12"/>
        </w:numPr>
        <w:spacing w:after="240" w:line="480" w:lineRule="auto"/>
        <w:jc w:val="left"/>
        <w:rPr>
          <w:b/>
          <w:bCs/>
          <w:color w:val="2F5496" w:themeColor="accent1" w:themeShade="BF"/>
        </w:rPr>
      </w:pPr>
      <w:r>
        <w:rPr>
          <w:b/>
          <w:bCs/>
          <w:color w:val="2F5496" w:themeColor="accent1" w:themeShade="BF"/>
        </w:rPr>
        <w:t>Fundusz Termomodernizacji i Remontów</w:t>
      </w:r>
      <w:r w:rsidRPr="00BC7E57">
        <w:rPr>
          <w:b/>
          <w:bCs/>
          <w:color w:val="2F5496" w:themeColor="accent1" w:themeShade="BF"/>
        </w:rPr>
        <w:t xml:space="preserve"> </w:t>
      </w:r>
      <w:r>
        <w:rPr>
          <w:b/>
          <w:bCs/>
          <w:color w:val="2F5496" w:themeColor="accent1" w:themeShade="BF"/>
        </w:rPr>
        <w:t>(Program TERMO)</w:t>
      </w:r>
    </w:p>
    <w:p w14:paraId="4C826C31" w14:textId="77777777" w:rsidR="00F34BD4" w:rsidRPr="004A2365" w:rsidRDefault="00F34BD4" w:rsidP="00FF3BC7">
      <w:pPr>
        <w:pStyle w:val="Akapitzlist"/>
        <w:numPr>
          <w:ilvl w:val="0"/>
          <w:numId w:val="11"/>
        </w:numPr>
        <w:spacing w:after="240" w:line="480" w:lineRule="auto"/>
        <w:ind w:left="1134" w:hanging="357"/>
        <w:jc w:val="left"/>
        <w:rPr>
          <w:b/>
          <w:bCs/>
          <w:color w:val="2F5496" w:themeColor="accent1" w:themeShade="BF"/>
        </w:rPr>
      </w:pPr>
      <w:r w:rsidRPr="00386B26">
        <w:rPr>
          <w:b/>
          <w:bCs/>
          <w:color w:val="2F5496" w:themeColor="accent1" w:themeShade="BF"/>
        </w:rPr>
        <w:t>Skrócony</w:t>
      </w:r>
      <w:r w:rsidRPr="004A2365">
        <w:rPr>
          <w:b/>
          <w:bCs/>
          <w:color w:val="2F5496" w:themeColor="accent1" w:themeShade="BF"/>
        </w:rPr>
        <w:t xml:space="preserve"> opis </w:t>
      </w:r>
      <w:r>
        <w:rPr>
          <w:b/>
          <w:bCs/>
          <w:color w:val="2F5496" w:themeColor="accent1" w:themeShade="BF"/>
        </w:rPr>
        <w:t>środka alternatywnego</w:t>
      </w:r>
    </w:p>
    <w:tbl>
      <w:tblPr>
        <w:tblStyle w:val="Tabela-Siatka"/>
        <w:tblW w:w="8729" w:type="dxa"/>
        <w:tblInd w:w="360" w:type="dxa"/>
        <w:tblBorders>
          <w:top w:val="none" w:sz="0" w:space="0" w:color="auto"/>
          <w:left w:val="none" w:sz="0" w:space="0" w:color="auto"/>
          <w:bottom w:val="none" w:sz="0" w:space="0" w:color="auto"/>
          <w:right w:val="none" w:sz="0" w:space="0" w:color="auto"/>
          <w:insideH w:val="single" w:sz="12" w:space="0" w:color="auto"/>
          <w:insideV w:val="none" w:sz="0" w:space="0" w:color="auto"/>
        </w:tblBorders>
        <w:tblLook w:val="04A0" w:firstRow="1" w:lastRow="0" w:firstColumn="1" w:lastColumn="0" w:noHBand="0" w:noVBand="1"/>
      </w:tblPr>
      <w:tblGrid>
        <w:gridCol w:w="1644"/>
        <w:gridCol w:w="7085"/>
      </w:tblGrid>
      <w:tr w:rsidR="00F34BD4" w:rsidRPr="004A2365" w14:paraId="03F25162" w14:textId="77777777" w:rsidTr="00B823C1">
        <w:tc>
          <w:tcPr>
            <w:tcW w:w="1644" w:type="dxa"/>
            <w:vAlign w:val="center"/>
          </w:tcPr>
          <w:p w14:paraId="427D755C"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 xml:space="preserve">Nazwa </w:t>
            </w:r>
            <w:r>
              <w:rPr>
                <w:rFonts w:cs="Times New Roman"/>
                <w:i/>
                <w:iCs/>
                <w:color w:val="5B9BD5" w:themeColor="accent5"/>
              </w:rPr>
              <w:t>środka alternatywnego</w:t>
            </w:r>
          </w:p>
        </w:tc>
        <w:tc>
          <w:tcPr>
            <w:tcW w:w="7085" w:type="dxa"/>
            <w:vAlign w:val="center"/>
          </w:tcPr>
          <w:p w14:paraId="620C10ED" w14:textId="77777777" w:rsidR="00F34BD4" w:rsidRPr="002B0945" w:rsidRDefault="00F34BD4" w:rsidP="00FF3BC7">
            <w:pPr>
              <w:spacing w:line="276" w:lineRule="auto"/>
              <w:rPr>
                <w:b/>
                <w:bCs/>
              </w:rPr>
            </w:pPr>
            <w:r>
              <w:rPr>
                <w:b/>
                <w:bCs/>
              </w:rPr>
              <w:t>Fundusz Termomodernizacji i Remontów (Program TERMO)</w:t>
            </w:r>
          </w:p>
        </w:tc>
      </w:tr>
      <w:tr w:rsidR="00F34BD4" w:rsidRPr="004A2365" w14:paraId="529BD133" w14:textId="77777777" w:rsidTr="00B823C1">
        <w:tc>
          <w:tcPr>
            <w:tcW w:w="1644" w:type="dxa"/>
            <w:vAlign w:val="center"/>
          </w:tcPr>
          <w:p w14:paraId="0228C4B1"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Kategoria</w:t>
            </w:r>
          </w:p>
        </w:tc>
        <w:tc>
          <w:tcPr>
            <w:tcW w:w="7085" w:type="dxa"/>
            <w:vAlign w:val="center"/>
          </w:tcPr>
          <w:p w14:paraId="710E7498" w14:textId="77777777" w:rsidR="00F34BD4" w:rsidRPr="004A2365" w:rsidRDefault="00F34BD4" w:rsidP="00FF3BC7">
            <w:pPr>
              <w:spacing w:line="276" w:lineRule="auto"/>
              <w:rPr>
                <w:rFonts w:cs="Times New Roman"/>
              </w:rPr>
            </w:pPr>
            <w:r w:rsidRPr="004A2365">
              <w:rPr>
                <w:rFonts w:cs="Times New Roman"/>
              </w:rPr>
              <w:t>Mechanizm finansowy</w:t>
            </w:r>
          </w:p>
        </w:tc>
      </w:tr>
      <w:tr w:rsidR="00F34BD4" w:rsidRPr="004A2365" w14:paraId="19448A2D" w14:textId="77777777" w:rsidTr="00B823C1">
        <w:tc>
          <w:tcPr>
            <w:tcW w:w="1644" w:type="dxa"/>
            <w:vAlign w:val="center"/>
          </w:tcPr>
          <w:p w14:paraId="3EB5642C"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lastRenderedPageBreak/>
              <w:t xml:space="preserve">Cel </w:t>
            </w:r>
          </w:p>
        </w:tc>
        <w:tc>
          <w:tcPr>
            <w:tcW w:w="7085" w:type="dxa"/>
            <w:vAlign w:val="center"/>
          </w:tcPr>
          <w:p w14:paraId="4FD0D33C" w14:textId="77777777" w:rsidR="00F34BD4" w:rsidRPr="004A2365" w:rsidRDefault="00F34BD4" w:rsidP="00FF3BC7">
            <w:pPr>
              <w:spacing w:line="276" w:lineRule="auto"/>
            </w:pPr>
            <w:r w:rsidRPr="004B0585">
              <w:rPr>
                <w:rFonts w:cs="Times New Roman"/>
              </w:rPr>
              <w:t>Podstawowym celem Funduszu jest pomoc finansowa dla inwestorów realizujących przedsięwzięcia termomodernizacyjne i remontowe.</w:t>
            </w:r>
          </w:p>
        </w:tc>
      </w:tr>
      <w:tr w:rsidR="00F34BD4" w:rsidRPr="004A2365" w14:paraId="2A31BB4F" w14:textId="77777777" w:rsidTr="00B823C1">
        <w:tc>
          <w:tcPr>
            <w:tcW w:w="1644" w:type="dxa"/>
            <w:vAlign w:val="center"/>
          </w:tcPr>
          <w:p w14:paraId="7575B0F8"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 xml:space="preserve">Działania </w:t>
            </w:r>
          </w:p>
        </w:tc>
        <w:tc>
          <w:tcPr>
            <w:tcW w:w="7085" w:type="dxa"/>
            <w:shd w:val="clear" w:color="auto" w:fill="auto"/>
            <w:vAlign w:val="center"/>
          </w:tcPr>
          <w:p w14:paraId="3F130504" w14:textId="77777777" w:rsidR="00F34BD4" w:rsidRPr="004B0D54" w:rsidRDefault="00F34BD4" w:rsidP="00FF3BC7">
            <w:pPr>
              <w:spacing w:line="276" w:lineRule="auto"/>
              <w:rPr>
                <w:rFonts w:eastAsia="Times New Roman" w:cs="Times New Roman"/>
              </w:rPr>
            </w:pPr>
            <w:r w:rsidRPr="004B0D54">
              <w:rPr>
                <w:rFonts w:eastAsia="Times New Roman" w:cs="Times New Roman"/>
              </w:rPr>
              <w:t xml:space="preserve">Szczegółowy sposób dofinansowania w ramach każdej z premii </w:t>
            </w:r>
            <w:r>
              <w:rPr>
                <w:rFonts w:eastAsia="Times New Roman" w:cs="Times New Roman"/>
              </w:rPr>
              <w:t xml:space="preserve">i grantu </w:t>
            </w:r>
            <w:r w:rsidRPr="004B0D54">
              <w:rPr>
                <w:rFonts w:eastAsia="Times New Roman" w:cs="Times New Roman"/>
              </w:rPr>
              <w:t xml:space="preserve">określa ustawa z dnia 21 listopada 2008 r. </w:t>
            </w:r>
            <w:r w:rsidRPr="00D62DB9">
              <w:rPr>
                <w:rFonts w:eastAsia="Times New Roman" w:cs="Times New Roman"/>
                <w:i/>
              </w:rPr>
              <w:t>o wspieraniu termomodernizacji i remontów</w:t>
            </w:r>
            <w:r>
              <w:rPr>
                <w:rFonts w:eastAsia="Times New Roman" w:cs="Times New Roman"/>
                <w:i/>
                <w:iCs/>
              </w:rPr>
              <w:t xml:space="preserve"> </w:t>
            </w:r>
            <w:r w:rsidRPr="004564F7">
              <w:rPr>
                <w:i/>
              </w:rPr>
              <w:t>oraz o centralnej ewidencji emisyjności budynków</w:t>
            </w:r>
            <w:r>
              <w:rPr>
                <w:rFonts w:eastAsia="Times New Roman" w:cs="Times New Roman"/>
                <w:i/>
                <w:iCs/>
              </w:rPr>
              <w:t xml:space="preserve"> </w:t>
            </w:r>
            <w:r w:rsidRPr="00D62DB9">
              <w:rPr>
                <w:rFonts w:eastAsia="Times New Roman" w:cs="Times New Roman"/>
              </w:rPr>
              <w:t>(Dz. U. z 2022 r., poz. 438)</w:t>
            </w:r>
            <w:r w:rsidRPr="005025CD">
              <w:rPr>
                <w:rFonts w:eastAsia="Times New Roman" w:cs="Times New Roman"/>
              </w:rPr>
              <w:t>.</w:t>
            </w:r>
            <w:r w:rsidRPr="004B0D54">
              <w:rPr>
                <w:rFonts w:eastAsia="Times New Roman" w:cs="Times New Roman"/>
              </w:rPr>
              <w:t xml:space="preserve"> Premia </w:t>
            </w:r>
            <w:r>
              <w:rPr>
                <w:rFonts w:eastAsia="Times New Roman" w:cs="Times New Roman"/>
              </w:rPr>
              <w:t>i grant</w:t>
            </w:r>
            <w:r w:rsidRPr="004B0D54" w:rsidDel="00B75BB5">
              <w:rPr>
                <w:rFonts w:eastAsia="Times New Roman" w:cs="Times New Roman"/>
              </w:rPr>
              <w:t xml:space="preserve"> </w:t>
            </w:r>
            <w:r w:rsidRPr="004B0D54">
              <w:rPr>
                <w:rFonts w:eastAsia="Times New Roman" w:cs="Times New Roman"/>
              </w:rPr>
              <w:t>przysługuje w przypadku realizacji przedsięwzięć, których celem jest:</w:t>
            </w:r>
          </w:p>
          <w:p w14:paraId="57B44C15" w14:textId="77777777" w:rsidR="00F34BD4" w:rsidRPr="004B0D54" w:rsidRDefault="00F34BD4" w:rsidP="00FF3BC7">
            <w:pPr>
              <w:numPr>
                <w:ilvl w:val="0"/>
                <w:numId w:val="15"/>
              </w:numPr>
              <w:spacing w:line="276" w:lineRule="auto"/>
              <w:jc w:val="left"/>
              <w:rPr>
                <w:rFonts w:eastAsia="Times New Roman" w:cs="Times New Roman"/>
              </w:rPr>
            </w:pPr>
            <w:r w:rsidRPr="004B0D54">
              <w:rPr>
                <w:rFonts w:eastAsia="Times New Roman" w:cs="Times New Roman"/>
              </w:rPr>
              <w:t>zmniejszenie zużycia energii na potrzeby ogrzewania i podgrzewania wody użytkowej</w:t>
            </w:r>
            <w:r>
              <w:rPr>
                <w:rFonts w:eastAsia="Times New Roman" w:cs="Times New Roman"/>
              </w:rPr>
              <w:t>,</w:t>
            </w:r>
          </w:p>
          <w:p w14:paraId="3AD7B578" w14:textId="77777777" w:rsidR="00F34BD4" w:rsidRPr="004B0D54" w:rsidRDefault="00F34BD4" w:rsidP="00FF3BC7">
            <w:pPr>
              <w:numPr>
                <w:ilvl w:val="0"/>
                <w:numId w:val="15"/>
              </w:numPr>
              <w:spacing w:line="276" w:lineRule="auto"/>
              <w:jc w:val="left"/>
              <w:rPr>
                <w:rFonts w:eastAsia="Times New Roman" w:cs="Times New Roman"/>
              </w:rPr>
            </w:pPr>
            <w:r w:rsidRPr="004B0D54">
              <w:rPr>
                <w:rFonts w:eastAsia="Times New Roman" w:cs="Times New Roman"/>
              </w:rPr>
              <w:t>zmniejszenie kosztów pozyskania ciepła dostarczanego do ww. budynków</w:t>
            </w:r>
            <w:r>
              <w:rPr>
                <w:rFonts w:eastAsia="Times New Roman" w:cs="Times New Roman"/>
              </w:rPr>
              <w:t>,</w:t>
            </w:r>
          </w:p>
          <w:p w14:paraId="00598F65" w14:textId="77777777" w:rsidR="00F34BD4" w:rsidRDefault="00F34BD4" w:rsidP="00FF3BC7">
            <w:pPr>
              <w:numPr>
                <w:ilvl w:val="0"/>
                <w:numId w:val="15"/>
              </w:numPr>
              <w:spacing w:line="276" w:lineRule="auto"/>
              <w:jc w:val="left"/>
              <w:rPr>
                <w:rFonts w:eastAsia="Times New Roman" w:cs="Times New Roman"/>
              </w:rPr>
            </w:pPr>
            <w:r w:rsidRPr="004B0D54">
              <w:rPr>
                <w:rFonts w:eastAsia="Times New Roman" w:cs="Times New Roman"/>
              </w:rPr>
              <w:t>zmniejszenie strat energii pierwotnej w lokalnych sieciach ciepłowniczych oraz zasilających je lokalnych źródłach ciepła,</w:t>
            </w:r>
          </w:p>
          <w:p w14:paraId="06DEBE28" w14:textId="77777777" w:rsidR="00F34BD4" w:rsidRPr="001304B7" w:rsidRDefault="00F34BD4" w:rsidP="00FF3BC7">
            <w:pPr>
              <w:numPr>
                <w:ilvl w:val="0"/>
                <w:numId w:val="15"/>
              </w:numPr>
              <w:spacing w:line="276" w:lineRule="auto"/>
              <w:jc w:val="left"/>
              <w:rPr>
                <w:rFonts w:cs="Times New Roman"/>
              </w:rPr>
            </w:pPr>
            <w:r w:rsidRPr="005D3E31">
              <w:rPr>
                <w:rFonts w:eastAsia="Times New Roman" w:cs="Times New Roman"/>
              </w:rPr>
              <w:t>całkowita lub częściowa zamiana źródeł energii na źródła odnawialne lub zastosowanie wysokosprawnej kogeneracji - z obo</w:t>
            </w:r>
            <w:r w:rsidRPr="001304B7">
              <w:rPr>
                <w:rFonts w:eastAsia="Times New Roman" w:cs="Times New Roman"/>
              </w:rPr>
              <w:t>wiązkiem uzyskania określonych w ustawie oszczędności w zużyciu energii.</w:t>
            </w:r>
          </w:p>
        </w:tc>
      </w:tr>
      <w:tr w:rsidR="00F34BD4" w:rsidRPr="004A2365" w14:paraId="48E931C0" w14:textId="77777777" w:rsidTr="00B823C1">
        <w:tc>
          <w:tcPr>
            <w:tcW w:w="1644" w:type="dxa"/>
            <w:vAlign w:val="center"/>
          </w:tcPr>
          <w:p w14:paraId="50EB7F16"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Typ beneficjentów</w:t>
            </w:r>
          </w:p>
        </w:tc>
        <w:tc>
          <w:tcPr>
            <w:tcW w:w="7085" w:type="dxa"/>
            <w:vAlign w:val="center"/>
          </w:tcPr>
          <w:p w14:paraId="75773ED3" w14:textId="77777777" w:rsidR="00F34BD4" w:rsidRDefault="00F34BD4" w:rsidP="00FF3BC7">
            <w:pPr>
              <w:spacing w:line="276" w:lineRule="auto"/>
              <w:rPr>
                <w:rFonts w:eastAsia="Times New Roman" w:cs="Times New Roman"/>
              </w:rPr>
            </w:pPr>
            <w:r>
              <w:rPr>
                <w:rFonts w:eastAsia="Times New Roman" w:cs="Times New Roman"/>
              </w:rPr>
              <w:t>O premię i grant z programu TERMO mogą ubiegać się właściciele lub zarządcy:</w:t>
            </w:r>
          </w:p>
          <w:p w14:paraId="7AB22646" w14:textId="77777777" w:rsidR="00F34BD4" w:rsidRPr="00D62DB9" w:rsidRDefault="00F34BD4" w:rsidP="00FF3BC7">
            <w:pPr>
              <w:pStyle w:val="Akapitzlist"/>
              <w:numPr>
                <w:ilvl w:val="0"/>
                <w:numId w:val="18"/>
              </w:numPr>
              <w:spacing w:line="276" w:lineRule="auto"/>
              <w:rPr>
                <w:rFonts w:eastAsia="Times New Roman" w:cs="Times New Roman"/>
              </w:rPr>
            </w:pPr>
            <w:r w:rsidRPr="00D62DB9">
              <w:rPr>
                <w:rFonts w:eastAsia="Times New Roman" w:cs="Times New Roman"/>
              </w:rPr>
              <w:t>budynków mieszkalnych</w:t>
            </w:r>
            <w:r>
              <w:rPr>
                <w:rFonts w:eastAsia="Times New Roman" w:cs="Times New Roman"/>
              </w:rPr>
              <w:t>, w tym budynków w których wszystkie lokale mieszkalne wchodzą w skład mieszkaniowego zasobu gminy oraz znajdują się na obszarze obowiązującej tzw. uchwały antysmogowej</w:t>
            </w:r>
            <w:r w:rsidRPr="00D62DB9">
              <w:rPr>
                <w:rFonts w:eastAsia="Times New Roman" w:cs="Times New Roman"/>
              </w:rPr>
              <w:t>;</w:t>
            </w:r>
          </w:p>
          <w:p w14:paraId="1F7354ED" w14:textId="77777777" w:rsidR="00F34BD4" w:rsidRPr="00D62DB9" w:rsidRDefault="00F34BD4" w:rsidP="00FF3BC7">
            <w:pPr>
              <w:pStyle w:val="Akapitzlist"/>
              <w:numPr>
                <w:ilvl w:val="0"/>
                <w:numId w:val="18"/>
              </w:numPr>
              <w:spacing w:line="276" w:lineRule="auto"/>
              <w:rPr>
                <w:rFonts w:eastAsia="Times New Roman" w:cs="Times New Roman"/>
              </w:rPr>
            </w:pPr>
            <w:r w:rsidRPr="00D62DB9">
              <w:rPr>
                <w:rFonts w:eastAsia="Times New Roman" w:cs="Times New Roman"/>
              </w:rPr>
              <w:t>budynków zamieszkania zbiorowego;</w:t>
            </w:r>
          </w:p>
          <w:p w14:paraId="268DC790" w14:textId="77777777" w:rsidR="00F34BD4" w:rsidRPr="00D62DB9" w:rsidRDefault="00F34BD4" w:rsidP="00FF3BC7">
            <w:pPr>
              <w:pStyle w:val="Akapitzlist"/>
              <w:numPr>
                <w:ilvl w:val="0"/>
                <w:numId w:val="18"/>
              </w:numPr>
              <w:spacing w:line="276" w:lineRule="auto"/>
              <w:rPr>
                <w:rFonts w:eastAsia="Times New Roman" w:cs="Times New Roman"/>
              </w:rPr>
            </w:pPr>
            <w:r w:rsidRPr="00D62DB9">
              <w:rPr>
                <w:rFonts w:eastAsia="Times New Roman" w:cs="Times New Roman"/>
              </w:rPr>
              <w:t>budynków użyteczności publicznej stanowiących własność jednostek samorządu terytorialnego i wykorzystywanych przez nie do wykonywania zadań publicznych;</w:t>
            </w:r>
          </w:p>
          <w:p w14:paraId="282DB362" w14:textId="77777777" w:rsidR="00F34BD4" w:rsidRPr="00D62DB9" w:rsidRDefault="00F34BD4" w:rsidP="00FF3BC7">
            <w:pPr>
              <w:pStyle w:val="Akapitzlist"/>
              <w:numPr>
                <w:ilvl w:val="0"/>
                <w:numId w:val="18"/>
              </w:numPr>
              <w:spacing w:line="276" w:lineRule="auto"/>
              <w:rPr>
                <w:rFonts w:eastAsia="Times New Roman" w:cs="Times New Roman"/>
              </w:rPr>
            </w:pPr>
            <w:r w:rsidRPr="00D62DB9">
              <w:rPr>
                <w:rFonts w:eastAsia="Times New Roman" w:cs="Times New Roman"/>
              </w:rPr>
              <w:t>lokalnej sieci ciepłowniczej;</w:t>
            </w:r>
          </w:p>
          <w:p w14:paraId="7C4788CB" w14:textId="77777777" w:rsidR="00F34BD4" w:rsidRPr="00D62DB9" w:rsidRDefault="00F34BD4" w:rsidP="00FF3BC7">
            <w:pPr>
              <w:pStyle w:val="Akapitzlist"/>
              <w:numPr>
                <w:ilvl w:val="0"/>
                <w:numId w:val="18"/>
              </w:numPr>
              <w:spacing w:line="276" w:lineRule="auto"/>
              <w:rPr>
                <w:rFonts w:eastAsia="Times New Roman" w:cs="Times New Roman"/>
              </w:rPr>
            </w:pPr>
            <w:r w:rsidRPr="00D62DB9">
              <w:rPr>
                <w:rFonts w:eastAsia="Times New Roman" w:cs="Times New Roman"/>
              </w:rPr>
              <w:t>lokalnego źródła ciepła.</w:t>
            </w:r>
          </w:p>
          <w:p w14:paraId="5F57DDEA" w14:textId="77777777" w:rsidR="00F34BD4" w:rsidRPr="00D62DB9" w:rsidRDefault="00F34BD4" w:rsidP="00FF3BC7">
            <w:pPr>
              <w:spacing w:line="276" w:lineRule="auto"/>
              <w:rPr>
                <w:rFonts w:eastAsia="Times New Roman" w:cs="Times New Roman"/>
              </w:rPr>
            </w:pPr>
            <w:r w:rsidRPr="00D62DB9">
              <w:rPr>
                <w:rFonts w:eastAsia="Times New Roman" w:cs="Times New Roman"/>
              </w:rPr>
              <w:t xml:space="preserve">Z premii </w:t>
            </w:r>
            <w:r>
              <w:rPr>
                <w:rFonts w:eastAsia="Times New Roman" w:cs="Times New Roman"/>
              </w:rPr>
              <w:t xml:space="preserve">i grantu </w:t>
            </w:r>
            <w:r w:rsidRPr="00D62DB9">
              <w:rPr>
                <w:rFonts w:eastAsia="Times New Roman" w:cs="Times New Roman"/>
              </w:rPr>
              <w:t>mogą korzystać inwestorzy, bez względu na status prawny, a więc np.: osoby prawne (np. spółdzielnie mieszkaniowe i spółki prawa handlowego), jednostki samorządu terytorialnego, wspólnoty mieszkaniowe, osoby fizyczne, w tym właściciele domów jednorodzinnych. Premia nie przysługuje jednostkom budżetowym i zakładom budżetowym.</w:t>
            </w:r>
          </w:p>
        </w:tc>
      </w:tr>
      <w:tr w:rsidR="00F34BD4" w:rsidRPr="004A2365" w14:paraId="7EBF0128" w14:textId="77777777" w:rsidTr="00B823C1">
        <w:tc>
          <w:tcPr>
            <w:tcW w:w="1644" w:type="dxa"/>
            <w:vAlign w:val="center"/>
          </w:tcPr>
          <w:p w14:paraId="35266120"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Instytucja wdrażająca</w:t>
            </w:r>
          </w:p>
        </w:tc>
        <w:tc>
          <w:tcPr>
            <w:tcW w:w="7085" w:type="dxa"/>
            <w:vAlign w:val="center"/>
          </w:tcPr>
          <w:p w14:paraId="1C68E251" w14:textId="77777777" w:rsidR="00F34BD4" w:rsidRPr="004A2365" w:rsidRDefault="00F34BD4" w:rsidP="00FF3BC7">
            <w:pPr>
              <w:spacing w:line="276" w:lineRule="auto"/>
              <w:rPr>
                <w:rFonts w:cs="Times New Roman"/>
              </w:rPr>
            </w:pPr>
            <w:r>
              <w:rPr>
                <w:rFonts w:cs="Times New Roman"/>
              </w:rPr>
              <w:t>Bank Gospodarstwa Krajowego (BGK), Ministerstwo Rozwoju i Technologii (MRiT)</w:t>
            </w:r>
          </w:p>
        </w:tc>
      </w:tr>
      <w:tr w:rsidR="00F34BD4" w:rsidRPr="004A2365" w14:paraId="2A3443FC" w14:textId="77777777" w:rsidTr="00B823C1">
        <w:tc>
          <w:tcPr>
            <w:tcW w:w="1644" w:type="dxa"/>
            <w:vAlign w:val="center"/>
          </w:tcPr>
          <w:p w14:paraId="009C6388"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Instytucja nadzorująca</w:t>
            </w:r>
          </w:p>
        </w:tc>
        <w:tc>
          <w:tcPr>
            <w:tcW w:w="7085" w:type="dxa"/>
            <w:vAlign w:val="center"/>
          </w:tcPr>
          <w:p w14:paraId="0AA2FF99" w14:textId="77777777" w:rsidR="00F34BD4" w:rsidRPr="004A2365" w:rsidRDefault="00F34BD4" w:rsidP="00FF3BC7">
            <w:pPr>
              <w:spacing w:line="276" w:lineRule="auto"/>
              <w:rPr>
                <w:rFonts w:cs="Times New Roman"/>
              </w:rPr>
            </w:pPr>
            <w:r>
              <w:rPr>
                <w:rFonts w:cs="Times New Roman"/>
              </w:rPr>
              <w:t>MRiT</w:t>
            </w:r>
          </w:p>
        </w:tc>
      </w:tr>
    </w:tbl>
    <w:p w14:paraId="3220F0C1" w14:textId="77777777" w:rsidR="00F34BD4" w:rsidRPr="004A2365" w:rsidRDefault="00F34BD4" w:rsidP="00FF3BC7">
      <w:pPr>
        <w:pStyle w:val="Akapitzlist"/>
        <w:numPr>
          <w:ilvl w:val="0"/>
          <w:numId w:val="11"/>
        </w:numPr>
        <w:spacing w:before="240" w:line="360" w:lineRule="auto"/>
        <w:ind w:left="1134" w:hanging="357"/>
        <w:jc w:val="left"/>
        <w:rPr>
          <w:b/>
          <w:bCs/>
          <w:color w:val="2F5496" w:themeColor="accent1" w:themeShade="BF"/>
        </w:rPr>
      </w:pPr>
      <w:r>
        <w:rPr>
          <w:b/>
          <w:bCs/>
          <w:color w:val="2F5496" w:themeColor="accent1" w:themeShade="BF"/>
        </w:rPr>
        <w:t>Opis środka alternatywnego</w:t>
      </w:r>
    </w:p>
    <w:p w14:paraId="34C0E1E9" w14:textId="77777777" w:rsidR="00F34BD4" w:rsidRPr="00373FD3" w:rsidRDefault="00F34BD4" w:rsidP="00373FD3">
      <w:r w:rsidRPr="00373FD3">
        <w:t xml:space="preserve">Fundusz Termomodernizacji i Remontów utworzono w Banku Gospodarstwa Krajowego </w:t>
      </w:r>
      <w:r w:rsidRPr="00373FD3">
        <w:br/>
        <w:t>w miejsce Funduszu Termomodernizacji (funkcjonującego od 1999 roku). Podstawą prawną Funduszu jest ustawa z dnia 21 listopada 2008 r. o wspieraniu termomodernizacji i remontów oraz o centralnej ewidencji emisyjności budynków. Celem Funduszu jest pomoc finansowa dla inwestorów realizujących przedsięwzięcia termomodernizacyjne i remontowe oraz wypłata rekompensat dla właścicieli budynków mieszkalnych, w których były lokale kwaterunkowe. W ramach obsługi Funduszu Termomodernizacji i Remontów Bank Gospodarstwa Krajowego podejmuje decyzje o przyznaniu premii oraz po spełnieniu warunków do jej wypłaty, dokonuje przekazania inwestorom premii.</w:t>
      </w:r>
    </w:p>
    <w:p w14:paraId="66A775E8" w14:textId="77777777" w:rsidR="00F34BD4" w:rsidRPr="004564F7" w:rsidRDefault="00F34BD4" w:rsidP="00373FD3">
      <w:r w:rsidRPr="004564F7">
        <w:t>O dofinansowanie projektu w ramach premii</w:t>
      </w:r>
      <w:r w:rsidRPr="004564F7" w:rsidDel="00B018B1">
        <w:t xml:space="preserve"> </w:t>
      </w:r>
      <w:r>
        <w:t>i grantu</w:t>
      </w:r>
      <w:r w:rsidRPr="004564F7">
        <w:t>, mogą się ubiegać właściciele lub zarządcy:</w:t>
      </w:r>
    </w:p>
    <w:p w14:paraId="416327B3" w14:textId="77777777" w:rsidR="00F34BD4" w:rsidRPr="004564F7" w:rsidRDefault="00F34BD4" w:rsidP="00FF3BC7">
      <w:pPr>
        <w:pStyle w:val="Akapitzlist"/>
        <w:numPr>
          <w:ilvl w:val="0"/>
          <w:numId w:val="31"/>
        </w:numPr>
      </w:pPr>
      <w:r w:rsidRPr="004564F7">
        <w:t>budynków mieszkalnych,</w:t>
      </w:r>
    </w:p>
    <w:p w14:paraId="13F6DB17" w14:textId="77777777" w:rsidR="00F34BD4" w:rsidRPr="004564F7" w:rsidRDefault="00F34BD4" w:rsidP="00FF3BC7">
      <w:pPr>
        <w:pStyle w:val="Akapitzlist"/>
        <w:numPr>
          <w:ilvl w:val="0"/>
          <w:numId w:val="31"/>
        </w:numPr>
      </w:pPr>
      <w:r w:rsidRPr="004564F7">
        <w:t>budynków zbiorowego zamieszkania,</w:t>
      </w:r>
    </w:p>
    <w:p w14:paraId="003FCBC3" w14:textId="77777777" w:rsidR="00F34BD4" w:rsidRPr="004564F7" w:rsidRDefault="00F34BD4" w:rsidP="00FF3BC7">
      <w:pPr>
        <w:pStyle w:val="Akapitzlist"/>
        <w:numPr>
          <w:ilvl w:val="0"/>
          <w:numId w:val="31"/>
        </w:numPr>
      </w:pPr>
      <w:r w:rsidRPr="004564F7">
        <w:t>budynków użyteczności publicznej stanowiących własność jednostek samorządu terytorialnego służących do wykonywania przez nie zadań publicznych,</w:t>
      </w:r>
    </w:p>
    <w:p w14:paraId="2A78B97B" w14:textId="77777777" w:rsidR="00F34BD4" w:rsidRPr="004564F7" w:rsidRDefault="00F34BD4" w:rsidP="00FF3BC7">
      <w:pPr>
        <w:pStyle w:val="Akapitzlist"/>
        <w:numPr>
          <w:ilvl w:val="0"/>
          <w:numId w:val="31"/>
        </w:numPr>
      </w:pPr>
      <w:r w:rsidRPr="004564F7">
        <w:lastRenderedPageBreak/>
        <w:t>lokalnych sieci ciepłowniczych,</w:t>
      </w:r>
    </w:p>
    <w:p w14:paraId="74705BA7" w14:textId="77777777" w:rsidR="00F34BD4" w:rsidRPr="004564F7" w:rsidRDefault="00F34BD4" w:rsidP="00FF3BC7">
      <w:pPr>
        <w:pStyle w:val="Akapitzlist"/>
        <w:numPr>
          <w:ilvl w:val="0"/>
          <w:numId w:val="31"/>
        </w:numPr>
      </w:pPr>
      <w:r w:rsidRPr="004564F7">
        <w:t>lokalnych źródeł ciepła.</w:t>
      </w:r>
    </w:p>
    <w:p w14:paraId="15791832" w14:textId="77777777" w:rsidR="00F34BD4" w:rsidRPr="004564F7" w:rsidRDefault="00F34BD4" w:rsidP="00373FD3">
      <w:r w:rsidRPr="004564F7">
        <w:t>Z premii</w:t>
      </w:r>
      <w:r>
        <w:t xml:space="preserve"> i grantów</w:t>
      </w:r>
      <w:r w:rsidRPr="004564F7">
        <w:t xml:space="preserve"> mogą korzystać inwestorzy bez względu na status prawny z wyłączeniem jednostek budżetowych i samorządowych zakładów budżetowych, a więc </w:t>
      </w:r>
      <w:r>
        <w:t>m.in</w:t>
      </w:r>
      <w:r w:rsidRPr="004564F7" w:rsidDel="00DF00DB">
        <w:t>.</w:t>
      </w:r>
      <w:r w:rsidRPr="004564F7">
        <w:t>:</w:t>
      </w:r>
    </w:p>
    <w:p w14:paraId="61A1F9D3" w14:textId="77777777" w:rsidR="00F34BD4" w:rsidRPr="00373FD3" w:rsidRDefault="00F34BD4" w:rsidP="00FF3BC7">
      <w:pPr>
        <w:numPr>
          <w:ilvl w:val="0"/>
          <w:numId w:val="32"/>
        </w:numPr>
      </w:pPr>
      <w:r w:rsidRPr="00373FD3">
        <w:t>osoby prawne (m.in. spółdzielnie mieszkaniowe i spółki prawa handlowego),</w:t>
      </w:r>
    </w:p>
    <w:p w14:paraId="1DF9EE51" w14:textId="77777777" w:rsidR="00F34BD4" w:rsidRPr="00373FD3" w:rsidRDefault="00F34BD4" w:rsidP="00FF3BC7">
      <w:pPr>
        <w:numPr>
          <w:ilvl w:val="0"/>
          <w:numId w:val="32"/>
        </w:numPr>
      </w:pPr>
      <w:r w:rsidRPr="00373FD3">
        <w:t>jednostki samorządu terytorialnego,</w:t>
      </w:r>
    </w:p>
    <w:p w14:paraId="18386B07" w14:textId="77777777" w:rsidR="00F34BD4" w:rsidRPr="00373FD3" w:rsidRDefault="00F34BD4" w:rsidP="00FF3BC7">
      <w:pPr>
        <w:numPr>
          <w:ilvl w:val="0"/>
          <w:numId w:val="32"/>
        </w:numPr>
      </w:pPr>
      <w:r w:rsidRPr="00373FD3">
        <w:t>wspólnoty mieszkaniowe,</w:t>
      </w:r>
    </w:p>
    <w:p w14:paraId="476E979A" w14:textId="77777777" w:rsidR="00F34BD4" w:rsidRPr="00373FD3" w:rsidRDefault="00F34BD4" w:rsidP="00FF3BC7">
      <w:pPr>
        <w:numPr>
          <w:ilvl w:val="0"/>
          <w:numId w:val="32"/>
        </w:numPr>
      </w:pPr>
      <w:r w:rsidRPr="00373FD3">
        <w:t>towarzystwa budownictwa społecznego,</w:t>
      </w:r>
    </w:p>
    <w:p w14:paraId="78BAC14A" w14:textId="77777777" w:rsidR="00F34BD4" w:rsidRPr="00373FD3" w:rsidRDefault="00F34BD4" w:rsidP="00FF3BC7">
      <w:pPr>
        <w:numPr>
          <w:ilvl w:val="0"/>
          <w:numId w:val="32"/>
        </w:numPr>
      </w:pPr>
      <w:r w:rsidRPr="00373FD3">
        <w:t>osoby fizyczne (w tym właściciele domów jednorodzinnych),</w:t>
      </w:r>
    </w:p>
    <w:p w14:paraId="2F9625A0" w14:textId="77777777" w:rsidR="00F34BD4" w:rsidRPr="00373FD3" w:rsidRDefault="00F34BD4" w:rsidP="00FF3BC7">
      <w:pPr>
        <w:numPr>
          <w:ilvl w:val="0"/>
          <w:numId w:val="32"/>
        </w:numPr>
      </w:pPr>
      <w:r w:rsidRPr="00373FD3">
        <w:t>społeczne inicjatywy mieszkaniowe,</w:t>
      </w:r>
    </w:p>
    <w:p w14:paraId="2E2E3AC6" w14:textId="77777777" w:rsidR="00F34BD4" w:rsidRPr="00373FD3" w:rsidRDefault="00F34BD4" w:rsidP="00FF3BC7">
      <w:pPr>
        <w:numPr>
          <w:ilvl w:val="0"/>
          <w:numId w:val="32"/>
        </w:numPr>
      </w:pPr>
      <w:r w:rsidRPr="00373FD3">
        <w:t>gminy lub spółki z ograniczoną odpowiedzialnością lub spółka akcyjna, w której gmina dysponuje ponad 50% głosów na zgromadzeniu wspólników.</w:t>
      </w:r>
    </w:p>
    <w:p w14:paraId="3E919AFE" w14:textId="77777777" w:rsidR="00F34BD4" w:rsidRPr="004564F7" w:rsidRDefault="00F34BD4" w:rsidP="00373FD3">
      <w:r w:rsidRPr="004564F7">
        <w:t>Premia</w:t>
      </w:r>
      <w:r w:rsidRPr="004564F7" w:rsidDel="006F5176">
        <w:t xml:space="preserve"> </w:t>
      </w:r>
      <w:r w:rsidRPr="004564F7">
        <w:t>przysługuje inwestorowi z tytułu realizacji przedsięwzięcia termomodernizacyjnego</w:t>
      </w:r>
      <w:r>
        <w:t xml:space="preserve"> i remontowego</w:t>
      </w:r>
      <w:r w:rsidRPr="004564F7">
        <w:t xml:space="preserve"> </w:t>
      </w:r>
      <w:r>
        <w:t>oraz</w:t>
      </w:r>
      <w:r w:rsidRPr="004564F7">
        <w:t xml:space="preserve"> stanowi spłatę kredytu zaciągniętego przez inwestora. Premia przysługuje tylko inwestorom korzystającym z kredytu. Nie mogą z niej korzystać inwestorzy realizujący przedsięwzięcie termomodernizacyjne wyłącznie z własnych środków.</w:t>
      </w:r>
    </w:p>
    <w:p w14:paraId="72F3CCAD" w14:textId="77777777" w:rsidR="00F34BD4" w:rsidRPr="004564F7" w:rsidRDefault="00F34BD4" w:rsidP="00373FD3">
      <w:r w:rsidRPr="004564F7">
        <w:t xml:space="preserve">Wysokość premii wynosi </w:t>
      </w:r>
      <w:r>
        <w:t xml:space="preserve">od </w:t>
      </w:r>
      <w:r w:rsidRPr="004564F7">
        <w:t>16%</w:t>
      </w:r>
      <w:r>
        <w:t xml:space="preserve"> do 60%</w:t>
      </w:r>
      <w:r w:rsidRPr="004564F7">
        <w:t xml:space="preserve"> kosztów przedsięwzięcia termo-modernizacyjnego</w:t>
      </w:r>
      <w:r>
        <w:t xml:space="preserve"> lub remontowego, w zależności do rodzaju realizowanego przedsięwzięcia</w:t>
      </w:r>
      <w:r w:rsidRPr="004564F7" w:rsidDel="006F5176">
        <w:t>.</w:t>
      </w:r>
    </w:p>
    <w:p w14:paraId="0DFFF0DA" w14:textId="77777777" w:rsidR="00F34BD4" w:rsidRPr="004564F7" w:rsidRDefault="00F34BD4" w:rsidP="00373FD3">
      <w:r w:rsidRPr="004564F7">
        <w:t>Podstawowym warunkiem otrzymania dofinansowania jest przedstawienie audytu energetycznego. Audyt powinien być dołączony do wniosku o przyznanie premii termomodernizacyjnej, składanego wraz z wnioskiem kredytowym w banku kredytującym. Kolejne warunki związane są z udzieleniem i spłatą kredytu, są następujące:</w:t>
      </w:r>
    </w:p>
    <w:p w14:paraId="2EC7932B" w14:textId="77777777" w:rsidR="00F34BD4" w:rsidRPr="00F34BD4" w:rsidRDefault="00F34BD4" w:rsidP="00FF3BC7">
      <w:pPr>
        <w:numPr>
          <w:ilvl w:val="0"/>
          <w:numId w:val="33"/>
        </w:numPr>
        <w:autoSpaceDE w:val="0"/>
        <w:autoSpaceDN w:val="0"/>
        <w:adjustRightInd w:val="0"/>
        <w:spacing w:after="0" w:line="360" w:lineRule="auto"/>
        <w:rPr>
          <w:rFonts w:cs="Times New Roman"/>
        </w:rPr>
      </w:pPr>
      <w:r w:rsidRPr="00F34BD4">
        <w:rPr>
          <w:rFonts w:cs="Times New Roman"/>
        </w:rPr>
        <w:t xml:space="preserve">bank kredytujący podejmuje decyzję o udzieleniu kredytu zgodnie z własnymi procedurami, oceniając zdolność kredytową wnioskodawcy oraz ustanawiając wymagane zabezpieczenie spłaty kredytu, </w:t>
      </w:r>
    </w:p>
    <w:p w14:paraId="3965A666" w14:textId="77777777" w:rsidR="00F34BD4" w:rsidRPr="00F34BD4" w:rsidRDefault="00F34BD4" w:rsidP="00FF3BC7">
      <w:pPr>
        <w:numPr>
          <w:ilvl w:val="0"/>
          <w:numId w:val="33"/>
        </w:numPr>
        <w:autoSpaceDE w:val="0"/>
        <w:autoSpaceDN w:val="0"/>
        <w:adjustRightInd w:val="0"/>
        <w:spacing w:after="0" w:line="360" w:lineRule="auto"/>
        <w:rPr>
          <w:rFonts w:cs="Times New Roman"/>
        </w:rPr>
      </w:pPr>
      <w:r w:rsidRPr="00F34BD4">
        <w:rPr>
          <w:rFonts w:cs="Times New Roman"/>
        </w:rPr>
        <w:t>inwestor oświadcza we wniosku o przyznanie premii między innymi, że kredyt nie jest przeznaczony na sfinansowanie prac, na które uzyskano wsparcie ze środków publicznych,</w:t>
      </w:r>
    </w:p>
    <w:p w14:paraId="0BAD5F5D" w14:textId="77777777" w:rsidR="00F34BD4" w:rsidRPr="00F34BD4" w:rsidRDefault="00F34BD4" w:rsidP="00FF3BC7">
      <w:pPr>
        <w:numPr>
          <w:ilvl w:val="0"/>
          <w:numId w:val="33"/>
        </w:numPr>
        <w:autoSpaceDE w:val="0"/>
        <w:autoSpaceDN w:val="0"/>
        <w:adjustRightInd w:val="0"/>
        <w:spacing w:after="0" w:line="360" w:lineRule="auto"/>
        <w:rPr>
          <w:rFonts w:cs="Times New Roman"/>
        </w:rPr>
      </w:pPr>
      <w:r w:rsidRPr="00F34BD4">
        <w:rPr>
          <w:rFonts w:cs="Times New Roman"/>
        </w:rPr>
        <w:t>kredyt jest uruchamiany pod warunkiem przyznania premii termomodernizacyjnej.</w:t>
      </w:r>
    </w:p>
    <w:p w14:paraId="15303121" w14:textId="77777777" w:rsidR="00F34BD4" w:rsidRPr="009742F4" w:rsidRDefault="00F34BD4" w:rsidP="00FF3BC7">
      <w:pPr>
        <w:pStyle w:val="Akapitzlist"/>
        <w:numPr>
          <w:ilvl w:val="0"/>
          <w:numId w:val="11"/>
        </w:numPr>
        <w:spacing w:before="120" w:line="360" w:lineRule="auto"/>
        <w:ind w:left="1134" w:hanging="357"/>
        <w:contextualSpacing w:val="0"/>
        <w:jc w:val="left"/>
        <w:rPr>
          <w:b/>
          <w:bCs/>
          <w:color w:val="2F5496" w:themeColor="accent1" w:themeShade="BF"/>
        </w:rPr>
      </w:pPr>
      <w:r w:rsidRPr="009742F4">
        <w:rPr>
          <w:b/>
          <w:bCs/>
          <w:color w:val="2F5496" w:themeColor="accent1" w:themeShade="BF"/>
        </w:rPr>
        <w:t>Zastosowane metody obliczeniowe, o których mowa w pkt 1 Załącznika V do dyrektywy 2023//UE oraz uwzględnienie różnic klimatycznych</w:t>
      </w:r>
    </w:p>
    <w:p w14:paraId="74D97742" w14:textId="77777777" w:rsidR="00F34BD4" w:rsidRPr="000F751D" w:rsidRDefault="00F34BD4" w:rsidP="00373FD3">
      <w:r w:rsidRPr="000F751D">
        <w:t xml:space="preserve">Oszczędności energii końcowej każdego przedsięwzięcia termomodernizacyjnego określane są metodą </w:t>
      </w:r>
      <w:r w:rsidRPr="00373FD3">
        <w:t xml:space="preserve">ex </w:t>
      </w:r>
      <w:proofErr w:type="spellStart"/>
      <w:r w:rsidRPr="00373FD3">
        <w:t>ante</w:t>
      </w:r>
      <w:proofErr w:type="spellEnd"/>
      <w:r>
        <w:t xml:space="preserve"> (szacowana oszczędność)</w:t>
      </w:r>
      <w:r w:rsidRPr="000F751D">
        <w:t>, obliczane i przedstawiane w obowiązkowym audycie energetycznym.</w:t>
      </w:r>
    </w:p>
    <w:p w14:paraId="55C108A0" w14:textId="77777777" w:rsidR="00F34BD4" w:rsidRPr="000F751D" w:rsidRDefault="00F34BD4" w:rsidP="00373FD3">
      <w:r w:rsidRPr="000F751D">
        <w:t xml:space="preserve">Audyt energetyczny stanowi opracowanie określające zakres oraz parametry techniczne </w:t>
      </w:r>
      <w:r w:rsidRPr="000F751D">
        <w:br/>
        <w:t xml:space="preserve">i ekonomiczne przedsięwzięcia termomodernizacyjnego, ze wskazaniem rozwiązania optymalnego, w szczególności z punktu widzenia kosztów realizacji tego przedsięwzięcia oraz oszczędności energii. Audyt jest podstawą do uzyskania prawa do premii termomodernizacyjnej, stanowi także założenia do projektu budowlanego dotyczącego realizowanego przedsięwzięcia. </w:t>
      </w:r>
    </w:p>
    <w:p w14:paraId="6974C075" w14:textId="77777777" w:rsidR="00F34BD4" w:rsidRPr="000F751D" w:rsidRDefault="00F34BD4" w:rsidP="00373FD3">
      <w:r w:rsidRPr="000F751D">
        <w:t xml:space="preserve">Szczegółowa metodologia wykonania audytu energetycznego ujęta jest w rozporządzeniu Ministra Infrastruktury z dnia 17 marca 2009 r. </w:t>
      </w:r>
      <w:r w:rsidRPr="00373FD3">
        <w:t>w sprawie szczegółowego zakresu i form audytu energetycznego oraz części audytu remontowego, wzorów kart audytów, a także algorytmu oceny opłacalności przedsięwzięcia termomodernizacyjnego</w:t>
      </w:r>
      <w:r w:rsidRPr="000F751D">
        <w:t xml:space="preserve"> (Dz.U. z 202</w:t>
      </w:r>
      <w:r>
        <w:t>2</w:t>
      </w:r>
      <w:r w:rsidRPr="000F751D">
        <w:t xml:space="preserve"> r. poz. </w:t>
      </w:r>
      <w:r>
        <w:t>2816</w:t>
      </w:r>
      <w:r w:rsidRPr="000F751D">
        <w:t xml:space="preserve">). Audyt energetyczny budynku </w:t>
      </w:r>
      <w:r w:rsidRPr="000F751D">
        <w:lastRenderedPageBreak/>
        <w:t>uwzględnia czynniki zewnętrzne wpływające na zużycie energii. Czynniki te dotyczą, m.in. lokalizacji (strefa klimatyczna Polski) i usytuowania budynku, warunków eksploatacyjnych. W ramach audytu energetycznego uwzględniane są straty energii (przenikanie i wentylacja), zapotrzebowanie na energię do ogrzewania, chłodzenia, oświetlenia oraz przygotowania ciepłej wody użytkowej oraz zyski słoneczne i bytowe. Audyt energetyczny określa efekt techniczny (oszczędności energii) i ekonomiczny przedsięwzięć termomodernizacyjnych. Audyt energetyczny sporządzany jest na podstawie właściwych europejskich standardów, dokumentacji technicznej budynku, wizji lokalnej, dostępnych pomiarów zużycia energii i mediów, a proponowane usprawnienia wynikają z wiedzy i praktyki audytora energetycznego uwzględniającego najlepsze dostępne technologie oraz koszty materiałów i usług.</w:t>
      </w:r>
    </w:p>
    <w:p w14:paraId="3F083CA5" w14:textId="77777777" w:rsidR="00F34BD4" w:rsidRPr="00DB3E40" w:rsidRDefault="00F34BD4" w:rsidP="00FF3BC7">
      <w:pPr>
        <w:pStyle w:val="Akapitzlist"/>
        <w:numPr>
          <w:ilvl w:val="0"/>
          <w:numId w:val="11"/>
        </w:numPr>
        <w:spacing w:before="120" w:line="360" w:lineRule="auto"/>
        <w:ind w:left="1134" w:hanging="357"/>
        <w:jc w:val="left"/>
        <w:rPr>
          <w:b/>
          <w:bCs/>
          <w:color w:val="2F5496" w:themeColor="accent1" w:themeShade="BF"/>
        </w:rPr>
      </w:pPr>
      <w:r w:rsidRPr="00DB3E40">
        <w:rPr>
          <w:b/>
          <w:bCs/>
          <w:color w:val="2F5496" w:themeColor="accent1" w:themeShade="BF"/>
        </w:rPr>
        <w:t>Metoda wyrażania wielkości oszczędności energii (oszczędność energii pierwotnej lub finalnej)</w:t>
      </w:r>
    </w:p>
    <w:p w14:paraId="3A0B4E3F" w14:textId="77777777" w:rsidR="00F34BD4" w:rsidRDefault="00F34BD4" w:rsidP="00373FD3">
      <w:r w:rsidRPr="00DB3E40">
        <w:t>Wielkość zużycia energii określa się na podstawie audytu energetycznego budynku</w:t>
      </w:r>
      <w:r>
        <w:t xml:space="preserve">, w którym </w:t>
      </w:r>
      <w:r w:rsidRPr="00DB3E40">
        <w:t xml:space="preserve"> określane są podstawowe parametry przedsięwzięcia służącego poprawie efektywności energetycznej, w tym średnioroczna oszczędność energii finalnej</w:t>
      </w:r>
      <w:r>
        <w:t xml:space="preserve"> wyrażona w </w:t>
      </w:r>
      <w:proofErr w:type="spellStart"/>
      <w:r>
        <w:t>toe</w:t>
      </w:r>
      <w:proofErr w:type="spellEnd"/>
      <w:r>
        <w:t xml:space="preserve"> na rok.</w:t>
      </w:r>
    </w:p>
    <w:p w14:paraId="5EC5AB97" w14:textId="77777777" w:rsidR="00F34BD4" w:rsidRPr="00DB3E40" w:rsidRDefault="00F34BD4" w:rsidP="00FF3BC7">
      <w:pPr>
        <w:pStyle w:val="Akapitzlist"/>
        <w:numPr>
          <w:ilvl w:val="0"/>
          <w:numId w:val="11"/>
        </w:numPr>
        <w:spacing w:before="120" w:line="360" w:lineRule="auto"/>
        <w:ind w:left="1134" w:hanging="357"/>
        <w:jc w:val="left"/>
        <w:rPr>
          <w:b/>
          <w:bCs/>
          <w:color w:val="2F5496" w:themeColor="accent1" w:themeShade="BF"/>
        </w:rPr>
      </w:pPr>
      <w:r w:rsidRPr="00DB3E40">
        <w:rPr>
          <w:b/>
          <w:bCs/>
          <w:color w:val="2F5496" w:themeColor="accent1" w:themeShade="BF"/>
        </w:rPr>
        <w:t>Okres obowiązywania środków i tempo zmniejszania się oszczędności w tym okresie</w:t>
      </w:r>
    </w:p>
    <w:p w14:paraId="60549E7D" w14:textId="384C6B31" w:rsidR="00F34BD4" w:rsidRPr="00DB3E40" w:rsidRDefault="00F34BD4" w:rsidP="00373FD3">
      <w:r w:rsidRPr="00DB3E40">
        <w:t xml:space="preserve">Zgodnie z Dodatkiem VIII </w:t>
      </w:r>
      <w:r w:rsidRPr="00373FD3">
        <w:t xml:space="preserve">Okres obowiązywania środków i tempo zmniejszania się oszczędności w tym okresie </w:t>
      </w:r>
      <w:r w:rsidRPr="00DB3E40">
        <w:t>do Zaleceń Komisji</w:t>
      </w:r>
      <w:r w:rsidRPr="00373FD3">
        <w:fldChar w:fldCharType="begin"/>
      </w:r>
      <w:r w:rsidRPr="00373FD3">
        <w:instrText xml:space="preserve"> NOTEREF _Ref133923497 \h  \* MERGEFORMAT </w:instrText>
      </w:r>
      <w:r w:rsidRPr="00373FD3">
        <w:fldChar w:fldCharType="separate"/>
      </w:r>
      <w:r w:rsidR="00FD1148">
        <w:t>3</w:t>
      </w:r>
      <w:r w:rsidRPr="00373FD3">
        <w:fldChar w:fldCharType="end"/>
      </w:r>
      <w:r w:rsidRPr="00373FD3">
        <w:t xml:space="preserve"> </w:t>
      </w:r>
      <w:r w:rsidRPr="00DB3E40">
        <w:t xml:space="preserve">określono orientacyjne czasy trwania środka. W ramach realizacji programu wykonywane są następujące zadania: </w:t>
      </w:r>
    </w:p>
    <w:p w14:paraId="29510B10" w14:textId="77777777" w:rsidR="00F34BD4" w:rsidRDefault="00F34BD4" w:rsidP="00FF3BC7">
      <w:pPr>
        <w:numPr>
          <w:ilvl w:val="0"/>
          <w:numId w:val="34"/>
        </w:numPr>
      </w:pPr>
      <w:r>
        <w:t xml:space="preserve">przedsięwzięcie niskoemisyjne zgodnie z art. 2 ust. 1b) ustawy z dnia 21 listopada 2008 roku </w:t>
      </w:r>
      <w:r w:rsidRPr="00373FD3">
        <w:t>o wspieraniu termomodernizacji i remontów oraz o centralnej ewidencji emisyjności budynków</w:t>
      </w:r>
      <w:r>
        <w:t>,</w:t>
      </w:r>
    </w:p>
    <w:p w14:paraId="25221CA3" w14:textId="77777777" w:rsidR="00F34BD4" w:rsidRPr="00DB3E40" w:rsidRDefault="00F34BD4" w:rsidP="00FF3BC7">
      <w:pPr>
        <w:numPr>
          <w:ilvl w:val="0"/>
          <w:numId w:val="34"/>
        </w:numPr>
      </w:pPr>
      <w:r w:rsidRPr="00DB3E40">
        <w:t xml:space="preserve">przedsięwzięcie termomodernizacyjne w rozumieniu </w:t>
      </w:r>
      <w:hyperlink r:id="rId12" w:history="1">
        <w:r w:rsidRPr="00DB3E40">
          <w:t>art. 2 pkt 2</w:t>
        </w:r>
      </w:hyperlink>
      <w:r w:rsidRPr="00DB3E40">
        <w:t xml:space="preserve"> ustawy z dnia 21 listopada 2008 r. </w:t>
      </w:r>
      <w:r w:rsidRPr="00373FD3">
        <w:t>o wspieraniu termomodernizacji i remontów oraz o centralnej ewidencji emisyjności budynków</w:t>
      </w:r>
      <w:r w:rsidRPr="00DB3E40">
        <w:t xml:space="preserve">, </w:t>
      </w:r>
    </w:p>
    <w:p w14:paraId="28B1590E" w14:textId="77777777" w:rsidR="00F34BD4" w:rsidRPr="00DB3E40" w:rsidRDefault="00F34BD4" w:rsidP="00FF3BC7">
      <w:pPr>
        <w:numPr>
          <w:ilvl w:val="0"/>
          <w:numId w:val="34"/>
        </w:numPr>
      </w:pPr>
      <w:r w:rsidRPr="00DB3E40">
        <w:t xml:space="preserve">przedsięwzięcie remontowe w rozumieniu </w:t>
      </w:r>
      <w:hyperlink r:id="rId13" w:history="1">
        <w:r w:rsidRPr="00DB3E40">
          <w:t>art. 2 pkt 3</w:t>
        </w:r>
      </w:hyperlink>
      <w:r w:rsidRPr="00DB3E40">
        <w:t xml:space="preserve"> ustawy z dnia 21 listopada 2008 r. </w:t>
      </w:r>
      <w:r w:rsidRPr="00373FD3">
        <w:t>o wspieraniu termomodernizacji i remontów oraz o centralnej ewidencji emisyjności budynków</w:t>
      </w:r>
      <w:r w:rsidRPr="00DB3E40">
        <w:t xml:space="preserve">, </w:t>
      </w:r>
    </w:p>
    <w:p w14:paraId="36B23EA2" w14:textId="77777777" w:rsidR="00F34BD4" w:rsidRPr="00DB3E40" w:rsidRDefault="00F34BD4" w:rsidP="00FF3BC7">
      <w:pPr>
        <w:numPr>
          <w:ilvl w:val="0"/>
          <w:numId w:val="34"/>
        </w:numPr>
      </w:pPr>
      <w:r w:rsidRPr="00DB3E40">
        <w:t xml:space="preserve">przedsięwzięcie termomodernizacyjne finansowane ze środków, o których mowa w </w:t>
      </w:r>
      <w:hyperlink r:id="rId14" w:history="1">
        <w:r w:rsidRPr="00DB3E40">
          <w:t>art. 18 ust. 3 pkt 2-6</w:t>
        </w:r>
      </w:hyperlink>
      <w:r w:rsidRPr="00DB3E40">
        <w:t xml:space="preserve"> ustawy</w:t>
      </w:r>
      <w:r w:rsidRPr="00DB3E40" w:rsidDel="00514111">
        <w:t xml:space="preserve"> </w:t>
      </w:r>
      <w:r w:rsidRPr="00373FD3">
        <w:t>o efektywności energetycznej</w:t>
      </w:r>
      <w:r w:rsidRPr="00DB3E40">
        <w:t>.</w:t>
      </w:r>
    </w:p>
    <w:p w14:paraId="6F19B0CE" w14:textId="77777777" w:rsidR="00F34BD4" w:rsidRDefault="00F34BD4" w:rsidP="00373FD3">
      <w:r w:rsidRPr="00DB3E40">
        <w:t xml:space="preserve">Biorąc pod uwagę rodzaj przedsięwzięć realizowanych w ramach programu czas obowiązywania środków będzie nie dłuższy </w:t>
      </w:r>
      <w:r w:rsidRPr="00373FD3">
        <w:t>niż 25 lat</w:t>
      </w:r>
      <w:r w:rsidRPr="00DB3E40">
        <w:t xml:space="preserve">. </w:t>
      </w:r>
    </w:p>
    <w:p w14:paraId="7B39F228" w14:textId="77777777" w:rsidR="00F34BD4" w:rsidRDefault="00F34BD4" w:rsidP="00FF3BC7">
      <w:pPr>
        <w:pStyle w:val="Akapitzlist"/>
        <w:numPr>
          <w:ilvl w:val="0"/>
          <w:numId w:val="11"/>
        </w:numPr>
        <w:spacing w:before="120" w:line="360" w:lineRule="auto"/>
        <w:ind w:left="1134" w:hanging="357"/>
        <w:jc w:val="left"/>
        <w:rPr>
          <w:b/>
          <w:bCs/>
          <w:color w:val="2F5496" w:themeColor="accent1" w:themeShade="BF"/>
        </w:rPr>
      </w:pPr>
      <w:r w:rsidRPr="001644C2">
        <w:rPr>
          <w:b/>
          <w:bCs/>
          <w:color w:val="2F5496" w:themeColor="accent1" w:themeShade="BF"/>
        </w:rPr>
        <w:t xml:space="preserve">Krótki opis metody obliczania oszczędności energii, w tym sposobów zapewniania dodatkowości i istotności oraz metod i poziomów referencyjnych stosowanych do oszczędności </w:t>
      </w:r>
      <w:r>
        <w:rPr>
          <w:b/>
          <w:bCs/>
          <w:color w:val="2F5496" w:themeColor="accent1" w:themeShade="BF"/>
        </w:rPr>
        <w:t>szacowanej</w:t>
      </w:r>
      <w:r w:rsidRPr="001644C2">
        <w:rPr>
          <w:b/>
          <w:bCs/>
          <w:color w:val="2F5496" w:themeColor="accent1" w:themeShade="BF"/>
        </w:rPr>
        <w:t xml:space="preserve"> i skalowanych</w:t>
      </w:r>
    </w:p>
    <w:p w14:paraId="790BF04C" w14:textId="77777777" w:rsidR="00F34BD4" w:rsidRPr="00D62DB9" w:rsidRDefault="00F34BD4" w:rsidP="00373FD3">
      <w:pPr>
        <w:spacing w:after="0" w:line="360" w:lineRule="auto"/>
      </w:pPr>
      <w:r w:rsidRPr="00D62DB9">
        <w:t xml:space="preserve">Oszczędności energii </w:t>
      </w:r>
      <w:r>
        <w:t xml:space="preserve">wynikające z programu TERMO obliczane są na podstawie poniższej formuły: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F34BD4" w14:paraId="5EEC567D" w14:textId="77777777" w:rsidTr="00B823C1">
        <w:tc>
          <w:tcPr>
            <w:tcW w:w="3020" w:type="dxa"/>
          </w:tcPr>
          <w:p w14:paraId="5A0E98E8" w14:textId="77777777" w:rsidR="00F34BD4" w:rsidRDefault="00F34BD4" w:rsidP="00B823C1">
            <w:pPr>
              <w:spacing w:line="360" w:lineRule="auto"/>
              <w:rPr>
                <w:highlight w:val="yellow"/>
                <w:u w:val="single"/>
              </w:rPr>
            </w:pPr>
          </w:p>
        </w:tc>
        <w:tc>
          <w:tcPr>
            <w:tcW w:w="3021" w:type="dxa"/>
            <w:vAlign w:val="center"/>
          </w:tcPr>
          <w:p w14:paraId="7D0CDB83" w14:textId="77777777" w:rsidR="00F34BD4" w:rsidRDefault="00FD1148" w:rsidP="00B823C1">
            <w:pPr>
              <w:spacing w:line="360" w:lineRule="auto"/>
              <w:jc w:val="right"/>
              <w:rPr>
                <w:rFonts w:eastAsia="Calibri" w:cs="Arial"/>
                <w:b/>
                <w:bCs/>
                <w:sz w:val="32"/>
                <w:szCs w:val="32"/>
              </w:rPr>
            </w:pPr>
            <m:oMathPara>
              <m:oMath>
                <m:sSub>
                  <m:sSubPr>
                    <m:ctrlPr>
                      <w:rPr>
                        <w:rFonts w:ascii="Cambria Math" w:hAnsi="Cambria Math"/>
                        <w:b/>
                        <w:bCs/>
                        <w:i/>
                        <w:sz w:val="32"/>
                        <w:szCs w:val="32"/>
                      </w:rPr>
                    </m:ctrlPr>
                  </m:sSubPr>
                  <m:e>
                    <m:r>
                      <m:rPr>
                        <m:sty m:val="bi"/>
                      </m:rPr>
                      <w:rPr>
                        <w:rFonts w:ascii="Cambria Math" w:hAnsi="Cambria Math"/>
                        <w:sz w:val="32"/>
                        <w:szCs w:val="32"/>
                      </w:rPr>
                      <m:t>O</m:t>
                    </m:r>
                  </m:e>
                  <m:sub>
                    <m:r>
                      <m:rPr>
                        <m:sty m:val="bi"/>
                      </m:rPr>
                      <w:rPr>
                        <w:rFonts w:ascii="Cambria Math" w:hAnsi="Cambria Math"/>
                        <w:sz w:val="32"/>
                        <w:szCs w:val="32"/>
                      </w:rPr>
                      <m:t>FTiR</m:t>
                    </m:r>
                  </m:sub>
                </m:sSub>
                <m:r>
                  <m:rPr>
                    <m:sty m:val="bi"/>
                  </m:rPr>
                  <w:rPr>
                    <w:rFonts w:ascii="Cambria Math" w:hAnsi="Cambria Math"/>
                    <w:sz w:val="32"/>
                    <w:szCs w:val="32"/>
                  </w:rPr>
                  <m:t>=</m:t>
                </m:r>
                <m:nary>
                  <m:naryPr>
                    <m:chr m:val="∑"/>
                    <m:limLoc m:val="undOvr"/>
                    <m:ctrlPr>
                      <w:rPr>
                        <w:rFonts w:ascii="Cambria Math" w:hAnsi="Cambria Math"/>
                        <w:b/>
                        <w:bCs/>
                        <w:i/>
                        <w:sz w:val="32"/>
                        <w:szCs w:val="32"/>
                      </w:rPr>
                    </m:ctrlPr>
                  </m:naryPr>
                  <m:sub>
                    <m:r>
                      <m:rPr>
                        <m:sty m:val="bi"/>
                      </m:rPr>
                      <w:rPr>
                        <w:rFonts w:ascii="Cambria Math" w:hAnsi="Cambria Math"/>
                        <w:sz w:val="32"/>
                        <w:szCs w:val="32"/>
                      </w:rPr>
                      <m:t>i=1</m:t>
                    </m:r>
                  </m:sub>
                  <m:sup>
                    <m:r>
                      <m:rPr>
                        <m:sty m:val="bi"/>
                      </m:rPr>
                      <w:rPr>
                        <w:rFonts w:ascii="Cambria Math" w:hAnsi="Cambria Math"/>
                        <w:sz w:val="32"/>
                        <w:szCs w:val="32"/>
                      </w:rPr>
                      <m:t>N</m:t>
                    </m:r>
                  </m:sup>
                  <m:e>
                    <m:sSub>
                      <m:sSubPr>
                        <m:ctrlPr>
                          <w:rPr>
                            <w:rFonts w:ascii="Cambria Math" w:hAnsi="Cambria Math"/>
                            <w:b/>
                            <w:bCs/>
                            <w:i/>
                            <w:sz w:val="32"/>
                            <w:szCs w:val="32"/>
                          </w:rPr>
                        </m:ctrlPr>
                      </m:sSubPr>
                      <m:e>
                        <m:r>
                          <m:rPr>
                            <m:sty m:val="bi"/>
                          </m:rPr>
                          <w:rPr>
                            <w:rFonts w:ascii="Cambria Math" w:hAnsi="Cambria Math"/>
                            <w:sz w:val="32"/>
                            <w:szCs w:val="32"/>
                          </w:rPr>
                          <m:t>o</m:t>
                        </m:r>
                      </m:e>
                      <m:sub>
                        <m:r>
                          <m:rPr>
                            <m:sty m:val="bi"/>
                          </m:rPr>
                          <w:rPr>
                            <w:rFonts w:ascii="Cambria Math" w:hAnsi="Cambria Math"/>
                            <w:sz w:val="32"/>
                            <w:szCs w:val="32"/>
                          </w:rPr>
                          <m:t>i</m:t>
                        </m:r>
                      </m:sub>
                    </m:sSub>
                  </m:e>
                </m:nary>
              </m:oMath>
            </m:oMathPara>
          </w:p>
        </w:tc>
        <w:tc>
          <w:tcPr>
            <w:tcW w:w="3021" w:type="dxa"/>
            <w:vAlign w:val="center"/>
          </w:tcPr>
          <w:p w14:paraId="714E2B9F" w14:textId="77777777" w:rsidR="00F34BD4" w:rsidRDefault="00F34BD4" w:rsidP="00B823C1">
            <w:pPr>
              <w:spacing w:line="360" w:lineRule="auto"/>
              <w:jc w:val="right"/>
            </w:pPr>
            <w:r>
              <w:t>(1)</w:t>
            </w:r>
          </w:p>
        </w:tc>
      </w:tr>
    </w:tbl>
    <w:p w14:paraId="2BBEF09F" w14:textId="77777777" w:rsidR="00F34BD4" w:rsidRPr="00E3177A" w:rsidRDefault="00F34BD4" w:rsidP="00F34BD4">
      <w:pPr>
        <w:spacing w:after="0" w:line="360" w:lineRule="auto"/>
      </w:pPr>
      <w:r w:rsidRPr="00E3177A">
        <w:t>gdzie</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425"/>
        <w:gridCol w:w="7791"/>
      </w:tblGrid>
      <w:tr w:rsidR="00F34BD4" w:rsidRPr="00BC0051" w14:paraId="4C674E98" w14:textId="77777777" w:rsidTr="00B823C1">
        <w:tc>
          <w:tcPr>
            <w:tcW w:w="846" w:type="dxa"/>
          </w:tcPr>
          <w:p w14:paraId="5721DD3A" w14:textId="77777777" w:rsidR="00F34BD4" w:rsidRPr="00BC0051" w:rsidRDefault="00FD1148" w:rsidP="00B823C1">
            <w:pPr>
              <w:spacing w:line="360" w:lineRule="auto"/>
            </w:pPr>
            <m:oMathPara>
              <m:oMath>
                <m:sSub>
                  <m:sSubPr>
                    <m:ctrlPr>
                      <w:rPr>
                        <w:rFonts w:ascii="Cambria Math" w:hAnsi="Cambria Math"/>
                        <w:i/>
                      </w:rPr>
                    </m:ctrlPr>
                  </m:sSubPr>
                  <m:e>
                    <m:r>
                      <w:rPr>
                        <w:rFonts w:ascii="Cambria Math" w:hAnsi="Cambria Math"/>
                      </w:rPr>
                      <m:t>O</m:t>
                    </m:r>
                  </m:e>
                  <m:sub>
                    <m:r>
                      <w:rPr>
                        <w:rFonts w:ascii="Cambria Math" w:hAnsi="Cambria Math"/>
                      </w:rPr>
                      <m:t>FTiR</m:t>
                    </m:r>
                  </m:sub>
                </m:sSub>
              </m:oMath>
            </m:oMathPara>
          </w:p>
        </w:tc>
        <w:tc>
          <w:tcPr>
            <w:tcW w:w="425" w:type="dxa"/>
          </w:tcPr>
          <w:p w14:paraId="4930CF43" w14:textId="77777777" w:rsidR="00F34BD4" w:rsidRPr="00BC0051" w:rsidRDefault="00F34BD4" w:rsidP="00B823C1">
            <w:pPr>
              <w:spacing w:line="360" w:lineRule="auto"/>
            </w:pPr>
            <w:r w:rsidRPr="00BC0051">
              <w:t>-</w:t>
            </w:r>
          </w:p>
        </w:tc>
        <w:tc>
          <w:tcPr>
            <w:tcW w:w="7791" w:type="dxa"/>
          </w:tcPr>
          <w:p w14:paraId="708C2B55" w14:textId="77777777" w:rsidR="00F34BD4" w:rsidRPr="00BC0051" w:rsidRDefault="00F34BD4" w:rsidP="00B823C1">
            <w:pPr>
              <w:spacing w:line="360" w:lineRule="auto"/>
            </w:pPr>
            <w:r>
              <w:t>średnioroczne oszczędności energii końcowej [</w:t>
            </w:r>
            <w:proofErr w:type="spellStart"/>
            <w:r>
              <w:t>ktoe</w:t>
            </w:r>
            <w:proofErr w:type="spellEnd"/>
            <w:r>
              <w:t>/rok];</w:t>
            </w:r>
          </w:p>
        </w:tc>
      </w:tr>
      <w:tr w:rsidR="00F34BD4" w:rsidRPr="00BC0051" w14:paraId="7617D09F" w14:textId="77777777" w:rsidTr="00B823C1">
        <w:tc>
          <w:tcPr>
            <w:tcW w:w="846" w:type="dxa"/>
          </w:tcPr>
          <w:p w14:paraId="323EFAA8" w14:textId="77777777" w:rsidR="00F34BD4" w:rsidRPr="00BC0051" w:rsidRDefault="00FD1148" w:rsidP="00B823C1">
            <w:pPr>
              <w:spacing w:line="360" w:lineRule="auto"/>
            </w:pPr>
            <m:oMathPara>
              <m:oMath>
                <m:sSub>
                  <m:sSubPr>
                    <m:ctrlPr>
                      <w:rPr>
                        <w:rFonts w:ascii="Cambria Math" w:hAnsi="Cambria Math"/>
                        <w:i/>
                      </w:rPr>
                    </m:ctrlPr>
                  </m:sSubPr>
                  <m:e>
                    <m:r>
                      <w:rPr>
                        <w:rFonts w:ascii="Cambria Math" w:hAnsi="Cambria Math"/>
                      </w:rPr>
                      <m:t>o</m:t>
                    </m:r>
                  </m:e>
                  <m:sub>
                    <m:r>
                      <w:rPr>
                        <w:rFonts w:ascii="Cambria Math" w:hAnsi="Cambria Math"/>
                      </w:rPr>
                      <m:t>i</m:t>
                    </m:r>
                  </m:sub>
                </m:sSub>
              </m:oMath>
            </m:oMathPara>
          </w:p>
        </w:tc>
        <w:tc>
          <w:tcPr>
            <w:tcW w:w="425" w:type="dxa"/>
          </w:tcPr>
          <w:p w14:paraId="3522C5EA" w14:textId="77777777" w:rsidR="00F34BD4" w:rsidRPr="00BC0051" w:rsidRDefault="00F34BD4" w:rsidP="00B823C1">
            <w:pPr>
              <w:spacing w:line="360" w:lineRule="auto"/>
            </w:pPr>
            <w:r w:rsidRPr="00BC0051">
              <w:t>-</w:t>
            </w:r>
          </w:p>
        </w:tc>
        <w:tc>
          <w:tcPr>
            <w:tcW w:w="7791" w:type="dxa"/>
          </w:tcPr>
          <w:p w14:paraId="120F7568" w14:textId="77777777" w:rsidR="00F34BD4" w:rsidRPr="00BC0051" w:rsidRDefault="00F34BD4" w:rsidP="00B823C1">
            <w:pPr>
              <w:spacing w:line="360" w:lineRule="auto"/>
            </w:pPr>
            <w:r>
              <w:t>oszczędność energii wynikająca z audytu energetycznego dla każdego przeprowadzonego przedsięwzięcia termomodernizacyjnego [</w:t>
            </w:r>
            <w:proofErr w:type="spellStart"/>
            <w:r>
              <w:t>toe</w:t>
            </w:r>
            <w:proofErr w:type="spellEnd"/>
            <w:r>
              <w:t>/rok];</w:t>
            </w:r>
          </w:p>
        </w:tc>
      </w:tr>
      <w:tr w:rsidR="00F34BD4" w:rsidRPr="00BC0051" w14:paraId="570EE8FC" w14:textId="77777777" w:rsidTr="00B823C1">
        <w:tc>
          <w:tcPr>
            <w:tcW w:w="846" w:type="dxa"/>
          </w:tcPr>
          <w:p w14:paraId="0AAB6CA9" w14:textId="77777777" w:rsidR="00F34BD4" w:rsidRPr="00BC0051" w:rsidRDefault="00F34BD4" w:rsidP="00B823C1">
            <w:pPr>
              <w:spacing w:line="360" w:lineRule="auto"/>
            </w:pPr>
            <m:oMathPara>
              <m:oMath>
                <m:r>
                  <w:rPr>
                    <w:rFonts w:ascii="Cambria Math" w:hAnsi="Cambria Math"/>
                  </w:rPr>
                  <m:t>N</m:t>
                </m:r>
              </m:oMath>
            </m:oMathPara>
          </w:p>
        </w:tc>
        <w:tc>
          <w:tcPr>
            <w:tcW w:w="425" w:type="dxa"/>
          </w:tcPr>
          <w:p w14:paraId="6D743D79" w14:textId="77777777" w:rsidR="00F34BD4" w:rsidRPr="00BC0051" w:rsidRDefault="00F34BD4" w:rsidP="00B823C1">
            <w:pPr>
              <w:spacing w:line="360" w:lineRule="auto"/>
            </w:pPr>
            <w:r w:rsidRPr="00BC0051">
              <w:t>-</w:t>
            </w:r>
          </w:p>
        </w:tc>
        <w:tc>
          <w:tcPr>
            <w:tcW w:w="7791" w:type="dxa"/>
          </w:tcPr>
          <w:p w14:paraId="1F673FFF" w14:textId="77777777" w:rsidR="00F34BD4" w:rsidRPr="00BC0051" w:rsidRDefault="00F34BD4" w:rsidP="00B823C1">
            <w:pPr>
              <w:spacing w:line="360" w:lineRule="auto"/>
            </w:pPr>
            <w:r>
              <w:t>ilość inwestycji.</w:t>
            </w:r>
          </w:p>
        </w:tc>
      </w:tr>
    </w:tbl>
    <w:p w14:paraId="720CF318" w14:textId="77777777" w:rsidR="00F34BD4" w:rsidRPr="00684624" w:rsidRDefault="00F34BD4" w:rsidP="00F34BD4">
      <w:pPr>
        <w:spacing w:after="0" w:line="360" w:lineRule="auto"/>
        <w:rPr>
          <w:highlight w:val="yellow"/>
          <w:u w:val="single"/>
        </w:rPr>
      </w:pPr>
    </w:p>
    <w:p w14:paraId="75D6E0F8" w14:textId="77777777" w:rsidR="00F34BD4" w:rsidRPr="008A2E4D" w:rsidRDefault="00F34BD4" w:rsidP="00F34BD4">
      <w:pPr>
        <w:spacing w:after="0" w:line="360" w:lineRule="auto"/>
        <w:ind w:firstLine="709"/>
        <w:rPr>
          <w:b/>
          <w:bCs/>
          <w:i/>
          <w:iCs/>
          <w:color w:val="5B9BD5" w:themeColor="accent5"/>
        </w:rPr>
      </w:pPr>
      <w:r w:rsidRPr="008A2E4D">
        <w:rPr>
          <w:b/>
          <w:bCs/>
          <w:i/>
          <w:iCs/>
          <w:color w:val="5B9BD5" w:themeColor="accent5"/>
        </w:rPr>
        <w:t>Zasada istotności</w:t>
      </w:r>
    </w:p>
    <w:p w14:paraId="4F8170AC" w14:textId="77777777" w:rsidR="00F34BD4" w:rsidRPr="00E3177A" w:rsidRDefault="00F34BD4" w:rsidP="00373FD3">
      <w:r w:rsidRPr="00E3177A">
        <w:t>Możliwość uzyskania premia termomodernizacyjnej motywuje inwestora do podjęcia decyzji o realizacji przedsięwzięcia skutkującego oszczędnością energii, uzyskaną przy jak najmniejszym nakładzie inwestycyjnym. Warunek minimalnej wartości SPBT (</w:t>
      </w:r>
      <w:proofErr w:type="spellStart"/>
      <w:r w:rsidRPr="00E3177A">
        <w:t>Simply</w:t>
      </w:r>
      <w:proofErr w:type="spellEnd"/>
      <w:r w:rsidRPr="00E3177A">
        <w:t xml:space="preserve"> </w:t>
      </w:r>
      <w:proofErr w:type="spellStart"/>
      <w:r w:rsidRPr="00E3177A">
        <w:t>Pay</w:t>
      </w:r>
      <w:proofErr w:type="spellEnd"/>
      <w:r w:rsidRPr="00E3177A">
        <w:t xml:space="preserve"> </w:t>
      </w:r>
      <w:proofErr w:type="spellStart"/>
      <w:r w:rsidRPr="00E3177A">
        <w:t>Back</w:t>
      </w:r>
      <w:proofErr w:type="spellEnd"/>
      <w:r w:rsidRPr="00E3177A">
        <w:t xml:space="preserve"> Time) dla usprawnienia termomodernizacyjnego jest wpisany w metodykę wykonania audytu energetycznego.</w:t>
      </w:r>
    </w:p>
    <w:p w14:paraId="33CC4396" w14:textId="77777777" w:rsidR="00F34BD4" w:rsidRPr="00373FD3" w:rsidRDefault="00F34BD4" w:rsidP="00373FD3">
      <w:r w:rsidRPr="00373FD3">
        <w:t>Oszczędności energii finalnej uzyskane w ramach tego środka alternatywnego są istotne dla osiągnięcia krajowego celu w zakresie oszczędności energii, określonego w art. 8 dyrektywy. Szczególne znaczenie należy przypisać efektowi skali. W ramach tego środka alternatywnego uzyskuje się istotne oszczędności energii finalnej podczas realizacji wielu przedsięwzięć służących poprawie efektywności energetycznej przynoszących stosunkowo niewielką ilość oszczędności energii.</w:t>
      </w:r>
    </w:p>
    <w:p w14:paraId="3E49A7CF" w14:textId="77777777" w:rsidR="00F34BD4" w:rsidRPr="008A2E4D" w:rsidRDefault="00F34BD4" w:rsidP="00F34BD4">
      <w:pPr>
        <w:spacing w:after="0" w:line="360" w:lineRule="auto"/>
        <w:ind w:firstLine="709"/>
        <w:rPr>
          <w:b/>
          <w:bCs/>
          <w:i/>
          <w:iCs/>
          <w:color w:val="5B9BD5" w:themeColor="accent5"/>
        </w:rPr>
      </w:pPr>
      <w:r w:rsidRPr="008A2E4D">
        <w:rPr>
          <w:b/>
          <w:bCs/>
          <w:i/>
          <w:iCs/>
          <w:color w:val="5B9BD5" w:themeColor="accent5"/>
        </w:rPr>
        <w:t>Zasada dodatkowości</w:t>
      </w:r>
    </w:p>
    <w:p w14:paraId="2AB793A1" w14:textId="77777777" w:rsidR="00F34BD4" w:rsidRDefault="00F34BD4" w:rsidP="00373FD3">
      <w:r w:rsidRPr="008D7F37">
        <w:t xml:space="preserve">Zgodnie z pkt. 2 lit </w:t>
      </w:r>
      <w:r>
        <w:t>c</w:t>
      </w:r>
      <w:r w:rsidRPr="008D7F37">
        <w:t xml:space="preserve"> Załącznika V oszczędności związane z renowacją istniejących budynków mogą być zaliczone jako oszczędność energii na użytek art. </w:t>
      </w:r>
      <w:r>
        <w:t>8</w:t>
      </w:r>
      <w:r w:rsidRPr="008D7F37">
        <w:t xml:space="preserve"> ust. 1 pod warunkiem spełnienia kryterium istotności</w:t>
      </w:r>
      <w:r>
        <w:t xml:space="preserve">. </w:t>
      </w:r>
      <w:r w:rsidRPr="008D7F37">
        <w:t xml:space="preserve">Co więcej, audyt energetyczny wskazuje przede wszystkim na celowość podejmowania w pierwszej kolejności racjonalnych działań poprawy charakterystyki energetycznej budynku w celu zmniejszenia zapotrzebowania na energię do ogrzewania budynku i przygotowania ciepłej wody użytkowej. Cel ten jest osiągany poprzez dodatkową izolację cieplną przegród zewnętrznych budynku, likwidację mostków cieplnych, ograniczenie strat na wentylację, uszczelnianie powłok oddzielających budynek od otoczenia zewnętrznego, częściową lub całkowitą wymianę stolarki okiennej lub drzwiowej. Inwestor, stymulowany możliwością uzyskania dofinasowanie ze środków programu, realizuje te zadania w pierwszej kolejności. </w:t>
      </w:r>
      <w:r>
        <w:t xml:space="preserve"> W</w:t>
      </w:r>
      <w:r w:rsidRPr="00E3177A">
        <w:t xml:space="preserve"> wyniku realizacji przedsięwzięcia termomodernizacyjnego, w jego zakresie, muszą być spełnione minimalne aktualne standardy dla nowego budynku o niemal zerowym zużyciu energii, zdefiniowane i określone w rozporządzeniu Ministra Infrastruktury z dnia 12 kwietnia 2002 r. </w:t>
      </w:r>
      <w:r w:rsidRPr="00373FD3">
        <w:t>w sprawie warunków technicznych, jakim powinny odpowiadać budynki i ich usytuowanie</w:t>
      </w:r>
      <w:r w:rsidRPr="00E3177A">
        <w:t xml:space="preserve">. </w:t>
      </w:r>
    </w:p>
    <w:p w14:paraId="5FA762C0" w14:textId="77777777" w:rsidR="00F34BD4" w:rsidRPr="00AB73D9" w:rsidRDefault="00F34BD4" w:rsidP="00FF3BC7">
      <w:pPr>
        <w:pStyle w:val="Akapitzlist"/>
        <w:numPr>
          <w:ilvl w:val="0"/>
          <w:numId w:val="11"/>
        </w:numPr>
        <w:spacing w:before="120" w:line="360" w:lineRule="auto"/>
        <w:ind w:left="1134" w:hanging="357"/>
        <w:jc w:val="left"/>
        <w:rPr>
          <w:b/>
          <w:bCs/>
          <w:color w:val="2F5496" w:themeColor="accent1" w:themeShade="BF"/>
        </w:rPr>
      </w:pPr>
      <w:r w:rsidRPr="00AB73D9">
        <w:rPr>
          <w:b/>
          <w:bCs/>
          <w:color w:val="2F5496" w:themeColor="accent1" w:themeShade="BF"/>
        </w:rPr>
        <w:t>Informacja o sposobie postępowania z ewentualnym dublowaniem się środków i indywidualnych działań w celu unikania podwójnego zliczania oszczędności energii</w:t>
      </w:r>
    </w:p>
    <w:p w14:paraId="338442BB" w14:textId="77777777" w:rsidR="00F34BD4" w:rsidRDefault="00F34BD4" w:rsidP="00373FD3">
      <w:r w:rsidRPr="00DE2274">
        <w:t>Z tytułu realizacji przedsięwzięcia termomodernizacyjnego inwestorowi przysługuje premia na spłatę części kredytu zaciągniętego na przedsięwzięcie termomodernizacyjne, jeżeli z audytu energetycznego wynika, że w wyniku przedsięwzięcia termomodernizacyjnego nastąpi zmniejszenie rocznych strat energii</w:t>
      </w:r>
      <w:r>
        <w:t>,</w:t>
      </w:r>
      <w:r w:rsidRPr="00DE2274">
        <w:t xml:space="preserve"> co najmniej o 25%. Kredyt nie mógł i nie może być przeznaczony na sfinansowanie prac, na które uzyskano wsparcie z innych środków publicznych.</w:t>
      </w:r>
    </w:p>
    <w:p w14:paraId="7400D7BF" w14:textId="77777777" w:rsidR="00F34BD4" w:rsidRDefault="00F34BD4" w:rsidP="00373FD3">
      <w:r>
        <w:t>C</w:t>
      </w:r>
      <w:r w:rsidRPr="00AB73D9">
        <w:t xml:space="preserve">elem zliczania </w:t>
      </w:r>
      <w:r>
        <w:t xml:space="preserve">oszczędności wynikających z tzw. </w:t>
      </w:r>
      <w:r w:rsidRPr="00AB73D9">
        <w:t>środków alternatywnych, powołany został Centralny Rejestr Oszczędności Energii Finalnej</w:t>
      </w:r>
      <w:bookmarkStart w:id="19" w:name="_Ref135216444"/>
      <w:r w:rsidRPr="00373FD3">
        <w:footnoteReference w:id="6"/>
      </w:r>
      <w:bookmarkEnd w:id="19"/>
      <w:r w:rsidRPr="00AB73D9">
        <w:t xml:space="preserve">, w którym raportowane są wszystkie przedsięwzięcia realizowane w ramach </w:t>
      </w:r>
      <w:r>
        <w:t>programu TERMO</w:t>
      </w:r>
      <w:r w:rsidRPr="00AB73D9">
        <w:t xml:space="preserve">. </w:t>
      </w:r>
      <w:r>
        <w:t xml:space="preserve">BGK jako instytucja </w:t>
      </w:r>
      <w:r w:rsidRPr="00EF4FC0">
        <w:t>podpisując</w:t>
      </w:r>
      <w:r>
        <w:t>a</w:t>
      </w:r>
      <w:r w:rsidRPr="00EF4FC0">
        <w:t xml:space="preserve"> umow</w:t>
      </w:r>
      <w:r>
        <w:t>ę</w:t>
      </w:r>
      <w:r w:rsidRPr="00EF4FC0">
        <w:t xml:space="preserve"> o dofinansowanie z odbiorcą końcowym </w:t>
      </w:r>
      <w:r>
        <w:t>jest</w:t>
      </w:r>
      <w:r w:rsidRPr="00EF4FC0">
        <w:t xml:space="preserve"> zobowiązane do przekazania jednostkowych danych na temat przedsięwzięcia do 31 marca każdego roku, po zakończonej inwestycji</w:t>
      </w:r>
      <w:r>
        <w:t xml:space="preserve">. </w:t>
      </w:r>
      <w:r w:rsidRPr="00EF4FC0">
        <w:t>System następnie weryfikuje czy nie występuje tzw. podwójne zliczania</w:t>
      </w:r>
      <w:r>
        <w:t xml:space="preserve"> dla danej lokalizacji przedsięwzięcia</w:t>
      </w:r>
      <w:r w:rsidRPr="00EF4FC0">
        <w:t xml:space="preserve">. </w:t>
      </w:r>
    </w:p>
    <w:p w14:paraId="5F61B617" w14:textId="51465A4F" w:rsidR="00F34BD4" w:rsidRPr="00684624" w:rsidRDefault="00F34BD4" w:rsidP="00FF3BC7">
      <w:pPr>
        <w:pStyle w:val="Akapitzlist"/>
        <w:numPr>
          <w:ilvl w:val="0"/>
          <w:numId w:val="11"/>
        </w:numPr>
        <w:spacing w:before="120" w:line="360" w:lineRule="auto"/>
        <w:ind w:left="1134" w:hanging="357"/>
        <w:jc w:val="left"/>
        <w:rPr>
          <w:b/>
          <w:bCs/>
          <w:color w:val="2F5496" w:themeColor="accent1" w:themeShade="BF"/>
        </w:rPr>
      </w:pPr>
      <w:r w:rsidRPr="00684624">
        <w:rPr>
          <w:b/>
          <w:bCs/>
          <w:color w:val="2F5496" w:themeColor="accent1" w:themeShade="BF"/>
        </w:rPr>
        <w:t>Oszczędność</w:t>
      </w:r>
      <w:r>
        <w:rPr>
          <w:b/>
          <w:bCs/>
          <w:color w:val="2F5496" w:themeColor="accent1" w:themeShade="BF"/>
        </w:rPr>
        <w:t xml:space="preserve"> końcowego zużycia</w:t>
      </w:r>
      <w:r w:rsidRPr="00684624">
        <w:rPr>
          <w:b/>
          <w:bCs/>
          <w:color w:val="2F5496" w:themeColor="accent1" w:themeShade="BF"/>
        </w:rPr>
        <w:t xml:space="preserve"> w okresie 2021-2030</w:t>
      </w:r>
    </w:p>
    <w:p w14:paraId="42938C5D" w14:textId="77777777" w:rsidR="00F34BD4" w:rsidRDefault="00F34BD4" w:rsidP="00373FD3">
      <w:r w:rsidRPr="00684624">
        <w:t xml:space="preserve">W Tab. </w:t>
      </w:r>
      <w:r>
        <w:t>5</w:t>
      </w:r>
      <w:r w:rsidRPr="00684624">
        <w:t xml:space="preserve"> przedstawiono </w:t>
      </w:r>
      <w:r>
        <w:t xml:space="preserve">roczne i </w:t>
      </w:r>
      <w:r w:rsidRPr="00684624">
        <w:t>skumulowane oszczędności energii finalnej w okresie 2021-2030</w:t>
      </w:r>
      <w:r>
        <w:t xml:space="preserve">. Szacuje się, że program TERMO przyniesie 1 175 </w:t>
      </w:r>
      <w:proofErr w:type="spellStart"/>
      <w:r>
        <w:t>ktoe</w:t>
      </w:r>
      <w:proofErr w:type="spellEnd"/>
      <w:r>
        <w:t xml:space="preserve"> całkowitych skumulowanych oszczędności energii finalnej do 2030 roku.</w:t>
      </w:r>
    </w:p>
    <w:p w14:paraId="317C96DD" w14:textId="44B98D9B" w:rsidR="00F34BD4" w:rsidRDefault="00F34BD4" w:rsidP="00F34BD4">
      <w:pPr>
        <w:pStyle w:val="Legenda"/>
        <w:keepNext/>
        <w:spacing w:after="120"/>
        <w:jc w:val="center"/>
      </w:pPr>
      <w:r w:rsidRPr="00D62DB9">
        <w:rPr>
          <w:rStyle w:val="rynqvb"/>
          <w:b/>
        </w:rPr>
        <w:lastRenderedPageBreak/>
        <w:t xml:space="preserve">Tab. </w:t>
      </w:r>
      <w:r w:rsidRPr="00D62DB9">
        <w:rPr>
          <w:rStyle w:val="rynqvb"/>
          <w:b/>
        </w:rPr>
        <w:fldChar w:fldCharType="begin"/>
      </w:r>
      <w:r w:rsidRPr="00D62DB9">
        <w:rPr>
          <w:rStyle w:val="rynqvb"/>
          <w:b/>
        </w:rPr>
        <w:instrText xml:space="preserve"> SEQ Tab. \* ARABIC </w:instrText>
      </w:r>
      <w:r w:rsidRPr="00D62DB9">
        <w:rPr>
          <w:rStyle w:val="rynqvb"/>
          <w:b/>
        </w:rPr>
        <w:fldChar w:fldCharType="separate"/>
      </w:r>
      <w:r w:rsidR="00FD1148">
        <w:rPr>
          <w:rStyle w:val="rynqvb"/>
          <w:b/>
          <w:noProof/>
        </w:rPr>
        <w:t>2</w:t>
      </w:r>
      <w:r w:rsidRPr="00D62DB9">
        <w:rPr>
          <w:rStyle w:val="rynqvb"/>
          <w:b/>
        </w:rPr>
        <w:fldChar w:fldCharType="end"/>
      </w:r>
      <w:r w:rsidRPr="00D62DB9">
        <w:rPr>
          <w:rStyle w:val="rynqvb"/>
          <w:b/>
        </w:rPr>
        <w:t xml:space="preserve"> </w:t>
      </w:r>
      <w:r>
        <w:rPr>
          <w:rStyle w:val="rynqvb"/>
          <w:b/>
        </w:rPr>
        <w:t>Fundusz Termomodernizacji i Remontów: o</w:t>
      </w:r>
      <w:r w:rsidRPr="00E35197">
        <w:rPr>
          <w:rStyle w:val="rynqvb"/>
          <w:b/>
          <w:bCs/>
        </w:rPr>
        <w:t>szczędności</w:t>
      </w:r>
      <w:r>
        <w:rPr>
          <w:rStyle w:val="rynqvb"/>
          <w:b/>
          <w:bCs/>
        </w:rPr>
        <w:t xml:space="preserve"> końcowego zużycia</w:t>
      </w:r>
      <w:r w:rsidRPr="00E35197">
        <w:rPr>
          <w:rStyle w:val="rynqvb"/>
          <w:b/>
          <w:bCs/>
        </w:rPr>
        <w:t xml:space="preserve"> energii osiągnię</w:t>
      </w:r>
      <w:r>
        <w:rPr>
          <w:rStyle w:val="rynqvb"/>
          <w:b/>
          <w:bCs/>
        </w:rPr>
        <w:t>te w 2021 roku oraz szacunkowe oszczędności</w:t>
      </w:r>
      <w:r w:rsidRPr="00E35197">
        <w:rPr>
          <w:rStyle w:val="rynqvb"/>
          <w:b/>
          <w:bCs/>
        </w:rPr>
        <w:t xml:space="preserve"> </w:t>
      </w:r>
      <w:r>
        <w:rPr>
          <w:rStyle w:val="rynqvb"/>
          <w:b/>
          <w:bCs/>
        </w:rPr>
        <w:t xml:space="preserve">do osiągnięcia w </w:t>
      </w:r>
      <w:r w:rsidRPr="00E35197">
        <w:rPr>
          <w:rStyle w:val="rynqvb"/>
          <w:b/>
          <w:bCs/>
        </w:rPr>
        <w:t>latach 202</w:t>
      </w:r>
      <w:r>
        <w:rPr>
          <w:rStyle w:val="rynqvb"/>
          <w:b/>
          <w:bCs/>
        </w:rPr>
        <w:t>2</w:t>
      </w:r>
      <w:r w:rsidRPr="00E35197">
        <w:rPr>
          <w:rStyle w:val="rynqvb"/>
          <w:b/>
          <w:bCs/>
        </w:rPr>
        <w:t>-2030– roczne i skumulowane</w:t>
      </w:r>
      <w:r>
        <w:rPr>
          <w:rStyle w:val="rynqvb"/>
          <w:b/>
          <w:bCs/>
        </w:rPr>
        <w:t xml:space="preserve">. </w:t>
      </w:r>
    </w:p>
    <w:tbl>
      <w:tblPr>
        <w:tblpPr w:leftFromText="141" w:rightFromText="141" w:vertAnchor="text" w:horzAnchor="margin" w:tblpY="196"/>
        <w:tblW w:w="5031" w:type="pct"/>
        <w:tblCellMar>
          <w:left w:w="70" w:type="dxa"/>
          <w:right w:w="70" w:type="dxa"/>
        </w:tblCellMar>
        <w:tblLook w:val="04A0" w:firstRow="1" w:lastRow="0" w:firstColumn="1" w:lastColumn="0" w:noHBand="0" w:noVBand="1"/>
      </w:tblPr>
      <w:tblGrid>
        <w:gridCol w:w="1382"/>
        <w:gridCol w:w="620"/>
        <w:gridCol w:w="618"/>
        <w:gridCol w:w="618"/>
        <w:gridCol w:w="618"/>
        <w:gridCol w:w="618"/>
        <w:gridCol w:w="618"/>
        <w:gridCol w:w="617"/>
        <w:gridCol w:w="618"/>
        <w:gridCol w:w="618"/>
        <w:gridCol w:w="618"/>
        <w:gridCol w:w="1555"/>
      </w:tblGrid>
      <w:tr w:rsidR="00F34BD4" w:rsidRPr="008F173A" w14:paraId="5F1F5AF4" w14:textId="77777777" w:rsidTr="00B823C1">
        <w:trPr>
          <w:trHeight w:val="299"/>
        </w:trPr>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47647" w14:textId="77777777" w:rsidR="00F34BD4" w:rsidRPr="00D94B5E" w:rsidRDefault="00F34BD4" w:rsidP="00B823C1">
            <w:pPr>
              <w:spacing w:after="0"/>
              <w:jc w:val="center"/>
              <w:rPr>
                <w:color w:val="000000"/>
                <w:szCs w:val="20"/>
                <w:lang w:eastAsia="pl-PL"/>
              </w:rPr>
            </w:pPr>
            <w:r w:rsidRPr="00D94B5E">
              <w:rPr>
                <w:color w:val="000000"/>
                <w:szCs w:val="20"/>
                <w:lang w:eastAsia="pl-PL"/>
              </w:rPr>
              <w:t>Rok</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0D2A3B0B" w14:textId="77777777" w:rsidR="00F34BD4" w:rsidRPr="00D94B5E" w:rsidRDefault="00F34BD4" w:rsidP="00B823C1">
            <w:pPr>
              <w:spacing w:after="0"/>
              <w:jc w:val="center"/>
              <w:rPr>
                <w:color w:val="000000"/>
                <w:szCs w:val="20"/>
                <w:lang w:eastAsia="pl-PL"/>
              </w:rPr>
            </w:pPr>
            <w:r w:rsidRPr="00D94B5E">
              <w:rPr>
                <w:color w:val="000000"/>
                <w:szCs w:val="20"/>
                <w:lang w:eastAsia="pl-PL"/>
              </w:rPr>
              <w:t>2021</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14:paraId="2827BFC8" w14:textId="77777777" w:rsidR="00F34BD4" w:rsidRPr="00D94B5E" w:rsidRDefault="00F34BD4" w:rsidP="00B823C1">
            <w:pPr>
              <w:spacing w:after="0"/>
              <w:jc w:val="center"/>
              <w:rPr>
                <w:color w:val="000000"/>
                <w:szCs w:val="20"/>
                <w:lang w:eastAsia="pl-PL"/>
              </w:rPr>
            </w:pPr>
            <w:r w:rsidRPr="00D94B5E">
              <w:rPr>
                <w:color w:val="000000"/>
                <w:szCs w:val="20"/>
                <w:lang w:eastAsia="pl-PL"/>
              </w:rPr>
              <w:t>2022</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14:paraId="17F52AA2" w14:textId="77777777" w:rsidR="00F34BD4" w:rsidRPr="00D94B5E" w:rsidRDefault="00F34BD4" w:rsidP="00B823C1">
            <w:pPr>
              <w:spacing w:after="0"/>
              <w:jc w:val="center"/>
              <w:rPr>
                <w:color w:val="000000"/>
                <w:szCs w:val="20"/>
                <w:lang w:eastAsia="pl-PL"/>
              </w:rPr>
            </w:pPr>
            <w:r w:rsidRPr="00D94B5E">
              <w:rPr>
                <w:color w:val="000000"/>
                <w:szCs w:val="20"/>
                <w:lang w:eastAsia="pl-PL"/>
              </w:rPr>
              <w:t>2023</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14:paraId="33714D90" w14:textId="77777777" w:rsidR="00F34BD4" w:rsidRPr="00D94B5E" w:rsidRDefault="00F34BD4" w:rsidP="00B823C1">
            <w:pPr>
              <w:spacing w:after="0"/>
              <w:jc w:val="center"/>
              <w:rPr>
                <w:color w:val="000000"/>
                <w:szCs w:val="20"/>
                <w:lang w:eastAsia="pl-PL"/>
              </w:rPr>
            </w:pPr>
            <w:r w:rsidRPr="00D94B5E">
              <w:rPr>
                <w:color w:val="000000"/>
                <w:szCs w:val="20"/>
                <w:lang w:eastAsia="pl-PL"/>
              </w:rPr>
              <w:t>2024</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14:paraId="1CB95672" w14:textId="77777777" w:rsidR="00F34BD4" w:rsidRPr="00D94B5E" w:rsidRDefault="00F34BD4" w:rsidP="00B823C1">
            <w:pPr>
              <w:spacing w:after="0"/>
              <w:jc w:val="center"/>
              <w:rPr>
                <w:color w:val="000000"/>
                <w:szCs w:val="20"/>
                <w:lang w:eastAsia="pl-PL"/>
              </w:rPr>
            </w:pPr>
            <w:r w:rsidRPr="00D94B5E">
              <w:rPr>
                <w:color w:val="000000"/>
                <w:szCs w:val="20"/>
                <w:lang w:eastAsia="pl-PL"/>
              </w:rPr>
              <w:t>2025</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14:paraId="0D3611AF" w14:textId="77777777" w:rsidR="00F34BD4" w:rsidRPr="00D94B5E" w:rsidRDefault="00F34BD4" w:rsidP="00B823C1">
            <w:pPr>
              <w:spacing w:after="0"/>
              <w:jc w:val="center"/>
              <w:rPr>
                <w:color w:val="000000"/>
                <w:szCs w:val="20"/>
                <w:lang w:eastAsia="pl-PL"/>
              </w:rPr>
            </w:pPr>
            <w:r w:rsidRPr="00D94B5E">
              <w:rPr>
                <w:color w:val="000000"/>
                <w:szCs w:val="20"/>
                <w:lang w:eastAsia="pl-PL"/>
              </w:rPr>
              <w:t>2026</w:t>
            </w:r>
          </w:p>
        </w:tc>
        <w:tc>
          <w:tcPr>
            <w:tcW w:w="618" w:type="dxa"/>
            <w:tcBorders>
              <w:top w:val="single" w:sz="4" w:space="0" w:color="auto"/>
              <w:left w:val="single" w:sz="4" w:space="0" w:color="auto"/>
              <w:bottom w:val="single" w:sz="4" w:space="0" w:color="auto"/>
              <w:right w:val="single" w:sz="4" w:space="0" w:color="auto"/>
            </w:tcBorders>
            <w:vAlign w:val="center"/>
          </w:tcPr>
          <w:p w14:paraId="6E5117E0" w14:textId="77777777" w:rsidR="00F34BD4" w:rsidRPr="00D94B5E" w:rsidRDefault="00F34BD4" w:rsidP="00B823C1">
            <w:pPr>
              <w:spacing w:after="0"/>
              <w:jc w:val="center"/>
              <w:rPr>
                <w:color w:val="000000"/>
                <w:szCs w:val="20"/>
                <w:lang w:eastAsia="pl-PL"/>
              </w:rPr>
            </w:pPr>
            <w:r w:rsidRPr="00D94B5E">
              <w:rPr>
                <w:color w:val="000000"/>
                <w:szCs w:val="20"/>
                <w:lang w:eastAsia="pl-PL"/>
              </w:rPr>
              <w:t>2027</w:t>
            </w:r>
          </w:p>
        </w:tc>
        <w:tc>
          <w:tcPr>
            <w:tcW w:w="618" w:type="dxa"/>
            <w:tcBorders>
              <w:top w:val="single" w:sz="4" w:space="0" w:color="auto"/>
              <w:left w:val="single" w:sz="4" w:space="0" w:color="auto"/>
              <w:bottom w:val="single" w:sz="4" w:space="0" w:color="auto"/>
              <w:right w:val="single" w:sz="4" w:space="0" w:color="auto"/>
            </w:tcBorders>
            <w:vAlign w:val="center"/>
          </w:tcPr>
          <w:p w14:paraId="380DDA25" w14:textId="77777777" w:rsidR="00F34BD4" w:rsidRPr="00D94B5E" w:rsidRDefault="00F34BD4" w:rsidP="00B823C1">
            <w:pPr>
              <w:spacing w:after="0"/>
              <w:jc w:val="center"/>
              <w:rPr>
                <w:color w:val="000000"/>
                <w:szCs w:val="20"/>
                <w:lang w:eastAsia="pl-PL"/>
              </w:rPr>
            </w:pPr>
            <w:r w:rsidRPr="00D94B5E">
              <w:rPr>
                <w:color w:val="000000"/>
                <w:szCs w:val="20"/>
                <w:lang w:eastAsia="pl-PL"/>
              </w:rPr>
              <w:t>2028</w:t>
            </w:r>
          </w:p>
        </w:tc>
        <w:tc>
          <w:tcPr>
            <w:tcW w:w="618" w:type="dxa"/>
            <w:tcBorders>
              <w:top w:val="single" w:sz="4" w:space="0" w:color="auto"/>
              <w:left w:val="single" w:sz="4" w:space="0" w:color="auto"/>
              <w:bottom w:val="single" w:sz="4" w:space="0" w:color="auto"/>
              <w:right w:val="single" w:sz="4" w:space="0" w:color="auto"/>
            </w:tcBorders>
            <w:vAlign w:val="center"/>
          </w:tcPr>
          <w:p w14:paraId="06769B55" w14:textId="77777777" w:rsidR="00F34BD4" w:rsidRPr="00D94B5E" w:rsidRDefault="00F34BD4" w:rsidP="00B823C1">
            <w:pPr>
              <w:spacing w:after="0"/>
              <w:jc w:val="center"/>
              <w:rPr>
                <w:color w:val="000000"/>
                <w:szCs w:val="20"/>
                <w:lang w:eastAsia="pl-PL"/>
              </w:rPr>
            </w:pPr>
            <w:r w:rsidRPr="00D94B5E">
              <w:rPr>
                <w:color w:val="000000"/>
                <w:szCs w:val="20"/>
                <w:lang w:eastAsia="pl-PL"/>
              </w:rPr>
              <w:t>2029</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1AFD9" w14:textId="77777777" w:rsidR="00F34BD4" w:rsidRPr="00D94B5E" w:rsidRDefault="00F34BD4" w:rsidP="00B823C1">
            <w:pPr>
              <w:spacing w:after="0"/>
              <w:jc w:val="center"/>
              <w:rPr>
                <w:color w:val="000000"/>
                <w:szCs w:val="20"/>
                <w:lang w:eastAsia="pl-PL"/>
              </w:rPr>
            </w:pPr>
            <w:r w:rsidRPr="00D94B5E">
              <w:rPr>
                <w:color w:val="000000"/>
                <w:szCs w:val="20"/>
                <w:lang w:eastAsia="pl-PL"/>
              </w:rPr>
              <w:t>2030</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3D281" w14:textId="77777777" w:rsidR="00F34BD4" w:rsidRPr="00D94B5E" w:rsidRDefault="00F34BD4" w:rsidP="00B823C1">
            <w:pPr>
              <w:spacing w:after="0"/>
              <w:jc w:val="center"/>
              <w:rPr>
                <w:color w:val="000000"/>
                <w:szCs w:val="20"/>
                <w:lang w:eastAsia="pl-PL"/>
              </w:rPr>
            </w:pPr>
          </w:p>
        </w:tc>
      </w:tr>
      <w:tr w:rsidR="00F34BD4" w:rsidRPr="008F173A" w14:paraId="1EAE2DA9" w14:textId="77777777" w:rsidTr="00B823C1">
        <w:trPr>
          <w:trHeight w:val="299"/>
        </w:trPr>
        <w:tc>
          <w:tcPr>
            <w:tcW w:w="1382" w:type="dxa"/>
            <w:vMerge w:val="restart"/>
            <w:tcBorders>
              <w:top w:val="nil"/>
              <w:left w:val="single" w:sz="4" w:space="0" w:color="auto"/>
              <w:right w:val="single" w:sz="4" w:space="0" w:color="auto"/>
            </w:tcBorders>
            <w:shd w:val="clear" w:color="auto" w:fill="auto"/>
            <w:vAlign w:val="center"/>
            <w:hideMark/>
          </w:tcPr>
          <w:p w14:paraId="50F13668" w14:textId="77777777" w:rsidR="00F34BD4" w:rsidRPr="00D94B5E" w:rsidRDefault="00F34BD4" w:rsidP="00B823C1">
            <w:pPr>
              <w:spacing w:after="0"/>
              <w:jc w:val="center"/>
              <w:rPr>
                <w:color w:val="000000"/>
                <w:szCs w:val="20"/>
                <w:lang w:eastAsia="pl-PL"/>
              </w:rPr>
            </w:pPr>
            <w:r w:rsidRPr="00D94B5E">
              <w:rPr>
                <w:color w:val="000000"/>
                <w:szCs w:val="20"/>
                <w:lang w:eastAsia="pl-PL"/>
              </w:rPr>
              <w:t>Oszczędności końcowego zużycia energii (</w:t>
            </w:r>
            <w:proofErr w:type="spellStart"/>
            <w:r w:rsidRPr="00D94B5E">
              <w:rPr>
                <w:color w:val="000000"/>
                <w:szCs w:val="20"/>
                <w:lang w:eastAsia="pl-PL"/>
              </w:rPr>
              <w:t>ktoe</w:t>
            </w:r>
            <w:proofErr w:type="spellEnd"/>
            <w:r w:rsidRPr="00D94B5E">
              <w:rPr>
                <w:color w:val="000000"/>
                <w:szCs w:val="20"/>
                <w:lang w:eastAsia="pl-PL"/>
              </w:rPr>
              <w:t>)</w:t>
            </w:r>
            <w:r w:rsidRPr="00D94B5E" w:rsidDel="008E67E9">
              <w:rPr>
                <w:color w:val="000000"/>
                <w:szCs w:val="20"/>
                <w:lang w:eastAsia="pl-PL"/>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0C10DFF" w14:textId="77777777" w:rsidR="00F34BD4" w:rsidRPr="00D94B5E" w:rsidRDefault="00F34BD4" w:rsidP="00B823C1">
            <w:pPr>
              <w:spacing w:after="0"/>
              <w:jc w:val="center"/>
              <w:rPr>
                <w:color w:val="000000"/>
                <w:szCs w:val="20"/>
                <w:lang w:eastAsia="pl-PL"/>
              </w:rPr>
            </w:pPr>
            <w:r w:rsidRPr="00D94B5E">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1942BDCA" w14:textId="77777777" w:rsidR="00F34BD4" w:rsidRPr="00D94B5E" w:rsidRDefault="00F34BD4" w:rsidP="00B823C1">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3077B32B" w14:textId="77777777" w:rsidR="00F34BD4" w:rsidRPr="00D94B5E" w:rsidRDefault="00F34BD4" w:rsidP="00B823C1">
            <w:pPr>
              <w:spacing w:after="0"/>
              <w:jc w:val="center"/>
              <w:rPr>
                <w:color w:val="000000"/>
                <w:szCs w:val="20"/>
                <w:lang w:eastAsia="pl-PL"/>
              </w:rPr>
            </w:pPr>
            <w:r w:rsidRPr="00D94B5E" w:rsidDel="00447217">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7B2148B7" w14:textId="77777777" w:rsidR="00F34BD4" w:rsidRPr="00D94B5E" w:rsidRDefault="00F34BD4" w:rsidP="00B823C1">
            <w:pPr>
              <w:spacing w:after="0"/>
              <w:jc w:val="center"/>
              <w:rPr>
                <w:color w:val="000000"/>
                <w:szCs w:val="20"/>
                <w:lang w:eastAsia="pl-PL"/>
              </w:rPr>
            </w:pPr>
            <w:r w:rsidRPr="00D94B5E" w:rsidDel="00447217">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46EF9B5A" w14:textId="77777777" w:rsidR="00F34BD4" w:rsidRPr="00D94B5E" w:rsidRDefault="00F34BD4" w:rsidP="00B823C1">
            <w:pPr>
              <w:spacing w:after="0"/>
              <w:jc w:val="center"/>
              <w:rPr>
                <w:color w:val="000000"/>
                <w:szCs w:val="20"/>
                <w:lang w:eastAsia="pl-PL"/>
              </w:rPr>
            </w:pPr>
            <w:r w:rsidRPr="00D94B5E" w:rsidDel="00447217">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7127A3BC" w14:textId="77777777" w:rsidR="00F34BD4" w:rsidRPr="00D94B5E" w:rsidRDefault="00F34BD4" w:rsidP="00B823C1">
            <w:pPr>
              <w:spacing w:after="0"/>
              <w:jc w:val="center"/>
              <w:rPr>
                <w:color w:val="000000"/>
                <w:szCs w:val="20"/>
                <w:lang w:eastAsia="pl-PL"/>
              </w:rPr>
            </w:pPr>
            <w:r w:rsidRPr="00D94B5E" w:rsidDel="00447217">
              <w:rPr>
                <w:rFonts w:cs="Calibri"/>
                <w:color w:val="000000"/>
                <w:szCs w:val="20"/>
              </w:rPr>
              <w:t> </w:t>
            </w:r>
          </w:p>
        </w:tc>
        <w:tc>
          <w:tcPr>
            <w:tcW w:w="618" w:type="dxa"/>
            <w:tcBorders>
              <w:top w:val="single" w:sz="4" w:space="0" w:color="auto"/>
              <w:left w:val="single" w:sz="4" w:space="0" w:color="auto"/>
              <w:bottom w:val="single" w:sz="4" w:space="0" w:color="auto"/>
              <w:right w:val="single" w:sz="4" w:space="0" w:color="auto"/>
            </w:tcBorders>
            <w:vAlign w:val="center"/>
          </w:tcPr>
          <w:p w14:paraId="18C14D8C" w14:textId="77777777" w:rsidR="00F34BD4" w:rsidRPr="00D94B5E" w:rsidRDefault="00F34BD4" w:rsidP="00B823C1">
            <w:pPr>
              <w:spacing w:after="0"/>
              <w:jc w:val="center"/>
              <w:rPr>
                <w:color w:val="000000"/>
                <w:szCs w:val="20"/>
                <w:lang w:eastAsia="pl-PL"/>
              </w:rPr>
            </w:pPr>
            <w:r w:rsidRPr="00D94B5E" w:rsidDel="00447217">
              <w:rPr>
                <w:rFonts w:cs="Calibri"/>
                <w:color w:val="000000"/>
                <w:szCs w:val="20"/>
              </w:rPr>
              <w:t> </w:t>
            </w:r>
          </w:p>
        </w:tc>
        <w:tc>
          <w:tcPr>
            <w:tcW w:w="618" w:type="dxa"/>
            <w:tcBorders>
              <w:top w:val="single" w:sz="4" w:space="0" w:color="auto"/>
              <w:left w:val="single" w:sz="4" w:space="0" w:color="auto"/>
              <w:bottom w:val="single" w:sz="4" w:space="0" w:color="auto"/>
              <w:right w:val="single" w:sz="4" w:space="0" w:color="auto"/>
            </w:tcBorders>
            <w:vAlign w:val="center"/>
          </w:tcPr>
          <w:p w14:paraId="4AC8BD37" w14:textId="77777777" w:rsidR="00F34BD4" w:rsidRPr="00D94B5E" w:rsidRDefault="00F34BD4" w:rsidP="00B823C1">
            <w:pPr>
              <w:spacing w:after="0"/>
              <w:jc w:val="center"/>
              <w:rPr>
                <w:color w:val="000000"/>
                <w:szCs w:val="20"/>
                <w:lang w:eastAsia="pl-PL"/>
              </w:rPr>
            </w:pPr>
            <w:r w:rsidRPr="00D94B5E" w:rsidDel="00447217">
              <w:rPr>
                <w:rFonts w:cs="Calibri"/>
                <w:color w:val="000000"/>
                <w:szCs w:val="20"/>
              </w:rPr>
              <w:t> </w:t>
            </w:r>
          </w:p>
        </w:tc>
        <w:tc>
          <w:tcPr>
            <w:tcW w:w="618" w:type="dxa"/>
            <w:tcBorders>
              <w:top w:val="single" w:sz="4" w:space="0" w:color="auto"/>
              <w:left w:val="single" w:sz="4" w:space="0" w:color="auto"/>
              <w:bottom w:val="single" w:sz="4" w:space="0" w:color="auto"/>
              <w:right w:val="single" w:sz="4" w:space="0" w:color="auto"/>
            </w:tcBorders>
            <w:vAlign w:val="center"/>
          </w:tcPr>
          <w:p w14:paraId="120FBA27" w14:textId="77777777" w:rsidR="00F34BD4" w:rsidRPr="00D94B5E" w:rsidRDefault="00F34BD4" w:rsidP="00B823C1">
            <w:pPr>
              <w:spacing w:after="0"/>
              <w:jc w:val="center"/>
              <w:rPr>
                <w:color w:val="000000"/>
                <w:szCs w:val="20"/>
                <w:lang w:eastAsia="pl-PL"/>
              </w:rPr>
            </w:pPr>
            <w:r w:rsidRPr="00D94B5E" w:rsidDel="00447217">
              <w:rPr>
                <w:rFonts w:cs="Calibri"/>
                <w:color w:val="000000"/>
                <w:szCs w:val="20"/>
              </w:rPr>
              <w:t> </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5357A" w14:textId="77777777" w:rsidR="00F34BD4" w:rsidRPr="00D94B5E" w:rsidRDefault="00F34BD4" w:rsidP="00B823C1">
            <w:pPr>
              <w:spacing w:after="0"/>
              <w:jc w:val="center"/>
              <w:rPr>
                <w:color w:val="000000"/>
                <w:szCs w:val="20"/>
                <w:lang w:eastAsia="pl-PL"/>
              </w:rPr>
            </w:pPr>
            <w:r w:rsidRPr="00D94B5E">
              <w:rPr>
                <w:rFonts w:cs="Calibri"/>
                <w:color w:val="000000"/>
                <w:szCs w:val="20"/>
              </w:rPr>
              <w:t>30</w:t>
            </w:r>
          </w:p>
        </w:tc>
        <w:tc>
          <w:tcPr>
            <w:tcW w:w="1555" w:type="dxa"/>
            <w:vMerge w:val="restart"/>
            <w:tcBorders>
              <w:top w:val="nil"/>
              <w:left w:val="single" w:sz="4" w:space="0" w:color="auto"/>
              <w:right w:val="single" w:sz="4" w:space="0" w:color="auto"/>
            </w:tcBorders>
            <w:shd w:val="clear" w:color="auto" w:fill="auto"/>
            <w:vAlign w:val="center"/>
            <w:hideMark/>
          </w:tcPr>
          <w:p w14:paraId="45C12B7D" w14:textId="77777777" w:rsidR="00F34BD4" w:rsidRPr="00D94B5E" w:rsidRDefault="00F34BD4" w:rsidP="00B823C1">
            <w:pPr>
              <w:spacing w:after="0"/>
              <w:jc w:val="center"/>
              <w:rPr>
                <w:color w:val="000000"/>
                <w:szCs w:val="20"/>
                <w:lang w:eastAsia="pl-PL"/>
              </w:rPr>
            </w:pPr>
            <w:r>
              <w:rPr>
                <w:color w:val="000000"/>
                <w:szCs w:val="20"/>
                <w:lang w:eastAsia="pl-PL"/>
              </w:rPr>
              <w:t xml:space="preserve">Całkowite skumulowane </w:t>
            </w:r>
            <w:r w:rsidRPr="00D94B5E">
              <w:rPr>
                <w:color w:val="000000"/>
                <w:szCs w:val="20"/>
                <w:lang w:eastAsia="pl-PL"/>
              </w:rPr>
              <w:t>oszczędności końcowego zużycia energii (do 2030)</w:t>
            </w:r>
          </w:p>
        </w:tc>
      </w:tr>
      <w:tr w:rsidR="00F34BD4" w:rsidRPr="008F173A" w14:paraId="4E5D99E5" w14:textId="77777777" w:rsidTr="00B823C1">
        <w:trPr>
          <w:trHeight w:val="299"/>
        </w:trPr>
        <w:tc>
          <w:tcPr>
            <w:tcW w:w="1382" w:type="dxa"/>
            <w:vMerge/>
            <w:tcBorders>
              <w:left w:val="single" w:sz="4" w:space="0" w:color="auto"/>
              <w:right w:val="single" w:sz="4" w:space="0" w:color="auto"/>
            </w:tcBorders>
            <w:shd w:val="clear" w:color="auto" w:fill="auto"/>
            <w:vAlign w:val="center"/>
            <w:hideMark/>
          </w:tcPr>
          <w:p w14:paraId="1B1A66B1" w14:textId="77777777" w:rsidR="00F34BD4" w:rsidRPr="00D94B5E" w:rsidRDefault="00F34BD4" w:rsidP="00B823C1">
            <w:pPr>
              <w:spacing w:after="0"/>
              <w:jc w:val="center"/>
              <w:rPr>
                <w:color w:val="000000"/>
                <w:szCs w:val="20"/>
                <w:lang w:eastAsia="pl-PL"/>
              </w:rPr>
            </w:pPr>
          </w:p>
        </w:tc>
        <w:tc>
          <w:tcPr>
            <w:tcW w:w="620" w:type="dxa"/>
            <w:tcBorders>
              <w:top w:val="nil"/>
              <w:left w:val="nil"/>
              <w:bottom w:val="single" w:sz="4" w:space="0" w:color="auto"/>
              <w:right w:val="single" w:sz="4" w:space="0" w:color="auto"/>
            </w:tcBorders>
            <w:shd w:val="clear" w:color="auto" w:fill="auto"/>
            <w:noWrap/>
            <w:vAlign w:val="center"/>
          </w:tcPr>
          <w:p w14:paraId="5EE253EA" w14:textId="77777777" w:rsidR="00F34BD4" w:rsidRPr="00D94B5E" w:rsidRDefault="00F34BD4" w:rsidP="00B823C1">
            <w:pPr>
              <w:spacing w:after="0"/>
              <w:jc w:val="center"/>
              <w:rPr>
                <w:color w:val="000000"/>
                <w:szCs w:val="20"/>
                <w:lang w:eastAsia="pl-PL"/>
              </w:rPr>
            </w:pPr>
            <w:r w:rsidRPr="00D94B5E">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2BBA1A04" w14:textId="77777777" w:rsidR="00F34BD4" w:rsidRPr="00D94B5E" w:rsidRDefault="00F34BD4" w:rsidP="00B823C1">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1D84D569" w14:textId="77777777" w:rsidR="00F34BD4" w:rsidRPr="00D94B5E" w:rsidRDefault="00F34BD4" w:rsidP="00B823C1">
            <w:pPr>
              <w:spacing w:after="0"/>
              <w:jc w:val="center"/>
              <w:rPr>
                <w:color w:val="000000"/>
                <w:szCs w:val="20"/>
                <w:lang w:eastAsia="pl-PL"/>
              </w:rPr>
            </w:pPr>
            <w:r w:rsidRPr="00D94B5E" w:rsidDel="00447217">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0BFBDB57" w14:textId="77777777" w:rsidR="00F34BD4" w:rsidRPr="00D94B5E" w:rsidRDefault="00F34BD4" w:rsidP="00B823C1">
            <w:pPr>
              <w:spacing w:after="0"/>
              <w:jc w:val="center"/>
              <w:rPr>
                <w:color w:val="000000"/>
                <w:szCs w:val="20"/>
                <w:lang w:eastAsia="pl-PL"/>
              </w:rPr>
            </w:pPr>
            <w:r w:rsidRPr="00D94B5E" w:rsidDel="00447217">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581A42F0" w14:textId="77777777" w:rsidR="00F34BD4" w:rsidRPr="00D94B5E" w:rsidRDefault="00F34BD4" w:rsidP="00B823C1">
            <w:pPr>
              <w:spacing w:after="0"/>
              <w:jc w:val="center"/>
              <w:rPr>
                <w:color w:val="000000"/>
                <w:szCs w:val="20"/>
                <w:lang w:eastAsia="pl-PL"/>
              </w:rPr>
            </w:pPr>
            <w:r w:rsidRPr="00D94B5E" w:rsidDel="00447217">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0286E315" w14:textId="77777777" w:rsidR="00F34BD4" w:rsidRPr="00D94B5E" w:rsidRDefault="00F34BD4" w:rsidP="00B823C1">
            <w:pPr>
              <w:spacing w:after="0"/>
              <w:jc w:val="center"/>
              <w:rPr>
                <w:color w:val="000000"/>
                <w:szCs w:val="20"/>
                <w:lang w:eastAsia="pl-PL"/>
              </w:rPr>
            </w:pPr>
            <w:r w:rsidRPr="00D94B5E" w:rsidDel="00447217">
              <w:rPr>
                <w:rFonts w:cs="Calibri"/>
                <w:color w:val="000000"/>
                <w:szCs w:val="20"/>
              </w:rPr>
              <w:t> </w:t>
            </w:r>
          </w:p>
        </w:tc>
        <w:tc>
          <w:tcPr>
            <w:tcW w:w="618" w:type="dxa"/>
            <w:tcBorders>
              <w:top w:val="single" w:sz="4" w:space="0" w:color="auto"/>
              <w:left w:val="single" w:sz="4" w:space="0" w:color="auto"/>
              <w:bottom w:val="single" w:sz="4" w:space="0" w:color="auto"/>
              <w:right w:val="single" w:sz="4" w:space="0" w:color="auto"/>
            </w:tcBorders>
            <w:vAlign w:val="center"/>
          </w:tcPr>
          <w:p w14:paraId="0BC253B4" w14:textId="77777777" w:rsidR="00F34BD4" w:rsidRPr="00D94B5E" w:rsidRDefault="00F34BD4" w:rsidP="00B823C1">
            <w:pPr>
              <w:spacing w:after="0"/>
              <w:jc w:val="center"/>
              <w:rPr>
                <w:color w:val="000000"/>
                <w:szCs w:val="20"/>
                <w:lang w:eastAsia="pl-PL"/>
              </w:rPr>
            </w:pPr>
            <w:r w:rsidRPr="00D94B5E" w:rsidDel="00447217">
              <w:rPr>
                <w:rFonts w:cs="Calibri"/>
                <w:color w:val="000000"/>
                <w:szCs w:val="20"/>
              </w:rPr>
              <w:t> </w:t>
            </w:r>
          </w:p>
        </w:tc>
        <w:tc>
          <w:tcPr>
            <w:tcW w:w="618" w:type="dxa"/>
            <w:tcBorders>
              <w:top w:val="single" w:sz="4" w:space="0" w:color="auto"/>
              <w:left w:val="single" w:sz="4" w:space="0" w:color="auto"/>
              <w:bottom w:val="single" w:sz="4" w:space="0" w:color="auto"/>
              <w:right w:val="single" w:sz="4" w:space="0" w:color="auto"/>
            </w:tcBorders>
            <w:vAlign w:val="center"/>
          </w:tcPr>
          <w:p w14:paraId="3911E747" w14:textId="77777777" w:rsidR="00F34BD4" w:rsidRPr="00D94B5E" w:rsidRDefault="00F34BD4" w:rsidP="00B823C1">
            <w:pPr>
              <w:spacing w:after="0"/>
              <w:jc w:val="center"/>
              <w:rPr>
                <w:color w:val="000000"/>
                <w:szCs w:val="20"/>
                <w:lang w:eastAsia="pl-PL"/>
              </w:rPr>
            </w:pPr>
            <w:r w:rsidRPr="00D94B5E" w:rsidDel="00447217">
              <w:rPr>
                <w:rFonts w:cs="Calibri"/>
                <w:color w:val="000000"/>
                <w:szCs w:val="20"/>
              </w:rPr>
              <w:t> </w:t>
            </w:r>
          </w:p>
        </w:tc>
        <w:tc>
          <w:tcPr>
            <w:tcW w:w="618" w:type="dxa"/>
            <w:tcBorders>
              <w:top w:val="single" w:sz="4" w:space="0" w:color="auto"/>
              <w:left w:val="single" w:sz="4" w:space="0" w:color="auto"/>
              <w:bottom w:val="single" w:sz="4" w:space="0" w:color="auto"/>
              <w:right w:val="single" w:sz="4" w:space="0" w:color="auto"/>
            </w:tcBorders>
            <w:vAlign w:val="center"/>
          </w:tcPr>
          <w:p w14:paraId="7EE252D1" w14:textId="77777777" w:rsidR="00F34BD4" w:rsidRPr="00D94B5E" w:rsidRDefault="00F34BD4" w:rsidP="00B823C1">
            <w:pPr>
              <w:spacing w:after="0"/>
              <w:jc w:val="center"/>
              <w:rPr>
                <w:color w:val="000000"/>
                <w:szCs w:val="20"/>
                <w:lang w:eastAsia="pl-PL"/>
              </w:rPr>
            </w:pPr>
            <w:r w:rsidRPr="00D94B5E">
              <w:rPr>
                <w:rFonts w:cs="Calibri"/>
                <w:color w:val="000000"/>
                <w:szCs w:val="20"/>
              </w:rPr>
              <w:t>30</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00A25" w14:textId="77777777" w:rsidR="00F34BD4" w:rsidRPr="00D94B5E" w:rsidRDefault="00F34BD4" w:rsidP="00B823C1">
            <w:pPr>
              <w:spacing w:after="0"/>
              <w:jc w:val="center"/>
              <w:rPr>
                <w:color w:val="000000"/>
                <w:szCs w:val="20"/>
                <w:lang w:eastAsia="pl-PL"/>
              </w:rPr>
            </w:pPr>
            <w:r w:rsidRPr="00D94B5E">
              <w:rPr>
                <w:rFonts w:cs="Calibri"/>
                <w:color w:val="000000"/>
                <w:szCs w:val="20"/>
              </w:rPr>
              <w:t>30</w:t>
            </w:r>
          </w:p>
        </w:tc>
        <w:tc>
          <w:tcPr>
            <w:tcW w:w="1555" w:type="dxa"/>
            <w:vMerge/>
            <w:tcBorders>
              <w:left w:val="single" w:sz="4" w:space="0" w:color="auto"/>
              <w:right w:val="single" w:sz="4" w:space="0" w:color="auto"/>
            </w:tcBorders>
            <w:shd w:val="clear" w:color="auto" w:fill="auto"/>
            <w:vAlign w:val="center"/>
            <w:hideMark/>
          </w:tcPr>
          <w:p w14:paraId="6FE20EC5" w14:textId="77777777" w:rsidR="00F34BD4" w:rsidRPr="00D94B5E" w:rsidRDefault="00F34BD4" w:rsidP="00B823C1">
            <w:pPr>
              <w:spacing w:after="0"/>
              <w:jc w:val="center"/>
              <w:rPr>
                <w:color w:val="000000"/>
                <w:szCs w:val="20"/>
                <w:lang w:eastAsia="pl-PL"/>
              </w:rPr>
            </w:pPr>
          </w:p>
        </w:tc>
      </w:tr>
      <w:tr w:rsidR="00F34BD4" w:rsidRPr="008F173A" w14:paraId="706C99A5" w14:textId="77777777" w:rsidTr="00B823C1">
        <w:trPr>
          <w:trHeight w:val="299"/>
        </w:trPr>
        <w:tc>
          <w:tcPr>
            <w:tcW w:w="1382" w:type="dxa"/>
            <w:vMerge/>
            <w:tcBorders>
              <w:left w:val="single" w:sz="4" w:space="0" w:color="auto"/>
              <w:right w:val="single" w:sz="4" w:space="0" w:color="auto"/>
            </w:tcBorders>
            <w:shd w:val="clear" w:color="auto" w:fill="auto"/>
            <w:vAlign w:val="center"/>
            <w:hideMark/>
          </w:tcPr>
          <w:p w14:paraId="77E5C99E" w14:textId="77777777" w:rsidR="00F34BD4" w:rsidRPr="00D94B5E" w:rsidRDefault="00F34BD4" w:rsidP="00B823C1">
            <w:pPr>
              <w:spacing w:after="0"/>
              <w:jc w:val="center"/>
              <w:rPr>
                <w:color w:val="000000"/>
                <w:szCs w:val="20"/>
                <w:lang w:eastAsia="pl-PL"/>
              </w:rPr>
            </w:pPr>
          </w:p>
        </w:tc>
        <w:tc>
          <w:tcPr>
            <w:tcW w:w="620" w:type="dxa"/>
            <w:tcBorders>
              <w:top w:val="nil"/>
              <w:left w:val="nil"/>
              <w:bottom w:val="single" w:sz="4" w:space="0" w:color="auto"/>
              <w:right w:val="single" w:sz="4" w:space="0" w:color="auto"/>
            </w:tcBorders>
            <w:shd w:val="clear" w:color="auto" w:fill="auto"/>
            <w:noWrap/>
            <w:vAlign w:val="center"/>
          </w:tcPr>
          <w:p w14:paraId="4574B406" w14:textId="77777777" w:rsidR="00F34BD4" w:rsidRPr="00D94B5E" w:rsidRDefault="00F34BD4" w:rsidP="00B823C1">
            <w:pPr>
              <w:spacing w:after="0"/>
              <w:jc w:val="center"/>
              <w:rPr>
                <w:color w:val="000000"/>
                <w:szCs w:val="20"/>
                <w:lang w:eastAsia="pl-PL"/>
              </w:rPr>
            </w:pPr>
            <w:r w:rsidRPr="00D94B5E">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292B2D50" w14:textId="77777777" w:rsidR="00F34BD4" w:rsidRPr="00D94B5E" w:rsidRDefault="00F34BD4" w:rsidP="00B823C1">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78761573" w14:textId="77777777" w:rsidR="00F34BD4" w:rsidRPr="00D94B5E" w:rsidRDefault="00F34BD4" w:rsidP="00B823C1">
            <w:pPr>
              <w:spacing w:after="0"/>
              <w:jc w:val="center"/>
              <w:rPr>
                <w:color w:val="000000"/>
                <w:szCs w:val="20"/>
                <w:lang w:eastAsia="pl-PL"/>
              </w:rPr>
            </w:pPr>
            <w:r w:rsidRPr="00D94B5E" w:rsidDel="00447217">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6521D03D" w14:textId="77777777" w:rsidR="00F34BD4" w:rsidRPr="00D94B5E" w:rsidRDefault="00F34BD4" w:rsidP="00B823C1">
            <w:pPr>
              <w:spacing w:after="0"/>
              <w:jc w:val="center"/>
              <w:rPr>
                <w:color w:val="000000"/>
                <w:szCs w:val="20"/>
                <w:lang w:eastAsia="pl-PL"/>
              </w:rPr>
            </w:pPr>
            <w:r w:rsidRPr="00D94B5E" w:rsidDel="00447217">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5D3EB0EA" w14:textId="77777777" w:rsidR="00F34BD4" w:rsidRPr="00D94B5E" w:rsidRDefault="00F34BD4" w:rsidP="00B823C1">
            <w:pPr>
              <w:spacing w:after="0"/>
              <w:jc w:val="center"/>
              <w:rPr>
                <w:color w:val="000000"/>
                <w:szCs w:val="20"/>
                <w:lang w:eastAsia="pl-PL"/>
              </w:rPr>
            </w:pPr>
            <w:r w:rsidRPr="00D94B5E" w:rsidDel="00447217">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4915EB68" w14:textId="77777777" w:rsidR="00F34BD4" w:rsidRPr="00D94B5E" w:rsidRDefault="00F34BD4" w:rsidP="00B823C1">
            <w:pPr>
              <w:spacing w:after="0"/>
              <w:jc w:val="center"/>
              <w:rPr>
                <w:color w:val="000000"/>
                <w:szCs w:val="20"/>
                <w:lang w:eastAsia="pl-PL"/>
              </w:rPr>
            </w:pPr>
            <w:r w:rsidRPr="00D94B5E" w:rsidDel="00447217">
              <w:rPr>
                <w:rFonts w:cs="Calibri"/>
                <w:color w:val="000000"/>
                <w:szCs w:val="20"/>
              </w:rPr>
              <w:t> </w:t>
            </w:r>
          </w:p>
        </w:tc>
        <w:tc>
          <w:tcPr>
            <w:tcW w:w="618" w:type="dxa"/>
            <w:tcBorders>
              <w:top w:val="single" w:sz="4" w:space="0" w:color="auto"/>
              <w:left w:val="single" w:sz="4" w:space="0" w:color="auto"/>
              <w:bottom w:val="single" w:sz="4" w:space="0" w:color="auto"/>
              <w:right w:val="single" w:sz="4" w:space="0" w:color="auto"/>
            </w:tcBorders>
            <w:vAlign w:val="center"/>
          </w:tcPr>
          <w:p w14:paraId="68F4CBEC" w14:textId="77777777" w:rsidR="00F34BD4" w:rsidRPr="00D94B5E" w:rsidRDefault="00F34BD4" w:rsidP="00B823C1">
            <w:pPr>
              <w:spacing w:after="0"/>
              <w:jc w:val="center"/>
              <w:rPr>
                <w:color w:val="000000"/>
                <w:szCs w:val="20"/>
                <w:lang w:eastAsia="pl-PL"/>
              </w:rPr>
            </w:pPr>
            <w:r w:rsidRPr="00D94B5E" w:rsidDel="00447217">
              <w:rPr>
                <w:rFonts w:cs="Calibri"/>
                <w:color w:val="000000"/>
                <w:szCs w:val="20"/>
              </w:rPr>
              <w:t> </w:t>
            </w:r>
          </w:p>
        </w:tc>
        <w:tc>
          <w:tcPr>
            <w:tcW w:w="618" w:type="dxa"/>
            <w:tcBorders>
              <w:top w:val="single" w:sz="4" w:space="0" w:color="auto"/>
              <w:left w:val="single" w:sz="4" w:space="0" w:color="auto"/>
              <w:bottom w:val="single" w:sz="4" w:space="0" w:color="auto"/>
              <w:right w:val="single" w:sz="4" w:space="0" w:color="auto"/>
            </w:tcBorders>
            <w:vAlign w:val="center"/>
          </w:tcPr>
          <w:p w14:paraId="12400018" w14:textId="77777777" w:rsidR="00F34BD4" w:rsidRPr="00D94B5E" w:rsidRDefault="00F34BD4" w:rsidP="00B823C1">
            <w:pPr>
              <w:spacing w:after="0"/>
              <w:jc w:val="center"/>
              <w:rPr>
                <w:color w:val="000000"/>
                <w:szCs w:val="20"/>
                <w:lang w:eastAsia="pl-PL"/>
              </w:rPr>
            </w:pPr>
            <w:r w:rsidRPr="00D94B5E">
              <w:rPr>
                <w:rFonts w:cs="Calibri"/>
                <w:color w:val="000000"/>
                <w:szCs w:val="20"/>
              </w:rPr>
              <w:t>30</w:t>
            </w:r>
          </w:p>
        </w:tc>
        <w:tc>
          <w:tcPr>
            <w:tcW w:w="618" w:type="dxa"/>
            <w:tcBorders>
              <w:top w:val="single" w:sz="4" w:space="0" w:color="auto"/>
              <w:left w:val="single" w:sz="4" w:space="0" w:color="auto"/>
              <w:bottom w:val="single" w:sz="4" w:space="0" w:color="auto"/>
              <w:right w:val="single" w:sz="4" w:space="0" w:color="auto"/>
            </w:tcBorders>
            <w:vAlign w:val="center"/>
          </w:tcPr>
          <w:p w14:paraId="3C5046A6" w14:textId="77777777" w:rsidR="00F34BD4" w:rsidRPr="00D94B5E" w:rsidRDefault="00F34BD4" w:rsidP="00B823C1">
            <w:pPr>
              <w:spacing w:after="0"/>
              <w:jc w:val="center"/>
              <w:rPr>
                <w:color w:val="000000"/>
                <w:szCs w:val="20"/>
                <w:lang w:eastAsia="pl-PL"/>
              </w:rPr>
            </w:pPr>
            <w:r w:rsidRPr="00D94B5E">
              <w:rPr>
                <w:rFonts w:cs="Calibri"/>
                <w:color w:val="000000"/>
                <w:szCs w:val="20"/>
              </w:rPr>
              <w:t>30</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33567" w14:textId="77777777" w:rsidR="00F34BD4" w:rsidRPr="00D94B5E" w:rsidRDefault="00F34BD4" w:rsidP="00B823C1">
            <w:pPr>
              <w:spacing w:after="0"/>
              <w:jc w:val="center"/>
              <w:rPr>
                <w:color w:val="000000"/>
                <w:szCs w:val="20"/>
                <w:lang w:eastAsia="pl-PL"/>
              </w:rPr>
            </w:pPr>
            <w:r w:rsidRPr="00D94B5E">
              <w:rPr>
                <w:rFonts w:cs="Calibri"/>
                <w:color w:val="000000"/>
                <w:szCs w:val="20"/>
              </w:rPr>
              <w:t>30</w:t>
            </w:r>
          </w:p>
        </w:tc>
        <w:tc>
          <w:tcPr>
            <w:tcW w:w="1555" w:type="dxa"/>
            <w:vMerge/>
            <w:tcBorders>
              <w:left w:val="single" w:sz="4" w:space="0" w:color="auto"/>
              <w:right w:val="single" w:sz="4" w:space="0" w:color="auto"/>
            </w:tcBorders>
            <w:shd w:val="clear" w:color="auto" w:fill="auto"/>
            <w:vAlign w:val="center"/>
            <w:hideMark/>
          </w:tcPr>
          <w:p w14:paraId="6C14AE38" w14:textId="77777777" w:rsidR="00F34BD4" w:rsidRPr="00D94B5E" w:rsidRDefault="00F34BD4" w:rsidP="00B823C1">
            <w:pPr>
              <w:spacing w:after="0"/>
              <w:jc w:val="center"/>
              <w:rPr>
                <w:color w:val="000000"/>
                <w:szCs w:val="20"/>
                <w:lang w:eastAsia="pl-PL"/>
              </w:rPr>
            </w:pPr>
          </w:p>
        </w:tc>
      </w:tr>
      <w:tr w:rsidR="00F34BD4" w:rsidRPr="008F173A" w14:paraId="4F9D2D1C" w14:textId="77777777" w:rsidTr="00B823C1">
        <w:trPr>
          <w:trHeight w:val="299"/>
        </w:trPr>
        <w:tc>
          <w:tcPr>
            <w:tcW w:w="1382" w:type="dxa"/>
            <w:vMerge/>
            <w:tcBorders>
              <w:left w:val="single" w:sz="4" w:space="0" w:color="auto"/>
              <w:right w:val="single" w:sz="4" w:space="0" w:color="auto"/>
            </w:tcBorders>
            <w:vAlign w:val="center"/>
            <w:hideMark/>
          </w:tcPr>
          <w:p w14:paraId="114F4029" w14:textId="77777777" w:rsidR="00F34BD4" w:rsidRPr="00D94B5E" w:rsidRDefault="00F34BD4" w:rsidP="00B823C1">
            <w:pPr>
              <w:spacing w:after="0"/>
              <w:jc w:val="center"/>
              <w:rPr>
                <w:color w:val="000000"/>
                <w:szCs w:val="20"/>
                <w:lang w:eastAsia="pl-PL"/>
              </w:rPr>
            </w:pPr>
          </w:p>
        </w:tc>
        <w:tc>
          <w:tcPr>
            <w:tcW w:w="620" w:type="dxa"/>
            <w:tcBorders>
              <w:top w:val="nil"/>
              <w:left w:val="nil"/>
              <w:bottom w:val="single" w:sz="4" w:space="0" w:color="auto"/>
              <w:right w:val="single" w:sz="4" w:space="0" w:color="auto"/>
            </w:tcBorders>
            <w:shd w:val="clear" w:color="auto" w:fill="auto"/>
            <w:noWrap/>
            <w:vAlign w:val="center"/>
          </w:tcPr>
          <w:p w14:paraId="285D2A0E" w14:textId="77777777" w:rsidR="00F34BD4" w:rsidRPr="00D94B5E" w:rsidRDefault="00F34BD4" w:rsidP="00B823C1">
            <w:pPr>
              <w:spacing w:after="0"/>
              <w:jc w:val="center"/>
              <w:rPr>
                <w:color w:val="000000"/>
                <w:szCs w:val="20"/>
                <w:lang w:eastAsia="pl-PL"/>
              </w:rPr>
            </w:pPr>
            <w:r w:rsidRPr="00D94B5E">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192327AA" w14:textId="77777777" w:rsidR="00F34BD4" w:rsidRPr="00D94B5E" w:rsidRDefault="00F34BD4" w:rsidP="00B823C1">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74B570A8" w14:textId="77777777" w:rsidR="00F34BD4" w:rsidRPr="00D94B5E" w:rsidRDefault="00F34BD4" w:rsidP="00B823C1">
            <w:pPr>
              <w:spacing w:after="0"/>
              <w:jc w:val="center"/>
              <w:rPr>
                <w:color w:val="000000"/>
                <w:szCs w:val="20"/>
                <w:lang w:eastAsia="pl-PL"/>
              </w:rPr>
            </w:pPr>
            <w:r w:rsidRPr="00D94B5E" w:rsidDel="00447217">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6FAFDD4E" w14:textId="77777777" w:rsidR="00F34BD4" w:rsidRPr="00D94B5E" w:rsidRDefault="00F34BD4" w:rsidP="00B823C1">
            <w:pPr>
              <w:spacing w:after="0"/>
              <w:jc w:val="center"/>
              <w:rPr>
                <w:color w:val="000000"/>
                <w:szCs w:val="20"/>
                <w:lang w:eastAsia="pl-PL"/>
              </w:rPr>
            </w:pPr>
            <w:r w:rsidRPr="00D94B5E" w:rsidDel="00447217">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48C9F857" w14:textId="77777777" w:rsidR="00F34BD4" w:rsidRPr="00D94B5E" w:rsidRDefault="00F34BD4" w:rsidP="00B823C1">
            <w:pPr>
              <w:spacing w:after="0"/>
              <w:jc w:val="center"/>
              <w:rPr>
                <w:color w:val="000000"/>
                <w:szCs w:val="20"/>
                <w:lang w:eastAsia="pl-PL"/>
              </w:rPr>
            </w:pPr>
            <w:r w:rsidRPr="00D94B5E" w:rsidDel="00447217">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0748F6F4" w14:textId="77777777" w:rsidR="00F34BD4" w:rsidRPr="00D94B5E" w:rsidRDefault="00F34BD4" w:rsidP="00B823C1">
            <w:pPr>
              <w:spacing w:after="0"/>
              <w:jc w:val="center"/>
              <w:rPr>
                <w:color w:val="000000"/>
                <w:szCs w:val="20"/>
                <w:lang w:eastAsia="pl-PL"/>
              </w:rPr>
            </w:pPr>
            <w:r w:rsidRPr="00D94B5E" w:rsidDel="00447217">
              <w:rPr>
                <w:rFonts w:cs="Calibri"/>
                <w:color w:val="000000"/>
                <w:szCs w:val="20"/>
              </w:rPr>
              <w:t> </w:t>
            </w:r>
          </w:p>
        </w:tc>
        <w:tc>
          <w:tcPr>
            <w:tcW w:w="618" w:type="dxa"/>
            <w:tcBorders>
              <w:top w:val="single" w:sz="4" w:space="0" w:color="auto"/>
              <w:left w:val="single" w:sz="4" w:space="0" w:color="auto"/>
              <w:bottom w:val="single" w:sz="4" w:space="0" w:color="auto"/>
              <w:right w:val="single" w:sz="4" w:space="0" w:color="auto"/>
            </w:tcBorders>
            <w:vAlign w:val="center"/>
          </w:tcPr>
          <w:p w14:paraId="15369DD9" w14:textId="77777777" w:rsidR="00F34BD4" w:rsidRPr="00D94B5E" w:rsidRDefault="00F34BD4" w:rsidP="00B823C1">
            <w:pPr>
              <w:spacing w:after="0"/>
              <w:jc w:val="center"/>
              <w:rPr>
                <w:color w:val="000000"/>
                <w:szCs w:val="20"/>
                <w:lang w:eastAsia="pl-PL"/>
              </w:rPr>
            </w:pPr>
            <w:r w:rsidRPr="00D94B5E">
              <w:rPr>
                <w:rFonts w:cs="Calibri"/>
                <w:color w:val="000000"/>
                <w:szCs w:val="20"/>
              </w:rPr>
              <w:t>30</w:t>
            </w:r>
          </w:p>
        </w:tc>
        <w:tc>
          <w:tcPr>
            <w:tcW w:w="618" w:type="dxa"/>
            <w:tcBorders>
              <w:top w:val="single" w:sz="4" w:space="0" w:color="auto"/>
              <w:left w:val="single" w:sz="4" w:space="0" w:color="auto"/>
              <w:bottom w:val="single" w:sz="4" w:space="0" w:color="auto"/>
              <w:right w:val="single" w:sz="4" w:space="0" w:color="auto"/>
            </w:tcBorders>
            <w:vAlign w:val="center"/>
          </w:tcPr>
          <w:p w14:paraId="6B5251F1" w14:textId="77777777" w:rsidR="00F34BD4" w:rsidRPr="00D94B5E" w:rsidRDefault="00F34BD4" w:rsidP="00B823C1">
            <w:pPr>
              <w:spacing w:after="0"/>
              <w:jc w:val="center"/>
              <w:rPr>
                <w:color w:val="000000"/>
                <w:szCs w:val="20"/>
                <w:lang w:eastAsia="pl-PL"/>
              </w:rPr>
            </w:pPr>
            <w:r w:rsidRPr="00D94B5E">
              <w:rPr>
                <w:rFonts w:cs="Calibri"/>
                <w:color w:val="000000"/>
                <w:szCs w:val="20"/>
              </w:rPr>
              <w:t>30</w:t>
            </w:r>
          </w:p>
        </w:tc>
        <w:tc>
          <w:tcPr>
            <w:tcW w:w="618" w:type="dxa"/>
            <w:tcBorders>
              <w:top w:val="single" w:sz="4" w:space="0" w:color="auto"/>
              <w:left w:val="single" w:sz="4" w:space="0" w:color="auto"/>
              <w:bottom w:val="single" w:sz="4" w:space="0" w:color="auto"/>
              <w:right w:val="single" w:sz="4" w:space="0" w:color="auto"/>
            </w:tcBorders>
            <w:vAlign w:val="center"/>
          </w:tcPr>
          <w:p w14:paraId="501E68A9" w14:textId="77777777" w:rsidR="00F34BD4" w:rsidRPr="00D94B5E" w:rsidRDefault="00F34BD4" w:rsidP="00B823C1">
            <w:pPr>
              <w:spacing w:after="0"/>
              <w:jc w:val="center"/>
              <w:rPr>
                <w:color w:val="000000"/>
                <w:szCs w:val="20"/>
                <w:lang w:eastAsia="pl-PL"/>
              </w:rPr>
            </w:pPr>
            <w:r w:rsidRPr="00D94B5E">
              <w:rPr>
                <w:rFonts w:cs="Calibri"/>
                <w:color w:val="000000"/>
                <w:szCs w:val="20"/>
              </w:rPr>
              <w:t>30</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1FAA1" w14:textId="77777777" w:rsidR="00F34BD4" w:rsidRPr="00D94B5E" w:rsidRDefault="00F34BD4" w:rsidP="00B823C1">
            <w:pPr>
              <w:spacing w:after="0"/>
              <w:jc w:val="center"/>
              <w:rPr>
                <w:color w:val="000000"/>
                <w:szCs w:val="20"/>
                <w:lang w:eastAsia="pl-PL"/>
              </w:rPr>
            </w:pPr>
            <w:r w:rsidRPr="00D94B5E">
              <w:rPr>
                <w:rFonts w:cs="Calibri"/>
                <w:color w:val="000000"/>
                <w:szCs w:val="20"/>
              </w:rPr>
              <w:t>30</w:t>
            </w:r>
          </w:p>
        </w:tc>
        <w:tc>
          <w:tcPr>
            <w:tcW w:w="1555" w:type="dxa"/>
            <w:vMerge/>
            <w:tcBorders>
              <w:left w:val="single" w:sz="4" w:space="0" w:color="auto"/>
              <w:right w:val="single" w:sz="4" w:space="0" w:color="auto"/>
            </w:tcBorders>
            <w:shd w:val="clear" w:color="auto" w:fill="auto"/>
            <w:vAlign w:val="center"/>
            <w:hideMark/>
          </w:tcPr>
          <w:p w14:paraId="1618C729" w14:textId="77777777" w:rsidR="00F34BD4" w:rsidRPr="00D94B5E" w:rsidRDefault="00F34BD4" w:rsidP="00B823C1">
            <w:pPr>
              <w:spacing w:after="0"/>
              <w:jc w:val="center"/>
              <w:rPr>
                <w:color w:val="000000"/>
                <w:szCs w:val="20"/>
                <w:lang w:eastAsia="pl-PL"/>
              </w:rPr>
            </w:pPr>
          </w:p>
        </w:tc>
      </w:tr>
      <w:tr w:rsidR="00F34BD4" w:rsidRPr="008F173A" w14:paraId="00EF061E" w14:textId="77777777" w:rsidTr="00B823C1">
        <w:trPr>
          <w:trHeight w:val="299"/>
        </w:trPr>
        <w:tc>
          <w:tcPr>
            <w:tcW w:w="1382" w:type="dxa"/>
            <w:vMerge/>
            <w:tcBorders>
              <w:left w:val="single" w:sz="4" w:space="0" w:color="auto"/>
              <w:right w:val="single" w:sz="4" w:space="0" w:color="auto"/>
            </w:tcBorders>
            <w:vAlign w:val="center"/>
            <w:hideMark/>
          </w:tcPr>
          <w:p w14:paraId="5BD8745F" w14:textId="77777777" w:rsidR="00F34BD4" w:rsidRPr="00D94B5E" w:rsidRDefault="00F34BD4" w:rsidP="00B823C1">
            <w:pPr>
              <w:spacing w:after="0"/>
              <w:jc w:val="center"/>
              <w:rPr>
                <w:color w:val="000000"/>
                <w:szCs w:val="20"/>
                <w:lang w:eastAsia="pl-PL"/>
              </w:rPr>
            </w:pPr>
          </w:p>
        </w:tc>
        <w:tc>
          <w:tcPr>
            <w:tcW w:w="620" w:type="dxa"/>
            <w:tcBorders>
              <w:top w:val="nil"/>
              <w:left w:val="nil"/>
              <w:bottom w:val="single" w:sz="4" w:space="0" w:color="auto"/>
              <w:right w:val="single" w:sz="4" w:space="0" w:color="auto"/>
            </w:tcBorders>
            <w:shd w:val="clear" w:color="auto" w:fill="auto"/>
            <w:noWrap/>
            <w:vAlign w:val="center"/>
          </w:tcPr>
          <w:p w14:paraId="19F53B41" w14:textId="77777777" w:rsidR="00F34BD4" w:rsidRPr="00D94B5E" w:rsidRDefault="00F34BD4" w:rsidP="00B823C1">
            <w:pPr>
              <w:spacing w:after="0"/>
              <w:jc w:val="center"/>
              <w:rPr>
                <w:color w:val="000000"/>
                <w:szCs w:val="20"/>
                <w:lang w:eastAsia="pl-PL"/>
              </w:rPr>
            </w:pPr>
            <w:r w:rsidRPr="00D94B5E">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6FEEDED0" w14:textId="77777777" w:rsidR="00F34BD4" w:rsidRPr="00D94B5E" w:rsidRDefault="00F34BD4" w:rsidP="00B823C1">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39E6C63A" w14:textId="77777777" w:rsidR="00F34BD4" w:rsidRPr="00D94B5E" w:rsidRDefault="00F34BD4" w:rsidP="00B823C1">
            <w:pPr>
              <w:spacing w:after="0"/>
              <w:jc w:val="center"/>
              <w:rPr>
                <w:color w:val="000000"/>
                <w:szCs w:val="20"/>
                <w:lang w:eastAsia="pl-PL"/>
              </w:rPr>
            </w:pPr>
            <w:r w:rsidRPr="00D94B5E" w:rsidDel="00447217">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bottom"/>
          </w:tcPr>
          <w:p w14:paraId="654F71DD" w14:textId="77777777" w:rsidR="00F34BD4" w:rsidRPr="00D94B5E" w:rsidRDefault="00F34BD4" w:rsidP="00B823C1">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33D02079" w14:textId="77777777" w:rsidR="00F34BD4" w:rsidRPr="00D94B5E" w:rsidRDefault="00F34BD4" w:rsidP="00B823C1">
            <w:pPr>
              <w:spacing w:after="0"/>
              <w:jc w:val="center"/>
              <w:rPr>
                <w:color w:val="000000"/>
                <w:szCs w:val="20"/>
                <w:lang w:eastAsia="pl-PL"/>
              </w:rPr>
            </w:pPr>
            <w:r w:rsidRPr="00D94B5E" w:rsidDel="00447217">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527A9F18" w14:textId="77777777" w:rsidR="00F34BD4" w:rsidRPr="00D94B5E" w:rsidRDefault="00F34BD4" w:rsidP="00B823C1">
            <w:pPr>
              <w:spacing w:after="0"/>
              <w:jc w:val="center"/>
              <w:rPr>
                <w:color w:val="000000"/>
                <w:szCs w:val="20"/>
                <w:lang w:eastAsia="pl-PL"/>
              </w:rPr>
            </w:pPr>
            <w:r w:rsidRPr="00D94B5E">
              <w:rPr>
                <w:rFonts w:cs="Calibri"/>
                <w:color w:val="000000"/>
                <w:szCs w:val="20"/>
              </w:rPr>
              <w:t>30</w:t>
            </w:r>
          </w:p>
        </w:tc>
        <w:tc>
          <w:tcPr>
            <w:tcW w:w="618" w:type="dxa"/>
            <w:tcBorders>
              <w:top w:val="single" w:sz="4" w:space="0" w:color="auto"/>
              <w:left w:val="single" w:sz="4" w:space="0" w:color="auto"/>
              <w:bottom w:val="single" w:sz="4" w:space="0" w:color="auto"/>
              <w:right w:val="single" w:sz="4" w:space="0" w:color="auto"/>
            </w:tcBorders>
            <w:vAlign w:val="center"/>
          </w:tcPr>
          <w:p w14:paraId="45362D17" w14:textId="77777777" w:rsidR="00F34BD4" w:rsidRPr="00D94B5E" w:rsidRDefault="00F34BD4" w:rsidP="00B823C1">
            <w:pPr>
              <w:spacing w:after="0"/>
              <w:jc w:val="center"/>
              <w:rPr>
                <w:color w:val="000000"/>
                <w:szCs w:val="20"/>
                <w:lang w:eastAsia="pl-PL"/>
              </w:rPr>
            </w:pPr>
            <w:r w:rsidRPr="00D94B5E">
              <w:rPr>
                <w:rFonts w:cs="Calibri"/>
                <w:color w:val="000000"/>
                <w:szCs w:val="20"/>
              </w:rPr>
              <w:t>30</w:t>
            </w:r>
          </w:p>
        </w:tc>
        <w:tc>
          <w:tcPr>
            <w:tcW w:w="618" w:type="dxa"/>
            <w:tcBorders>
              <w:top w:val="single" w:sz="4" w:space="0" w:color="auto"/>
              <w:left w:val="single" w:sz="4" w:space="0" w:color="auto"/>
              <w:bottom w:val="single" w:sz="4" w:space="0" w:color="auto"/>
              <w:right w:val="single" w:sz="4" w:space="0" w:color="auto"/>
            </w:tcBorders>
            <w:vAlign w:val="center"/>
          </w:tcPr>
          <w:p w14:paraId="4A6CAF3C" w14:textId="77777777" w:rsidR="00F34BD4" w:rsidRPr="00D94B5E" w:rsidRDefault="00F34BD4" w:rsidP="00B823C1">
            <w:pPr>
              <w:spacing w:after="0"/>
              <w:jc w:val="center"/>
              <w:rPr>
                <w:color w:val="000000"/>
                <w:szCs w:val="20"/>
                <w:lang w:eastAsia="pl-PL"/>
              </w:rPr>
            </w:pPr>
            <w:r w:rsidRPr="00D94B5E">
              <w:rPr>
                <w:rFonts w:cs="Calibri"/>
                <w:color w:val="000000"/>
                <w:szCs w:val="20"/>
              </w:rPr>
              <w:t>30</w:t>
            </w:r>
          </w:p>
        </w:tc>
        <w:tc>
          <w:tcPr>
            <w:tcW w:w="618" w:type="dxa"/>
            <w:tcBorders>
              <w:top w:val="single" w:sz="4" w:space="0" w:color="auto"/>
              <w:left w:val="single" w:sz="4" w:space="0" w:color="auto"/>
              <w:bottom w:val="single" w:sz="4" w:space="0" w:color="auto"/>
              <w:right w:val="single" w:sz="4" w:space="0" w:color="auto"/>
            </w:tcBorders>
            <w:vAlign w:val="center"/>
          </w:tcPr>
          <w:p w14:paraId="468B6F82" w14:textId="77777777" w:rsidR="00F34BD4" w:rsidRPr="00D94B5E" w:rsidRDefault="00F34BD4" w:rsidP="00B823C1">
            <w:pPr>
              <w:spacing w:after="0"/>
              <w:jc w:val="center"/>
              <w:rPr>
                <w:color w:val="000000"/>
                <w:szCs w:val="20"/>
                <w:lang w:eastAsia="pl-PL"/>
              </w:rPr>
            </w:pPr>
            <w:r w:rsidRPr="00D94B5E">
              <w:rPr>
                <w:rFonts w:cs="Calibri"/>
                <w:color w:val="000000"/>
                <w:szCs w:val="20"/>
              </w:rPr>
              <w:t>30</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41987A" w14:textId="77777777" w:rsidR="00F34BD4" w:rsidRPr="00D94B5E" w:rsidRDefault="00F34BD4" w:rsidP="00B823C1">
            <w:pPr>
              <w:spacing w:after="0"/>
              <w:jc w:val="center"/>
              <w:rPr>
                <w:color w:val="000000"/>
                <w:szCs w:val="20"/>
                <w:lang w:eastAsia="pl-PL"/>
              </w:rPr>
            </w:pPr>
            <w:r w:rsidRPr="00D94B5E">
              <w:rPr>
                <w:rFonts w:cs="Calibri"/>
                <w:color w:val="000000"/>
                <w:szCs w:val="20"/>
              </w:rPr>
              <w:t>30</w:t>
            </w:r>
          </w:p>
        </w:tc>
        <w:tc>
          <w:tcPr>
            <w:tcW w:w="1555" w:type="dxa"/>
            <w:vMerge/>
            <w:tcBorders>
              <w:left w:val="single" w:sz="4" w:space="0" w:color="auto"/>
              <w:right w:val="single" w:sz="4" w:space="0" w:color="auto"/>
            </w:tcBorders>
            <w:vAlign w:val="center"/>
            <w:hideMark/>
          </w:tcPr>
          <w:p w14:paraId="658380BF" w14:textId="77777777" w:rsidR="00F34BD4" w:rsidRPr="00D94B5E" w:rsidRDefault="00F34BD4" w:rsidP="00B823C1">
            <w:pPr>
              <w:spacing w:after="0"/>
              <w:jc w:val="center"/>
              <w:rPr>
                <w:color w:val="000000"/>
                <w:szCs w:val="20"/>
                <w:lang w:eastAsia="pl-PL"/>
              </w:rPr>
            </w:pPr>
          </w:p>
        </w:tc>
      </w:tr>
      <w:tr w:rsidR="00F34BD4" w:rsidRPr="008F173A" w14:paraId="4620D8B6" w14:textId="77777777" w:rsidTr="00B823C1">
        <w:trPr>
          <w:trHeight w:val="299"/>
        </w:trPr>
        <w:tc>
          <w:tcPr>
            <w:tcW w:w="1382" w:type="dxa"/>
            <w:vMerge/>
            <w:tcBorders>
              <w:left w:val="single" w:sz="4" w:space="0" w:color="auto"/>
              <w:right w:val="single" w:sz="4" w:space="0" w:color="auto"/>
            </w:tcBorders>
            <w:vAlign w:val="center"/>
            <w:hideMark/>
          </w:tcPr>
          <w:p w14:paraId="6CCA617F" w14:textId="77777777" w:rsidR="00F34BD4" w:rsidRPr="00D94B5E" w:rsidRDefault="00F34BD4" w:rsidP="00B823C1">
            <w:pPr>
              <w:spacing w:after="0"/>
              <w:jc w:val="center"/>
              <w:rPr>
                <w:color w:val="000000"/>
                <w:szCs w:val="20"/>
                <w:lang w:eastAsia="pl-PL"/>
              </w:rPr>
            </w:pPr>
          </w:p>
        </w:tc>
        <w:tc>
          <w:tcPr>
            <w:tcW w:w="620" w:type="dxa"/>
            <w:tcBorders>
              <w:top w:val="nil"/>
              <w:left w:val="nil"/>
              <w:bottom w:val="single" w:sz="4" w:space="0" w:color="auto"/>
              <w:right w:val="single" w:sz="4" w:space="0" w:color="auto"/>
            </w:tcBorders>
            <w:shd w:val="clear" w:color="auto" w:fill="auto"/>
            <w:noWrap/>
            <w:vAlign w:val="center"/>
          </w:tcPr>
          <w:p w14:paraId="2B0B329C" w14:textId="77777777" w:rsidR="00F34BD4" w:rsidRPr="00D94B5E" w:rsidRDefault="00F34BD4" w:rsidP="00B823C1">
            <w:pPr>
              <w:spacing w:after="0"/>
              <w:jc w:val="center"/>
              <w:rPr>
                <w:color w:val="000000"/>
                <w:szCs w:val="20"/>
                <w:lang w:eastAsia="pl-PL"/>
              </w:rPr>
            </w:pPr>
            <w:r w:rsidRPr="00D94B5E">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67A15838" w14:textId="77777777" w:rsidR="00F34BD4" w:rsidRPr="00D94B5E" w:rsidRDefault="00F34BD4" w:rsidP="00B823C1">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33C25C79" w14:textId="77777777" w:rsidR="00F34BD4" w:rsidRPr="00D94B5E" w:rsidRDefault="00F34BD4" w:rsidP="00B823C1">
            <w:pPr>
              <w:spacing w:after="0"/>
              <w:jc w:val="center"/>
              <w:rPr>
                <w:color w:val="000000"/>
                <w:szCs w:val="20"/>
                <w:lang w:eastAsia="pl-PL"/>
              </w:rPr>
            </w:pPr>
            <w:r w:rsidRPr="00D94B5E" w:rsidDel="00447217">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426258A9" w14:textId="77777777" w:rsidR="00F34BD4" w:rsidRPr="00D94B5E" w:rsidRDefault="00F34BD4" w:rsidP="00B823C1">
            <w:pPr>
              <w:spacing w:after="0"/>
              <w:jc w:val="center"/>
              <w:rPr>
                <w:color w:val="000000"/>
                <w:szCs w:val="20"/>
                <w:lang w:eastAsia="pl-PL"/>
              </w:rPr>
            </w:pPr>
            <w:r w:rsidRPr="00D94B5E" w:rsidDel="00447217">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51F028E7" w14:textId="77777777" w:rsidR="00F34BD4" w:rsidRPr="00D94B5E" w:rsidRDefault="00F34BD4" w:rsidP="00B823C1">
            <w:pPr>
              <w:spacing w:after="0"/>
              <w:jc w:val="center"/>
              <w:rPr>
                <w:color w:val="000000"/>
                <w:szCs w:val="20"/>
                <w:lang w:eastAsia="pl-PL"/>
              </w:rPr>
            </w:pPr>
            <w:r w:rsidRPr="00D94B5E">
              <w:rPr>
                <w:rFonts w:cs="Calibri"/>
                <w:color w:val="000000"/>
                <w:szCs w:val="20"/>
              </w:rPr>
              <w:t>30</w:t>
            </w:r>
          </w:p>
        </w:tc>
        <w:tc>
          <w:tcPr>
            <w:tcW w:w="618" w:type="dxa"/>
            <w:tcBorders>
              <w:top w:val="nil"/>
              <w:left w:val="nil"/>
              <w:bottom w:val="single" w:sz="4" w:space="0" w:color="auto"/>
              <w:right w:val="single" w:sz="4" w:space="0" w:color="auto"/>
            </w:tcBorders>
            <w:shd w:val="clear" w:color="auto" w:fill="auto"/>
            <w:noWrap/>
            <w:vAlign w:val="center"/>
          </w:tcPr>
          <w:p w14:paraId="055E1A23" w14:textId="77777777" w:rsidR="00F34BD4" w:rsidRPr="00D94B5E" w:rsidRDefault="00F34BD4" w:rsidP="00B823C1">
            <w:pPr>
              <w:spacing w:after="0"/>
              <w:jc w:val="center"/>
              <w:rPr>
                <w:color w:val="000000"/>
                <w:szCs w:val="20"/>
                <w:lang w:eastAsia="pl-PL"/>
              </w:rPr>
            </w:pPr>
            <w:r w:rsidRPr="00D94B5E">
              <w:rPr>
                <w:rFonts w:cs="Calibri"/>
                <w:color w:val="000000"/>
                <w:szCs w:val="20"/>
              </w:rPr>
              <w:t>30</w:t>
            </w:r>
          </w:p>
        </w:tc>
        <w:tc>
          <w:tcPr>
            <w:tcW w:w="618" w:type="dxa"/>
            <w:tcBorders>
              <w:top w:val="single" w:sz="4" w:space="0" w:color="auto"/>
              <w:left w:val="single" w:sz="4" w:space="0" w:color="auto"/>
              <w:bottom w:val="single" w:sz="4" w:space="0" w:color="auto"/>
              <w:right w:val="single" w:sz="4" w:space="0" w:color="auto"/>
            </w:tcBorders>
            <w:vAlign w:val="center"/>
          </w:tcPr>
          <w:p w14:paraId="061D59A1" w14:textId="77777777" w:rsidR="00F34BD4" w:rsidRPr="00D94B5E" w:rsidRDefault="00F34BD4" w:rsidP="00B823C1">
            <w:pPr>
              <w:spacing w:after="0"/>
              <w:jc w:val="center"/>
              <w:rPr>
                <w:color w:val="000000"/>
                <w:szCs w:val="20"/>
                <w:lang w:eastAsia="pl-PL"/>
              </w:rPr>
            </w:pPr>
            <w:r w:rsidRPr="00D94B5E">
              <w:rPr>
                <w:rFonts w:cs="Calibri"/>
                <w:color w:val="000000"/>
                <w:szCs w:val="20"/>
              </w:rPr>
              <w:t>30</w:t>
            </w:r>
          </w:p>
        </w:tc>
        <w:tc>
          <w:tcPr>
            <w:tcW w:w="618" w:type="dxa"/>
            <w:tcBorders>
              <w:top w:val="single" w:sz="4" w:space="0" w:color="auto"/>
              <w:left w:val="single" w:sz="4" w:space="0" w:color="auto"/>
              <w:bottom w:val="single" w:sz="4" w:space="0" w:color="auto"/>
              <w:right w:val="single" w:sz="4" w:space="0" w:color="auto"/>
            </w:tcBorders>
            <w:vAlign w:val="center"/>
          </w:tcPr>
          <w:p w14:paraId="2F042FB5" w14:textId="77777777" w:rsidR="00F34BD4" w:rsidRPr="00D94B5E" w:rsidRDefault="00F34BD4" w:rsidP="00B823C1">
            <w:pPr>
              <w:spacing w:after="0"/>
              <w:jc w:val="center"/>
              <w:rPr>
                <w:color w:val="000000"/>
                <w:szCs w:val="20"/>
                <w:lang w:eastAsia="pl-PL"/>
              </w:rPr>
            </w:pPr>
            <w:r w:rsidRPr="00D94B5E">
              <w:rPr>
                <w:rFonts w:cs="Calibri"/>
                <w:color w:val="000000"/>
                <w:szCs w:val="20"/>
              </w:rPr>
              <w:t>30</w:t>
            </w:r>
          </w:p>
        </w:tc>
        <w:tc>
          <w:tcPr>
            <w:tcW w:w="618" w:type="dxa"/>
            <w:tcBorders>
              <w:top w:val="single" w:sz="4" w:space="0" w:color="auto"/>
              <w:left w:val="single" w:sz="4" w:space="0" w:color="auto"/>
              <w:bottom w:val="single" w:sz="4" w:space="0" w:color="auto"/>
              <w:right w:val="single" w:sz="4" w:space="0" w:color="auto"/>
            </w:tcBorders>
            <w:vAlign w:val="center"/>
          </w:tcPr>
          <w:p w14:paraId="4EA711C3" w14:textId="77777777" w:rsidR="00F34BD4" w:rsidRPr="00D94B5E" w:rsidRDefault="00F34BD4" w:rsidP="00B823C1">
            <w:pPr>
              <w:spacing w:after="0"/>
              <w:jc w:val="center"/>
              <w:rPr>
                <w:color w:val="000000"/>
                <w:szCs w:val="20"/>
                <w:lang w:eastAsia="pl-PL"/>
              </w:rPr>
            </w:pPr>
            <w:r w:rsidRPr="00D94B5E">
              <w:rPr>
                <w:rFonts w:cs="Calibri"/>
                <w:color w:val="000000"/>
                <w:szCs w:val="20"/>
              </w:rPr>
              <w:t>30</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614BF7" w14:textId="77777777" w:rsidR="00F34BD4" w:rsidRPr="00D94B5E" w:rsidRDefault="00F34BD4" w:rsidP="00B823C1">
            <w:pPr>
              <w:spacing w:after="0"/>
              <w:jc w:val="center"/>
              <w:rPr>
                <w:color w:val="000000"/>
                <w:szCs w:val="20"/>
                <w:lang w:eastAsia="pl-PL"/>
              </w:rPr>
            </w:pPr>
            <w:r w:rsidRPr="00D94B5E">
              <w:rPr>
                <w:rFonts w:cs="Calibri"/>
                <w:color w:val="000000"/>
                <w:szCs w:val="20"/>
              </w:rPr>
              <w:t>30</w:t>
            </w:r>
          </w:p>
        </w:tc>
        <w:tc>
          <w:tcPr>
            <w:tcW w:w="1555" w:type="dxa"/>
            <w:vMerge/>
            <w:tcBorders>
              <w:left w:val="single" w:sz="4" w:space="0" w:color="auto"/>
              <w:right w:val="single" w:sz="4" w:space="0" w:color="auto"/>
            </w:tcBorders>
            <w:shd w:val="clear" w:color="auto" w:fill="auto"/>
            <w:vAlign w:val="center"/>
            <w:hideMark/>
          </w:tcPr>
          <w:p w14:paraId="01AC32AD" w14:textId="77777777" w:rsidR="00F34BD4" w:rsidRPr="00D94B5E" w:rsidRDefault="00F34BD4" w:rsidP="00B823C1">
            <w:pPr>
              <w:spacing w:after="0"/>
              <w:jc w:val="center"/>
              <w:rPr>
                <w:color w:val="000000"/>
                <w:szCs w:val="20"/>
                <w:lang w:eastAsia="pl-PL"/>
              </w:rPr>
            </w:pPr>
          </w:p>
        </w:tc>
      </w:tr>
      <w:tr w:rsidR="00F34BD4" w:rsidRPr="008F173A" w14:paraId="54CCDFC1" w14:textId="77777777" w:rsidTr="00B823C1">
        <w:trPr>
          <w:trHeight w:val="299"/>
        </w:trPr>
        <w:tc>
          <w:tcPr>
            <w:tcW w:w="1382" w:type="dxa"/>
            <w:vMerge/>
            <w:tcBorders>
              <w:left w:val="single" w:sz="4" w:space="0" w:color="auto"/>
              <w:right w:val="single" w:sz="4" w:space="0" w:color="auto"/>
            </w:tcBorders>
            <w:vAlign w:val="center"/>
            <w:hideMark/>
          </w:tcPr>
          <w:p w14:paraId="75268AFE" w14:textId="77777777" w:rsidR="00F34BD4" w:rsidRPr="00D94B5E" w:rsidRDefault="00F34BD4" w:rsidP="00B823C1">
            <w:pPr>
              <w:spacing w:after="0"/>
              <w:jc w:val="center"/>
              <w:rPr>
                <w:color w:val="000000"/>
                <w:szCs w:val="20"/>
                <w:lang w:eastAsia="pl-PL"/>
              </w:rPr>
            </w:pPr>
          </w:p>
        </w:tc>
        <w:tc>
          <w:tcPr>
            <w:tcW w:w="620" w:type="dxa"/>
            <w:tcBorders>
              <w:top w:val="nil"/>
              <w:left w:val="nil"/>
              <w:bottom w:val="single" w:sz="4" w:space="0" w:color="auto"/>
              <w:right w:val="single" w:sz="4" w:space="0" w:color="auto"/>
            </w:tcBorders>
            <w:shd w:val="clear" w:color="auto" w:fill="auto"/>
            <w:noWrap/>
            <w:vAlign w:val="center"/>
          </w:tcPr>
          <w:p w14:paraId="62AF310D" w14:textId="77777777" w:rsidR="00F34BD4" w:rsidRPr="00D94B5E" w:rsidRDefault="00F34BD4" w:rsidP="00B823C1">
            <w:pPr>
              <w:spacing w:after="0"/>
              <w:jc w:val="center"/>
              <w:rPr>
                <w:color w:val="000000"/>
                <w:szCs w:val="20"/>
                <w:lang w:eastAsia="pl-PL"/>
              </w:rPr>
            </w:pPr>
            <w:r w:rsidRPr="00D94B5E">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75F9A672" w14:textId="77777777" w:rsidR="00F34BD4" w:rsidRPr="00D94B5E" w:rsidRDefault="00F34BD4" w:rsidP="00B823C1">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057364BF" w14:textId="77777777" w:rsidR="00F34BD4" w:rsidRPr="00D94B5E" w:rsidRDefault="00F34BD4" w:rsidP="00B823C1">
            <w:pPr>
              <w:spacing w:after="0"/>
              <w:jc w:val="center"/>
              <w:rPr>
                <w:color w:val="000000"/>
                <w:szCs w:val="20"/>
                <w:lang w:eastAsia="pl-PL"/>
              </w:rPr>
            </w:pPr>
            <w:r w:rsidRPr="00D94B5E" w:rsidDel="00447217">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36EC9448" w14:textId="77777777" w:rsidR="00F34BD4" w:rsidRPr="00D94B5E" w:rsidRDefault="00F34BD4" w:rsidP="00B823C1">
            <w:pPr>
              <w:spacing w:after="0"/>
              <w:jc w:val="center"/>
              <w:rPr>
                <w:color w:val="000000"/>
                <w:szCs w:val="20"/>
                <w:lang w:eastAsia="pl-PL"/>
              </w:rPr>
            </w:pPr>
            <w:r w:rsidRPr="00D94B5E">
              <w:rPr>
                <w:rFonts w:cs="Calibri"/>
                <w:color w:val="000000"/>
                <w:szCs w:val="20"/>
              </w:rPr>
              <w:t>30</w:t>
            </w:r>
          </w:p>
        </w:tc>
        <w:tc>
          <w:tcPr>
            <w:tcW w:w="618" w:type="dxa"/>
            <w:tcBorders>
              <w:top w:val="nil"/>
              <w:left w:val="nil"/>
              <w:bottom w:val="single" w:sz="4" w:space="0" w:color="auto"/>
              <w:right w:val="single" w:sz="4" w:space="0" w:color="auto"/>
            </w:tcBorders>
            <w:shd w:val="clear" w:color="auto" w:fill="auto"/>
            <w:noWrap/>
            <w:vAlign w:val="center"/>
          </w:tcPr>
          <w:p w14:paraId="2D015E08" w14:textId="77777777" w:rsidR="00F34BD4" w:rsidRPr="00D94B5E" w:rsidRDefault="00F34BD4" w:rsidP="00B823C1">
            <w:pPr>
              <w:spacing w:after="0"/>
              <w:jc w:val="center"/>
              <w:rPr>
                <w:color w:val="000000"/>
                <w:szCs w:val="20"/>
                <w:lang w:eastAsia="pl-PL"/>
              </w:rPr>
            </w:pPr>
            <w:r w:rsidRPr="00D94B5E">
              <w:rPr>
                <w:rFonts w:cs="Calibri"/>
                <w:color w:val="000000"/>
                <w:szCs w:val="20"/>
              </w:rPr>
              <w:t>30</w:t>
            </w:r>
          </w:p>
        </w:tc>
        <w:tc>
          <w:tcPr>
            <w:tcW w:w="618" w:type="dxa"/>
            <w:tcBorders>
              <w:top w:val="nil"/>
              <w:left w:val="nil"/>
              <w:bottom w:val="single" w:sz="4" w:space="0" w:color="auto"/>
              <w:right w:val="single" w:sz="4" w:space="0" w:color="auto"/>
            </w:tcBorders>
            <w:shd w:val="clear" w:color="auto" w:fill="auto"/>
            <w:noWrap/>
            <w:vAlign w:val="center"/>
          </w:tcPr>
          <w:p w14:paraId="28812483" w14:textId="77777777" w:rsidR="00F34BD4" w:rsidRPr="00D94B5E" w:rsidRDefault="00F34BD4" w:rsidP="00B823C1">
            <w:pPr>
              <w:spacing w:after="0"/>
              <w:jc w:val="center"/>
              <w:rPr>
                <w:color w:val="000000"/>
                <w:szCs w:val="20"/>
                <w:lang w:eastAsia="pl-PL"/>
              </w:rPr>
            </w:pPr>
            <w:r w:rsidRPr="00D94B5E">
              <w:rPr>
                <w:rFonts w:cs="Calibri"/>
                <w:color w:val="000000"/>
                <w:szCs w:val="20"/>
              </w:rPr>
              <w:t>30</w:t>
            </w:r>
          </w:p>
        </w:tc>
        <w:tc>
          <w:tcPr>
            <w:tcW w:w="618" w:type="dxa"/>
            <w:tcBorders>
              <w:top w:val="single" w:sz="4" w:space="0" w:color="auto"/>
              <w:left w:val="single" w:sz="4" w:space="0" w:color="auto"/>
              <w:bottom w:val="single" w:sz="4" w:space="0" w:color="auto"/>
              <w:right w:val="single" w:sz="4" w:space="0" w:color="auto"/>
            </w:tcBorders>
            <w:vAlign w:val="center"/>
          </w:tcPr>
          <w:p w14:paraId="7D6273A1" w14:textId="77777777" w:rsidR="00F34BD4" w:rsidRPr="00D94B5E" w:rsidRDefault="00F34BD4" w:rsidP="00B823C1">
            <w:pPr>
              <w:spacing w:after="0"/>
              <w:jc w:val="center"/>
              <w:rPr>
                <w:color w:val="000000"/>
                <w:szCs w:val="20"/>
                <w:lang w:eastAsia="pl-PL"/>
              </w:rPr>
            </w:pPr>
            <w:r w:rsidRPr="00D94B5E">
              <w:rPr>
                <w:rFonts w:cs="Calibri"/>
                <w:color w:val="000000"/>
                <w:szCs w:val="20"/>
              </w:rPr>
              <w:t>30</w:t>
            </w:r>
          </w:p>
        </w:tc>
        <w:tc>
          <w:tcPr>
            <w:tcW w:w="618" w:type="dxa"/>
            <w:tcBorders>
              <w:top w:val="single" w:sz="4" w:space="0" w:color="auto"/>
              <w:left w:val="single" w:sz="4" w:space="0" w:color="auto"/>
              <w:bottom w:val="single" w:sz="4" w:space="0" w:color="auto"/>
              <w:right w:val="single" w:sz="4" w:space="0" w:color="auto"/>
            </w:tcBorders>
            <w:vAlign w:val="center"/>
          </w:tcPr>
          <w:p w14:paraId="44FAD09D" w14:textId="77777777" w:rsidR="00F34BD4" w:rsidRPr="00D94B5E" w:rsidRDefault="00F34BD4" w:rsidP="00B823C1">
            <w:pPr>
              <w:spacing w:after="0"/>
              <w:jc w:val="center"/>
              <w:rPr>
                <w:color w:val="000000"/>
                <w:szCs w:val="20"/>
                <w:lang w:eastAsia="pl-PL"/>
              </w:rPr>
            </w:pPr>
            <w:r w:rsidRPr="00D94B5E">
              <w:rPr>
                <w:rFonts w:cs="Calibri"/>
                <w:color w:val="000000"/>
                <w:szCs w:val="20"/>
              </w:rPr>
              <w:t>30</w:t>
            </w:r>
          </w:p>
        </w:tc>
        <w:tc>
          <w:tcPr>
            <w:tcW w:w="618" w:type="dxa"/>
            <w:tcBorders>
              <w:top w:val="single" w:sz="4" w:space="0" w:color="auto"/>
              <w:left w:val="single" w:sz="4" w:space="0" w:color="auto"/>
              <w:bottom w:val="single" w:sz="4" w:space="0" w:color="auto"/>
              <w:right w:val="single" w:sz="4" w:space="0" w:color="auto"/>
            </w:tcBorders>
            <w:vAlign w:val="center"/>
          </w:tcPr>
          <w:p w14:paraId="6521EAE1" w14:textId="77777777" w:rsidR="00F34BD4" w:rsidRPr="00D94B5E" w:rsidRDefault="00F34BD4" w:rsidP="00B823C1">
            <w:pPr>
              <w:spacing w:after="0"/>
              <w:jc w:val="center"/>
              <w:rPr>
                <w:color w:val="000000"/>
                <w:szCs w:val="20"/>
                <w:lang w:eastAsia="pl-PL"/>
              </w:rPr>
            </w:pPr>
            <w:r w:rsidRPr="00D94B5E">
              <w:rPr>
                <w:rFonts w:cs="Calibri"/>
                <w:color w:val="000000"/>
                <w:szCs w:val="20"/>
              </w:rPr>
              <w:t>30</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3C9D64" w14:textId="77777777" w:rsidR="00F34BD4" w:rsidRPr="00D94B5E" w:rsidRDefault="00F34BD4" w:rsidP="00B823C1">
            <w:pPr>
              <w:spacing w:after="0"/>
              <w:jc w:val="center"/>
              <w:rPr>
                <w:color w:val="000000"/>
                <w:szCs w:val="20"/>
                <w:lang w:eastAsia="pl-PL"/>
              </w:rPr>
            </w:pPr>
            <w:r w:rsidRPr="00D94B5E">
              <w:rPr>
                <w:rFonts w:cs="Calibri"/>
                <w:color w:val="000000"/>
                <w:szCs w:val="20"/>
              </w:rPr>
              <w:t>30</w:t>
            </w:r>
          </w:p>
        </w:tc>
        <w:tc>
          <w:tcPr>
            <w:tcW w:w="1555" w:type="dxa"/>
            <w:vMerge/>
            <w:tcBorders>
              <w:left w:val="single" w:sz="4" w:space="0" w:color="auto"/>
              <w:right w:val="single" w:sz="4" w:space="0" w:color="auto"/>
            </w:tcBorders>
            <w:vAlign w:val="center"/>
            <w:hideMark/>
          </w:tcPr>
          <w:p w14:paraId="6D6EF57E" w14:textId="77777777" w:rsidR="00F34BD4" w:rsidRPr="00D94B5E" w:rsidRDefault="00F34BD4" w:rsidP="00B823C1">
            <w:pPr>
              <w:spacing w:after="0"/>
              <w:jc w:val="center"/>
              <w:rPr>
                <w:color w:val="000000"/>
                <w:szCs w:val="20"/>
                <w:lang w:eastAsia="pl-PL"/>
              </w:rPr>
            </w:pPr>
          </w:p>
        </w:tc>
      </w:tr>
      <w:tr w:rsidR="00F34BD4" w:rsidRPr="008F173A" w14:paraId="444E01A6" w14:textId="77777777" w:rsidTr="00B823C1">
        <w:trPr>
          <w:trHeight w:val="299"/>
        </w:trPr>
        <w:tc>
          <w:tcPr>
            <w:tcW w:w="1382" w:type="dxa"/>
            <w:vMerge/>
            <w:tcBorders>
              <w:left w:val="single" w:sz="4" w:space="0" w:color="auto"/>
              <w:right w:val="single" w:sz="4" w:space="0" w:color="auto"/>
            </w:tcBorders>
            <w:vAlign w:val="center"/>
          </w:tcPr>
          <w:p w14:paraId="52B0C80D" w14:textId="77777777" w:rsidR="00F34BD4" w:rsidRPr="00D94B5E" w:rsidRDefault="00F34BD4" w:rsidP="00B823C1">
            <w:pPr>
              <w:spacing w:after="0"/>
              <w:jc w:val="center"/>
              <w:rPr>
                <w:color w:val="000000"/>
                <w:szCs w:val="20"/>
                <w:lang w:eastAsia="pl-PL"/>
              </w:rPr>
            </w:pPr>
          </w:p>
        </w:tc>
        <w:tc>
          <w:tcPr>
            <w:tcW w:w="620" w:type="dxa"/>
            <w:tcBorders>
              <w:top w:val="nil"/>
              <w:left w:val="nil"/>
              <w:bottom w:val="single" w:sz="4" w:space="0" w:color="auto"/>
              <w:right w:val="single" w:sz="4" w:space="0" w:color="auto"/>
            </w:tcBorders>
            <w:shd w:val="clear" w:color="auto" w:fill="auto"/>
            <w:noWrap/>
            <w:vAlign w:val="center"/>
          </w:tcPr>
          <w:p w14:paraId="62F78BDD" w14:textId="77777777" w:rsidR="00F34BD4" w:rsidRPr="00D94B5E" w:rsidRDefault="00F34BD4" w:rsidP="00B823C1">
            <w:pPr>
              <w:spacing w:after="0"/>
              <w:jc w:val="center"/>
              <w:rPr>
                <w:color w:val="000000"/>
                <w:szCs w:val="20"/>
                <w:lang w:eastAsia="pl-PL"/>
              </w:rPr>
            </w:pPr>
            <w:r w:rsidRPr="00D94B5E">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4DBD81C3" w14:textId="77777777" w:rsidR="00F34BD4" w:rsidRPr="00D94B5E" w:rsidRDefault="00F34BD4" w:rsidP="00B823C1">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7A2805EE" w14:textId="77777777" w:rsidR="00F34BD4" w:rsidRPr="00D94B5E" w:rsidRDefault="00F34BD4" w:rsidP="00B823C1">
            <w:pPr>
              <w:spacing w:after="0"/>
              <w:jc w:val="center"/>
              <w:rPr>
                <w:color w:val="000000"/>
                <w:szCs w:val="20"/>
                <w:lang w:eastAsia="pl-PL"/>
              </w:rPr>
            </w:pPr>
            <w:r w:rsidRPr="00D94B5E">
              <w:rPr>
                <w:rFonts w:cs="Calibri"/>
                <w:color w:val="000000"/>
                <w:szCs w:val="20"/>
              </w:rPr>
              <w:t>30</w:t>
            </w:r>
          </w:p>
        </w:tc>
        <w:tc>
          <w:tcPr>
            <w:tcW w:w="618" w:type="dxa"/>
            <w:tcBorders>
              <w:top w:val="nil"/>
              <w:left w:val="nil"/>
              <w:bottom w:val="single" w:sz="4" w:space="0" w:color="auto"/>
              <w:right w:val="single" w:sz="4" w:space="0" w:color="auto"/>
            </w:tcBorders>
            <w:shd w:val="clear" w:color="auto" w:fill="auto"/>
            <w:noWrap/>
            <w:vAlign w:val="center"/>
          </w:tcPr>
          <w:p w14:paraId="6C787178" w14:textId="77777777" w:rsidR="00F34BD4" w:rsidRPr="00D94B5E" w:rsidRDefault="00F34BD4" w:rsidP="00B823C1">
            <w:pPr>
              <w:spacing w:after="0"/>
              <w:jc w:val="center"/>
              <w:rPr>
                <w:color w:val="000000"/>
                <w:szCs w:val="20"/>
                <w:lang w:eastAsia="pl-PL"/>
              </w:rPr>
            </w:pPr>
            <w:r w:rsidRPr="00D94B5E">
              <w:rPr>
                <w:rFonts w:cs="Calibri"/>
                <w:color w:val="000000"/>
                <w:szCs w:val="20"/>
              </w:rPr>
              <w:t>30</w:t>
            </w:r>
          </w:p>
        </w:tc>
        <w:tc>
          <w:tcPr>
            <w:tcW w:w="618" w:type="dxa"/>
            <w:tcBorders>
              <w:top w:val="nil"/>
              <w:left w:val="nil"/>
              <w:bottom w:val="single" w:sz="4" w:space="0" w:color="auto"/>
              <w:right w:val="single" w:sz="4" w:space="0" w:color="auto"/>
            </w:tcBorders>
            <w:shd w:val="clear" w:color="auto" w:fill="auto"/>
            <w:noWrap/>
            <w:vAlign w:val="center"/>
          </w:tcPr>
          <w:p w14:paraId="63A60C17" w14:textId="77777777" w:rsidR="00F34BD4" w:rsidRPr="00D94B5E" w:rsidRDefault="00F34BD4" w:rsidP="00B823C1">
            <w:pPr>
              <w:spacing w:after="0"/>
              <w:jc w:val="center"/>
              <w:rPr>
                <w:color w:val="000000"/>
                <w:szCs w:val="20"/>
                <w:lang w:eastAsia="pl-PL"/>
              </w:rPr>
            </w:pPr>
            <w:r w:rsidRPr="00D94B5E">
              <w:rPr>
                <w:rFonts w:cs="Calibri"/>
                <w:color w:val="000000"/>
                <w:szCs w:val="20"/>
              </w:rPr>
              <w:t>30</w:t>
            </w:r>
          </w:p>
        </w:tc>
        <w:tc>
          <w:tcPr>
            <w:tcW w:w="618" w:type="dxa"/>
            <w:tcBorders>
              <w:top w:val="nil"/>
              <w:left w:val="nil"/>
              <w:bottom w:val="single" w:sz="4" w:space="0" w:color="auto"/>
              <w:right w:val="single" w:sz="4" w:space="0" w:color="auto"/>
            </w:tcBorders>
            <w:shd w:val="clear" w:color="auto" w:fill="auto"/>
            <w:noWrap/>
            <w:vAlign w:val="center"/>
          </w:tcPr>
          <w:p w14:paraId="742AC62A" w14:textId="77777777" w:rsidR="00F34BD4" w:rsidRPr="00D94B5E" w:rsidRDefault="00F34BD4" w:rsidP="00B823C1">
            <w:pPr>
              <w:spacing w:after="0"/>
              <w:jc w:val="center"/>
              <w:rPr>
                <w:color w:val="000000"/>
                <w:szCs w:val="20"/>
                <w:lang w:eastAsia="pl-PL"/>
              </w:rPr>
            </w:pPr>
            <w:r w:rsidRPr="00D94B5E">
              <w:rPr>
                <w:rFonts w:cs="Calibri"/>
                <w:color w:val="000000"/>
                <w:szCs w:val="20"/>
              </w:rPr>
              <w:t>30</w:t>
            </w:r>
          </w:p>
        </w:tc>
        <w:tc>
          <w:tcPr>
            <w:tcW w:w="618" w:type="dxa"/>
            <w:tcBorders>
              <w:top w:val="single" w:sz="4" w:space="0" w:color="auto"/>
              <w:left w:val="single" w:sz="4" w:space="0" w:color="auto"/>
              <w:bottom w:val="single" w:sz="4" w:space="0" w:color="auto"/>
              <w:right w:val="single" w:sz="4" w:space="0" w:color="auto"/>
            </w:tcBorders>
            <w:vAlign w:val="center"/>
          </w:tcPr>
          <w:p w14:paraId="2801241B" w14:textId="77777777" w:rsidR="00F34BD4" w:rsidRPr="00D94B5E" w:rsidRDefault="00F34BD4" w:rsidP="00B823C1">
            <w:pPr>
              <w:spacing w:after="0"/>
              <w:jc w:val="center"/>
              <w:rPr>
                <w:color w:val="000000"/>
                <w:szCs w:val="20"/>
                <w:lang w:eastAsia="pl-PL"/>
              </w:rPr>
            </w:pPr>
            <w:r w:rsidRPr="00D94B5E">
              <w:rPr>
                <w:rFonts w:cs="Calibri"/>
                <w:color w:val="000000"/>
                <w:szCs w:val="20"/>
              </w:rPr>
              <w:t>30</w:t>
            </w:r>
          </w:p>
        </w:tc>
        <w:tc>
          <w:tcPr>
            <w:tcW w:w="618" w:type="dxa"/>
            <w:tcBorders>
              <w:top w:val="single" w:sz="4" w:space="0" w:color="auto"/>
              <w:left w:val="single" w:sz="4" w:space="0" w:color="auto"/>
              <w:bottom w:val="single" w:sz="4" w:space="0" w:color="auto"/>
              <w:right w:val="single" w:sz="4" w:space="0" w:color="auto"/>
            </w:tcBorders>
            <w:vAlign w:val="center"/>
          </w:tcPr>
          <w:p w14:paraId="4ED2FA8C" w14:textId="77777777" w:rsidR="00F34BD4" w:rsidRPr="00D94B5E" w:rsidRDefault="00F34BD4" w:rsidP="00B823C1">
            <w:pPr>
              <w:spacing w:after="0"/>
              <w:jc w:val="center"/>
              <w:rPr>
                <w:color w:val="000000"/>
                <w:szCs w:val="20"/>
                <w:lang w:eastAsia="pl-PL"/>
              </w:rPr>
            </w:pPr>
            <w:r w:rsidRPr="00D94B5E">
              <w:rPr>
                <w:rFonts w:cs="Calibri"/>
                <w:color w:val="000000"/>
                <w:szCs w:val="20"/>
              </w:rPr>
              <w:t>30</w:t>
            </w:r>
          </w:p>
        </w:tc>
        <w:tc>
          <w:tcPr>
            <w:tcW w:w="618" w:type="dxa"/>
            <w:tcBorders>
              <w:top w:val="single" w:sz="4" w:space="0" w:color="auto"/>
              <w:left w:val="single" w:sz="4" w:space="0" w:color="auto"/>
              <w:bottom w:val="single" w:sz="4" w:space="0" w:color="auto"/>
              <w:right w:val="single" w:sz="4" w:space="0" w:color="auto"/>
            </w:tcBorders>
            <w:vAlign w:val="center"/>
          </w:tcPr>
          <w:p w14:paraId="0EE2A56E" w14:textId="77777777" w:rsidR="00F34BD4" w:rsidRPr="00D94B5E" w:rsidRDefault="00F34BD4" w:rsidP="00B823C1">
            <w:pPr>
              <w:spacing w:after="0"/>
              <w:jc w:val="center"/>
              <w:rPr>
                <w:color w:val="000000"/>
                <w:szCs w:val="20"/>
                <w:lang w:eastAsia="pl-PL"/>
              </w:rPr>
            </w:pPr>
            <w:r w:rsidRPr="00D94B5E">
              <w:rPr>
                <w:rFonts w:cs="Calibri"/>
                <w:color w:val="000000"/>
                <w:szCs w:val="20"/>
              </w:rPr>
              <w:t>30</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114E6" w14:textId="77777777" w:rsidR="00F34BD4" w:rsidRPr="00D94B5E" w:rsidRDefault="00F34BD4" w:rsidP="00B823C1">
            <w:pPr>
              <w:spacing w:after="0"/>
              <w:jc w:val="center"/>
              <w:rPr>
                <w:color w:val="000000"/>
                <w:szCs w:val="20"/>
                <w:lang w:eastAsia="pl-PL"/>
              </w:rPr>
            </w:pPr>
            <w:r w:rsidRPr="00D94B5E">
              <w:rPr>
                <w:rFonts w:cs="Calibri"/>
                <w:color w:val="000000"/>
                <w:szCs w:val="20"/>
              </w:rPr>
              <w:t>30</w:t>
            </w:r>
          </w:p>
        </w:tc>
        <w:tc>
          <w:tcPr>
            <w:tcW w:w="1555" w:type="dxa"/>
            <w:vMerge/>
            <w:tcBorders>
              <w:left w:val="single" w:sz="4" w:space="0" w:color="auto"/>
              <w:right w:val="single" w:sz="4" w:space="0" w:color="auto"/>
            </w:tcBorders>
            <w:vAlign w:val="center"/>
          </w:tcPr>
          <w:p w14:paraId="66BB8E46" w14:textId="77777777" w:rsidR="00F34BD4" w:rsidRPr="00D94B5E" w:rsidRDefault="00F34BD4" w:rsidP="00B823C1">
            <w:pPr>
              <w:spacing w:after="0"/>
              <w:jc w:val="center"/>
              <w:rPr>
                <w:color w:val="000000"/>
                <w:szCs w:val="20"/>
                <w:lang w:eastAsia="pl-PL"/>
              </w:rPr>
            </w:pPr>
          </w:p>
        </w:tc>
      </w:tr>
      <w:tr w:rsidR="00F34BD4" w:rsidRPr="008F173A" w14:paraId="39E5FE9A" w14:textId="77777777" w:rsidTr="00B823C1">
        <w:trPr>
          <w:trHeight w:val="299"/>
        </w:trPr>
        <w:tc>
          <w:tcPr>
            <w:tcW w:w="1382" w:type="dxa"/>
            <w:vMerge/>
            <w:tcBorders>
              <w:left w:val="single" w:sz="4" w:space="0" w:color="auto"/>
              <w:right w:val="single" w:sz="4" w:space="0" w:color="auto"/>
            </w:tcBorders>
            <w:vAlign w:val="center"/>
          </w:tcPr>
          <w:p w14:paraId="7FA21E8F" w14:textId="77777777" w:rsidR="00F34BD4" w:rsidRPr="00D94B5E" w:rsidRDefault="00F34BD4" w:rsidP="00B823C1">
            <w:pPr>
              <w:spacing w:after="0"/>
              <w:jc w:val="center"/>
              <w:rPr>
                <w:color w:val="000000"/>
                <w:szCs w:val="20"/>
                <w:lang w:eastAsia="pl-PL"/>
              </w:rPr>
            </w:pPr>
          </w:p>
        </w:tc>
        <w:tc>
          <w:tcPr>
            <w:tcW w:w="620" w:type="dxa"/>
            <w:tcBorders>
              <w:top w:val="nil"/>
              <w:left w:val="nil"/>
              <w:bottom w:val="single" w:sz="4" w:space="0" w:color="auto"/>
              <w:right w:val="single" w:sz="4" w:space="0" w:color="auto"/>
            </w:tcBorders>
            <w:shd w:val="clear" w:color="auto" w:fill="auto"/>
            <w:noWrap/>
            <w:vAlign w:val="center"/>
          </w:tcPr>
          <w:p w14:paraId="097B4B50" w14:textId="77777777" w:rsidR="00F34BD4" w:rsidRPr="00D94B5E" w:rsidRDefault="00F34BD4" w:rsidP="00B823C1">
            <w:pPr>
              <w:spacing w:after="0"/>
              <w:jc w:val="center"/>
              <w:rPr>
                <w:color w:val="000000"/>
                <w:szCs w:val="20"/>
                <w:lang w:eastAsia="pl-PL"/>
              </w:rPr>
            </w:pPr>
            <w:r w:rsidRPr="00D94B5E">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5A04FD2D" w14:textId="77777777" w:rsidR="00F34BD4" w:rsidRPr="00D94B5E" w:rsidRDefault="00F34BD4" w:rsidP="00B823C1">
            <w:pPr>
              <w:spacing w:after="0"/>
              <w:jc w:val="center"/>
              <w:rPr>
                <w:rFonts w:cs="Calibri"/>
                <w:color w:val="000000"/>
                <w:szCs w:val="20"/>
              </w:rPr>
            </w:pPr>
            <w:r w:rsidRPr="00D94B5E">
              <w:rPr>
                <w:rFonts w:cs="Calibri"/>
                <w:color w:val="000000"/>
                <w:szCs w:val="20"/>
              </w:rPr>
              <w:t>5</w:t>
            </w:r>
          </w:p>
        </w:tc>
        <w:tc>
          <w:tcPr>
            <w:tcW w:w="618" w:type="dxa"/>
            <w:tcBorders>
              <w:top w:val="nil"/>
              <w:left w:val="nil"/>
              <w:bottom w:val="single" w:sz="4" w:space="0" w:color="auto"/>
              <w:right w:val="single" w:sz="4" w:space="0" w:color="auto"/>
            </w:tcBorders>
            <w:shd w:val="clear" w:color="auto" w:fill="auto"/>
            <w:noWrap/>
          </w:tcPr>
          <w:p w14:paraId="0C717B45" w14:textId="77777777" w:rsidR="00F34BD4" w:rsidRPr="00D94B5E" w:rsidRDefault="00F34BD4" w:rsidP="00B823C1">
            <w:pPr>
              <w:spacing w:after="0"/>
              <w:jc w:val="center"/>
              <w:rPr>
                <w:color w:val="000000"/>
                <w:szCs w:val="20"/>
                <w:lang w:eastAsia="pl-PL"/>
              </w:rPr>
            </w:pPr>
            <w:r w:rsidRPr="00D94B5E">
              <w:rPr>
                <w:rFonts w:cs="Calibri"/>
                <w:color w:val="000000"/>
                <w:szCs w:val="20"/>
              </w:rPr>
              <w:t>5</w:t>
            </w:r>
          </w:p>
        </w:tc>
        <w:tc>
          <w:tcPr>
            <w:tcW w:w="618" w:type="dxa"/>
            <w:tcBorders>
              <w:top w:val="nil"/>
              <w:left w:val="nil"/>
              <w:bottom w:val="single" w:sz="4" w:space="0" w:color="auto"/>
              <w:right w:val="single" w:sz="4" w:space="0" w:color="auto"/>
            </w:tcBorders>
            <w:shd w:val="clear" w:color="auto" w:fill="auto"/>
            <w:noWrap/>
          </w:tcPr>
          <w:p w14:paraId="7892CA53" w14:textId="77777777" w:rsidR="00F34BD4" w:rsidRPr="00D94B5E" w:rsidRDefault="00F34BD4" w:rsidP="00B823C1">
            <w:pPr>
              <w:spacing w:after="0"/>
              <w:jc w:val="center"/>
              <w:rPr>
                <w:color w:val="000000"/>
                <w:szCs w:val="20"/>
                <w:lang w:eastAsia="pl-PL"/>
              </w:rPr>
            </w:pPr>
            <w:r w:rsidRPr="00D94B5E">
              <w:rPr>
                <w:rFonts w:cs="Calibri"/>
                <w:color w:val="000000"/>
                <w:szCs w:val="20"/>
              </w:rPr>
              <w:t>5</w:t>
            </w:r>
          </w:p>
        </w:tc>
        <w:tc>
          <w:tcPr>
            <w:tcW w:w="618" w:type="dxa"/>
            <w:tcBorders>
              <w:top w:val="nil"/>
              <w:left w:val="nil"/>
              <w:bottom w:val="single" w:sz="4" w:space="0" w:color="auto"/>
              <w:right w:val="single" w:sz="4" w:space="0" w:color="auto"/>
            </w:tcBorders>
            <w:shd w:val="clear" w:color="auto" w:fill="auto"/>
            <w:noWrap/>
          </w:tcPr>
          <w:p w14:paraId="3268BE33" w14:textId="77777777" w:rsidR="00F34BD4" w:rsidRPr="00D94B5E" w:rsidRDefault="00F34BD4" w:rsidP="00B823C1">
            <w:pPr>
              <w:spacing w:after="0"/>
              <w:jc w:val="center"/>
              <w:rPr>
                <w:color w:val="000000"/>
                <w:szCs w:val="20"/>
                <w:lang w:eastAsia="pl-PL"/>
              </w:rPr>
            </w:pPr>
            <w:r w:rsidRPr="00D94B5E">
              <w:rPr>
                <w:rFonts w:cs="Calibri"/>
                <w:color w:val="000000"/>
                <w:szCs w:val="20"/>
              </w:rPr>
              <w:t>5</w:t>
            </w:r>
          </w:p>
        </w:tc>
        <w:tc>
          <w:tcPr>
            <w:tcW w:w="618" w:type="dxa"/>
            <w:tcBorders>
              <w:top w:val="nil"/>
              <w:left w:val="nil"/>
              <w:bottom w:val="single" w:sz="4" w:space="0" w:color="auto"/>
              <w:right w:val="single" w:sz="4" w:space="0" w:color="auto"/>
            </w:tcBorders>
            <w:shd w:val="clear" w:color="auto" w:fill="auto"/>
            <w:noWrap/>
          </w:tcPr>
          <w:p w14:paraId="775581AA" w14:textId="77777777" w:rsidR="00F34BD4" w:rsidRPr="00D94B5E" w:rsidRDefault="00F34BD4" w:rsidP="00B823C1">
            <w:pPr>
              <w:spacing w:after="0"/>
              <w:jc w:val="center"/>
              <w:rPr>
                <w:color w:val="000000"/>
                <w:szCs w:val="20"/>
                <w:lang w:eastAsia="pl-PL"/>
              </w:rPr>
            </w:pPr>
            <w:r w:rsidRPr="00D94B5E">
              <w:rPr>
                <w:rFonts w:cs="Calibri"/>
                <w:color w:val="000000"/>
                <w:szCs w:val="20"/>
              </w:rPr>
              <w:t>5</w:t>
            </w:r>
          </w:p>
        </w:tc>
        <w:tc>
          <w:tcPr>
            <w:tcW w:w="618" w:type="dxa"/>
            <w:tcBorders>
              <w:top w:val="single" w:sz="4" w:space="0" w:color="auto"/>
              <w:left w:val="single" w:sz="4" w:space="0" w:color="auto"/>
              <w:bottom w:val="single" w:sz="4" w:space="0" w:color="auto"/>
              <w:right w:val="single" w:sz="4" w:space="0" w:color="auto"/>
            </w:tcBorders>
          </w:tcPr>
          <w:p w14:paraId="265C607A" w14:textId="77777777" w:rsidR="00F34BD4" w:rsidRPr="00D94B5E" w:rsidRDefault="00F34BD4" w:rsidP="00B823C1">
            <w:pPr>
              <w:spacing w:after="0"/>
              <w:jc w:val="center"/>
              <w:rPr>
                <w:color w:val="000000"/>
                <w:szCs w:val="20"/>
                <w:lang w:eastAsia="pl-PL"/>
              </w:rPr>
            </w:pPr>
            <w:r w:rsidRPr="00D94B5E">
              <w:rPr>
                <w:rFonts w:cs="Calibri"/>
                <w:color w:val="000000"/>
                <w:szCs w:val="20"/>
              </w:rPr>
              <w:t>5</w:t>
            </w:r>
          </w:p>
        </w:tc>
        <w:tc>
          <w:tcPr>
            <w:tcW w:w="618" w:type="dxa"/>
            <w:tcBorders>
              <w:top w:val="single" w:sz="4" w:space="0" w:color="auto"/>
              <w:left w:val="single" w:sz="4" w:space="0" w:color="auto"/>
              <w:bottom w:val="single" w:sz="4" w:space="0" w:color="auto"/>
              <w:right w:val="single" w:sz="4" w:space="0" w:color="auto"/>
            </w:tcBorders>
          </w:tcPr>
          <w:p w14:paraId="40EDFCC4" w14:textId="77777777" w:rsidR="00F34BD4" w:rsidRPr="00D94B5E" w:rsidRDefault="00F34BD4" w:rsidP="00B823C1">
            <w:pPr>
              <w:spacing w:after="0"/>
              <w:jc w:val="center"/>
              <w:rPr>
                <w:color w:val="000000"/>
                <w:szCs w:val="20"/>
                <w:lang w:eastAsia="pl-PL"/>
              </w:rPr>
            </w:pPr>
            <w:r w:rsidRPr="00D94B5E">
              <w:rPr>
                <w:rFonts w:cs="Calibri"/>
                <w:color w:val="000000"/>
                <w:szCs w:val="20"/>
              </w:rPr>
              <w:t>5</w:t>
            </w:r>
          </w:p>
        </w:tc>
        <w:tc>
          <w:tcPr>
            <w:tcW w:w="618" w:type="dxa"/>
            <w:tcBorders>
              <w:top w:val="single" w:sz="4" w:space="0" w:color="auto"/>
              <w:left w:val="single" w:sz="4" w:space="0" w:color="auto"/>
              <w:bottom w:val="single" w:sz="4" w:space="0" w:color="auto"/>
              <w:right w:val="single" w:sz="4" w:space="0" w:color="auto"/>
            </w:tcBorders>
          </w:tcPr>
          <w:p w14:paraId="0506B9E2" w14:textId="77777777" w:rsidR="00F34BD4" w:rsidRPr="00D94B5E" w:rsidRDefault="00F34BD4" w:rsidP="00B823C1">
            <w:pPr>
              <w:spacing w:after="0"/>
              <w:jc w:val="center"/>
              <w:rPr>
                <w:color w:val="000000"/>
                <w:szCs w:val="20"/>
                <w:lang w:eastAsia="pl-PL"/>
              </w:rPr>
            </w:pPr>
            <w:r w:rsidRPr="00D94B5E">
              <w:rPr>
                <w:rFonts w:cs="Calibri"/>
                <w:color w:val="000000"/>
                <w:szCs w:val="20"/>
              </w:rPr>
              <w:t>5</w:t>
            </w:r>
          </w:p>
        </w:tc>
        <w:tc>
          <w:tcPr>
            <w:tcW w:w="618" w:type="dxa"/>
            <w:tcBorders>
              <w:top w:val="single" w:sz="4" w:space="0" w:color="auto"/>
              <w:left w:val="single" w:sz="4" w:space="0" w:color="auto"/>
              <w:bottom w:val="single" w:sz="4" w:space="0" w:color="auto"/>
              <w:right w:val="single" w:sz="4" w:space="0" w:color="auto"/>
            </w:tcBorders>
            <w:shd w:val="clear" w:color="auto" w:fill="auto"/>
            <w:noWrap/>
          </w:tcPr>
          <w:p w14:paraId="6E15BBEF" w14:textId="77777777" w:rsidR="00F34BD4" w:rsidRPr="00D94B5E" w:rsidRDefault="00F34BD4" w:rsidP="00B823C1">
            <w:pPr>
              <w:spacing w:after="0"/>
              <w:jc w:val="center"/>
              <w:rPr>
                <w:color w:val="000000"/>
                <w:szCs w:val="20"/>
                <w:lang w:eastAsia="pl-PL"/>
              </w:rPr>
            </w:pPr>
            <w:r w:rsidRPr="00D94B5E">
              <w:rPr>
                <w:rFonts w:cs="Calibri"/>
                <w:color w:val="000000"/>
                <w:szCs w:val="20"/>
              </w:rPr>
              <w:t>5</w:t>
            </w:r>
          </w:p>
        </w:tc>
        <w:tc>
          <w:tcPr>
            <w:tcW w:w="1555" w:type="dxa"/>
            <w:vMerge/>
            <w:tcBorders>
              <w:left w:val="single" w:sz="4" w:space="0" w:color="auto"/>
              <w:right w:val="single" w:sz="4" w:space="0" w:color="auto"/>
            </w:tcBorders>
            <w:vAlign w:val="center"/>
          </w:tcPr>
          <w:p w14:paraId="52D7BFCD" w14:textId="77777777" w:rsidR="00F34BD4" w:rsidRPr="00D94B5E" w:rsidRDefault="00F34BD4" w:rsidP="00B823C1">
            <w:pPr>
              <w:spacing w:after="0"/>
              <w:jc w:val="center"/>
              <w:rPr>
                <w:color w:val="000000"/>
                <w:szCs w:val="20"/>
                <w:lang w:eastAsia="pl-PL"/>
              </w:rPr>
            </w:pPr>
          </w:p>
        </w:tc>
      </w:tr>
      <w:tr w:rsidR="00F34BD4" w:rsidRPr="008F173A" w14:paraId="4AD723B0" w14:textId="77777777" w:rsidTr="00B823C1">
        <w:trPr>
          <w:trHeight w:val="299"/>
        </w:trPr>
        <w:tc>
          <w:tcPr>
            <w:tcW w:w="1382" w:type="dxa"/>
            <w:vMerge/>
            <w:tcBorders>
              <w:left w:val="single" w:sz="4" w:space="0" w:color="auto"/>
              <w:bottom w:val="single" w:sz="4" w:space="0" w:color="auto"/>
              <w:right w:val="single" w:sz="4" w:space="0" w:color="auto"/>
            </w:tcBorders>
            <w:vAlign w:val="center"/>
          </w:tcPr>
          <w:p w14:paraId="47653FB3" w14:textId="77777777" w:rsidR="00F34BD4" w:rsidRPr="00D94B5E" w:rsidRDefault="00F34BD4" w:rsidP="00B823C1">
            <w:pPr>
              <w:spacing w:after="0"/>
              <w:jc w:val="center"/>
              <w:rPr>
                <w:color w:val="000000"/>
                <w:szCs w:val="20"/>
                <w:lang w:eastAsia="pl-PL"/>
              </w:rPr>
            </w:pPr>
          </w:p>
        </w:tc>
        <w:tc>
          <w:tcPr>
            <w:tcW w:w="620" w:type="dxa"/>
            <w:tcBorders>
              <w:top w:val="nil"/>
              <w:left w:val="nil"/>
              <w:bottom w:val="single" w:sz="4" w:space="0" w:color="auto"/>
              <w:right w:val="single" w:sz="4" w:space="0" w:color="auto"/>
            </w:tcBorders>
            <w:shd w:val="clear" w:color="auto" w:fill="auto"/>
            <w:noWrap/>
            <w:vAlign w:val="center"/>
          </w:tcPr>
          <w:p w14:paraId="12498322" w14:textId="77777777" w:rsidR="00F34BD4" w:rsidRPr="00D94B5E" w:rsidRDefault="00F34BD4" w:rsidP="00B823C1">
            <w:pPr>
              <w:spacing w:after="0"/>
              <w:jc w:val="center"/>
              <w:rPr>
                <w:color w:val="000000"/>
                <w:szCs w:val="20"/>
                <w:lang w:eastAsia="pl-PL"/>
              </w:rPr>
            </w:pPr>
            <w:r w:rsidRPr="00D94B5E">
              <w:rPr>
                <w:rFonts w:cs="Calibri"/>
                <w:color w:val="000000"/>
                <w:szCs w:val="20"/>
              </w:rPr>
              <w:t>5</w:t>
            </w:r>
          </w:p>
        </w:tc>
        <w:tc>
          <w:tcPr>
            <w:tcW w:w="618" w:type="dxa"/>
            <w:tcBorders>
              <w:top w:val="nil"/>
              <w:left w:val="nil"/>
              <w:bottom w:val="single" w:sz="4" w:space="0" w:color="auto"/>
              <w:right w:val="single" w:sz="4" w:space="0" w:color="auto"/>
            </w:tcBorders>
            <w:shd w:val="clear" w:color="auto" w:fill="auto"/>
            <w:noWrap/>
            <w:vAlign w:val="center"/>
          </w:tcPr>
          <w:p w14:paraId="29385F4F" w14:textId="77777777" w:rsidR="00F34BD4" w:rsidRPr="00D94B5E" w:rsidRDefault="00F34BD4" w:rsidP="00B823C1">
            <w:pPr>
              <w:spacing w:after="0"/>
              <w:jc w:val="center"/>
              <w:rPr>
                <w:color w:val="000000"/>
                <w:szCs w:val="20"/>
                <w:lang w:eastAsia="pl-PL"/>
              </w:rPr>
            </w:pPr>
            <w:r w:rsidRPr="00D94B5E">
              <w:rPr>
                <w:rFonts w:cs="Calibri"/>
                <w:color w:val="000000"/>
                <w:szCs w:val="20"/>
              </w:rPr>
              <w:t>5</w:t>
            </w:r>
          </w:p>
        </w:tc>
        <w:tc>
          <w:tcPr>
            <w:tcW w:w="618" w:type="dxa"/>
            <w:tcBorders>
              <w:top w:val="nil"/>
              <w:left w:val="nil"/>
              <w:bottom w:val="single" w:sz="4" w:space="0" w:color="auto"/>
              <w:right w:val="single" w:sz="4" w:space="0" w:color="auto"/>
            </w:tcBorders>
            <w:shd w:val="clear" w:color="auto" w:fill="auto"/>
            <w:noWrap/>
          </w:tcPr>
          <w:p w14:paraId="72AD16C3" w14:textId="77777777" w:rsidR="00F34BD4" w:rsidRPr="00D94B5E" w:rsidRDefault="00F34BD4" w:rsidP="00B823C1">
            <w:pPr>
              <w:spacing w:after="0"/>
              <w:jc w:val="center"/>
              <w:rPr>
                <w:color w:val="000000"/>
                <w:szCs w:val="20"/>
                <w:lang w:eastAsia="pl-PL"/>
              </w:rPr>
            </w:pPr>
            <w:r w:rsidRPr="00D94B5E">
              <w:rPr>
                <w:rFonts w:cs="Calibri"/>
                <w:color w:val="000000"/>
                <w:szCs w:val="20"/>
              </w:rPr>
              <w:t>5</w:t>
            </w:r>
          </w:p>
        </w:tc>
        <w:tc>
          <w:tcPr>
            <w:tcW w:w="618" w:type="dxa"/>
            <w:tcBorders>
              <w:top w:val="nil"/>
              <w:left w:val="nil"/>
              <w:bottom w:val="single" w:sz="4" w:space="0" w:color="auto"/>
              <w:right w:val="single" w:sz="4" w:space="0" w:color="auto"/>
            </w:tcBorders>
            <w:shd w:val="clear" w:color="auto" w:fill="auto"/>
            <w:noWrap/>
          </w:tcPr>
          <w:p w14:paraId="754F3876" w14:textId="77777777" w:rsidR="00F34BD4" w:rsidRPr="00D94B5E" w:rsidRDefault="00F34BD4" w:rsidP="00B823C1">
            <w:pPr>
              <w:spacing w:after="0"/>
              <w:jc w:val="center"/>
              <w:rPr>
                <w:color w:val="000000"/>
                <w:szCs w:val="20"/>
                <w:lang w:eastAsia="pl-PL"/>
              </w:rPr>
            </w:pPr>
            <w:r w:rsidRPr="00D94B5E">
              <w:rPr>
                <w:rFonts w:cs="Calibri"/>
                <w:color w:val="000000"/>
                <w:szCs w:val="20"/>
              </w:rPr>
              <w:t>5</w:t>
            </w:r>
          </w:p>
        </w:tc>
        <w:tc>
          <w:tcPr>
            <w:tcW w:w="618" w:type="dxa"/>
            <w:tcBorders>
              <w:top w:val="nil"/>
              <w:left w:val="nil"/>
              <w:bottom w:val="single" w:sz="4" w:space="0" w:color="auto"/>
              <w:right w:val="single" w:sz="4" w:space="0" w:color="auto"/>
            </w:tcBorders>
            <w:shd w:val="clear" w:color="auto" w:fill="auto"/>
            <w:noWrap/>
          </w:tcPr>
          <w:p w14:paraId="7B36105B" w14:textId="77777777" w:rsidR="00F34BD4" w:rsidRPr="00D94B5E" w:rsidRDefault="00F34BD4" w:rsidP="00B823C1">
            <w:pPr>
              <w:spacing w:after="0"/>
              <w:jc w:val="center"/>
              <w:rPr>
                <w:color w:val="000000"/>
                <w:szCs w:val="20"/>
                <w:lang w:eastAsia="pl-PL"/>
              </w:rPr>
            </w:pPr>
            <w:r w:rsidRPr="00D94B5E">
              <w:rPr>
                <w:rFonts w:cs="Calibri"/>
                <w:color w:val="000000"/>
                <w:szCs w:val="20"/>
              </w:rPr>
              <w:t>5</w:t>
            </w:r>
          </w:p>
        </w:tc>
        <w:tc>
          <w:tcPr>
            <w:tcW w:w="618" w:type="dxa"/>
            <w:tcBorders>
              <w:top w:val="nil"/>
              <w:left w:val="nil"/>
              <w:bottom w:val="single" w:sz="4" w:space="0" w:color="auto"/>
              <w:right w:val="single" w:sz="4" w:space="0" w:color="auto"/>
            </w:tcBorders>
            <w:shd w:val="clear" w:color="auto" w:fill="auto"/>
            <w:noWrap/>
          </w:tcPr>
          <w:p w14:paraId="641E7F3F" w14:textId="77777777" w:rsidR="00F34BD4" w:rsidRPr="00D94B5E" w:rsidRDefault="00F34BD4" w:rsidP="00B823C1">
            <w:pPr>
              <w:spacing w:after="0"/>
              <w:jc w:val="center"/>
              <w:rPr>
                <w:color w:val="000000"/>
                <w:szCs w:val="20"/>
                <w:lang w:eastAsia="pl-PL"/>
              </w:rPr>
            </w:pPr>
            <w:r w:rsidRPr="00D94B5E">
              <w:rPr>
                <w:rFonts w:cs="Calibri"/>
                <w:color w:val="000000"/>
                <w:szCs w:val="20"/>
              </w:rPr>
              <w:t>5</w:t>
            </w:r>
          </w:p>
        </w:tc>
        <w:tc>
          <w:tcPr>
            <w:tcW w:w="618" w:type="dxa"/>
            <w:tcBorders>
              <w:top w:val="single" w:sz="4" w:space="0" w:color="auto"/>
              <w:left w:val="single" w:sz="4" w:space="0" w:color="auto"/>
              <w:bottom w:val="single" w:sz="4" w:space="0" w:color="auto"/>
              <w:right w:val="single" w:sz="4" w:space="0" w:color="auto"/>
            </w:tcBorders>
          </w:tcPr>
          <w:p w14:paraId="01048E66" w14:textId="77777777" w:rsidR="00F34BD4" w:rsidRPr="00D94B5E" w:rsidRDefault="00F34BD4" w:rsidP="00B823C1">
            <w:pPr>
              <w:spacing w:after="0"/>
              <w:jc w:val="center"/>
              <w:rPr>
                <w:color w:val="000000"/>
                <w:szCs w:val="20"/>
                <w:lang w:eastAsia="pl-PL"/>
              </w:rPr>
            </w:pPr>
            <w:r w:rsidRPr="00D94B5E">
              <w:rPr>
                <w:rFonts w:cs="Calibri"/>
                <w:color w:val="000000"/>
                <w:szCs w:val="20"/>
              </w:rPr>
              <w:t>5</w:t>
            </w:r>
          </w:p>
        </w:tc>
        <w:tc>
          <w:tcPr>
            <w:tcW w:w="618" w:type="dxa"/>
            <w:tcBorders>
              <w:top w:val="single" w:sz="4" w:space="0" w:color="auto"/>
              <w:left w:val="single" w:sz="4" w:space="0" w:color="auto"/>
              <w:bottom w:val="single" w:sz="4" w:space="0" w:color="auto"/>
              <w:right w:val="single" w:sz="4" w:space="0" w:color="auto"/>
            </w:tcBorders>
          </w:tcPr>
          <w:p w14:paraId="26D791DC" w14:textId="77777777" w:rsidR="00F34BD4" w:rsidRPr="00D94B5E" w:rsidRDefault="00F34BD4" w:rsidP="00B823C1">
            <w:pPr>
              <w:spacing w:after="0"/>
              <w:jc w:val="center"/>
              <w:rPr>
                <w:color w:val="000000"/>
                <w:szCs w:val="20"/>
                <w:lang w:eastAsia="pl-PL"/>
              </w:rPr>
            </w:pPr>
            <w:r w:rsidRPr="00D94B5E">
              <w:rPr>
                <w:rFonts w:cs="Calibri"/>
                <w:color w:val="000000"/>
                <w:szCs w:val="20"/>
              </w:rPr>
              <w:t>5</w:t>
            </w:r>
          </w:p>
        </w:tc>
        <w:tc>
          <w:tcPr>
            <w:tcW w:w="618" w:type="dxa"/>
            <w:tcBorders>
              <w:top w:val="single" w:sz="4" w:space="0" w:color="auto"/>
              <w:left w:val="single" w:sz="4" w:space="0" w:color="auto"/>
              <w:bottom w:val="single" w:sz="4" w:space="0" w:color="auto"/>
              <w:right w:val="single" w:sz="4" w:space="0" w:color="auto"/>
            </w:tcBorders>
          </w:tcPr>
          <w:p w14:paraId="37035E3E" w14:textId="77777777" w:rsidR="00F34BD4" w:rsidRPr="00D94B5E" w:rsidRDefault="00F34BD4" w:rsidP="00B823C1">
            <w:pPr>
              <w:spacing w:after="0"/>
              <w:jc w:val="center"/>
              <w:rPr>
                <w:color w:val="000000"/>
                <w:szCs w:val="20"/>
                <w:lang w:eastAsia="pl-PL"/>
              </w:rPr>
            </w:pPr>
            <w:r w:rsidRPr="00D94B5E">
              <w:rPr>
                <w:rFonts w:cs="Calibri"/>
                <w:color w:val="000000"/>
                <w:szCs w:val="20"/>
              </w:rPr>
              <w:t>5</w:t>
            </w:r>
          </w:p>
        </w:tc>
        <w:tc>
          <w:tcPr>
            <w:tcW w:w="618" w:type="dxa"/>
            <w:tcBorders>
              <w:top w:val="single" w:sz="4" w:space="0" w:color="auto"/>
              <w:left w:val="single" w:sz="4" w:space="0" w:color="auto"/>
              <w:bottom w:val="single" w:sz="4" w:space="0" w:color="auto"/>
              <w:right w:val="single" w:sz="4" w:space="0" w:color="auto"/>
            </w:tcBorders>
            <w:shd w:val="clear" w:color="auto" w:fill="auto"/>
            <w:noWrap/>
          </w:tcPr>
          <w:p w14:paraId="17435425" w14:textId="77777777" w:rsidR="00F34BD4" w:rsidRPr="00D94B5E" w:rsidRDefault="00F34BD4" w:rsidP="00B823C1">
            <w:pPr>
              <w:spacing w:after="0"/>
              <w:jc w:val="center"/>
              <w:rPr>
                <w:color w:val="000000"/>
                <w:szCs w:val="20"/>
                <w:lang w:eastAsia="pl-PL"/>
              </w:rPr>
            </w:pPr>
            <w:r w:rsidRPr="00D94B5E">
              <w:rPr>
                <w:rFonts w:cs="Calibri"/>
                <w:color w:val="000000"/>
                <w:szCs w:val="20"/>
              </w:rPr>
              <w:t>5</w:t>
            </w:r>
          </w:p>
        </w:tc>
        <w:tc>
          <w:tcPr>
            <w:tcW w:w="1555" w:type="dxa"/>
            <w:vMerge/>
            <w:tcBorders>
              <w:left w:val="single" w:sz="4" w:space="0" w:color="auto"/>
              <w:bottom w:val="single" w:sz="4" w:space="0" w:color="auto"/>
              <w:right w:val="single" w:sz="4" w:space="0" w:color="auto"/>
            </w:tcBorders>
            <w:vAlign w:val="center"/>
          </w:tcPr>
          <w:p w14:paraId="0CFFC28C" w14:textId="77777777" w:rsidR="00F34BD4" w:rsidRPr="00D94B5E" w:rsidRDefault="00F34BD4" w:rsidP="00B823C1">
            <w:pPr>
              <w:spacing w:after="0"/>
              <w:jc w:val="center"/>
              <w:rPr>
                <w:color w:val="000000"/>
                <w:szCs w:val="20"/>
                <w:lang w:eastAsia="pl-PL"/>
              </w:rPr>
            </w:pPr>
          </w:p>
        </w:tc>
      </w:tr>
      <w:tr w:rsidR="00F34BD4" w:rsidRPr="008F173A" w14:paraId="334A39A1" w14:textId="77777777" w:rsidTr="00B823C1">
        <w:trPr>
          <w:trHeight w:val="299"/>
        </w:trPr>
        <w:tc>
          <w:tcPr>
            <w:tcW w:w="1382" w:type="dxa"/>
            <w:tcBorders>
              <w:top w:val="nil"/>
              <w:left w:val="single" w:sz="4" w:space="0" w:color="auto"/>
              <w:bottom w:val="single" w:sz="4" w:space="0" w:color="auto"/>
              <w:right w:val="single" w:sz="4" w:space="0" w:color="auto"/>
            </w:tcBorders>
            <w:shd w:val="clear" w:color="auto" w:fill="auto"/>
            <w:noWrap/>
            <w:vAlign w:val="center"/>
            <w:hideMark/>
          </w:tcPr>
          <w:p w14:paraId="3A8104EF" w14:textId="77777777" w:rsidR="00F34BD4" w:rsidRPr="00D94B5E" w:rsidRDefault="00F34BD4" w:rsidP="00B823C1">
            <w:pPr>
              <w:spacing w:after="0"/>
              <w:jc w:val="center"/>
              <w:rPr>
                <w:color w:val="000000"/>
                <w:szCs w:val="20"/>
                <w:lang w:eastAsia="pl-PL"/>
              </w:rPr>
            </w:pPr>
            <w:r w:rsidRPr="00D94B5E">
              <w:rPr>
                <w:color w:val="000000"/>
                <w:szCs w:val="20"/>
                <w:lang w:eastAsia="pl-PL"/>
              </w:rPr>
              <w:t>Razem (</w:t>
            </w:r>
            <w:proofErr w:type="spellStart"/>
            <w:r w:rsidRPr="00D94B5E">
              <w:rPr>
                <w:color w:val="000000"/>
                <w:szCs w:val="20"/>
                <w:lang w:eastAsia="pl-PL"/>
              </w:rPr>
              <w:t>ktoe</w:t>
            </w:r>
            <w:proofErr w:type="spellEnd"/>
            <w:r w:rsidRPr="00D94B5E">
              <w:rPr>
                <w:color w:val="000000"/>
                <w:szCs w:val="20"/>
                <w:lang w:eastAsia="pl-PL"/>
              </w:rPr>
              <w:t>)</w:t>
            </w:r>
          </w:p>
        </w:tc>
        <w:tc>
          <w:tcPr>
            <w:tcW w:w="620" w:type="dxa"/>
            <w:tcBorders>
              <w:top w:val="nil"/>
              <w:left w:val="nil"/>
              <w:bottom w:val="single" w:sz="4" w:space="0" w:color="auto"/>
              <w:right w:val="single" w:sz="4" w:space="0" w:color="auto"/>
            </w:tcBorders>
            <w:shd w:val="clear" w:color="auto" w:fill="auto"/>
            <w:noWrap/>
            <w:vAlign w:val="center"/>
          </w:tcPr>
          <w:p w14:paraId="02A7112E" w14:textId="77777777" w:rsidR="00F34BD4" w:rsidRPr="00D94B5E" w:rsidRDefault="00F34BD4" w:rsidP="00B823C1">
            <w:pPr>
              <w:spacing w:after="0"/>
              <w:jc w:val="center"/>
              <w:rPr>
                <w:b/>
                <w:bCs/>
                <w:color w:val="000000"/>
                <w:szCs w:val="20"/>
                <w:lang w:eastAsia="pl-PL"/>
              </w:rPr>
            </w:pPr>
            <w:r w:rsidRPr="00D94B5E">
              <w:rPr>
                <w:rFonts w:cs="Calibri"/>
                <w:b/>
                <w:bCs/>
                <w:color w:val="000000"/>
                <w:szCs w:val="20"/>
              </w:rPr>
              <w:t>5</w:t>
            </w:r>
          </w:p>
        </w:tc>
        <w:tc>
          <w:tcPr>
            <w:tcW w:w="618" w:type="dxa"/>
            <w:tcBorders>
              <w:top w:val="nil"/>
              <w:left w:val="nil"/>
              <w:bottom w:val="single" w:sz="4" w:space="0" w:color="auto"/>
              <w:right w:val="single" w:sz="4" w:space="0" w:color="auto"/>
            </w:tcBorders>
            <w:shd w:val="clear" w:color="auto" w:fill="auto"/>
            <w:noWrap/>
            <w:vAlign w:val="center"/>
          </w:tcPr>
          <w:p w14:paraId="5E4AC8B5" w14:textId="77777777" w:rsidR="00F34BD4" w:rsidRPr="00D94B5E" w:rsidRDefault="00F34BD4" w:rsidP="00B823C1">
            <w:pPr>
              <w:spacing w:after="0"/>
              <w:jc w:val="center"/>
              <w:rPr>
                <w:b/>
                <w:bCs/>
                <w:color w:val="000000"/>
                <w:szCs w:val="20"/>
                <w:lang w:eastAsia="pl-PL"/>
              </w:rPr>
            </w:pPr>
            <w:r w:rsidRPr="00D94B5E">
              <w:rPr>
                <w:rFonts w:cs="Calibri"/>
                <w:b/>
                <w:bCs/>
                <w:color w:val="000000"/>
                <w:szCs w:val="20"/>
              </w:rPr>
              <w:t>10</w:t>
            </w:r>
          </w:p>
        </w:tc>
        <w:tc>
          <w:tcPr>
            <w:tcW w:w="618" w:type="dxa"/>
            <w:tcBorders>
              <w:top w:val="nil"/>
              <w:left w:val="nil"/>
              <w:bottom w:val="single" w:sz="4" w:space="0" w:color="auto"/>
              <w:right w:val="single" w:sz="4" w:space="0" w:color="auto"/>
            </w:tcBorders>
            <w:shd w:val="clear" w:color="auto" w:fill="auto"/>
            <w:noWrap/>
            <w:vAlign w:val="center"/>
          </w:tcPr>
          <w:p w14:paraId="7602AE08" w14:textId="77777777" w:rsidR="00F34BD4" w:rsidRPr="00D94B5E" w:rsidRDefault="00F34BD4" w:rsidP="00B823C1">
            <w:pPr>
              <w:spacing w:after="0"/>
              <w:jc w:val="center"/>
              <w:rPr>
                <w:b/>
                <w:bCs/>
                <w:color w:val="000000"/>
                <w:szCs w:val="20"/>
                <w:lang w:eastAsia="pl-PL"/>
              </w:rPr>
            </w:pPr>
            <w:r w:rsidRPr="00D94B5E">
              <w:rPr>
                <w:rFonts w:cs="Calibri"/>
                <w:b/>
                <w:bCs/>
                <w:color w:val="000000"/>
                <w:szCs w:val="20"/>
              </w:rPr>
              <w:t>40</w:t>
            </w:r>
          </w:p>
        </w:tc>
        <w:tc>
          <w:tcPr>
            <w:tcW w:w="618" w:type="dxa"/>
            <w:tcBorders>
              <w:top w:val="nil"/>
              <w:left w:val="nil"/>
              <w:bottom w:val="single" w:sz="4" w:space="0" w:color="auto"/>
              <w:right w:val="single" w:sz="4" w:space="0" w:color="auto"/>
            </w:tcBorders>
            <w:shd w:val="clear" w:color="auto" w:fill="auto"/>
            <w:noWrap/>
            <w:vAlign w:val="center"/>
          </w:tcPr>
          <w:p w14:paraId="5FDB576D" w14:textId="77777777" w:rsidR="00F34BD4" w:rsidRPr="00D94B5E" w:rsidRDefault="00F34BD4" w:rsidP="00B823C1">
            <w:pPr>
              <w:spacing w:after="0"/>
              <w:jc w:val="center"/>
              <w:rPr>
                <w:b/>
                <w:bCs/>
                <w:color w:val="000000"/>
                <w:szCs w:val="20"/>
                <w:lang w:eastAsia="pl-PL"/>
              </w:rPr>
            </w:pPr>
            <w:r w:rsidRPr="00D94B5E">
              <w:rPr>
                <w:rFonts w:cs="Calibri"/>
                <w:b/>
                <w:bCs/>
                <w:color w:val="000000"/>
                <w:szCs w:val="20"/>
              </w:rPr>
              <w:t>70</w:t>
            </w:r>
          </w:p>
        </w:tc>
        <w:tc>
          <w:tcPr>
            <w:tcW w:w="618" w:type="dxa"/>
            <w:tcBorders>
              <w:top w:val="nil"/>
              <w:left w:val="nil"/>
              <w:bottom w:val="single" w:sz="4" w:space="0" w:color="auto"/>
              <w:right w:val="single" w:sz="4" w:space="0" w:color="auto"/>
            </w:tcBorders>
            <w:shd w:val="clear" w:color="auto" w:fill="auto"/>
            <w:noWrap/>
            <w:vAlign w:val="center"/>
          </w:tcPr>
          <w:p w14:paraId="7CB5C770" w14:textId="77777777" w:rsidR="00F34BD4" w:rsidRPr="00D94B5E" w:rsidRDefault="00F34BD4" w:rsidP="00B823C1">
            <w:pPr>
              <w:spacing w:after="0"/>
              <w:jc w:val="center"/>
              <w:rPr>
                <w:b/>
                <w:bCs/>
                <w:color w:val="000000"/>
                <w:szCs w:val="20"/>
                <w:lang w:eastAsia="pl-PL"/>
              </w:rPr>
            </w:pPr>
            <w:r w:rsidRPr="00D94B5E">
              <w:rPr>
                <w:rFonts w:cs="Calibri"/>
                <w:b/>
                <w:bCs/>
                <w:color w:val="000000"/>
                <w:szCs w:val="20"/>
              </w:rPr>
              <w:t>100</w:t>
            </w:r>
          </w:p>
        </w:tc>
        <w:tc>
          <w:tcPr>
            <w:tcW w:w="618" w:type="dxa"/>
            <w:tcBorders>
              <w:top w:val="nil"/>
              <w:left w:val="nil"/>
              <w:bottom w:val="single" w:sz="4" w:space="0" w:color="auto"/>
              <w:right w:val="single" w:sz="4" w:space="0" w:color="auto"/>
            </w:tcBorders>
            <w:shd w:val="clear" w:color="auto" w:fill="auto"/>
            <w:noWrap/>
            <w:vAlign w:val="center"/>
          </w:tcPr>
          <w:p w14:paraId="64B10188" w14:textId="77777777" w:rsidR="00F34BD4" w:rsidRPr="00D94B5E" w:rsidRDefault="00F34BD4" w:rsidP="00B823C1">
            <w:pPr>
              <w:spacing w:after="0"/>
              <w:jc w:val="center"/>
              <w:rPr>
                <w:b/>
                <w:bCs/>
                <w:color w:val="000000"/>
                <w:szCs w:val="20"/>
                <w:lang w:eastAsia="pl-PL"/>
              </w:rPr>
            </w:pPr>
            <w:r w:rsidRPr="00D94B5E">
              <w:rPr>
                <w:rFonts w:cs="Calibri"/>
                <w:b/>
                <w:bCs/>
                <w:color w:val="000000"/>
                <w:szCs w:val="20"/>
              </w:rPr>
              <w:t>130</w:t>
            </w:r>
          </w:p>
        </w:tc>
        <w:tc>
          <w:tcPr>
            <w:tcW w:w="618" w:type="dxa"/>
            <w:tcBorders>
              <w:top w:val="single" w:sz="4" w:space="0" w:color="auto"/>
              <w:left w:val="single" w:sz="4" w:space="0" w:color="auto"/>
              <w:bottom w:val="single" w:sz="4" w:space="0" w:color="auto"/>
              <w:right w:val="single" w:sz="4" w:space="0" w:color="auto"/>
            </w:tcBorders>
            <w:vAlign w:val="center"/>
          </w:tcPr>
          <w:p w14:paraId="7594A355" w14:textId="77777777" w:rsidR="00F34BD4" w:rsidRPr="00D94B5E" w:rsidRDefault="00F34BD4" w:rsidP="00B823C1">
            <w:pPr>
              <w:spacing w:after="0"/>
              <w:jc w:val="center"/>
              <w:rPr>
                <w:b/>
                <w:bCs/>
                <w:color w:val="000000"/>
                <w:szCs w:val="20"/>
                <w:lang w:eastAsia="pl-PL"/>
              </w:rPr>
            </w:pPr>
            <w:r w:rsidRPr="00D94B5E">
              <w:rPr>
                <w:rFonts w:cs="Calibri"/>
                <w:b/>
                <w:bCs/>
                <w:color w:val="000000"/>
                <w:szCs w:val="20"/>
              </w:rPr>
              <w:t>160</w:t>
            </w:r>
          </w:p>
        </w:tc>
        <w:tc>
          <w:tcPr>
            <w:tcW w:w="618" w:type="dxa"/>
            <w:tcBorders>
              <w:top w:val="single" w:sz="4" w:space="0" w:color="auto"/>
              <w:left w:val="single" w:sz="4" w:space="0" w:color="auto"/>
              <w:bottom w:val="single" w:sz="4" w:space="0" w:color="auto"/>
              <w:right w:val="single" w:sz="4" w:space="0" w:color="auto"/>
            </w:tcBorders>
            <w:vAlign w:val="center"/>
          </w:tcPr>
          <w:p w14:paraId="624AE76B" w14:textId="77777777" w:rsidR="00F34BD4" w:rsidRPr="00D94B5E" w:rsidRDefault="00F34BD4" w:rsidP="00B823C1">
            <w:pPr>
              <w:spacing w:after="0"/>
              <w:jc w:val="center"/>
              <w:rPr>
                <w:b/>
                <w:bCs/>
                <w:color w:val="000000"/>
                <w:szCs w:val="20"/>
                <w:lang w:eastAsia="pl-PL"/>
              </w:rPr>
            </w:pPr>
            <w:r w:rsidRPr="00D94B5E">
              <w:rPr>
                <w:rFonts w:cs="Calibri"/>
                <w:b/>
                <w:bCs/>
                <w:color w:val="000000"/>
                <w:szCs w:val="20"/>
              </w:rPr>
              <w:t>190</w:t>
            </w:r>
          </w:p>
        </w:tc>
        <w:tc>
          <w:tcPr>
            <w:tcW w:w="618" w:type="dxa"/>
            <w:tcBorders>
              <w:top w:val="single" w:sz="4" w:space="0" w:color="auto"/>
              <w:left w:val="single" w:sz="4" w:space="0" w:color="auto"/>
              <w:bottom w:val="single" w:sz="4" w:space="0" w:color="auto"/>
              <w:right w:val="single" w:sz="4" w:space="0" w:color="auto"/>
            </w:tcBorders>
            <w:vAlign w:val="center"/>
          </w:tcPr>
          <w:p w14:paraId="6E9CD14E" w14:textId="77777777" w:rsidR="00F34BD4" w:rsidRPr="00D94B5E" w:rsidRDefault="00F34BD4" w:rsidP="00B823C1">
            <w:pPr>
              <w:spacing w:after="0"/>
              <w:jc w:val="center"/>
              <w:rPr>
                <w:b/>
                <w:bCs/>
                <w:color w:val="000000"/>
                <w:szCs w:val="20"/>
                <w:lang w:eastAsia="pl-PL"/>
              </w:rPr>
            </w:pPr>
            <w:r w:rsidRPr="00D94B5E">
              <w:rPr>
                <w:rFonts w:cs="Calibri"/>
                <w:b/>
                <w:bCs/>
                <w:color w:val="000000"/>
                <w:szCs w:val="20"/>
              </w:rPr>
              <w:t>220</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168A96" w14:textId="77777777" w:rsidR="00F34BD4" w:rsidRPr="00D94B5E" w:rsidRDefault="00F34BD4" w:rsidP="00B823C1">
            <w:pPr>
              <w:spacing w:after="0"/>
              <w:jc w:val="center"/>
              <w:rPr>
                <w:b/>
                <w:bCs/>
                <w:color w:val="000000"/>
                <w:szCs w:val="20"/>
                <w:lang w:eastAsia="pl-PL"/>
              </w:rPr>
            </w:pPr>
            <w:r w:rsidRPr="00D94B5E">
              <w:rPr>
                <w:rFonts w:cs="Calibri"/>
                <w:b/>
                <w:bCs/>
                <w:color w:val="000000"/>
                <w:szCs w:val="20"/>
              </w:rPr>
              <w:t>250</w:t>
            </w:r>
          </w:p>
        </w:tc>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28CF49AD" w14:textId="77777777" w:rsidR="00F34BD4" w:rsidRPr="00D94B5E" w:rsidRDefault="00F34BD4" w:rsidP="00B823C1">
            <w:pPr>
              <w:spacing w:after="0"/>
              <w:jc w:val="center"/>
              <w:rPr>
                <w:b/>
                <w:bCs/>
                <w:color w:val="000000"/>
                <w:szCs w:val="20"/>
                <w:lang w:eastAsia="pl-PL"/>
              </w:rPr>
            </w:pPr>
            <w:r w:rsidRPr="00D94B5E">
              <w:rPr>
                <w:rFonts w:cs="Calibri"/>
                <w:b/>
                <w:bCs/>
                <w:color w:val="2F5496" w:themeColor="accent1" w:themeShade="BF"/>
                <w:szCs w:val="20"/>
              </w:rPr>
              <w:t>1 17</w:t>
            </w:r>
            <w:r>
              <w:rPr>
                <w:rFonts w:cs="Calibri"/>
                <w:b/>
                <w:bCs/>
                <w:color w:val="2F5496" w:themeColor="accent1" w:themeShade="BF"/>
                <w:szCs w:val="20"/>
              </w:rPr>
              <w:t>5</w:t>
            </w:r>
          </w:p>
        </w:tc>
      </w:tr>
    </w:tbl>
    <w:p w14:paraId="4191AFC7" w14:textId="77777777" w:rsidR="00F34BD4" w:rsidRDefault="00F34BD4" w:rsidP="00F34BD4">
      <w:pPr>
        <w:spacing w:after="0" w:line="360" w:lineRule="auto"/>
        <w:ind w:firstLine="709"/>
      </w:pPr>
      <w:r>
        <w:t xml:space="preserve"> </w:t>
      </w:r>
    </w:p>
    <w:p w14:paraId="0D113A6A" w14:textId="77777777" w:rsidR="00F34BD4" w:rsidRDefault="00F34BD4" w:rsidP="00373FD3">
      <w:r>
        <w:t xml:space="preserve">Powyższa tabela zawiera wartości rzeczywistych oszczędności energii finalnej w  odniesieniu do roku 2021 oraz szacowane wartości oszczędności w odniesieniu do lat 2022-2030. Przewiduje się zwiększenie wartości uzyskanych oszczędności końcowego zużycia energii w latach 2023-2030 ze względu na fakt, że od 2023 roku w programie występuje nowy komponent – system grantowy oraz rozszerzony został katalog beneficjentów, powyższe środki powinny zapewnić osiągnięcie zakładanych oszczędności. </w:t>
      </w:r>
    </w:p>
    <w:p w14:paraId="68FAB52B" w14:textId="77777777" w:rsidR="00F34BD4" w:rsidRDefault="00F34BD4" w:rsidP="00FF3BC7">
      <w:pPr>
        <w:pStyle w:val="Akapitzlist"/>
        <w:numPr>
          <w:ilvl w:val="0"/>
          <w:numId w:val="11"/>
        </w:numPr>
        <w:spacing w:before="120" w:line="360" w:lineRule="auto"/>
        <w:ind w:left="1134" w:hanging="357"/>
        <w:jc w:val="left"/>
        <w:rPr>
          <w:b/>
          <w:bCs/>
          <w:color w:val="2F5496" w:themeColor="accent1" w:themeShade="BF"/>
        </w:rPr>
      </w:pPr>
      <w:r w:rsidRPr="004A2365">
        <w:rPr>
          <w:b/>
          <w:bCs/>
          <w:color w:val="2F5496" w:themeColor="accent1" w:themeShade="BF"/>
        </w:rPr>
        <w:t>Monitorowanie i weryfikacja</w:t>
      </w:r>
    </w:p>
    <w:p w14:paraId="75052974" w14:textId="77777777" w:rsidR="00F34BD4" w:rsidRDefault="00F34BD4" w:rsidP="00373FD3">
      <w:r w:rsidRPr="00D2663B">
        <w:t xml:space="preserve">BGK zleca wykonanie weryfikacji każdego audytu energetycznego innym, niezależnym i wyłonionym w postępowaniu przetargowym podmiotom. Ocena weryfikatora poprawności wykonania audytu, stanowi podstawę do podjęcia decyzji o przyznaniu bądź odmowie przyznania premii termomodernizacyjnej, a także ustalenia jej wysokości. Procedurę, zasady weryfikacji audytów energetycznych precyzuje rozporządzenie </w:t>
      </w:r>
      <w:r w:rsidRPr="005422F1">
        <w:t xml:space="preserve">Ministra Infrastruktury i Rozwoju z dnia 24 sierpnia 2015 r. </w:t>
      </w:r>
      <w:r w:rsidRPr="00373FD3">
        <w:t>zmieniające rozporządzenie w sprawie szczegółowego sposobu weryfikacji audytu energetycznego i części audytu remontowego oraz szczegółowych warunków, jakie powinny spełniać podmioty</w:t>
      </w:r>
      <w:r w:rsidRPr="005422F1">
        <w:t xml:space="preserve">, </w:t>
      </w:r>
      <w:r w:rsidRPr="00373FD3">
        <w:t xml:space="preserve">którym Bank Gospodarstwa Krajowego może zlecać wykonanie weryfikacji audytów </w:t>
      </w:r>
      <w:r w:rsidRPr="005422F1">
        <w:t>(Dz.U. 2015 poz. 1405).</w:t>
      </w:r>
    </w:p>
    <w:p w14:paraId="62144A7D" w14:textId="77777777" w:rsidR="00F34BD4" w:rsidRDefault="00F34BD4" w:rsidP="00373FD3">
      <w:r>
        <w:t xml:space="preserve">Dodatkowo jednostkowe informacje o wysokości oszczędności energii finalnej raportowane do </w:t>
      </w:r>
      <w:r w:rsidRPr="00EF4FC0">
        <w:t>Centralnego Rejestru Oszczędności Energii Finalnej</w:t>
      </w:r>
      <w:r>
        <w:t xml:space="preserve"> są wer</w:t>
      </w:r>
      <w:r w:rsidRPr="00EF4FC0">
        <w:t>yfik</w:t>
      </w:r>
      <w:r>
        <w:t>owane</w:t>
      </w:r>
      <w:r w:rsidRPr="00EF4FC0">
        <w:t xml:space="preserve"> przez administratorów systemu. Każde przedsięwzięcie dodane w CROEF musi zostać sprawdzone pod względem merytorycznym</w:t>
      </w:r>
      <w:r>
        <w:t xml:space="preserve"> (tj. rodzaj przedsięwzięcia, ilość średniorocznych oszczędności, okres uzyskiwania oszczędności oraz potwierdzenie uzyskiwanych oszczędności energii finalnej)</w:t>
      </w:r>
      <w:r w:rsidRPr="00EF4FC0">
        <w:t xml:space="preserve"> przez administratora Ministerstwa Klimatu i Środowiska. </w:t>
      </w:r>
    </w:p>
    <w:p w14:paraId="5AA4C83F" w14:textId="77777777" w:rsidR="00F34BD4" w:rsidRPr="00BC7E57" w:rsidRDefault="00F34BD4" w:rsidP="00FF3BC7">
      <w:pPr>
        <w:pStyle w:val="Akapitzlist"/>
        <w:numPr>
          <w:ilvl w:val="0"/>
          <w:numId w:val="12"/>
        </w:numPr>
        <w:spacing w:after="360" w:line="360" w:lineRule="auto"/>
        <w:ind w:left="714" w:hanging="357"/>
        <w:jc w:val="left"/>
        <w:rPr>
          <w:b/>
          <w:bCs/>
          <w:color w:val="2F5496" w:themeColor="accent1" w:themeShade="BF"/>
        </w:rPr>
      </w:pPr>
      <w:r>
        <w:rPr>
          <w:b/>
          <w:bCs/>
          <w:color w:val="2F5496" w:themeColor="accent1" w:themeShade="BF"/>
        </w:rPr>
        <w:t xml:space="preserve">Ulga </w:t>
      </w:r>
      <w:r w:rsidRPr="0030445A">
        <w:rPr>
          <w:b/>
          <w:bCs/>
          <w:color w:val="2F5496" w:themeColor="accent1" w:themeShade="BF"/>
        </w:rPr>
        <w:t>podatkowa dotycząca wydatków poniesionych na termomodernizację jednorodzinnych budynków mieszkalnych</w:t>
      </w:r>
    </w:p>
    <w:p w14:paraId="7EA2F2B9" w14:textId="77777777" w:rsidR="00F34BD4" w:rsidRPr="004A2365" w:rsidRDefault="00F34BD4" w:rsidP="00FF3BC7">
      <w:pPr>
        <w:pStyle w:val="Akapitzlist"/>
        <w:numPr>
          <w:ilvl w:val="0"/>
          <w:numId w:val="13"/>
        </w:numPr>
        <w:spacing w:after="240" w:line="480" w:lineRule="auto"/>
        <w:ind w:left="1134"/>
        <w:jc w:val="left"/>
        <w:rPr>
          <w:b/>
          <w:bCs/>
          <w:color w:val="2F5496" w:themeColor="accent1" w:themeShade="BF"/>
        </w:rPr>
      </w:pPr>
      <w:r w:rsidRPr="00386B26">
        <w:rPr>
          <w:b/>
          <w:bCs/>
          <w:color w:val="2F5496" w:themeColor="accent1" w:themeShade="BF"/>
        </w:rPr>
        <w:t>Skrócony</w:t>
      </w:r>
      <w:r w:rsidRPr="004A2365">
        <w:rPr>
          <w:b/>
          <w:bCs/>
          <w:color w:val="2F5496" w:themeColor="accent1" w:themeShade="BF"/>
        </w:rPr>
        <w:t xml:space="preserve"> opis </w:t>
      </w:r>
      <w:r>
        <w:rPr>
          <w:b/>
          <w:bCs/>
          <w:color w:val="2F5496" w:themeColor="accent1" w:themeShade="BF"/>
        </w:rPr>
        <w:t>środka alternatywnego</w:t>
      </w:r>
    </w:p>
    <w:tbl>
      <w:tblPr>
        <w:tblStyle w:val="Tabela-Siatka"/>
        <w:tblW w:w="8729" w:type="dxa"/>
        <w:tblInd w:w="360" w:type="dxa"/>
        <w:tblBorders>
          <w:top w:val="none" w:sz="0" w:space="0" w:color="auto"/>
          <w:left w:val="none" w:sz="0" w:space="0" w:color="auto"/>
          <w:bottom w:val="none" w:sz="0" w:space="0" w:color="auto"/>
          <w:right w:val="none" w:sz="0" w:space="0" w:color="auto"/>
          <w:insideH w:val="single" w:sz="12" w:space="0" w:color="auto"/>
          <w:insideV w:val="none" w:sz="0" w:space="0" w:color="auto"/>
        </w:tblBorders>
        <w:tblLook w:val="04A0" w:firstRow="1" w:lastRow="0" w:firstColumn="1" w:lastColumn="0" w:noHBand="0" w:noVBand="1"/>
      </w:tblPr>
      <w:tblGrid>
        <w:gridCol w:w="1644"/>
        <w:gridCol w:w="7085"/>
      </w:tblGrid>
      <w:tr w:rsidR="00F34BD4" w:rsidRPr="0030445A" w14:paraId="645108F9" w14:textId="77777777" w:rsidTr="00B823C1">
        <w:tc>
          <w:tcPr>
            <w:tcW w:w="1644" w:type="dxa"/>
            <w:vAlign w:val="center"/>
          </w:tcPr>
          <w:p w14:paraId="4C469B3E"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 xml:space="preserve">Nazwa </w:t>
            </w:r>
            <w:r>
              <w:rPr>
                <w:rFonts w:cs="Times New Roman"/>
                <w:i/>
                <w:iCs/>
                <w:color w:val="5B9BD5" w:themeColor="accent5"/>
              </w:rPr>
              <w:t>środka alternatywnego</w:t>
            </w:r>
          </w:p>
        </w:tc>
        <w:tc>
          <w:tcPr>
            <w:tcW w:w="7085" w:type="dxa"/>
            <w:vAlign w:val="center"/>
          </w:tcPr>
          <w:p w14:paraId="4BBE7310" w14:textId="77777777" w:rsidR="00F34BD4" w:rsidRPr="002B0945" w:rsidRDefault="00F34BD4" w:rsidP="00FF3BC7">
            <w:pPr>
              <w:spacing w:line="276" w:lineRule="auto"/>
              <w:rPr>
                <w:b/>
                <w:bCs/>
              </w:rPr>
            </w:pPr>
            <w:r w:rsidRPr="0030445A">
              <w:rPr>
                <w:b/>
                <w:bCs/>
              </w:rPr>
              <w:t>Ulga podatkowa dotycząca wydatków poniesionych na termomodernizację jednorodzinnych budynków mieszkalnych</w:t>
            </w:r>
            <w:r>
              <w:rPr>
                <w:b/>
                <w:bCs/>
              </w:rPr>
              <w:t>, tzw. ulga termomodernizacyjna</w:t>
            </w:r>
          </w:p>
        </w:tc>
      </w:tr>
      <w:tr w:rsidR="00F34BD4" w:rsidRPr="004A2365" w14:paraId="4ED78B26" w14:textId="77777777" w:rsidTr="00B823C1">
        <w:tc>
          <w:tcPr>
            <w:tcW w:w="1644" w:type="dxa"/>
            <w:vAlign w:val="center"/>
          </w:tcPr>
          <w:p w14:paraId="13D22255"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Kategoria</w:t>
            </w:r>
          </w:p>
        </w:tc>
        <w:tc>
          <w:tcPr>
            <w:tcW w:w="7085" w:type="dxa"/>
            <w:vAlign w:val="center"/>
          </w:tcPr>
          <w:p w14:paraId="7F7BE39A" w14:textId="77777777" w:rsidR="00F34BD4" w:rsidRPr="004A2365" w:rsidRDefault="00F34BD4" w:rsidP="00FF3BC7">
            <w:pPr>
              <w:spacing w:line="276" w:lineRule="auto"/>
              <w:rPr>
                <w:rFonts w:cs="Times New Roman"/>
              </w:rPr>
            </w:pPr>
            <w:r w:rsidRPr="004A2365">
              <w:rPr>
                <w:rFonts w:cs="Times New Roman"/>
              </w:rPr>
              <w:t>Mechanizm finansowy</w:t>
            </w:r>
          </w:p>
        </w:tc>
      </w:tr>
      <w:tr w:rsidR="00F34BD4" w:rsidRPr="004A2365" w14:paraId="2BB10D3C" w14:textId="77777777" w:rsidTr="00B823C1">
        <w:tc>
          <w:tcPr>
            <w:tcW w:w="1644" w:type="dxa"/>
            <w:vAlign w:val="center"/>
          </w:tcPr>
          <w:p w14:paraId="3E02028D"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 xml:space="preserve">Cel </w:t>
            </w:r>
          </w:p>
        </w:tc>
        <w:tc>
          <w:tcPr>
            <w:tcW w:w="7085" w:type="dxa"/>
            <w:vAlign w:val="center"/>
          </w:tcPr>
          <w:p w14:paraId="6E28BB94" w14:textId="77777777" w:rsidR="00F34BD4" w:rsidRPr="00434C6D" w:rsidRDefault="00F34BD4" w:rsidP="00FF3BC7">
            <w:pPr>
              <w:spacing w:line="276" w:lineRule="auto"/>
              <w:rPr>
                <w:rFonts w:cs="Times New Roman"/>
              </w:rPr>
            </w:pPr>
            <w:r>
              <w:rPr>
                <w:rFonts w:cs="Times New Roman"/>
              </w:rPr>
              <w:t>S</w:t>
            </w:r>
            <w:r w:rsidRPr="00434C6D">
              <w:rPr>
                <w:rFonts w:cs="Times New Roman"/>
              </w:rPr>
              <w:t>tworzenie w podatku dochodowym od osób fizycznych zachęty do termomodernizacji jednorodzinnych budynków mieszkalnych.</w:t>
            </w:r>
          </w:p>
        </w:tc>
      </w:tr>
      <w:tr w:rsidR="00F34BD4" w:rsidRPr="004A2365" w14:paraId="3038D1AA" w14:textId="77777777" w:rsidTr="00B823C1">
        <w:tc>
          <w:tcPr>
            <w:tcW w:w="1644" w:type="dxa"/>
            <w:vAlign w:val="center"/>
          </w:tcPr>
          <w:p w14:paraId="42558300"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lastRenderedPageBreak/>
              <w:t xml:space="preserve">Działania </w:t>
            </w:r>
          </w:p>
        </w:tc>
        <w:tc>
          <w:tcPr>
            <w:tcW w:w="7085" w:type="dxa"/>
            <w:vAlign w:val="center"/>
          </w:tcPr>
          <w:p w14:paraId="658F666C" w14:textId="77777777" w:rsidR="00F34BD4" w:rsidRPr="00E91B9B" w:rsidRDefault="00F34BD4" w:rsidP="00FF3BC7">
            <w:pPr>
              <w:spacing w:line="276" w:lineRule="auto"/>
              <w:rPr>
                <w:rFonts w:cs="Times New Roman"/>
              </w:rPr>
            </w:pPr>
            <w:r w:rsidRPr="00E91B9B">
              <w:rPr>
                <w:rFonts w:cs="Times New Roman"/>
              </w:rPr>
              <w:t>Szczegółowy wykaz rodzajów materiałów budowlanych, urządzeń i usług związanych z realizacją przedsięwzięć termomodernizacyjnych objętych wsparciem określa rozporządzenie Ministra Inwestycji i Rozwoju z dnia 21 grudnia 2018 r.</w:t>
            </w:r>
            <w:r>
              <w:rPr>
                <w:rFonts w:cs="Times New Roman"/>
              </w:rPr>
              <w:t xml:space="preserve"> </w:t>
            </w:r>
            <w:r w:rsidRPr="00075176">
              <w:rPr>
                <w:rFonts w:cs="Times New Roman"/>
                <w:i/>
                <w:iCs/>
              </w:rPr>
              <w:t>w sprawie określenia wykazu rodzajów materiałów budowlanych, urządzeń i usług związanych z realizacją przedsięwzięć termomodernizacyjnych</w:t>
            </w:r>
            <w:r>
              <w:rPr>
                <w:rFonts w:cs="Times New Roman"/>
              </w:rPr>
              <w:t>.</w:t>
            </w:r>
            <w:r w:rsidRPr="00E91B9B">
              <w:rPr>
                <w:rFonts w:cs="Times New Roman"/>
              </w:rPr>
              <w:t xml:space="preserve"> Ulga termomodernizacyjna przysługuje w szczególności na następujące materiały budowlane, urządzenia i usługi:</w:t>
            </w:r>
          </w:p>
          <w:p w14:paraId="49592BC1" w14:textId="77777777" w:rsidR="00F34BD4" w:rsidRPr="00E91B9B" w:rsidRDefault="00F34BD4" w:rsidP="00FF3BC7">
            <w:pPr>
              <w:pStyle w:val="Akapitzlist"/>
              <w:numPr>
                <w:ilvl w:val="0"/>
                <w:numId w:val="19"/>
              </w:numPr>
              <w:spacing w:line="276" w:lineRule="auto"/>
              <w:rPr>
                <w:rFonts w:cs="Times New Roman"/>
              </w:rPr>
            </w:pPr>
            <w:r w:rsidRPr="00E91B9B">
              <w:rPr>
                <w:rFonts w:cs="Times New Roman"/>
              </w:rPr>
              <w:t xml:space="preserve">stolarka okienna i drzwiowa, </w:t>
            </w:r>
          </w:p>
          <w:p w14:paraId="7CF061E0" w14:textId="77777777" w:rsidR="00F34BD4" w:rsidRPr="00E91B9B" w:rsidRDefault="00F34BD4" w:rsidP="00FF3BC7">
            <w:pPr>
              <w:pStyle w:val="Akapitzlist"/>
              <w:numPr>
                <w:ilvl w:val="0"/>
                <w:numId w:val="19"/>
              </w:numPr>
              <w:spacing w:line="276" w:lineRule="auto"/>
              <w:rPr>
                <w:rFonts w:cs="Times New Roman"/>
              </w:rPr>
            </w:pPr>
            <w:r w:rsidRPr="00E91B9B">
              <w:rPr>
                <w:rFonts w:cs="Times New Roman"/>
              </w:rPr>
              <w:t xml:space="preserve">materiały budowlane wchodzące w skład instalacji ogrzewczej, przygotowania ciepłej wody użytkowej, systemu ogrzewania elektrycznego,  </w:t>
            </w:r>
          </w:p>
          <w:p w14:paraId="2CE7DB9E" w14:textId="77777777" w:rsidR="00F34BD4" w:rsidRPr="00E91B9B" w:rsidRDefault="00F34BD4" w:rsidP="00FF3BC7">
            <w:pPr>
              <w:pStyle w:val="Akapitzlist"/>
              <w:numPr>
                <w:ilvl w:val="0"/>
                <w:numId w:val="19"/>
              </w:numPr>
              <w:spacing w:line="276" w:lineRule="auto"/>
              <w:rPr>
                <w:rFonts w:cs="Times New Roman"/>
              </w:rPr>
            </w:pPr>
            <w:r w:rsidRPr="00E91B9B">
              <w:rPr>
                <w:rFonts w:cs="Times New Roman"/>
              </w:rPr>
              <w:t xml:space="preserve">pompa ciepła, kolektor słoneczny lub ogniwo fotowoltaiczne wraz z osprzętem,  </w:t>
            </w:r>
          </w:p>
          <w:p w14:paraId="55E0FF02" w14:textId="77777777" w:rsidR="00F34BD4" w:rsidRPr="00E91B9B" w:rsidRDefault="00F34BD4" w:rsidP="00FF3BC7">
            <w:pPr>
              <w:pStyle w:val="Akapitzlist"/>
              <w:numPr>
                <w:ilvl w:val="0"/>
                <w:numId w:val="19"/>
              </w:numPr>
              <w:spacing w:line="276" w:lineRule="auto"/>
              <w:rPr>
                <w:rFonts w:cs="Times New Roman"/>
              </w:rPr>
            </w:pPr>
            <w:r w:rsidRPr="00E91B9B">
              <w:rPr>
                <w:rFonts w:cs="Times New Roman"/>
              </w:rPr>
              <w:t>montaż ww. materiałów i urządzeń,</w:t>
            </w:r>
          </w:p>
          <w:p w14:paraId="33A3DBED" w14:textId="77777777" w:rsidR="00F34BD4" w:rsidRPr="00E91B9B" w:rsidRDefault="00F34BD4" w:rsidP="00FF3BC7">
            <w:pPr>
              <w:pStyle w:val="Akapitzlist"/>
              <w:numPr>
                <w:ilvl w:val="0"/>
                <w:numId w:val="19"/>
              </w:numPr>
              <w:spacing w:line="276" w:lineRule="auto"/>
              <w:rPr>
                <w:rFonts w:cs="Times New Roman"/>
              </w:rPr>
            </w:pPr>
            <w:r w:rsidRPr="00E91B9B">
              <w:rPr>
                <w:rFonts w:cs="Times New Roman"/>
              </w:rPr>
              <w:t>uruchomienie i regulacja źródła ciepła oraz analiza spalin, regulacja i równoważenie hydrauliczne instalacji, demontaż źródła ciepła na paliwo stałe</w:t>
            </w:r>
            <w:r>
              <w:rPr>
                <w:rFonts w:cs="Times New Roman"/>
              </w:rPr>
              <w:t>.</w:t>
            </w:r>
          </w:p>
        </w:tc>
      </w:tr>
      <w:tr w:rsidR="00F34BD4" w:rsidRPr="004A2365" w14:paraId="19B3527C" w14:textId="77777777" w:rsidTr="00B823C1">
        <w:tc>
          <w:tcPr>
            <w:tcW w:w="1644" w:type="dxa"/>
            <w:vAlign w:val="center"/>
          </w:tcPr>
          <w:p w14:paraId="0ED033F0"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Typ beneficjentów</w:t>
            </w:r>
          </w:p>
        </w:tc>
        <w:tc>
          <w:tcPr>
            <w:tcW w:w="7085" w:type="dxa"/>
            <w:vAlign w:val="center"/>
          </w:tcPr>
          <w:p w14:paraId="6465351C" w14:textId="77777777" w:rsidR="00F34BD4" w:rsidRPr="004A2365" w:rsidRDefault="00F34BD4" w:rsidP="00FF3BC7">
            <w:pPr>
              <w:spacing w:line="276" w:lineRule="auto"/>
              <w:rPr>
                <w:rFonts w:cs="Times New Roman"/>
              </w:rPr>
            </w:pPr>
            <w:r w:rsidRPr="00162696">
              <w:rPr>
                <w:rFonts w:cs="Times New Roman"/>
              </w:rPr>
              <w:t xml:space="preserve">Beneficjentami ulgi termomodernizacyjnej są podatnicy podatku PIT, będący właścicielami lub współwłaścicielami jednorodzinnych budynków mieszkalnych, ponoszący wydatki na realizację przedsięwzięć termomodernizacyjnych </w:t>
            </w:r>
          </w:p>
        </w:tc>
      </w:tr>
      <w:tr w:rsidR="00F34BD4" w:rsidRPr="004A2365" w14:paraId="7913F375" w14:textId="77777777" w:rsidTr="00B823C1">
        <w:tc>
          <w:tcPr>
            <w:tcW w:w="1644" w:type="dxa"/>
            <w:tcBorders>
              <w:bottom w:val="single" w:sz="12" w:space="0" w:color="auto"/>
            </w:tcBorders>
            <w:vAlign w:val="center"/>
          </w:tcPr>
          <w:p w14:paraId="0F701453"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Instytucja wdrażająca</w:t>
            </w:r>
          </w:p>
        </w:tc>
        <w:tc>
          <w:tcPr>
            <w:tcW w:w="7085" w:type="dxa"/>
            <w:tcBorders>
              <w:bottom w:val="single" w:sz="12" w:space="0" w:color="auto"/>
            </w:tcBorders>
            <w:vAlign w:val="center"/>
          </w:tcPr>
          <w:p w14:paraId="59C86D3F" w14:textId="77777777" w:rsidR="00F34BD4" w:rsidRPr="004A2365" w:rsidRDefault="00F34BD4" w:rsidP="00FF3BC7">
            <w:pPr>
              <w:spacing w:line="276" w:lineRule="auto"/>
              <w:rPr>
                <w:rFonts w:cs="Times New Roman"/>
              </w:rPr>
            </w:pPr>
            <w:r w:rsidRPr="00144CD2">
              <w:rPr>
                <w:rFonts w:cs="Times New Roman"/>
              </w:rPr>
              <w:t>Minister Finansów</w:t>
            </w:r>
            <w:r>
              <w:rPr>
                <w:rFonts w:cs="Times New Roman"/>
              </w:rPr>
              <w:t xml:space="preserve"> (MF)</w:t>
            </w:r>
          </w:p>
        </w:tc>
      </w:tr>
      <w:tr w:rsidR="00F34BD4" w:rsidRPr="004A2365" w14:paraId="5C61C8D0" w14:textId="77777777" w:rsidTr="00B823C1">
        <w:tc>
          <w:tcPr>
            <w:tcW w:w="1644" w:type="dxa"/>
            <w:tcBorders>
              <w:top w:val="single" w:sz="12" w:space="0" w:color="auto"/>
              <w:bottom w:val="nil"/>
            </w:tcBorders>
            <w:vAlign w:val="center"/>
          </w:tcPr>
          <w:p w14:paraId="0D6FCD16"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Instytucja nadzorująca</w:t>
            </w:r>
          </w:p>
        </w:tc>
        <w:tc>
          <w:tcPr>
            <w:tcW w:w="7085" w:type="dxa"/>
            <w:tcBorders>
              <w:top w:val="single" w:sz="12" w:space="0" w:color="auto"/>
              <w:bottom w:val="nil"/>
            </w:tcBorders>
            <w:vAlign w:val="center"/>
          </w:tcPr>
          <w:p w14:paraId="151B88F5" w14:textId="77777777" w:rsidR="00F34BD4" w:rsidRPr="004A2365" w:rsidRDefault="00F34BD4" w:rsidP="00FF3BC7">
            <w:pPr>
              <w:spacing w:line="276" w:lineRule="auto"/>
              <w:rPr>
                <w:rFonts w:cs="Times New Roman"/>
              </w:rPr>
            </w:pPr>
            <w:r>
              <w:rPr>
                <w:rFonts w:cs="Times New Roman"/>
              </w:rPr>
              <w:t>MF</w:t>
            </w:r>
          </w:p>
        </w:tc>
      </w:tr>
    </w:tbl>
    <w:p w14:paraId="2E61BB0A" w14:textId="77777777" w:rsidR="00F34BD4" w:rsidRPr="004A2365" w:rsidRDefault="00F34BD4" w:rsidP="00FF3BC7">
      <w:pPr>
        <w:pStyle w:val="Akapitzlist"/>
        <w:numPr>
          <w:ilvl w:val="0"/>
          <w:numId w:val="13"/>
        </w:numPr>
        <w:spacing w:before="120" w:line="360" w:lineRule="auto"/>
        <w:ind w:left="1134" w:hanging="357"/>
        <w:jc w:val="left"/>
        <w:rPr>
          <w:b/>
          <w:bCs/>
          <w:color w:val="2F5496" w:themeColor="accent1" w:themeShade="BF"/>
        </w:rPr>
      </w:pPr>
      <w:r>
        <w:rPr>
          <w:b/>
          <w:bCs/>
          <w:color w:val="2F5496" w:themeColor="accent1" w:themeShade="BF"/>
        </w:rPr>
        <w:t>Opis środka alternatywnego</w:t>
      </w:r>
    </w:p>
    <w:p w14:paraId="7651428D" w14:textId="77777777" w:rsidR="00F34BD4" w:rsidRPr="001244D0" w:rsidRDefault="00F34BD4" w:rsidP="00373FD3">
      <w:r w:rsidRPr="001244D0">
        <w:t xml:space="preserve">Przedmiotowy środek z dziedziny polityki polega na wprowadzeniu ulgi podatkowej, zwanej „ulgą termomodernizacyjną”, której celem jest stworzenie w podatku dochodowym od osób fizycznych zachęty do termomodernizacji jednorodzinnych budynków mieszkalnych.  </w:t>
      </w:r>
    </w:p>
    <w:p w14:paraId="267305D9" w14:textId="77777777" w:rsidR="00F34BD4" w:rsidRPr="001244D0" w:rsidRDefault="00F34BD4" w:rsidP="00373FD3">
      <w:r w:rsidRPr="001244D0">
        <w:t xml:space="preserve">Dotychczasowe wsparcie państwa w zakresie termomodernizacji budynków mieszkalnych udzielane w ramach środków z budżetu państwa polegające, jest niewystarczające dla osiągniecia wymaganych efektów w zakresie poprawy efektywności energetycznej. Stąd też obecnie w Polsce następuje intensyfikacja działań państwa nakierowanych na jakości powietrza oraz efektywności energetycznej budynków mieszkalnych jednorodzinnych poprzez ich termomodernizację, czyli zmniejszenie zapotrzebowania na energię cieplną i wynikające z tego zmniejszenie wielkości emisji zanieczyszczenia z procesu spalania paliw do celów grzewczych. </w:t>
      </w:r>
    </w:p>
    <w:p w14:paraId="25B41B98" w14:textId="77777777" w:rsidR="00F34BD4" w:rsidRPr="001244D0" w:rsidRDefault="00F34BD4" w:rsidP="00373FD3">
      <w:r>
        <w:t xml:space="preserve">Została zatem </w:t>
      </w:r>
      <w:r w:rsidRPr="001244D0">
        <w:t>stworzon</w:t>
      </w:r>
      <w:r>
        <w:t>a</w:t>
      </w:r>
      <w:r w:rsidRPr="001244D0">
        <w:t xml:space="preserve"> zachęt</w:t>
      </w:r>
      <w:r>
        <w:t>a</w:t>
      </w:r>
      <w:r w:rsidRPr="001244D0">
        <w:t xml:space="preserve"> podatkową dla właścicieli budynków mieszkalnych jednorodzinnych, którzy będą w stanie sfinansować przedsięwzięcie termomodernizacyjne bez udziału środków publicznych. Do tych osób, będących podatnikami podatku dochodowego od osób fizycznych, skierowano instrument fiskalny, w postaci odliczenia od dochodów (lub przychodów) wydatków związanych z realizacją przedsięwzięć termomodernizacyjnych w jednorodzinnych budynkach mieszkalnych. Wsparcie państwa  w tym przypadku polega na rezygnacji z części podatku od tych osób w związku ze zrealizowaniem przedsięwzięcia termomodernizacyjnego. </w:t>
      </w:r>
    </w:p>
    <w:p w14:paraId="09934DD2" w14:textId="77777777" w:rsidR="00F34BD4" w:rsidRDefault="00F34BD4" w:rsidP="00373FD3">
      <w:r w:rsidRPr="001244D0">
        <w:t xml:space="preserve">Ulga termomodernizacyjna polega na odliczeniu od dochodu (lub przychodu) wydatków poniesionych na realizację przedsięwzięcia termomodernizacyjnego, przy czym odliczenie to jest limitowane. Odliczeniu podlega 23% wydatków, przy czym ogólna kwota odliczeń nie może przekroczyć 53 tysięcy złotych, bez względu na liczbę realizowanych przedsięwzięć termomodernizacyjnych w poszczególnych latach. W celu zmobilizowania beneficjentów pomocy państwa do nierozciągania w czasie przedsięwzięcia termomodernizacyjnego wprowadzono ograniczenie realizacji tego przedsięwzięcia do 3 kolejnych lat. </w:t>
      </w:r>
    </w:p>
    <w:p w14:paraId="3ED0939E" w14:textId="77777777" w:rsidR="00F34BD4" w:rsidRPr="00D94B5E" w:rsidRDefault="00F34BD4" w:rsidP="00FF3BC7">
      <w:pPr>
        <w:pStyle w:val="Akapitzlist"/>
        <w:numPr>
          <w:ilvl w:val="0"/>
          <w:numId w:val="13"/>
        </w:numPr>
        <w:spacing w:line="360" w:lineRule="auto"/>
        <w:ind w:left="1134"/>
        <w:jc w:val="left"/>
        <w:rPr>
          <w:b/>
          <w:bCs/>
          <w:color w:val="2F5496" w:themeColor="accent1" w:themeShade="BF"/>
        </w:rPr>
      </w:pPr>
      <w:r w:rsidRPr="00A40D2C">
        <w:rPr>
          <w:b/>
          <w:bCs/>
          <w:color w:val="2F5496" w:themeColor="accent1" w:themeShade="BF"/>
        </w:rPr>
        <w:lastRenderedPageBreak/>
        <w:t xml:space="preserve">Zastosowane metody obliczeniowe, o których mowa w pkt 1 Załącznika V do dyrektywy </w:t>
      </w:r>
      <w:r>
        <w:rPr>
          <w:b/>
          <w:bCs/>
          <w:color w:val="2F5496" w:themeColor="accent1" w:themeShade="BF"/>
        </w:rPr>
        <w:t>2023/1791/UE</w:t>
      </w:r>
    </w:p>
    <w:p w14:paraId="62BBF73A" w14:textId="77777777" w:rsidR="00F34BD4" w:rsidRPr="00D62DB9" w:rsidRDefault="00F34BD4" w:rsidP="00373FD3">
      <w:r w:rsidRPr="00D62DB9">
        <w:t>Mając na uwadze szeroki zakres przedstawionego środka</w:t>
      </w:r>
      <w:r>
        <w:t xml:space="preserve"> oraz faktem, że jego charakteryzuje się on prostym dla beneficjenta odliczeniem od podatku kosztów poniesionych w związku z przeprowadzonym przedsięwzięciem mającym na celu poprawę efektywności energetycznej </w:t>
      </w:r>
      <w:r w:rsidRPr="00D62DB9">
        <w:t xml:space="preserve">oszczędności zostaną obliczone na podstawie szacunków ekspertów, metodą </w:t>
      </w:r>
      <w:r>
        <w:t>skalowaną</w:t>
      </w:r>
      <w:r w:rsidRPr="00D62DB9">
        <w:t xml:space="preserve"> (tj. </w:t>
      </w:r>
      <w:proofErr w:type="spellStart"/>
      <w:r w:rsidRPr="00373FD3">
        <w:t>scaled</w:t>
      </w:r>
      <w:proofErr w:type="spellEnd"/>
      <w:r w:rsidRPr="00373FD3">
        <w:t xml:space="preserve"> </w:t>
      </w:r>
      <w:proofErr w:type="spellStart"/>
      <w:r w:rsidRPr="00373FD3">
        <w:t>savings</w:t>
      </w:r>
      <w:proofErr w:type="spellEnd"/>
      <w:r w:rsidRPr="00D62DB9">
        <w:t xml:space="preserve">). </w:t>
      </w:r>
    </w:p>
    <w:p w14:paraId="60085C50" w14:textId="77777777" w:rsidR="00F34BD4" w:rsidRPr="00DB3E40" w:rsidRDefault="00F34BD4" w:rsidP="00FF3BC7">
      <w:pPr>
        <w:pStyle w:val="Akapitzlist"/>
        <w:numPr>
          <w:ilvl w:val="0"/>
          <w:numId w:val="13"/>
        </w:numPr>
        <w:spacing w:before="120" w:line="360" w:lineRule="auto"/>
        <w:ind w:left="1134" w:hanging="357"/>
        <w:jc w:val="left"/>
        <w:rPr>
          <w:b/>
          <w:bCs/>
          <w:color w:val="2F5496" w:themeColor="accent1" w:themeShade="BF"/>
        </w:rPr>
      </w:pPr>
      <w:r w:rsidRPr="00DB3E40">
        <w:rPr>
          <w:b/>
          <w:bCs/>
          <w:color w:val="2F5496" w:themeColor="accent1" w:themeShade="BF"/>
        </w:rPr>
        <w:t>Metoda wyrażania wielkości oszczędności energii (oszczędność energii pierwotnej lub finalnej)</w:t>
      </w:r>
    </w:p>
    <w:p w14:paraId="3BCA46A6" w14:textId="77777777" w:rsidR="00F34BD4" w:rsidRDefault="00F34BD4" w:rsidP="00373FD3">
      <w:r w:rsidRPr="00D62DB9">
        <w:t xml:space="preserve">Oszczędność energii wynikająca z przedstawionego środka poprawy efektywności energetycznej wyrażana jest w energii finalnej </w:t>
      </w:r>
      <w:proofErr w:type="spellStart"/>
      <w:r w:rsidRPr="00D62DB9">
        <w:t>toe</w:t>
      </w:r>
      <w:proofErr w:type="spellEnd"/>
      <w:r w:rsidRPr="00D62DB9">
        <w:t xml:space="preserve"> na rok. </w:t>
      </w:r>
    </w:p>
    <w:p w14:paraId="5A05231F" w14:textId="77777777" w:rsidR="00F34BD4" w:rsidRPr="00DB3E40" w:rsidRDefault="00F34BD4" w:rsidP="00FF3BC7">
      <w:pPr>
        <w:pStyle w:val="Akapitzlist"/>
        <w:numPr>
          <w:ilvl w:val="0"/>
          <w:numId w:val="13"/>
        </w:numPr>
        <w:spacing w:before="120" w:line="360" w:lineRule="auto"/>
        <w:ind w:left="1134" w:hanging="357"/>
        <w:jc w:val="left"/>
        <w:rPr>
          <w:b/>
          <w:bCs/>
          <w:color w:val="2F5496" w:themeColor="accent1" w:themeShade="BF"/>
        </w:rPr>
      </w:pPr>
      <w:r w:rsidRPr="00DB3E40">
        <w:rPr>
          <w:b/>
          <w:bCs/>
          <w:color w:val="2F5496" w:themeColor="accent1" w:themeShade="BF"/>
        </w:rPr>
        <w:t>Okres obowiązywania środków i tempo zmniejszania się oszczędności w tym okresie</w:t>
      </w:r>
    </w:p>
    <w:p w14:paraId="12214DC8" w14:textId="7789E100" w:rsidR="00F34BD4" w:rsidRPr="00DB3E40" w:rsidRDefault="00F34BD4" w:rsidP="00373FD3">
      <w:r w:rsidRPr="00DB3E40">
        <w:t xml:space="preserve">Zgodnie z Dodatkiem VIII </w:t>
      </w:r>
      <w:r w:rsidRPr="00373FD3">
        <w:t xml:space="preserve">Okres obowiązywania środków i tempo zmniejszania się oszczędności w tym okresie </w:t>
      </w:r>
      <w:r w:rsidRPr="00DB3E40">
        <w:t>do Zaleceń Komisji</w:t>
      </w:r>
      <w:r w:rsidRPr="00373FD3">
        <w:fldChar w:fldCharType="begin"/>
      </w:r>
      <w:r w:rsidRPr="00373FD3">
        <w:instrText xml:space="preserve"> NOTEREF _Ref133923497 \h  \* MERGEFORMAT </w:instrText>
      </w:r>
      <w:r w:rsidRPr="00373FD3">
        <w:fldChar w:fldCharType="separate"/>
      </w:r>
      <w:r w:rsidR="00FD1148">
        <w:t>3</w:t>
      </w:r>
      <w:r w:rsidRPr="00373FD3">
        <w:fldChar w:fldCharType="end"/>
      </w:r>
      <w:r w:rsidRPr="00DB3E40">
        <w:t xml:space="preserve"> określono orientacyjne czasy trwania środka. W ramach realizacji programu wykonywane są następujące zadania: </w:t>
      </w:r>
    </w:p>
    <w:p w14:paraId="22B1AC41" w14:textId="77777777" w:rsidR="00F34BD4" w:rsidRDefault="00F34BD4" w:rsidP="00FF3BC7">
      <w:pPr>
        <w:numPr>
          <w:ilvl w:val="0"/>
          <w:numId w:val="35"/>
        </w:numPr>
      </w:pPr>
      <w:r>
        <w:t>przedsięwzięcie niskoemisyjne zgodnie z art. 2 ust. 1b) ustawy z dnia 21 listopada 2008 roku o wspieraniu termomodernizacji i remontów oraz o centralnej ewidencji emisyjności budynków,</w:t>
      </w:r>
    </w:p>
    <w:p w14:paraId="1529EEBE" w14:textId="77777777" w:rsidR="00F34BD4" w:rsidRPr="00DB3E40" w:rsidRDefault="00F34BD4" w:rsidP="00FF3BC7">
      <w:pPr>
        <w:numPr>
          <w:ilvl w:val="0"/>
          <w:numId w:val="35"/>
        </w:numPr>
      </w:pPr>
      <w:r w:rsidRPr="00DB3E40">
        <w:t xml:space="preserve">przedsięwzięcie termomodernizacyjne w rozumieniu </w:t>
      </w:r>
      <w:hyperlink r:id="rId15" w:history="1">
        <w:r w:rsidRPr="00DB3E40">
          <w:t>art. 2 pkt 2</w:t>
        </w:r>
      </w:hyperlink>
      <w:r w:rsidRPr="00DB3E40">
        <w:t xml:space="preserve"> ustawy z dnia 21 listopada 2008 r. </w:t>
      </w:r>
      <w:r w:rsidRPr="00373FD3">
        <w:t>o wspieraniu termomodernizacji i remontów oraz o centralnej ewidencji emisyjności budynków</w:t>
      </w:r>
      <w:r w:rsidRPr="00DB3E40">
        <w:t xml:space="preserve">, </w:t>
      </w:r>
    </w:p>
    <w:p w14:paraId="04B89A30" w14:textId="77777777" w:rsidR="00F34BD4" w:rsidRPr="00DB3E40" w:rsidRDefault="00F34BD4" w:rsidP="00FF3BC7">
      <w:pPr>
        <w:numPr>
          <w:ilvl w:val="0"/>
          <w:numId w:val="35"/>
        </w:numPr>
      </w:pPr>
      <w:r w:rsidRPr="00DB3E40">
        <w:t xml:space="preserve">przedsięwzięcie remontowe w rozumieniu </w:t>
      </w:r>
      <w:hyperlink r:id="rId16" w:history="1">
        <w:r w:rsidRPr="00DB3E40">
          <w:t>art. 2 pkt 3</w:t>
        </w:r>
      </w:hyperlink>
      <w:r w:rsidRPr="00DB3E40">
        <w:t xml:space="preserve"> ustawy z dnia 21 listopada 2008 r. </w:t>
      </w:r>
      <w:r w:rsidRPr="00373FD3">
        <w:t>o wspieraniu termomodernizacji i remontów oraz o centralnej ewidencji emisyjności budynków</w:t>
      </w:r>
      <w:r w:rsidRPr="00DB3E40">
        <w:t xml:space="preserve">, </w:t>
      </w:r>
    </w:p>
    <w:p w14:paraId="38FFC887" w14:textId="77777777" w:rsidR="00F34BD4" w:rsidRPr="00DB3E40" w:rsidRDefault="00F34BD4" w:rsidP="00FF3BC7">
      <w:pPr>
        <w:numPr>
          <w:ilvl w:val="0"/>
          <w:numId w:val="35"/>
        </w:numPr>
      </w:pPr>
      <w:r w:rsidRPr="00DB3E40">
        <w:t xml:space="preserve">przedsięwzięcie termomodernizacyjne finansowane ze środków, o których mowa w </w:t>
      </w:r>
      <w:hyperlink r:id="rId17" w:history="1">
        <w:r w:rsidRPr="00DB3E40">
          <w:t>art. 18 ust. 3 pkt 2-6</w:t>
        </w:r>
      </w:hyperlink>
      <w:r w:rsidRPr="00DB3E40">
        <w:t xml:space="preserve"> ustawy z dnia 20 maja 2016 r. </w:t>
      </w:r>
      <w:r w:rsidRPr="00373FD3">
        <w:t>o efektywności energetycznej</w:t>
      </w:r>
      <w:r w:rsidRPr="00DB3E40">
        <w:t xml:space="preserve"> (Dz.U. z 2021 r. </w:t>
      </w:r>
      <w:hyperlink r:id="rId18" w:history="1">
        <w:r w:rsidRPr="00DB3E40">
          <w:t>poz. 2166</w:t>
        </w:r>
      </w:hyperlink>
      <w:r w:rsidRPr="00DB3E40">
        <w:t>).</w:t>
      </w:r>
    </w:p>
    <w:p w14:paraId="47BCB983" w14:textId="77777777" w:rsidR="00F34BD4" w:rsidRPr="00DB3E40" w:rsidRDefault="00F34BD4" w:rsidP="00373FD3">
      <w:r w:rsidRPr="00DB3E40">
        <w:t xml:space="preserve">Biorąc pod uwagę rodzaj przedsięwzięć realizowanych w ramach programu czas obowiązywania środków będzie nie dłuższy </w:t>
      </w:r>
      <w:r w:rsidRPr="00373FD3">
        <w:t>niż 25 lat</w:t>
      </w:r>
      <w:r w:rsidRPr="00DB3E40">
        <w:t xml:space="preserve">. </w:t>
      </w:r>
    </w:p>
    <w:p w14:paraId="2E25A198" w14:textId="77777777" w:rsidR="00F34BD4" w:rsidRPr="00684624" w:rsidRDefault="00F34BD4" w:rsidP="00F34BD4">
      <w:pPr>
        <w:rPr>
          <w:highlight w:val="yellow"/>
        </w:rPr>
      </w:pPr>
    </w:p>
    <w:p w14:paraId="74B5173D" w14:textId="77777777" w:rsidR="00F34BD4" w:rsidRPr="001644C2" w:rsidRDefault="00F34BD4" w:rsidP="00FF3BC7">
      <w:pPr>
        <w:pStyle w:val="Akapitzlist"/>
        <w:numPr>
          <w:ilvl w:val="0"/>
          <w:numId w:val="13"/>
        </w:numPr>
        <w:spacing w:line="360" w:lineRule="auto"/>
        <w:ind w:left="1134"/>
        <w:jc w:val="left"/>
        <w:rPr>
          <w:b/>
          <w:bCs/>
          <w:color w:val="2F5496" w:themeColor="accent1" w:themeShade="BF"/>
        </w:rPr>
      </w:pPr>
      <w:r w:rsidRPr="001644C2">
        <w:rPr>
          <w:b/>
          <w:bCs/>
          <w:color w:val="2F5496" w:themeColor="accent1" w:themeShade="BF"/>
        </w:rPr>
        <w:t xml:space="preserve">Krótki opis metody obliczania oszczędności energii, w tym sposobów zapewniania dodatkowości i istotności oraz metod i poziomów referencyjnych stosowanych do oszczędności </w:t>
      </w:r>
      <w:r>
        <w:rPr>
          <w:b/>
          <w:bCs/>
          <w:color w:val="2F5496" w:themeColor="accent1" w:themeShade="BF"/>
        </w:rPr>
        <w:t>szacowanej</w:t>
      </w:r>
      <w:r w:rsidRPr="001644C2">
        <w:rPr>
          <w:b/>
          <w:bCs/>
          <w:color w:val="2F5496" w:themeColor="accent1" w:themeShade="BF"/>
        </w:rPr>
        <w:t xml:space="preserve"> i skalowanych</w:t>
      </w:r>
    </w:p>
    <w:p w14:paraId="624962E3" w14:textId="77777777" w:rsidR="00F34BD4" w:rsidRPr="00BA30A6" w:rsidRDefault="00F34BD4" w:rsidP="00373FD3">
      <w:r>
        <w:t>Oszczędność energii finalnej szacuje się przy pomocy metody</w:t>
      </w:r>
      <w:r w:rsidRPr="00BA30A6" w:rsidDel="003B3F8F">
        <w:t xml:space="preserve"> </w:t>
      </w:r>
      <w:r w:rsidRPr="00BA30A6">
        <w:t>top-down</w:t>
      </w:r>
      <w:r w:rsidRPr="00373FD3">
        <w:footnoteReference w:id="7"/>
      </w:r>
      <w:r w:rsidRPr="00BA30A6">
        <w:t xml:space="preserve"> na podstawie wysokości odliczeń kosztów poniesionych w ramach inwestycji termomodernizacyjnej. Jako podstawę do obliczeń przyjęto wielkość oszczędności energii uzyskanej przy poniesieniu określonego nakładu inwestycyjnego.  Punkt odniesienia  stanowią  dane uzyskane z realizacji Funduszu Termomodernizacji i Remontów (</w:t>
      </w:r>
      <w:proofErr w:type="spellStart"/>
      <w:r w:rsidRPr="00BA30A6">
        <w:t>FT</w:t>
      </w:r>
      <w:r>
        <w:t>iR</w:t>
      </w:r>
      <w:proofErr w:type="spellEnd"/>
      <w:r w:rsidRPr="00BA30A6">
        <w:t xml:space="preserve">) zarządzanego przez Bank Gospodarstwa Krajowego (BGK) na podstawie ustawy z dnia 21 listopada 2008 r.  </w:t>
      </w:r>
      <w:r w:rsidRPr="00373FD3">
        <w:t>o wspieraniu termomodernizacji i remontów oraz o centralnej ewidencji emisyjności budynków</w:t>
      </w:r>
      <w:r w:rsidRPr="00BA30A6" w:rsidDel="00F05A68">
        <w:t xml:space="preserve"> </w:t>
      </w:r>
      <w:r>
        <w:t xml:space="preserve">oraz dane o otrzymanym dofinansowaniu w ramach wdrażanego przez Narodowy Fundusz Ochrony Środowiska i Gospodarki Wodnej programu priorytetowego Czyste Powietrze. </w:t>
      </w:r>
      <w:r w:rsidRPr="00BA30A6">
        <w:t>Wartość oszczędności energii  określono na podstawie  wzoru:</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6804"/>
        <w:gridCol w:w="1129"/>
      </w:tblGrid>
      <w:tr w:rsidR="00F34BD4" w14:paraId="6F4054AE" w14:textId="77777777" w:rsidTr="00B823C1">
        <w:tc>
          <w:tcPr>
            <w:tcW w:w="1129" w:type="dxa"/>
          </w:tcPr>
          <w:p w14:paraId="346395AD" w14:textId="77777777" w:rsidR="00F34BD4" w:rsidRDefault="00F34BD4" w:rsidP="00B823C1">
            <w:pPr>
              <w:spacing w:line="360" w:lineRule="auto"/>
              <w:rPr>
                <w:highlight w:val="yellow"/>
              </w:rPr>
            </w:pPr>
          </w:p>
        </w:tc>
        <w:tc>
          <w:tcPr>
            <w:tcW w:w="6804" w:type="dxa"/>
          </w:tcPr>
          <w:p w14:paraId="6B71E74F" w14:textId="77777777" w:rsidR="00F34BD4" w:rsidRPr="002C2F73" w:rsidRDefault="00FD1148" w:rsidP="00B823C1">
            <w:pPr>
              <w:spacing w:line="360" w:lineRule="auto"/>
              <w:rPr>
                <w:b/>
                <w:bCs/>
                <w:sz w:val="32"/>
                <w:szCs w:val="32"/>
                <w:highlight w:val="yellow"/>
              </w:rPr>
            </w:pPr>
            <m:oMathPara>
              <m:oMath>
                <m:sSub>
                  <m:sSubPr>
                    <m:ctrlPr>
                      <w:rPr>
                        <w:rFonts w:ascii="Cambria Math" w:hAnsi="Cambria Math"/>
                        <w:b/>
                        <w:bCs/>
                        <w:i/>
                        <w:sz w:val="32"/>
                        <w:szCs w:val="32"/>
                      </w:rPr>
                    </m:ctrlPr>
                  </m:sSubPr>
                  <m:e>
                    <m:r>
                      <m:rPr>
                        <m:sty m:val="bi"/>
                      </m:rPr>
                      <w:rPr>
                        <w:rFonts w:ascii="Cambria Math" w:hAnsi="Cambria Math"/>
                        <w:sz w:val="32"/>
                        <w:szCs w:val="32"/>
                      </w:rPr>
                      <m:t>O</m:t>
                    </m:r>
                  </m:e>
                  <m:sub>
                    <m:r>
                      <m:rPr>
                        <m:sty m:val="bi"/>
                      </m:rPr>
                      <w:rPr>
                        <w:rFonts w:ascii="Cambria Math" w:hAnsi="Cambria Math"/>
                        <w:sz w:val="32"/>
                        <w:szCs w:val="32"/>
                      </w:rPr>
                      <m:t>tax-refief</m:t>
                    </m:r>
                  </m:sub>
                </m:sSub>
                <m:r>
                  <m:rPr>
                    <m:sty m:val="bi"/>
                  </m:rPr>
                  <w:rPr>
                    <w:rFonts w:ascii="Cambria Math" w:hAnsi="Cambria Math"/>
                    <w:sz w:val="32"/>
                    <w:szCs w:val="32"/>
                  </w:rPr>
                  <m:t>=volume∙</m:t>
                </m:r>
                <m:sSub>
                  <m:sSubPr>
                    <m:ctrlPr>
                      <w:rPr>
                        <w:rFonts w:ascii="Cambria Math" w:hAnsi="Cambria Math"/>
                        <w:b/>
                        <w:i/>
                        <w:sz w:val="32"/>
                        <w:szCs w:val="32"/>
                      </w:rPr>
                    </m:ctrlPr>
                  </m:sSubPr>
                  <m:e>
                    <m:r>
                      <m:rPr>
                        <m:sty m:val="bi"/>
                      </m:rPr>
                      <w:rPr>
                        <w:rFonts w:ascii="Cambria Math" w:hAnsi="Cambria Math"/>
                        <w:sz w:val="32"/>
                        <w:szCs w:val="32"/>
                      </w:rPr>
                      <m:t>w</m:t>
                    </m:r>
                  </m:e>
                  <m:sub>
                    <m:r>
                      <m:rPr>
                        <m:sty m:val="bi"/>
                      </m:rPr>
                      <w:rPr>
                        <w:rFonts w:ascii="Cambria Math" w:hAnsi="Cambria Math"/>
                        <w:sz w:val="32"/>
                        <w:szCs w:val="32"/>
                      </w:rPr>
                      <m:t>FTiR</m:t>
                    </m:r>
                  </m:sub>
                </m:sSub>
                <m:r>
                  <m:rPr>
                    <m:sty m:val="bi"/>
                  </m:rPr>
                  <w:rPr>
                    <w:rFonts w:ascii="Cambria Math" w:hAnsi="Cambria Math"/>
                    <w:sz w:val="32"/>
                    <w:szCs w:val="32"/>
                  </w:rPr>
                  <m:t>∙</m:t>
                </m:r>
                <m:sSub>
                  <m:sSubPr>
                    <m:ctrlPr>
                      <w:rPr>
                        <w:rFonts w:ascii="Cambria Math" w:hAnsi="Cambria Math"/>
                        <w:b/>
                        <w:i/>
                        <w:sz w:val="32"/>
                        <w:szCs w:val="32"/>
                      </w:rPr>
                    </m:ctrlPr>
                  </m:sSubPr>
                  <m:e>
                    <m:r>
                      <m:rPr>
                        <m:sty m:val="bi"/>
                      </m:rPr>
                      <w:rPr>
                        <w:rFonts w:ascii="Cambria Math" w:hAnsi="Cambria Math"/>
                        <w:sz w:val="32"/>
                        <w:szCs w:val="32"/>
                      </w:rPr>
                      <m:t>w</m:t>
                    </m:r>
                  </m:e>
                  <m:sub>
                    <m:r>
                      <m:rPr>
                        <m:sty m:val="bi"/>
                      </m:rPr>
                      <w:rPr>
                        <w:rFonts w:ascii="Cambria Math" w:hAnsi="Cambria Math"/>
                        <w:sz w:val="32"/>
                        <w:szCs w:val="32"/>
                      </w:rPr>
                      <m:t>ekspert</m:t>
                    </m:r>
                  </m:sub>
                </m:sSub>
                <m:r>
                  <m:rPr>
                    <m:sty m:val="bi"/>
                  </m:rPr>
                  <w:rPr>
                    <w:rFonts w:ascii="Cambria Math" w:hAnsi="Cambria Math"/>
                    <w:sz w:val="32"/>
                    <w:szCs w:val="32"/>
                  </w:rPr>
                  <m:t>∙p</m:t>
                </m:r>
              </m:oMath>
            </m:oMathPara>
          </w:p>
        </w:tc>
        <w:tc>
          <w:tcPr>
            <w:tcW w:w="1129" w:type="dxa"/>
          </w:tcPr>
          <w:p w14:paraId="0BC3BD42" w14:textId="77777777" w:rsidR="00F34BD4" w:rsidRDefault="00F34BD4" w:rsidP="00B823C1">
            <w:pPr>
              <w:spacing w:line="360" w:lineRule="auto"/>
              <w:jc w:val="right"/>
              <w:rPr>
                <w:highlight w:val="yellow"/>
              </w:rPr>
            </w:pPr>
            <w:r w:rsidRPr="00D114AE">
              <w:t>(2)</w:t>
            </w:r>
          </w:p>
        </w:tc>
      </w:tr>
    </w:tbl>
    <w:p w14:paraId="11FD90E6" w14:textId="77777777" w:rsidR="00F34BD4" w:rsidRPr="00BA30A6" w:rsidRDefault="00F34BD4" w:rsidP="00F34BD4">
      <w:pPr>
        <w:spacing w:after="0" w:line="360" w:lineRule="auto"/>
      </w:pPr>
      <w:r>
        <w:t>g</w:t>
      </w:r>
      <w:r w:rsidRPr="00BA30A6">
        <w:t>dzie</w:t>
      </w:r>
    </w:p>
    <w:tbl>
      <w:tblPr>
        <w:tblStyle w:val="Tabela-Siatka"/>
        <w:tblW w:w="9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3"/>
        <w:gridCol w:w="288"/>
        <w:gridCol w:w="7729"/>
      </w:tblGrid>
      <w:tr w:rsidR="00F34BD4" w:rsidRPr="00BB7E57" w14:paraId="29DF6123" w14:textId="77777777" w:rsidTr="00B823C1">
        <w:trPr>
          <w:trHeight w:val="413"/>
        </w:trPr>
        <w:tc>
          <w:tcPr>
            <w:tcW w:w="1203" w:type="dxa"/>
          </w:tcPr>
          <w:p w14:paraId="47AC7A6E" w14:textId="77777777" w:rsidR="00F34BD4" w:rsidRPr="007031D7" w:rsidRDefault="00FD1148" w:rsidP="00B823C1">
            <w:pPr>
              <w:spacing w:line="276" w:lineRule="auto"/>
              <w:rPr>
                <w:rFonts w:eastAsia="Times New Roman" w:cstheme="minorHAnsi"/>
                <w:lang w:eastAsia="pl-PL"/>
              </w:rPr>
            </w:pPr>
            <m:oMathPara>
              <m:oMathParaPr>
                <m:jc m:val="left"/>
              </m:oMathParaPr>
              <m:oMath>
                <m:sSub>
                  <m:sSubPr>
                    <m:ctrlPr>
                      <w:rPr>
                        <w:rFonts w:ascii="Cambria Math" w:eastAsia="Times New Roman" w:hAnsi="Cambria Math" w:cstheme="minorHAnsi"/>
                        <w:i/>
                      </w:rPr>
                    </m:ctrlPr>
                  </m:sSubPr>
                  <m:e>
                    <m:r>
                      <w:rPr>
                        <w:rFonts w:ascii="Cambria Math" w:eastAsia="Times New Roman" w:hAnsi="Cambria Math" w:cstheme="minorHAnsi"/>
                        <w:lang w:eastAsia="pl-PL"/>
                      </w:rPr>
                      <m:t>O</m:t>
                    </m:r>
                  </m:e>
                  <m:sub>
                    <m:r>
                      <w:rPr>
                        <w:rFonts w:ascii="Cambria Math" w:eastAsia="Times New Roman" w:hAnsi="Cambria Math" w:cstheme="minorHAnsi"/>
                        <w:lang w:eastAsia="pl-PL"/>
                      </w:rPr>
                      <m:t>Tax relief</m:t>
                    </m:r>
                  </m:sub>
                </m:sSub>
              </m:oMath>
            </m:oMathPara>
          </w:p>
        </w:tc>
        <w:tc>
          <w:tcPr>
            <w:tcW w:w="288" w:type="dxa"/>
          </w:tcPr>
          <w:p w14:paraId="3EE1B49D" w14:textId="77777777" w:rsidR="00F34BD4" w:rsidRPr="00A04706" w:rsidRDefault="00F34BD4" w:rsidP="00B823C1">
            <w:pPr>
              <w:spacing w:line="276" w:lineRule="auto"/>
              <w:rPr>
                <w:rFonts w:eastAsia="Times New Roman" w:cstheme="minorHAnsi"/>
                <w:lang w:eastAsia="pl-PL"/>
              </w:rPr>
            </w:pPr>
            <w:r w:rsidRPr="00A04706">
              <w:rPr>
                <w:rFonts w:eastAsia="Times New Roman" w:cstheme="minorHAnsi"/>
                <w:lang w:eastAsia="pl-PL"/>
              </w:rPr>
              <w:t>-</w:t>
            </w:r>
          </w:p>
        </w:tc>
        <w:tc>
          <w:tcPr>
            <w:tcW w:w="7729" w:type="dxa"/>
          </w:tcPr>
          <w:p w14:paraId="73DABF07" w14:textId="77777777" w:rsidR="00F34BD4" w:rsidRPr="007031D7" w:rsidRDefault="00F34BD4" w:rsidP="00B823C1">
            <w:pPr>
              <w:spacing w:line="360" w:lineRule="auto"/>
              <w:rPr>
                <w:rFonts w:eastAsia="Times New Roman" w:cstheme="minorHAnsi"/>
                <w:szCs w:val="20"/>
                <w:lang w:eastAsia="pl-PL"/>
              </w:rPr>
            </w:pPr>
            <w:r w:rsidRPr="007031D7">
              <w:rPr>
                <w:rFonts w:eastAsia="Times New Roman" w:cstheme="minorHAnsi"/>
                <w:szCs w:val="20"/>
                <w:lang w:eastAsia="pl-PL"/>
              </w:rPr>
              <w:t>oszczędność energii finalnej [</w:t>
            </w:r>
            <w:proofErr w:type="spellStart"/>
            <w:r w:rsidRPr="007031D7">
              <w:rPr>
                <w:rFonts w:eastAsia="Times New Roman" w:cstheme="minorHAnsi"/>
                <w:szCs w:val="20"/>
                <w:lang w:eastAsia="pl-PL"/>
              </w:rPr>
              <w:t>ktoe</w:t>
            </w:r>
            <w:proofErr w:type="spellEnd"/>
            <w:r w:rsidRPr="007031D7">
              <w:rPr>
                <w:rFonts w:eastAsia="Times New Roman" w:cstheme="minorHAnsi"/>
                <w:szCs w:val="20"/>
                <w:lang w:eastAsia="pl-PL"/>
              </w:rPr>
              <w:t>/rok];</w:t>
            </w:r>
          </w:p>
        </w:tc>
      </w:tr>
      <w:tr w:rsidR="00F34BD4" w:rsidRPr="00BB7E57" w14:paraId="6896156B" w14:textId="77777777" w:rsidTr="00B823C1">
        <w:trPr>
          <w:trHeight w:val="376"/>
        </w:trPr>
        <w:tc>
          <w:tcPr>
            <w:tcW w:w="1203" w:type="dxa"/>
          </w:tcPr>
          <w:p w14:paraId="799E3D46" w14:textId="77777777" w:rsidR="00F34BD4" w:rsidRPr="007031D7" w:rsidRDefault="00F34BD4" w:rsidP="00B823C1">
            <w:pPr>
              <w:spacing w:line="276" w:lineRule="auto"/>
              <w:rPr>
                <w:rFonts w:eastAsia="Times New Roman" w:cstheme="minorHAnsi"/>
                <w:lang w:eastAsia="pl-PL"/>
              </w:rPr>
            </w:pPr>
            <m:oMathPara>
              <m:oMathParaPr>
                <m:jc m:val="left"/>
              </m:oMathParaPr>
              <m:oMath>
                <m:r>
                  <w:rPr>
                    <w:rFonts w:ascii="Cambria Math" w:eastAsia="Times New Roman" w:hAnsi="Cambria Math" w:cstheme="minorHAnsi"/>
                    <w:lang w:eastAsia="pl-PL"/>
                  </w:rPr>
                  <m:t>Volume</m:t>
                </m:r>
              </m:oMath>
            </m:oMathPara>
          </w:p>
        </w:tc>
        <w:tc>
          <w:tcPr>
            <w:tcW w:w="288" w:type="dxa"/>
          </w:tcPr>
          <w:p w14:paraId="46A1A429" w14:textId="77777777" w:rsidR="00F34BD4" w:rsidRPr="00A04706" w:rsidRDefault="00F34BD4" w:rsidP="00B823C1">
            <w:pPr>
              <w:spacing w:line="276" w:lineRule="auto"/>
              <w:rPr>
                <w:rFonts w:eastAsia="Times New Roman" w:cstheme="minorHAnsi"/>
                <w:lang w:eastAsia="pl-PL"/>
              </w:rPr>
            </w:pPr>
            <w:r w:rsidRPr="00A04706">
              <w:rPr>
                <w:rFonts w:eastAsia="Times New Roman" w:cstheme="minorHAnsi"/>
                <w:lang w:eastAsia="pl-PL"/>
              </w:rPr>
              <w:t>-</w:t>
            </w:r>
          </w:p>
        </w:tc>
        <w:tc>
          <w:tcPr>
            <w:tcW w:w="7729" w:type="dxa"/>
          </w:tcPr>
          <w:p w14:paraId="42238AF1" w14:textId="77777777" w:rsidR="00F34BD4" w:rsidRPr="007031D7" w:rsidRDefault="00F34BD4" w:rsidP="00B823C1">
            <w:pPr>
              <w:spacing w:line="360" w:lineRule="auto"/>
              <w:rPr>
                <w:rFonts w:eastAsia="Times New Roman" w:cstheme="minorHAnsi"/>
                <w:szCs w:val="20"/>
                <w:lang w:eastAsia="pl-PL"/>
              </w:rPr>
            </w:pPr>
            <w:r w:rsidRPr="007031D7">
              <w:rPr>
                <w:rFonts w:eastAsia="Times New Roman" w:cstheme="minorHAnsi"/>
                <w:szCs w:val="20"/>
                <w:lang w:eastAsia="pl-PL"/>
              </w:rPr>
              <w:t xml:space="preserve">wartość </w:t>
            </w:r>
            <w:r>
              <w:rPr>
                <w:rFonts w:eastAsia="Times New Roman" w:cstheme="minorHAnsi"/>
                <w:szCs w:val="20"/>
                <w:lang w:eastAsia="pl-PL"/>
              </w:rPr>
              <w:t>odliczeń w danym roku</w:t>
            </w:r>
            <w:r w:rsidRPr="007031D7">
              <w:rPr>
                <w:rFonts w:eastAsia="Times New Roman" w:cstheme="minorHAnsi"/>
                <w:szCs w:val="20"/>
                <w:lang w:eastAsia="pl-PL"/>
              </w:rPr>
              <w:t xml:space="preserve">  [PLN/rok];</w:t>
            </w:r>
          </w:p>
        </w:tc>
      </w:tr>
      <w:tr w:rsidR="00F34BD4" w:rsidRPr="00BB7E57" w14:paraId="4649AEC8" w14:textId="77777777" w:rsidTr="00B823C1">
        <w:trPr>
          <w:trHeight w:val="955"/>
        </w:trPr>
        <w:tc>
          <w:tcPr>
            <w:tcW w:w="1203" w:type="dxa"/>
          </w:tcPr>
          <w:p w14:paraId="60C089DA" w14:textId="77777777" w:rsidR="00F34BD4" w:rsidRPr="007031D7" w:rsidRDefault="00FD1148" w:rsidP="00B823C1">
            <w:pPr>
              <w:spacing w:line="276" w:lineRule="auto"/>
              <w:rPr>
                <w:rFonts w:eastAsia="Times New Roman" w:cstheme="minorHAnsi"/>
                <w:lang w:val="en-GB" w:eastAsia="pl-PL"/>
              </w:rPr>
            </w:pPr>
            <m:oMathPara>
              <m:oMathParaPr>
                <m:jc m:val="left"/>
              </m:oMathParaPr>
              <m:oMath>
                <m:sSub>
                  <m:sSubPr>
                    <m:ctrlPr>
                      <w:rPr>
                        <w:rFonts w:ascii="Cambria Math" w:eastAsia="Times New Roman" w:hAnsi="Cambria Math" w:cstheme="minorHAnsi"/>
                        <w:i/>
                        <w:lang w:eastAsia="pl-PL"/>
                      </w:rPr>
                    </m:ctrlPr>
                  </m:sSubPr>
                  <m:e>
                    <m:r>
                      <w:rPr>
                        <w:rFonts w:ascii="Cambria Math" w:eastAsia="Times New Roman" w:hAnsi="Cambria Math" w:cstheme="minorHAnsi"/>
                        <w:lang w:eastAsia="pl-PL"/>
                      </w:rPr>
                      <m:t>w</m:t>
                    </m:r>
                  </m:e>
                  <m:sub>
                    <m:r>
                      <w:rPr>
                        <w:rFonts w:ascii="Cambria Math" w:eastAsia="Times New Roman" w:hAnsi="Cambria Math" w:cstheme="minorHAnsi"/>
                        <w:lang w:eastAsia="pl-PL"/>
                      </w:rPr>
                      <m:t>FTiR</m:t>
                    </m:r>
                  </m:sub>
                </m:sSub>
              </m:oMath>
            </m:oMathPara>
          </w:p>
        </w:tc>
        <w:tc>
          <w:tcPr>
            <w:tcW w:w="288" w:type="dxa"/>
          </w:tcPr>
          <w:p w14:paraId="5575642F" w14:textId="77777777" w:rsidR="00F34BD4" w:rsidRPr="00A04706" w:rsidRDefault="00F34BD4" w:rsidP="00B823C1">
            <w:pPr>
              <w:spacing w:line="276" w:lineRule="auto"/>
              <w:rPr>
                <w:rFonts w:eastAsia="Times New Roman" w:cstheme="minorHAnsi"/>
                <w:lang w:val="en-GB" w:eastAsia="pl-PL"/>
              </w:rPr>
            </w:pPr>
            <w:r w:rsidRPr="00A04706">
              <w:rPr>
                <w:rFonts w:eastAsia="Times New Roman" w:cstheme="minorHAnsi"/>
                <w:lang w:val="en-GB" w:eastAsia="pl-PL"/>
              </w:rPr>
              <w:t>-</w:t>
            </w:r>
          </w:p>
        </w:tc>
        <w:tc>
          <w:tcPr>
            <w:tcW w:w="7729" w:type="dxa"/>
          </w:tcPr>
          <w:p w14:paraId="13913FCF" w14:textId="77777777" w:rsidR="00F34BD4" w:rsidRPr="007031D7" w:rsidRDefault="00F34BD4" w:rsidP="00B823C1">
            <w:pPr>
              <w:spacing w:line="360" w:lineRule="auto"/>
              <w:rPr>
                <w:rFonts w:eastAsia="Times New Roman" w:cstheme="minorHAnsi"/>
                <w:szCs w:val="20"/>
                <w:lang w:eastAsia="pl-PL"/>
              </w:rPr>
            </w:pPr>
            <w:r w:rsidRPr="007031D7">
              <w:rPr>
                <w:rFonts w:eastAsia="Times New Roman" w:cstheme="minorHAnsi"/>
                <w:szCs w:val="20"/>
                <w:lang w:eastAsia="pl-PL"/>
              </w:rPr>
              <w:t>wskaźnik będący ilorazem oszczędności energii finalnej do nakładów inwestycyjnych [kWh/PLN], określony na podstawie bazy danych audytów energetycznych wykonanych w ramach Funduszu Termomodernizacyjnego;</w:t>
            </w:r>
          </w:p>
        </w:tc>
      </w:tr>
      <w:tr w:rsidR="00F34BD4" w:rsidRPr="00BB7E57" w14:paraId="3E658908" w14:textId="77777777" w:rsidTr="00B823C1">
        <w:trPr>
          <w:trHeight w:val="541"/>
        </w:trPr>
        <w:tc>
          <w:tcPr>
            <w:tcW w:w="1203" w:type="dxa"/>
          </w:tcPr>
          <w:p w14:paraId="13C30C8B" w14:textId="77777777" w:rsidR="00F34BD4" w:rsidRPr="00DE162E" w:rsidRDefault="00FD1148" w:rsidP="00B823C1">
            <w:pPr>
              <w:spacing w:line="276" w:lineRule="auto"/>
              <w:rPr>
                <w:rFonts w:ascii="Calibri" w:eastAsia="Calibri" w:hAnsi="Calibri" w:cs="Arial"/>
                <w:lang w:eastAsia="pl-PL"/>
              </w:rPr>
            </w:pPr>
            <m:oMathPara>
              <m:oMathParaPr>
                <m:jc m:val="left"/>
              </m:oMathParaPr>
              <m:oMath>
                <m:sSub>
                  <m:sSubPr>
                    <m:ctrlPr>
                      <w:rPr>
                        <w:rFonts w:ascii="Cambria Math" w:eastAsia="Times New Roman" w:hAnsi="Cambria Math" w:cstheme="minorHAnsi"/>
                        <w:i/>
                        <w:lang w:eastAsia="pl-PL"/>
                      </w:rPr>
                    </m:ctrlPr>
                  </m:sSubPr>
                  <m:e>
                    <m:r>
                      <w:rPr>
                        <w:rFonts w:ascii="Cambria Math" w:eastAsia="Times New Roman" w:hAnsi="Cambria Math" w:cstheme="minorHAnsi"/>
                        <w:lang w:eastAsia="pl-PL"/>
                      </w:rPr>
                      <m:t>w</m:t>
                    </m:r>
                  </m:e>
                  <m:sub>
                    <m:r>
                      <w:rPr>
                        <w:rFonts w:ascii="Cambria Math" w:eastAsia="Times New Roman" w:hAnsi="Cambria Math" w:cstheme="minorHAnsi"/>
                        <w:lang w:eastAsia="pl-PL"/>
                      </w:rPr>
                      <m:t>CZP</m:t>
                    </m:r>
                  </m:sub>
                </m:sSub>
              </m:oMath>
            </m:oMathPara>
          </w:p>
        </w:tc>
        <w:tc>
          <w:tcPr>
            <w:tcW w:w="288" w:type="dxa"/>
          </w:tcPr>
          <w:p w14:paraId="3CC4FAD3" w14:textId="77777777" w:rsidR="00F34BD4" w:rsidRPr="00A04706" w:rsidRDefault="00F34BD4" w:rsidP="00B823C1">
            <w:pPr>
              <w:spacing w:line="276" w:lineRule="auto"/>
              <w:rPr>
                <w:rFonts w:eastAsia="Times New Roman" w:cstheme="minorHAnsi"/>
                <w:lang w:val="en-GB" w:eastAsia="pl-PL"/>
              </w:rPr>
            </w:pPr>
            <w:r>
              <w:rPr>
                <w:rFonts w:eastAsia="Times New Roman" w:cstheme="minorHAnsi"/>
                <w:lang w:val="en-GB" w:eastAsia="pl-PL"/>
              </w:rPr>
              <w:t>-</w:t>
            </w:r>
          </w:p>
        </w:tc>
        <w:tc>
          <w:tcPr>
            <w:tcW w:w="7729" w:type="dxa"/>
          </w:tcPr>
          <w:p w14:paraId="6BD751AF" w14:textId="77777777" w:rsidR="00F34BD4" w:rsidRPr="007031D7" w:rsidRDefault="00F34BD4" w:rsidP="00B823C1">
            <w:pPr>
              <w:spacing w:line="360" w:lineRule="auto"/>
              <w:rPr>
                <w:rFonts w:eastAsia="Times New Roman" w:cstheme="minorHAnsi"/>
                <w:szCs w:val="20"/>
                <w:lang w:eastAsia="pl-PL"/>
              </w:rPr>
            </w:pPr>
            <w:r>
              <w:rPr>
                <w:rFonts w:eastAsia="Times New Roman" w:cstheme="minorHAnsi"/>
                <w:szCs w:val="20"/>
                <w:lang w:eastAsia="pl-PL"/>
              </w:rPr>
              <w:t>wskaźnik będący ilorazem nakładów inwestycyjnych do kwoty dofinansowań, określony na podstawie danych uzyskanych w ramach programu priorytetowego Czyste Powietrze;</w:t>
            </w:r>
          </w:p>
        </w:tc>
      </w:tr>
      <w:tr w:rsidR="00F34BD4" w:rsidRPr="00BB7E57" w14:paraId="1AF62B14" w14:textId="77777777" w:rsidTr="00B823C1">
        <w:trPr>
          <w:trHeight w:val="376"/>
        </w:trPr>
        <w:tc>
          <w:tcPr>
            <w:tcW w:w="1203" w:type="dxa"/>
            <w:vAlign w:val="center"/>
          </w:tcPr>
          <w:p w14:paraId="5846C575" w14:textId="77777777" w:rsidR="00F34BD4" w:rsidRPr="007031D7" w:rsidRDefault="00F34BD4" w:rsidP="00B823C1">
            <w:pPr>
              <w:spacing w:line="276" w:lineRule="auto"/>
              <w:rPr>
                <w:rFonts w:eastAsia="Calibri" w:cs="Times New Roman"/>
                <w:i/>
                <w:iCs/>
                <w:lang w:eastAsia="pl-PL"/>
              </w:rPr>
            </w:pPr>
            <m:oMathPara>
              <m:oMathParaPr>
                <m:jc m:val="left"/>
              </m:oMathParaPr>
              <m:oMath>
                <m:r>
                  <w:rPr>
                    <w:rFonts w:ascii="Cambria Math" w:eastAsia="Calibri" w:hAnsi="Cambria Math" w:cs="Times New Roman"/>
                    <w:lang w:eastAsia="pl-PL"/>
                  </w:rPr>
                  <m:t>p</m:t>
                </m:r>
              </m:oMath>
            </m:oMathPara>
          </w:p>
        </w:tc>
        <w:tc>
          <w:tcPr>
            <w:tcW w:w="288" w:type="dxa"/>
          </w:tcPr>
          <w:p w14:paraId="2E11F345" w14:textId="77777777" w:rsidR="00F34BD4" w:rsidRPr="00A04706" w:rsidRDefault="00F34BD4" w:rsidP="00B823C1">
            <w:pPr>
              <w:spacing w:line="276" w:lineRule="auto"/>
              <w:rPr>
                <w:rFonts w:eastAsia="Times New Roman" w:cstheme="minorHAnsi"/>
                <w:lang w:val="en-GB" w:eastAsia="pl-PL"/>
              </w:rPr>
            </w:pPr>
            <w:r w:rsidRPr="00A04706">
              <w:rPr>
                <w:rFonts w:eastAsia="Times New Roman" w:cstheme="minorHAnsi"/>
                <w:lang w:val="en-GB" w:eastAsia="pl-PL"/>
              </w:rPr>
              <w:t>-</w:t>
            </w:r>
          </w:p>
        </w:tc>
        <w:tc>
          <w:tcPr>
            <w:tcW w:w="7729" w:type="dxa"/>
          </w:tcPr>
          <w:p w14:paraId="01AE68C6" w14:textId="77777777" w:rsidR="00F34BD4" w:rsidRPr="007031D7" w:rsidRDefault="00F34BD4" w:rsidP="00B823C1">
            <w:pPr>
              <w:spacing w:line="360" w:lineRule="auto"/>
              <w:rPr>
                <w:rFonts w:eastAsia="Times New Roman" w:cstheme="minorHAnsi"/>
                <w:szCs w:val="20"/>
                <w:lang w:eastAsia="pl-PL"/>
              </w:rPr>
            </w:pPr>
            <w:r w:rsidRPr="007031D7">
              <w:rPr>
                <w:rFonts w:eastAsia="Times New Roman" w:cstheme="minorHAnsi"/>
                <w:szCs w:val="20"/>
                <w:lang w:eastAsia="pl-PL"/>
              </w:rPr>
              <w:t>przelicznik jednostek [</w:t>
            </w:r>
            <w:proofErr w:type="spellStart"/>
            <w:r w:rsidRPr="007031D7">
              <w:rPr>
                <w:rFonts w:eastAsia="Times New Roman" w:cstheme="minorHAnsi"/>
                <w:szCs w:val="20"/>
                <w:lang w:eastAsia="pl-PL"/>
              </w:rPr>
              <w:t>ktoe</w:t>
            </w:r>
            <w:proofErr w:type="spellEnd"/>
            <w:r w:rsidRPr="007031D7">
              <w:rPr>
                <w:rFonts w:eastAsia="Times New Roman" w:cstheme="minorHAnsi"/>
                <w:szCs w:val="20"/>
                <w:lang w:eastAsia="pl-PL"/>
              </w:rPr>
              <w:t>/kWh].</w:t>
            </w:r>
          </w:p>
        </w:tc>
      </w:tr>
    </w:tbl>
    <w:p w14:paraId="70DF6C1E" w14:textId="77777777" w:rsidR="00F34BD4" w:rsidRPr="00684624" w:rsidRDefault="00F34BD4" w:rsidP="00F34BD4">
      <w:pPr>
        <w:spacing w:after="0" w:line="360" w:lineRule="auto"/>
        <w:ind w:firstLine="709"/>
        <w:rPr>
          <w:highlight w:val="yellow"/>
          <w:u w:val="single"/>
        </w:rPr>
      </w:pPr>
    </w:p>
    <w:p w14:paraId="4643A12D" w14:textId="77777777" w:rsidR="00F34BD4" w:rsidRPr="00707A7A" w:rsidRDefault="00F34BD4" w:rsidP="00F34BD4">
      <w:pPr>
        <w:spacing w:after="0" w:line="360" w:lineRule="auto"/>
        <w:ind w:firstLine="709"/>
        <w:rPr>
          <w:b/>
          <w:bCs/>
          <w:i/>
          <w:iCs/>
          <w:color w:val="5B9BD5" w:themeColor="accent5"/>
        </w:rPr>
      </w:pPr>
      <w:r w:rsidRPr="00707A7A">
        <w:rPr>
          <w:b/>
          <w:bCs/>
          <w:i/>
          <w:iCs/>
          <w:color w:val="5B9BD5" w:themeColor="accent5"/>
        </w:rPr>
        <w:t>Zasada istotności</w:t>
      </w:r>
    </w:p>
    <w:p w14:paraId="2B8B12F1" w14:textId="77777777" w:rsidR="00F34BD4" w:rsidRPr="00A545B8" w:rsidRDefault="00F34BD4" w:rsidP="00373FD3">
      <w:r w:rsidRPr="00075176">
        <w:t>Możliwość uzyskania ulgi podatkowej motywuje inwestora do podjęcia decyzji  o realizacji przedsięwzięcia skutkującego oszczędnością energii, uzyskaną przy jak najmniejszym nakładzie inwestycyjnym.</w:t>
      </w:r>
    </w:p>
    <w:p w14:paraId="116267FE" w14:textId="77777777" w:rsidR="00F34BD4" w:rsidRPr="00373FD3" w:rsidRDefault="00F34BD4" w:rsidP="00373FD3">
      <w:r w:rsidRPr="00373FD3">
        <w:t>Oszczędności energii finalnej uzyskane w ramach tego środka alternatywnego są istotne dla osiągnięcia krajowego celu w zakresie oszczędności energii, określonego w art. 8 dyrektywy. Szczególne znaczenie należy przypisać efektowi skali. W ramach tego środka alternatywnego uzyskuje się istotne oszczędności energii finalnej podczas realizacji wielu przedsięwzięć służących poprawie efektywności energetycznej przynoszących stosunkowo niewielką ilość oszczędności energii.</w:t>
      </w:r>
    </w:p>
    <w:p w14:paraId="073C36D8" w14:textId="77777777" w:rsidR="00F34BD4" w:rsidRPr="00F10DBF" w:rsidRDefault="00F34BD4" w:rsidP="00F34BD4">
      <w:pPr>
        <w:spacing w:after="0" w:line="360" w:lineRule="auto"/>
        <w:ind w:firstLine="709"/>
        <w:rPr>
          <w:b/>
          <w:bCs/>
          <w:i/>
          <w:iCs/>
          <w:color w:val="5B9BD5" w:themeColor="accent5"/>
        </w:rPr>
      </w:pPr>
      <w:r w:rsidRPr="00F10DBF">
        <w:rPr>
          <w:b/>
          <w:bCs/>
          <w:i/>
          <w:iCs/>
          <w:color w:val="5B9BD5" w:themeColor="accent5"/>
        </w:rPr>
        <w:t>Zasada dodatkowości</w:t>
      </w:r>
    </w:p>
    <w:p w14:paraId="2C10BF75" w14:textId="60B97665" w:rsidR="00F34BD4" w:rsidRPr="00A40ED6" w:rsidRDefault="00F34BD4" w:rsidP="00373FD3">
      <w:r w:rsidRPr="008D7F37">
        <w:t xml:space="preserve">Zgodnie z pkt. 2 lit </w:t>
      </w:r>
      <w:r>
        <w:t>c</w:t>
      </w:r>
      <w:r w:rsidRPr="008D7F37">
        <w:t xml:space="preserve"> Załącznika V oszczędności związane z renowacją istniejących budynków mogą być zaliczone jako oszczędność energii na użytek art. </w:t>
      </w:r>
      <w:r>
        <w:t>8</w:t>
      </w:r>
      <w:r w:rsidRPr="008D7F37">
        <w:t xml:space="preserve"> ust. 1 pod warunkiem spełnienia kryterium istotności. </w:t>
      </w:r>
      <w:r>
        <w:t xml:space="preserve">Dodatkowo w przypadku inwestycji mających na celu:  </w:t>
      </w:r>
      <w:r w:rsidRPr="00665104">
        <w:t>modernizacj</w:t>
      </w:r>
      <w:r>
        <w:t>ę</w:t>
      </w:r>
      <w:r w:rsidRPr="00665104">
        <w:t xml:space="preserve"> instalacji oświetlenia </w:t>
      </w:r>
      <w:r>
        <w:t>cz</w:t>
      </w:r>
      <w:r w:rsidRPr="00665104">
        <w:t>y wymian</w:t>
      </w:r>
      <w:r>
        <w:t>ę</w:t>
      </w:r>
      <w:r w:rsidRPr="00665104">
        <w:t xml:space="preserve"> kotłów/źródeł ciepła w instalacjach ogrzewczych</w:t>
      </w:r>
      <w:r>
        <w:t xml:space="preserve"> u</w:t>
      </w:r>
      <w:r w:rsidRPr="00665104">
        <w:t xml:space="preserve">znane mogą zostać wyłącznie oszczędności energii przekraczające poziomy unijnych wymagań dotyczących wycofywania z obrotu określonych produktów związanych z energią w następstwie </w:t>
      </w:r>
      <w:r w:rsidRPr="0071320E">
        <w:t>wdrożenia środków wykonawczych na mocy dyrektywy 2009/125/WE</w:t>
      </w:r>
      <w:r w:rsidRPr="00373FD3">
        <w:fldChar w:fldCharType="begin"/>
      </w:r>
      <w:r w:rsidRPr="00373FD3">
        <w:instrText xml:space="preserve"> NOTEREF _Ref135213769 \h  \* MERGEFORMAT </w:instrText>
      </w:r>
      <w:r w:rsidRPr="00373FD3">
        <w:fldChar w:fldCharType="separate"/>
      </w:r>
      <w:r w:rsidR="00FD1148">
        <w:t>5</w:t>
      </w:r>
      <w:r w:rsidRPr="00373FD3">
        <w:fldChar w:fldCharType="end"/>
      </w:r>
      <w:r w:rsidRPr="0071320E">
        <w:t>.</w:t>
      </w:r>
      <w:r w:rsidRPr="00665104">
        <w:t xml:space="preserve"> W przypadku tych przedsięwzięć minimalne poziomy wynikające z wdrożenia przepisów unijnych dotyczących wymogów </w:t>
      </w:r>
      <w:proofErr w:type="spellStart"/>
      <w:r w:rsidRPr="00665104">
        <w:t>ekoprojektu</w:t>
      </w:r>
      <w:proofErr w:type="spellEnd"/>
      <w:r w:rsidRPr="00665104">
        <w:t xml:space="preserve"> są wyznaczane i stosowane jako poziomy referencyjne będące punktami wyjścia przy obliczaniu oszczędności energii.</w:t>
      </w:r>
      <w:r>
        <w:t xml:space="preserve"> </w:t>
      </w:r>
      <w:r w:rsidRPr="00A40ED6">
        <w:t>Finansowanie zostaje przyznane tylko i wyłącznie gdy zastosowane materiały i urządzenia są wymienione w załączniku do rozporządzenia Ministra Inwestycji i Rozwoju z 21 grudnia 2018 r. w sprawie określenia wykazu rodzajów materiałów budowlanych, urządzeń i usług związanych z realizacją przedsięwzięć termomodernizacyjnych.</w:t>
      </w:r>
    </w:p>
    <w:p w14:paraId="198DADD1" w14:textId="77777777" w:rsidR="00F34BD4" w:rsidRPr="00AB73D9" w:rsidRDefault="00F34BD4" w:rsidP="00FF3BC7">
      <w:pPr>
        <w:numPr>
          <w:ilvl w:val="0"/>
          <w:numId w:val="13"/>
        </w:numPr>
        <w:spacing w:before="120" w:line="360" w:lineRule="auto"/>
        <w:ind w:left="1134" w:hanging="357"/>
        <w:jc w:val="left"/>
        <w:rPr>
          <w:b/>
          <w:bCs/>
          <w:color w:val="2F5496" w:themeColor="accent1" w:themeShade="BF"/>
        </w:rPr>
      </w:pPr>
      <w:r w:rsidRPr="00F34BD4">
        <w:rPr>
          <w:b/>
          <w:bCs/>
          <w:color w:val="2F5496" w:themeColor="accent1" w:themeShade="BF"/>
        </w:rPr>
        <w:t>Informacja o sposobie postępowania z ewentualnym dublowaniem się środków</w:t>
      </w:r>
      <w:r w:rsidRPr="00AB73D9">
        <w:rPr>
          <w:b/>
          <w:bCs/>
          <w:color w:val="2F5496" w:themeColor="accent1" w:themeShade="BF"/>
        </w:rPr>
        <w:t xml:space="preserve"> i indywidualnych działań w celu unikania podwójnego zliczania oszczędności energii</w:t>
      </w:r>
    </w:p>
    <w:p w14:paraId="6B51FB3F" w14:textId="77777777" w:rsidR="00F34BD4" w:rsidRDefault="00F34BD4" w:rsidP="00373FD3">
      <w:r>
        <w:t xml:space="preserve">W przypadku łączenia odliczenia podatkowego wynikającego z ulgi termomodernizacyjnej z innymi dotacjami przysługującymi na termomodernizację – odliczeniu nie będą podlegać wydatki sfinansowane lub dofinansowane z dotacji lub zwrócone podatnikowi w jakiejkolwiek innej formie ze środków publicznych. Dodatkowo </w:t>
      </w:r>
      <w:r w:rsidRPr="00D62DB9">
        <w:t>w przypadku gdy, po wcześniejszym dokonaniu odliczeń wydatków w ramach ulgi</w:t>
      </w:r>
      <w:r>
        <w:t xml:space="preserve"> </w:t>
      </w:r>
      <w:r w:rsidRPr="00D62DB9">
        <w:t>termomodernizacyjnej, beneficjent otrzymał zwrot odliczonych wydatków w formie dotacji, jest</w:t>
      </w:r>
      <w:r>
        <w:t xml:space="preserve"> </w:t>
      </w:r>
      <w:r w:rsidRPr="00D62DB9">
        <w:t>zobowiązany zgodnie z przepisami podatkowymi doliczyć odpowiednio kwoty poprzednio</w:t>
      </w:r>
      <w:r>
        <w:t xml:space="preserve"> </w:t>
      </w:r>
      <w:r w:rsidRPr="00D62DB9">
        <w:t>odliczone od dochodu za rok podatkowy, w którym otrzymał ten zwrot.</w:t>
      </w:r>
    </w:p>
    <w:p w14:paraId="4320954D" w14:textId="77777777" w:rsidR="00F34BD4" w:rsidRDefault="00F34BD4" w:rsidP="00FF3BC7">
      <w:pPr>
        <w:pStyle w:val="Akapitzlist"/>
        <w:numPr>
          <w:ilvl w:val="0"/>
          <w:numId w:val="13"/>
        </w:numPr>
        <w:spacing w:before="120" w:line="360" w:lineRule="auto"/>
        <w:ind w:left="1134" w:hanging="357"/>
        <w:jc w:val="left"/>
        <w:rPr>
          <w:b/>
          <w:bCs/>
          <w:color w:val="2F5496" w:themeColor="accent1" w:themeShade="BF"/>
        </w:rPr>
      </w:pPr>
      <w:r w:rsidRPr="00842530">
        <w:rPr>
          <w:b/>
          <w:bCs/>
          <w:color w:val="2F5496" w:themeColor="accent1" w:themeShade="BF"/>
        </w:rPr>
        <w:lastRenderedPageBreak/>
        <w:t>Uwzględnienie różnic klimatycznych między regionami i zastosowane podejście</w:t>
      </w:r>
    </w:p>
    <w:p w14:paraId="7D33898B" w14:textId="4092C165" w:rsidR="00F34BD4" w:rsidRPr="00D62DB9" w:rsidRDefault="00F34BD4" w:rsidP="00373FD3">
      <w:r w:rsidRPr="00D62DB9">
        <w:t xml:space="preserve">Z uwagi na specyfikę środka alternatywnego w postaci ulgi podatkowej, o zasięgu krajowym występujące różnice pomiędzy </w:t>
      </w:r>
      <w:r w:rsidRPr="006F4BF3">
        <w:t>regionami</w:t>
      </w:r>
      <w:r w:rsidRPr="00D62DB9">
        <w:t xml:space="preserve"> nie są uwzględniane w obliczaniach oszczędności energii wynikających z tego środka alternatywnego.</w:t>
      </w:r>
    </w:p>
    <w:p w14:paraId="3D30A0BE" w14:textId="77777777" w:rsidR="00F34BD4" w:rsidRDefault="00F34BD4" w:rsidP="00FF3BC7">
      <w:pPr>
        <w:pStyle w:val="Akapitzlist"/>
        <w:numPr>
          <w:ilvl w:val="0"/>
          <w:numId w:val="13"/>
        </w:numPr>
        <w:spacing w:before="120" w:line="360" w:lineRule="auto"/>
        <w:ind w:left="1134"/>
        <w:jc w:val="left"/>
        <w:rPr>
          <w:b/>
          <w:bCs/>
          <w:color w:val="2F5496" w:themeColor="accent1" w:themeShade="BF"/>
        </w:rPr>
      </w:pPr>
      <w:r w:rsidRPr="00684624">
        <w:rPr>
          <w:b/>
          <w:bCs/>
          <w:color w:val="2F5496" w:themeColor="accent1" w:themeShade="BF"/>
        </w:rPr>
        <w:t xml:space="preserve">Oszczędność </w:t>
      </w:r>
      <w:r>
        <w:rPr>
          <w:b/>
          <w:bCs/>
          <w:color w:val="2F5496" w:themeColor="accent1" w:themeShade="BF"/>
        </w:rPr>
        <w:t xml:space="preserve">końcowego zużycia energii </w:t>
      </w:r>
      <w:r w:rsidRPr="00684624">
        <w:rPr>
          <w:b/>
          <w:bCs/>
          <w:color w:val="2F5496" w:themeColor="accent1" w:themeShade="BF"/>
        </w:rPr>
        <w:t>w okresie 2021-2030</w:t>
      </w:r>
    </w:p>
    <w:p w14:paraId="0D936D9F" w14:textId="77777777" w:rsidR="00F34BD4" w:rsidRPr="00D62DB9" w:rsidRDefault="00F34BD4" w:rsidP="00373FD3">
      <w:r w:rsidRPr="00D62DB9">
        <w:t xml:space="preserve">W Tab. </w:t>
      </w:r>
      <w:r>
        <w:t>7</w:t>
      </w:r>
      <w:r w:rsidRPr="00D62DB9">
        <w:t xml:space="preserve"> przedstawiono </w:t>
      </w:r>
      <w:r>
        <w:t xml:space="preserve">roczne i </w:t>
      </w:r>
      <w:r w:rsidRPr="00D62DB9">
        <w:t xml:space="preserve">skumulowane oszczędności energii finalnej w okresie 2021-2030. Szacuje się, że </w:t>
      </w:r>
      <w:r>
        <w:t xml:space="preserve">ulga termomodernizacyjna </w:t>
      </w:r>
      <w:r w:rsidRPr="00D62DB9">
        <w:t xml:space="preserve">przyniesie </w:t>
      </w:r>
      <w:r>
        <w:t xml:space="preserve">15 720- </w:t>
      </w:r>
      <w:proofErr w:type="spellStart"/>
      <w:r w:rsidRPr="00D62DB9">
        <w:t>ktoe</w:t>
      </w:r>
      <w:proofErr w:type="spellEnd"/>
      <w:r w:rsidRPr="00D62DB9">
        <w:t xml:space="preserve"> </w:t>
      </w:r>
      <w:r>
        <w:t xml:space="preserve">całkowitych  skumulowanych </w:t>
      </w:r>
      <w:r w:rsidRPr="00D62DB9">
        <w:t>oszczędności energii finalnej do 2030 roku.</w:t>
      </w:r>
      <w:r>
        <w:t xml:space="preserve"> </w:t>
      </w:r>
    </w:p>
    <w:p w14:paraId="6BE12302" w14:textId="79309627" w:rsidR="00F34BD4" w:rsidRDefault="00F34BD4" w:rsidP="00F34BD4">
      <w:pPr>
        <w:pStyle w:val="Legenda"/>
        <w:keepNext/>
        <w:spacing w:line="276" w:lineRule="auto"/>
        <w:jc w:val="center"/>
      </w:pPr>
      <w:r w:rsidRPr="00D62DB9">
        <w:rPr>
          <w:rStyle w:val="rynqvb"/>
          <w:b/>
        </w:rPr>
        <w:t xml:space="preserve">Tab. </w:t>
      </w:r>
      <w:r w:rsidRPr="00D62DB9">
        <w:rPr>
          <w:rStyle w:val="rynqvb"/>
          <w:b/>
        </w:rPr>
        <w:fldChar w:fldCharType="begin"/>
      </w:r>
      <w:r w:rsidRPr="00D62DB9">
        <w:rPr>
          <w:rStyle w:val="rynqvb"/>
          <w:b/>
        </w:rPr>
        <w:instrText xml:space="preserve"> SEQ Tab. \* ARABIC </w:instrText>
      </w:r>
      <w:r w:rsidRPr="00D62DB9">
        <w:rPr>
          <w:rStyle w:val="rynqvb"/>
          <w:b/>
        </w:rPr>
        <w:fldChar w:fldCharType="separate"/>
      </w:r>
      <w:r w:rsidR="00FD1148">
        <w:rPr>
          <w:rStyle w:val="rynqvb"/>
          <w:b/>
          <w:noProof/>
        </w:rPr>
        <w:t>3</w:t>
      </w:r>
      <w:r w:rsidRPr="00D62DB9">
        <w:rPr>
          <w:rStyle w:val="rynqvb"/>
          <w:b/>
        </w:rPr>
        <w:fldChar w:fldCharType="end"/>
      </w:r>
      <w:r w:rsidRPr="00225401">
        <w:rPr>
          <w:rStyle w:val="rynqvb"/>
          <w:b/>
          <w:bCs/>
        </w:rPr>
        <w:t xml:space="preserve"> </w:t>
      </w:r>
      <w:r>
        <w:rPr>
          <w:rStyle w:val="rynqvb"/>
          <w:b/>
          <w:bCs/>
        </w:rPr>
        <w:t>Ulga termomodernizacyjna: o</w:t>
      </w:r>
      <w:r w:rsidRPr="00E35197">
        <w:rPr>
          <w:rStyle w:val="rynqvb"/>
          <w:b/>
          <w:bCs/>
        </w:rPr>
        <w:t>szczędności</w:t>
      </w:r>
      <w:r>
        <w:rPr>
          <w:rStyle w:val="rynqvb"/>
          <w:b/>
          <w:bCs/>
        </w:rPr>
        <w:t xml:space="preserve"> końcowego zużycia</w:t>
      </w:r>
      <w:r w:rsidRPr="00E35197">
        <w:rPr>
          <w:rStyle w:val="rynqvb"/>
          <w:b/>
          <w:bCs/>
        </w:rPr>
        <w:t xml:space="preserve"> energii osiągnię</w:t>
      </w:r>
      <w:r>
        <w:rPr>
          <w:rStyle w:val="rynqvb"/>
          <w:b/>
          <w:bCs/>
        </w:rPr>
        <w:t>ta w 2021 roku oraz szacunkowe oszczędności</w:t>
      </w:r>
      <w:r w:rsidRPr="00E35197">
        <w:rPr>
          <w:rStyle w:val="rynqvb"/>
          <w:b/>
          <w:bCs/>
        </w:rPr>
        <w:t xml:space="preserve"> </w:t>
      </w:r>
      <w:r>
        <w:rPr>
          <w:rStyle w:val="rynqvb"/>
          <w:b/>
          <w:bCs/>
        </w:rPr>
        <w:t>do osiągnięcia</w:t>
      </w:r>
      <w:r w:rsidRPr="00E35197">
        <w:rPr>
          <w:rStyle w:val="rynqvb"/>
          <w:b/>
          <w:bCs/>
        </w:rPr>
        <w:t xml:space="preserve"> latach 202</w:t>
      </w:r>
      <w:r>
        <w:rPr>
          <w:rStyle w:val="rynqvb"/>
          <w:b/>
          <w:bCs/>
        </w:rPr>
        <w:t>2</w:t>
      </w:r>
      <w:r w:rsidRPr="00E35197">
        <w:rPr>
          <w:rStyle w:val="rynqvb"/>
          <w:b/>
          <w:bCs/>
        </w:rPr>
        <w:t>-2030</w:t>
      </w:r>
      <w:r>
        <w:rPr>
          <w:rStyle w:val="rynqvb"/>
          <w:b/>
          <w:bCs/>
        </w:rPr>
        <w:t xml:space="preserve"> dla ulgi termomodernizacyjnej</w:t>
      </w:r>
      <w:r w:rsidRPr="00E35197">
        <w:rPr>
          <w:rStyle w:val="rynqvb"/>
          <w:b/>
          <w:bCs/>
        </w:rPr>
        <w:t xml:space="preserve"> – roczne i skumulowane</w:t>
      </w:r>
      <w:r>
        <w:rPr>
          <w:rStyle w:val="rynqvb"/>
          <w:b/>
          <w:bCs/>
        </w:rPr>
        <w:t>.</w:t>
      </w:r>
    </w:p>
    <w:tbl>
      <w:tblPr>
        <w:tblpPr w:leftFromText="141" w:rightFromText="141" w:vertAnchor="text" w:horzAnchor="margin" w:tblpY="196"/>
        <w:tblW w:w="5070" w:type="pct"/>
        <w:tblCellMar>
          <w:left w:w="70" w:type="dxa"/>
          <w:right w:w="70" w:type="dxa"/>
        </w:tblCellMar>
        <w:tblLook w:val="04A0" w:firstRow="1" w:lastRow="0" w:firstColumn="1" w:lastColumn="0" w:noHBand="0" w:noVBand="1"/>
      </w:tblPr>
      <w:tblGrid>
        <w:gridCol w:w="1383"/>
        <w:gridCol w:w="620"/>
        <w:gridCol w:w="618"/>
        <w:gridCol w:w="618"/>
        <w:gridCol w:w="618"/>
        <w:gridCol w:w="618"/>
        <w:gridCol w:w="618"/>
        <w:gridCol w:w="617"/>
        <w:gridCol w:w="618"/>
        <w:gridCol w:w="618"/>
        <w:gridCol w:w="618"/>
        <w:gridCol w:w="1625"/>
      </w:tblGrid>
      <w:tr w:rsidR="00F34BD4" w:rsidRPr="00A40D2C" w14:paraId="152EB65E" w14:textId="77777777" w:rsidTr="00B823C1">
        <w:trPr>
          <w:trHeight w:val="295"/>
        </w:trPr>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8F10C" w14:textId="77777777" w:rsidR="00F34BD4" w:rsidRPr="00D94B5E" w:rsidRDefault="00F34BD4" w:rsidP="00B823C1">
            <w:pPr>
              <w:spacing w:after="0"/>
              <w:jc w:val="center"/>
              <w:rPr>
                <w:color w:val="000000"/>
                <w:szCs w:val="20"/>
                <w:lang w:eastAsia="pl-PL"/>
              </w:rPr>
            </w:pPr>
            <w:r w:rsidRPr="00D94B5E">
              <w:rPr>
                <w:color w:val="000000"/>
                <w:szCs w:val="20"/>
                <w:lang w:eastAsia="pl-PL"/>
              </w:rPr>
              <w:t>Rok</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6D1433CC" w14:textId="77777777" w:rsidR="00F34BD4" w:rsidRPr="00D94B5E" w:rsidRDefault="00F34BD4" w:rsidP="00B823C1">
            <w:pPr>
              <w:spacing w:after="0"/>
              <w:jc w:val="center"/>
              <w:rPr>
                <w:color w:val="000000"/>
                <w:szCs w:val="20"/>
                <w:lang w:eastAsia="pl-PL"/>
              </w:rPr>
            </w:pPr>
            <w:r w:rsidRPr="00D94B5E">
              <w:rPr>
                <w:color w:val="000000"/>
                <w:szCs w:val="20"/>
                <w:lang w:eastAsia="pl-PL"/>
              </w:rPr>
              <w:t>2021</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14:paraId="3B13FC2A" w14:textId="77777777" w:rsidR="00F34BD4" w:rsidRPr="00D94B5E" w:rsidRDefault="00F34BD4" w:rsidP="00B823C1">
            <w:pPr>
              <w:spacing w:after="0"/>
              <w:jc w:val="center"/>
              <w:rPr>
                <w:color w:val="000000"/>
                <w:szCs w:val="20"/>
                <w:lang w:eastAsia="pl-PL"/>
              </w:rPr>
            </w:pPr>
            <w:r w:rsidRPr="00D94B5E">
              <w:rPr>
                <w:color w:val="000000"/>
                <w:szCs w:val="20"/>
                <w:lang w:eastAsia="pl-PL"/>
              </w:rPr>
              <w:t>2022</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14:paraId="08BDB632" w14:textId="77777777" w:rsidR="00F34BD4" w:rsidRPr="00D94B5E" w:rsidRDefault="00F34BD4" w:rsidP="00B823C1">
            <w:pPr>
              <w:spacing w:after="0"/>
              <w:jc w:val="center"/>
              <w:rPr>
                <w:color w:val="000000"/>
                <w:szCs w:val="20"/>
                <w:lang w:eastAsia="pl-PL"/>
              </w:rPr>
            </w:pPr>
            <w:r w:rsidRPr="00D94B5E">
              <w:rPr>
                <w:color w:val="000000"/>
                <w:szCs w:val="20"/>
                <w:lang w:eastAsia="pl-PL"/>
              </w:rPr>
              <w:t>2023</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14:paraId="710354F5" w14:textId="77777777" w:rsidR="00F34BD4" w:rsidRPr="00D94B5E" w:rsidRDefault="00F34BD4" w:rsidP="00B823C1">
            <w:pPr>
              <w:spacing w:after="0"/>
              <w:jc w:val="center"/>
              <w:rPr>
                <w:color w:val="000000"/>
                <w:szCs w:val="20"/>
                <w:lang w:eastAsia="pl-PL"/>
              </w:rPr>
            </w:pPr>
            <w:r w:rsidRPr="00D94B5E">
              <w:rPr>
                <w:color w:val="000000"/>
                <w:szCs w:val="20"/>
                <w:lang w:eastAsia="pl-PL"/>
              </w:rPr>
              <w:t>2024</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14:paraId="27DF2F12" w14:textId="77777777" w:rsidR="00F34BD4" w:rsidRPr="00D94B5E" w:rsidRDefault="00F34BD4" w:rsidP="00B823C1">
            <w:pPr>
              <w:spacing w:after="0"/>
              <w:jc w:val="center"/>
              <w:rPr>
                <w:color w:val="000000"/>
                <w:szCs w:val="20"/>
                <w:lang w:eastAsia="pl-PL"/>
              </w:rPr>
            </w:pPr>
            <w:r w:rsidRPr="00D94B5E">
              <w:rPr>
                <w:color w:val="000000"/>
                <w:szCs w:val="20"/>
                <w:lang w:eastAsia="pl-PL"/>
              </w:rPr>
              <w:t>2025</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14:paraId="381D86F4" w14:textId="77777777" w:rsidR="00F34BD4" w:rsidRPr="00D94B5E" w:rsidRDefault="00F34BD4" w:rsidP="00B823C1">
            <w:pPr>
              <w:spacing w:after="0"/>
              <w:jc w:val="center"/>
              <w:rPr>
                <w:color w:val="000000"/>
                <w:szCs w:val="20"/>
                <w:lang w:eastAsia="pl-PL"/>
              </w:rPr>
            </w:pPr>
            <w:r w:rsidRPr="00D94B5E">
              <w:rPr>
                <w:color w:val="000000"/>
                <w:szCs w:val="20"/>
                <w:lang w:eastAsia="pl-PL"/>
              </w:rPr>
              <w:t>2026</w:t>
            </w:r>
          </w:p>
        </w:tc>
        <w:tc>
          <w:tcPr>
            <w:tcW w:w="617" w:type="dxa"/>
            <w:tcBorders>
              <w:top w:val="single" w:sz="4" w:space="0" w:color="auto"/>
              <w:left w:val="single" w:sz="4" w:space="0" w:color="auto"/>
              <w:bottom w:val="single" w:sz="4" w:space="0" w:color="auto"/>
              <w:right w:val="single" w:sz="4" w:space="0" w:color="auto"/>
            </w:tcBorders>
            <w:vAlign w:val="center"/>
          </w:tcPr>
          <w:p w14:paraId="5FCF0812" w14:textId="77777777" w:rsidR="00F34BD4" w:rsidRPr="00D94B5E" w:rsidRDefault="00F34BD4" w:rsidP="00B823C1">
            <w:pPr>
              <w:spacing w:after="0"/>
              <w:jc w:val="center"/>
              <w:rPr>
                <w:color w:val="000000"/>
                <w:szCs w:val="20"/>
                <w:lang w:eastAsia="pl-PL"/>
              </w:rPr>
            </w:pPr>
            <w:r w:rsidRPr="00D94B5E">
              <w:rPr>
                <w:color w:val="000000"/>
                <w:szCs w:val="20"/>
                <w:lang w:eastAsia="pl-PL"/>
              </w:rPr>
              <w:t>2027</w:t>
            </w:r>
          </w:p>
        </w:tc>
        <w:tc>
          <w:tcPr>
            <w:tcW w:w="618" w:type="dxa"/>
            <w:tcBorders>
              <w:top w:val="single" w:sz="4" w:space="0" w:color="auto"/>
              <w:left w:val="single" w:sz="4" w:space="0" w:color="auto"/>
              <w:bottom w:val="single" w:sz="4" w:space="0" w:color="auto"/>
              <w:right w:val="single" w:sz="4" w:space="0" w:color="auto"/>
            </w:tcBorders>
            <w:vAlign w:val="center"/>
          </w:tcPr>
          <w:p w14:paraId="247574AE" w14:textId="77777777" w:rsidR="00F34BD4" w:rsidRPr="00D94B5E" w:rsidRDefault="00F34BD4" w:rsidP="00B823C1">
            <w:pPr>
              <w:spacing w:after="0"/>
              <w:jc w:val="center"/>
              <w:rPr>
                <w:color w:val="000000"/>
                <w:szCs w:val="20"/>
                <w:lang w:eastAsia="pl-PL"/>
              </w:rPr>
            </w:pPr>
            <w:r w:rsidRPr="00D94B5E">
              <w:rPr>
                <w:color w:val="000000"/>
                <w:szCs w:val="20"/>
                <w:lang w:eastAsia="pl-PL"/>
              </w:rPr>
              <w:t>2028</w:t>
            </w:r>
          </w:p>
        </w:tc>
        <w:tc>
          <w:tcPr>
            <w:tcW w:w="618" w:type="dxa"/>
            <w:tcBorders>
              <w:top w:val="single" w:sz="4" w:space="0" w:color="auto"/>
              <w:left w:val="single" w:sz="4" w:space="0" w:color="auto"/>
              <w:bottom w:val="single" w:sz="4" w:space="0" w:color="auto"/>
              <w:right w:val="single" w:sz="4" w:space="0" w:color="auto"/>
            </w:tcBorders>
            <w:vAlign w:val="center"/>
          </w:tcPr>
          <w:p w14:paraId="4909FE65" w14:textId="77777777" w:rsidR="00F34BD4" w:rsidRPr="00D94B5E" w:rsidRDefault="00F34BD4" w:rsidP="00B823C1">
            <w:pPr>
              <w:spacing w:after="0"/>
              <w:jc w:val="center"/>
              <w:rPr>
                <w:color w:val="000000"/>
                <w:szCs w:val="20"/>
                <w:lang w:eastAsia="pl-PL"/>
              </w:rPr>
            </w:pPr>
            <w:r w:rsidRPr="00D94B5E">
              <w:rPr>
                <w:color w:val="000000"/>
                <w:szCs w:val="20"/>
                <w:lang w:eastAsia="pl-PL"/>
              </w:rPr>
              <w:t>2029</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13199" w14:textId="77777777" w:rsidR="00F34BD4" w:rsidRPr="00D94B5E" w:rsidRDefault="00F34BD4" w:rsidP="00B823C1">
            <w:pPr>
              <w:spacing w:after="0"/>
              <w:jc w:val="center"/>
              <w:rPr>
                <w:color w:val="000000"/>
                <w:szCs w:val="20"/>
                <w:lang w:eastAsia="pl-PL"/>
              </w:rPr>
            </w:pPr>
            <w:r w:rsidRPr="00D94B5E">
              <w:rPr>
                <w:color w:val="000000"/>
                <w:szCs w:val="20"/>
                <w:lang w:eastAsia="pl-PL"/>
              </w:rPr>
              <w:t>2030</w:t>
            </w:r>
          </w:p>
        </w:tc>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88A4E" w14:textId="77777777" w:rsidR="00F34BD4" w:rsidRPr="00D94B5E" w:rsidRDefault="00F34BD4" w:rsidP="00B823C1">
            <w:pPr>
              <w:spacing w:after="0"/>
              <w:jc w:val="center"/>
              <w:rPr>
                <w:color w:val="000000"/>
                <w:szCs w:val="20"/>
                <w:lang w:eastAsia="pl-PL"/>
              </w:rPr>
            </w:pPr>
          </w:p>
        </w:tc>
      </w:tr>
      <w:tr w:rsidR="00F34BD4" w:rsidRPr="00A40D2C" w14:paraId="55E10054" w14:textId="77777777" w:rsidTr="00B823C1">
        <w:trPr>
          <w:trHeight w:val="295"/>
        </w:trPr>
        <w:tc>
          <w:tcPr>
            <w:tcW w:w="1382" w:type="dxa"/>
            <w:vMerge w:val="restart"/>
            <w:tcBorders>
              <w:top w:val="nil"/>
              <w:left w:val="single" w:sz="4" w:space="0" w:color="auto"/>
              <w:right w:val="single" w:sz="4" w:space="0" w:color="auto"/>
            </w:tcBorders>
            <w:shd w:val="clear" w:color="auto" w:fill="auto"/>
            <w:vAlign w:val="center"/>
            <w:hideMark/>
          </w:tcPr>
          <w:p w14:paraId="3C16FA6F" w14:textId="77777777" w:rsidR="00F34BD4" w:rsidRPr="00D94B5E" w:rsidRDefault="00F34BD4" w:rsidP="00B823C1">
            <w:pPr>
              <w:spacing w:after="0"/>
              <w:jc w:val="center"/>
              <w:rPr>
                <w:color w:val="000000"/>
                <w:szCs w:val="20"/>
                <w:lang w:eastAsia="pl-PL"/>
              </w:rPr>
            </w:pPr>
            <w:r w:rsidRPr="00D94B5E">
              <w:rPr>
                <w:color w:val="000000"/>
                <w:szCs w:val="20"/>
                <w:lang w:eastAsia="pl-PL"/>
              </w:rPr>
              <w:t>Oszczędności końcowego zużycia energii (</w:t>
            </w:r>
            <w:proofErr w:type="spellStart"/>
            <w:r w:rsidRPr="00D94B5E">
              <w:rPr>
                <w:color w:val="000000"/>
                <w:szCs w:val="20"/>
                <w:lang w:eastAsia="pl-PL"/>
              </w:rPr>
              <w:t>ktoe</w:t>
            </w:r>
            <w:proofErr w:type="spellEnd"/>
            <w:r w:rsidRPr="00D94B5E">
              <w:rPr>
                <w:color w:val="000000"/>
                <w:szCs w:val="20"/>
                <w:lang w:eastAsia="pl-PL"/>
              </w:rPr>
              <w:t>)</w:t>
            </w:r>
            <w:r w:rsidRPr="00D94B5E" w:rsidDel="008E67E9">
              <w:rPr>
                <w:color w:val="000000"/>
                <w:szCs w:val="20"/>
                <w:lang w:eastAsia="pl-PL"/>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8923656" w14:textId="77777777" w:rsidR="00F34BD4" w:rsidRPr="00D94B5E" w:rsidRDefault="00F34BD4" w:rsidP="00B823C1">
            <w:pPr>
              <w:spacing w:after="0"/>
              <w:jc w:val="center"/>
              <w:rPr>
                <w:color w:val="000000"/>
                <w:szCs w:val="20"/>
                <w:lang w:eastAsia="pl-PL"/>
              </w:rPr>
            </w:pPr>
            <w:r w:rsidRPr="00D94B5E">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7C3B5C0D" w14:textId="77777777" w:rsidR="00F34BD4" w:rsidRPr="00D94B5E" w:rsidRDefault="00F34BD4" w:rsidP="00B823C1">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0C47649F" w14:textId="77777777" w:rsidR="00F34BD4" w:rsidRPr="00D94B5E" w:rsidRDefault="00F34BD4" w:rsidP="00B823C1">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29EBF204" w14:textId="77777777" w:rsidR="00F34BD4" w:rsidRPr="00D94B5E" w:rsidRDefault="00F34BD4" w:rsidP="00B823C1">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5BB05D84" w14:textId="77777777" w:rsidR="00F34BD4" w:rsidRPr="00D94B5E" w:rsidRDefault="00F34BD4" w:rsidP="00B823C1">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18007788" w14:textId="77777777" w:rsidR="00F34BD4" w:rsidRPr="00D94B5E" w:rsidRDefault="00F34BD4" w:rsidP="00B823C1">
            <w:pPr>
              <w:spacing w:after="0"/>
              <w:jc w:val="center"/>
              <w:rPr>
                <w:color w:val="000000"/>
                <w:szCs w:val="20"/>
                <w:lang w:eastAsia="pl-PL"/>
              </w:rPr>
            </w:pPr>
          </w:p>
        </w:tc>
        <w:tc>
          <w:tcPr>
            <w:tcW w:w="617" w:type="dxa"/>
            <w:tcBorders>
              <w:top w:val="single" w:sz="4" w:space="0" w:color="auto"/>
              <w:left w:val="single" w:sz="4" w:space="0" w:color="auto"/>
              <w:bottom w:val="single" w:sz="4" w:space="0" w:color="auto"/>
              <w:right w:val="single" w:sz="4" w:space="0" w:color="auto"/>
            </w:tcBorders>
            <w:vAlign w:val="center"/>
          </w:tcPr>
          <w:p w14:paraId="64F6696E" w14:textId="77777777" w:rsidR="00F34BD4" w:rsidRPr="00D94B5E" w:rsidRDefault="00F34BD4" w:rsidP="00B823C1">
            <w:pPr>
              <w:spacing w:after="0"/>
              <w:jc w:val="center"/>
              <w:rPr>
                <w:color w:val="000000"/>
                <w:szCs w:val="20"/>
                <w:lang w:eastAsia="pl-PL"/>
              </w:rPr>
            </w:pPr>
          </w:p>
        </w:tc>
        <w:tc>
          <w:tcPr>
            <w:tcW w:w="618" w:type="dxa"/>
            <w:tcBorders>
              <w:top w:val="single" w:sz="4" w:space="0" w:color="auto"/>
              <w:left w:val="single" w:sz="4" w:space="0" w:color="auto"/>
              <w:bottom w:val="single" w:sz="4" w:space="0" w:color="auto"/>
              <w:right w:val="single" w:sz="4" w:space="0" w:color="auto"/>
            </w:tcBorders>
            <w:vAlign w:val="center"/>
          </w:tcPr>
          <w:p w14:paraId="5C3796AC" w14:textId="77777777" w:rsidR="00F34BD4" w:rsidRPr="00D94B5E" w:rsidRDefault="00F34BD4" w:rsidP="00B823C1">
            <w:pPr>
              <w:spacing w:after="0"/>
              <w:jc w:val="center"/>
              <w:rPr>
                <w:color w:val="000000"/>
                <w:szCs w:val="20"/>
                <w:lang w:eastAsia="pl-PL"/>
              </w:rPr>
            </w:pPr>
          </w:p>
        </w:tc>
        <w:tc>
          <w:tcPr>
            <w:tcW w:w="618" w:type="dxa"/>
            <w:tcBorders>
              <w:top w:val="single" w:sz="4" w:space="0" w:color="auto"/>
              <w:left w:val="single" w:sz="4" w:space="0" w:color="auto"/>
              <w:bottom w:val="single" w:sz="4" w:space="0" w:color="auto"/>
              <w:right w:val="single" w:sz="4" w:space="0" w:color="auto"/>
            </w:tcBorders>
            <w:vAlign w:val="center"/>
          </w:tcPr>
          <w:p w14:paraId="5B9C2C09" w14:textId="77777777" w:rsidR="00F34BD4" w:rsidRPr="00D94B5E" w:rsidRDefault="00F34BD4" w:rsidP="00B823C1">
            <w:pPr>
              <w:spacing w:after="0"/>
              <w:jc w:val="center"/>
              <w:rPr>
                <w:color w:val="000000"/>
                <w:szCs w:val="20"/>
                <w:lang w:eastAsia="pl-PL"/>
              </w:rPr>
            </w:pPr>
          </w:p>
        </w:tc>
        <w:tc>
          <w:tcPr>
            <w:tcW w:w="618" w:type="dxa"/>
            <w:tcBorders>
              <w:top w:val="single" w:sz="4" w:space="0" w:color="auto"/>
              <w:left w:val="single" w:sz="4" w:space="0" w:color="auto"/>
              <w:bottom w:val="single" w:sz="4" w:space="0" w:color="auto"/>
              <w:right w:val="single" w:sz="4" w:space="0" w:color="auto"/>
            </w:tcBorders>
            <w:shd w:val="clear" w:color="auto" w:fill="auto"/>
            <w:noWrap/>
          </w:tcPr>
          <w:p w14:paraId="11523029" w14:textId="77777777" w:rsidR="00F34BD4" w:rsidRPr="00D94B5E" w:rsidRDefault="00F34BD4" w:rsidP="00B823C1">
            <w:pPr>
              <w:spacing w:after="0"/>
              <w:jc w:val="center"/>
              <w:rPr>
                <w:color w:val="000000"/>
                <w:szCs w:val="20"/>
                <w:lang w:eastAsia="pl-PL"/>
              </w:rPr>
            </w:pPr>
            <w:r w:rsidRPr="00D94B5E">
              <w:rPr>
                <w:color w:val="000000"/>
                <w:szCs w:val="20"/>
                <w:lang w:eastAsia="pl-PL"/>
              </w:rPr>
              <w:t>300</w:t>
            </w:r>
          </w:p>
        </w:tc>
        <w:tc>
          <w:tcPr>
            <w:tcW w:w="1625" w:type="dxa"/>
            <w:vMerge w:val="restart"/>
            <w:tcBorders>
              <w:top w:val="nil"/>
              <w:left w:val="single" w:sz="4" w:space="0" w:color="auto"/>
              <w:right w:val="single" w:sz="4" w:space="0" w:color="auto"/>
            </w:tcBorders>
            <w:shd w:val="clear" w:color="auto" w:fill="auto"/>
            <w:vAlign w:val="center"/>
            <w:hideMark/>
          </w:tcPr>
          <w:p w14:paraId="190E5509" w14:textId="77777777" w:rsidR="00F34BD4" w:rsidRPr="00D94B5E" w:rsidRDefault="00F34BD4" w:rsidP="00B823C1">
            <w:pPr>
              <w:spacing w:after="0"/>
              <w:jc w:val="center"/>
              <w:rPr>
                <w:color w:val="000000"/>
                <w:szCs w:val="20"/>
                <w:lang w:eastAsia="pl-PL"/>
              </w:rPr>
            </w:pPr>
            <w:r>
              <w:rPr>
                <w:color w:val="000000"/>
                <w:szCs w:val="20"/>
                <w:lang w:eastAsia="pl-PL"/>
              </w:rPr>
              <w:t>Całkowite skumulowane</w:t>
            </w:r>
            <w:r w:rsidRPr="00D94B5E">
              <w:rPr>
                <w:color w:val="000000"/>
                <w:szCs w:val="20"/>
                <w:lang w:eastAsia="pl-PL"/>
              </w:rPr>
              <w:t xml:space="preserve"> oszczędności końcowego zużycia energii (do 2030)</w:t>
            </w:r>
          </w:p>
        </w:tc>
      </w:tr>
      <w:tr w:rsidR="00F34BD4" w:rsidRPr="00A40D2C" w14:paraId="5DCCCA48" w14:textId="77777777" w:rsidTr="00B823C1">
        <w:trPr>
          <w:trHeight w:val="295"/>
        </w:trPr>
        <w:tc>
          <w:tcPr>
            <w:tcW w:w="1382" w:type="dxa"/>
            <w:vMerge/>
            <w:tcBorders>
              <w:left w:val="single" w:sz="4" w:space="0" w:color="auto"/>
              <w:right w:val="single" w:sz="4" w:space="0" w:color="auto"/>
            </w:tcBorders>
            <w:shd w:val="clear" w:color="auto" w:fill="auto"/>
            <w:vAlign w:val="center"/>
            <w:hideMark/>
          </w:tcPr>
          <w:p w14:paraId="33D669FD" w14:textId="77777777" w:rsidR="00F34BD4" w:rsidRPr="00D94B5E" w:rsidRDefault="00F34BD4" w:rsidP="00B823C1">
            <w:pPr>
              <w:spacing w:after="0"/>
              <w:jc w:val="center"/>
              <w:rPr>
                <w:color w:val="000000"/>
                <w:szCs w:val="20"/>
                <w:lang w:eastAsia="pl-PL"/>
              </w:rPr>
            </w:pPr>
          </w:p>
        </w:tc>
        <w:tc>
          <w:tcPr>
            <w:tcW w:w="620" w:type="dxa"/>
            <w:tcBorders>
              <w:top w:val="nil"/>
              <w:left w:val="nil"/>
              <w:bottom w:val="single" w:sz="4" w:space="0" w:color="auto"/>
              <w:right w:val="single" w:sz="4" w:space="0" w:color="auto"/>
            </w:tcBorders>
            <w:shd w:val="clear" w:color="auto" w:fill="auto"/>
            <w:noWrap/>
            <w:vAlign w:val="center"/>
          </w:tcPr>
          <w:p w14:paraId="43ACCFB9" w14:textId="77777777" w:rsidR="00F34BD4" w:rsidRPr="00D94B5E" w:rsidRDefault="00F34BD4" w:rsidP="00B823C1">
            <w:pPr>
              <w:spacing w:after="0"/>
              <w:jc w:val="center"/>
              <w:rPr>
                <w:color w:val="000000"/>
                <w:szCs w:val="20"/>
                <w:lang w:eastAsia="pl-PL"/>
              </w:rPr>
            </w:pPr>
            <w:r w:rsidRPr="00D94B5E">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57A9CA9E" w14:textId="77777777" w:rsidR="00F34BD4" w:rsidRPr="00D94B5E" w:rsidRDefault="00F34BD4" w:rsidP="00B823C1">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27CEE425" w14:textId="77777777" w:rsidR="00F34BD4" w:rsidRPr="00D94B5E" w:rsidRDefault="00F34BD4" w:rsidP="00B823C1">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471323A0" w14:textId="77777777" w:rsidR="00F34BD4" w:rsidRPr="00D94B5E" w:rsidRDefault="00F34BD4" w:rsidP="00B823C1">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444A9634" w14:textId="77777777" w:rsidR="00F34BD4" w:rsidRPr="00D94B5E" w:rsidRDefault="00F34BD4" w:rsidP="00B823C1">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7C712400" w14:textId="77777777" w:rsidR="00F34BD4" w:rsidRPr="00D94B5E" w:rsidRDefault="00F34BD4" w:rsidP="00B823C1">
            <w:pPr>
              <w:spacing w:after="0"/>
              <w:jc w:val="center"/>
              <w:rPr>
                <w:color w:val="000000"/>
                <w:szCs w:val="20"/>
                <w:lang w:eastAsia="pl-PL"/>
              </w:rPr>
            </w:pPr>
          </w:p>
        </w:tc>
        <w:tc>
          <w:tcPr>
            <w:tcW w:w="617" w:type="dxa"/>
            <w:tcBorders>
              <w:top w:val="single" w:sz="4" w:space="0" w:color="auto"/>
              <w:left w:val="single" w:sz="4" w:space="0" w:color="auto"/>
              <w:bottom w:val="single" w:sz="4" w:space="0" w:color="auto"/>
              <w:right w:val="single" w:sz="4" w:space="0" w:color="auto"/>
            </w:tcBorders>
            <w:vAlign w:val="center"/>
          </w:tcPr>
          <w:p w14:paraId="1B7F0F69" w14:textId="77777777" w:rsidR="00F34BD4" w:rsidRPr="00D94B5E" w:rsidRDefault="00F34BD4" w:rsidP="00B823C1">
            <w:pPr>
              <w:spacing w:after="0"/>
              <w:jc w:val="center"/>
              <w:rPr>
                <w:color w:val="000000"/>
                <w:szCs w:val="20"/>
                <w:lang w:eastAsia="pl-PL"/>
              </w:rPr>
            </w:pPr>
          </w:p>
        </w:tc>
        <w:tc>
          <w:tcPr>
            <w:tcW w:w="618" w:type="dxa"/>
            <w:tcBorders>
              <w:top w:val="single" w:sz="4" w:space="0" w:color="auto"/>
              <w:left w:val="single" w:sz="4" w:space="0" w:color="auto"/>
              <w:bottom w:val="single" w:sz="4" w:space="0" w:color="auto"/>
              <w:right w:val="single" w:sz="4" w:space="0" w:color="auto"/>
            </w:tcBorders>
          </w:tcPr>
          <w:p w14:paraId="747EE8E9" w14:textId="77777777" w:rsidR="00F34BD4" w:rsidRPr="00D94B5E" w:rsidRDefault="00F34BD4" w:rsidP="00B823C1">
            <w:pPr>
              <w:spacing w:after="0"/>
              <w:jc w:val="center"/>
              <w:rPr>
                <w:color w:val="000000"/>
                <w:szCs w:val="20"/>
                <w:lang w:eastAsia="pl-PL"/>
              </w:rPr>
            </w:pPr>
          </w:p>
        </w:tc>
        <w:tc>
          <w:tcPr>
            <w:tcW w:w="618" w:type="dxa"/>
            <w:tcBorders>
              <w:top w:val="single" w:sz="4" w:space="0" w:color="auto"/>
              <w:left w:val="single" w:sz="4" w:space="0" w:color="auto"/>
              <w:bottom w:val="single" w:sz="4" w:space="0" w:color="auto"/>
              <w:right w:val="single" w:sz="4" w:space="0" w:color="auto"/>
            </w:tcBorders>
          </w:tcPr>
          <w:p w14:paraId="43BA3492" w14:textId="77777777" w:rsidR="00F34BD4" w:rsidRPr="00D94B5E" w:rsidRDefault="00F34BD4" w:rsidP="00B823C1">
            <w:pPr>
              <w:spacing w:after="0"/>
              <w:jc w:val="center"/>
              <w:rPr>
                <w:color w:val="000000"/>
                <w:szCs w:val="20"/>
                <w:lang w:eastAsia="pl-PL"/>
              </w:rPr>
            </w:pPr>
            <w:r w:rsidRPr="00D94B5E">
              <w:rPr>
                <w:color w:val="000000"/>
                <w:szCs w:val="20"/>
                <w:lang w:eastAsia="pl-PL"/>
              </w:rPr>
              <w:t>300</w:t>
            </w:r>
          </w:p>
        </w:tc>
        <w:tc>
          <w:tcPr>
            <w:tcW w:w="618" w:type="dxa"/>
            <w:tcBorders>
              <w:top w:val="single" w:sz="4" w:space="0" w:color="auto"/>
              <w:left w:val="single" w:sz="4" w:space="0" w:color="auto"/>
              <w:bottom w:val="single" w:sz="4" w:space="0" w:color="auto"/>
              <w:right w:val="single" w:sz="4" w:space="0" w:color="auto"/>
            </w:tcBorders>
            <w:shd w:val="clear" w:color="auto" w:fill="auto"/>
            <w:noWrap/>
          </w:tcPr>
          <w:p w14:paraId="597F9DAE" w14:textId="77777777" w:rsidR="00F34BD4" w:rsidRPr="00D94B5E" w:rsidRDefault="00F34BD4" w:rsidP="00B823C1">
            <w:pPr>
              <w:spacing w:after="0"/>
              <w:jc w:val="center"/>
              <w:rPr>
                <w:color w:val="000000"/>
                <w:szCs w:val="20"/>
                <w:lang w:eastAsia="pl-PL"/>
              </w:rPr>
            </w:pPr>
            <w:r w:rsidRPr="00D94B5E">
              <w:rPr>
                <w:color w:val="000000"/>
                <w:szCs w:val="20"/>
                <w:lang w:eastAsia="pl-PL"/>
              </w:rPr>
              <w:t>300</w:t>
            </w:r>
          </w:p>
        </w:tc>
        <w:tc>
          <w:tcPr>
            <w:tcW w:w="1625" w:type="dxa"/>
            <w:vMerge/>
            <w:tcBorders>
              <w:left w:val="single" w:sz="4" w:space="0" w:color="auto"/>
              <w:right w:val="single" w:sz="4" w:space="0" w:color="auto"/>
            </w:tcBorders>
            <w:shd w:val="clear" w:color="auto" w:fill="auto"/>
            <w:vAlign w:val="center"/>
            <w:hideMark/>
          </w:tcPr>
          <w:p w14:paraId="0FD0F17C" w14:textId="77777777" w:rsidR="00F34BD4" w:rsidRPr="00D94B5E" w:rsidRDefault="00F34BD4" w:rsidP="00B823C1">
            <w:pPr>
              <w:spacing w:after="0"/>
              <w:jc w:val="center"/>
              <w:rPr>
                <w:color w:val="000000"/>
                <w:szCs w:val="20"/>
                <w:lang w:eastAsia="pl-PL"/>
              </w:rPr>
            </w:pPr>
          </w:p>
        </w:tc>
      </w:tr>
      <w:tr w:rsidR="00F34BD4" w:rsidRPr="00A40D2C" w14:paraId="1132CF3F" w14:textId="77777777" w:rsidTr="00B823C1">
        <w:trPr>
          <w:trHeight w:val="295"/>
        </w:trPr>
        <w:tc>
          <w:tcPr>
            <w:tcW w:w="1382" w:type="dxa"/>
            <w:vMerge/>
            <w:tcBorders>
              <w:left w:val="single" w:sz="4" w:space="0" w:color="auto"/>
              <w:right w:val="single" w:sz="4" w:space="0" w:color="auto"/>
            </w:tcBorders>
            <w:shd w:val="clear" w:color="auto" w:fill="auto"/>
            <w:vAlign w:val="center"/>
            <w:hideMark/>
          </w:tcPr>
          <w:p w14:paraId="14791AC1" w14:textId="77777777" w:rsidR="00F34BD4" w:rsidRPr="00D94B5E" w:rsidRDefault="00F34BD4" w:rsidP="00B823C1">
            <w:pPr>
              <w:spacing w:after="0"/>
              <w:jc w:val="center"/>
              <w:rPr>
                <w:color w:val="000000"/>
                <w:szCs w:val="20"/>
                <w:lang w:eastAsia="pl-PL"/>
              </w:rPr>
            </w:pPr>
          </w:p>
        </w:tc>
        <w:tc>
          <w:tcPr>
            <w:tcW w:w="620" w:type="dxa"/>
            <w:tcBorders>
              <w:top w:val="nil"/>
              <w:left w:val="nil"/>
              <w:bottom w:val="single" w:sz="4" w:space="0" w:color="auto"/>
              <w:right w:val="single" w:sz="4" w:space="0" w:color="auto"/>
            </w:tcBorders>
            <w:shd w:val="clear" w:color="auto" w:fill="auto"/>
            <w:noWrap/>
            <w:vAlign w:val="center"/>
          </w:tcPr>
          <w:p w14:paraId="0504157D" w14:textId="77777777" w:rsidR="00F34BD4" w:rsidRPr="00D94B5E" w:rsidRDefault="00F34BD4" w:rsidP="00B823C1">
            <w:pPr>
              <w:spacing w:after="0"/>
              <w:jc w:val="center"/>
              <w:rPr>
                <w:color w:val="000000"/>
                <w:szCs w:val="20"/>
                <w:lang w:eastAsia="pl-PL"/>
              </w:rPr>
            </w:pPr>
            <w:r w:rsidRPr="00D94B5E">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08B918CE" w14:textId="77777777" w:rsidR="00F34BD4" w:rsidRPr="00D94B5E" w:rsidRDefault="00F34BD4" w:rsidP="00B823C1">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3FF959BF" w14:textId="77777777" w:rsidR="00F34BD4" w:rsidRPr="00D94B5E" w:rsidRDefault="00F34BD4" w:rsidP="00B823C1">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5BF4D618" w14:textId="77777777" w:rsidR="00F34BD4" w:rsidRPr="00D94B5E" w:rsidRDefault="00F34BD4" w:rsidP="00B823C1">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5AC62B29" w14:textId="77777777" w:rsidR="00F34BD4" w:rsidRPr="00D94B5E" w:rsidRDefault="00F34BD4" w:rsidP="00B823C1">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7F72B8EE" w14:textId="77777777" w:rsidR="00F34BD4" w:rsidRPr="00D94B5E" w:rsidRDefault="00F34BD4" w:rsidP="00B823C1">
            <w:pPr>
              <w:spacing w:after="0"/>
              <w:jc w:val="center"/>
              <w:rPr>
                <w:color w:val="000000"/>
                <w:szCs w:val="20"/>
                <w:lang w:eastAsia="pl-PL"/>
              </w:rPr>
            </w:pPr>
          </w:p>
        </w:tc>
        <w:tc>
          <w:tcPr>
            <w:tcW w:w="617" w:type="dxa"/>
            <w:tcBorders>
              <w:top w:val="single" w:sz="4" w:space="0" w:color="auto"/>
              <w:left w:val="single" w:sz="4" w:space="0" w:color="auto"/>
              <w:bottom w:val="single" w:sz="4" w:space="0" w:color="auto"/>
              <w:right w:val="single" w:sz="4" w:space="0" w:color="auto"/>
            </w:tcBorders>
            <w:vAlign w:val="center"/>
          </w:tcPr>
          <w:p w14:paraId="6F2D7805" w14:textId="77777777" w:rsidR="00F34BD4" w:rsidRPr="00D94B5E" w:rsidRDefault="00F34BD4" w:rsidP="00B823C1">
            <w:pPr>
              <w:spacing w:after="0"/>
              <w:jc w:val="center"/>
              <w:rPr>
                <w:color w:val="000000"/>
                <w:szCs w:val="20"/>
                <w:lang w:eastAsia="pl-PL"/>
              </w:rPr>
            </w:pPr>
          </w:p>
        </w:tc>
        <w:tc>
          <w:tcPr>
            <w:tcW w:w="618" w:type="dxa"/>
            <w:tcBorders>
              <w:top w:val="single" w:sz="4" w:space="0" w:color="auto"/>
              <w:left w:val="single" w:sz="4" w:space="0" w:color="auto"/>
              <w:bottom w:val="single" w:sz="4" w:space="0" w:color="auto"/>
              <w:right w:val="single" w:sz="4" w:space="0" w:color="auto"/>
            </w:tcBorders>
          </w:tcPr>
          <w:p w14:paraId="3E6257DF" w14:textId="77777777" w:rsidR="00F34BD4" w:rsidRPr="00D94B5E" w:rsidRDefault="00F34BD4" w:rsidP="00B823C1">
            <w:pPr>
              <w:spacing w:after="0"/>
              <w:jc w:val="center"/>
              <w:rPr>
                <w:color w:val="000000"/>
                <w:szCs w:val="20"/>
                <w:lang w:eastAsia="pl-PL"/>
              </w:rPr>
            </w:pPr>
            <w:r w:rsidRPr="00D94B5E">
              <w:rPr>
                <w:color w:val="000000"/>
                <w:szCs w:val="20"/>
                <w:lang w:eastAsia="pl-PL"/>
              </w:rPr>
              <w:t>300</w:t>
            </w:r>
          </w:p>
        </w:tc>
        <w:tc>
          <w:tcPr>
            <w:tcW w:w="618" w:type="dxa"/>
            <w:tcBorders>
              <w:top w:val="single" w:sz="4" w:space="0" w:color="auto"/>
              <w:left w:val="single" w:sz="4" w:space="0" w:color="auto"/>
              <w:bottom w:val="single" w:sz="4" w:space="0" w:color="auto"/>
              <w:right w:val="single" w:sz="4" w:space="0" w:color="auto"/>
            </w:tcBorders>
          </w:tcPr>
          <w:p w14:paraId="5DD1C9D2" w14:textId="77777777" w:rsidR="00F34BD4" w:rsidRPr="00D94B5E" w:rsidRDefault="00F34BD4" w:rsidP="00B823C1">
            <w:pPr>
              <w:spacing w:after="0"/>
              <w:jc w:val="center"/>
              <w:rPr>
                <w:color w:val="000000"/>
                <w:szCs w:val="20"/>
                <w:lang w:eastAsia="pl-PL"/>
              </w:rPr>
            </w:pPr>
            <w:r w:rsidRPr="00D94B5E">
              <w:rPr>
                <w:color w:val="000000"/>
                <w:szCs w:val="20"/>
                <w:lang w:eastAsia="pl-PL"/>
              </w:rPr>
              <w:t>300</w:t>
            </w:r>
          </w:p>
        </w:tc>
        <w:tc>
          <w:tcPr>
            <w:tcW w:w="618" w:type="dxa"/>
            <w:tcBorders>
              <w:top w:val="single" w:sz="4" w:space="0" w:color="auto"/>
              <w:left w:val="single" w:sz="4" w:space="0" w:color="auto"/>
              <w:bottom w:val="single" w:sz="4" w:space="0" w:color="auto"/>
              <w:right w:val="single" w:sz="4" w:space="0" w:color="auto"/>
            </w:tcBorders>
            <w:shd w:val="clear" w:color="auto" w:fill="auto"/>
            <w:noWrap/>
          </w:tcPr>
          <w:p w14:paraId="543865E3" w14:textId="77777777" w:rsidR="00F34BD4" w:rsidRPr="00D94B5E" w:rsidRDefault="00F34BD4" w:rsidP="00B823C1">
            <w:pPr>
              <w:spacing w:after="0"/>
              <w:jc w:val="center"/>
              <w:rPr>
                <w:color w:val="000000"/>
                <w:szCs w:val="20"/>
                <w:lang w:eastAsia="pl-PL"/>
              </w:rPr>
            </w:pPr>
            <w:r w:rsidRPr="00D94B5E">
              <w:rPr>
                <w:color w:val="000000"/>
                <w:szCs w:val="20"/>
                <w:lang w:eastAsia="pl-PL"/>
              </w:rPr>
              <w:t>300</w:t>
            </w:r>
          </w:p>
        </w:tc>
        <w:tc>
          <w:tcPr>
            <w:tcW w:w="1625" w:type="dxa"/>
            <w:vMerge/>
            <w:tcBorders>
              <w:left w:val="single" w:sz="4" w:space="0" w:color="auto"/>
              <w:right w:val="single" w:sz="4" w:space="0" w:color="auto"/>
            </w:tcBorders>
            <w:shd w:val="clear" w:color="auto" w:fill="auto"/>
            <w:vAlign w:val="center"/>
            <w:hideMark/>
          </w:tcPr>
          <w:p w14:paraId="12A9A530" w14:textId="77777777" w:rsidR="00F34BD4" w:rsidRPr="00D94B5E" w:rsidRDefault="00F34BD4" w:rsidP="00B823C1">
            <w:pPr>
              <w:spacing w:after="0"/>
              <w:jc w:val="center"/>
              <w:rPr>
                <w:color w:val="000000"/>
                <w:szCs w:val="20"/>
                <w:lang w:eastAsia="pl-PL"/>
              </w:rPr>
            </w:pPr>
          </w:p>
        </w:tc>
      </w:tr>
      <w:tr w:rsidR="00F34BD4" w:rsidRPr="00A40D2C" w14:paraId="630877B0" w14:textId="77777777" w:rsidTr="00B823C1">
        <w:trPr>
          <w:trHeight w:val="295"/>
        </w:trPr>
        <w:tc>
          <w:tcPr>
            <w:tcW w:w="1382" w:type="dxa"/>
            <w:vMerge/>
            <w:tcBorders>
              <w:left w:val="single" w:sz="4" w:space="0" w:color="auto"/>
              <w:right w:val="single" w:sz="4" w:space="0" w:color="auto"/>
            </w:tcBorders>
            <w:vAlign w:val="center"/>
            <w:hideMark/>
          </w:tcPr>
          <w:p w14:paraId="65456F30" w14:textId="77777777" w:rsidR="00F34BD4" w:rsidRPr="00D94B5E" w:rsidRDefault="00F34BD4" w:rsidP="00B823C1">
            <w:pPr>
              <w:spacing w:after="0"/>
              <w:jc w:val="center"/>
              <w:rPr>
                <w:color w:val="000000"/>
                <w:szCs w:val="20"/>
                <w:lang w:eastAsia="pl-PL"/>
              </w:rPr>
            </w:pPr>
          </w:p>
        </w:tc>
        <w:tc>
          <w:tcPr>
            <w:tcW w:w="620" w:type="dxa"/>
            <w:tcBorders>
              <w:top w:val="nil"/>
              <w:left w:val="nil"/>
              <w:bottom w:val="single" w:sz="4" w:space="0" w:color="auto"/>
              <w:right w:val="single" w:sz="4" w:space="0" w:color="auto"/>
            </w:tcBorders>
            <w:shd w:val="clear" w:color="auto" w:fill="auto"/>
            <w:noWrap/>
            <w:vAlign w:val="center"/>
          </w:tcPr>
          <w:p w14:paraId="33C77355" w14:textId="77777777" w:rsidR="00F34BD4" w:rsidRPr="00D94B5E" w:rsidRDefault="00F34BD4" w:rsidP="00B823C1">
            <w:pPr>
              <w:spacing w:after="0"/>
              <w:jc w:val="center"/>
              <w:rPr>
                <w:color w:val="000000"/>
                <w:szCs w:val="20"/>
                <w:lang w:eastAsia="pl-PL"/>
              </w:rPr>
            </w:pPr>
            <w:r w:rsidRPr="00D94B5E">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05A05721" w14:textId="77777777" w:rsidR="00F34BD4" w:rsidRPr="00D94B5E" w:rsidRDefault="00F34BD4" w:rsidP="00B823C1">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733B38E5" w14:textId="77777777" w:rsidR="00F34BD4" w:rsidRPr="00D94B5E" w:rsidRDefault="00F34BD4" w:rsidP="00B823C1">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420293F7" w14:textId="77777777" w:rsidR="00F34BD4" w:rsidRPr="00D94B5E" w:rsidRDefault="00F34BD4" w:rsidP="00B823C1">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77F33E6C" w14:textId="77777777" w:rsidR="00F34BD4" w:rsidRPr="00D94B5E" w:rsidRDefault="00F34BD4" w:rsidP="00B823C1">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49AEB151" w14:textId="77777777" w:rsidR="00F34BD4" w:rsidRPr="00D94B5E" w:rsidRDefault="00F34BD4" w:rsidP="00B823C1">
            <w:pPr>
              <w:spacing w:after="0"/>
              <w:jc w:val="center"/>
              <w:rPr>
                <w:color w:val="000000"/>
                <w:szCs w:val="20"/>
                <w:lang w:eastAsia="pl-PL"/>
              </w:rPr>
            </w:pPr>
          </w:p>
        </w:tc>
        <w:tc>
          <w:tcPr>
            <w:tcW w:w="617" w:type="dxa"/>
            <w:tcBorders>
              <w:top w:val="single" w:sz="4" w:space="0" w:color="auto"/>
              <w:left w:val="single" w:sz="4" w:space="0" w:color="auto"/>
              <w:bottom w:val="single" w:sz="4" w:space="0" w:color="auto"/>
              <w:right w:val="single" w:sz="4" w:space="0" w:color="auto"/>
            </w:tcBorders>
          </w:tcPr>
          <w:p w14:paraId="4DD54279" w14:textId="77777777" w:rsidR="00F34BD4" w:rsidRPr="00D94B5E" w:rsidRDefault="00F34BD4" w:rsidP="00B823C1">
            <w:pPr>
              <w:spacing w:after="0"/>
              <w:jc w:val="center"/>
              <w:rPr>
                <w:color w:val="000000"/>
                <w:szCs w:val="20"/>
                <w:lang w:eastAsia="pl-PL"/>
              </w:rPr>
            </w:pPr>
            <w:r w:rsidRPr="00D94B5E">
              <w:rPr>
                <w:color w:val="000000"/>
                <w:szCs w:val="20"/>
                <w:lang w:eastAsia="pl-PL"/>
              </w:rPr>
              <w:t>300</w:t>
            </w:r>
          </w:p>
        </w:tc>
        <w:tc>
          <w:tcPr>
            <w:tcW w:w="618" w:type="dxa"/>
            <w:tcBorders>
              <w:top w:val="single" w:sz="4" w:space="0" w:color="auto"/>
              <w:left w:val="single" w:sz="4" w:space="0" w:color="auto"/>
              <w:bottom w:val="single" w:sz="4" w:space="0" w:color="auto"/>
              <w:right w:val="single" w:sz="4" w:space="0" w:color="auto"/>
            </w:tcBorders>
          </w:tcPr>
          <w:p w14:paraId="0963F1D4" w14:textId="77777777" w:rsidR="00F34BD4" w:rsidRPr="00D94B5E" w:rsidRDefault="00F34BD4" w:rsidP="00B823C1">
            <w:pPr>
              <w:spacing w:after="0"/>
              <w:jc w:val="center"/>
              <w:rPr>
                <w:color w:val="000000"/>
                <w:szCs w:val="20"/>
                <w:lang w:eastAsia="pl-PL"/>
              </w:rPr>
            </w:pPr>
            <w:r w:rsidRPr="00D94B5E">
              <w:rPr>
                <w:color w:val="000000"/>
                <w:szCs w:val="20"/>
                <w:lang w:eastAsia="pl-PL"/>
              </w:rPr>
              <w:t>300</w:t>
            </w:r>
          </w:p>
        </w:tc>
        <w:tc>
          <w:tcPr>
            <w:tcW w:w="618" w:type="dxa"/>
            <w:tcBorders>
              <w:top w:val="single" w:sz="4" w:space="0" w:color="auto"/>
              <w:left w:val="single" w:sz="4" w:space="0" w:color="auto"/>
              <w:bottom w:val="single" w:sz="4" w:space="0" w:color="auto"/>
              <w:right w:val="single" w:sz="4" w:space="0" w:color="auto"/>
            </w:tcBorders>
          </w:tcPr>
          <w:p w14:paraId="5A410BA2" w14:textId="77777777" w:rsidR="00F34BD4" w:rsidRPr="00D94B5E" w:rsidRDefault="00F34BD4" w:rsidP="00B823C1">
            <w:pPr>
              <w:spacing w:after="0"/>
              <w:jc w:val="center"/>
              <w:rPr>
                <w:color w:val="000000"/>
                <w:szCs w:val="20"/>
                <w:lang w:eastAsia="pl-PL"/>
              </w:rPr>
            </w:pPr>
            <w:r w:rsidRPr="00D94B5E">
              <w:rPr>
                <w:color w:val="000000"/>
                <w:szCs w:val="20"/>
                <w:lang w:eastAsia="pl-PL"/>
              </w:rPr>
              <w:t>300</w:t>
            </w:r>
          </w:p>
        </w:tc>
        <w:tc>
          <w:tcPr>
            <w:tcW w:w="618" w:type="dxa"/>
            <w:tcBorders>
              <w:top w:val="single" w:sz="4" w:space="0" w:color="auto"/>
              <w:left w:val="single" w:sz="4" w:space="0" w:color="auto"/>
              <w:bottom w:val="single" w:sz="4" w:space="0" w:color="auto"/>
              <w:right w:val="single" w:sz="4" w:space="0" w:color="auto"/>
            </w:tcBorders>
            <w:shd w:val="clear" w:color="auto" w:fill="auto"/>
            <w:noWrap/>
          </w:tcPr>
          <w:p w14:paraId="0C6839D8" w14:textId="77777777" w:rsidR="00F34BD4" w:rsidRPr="00D94B5E" w:rsidRDefault="00F34BD4" w:rsidP="00B823C1">
            <w:pPr>
              <w:spacing w:after="0"/>
              <w:jc w:val="center"/>
              <w:rPr>
                <w:color w:val="000000"/>
                <w:szCs w:val="20"/>
                <w:lang w:eastAsia="pl-PL"/>
              </w:rPr>
            </w:pPr>
            <w:r w:rsidRPr="00D94B5E">
              <w:rPr>
                <w:color w:val="000000"/>
                <w:szCs w:val="20"/>
                <w:lang w:eastAsia="pl-PL"/>
              </w:rPr>
              <w:t>300</w:t>
            </w:r>
          </w:p>
        </w:tc>
        <w:tc>
          <w:tcPr>
            <w:tcW w:w="1625" w:type="dxa"/>
            <w:vMerge/>
            <w:tcBorders>
              <w:left w:val="single" w:sz="4" w:space="0" w:color="auto"/>
              <w:right w:val="single" w:sz="4" w:space="0" w:color="auto"/>
            </w:tcBorders>
            <w:shd w:val="clear" w:color="auto" w:fill="auto"/>
            <w:vAlign w:val="center"/>
            <w:hideMark/>
          </w:tcPr>
          <w:p w14:paraId="157FCDD7" w14:textId="77777777" w:rsidR="00F34BD4" w:rsidRPr="00D94B5E" w:rsidRDefault="00F34BD4" w:rsidP="00B823C1">
            <w:pPr>
              <w:spacing w:after="0"/>
              <w:jc w:val="center"/>
              <w:rPr>
                <w:color w:val="000000"/>
                <w:szCs w:val="20"/>
                <w:lang w:eastAsia="pl-PL"/>
              </w:rPr>
            </w:pPr>
          </w:p>
        </w:tc>
      </w:tr>
      <w:tr w:rsidR="00F34BD4" w:rsidRPr="00A40D2C" w14:paraId="6647FA7B" w14:textId="77777777" w:rsidTr="00B823C1">
        <w:trPr>
          <w:trHeight w:val="295"/>
        </w:trPr>
        <w:tc>
          <w:tcPr>
            <w:tcW w:w="1382" w:type="dxa"/>
            <w:vMerge/>
            <w:tcBorders>
              <w:left w:val="single" w:sz="4" w:space="0" w:color="auto"/>
              <w:right w:val="single" w:sz="4" w:space="0" w:color="auto"/>
            </w:tcBorders>
            <w:vAlign w:val="center"/>
            <w:hideMark/>
          </w:tcPr>
          <w:p w14:paraId="56E478D2" w14:textId="77777777" w:rsidR="00F34BD4" w:rsidRPr="00D94B5E" w:rsidRDefault="00F34BD4" w:rsidP="00B823C1">
            <w:pPr>
              <w:spacing w:after="0"/>
              <w:jc w:val="center"/>
              <w:rPr>
                <w:color w:val="000000"/>
                <w:szCs w:val="20"/>
                <w:lang w:eastAsia="pl-PL"/>
              </w:rPr>
            </w:pPr>
          </w:p>
        </w:tc>
        <w:tc>
          <w:tcPr>
            <w:tcW w:w="620" w:type="dxa"/>
            <w:tcBorders>
              <w:top w:val="nil"/>
              <w:left w:val="nil"/>
              <w:bottom w:val="single" w:sz="4" w:space="0" w:color="auto"/>
              <w:right w:val="single" w:sz="4" w:space="0" w:color="auto"/>
            </w:tcBorders>
            <w:shd w:val="clear" w:color="auto" w:fill="auto"/>
            <w:noWrap/>
            <w:vAlign w:val="center"/>
          </w:tcPr>
          <w:p w14:paraId="15FC00FC" w14:textId="77777777" w:rsidR="00F34BD4" w:rsidRPr="00D94B5E" w:rsidRDefault="00F34BD4" w:rsidP="00B823C1">
            <w:pPr>
              <w:spacing w:after="0"/>
              <w:jc w:val="center"/>
              <w:rPr>
                <w:color w:val="000000"/>
                <w:szCs w:val="20"/>
                <w:lang w:eastAsia="pl-PL"/>
              </w:rPr>
            </w:pPr>
            <w:r w:rsidRPr="00D94B5E">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7FBE7E36" w14:textId="77777777" w:rsidR="00F34BD4" w:rsidRPr="00D94B5E" w:rsidRDefault="00F34BD4" w:rsidP="00B823C1">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49FCE670" w14:textId="77777777" w:rsidR="00F34BD4" w:rsidRPr="00D94B5E" w:rsidRDefault="00F34BD4" w:rsidP="00B823C1">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bottom"/>
          </w:tcPr>
          <w:p w14:paraId="0621243E" w14:textId="77777777" w:rsidR="00F34BD4" w:rsidRPr="00D94B5E" w:rsidRDefault="00F34BD4" w:rsidP="00B823C1">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407811ED" w14:textId="77777777" w:rsidR="00F34BD4" w:rsidRPr="00D94B5E" w:rsidRDefault="00F34BD4" w:rsidP="00B823C1">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tcPr>
          <w:p w14:paraId="59547BCD" w14:textId="77777777" w:rsidR="00F34BD4" w:rsidRPr="00D94B5E" w:rsidRDefault="00F34BD4" w:rsidP="00B823C1">
            <w:pPr>
              <w:spacing w:after="0"/>
              <w:jc w:val="center"/>
              <w:rPr>
                <w:color w:val="000000"/>
                <w:szCs w:val="20"/>
                <w:lang w:eastAsia="pl-PL"/>
              </w:rPr>
            </w:pPr>
            <w:r w:rsidRPr="00D94B5E">
              <w:rPr>
                <w:color w:val="000000"/>
                <w:szCs w:val="20"/>
                <w:lang w:eastAsia="pl-PL"/>
              </w:rPr>
              <w:t>300</w:t>
            </w:r>
          </w:p>
        </w:tc>
        <w:tc>
          <w:tcPr>
            <w:tcW w:w="617" w:type="dxa"/>
            <w:tcBorders>
              <w:top w:val="single" w:sz="4" w:space="0" w:color="auto"/>
              <w:left w:val="single" w:sz="4" w:space="0" w:color="auto"/>
              <w:bottom w:val="single" w:sz="4" w:space="0" w:color="auto"/>
              <w:right w:val="single" w:sz="4" w:space="0" w:color="auto"/>
            </w:tcBorders>
          </w:tcPr>
          <w:p w14:paraId="191E44FC" w14:textId="77777777" w:rsidR="00F34BD4" w:rsidRPr="00D94B5E" w:rsidRDefault="00F34BD4" w:rsidP="00B823C1">
            <w:pPr>
              <w:spacing w:after="0"/>
              <w:jc w:val="center"/>
              <w:rPr>
                <w:color w:val="000000"/>
                <w:szCs w:val="20"/>
                <w:lang w:eastAsia="pl-PL"/>
              </w:rPr>
            </w:pPr>
            <w:r w:rsidRPr="00D94B5E">
              <w:rPr>
                <w:color w:val="000000"/>
                <w:szCs w:val="20"/>
                <w:lang w:eastAsia="pl-PL"/>
              </w:rPr>
              <w:t>300</w:t>
            </w:r>
          </w:p>
        </w:tc>
        <w:tc>
          <w:tcPr>
            <w:tcW w:w="618" w:type="dxa"/>
            <w:tcBorders>
              <w:top w:val="single" w:sz="4" w:space="0" w:color="auto"/>
              <w:left w:val="single" w:sz="4" w:space="0" w:color="auto"/>
              <w:bottom w:val="single" w:sz="4" w:space="0" w:color="auto"/>
              <w:right w:val="single" w:sz="4" w:space="0" w:color="auto"/>
            </w:tcBorders>
          </w:tcPr>
          <w:p w14:paraId="39494566" w14:textId="77777777" w:rsidR="00F34BD4" w:rsidRPr="00D94B5E" w:rsidRDefault="00F34BD4" w:rsidP="00B823C1">
            <w:pPr>
              <w:spacing w:after="0"/>
              <w:jc w:val="center"/>
              <w:rPr>
                <w:color w:val="000000"/>
                <w:szCs w:val="20"/>
                <w:lang w:eastAsia="pl-PL"/>
              </w:rPr>
            </w:pPr>
            <w:r w:rsidRPr="00D94B5E">
              <w:rPr>
                <w:color w:val="000000"/>
                <w:szCs w:val="20"/>
                <w:lang w:eastAsia="pl-PL"/>
              </w:rPr>
              <w:t>300</w:t>
            </w:r>
          </w:p>
        </w:tc>
        <w:tc>
          <w:tcPr>
            <w:tcW w:w="618" w:type="dxa"/>
            <w:tcBorders>
              <w:top w:val="single" w:sz="4" w:space="0" w:color="auto"/>
              <w:left w:val="single" w:sz="4" w:space="0" w:color="auto"/>
              <w:bottom w:val="single" w:sz="4" w:space="0" w:color="auto"/>
              <w:right w:val="single" w:sz="4" w:space="0" w:color="auto"/>
            </w:tcBorders>
          </w:tcPr>
          <w:p w14:paraId="4AF82954" w14:textId="77777777" w:rsidR="00F34BD4" w:rsidRPr="00D94B5E" w:rsidRDefault="00F34BD4" w:rsidP="00B823C1">
            <w:pPr>
              <w:spacing w:after="0"/>
              <w:jc w:val="center"/>
              <w:rPr>
                <w:color w:val="000000"/>
                <w:szCs w:val="20"/>
                <w:lang w:eastAsia="pl-PL"/>
              </w:rPr>
            </w:pPr>
            <w:r w:rsidRPr="00D94B5E">
              <w:rPr>
                <w:color w:val="000000"/>
                <w:szCs w:val="20"/>
                <w:lang w:eastAsia="pl-PL"/>
              </w:rPr>
              <w:t>300</w:t>
            </w:r>
          </w:p>
        </w:tc>
        <w:tc>
          <w:tcPr>
            <w:tcW w:w="618" w:type="dxa"/>
            <w:tcBorders>
              <w:top w:val="single" w:sz="4" w:space="0" w:color="auto"/>
              <w:left w:val="single" w:sz="4" w:space="0" w:color="auto"/>
              <w:bottom w:val="single" w:sz="4" w:space="0" w:color="auto"/>
              <w:right w:val="single" w:sz="4" w:space="0" w:color="auto"/>
            </w:tcBorders>
            <w:shd w:val="clear" w:color="auto" w:fill="auto"/>
            <w:noWrap/>
          </w:tcPr>
          <w:p w14:paraId="2D565C1A" w14:textId="77777777" w:rsidR="00F34BD4" w:rsidRPr="00D94B5E" w:rsidRDefault="00F34BD4" w:rsidP="00B823C1">
            <w:pPr>
              <w:spacing w:after="0"/>
              <w:jc w:val="center"/>
              <w:rPr>
                <w:color w:val="000000"/>
                <w:szCs w:val="20"/>
                <w:lang w:eastAsia="pl-PL"/>
              </w:rPr>
            </w:pPr>
            <w:r w:rsidRPr="00D94B5E">
              <w:rPr>
                <w:color w:val="000000"/>
                <w:szCs w:val="20"/>
                <w:lang w:eastAsia="pl-PL"/>
              </w:rPr>
              <w:t>300</w:t>
            </w:r>
          </w:p>
        </w:tc>
        <w:tc>
          <w:tcPr>
            <w:tcW w:w="1625" w:type="dxa"/>
            <w:vMerge/>
            <w:tcBorders>
              <w:left w:val="single" w:sz="4" w:space="0" w:color="auto"/>
              <w:right w:val="single" w:sz="4" w:space="0" w:color="auto"/>
            </w:tcBorders>
            <w:vAlign w:val="center"/>
            <w:hideMark/>
          </w:tcPr>
          <w:p w14:paraId="65180A17" w14:textId="77777777" w:rsidR="00F34BD4" w:rsidRPr="00D94B5E" w:rsidRDefault="00F34BD4" w:rsidP="00B823C1">
            <w:pPr>
              <w:spacing w:after="0"/>
              <w:jc w:val="center"/>
              <w:rPr>
                <w:color w:val="000000"/>
                <w:szCs w:val="20"/>
                <w:lang w:eastAsia="pl-PL"/>
              </w:rPr>
            </w:pPr>
          </w:p>
        </w:tc>
      </w:tr>
      <w:tr w:rsidR="00F34BD4" w:rsidRPr="00A40D2C" w14:paraId="16F2BE57" w14:textId="77777777" w:rsidTr="00B823C1">
        <w:trPr>
          <w:trHeight w:val="295"/>
        </w:trPr>
        <w:tc>
          <w:tcPr>
            <w:tcW w:w="1382" w:type="dxa"/>
            <w:vMerge/>
            <w:tcBorders>
              <w:left w:val="single" w:sz="4" w:space="0" w:color="auto"/>
              <w:right w:val="single" w:sz="4" w:space="0" w:color="auto"/>
            </w:tcBorders>
            <w:vAlign w:val="center"/>
            <w:hideMark/>
          </w:tcPr>
          <w:p w14:paraId="726130A0" w14:textId="77777777" w:rsidR="00F34BD4" w:rsidRPr="00D94B5E" w:rsidRDefault="00F34BD4" w:rsidP="00B823C1">
            <w:pPr>
              <w:spacing w:after="0"/>
              <w:jc w:val="center"/>
              <w:rPr>
                <w:color w:val="000000"/>
                <w:szCs w:val="20"/>
                <w:lang w:eastAsia="pl-PL"/>
              </w:rPr>
            </w:pPr>
          </w:p>
        </w:tc>
        <w:tc>
          <w:tcPr>
            <w:tcW w:w="620" w:type="dxa"/>
            <w:tcBorders>
              <w:top w:val="nil"/>
              <w:left w:val="nil"/>
              <w:bottom w:val="single" w:sz="4" w:space="0" w:color="auto"/>
              <w:right w:val="single" w:sz="4" w:space="0" w:color="auto"/>
            </w:tcBorders>
            <w:shd w:val="clear" w:color="auto" w:fill="auto"/>
            <w:noWrap/>
            <w:vAlign w:val="center"/>
          </w:tcPr>
          <w:p w14:paraId="15935234" w14:textId="77777777" w:rsidR="00F34BD4" w:rsidRPr="00D94B5E" w:rsidRDefault="00F34BD4" w:rsidP="00B823C1">
            <w:pPr>
              <w:spacing w:after="0"/>
              <w:jc w:val="center"/>
              <w:rPr>
                <w:color w:val="000000"/>
                <w:szCs w:val="20"/>
                <w:lang w:eastAsia="pl-PL"/>
              </w:rPr>
            </w:pPr>
            <w:r w:rsidRPr="00D94B5E">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4FC553E8" w14:textId="77777777" w:rsidR="00F34BD4" w:rsidRPr="00D94B5E" w:rsidRDefault="00F34BD4" w:rsidP="00B823C1">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6030BBE7" w14:textId="77777777" w:rsidR="00F34BD4" w:rsidRPr="00D94B5E" w:rsidRDefault="00F34BD4" w:rsidP="00B823C1">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48A577D7" w14:textId="77777777" w:rsidR="00F34BD4" w:rsidRPr="00D94B5E" w:rsidRDefault="00F34BD4" w:rsidP="00B823C1">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0EF354AA" w14:textId="77777777" w:rsidR="00F34BD4" w:rsidRPr="00D94B5E" w:rsidRDefault="00F34BD4" w:rsidP="00B823C1">
            <w:pPr>
              <w:spacing w:after="0"/>
              <w:jc w:val="center"/>
              <w:rPr>
                <w:color w:val="000000"/>
                <w:szCs w:val="20"/>
                <w:lang w:eastAsia="pl-PL"/>
              </w:rPr>
            </w:pPr>
            <w:r w:rsidRPr="00D94B5E">
              <w:rPr>
                <w:color w:val="000000"/>
                <w:szCs w:val="20"/>
                <w:lang w:eastAsia="pl-PL"/>
              </w:rPr>
              <w:t>300</w:t>
            </w:r>
          </w:p>
        </w:tc>
        <w:tc>
          <w:tcPr>
            <w:tcW w:w="618" w:type="dxa"/>
            <w:tcBorders>
              <w:top w:val="nil"/>
              <w:left w:val="nil"/>
              <w:bottom w:val="single" w:sz="4" w:space="0" w:color="auto"/>
              <w:right w:val="single" w:sz="4" w:space="0" w:color="auto"/>
            </w:tcBorders>
            <w:shd w:val="clear" w:color="auto" w:fill="auto"/>
            <w:noWrap/>
          </w:tcPr>
          <w:p w14:paraId="2803C444" w14:textId="77777777" w:rsidR="00F34BD4" w:rsidRPr="00D94B5E" w:rsidRDefault="00F34BD4" w:rsidP="00B823C1">
            <w:pPr>
              <w:spacing w:after="0"/>
              <w:jc w:val="center"/>
              <w:rPr>
                <w:color w:val="000000"/>
                <w:szCs w:val="20"/>
                <w:lang w:eastAsia="pl-PL"/>
              </w:rPr>
            </w:pPr>
            <w:r w:rsidRPr="00D94B5E">
              <w:rPr>
                <w:color w:val="000000"/>
                <w:szCs w:val="20"/>
                <w:lang w:eastAsia="pl-PL"/>
              </w:rPr>
              <w:t>300</w:t>
            </w:r>
          </w:p>
        </w:tc>
        <w:tc>
          <w:tcPr>
            <w:tcW w:w="617" w:type="dxa"/>
            <w:tcBorders>
              <w:top w:val="single" w:sz="4" w:space="0" w:color="auto"/>
              <w:left w:val="single" w:sz="4" w:space="0" w:color="auto"/>
              <w:bottom w:val="single" w:sz="4" w:space="0" w:color="auto"/>
              <w:right w:val="single" w:sz="4" w:space="0" w:color="auto"/>
            </w:tcBorders>
          </w:tcPr>
          <w:p w14:paraId="338D3B9F" w14:textId="77777777" w:rsidR="00F34BD4" w:rsidRPr="00D94B5E" w:rsidRDefault="00F34BD4" w:rsidP="00B823C1">
            <w:pPr>
              <w:spacing w:after="0"/>
              <w:jc w:val="center"/>
              <w:rPr>
                <w:color w:val="000000"/>
                <w:szCs w:val="20"/>
                <w:lang w:eastAsia="pl-PL"/>
              </w:rPr>
            </w:pPr>
            <w:r w:rsidRPr="00D94B5E">
              <w:rPr>
                <w:color w:val="000000"/>
                <w:szCs w:val="20"/>
                <w:lang w:eastAsia="pl-PL"/>
              </w:rPr>
              <w:t>300</w:t>
            </w:r>
          </w:p>
        </w:tc>
        <w:tc>
          <w:tcPr>
            <w:tcW w:w="618" w:type="dxa"/>
            <w:tcBorders>
              <w:top w:val="single" w:sz="4" w:space="0" w:color="auto"/>
              <w:left w:val="single" w:sz="4" w:space="0" w:color="auto"/>
              <w:bottom w:val="single" w:sz="4" w:space="0" w:color="auto"/>
              <w:right w:val="single" w:sz="4" w:space="0" w:color="auto"/>
            </w:tcBorders>
          </w:tcPr>
          <w:p w14:paraId="4C351136" w14:textId="77777777" w:rsidR="00F34BD4" w:rsidRPr="00D94B5E" w:rsidRDefault="00F34BD4" w:rsidP="00B823C1">
            <w:pPr>
              <w:spacing w:after="0"/>
              <w:jc w:val="center"/>
              <w:rPr>
                <w:color w:val="000000"/>
                <w:szCs w:val="20"/>
                <w:lang w:eastAsia="pl-PL"/>
              </w:rPr>
            </w:pPr>
            <w:r w:rsidRPr="00D94B5E">
              <w:rPr>
                <w:color w:val="000000"/>
                <w:szCs w:val="20"/>
                <w:lang w:eastAsia="pl-PL"/>
              </w:rPr>
              <w:t>300</w:t>
            </w:r>
          </w:p>
        </w:tc>
        <w:tc>
          <w:tcPr>
            <w:tcW w:w="618" w:type="dxa"/>
            <w:tcBorders>
              <w:top w:val="single" w:sz="4" w:space="0" w:color="auto"/>
              <w:left w:val="single" w:sz="4" w:space="0" w:color="auto"/>
              <w:bottom w:val="single" w:sz="4" w:space="0" w:color="auto"/>
              <w:right w:val="single" w:sz="4" w:space="0" w:color="auto"/>
            </w:tcBorders>
          </w:tcPr>
          <w:p w14:paraId="2AE22547" w14:textId="77777777" w:rsidR="00F34BD4" w:rsidRPr="00D94B5E" w:rsidRDefault="00F34BD4" w:rsidP="00B823C1">
            <w:pPr>
              <w:spacing w:after="0"/>
              <w:jc w:val="center"/>
              <w:rPr>
                <w:color w:val="000000"/>
                <w:szCs w:val="20"/>
                <w:lang w:eastAsia="pl-PL"/>
              </w:rPr>
            </w:pPr>
            <w:r w:rsidRPr="00D94B5E">
              <w:rPr>
                <w:color w:val="000000"/>
                <w:szCs w:val="20"/>
                <w:lang w:eastAsia="pl-PL"/>
              </w:rPr>
              <w:t>300</w:t>
            </w:r>
          </w:p>
        </w:tc>
        <w:tc>
          <w:tcPr>
            <w:tcW w:w="618" w:type="dxa"/>
            <w:tcBorders>
              <w:top w:val="single" w:sz="4" w:space="0" w:color="auto"/>
              <w:left w:val="single" w:sz="4" w:space="0" w:color="auto"/>
              <w:bottom w:val="single" w:sz="4" w:space="0" w:color="auto"/>
              <w:right w:val="single" w:sz="4" w:space="0" w:color="auto"/>
            </w:tcBorders>
            <w:shd w:val="clear" w:color="auto" w:fill="auto"/>
            <w:noWrap/>
          </w:tcPr>
          <w:p w14:paraId="40BCD468" w14:textId="77777777" w:rsidR="00F34BD4" w:rsidRPr="00D94B5E" w:rsidRDefault="00F34BD4" w:rsidP="00B823C1">
            <w:pPr>
              <w:spacing w:after="0"/>
              <w:jc w:val="center"/>
              <w:rPr>
                <w:color w:val="000000"/>
                <w:szCs w:val="20"/>
                <w:lang w:eastAsia="pl-PL"/>
              </w:rPr>
            </w:pPr>
            <w:r w:rsidRPr="00D94B5E">
              <w:rPr>
                <w:color w:val="000000"/>
                <w:szCs w:val="20"/>
                <w:lang w:eastAsia="pl-PL"/>
              </w:rPr>
              <w:t>300</w:t>
            </w:r>
          </w:p>
        </w:tc>
        <w:tc>
          <w:tcPr>
            <w:tcW w:w="1625" w:type="dxa"/>
            <w:vMerge/>
            <w:tcBorders>
              <w:left w:val="single" w:sz="4" w:space="0" w:color="auto"/>
              <w:right w:val="single" w:sz="4" w:space="0" w:color="auto"/>
            </w:tcBorders>
            <w:shd w:val="clear" w:color="auto" w:fill="auto"/>
            <w:vAlign w:val="center"/>
            <w:hideMark/>
          </w:tcPr>
          <w:p w14:paraId="272D7BCA" w14:textId="77777777" w:rsidR="00F34BD4" w:rsidRPr="00D94B5E" w:rsidRDefault="00F34BD4" w:rsidP="00B823C1">
            <w:pPr>
              <w:spacing w:after="0"/>
              <w:jc w:val="center"/>
              <w:rPr>
                <w:color w:val="000000"/>
                <w:szCs w:val="20"/>
                <w:lang w:eastAsia="pl-PL"/>
              </w:rPr>
            </w:pPr>
          </w:p>
        </w:tc>
      </w:tr>
      <w:tr w:rsidR="00F34BD4" w:rsidRPr="00A40D2C" w14:paraId="0CB42C0D" w14:textId="77777777" w:rsidTr="00B823C1">
        <w:trPr>
          <w:trHeight w:val="295"/>
        </w:trPr>
        <w:tc>
          <w:tcPr>
            <w:tcW w:w="1382" w:type="dxa"/>
            <w:vMerge/>
            <w:tcBorders>
              <w:left w:val="single" w:sz="4" w:space="0" w:color="auto"/>
              <w:right w:val="single" w:sz="4" w:space="0" w:color="auto"/>
            </w:tcBorders>
            <w:vAlign w:val="center"/>
            <w:hideMark/>
          </w:tcPr>
          <w:p w14:paraId="797CCDCB" w14:textId="77777777" w:rsidR="00F34BD4" w:rsidRPr="00D94B5E" w:rsidRDefault="00F34BD4" w:rsidP="00B823C1">
            <w:pPr>
              <w:spacing w:after="0"/>
              <w:jc w:val="center"/>
              <w:rPr>
                <w:color w:val="000000"/>
                <w:szCs w:val="20"/>
                <w:lang w:eastAsia="pl-PL"/>
              </w:rPr>
            </w:pPr>
          </w:p>
        </w:tc>
        <w:tc>
          <w:tcPr>
            <w:tcW w:w="620" w:type="dxa"/>
            <w:tcBorders>
              <w:top w:val="nil"/>
              <w:left w:val="nil"/>
              <w:bottom w:val="single" w:sz="4" w:space="0" w:color="auto"/>
              <w:right w:val="single" w:sz="4" w:space="0" w:color="auto"/>
            </w:tcBorders>
            <w:shd w:val="clear" w:color="auto" w:fill="auto"/>
            <w:noWrap/>
            <w:vAlign w:val="center"/>
          </w:tcPr>
          <w:p w14:paraId="43EFDBCF" w14:textId="77777777" w:rsidR="00F34BD4" w:rsidRPr="00D94B5E" w:rsidRDefault="00F34BD4" w:rsidP="00B823C1">
            <w:pPr>
              <w:spacing w:after="0"/>
              <w:jc w:val="center"/>
              <w:rPr>
                <w:color w:val="000000"/>
                <w:szCs w:val="20"/>
                <w:lang w:eastAsia="pl-PL"/>
              </w:rPr>
            </w:pPr>
            <w:r w:rsidRPr="00D94B5E">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63D05FCD" w14:textId="77777777" w:rsidR="00F34BD4" w:rsidRPr="00D94B5E" w:rsidRDefault="00F34BD4" w:rsidP="00B823C1">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4BF81FE0" w14:textId="77777777" w:rsidR="00F34BD4" w:rsidRPr="00D94B5E" w:rsidRDefault="00F34BD4" w:rsidP="00B823C1">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tcPr>
          <w:p w14:paraId="08EBBD81" w14:textId="77777777" w:rsidR="00F34BD4" w:rsidRPr="00D94B5E" w:rsidRDefault="00F34BD4" w:rsidP="00B823C1">
            <w:pPr>
              <w:spacing w:after="0"/>
              <w:jc w:val="center"/>
              <w:rPr>
                <w:color w:val="000000"/>
                <w:szCs w:val="20"/>
                <w:lang w:eastAsia="pl-PL"/>
              </w:rPr>
            </w:pPr>
            <w:r w:rsidRPr="00D94B5E">
              <w:rPr>
                <w:color w:val="000000"/>
                <w:szCs w:val="20"/>
                <w:lang w:eastAsia="pl-PL"/>
              </w:rPr>
              <w:t>300</w:t>
            </w:r>
          </w:p>
        </w:tc>
        <w:tc>
          <w:tcPr>
            <w:tcW w:w="618" w:type="dxa"/>
            <w:tcBorders>
              <w:top w:val="nil"/>
              <w:left w:val="nil"/>
              <w:bottom w:val="single" w:sz="4" w:space="0" w:color="auto"/>
              <w:right w:val="single" w:sz="4" w:space="0" w:color="auto"/>
            </w:tcBorders>
            <w:shd w:val="clear" w:color="auto" w:fill="auto"/>
            <w:noWrap/>
          </w:tcPr>
          <w:p w14:paraId="56D1AB45" w14:textId="77777777" w:rsidR="00F34BD4" w:rsidRPr="00D94B5E" w:rsidRDefault="00F34BD4" w:rsidP="00B823C1">
            <w:pPr>
              <w:spacing w:after="0"/>
              <w:jc w:val="center"/>
              <w:rPr>
                <w:color w:val="000000"/>
                <w:szCs w:val="20"/>
                <w:lang w:eastAsia="pl-PL"/>
              </w:rPr>
            </w:pPr>
            <w:r w:rsidRPr="00D94B5E">
              <w:rPr>
                <w:color w:val="000000"/>
                <w:szCs w:val="20"/>
                <w:lang w:eastAsia="pl-PL"/>
              </w:rPr>
              <w:t>300</w:t>
            </w:r>
          </w:p>
        </w:tc>
        <w:tc>
          <w:tcPr>
            <w:tcW w:w="618" w:type="dxa"/>
            <w:tcBorders>
              <w:top w:val="nil"/>
              <w:left w:val="nil"/>
              <w:bottom w:val="single" w:sz="4" w:space="0" w:color="auto"/>
              <w:right w:val="single" w:sz="4" w:space="0" w:color="auto"/>
            </w:tcBorders>
            <w:shd w:val="clear" w:color="auto" w:fill="auto"/>
            <w:noWrap/>
          </w:tcPr>
          <w:p w14:paraId="44A452C1" w14:textId="77777777" w:rsidR="00F34BD4" w:rsidRPr="00D94B5E" w:rsidRDefault="00F34BD4" w:rsidP="00B823C1">
            <w:pPr>
              <w:spacing w:after="0"/>
              <w:jc w:val="center"/>
              <w:rPr>
                <w:color w:val="000000"/>
                <w:szCs w:val="20"/>
                <w:lang w:eastAsia="pl-PL"/>
              </w:rPr>
            </w:pPr>
            <w:r w:rsidRPr="00D94B5E">
              <w:rPr>
                <w:color w:val="000000"/>
                <w:szCs w:val="20"/>
                <w:lang w:eastAsia="pl-PL"/>
              </w:rPr>
              <w:t>300</w:t>
            </w:r>
          </w:p>
        </w:tc>
        <w:tc>
          <w:tcPr>
            <w:tcW w:w="617" w:type="dxa"/>
            <w:tcBorders>
              <w:top w:val="single" w:sz="4" w:space="0" w:color="auto"/>
              <w:left w:val="single" w:sz="4" w:space="0" w:color="auto"/>
              <w:bottom w:val="single" w:sz="4" w:space="0" w:color="auto"/>
              <w:right w:val="single" w:sz="4" w:space="0" w:color="auto"/>
            </w:tcBorders>
          </w:tcPr>
          <w:p w14:paraId="6F078409" w14:textId="77777777" w:rsidR="00F34BD4" w:rsidRPr="00D94B5E" w:rsidRDefault="00F34BD4" w:rsidP="00B823C1">
            <w:pPr>
              <w:spacing w:after="0"/>
              <w:jc w:val="center"/>
              <w:rPr>
                <w:color w:val="000000"/>
                <w:szCs w:val="20"/>
                <w:lang w:eastAsia="pl-PL"/>
              </w:rPr>
            </w:pPr>
            <w:r w:rsidRPr="00D94B5E">
              <w:rPr>
                <w:color w:val="000000"/>
                <w:szCs w:val="20"/>
                <w:lang w:eastAsia="pl-PL"/>
              </w:rPr>
              <w:t>300</w:t>
            </w:r>
          </w:p>
        </w:tc>
        <w:tc>
          <w:tcPr>
            <w:tcW w:w="618" w:type="dxa"/>
            <w:tcBorders>
              <w:top w:val="single" w:sz="4" w:space="0" w:color="auto"/>
              <w:left w:val="single" w:sz="4" w:space="0" w:color="auto"/>
              <w:bottom w:val="single" w:sz="4" w:space="0" w:color="auto"/>
              <w:right w:val="single" w:sz="4" w:space="0" w:color="auto"/>
            </w:tcBorders>
          </w:tcPr>
          <w:p w14:paraId="0E6149E1" w14:textId="77777777" w:rsidR="00F34BD4" w:rsidRPr="00D94B5E" w:rsidRDefault="00F34BD4" w:rsidP="00B823C1">
            <w:pPr>
              <w:spacing w:after="0"/>
              <w:jc w:val="center"/>
              <w:rPr>
                <w:color w:val="000000"/>
                <w:szCs w:val="20"/>
                <w:lang w:eastAsia="pl-PL"/>
              </w:rPr>
            </w:pPr>
            <w:r w:rsidRPr="00D94B5E">
              <w:rPr>
                <w:color w:val="000000"/>
                <w:szCs w:val="20"/>
                <w:lang w:eastAsia="pl-PL"/>
              </w:rPr>
              <w:t>300</w:t>
            </w:r>
          </w:p>
        </w:tc>
        <w:tc>
          <w:tcPr>
            <w:tcW w:w="618" w:type="dxa"/>
            <w:tcBorders>
              <w:top w:val="single" w:sz="4" w:space="0" w:color="auto"/>
              <w:left w:val="single" w:sz="4" w:space="0" w:color="auto"/>
              <w:bottom w:val="single" w:sz="4" w:space="0" w:color="auto"/>
              <w:right w:val="single" w:sz="4" w:space="0" w:color="auto"/>
            </w:tcBorders>
          </w:tcPr>
          <w:p w14:paraId="455BF2E9" w14:textId="77777777" w:rsidR="00F34BD4" w:rsidRPr="00D94B5E" w:rsidRDefault="00F34BD4" w:rsidP="00B823C1">
            <w:pPr>
              <w:spacing w:after="0"/>
              <w:jc w:val="center"/>
              <w:rPr>
                <w:color w:val="000000"/>
                <w:szCs w:val="20"/>
                <w:lang w:eastAsia="pl-PL"/>
              </w:rPr>
            </w:pPr>
            <w:r w:rsidRPr="00D94B5E">
              <w:rPr>
                <w:color w:val="000000"/>
                <w:szCs w:val="20"/>
                <w:lang w:eastAsia="pl-PL"/>
              </w:rPr>
              <w:t>300</w:t>
            </w:r>
          </w:p>
        </w:tc>
        <w:tc>
          <w:tcPr>
            <w:tcW w:w="618" w:type="dxa"/>
            <w:tcBorders>
              <w:top w:val="single" w:sz="4" w:space="0" w:color="auto"/>
              <w:left w:val="single" w:sz="4" w:space="0" w:color="auto"/>
              <w:bottom w:val="single" w:sz="4" w:space="0" w:color="auto"/>
              <w:right w:val="single" w:sz="4" w:space="0" w:color="auto"/>
            </w:tcBorders>
            <w:shd w:val="clear" w:color="auto" w:fill="auto"/>
            <w:noWrap/>
          </w:tcPr>
          <w:p w14:paraId="7382BAFE" w14:textId="77777777" w:rsidR="00F34BD4" w:rsidRPr="00D94B5E" w:rsidRDefault="00F34BD4" w:rsidP="00B823C1">
            <w:pPr>
              <w:spacing w:after="0"/>
              <w:jc w:val="center"/>
              <w:rPr>
                <w:color w:val="000000"/>
                <w:szCs w:val="20"/>
                <w:lang w:eastAsia="pl-PL"/>
              </w:rPr>
            </w:pPr>
            <w:r w:rsidRPr="00D94B5E">
              <w:rPr>
                <w:color w:val="000000"/>
                <w:szCs w:val="20"/>
                <w:lang w:eastAsia="pl-PL"/>
              </w:rPr>
              <w:t>300</w:t>
            </w:r>
          </w:p>
        </w:tc>
        <w:tc>
          <w:tcPr>
            <w:tcW w:w="1625" w:type="dxa"/>
            <w:vMerge/>
            <w:tcBorders>
              <w:left w:val="single" w:sz="4" w:space="0" w:color="auto"/>
              <w:right w:val="single" w:sz="4" w:space="0" w:color="auto"/>
            </w:tcBorders>
            <w:vAlign w:val="center"/>
            <w:hideMark/>
          </w:tcPr>
          <w:p w14:paraId="794CA71E" w14:textId="77777777" w:rsidR="00F34BD4" w:rsidRPr="00D94B5E" w:rsidRDefault="00F34BD4" w:rsidP="00B823C1">
            <w:pPr>
              <w:spacing w:after="0"/>
              <w:jc w:val="center"/>
              <w:rPr>
                <w:color w:val="000000"/>
                <w:szCs w:val="20"/>
                <w:lang w:eastAsia="pl-PL"/>
              </w:rPr>
            </w:pPr>
          </w:p>
        </w:tc>
      </w:tr>
      <w:tr w:rsidR="00F34BD4" w:rsidRPr="00A40D2C" w14:paraId="4259F38F" w14:textId="77777777" w:rsidTr="00B823C1">
        <w:trPr>
          <w:trHeight w:val="295"/>
        </w:trPr>
        <w:tc>
          <w:tcPr>
            <w:tcW w:w="1382" w:type="dxa"/>
            <w:vMerge/>
            <w:tcBorders>
              <w:left w:val="single" w:sz="4" w:space="0" w:color="auto"/>
              <w:right w:val="single" w:sz="4" w:space="0" w:color="auto"/>
            </w:tcBorders>
            <w:vAlign w:val="center"/>
          </w:tcPr>
          <w:p w14:paraId="770AB5D4" w14:textId="77777777" w:rsidR="00F34BD4" w:rsidRPr="00D94B5E" w:rsidRDefault="00F34BD4" w:rsidP="00B823C1">
            <w:pPr>
              <w:spacing w:after="0"/>
              <w:jc w:val="center"/>
              <w:rPr>
                <w:color w:val="000000"/>
                <w:szCs w:val="20"/>
                <w:lang w:eastAsia="pl-PL"/>
              </w:rPr>
            </w:pPr>
          </w:p>
        </w:tc>
        <w:tc>
          <w:tcPr>
            <w:tcW w:w="620" w:type="dxa"/>
            <w:tcBorders>
              <w:top w:val="nil"/>
              <w:left w:val="nil"/>
              <w:bottom w:val="single" w:sz="4" w:space="0" w:color="auto"/>
              <w:right w:val="single" w:sz="4" w:space="0" w:color="auto"/>
            </w:tcBorders>
            <w:shd w:val="clear" w:color="auto" w:fill="auto"/>
            <w:noWrap/>
            <w:vAlign w:val="center"/>
          </w:tcPr>
          <w:p w14:paraId="70EE6E50" w14:textId="77777777" w:rsidR="00F34BD4" w:rsidRPr="00D94B5E" w:rsidRDefault="00F34BD4" w:rsidP="00B823C1">
            <w:pPr>
              <w:spacing w:after="0"/>
              <w:jc w:val="center"/>
              <w:rPr>
                <w:color w:val="000000"/>
                <w:szCs w:val="20"/>
                <w:lang w:eastAsia="pl-PL"/>
              </w:rPr>
            </w:pPr>
            <w:r w:rsidRPr="00D94B5E">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060AED46" w14:textId="77777777" w:rsidR="00F34BD4" w:rsidRPr="00D94B5E" w:rsidRDefault="00F34BD4" w:rsidP="00B823C1">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tcPr>
          <w:p w14:paraId="6C3D53CB" w14:textId="77777777" w:rsidR="00F34BD4" w:rsidRPr="00D94B5E" w:rsidRDefault="00F34BD4" w:rsidP="00B823C1">
            <w:pPr>
              <w:spacing w:after="0"/>
              <w:jc w:val="center"/>
              <w:rPr>
                <w:color w:val="000000"/>
                <w:szCs w:val="20"/>
                <w:lang w:eastAsia="pl-PL"/>
              </w:rPr>
            </w:pPr>
            <w:r w:rsidRPr="00D94B5E">
              <w:rPr>
                <w:color w:val="000000"/>
                <w:szCs w:val="20"/>
                <w:lang w:eastAsia="pl-PL"/>
              </w:rPr>
              <w:t>300</w:t>
            </w:r>
          </w:p>
        </w:tc>
        <w:tc>
          <w:tcPr>
            <w:tcW w:w="618" w:type="dxa"/>
            <w:tcBorders>
              <w:top w:val="nil"/>
              <w:left w:val="nil"/>
              <w:bottom w:val="single" w:sz="4" w:space="0" w:color="auto"/>
              <w:right w:val="single" w:sz="4" w:space="0" w:color="auto"/>
            </w:tcBorders>
            <w:shd w:val="clear" w:color="auto" w:fill="auto"/>
            <w:noWrap/>
          </w:tcPr>
          <w:p w14:paraId="07C489E3" w14:textId="77777777" w:rsidR="00F34BD4" w:rsidRPr="00D94B5E" w:rsidRDefault="00F34BD4" w:rsidP="00B823C1">
            <w:pPr>
              <w:spacing w:after="0"/>
              <w:jc w:val="center"/>
              <w:rPr>
                <w:color w:val="000000"/>
                <w:szCs w:val="20"/>
                <w:lang w:eastAsia="pl-PL"/>
              </w:rPr>
            </w:pPr>
            <w:r w:rsidRPr="00D94B5E">
              <w:rPr>
                <w:color w:val="000000"/>
                <w:szCs w:val="20"/>
                <w:lang w:eastAsia="pl-PL"/>
              </w:rPr>
              <w:t>300</w:t>
            </w:r>
          </w:p>
        </w:tc>
        <w:tc>
          <w:tcPr>
            <w:tcW w:w="618" w:type="dxa"/>
            <w:tcBorders>
              <w:top w:val="nil"/>
              <w:left w:val="nil"/>
              <w:bottom w:val="single" w:sz="4" w:space="0" w:color="auto"/>
              <w:right w:val="single" w:sz="4" w:space="0" w:color="auto"/>
            </w:tcBorders>
            <w:shd w:val="clear" w:color="auto" w:fill="auto"/>
            <w:noWrap/>
          </w:tcPr>
          <w:p w14:paraId="19EA75C0" w14:textId="77777777" w:rsidR="00F34BD4" w:rsidRPr="00D94B5E" w:rsidRDefault="00F34BD4" w:rsidP="00B823C1">
            <w:pPr>
              <w:spacing w:after="0"/>
              <w:jc w:val="center"/>
              <w:rPr>
                <w:color w:val="000000"/>
                <w:szCs w:val="20"/>
                <w:lang w:eastAsia="pl-PL"/>
              </w:rPr>
            </w:pPr>
            <w:r w:rsidRPr="00D94B5E">
              <w:rPr>
                <w:color w:val="000000"/>
                <w:szCs w:val="20"/>
                <w:lang w:eastAsia="pl-PL"/>
              </w:rPr>
              <w:t>300</w:t>
            </w:r>
          </w:p>
        </w:tc>
        <w:tc>
          <w:tcPr>
            <w:tcW w:w="618" w:type="dxa"/>
            <w:tcBorders>
              <w:top w:val="nil"/>
              <w:left w:val="nil"/>
              <w:bottom w:val="single" w:sz="4" w:space="0" w:color="auto"/>
              <w:right w:val="single" w:sz="4" w:space="0" w:color="auto"/>
            </w:tcBorders>
            <w:shd w:val="clear" w:color="auto" w:fill="auto"/>
            <w:noWrap/>
          </w:tcPr>
          <w:p w14:paraId="52B407A3" w14:textId="77777777" w:rsidR="00F34BD4" w:rsidRPr="00D94B5E" w:rsidRDefault="00F34BD4" w:rsidP="00B823C1">
            <w:pPr>
              <w:spacing w:after="0"/>
              <w:jc w:val="center"/>
              <w:rPr>
                <w:color w:val="000000"/>
                <w:szCs w:val="20"/>
                <w:lang w:eastAsia="pl-PL"/>
              </w:rPr>
            </w:pPr>
            <w:r w:rsidRPr="00D94B5E">
              <w:rPr>
                <w:color w:val="000000"/>
                <w:szCs w:val="20"/>
                <w:lang w:eastAsia="pl-PL"/>
              </w:rPr>
              <w:t>300</w:t>
            </w:r>
          </w:p>
        </w:tc>
        <w:tc>
          <w:tcPr>
            <w:tcW w:w="617" w:type="dxa"/>
            <w:tcBorders>
              <w:top w:val="single" w:sz="4" w:space="0" w:color="auto"/>
              <w:left w:val="single" w:sz="4" w:space="0" w:color="auto"/>
              <w:bottom w:val="single" w:sz="4" w:space="0" w:color="auto"/>
              <w:right w:val="single" w:sz="4" w:space="0" w:color="auto"/>
            </w:tcBorders>
          </w:tcPr>
          <w:p w14:paraId="5F95DD97" w14:textId="77777777" w:rsidR="00F34BD4" w:rsidRPr="00D94B5E" w:rsidRDefault="00F34BD4" w:rsidP="00B823C1">
            <w:pPr>
              <w:spacing w:after="0"/>
              <w:jc w:val="center"/>
              <w:rPr>
                <w:color w:val="000000"/>
                <w:szCs w:val="20"/>
                <w:lang w:eastAsia="pl-PL"/>
              </w:rPr>
            </w:pPr>
            <w:r w:rsidRPr="00D94B5E">
              <w:rPr>
                <w:color w:val="000000"/>
                <w:szCs w:val="20"/>
                <w:lang w:eastAsia="pl-PL"/>
              </w:rPr>
              <w:t>300</w:t>
            </w:r>
          </w:p>
        </w:tc>
        <w:tc>
          <w:tcPr>
            <w:tcW w:w="618" w:type="dxa"/>
            <w:tcBorders>
              <w:top w:val="single" w:sz="4" w:space="0" w:color="auto"/>
              <w:left w:val="single" w:sz="4" w:space="0" w:color="auto"/>
              <w:bottom w:val="single" w:sz="4" w:space="0" w:color="auto"/>
              <w:right w:val="single" w:sz="4" w:space="0" w:color="auto"/>
            </w:tcBorders>
          </w:tcPr>
          <w:p w14:paraId="1362E0D8" w14:textId="77777777" w:rsidR="00F34BD4" w:rsidRPr="00D94B5E" w:rsidRDefault="00F34BD4" w:rsidP="00B823C1">
            <w:pPr>
              <w:spacing w:after="0"/>
              <w:jc w:val="center"/>
              <w:rPr>
                <w:color w:val="000000"/>
                <w:szCs w:val="20"/>
                <w:lang w:eastAsia="pl-PL"/>
              </w:rPr>
            </w:pPr>
            <w:r w:rsidRPr="00D94B5E">
              <w:rPr>
                <w:color w:val="000000"/>
                <w:szCs w:val="20"/>
                <w:lang w:eastAsia="pl-PL"/>
              </w:rPr>
              <w:t>300</w:t>
            </w:r>
          </w:p>
        </w:tc>
        <w:tc>
          <w:tcPr>
            <w:tcW w:w="618" w:type="dxa"/>
            <w:tcBorders>
              <w:top w:val="single" w:sz="4" w:space="0" w:color="auto"/>
              <w:left w:val="single" w:sz="4" w:space="0" w:color="auto"/>
              <w:bottom w:val="single" w:sz="4" w:space="0" w:color="auto"/>
              <w:right w:val="single" w:sz="4" w:space="0" w:color="auto"/>
            </w:tcBorders>
          </w:tcPr>
          <w:p w14:paraId="53588307" w14:textId="77777777" w:rsidR="00F34BD4" w:rsidRPr="00D94B5E" w:rsidRDefault="00F34BD4" w:rsidP="00B823C1">
            <w:pPr>
              <w:spacing w:after="0"/>
              <w:jc w:val="center"/>
              <w:rPr>
                <w:color w:val="000000"/>
                <w:szCs w:val="20"/>
                <w:lang w:eastAsia="pl-PL"/>
              </w:rPr>
            </w:pPr>
            <w:r w:rsidRPr="00D94B5E">
              <w:rPr>
                <w:color w:val="000000"/>
                <w:szCs w:val="20"/>
                <w:lang w:eastAsia="pl-PL"/>
              </w:rPr>
              <w:t>300</w:t>
            </w:r>
          </w:p>
        </w:tc>
        <w:tc>
          <w:tcPr>
            <w:tcW w:w="618" w:type="dxa"/>
            <w:tcBorders>
              <w:top w:val="single" w:sz="4" w:space="0" w:color="auto"/>
              <w:left w:val="single" w:sz="4" w:space="0" w:color="auto"/>
              <w:bottom w:val="single" w:sz="4" w:space="0" w:color="auto"/>
              <w:right w:val="single" w:sz="4" w:space="0" w:color="auto"/>
            </w:tcBorders>
            <w:shd w:val="clear" w:color="auto" w:fill="auto"/>
            <w:noWrap/>
          </w:tcPr>
          <w:p w14:paraId="05A7851A" w14:textId="77777777" w:rsidR="00F34BD4" w:rsidRPr="00D94B5E" w:rsidRDefault="00F34BD4" w:rsidP="00B823C1">
            <w:pPr>
              <w:spacing w:after="0"/>
              <w:jc w:val="center"/>
              <w:rPr>
                <w:color w:val="000000"/>
                <w:szCs w:val="20"/>
                <w:lang w:eastAsia="pl-PL"/>
              </w:rPr>
            </w:pPr>
            <w:r w:rsidRPr="00D94B5E">
              <w:rPr>
                <w:color w:val="000000"/>
                <w:szCs w:val="20"/>
                <w:lang w:eastAsia="pl-PL"/>
              </w:rPr>
              <w:t>300</w:t>
            </w:r>
          </w:p>
        </w:tc>
        <w:tc>
          <w:tcPr>
            <w:tcW w:w="1625" w:type="dxa"/>
            <w:vMerge/>
            <w:tcBorders>
              <w:left w:val="single" w:sz="4" w:space="0" w:color="auto"/>
              <w:right w:val="single" w:sz="4" w:space="0" w:color="auto"/>
            </w:tcBorders>
            <w:vAlign w:val="center"/>
          </w:tcPr>
          <w:p w14:paraId="06A9FCF5" w14:textId="77777777" w:rsidR="00F34BD4" w:rsidRPr="00D94B5E" w:rsidRDefault="00F34BD4" w:rsidP="00B823C1">
            <w:pPr>
              <w:spacing w:after="0"/>
              <w:jc w:val="center"/>
              <w:rPr>
                <w:color w:val="000000"/>
                <w:szCs w:val="20"/>
                <w:lang w:eastAsia="pl-PL"/>
              </w:rPr>
            </w:pPr>
          </w:p>
        </w:tc>
      </w:tr>
      <w:tr w:rsidR="00F34BD4" w:rsidRPr="00A40D2C" w14:paraId="63AE5885" w14:textId="77777777" w:rsidTr="00B823C1">
        <w:trPr>
          <w:trHeight w:val="295"/>
        </w:trPr>
        <w:tc>
          <w:tcPr>
            <w:tcW w:w="1382" w:type="dxa"/>
            <w:vMerge/>
            <w:tcBorders>
              <w:left w:val="single" w:sz="4" w:space="0" w:color="auto"/>
              <w:right w:val="single" w:sz="4" w:space="0" w:color="auto"/>
            </w:tcBorders>
            <w:vAlign w:val="center"/>
          </w:tcPr>
          <w:p w14:paraId="0FE18367" w14:textId="77777777" w:rsidR="00F34BD4" w:rsidRPr="00D94B5E" w:rsidRDefault="00F34BD4" w:rsidP="00B823C1">
            <w:pPr>
              <w:spacing w:after="0"/>
              <w:jc w:val="center"/>
              <w:rPr>
                <w:color w:val="000000"/>
                <w:szCs w:val="20"/>
                <w:lang w:eastAsia="pl-PL"/>
              </w:rPr>
            </w:pPr>
          </w:p>
        </w:tc>
        <w:tc>
          <w:tcPr>
            <w:tcW w:w="620" w:type="dxa"/>
            <w:tcBorders>
              <w:top w:val="nil"/>
              <w:left w:val="nil"/>
              <w:bottom w:val="single" w:sz="4" w:space="0" w:color="auto"/>
              <w:right w:val="single" w:sz="4" w:space="0" w:color="auto"/>
            </w:tcBorders>
            <w:shd w:val="clear" w:color="auto" w:fill="auto"/>
            <w:noWrap/>
            <w:vAlign w:val="center"/>
          </w:tcPr>
          <w:p w14:paraId="597AC0B6" w14:textId="77777777" w:rsidR="00F34BD4" w:rsidRPr="00D94B5E" w:rsidRDefault="00F34BD4" w:rsidP="00B823C1">
            <w:pPr>
              <w:spacing w:after="0"/>
              <w:jc w:val="center"/>
              <w:rPr>
                <w:color w:val="000000"/>
                <w:szCs w:val="20"/>
                <w:lang w:eastAsia="pl-PL"/>
              </w:rPr>
            </w:pPr>
            <w:r w:rsidRPr="00D94B5E">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553FEC18" w14:textId="77777777" w:rsidR="00F34BD4" w:rsidRPr="00D94B5E" w:rsidRDefault="00F34BD4" w:rsidP="00B823C1">
            <w:pPr>
              <w:spacing w:after="0"/>
              <w:jc w:val="center"/>
              <w:rPr>
                <w:color w:val="000000"/>
                <w:szCs w:val="20"/>
                <w:lang w:eastAsia="pl-PL"/>
              </w:rPr>
            </w:pPr>
            <w:r w:rsidRPr="00D94B5E">
              <w:rPr>
                <w:color w:val="000000"/>
                <w:szCs w:val="20"/>
                <w:lang w:eastAsia="pl-PL"/>
              </w:rPr>
              <w:t>300</w:t>
            </w:r>
          </w:p>
        </w:tc>
        <w:tc>
          <w:tcPr>
            <w:tcW w:w="618" w:type="dxa"/>
            <w:tcBorders>
              <w:top w:val="nil"/>
              <w:left w:val="nil"/>
              <w:bottom w:val="single" w:sz="4" w:space="0" w:color="auto"/>
              <w:right w:val="single" w:sz="4" w:space="0" w:color="auto"/>
            </w:tcBorders>
            <w:shd w:val="clear" w:color="auto" w:fill="auto"/>
            <w:noWrap/>
          </w:tcPr>
          <w:p w14:paraId="105136BA" w14:textId="77777777" w:rsidR="00F34BD4" w:rsidRPr="00D94B5E" w:rsidRDefault="00F34BD4" w:rsidP="00B823C1">
            <w:pPr>
              <w:spacing w:after="0"/>
              <w:jc w:val="center"/>
              <w:rPr>
                <w:color w:val="000000"/>
                <w:szCs w:val="20"/>
                <w:lang w:eastAsia="pl-PL"/>
              </w:rPr>
            </w:pPr>
            <w:r w:rsidRPr="00D94B5E">
              <w:rPr>
                <w:color w:val="000000"/>
                <w:szCs w:val="20"/>
                <w:lang w:eastAsia="pl-PL"/>
              </w:rPr>
              <w:t>300</w:t>
            </w:r>
          </w:p>
        </w:tc>
        <w:tc>
          <w:tcPr>
            <w:tcW w:w="618" w:type="dxa"/>
            <w:tcBorders>
              <w:top w:val="nil"/>
              <w:left w:val="nil"/>
              <w:bottom w:val="single" w:sz="4" w:space="0" w:color="auto"/>
              <w:right w:val="single" w:sz="4" w:space="0" w:color="auto"/>
            </w:tcBorders>
            <w:shd w:val="clear" w:color="auto" w:fill="auto"/>
            <w:noWrap/>
          </w:tcPr>
          <w:p w14:paraId="16AD4787" w14:textId="77777777" w:rsidR="00F34BD4" w:rsidRPr="00D94B5E" w:rsidRDefault="00F34BD4" w:rsidP="00B823C1">
            <w:pPr>
              <w:spacing w:after="0"/>
              <w:jc w:val="center"/>
              <w:rPr>
                <w:color w:val="000000"/>
                <w:szCs w:val="20"/>
                <w:lang w:eastAsia="pl-PL"/>
              </w:rPr>
            </w:pPr>
            <w:r w:rsidRPr="00D94B5E">
              <w:rPr>
                <w:color w:val="000000"/>
                <w:szCs w:val="20"/>
                <w:lang w:eastAsia="pl-PL"/>
              </w:rPr>
              <w:t>300</w:t>
            </w:r>
          </w:p>
        </w:tc>
        <w:tc>
          <w:tcPr>
            <w:tcW w:w="618" w:type="dxa"/>
            <w:tcBorders>
              <w:top w:val="nil"/>
              <w:left w:val="nil"/>
              <w:bottom w:val="single" w:sz="4" w:space="0" w:color="auto"/>
              <w:right w:val="single" w:sz="4" w:space="0" w:color="auto"/>
            </w:tcBorders>
            <w:shd w:val="clear" w:color="auto" w:fill="auto"/>
            <w:noWrap/>
          </w:tcPr>
          <w:p w14:paraId="109DC43D" w14:textId="77777777" w:rsidR="00F34BD4" w:rsidRPr="00D94B5E" w:rsidRDefault="00F34BD4" w:rsidP="00B823C1">
            <w:pPr>
              <w:spacing w:after="0"/>
              <w:jc w:val="center"/>
              <w:rPr>
                <w:color w:val="000000"/>
                <w:szCs w:val="20"/>
                <w:lang w:eastAsia="pl-PL"/>
              </w:rPr>
            </w:pPr>
            <w:r w:rsidRPr="00D94B5E">
              <w:rPr>
                <w:color w:val="000000"/>
                <w:szCs w:val="20"/>
                <w:lang w:eastAsia="pl-PL"/>
              </w:rPr>
              <w:t>300</w:t>
            </w:r>
          </w:p>
        </w:tc>
        <w:tc>
          <w:tcPr>
            <w:tcW w:w="618" w:type="dxa"/>
            <w:tcBorders>
              <w:top w:val="nil"/>
              <w:left w:val="nil"/>
              <w:bottom w:val="single" w:sz="4" w:space="0" w:color="auto"/>
              <w:right w:val="single" w:sz="4" w:space="0" w:color="auto"/>
            </w:tcBorders>
            <w:shd w:val="clear" w:color="auto" w:fill="auto"/>
            <w:noWrap/>
          </w:tcPr>
          <w:p w14:paraId="0F7E027F" w14:textId="77777777" w:rsidR="00F34BD4" w:rsidRPr="00D94B5E" w:rsidRDefault="00F34BD4" w:rsidP="00B823C1">
            <w:pPr>
              <w:spacing w:after="0"/>
              <w:jc w:val="center"/>
              <w:rPr>
                <w:color w:val="000000"/>
                <w:szCs w:val="20"/>
                <w:lang w:eastAsia="pl-PL"/>
              </w:rPr>
            </w:pPr>
            <w:r w:rsidRPr="00D94B5E">
              <w:rPr>
                <w:color w:val="000000"/>
                <w:szCs w:val="20"/>
                <w:lang w:eastAsia="pl-PL"/>
              </w:rPr>
              <w:t>300</w:t>
            </w:r>
          </w:p>
        </w:tc>
        <w:tc>
          <w:tcPr>
            <w:tcW w:w="617" w:type="dxa"/>
            <w:tcBorders>
              <w:top w:val="single" w:sz="4" w:space="0" w:color="auto"/>
              <w:left w:val="single" w:sz="4" w:space="0" w:color="auto"/>
              <w:bottom w:val="single" w:sz="4" w:space="0" w:color="auto"/>
              <w:right w:val="single" w:sz="4" w:space="0" w:color="auto"/>
            </w:tcBorders>
          </w:tcPr>
          <w:p w14:paraId="70328DA9" w14:textId="77777777" w:rsidR="00F34BD4" w:rsidRPr="00D94B5E" w:rsidRDefault="00F34BD4" w:rsidP="00B823C1">
            <w:pPr>
              <w:spacing w:after="0"/>
              <w:jc w:val="center"/>
              <w:rPr>
                <w:color w:val="000000"/>
                <w:szCs w:val="20"/>
                <w:lang w:eastAsia="pl-PL"/>
              </w:rPr>
            </w:pPr>
            <w:r w:rsidRPr="00D94B5E">
              <w:rPr>
                <w:color w:val="000000"/>
                <w:szCs w:val="20"/>
                <w:lang w:eastAsia="pl-PL"/>
              </w:rPr>
              <w:t>300</w:t>
            </w:r>
          </w:p>
        </w:tc>
        <w:tc>
          <w:tcPr>
            <w:tcW w:w="618" w:type="dxa"/>
            <w:tcBorders>
              <w:top w:val="single" w:sz="4" w:space="0" w:color="auto"/>
              <w:left w:val="single" w:sz="4" w:space="0" w:color="auto"/>
              <w:bottom w:val="single" w:sz="4" w:space="0" w:color="auto"/>
              <w:right w:val="single" w:sz="4" w:space="0" w:color="auto"/>
            </w:tcBorders>
          </w:tcPr>
          <w:p w14:paraId="5E719031" w14:textId="77777777" w:rsidR="00F34BD4" w:rsidRPr="00D94B5E" w:rsidRDefault="00F34BD4" w:rsidP="00B823C1">
            <w:pPr>
              <w:spacing w:after="0"/>
              <w:jc w:val="center"/>
              <w:rPr>
                <w:color w:val="000000"/>
                <w:szCs w:val="20"/>
                <w:lang w:eastAsia="pl-PL"/>
              </w:rPr>
            </w:pPr>
            <w:r w:rsidRPr="00D94B5E">
              <w:rPr>
                <w:color w:val="000000"/>
                <w:szCs w:val="20"/>
                <w:lang w:eastAsia="pl-PL"/>
              </w:rPr>
              <w:t>300</w:t>
            </w:r>
          </w:p>
        </w:tc>
        <w:tc>
          <w:tcPr>
            <w:tcW w:w="618" w:type="dxa"/>
            <w:tcBorders>
              <w:top w:val="single" w:sz="4" w:space="0" w:color="auto"/>
              <w:left w:val="single" w:sz="4" w:space="0" w:color="auto"/>
              <w:bottom w:val="single" w:sz="4" w:space="0" w:color="auto"/>
              <w:right w:val="single" w:sz="4" w:space="0" w:color="auto"/>
            </w:tcBorders>
          </w:tcPr>
          <w:p w14:paraId="45B5951F" w14:textId="77777777" w:rsidR="00F34BD4" w:rsidRPr="00D94B5E" w:rsidRDefault="00F34BD4" w:rsidP="00B823C1">
            <w:pPr>
              <w:spacing w:after="0"/>
              <w:jc w:val="center"/>
              <w:rPr>
                <w:color w:val="000000"/>
                <w:szCs w:val="20"/>
                <w:lang w:eastAsia="pl-PL"/>
              </w:rPr>
            </w:pPr>
            <w:r w:rsidRPr="00D94B5E">
              <w:rPr>
                <w:color w:val="000000"/>
                <w:szCs w:val="20"/>
                <w:lang w:eastAsia="pl-PL"/>
              </w:rPr>
              <w:t>300</w:t>
            </w:r>
          </w:p>
        </w:tc>
        <w:tc>
          <w:tcPr>
            <w:tcW w:w="618" w:type="dxa"/>
            <w:tcBorders>
              <w:top w:val="single" w:sz="4" w:space="0" w:color="auto"/>
              <w:left w:val="single" w:sz="4" w:space="0" w:color="auto"/>
              <w:bottom w:val="single" w:sz="4" w:space="0" w:color="auto"/>
              <w:right w:val="single" w:sz="4" w:space="0" w:color="auto"/>
            </w:tcBorders>
            <w:shd w:val="clear" w:color="auto" w:fill="auto"/>
            <w:noWrap/>
          </w:tcPr>
          <w:p w14:paraId="6226A0A0" w14:textId="77777777" w:rsidR="00F34BD4" w:rsidRPr="00D94B5E" w:rsidRDefault="00F34BD4" w:rsidP="00B823C1">
            <w:pPr>
              <w:spacing w:after="0"/>
              <w:jc w:val="center"/>
              <w:rPr>
                <w:color w:val="000000"/>
                <w:szCs w:val="20"/>
                <w:lang w:eastAsia="pl-PL"/>
              </w:rPr>
            </w:pPr>
            <w:r w:rsidRPr="00D94B5E">
              <w:rPr>
                <w:color w:val="000000"/>
                <w:szCs w:val="20"/>
                <w:lang w:eastAsia="pl-PL"/>
              </w:rPr>
              <w:t>300</w:t>
            </w:r>
          </w:p>
        </w:tc>
        <w:tc>
          <w:tcPr>
            <w:tcW w:w="1625" w:type="dxa"/>
            <w:vMerge/>
            <w:tcBorders>
              <w:left w:val="single" w:sz="4" w:space="0" w:color="auto"/>
              <w:right w:val="single" w:sz="4" w:space="0" w:color="auto"/>
            </w:tcBorders>
            <w:vAlign w:val="center"/>
          </w:tcPr>
          <w:p w14:paraId="7EECF635" w14:textId="77777777" w:rsidR="00F34BD4" w:rsidRPr="00D94B5E" w:rsidRDefault="00F34BD4" w:rsidP="00B823C1">
            <w:pPr>
              <w:spacing w:after="0"/>
              <w:jc w:val="center"/>
              <w:rPr>
                <w:color w:val="000000"/>
                <w:szCs w:val="20"/>
                <w:lang w:eastAsia="pl-PL"/>
              </w:rPr>
            </w:pPr>
          </w:p>
        </w:tc>
      </w:tr>
      <w:tr w:rsidR="00F34BD4" w:rsidRPr="00A40D2C" w14:paraId="4AEBE6DA" w14:textId="77777777" w:rsidTr="00B823C1">
        <w:trPr>
          <w:trHeight w:val="295"/>
        </w:trPr>
        <w:tc>
          <w:tcPr>
            <w:tcW w:w="1382" w:type="dxa"/>
            <w:vMerge/>
            <w:tcBorders>
              <w:left w:val="single" w:sz="4" w:space="0" w:color="auto"/>
              <w:bottom w:val="single" w:sz="4" w:space="0" w:color="auto"/>
              <w:right w:val="single" w:sz="4" w:space="0" w:color="auto"/>
            </w:tcBorders>
            <w:vAlign w:val="center"/>
          </w:tcPr>
          <w:p w14:paraId="3286DD87" w14:textId="77777777" w:rsidR="00F34BD4" w:rsidRPr="00D94B5E" w:rsidRDefault="00F34BD4" w:rsidP="00B823C1">
            <w:pPr>
              <w:spacing w:after="0"/>
              <w:jc w:val="center"/>
              <w:rPr>
                <w:color w:val="000000"/>
                <w:szCs w:val="20"/>
                <w:lang w:eastAsia="pl-PL"/>
              </w:rPr>
            </w:pPr>
          </w:p>
        </w:tc>
        <w:tc>
          <w:tcPr>
            <w:tcW w:w="620" w:type="dxa"/>
            <w:tcBorders>
              <w:top w:val="nil"/>
              <w:left w:val="nil"/>
              <w:bottom w:val="single" w:sz="4" w:space="0" w:color="auto"/>
              <w:right w:val="single" w:sz="4" w:space="0" w:color="auto"/>
            </w:tcBorders>
            <w:shd w:val="clear" w:color="auto" w:fill="auto"/>
            <w:noWrap/>
            <w:vAlign w:val="center"/>
          </w:tcPr>
          <w:p w14:paraId="7AED5D81" w14:textId="77777777" w:rsidR="00F34BD4" w:rsidRPr="00D94B5E" w:rsidRDefault="00F34BD4" w:rsidP="00B823C1">
            <w:pPr>
              <w:spacing w:after="0"/>
              <w:jc w:val="center"/>
              <w:rPr>
                <w:color w:val="000000"/>
                <w:szCs w:val="20"/>
                <w:lang w:eastAsia="pl-PL"/>
              </w:rPr>
            </w:pPr>
            <w:r w:rsidRPr="00D94B5E">
              <w:rPr>
                <w:color w:val="000000"/>
                <w:szCs w:val="20"/>
                <w:lang w:eastAsia="pl-PL"/>
              </w:rPr>
              <w:t>222</w:t>
            </w:r>
          </w:p>
        </w:tc>
        <w:tc>
          <w:tcPr>
            <w:tcW w:w="618" w:type="dxa"/>
            <w:tcBorders>
              <w:top w:val="nil"/>
              <w:left w:val="nil"/>
              <w:bottom w:val="single" w:sz="4" w:space="0" w:color="auto"/>
              <w:right w:val="single" w:sz="4" w:space="0" w:color="auto"/>
            </w:tcBorders>
            <w:shd w:val="clear" w:color="auto" w:fill="auto"/>
            <w:noWrap/>
          </w:tcPr>
          <w:p w14:paraId="7F29196B" w14:textId="77777777" w:rsidR="00F34BD4" w:rsidRPr="00D94B5E" w:rsidRDefault="00F34BD4" w:rsidP="00B823C1">
            <w:pPr>
              <w:spacing w:after="0"/>
              <w:jc w:val="center"/>
              <w:rPr>
                <w:color w:val="000000"/>
                <w:szCs w:val="20"/>
                <w:lang w:eastAsia="pl-PL"/>
              </w:rPr>
            </w:pPr>
            <w:r w:rsidRPr="00D94B5E">
              <w:rPr>
                <w:color w:val="000000"/>
                <w:szCs w:val="20"/>
                <w:lang w:eastAsia="pl-PL"/>
              </w:rPr>
              <w:t>222</w:t>
            </w:r>
          </w:p>
        </w:tc>
        <w:tc>
          <w:tcPr>
            <w:tcW w:w="618" w:type="dxa"/>
            <w:tcBorders>
              <w:top w:val="nil"/>
              <w:left w:val="nil"/>
              <w:bottom w:val="single" w:sz="4" w:space="0" w:color="auto"/>
              <w:right w:val="single" w:sz="4" w:space="0" w:color="auto"/>
            </w:tcBorders>
            <w:shd w:val="clear" w:color="auto" w:fill="auto"/>
            <w:noWrap/>
          </w:tcPr>
          <w:p w14:paraId="66C10BF0" w14:textId="77777777" w:rsidR="00F34BD4" w:rsidRPr="00D94B5E" w:rsidRDefault="00F34BD4" w:rsidP="00B823C1">
            <w:pPr>
              <w:spacing w:after="0"/>
              <w:jc w:val="center"/>
              <w:rPr>
                <w:color w:val="000000"/>
                <w:szCs w:val="20"/>
                <w:lang w:eastAsia="pl-PL"/>
              </w:rPr>
            </w:pPr>
            <w:r w:rsidRPr="00D94B5E">
              <w:rPr>
                <w:color w:val="000000"/>
                <w:szCs w:val="20"/>
                <w:lang w:eastAsia="pl-PL"/>
              </w:rPr>
              <w:t>222</w:t>
            </w:r>
          </w:p>
        </w:tc>
        <w:tc>
          <w:tcPr>
            <w:tcW w:w="618" w:type="dxa"/>
            <w:tcBorders>
              <w:top w:val="nil"/>
              <w:left w:val="nil"/>
              <w:bottom w:val="single" w:sz="4" w:space="0" w:color="auto"/>
              <w:right w:val="single" w:sz="4" w:space="0" w:color="auto"/>
            </w:tcBorders>
            <w:shd w:val="clear" w:color="auto" w:fill="auto"/>
            <w:noWrap/>
          </w:tcPr>
          <w:p w14:paraId="16F3EFF3" w14:textId="77777777" w:rsidR="00F34BD4" w:rsidRPr="00D94B5E" w:rsidRDefault="00F34BD4" w:rsidP="00B823C1">
            <w:pPr>
              <w:spacing w:after="0"/>
              <w:jc w:val="center"/>
              <w:rPr>
                <w:color w:val="000000"/>
                <w:szCs w:val="20"/>
                <w:lang w:eastAsia="pl-PL"/>
              </w:rPr>
            </w:pPr>
            <w:r w:rsidRPr="00D94B5E">
              <w:rPr>
                <w:color w:val="000000"/>
                <w:szCs w:val="20"/>
                <w:lang w:eastAsia="pl-PL"/>
              </w:rPr>
              <w:t>222</w:t>
            </w:r>
          </w:p>
        </w:tc>
        <w:tc>
          <w:tcPr>
            <w:tcW w:w="618" w:type="dxa"/>
            <w:tcBorders>
              <w:top w:val="nil"/>
              <w:left w:val="nil"/>
              <w:bottom w:val="single" w:sz="4" w:space="0" w:color="auto"/>
              <w:right w:val="single" w:sz="4" w:space="0" w:color="auto"/>
            </w:tcBorders>
            <w:shd w:val="clear" w:color="auto" w:fill="auto"/>
            <w:noWrap/>
          </w:tcPr>
          <w:p w14:paraId="2748F720" w14:textId="77777777" w:rsidR="00F34BD4" w:rsidRPr="00D94B5E" w:rsidRDefault="00F34BD4" w:rsidP="00B823C1">
            <w:pPr>
              <w:spacing w:after="0"/>
              <w:jc w:val="center"/>
              <w:rPr>
                <w:color w:val="000000"/>
                <w:szCs w:val="20"/>
                <w:lang w:eastAsia="pl-PL"/>
              </w:rPr>
            </w:pPr>
            <w:r w:rsidRPr="00D94B5E">
              <w:rPr>
                <w:color w:val="000000"/>
                <w:szCs w:val="20"/>
                <w:lang w:eastAsia="pl-PL"/>
              </w:rPr>
              <w:t>222</w:t>
            </w:r>
          </w:p>
        </w:tc>
        <w:tc>
          <w:tcPr>
            <w:tcW w:w="618" w:type="dxa"/>
            <w:tcBorders>
              <w:top w:val="nil"/>
              <w:left w:val="nil"/>
              <w:bottom w:val="single" w:sz="4" w:space="0" w:color="auto"/>
              <w:right w:val="single" w:sz="4" w:space="0" w:color="auto"/>
            </w:tcBorders>
            <w:shd w:val="clear" w:color="auto" w:fill="auto"/>
            <w:noWrap/>
          </w:tcPr>
          <w:p w14:paraId="353D42CB" w14:textId="77777777" w:rsidR="00F34BD4" w:rsidRPr="00D94B5E" w:rsidRDefault="00F34BD4" w:rsidP="00B823C1">
            <w:pPr>
              <w:spacing w:after="0"/>
              <w:jc w:val="center"/>
              <w:rPr>
                <w:color w:val="000000"/>
                <w:szCs w:val="20"/>
                <w:lang w:eastAsia="pl-PL"/>
              </w:rPr>
            </w:pPr>
            <w:r w:rsidRPr="00D94B5E">
              <w:rPr>
                <w:color w:val="000000"/>
                <w:szCs w:val="20"/>
                <w:lang w:eastAsia="pl-PL"/>
              </w:rPr>
              <w:t>222</w:t>
            </w:r>
          </w:p>
        </w:tc>
        <w:tc>
          <w:tcPr>
            <w:tcW w:w="617" w:type="dxa"/>
            <w:tcBorders>
              <w:top w:val="single" w:sz="4" w:space="0" w:color="auto"/>
              <w:left w:val="single" w:sz="4" w:space="0" w:color="auto"/>
              <w:bottom w:val="single" w:sz="4" w:space="0" w:color="auto"/>
              <w:right w:val="single" w:sz="4" w:space="0" w:color="auto"/>
            </w:tcBorders>
          </w:tcPr>
          <w:p w14:paraId="0A383A1E" w14:textId="77777777" w:rsidR="00F34BD4" w:rsidRPr="00D94B5E" w:rsidRDefault="00F34BD4" w:rsidP="00B823C1">
            <w:pPr>
              <w:spacing w:after="0"/>
              <w:jc w:val="center"/>
              <w:rPr>
                <w:color w:val="000000"/>
                <w:szCs w:val="20"/>
                <w:lang w:eastAsia="pl-PL"/>
              </w:rPr>
            </w:pPr>
            <w:r w:rsidRPr="00D94B5E">
              <w:rPr>
                <w:color w:val="000000"/>
                <w:szCs w:val="20"/>
                <w:lang w:eastAsia="pl-PL"/>
              </w:rPr>
              <w:t>222</w:t>
            </w:r>
          </w:p>
        </w:tc>
        <w:tc>
          <w:tcPr>
            <w:tcW w:w="618" w:type="dxa"/>
            <w:tcBorders>
              <w:top w:val="single" w:sz="4" w:space="0" w:color="auto"/>
              <w:left w:val="single" w:sz="4" w:space="0" w:color="auto"/>
              <w:bottom w:val="single" w:sz="4" w:space="0" w:color="auto"/>
              <w:right w:val="single" w:sz="4" w:space="0" w:color="auto"/>
            </w:tcBorders>
          </w:tcPr>
          <w:p w14:paraId="2A1A589B" w14:textId="77777777" w:rsidR="00F34BD4" w:rsidRPr="00D94B5E" w:rsidRDefault="00F34BD4" w:rsidP="00B823C1">
            <w:pPr>
              <w:spacing w:after="0"/>
              <w:jc w:val="center"/>
              <w:rPr>
                <w:color w:val="000000"/>
                <w:szCs w:val="20"/>
                <w:lang w:eastAsia="pl-PL"/>
              </w:rPr>
            </w:pPr>
            <w:r w:rsidRPr="00D94B5E">
              <w:rPr>
                <w:color w:val="000000"/>
                <w:szCs w:val="20"/>
                <w:lang w:eastAsia="pl-PL"/>
              </w:rPr>
              <w:t>222</w:t>
            </w:r>
          </w:p>
        </w:tc>
        <w:tc>
          <w:tcPr>
            <w:tcW w:w="618" w:type="dxa"/>
            <w:tcBorders>
              <w:top w:val="single" w:sz="4" w:space="0" w:color="auto"/>
              <w:left w:val="single" w:sz="4" w:space="0" w:color="auto"/>
              <w:bottom w:val="single" w:sz="4" w:space="0" w:color="auto"/>
              <w:right w:val="single" w:sz="4" w:space="0" w:color="auto"/>
            </w:tcBorders>
          </w:tcPr>
          <w:p w14:paraId="4FC605A1" w14:textId="77777777" w:rsidR="00F34BD4" w:rsidRPr="00D94B5E" w:rsidRDefault="00F34BD4" w:rsidP="00B823C1">
            <w:pPr>
              <w:spacing w:after="0"/>
              <w:jc w:val="center"/>
              <w:rPr>
                <w:color w:val="000000"/>
                <w:szCs w:val="20"/>
                <w:lang w:eastAsia="pl-PL"/>
              </w:rPr>
            </w:pPr>
            <w:r w:rsidRPr="00D94B5E">
              <w:rPr>
                <w:color w:val="000000"/>
                <w:szCs w:val="20"/>
                <w:lang w:eastAsia="pl-PL"/>
              </w:rPr>
              <w:t>222</w:t>
            </w:r>
          </w:p>
        </w:tc>
        <w:tc>
          <w:tcPr>
            <w:tcW w:w="618" w:type="dxa"/>
            <w:tcBorders>
              <w:top w:val="single" w:sz="4" w:space="0" w:color="auto"/>
              <w:left w:val="single" w:sz="4" w:space="0" w:color="auto"/>
              <w:bottom w:val="single" w:sz="4" w:space="0" w:color="auto"/>
              <w:right w:val="single" w:sz="4" w:space="0" w:color="auto"/>
            </w:tcBorders>
            <w:shd w:val="clear" w:color="auto" w:fill="auto"/>
            <w:noWrap/>
          </w:tcPr>
          <w:p w14:paraId="7AD2CABA" w14:textId="77777777" w:rsidR="00F34BD4" w:rsidRPr="00D94B5E" w:rsidRDefault="00F34BD4" w:rsidP="00B823C1">
            <w:pPr>
              <w:spacing w:after="0"/>
              <w:jc w:val="center"/>
              <w:rPr>
                <w:color w:val="000000"/>
                <w:szCs w:val="20"/>
                <w:lang w:eastAsia="pl-PL"/>
              </w:rPr>
            </w:pPr>
            <w:r w:rsidRPr="00D94B5E">
              <w:rPr>
                <w:color w:val="000000"/>
                <w:szCs w:val="20"/>
                <w:lang w:eastAsia="pl-PL"/>
              </w:rPr>
              <w:t>222</w:t>
            </w:r>
          </w:p>
        </w:tc>
        <w:tc>
          <w:tcPr>
            <w:tcW w:w="1625" w:type="dxa"/>
            <w:vMerge/>
            <w:tcBorders>
              <w:left w:val="single" w:sz="4" w:space="0" w:color="auto"/>
              <w:bottom w:val="single" w:sz="4" w:space="0" w:color="auto"/>
              <w:right w:val="single" w:sz="4" w:space="0" w:color="auto"/>
            </w:tcBorders>
            <w:vAlign w:val="center"/>
          </w:tcPr>
          <w:p w14:paraId="03B8283A" w14:textId="77777777" w:rsidR="00F34BD4" w:rsidRPr="00D94B5E" w:rsidRDefault="00F34BD4" w:rsidP="00B823C1">
            <w:pPr>
              <w:spacing w:after="0"/>
              <w:jc w:val="center"/>
              <w:rPr>
                <w:color w:val="000000"/>
                <w:szCs w:val="20"/>
                <w:lang w:eastAsia="pl-PL"/>
              </w:rPr>
            </w:pPr>
          </w:p>
        </w:tc>
      </w:tr>
      <w:tr w:rsidR="00F34BD4" w:rsidRPr="00A40D2C" w14:paraId="0ACFB78C" w14:textId="77777777" w:rsidTr="00B823C1">
        <w:trPr>
          <w:trHeight w:val="295"/>
        </w:trPr>
        <w:tc>
          <w:tcPr>
            <w:tcW w:w="1382" w:type="dxa"/>
            <w:tcBorders>
              <w:top w:val="nil"/>
              <w:left w:val="single" w:sz="4" w:space="0" w:color="auto"/>
              <w:bottom w:val="single" w:sz="4" w:space="0" w:color="auto"/>
              <w:right w:val="single" w:sz="4" w:space="0" w:color="auto"/>
            </w:tcBorders>
            <w:shd w:val="clear" w:color="auto" w:fill="auto"/>
            <w:noWrap/>
            <w:vAlign w:val="center"/>
            <w:hideMark/>
          </w:tcPr>
          <w:p w14:paraId="5704125C" w14:textId="77777777" w:rsidR="00F34BD4" w:rsidRPr="00D94B5E" w:rsidRDefault="00F34BD4" w:rsidP="00B823C1">
            <w:pPr>
              <w:spacing w:after="0"/>
              <w:jc w:val="center"/>
              <w:rPr>
                <w:color w:val="000000"/>
                <w:szCs w:val="20"/>
                <w:lang w:eastAsia="pl-PL"/>
              </w:rPr>
            </w:pPr>
            <w:r w:rsidRPr="00D94B5E">
              <w:rPr>
                <w:color w:val="000000"/>
                <w:szCs w:val="20"/>
                <w:lang w:eastAsia="pl-PL"/>
              </w:rPr>
              <w:t>Razem (</w:t>
            </w:r>
            <w:proofErr w:type="spellStart"/>
            <w:r w:rsidRPr="00D94B5E">
              <w:rPr>
                <w:color w:val="000000"/>
                <w:szCs w:val="20"/>
                <w:lang w:eastAsia="pl-PL"/>
              </w:rPr>
              <w:t>ktoe</w:t>
            </w:r>
            <w:proofErr w:type="spellEnd"/>
            <w:r w:rsidRPr="00D94B5E">
              <w:rPr>
                <w:color w:val="000000"/>
                <w:szCs w:val="20"/>
                <w:lang w:eastAsia="pl-PL"/>
              </w:rPr>
              <w:t>)</w:t>
            </w:r>
          </w:p>
        </w:tc>
        <w:tc>
          <w:tcPr>
            <w:tcW w:w="620" w:type="dxa"/>
            <w:tcBorders>
              <w:top w:val="nil"/>
              <w:left w:val="nil"/>
              <w:bottom w:val="single" w:sz="4" w:space="0" w:color="auto"/>
              <w:right w:val="single" w:sz="4" w:space="0" w:color="auto"/>
            </w:tcBorders>
            <w:shd w:val="clear" w:color="auto" w:fill="auto"/>
            <w:noWrap/>
            <w:vAlign w:val="center"/>
          </w:tcPr>
          <w:p w14:paraId="5241331B" w14:textId="77777777" w:rsidR="00F34BD4" w:rsidRPr="00D94B5E" w:rsidRDefault="00F34BD4" w:rsidP="00B823C1">
            <w:pPr>
              <w:spacing w:after="0"/>
              <w:jc w:val="center"/>
              <w:rPr>
                <w:b/>
                <w:bCs/>
                <w:color w:val="000000"/>
                <w:szCs w:val="20"/>
                <w:lang w:eastAsia="pl-PL"/>
              </w:rPr>
            </w:pPr>
            <w:r w:rsidRPr="00D94B5E">
              <w:rPr>
                <w:b/>
                <w:bCs/>
                <w:color w:val="000000"/>
                <w:szCs w:val="20"/>
                <w:lang w:eastAsia="pl-PL"/>
              </w:rPr>
              <w:t>222</w:t>
            </w:r>
          </w:p>
        </w:tc>
        <w:tc>
          <w:tcPr>
            <w:tcW w:w="618" w:type="dxa"/>
            <w:tcBorders>
              <w:top w:val="nil"/>
              <w:left w:val="nil"/>
              <w:bottom w:val="single" w:sz="4" w:space="0" w:color="auto"/>
              <w:right w:val="single" w:sz="4" w:space="0" w:color="auto"/>
            </w:tcBorders>
            <w:shd w:val="clear" w:color="auto" w:fill="auto"/>
            <w:noWrap/>
            <w:vAlign w:val="center"/>
          </w:tcPr>
          <w:p w14:paraId="2A526AED" w14:textId="77777777" w:rsidR="00F34BD4" w:rsidRPr="00D94B5E" w:rsidRDefault="00F34BD4" w:rsidP="00B823C1">
            <w:pPr>
              <w:spacing w:after="0"/>
              <w:jc w:val="center"/>
              <w:rPr>
                <w:b/>
                <w:bCs/>
                <w:color w:val="000000"/>
                <w:szCs w:val="20"/>
                <w:lang w:eastAsia="pl-PL"/>
              </w:rPr>
            </w:pPr>
            <w:r w:rsidRPr="00D94B5E">
              <w:rPr>
                <w:rFonts w:cs="Calibri"/>
                <w:b/>
                <w:bCs/>
                <w:color w:val="000000"/>
                <w:szCs w:val="20"/>
              </w:rPr>
              <w:t>522</w:t>
            </w:r>
          </w:p>
        </w:tc>
        <w:tc>
          <w:tcPr>
            <w:tcW w:w="618" w:type="dxa"/>
            <w:tcBorders>
              <w:top w:val="nil"/>
              <w:left w:val="nil"/>
              <w:bottom w:val="single" w:sz="4" w:space="0" w:color="auto"/>
              <w:right w:val="single" w:sz="4" w:space="0" w:color="auto"/>
            </w:tcBorders>
            <w:shd w:val="clear" w:color="auto" w:fill="auto"/>
            <w:noWrap/>
            <w:vAlign w:val="center"/>
          </w:tcPr>
          <w:p w14:paraId="36DCD0F4" w14:textId="77777777" w:rsidR="00F34BD4" w:rsidRPr="00D94B5E" w:rsidRDefault="00F34BD4" w:rsidP="00B823C1">
            <w:pPr>
              <w:spacing w:after="0"/>
              <w:jc w:val="center"/>
              <w:rPr>
                <w:b/>
                <w:bCs/>
                <w:color w:val="000000"/>
                <w:szCs w:val="20"/>
                <w:lang w:eastAsia="pl-PL"/>
              </w:rPr>
            </w:pPr>
            <w:r w:rsidRPr="00D94B5E">
              <w:rPr>
                <w:rFonts w:cs="Calibri"/>
                <w:b/>
                <w:bCs/>
                <w:color w:val="000000"/>
                <w:szCs w:val="20"/>
              </w:rPr>
              <w:t>822</w:t>
            </w:r>
          </w:p>
        </w:tc>
        <w:tc>
          <w:tcPr>
            <w:tcW w:w="618" w:type="dxa"/>
            <w:tcBorders>
              <w:top w:val="nil"/>
              <w:left w:val="nil"/>
              <w:bottom w:val="single" w:sz="4" w:space="0" w:color="auto"/>
              <w:right w:val="single" w:sz="4" w:space="0" w:color="auto"/>
            </w:tcBorders>
            <w:shd w:val="clear" w:color="auto" w:fill="auto"/>
            <w:noWrap/>
            <w:vAlign w:val="center"/>
          </w:tcPr>
          <w:p w14:paraId="5048E5B9" w14:textId="77777777" w:rsidR="00F34BD4" w:rsidRPr="00D94B5E" w:rsidRDefault="00F34BD4" w:rsidP="00B823C1">
            <w:pPr>
              <w:spacing w:after="0"/>
              <w:jc w:val="center"/>
              <w:rPr>
                <w:b/>
                <w:bCs/>
                <w:color w:val="000000"/>
                <w:szCs w:val="20"/>
                <w:lang w:eastAsia="pl-PL"/>
              </w:rPr>
            </w:pPr>
            <w:r w:rsidRPr="00D94B5E">
              <w:rPr>
                <w:rFonts w:cs="Calibri"/>
                <w:b/>
                <w:bCs/>
                <w:color w:val="000000"/>
                <w:szCs w:val="20"/>
              </w:rPr>
              <w:t>1122</w:t>
            </w:r>
          </w:p>
        </w:tc>
        <w:tc>
          <w:tcPr>
            <w:tcW w:w="618" w:type="dxa"/>
            <w:tcBorders>
              <w:top w:val="nil"/>
              <w:left w:val="nil"/>
              <w:bottom w:val="single" w:sz="4" w:space="0" w:color="auto"/>
              <w:right w:val="single" w:sz="4" w:space="0" w:color="auto"/>
            </w:tcBorders>
            <w:shd w:val="clear" w:color="auto" w:fill="auto"/>
            <w:noWrap/>
            <w:vAlign w:val="center"/>
          </w:tcPr>
          <w:p w14:paraId="17A1D62E" w14:textId="77777777" w:rsidR="00F34BD4" w:rsidRPr="00D94B5E" w:rsidRDefault="00F34BD4" w:rsidP="00B823C1">
            <w:pPr>
              <w:spacing w:after="0"/>
              <w:jc w:val="center"/>
              <w:rPr>
                <w:b/>
                <w:bCs/>
                <w:color w:val="000000"/>
                <w:szCs w:val="20"/>
                <w:lang w:eastAsia="pl-PL"/>
              </w:rPr>
            </w:pPr>
            <w:r w:rsidRPr="00D94B5E">
              <w:rPr>
                <w:rFonts w:cs="Calibri"/>
                <w:b/>
                <w:bCs/>
                <w:color w:val="000000"/>
                <w:szCs w:val="20"/>
              </w:rPr>
              <w:t>1422</w:t>
            </w:r>
          </w:p>
        </w:tc>
        <w:tc>
          <w:tcPr>
            <w:tcW w:w="618" w:type="dxa"/>
            <w:tcBorders>
              <w:top w:val="nil"/>
              <w:left w:val="nil"/>
              <w:bottom w:val="single" w:sz="4" w:space="0" w:color="auto"/>
              <w:right w:val="single" w:sz="4" w:space="0" w:color="auto"/>
            </w:tcBorders>
            <w:shd w:val="clear" w:color="auto" w:fill="auto"/>
            <w:noWrap/>
            <w:vAlign w:val="center"/>
          </w:tcPr>
          <w:p w14:paraId="36A272BC" w14:textId="77777777" w:rsidR="00F34BD4" w:rsidRPr="00D94B5E" w:rsidRDefault="00F34BD4" w:rsidP="00B823C1">
            <w:pPr>
              <w:spacing w:after="0"/>
              <w:jc w:val="center"/>
              <w:rPr>
                <w:b/>
                <w:bCs/>
                <w:color w:val="000000"/>
                <w:szCs w:val="20"/>
                <w:lang w:eastAsia="pl-PL"/>
              </w:rPr>
            </w:pPr>
            <w:r w:rsidRPr="00D94B5E">
              <w:rPr>
                <w:rFonts w:cs="Calibri"/>
                <w:b/>
                <w:bCs/>
                <w:color w:val="000000"/>
                <w:szCs w:val="20"/>
              </w:rPr>
              <w:t>1722</w:t>
            </w:r>
          </w:p>
        </w:tc>
        <w:tc>
          <w:tcPr>
            <w:tcW w:w="617" w:type="dxa"/>
            <w:tcBorders>
              <w:top w:val="single" w:sz="4" w:space="0" w:color="auto"/>
              <w:left w:val="single" w:sz="4" w:space="0" w:color="auto"/>
              <w:bottom w:val="single" w:sz="4" w:space="0" w:color="auto"/>
              <w:right w:val="single" w:sz="4" w:space="0" w:color="auto"/>
            </w:tcBorders>
            <w:vAlign w:val="center"/>
          </w:tcPr>
          <w:p w14:paraId="11186FD7" w14:textId="77777777" w:rsidR="00F34BD4" w:rsidRPr="00D94B5E" w:rsidRDefault="00F34BD4" w:rsidP="00B823C1">
            <w:pPr>
              <w:spacing w:after="0"/>
              <w:jc w:val="center"/>
              <w:rPr>
                <w:b/>
                <w:bCs/>
                <w:color w:val="000000"/>
                <w:szCs w:val="20"/>
                <w:lang w:eastAsia="pl-PL"/>
              </w:rPr>
            </w:pPr>
            <w:r w:rsidRPr="00D94B5E">
              <w:rPr>
                <w:rFonts w:cs="Calibri"/>
                <w:b/>
                <w:bCs/>
                <w:color w:val="000000"/>
                <w:szCs w:val="20"/>
              </w:rPr>
              <w:t>2022</w:t>
            </w:r>
          </w:p>
        </w:tc>
        <w:tc>
          <w:tcPr>
            <w:tcW w:w="618" w:type="dxa"/>
            <w:tcBorders>
              <w:top w:val="single" w:sz="4" w:space="0" w:color="auto"/>
              <w:left w:val="single" w:sz="4" w:space="0" w:color="auto"/>
              <w:bottom w:val="single" w:sz="4" w:space="0" w:color="auto"/>
              <w:right w:val="single" w:sz="4" w:space="0" w:color="auto"/>
            </w:tcBorders>
            <w:vAlign w:val="center"/>
          </w:tcPr>
          <w:p w14:paraId="718740E7" w14:textId="77777777" w:rsidR="00F34BD4" w:rsidRPr="00D94B5E" w:rsidRDefault="00F34BD4" w:rsidP="00B823C1">
            <w:pPr>
              <w:spacing w:after="0"/>
              <w:jc w:val="center"/>
              <w:rPr>
                <w:b/>
                <w:bCs/>
                <w:color w:val="000000"/>
                <w:szCs w:val="20"/>
                <w:lang w:eastAsia="pl-PL"/>
              </w:rPr>
            </w:pPr>
            <w:r w:rsidRPr="00D94B5E">
              <w:rPr>
                <w:rFonts w:cs="Calibri"/>
                <w:b/>
                <w:bCs/>
                <w:color w:val="000000"/>
                <w:szCs w:val="20"/>
              </w:rPr>
              <w:t>2322</w:t>
            </w:r>
          </w:p>
        </w:tc>
        <w:tc>
          <w:tcPr>
            <w:tcW w:w="618" w:type="dxa"/>
            <w:tcBorders>
              <w:top w:val="single" w:sz="4" w:space="0" w:color="auto"/>
              <w:left w:val="single" w:sz="4" w:space="0" w:color="auto"/>
              <w:bottom w:val="single" w:sz="4" w:space="0" w:color="auto"/>
              <w:right w:val="single" w:sz="4" w:space="0" w:color="auto"/>
            </w:tcBorders>
            <w:vAlign w:val="center"/>
          </w:tcPr>
          <w:p w14:paraId="6CD1C7CA" w14:textId="77777777" w:rsidR="00F34BD4" w:rsidRPr="00D94B5E" w:rsidRDefault="00F34BD4" w:rsidP="00B823C1">
            <w:pPr>
              <w:spacing w:after="0"/>
              <w:jc w:val="center"/>
              <w:rPr>
                <w:b/>
                <w:bCs/>
                <w:color w:val="000000"/>
                <w:szCs w:val="20"/>
                <w:lang w:eastAsia="pl-PL"/>
              </w:rPr>
            </w:pPr>
            <w:r w:rsidRPr="00D94B5E">
              <w:rPr>
                <w:rFonts w:cs="Calibri"/>
                <w:b/>
                <w:bCs/>
                <w:color w:val="000000"/>
                <w:szCs w:val="20"/>
              </w:rPr>
              <w:t>2622</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A838C" w14:textId="77777777" w:rsidR="00F34BD4" w:rsidRPr="00D94B5E" w:rsidRDefault="00F34BD4" w:rsidP="00B823C1">
            <w:pPr>
              <w:spacing w:after="0"/>
              <w:jc w:val="center"/>
              <w:rPr>
                <w:b/>
                <w:bCs/>
                <w:color w:val="000000"/>
                <w:szCs w:val="20"/>
                <w:lang w:eastAsia="pl-PL"/>
              </w:rPr>
            </w:pPr>
            <w:r w:rsidRPr="00D94B5E">
              <w:rPr>
                <w:rFonts w:cs="Calibri"/>
                <w:b/>
                <w:bCs/>
                <w:color w:val="000000"/>
                <w:szCs w:val="20"/>
              </w:rPr>
              <w:t>2922</w:t>
            </w:r>
          </w:p>
        </w:tc>
        <w:tc>
          <w:tcPr>
            <w:tcW w:w="1625" w:type="dxa"/>
            <w:tcBorders>
              <w:top w:val="nil"/>
              <w:left w:val="single" w:sz="4" w:space="0" w:color="auto"/>
              <w:bottom w:val="single" w:sz="4" w:space="0" w:color="auto"/>
              <w:right w:val="single" w:sz="4" w:space="0" w:color="auto"/>
            </w:tcBorders>
            <w:shd w:val="clear" w:color="auto" w:fill="auto"/>
            <w:noWrap/>
            <w:vAlign w:val="center"/>
            <w:hideMark/>
          </w:tcPr>
          <w:p w14:paraId="2DC572BE" w14:textId="77777777" w:rsidR="00F34BD4" w:rsidRPr="00D94B5E" w:rsidRDefault="00F34BD4" w:rsidP="00B823C1">
            <w:pPr>
              <w:spacing w:after="0"/>
              <w:jc w:val="center"/>
              <w:rPr>
                <w:b/>
                <w:bCs/>
                <w:color w:val="000000"/>
                <w:szCs w:val="20"/>
                <w:lang w:eastAsia="pl-PL"/>
              </w:rPr>
            </w:pPr>
            <w:r w:rsidRPr="00D94B5E">
              <w:rPr>
                <w:rFonts w:cs="Calibri"/>
                <w:b/>
                <w:color w:val="4472C4" w:themeColor="accent1"/>
                <w:szCs w:val="20"/>
              </w:rPr>
              <w:t>15</w:t>
            </w:r>
            <w:r w:rsidRPr="00D94B5E">
              <w:rPr>
                <w:rFonts w:cs="Calibri"/>
                <w:b/>
                <w:bCs/>
                <w:color w:val="4472C4" w:themeColor="accent1"/>
                <w:szCs w:val="20"/>
              </w:rPr>
              <w:t xml:space="preserve"> </w:t>
            </w:r>
            <w:r w:rsidRPr="00D94B5E">
              <w:rPr>
                <w:rFonts w:cs="Calibri"/>
                <w:b/>
                <w:color w:val="4472C4" w:themeColor="accent1"/>
                <w:szCs w:val="20"/>
              </w:rPr>
              <w:t>7</w:t>
            </w:r>
            <w:r>
              <w:rPr>
                <w:rFonts w:cs="Calibri"/>
                <w:b/>
                <w:color w:val="4472C4" w:themeColor="accent1"/>
                <w:szCs w:val="20"/>
              </w:rPr>
              <w:t>20</w:t>
            </w:r>
          </w:p>
        </w:tc>
      </w:tr>
    </w:tbl>
    <w:p w14:paraId="5DC12523" w14:textId="77777777" w:rsidR="00F34BD4" w:rsidRDefault="00F34BD4" w:rsidP="00F34BD4">
      <w:pPr>
        <w:spacing w:after="0" w:line="360" w:lineRule="auto"/>
      </w:pPr>
    </w:p>
    <w:p w14:paraId="55BAA128" w14:textId="77777777" w:rsidR="00F34BD4" w:rsidRDefault="00F34BD4" w:rsidP="00373FD3">
      <w:r>
        <w:t>Pierwotnie szacowano, że ulga termomodernizacyjna będzie generować średnio 200 </w:t>
      </w:r>
      <w:proofErr w:type="spellStart"/>
      <w:r>
        <w:t>ktoe</w:t>
      </w:r>
      <w:proofErr w:type="spellEnd"/>
      <w:r>
        <w:t xml:space="preserve"> średniorocznych oszczędności energii finalnej. W samym 2021 roku łączna kwota odliczeń wyniosła 10,4 mld zł. W związku z dużym zainteresowaniem beneficjentów prostym odliczeniem podatkowym szacuje się, że udział oszczędności w osiąganiu celu w ramach ulgi termomodernizacyjnej w kolejnych latach będzie rosnąć.</w:t>
      </w:r>
    </w:p>
    <w:p w14:paraId="73C55584" w14:textId="77777777" w:rsidR="00F34BD4" w:rsidRPr="004A2365" w:rsidRDefault="00F34BD4" w:rsidP="00FF3BC7">
      <w:pPr>
        <w:pStyle w:val="Akapitzlist"/>
        <w:numPr>
          <w:ilvl w:val="0"/>
          <w:numId w:val="13"/>
        </w:numPr>
        <w:spacing w:before="120" w:line="360" w:lineRule="auto"/>
        <w:ind w:left="1134"/>
        <w:jc w:val="left"/>
        <w:rPr>
          <w:b/>
          <w:bCs/>
          <w:color w:val="2F5496" w:themeColor="accent1" w:themeShade="BF"/>
        </w:rPr>
      </w:pPr>
      <w:r w:rsidRPr="004A2365">
        <w:rPr>
          <w:b/>
          <w:bCs/>
          <w:color w:val="2F5496" w:themeColor="accent1" w:themeShade="BF"/>
        </w:rPr>
        <w:t>Monitorowanie i weryfikacja</w:t>
      </w:r>
    </w:p>
    <w:p w14:paraId="746EAEEC" w14:textId="77777777" w:rsidR="00F34BD4" w:rsidRPr="00D62DB9" w:rsidRDefault="00F34BD4" w:rsidP="00373FD3">
      <w:r w:rsidRPr="00D62DB9">
        <w:t>Weryfikacja odbywa się na podstawie przedłożonych faktur od towarów i usług, Ministerstwo Finansów jest bezpośrednio odpowiedzialne za weryfikację zgłaszanych odliczeń w ramach ulgi termomodernizacyjnej. Zgodnie z art. 275 ust. 1 ustawy z dnia 29 sierpnia 1997 r. Ordynacja Podatkowa jeżeli ze złożonej deklaracji wynika, że podatnik skorzystał z przysługujących mu ulg podatkowych, organ podatkowy może zwrócić się do niego o okazanie dokumentów lub o złożenie fotokopii dokumentów, których posiadania przez podatnika, w określonym czasie, wymaga przepis prawa.</w:t>
      </w:r>
      <w:r w:rsidRPr="00D62DB9">
        <w:br w:type="page"/>
      </w:r>
    </w:p>
    <w:p w14:paraId="55398B3E" w14:textId="77777777" w:rsidR="00F34BD4" w:rsidRPr="00471B61" w:rsidRDefault="00F34BD4" w:rsidP="00FF3BC7">
      <w:pPr>
        <w:pStyle w:val="Akapitzlist"/>
        <w:numPr>
          <w:ilvl w:val="0"/>
          <w:numId w:val="12"/>
        </w:numPr>
        <w:spacing w:after="240" w:line="480" w:lineRule="auto"/>
        <w:jc w:val="left"/>
        <w:rPr>
          <w:b/>
          <w:bCs/>
          <w:color w:val="2F5496" w:themeColor="accent1" w:themeShade="BF"/>
        </w:rPr>
      </w:pPr>
      <w:r w:rsidRPr="00471B61">
        <w:rPr>
          <w:b/>
          <w:bCs/>
          <w:color w:val="2F5496" w:themeColor="accent1" w:themeShade="BF"/>
        </w:rPr>
        <w:lastRenderedPageBreak/>
        <w:t xml:space="preserve">Rozwój Publicznego Transportu Zbiorowego w Miastach </w:t>
      </w:r>
    </w:p>
    <w:p w14:paraId="1B9FBEF0" w14:textId="77777777" w:rsidR="00F34BD4" w:rsidRPr="004A2365" w:rsidRDefault="00F34BD4" w:rsidP="00FF3BC7">
      <w:pPr>
        <w:pStyle w:val="Akapitzlist"/>
        <w:numPr>
          <w:ilvl w:val="0"/>
          <w:numId w:val="14"/>
        </w:numPr>
        <w:spacing w:after="240" w:line="480" w:lineRule="auto"/>
        <w:ind w:left="1134"/>
        <w:jc w:val="left"/>
        <w:rPr>
          <w:b/>
          <w:bCs/>
          <w:color w:val="2F5496" w:themeColor="accent1" w:themeShade="BF"/>
        </w:rPr>
      </w:pPr>
      <w:r w:rsidRPr="00386B26">
        <w:rPr>
          <w:b/>
          <w:bCs/>
          <w:color w:val="2F5496" w:themeColor="accent1" w:themeShade="BF"/>
        </w:rPr>
        <w:t>Skrócony</w:t>
      </w:r>
      <w:r w:rsidRPr="004A2365">
        <w:rPr>
          <w:b/>
          <w:bCs/>
          <w:color w:val="2F5496" w:themeColor="accent1" w:themeShade="BF"/>
        </w:rPr>
        <w:t xml:space="preserve"> opis </w:t>
      </w:r>
      <w:r>
        <w:rPr>
          <w:b/>
          <w:bCs/>
          <w:color w:val="2F5496" w:themeColor="accent1" w:themeShade="BF"/>
        </w:rPr>
        <w:t>środka alternatywnego</w:t>
      </w:r>
    </w:p>
    <w:tbl>
      <w:tblPr>
        <w:tblStyle w:val="Tabela-Siatka"/>
        <w:tblW w:w="8729" w:type="dxa"/>
        <w:tblInd w:w="360" w:type="dxa"/>
        <w:tblBorders>
          <w:top w:val="none" w:sz="0" w:space="0" w:color="auto"/>
          <w:left w:val="none" w:sz="0" w:space="0" w:color="auto"/>
          <w:bottom w:val="none" w:sz="0" w:space="0" w:color="auto"/>
          <w:right w:val="none" w:sz="0" w:space="0" w:color="auto"/>
          <w:insideH w:val="single" w:sz="12" w:space="0" w:color="auto"/>
          <w:insideV w:val="none" w:sz="0" w:space="0" w:color="auto"/>
        </w:tblBorders>
        <w:tblLook w:val="04A0" w:firstRow="1" w:lastRow="0" w:firstColumn="1" w:lastColumn="0" w:noHBand="0" w:noVBand="1"/>
      </w:tblPr>
      <w:tblGrid>
        <w:gridCol w:w="1644"/>
        <w:gridCol w:w="7085"/>
      </w:tblGrid>
      <w:tr w:rsidR="00F34BD4" w:rsidRPr="004A2365" w14:paraId="57465F09" w14:textId="77777777" w:rsidTr="00B823C1">
        <w:tc>
          <w:tcPr>
            <w:tcW w:w="1644" w:type="dxa"/>
            <w:vAlign w:val="center"/>
          </w:tcPr>
          <w:p w14:paraId="5A6CC8DD"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 xml:space="preserve">Nazwa </w:t>
            </w:r>
            <w:r>
              <w:rPr>
                <w:rFonts w:cs="Times New Roman"/>
                <w:i/>
                <w:iCs/>
                <w:color w:val="5B9BD5" w:themeColor="accent5"/>
              </w:rPr>
              <w:t>środka alternatywnego</w:t>
            </w:r>
          </w:p>
        </w:tc>
        <w:tc>
          <w:tcPr>
            <w:tcW w:w="7085" w:type="dxa"/>
            <w:vAlign w:val="center"/>
          </w:tcPr>
          <w:p w14:paraId="1A62B1A9" w14:textId="77777777" w:rsidR="00F34BD4" w:rsidRPr="002B0945" w:rsidRDefault="00F34BD4" w:rsidP="00FF3BC7">
            <w:pPr>
              <w:spacing w:line="276" w:lineRule="auto"/>
              <w:rPr>
                <w:b/>
                <w:bCs/>
              </w:rPr>
            </w:pPr>
            <w:r>
              <w:rPr>
                <w:b/>
                <w:bCs/>
              </w:rPr>
              <w:t>Rozwój publicznego transportu zbiorowego w miastach</w:t>
            </w:r>
          </w:p>
        </w:tc>
      </w:tr>
      <w:tr w:rsidR="00F34BD4" w:rsidRPr="004A2365" w14:paraId="7C4AC52A" w14:textId="77777777" w:rsidTr="00B823C1">
        <w:tc>
          <w:tcPr>
            <w:tcW w:w="1644" w:type="dxa"/>
            <w:vAlign w:val="center"/>
          </w:tcPr>
          <w:p w14:paraId="41B8B06A"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Kategoria</w:t>
            </w:r>
          </w:p>
        </w:tc>
        <w:tc>
          <w:tcPr>
            <w:tcW w:w="7085" w:type="dxa"/>
            <w:vAlign w:val="center"/>
          </w:tcPr>
          <w:p w14:paraId="6554ABAC" w14:textId="77777777" w:rsidR="00F34BD4" w:rsidRPr="004A2365" w:rsidRDefault="00F34BD4" w:rsidP="00FF3BC7">
            <w:pPr>
              <w:spacing w:line="276" w:lineRule="auto"/>
              <w:rPr>
                <w:rFonts w:cs="Times New Roman"/>
              </w:rPr>
            </w:pPr>
            <w:r w:rsidRPr="004A2365">
              <w:rPr>
                <w:rFonts w:cs="Times New Roman"/>
              </w:rPr>
              <w:t>Mechanizm finansowy</w:t>
            </w:r>
          </w:p>
        </w:tc>
      </w:tr>
      <w:tr w:rsidR="00F34BD4" w:rsidRPr="002D799C" w14:paraId="3FC5400A" w14:textId="77777777" w:rsidTr="00B823C1">
        <w:tc>
          <w:tcPr>
            <w:tcW w:w="1644" w:type="dxa"/>
            <w:vAlign w:val="center"/>
          </w:tcPr>
          <w:p w14:paraId="5B7ADABC"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 xml:space="preserve">Cel </w:t>
            </w:r>
          </w:p>
        </w:tc>
        <w:tc>
          <w:tcPr>
            <w:tcW w:w="7085" w:type="dxa"/>
            <w:vAlign w:val="center"/>
          </w:tcPr>
          <w:p w14:paraId="13264F84" w14:textId="77777777" w:rsidR="00F34BD4" w:rsidRPr="002D799C" w:rsidRDefault="00F34BD4" w:rsidP="00FF3BC7">
            <w:pPr>
              <w:spacing w:line="276" w:lineRule="auto"/>
              <w:rPr>
                <w:rFonts w:cs="Times New Roman"/>
              </w:rPr>
            </w:pPr>
            <w:r>
              <w:rPr>
                <w:rFonts w:cs="Times New Roman"/>
              </w:rPr>
              <w:t>R</w:t>
            </w:r>
            <w:r w:rsidRPr="002D799C">
              <w:rPr>
                <w:rFonts w:cs="Times New Roman"/>
              </w:rPr>
              <w:t>ozwój i większe wykorzystanie niskoemisyjnego transportu miejskiego w obsłudze mieszkańców obszarów funkcjonalnych miast</w:t>
            </w:r>
            <w:r>
              <w:rPr>
                <w:rFonts w:cs="Times New Roman"/>
              </w:rPr>
              <w:t>.</w:t>
            </w:r>
          </w:p>
        </w:tc>
      </w:tr>
      <w:tr w:rsidR="00F34BD4" w:rsidRPr="004A2365" w14:paraId="15276F28" w14:textId="77777777" w:rsidTr="00B823C1">
        <w:tc>
          <w:tcPr>
            <w:tcW w:w="1644" w:type="dxa"/>
            <w:vAlign w:val="center"/>
          </w:tcPr>
          <w:p w14:paraId="0D36853F"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 xml:space="preserve">Działania </w:t>
            </w:r>
          </w:p>
        </w:tc>
        <w:tc>
          <w:tcPr>
            <w:tcW w:w="7085" w:type="dxa"/>
            <w:vAlign w:val="center"/>
          </w:tcPr>
          <w:p w14:paraId="7FA26B8B" w14:textId="77777777" w:rsidR="00F34BD4" w:rsidRPr="009D08BD" w:rsidRDefault="00F34BD4" w:rsidP="00FF3BC7">
            <w:pPr>
              <w:spacing w:line="276" w:lineRule="auto"/>
              <w:rPr>
                <w:rFonts w:cs="Times New Roman"/>
              </w:rPr>
            </w:pPr>
            <w:r w:rsidRPr="009D08BD">
              <w:rPr>
                <w:rFonts w:cs="Times New Roman"/>
              </w:rPr>
              <w:t xml:space="preserve">Inwestycje infrastrukturalne: adaptacja, budowa, przebudowa, rozbudowa sieci transportu miejskiego, w tym m.in.: </w:t>
            </w:r>
          </w:p>
          <w:p w14:paraId="1504B367" w14:textId="77777777" w:rsidR="00F34BD4" w:rsidRPr="00C431FD" w:rsidRDefault="00F34BD4" w:rsidP="00FF3BC7">
            <w:pPr>
              <w:pStyle w:val="Akapitzlist"/>
              <w:numPr>
                <w:ilvl w:val="0"/>
                <w:numId w:val="16"/>
              </w:numPr>
              <w:spacing w:line="276" w:lineRule="auto"/>
              <w:rPr>
                <w:rFonts w:cs="Times New Roman"/>
              </w:rPr>
            </w:pPr>
            <w:r w:rsidRPr="00C431FD">
              <w:rPr>
                <w:rFonts w:cs="Times New Roman"/>
              </w:rPr>
              <w:t>budowa, przebudowa, rozbudowa układu torowego na trasach, pętlach, bocznicach oraz zajezdniach,</w:t>
            </w:r>
          </w:p>
          <w:p w14:paraId="70632C4A" w14:textId="77777777" w:rsidR="00F34BD4" w:rsidRPr="00C431FD" w:rsidRDefault="00F34BD4" w:rsidP="00FF3BC7">
            <w:pPr>
              <w:pStyle w:val="Akapitzlist"/>
              <w:numPr>
                <w:ilvl w:val="0"/>
                <w:numId w:val="16"/>
              </w:numPr>
              <w:spacing w:line="276" w:lineRule="auto"/>
              <w:rPr>
                <w:rFonts w:cs="Times New Roman"/>
              </w:rPr>
            </w:pPr>
            <w:r w:rsidRPr="00C431FD">
              <w:rPr>
                <w:rFonts w:cs="Times New Roman"/>
              </w:rPr>
              <w:t>budowa linii metra,</w:t>
            </w:r>
          </w:p>
          <w:p w14:paraId="27A703BA" w14:textId="77777777" w:rsidR="00F34BD4" w:rsidRPr="00C431FD" w:rsidRDefault="00F34BD4" w:rsidP="00FF3BC7">
            <w:pPr>
              <w:pStyle w:val="Akapitzlist"/>
              <w:numPr>
                <w:ilvl w:val="0"/>
                <w:numId w:val="16"/>
              </w:numPr>
              <w:spacing w:line="276" w:lineRule="auto"/>
              <w:rPr>
                <w:rFonts w:cs="Times New Roman"/>
              </w:rPr>
            </w:pPr>
            <w:r w:rsidRPr="00C431FD">
              <w:rPr>
                <w:rFonts w:cs="Times New Roman"/>
              </w:rPr>
              <w:t>budowa, przebudowa, rozbudowa sieci energetycznej i podstacji trakcyjnych tramwajowych, trolejbusowych,</w:t>
            </w:r>
          </w:p>
          <w:p w14:paraId="4D46BF53" w14:textId="77777777" w:rsidR="00F34BD4" w:rsidRPr="00C431FD" w:rsidRDefault="00F34BD4" w:rsidP="00FF3BC7">
            <w:pPr>
              <w:pStyle w:val="Akapitzlist"/>
              <w:numPr>
                <w:ilvl w:val="0"/>
                <w:numId w:val="16"/>
              </w:numPr>
              <w:spacing w:line="276" w:lineRule="auto"/>
              <w:rPr>
                <w:rFonts w:cs="Times New Roman"/>
              </w:rPr>
            </w:pPr>
            <w:r w:rsidRPr="00C431FD">
              <w:rPr>
                <w:rFonts w:cs="Times New Roman"/>
              </w:rPr>
              <w:t>przebudowa, rozbudowa dróg mająca na celu wprowadzenie ruchu uprzywilejowanego lub uprzywilejowanie ruchu istniejącego pojazdów publicznych transportu zbiorowego,</w:t>
            </w:r>
          </w:p>
          <w:p w14:paraId="2E26BB4E" w14:textId="77777777" w:rsidR="00F34BD4" w:rsidRPr="00C431FD" w:rsidRDefault="00F34BD4" w:rsidP="00FF3BC7">
            <w:pPr>
              <w:pStyle w:val="Akapitzlist"/>
              <w:numPr>
                <w:ilvl w:val="0"/>
                <w:numId w:val="16"/>
              </w:numPr>
              <w:spacing w:line="276" w:lineRule="auto"/>
              <w:rPr>
                <w:rFonts w:cs="Times New Roman"/>
              </w:rPr>
            </w:pPr>
            <w:r w:rsidRPr="00C431FD">
              <w:rPr>
                <w:rFonts w:cs="Times New Roman"/>
              </w:rPr>
              <w:t>wyposażenie dróg, ulic, torowisk w obiekty inżynieryjne i niezbędne urządzenie drogowe/ zakup niezbędnego sprzętu służącego bezpieczeństwu ruchu pojazdów transportu publicznego,</w:t>
            </w:r>
          </w:p>
          <w:p w14:paraId="1EEC653F" w14:textId="03993E69" w:rsidR="00F34BD4" w:rsidRPr="00C431FD" w:rsidRDefault="00F34BD4" w:rsidP="00FF3BC7">
            <w:pPr>
              <w:pStyle w:val="Akapitzlist"/>
              <w:numPr>
                <w:ilvl w:val="0"/>
                <w:numId w:val="16"/>
              </w:numPr>
              <w:spacing w:line="276" w:lineRule="auto"/>
              <w:rPr>
                <w:rFonts w:cs="Times New Roman"/>
              </w:rPr>
            </w:pPr>
            <w:r w:rsidRPr="00C431FD">
              <w:rPr>
                <w:rFonts w:cs="Times New Roman"/>
              </w:rPr>
              <w:t>wyposażenie dróg, ulic w infrastrukturę służącą obsłudze transportu publicznego (np. podjazdy, zjazdy) oraz pasażerów (np. przystanki, wyspy),</w:t>
            </w:r>
          </w:p>
          <w:p w14:paraId="6DF4E76B" w14:textId="77777777" w:rsidR="00F34BD4" w:rsidRPr="00C431FD" w:rsidRDefault="00F34BD4" w:rsidP="00FF3BC7">
            <w:pPr>
              <w:pStyle w:val="Akapitzlist"/>
              <w:numPr>
                <w:ilvl w:val="0"/>
                <w:numId w:val="16"/>
              </w:numPr>
              <w:spacing w:line="276" w:lineRule="auto"/>
              <w:rPr>
                <w:rFonts w:cs="Times New Roman"/>
              </w:rPr>
            </w:pPr>
            <w:r w:rsidRPr="00C431FD">
              <w:rPr>
                <w:rFonts w:cs="Times New Roman"/>
              </w:rPr>
              <w:t xml:space="preserve">budowa, przebudowa i rozbudowa węzłów przesiadkowych w tym systemy parkingów dla samochodów „Parkuj i Jedź” („Park &amp; </w:t>
            </w:r>
            <w:proofErr w:type="spellStart"/>
            <w:r w:rsidRPr="00C431FD">
              <w:rPr>
                <w:rFonts w:cs="Times New Roman"/>
              </w:rPr>
              <w:t>Ride</w:t>
            </w:r>
            <w:proofErr w:type="spellEnd"/>
            <w:r w:rsidRPr="00C431FD">
              <w:rPr>
                <w:rFonts w:cs="Times New Roman"/>
              </w:rPr>
              <w:t>”) oraz dla rowerów („</w:t>
            </w:r>
            <w:proofErr w:type="spellStart"/>
            <w:r w:rsidRPr="00C431FD">
              <w:rPr>
                <w:rFonts w:cs="Times New Roman"/>
              </w:rPr>
              <w:t>Bike</w:t>
            </w:r>
            <w:proofErr w:type="spellEnd"/>
            <w:r w:rsidRPr="00C431FD">
              <w:rPr>
                <w:rFonts w:cs="Times New Roman"/>
              </w:rPr>
              <w:t xml:space="preserve"> &amp; </w:t>
            </w:r>
            <w:proofErr w:type="spellStart"/>
            <w:r w:rsidRPr="00C431FD">
              <w:rPr>
                <w:rFonts w:cs="Times New Roman"/>
              </w:rPr>
              <w:t>Ride</w:t>
            </w:r>
            <w:proofErr w:type="spellEnd"/>
            <w:r w:rsidRPr="00C431FD">
              <w:rPr>
                <w:rFonts w:cs="Times New Roman"/>
              </w:rPr>
              <w:t>”),</w:t>
            </w:r>
          </w:p>
          <w:p w14:paraId="675EE34A" w14:textId="77777777" w:rsidR="00F34BD4" w:rsidRPr="00C431FD" w:rsidRDefault="00F34BD4" w:rsidP="00FF3BC7">
            <w:pPr>
              <w:pStyle w:val="Akapitzlist"/>
              <w:numPr>
                <w:ilvl w:val="0"/>
                <w:numId w:val="16"/>
              </w:numPr>
              <w:spacing w:line="276" w:lineRule="auto"/>
              <w:rPr>
                <w:rFonts w:cs="Times New Roman"/>
              </w:rPr>
            </w:pPr>
            <w:r w:rsidRPr="00C431FD">
              <w:rPr>
                <w:rFonts w:cs="Times New Roman"/>
              </w:rPr>
              <w:t xml:space="preserve">budowa systemów transportowych PRT (Personal </w:t>
            </w:r>
            <w:proofErr w:type="spellStart"/>
            <w:r w:rsidRPr="00C431FD">
              <w:rPr>
                <w:rFonts w:cs="Times New Roman"/>
              </w:rPr>
              <w:t>Rapid</w:t>
            </w:r>
            <w:proofErr w:type="spellEnd"/>
            <w:r w:rsidRPr="00C431FD">
              <w:rPr>
                <w:rFonts w:cs="Times New Roman"/>
              </w:rPr>
              <w:t xml:space="preserve"> Transport).</w:t>
            </w:r>
          </w:p>
          <w:p w14:paraId="3E426B9E" w14:textId="77777777" w:rsidR="00F34BD4" w:rsidRPr="004A2365" w:rsidRDefault="00F34BD4" w:rsidP="00FF3BC7">
            <w:pPr>
              <w:spacing w:line="276" w:lineRule="auto"/>
              <w:rPr>
                <w:rFonts w:cs="Times New Roman"/>
              </w:rPr>
            </w:pPr>
            <w:r w:rsidRPr="00C431FD">
              <w:rPr>
                <w:rFonts w:cs="Times New Roman"/>
              </w:rPr>
              <w:t>Inwestycje taborowe: zakup, modernizacja taboru szynowego (tramwajowego, metra</w:t>
            </w:r>
            <w:r>
              <w:rPr>
                <w:rFonts w:cs="Times New Roman"/>
              </w:rPr>
              <w:t>, kolejowego</w:t>
            </w:r>
            <w:r w:rsidRPr="00C431FD">
              <w:rPr>
                <w:rFonts w:cs="Times New Roman"/>
              </w:rPr>
              <w:t>), trolejbusowego i autobusowego wraz z niezbędną infrastrukturą służącą do jego utrzymania (np. zaplecza techniczne do obsługi i konserwacji taboru wraz z niezbędnym sprzętem specjalistycznym, miejsca i urządzenia zasilania paliwem alternatywnym).</w:t>
            </w:r>
          </w:p>
        </w:tc>
      </w:tr>
      <w:tr w:rsidR="00F34BD4" w:rsidRPr="004A2365" w14:paraId="03E98159" w14:textId="77777777" w:rsidTr="00B823C1">
        <w:tc>
          <w:tcPr>
            <w:tcW w:w="1644" w:type="dxa"/>
            <w:vAlign w:val="center"/>
          </w:tcPr>
          <w:p w14:paraId="24E01472"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Typ beneficjentów</w:t>
            </w:r>
          </w:p>
        </w:tc>
        <w:tc>
          <w:tcPr>
            <w:tcW w:w="7085" w:type="dxa"/>
            <w:vAlign w:val="center"/>
          </w:tcPr>
          <w:p w14:paraId="437D14C2" w14:textId="77777777" w:rsidR="00F34BD4" w:rsidRPr="005F6678" w:rsidRDefault="00F34BD4" w:rsidP="00FF3BC7">
            <w:pPr>
              <w:pStyle w:val="Akapitzlist"/>
              <w:numPr>
                <w:ilvl w:val="0"/>
                <w:numId w:val="20"/>
              </w:numPr>
              <w:spacing w:line="276" w:lineRule="auto"/>
              <w:jc w:val="left"/>
              <w:rPr>
                <w:rFonts w:cs="Times New Roman"/>
              </w:rPr>
            </w:pPr>
            <w:r w:rsidRPr="005F6678">
              <w:rPr>
                <w:rFonts w:cs="Times New Roman"/>
              </w:rPr>
              <w:t>jednostki samorządu terytorialnego oraz ich związki – miasta wojewódzkie i ich obszary funkcjonalne oraz działające w ich imieniu jednostki organizacyjne i spółki specjalnego przeznaczenia;</w:t>
            </w:r>
          </w:p>
          <w:p w14:paraId="30922AEC" w14:textId="77777777" w:rsidR="00F34BD4" w:rsidRPr="005F6678" w:rsidRDefault="00F34BD4" w:rsidP="00FF3BC7">
            <w:pPr>
              <w:pStyle w:val="Akapitzlist"/>
              <w:numPr>
                <w:ilvl w:val="0"/>
                <w:numId w:val="20"/>
              </w:numPr>
              <w:spacing w:line="276" w:lineRule="auto"/>
              <w:jc w:val="left"/>
              <w:rPr>
                <w:rFonts w:cs="Times New Roman"/>
              </w:rPr>
            </w:pPr>
            <w:r w:rsidRPr="005F6678">
              <w:rPr>
                <w:rFonts w:cs="Times New Roman"/>
              </w:rPr>
              <w:t>zarządcy infrastruktury służącej transportowi miejskiemu;</w:t>
            </w:r>
          </w:p>
          <w:p w14:paraId="72856E68" w14:textId="77777777" w:rsidR="00F34BD4" w:rsidRPr="005F6678" w:rsidRDefault="00F34BD4" w:rsidP="00FF3BC7">
            <w:pPr>
              <w:pStyle w:val="Akapitzlist"/>
              <w:numPr>
                <w:ilvl w:val="0"/>
                <w:numId w:val="20"/>
              </w:numPr>
              <w:spacing w:line="276" w:lineRule="auto"/>
              <w:jc w:val="left"/>
              <w:rPr>
                <w:rFonts w:cs="Times New Roman"/>
              </w:rPr>
            </w:pPr>
            <w:r w:rsidRPr="005F6678">
              <w:rPr>
                <w:rFonts w:cs="Times New Roman"/>
              </w:rPr>
              <w:t>operatorzy publicznego transportu zbiorowego</w:t>
            </w:r>
          </w:p>
        </w:tc>
      </w:tr>
      <w:tr w:rsidR="00F34BD4" w:rsidRPr="004A2365" w14:paraId="29BFC49F" w14:textId="77777777" w:rsidTr="00B823C1">
        <w:tc>
          <w:tcPr>
            <w:tcW w:w="1644" w:type="dxa"/>
            <w:vAlign w:val="center"/>
          </w:tcPr>
          <w:p w14:paraId="3013E6A9"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Instytucja wdrażająca</w:t>
            </w:r>
          </w:p>
        </w:tc>
        <w:tc>
          <w:tcPr>
            <w:tcW w:w="7085" w:type="dxa"/>
            <w:vAlign w:val="center"/>
          </w:tcPr>
          <w:p w14:paraId="0684A522" w14:textId="77777777" w:rsidR="00F34BD4" w:rsidRPr="004A2365" w:rsidRDefault="00F34BD4" w:rsidP="00FF3BC7">
            <w:pPr>
              <w:spacing w:line="276" w:lineRule="auto"/>
              <w:rPr>
                <w:rFonts w:cs="Times New Roman"/>
              </w:rPr>
            </w:pPr>
            <w:r>
              <w:rPr>
                <w:rFonts w:cs="Times New Roman"/>
              </w:rPr>
              <w:t>Ministerstwo Infrastruktury (MI), Centrum Unijnych Projektów Transportowych (CUPT), NFOŚiGW</w:t>
            </w:r>
          </w:p>
        </w:tc>
      </w:tr>
      <w:tr w:rsidR="00F34BD4" w:rsidRPr="004A2365" w14:paraId="5C2E20D4" w14:textId="77777777" w:rsidTr="00B823C1">
        <w:tc>
          <w:tcPr>
            <w:tcW w:w="1644" w:type="dxa"/>
            <w:vAlign w:val="center"/>
          </w:tcPr>
          <w:p w14:paraId="3CE6D53D"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Instytucja nadzorująca</w:t>
            </w:r>
          </w:p>
        </w:tc>
        <w:tc>
          <w:tcPr>
            <w:tcW w:w="7085" w:type="dxa"/>
            <w:vAlign w:val="center"/>
          </w:tcPr>
          <w:p w14:paraId="7E8F57F4" w14:textId="77777777" w:rsidR="00F34BD4" w:rsidRPr="004A2365" w:rsidRDefault="00F34BD4" w:rsidP="00FF3BC7">
            <w:pPr>
              <w:spacing w:line="276" w:lineRule="auto"/>
              <w:rPr>
                <w:rFonts w:cs="Times New Roman"/>
              </w:rPr>
            </w:pPr>
            <w:r>
              <w:rPr>
                <w:rFonts w:cs="Times New Roman"/>
              </w:rPr>
              <w:t>MI, NFOŚiGW</w:t>
            </w:r>
          </w:p>
        </w:tc>
      </w:tr>
    </w:tbl>
    <w:p w14:paraId="70AE4226" w14:textId="77777777" w:rsidR="00F34BD4" w:rsidRPr="004A2365" w:rsidRDefault="00F34BD4" w:rsidP="00FF3BC7">
      <w:pPr>
        <w:pStyle w:val="Akapitzlist"/>
        <w:numPr>
          <w:ilvl w:val="0"/>
          <w:numId w:val="14"/>
        </w:numPr>
        <w:spacing w:before="120" w:line="360" w:lineRule="auto"/>
        <w:ind w:left="1134" w:hanging="357"/>
        <w:jc w:val="left"/>
        <w:rPr>
          <w:b/>
          <w:bCs/>
          <w:color w:val="2F5496" w:themeColor="accent1" w:themeShade="BF"/>
        </w:rPr>
      </w:pPr>
      <w:r>
        <w:rPr>
          <w:b/>
          <w:bCs/>
          <w:color w:val="2F5496" w:themeColor="accent1" w:themeShade="BF"/>
        </w:rPr>
        <w:t>Opis środka alternatywnego</w:t>
      </w:r>
    </w:p>
    <w:p w14:paraId="682CA38A" w14:textId="77777777" w:rsidR="00F34BD4" w:rsidRDefault="00F34BD4" w:rsidP="00373FD3">
      <w:r w:rsidRPr="00D62DB9">
        <w:t xml:space="preserve">Wsparcie transportu publicznego </w:t>
      </w:r>
      <w:r>
        <w:t>było</w:t>
      </w:r>
      <w:r w:rsidRPr="00D62DB9">
        <w:t xml:space="preserve"> jednym z elementów realizacji działań w ramach Programu Operacyjnego Infrastruktura i Środowisko – na lata 2014-2020, wynikających z przygotowanych przez samorządy planów gospodarki niskoemisyjnej, obejmujących swoim zakresem zagadnienia związane ze zrównoważoną mobilnością miejską. Inwestycje mają charakter zarówno infrastrukturalny, jak i taborowy, </w:t>
      </w:r>
      <w:r w:rsidRPr="00D62DB9">
        <w:lastRenderedPageBreak/>
        <w:t xml:space="preserve">a także kompleksowy, obejmujący obydwa typy projektów. Preferowane są projekty transportu szynowego i taboru autobusowego zasilanego paliwem alternatywnym w stosunku do silników spalinowych. Realizowane są także projekty wzbogacone o pozostałe, komplementarne względem podstawowej infrastruktury liniowej elementy (inwestycje), w tym ITS, usprawniające funkcjonowanie całego systemu transportowego, dzięki którym następuje integracja infrastrukturalna istniejących środków transportu. Wsparcie </w:t>
      </w:r>
      <w:r>
        <w:t xml:space="preserve">lokalnego </w:t>
      </w:r>
      <w:r w:rsidRPr="00D62DB9">
        <w:t xml:space="preserve">niskoemisyjnego transportu publicznego ze środków Funduszu Spójności UE </w:t>
      </w:r>
      <w:r>
        <w:t>jest</w:t>
      </w:r>
      <w:r w:rsidRPr="00D62DB9">
        <w:t xml:space="preserve"> kontynuowane w ramach Programu Operacyjnego Infrastruktura i Środowisko w okresie 2021-2027.</w:t>
      </w:r>
      <w:r>
        <w:t xml:space="preserve"> </w:t>
      </w:r>
    </w:p>
    <w:p w14:paraId="138AC92A" w14:textId="77777777" w:rsidR="00F34BD4" w:rsidRPr="00D62DB9" w:rsidRDefault="00F34BD4" w:rsidP="00373FD3">
      <w:r>
        <w:t xml:space="preserve">Rozwój ekologicznego transportu na poziomie lokalnym wskazany został w ustawie z dnia 11 stycznia 2018 r. </w:t>
      </w:r>
      <w:r w:rsidRPr="00373FD3">
        <w:t xml:space="preserve">o </w:t>
      </w:r>
      <w:proofErr w:type="spellStart"/>
      <w:r w:rsidRPr="00373FD3">
        <w:t>elektromibilności</w:t>
      </w:r>
      <w:proofErr w:type="spellEnd"/>
      <w:r w:rsidRPr="00373FD3">
        <w:t xml:space="preserve"> i paliwach alternatywnych</w:t>
      </w:r>
      <w:r>
        <w:t xml:space="preserve">. Jednostka samorządu terytorialnego powyżej 50 000 mieszkańców zapewnia lub zleca świadczenie usług transportu publicznego w rozumieniu ustawy z dnia 16 grudnia 2010 r. </w:t>
      </w:r>
      <w:r w:rsidRPr="00373FD3">
        <w:t>o transporcie publicznym</w:t>
      </w:r>
      <w:r>
        <w:t xml:space="preserve"> podmiotowi, którego udział autobusów </w:t>
      </w:r>
      <w:proofErr w:type="spellStart"/>
      <w:r>
        <w:t>bezemisyjnych</w:t>
      </w:r>
      <w:proofErr w:type="spellEnd"/>
      <w:r>
        <w:t xml:space="preserve"> we flocie pojazdów </w:t>
      </w:r>
      <w:r w:rsidRPr="00D62DB9">
        <w:t>użytkowanych na terenie tej jednostki samorządu terytorialnego wynosi min 30%.</w:t>
      </w:r>
    </w:p>
    <w:p w14:paraId="0AF19483" w14:textId="77777777" w:rsidR="00F34BD4" w:rsidRPr="00C84027" w:rsidRDefault="00F34BD4" w:rsidP="00373FD3">
      <w:r w:rsidRPr="00D62DB9">
        <w:t>Miasta same decydują, którą drogą mają osiągnąć obowiązkowe lub samodzielnie określone cele i definiują je w swoich dokumentach strategicznych, takich jak Plany Zrównoważonej Mobilności Miejskiej.</w:t>
      </w:r>
      <w:r w:rsidDel="009526FF">
        <w:t xml:space="preserve"> </w:t>
      </w:r>
      <w:r w:rsidRPr="00D62DB9">
        <w:t>Szacuje się że w segmencie transportu publicznego na poziomie krajowym w 2030 roku będzie 3000 autobusów elektrycznych.</w:t>
      </w:r>
    </w:p>
    <w:p w14:paraId="70DB1A09" w14:textId="77777777" w:rsidR="00F34BD4" w:rsidRPr="00373FD3" w:rsidRDefault="00F34BD4" w:rsidP="00373FD3">
      <w:r w:rsidRPr="00D62DB9">
        <w:t xml:space="preserve">W </w:t>
      </w:r>
      <w:r>
        <w:t>pe</w:t>
      </w:r>
      <w:r w:rsidRPr="00580C3E">
        <w:t>rspektywie</w:t>
      </w:r>
      <w:r w:rsidRPr="00D62DB9">
        <w:t xml:space="preserve"> do 2030 r.</w:t>
      </w:r>
      <w:r>
        <w:t xml:space="preserve"> na rozwój zbiorowego transportu publicznego przewidziane są zarówno środki unijne jak i krajowe. Są to m.in.: </w:t>
      </w:r>
    </w:p>
    <w:p w14:paraId="2082D12B" w14:textId="77777777" w:rsidR="00F34BD4" w:rsidRPr="00D62DB9" w:rsidRDefault="00F34BD4" w:rsidP="00FF3BC7">
      <w:pPr>
        <w:numPr>
          <w:ilvl w:val="0"/>
          <w:numId w:val="36"/>
        </w:numPr>
      </w:pPr>
      <w:r w:rsidRPr="00D62DB9">
        <w:t>Największe inwestycje infrastrukturalne, drogi koleje i transport publiczny  w ramach polityki spójności na lata 2021-2027 zakłada udział funduszy związanych z transportem zeroemisyjnym, takich jak: Europejski Fundusz Rozwoju Regionalnego i</w:t>
      </w:r>
      <w:r w:rsidRPr="00D62DB9" w:rsidDel="00845887">
        <w:t xml:space="preserve"> </w:t>
      </w:r>
      <w:r w:rsidRPr="00D62DB9">
        <w:t>Fundusz Spójności. Uzupełnieniem powyższych środków jest Fundusz Efektywnej Transformacji. W ramach programu krajowego i regionalnego przekazane zostanie łącznie 25,1 mld euro.</w:t>
      </w:r>
    </w:p>
    <w:p w14:paraId="559F28E0" w14:textId="77777777" w:rsidR="00F34BD4" w:rsidRPr="00D62DB9" w:rsidRDefault="00F34BD4" w:rsidP="00FF3BC7">
      <w:pPr>
        <w:numPr>
          <w:ilvl w:val="0"/>
          <w:numId w:val="36"/>
        </w:numPr>
      </w:pPr>
      <w:r w:rsidRPr="00D62DB9">
        <w:t xml:space="preserve">Polska zaakceptowała Krajowy Plan Odbudowy zakładający alokację powyżej 6 mln euro w komponencie „Zielona, inteligentna mobilność”. </w:t>
      </w:r>
    </w:p>
    <w:p w14:paraId="55EFF370" w14:textId="77777777" w:rsidR="00F34BD4" w:rsidRPr="00D62DB9" w:rsidRDefault="00F34BD4" w:rsidP="00FF3BC7">
      <w:pPr>
        <w:numPr>
          <w:ilvl w:val="0"/>
          <w:numId w:val="36"/>
        </w:numPr>
      </w:pPr>
      <w:r w:rsidRPr="00D62DB9">
        <w:t xml:space="preserve">Nowy program operacyjny Feniks (Fundusz Europejski na Infrastrukturę, Klimat, Środowisko) obejmuje wsparcie dla zielonej energii, zrównoważonej i inteligentnej mobilności. </w:t>
      </w:r>
    </w:p>
    <w:p w14:paraId="715AF643" w14:textId="77777777" w:rsidR="00F34BD4" w:rsidRPr="000B69A6" w:rsidRDefault="00F34BD4" w:rsidP="00FF3BC7">
      <w:pPr>
        <w:numPr>
          <w:ilvl w:val="0"/>
          <w:numId w:val="36"/>
        </w:numPr>
      </w:pPr>
      <w:r w:rsidRPr="00D62DB9">
        <w:t xml:space="preserve">Planowane jest uruchomienie w 2022 roku trzeciej edycji programu „Zielony Transport Publiczny” Transport Publiczny”) programu Narodowego Funduszu Ochrony Środowiska i Gospodarki Wodnej, które dofinansowują </w:t>
      </w:r>
      <w:proofErr w:type="spellStart"/>
      <w:r w:rsidRPr="00D62DB9">
        <w:t>bezemisyjną</w:t>
      </w:r>
      <w:proofErr w:type="spellEnd"/>
      <w:r w:rsidRPr="00D62DB9">
        <w:t xml:space="preserve"> flotę miejską i infrastrukturę miejską. </w:t>
      </w:r>
    </w:p>
    <w:p w14:paraId="49A65BBB" w14:textId="77777777" w:rsidR="00F34BD4" w:rsidRDefault="00F34BD4" w:rsidP="00FF3BC7">
      <w:pPr>
        <w:numPr>
          <w:ilvl w:val="0"/>
          <w:numId w:val="36"/>
        </w:numPr>
      </w:pPr>
      <w:r w:rsidRPr="00D62DB9">
        <w:t xml:space="preserve">Polski Fundusz Rozwoju (PFR) to grupa instytucji finansowych i doradczych wspierających samorząd terytorialny oraz inwestowanie w zrównoważony rozwój społeczno-gospodarczy Polski. </w:t>
      </w:r>
    </w:p>
    <w:p w14:paraId="0E19E449" w14:textId="77777777" w:rsidR="00F34BD4" w:rsidRPr="00D62DB9" w:rsidRDefault="00F34BD4" w:rsidP="00FF3BC7">
      <w:pPr>
        <w:numPr>
          <w:ilvl w:val="0"/>
          <w:numId w:val="36"/>
        </w:numPr>
      </w:pPr>
      <w:r w:rsidRPr="00D62DB9">
        <w:t>Fundusz Rozwoju Przewozów Autobusowych o charakterze użyteczności publicznej</w:t>
      </w:r>
      <w:r>
        <w:t>, i</w:t>
      </w:r>
      <w:r w:rsidRPr="00D62DB9">
        <w:t>nstrument wsparcia finansowego jednostek samorządu terytorialnego będących organizatorami publicznego transportu zbiorowego. Dzięki dofinansowaniu z Funduszu wspierane są samorządy w realizacji zadań własnych dotyczących zapewnienia funkcjonowania publicznego transportu zbiorowego w zakresie przewozów autobusowych o charakterze użyteczności publicznej. Fundusz jest  państwowym funduszem celowym.</w:t>
      </w:r>
    </w:p>
    <w:p w14:paraId="3E5C20B0" w14:textId="77777777" w:rsidR="00F34BD4" w:rsidRPr="0026334A" w:rsidRDefault="00F34BD4" w:rsidP="00FF3BC7">
      <w:pPr>
        <w:pStyle w:val="Akapitzlist"/>
        <w:numPr>
          <w:ilvl w:val="0"/>
          <w:numId w:val="14"/>
        </w:numPr>
        <w:spacing w:before="120" w:line="360" w:lineRule="auto"/>
        <w:ind w:left="1134" w:hanging="357"/>
        <w:jc w:val="left"/>
        <w:rPr>
          <w:b/>
          <w:bCs/>
          <w:color w:val="2F5496" w:themeColor="accent1" w:themeShade="BF"/>
        </w:rPr>
      </w:pPr>
      <w:r w:rsidRPr="0026334A">
        <w:rPr>
          <w:b/>
          <w:bCs/>
          <w:color w:val="2F5496" w:themeColor="accent1" w:themeShade="BF"/>
        </w:rPr>
        <w:t>Zastosowane metody obliczeniowe, o których mowa w pkt 1 Załącznika V do dyrektywy 2023//UE</w:t>
      </w:r>
    </w:p>
    <w:p w14:paraId="6F5ED368" w14:textId="77777777" w:rsidR="00F34BD4" w:rsidRPr="00E35197" w:rsidRDefault="00F34BD4" w:rsidP="00373FD3">
      <w:r w:rsidRPr="00E11A5F">
        <w:t xml:space="preserve">Zgodnie z wymaganiami dotyczącymi metod i zasad obliczania oszczędności energii określonymi w załączniku V pkt 1 dyrektywy </w:t>
      </w:r>
      <w:r>
        <w:t>2023</w:t>
      </w:r>
      <w:r w:rsidRPr="00E11A5F">
        <w:t xml:space="preserve">//UE w sprawie efektywności energetycznej, przyjęto metodę szacowania oszczędności  energii (tj. </w:t>
      </w:r>
      <w:proofErr w:type="spellStart"/>
      <w:r w:rsidRPr="00373FD3">
        <w:t>deemed</w:t>
      </w:r>
      <w:proofErr w:type="spellEnd"/>
      <w:r w:rsidRPr="00373FD3">
        <w:t xml:space="preserve"> </w:t>
      </w:r>
      <w:proofErr w:type="spellStart"/>
      <w:r w:rsidRPr="00373FD3">
        <w:t>savings</w:t>
      </w:r>
      <w:proofErr w:type="spellEnd"/>
      <w:r w:rsidRPr="00E11A5F">
        <w:t>)</w:t>
      </w:r>
      <w:r>
        <w:t xml:space="preserve"> oraz skalowanych oszczędności</w:t>
      </w:r>
      <w:r w:rsidRPr="00E35197">
        <w:t xml:space="preserve"> (tj. </w:t>
      </w:r>
      <w:proofErr w:type="spellStart"/>
      <w:r w:rsidRPr="00373FD3">
        <w:t>scaled</w:t>
      </w:r>
      <w:proofErr w:type="spellEnd"/>
      <w:r w:rsidRPr="00373FD3">
        <w:t xml:space="preserve"> </w:t>
      </w:r>
      <w:proofErr w:type="spellStart"/>
      <w:r w:rsidRPr="00373FD3">
        <w:t>savings</w:t>
      </w:r>
      <w:proofErr w:type="spellEnd"/>
      <w:r w:rsidRPr="00E35197">
        <w:t xml:space="preserve">). </w:t>
      </w:r>
    </w:p>
    <w:p w14:paraId="23E123F6" w14:textId="77777777" w:rsidR="00F34BD4" w:rsidRPr="00DB3E40" w:rsidRDefault="00F34BD4" w:rsidP="00FF3BC7">
      <w:pPr>
        <w:pStyle w:val="Akapitzlist"/>
        <w:numPr>
          <w:ilvl w:val="0"/>
          <w:numId w:val="14"/>
        </w:numPr>
        <w:spacing w:before="120" w:line="360" w:lineRule="auto"/>
        <w:ind w:left="1134" w:hanging="357"/>
        <w:jc w:val="left"/>
        <w:rPr>
          <w:b/>
          <w:bCs/>
          <w:color w:val="2F5496" w:themeColor="accent1" w:themeShade="BF"/>
        </w:rPr>
      </w:pPr>
      <w:r w:rsidRPr="00DB3E40">
        <w:rPr>
          <w:b/>
          <w:bCs/>
          <w:color w:val="2F5496" w:themeColor="accent1" w:themeShade="BF"/>
        </w:rPr>
        <w:lastRenderedPageBreak/>
        <w:t>Metoda wyrażania wielkości oszczędności energii (oszczędność energii pierwotnej lub finalnej)</w:t>
      </w:r>
    </w:p>
    <w:p w14:paraId="0F2D4C7E" w14:textId="77777777" w:rsidR="00F34BD4" w:rsidRPr="00075176" w:rsidRDefault="00F34BD4" w:rsidP="00373FD3">
      <w:r w:rsidRPr="00075176">
        <w:t xml:space="preserve">Oszczędność energii wynikająca z przedstawionego środka poprawy efektywności energetycznej wyrażana jest w energii finalnej </w:t>
      </w:r>
      <w:proofErr w:type="spellStart"/>
      <w:r w:rsidRPr="00075176">
        <w:t>toe</w:t>
      </w:r>
      <w:proofErr w:type="spellEnd"/>
      <w:r w:rsidRPr="00075176">
        <w:t xml:space="preserve"> na rok. </w:t>
      </w:r>
    </w:p>
    <w:p w14:paraId="57DC331F" w14:textId="77777777" w:rsidR="00F34BD4" w:rsidRPr="00DB3E40" w:rsidRDefault="00F34BD4" w:rsidP="00FF3BC7">
      <w:pPr>
        <w:pStyle w:val="Akapitzlist"/>
        <w:numPr>
          <w:ilvl w:val="0"/>
          <w:numId w:val="14"/>
        </w:numPr>
        <w:spacing w:before="120" w:line="360" w:lineRule="auto"/>
        <w:ind w:left="1134" w:hanging="357"/>
        <w:jc w:val="left"/>
        <w:rPr>
          <w:b/>
          <w:bCs/>
          <w:color w:val="2F5496" w:themeColor="accent1" w:themeShade="BF"/>
        </w:rPr>
      </w:pPr>
      <w:r w:rsidRPr="00DB3E40">
        <w:rPr>
          <w:b/>
          <w:bCs/>
          <w:color w:val="2F5496" w:themeColor="accent1" w:themeShade="BF"/>
        </w:rPr>
        <w:t>Okres obowiązywania środków i tempo zmniejszania się oszczędności w tym okresie</w:t>
      </w:r>
    </w:p>
    <w:p w14:paraId="35A212B1" w14:textId="2B495EE2" w:rsidR="00F34BD4" w:rsidRPr="00D62DB9" w:rsidRDefault="00F34BD4" w:rsidP="00373FD3">
      <w:r w:rsidRPr="00D62DB9">
        <w:t xml:space="preserve">Zgodnie z Dodatkiem VIII </w:t>
      </w:r>
      <w:r w:rsidRPr="00373FD3">
        <w:t xml:space="preserve">Okres obowiązywania środków i tempo zmniejszania się oszczędności w tym okresie </w:t>
      </w:r>
      <w:r w:rsidRPr="00D62DB9">
        <w:t>do Zaleceń Komisji</w:t>
      </w:r>
      <w:r w:rsidRPr="00373FD3">
        <w:fldChar w:fldCharType="begin"/>
      </w:r>
      <w:r w:rsidRPr="00373FD3">
        <w:instrText xml:space="preserve"> NOTEREF _Ref133923497 \h  \* MERGEFORMAT </w:instrText>
      </w:r>
      <w:r w:rsidRPr="00373FD3">
        <w:fldChar w:fldCharType="separate"/>
      </w:r>
      <w:r w:rsidR="00FD1148">
        <w:t>3</w:t>
      </w:r>
      <w:r w:rsidRPr="00373FD3">
        <w:fldChar w:fldCharType="end"/>
      </w:r>
      <w:r w:rsidRPr="00D62DB9">
        <w:t xml:space="preserve"> określono orientacyjne czasy trwania środka. W ramach realizacji programu wykonywane są następujące zadania: </w:t>
      </w:r>
    </w:p>
    <w:p w14:paraId="25B3CF64" w14:textId="77777777" w:rsidR="00F34BD4" w:rsidRPr="00D62DB9" w:rsidRDefault="00F34BD4" w:rsidP="00FF3BC7">
      <w:pPr>
        <w:numPr>
          <w:ilvl w:val="0"/>
          <w:numId w:val="37"/>
        </w:numPr>
      </w:pPr>
      <w:r w:rsidRPr="00D62DB9">
        <w:t>zmiana środka transportu</w:t>
      </w:r>
    </w:p>
    <w:p w14:paraId="7E2806EA" w14:textId="77777777" w:rsidR="00F34BD4" w:rsidRPr="00D62DB9" w:rsidRDefault="00F34BD4" w:rsidP="00FF3BC7">
      <w:pPr>
        <w:numPr>
          <w:ilvl w:val="0"/>
          <w:numId w:val="37"/>
        </w:numPr>
      </w:pPr>
      <w:r w:rsidRPr="00D62DB9">
        <w:t>zakup energooszczędnych pojazdów</w:t>
      </w:r>
    </w:p>
    <w:p w14:paraId="609E4C2C" w14:textId="77777777" w:rsidR="00F34BD4" w:rsidRPr="00DB3E40" w:rsidRDefault="00F34BD4" w:rsidP="00373FD3">
      <w:r w:rsidRPr="00D62DB9">
        <w:t xml:space="preserve">Biorąc pod uwagę rodzaj przedsięwzięć realizowanych w ramach programu czas obowiązywania środków będzie nie dłuższy </w:t>
      </w:r>
      <w:r w:rsidRPr="00373FD3">
        <w:t>niż 15 lat</w:t>
      </w:r>
      <w:r w:rsidRPr="00D62DB9">
        <w:t>.</w:t>
      </w:r>
      <w:r w:rsidRPr="00DB3E40">
        <w:t xml:space="preserve"> </w:t>
      </w:r>
    </w:p>
    <w:p w14:paraId="33DD15EB" w14:textId="77777777" w:rsidR="00F34BD4" w:rsidRDefault="00F34BD4" w:rsidP="00FF3BC7">
      <w:pPr>
        <w:pStyle w:val="Akapitzlist"/>
        <w:numPr>
          <w:ilvl w:val="0"/>
          <w:numId w:val="14"/>
        </w:numPr>
        <w:spacing w:before="120" w:line="360" w:lineRule="auto"/>
        <w:ind w:left="1134" w:hanging="357"/>
        <w:jc w:val="left"/>
        <w:rPr>
          <w:b/>
          <w:bCs/>
          <w:color w:val="2F5496" w:themeColor="accent1" w:themeShade="BF"/>
        </w:rPr>
      </w:pPr>
      <w:r w:rsidRPr="001644C2">
        <w:rPr>
          <w:b/>
          <w:bCs/>
          <w:color w:val="2F5496" w:themeColor="accent1" w:themeShade="BF"/>
        </w:rPr>
        <w:t xml:space="preserve">Krótki opis metody obliczania oszczędności energii, w tym sposobów zapewniania dodatkowości i istotności oraz metod i poziomów referencyjnych stosowanych do oszczędności </w:t>
      </w:r>
      <w:r>
        <w:rPr>
          <w:b/>
          <w:bCs/>
          <w:color w:val="2F5496" w:themeColor="accent1" w:themeShade="BF"/>
        </w:rPr>
        <w:t>szacowanej</w:t>
      </w:r>
      <w:r w:rsidRPr="001644C2">
        <w:rPr>
          <w:b/>
          <w:bCs/>
          <w:color w:val="2F5496" w:themeColor="accent1" w:themeShade="BF"/>
        </w:rPr>
        <w:t xml:space="preserve"> i skalowanych</w:t>
      </w:r>
    </w:p>
    <w:p w14:paraId="439E9B5B" w14:textId="77777777" w:rsidR="00F34BD4" w:rsidRPr="00373FD3" w:rsidRDefault="00F34BD4" w:rsidP="00373FD3">
      <w:r w:rsidRPr="00D62DB9">
        <w:t xml:space="preserve">Wartości o jednostkowym zużyciu energii przez samochody i autobusy zostały opracowane i opublikowane w rozporządzeniu Ministra Klimatu i Środowiska </w:t>
      </w:r>
      <w:r w:rsidRPr="00373FD3">
        <w:t xml:space="preserve">zmieniającym rozporządzenie w sprawie szczegółowego zakresu i sposobu sporządzania audytu efektywności energetycznej oraz metod obliczania oszczędności energii </w:t>
      </w:r>
      <w:r w:rsidRPr="00D62DB9">
        <w:t>(Dz. U. z 2022 r. poz. 956),</w:t>
      </w:r>
      <w:r w:rsidRPr="00373FD3">
        <w:t xml:space="preserve"> </w:t>
      </w:r>
      <w:r>
        <w:t>oszczędność energii oblicza się na podstawie wzoru:</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6"/>
        <w:gridCol w:w="596"/>
      </w:tblGrid>
      <w:tr w:rsidR="00F34BD4" w:rsidRPr="000676E3" w14:paraId="201758D0" w14:textId="77777777" w:rsidTr="00B823C1">
        <w:tc>
          <w:tcPr>
            <w:tcW w:w="8476" w:type="dxa"/>
          </w:tcPr>
          <w:p w14:paraId="36BADABC" w14:textId="77777777" w:rsidR="00F34BD4" w:rsidRPr="006F4BF3" w:rsidRDefault="00FD1148" w:rsidP="00B823C1">
            <w:pPr>
              <w:pStyle w:val="Akapitzlist"/>
              <w:rPr>
                <w:rFonts w:eastAsia="Times New Roman" w:cstheme="minorHAnsi"/>
                <w:sz w:val="28"/>
                <w:szCs w:val="28"/>
                <w:lang w:eastAsia="pl-PL"/>
              </w:rPr>
            </w:pPr>
            <m:oMathPara>
              <m:oMath>
                <m:sSub>
                  <m:sSubPr>
                    <m:ctrlPr>
                      <w:rPr>
                        <w:rFonts w:ascii="Cambria Math" w:eastAsia="Times New Roman" w:hAnsi="Cambria Math" w:cstheme="minorHAnsi"/>
                        <w:i/>
                        <w:sz w:val="28"/>
                        <w:szCs w:val="28"/>
                      </w:rPr>
                    </m:ctrlPr>
                  </m:sSubPr>
                  <m:e>
                    <m:r>
                      <m:rPr>
                        <m:sty m:val="bi"/>
                      </m:rPr>
                      <w:rPr>
                        <w:rFonts w:ascii="Cambria Math" w:eastAsia="Times New Roman" w:hAnsi="Cambria Math" w:cstheme="minorHAnsi"/>
                        <w:sz w:val="28"/>
                        <w:szCs w:val="28"/>
                        <w:lang w:eastAsia="pl-PL"/>
                      </w:rPr>
                      <m:t>O</m:t>
                    </m:r>
                  </m:e>
                  <m:sub>
                    <m:r>
                      <m:rPr>
                        <m:sty m:val="bi"/>
                      </m:rPr>
                      <w:rPr>
                        <w:rFonts w:ascii="Cambria Math" w:eastAsia="Times New Roman" w:hAnsi="Cambria Math" w:cstheme="minorHAnsi"/>
                        <w:sz w:val="28"/>
                        <w:szCs w:val="28"/>
                        <w:lang w:eastAsia="pl-PL"/>
                      </w:rPr>
                      <m:t>FLOTA</m:t>
                    </m:r>
                  </m:sub>
                </m:sSub>
                <m:r>
                  <m:rPr>
                    <m:sty m:val="bi"/>
                  </m:rPr>
                  <w:rPr>
                    <w:rFonts w:ascii="Cambria Math" w:eastAsia="Times New Roman" w:hAnsi="Cambria Math" w:cstheme="minorHAnsi"/>
                    <w:sz w:val="28"/>
                    <w:szCs w:val="28"/>
                    <w:lang w:eastAsia="pl-PL"/>
                  </w:rPr>
                  <m:t>=Noeb∙esj+NoH</m:t>
                </m:r>
                <m:r>
                  <m:rPr>
                    <m:sty m:val="bi"/>
                  </m:rPr>
                  <w:rPr>
                    <w:rFonts w:ascii="Cambria Math" w:eastAsia="Times New Roman" w:hAnsi="Cambria Math" w:cstheme="minorHAnsi"/>
                    <w:sz w:val="28"/>
                    <w:szCs w:val="28"/>
                    <w:lang w:eastAsia="pl-PL"/>
                  </w:rPr>
                  <m:t>2</m:t>
                </m:r>
                <m:r>
                  <m:rPr>
                    <m:sty m:val="bi"/>
                  </m:rPr>
                  <w:rPr>
                    <w:rFonts w:ascii="Cambria Math" w:eastAsia="Times New Roman" w:hAnsi="Cambria Math" w:cstheme="minorHAnsi"/>
                    <w:sz w:val="28"/>
                    <w:szCs w:val="28"/>
                    <w:lang w:eastAsia="pl-PL"/>
                  </w:rPr>
                  <m:t>b∙esjh</m:t>
                </m:r>
                <m:r>
                  <m:rPr>
                    <m:sty m:val="bi"/>
                  </m:rPr>
                  <w:rPr>
                    <w:rFonts w:ascii="Cambria Math" w:eastAsia="Times New Roman" w:hAnsi="Cambria Math" w:cstheme="minorHAnsi"/>
                    <w:sz w:val="28"/>
                    <w:szCs w:val="28"/>
                    <w:lang w:eastAsia="pl-PL"/>
                  </w:rPr>
                  <m:t>2</m:t>
                </m:r>
                <m:r>
                  <m:rPr>
                    <m:sty m:val="bi"/>
                  </m:rPr>
                  <w:rPr>
                    <w:rFonts w:ascii="Cambria Math" w:eastAsia="Times New Roman" w:hAnsi="Cambria Math" w:cstheme="minorHAnsi"/>
                    <w:sz w:val="28"/>
                    <w:szCs w:val="28"/>
                    <w:lang w:eastAsia="pl-PL"/>
                  </w:rPr>
                  <m:t>b+other saving,</m:t>
                </m:r>
              </m:oMath>
            </m:oMathPara>
          </w:p>
        </w:tc>
        <w:tc>
          <w:tcPr>
            <w:tcW w:w="596" w:type="dxa"/>
            <w:vAlign w:val="center"/>
          </w:tcPr>
          <w:p w14:paraId="39662E9F" w14:textId="77777777" w:rsidR="00F34BD4" w:rsidRPr="00D62DB9" w:rsidRDefault="00F34BD4" w:rsidP="00B823C1">
            <w:pPr>
              <w:jc w:val="right"/>
              <w:rPr>
                <w:lang w:eastAsia="pl-PL"/>
              </w:rPr>
            </w:pPr>
            <w:r w:rsidRPr="00D62DB9">
              <w:rPr>
                <w:lang w:eastAsia="pl-PL"/>
              </w:rPr>
              <w:t>(3)</w:t>
            </w:r>
          </w:p>
        </w:tc>
      </w:tr>
    </w:tbl>
    <w:p w14:paraId="3AB6EF3E" w14:textId="77777777" w:rsidR="00F34BD4" w:rsidRDefault="00F34BD4" w:rsidP="00F34BD4">
      <w:pPr>
        <w:spacing w:after="0"/>
        <w:rPr>
          <w:lang w:eastAsia="pl-PL"/>
        </w:rPr>
      </w:pPr>
      <w:r w:rsidRPr="00D62DB9">
        <w:rPr>
          <w:lang w:eastAsia="pl-PL"/>
        </w:rPr>
        <w:t>gdzie</w:t>
      </w:r>
      <w:r>
        <w:rPr>
          <w:lang w:eastAsia="pl-PL"/>
        </w:rPr>
        <w:t>:</w:t>
      </w:r>
    </w:p>
    <w:tbl>
      <w:tblPr>
        <w:tblStyle w:val="Tabela-Siatka"/>
        <w:tblW w:w="92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4"/>
        <w:gridCol w:w="351"/>
        <w:gridCol w:w="7281"/>
      </w:tblGrid>
      <w:tr w:rsidR="00F34BD4" w:rsidRPr="000676E3" w14:paraId="534EA00C" w14:textId="77777777" w:rsidTr="00B823C1">
        <w:tc>
          <w:tcPr>
            <w:tcW w:w="1614" w:type="dxa"/>
          </w:tcPr>
          <w:p w14:paraId="1704E289" w14:textId="77777777" w:rsidR="00F34BD4" w:rsidRPr="00D62DB9" w:rsidRDefault="00FD1148" w:rsidP="00B823C1">
            <w:pPr>
              <w:spacing w:line="360" w:lineRule="auto"/>
              <w:rPr>
                <w:lang w:eastAsia="pl-PL"/>
              </w:rPr>
            </w:pPr>
            <m:oMathPara>
              <m:oMath>
                <m:sSub>
                  <m:sSubPr>
                    <m:ctrlPr>
                      <w:rPr>
                        <w:rFonts w:ascii="Cambria Math" w:eastAsia="Times New Roman" w:hAnsi="Cambria Math" w:cstheme="minorHAnsi"/>
                        <w:i/>
                      </w:rPr>
                    </m:ctrlPr>
                  </m:sSubPr>
                  <m:e>
                    <m:r>
                      <m:rPr>
                        <m:sty m:val="bi"/>
                      </m:rPr>
                      <w:rPr>
                        <w:rFonts w:ascii="Cambria Math" w:eastAsia="Times New Roman" w:hAnsi="Cambria Math" w:cstheme="minorHAnsi"/>
                        <w:lang w:eastAsia="pl-PL"/>
                      </w:rPr>
                      <m:t>O</m:t>
                    </m:r>
                  </m:e>
                  <m:sub>
                    <m:r>
                      <m:rPr>
                        <m:sty m:val="bi"/>
                      </m:rPr>
                      <w:rPr>
                        <w:rFonts w:ascii="Cambria Math" w:eastAsia="Times New Roman" w:hAnsi="Cambria Math" w:cstheme="minorHAnsi"/>
                        <w:lang w:eastAsia="pl-PL"/>
                      </w:rPr>
                      <m:t>FLOTA</m:t>
                    </m:r>
                  </m:sub>
                </m:sSub>
              </m:oMath>
            </m:oMathPara>
          </w:p>
        </w:tc>
        <w:tc>
          <w:tcPr>
            <w:tcW w:w="351" w:type="dxa"/>
          </w:tcPr>
          <w:p w14:paraId="31736069" w14:textId="77777777" w:rsidR="00F34BD4" w:rsidRPr="00D62DB9" w:rsidRDefault="00F34BD4" w:rsidP="00B823C1">
            <w:pPr>
              <w:spacing w:line="360" w:lineRule="auto"/>
              <w:rPr>
                <w:lang w:eastAsia="pl-PL"/>
              </w:rPr>
            </w:pPr>
            <w:r w:rsidRPr="00D62DB9">
              <w:rPr>
                <w:rFonts w:eastAsia="Times New Roman" w:cstheme="minorHAnsi"/>
                <w:lang w:eastAsia="pl-PL"/>
              </w:rPr>
              <w:t>-</w:t>
            </w:r>
          </w:p>
        </w:tc>
        <w:tc>
          <w:tcPr>
            <w:tcW w:w="7281" w:type="dxa"/>
            <w:shd w:val="clear" w:color="auto" w:fill="auto"/>
          </w:tcPr>
          <w:p w14:paraId="3246704A" w14:textId="77777777" w:rsidR="00F34BD4" w:rsidRPr="00D62DB9" w:rsidRDefault="00F34BD4" w:rsidP="00B823C1">
            <w:pPr>
              <w:spacing w:line="360" w:lineRule="auto"/>
              <w:rPr>
                <w:lang w:val="en-GB" w:eastAsia="pl-PL"/>
              </w:rPr>
            </w:pPr>
            <w:proofErr w:type="spellStart"/>
            <w:r w:rsidRPr="00D62DB9">
              <w:rPr>
                <w:rFonts w:eastAsia="Times New Roman" w:cstheme="minorHAnsi"/>
                <w:lang w:val="en-GB" w:eastAsia="pl-PL"/>
              </w:rPr>
              <w:t>roczne</w:t>
            </w:r>
            <w:proofErr w:type="spellEnd"/>
            <w:r w:rsidRPr="00D62DB9">
              <w:rPr>
                <w:rFonts w:eastAsia="Times New Roman" w:cstheme="minorHAnsi"/>
                <w:lang w:val="en-GB" w:eastAsia="pl-PL"/>
              </w:rPr>
              <w:t xml:space="preserve"> </w:t>
            </w:r>
            <w:proofErr w:type="spellStart"/>
            <w:r w:rsidRPr="00D62DB9">
              <w:rPr>
                <w:rFonts w:eastAsia="Times New Roman" w:cstheme="minorHAnsi"/>
                <w:lang w:val="en-GB" w:eastAsia="pl-PL"/>
              </w:rPr>
              <w:t>oszczędności</w:t>
            </w:r>
            <w:proofErr w:type="spellEnd"/>
            <w:r w:rsidRPr="00D62DB9">
              <w:rPr>
                <w:rFonts w:eastAsia="Times New Roman" w:cstheme="minorHAnsi"/>
                <w:lang w:val="en-GB" w:eastAsia="pl-PL"/>
              </w:rPr>
              <w:t xml:space="preserve"> [</w:t>
            </w:r>
            <w:proofErr w:type="spellStart"/>
            <w:r w:rsidRPr="00D62DB9">
              <w:rPr>
                <w:rFonts w:eastAsia="Times New Roman" w:cstheme="minorHAnsi"/>
                <w:lang w:val="en-GB" w:eastAsia="pl-PL"/>
              </w:rPr>
              <w:t>ktoe</w:t>
            </w:r>
            <w:proofErr w:type="spellEnd"/>
            <w:r w:rsidRPr="00D62DB9">
              <w:rPr>
                <w:rFonts w:eastAsia="Times New Roman" w:cstheme="minorHAnsi"/>
                <w:lang w:val="en-GB" w:eastAsia="pl-PL"/>
              </w:rPr>
              <w:t>/</w:t>
            </w:r>
            <w:proofErr w:type="spellStart"/>
            <w:r w:rsidRPr="00D62DB9">
              <w:rPr>
                <w:rFonts w:eastAsia="Times New Roman" w:cstheme="minorHAnsi"/>
                <w:lang w:val="en-GB" w:eastAsia="pl-PL"/>
              </w:rPr>
              <w:t>rok</w:t>
            </w:r>
            <w:proofErr w:type="spellEnd"/>
            <w:r w:rsidRPr="00D62DB9">
              <w:rPr>
                <w:rFonts w:eastAsia="Times New Roman" w:cstheme="minorHAnsi"/>
                <w:lang w:val="en-GB" w:eastAsia="pl-PL"/>
              </w:rPr>
              <w:t>];</w:t>
            </w:r>
          </w:p>
        </w:tc>
      </w:tr>
      <w:tr w:rsidR="00F34BD4" w:rsidRPr="000676E3" w14:paraId="5628627C" w14:textId="77777777" w:rsidTr="00B823C1">
        <w:tc>
          <w:tcPr>
            <w:tcW w:w="1614" w:type="dxa"/>
          </w:tcPr>
          <w:p w14:paraId="0A5ECC0C" w14:textId="77777777" w:rsidR="00F34BD4" w:rsidRPr="00D62DB9" w:rsidRDefault="00F34BD4" w:rsidP="00B823C1">
            <w:pPr>
              <w:spacing w:line="360" w:lineRule="auto"/>
              <w:rPr>
                <w:lang w:eastAsia="pl-PL"/>
              </w:rPr>
            </w:pPr>
            <m:oMathPara>
              <m:oMath>
                <m:r>
                  <m:rPr>
                    <m:sty m:val="bi"/>
                  </m:rPr>
                  <w:rPr>
                    <w:rFonts w:ascii="Cambria Math" w:eastAsia="Times New Roman" w:hAnsi="Cambria Math" w:cstheme="minorHAnsi"/>
                    <w:lang w:eastAsia="pl-PL"/>
                  </w:rPr>
                  <m:t>Noeb</m:t>
                </m:r>
              </m:oMath>
            </m:oMathPara>
          </w:p>
        </w:tc>
        <w:tc>
          <w:tcPr>
            <w:tcW w:w="351" w:type="dxa"/>
          </w:tcPr>
          <w:p w14:paraId="71C69A1C" w14:textId="77777777" w:rsidR="00F34BD4" w:rsidRPr="00D62DB9" w:rsidRDefault="00F34BD4" w:rsidP="00B823C1">
            <w:pPr>
              <w:spacing w:line="360" w:lineRule="auto"/>
              <w:rPr>
                <w:lang w:eastAsia="pl-PL"/>
              </w:rPr>
            </w:pPr>
            <w:r w:rsidRPr="00D62DB9">
              <w:rPr>
                <w:rFonts w:eastAsia="Times New Roman" w:cstheme="minorHAnsi"/>
                <w:lang w:eastAsia="pl-PL"/>
              </w:rPr>
              <w:t>-</w:t>
            </w:r>
          </w:p>
        </w:tc>
        <w:tc>
          <w:tcPr>
            <w:tcW w:w="7281" w:type="dxa"/>
            <w:shd w:val="clear" w:color="auto" w:fill="auto"/>
          </w:tcPr>
          <w:p w14:paraId="6B131563" w14:textId="77777777" w:rsidR="00F34BD4" w:rsidRPr="00D62DB9" w:rsidRDefault="00F34BD4" w:rsidP="00B823C1">
            <w:pPr>
              <w:spacing w:line="360" w:lineRule="auto"/>
              <w:rPr>
                <w:lang w:val="en-GB" w:eastAsia="pl-PL"/>
              </w:rPr>
            </w:pPr>
            <w:proofErr w:type="spellStart"/>
            <w:r w:rsidRPr="00D62DB9">
              <w:rPr>
                <w:rFonts w:eastAsia="Times New Roman" w:cstheme="minorHAnsi"/>
                <w:lang w:val="en-GB" w:eastAsia="pl-PL"/>
              </w:rPr>
              <w:t>liczba</w:t>
            </w:r>
            <w:proofErr w:type="spellEnd"/>
            <w:r w:rsidRPr="00D62DB9">
              <w:rPr>
                <w:rFonts w:eastAsia="Times New Roman" w:cstheme="minorHAnsi"/>
                <w:lang w:val="en-GB" w:eastAsia="pl-PL"/>
              </w:rPr>
              <w:t xml:space="preserve"> </w:t>
            </w:r>
            <w:proofErr w:type="spellStart"/>
            <w:r w:rsidRPr="00D62DB9">
              <w:rPr>
                <w:rFonts w:eastAsia="Times New Roman" w:cstheme="minorHAnsi"/>
                <w:lang w:val="en-GB" w:eastAsia="pl-PL"/>
              </w:rPr>
              <w:t>nowych</w:t>
            </w:r>
            <w:proofErr w:type="spellEnd"/>
            <w:r w:rsidRPr="00D62DB9">
              <w:rPr>
                <w:rFonts w:eastAsia="Times New Roman" w:cstheme="minorHAnsi"/>
                <w:lang w:val="en-GB" w:eastAsia="pl-PL"/>
              </w:rPr>
              <w:t xml:space="preserve"> </w:t>
            </w:r>
            <w:proofErr w:type="spellStart"/>
            <w:r w:rsidRPr="00D62DB9">
              <w:rPr>
                <w:rFonts w:eastAsia="Times New Roman" w:cstheme="minorHAnsi"/>
                <w:lang w:val="en-GB" w:eastAsia="pl-PL"/>
              </w:rPr>
              <w:t>pojazdów</w:t>
            </w:r>
            <w:proofErr w:type="spellEnd"/>
            <w:r w:rsidRPr="00D62DB9">
              <w:rPr>
                <w:rFonts w:eastAsia="Times New Roman" w:cstheme="minorHAnsi"/>
                <w:lang w:val="en-GB" w:eastAsia="pl-PL"/>
              </w:rPr>
              <w:t xml:space="preserve"> </w:t>
            </w:r>
            <w:proofErr w:type="spellStart"/>
            <w:r w:rsidRPr="00D62DB9">
              <w:rPr>
                <w:rFonts w:eastAsia="Times New Roman" w:cstheme="minorHAnsi"/>
                <w:lang w:val="en-GB" w:eastAsia="pl-PL"/>
              </w:rPr>
              <w:t>elektrycznych</w:t>
            </w:r>
            <w:proofErr w:type="spellEnd"/>
            <w:r w:rsidRPr="00D62DB9">
              <w:rPr>
                <w:rFonts w:eastAsia="Times New Roman" w:cstheme="minorHAnsi"/>
                <w:lang w:val="en-GB" w:eastAsia="pl-PL"/>
              </w:rPr>
              <w:t>;</w:t>
            </w:r>
          </w:p>
        </w:tc>
      </w:tr>
      <w:tr w:rsidR="00F34BD4" w:rsidRPr="000676E3" w14:paraId="2014042A" w14:textId="77777777" w:rsidTr="00B823C1">
        <w:tc>
          <w:tcPr>
            <w:tcW w:w="1614" w:type="dxa"/>
          </w:tcPr>
          <w:p w14:paraId="6657220F" w14:textId="77777777" w:rsidR="00F34BD4" w:rsidRPr="00D62DB9" w:rsidRDefault="00F34BD4" w:rsidP="00B823C1">
            <w:pPr>
              <w:spacing w:line="360" w:lineRule="auto"/>
              <w:rPr>
                <w:lang w:eastAsia="pl-PL"/>
              </w:rPr>
            </w:pPr>
            <m:oMathPara>
              <m:oMath>
                <m:r>
                  <m:rPr>
                    <m:sty m:val="bi"/>
                  </m:rPr>
                  <w:rPr>
                    <w:rFonts w:ascii="Cambria Math" w:eastAsia="Times New Roman" w:hAnsi="Cambria Math" w:cstheme="minorHAnsi"/>
                    <w:lang w:eastAsia="pl-PL"/>
                  </w:rPr>
                  <m:t>esj</m:t>
                </m:r>
              </m:oMath>
            </m:oMathPara>
          </w:p>
        </w:tc>
        <w:tc>
          <w:tcPr>
            <w:tcW w:w="351" w:type="dxa"/>
          </w:tcPr>
          <w:p w14:paraId="37C292AF" w14:textId="77777777" w:rsidR="00F34BD4" w:rsidRPr="00D62DB9" w:rsidRDefault="00F34BD4" w:rsidP="00B823C1">
            <w:pPr>
              <w:spacing w:line="360" w:lineRule="auto"/>
              <w:rPr>
                <w:lang w:eastAsia="pl-PL"/>
              </w:rPr>
            </w:pPr>
            <w:r w:rsidRPr="00D62DB9">
              <w:rPr>
                <w:rFonts w:eastAsia="Times New Roman" w:cstheme="minorHAnsi"/>
                <w:lang w:val="en-GB" w:eastAsia="pl-PL"/>
              </w:rPr>
              <w:t>-</w:t>
            </w:r>
          </w:p>
        </w:tc>
        <w:tc>
          <w:tcPr>
            <w:tcW w:w="7281" w:type="dxa"/>
            <w:shd w:val="clear" w:color="auto" w:fill="auto"/>
          </w:tcPr>
          <w:p w14:paraId="3E82195E" w14:textId="77777777" w:rsidR="00F34BD4" w:rsidRPr="00D62DB9" w:rsidRDefault="00F34BD4" w:rsidP="00B823C1">
            <w:pPr>
              <w:spacing w:line="360" w:lineRule="auto"/>
              <w:rPr>
                <w:lang w:eastAsia="pl-PL"/>
              </w:rPr>
            </w:pPr>
            <w:r w:rsidRPr="00D62DB9">
              <w:rPr>
                <w:rFonts w:eastAsia="Times New Roman" w:cstheme="minorHAnsi"/>
                <w:lang w:eastAsia="pl-PL"/>
              </w:rPr>
              <w:t>jednostkowa oszczędności energii finalnej pojazdu elektrycznego [</w:t>
            </w:r>
            <w:proofErr w:type="spellStart"/>
            <w:r w:rsidRPr="00D62DB9">
              <w:rPr>
                <w:rFonts w:eastAsia="Times New Roman" w:cstheme="minorHAnsi"/>
                <w:lang w:eastAsia="pl-PL"/>
              </w:rPr>
              <w:t>ktoe</w:t>
            </w:r>
            <w:proofErr w:type="spellEnd"/>
            <w:r w:rsidRPr="00D62DB9">
              <w:rPr>
                <w:rFonts w:eastAsia="Times New Roman" w:cstheme="minorHAnsi"/>
                <w:lang w:eastAsia="pl-PL"/>
              </w:rPr>
              <w:t>/1 autobus];</w:t>
            </w:r>
          </w:p>
        </w:tc>
      </w:tr>
      <w:tr w:rsidR="00F34BD4" w:rsidRPr="000676E3" w14:paraId="6BE4EB30" w14:textId="77777777" w:rsidTr="00B823C1">
        <w:tc>
          <w:tcPr>
            <w:tcW w:w="1614" w:type="dxa"/>
          </w:tcPr>
          <w:p w14:paraId="3AF09101" w14:textId="77777777" w:rsidR="00F34BD4" w:rsidRPr="00D62DB9" w:rsidRDefault="00F34BD4" w:rsidP="00B823C1">
            <w:pPr>
              <w:spacing w:line="360" w:lineRule="auto"/>
              <w:rPr>
                <w:lang w:eastAsia="pl-PL"/>
              </w:rPr>
            </w:pPr>
            <m:oMathPara>
              <m:oMath>
                <m:r>
                  <m:rPr>
                    <m:sty m:val="bi"/>
                  </m:rPr>
                  <w:rPr>
                    <w:rFonts w:ascii="Cambria Math" w:eastAsia="Times New Roman" w:hAnsi="Cambria Math" w:cstheme="minorHAnsi"/>
                    <w:lang w:eastAsia="pl-PL"/>
                  </w:rPr>
                  <m:t>NoH</m:t>
                </m:r>
                <m:r>
                  <m:rPr>
                    <m:sty m:val="bi"/>
                  </m:rPr>
                  <w:rPr>
                    <w:rFonts w:ascii="Cambria Math" w:eastAsia="Times New Roman" w:hAnsi="Cambria Math" w:cstheme="minorHAnsi"/>
                    <w:lang w:eastAsia="pl-PL"/>
                  </w:rPr>
                  <m:t>2</m:t>
                </m:r>
                <m:r>
                  <m:rPr>
                    <m:sty m:val="bi"/>
                  </m:rPr>
                  <w:rPr>
                    <w:rFonts w:ascii="Cambria Math" w:eastAsia="Times New Roman" w:hAnsi="Cambria Math" w:cstheme="minorHAnsi"/>
                    <w:lang w:eastAsia="pl-PL"/>
                  </w:rPr>
                  <m:t>b</m:t>
                </m:r>
              </m:oMath>
            </m:oMathPara>
          </w:p>
        </w:tc>
        <w:tc>
          <w:tcPr>
            <w:tcW w:w="351" w:type="dxa"/>
          </w:tcPr>
          <w:p w14:paraId="39F7B3B9" w14:textId="77777777" w:rsidR="00F34BD4" w:rsidRPr="00D62DB9" w:rsidRDefault="00F34BD4" w:rsidP="00B823C1">
            <w:pPr>
              <w:spacing w:line="360" w:lineRule="auto"/>
              <w:rPr>
                <w:lang w:eastAsia="pl-PL"/>
              </w:rPr>
            </w:pPr>
            <w:r w:rsidRPr="00D62DB9">
              <w:rPr>
                <w:rFonts w:eastAsia="Times New Roman" w:cstheme="minorHAnsi"/>
                <w:lang w:val="en-GB" w:eastAsia="pl-PL"/>
              </w:rPr>
              <w:t>-</w:t>
            </w:r>
          </w:p>
        </w:tc>
        <w:tc>
          <w:tcPr>
            <w:tcW w:w="7281" w:type="dxa"/>
            <w:shd w:val="clear" w:color="auto" w:fill="auto"/>
          </w:tcPr>
          <w:p w14:paraId="6EB68A4F" w14:textId="77777777" w:rsidR="00F34BD4" w:rsidRPr="00D62DB9" w:rsidRDefault="00F34BD4" w:rsidP="00B823C1">
            <w:pPr>
              <w:spacing w:line="360" w:lineRule="auto"/>
              <w:rPr>
                <w:lang w:eastAsia="pl-PL"/>
              </w:rPr>
            </w:pPr>
            <w:r w:rsidRPr="00D62DB9">
              <w:rPr>
                <w:rFonts w:eastAsia="Times New Roman" w:cstheme="minorHAnsi"/>
                <w:lang w:eastAsia="pl-PL"/>
              </w:rPr>
              <w:t>liczba nowych pojazdów zasilana paliwami alternatywnymi;</w:t>
            </w:r>
          </w:p>
        </w:tc>
      </w:tr>
      <w:tr w:rsidR="00F34BD4" w:rsidRPr="000676E3" w14:paraId="4014E9CD" w14:textId="77777777" w:rsidTr="00B823C1">
        <w:tc>
          <w:tcPr>
            <w:tcW w:w="1614" w:type="dxa"/>
          </w:tcPr>
          <w:p w14:paraId="481F7F42" w14:textId="77777777" w:rsidR="00F34BD4" w:rsidRPr="00D62DB9" w:rsidRDefault="00F34BD4" w:rsidP="00B823C1">
            <w:pPr>
              <w:spacing w:line="360" w:lineRule="auto"/>
              <w:rPr>
                <w:lang w:eastAsia="pl-PL"/>
              </w:rPr>
            </w:pPr>
            <m:oMathPara>
              <m:oMath>
                <m:r>
                  <m:rPr>
                    <m:sty m:val="bi"/>
                  </m:rPr>
                  <w:rPr>
                    <w:rFonts w:ascii="Cambria Math" w:eastAsia="Times New Roman" w:hAnsi="Cambria Math" w:cstheme="minorHAnsi"/>
                    <w:lang w:eastAsia="pl-PL"/>
                  </w:rPr>
                  <m:t>esjh</m:t>
                </m:r>
                <m:r>
                  <m:rPr>
                    <m:sty m:val="bi"/>
                  </m:rPr>
                  <w:rPr>
                    <w:rFonts w:ascii="Cambria Math" w:eastAsia="Times New Roman" w:hAnsi="Cambria Math" w:cstheme="minorHAnsi"/>
                    <w:lang w:eastAsia="pl-PL"/>
                  </w:rPr>
                  <m:t>2</m:t>
                </m:r>
                <m:r>
                  <m:rPr>
                    <m:sty m:val="bi"/>
                  </m:rPr>
                  <w:rPr>
                    <w:rFonts w:ascii="Cambria Math" w:eastAsia="Times New Roman" w:hAnsi="Cambria Math" w:cstheme="minorHAnsi"/>
                    <w:lang w:eastAsia="pl-PL"/>
                  </w:rPr>
                  <m:t>b</m:t>
                </m:r>
              </m:oMath>
            </m:oMathPara>
          </w:p>
        </w:tc>
        <w:tc>
          <w:tcPr>
            <w:tcW w:w="351" w:type="dxa"/>
          </w:tcPr>
          <w:p w14:paraId="7B61D353" w14:textId="77777777" w:rsidR="00F34BD4" w:rsidRPr="00D62DB9" w:rsidRDefault="00F34BD4" w:rsidP="00B823C1">
            <w:pPr>
              <w:spacing w:line="360" w:lineRule="auto"/>
              <w:rPr>
                <w:lang w:eastAsia="pl-PL"/>
              </w:rPr>
            </w:pPr>
            <w:r w:rsidRPr="00D62DB9">
              <w:rPr>
                <w:rFonts w:eastAsia="Times New Roman" w:cstheme="minorHAnsi"/>
                <w:lang w:val="en-GB" w:eastAsia="pl-PL"/>
              </w:rPr>
              <w:t>-</w:t>
            </w:r>
          </w:p>
        </w:tc>
        <w:tc>
          <w:tcPr>
            <w:tcW w:w="7281" w:type="dxa"/>
            <w:shd w:val="clear" w:color="auto" w:fill="auto"/>
          </w:tcPr>
          <w:p w14:paraId="72F51AE0" w14:textId="77777777" w:rsidR="00F34BD4" w:rsidRPr="00D62DB9" w:rsidRDefault="00F34BD4" w:rsidP="00B823C1">
            <w:pPr>
              <w:spacing w:line="360" w:lineRule="auto"/>
              <w:rPr>
                <w:rFonts w:eastAsia="Times New Roman" w:cstheme="minorHAnsi"/>
                <w:lang w:eastAsia="pl-PL"/>
              </w:rPr>
            </w:pPr>
            <w:r w:rsidRPr="00D62DB9">
              <w:rPr>
                <w:rFonts w:eastAsia="Times New Roman" w:cstheme="minorHAnsi"/>
                <w:lang w:eastAsia="pl-PL"/>
              </w:rPr>
              <w:t>jednostkowa oszczędności energii finalnej pojazdu zasilanego paliwem alternatywnym [</w:t>
            </w:r>
            <w:proofErr w:type="spellStart"/>
            <w:r w:rsidRPr="00D62DB9">
              <w:rPr>
                <w:rFonts w:eastAsia="Times New Roman" w:cstheme="minorHAnsi"/>
                <w:lang w:eastAsia="pl-PL"/>
              </w:rPr>
              <w:t>ktoe</w:t>
            </w:r>
            <w:proofErr w:type="spellEnd"/>
            <w:r w:rsidRPr="00D62DB9">
              <w:rPr>
                <w:rFonts w:eastAsia="Times New Roman" w:cstheme="minorHAnsi"/>
                <w:lang w:eastAsia="pl-PL"/>
              </w:rPr>
              <w:t>/1 autobus];</w:t>
            </w:r>
            <w:r>
              <w:rPr>
                <w:rFonts w:eastAsia="Times New Roman" w:cstheme="minorHAnsi"/>
                <w:lang w:eastAsia="pl-PL"/>
              </w:rPr>
              <w:t>.</w:t>
            </w:r>
          </w:p>
        </w:tc>
      </w:tr>
    </w:tbl>
    <w:p w14:paraId="7D5A42FF" w14:textId="77777777" w:rsidR="00F34BD4" w:rsidRPr="00684624" w:rsidRDefault="00F34BD4" w:rsidP="00F34BD4">
      <w:pPr>
        <w:spacing w:after="0" w:line="360" w:lineRule="auto"/>
        <w:ind w:firstLine="709"/>
        <w:rPr>
          <w:highlight w:val="yellow"/>
          <w:u w:val="single"/>
        </w:rPr>
      </w:pPr>
    </w:p>
    <w:p w14:paraId="0AC93590" w14:textId="77777777" w:rsidR="00F34BD4" w:rsidRPr="00707A7A" w:rsidRDefault="00F34BD4" w:rsidP="00F34BD4">
      <w:pPr>
        <w:spacing w:after="0" w:line="360" w:lineRule="auto"/>
        <w:ind w:firstLine="709"/>
        <w:rPr>
          <w:b/>
          <w:bCs/>
          <w:i/>
          <w:iCs/>
          <w:color w:val="5B9BD5" w:themeColor="accent5"/>
        </w:rPr>
      </w:pPr>
      <w:r w:rsidRPr="00707A7A">
        <w:rPr>
          <w:b/>
          <w:bCs/>
          <w:i/>
          <w:iCs/>
          <w:color w:val="5B9BD5" w:themeColor="accent5"/>
        </w:rPr>
        <w:t>Zasada istotności</w:t>
      </w:r>
    </w:p>
    <w:p w14:paraId="641891C7" w14:textId="77777777" w:rsidR="00F34BD4" w:rsidRPr="000E33AE" w:rsidRDefault="00F34BD4" w:rsidP="00373FD3">
      <w:r w:rsidRPr="00075176">
        <w:t>Możliwość uzyskania dofinansowania motywuje inwestora do podjęcia decyzji  o realizacji przedsięwzięcia skutkującego oszczędnością energii, uzyskaną przy jak najmniejszym nakładzie inwestycyjnym.</w:t>
      </w:r>
    </w:p>
    <w:p w14:paraId="1D9D6F8A" w14:textId="77777777" w:rsidR="00F34BD4" w:rsidRPr="00373FD3" w:rsidRDefault="00F34BD4" w:rsidP="00373FD3">
      <w:r w:rsidRPr="00373FD3">
        <w:t>Oszczędności energii finalnej uzyskane w ramach tego środka alternatywnego są istotne dla osiągnięcia krajowego celu w zakresie oszczędności energii, określonego w art. 8 dyrektywy. Szczególne znaczenie należy przypisać efektowi skali. W ramach tego środka alternatywnego uzyskuje się istotne oszczędności energii finalnej podczas realizacji wielu przedsięwzięć służących poprawie efektywności energetycznej przynoszących stosunkowo niewielką ilość oszczędności energii.</w:t>
      </w:r>
    </w:p>
    <w:p w14:paraId="3BCCB85B" w14:textId="77777777" w:rsidR="00F34BD4" w:rsidRPr="00707A7A" w:rsidRDefault="00F34BD4" w:rsidP="00F34BD4">
      <w:pPr>
        <w:spacing w:after="0" w:line="360" w:lineRule="auto"/>
        <w:ind w:firstLine="709"/>
        <w:rPr>
          <w:b/>
          <w:bCs/>
          <w:i/>
          <w:iCs/>
          <w:color w:val="5B9BD5" w:themeColor="accent5"/>
        </w:rPr>
      </w:pPr>
      <w:r w:rsidRPr="00707A7A">
        <w:rPr>
          <w:b/>
          <w:bCs/>
          <w:i/>
          <w:iCs/>
          <w:color w:val="5B9BD5" w:themeColor="accent5"/>
        </w:rPr>
        <w:t xml:space="preserve">Zasada </w:t>
      </w:r>
      <w:r>
        <w:rPr>
          <w:b/>
          <w:bCs/>
          <w:i/>
          <w:iCs/>
          <w:color w:val="5B9BD5" w:themeColor="accent5"/>
        </w:rPr>
        <w:t>dodatkowości</w:t>
      </w:r>
    </w:p>
    <w:p w14:paraId="37C94FE1" w14:textId="77777777" w:rsidR="00F34BD4" w:rsidRDefault="00F34BD4" w:rsidP="00373FD3">
      <w:r>
        <w:lastRenderedPageBreak/>
        <w:t>U</w:t>
      </w:r>
      <w:r w:rsidRPr="00665104">
        <w:t>znane mogą zostać wyłącznie oszczędności energii przekraczające poziomy unijnych wymagań dotyczących wycofywania z obrotu określonych produktów związanych z energią w</w:t>
      </w:r>
      <w:r>
        <w:t> </w:t>
      </w:r>
      <w:r w:rsidRPr="00665104">
        <w:t xml:space="preserve">następstwie </w:t>
      </w:r>
      <w:r w:rsidRPr="0071320E">
        <w:t>wdrożenia środków wykonawczych na mocy dyrektywy 2009/125/WE</w:t>
      </w:r>
      <w:r w:rsidRPr="00373FD3">
        <w:footnoteReference w:id="8"/>
      </w:r>
      <w:r w:rsidRPr="0071320E">
        <w:t>.</w:t>
      </w:r>
      <w:r w:rsidRPr="00665104">
        <w:t xml:space="preserve"> W</w:t>
      </w:r>
      <w:r>
        <w:t> </w:t>
      </w:r>
      <w:r w:rsidRPr="00665104">
        <w:t xml:space="preserve">szczególności wymagania te zostały wprowadzone dla produktów związanych </w:t>
      </w:r>
      <w:r>
        <w:t xml:space="preserve">z wymianą silników elektrycznych. </w:t>
      </w:r>
      <w:r w:rsidRPr="00A40D2C">
        <w:t xml:space="preserve">W przypadku </w:t>
      </w:r>
      <w:r w:rsidRPr="00D94B5E">
        <w:t>pojazdów</w:t>
      </w:r>
      <w:r w:rsidRPr="00A40D2C">
        <w:t xml:space="preserve"> stosuje się minimalne poziomy wynikające z wdrożenia przepisów unijnych dotyczących wymogów </w:t>
      </w:r>
      <w:proofErr w:type="spellStart"/>
      <w:r w:rsidRPr="00A40D2C">
        <w:t>ekoprojektu</w:t>
      </w:r>
      <w:proofErr w:type="spellEnd"/>
      <w:r w:rsidRPr="00A40D2C">
        <w:t>, które</w:t>
      </w:r>
      <w:r w:rsidRPr="00D94B5E">
        <w:t xml:space="preserve"> </w:t>
      </w:r>
      <w:r w:rsidRPr="00A40D2C">
        <w:t>są wyznaczane i</w:t>
      </w:r>
      <w:r w:rsidRPr="00D94B5E">
        <w:t> </w:t>
      </w:r>
      <w:r w:rsidRPr="00A40D2C">
        <w:t>stosowane jako poziomy referencyjne będące punktami wyjścia przy obliczaniu oszczędności energii.</w:t>
      </w:r>
      <w:r>
        <w:t xml:space="preserve"> </w:t>
      </w:r>
    </w:p>
    <w:p w14:paraId="410A35E4" w14:textId="77777777" w:rsidR="00F34BD4" w:rsidRPr="00AB73D9" w:rsidRDefault="00F34BD4" w:rsidP="00FF3BC7">
      <w:pPr>
        <w:pStyle w:val="Akapitzlist"/>
        <w:numPr>
          <w:ilvl w:val="0"/>
          <w:numId w:val="14"/>
        </w:numPr>
        <w:spacing w:before="120" w:line="360" w:lineRule="auto"/>
        <w:ind w:left="1134" w:hanging="357"/>
        <w:jc w:val="left"/>
        <w:rPr>
          <w:b/>
          <w:bCs/>
          <w:color w:val="2F5496" w:themeColor="accent1" w:themeShade="BF"/>
        </w:rPr>
      </w:pPr>
      <w:r w:rsidRPr="00AB73D9">
        <w:rPr>
          <w:b/>
          <w:bCs/>
          <w:color w:val="2F5496" w:themeColor="accent1" w:themeShade="BF"/>
        </w:rPr>
        <w:t>Informacja o sposobie postępowania z ewentualnym dublowaniem się środków i indywidualnych działań w celu unikania podwójnego zliczania oszczędności energii</w:t>
      </w:r>
    </w:p>
    <w:p w14:paraId="3FC24CC9" w14:textId="77777777" w:rsidR="00F34BD4" w:rsidRPr="00D62DB9" w:rsidRDefault="00F34BD4" w:rsidP="00373FD3">
      <w:r w:rsidRPr="00D62DB9">
        <w:t xml:space="preserve">Zgodnie z ustawą z dnia 20 maja 2016 r. </w:t>
      </w:r>
      <w:r w:rsidRPr="00373FD3">
        <w:t>o efektywności energetycznej</w:t>
      </w:r>
      <w:r w:rsidRPr="00D62DB9">
        <w:t xml:space="preserve"> instytucje zawierające z wnioskodawcami umowy o dofinansowanie przedsięwzięć służących poprawie efektywności energetycznej u odbiorcy końcowego zobowiązane są do wprowadzania do centralnego rejestru oszczędności energii finalnej za pomocą systemu teleinformatycznego obsługującego ten rejestr, do dnia 31 marca każdego roku za poprzedni rok kalendarzowy, informacji o zrealizowanych przedsięwzięciach służących poprawie efektywności energetycznej oraz wysokości uzyskanej w wyniku ich realizacji oszczędności energii finalnej.</w:t>
      </w:r>
      <w:r>
        <w:t xml:space="preserve">  </w:t>
      </w:r>
      <w:r w:rsidRPr="00EF4FC0">
        <w:t>System następnie weryfikuje czy nie występuje tzw. podwójne zliczania</w:t>
      </w:r>
      <w:r>
        <w:t xml:space="preserve"> dla danej lokalizacji przedsięwzięcia</w:t>
      </w:r>
      <w:r w:rsidRPr="00EF4FC0">
        <w:t xml:space="preserve">. </w:t>
      </w:r>
    </w:p>
    <w:p w14:paraId="1C089682" w14:textId="77777777" w:rsidR="00F34BD4" w:rsidRDefault="00F34BD4" w:rsidP="00FF3BC7">
      <w:pPr>
        <w:pStyle w:val="Akapitzlist"/>
        <w:numPr>
          <w:ilvl w:val="0"/>
          <w:numId w:val="14"/>
        </w:numPr>
        <w:spacing w:before="120" w:line="360" w:lineRule="auto"/>
        <w:ind w:left="1134" w:hanging="357"/>
        <w:jc w:val="left"/>
        <w:rPr>
          <w:b/>
          <w:bCs/>
          <w:color w:val="2F5496" w:themeColor="accent1" w:themeShade="BF"/>
        </w:rPr>
      </w:pPr>
      <w:r w:rsidRPr="00842530">
        <w:rPr>
          <w:b/>
          <w:bCs/>
          <w:color w:val="2F5496" w:themeColor="accent1" w:themeShade="BF"/>
        </w:rPr>
        <w:t>Uwzględnienie różnic klimatycznych między regionami i zastosowane podejście</w:t>
      </w:r>
    </w:p>
    <w:p w14:paraId="1082CAC0" w14:textId="77777777" w:rsidR="00F34BD4" w:rsidRPr="00D62DB9" w:rsidRDefault="00F34BD4" w:rsidP="00373FD3">
      <w:r w:rsidRPr="00D62DB9">
        <w:t xml:space="preserve">Z uwagi na specyfikę środka alternatywnego w postaci przedsięwzięć realizowanych w sektorze transportu, o zasięgu krajowym występujące różnice pomiędzy </w:t>
      </w:r>
      <w:r w:rsidRPr="00122A7D">
        <w:t>regionami</w:t>
      </w:r>
      <w:r w:rsidRPr="00D62DB9">
        <w:t xml:space="preserve"> nie są uwzględniane w obliczaniach oszczędności energii</w:t>
      </w:r>
      <w:r>
        <w:t>.</w:t>
      </w:r>
    </w:p>
    <w:p w14:paraId="04A8F335" w14:textId="77777777" w:rsidR="00F34BD4" w:rsidRPr="00684624" w:rsidRDefault="00F34BD4" w:rsidP="00FF3BC7">
      <w:pPr>
        <w:pStyle w:val="Akapitzlist"/>
        <w:numPr>
          <w:ilvl w:val="0"/>
          <w:numId w:val="14"/>
        </w:numPr>
        <w:spacing w:before="120" w:after="240" w:line="360" w:lineRule="auto"/>
        <w:ind w:left="1134" w:hanging="357"/>
        <w:jc w:val="left"/>
        <w:rPr>
          <w:b/>
          <w:bCs/>
          <w:color w:val="2F5496" w:themeColor="accent1" w:themeShade="BF"/>
        </w:rPr>
      </w:pPr>
      <w:r w:rsidRPr="00684624">
        <w:rPr>
          <w:b/>
          <w:bCs/>
          <w:color w:val="2F5496" w:themeColor="accent1" w:themeShade="BF"/>
        </w:rPr>
        <w:t xml:space="preserve">Oszczędność </w:t>
      </w:r>
      <w:r>
        <w:rPr>
          <w:b/>
          <w:bCs/>
          <w:color w:val="2F5496" w:themeColor="accent1" w:themeShade="BF"/>
        </w:rPr>
        <w:t xml:space="preserve">końcowego zużycia energii </w:t>
      </w:r>
      <w:r w:rsidRPr="00684624">
        <w:rPr>
          <w:b/>
          <w:bCs/>
          <w:color w:val="2F5496" w:themeColor="accent1" w:themeShade="BF"/>
        </w:rPr>
        <w:t>w okresie 2021-2030</w:t>
      </w:r>
    </w:p>
    <w:p w14:paraId="6086E85B" w14:textId="77777777" w:rsidR="00F34BD4" w:rsidRDefault="00F34BD4" w:rsidP="00373FD3">
      <w:r w:rsidRPr="00D62DB9">
        <w:t xml:space="preserve">W Tab. </w:t>
      </w:r>
      <w:r>
        <w:t>8</w:t>
      </w:r>
      <w:r w:rsidRPr="00D62DB9">
        <w:t xml:space="preserve"> przedstawiono </w:t>
      </w:r>
      <w:r>
        <w:t xml:space="preserve">roczne i </w:t>
      </w:r>
      <w:r w:rsidRPr="00D62DB9">
        <w:t xml:space="preserve">skumulowane oszczędności energii finalnej w okresie 2021-2030. Szacuje się, że </w:t>
      </w:r>
      <w:r>
        <w:t xml:space="preserve">Rozwój </w:t>
      </w:r>
      <w:r w:rsidRPr="00D94B5E">
        <w:t>Publicznego Transportu Zbiorowego w Miastach</w:t>
      </w:r>
      <w:r w:rsidRPr="00373FD3">
        <w:t xml:space="preserve"> </w:t>
      </w:r>
      <w:r w:rsidRPr="00D62DB9">
        <w:t xml:space="preserve">przyniesie </w:t>
      </w:r>
      <w:r>
        <w:t>6 622</w:t>
      </w:r>
      <w:r w:rsidRPr="00D62DB9">
        <w:t xml:space="preserve"> </w:t>
      </w:r>
      <w:proofErr w:type="spellStart"/>
      <w:r w:rsidRPr="00D62DB9">
        <w:t>ktoe</w:t>
      </w:r>
      <w:proofErr w:type="spellEnd"/>
      <w:r>
        <w:t xml:space="preserve"> całkowitych skumulowanych</w:t>
      </w:r>
      <w:r w:rsidRPr="00D62DB9">
        <w:t xml:space="preserve"> oszczędności energii finalnej do 2030 roku. </w:t>
      </w:r>
    </w:p>
    <w:p w14:paraId="328CDC6D" w14:textId="7EFFE3CB" w:rsidR="00F34BD4" w:rsidRDefault="00F34BD4" w:rsidP="00F34BD4">
      <w:pPr>
        <w:pStyle w:val="Legenda"/>
        <w:keepNext/>
        <w:spacing w:before="120" w:line="276" w:lineRule="auto"/>
        <w:jc w:val="center"/>
      </w:pPr>
      <w:r w:rsidRPr="00D62DB9">
        <w:rPr>
          <w:rStyle w:val="rynqvb"/>
          <w:b/>
        </w:rPr>
        <w:t xml:space="preserve">Tab. </w:t>
      </w:r>
      <w:r w:rsidRPr="00D62DB9">
        <w:rPr>
          <w:rStyle w:val="rynqvb"/>
          <w:b/>
        </w:rPr>
        <w:fldChar w:fldCharType="begin"/>
      </w:r>
      <w:r w:rsidRPr="00D62DB9">
        <w:rPr>
          <w:rStyle w:val="rynqvb"/>
          <w:b/>
        </w:rPr>
        <w:instrText xml:space="preserve"> SEQ Tab. \* ARABIC </w:instrText>
      </w:r>
      <w:r w:rsidRPr="00D62DB9">
        <w:rPr>
          <w:rStyle w:val="rynqvb"/>
          <w:b/>
        </w:rPr>
        <w:fldChar w:fldCharType="separate"/>
      </w:r>
      <w:r w:rsidR="00FD1148">
        <w:rPr>
          <w:rStyle w:val="rynqvb"/>
          <w:b/>
          <w:noProof/>
        </w:rPr>
        <w:t>4</w:t>
      </w:r>
      <w:r w:rsidRPr="00D62DB9">
        <w:rPr>
          <w:rStyle w:val="rynqvb"/>
          <w:b/>
        </w:rPr>
        <w:fldChar w:fldCharType="end"/>
      </w:r>
      <w:r w:rsidRPr="00D62DB9">
        <w:rPr>
          <w:rStyle w:val="rynqvb"/>
          <w:b/>
        </w:rPr>
        <w:t xml:space="preserve"> </w:t>
      </w:r>
      <w:r>
        <w:rPr>
          <w:rStyle w:val="rynqvb"/>
          <w:b/>
        </w:rPr>
        <w:t>Rozwój Publicznego Transportu Zbiorowego w Miastach Zielonego: o</w:t>
      </w:r>
      <w:r w:rsidRPr="00E35197">
        <w:rPr>
          <w:rStyle w:val="rynqvb"/>
          <w:b/>
          <w:bCs/>
        </w:rPr>
        <w:t>szczędności</w:t>
      </w:r>
      <w:r>
        <w:rPr>
          <w:rStyle w:val="rynqvb"/>
          <w:b/>
          <w:bCs/>
        </w:rPr>
        <w:t xml:space="preserve"> końcowego zużycia</w:t>
      </w:r>
      <w:r w:rsidRPr="00E35197">
        <w:rPr>
          <w:rStyle w:val="rynqvb"/>
          <w:b/>
          <w:bCs/>
        </w:rPr>
        <w:t xml:space="preserve"> energii osiągnię</w:t>
      </w:r>
      <w:r>
        <w:rPr>
          <w:rStyle w:val="rynqvb"/>
          <w:b/>
          <w:bCs/>
        </w:rPr>
        <w:t>ta w 2021 roku oraz szacunkowe oszczędności</w:t>
      </w:r>
      <w:r w:rsidRPr="00E35197">
        <w:rPr>
          <w:rStyle w:val="rynqvb"/>
          <w:b/>
          <w:bCs/>
        </w:rPr>
        <w:t xml:space="preserve"> </w:t>
      </w:r>
      <w:r>
        <w:rPr>
          <w:rStyle w:val="rynqvb"/>
          <w:b/>
          <w:bCs/>
        </w:rPr>
        <w:t>do osiągnięcia</w:t>
      </w:r>
      <w:r w:rsidRPr="00E35197">
        <w:rPr>
          <w:rStyle w:val="rynqvb"/>
          <w:b/>
          <w:bCs/>
        </w:rPr>
        <w:t xml:space="preserve"> latach 202</w:t>
      </w:r>
      <w:r>
        <w:rPr>
          <w:rStyle w:val="rynqvb"/>
          <w:b/>
          <w:bCs/>
        </w:rPr>
        <w:t>2</w:t>
      </w:r>
      <w:r w:rsidRPr="00E35197">
        <w:rPr>
          <w:rStyle w:val="rynqvb"/>
          <w:b/>
          <w:bCs/>
        </w:rPr>
        <w:t>-2030</w:t>
      </w:r>
      <w:r>
        <w:rPr>
          <w:rStyle w:val="rynqvb"/>
          <w:b/>
          <w:bCs/>
        </w:rPr>
        <w:t xml:space="preserve"> dla programu </w:t>
      </w:r>
      <w:r w:rsidRPr="00E35197">
        <w:rPr>
          <w:rStyle w:val="rynqvb"/>
          <w:b/>
          <w:bCs/>
        </w:rPr>
        <w:t>– roczne i skumulowane</w:t>
      </w:r>
      <w:r>
        <w:rPr>
          <w:rStyle w:val="rynqvb"/>
          <w:b/>
          <w:bCs/>
        </w:rPr>
        <w:t>.</w:t>
      </w:r>
    </w:p>
    <w:tbl>
      <w:tblPr>
        <w:tblpPr w:leftFromText="141" w:rightFromText="141" w:vertAnchor="text" w:horzAnchor="margin" w:tblpY="196"/>
        <w:tblW w:w="5020" w:type="pct"/>
        <w:tblCellMar>
          <w:left w:w="70" w:type="dxa"/>
          <w:right w:w="70" w:type="dxa"/>
        </w:tblCellMar>
        <w:tblLook w:val="04A0" w:firstRow="1" w:lastRow="0" w:firstColumn="1" w:lastColumn="0" w:noHBand="0" w:noVBand="1"/>
      </w:tblPr>
      <w:tblGrid>
        <w:gridCol w:w="1369"/>
        <w:gridCol w:w="614"/>
        <w:gridCol w:w="612"/>
        <w:gridCol w:w="612"/>
        <w:gridCol w:w="612"/>
        <w:gridCol w:w="612"/>
        <w:gridCol w:w="612"/>
        <w:gridCol w:w="610"/>
        <w:gridCol w:w="612"/>
        <w:gridCol w:w="612"/>
        <w:gridCol w:w="612"/>
        <w:gridCol w:w="1609"/>
      </w:tblGrid>
      <w:tr w:rsidR="00F34BD4" w:rsidRPr="00523F53" w14:paraId="1312D80D" w14:textId="77777777" w:rsidTr="00B823C1">
        <w:trPr>
          <w:trHeight w:val="297"/>
        </w:trPr>
        <w:tc>
          <w:tcPr>
            <w:tcW w:w="13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1149E" w14:textId="77777777" w:rsidR="00F34BD4" w:rsidRPr="00D94B5E" w:rsidRDefault="00F34BD4" w:rsidP="00B823C1">
            <w:pPr>
              <w:spacing w:after="0"/>
              <w:jc w:val="center"/>
              <w:rPr>
                <w:color w:val="000000"/>
                <w:szCs w:val="20"/>
                <w:lang w:eastAsia="pl-PL"/>
              </w:rPr>
            </w:pPr>
            <w:r w:rsidRPr="00D94B5E">
              <w:rPr>
                <w:color w:val="000000"/>
                <w:szCs w:val="20"/>
                <w:lang w:eastAsia="pl-PL"/>
              </w:rPr>
              <w:t>Rok</w:t>
            </w:r>
          </w:p>
        </w:tc>
        <w:tc>
          <w:tcPr>
            <w:tcW w:w="614" w:type="dxa"/>
            <w:tcBorders>
              <w:top w:val="single" w:sz="4" w:space="0" w:color="auto"/>
              <w:left w:val="nil"/>
              <w:bottom w:val="single" w:sz="4" w:space="0" w:color="auto"/>
              <w:right w:val="single" w:sz="4" w:space="0" w:color="auto"/>
            </w:tcBorders>
            <w:shd w:val="clear" w:color="auto" w:fill="auto"/>
            <w:noWrap/>
            <w:vAlign w:val="center"/>
            <w:hideMark/>
          </w:tcPr>
          <w:p w14:paraId="1BB0D521" w14:textId="77777777" w:rsidR="00F34BD4" w:rsidRPr="00D94B5E" w:rsidRDefault="00F34BD4" w:rsidP="00B823C1">
            <w:pPr>
              <w:spacing w:after="0"/>
              <w:jc w:val="center"/>
              <w:rPr>
                <w:color w:val="000000"/>
                <w:szCs w:val="20"/>
                <w:lang w:eastAsia="pl-PL"/>
              </w:rPr>
            </w:pPr>
            <w:r w:rsidRPr="00D94B5E">
              <w:rPr>
                <w:color w:val="000000"/>
                <w:szCs w:val="20"/>
                <w:lang w:eastAsia="pl-PL"/>
              </w:rPr>
              <w:t>2021</w:t>
            </w:r>
          </w:p>
        </w:tc>
        <w:tc>
          <w:tcPr>
            <w:tcW w:w="612" w:type="dxa"/>
            <w:tcBorders>
              <w:top w:val="single" w:sz="4" w:space="0" w:color="auto"/>
              <w:left w:val="nil"/>
              <w:bottom w:val="single" w:sz="4" w:space="0" w:color="auto"/>
              <w:right w:val="single" w:sz="4" w:space="0" w:color="auto"/>
            </w:tcBorders>
            <w:shd w:val="clear" w:color="auto" w:fill="auto"/>
            <w:noWrap/>
            <w:vAlign w:val="center"/>
            <w:hideMark/>
          </w:tcPr>
          <w:p w14:paraId="69ED23C2" w14:textId="77777777" w:rsidR="00F34BD4" w:rsidRPr="00D94B5E" w:rsidRDefault="00F34BD4" w:rsidP="00B823C1">
            <w:pPr>
              <w:spacing w:after="0"/>
              <w:jc w:val="center"/>
              <w:rPr>
                <w:color w:val="000000"/>
                <w:szCs w:val="20"/>
                <w:lang w:eastAsia="pl-PL"/>
              </w:rPr>
            </w:pPr>
            <w:r w:rsidRPr="00D94B5E">
              <w:rPr>
                <w:color w:val="000000"/>
                <w:szCs w:val="20"/>
                <w:lang w:eastAsia="pl-PL"/>
              </w:rPr>
              <w:t>2022</w:t>
            </w:r>
          </w:p>
        </w:tc>
        <w:tc>
          <w:tcPr>
            <w:tcW w:w="612" w:type="dxa"/>
            <w:tcBorders>
              <w:top w:val="single" w:sz="4" w:space="0" w:color="auto"/>
              <w:left w:val="nil"/>
              <w:bottom w:val="single" w:sz="4" w:space="0" w:color="auto"/>
              <w:right w:val="single" w:sz="4" w:space="0" w:color="auto"/>
            </w:tcBorders>
            <w:shd w:val="clear" w:color="auto" w:fill="auto"/>
            <w:noWrap/>
            <w:vAlign w:val="center"/>
            <w:hideMark/>
          </w:tcPr>
          <w:p w14:paraId="4981C256" w14:textId="77777777" w:rsidR="00F34BD4" w:rsidRPr="00D94B5E" w:rsidRDefault="00F34BD4" w:rsidP="00B823C1">
            <w:pPr>
              <w:spacing w:after="0"/>
              <w:jc w:val="center"/>
              <w:rPr>
                <w:color w:val="000000"/>
                <w:szCs w:val="20"/>
                <w:lang w:eastAsia="pl-PL"/>
              </w:rPr>
            </w:pPr>
            <w:r w:rsidRPr="00D94B5E">
              <w:rPr>
                <w:color w:val="000000"/>
                <w:szCs w:val="20"/>
                <w:lang w:eastAsia="pl-PL"/>
              </w:rPr>
              <w:t>2023</w:t>
            </w:r>
          </w:p>
        </w:tc>
        <w:tc>
          <w:tcPr>
            <w:tcW w:w="612" w:type="dxa"/>
            <w:tcBorders>
              <w:top w:val="single" w:sz="4" w:space="0" w:color="auto"/>
              <w:left w:val="nil"/>
              <w:bottom w:val="single" w:sz="4" w:space="0" w:color="auto"/>
              <w:right w:val="single" w:sz="4" w:space="0" w:color="auto"/>
            </w:tcBorders>
            <w:shd w:val="clear" w:color="auto" w:fill="auto"/>
            <w:noWrap/>
            <w:vAlign w:val="center"/>
            <w:hideMark/>
          </w:tcPr>
          <w:p w14:paraId="1209368F" w14:textId="77777777" w:rsidR="00F34BD4" w:rsidRPr="00D94B5E" w:rsidRDefault="00F34BD4" w:rsidP="00B823C1">
            <w:pPr>
              <w:spacing w:after="0"/>
              <w:jc w:val="center"/>
              <w:rPr>
                <w:color w:val="000000"/>
                <w:szCs w:val="20"/>
                <w:lang w:eastAsia="pl-PL"/>
              </w:rPr>
            </w:pPr>
            <w:r w:rsidRPr="00D94B5E">
              <w:rPr>
                <w:color w:val="000000"/>
                <w:szCs w:val="20"/>
                <w:lang w:eastAsia="pl-PL"/>
              </w:rPr>
              <w:t>2024</w:t>
            </w:r>
          </w:p>
        </w:tc>
        <w:tc>
          <w:tcPr>
            <w:tcW w:w="612" w:type="dxa"/>
            <w:tcBorders>
              <w:top w:val="single" w:sz="4" w:space="0" w:color="auto"/>
              <w:left w:val="nil"/>
              <w:bottom w:val="single" w:sz="4" w:space="0" w:color="auto"/>
              <w:right w:val="single" w:sz="4" w:space="0" w:color="auto"/>
            </w:tcBorders>
            <w:shd w:val="clear" w:color="auto" w:fill="auto"/>
            <w:noWrap/>
            <w:vAlign w:val="center"/>
            <w:hideMark/>
          </w:tcPr>
          <w:p w14:paraId="067ED336" w14:textId="77777777" w:rsidR="00F34BD4" w:rsidRPr="00D94B5E" w:rsidRDefault="00F34BD4" w:rsidP="00B823C1">
            <w:pPr>
              <w:spacing w:after="0"/>
              <w:jc w:val="center"/>
              <w:rPr>
                <w:color w:val="000000"/>
                <w:szCs w:val="20"/>
                <w:lang w:eastAsia="pl-PL"/>
              </w:rPr>
            </w:pPr>
            <w:r w:rsidRPr="00D94B5E">
              <w:rPr>
                <w:color w:val="000000"/>
                <w:szCs w:val="20"/>
                <w:lang w:eastAsia="pl-PL"/>
              </w:rPr>
              <w:t>2025</w:t>
            </w:r>
          </w:p>
        </w:tc>
        <w:tc>
          <w:tcPr>
            <w:tcW w:w="612" w:type="dxa"/>
            <w:tcBorders>
              <w:top w:val="single" w:sz="4" w:space="0" w:color="auto"/>
              <w:left w:val="nil"/>
              <w:bottom w:val="single" w:sz="4" w:space="0" w:color="auto"/>
              <w:right w:val="single" w:sz="4" w:space="0" w:color="auto"/>
            </w:tcBorders>
            <w:shd w:val="clear" w:color="auto" w:fill="auto"/>
            <w:noWrap/>
            <w:vAlign w:val="center"/>
            <w:hideMark/>
          </w:tcPr>
          <w:p w14:paraId="4A796821" w14:textId="77777777" w:rsidR="00F34BD4" w:rsidRPr="00D94B5E" w:rsidRDefault="00F34BD4" w:rsidP="00B823C1">
            <w:pPr>
              <w:spacing w:after="0"/>
              <w:jc w:val="center"/>
              <w:rPr>
                <w:color w:val="000000"/>
                <w:szCs w:val="20"/>
                <w:lang w:eastAsia="pl-PL"/>
              </w:rPr>
            </w:pPr>
            <w:r w:rsidRPr="00D94B5E">
              <w:rPr>
                <w:color w:val="000000"/>
                <w:szCs w:val="20"/>
                <w:lang w:eastAsia="pl-PL"/>
              </w:rPr>
              <w:t>2026</w:t>
            </w:r>
          </w:p>
        </w:tc>
        <w:tc>
          <w:tcPr>
            <w:tcW w:w="611" w:type="dxa"/>
            <w:tcBorders>
              <w:top w:val="single" w:sz="4" w:space="0" w:color="auto"/>
              <w:left w:val="single" w:sz="4" w:space="0" w:color="auto"/>
              <w:bottom w:val="single" w:sz="4" w:space="0" w:color="auto"/>
              <w:right w:val="single" w:sz="4" w:space="0" w:color="auto"/>
            </w:tcBorders>
            <w:vAlign w:val="center"/>
          </w:tcPr>
          <w:p w14:paraId="2E9C8598" w14:textId="77777777" w:rsidR="00F34BD4" w:rsidRPr="00D94B5E" w:rsidRDefault="00F34BD4" w:rsidP="00B823C1">
            <w:pPr>
              <w:spacing w:after="0"/>
              <w:jc w:val="center"/>
              <w:rPr>
                <w:color w:val="000000"/>
                <w:szCs w:val="20"/>
                <w:lang w:eastAsia="pl-PL"/>
              </w:rPr>
            </w:pPr>
            <w:r w:rsidRPr="00D94B5E">
              <w:rPr>
                <w:color w:val="000000"/>
                <w:szCs w:val="20"/>
                <w:lang w:eastAsia="pl-PL"/>
              </w:rPr>
              <w:t>2027</w:t>
            </w:r>
          </w:p>
        </w:tc>
        <w:tc>
          <w:tcPr>
            <w:tcW w:w="612" w:type="dxa"/>
            <w:tcBorders>
              <w:top w:val="single" w:sz="4" w:space="0" w:color="auto"/>
              <w:left w:val="single" w:sz="4" w:space="0" w:color="auto"/>
              <w:bottom w:val="single" w:sz="4" w:space="0" w:color="auto"/>
              <w:right w:val="single" w:sz="4" w:space="0" w:color="auto"/>
            </w:tcBorders>
            <w:vAlign w:val="center"/>
          </w:tcPr>
          <w:p w14:paraId="45BDD642" w14:textId="77777777" w:rsidR="00F34BD4" w:rsidRPr="00D94B5E" w:rsidRDefault="00F34BD4" w:rsidP="00B823C1">
            <w:pPr>
              <w:spacing w:after="0"/>
              <w:jc w:val="center"/>
              <w:rPr>
                <w:color w:val="000000"/>
                <w:szCs w:val="20"/>
                <w:lang w:eastAsia="pl-PL"/>
              </w:rPr>
            </w:pPr>
            <w:r w:rsidRPr="00D94B5E">
              <w:rPr>
                <w:color w:val="000000"/>
                <w:szCs w:val="20"/>
                <w:lang w:eastAsia="pl-PL"/>
              </w:rPr>
              <w:t>2028</w:t>
            </w:r>
          </w:p>
        </w:tc>
        <w:tc>
          <w:tcPr>
            <w:tcW w:w="612" w:type="dxa"/>
            <w:tcBorders>
              <w:top w:val="single" w:sz="4" w:space="0" w:color="auto"/>
              <w:left w:val="single" w:sz="4" w:space="0" w:color="auto"/>
              <w:bottom w:val="single" w:sz="4" w:space="0" w:color="auto"/>
              <w:right w:val="single" w:sz="4" w:space="0" w:color="auto"/>
            </w:tcBorders>
            <w:vAlign w:val="center"/>
          </w:tcPr>
          <w:p w14:paraId="1ED18B1A" w14:textId="77777777" w:rsidR="00F34BD4" w:rsidRPr="00D94B5E" w:rsidRDefault="00F34BD4" w:rsidP="00B823C1">
            <w:pPr>
              <w:spacing w:after="0"/>
              <w:jc w:val="center"/>
              <w:rPr>
                <w:color w:val="000000"/>
                <w:szCs w:val="20"/>
                <w:lang w:eastAsia="pl-PL"/>
              </w:rPr>
            </w:pPr>
            <w:r w:rsidRPr="00D94B5E">
              <w:rPr>
                <w:color w:val="000000"/>
                <w:szCs w:val="20"/>
                <w:lang w:eastAsia="pl-PL"/>
              </w:rPr>
              <w:t>2029</w:t>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23837" w14:textId="77777777" w:rsidR="00F34BD4" w:rsidRPr="00D94B5E" w:rsidRDefault="00F34BD4" w:rsidP="00B823C1">
            <w:pPr>
              <w:spacing w:after="0"/>
              <w:jc w:val="center"/>
              <w:rPr>
                <w:color w:val="000000"/>
                <w:szCs w:val="20"/>
                <w:lang w:eastAsia="pl-PL"/>
              </w:rPr>
            </w:pPr>
            <w:r w:rsidRPr="00D94B5E">
              <w:rPr>
                <w:color w:val="000000"/>
                <w:szCs w:val="20"/>
                <w:lang w:eastAsia="pl-PL"/>
              </w:rPr>
              <w:t>2030</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372AC" w14:textId="77777777" w:rsidR="00F34BD4" w:rsidRPr="00D94B5E" w:rsidRDefault="00F34BD4" w:rsidP="00B823C1">
            <w:pPr>
              <w:spacing w:after="0"/>
              <w:jc w:val="center"/>
              <w:rPr>
                <w:color w:val="000000"/>
                <w:szCs w:val="20"/>
                <w:lang w:eastAsia="pl-PL"/>
              </w:rPr>
            </w:pPr>
          </w:p>
        </w:tc>
      </w:tr>
      <w:tr w:rsidR="00F34BD4" w:rsidRPr="00523F53" w14:paraId="2FEE1D4B" w14:textId="77777777" w:rsidTr="00B823C1">
        <w:trPr>
          <w:trHeight w:val="297"/>
        </w:trPr>
        <w:tc>
          <w:tcPr>
            <w:tcW w:w="1369" w:type="dxa"/>
            <w:vMerge w:val="restart"/>
            <w:tcBorders>
              <w:top w:val="nil"/>
              <w:left w:val="single" w:sz="4" w:space="0" w:color="auto"/>
              <w:right w:val="single" w:sz="4" w:space="0" w:color="auto"/>
            </w:tcBorders>
            <w:shd w:val="clear" w:color="auto" w:fill="auto"/>
            <w:vAlign w:val="center"/>
            <w:hideMark/>
          </w:tcPr>
          <w:p w14:paraId="54F71A9A" w14:textId="77777777" w:rsidR="00F34BD4" w:rsidRPr="00D94B5E" w:rsidRDefault="00F34BD4" w:rsidP="00B823C1">
            <w:pPr>
              <w:spacing w:after="0"/>
              <w:jc w:val="center"/>
              <w:rPr>
                <w:color w:val="000000"/>
                <w:szCs w:val="20"/>
                <w:lang w:eastAsia="pl-PL"/>
              </w:rPr>
            </w:pPr>
            <w:r w:rsidRPr="00D94B5E">
              <w:rPr>
                <w:color w:val="000000"/>
                <w:szCs w:val="20"/>
                <w:lang w:eastAsia="pl-PL"/>
              </w:rPr>
              <w:t>Oszczędności końcowego zużycia energii (</w:t>
            </w:r>
            <w:proofErr w:type="spellStart"/>
            <w:r w:rsidRPr="00D94B5E">
              <w:rPr>
                <w:color w:val="000000"/>
                <w:szCs w:val="20"/>
                <w:lang w:eastAsia="pl-PL"/>
              </w:rPr>
              <w:t>ktoe</w:t>
            </w:r>
            <w:proofErr w:type="spellEnd"/>
            <w:r w:rsidRPr="00D94B5E">
              <w:rPr>
                <w:color w:val="000000"/>
                <w:szCs w:val="20"/>
                <w:lang w:eastAsia="pl-PL"/>
              </w:rPr>
              <w:t>)</w:t>
            </w:r>
            <w:r w:rsidRPr="00D94B5E" w:rsidDel="008E67E9">
              <w:rPr>
                <w:color w:val="000000"/>
                <w:szCs w:val="20"/>
                <w:lang w:eastAsia="pl-PL"/>
              </w:rPr>
              <w:t xml:space="preserve"> </w:t>
            </w:r>
          </w:p>
        </w:tc>
        <w:tc>
          <w:tcPr>
            <w:tcW w:w="614" w:type="dxa"/>
            <w:tcBorders>
              <w:top w:val="nil"/>
              <w:left w:val="nil"/>
              <w:bottom w:val="single" w:sz="4" w:space="0" w:color="auto"/>
              <w:right w:val="single" w:sz="4" w:space="0" w:color="auto"/>
            </w:tcBorders>
            <w:shd w:val="clear" w:color="auto" w:fill="auto"/>
            <w:noWrap/>
            <w:vAlign w:val="center"/>
          </w:tcPr>
          <w:p w14:paraId="26C46269" w14:textId="77777777" w:rsidR="00F34BD4" w:rsidRPr="00D94B5E" w:rsidRDefault="00F34BD4" w:rsidP="00B823C1">
            <w:pPr>
              <w:spacing w:after="0"/>
              <w:jc w:val="center"/>
              <w:rPr>
                <w:color w:val="000000"/>
                <w:szCs w:val="20"/>
                <w:lang w:eastAsia="pl-PL"/>
              </w:rPr>
            </w:pPr>
            <w:r w:rsidRPr="00D94B5E">
              <w:rPr>
                <w:rFonts w:cs="Calibri"/>
                <w:color w:val="000000"/>
                <w:szCs w:val="20"/>
              </w:rPr>
              <w:t> </w:t>
            </w:r>
          </w:p>
        </w:tc>
        <w:tc>
          <w:tcPr>
            <w:tcW w:w="612" w:type="dxa"/>
            <w:tcBorders>
              <w:top w:val="nil"/>
              <w:left w:val="nil"/>
              <w:bottom w:val="single" w:sz="4" w:space="0" w:color="auto"/>
              <w:right w:val="single" w:sz="4" w:space="0" w:color="auto"/>
            </w:tcBorders>
            <w:shd w:val="clear" w:color="auto" w:fill="auto"/>
            <w:noWrap/>
            <w:vAlign w:val="center"/>
          </w:tcPr>
          <w:p w14:paraId="57000F2A" w14:textId="77777777" w:rsidR="00F34BD4" w:rsidRPr="00D94B5E" w:rsidRDefault="00F34BD4" w:rsidP="00B823C1">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vAlign w:val="center"/>
          </w:tcPr>
          <w:p w14:paraId="3852A0DD" w14:textId="77777777" w:rsidR="00F34BD4" w:rsidRPr="00D94B5E" w:rsidRDefault="00F34BD4" w:rsidP="00B823C1">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vAlign w:val="center"/>
          </w:tcPr>
          <w:p w14:paraId="54F2199F" w14:textId="77777777" w:rsidR="00F34BD4" w:rsidRPr="00D94B5E" w:rsidRDefault="00F34BD4" w:rsidP="00B823C1">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vAlign w:val="center"/>
          </w:tcPr>
          <w:p w14:paraId="66CDD2B5" w14:textId="77777777" w:rsidR="00F34BD4" w:rsidRPr="00D94B5E" w:rsidRDefault="00F34BD4" w:rsidP="00B823C1">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vAlign w:val="center"/>
          </w:tcPr>
          <w:p w14:paraId="011963D1" w14:textId="77777777" w:rsidR="00F34BD4" w:rsidRPr="00D94B5E" w:rsidRDefault="00F34BD4" w:rsidP="00B823C1">
            <w:pPr>
              <w:spacing w:after="0"/>
              <w:jc w:val="center"/>
              <w:rPr>
                <w:color w:val="000000"/>
                <w:szCs w:val="20"/>
                <w:lang w:eastAsia="pl-PL"/>
              </w:rPr>
            </w:pPr>
          </w:p>
        </w:tc>
        <w:tc>
          <w:tcPr>
            <w:tcW w:w="611" w:type="dxa"/>
            <w:tcBorders>
              <w:top w:val="single" w:sz="4" w:space="0" w:color="auto"/>
              <w:left w:val="single" w:sz="4" w:space="0" w:color="auto"/>
              <w:bottom w:val="single" w:sz="4" w:space="0" w:color="auto"/>
              <w:right w:val="single" w:sz="4" w:space="0" w:color="auto"/>
            </w:tcBorders>
            <w:vAlign w:val="center"/>
          </w:tcPr>
          <w:p w14:paraId="4616F848" w14:textId="77777777" w:rsidR="00F34BD4" w:rsidRPr="00D94B5E" w:rsidRDefault="00F34BD4" w:rsidP="00B823C1">
            <w:pPr>
              <w:spacing w:after="0"/>
              <w:jc w:val="center"/>
              <w:rPr>
                <w:color w:val="000000"/>
                <w:szCs w:val="20"/>
                <w:lang w:eastAsia="pl-PL"/>
              </w:rPr>
            </w:pPr>
          </w:p>
        </w:tc>
        <w:tc>
          <w:tcPr>
            <w:tcW w:w="612" w:type="dxa"/>
            <w:tcBorders>
              <w:top w:val="single" w:sz="4" w:space="0" w:color="auto"/>
              <w:left w:val="single" w:sz="4" w:space="0" w:color="auto"/>
              <w:bottom w:val="single" w:sz="4" w:space="0" w:color="auto"/>
              <w:right w:val="single" w:sz="4" w:space="0" w:color="auto"/>
            </w:tcBorders>
            <w:vAlign w:val="center"/>
          </w:tcPr>
          <w:p w14:paraId="7A3FB433" w14:textId="77777777" w:rsidR="00F34BD4" w:rsidRPr="00D94B5E" w:rsidRDefault="00F34BD4" w:rsidP="00B823C1">
            <w:pPr>
              <w:spacing w:after="0"/>
              <w:jc w:val="center"/>
              <w:rPr>
                <w:color w:val="000000"/>
                <w:szCs w:val="20"/>
                <w:lang w:eastAsia="pl-PL"/>
              </w:rPr>
            </w:pPr>
          </w:p>
        </w:tc>
        <w:tc>
          <w:tcPr>
            <w:tcW w:w="612" w:type="dxa"/>
            <w:tcBorders>
              <w:top w:val="single" w:sz="4" w:space="0" w:color="auto"/>
              <w:left w:val="single" w:sz="4" w:space="0" w:color="auto"/>
              <w:bottom w:val="single" w:sz="4" w:space="0" w:color="auto"/>
              <w:right w:val="single" w:sz="4" w:space="0" w:color="auto"/>
            </w:tcBorders>
            <w:vAlign w:val="center"/>
          </w:tcPr>
          <w:p w14:paraId="78F11038" w14:textId="77777777" w:rsidR="00F34BD4" w:rsidRPr="00D94B5E" w:rsidRDefault="00F34BD4" w:rsidP="00B823C1">
            <w:pPr>
              <w:spacing w:after="0"/>
              <w:jc w:val="center"/>
              <w:rPr>
                <w:color w:val="000000"/>
                <w:szCs w:val="20"/>
                <w:lang w:eastAsia="pl-PL"/>
              </w:rPr>
            </w:pPr>
          </w:p>
        </w:tc>
        <w:tc>
          <w:tcPr>
            <w:tcW w:w="612" w:type="dxa"/>
            <w:tcBorders>
              <w:top w:val="single" w:sz="4" w:space="0" w:color="auto"/>
              <w:left w:val="single" w:sz="4" w:space="0" w:color="auto"/>
              <w:bottom w:val="single" w:sz="4" w:space="0" w:color="auto"/>
              <w:right w:val="single" w:sz="4" w:space="0" w:color="auto"/>
            </w:tcBorders>
            <w:shd w:val="clear" w:color="auto" w:fill="auto"/>
            <w:noWrap/>
          </w:tcPr>
          <w:p w14:paraId="530832BF" w14:textId="77777777" w:rsidR="00F34BD4" w:rsidRPr="00D94B5E" w:rsidRDefault="00F34BD4" w:rsidP="00B823C1">
            <w:pPr>
              <w:spacing w:after="0"/>
              <w:jc w:val="center"/>
              <w:rPr>
                <w:color w:val="000000"/>
                <w:szCs w:val="20"/>
                <w:lang w:eastAsia="pl-PL"/>
              </w:rPr>
            </w:pPr>
            <w:r w:rsidRPr="00D94B5E">
              <w:rPr>
                <w:color w:val="000000"/>
                <w:szCs w:val="20"/>
                <w:lang w:eastAsia="pl-PL"/>
              </w:rPr>
              <w:t>130</w:t>
            </w:r>
          </w:p>
        </w:tc>
        <w:tc>
          <w:tcPr>
            <w:tcW w:w="1609" w:type="dxa"/>
            <w:vMerge w:val="restart"/>
            <w:tcBorders>
              <w:top w:val="nil"/>
              <w:left w:val="single" w:sz="4" w:space="0" w:color="auto"/>
              <w:right w:val="single" w:sz="4" w:space="0" w:color="auto"/>
            </w:tcBorders>
            <w:shd w:val="clear" w:color="auto" w:fill="auto"/>
            <w:vAlign w:val="center"/>
            <w:hideMark/>
          </w:tcPr>
          <w:p w14:paraId="7C8FB3B5" w14:textId="77777777" w:rsidR="00F34BD4" w:rsidRPr="00D94B5E" w:rsidRDefault="00F34BD4" w:rsidP="00B823C1">
            <w:pPr>
              <w:spacing w:after="0"/>
              <w:jc w:val="center"/>
              <w:rPr>
                <w:color w:val="000000"/>
                <w:szCs w:val="20"/>
                <w:lang w:eastAsia="pl-PL"/>
              </w:rPr>
            </w:pPr>
            <w:r>
              <w:rPr>
                <w:color w:val="000000"/>
                <w:szCs w:val="20"/>
                <w:lang w:eastAsia="pl-PL"/>
              </w:rPr>
              <w:t>Ca</w:t>
            </w:r>
            <w:r>
              <w:rPr>
                <w:color w:val="000000"/>
                <w:lang w:eastAsia="pl-PL"/>
              </w:rPr>
              <w:t>łkowite skumulowane</w:t>
            </w:r>
            <w:r w:rsidRPr="00D94B5E">
              <w:rPr>
                <w:color w:val="000000"/>
                <w:szCs w:val="20"/>
                <w:lang w:eastAsia="pl-PL"/>
              </w:rPr>
              <w:t xml:space="preserve"> oszczędności końcowego zużycia energii (do 2030)</w:t>
            </w:r>
          </w:p>
        </w:tc>
      </w:tr>
      <w:tr w:rsidR="00F34BD4" w:rsidRPr="00523F53" w14:paraId="59C3A5C1" w14:textId="77777777" w:rsidTr="00B823C1">
        <w:trPr>
          <w:trHeight w:val="297"/>
        </w:trPr>
        <w:tc>
          <w:tcPr>
            <w:tcW w:w="1369" w:type="dxa"/>
            <w:vMerge/>
            <w:tcBorders>
              <w:left w:val="single" w:sz="4" w:space="0" w:color="auto"/>
              <w:right w:val="single" w:sz="4" w:space="0" w:color="auto"/>
            </w:tcBorders>
            <w:shd w:val="clear" w:color="auto" w:fill="auto"/>
            <w:vAlign w:val="center"/>
            <w:hideMark/>
          </w:tcPr>
          <w:p w14:paraId="5CE68782" w14:textId="77777777" w:rsidR="00F34BD4" w:rsidRPr="00D94B5E" w:rsidRDefault="00F34BD4" w:rsidP="00B823C1">
            <w:pPr>
              <w:spacing w:after="0"/>
              <w:jc w:val="center"/>
              <w:rPr>
                <w:color w:val="000000"/>
                <w:szCs w:val="20"/>
                <w:lang w:eastAsia="pl-PL"/>
              </w:rPr>
            </w:pPr>
          </w:p>
        </w:tc>
        <w:tc>
          <w:tcPr>
            <w:tcW w:w="614" w:type="dxa"/>
            <w:tcBorders>
              <w:top w:val="nil"/>
              <w:left w:val="nil"/>
              <w:bottom w:val="single" w:sz="4" w:space="0" w:color="auto"/>
              <w:right w:val="single" w:sz="4" w:space="0" w:color="auto"/>
            </w:tcBorders>
            <w:shd w:val="clear" w:color="auto" w:fill="auto"/>
            <w:noWrap/>
            <w:vAlign w:val="center"/>
          </w:tcPr>
          <w:p w14:paraId="12E96816" w14:textId="77777777" w:rsidR="00F34BD4" w:rsidRPr="00D94B5E" w:rsidRDefault="00F34BD4" w:rsidP="00B823C1">
            <w:pPr>
              <w:spacing w:after="0"/>
              <w:jc w:val="center"/>
              <w:rPr>
                <w:color w:val="000000"/>
                <w:szCs w:val="20"/>
                <w:lang w:eastAsia="pl-PL"/>
              </w:rPr>
            </w:pPr>
            <w:r w:rsidRPr="00D94B5E">
              <w:rPr>
                <w:rFonts w:cs="Calibri"/>
                <w:color w:val="000000"/>
                <w:szCs w:val="20"/>
              </w:rPr>
              <w:t> </w:t>
            </w:r>
          </w:p>
        </w:tc>
        <w:tc>
          <w:tcPr>
            <w:tcW w:w="612" w:type="dxa"/>
            <w:tcBorders>
              <w:top w:val="nil"/>
              <w:left w:val="nil"/>
              <w:bottom w:val="single" w:sz="4" w:space="0" w:color="auto"/>
              <w:right w:val="single" w:sz="4" w:space="0" w:color="auto"/>
            </w:tcBorders>
            <w:shd w:val="clear" w:color="auto" w:fill="auto"/>
            <w:noWrap/>
            <w:vAlign w:val="center"/>
          </w:tcPr>
          <w:p w14:paraId="1F4AD003" w14:textId="77777777" w:rsidR="00F34BD4" w:rsidRPr="00D94B5E" w:rsidRDefault="00F34BD4" w:rsidP="00B823C1">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vAlign w:val="center"/>
          </w:tcPr>
          <w:p w14:paraId="141AC987" w14:textId="77777777" w:rsidR="00F34BD4" w:rsidRPr="00D94B5E" w:rsidRDefault="00F34BD4" w:rsidP="00B823C1">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vAlign w:val="center"/>
          </w:tcPr>
          <w:p w14:paraId="62B1E9A0" w14:textId="77777777" w:rsidR="00F34BD4" w:rsidRPr="00D94B5E" w:rsidRDefault="00F34BD4" w:rsidP="00B823C1">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vAlign w:val="center"/>
          </w:tcPr>
          <w:p w14:paraId="5E5C980F" w14:textId="77777777" w:rsidR="00F34BD4" w:rsidRPr="00D94B5E" w:rsidRDefault="00F34BD4" w:rsidP="00B823C1">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vAlign w:val="center"/>
          </w:tcPr>
          <w:p w14:paraId="214257BC" w14:textId="77777777" w:rsidR="00F34BD4" w:rsidRPr="00D94B5E" w:rsidRDefault="00F34BD4" w:rsidP="00B823C1">
            <w:pPr>
              <w:spacing w:after="0"/>
              <w:jc w:val="center"/>
              <w:rPr>
                <w:color w:val="000000"/>
                <w:szCs w:val="20"/>
                <w:lang w:eastAsia="pl-PL"/>
              </w:rPr>
            </w:pPr>
          </w:p>
        </w:tc>
        <w:tc>
          <w:tcPr>
            <w:tcW w:w="611" w:type="dxa"/>
            <w:tcBorders>
              <w:top w:val="single" w:sz="4" w:space="0" w:color="auto"/>
              <w:left w:val="single" w:sz="4" w:space="0" w:color="auto"/>
              <w:bottom w:val="single" w:sz="4" w:space="0" w:color="auto"/>
              <w:right w:val="single" w:sz="4" w:space="0" w:color="auto"/>
            </w:tcBorders>
            <w:vAlign w:val="center"/>
          </w:tcPr>
          <w:p w14:paraId="092C8A70" w14:textId="77777777" w:rsidR="00F34BD4" w:rsidRPr="00D94B5E" w:rsidRDefault="00F34BD4" w:rsidP="00B823C1">
            <w:pPr>
              <w:spacing w:after="0"/>
              <w:jc w:val="center"/>
              <w:rPr>
                <w:color w:val="000000"/>
                <w:szCs w:val="20"/>
                <w:lang w:eastAsia="pl-PL"/>
              </w:rPr>
            </w:pPr>
          </w:p>
        </w:tc>
        <w:tc>
          <w:tcPr>
            <w:tcW w:w="612" w:type="dxa"/>
            <w:tcBorders>
              <w:top w:val="single" w:sz="4" w:space="0" w:color="auto"/>
              <w:left w:val="single" w:sz="4" w:space="0" w:color="auto"/>
              <w:bottom w:val="single" w:sz="4" w:space="0" w:color="auto"/>
              <w:right w:val="single" w:sz="4" w:space="0" w:color="auto"/>
            </w:tcBorders>
          </w:tcPr>
          <w:p w14:paraId="0CC79493" w14:textId="77777777" w:rsidR="00F34BD4" w:rsidRPr="00D94B5E" w:rsidRDefault="00F34BD4" w:rsidP="00B823C1">
            <w:pPr>
              <w:spacing w:after="0"/>
              <w:jc w:val="center"/>
              <w:rPr>
                <w:color w:val="000000"/>
                <w:szCs w:val="20"/>
                <w:lang w:eastAsia="pl-PL"/>
              </w:rPr>
            </w:pPr>
          </w:p>
        </w:tc>
        <w:tc>
          <w:tcPr>
            <w:tcW w:w="612" w:type="dxa"/>
            <w:tcBorders>
              <w:top w:val="single" w:sz="4" w:space="0" w:color="auto"/>
              <w:left w:val="single" w:sz="4" w:space="0" w:color="auto"/>
              <w:bottom w:val="single" w:sz="4" w:space="0" w:color="auto"/>
              <w:right w:val="single" w:sz="4" w:space="0" w:color="auto"/>
            </w:tcBorders>
          </w:tcPr>
          <w:p w14:paraId="5F9B937B" w14:textId="77777777" w:rsidR="00F34BD4" w:rsidRPr="00D94B5E" w:rsidRDefault="00F34BD4" w:rsidP="00B823C1">
            <w:pPr>
              <w:spacing w:after="0"/>
              <w:jc w:val="center"/>
              <w:rPr>
                <w:color w:val="000000"/>
                <w:szCs w:val="20"/>
                <w:lang w:eastAsia="pl-PL"/>
              </w:rPr>
            </w:pPr>
            <w:r w:rsidRPr="00D94B5E">
              <w:rPr>
                <w:color w:val="000000"/>
                <w:szCs w:val="20"/>
                <w:lang w:eastAsia="pl-PL"/>
              </w:rPr>
              <w:t>130</w:t>
            </w:r>
          </w:p>
        </w:tc>
        <w:tc>
          <w:tcPr>
            <w:tcW w:w="612" w:type="dxa"/>
            <w:tcBorders>
              <w:top w:val="single" w:sz="4" w:space="0" w:color="auto"/>
              <w:left w:val="single" w:sz="4" w:space="0" w:color="auto"/>
              <w:bottom w:val="single" w:sz="4" w:space="0" w:color="auto"/>
              <w:right w:val="single" w:sz="4" w:space="0" w:color="auto"/>
            </w:tcBorders>
            <w:shd w:val="clear" w:color="auto" w:fill="auto"/>
            <w:noWrap/>
          </w:tcPr>
          <w:p w14:paraId="6E75CBD8" w14:textId="77777777" w:rsidR="00F34BD4" w:rsidRPr="00D94B5E" w:rsidRDefault="00F34BD4" w:rsidP="00B823C1">
            <w:pPr>
              <w:spacing w:after="0"/>
              <w:jc w:val="center"/>
              <w:rPr>
                <w:color w:val="000000"/>
                <w:szCs w:val="20"/>
                <w:lang w:eastAsia="pl-PL"/>
              </w:rPr>
            </w:pPr>
            <w:r w:rsidRPr="00D94B5E">
              <w:rPr>
                <w:color w:val="000000"/>
                <w:szCs w:val="20"/>
                <w:lang w:eastAsia="pl-PL"/>
              </w:rPr>
              <w:t>130</w:t>
            </w:r>
          </w:p>
        </w:tc>
        <w:tc>
          <w:tcPr>
            <w:tcW w:w="1609" w:type="dxa"/>
            <w:vMerge/>
            <w:tcBorders>
              <w:left w:val="single" w:sz="4" w:space="0" w:color="auto"/>
              <w:right w:val="single" w:sz="4" w:space="0" w:color="auto"/>
            </w:tcBorders>
            <w:shd w:val="clear" w:color="auto" w:fill="auto"/>
            <w:vAlign w:val="center"/>
            <w:hideMark/>
          </w:tcPr>
          <w:p w14:paraId="381A0878" w14:textId="77777777" w:rsidR="00F34BD4" w:rsidRPr="00D94B5E" w:rsidRDefault="00F34BD4" w:rsidP="00B823C1">
            <w:pPr>
              <w:spacing w:after="0"/>
              <w:jc w:val="center"/>
              <w:rPr>
                <w:color w:val="000000"/>
                <w:szCs w:val="20"/>
                <w:lang w:eastAsia="pl-PL"/>
              </w:rPr>
            </w:pPr>
          </w:p>
        </w:tc>
      </w:tr>
      <w:tr w:rsidR="00F34BD4" w:rsidRPr="00523F53" w14:paraId="4C968F8F" w14:textId="77777777" w:rsidTr="00B823C1">
        <w:trPr>
          <w:trHeight w:val="297"/>
        </w:trPr>
        <w:tc>
          <w:tcPr>
            <w:tcW w:w="1369" w:type="dxa"/>
            <w:vMerge/>
            <w:tcBorders>
              <w:left w:val="single" w:sz="4" w:space="0" w:color="auto"/>
              <w:right w:val="single" w:sz="4" w:space="0" w:color="auto"/>
            </w:tcBorders>
            <w:shd w:val="clear" w:color="auto" w:fill="auto"/>
            <w:vAlign w:val="center"/>
            <w:hideMark/>
          </w:tcPr>
          <w:p w14:paraId="41BAC5DD" w14:textId="77777777" w:rsidR="00F34BD4" w:rsidRPr="00D94B5E" w:rsidRDefault="00F34BD4" w:rsidP="00B823C1">
            <w:pPr>
              <w:spacing w:after="0"/>
              <w:jc w:val="center"/>
              <w:rPr>
                <w:color w:val="000000"/>
                <w:szCs w:val="20"/>
                <w:lang w:eastAsia="pl-PL"/>
              </w:rPr>
            </w:pPr>
          </w:p>
        </w:tc>
        <w:tc>
          <w:tcPr>
            <w:tcW w:w="614" w:type="dxa"/>
            <w:tcBorders>
              <w:top w:val="nil"/>
              <w:left w:val="nil"/>
              <w:bottom w:val="single" w:sz="4" w:space="0" w:color="auto"/>
              <w:right w:val="single" w:sz="4" w:space="0" w:color="auto"/>
            </w:tcBorders>
            <w:shd w:val="clear" w:color="auto" w:fill="auto"/>
            <w:noWrap/>
            <w:vAlign w:val="center"/>
          </w:tcPr>
          <w:p w14:paraId="35458694" w14:textId="77777777" w:rsidR="00F34BD4" w:rsidRPr="00D94B5E" w:rsidRDefault="00F34BD4" w:rsidP="00B823C1">
            <w:pPr>
              <w:spacing w:after="0"/>
              <w:jc w:val="center"/>
              <w:rPr>
                <w:color w:val="000000"/>
                <w:szCs w:val="20"/>
                <w:lang w:eastAsia="pl-PL"/>
              </w:rPr>
            </w:pPr>
            <w:r w:rsidRPr="00D94B5E">
              <w:rPr>
                <w:rFonts w:cs="Calibri"/>
                <w:color w:val="000000"/>
                <w:szCs w:val="20"/>
              </w:rPr>
              <w:t> </w:t>
            </w:r>
          </w:p>
        </w:tc>
        <w:tc>
          <w:tcPr>
            <w:tcW w:w="612" w:type="dxa"/>
            <w:tcBorders>
              <w:top w:val="nil"/>
              <w:left w:val="nil"/>
              <w:bottom w:val="single" w:sz="4" w:space="0" w:color="auto"/>
              <w:right w:val="single" w:sz="4" w:space="0" w:color="auto"/>
            </w:tcBorders>
            <w:shd w:val="clear" w:color="auto" w:fill="auto"/>
            <w:noWrap/>
            <w:vAlign w:val="center"/>
          </w:tcPr>
          <w:p w14:paraId="4748A6B2" w14:textId="77777777" w:rsidR="00F34BD4" w:rsidRPr="00D94B5E" w:rsidRDefault="00F34BD4" w:rsidP="00B823C1">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vAlign w:val="center"/>
          </w:tcPr>
          <w:p w14:paraId="492FC6B7" w14:textId="77777777" w:rsidR="00F34BD4" w:rsidRPr="00D94B5E" w:rsidRDefault="00F34BD4" w:rsidP="00B823C1">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vAlign w:val="center"/>
          </w:tcPr>
          <w:p w14:paraId="48E74255" w14:textId="77777777" w:rsidR="00F34BD4" w:rsidRPr="00D94B5E" w:rsidRDefault="00F34BD4" w:rsidP="00B823C1">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vAlign w:val="center"/>
          </w:tcPr>
          <w:p w14:paraId="6AE88746" w14:textId="77777777" w:rsidR="00F34BD4" w:rsidRPr="00D94B5E" w:rsidRDefault="00F34BD4" w:rsidP="00B823C1">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vAlign w:val="center"/>
          </w:tcPr>
          <w:p w14:paraId="759A84CF" w14:textId="77777777" w:rsidR="00F34BD4" w:rsidRPr="00D94B5E" w:rsidRDefault="00F34BD4" w:rsidP="00B823C1">
            <w:pPr>
              <w:spacing w:after="0"/>
              <w:jc w:val="center"/>
              <w:rPr>
                <w:color w:val="000000"/>
                <w:szCs w:val="20"/>
                <w:lang w:eastAsia="pl-PL"/>
              </w:rPr>
            </w:pPr>
          </w:p>
        </w:tc>
        <w:tc>
          <w:tcPr>
            <w:tcW w:w="611" w:type="dxa"/>
            <w:tcBorders>
              <w:top w:val="single" w:sz="4" w:space="0" w:color="auto"/>
              <w:left w:val="single" w:sz="4" w:space="0" w:color="auto"/>
              <w:bottom w:val="single" w:sz="4" w:space="0" w:color="auto"/>
              <w:right w:val="single" w:sz="4" w:space="0" w:color="auto"/>
            </w:tcBorders>
            <w:vAlign w:val="center"/>
          </w:tcPr>
          <w:p w14:paraId="43E5E71E" w14:textId="77777777" w:rsidR="00F34BD4" w:rsidRPr="00D94B5E" w:rsidRDefault="00F34BD4" w:rsidP="00B823C1">
            <w:pPr>
              <w:spacing w:after="0"/>
              <w:jc w:val="center"/>
              <w:rPr>
                <w:color w:val="000000"/>
                <w:szCs w:val="20"/>
                <w:lang w:eastAsia="pl-PL"/>
              </w:rPr>
            </w:pPr>
          </w:p>
        </w:tc>
        <w:tc>
          <w:tcPr>
            <w:tcW w:w="612" w:type="dxa"/>
            <w:tcBorders>
              <w:top w:val="single" w:sz="4" w:space="0" w:color="auto"/>
              <w:left w:val="single" w:sz="4" w:space="0" w:color="auto"/>
              <w:bottom w:val="single" w:sz="4" w:space="0" w:color="auto"/>
              <w:right w:val="single" w:sz="4" w:space="0" w:color="auto"/>
            </w:tcBorders>
          </w:tcPr>
          <w:p w14:paraId="65E055B8" w14:textId="77777777" w:rsidR="00F34BD4" w:rsidRPr="00D94B5E" w:rsidRDefault="00F34BD4" w:rsidP="00B823C1">
            <w:pPr>
              <w:spacing w:after="0"/>
              <w:jc w:val="center"/>
              <w:rPr>
                <w:color w:val="000000"/>
                <w:szCs w:val="20"/>
                <w:lang w:eastAsia="pl-PL"/>
              </w:rPr>
            </w:pPr>
            <w:r w:rsidRPr="00D94B5E">
              <w:rPr>
                <w:color w:val="000000"/>
                <w:szCs w:val="20"/>
                <w:lang w:eastAsia="pl-PL"/>
              </w:rPr>
              <w:t>130</w:t>
            </w:r>
          </w:p>
        </w:tc>
        <w:tc>
          <w:tcPr>
            <w:tcW w:w="612" w:type="dxa"/>
            <w:tcBorders>
              <w:top w:val="single" w:sz="4" w:space="0" w:color="auto"/>
              <w:left w:val="single" w:sz="4" w:space="0" w:color="auto"/>
              <w:bottom w:val="single" w:sz="4" w:space="0" w:color="auto"/>
              <w:right w:val="single" w:sz="4" w:space="0" w:color="auto"/>
            </w:tcBorders>
          </w:tcPr>
          <w:p w14:paraId="6A455C4B" w14:textId="77777777" w:rsidR="00F34BD4" w:rsidRPr="00D94B5E" w:rsidRDefault="00F34BD4" w:rsidP="00B823C1">
            <w:pPr>
              <w:spacing w:after="0"/>
              <w:jc w:val="center"/>
              <w:rPr>
                <w:color w:val="000000"/>
                <w:szCs w:val="20"/>
                <w:lang w:eastAsia="pl-PL"/>
              </w:rPr>
            </w:pPr>
            <w:r w:rsidRPr="00D94B5E">
              <w:rPr>
                <w:color w:val="000000"/>
                <w:szCs w:val="20"/>
                <w:lang w:eastAsia="pl-PL"/>
              </w:rPr>
              <w:t>130</w:t>
            </w:r>
          </w:p>
        </w:tc>
        <w:tc>
          <w:tcPr>
            <w:tcW w:w="612" w:type="dxa"/>
            <w:tcBorders>
              <w:top w:val="single" w:sz="4" w:space="0" w:color="auto"/>
              <w:left w:val="single" w:sz="4" w:space="0" w:color="auto"/>
              <w:bottom w:val="single" w:sz="4" w:space="0" w:color="auto"/>
              <w:right w:val="single" w:sz="4" w:space="0" w:color="auto"/>
            </w:tcBorders>
            <w:shd w:val="clear" w:color="auto" w:fill="auto"/>
            <w:noWrap/>
          </w:tcPr>
          <w:p w14:paraId="01F28B08" w14:textId="77777777" w:rsidR="00F34BD4" w:rsidRPr="00D94B5E" w:rsidRDefault="00F34BD4" w:rsidP="00B823C1">
            <w:pPr>
              <w:spacing w:after="0"/>
              <w:jc w:val="center"/>
              <w:rPr>
                <w:color w:val="000000"/>
                <w:szCs w:val="20"/>
                <w:lang w:eastAsia="pl-PL"/>
              </w:rPr>
            </w:pPr>
            <w:r w:rsidRPr="00D94B5E">
              <w:rPr>
                <w:color w:val="000000"/>
                <w:szCs w:val="20"/>
                <w:lang w:eastAsia="pl-PL"/>
              </w:rPr>
              <w:t>130</w:t>
            </w:r>
          </w:p>
        </w:tc>
        <w:tc>
          <w:tcPr>
            <w:tcW w:w="1609" w:type="dxa"/>
            <w:vMerge/>
            <w:tcBorders>
              <w:left w:val="single" w:sz="4" w:space="0" w:color="auto"/>
              <w:right w:val="single" w:sz="4" w:space="0" w:color="auto"/>
            </w:tcBorders>
            <w:shd w:val="clear" w:color="auto" w:fill="auto"/>
            <w:vAlign w:val="center"/>
            <w:hideMark/>
          </w:tcPr>
          <w:p w14:paraId="50CC66F4" w14:textId="77777777" w:rsidR="00F34BD4" w:rsidRPr="00D94B5E" w:rsidRDefault="00F34BD4" w:rsidP="00B823C1">
            <w:pPr>
              <w:spacing w:after="0"/>
              <w:jc w:val="center"/>
              <w:rPr>
                <w:color w:val="000000"/>
                <w:szCs w:val="20"/>
                <w:lang w:eastAsia="pl-PL"/>
              </w:rPr>
            </w:pPr>
          </w:p>
        </w:tc>
      </w:tr>
      <w:tr w:rsidR="00F34BD4" w:rsidRPr="00523F53" w14:paraId="3A6B73BF" w14:textId="77777777" w:rsidTr="00B823C1">
        <w:trPr>
          <w:trHeight w:val="297"/>
        </w:trPr>
        <w:tc>
          <w:tcPr>
            <w:tcW w:w="1369" w:type="dxa"/>
            <w:vMerge/>
            <w:tcBorders>
              <w:left w:val="single" w:sz="4" w:space="0" w:color="auto"/>
              <w:right w:val="single" w:sz="4" w:space="0" w:color="auto"/>
            </w:tcBorders>
            <w:vAlign w:val="center"/>
            <w:hideMark/>
          </w:tcPr>
          <w:p w14:paraId="470E4787" w14:textId="77777777" w:rsidR="00F34BD4" w:rsidRPr="00D94B5E" w:rsidRDefault="00F34BD4" w:rsidP="00B823C1">
            <w:pPr>
              <w:spacing w:after="0"/>
              <w:jc w:val="center"/>
              <w:rPr>
                <w:color w:val="000000"/>
                <w:szCs w:val="20"/>
                <w:lang w:eastAsia="pl-PL"/>
              </w:rPr>
            </w:pPr>
          </w:p>
        </w:tc>
        <w:tc>
          <w:tcPr>
            <w:tcW w:w="614" w:type="dxa"/>
            <w:tcBorders>
              <w:top w:val="nil"/>
              <w:left w:val="nil"/>
              <w:bottom w:val="single" w:sz="4" w:space="0" w:color="auto"/>
              <w:right w:val="single" w:sz="4" w:space="0" w:color="auto"/>
            </w:tcBorders>
            <w:shd w:val="clear" w:color="auto" w:fill="auto"/>
            <w:noWrap/>
            <w:vAlign w:val="center"/>
          </w:tcPr>
          <w:p w14:paraId="09DAD313" w14:textId="77777777" w:rsidR="00F34BD4" w:rsidRPr="00D94B5E" w:rsidRDefault="00F34BD4" w:rsidP="00B823C1">
            <w:pPr>
              <w:spacing w:after="0"/>
              <w:jc w:val="center"/>
              <w:rPr>
                <w:color w:val="000000"/>
                <w:szCs w:val="20"/>
                <w:lang w:eastAsia="pl-PL"/>
              </w:rPr>
            </w:pPr>
            <w:r w:rsidRPr="00D94B5E">
              <w:rPr>
                <w:rFonts w:cs="Calibri"/>
                <w:color w:val="000000"/>
                <w:szCs w:val="20"/>
              </w:rPr>
              <w:t> </w:t>
            </w:r>
          </w:p>
        </w:tc>
        <w:tc>
          <w:tcPr>
            <w:tcW w:w="612" w:type="dxa"/>
            <w:tcBorders>
              <w:top w:val="nil"/>
              <w:left w:val="nil"/>
              <w:bottom w:val="single" w:sz="4" w:space="0" w:color="auto"/>
              <w:right w:val="single" w:sz="4" w:space="0" w:color="auto"/>
            </w:tcBorders>
            <w:shd w:val="clear" w:color="auto" w:fill="auto"/>
            <w:noWrap/>
            <w:vAlign w:val="center"/>
          </w:tcPr>
          <w:p w14:paraId="2AE028E4" w14:textId="77777777" w:rsidR="00F34BD4" w:rsidRPr="00D94B5E" w:rsidRDefault="00F34BD4" w:rsidP="00B823C1">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vAlign w:val="center"/>
          </w:tcPr>
          <w:p w14:paraId="748D7403" w14:textId="77777777" w:rsidR="00F34BD4" w:rsidRPr="00D94B5E" w:rsidRDefault="00F34BD4" w:rsidP="00B823C1">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vAlign w:val="center"/>
          </w:tcPr>
          <w:p w14:paraId="71A89857" w14:textId="77777777" w:rsidR="00F34BD4" w:rsidRPr="00D94B5E" w:rsidRDefault="00F34BD4" w:rsidP="00B823C1">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vAlign w:val="center"/>
          </w:tcPr>
          <w:p w14:paraId="6BE9282E" w14:textId="77777777" w:rsidR="00F34BD4" w:rsidRPr="00D94B5E" w:rsidRDefault="00F34BD4" w:rsidP="00B823C1">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vAlign w:val="center"/>
          </w:tcPr>
          <w:p w14:paraId="6AB7602C" w14:textId="77777777" w:rsidR="00F34BD4" w:rsidRPr="00D94B5E" w:rsidRDefault="00F34BD4" w:rsidP="00B823C1">
            <w:pPr>
              <w:spacing w:after="0"/>
              <w:jc w:val="center"/>
              <w:rPr>
                <w:color w:val="000000"/>
                <w:szCs w:val="20"/>
                <w:lang w:eastAsia="pl-PL"/>
              </w:rPr>
            </w:pPr>
          </w:p>
        </w:tc>
        <w:tc>
          <w:tcPr>
            <w:tcW w:w="611" w:type="dxa"/>
            <w:tcBorders>
              <w:top w:val="single" w:sz="4" w:space="0" w:color="auto"/>
              <w:left w:val="single" w:sz="4" w:space="0" w:color="auto"/>
              <w:bottom w:val="single" w:sz="4" w:space="0" w:color="auto"/>
              <w:right w:val="single" w:sz="4" w:space="0" w:color="auto"/>
            </w:tcBorders>
          </w:tcPr>
          <w:p w14:paraId="17F174BE" w14:textId="77777777" w:rsidR="00F34BD4" w:rsidRPr="00D94B5E" w:rsidRDefault="00F34BD4" w:rsidP="00B823C1">
            <w:pPr>
              <w:spacing w:after="0"/>
              <w:jc w:val="center"/>
              <w:rPr>
                <w:color w:val="000000"/>
                <w:szCs w:val="20"/>
                <w:lang w:eastAsia="pl-PL"/>
              </w:rPr>
            </w:pPr>
            <w:r w:rsidRPr="00D94B5E">
              <w:rPr>
                <w:color w:val="000000"/>
                <w:szCs w:val="20"/>
                <w:lang w:eastAsia="pl-PL"/>
              </w:rPr>
              <w:t>130</w:t>
            </w:r>
          </w:p>
        </w:tc>
        <w:tc>
          <w:tcPr>
            <w:tcW w:w="612" w:type="dxa"/>
            <w:tcBorders>
              <w:top w:val="single" w:sz="4" w:space="0" w:color="auto"/>
              <w:left w:val="single" w:sz="4" w:space="0" w:color="auto"/>
              <w:bottom w:val="single" w:sz="4" w:space="0" w:color="auto"/>
              <w:right w:val="single" w:sz="4" w:space="0" w:color="auto"/>
            </w:tcBorders>
          </w:tcPr>
          <w:p w14:paraId="2518610F" w14:textId="77777777" w:rsidR="00F34BD4" w:rsidRPr="00D94B5E" w:rsidRDefault="00F34BD4" w:rsidP="00B823C1">
            <w:pPr>
              <w:spacing w:after="0"/>
              <w:jc w:val="center"/>
              <w:rPr>
                <w:color w:val="000000"/>
                <w:szCs w:val="20"/>
                <w:lang w:eastAsia="pl-PL"/>
              </w:rPr>
            </w:pPr>
            <w:r w:rsidRPr="00D94B5E">
              <w:rPr>
                <w:color w:val="000000"/>
                <w:szCs w:val="20"/>
                <w:lang w:eastAsia="pl-PL"/>
              </w:rPr>
              <w:t>130</w:t>
            </w:r>
          </w:p>
        </w:tc>
        <w:tc>
          <w:tcPr>
            <w:tcW w:w="612" w:type="dxa"/>
            <w:tcBorders>
              <w:top w:val="single" w:sz="4" w:space="0" w:color="auto"/>
              <w:left w:val="single" w:sz="4" w:space="0" w:color="auto"/>
              <w:bottom w:val="single" w:sz="4" w:space="0" w:color="auto"/>
              <w:right w:val="single" w:sz="4" w:space="0" w:color="auto"/>
            </w:tcBorders>
          </w:tcPr>
          <w:p w14:paraId="33505398" w14:textId="77777777" w:rsidR="00F34BD4" w:rsidRPr="00D94B5E" w:rsidRDefault="00F34BD4" w:rsidP="00B823C1">
            <w:pPr>
              <w:spacing w:after="0"/>
              <w:jc w:val="center"/>
              <w:rPr>
                <w:color w:val="000000"/>
                <w:szCs w:val="20"/>
                <w:lang w:eastAsia="pl-PL"/>
              </w:rPr>
            </w:pPr>
            <w:r w:rsidRPr="00D94B5E">
              <w:rPr>
                <w:color w:val="000000"/>
                <w:szCs w:val="20"/>
                <w:lang w:eastAsia="pl-PL"/>
              </w:rPr>
              <w:t>130</w:t>
            </w:r>
          </w:p>
        </w:tc>
        <w:tc>
          <w:tcPr>
            <w:tcW w:w="612" w:type="dxa"/>
            <w:tcBorders>
              <w:top w:val="single" w:sz="4" w:space="0" w:color="auto"/>
              <w:left w:val="single" w:sz="4" w:space="0" w:color="auto"/>
              <w:bottom w:val="single" w:sz="4" w:space="0" w:color="auto"/>
              <w:right w:val="single" w:sz="4" w:space="0" w:color="auto"/>
            </w:tcBorders>
            <w:shd w:val="clear" w:color="auto" w:fill="auto"/>
            <w:noWrap/>
          </w:tcPr>
          <w:p w14:paraId="2BA3AB36" w14:textId="77777777" w:rsidR="00F34BD4" w:rsidRPr="00D94B5E" w:rsidRDefault="00F34BD4" w:rsidP="00B823C1">
            <w:pPr>
              <w:spacing w:after="0"/>
              <w:jc w:val="center"/>
              <w:rPr>
                <w:color w:val="000000"/>
                <w:szCs w:val="20"/>
                <w:lang w:eastAsia="pl-PL"/>
              </w:rPr>
            </w:pPr>
            <w:r w:rsidRPr="00D94B5E">
              <w:rPr>
                <w:color w:val="000000"/>
                <w:szCs w:val="20"/>
                <w:lang w:eastAsia="pl-PL"/>
              </w:rPr>
              <w:t>130</w:t>
            </w:r>
          </w:p>
        </w:tc>
        <w:tc>
          <w:tcPr>
            <w:tcW w:w="1609" w:type="dxa"/>
            <w:vMerge/>
            <w:tcBorders>
              <w:left w:val="single" w:sz="4" w:space="0" w:color="auto"/>
              <w:right w:val="single" w:sz="4" w:space="0" w:color="auto"/>
            </w:tcBorders>
            <w:shd w:val="clear" w:color="auto" w:fill="auto"/>
            <w:vAlign w:val="center"/>
            <w:hideMark/>
          </w:tcPr>
          <w:p w14:paraId="40EC0AE9" w14:textId="77777777" w:rsidR="00F34BD4" w:rsidRPr="00D94B5E" w:rsidRDefault="00F34BD4" w:rsidP="00B823C1">
            <w:pPr>
              <w:spacing w:after="0"/>
              <w:jc w:val="center"/>
              <w:rPr>
                <w:color w:val="000000"/>
                <w:szCs w:val="20"/>
                <w:lang w:eastAsia="pl-PL"/>
              </w:rPr>
            </w:pPr>
          </w:p>
        </w:tc>
      </w:tr>
      <w:tr w:rsidR="00F34BD4" w:rsidRPr="00523F53" w14:paraId="2F88E5E1" w14:textId="77777777" w:rsidTr="00B823C1">
        <w:trPr>
          <w:trHeight w:val="297"/>
        </w:trPr>
        <w:tc>
          <w:tcPr>
            <w:tcW w:w="1369" w:type="dxa"/>
            <w:vMerge/>
            <w:tcBorders>
              <w:left w:val="single" w:sz="4" w:space="0" w:color="auto"/>
              <w:right w:val="single" w:sz="4" w:space="0" w:color="auto"/>
            </w:tcBorders>
            <w:vAlign w:val="center"/>
            <w:hideMark/>
          </w:tcPr>
          <w:p w14:paraId="47443DD4" w14:textId="77777777" w:rsidR="00F34BD4" w:rsidRPr="00D94B5E" w:rsidRDefault="00F34BD4" w:rsidP="00B823C1">
            <w:pPr>
              <w:spacing w:after="0"/>
              <w:jc w:val="center"/>
              <w:rPr>
                <w:color w:val="000000"/>
                <w:szCs w:val="20"/>
                <w:lang w:eastAsia="pl-PL"/>
              </w:rPr>
            </w:pPr>
          </w:p>
        </w:tc>
        <w:tc>
          <w:tcPr>
            <w:tcW w:w="614" w:type="dxa"/>
            <w:tcBorders>
              <w:top w:val="nil"/>
              <w:left w:val="nil"/>
              <w:bottom w:val="single" w:sz="4" w:space="0" w:color="auto"/>
              <w:right w:val="single" w:sz="4" w:space="0" w:color="auto"/>
            </w:tcBorders>
            <w:shd w:val="clear" w:color="auto" w:fill="auto"/>
            <w:noWrap/>
            <w:vAlign w:val="center"/>
          </w:tcPr>
          <w:p w14:paraId="2004C6E2" w14:textId="77777777" w:rsidR="00F34BD4" w:rsidRPr="00D94B5E" w:rsidRDefault="00F34BD4" w:rsidP="00B823C1">
            <w:pPr>
              <w:spacing w:after="0"/>
              <w:jc w:val="center"/>
              <w:rPr>
                <w:color w:val="000000"/>
                <w:szCs w:val="20"/>
                <w:lang w:eastAsia="pl-PL"/>
              </w:rPr>
            </w:pPr>
            <w:r w:rsidRPr="00D94B5E">
              <w:rPr>
                <w:rFonts w:cs="Calibri"/>
                <w:color w:val="000000"/>
                <w:szCs w:val="20"/>
              </w:rPr>
              <w:t> </w:t>
            </w:r>
          </w:p>
        </w:tc>
        <w:tc>
          <w:tcPr>
            <w:tcW w:w="612" w:type="dxa"/>
            <w:tcBorders>
              <w:top w:val="nil"/>
              <w:left w:val="nil"/>
              <w:bottom w:val="single" w:sz="4" w:space="0" w:color="auto"/>
              <w:right w:val="single" w:sz="4" w:space="0" w:color="auto"/>
            </w:tcBorders>
            <w:shd w:val="clear" w:color="auto" w:fill="auto"/>
            <w:noWrap/>
            <w:vAlign w:val="center"/>
          </w:tcPr>
          <w:p w14:paraId="724E8FE9" w14:textId="77777777" w:rsidR="00F34BD4" w:rsidRPr="00D94B5E" w:rsidRDefault="00F34BD4" w:rsidP="00B823C1">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vAlign w:val="center"/>
          </w:tcPr>
          <w:p w14:paraId="4AF3C63E" w14:textId="77777777" w:rsidR="00F34BD4" w:rsidRPr="00D94B5E" w:rsidRDefault="00F34BD4" w:rsidP="00B823C1">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vAlign w:val="bottom"/>
          </w:tcPr>
          <w:p w14:paraId="0509283F" w14:textId="77777777" w:rsidR="00F34BD4" w:rsidRPr="00D94B5E" w:rsidRDefault="00F34BD4" w:rsidP="00B823C1">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vAlign w:val="center"/>
          </w:tcPr>
          <w:p w14:paraId="4B59A5B2" w14:textId="77777777" w:rsidR="00F34BD4" w:rsidRPr="00D94B5E" w:rsidRDefault="00F34BD4" w:rsidP="00B823C1">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tcPr>
          <w:p w14:paraId="493668F7" w14:textId="77777777" w:rsidR="00F34BD4" w:rsidRPr="00D94B5E" w:rsidRDefault="00F34BD4" w:rsidP="00B823C1">
            <w:pPr>
              <w:spacing w:after="0"/>
              <w:jc w:val="center"/>
              <w:rPr>
                <w:color w:val="000000"/>
                <w:szCs w:val="20"/>
                <w:lang w:eastAsia="pl-PL"/>
              </w:rPr>
            </w:pPr>
            <w:r w:rsidRPr="00D94B5E">
              <w:rPr>
                <w:color w:val="000000"/>
                <w:szCs w:val="20"/>
                <w:lang w:eastAsia="pl-PL"/>
              </w:rPr>
              <w:t>130</w:t>
            </w:r>
          </w:p>
        </w:tc>
        <w:tc>
          <w:tcPr>
            <w:tcW w:w="611" w:type="dxa"/>
            <w:tcBorders>
              <w:top w:val="single" w:sz="4" w:space="0" w:color="auto"/>
              <w:left w:val="single" w:sz="4" w:space="0" w:color="auto"/>
              <w:bottom w:val="single" w:sz="4" w:space="0" w:color="auto"/>
              <w:right w:val="single" w:sz="4" w:space="0" w:color="auto"/>
            </w:tcBorders>
          </w:tcPr>
          <w:p w14:paraId="4765BAA0" w14:textId="77777777" w:rsidR="00F34BD4" w:rsidRPr="00D94B5E" w:rsidRDefault="00F34BD4" w:rsidP="00B823C1">
            <w:pPr>
              <w:spacing w:after="0"/>
              <w:jc w:val="center"/>
              <w:rPr>
                <w:color w:val="000000"/>
                <w:szCs w:val="20"/>
                <w:lang w:eastAsia="pl-PL"/>
              </w:rPr>
            </w:pPr>
            <w:r w:rsidRPr="00D94B5E">
              <w:rPr>
                <w:color w:val="000000"/>
                <w:szCs w:val="20"/>
                <w:lang w:eastAsia="pl-PL"/>
              </w:rPr>
              <w:t>130</w:t>
            </w:r>
          </w:p>
        </w:tc>
        <w:tc>
          <w:tcPr>
            <w:tcW w:w="612" w:type="dxa"/>
            <w:tcBorders>
              <w:top w:val="single" w:sz="4" w:space="0" w:color="auto"/>
              <w:left w:val="single" w:sz="4" w:space="0" w:color="auto"/>
              <w:bottom w:val="single" w:sz="4" w:space="0" w:color="auto"/>
              <w:right w:val="single" w:sz="4" w:space="0" w:color="auto"/>
            </w:tcBorders>
          </w:tcPr>
          <w:p w14:paraId="24B55F5F" w14:textId="77777777" w:rsidR="00F34BD4" w:rsidRPr="00D94B5E" w:rsidRDefault="00F34BD4" w:rsidP="00B823C1">
            <w:pPr>
              <w:spacing w:after="0"/>
              <w:jc w:val="center"/>
              <w:rPr>
                <w:color w:val="000000"/>
                <w:szCs w:val="20"/>
                <w:lang w:eastAsia="pl-PL"/>
              </w:rPr>
            </w:pPr>
            <w:r w:rsidRPr="00D94B5E">
              <w:rPr>
                <w:color w:val="000000"/>
                <w:szCs w:val="20"/>
                <w:lang w:eastAsia="pl-PL"/>
              </w:rPr>
              <w:t>130</w:t>
            </w:r>
          </w:p>
        </w:tc>
        <w:tc>
          <w:tcPr>
            <w:tcW w:w="612" w:type="dxa"/>
            <w:tcBorders>
              <w:top w:val="single" w:sz="4" w:space="0" w:color="auto"/>
              <w:left w:val="single" w:sz="4" w:space="0" w:color="auto"/>
              <w:bottom w:val="single" w:sz="4" w:space="0" w:color="auto"/>
              <w:right w:val="single" w:sz="4" w:space="0" w:color="auto"/>
            </w:tcBorders>
          </w:tcPr>
          <w:p w14:paraId="5D1891C8" w14:textId="77777777" w:rsidR="00F34BD4" w:rsidRPr="00D94B5E" w:rsidRDefault="00F34BD4" w:rsidP="00B823C1">
            <w:pPr>
              <w:spacing w:after="0"/>
              <w:jc w:val="center"/>
              <w:rPr>
                <w:color w:val="000000"/>
                <w:szCs w:val="20"/>
                <w:lang w:eastAsia="pl-PL"/>
              </w:rPr>
            </w:pPr>
            <w:r w:rsidRPr="00D94B5E">
              <w:rPr>
                <w:color w:val="000000"/>
                <w:szCs w:val="20"/>
                <w:lang w:eastAsia="pl-PL"/>
              </w:rPr>
              <w:t>130</w:t>
            </w:r>
          </w:p>
        </w:tc>
        <w:tc>
          <w:tcPr>
            <w:tcW w:w="612" w:type="dxa"/>
            <w:tcBorders>
              <w:top w:val="single" w:sz="4" w:space="0" w:color="auto"/>
              <w:left w:val="single" w:sz="4" w:space="0" w:color="auto"/>
              <w:bottom w:val="single" w:sz="4" w:space="0" w:color="auto"/>
              <w:right w:val="single" w:sz="4" w:space="0" w:color="auto"/>
            </w:tcBorders>
            <w:shd w:val="clear" w:color="auto" w:fill="auto"/>
            <w:noWrap/>
          </w:tcPr>
          <w:p w14:paraId="129D906F" w14:textId="77777777" w:rsidR="00F34BD4" w:rsidRPr="00D94B5E" w:rsidRDefault="00F34BD4" w:rsidP="00B823C1">
            <w:pPr>
              <w:spacing w:after="0"/>
              <w:jc w:val="center"/>
              <w:rPr>
                <w:color w:val="000000"/>
                <w:szCs w:val="20"/>
                <w:lang w:eastAsia="pl-PL"/>
              </w:rPr>
            </w:pPr>
            <w:r w:rsidRPr="00D94B5E">
              <w:rPr>
                <w:color w:val="000000"/>
                <w:szCs w:val="20"/>
                <w:lang w:eastAsia="pl-PL"/>
              </w:rPr>
              <w:t>130</w:t>
            </w:r>
          </w:p>
        </w:tc>
        <w:tc>
          <w:tcPr>
            <w:tcW w:w="1609" w:type="dxa"/>
            <w:vMerge/>
            <w:tcBorders>
              <w:left w:val="single" w:sz="4" w:space="0" w:color="auto"/>
              <w:right w:val="single" w:sz="4" w:space="0" w:color="auto"/>
            </w:tcBorders>
            <w:vAlign w:val="center"/>
            <w:hideMark/>
          </w:tcPr>
          <w:p w14:paraId="41BA9F95" w14:textId="77777777" w:rsidR="00F34BD4" w:rsidRPr="00D94B5E" w:rsidRDefault="00F34BD4" w:rsidP="00B823C1">
            <w:pPr>
              <w:spacing w:after="0"/>
              <w:jc w:val="center"/>
              <w:rPr>
                <w:color w:val="000000"/>
                <w:szCs w:val="20"/>
                <w:lang w:eastAsia="pl-PL"/>
              </w:rPr>
            </w:pPr>
          </w:p>
        </w:tc>
      </w:tr>
      <w:tr w:rsidR="00F34BD4" w:rsidRPr="00523F53" w14:paraId="2718FC6E" w14:textId="77777777" w:rsidTr="00B823C1">
        <w:trPr>
          <w:trHeight w:val="297"/>
        </w:trPr>
        <w:tc>
          <w:tcPr>
            <w:tcW w:w="1369" w:type="dxa"/>
            <w:vMerge/>
            <w:tcBorders>
              <w:left w:val="single" w:sz="4" w:space="0" w:color="auto"/>
              <w:right w:val="single" w:sz="4" w:space="0" w:color="auto"/>
            </w:tcBorders>
            <w:vAlign w:val="center"/>
            <w:hideMark/>
          </w:tcPr>
          <w:p w14:paraId="31E7BEE8" w14:textId="77777777" w:rsidR="00F34BD4" w:rsidRPr="00D94B5E" w:rsidRDefault="00F34BD4" w:rsidP="00B823C1">
            <w:pPr>
              <w:spacing w:after="0"/>
              <w:jc w:val="center"/>
              <w:rPr>
                <w:color w:val="000000"/>
                <w:szCs w:val="20"/>
                <w:lang w:eastAsia="pl-PL"/>
              </w:rPr>
            </w:pPr>
          </w:p>
        </w:tc>
        <w:tc>
          <w:tcPr>
            <w:tcW w:w="614" w:type="dxa"/>
            <w:tcBorders>
              <w:top w:val="nil"/>
              <w:left w:val="nil"/>
              <w:bottom w:val="single" w:sz="4" w:space="0" w:color="auto"/>
              <w:right w:val="single" w:sz="4" w:space="0" w:color="auto"/>
            </w:tcBorders>
            <w:shd w:val="clear" w:color="auto" w:fill="auto"/>
            <w:noWrap/>
            <w:vAlign w:val="center"/>
          </w:tcPr>
          <w:p w14:paraId="22939FC7" w14:textId="77777777" w:rsidR="00F34BD4" w:rsidRPr="00D94B5E" w:rsidRDefault="00F34BD4" w:rsidP="00B823C1">
            <w:pPr>
              <w:spacing w:after="0"/>
              <w:jc w:val="center"/>
              <w:rPr>
                <w:color w:val="000000"/>
                <w:szCs w:val="20"/>
                <w:lang w:eastAsia="pl-PL"/>
              </w:rPr>
            </w:pPr>
            <w:r w:rsidRPr="00D94B5E">
              <w:rPr>
                <w:rFonts w:cs="Calibri"/>
                <w:color w:val="000000"/>
                <w:szCs w:val="20"/>
              </w:rPr>
              <w:t> </w:t>
            </w:r>
          </w:p>
        </w:tc>
        <w:tc>
          <w:tcPr>
            <w:tcW w:w="612" w:type="dxa"/>
            <w:tcBorders>
              <w:top w:val="nil"/>
              <w:left w:val="nil"/>
              <w:bottom w:val="single" w:sz="4" w:space="0" w:color="auto"/>
              <w:right w:val="single" w:sz="4" w:space="0" w:color="auto"/>
            </w:tcBorders>
            <w:shd w:val="clear" w:color="auto" w:fill="auto"/>
            <w:noWrap/>
            <w:vAlign w:val="center"/>
          </w:tcPr>
          <w:p w14:paraId="14655270" w14:textId="77777777" w:rsidR="00F34BD4" w:rsidRPr="00D94B5E" w:rsidRDefault="00F34BD4" w:rsidP="00B823C1">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vAlign w:val="center"/>
          </w:tcPr>
          <w:p w14:paraId="0E184E8F" w14:textId="77777777" w:rsidR="00F34BD4" w:rsidRPr="00D94B5E" w:rsidRDefault="00F34BD4" w:rsidP="00B823C1">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vAlign w:val="center"/>
          </w:tcPr>
          <w:p w14:paraId="558A7C72" w14:textId="77777777" w:rsidR="00F34BD4" w:rsidRPr="00D94B5E" w:rsidRDefault="00F34BD4" w:rsidP="00B823C1">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tcPr>
          <w:p w14:paraId="3CD4F99B" w14:textId="77777777" w:rsidR="00F34BD4" w:rsidRPr="00D94B5E" w:rsidRDefault="00F34BD4" w:rsidP="00B823C1">
            <w:pPr>
              <w:spacing w:after="0"/>
              <w:jc w:val="center"/>
              <w:rPr>
                <w:color w:val="000000"/>
                <w:szCs w:val="20"/>
                <w:lang w:eastAsia="pl-PL"/>
              </w:rPr>
            </w:pPr>
            <w:r w:rsidRPr="00D94B5E">
              <w:rPr>
                <w:color w:val="000000"/>
                <w:szCs w:val="20"/>
                <w:lang w:eastAsia="pl-PL"/>
              </w:rPr>
              <w:t>130</w:t>
            </w:r>
          </w:p>
        </w:tc>
        <w:tc>
          <w:tcPr>
            <w:tcW w:w="612" w:type="dxa"/>
            <w:tcBorders>
              <w:top w:val="nil"/>
              <w:left w:val="nil"/>
              <w:bottom w:val="single" w:sz="4" w:space="0" w:color="auto"/>
              <w:right w:val="single" w:sz="4" w:space="0" w:color="auto"/>
            </w:tcBorders>
            <w:shd w:val="clear" w:color="auto" w:fill="auto"/>
            <w:noWrap/>
          </w:tcPr>
          <w:p w14:paraId="51788121" w14:textId="77777777" w:rsidR="00F34BD4" w:rsidRPr="00D94B5E" w:rsidRDefault="00F34BD4" w:rsidP="00B823C1">
            <w:pPr>
              <w:spacing w:after="0"/>
              <w:jc w:val="center"/>
              <w:rPr>
                <w:color w:val="000000"/>
                <w:szCs w:val="20"/>
                <w:lang w:eastAsia="pl-PL"/>
              </w:rPr>
            </w:pPr>
            <w:r w:rsidRPr="00D94B5E">
              <w:rPr>
                <w:color w:val="000000"/>
                <w:szCs w:val="20"/>
                <w:lang w:eastAsia="pl-PL"/>
              </w:rPr>
              <w:t>130</w:t>
            </w:r>
          </w:p>
        </w:tc>
        <w:tc>
          <w:tcPr>
            <w:tcW w:w="611" w:type="dxa"/>
            <w:tcBorders>
              <w:top w:val="single" w:sz="4" w:space="0" w:color="auto"/>
              <w:left w:val="single" w:sz="4" w:space="0" w:color="auto"/>
              <w:bottom w:val="single" w:sz="4" w:space="0" w:color="auto"/>
              <w:right w:val="single" w:sz="4" w:space="0" w:color="auto"/>
            </w:tcBorders>
          </w:tcPr>
          <w:p w14:paraId="16FEB651" w14:textId="77777777" w:rsidR="00F34BD4" w:rsidRPr="00D94B5E" w:rsidRDefault="00F34BD4" w:rsidP="00B823C1">
            <w:pPr>
              <w:spacing w:after="0"/>
              <w:jc w:val="center"/>
              <w:rPr>
                <w:color w:val="000000"/>
                <w:szCs w:val="20"/>
                <w:lang w:eastAsia="pl-PL"/>
              </w:rPr>
            </w:pPr>
            <w:r w:rsidRPr="00D94B5E">
              <w:rPr>
                <w:color w:val="000000"/>
                <w:szCs w:val="20"/>
                <w:lang w:eastAsia="pl-PL"/>
              </w:rPr>
              <w:t>130</w:t>
            </w:r>
          </w:p>
        </w:tc>
        <w:tc>
          <w:tcPr>
            <w:tcW w:w="612" w:type="dxa"/>
            <w:tcBorders>
              <w:top w:val="single" w:sz="4" w:space="0" w:color="auto"/>
              <w:left w:val="single" w:sz="4" w:space="0" w:color="auto"/>
              <w:bottom w:val="single" w:sz="4" w:space="0" w:color="auto"/>
              <w:right w:val="single" w:sz="4" w:space="0" w:color="auto"/>
            </w:tcBorders>
          </w:tcPr>
          <w:p w14:paraId="44A50769" w14:textId="77777777" w:rsidR="00F34BD4" w:rsidRPr="00D94B5E" w:rsidRDefault="00F34BD4" w:rsidP="00B823C1">
            <w:pPr>
              <w:spacing w:after="0"/>
              <w:jc w:val="center"/>
              <w:rPr>
                <w:color w:val="000000"/>
                <w:szCs w:val="20"/>
                <w:lang w:eastAsia="pl-PL"/>
              </w:rPr>
            </w:pPr>
            <w:r w:rsidRPr="00D94B5E">
              <w:rPr>
                <w:color w:val="000000"/>
                <w:szCs w:val="20"/>
                <w:lang w:eastAsia="pl-PL"/>
              </w:rPr>
              <w:t>130</w:t>
            </w:r>
          </w:p>
        </w:tc>
        <w:tc>
          <w:tcPr>
            <w:tcW w:w="612" w:type="dxa"/>
            <w:tcBorders>
              <w:top w:val="single" w:sz="4" w:space="0" w:color="auto"/>
              <w:left w:val="single" w:sz="4" w:space="0" w:color="auto"/>
              <w:bottom w:val="single" w:sz="4" w:space="0" w:color="auto"/>
              <w:right w:val="single" w:sz="4" w:space="0" w:color="auto"/>
            </w:tcBorders>
          </w:tcPr>
          <w:p w14:paraId="0A1A13A6" w14:textId="77777777" w:rsidR="00F34BD4" w:rsidRPr="00D94B5E" w:rsidRDefault="00F34BD4" w:rsidP="00B823C1">
            <w:pPr>
              <w:spacing w:after="0"/>
              <w:jc w:val="center"/>
              <w:rPr>
                <w:color w:val="000000"/>
                <w:szCs w:val="20"/>
                <w:lang w:eastAsia="pl-PL"/>
              </w:rPr>
            </w:pPr>
            <w:r w:rsidRPr="00D94B5E">
              <w:rPr>
                <w:color w:val="000000"/>
                <w:szCs w:val="20"/>
                <w:lang w:eastAsia="pl-PL"/>
              </w:rPr>
              <w:t>130</w:t>
            </w:r>
          </w:p>
        </w:tc>
        <w:tc>
          <w:tcPr>
            <w:tcW w:w="612" w:type="dxa"/>
            <w:tcBorders>
              <w:top w:val="single" w:sz="4" w:space="0" w:color="auto"/>
              <w:left w:val="single" w:sz="4" w:space="0" w:color="auto"/>
              <w:bottom w:val="single" w:sz="4" w:space="0" w:color="auto"/>
              <w:right w:val="single" w:sz="4" w:space="0" w:color="auto"/>
            </w:tcBorders>
            <w:shd w:val="clear" w:color="auto" w:fill="auto"/>
            <w:noWrap/>
          </w:tcPr>
          <w:p w14:paraId="25708C3E" w14:textId="77777777" w:rsidR="00F34BD4" w:rsidRPr="00D94B5E" w:rsidRDefault="00F34BD4" w:rsidP="00B823C1">
            <w:pPr>
              <w:spacing w:after="0"/>
              <w:jc w:val="center"/>
              <w:rPr>
                <w:color w:val="000000"/>
                <w:szCs w:val="20"/>
                <w:lang w:eastAsia="pl-PL"/>
              </w:rPr>
            </w:pPr>
            <w:r w:rsidRPr="00D94B5E">
              <w:rPr>
                <w:color w:val="000000"/>
                <w:szCs w:val="20"/>
                <w:lang w:eastAsia="pl-PL"/>
              </w:rPr>
              <w:t>130</w:t>
            </w:r>
          </w:p>
        </w:tc>
        <w:tc>
          <w:tcPr>
            <w:tcW w:w="1609" w:type="dxa"/>
            <w:vMerge/>
            <w:tcBorders>
              <w:left w:val="single" w:sz="4" w:space="0" w:color="auto"/>
              <w:right w:val="single" w:sz="4" w:space="0" w:color="auto"/>
            </w:tcBorders>
            <w:shd w:val="clear" w:color="auto" w:fill="auto"/>
            <w:vAlign w:val="center"/>
            <w:hideMark/>
          </w:tcPr>
          <w:p w14:paraId="69C0DE31" w14:textId="77777777" w:rsidR="00F34BD4" w:rsidRPr="00D94B5E" w:rsidRDefault="00F34BD4" w:rsidP="00B823C1">
            <w:pPr>
              <w:spacing w:after="0"/>
              <w:jc w:val="center"/>
              <w:rPr>
                <w:color w:val="000000"/>
                <w:szCs w:val="20"/>
                <w:lang w:eastAsia="pl-PL"/>
              </w:rPr>
            </w:pPr>
          </w:p>
        </w:tc>
      </w:tr>
      <w:tr w:rsidR="00F34BD4" w:rsidRPr="00523F53" w14:paraId="0BA24A50" w14:textId="77777777" w:rsidTr="00B823C1">
        <w:trPr>
          <w:trHeight w:val="297"/>
        </w:trPr>
        <w:tc>
          <w:tcPr>
            <w:tcW w:w="1369" w:type="dxa"/>
            <w:vMerge/>
            <w:tcBorders>
              <w:left w:val="single" w:sz="4" w:space="0" w:color="auto"/>
              <w:right w:val="single" w:sz="4" w:space="0" w:color="auto"/>
            </w:tcBorders>
            <w:vAlign w:val="center"/>
            <w:hideMark/>
          </w:tcPr>
          <w:p w14:paraId="0498E0C1" w14:textId="77777777" w:rsidR="00F34BD4" w:rsidRPr="00D94B5E" w:rsidRDefault="00F34BD4" w:rsidP="00B823C1">
            <w:pPr>
              <w:spacing w:after="0"/>
              <w:jc w:val="center"/>
              <w:rPr>
                <w:color w:val="000000"/>
                <w:szCs w:val="20"/>
                <w:lang w:eastAsia="pl-PL"/>
              </w:rPr>
            </w:pPr>
          </w:p>
        </w:tc>
        <w:tc>
          <w:tcPr>
            <w:tcW w:w="614" w:type="dxa"/>
            <w:tcBorders>
              <w:top w:val="nil"/>
              <w:left w:val="nil"/>
              <w:bottom w:val="single" w:sz="4" w:space="0" w:color="auto"/>
              <w:right w:val="single" w:sz="4" w:space="0" w:color="auto"/>
            </w:tcBorders>
            <w:shd w:val="clear" w:color="auto" w:fill="auto"/>
            <w:noWrap/>
            <w:vAlign w:val="center"/>
          </w:tcPr>
          <w:p w14:paraId="77F308F4" w14:textId="77777777" w:rsidR="00F34BD4" w:rsidRPr="00D94B5E" w:rsidRDefault="00F34BD4" w:rsidP="00B823C1">
            <w:pPr>
              <w:spacing w:after="0"/>
              <w:jc w:val="center"/>
              <w:rPr>
                <w:color w:val="000000"/>
                <w:szCs w:val="20"/>
                <w:lang w:eastAsia="pl-PL"/>
              </w:rPr>
            </w:pPr>
            <w:r w:rsidRPr="00D94B5E">
              <w:rPr>
                <w:rFonts w:cs="Calibri"/>
                <w:color w:val="000000"/>
                <w:szCs w:val="20"/>
              </w:rPr>
              <w:t> </w:t>
            </w:r>
          </w:p>
        </w:tc>
        <w:tc>
          <w:tcPr>
            <w:tcW w:w="612" w:type="dxa"/>
            <w:tcBorders>
              <w:top w:val="nil"/>
              <w:left w:val="nil"/>
              <w:bottom w:val="single" w:sz="4" w:space="0" w:color="auto"/>
              <w:right w:val="single" w:sz="4" w:space="0" w:color="auto"/>
            </w:tcBorders>
            <w:shd w:val="clear" w:color="auto" w:fill="auto"/>
            <w:noWrap/>
            <w:vAlign w:val="center"/>
          </w:tcPr>
          <w:p w14:paraId="41AB655D" w14:textId="77777777" w:rsidR="00F34BD4" w:rsidRPr="00D94B5E" w:rsidRDefault="00F34BD4" w:rsidP="00B823C1">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vAlign w:val="center"/>
          </w:tcPr>
          <w:p w14:paraId="675C69D7" w14:textId="77777777" w:rsidR="00F34BD4" w:rsidRPr="00D94B5E" w:rsidRDefault="00F34BD4" w:rsidP="00B823C1">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tcPr>
          <w:p w14:paraId="5F553AC4" w14:textId="77777777" w:rsidR="00F34BD4" w:rsidRPr="00D94B5E" w:rsidRDefault="00F34BD4" w:rsidP="00B823C1">
            <w:pPr>
              <w:spacing w:after="0"/>
              <w:jc w:val="center"/>
              <w:rPr>
                <w:color w:val="000000"/>
                <w:szCs w:val="20"/>
                <w:lang w:eastAsia="pl-PL"/>
              </w:rPr>
            </w:pPr>
            <w:r w:rsidRPr="00D94B5E">
              <w:rPr>
                <w:color w:val="000000"/>
                <w:szCs w:val="20"/>
                <w:lang w:eastAsia="pl-PL"/>
              </w:rPr>
              <w:t>130</w:t>
            </w:r>
          </w:p>
        </w:tc>
        <w:tc>
          <w:tcPr>
            <w:tcW w:w="612" w:type="dxa"/>
            <w:tcBorders>
              <w:top w:val="nil"/>
              <w:left w:val="nil"/>
              <w:bottom w:val="single" w:sz="4" w:space="0" w:color="auto"/>
              <w:right w:val="single" w:sz="4" w:space="0" w:color="auto"/>
            </w:tcBorders>
            <w:shd w:val="clear" w:color="auto" w:fill="auto"/>
            <w:noWrap/>
          </w:tcPr>
          <w:p w14:paraId="63BC4CFD" w14:textId="77777777" w:rsidR="00F34BD4" w:rsidRPr="00D94B5E" w:rsidRDefault="00F34BD4" w:rsidP="00B823C1">
            <w:pPr>
              <w:spacing w:after="0"/>
              <w:jc w:val="center"/>
              <w:rPr>
                <w:color w:val="000000"/>
                <w:szCs w:val="20"/>
                <w:lang w:eastAsia="pl-PL"/>
              </w:rPr>
            </w:pPr>
            <w:r w:rsidRPr="00D94B5E">
              <w:rPr>
                <w:color w:val="000000"/>
                <w:szCs w:val="20"/>
                <w:lang w:eastAsia="pl-PL"/>
              </w:rPr>
              <w:t>130</w:t>
            </w:r>
          </w:p>
        </w:tc>
        <w:tc>
          <w:tcPr>
            <w:tcW w:w="612" w:type="dxa"/>
            <w:tcBorders>
              <w:top w:val="nil"/>
              <w:left w:val="nil"/>
              <w:bottom w:val="single" w:sz="4" w:space="0" w:color="auto"/>
              <w:right w:val="single" w:sz="4" w:space="0" w:color="auto"/>
            </w:tcBorders>
            <w:shd w:val="clear" w:color="auto" w:fill="auto"/>
            <w:noWrap/>
          </w:tcPr>
          <w:p w14:paraId="49E2734E" w14:textId="77777777" w:rsidR="00F34BD4" w:rsidRPr="00D94B5E" w:rsidRDefault="00F34BD4" w:rsidP="00B823C1">
            <w:pPr>
              <w:spacing w:after="0"/>
              <w:jc w:val="center"/>
              <w:rPr>
                <w:color w:val="000000"/>
                <w:szCs w:val="20"/>
                <w:lang w:eastAsia="pl-PL"/>
              </w:rPr>
            </w:pPr>
            <w:r w:rsidRPr="00D94B5E">
              <w:rPr>
                <w:color w:val="000000"/>
                <w:szCs w:val="20"/>
                <w:lang w:eastAsia="pl-PL"/>
              </w:rPr>
              <w:t>130</w:t>
            </w:r>
          </w:p>
        </w:tc>
        <w:tc>
          <w:tcPr>
            <w:tcW w:w="611" w:type="dxa"/>
            <w:tcBorders>
              <w:top w:val="single" w:sz="4" w:space="0" w:color="auto"/>
              <w:left w:val="single" w:sz="4" w:space="0" w:color="auto"/>
              <w:bottom w:val="single" w:sz="4" w:space="0" w:color="auto"/>
              <w:right w:val="single" w:sz="4" w:space="0" w:color="auto"/>
            </w:tcBorders>
          </w:tcPr>
          <w:p w14:paraId="0F6E58AC" w14:textId="77777777" w:rsidR="00F34BD4" w:rsidRPr="00D94B5E" w:rsidRDefault="00F34BD4" w:rsidP="00B823C1">
            <w:pPr>
              <w:spacing w:after="0"/>
              <w:jc w:val="center"/>
              <w:rPr>
                <w:color w:val="000000"/>
                <w:szCs w:val="20"/>
                <w:lang w:eastAsia="pl-PL"/>
              </w:rPr>
            </w:pPr>
            <w:r w:rsidRPr="00D94B5E">
              <w:rPr>
                <w:color w:val="000000"/>
                <w:szCs w:val="20"/>
                <w:lang w:eastAsia="pl-PL"/>
              </w:rPr>
              <w:t>130</w:t>
            </w:r>
          </w:p>
        </w:tc>
        <w:tc>
          <w:tcPr>
            <w:tcW w:w="612" w:type="dxa"/>
            <w:tcBorders>
              <w:top w:val="single" w:sz="4" w:space="0" w:color="auto"/>
              <w:left w:val="single" w:sz="4" w:space="0" w:color="auto"/>
              <w:bottom w:val="single" w:sz="4" w:space="0" w:color="auto"/>
              <w:right w:val="single" w:sz="4" w:space="0" w:color="auto"/>
            </w:tcBorders>
          </w:tcPr>
          <w:p w14:paraId="174C7017" w14:textId="77777777" w:rsidR="00F34BD4" w:rsidRPr="00D94B5E" w:rsidRDefault="00F34BD4" w:rsidP="00B823C1">
            <w:pPr>
              <w:spacing w:after="0"/>
              <w:jc w:val="center"/>
              <w:rPr>
                <w:color w:val="000000"/>
                <w:szCs w:val="20"/>
                <w:lang w:eastAsia="pl-PL"/>
              </w:rPr>
            </w:pPr>
            <w:r w:rsidRPr="00D94B5E">
              <w:rPr>
                <w:color w:val="000000"/>
                <w:szCs w:val="20"/>
                <w:lang w:eastAsia="pl-PL"/>
              </w:rPr>
              <w:t>130</w:t>
            </w:r>
          </w:p>
        </w:tc>
        <w:tc>
          <w:tcPr>
            <w:tcW w:w="612" w:type="dxa"/>
            <w:tcBorders>
              <w:top w:val="single" w:sz="4" w:space="0" w:color="auto"/>
              <w:left w:val="single" w:sz="4" w:space="0" w:color="auto"/>
              <w:bottom w:val="single" w:sz="4" w:space="0" w:color="auto"/>
              <w:right w:val="single" w:sz="4" w:space="0" w:color="auto"/>
            </w:tcBorders>
          </w:tcPr>
          <w:p w14:paraId="6A74DF45" w14:textId="77777777" w:rsidR="00F34BD4" w:rsidRPr="00D94B5E" w:rsidRDefault="00F34BD4" w:rsidP="00B823C1">
            <w:pPr>
              <w:spacing w:after="0"/>
              <w:jc w:val="center"/>
              <w:rPr>
                <w:color w:val="000000"/>
                <w:szCs w:val="20"/>
                <w:lang w:eastAsia="pl-PL"/>
              </w:rPr>
            </w:pPr>
            <w:r w:rsidRPr="00D94B5E">
              <w:rPr>
                <w:color w:val="000000"/>
                <w:szCs w:val="20"/>
                <w:lang w:eastAsia="pl-PL"/>
              </w:rPr>
              <w:t>130</w:t>
            </w:r>
          </w:p>
        </w:tc>
        <w:tc>
          <w:tcPr>
            <w:tcW w:w="612" w:type="dxa"/>
            <w:tcBorders>
              <w:top w:val="single" w:sz="4" w:space="0" w:color="auto"/>
              <w:left w:val="single" w:sz="4" w:space="0" w:color="auto"/>
              <w:bottom w:val="single" w:sz="4" w:space="0" w:color="auto"/>
              <w:right w:val="single" w:sz="4" w:space="0" w:color="auto"/>
            </w:tcBorders>
            <w:shd w:val="clear" w:color="auto" w:fill="auto"/>
            <w:noWrap/>
          </w:tcPr>
          <w:p w14:paraId="20A64DC2" w14:textId="77777777" w:rsidR="00F34BD4" w:rsidRPr="00D94B5E" w:rsidRDefault="00F34BD4" w:rsidP="00B823C1">
            <w:pPr>
              <w:spacing w:after="0"/>
              <w:jc w:val="center"/>
              <w:rPr>
                <w:color w:val="000000"/>
                <w:szCs w:val="20"/>
                <w:lang w:eastAsia="pl-PL"/>
              </w:rPr>
            </w:pPr>
            <w:r w:rsidRPr="00D94B5E">
              <w:rPr>
                <w:color w:val="000000"/>
                <w:szCs w:val="20"/>
                <w:lang w:eastAsia="pl-PL"/>
              </w:rPr>
              <w:t>130</w:t>
            </w:r>
          </w:p>
        </w:tc>
        <w:tc>
          <w:tcPr>
            <w:tcW w:w="1609" w:type="dxa"/>
            <w:vMerge/>
            <w:tcBorders>
              <w:left w:val="single" w:sz="4" w:space="0" w:color="auto"/>
              <w:right w:val="single" w:sz="4" w:space="0" w:color="auto"/>
            </w:tcBorders>
            <w:vAlign w:val="center"/>
            <w:hideMark/>
          </w:tcPr>
          <w:p w14:paraId="2701D056" w14:textId="77777777" w:rsidR="00F34BD4" w:rsidRPr="00D94B5E" w:rsidRDefault="00F34BD4" w:rsidP="00B823C1">
            <w:pPr>
              <w:spacing w:after="0"/>
              <w:jc w:val="center"/>
              <w:rPr>
                <w:color w:val="000000"/>
                <w:szCs w:val="20"/>
                <w:lang w:eastAsia="pl-PL"/>
              </w:rPr>
            </w:pPr>
          </w:p>
        </w:tc>
      </w:tr>
      <w:tr w:rsidR="00F34BD4" w:rsidRPr="00523F53" w14:paraId="3721715B" w14:textId="77777777" w:rsidTr="00B823C1">
        <w:trPr>
          <w:trHeight w:val="297"/>
        </w:trPr>
        <w:tc>
          <w:tcPr>
            <w:tcW w:w="1369" w:type="dxa"/>
            <w:vMerge/>
            <w:tcBorders>
              <w:left w:val="single" w:sz="4" w:space="0" w:color="auto"/>
              <w:right w:val="single" w:sz="4" w:space="0" w:color="auto"/>
            </w:tcBorders>
            <w:vAlign w:val="center"/>
          </w:tcPr>
          <w:p w14:paraId="6C099515" w14:textId="77777777" w:rsidR="00F34BD4" w:rsidRPr="00D94B5E" w:rsidRDefault="00F34BD4" w:rsidP="00B823C1">
            <w:pPr>
              <w:spacing w:after="0"/>
              <w:jc w:val="center"/>
              <w:rPr>
                <w:color w:val="000000"/>
                <w:szCs w:val="20"/>
                <w:lang w:eastAsia="pl-PL"/>
              </w:rPr>
            </w:pPr>
          </w:p>
        </w:tc>
        <w:tc>
          <w:tcPr>
            <w:tcW w:w="614" w:type="dxa"/>
            <w:tcBorders>
              <w:top w:val="nil"/>
              <w:left w:val="nil"/>
              <w:bottom w:val="single" w:sz="4" w:space="0" w:color="auto"/>
              <w:right w:val="single" w:sz="4" w:space="0" w:color="auto"/>
            </w:tcBorders>
            <w:shd w:val="clear" w:color="auto" w:fill="auto"/>
            <w:noWrap/>
            <w:vAlign w:val="center"/>
          </w:tcPr>
          <w:p w14:paraId="46A94568" w14:textId="77777777" w:rsidR="00F34BD4" w:rsidRPr="00D94B5E" w:rsidRDefault="00F34BD4" w:rsidP="00B823C1">
            <w:pPr>
              <w:spacing w:after="0"/>
              <w:jc w:val="center"/>
              <w:rPr>
                <w:color w:val="000000"/>
                <w:szCs w:val="20"/>
                <w:lang w:eastAsia="pl-PL"/>
              </w:rPr>
            </w:pPr>
            <w:r w:rsidRPr="00D94B5E">
              <w:rPr>
                <w:rFonts w:cs="Calibri"/>
                <w:color w:val="000000"/>
                <w:szCs w:val="20"/>
              </w:rPr>
              <w:t> </w:t>
            </w:r>
          </w:p>
        </w:tc>
        <w:tc>
          <w:tcPr>
            <w:tcW w:w="612" w:type="dxa"/>
            <w:tcBorders>
              <w:top w:val="nil"/>
              <w:left w:val="nil"/>
              <w:bottom w:val="single" w:sz="4" w:space="0" w:color="auto"/>
              <w:right w:val="single" w:sz="4" w:space="0" w:color="auto"/>
            </w:tcBorders>
            <w:shd w:val="clear" w:color="auto" w:fill="auto"/>
            <w:noWrap/>
            <w:vAlign w:val="center"/>
          </w:tcPr>
          <w:p w14:paraId="66D88D82" w14:textId="77777777" w:rsidR="00F34BD4" w:rsidRPr="00D94B5E" w:rsidRDefault="00F34BD4" w:rsidP="00B823C1">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tcPr>
          <w:p w14:paraId="1CB98F31" w14:textId="77777777" w:rsidR="00F34BD4" w:rsidRPr="00D94B5E" w:rsidRDefault="00F34BD4" w:rsidP="00B823C1">
            <w:pPr>
              <w:spacing w:after="0"/>
              <w:jc w:val="center"/>
              <w:rPr>
                <w:color w:val="000000"/>
                <w:szCs w:val="20"/>
                <w:lang w:eastAsia="pl-PL"/>
              </w:rPr>
            </w:pPr>
            <w:r w:rsidRPr="00D94B5E">
              <w:rPr>
                <w:color w:val="000000"/>
                <w:szCs w:val="20"/>
                <w:lang w:eastAsia="pl-PL"/>
              </w:rPr>
              <w:t>130</w:t>
            </w:r>
          </w:p>
        </w:tc>
        <w:tc>
          <w:tcPr>
            <w:tcW w:w="612" w:type="dxa"/>
            <w:tcBorders>
              <w:top w:val="nil"/>
              <w:left w:val="nil"/>
              <w:bottom w:val="single" w:sz="4" w:space="0" w:color="auto"/>
              <w:right w:val="single" w:sz="4" w:space="0" w:color="auto"/>
            </w:tcBorders>
            <w:shd w:val="clear" w:color="auto" w:fill="auto"/>
            <w:noWrap/>
          </w:tcPr>
          <w:p w14:paraId="15B711E9" w14:textId="77777777" w:rsidR="00F34BD4" w:rsidRPr="00D94B5E" w:rsidRDefault="00F34BD4" w:rsidP="00B823C1">
            <w:pPr>
              <w:spacing w:after="0"/>
              <w:jc w:val="center"/>
              <w:rPr>
                <w:color w:val="000000"/>
                <w:szCs w:val="20"/>
                <w:lang w:eastAsia="pl-PL"/>
              </w:rPr>
            </w:pPr>
            <w:r w:rsidRPr="00D94B5E">
              <w:rPr>
                <w:color w:val="000000"/>
                <w:szCs w:val="20"/>
                <w:lang w:eastAsia="pl-PL"/>
              </w:rPr>
              <w:t>130</w:t>
            </w:r>
          </w:p>
        </w:tc>
        <w:tc>
          <w:tcPr>
            <w:tcW w:w="612" w:type="dxa"/>
            <w:tcBorders>
              <w:top w:val="nil"/>
              <w:left w:val="nil"/>
              <w:bottom w:val="single" w:sz="4" w:space="0" w:color="auto"/>
              <w:right w:val="single" w:sz="4" w:space="0" w:color="auto"/>
            </w:tcBorders>
            <w:shd w:val="clear" w:color="auto" w:fill="auto"/>
            <w:noWrap/>
          </w:tcPr>
          <w:p w14:paraId="2B36D995" w14:textId="77777777" w:rsidR="00F34BD4" w:rsidRPr="00D94B5E" w:rsidRDefault="00F34BD4" w:rsidP="00B823C1">
            <w:pPr>
              <w:spacing w:after="0"/>
              <w:jc w:val="center"/>
              <w:rPr>
                <w:color w:val="000000"/>
                <w:szCs w:val="20"/>
                <w:lang w:eastAsia="pl-PL"/>
              </w:rPr>
            </w:pPr>
            <w:r w:rsidRPr="00D94B5E">
              <w:rPr>
                <w:color w:val="000000"/>
                <w:szCs w:val="20"/>
                <w:lang w:eastAsia="pl-PL"/>
              </w:rPr>
              <w:t>130</w:t>
            </w:r>
          </w:p>
        </w:tc>
        <w:tc>
          <w:tcPr>
            <w:tcW w:w="612" w:type="dxa"/>
            <w:tcBorders>
              <w:top w:val="nil"/>
              <w:left w:val="nil"/>
              <w:bottom w:val="single" w:sz="4" w:space="0" w:color="auto"/>
              <w:right w:val="single" w:sz="4" w:space="0" w:color="auto"/>
            </w:tcBorders>
            <w:shd w:val="clear" w:color="auto" w:fill="auto"/>
            <w:noWrap/>
          </w:tcPr>
          <w:p w14:paraId="7245FCF9" w14:textId="77777777" w:rsidR="00F34BD4" w:rsidRPr="00D94B5E" w:rsidRDefault="00F34BD4" w:rsidP="00B823C1">
            <w:pPr>
              <w:spacing w:after="0"/>
              <w:jc w:val="center"/>
              <w:rPr>
                <w:color w:val="000000"/>
                <w:szCs w:val="20"/>
                <w:lang w:eastAsia="pl-PL"/>
              </w:rPr>
            </w:pPr>
            <w:r w:rsidRPr="00D94B5E">
              <w:rPr>
                <w:color w:val="000000"/>
                <w:szCs w:val="20"/>
                <w:lang w:eastAsia="pl-PL"/>
              </w:rPr>
              <w:t>130</w:t>
            </w:r>
          </w:p>
        </w:tc>
        <w:tc>
          <w:tcPr>
            <w:tcW w:w="611" w:type="dxa"/>
            <w:tcBorders>
              <w:top w:val="single" w:sz="4" w:space="0" w:color="auto"/>
              <w:left w:val="single" w:sz="4" w:space="0" w:color="auto"/>
              <w:bottom w:val="single" w:sz="4" w:space="0" w:color="auto"/>
              <w:right w:val="single" w:sz="4" w:space="0" w:color="auto"/>
            </w:tcBorders>
          </w:tcPr>
          <w:p w14:paraId="0206C01E" w14:textId="77777777" w:rsidR="00F34BD4" w:rsidRPr="00D94B5E" w:rsidRDefault="00F34BD4" w:rsidP="00B823C1">
            <w:pPr>
              <w:spacing w:after="0"/>
              <w:jc w:val="center"/>
              <w:rPr>
                <w:color w:val="000000"/>
                <w:szCs w:val="20"/>
                <w:lang w:eastAsia="pl-PL"/>
              </w:rPr>
            </w:pPr>
            <w:r w:rsidRPr="00D94B5E">
              <w:rPr>
                <w:color w:val="000000"/>
                <w:szCs w:val="20"/>
                <w:lang w:eastAsia="pl-PL"/>
              </w:rPr>
              <w:t>130</w:t>
            </w:r>
          </w:p>
        </w:tc>
        <w:tc>
          <w:tcPr>
            <w:tcW w:w="612" w:type="dxa"/>
            <w:tcBorders>
              <w:top w:val="single" w:sz="4" w:space="0" w:color="auto"/>
              <w:left w:val="single" w:sz="4" w:space="0" w:color="auto"/>
              <w:bottom w:val="single" w:sz="4" w:space="0" w:color="auto"/>
              <w:right w:val="single" w:sz="4" w:space="0" w:color="auto"/>
            </w:tcBorders>
          </w:tcPr>
          <w:p w14:paraId="5804E27D" w14:textId="77777777" w:rsidR="00F34BD4" w:rsidRPr="00D94B5E" w:rsidRDefault="00F34BD4" w:rsidP="00B823C1">
            <w:pPr>
              <w:spacing w:after="0"/>
              <w:jc w:val="center"/>
              <w:rPr>
                <w:color w:val="000000"/>
                <w:szCs w:val="20"/>
                <w:lang w:eastAsia="pl-PL"/>
              </w:rPr>
            </w:pPr>
            <w:r w:rsidRPr="00D94B5E">
              <w:rPr>
                <w:color w:val="000000"/>
                <w:szCs w:val="20"/>
                <w:lang w:eastAsia="pl-PL"/>
              </w:rPr>
              <w:t>130</w:t>
            </w:r>
          </w:p>
        </w:tc>
        <w:tc>
          <w:tcPr>
            <w:tcW w:w="612" w:type="dxa"/>
            <w:tcBorders>
              <w:top w:val="single" w:sz="4" w:space="0" w:color="auto"/>
              <w:left w:val="single" w:sz="4" w:space="0" w:color="auto"/>
              <w:bottom w:val="single" w:sz="4" w:space="0" w:color="auto"/>
              <w:right w:val="single" w:sz="4" w:space="0" w:color="auto"/>
            </w:tcBorders>
          </w:tcPr>
          <w:p w14:paraId="4E71B9F7" w14:textId="77777777" w:rsidR="00F34BD4" w:rsidRPr="00D94B5E" w:rsidRDefault="00F34BD4" w:rsidP="00B823C1">
            <w:pPr>
              <w:spacing w:after="0"/>
              <w:jc w:val="center"/>
              <w:rPr>
                <w:color w:val="000000"/>
                <w:szCs w:val="20"/>
                <w:lang w:eastAsia="pl-PL"/>
              </w:rPr>
            </w:pPr>
            <w:r w:rsidRPr="00D94B5E">
              <w:rPr>
                <w:color w:val="000000"/>
                <w:szCs w:val="20"/>
                <w:lang w:eastAsia="pl-PL"/>
              </w:rPr>
              <w:t>130</w:t>
            </w:r>
          </w:p>
        </w:tc>
        <w:tc>
          <w:tcPr>
            <w:tcW w:w="612" w:type="dxa"/>
            <w:tcBorders>
              <w:top w:val="single" w:sz="4" w:space="0" w:color="auto"/>
              <w:left w:val="single" w:sz="4" w:space="0" w:color="auto"/>
              <w:bottom w:val="single" w:sz="4" w:space="0" w:color="auto"/>
              <w:right w:val="single" w:sz="4" w:space="0" w:color="auto"/>
            </w:tcBorders>
            <w:shd w:val="clear" w:color="auto" w:fill="auto"/>
            <w:noWrap/>
          </w:tcPr>
          <w:p w14:paraId="7BF8206E" w14:textId="77777777" w:rsidR="00F34BD4" w:rsidRPr="00D94B5E" w:rsidRDefault="00F34BD4" w:rsidP="00B823C1">
            <w:pPr>
              <w:spacing w:after="0"/>
              <w:jc w:val="center"/>
              <w:rPr>
                <w:color w:val="000000"/>
                <w:szCs w:val="20"/>
                <w:lang w:eastAsia="pl-PL"/>
              </w:rPr>
            </w:pPr>
            <w:r w:rsidRPr="00D94B5E">
              <w:rPr>
                <w:color w:val="000000"/>
                <w:szCs w:val="20"/>
                <w:lang w:eastAsia="pl-PL"/>
              </w:rPr>
              <w:t>130</w:t>
            </w:r>
          </w:p>
        </w:tc>
        <w:tc>
          <w:tcPr>
            <w:tcW w:w="1609" w:type="dxa"/>
            <w:vMerge/>
            <w:tcBorders>
              <w:left w:val="single" w:sz="4" w:space="0" w:color="auto"/>
              <w:right w:val="single" w:sz="4" w:space="0" w:color="auto"/>
            </w:tcBorders>
            <w:vAlign w:val="center"/>
          </w:tcPr>
          <w:p w14:paraId="790104C8" w14:textId="77777777" w:rsidR="00F34BD4" w:rsidRPr="00D94B5E" w:rsidRDefault="00F34BD4" w:rsidP="00B823C1">
            <w:pPr>
              <w:spacing w:after="0"/>
              <w:jc w:val="center"/>
              <w:rPr>
                <w:color w:val="000000"/>
                <w:szCs w:val="20"/>
                <w:lang w:eastAsia="pl-PL"/>
              </w:rPr>
            </w:pPr>
          </w:p>
        </w:tc>
      </w:tr>
      <w:tr w:rsidR="00F34BD4" w:rsidRPr="00523F53" w14:paraId="1DD8B069" w14:textId="77777777" w:rsidTr="00B823C1">
        <w:trPr>
          <w:trHeight w:val="297"/>
        </w:trPr>
        <w:tc>
          <w:tcPr>
            <w:tcW w:w="1369" w:type="dxa"/>
            <w:vMerge/>
            <w:tcBorders>
              <w:left w:val="single" w:sz="4" w:space="0" w:color="auto"/>
              <w:right w:val="single" w:sz="4" w:space="0" w:color="auto"/>
            </w:tcBorders>
            <w:vAlign w:val="center"/>
          </w:tcPr>
          <w:p w14:paraId="19067DE9" w14:textId="77777777" w:rsidR="00F34BD4" w:rsidRPr="00D94B5E" w:rsidRDefault="00F34BD4" w:rsidP="00B823C1">
            <w:pPr>
              <w:spacing w:after="0"/>
              <w:jc w:val="center"/>
              <w:rPr>
                <w:color w:val="000000"/>
                <w:szCs w:val="20"/>
                <w:lang w:eastAsia="pl-PL"/>
              </w:rPr>
            </w:pPr>
          </w:p>
        </w:tc>
        <w:tc>
          <w:tcPr>
            <w:tcW w:w="614" w:type="dxa"/>
            <w:tcBorders>
              <w:top w:val="nil"/>
              <w:left w:val="nil"/>
              <w:bottom w:val="single" w:sz="4" w:space="0" w:color="auto"/>
              <w:right w:val="single" w:sz="4" w:space="0" w:color="auto"/>
            </w:tcBorders>
            <w:shd w:val="clear" w:color="auto" w:fill="auto"/>
            <w:noWrap/>
            <w:vAlign w:val="center"/>
          </w:tcPr>
          <w:p w14:paraId="291922EC" w14:textId="77777777" w:rsidR="00F34BD4" w:rsidRPr="00D94B5E" w:rsidRDefault="00F34BD4" w:rsidP="00B823C1">
            <w:pPr>
              <w:spacing w:after="0"/>
              <w:jc w:val="center"/>
              <w:rPr>
                <w:color w:val="000000"/>
                <w:szCs w:val="20"/>
                <w:lang w:eastAsia="pl-PL"/>
              </w:rPr>
            </w:pPr>
            <w:r w:rsidRPr="00D94B5E">
              <w:rPr>
                <w:rFonts w:cs="Calibri"/>
                <w:color w:val="000000"/>
                <w:szCs w:val="20"/>
              </w:rPr>
              <w:t> </w:t>
            </w:r>
          </w:p>
        </w:tc>
        <w:tc>
          <w:tcPr>
            <w:tcW w:w="612" w:type="dxa"/>
            <w:tcBorders>
              <w:top w:val="nil"/>
              <w:left w:val="nil"/>
              <w:bottom w:val="single" w:sz="4" w:space="0" w:color="auto"/>
              <w:right w:val="single" w:sz="4" w:space="0" w:color="auto"/>
            </w:tcBorders>
            <w:shd w:val="clear" w:color="auto" w:fill="auto"/>
            <w:noWrap/>
            <w:vAlign w:val="center"/>
          </w:tcPr>
          <w:p w14:paraId="445D71F4" w14:textId="77777777" w:rsidR="00F34BD4" w:rsidRPr="00D94B5E" w:rsidRDefault="00F34BD4" w:rsidP="00B823C1">
            <w:pPr>
              <w:spacing w:after="0"/>
              <w:jc w:val="center"/>
              <w:rPr>
                <w:color w:val="000000"/>
                <w:szCs w:val="20"/>
                <w:lang w:eastAsia="pl-PL"/>
              </w:rPr>
            </w:pPr>
            <w:r w:rsidRPr="00D94B5E">
              <w:rPr>
                <w:color w:val="000000"/>
                <w:szCs w:val="20"/>
                <w:lang w:eastAsia="pl-PL"/>
              </w:rPr>
              <w:t>130</w:t>
            </w:r>
          </w:p>
        </w:tc>
        <w:tc>
          <w:tcPr>
            <w:tcW w:w="612" w:type="dxa"/>
            <w:tcBorders>
              <w:top w:val="nil"/>
              <w:left w:val="nil"/>
              <w:bottom w:val="single" w:sz="4" w:space="0" w:color="auto"/>
              <w:right w:val="single" w:sz="4" w:space="0" w:color="auto"/>
            </w:tcBorders>
            <w:shd w:val="clear" w:color="auto" w:fill="auto"/>
            <w:noWrap/>
          </w:tcPr>
          <w:p w14:paraId="4FE97CA6" w14:textId="77777777" w:rsidR="00F34BD4" w:rsidRPr="00D94B5E" w:rsidRDefault="00F34BD4" w:rsidP="00B823C1">
            <w:pPr>
              <w:spacing w:after="0"/>
              <w:jc w:val="center"/>
              <w:rPr>
                <w:color w:val="000000"/>
                <w:szCs w:val="20"/>
                <w:lang w:eastAsia="pl-PL"/>
              </w:rPr>
            </w:pPr>
            <w:r w:rsidRPr="00D94B5E">
              <w:rPr>
                <w:color w:val="000000"/>
                <w:szCs w:val="20"/>
                <w:lang w:eastAsia="pl-PL"/>
              </w:rPr>
              <w:t>130</w:t>
            </w:r>
          </w:p>
        </w:tc>
        <w:tc>
          <w:tcPr>
            <w:tcW w:w="612" w:type="dxa"/>
            <w:tcBorders>
              <w:top w:val="nil"/>
              <w:left w:val="nil"/>
              <w:bottom w:val="single" w:sz="4" w:space="0" w:color="auto"/>
              <w:right w:val="single" w:sz="4" w:space="0" w:color="auto"/>
            </w:tcBorders>
            <w:shd w:val="clear" w:color="auto" w:fill="auto"/>
            <w:noWrap/>
          </w:tcPr>
          <w:p w14:paraId="4B5FD26E" w14:textId="77777777" w:rsidR="00F34BD4" w:rsidRPr="00D94B5E" w:rsidRDefault="00F34BD4" w:rsidP="00B823C1">
            <w:pPr>
              <w:spacing w:after="0"/>
              <w:jc w:val="center"/>
              <w:rPr>
                <w:color w:val="000000"/>
                <w:szCs w:val="20"/>
                <w:lang w:eastAsia="pl-PL"/>
              </w:rPr>
            </w:pPr>
            <w:r w:rsidRPr="00D94B5E">
              <w:rPr>
                <w:color w:val="000000"/>
                <w:szCs w:val="20"/>
                <w:lang w:eastAsia="pl-PL"/>
              </w:rPr>
              <w:t>130</w:t>
            </w:r>
          </w:p>
        </w:tc>
        <w:tc>
          <w:tcPr>
            <w:tcW w:w="612" w:type="dxa"/>
            <w:tcBorders>
              <w:top w:val="nil"/>
              <w:left w:val="nil"/>
              <w:bottom w:val="single" w:sz="4" w:space="0" w:color="auto"/>
              <w:right w:val="single" w:sz="4" w:space="0" w:color="auto"/>
            </w:tcBorders>
            <w:shd w:val="clear" w:color="auto" w:fill="auto"/>
            <w:noWrap/>
          </w:tcPr>
          <w:p w14:paraId="3618B5E8" w14:textId="77777777" w:rsidR="00F34BD4" w:rsidRPr="00D94B5E" w:rsidRDefault="00F34BD4" w:rsidP="00B823C1">
            <w:pPr>
              <w:spacing w:after="0"/>
              <w:jc w:val="center"/>
              <w:rPr>
                <w:color w:val="000000"/>
                <w:szCs w:val="20"/>
                <w:lang w:eastAsia="pl-PL"/>
              </w:rPr>
            </w:pPr>
            <w:r w:rsidRPr="00D94B5E">
              <w:rPr>
                <w:color w:val="000000"/>
                <w:szCs w:val="20"/>
                <w:lang w:eastAsia="pl-PL"/>
              </w:rPr>
              <w:t>130</w:t>
            </w:r>
          </w:p>
        </w:tc>
        <w:tc>
          <w:tcPr>
            <w:tcW w:w="612" w:type="dxa"/>
            <w:tcBorders>
              <w:top w:val="nil"/>
              <w:left w:val="nil"/>
              <w:bottom w:val="single" w:sz="4" w:space="0" w:color="auto"/>
              <w:right w:val="single" w:sz="4" w:space="0" w:color="auto"/>
            </w:tcBorders>
            <w:shd w:val="clear" w:color="auto" w:fill="auto"/>
            <w:noWrap/>
          </w:tcPr>
          <w:p w14:paraId="6D0746FE" w14:textId="77777777" w:rsidR="00F34BD4" w:rsidRPr="00D94B5E" w:rsidRDefault="00F34BD4" w:rsidP="00B823C1">
            <w:pPr>
              <w:spacing w:after="0"/>
              <w:jc w:val="center"/>
              <w:rPr>
                <w:color w:val="000000"/>
                <w:szCs w:val="20"/>
                <w:lang w:eastAsia="pl-PL"/>
              </w:rPr>
            </w:pPr>
            <w:r w:rsidRPr="00D94B5E">
              <w:rPr>
                <w:color w:val="000000"/>
                <w:szCs w:val="20"/>
                <w:lang w:eastAsia="pl-PL"/>
              </w:rPr>
              <w:t>130</w:t>
            </w:r>
          </w:p>
        </w:tc>
        <w:tc>
          <w:tcPr>
            <w:tcW w:w="611" w:type="dxa"/>
            <w:tcBorders>
              <w:top w:val="single" w:sz="4" w:space="0" w:color="auto"/>
              <w:left w:val="single" w:sz="4" w:space="0" w:color="auto"/>
              <w:bottom w:val="single" w:sz="4" w:space="0" w:color="auto"/>
              <w:right w:val="single" w:sz="4" w:space="0" w:color="auto"/>
            </w:tcBorders>
          </w:tcPr>
          <w:p w14:paraId="4B3B6393" w14:textId="77777777" w:rsidR="00F34BD4" w:rsidRPr="00D94B5E" w:rsidRDefault="00F34BD4" w:rsidP="00B823C1">
            <w:pPr>
              <w:spacing w:after="0"/>
              <w:jc w:val="center"/>
              <w:rPr>
                <w:color w:val="000000"/>
                <w:szCs w:val="20"/>
                <w:lang w:eastAsia="pl-PL"/>
              </w:rPr>
            </w:pPr>
            <w:r w:rsidRPr="00D94B5E">
              <w:rPr>
                <w:color w:val="000000"/>
                <w:szCs w:val="20"/>
                <w:lang w:eastAsia="pl-PL"/>
              </w:rPr>
              <w:t>130</w:t>
            </w:r>
          </w:p>
        </w:tc>
        <w:tc>
          <w:tcPr>
            <w:tcW w:w="612" w:type="dxa"/>
            <w:tcBorders>
              <w:top w:val="single" w:sz="4" w:space="0" w:color="auto"/>
              <w:left w:val="single" w:sz="4" w:space="0" w:color="auto"/>
              <w:bottom w:val="single" w:sz="4" w:space="0" w:color="auto"/>
              <w:right w:val="single" w:sz="4" w:space="0" w:color="auto"/>
            </w:tcBorders>
          </w:tcPr>
          <w:p w14:paraId="4067EE6C" w14:textId="77777777" w:rsidR="00F34BD4" w:rsidRPr="00D94B5E" w:rsidRDefault="00F34BD4" w:rsidP="00B823C1">
            <w:pPr>
              <w:spacing w:after="0"/>
              <w:jc w:val="center"/>
              <w:rPr>
                <w:color w:val="000000"/>
                <w:szCs w:val="20"/>
                <w:lang w:eastAsia="pl-PL"/>
              </w:rPr>
            </w:pPr>
            <w:r w:rsidRPr="00D94B5E">
              <w:rPr>
                <w:color w:val="000000"/>
                <w:szCs w:val="20"/>
                <w:lang w:eastAsia="pl-PL"/>
              </w:rPr>
              <w:t>130</w:t>
            </w:r>
          </w:p>
        </w:tc>
        <w:tc>
          <w:tcPr>
            <w:tcW w:w="612" w:type="dxa"/>
            <w:tcBorders>
              <w:top w:val="single" w:sz="4" w:space="0" w:color="auto"/>
              <w:left w:val="single" w:sz="4" w:space="0" w:color="auto"/>
              <w:bottom w:val="single" w:sz="4" w:space="0" w:color="auto"/>
              <w:right w:val="single" w:sz="4" w:space="0" w:color="auto"/>
            </w:tcBorders>
          </w:tcPr>
          <w:p w14:paraId="6E326DEA" w14:textId="77777777" w:rsidR="00F34BD4" w:rsidRPr="00D94B5E" w:rsidRDefault="00F34BD4" w:rsidP="00B823C1">
            <w:pPr>
              <w:spacing w:after="0"/>
              <w:jc w:val="center"/>
              <w:rPr>
                <w:color w:val="000000"/>
                <w:szCs w:val="20"/>
                <w:lang w:eastAsia="pl-PL"/>
              </w:rPr>
            </w:pPr>
            <w:r w:rsidRPr="00D94B5E">
              <w:rPr>
                <w:color w:val="000000"/>
                <w:szCs w:val="20"/>
                <w:lang w:eastAsia="pl-PL"/>
              </w:rPr>
              <w:t>130</w:t>
            </w:r>
          </w:p>
        </w:tc>
        <w:tc>
          <w:tcPr>
            <w:tcW w:w="612" w:type="dxa"/>
            <w:tcBorders>
              <w:top w:val="single" w:sz="4" w:space="0" w:color="auto"/>
              <w:left w:val="single" w:sz="4" w:space="0" w:color="auto"/>
              <w:bottom w:val="single" w:sz="4" w:space="0" w:color="auto"/>
              <w:right w:val="single" w:sz="4" w:space="0" w:color="auto"/>
            </w:tcBorders>
            <w:shd w:val="clear" w:color="auto" w:fill="auto"/>
            <w:noWrap/>
          </w:tcPr>
          <w:p w14:paraId="1FAF8B31" w14:textId="77777777" w:rsidR="00F34BD4" w:rsidRPr="00D94B5E" w:rsidRDefault="00F34BD4" w:rsidP="00B823C1">
            <w:pPr>
              <w:spacing w:after="0"/>
              <w:jc w:val="center"/>
              <w:rPr>
                <w:color w:val="000000"/>
                <w:szCs w:val="20"/>
                <w:lang w:eastAsia="pl-PL"/>
              </w:rPr>
            </w:pPr>
            <w:r w:rsidRPr="00D94B5E">
              <w:rPr>
                <w:color w:val="000000"/>
                <w:szCs w:val="20"/>
                <w:lang w:eastAsia="pl-PL"/>
              </w:rPr>
              <w:t>130</w:t>
            </w:r>
          </w:p>
        </w:tc>
        <w:tc>
          <w:tcPr>
            <w:tcW w:w="1609" w:type="dxa"/>
            <w:vMerge/>
            <w:tcBorders>
              <w:left w:val="single" w:sz="4" w:space="0" w:color="auto"/>
              <w:right w:val="single" w:sz="4" w:space="0" w:color="auto"/>
            </w:tcBorders>
            <w:vAlign w:val="center"/>
          </w:tcPr>
          <w:p w14:paraId="2C7BA0E8" w14:textId="77777777" w:rsidR="00F34BD4" w:rsidRPr="00D94B5E" w:rsidRDefault="00F34BD4" w:rsidP="00B823C1">
            <w:pPr>
              <w:spacing w:after="0"/>
              <w:jc w:val="center"/>
              <w:rPr>
                <w:color w:val="000000"/>
                <w:szCs w:val="20"/>
                <w:lang w:eastAsia="pl-PL"/>
              </w:rPr>
            </w:pPr>
          </w:p>
        </w:tc>
      </w:tr>
      <w:tr w:rsidR="00F34BD4" w:rsidRPr="00523F53" w14:paraId="490D9B41" w14:textId="77777777" w:rsidTr="00B823C1">
        <w:trPr>
          <w:trHeight w:val="297"/>
        </w:trPr>
        <w:tc>
          <w:tcPr>
            <w:tcW w:w="1369" w:type="dxa"/>
            <w:vMerge/>
            <w:tcBorders>
              <w:left w:val="single" w:sz="4" w:space="0" w:color="auto"/>
              <w:bottom w:val="single" w:sz="4" w:space="0" w:color="auto"/>
              <w:right w:val="single" w:sz="4" w:space="0" w:color="auto"/>
            </w:tcBorders>
            <w:vAlign w:val="center"/>
          </w:tcPr>
          <w:p w14:paraId="1CF4749A" w14:textId="77777777" w:rsidR="00F34BD4" w:rsidRPr="00D94B5E" w:rsidRDefault="00F34BD4" w:rsidP="00B823C1">
            <w:pPr>
              <w:spacing w:after="0"/>
              <w:jc w:val="center"/>
              <w:rPr>
                <w:color w:val="000000"/>
                <w:szCs w:val="20"/>
                <w:lang w:eastAsia="pl-PL"/>
              </w:rPr>
            </w:pPr>
          </w:p>
        </w:tc>
        <w:tc>
          <w:tcPr>
            <w:tcW w:w="614" w:type="dxa"/>
            <w:tcBorders>
              <w:top w:val="nil"/>
              <w:left w:val="nil"/>
              <w:bottom w:val="single" w:sz="4" w:space="0" w:color="auto"/>
              <w:right w:val="single" w:sz="4" w:space="0" w:color="auto"/>
            </w:tcBorders>
            <w:shd w:val="clear" w:color="auto" w:fill="auto"/>
            <w:noWrap/>
            <w:vAlign w:val="center"/>
          </w:tcPr>
          <w:p w14:paraId="692A0438" w14:textId="77777777" w:rsidR="00F34BD4" w:rsidRPr="00D94B5E" w:rsidRDefault="00F34BD4" w:rsidP="00B823C1">
            <w:pPr>
              <w:spacing w:after="0"/>
              <w:jc w:val="center"/>
              <w:rPr>
                <w:color w:val="000000"/>
                <w:szCs w:val="20"/>
                <w:lang w:eastAsia="pl-PL"/>
              </w:rPr>
            </w:pPr>
            <w:r w:rsidRPr="00D94B5E">
              <w:rPr>
                <w:color w:val="000000"/>
                <w:szCs w:val="20"/>
                <w:lang w:eastAsia="pl-PL"/>
              </w:rPr>
              <w:t>182</w:t>
            </w:r>
          </w:p>
        </w:tc>
        <w:tc>
          <w:tcPr>
            <w:tcW w:w="612" w:type="dxa"/>
            <w:tcBorders>
              <w:top w:val="nil"/>
              <w:left w:val="nil"/>
              <w:bottom w:val="single" w:sz="4" w:space="0" w:color="auto"/>
              <w:right w:val="single" w:sz="4" w:space="0" w:color="auto"/>
            </w:tcBorders>
            <w:shd w:val="clear" w:color="auto" w:fill="auto"/>
            <w:noWrap/>
          </w:tcPr>
          <w:p w14:paraId="0BF0D51A" w14:textId="77777777" w:rsidR="00F34BD4" w:rsidRPr="00D94B5E" w:rsidRDefault="00F34BD4" w:rsidP="00B823C1">
            <w:pPr>
              <w:spacing w:after="0"/>
              <w:jc w:val="center"/>
              <w:rPr>
                <w:color w:val="000000"/>
                <w:szCs w:val="20"/>
                <w:lang w:eastAsia="pl-PL"/>
              </w:rPr>
            </w:pPr>
            <w:r w:rsidRPr="00D94B5E">
              <w:rPr>
                <w:color w:val="000000"/>
                <w:szCs w:val="20"/>
                <w:lang w:eastAsia="pl-PL"/>
              </w:rPr>
              <w:t>182</w:t>
            </w:r>
          </w:p>
        </w:tc>
        <w:tc>
          <w:tcPr>
            <w:tcW w:w="612" w:type="dxa"/>
            <w:tcBorders>
              <w:top w:val="nil"/>
              <w:left w:val="nil"/>
              <w:bottom w:val="single" w:sz="4" w:space="0" w:color="auto"/>
              <w:right w:val="single" w:sz="4" w:space="0" w:color="auto"/>
            </w:tcBorders>
            <w:shd w:val="clear" w:color="auto" w:fill="auto"/>
            <w:noWrap/>
          </w:tcPr>
          <w:p w14:paraId="312C0A7B" w14:textId="77777777" w:rsidR="00F34BD4" w:rsidRPr="00D94B5E" w:rsidRDefault="00F34BD4" w:rsidP="00B823C1">
            <w:pPr>
              <w:spacing w:after="0"/>
              <w:jc w:val="center"/>
              <w:rPr>
                <w:color w:val="000000"/>
                <w:szCs w:val="20"/>
                <w:lang w:eastAsia="pl-PL"/>
              </w:rPr>
            </w:pPr>
            <w:r w:rsidRPr="00D94B5E">
              <w:rPr>
                <w:color w:val="000000"/>
                <w:szCs w:val="20"/>
                <w:lang w:eastAsia="pl-PL"/>
              </w:rPr>
              <w:t>67</w:t>
            </w:r>
          </w:p>
        </w:tc>
        <w:tc>
          <w:tcPr>
            <w:tcW w:w="612" w:type="dxa"/>
            <w:tcBorders>
              <w:top w:val="nil"/>
              <w:left w:val="nil"/>
              <w:bottom w:val="single" w:sz="4" w:space="0" w:color="auto"/>
              <w:right w:val="single" w:sz="4" w:space="0" w:color="auto"/>
            </w:tcBorders>
            <w:shd w:val="clear" w:color="auto" w:fill="auto"/>
            <w:noWrap/>
          </w:tcPr>
          <w:p w14:paraId="019AE7D4" w14:textId="77777777" w:rsidR="00F34BD4" w:rsidRPr="00D94B5E" w:rsidRDefault="00F34BD4" w:rsidP="00B823C1">
            <w:pPr>
              <w:spacing w:after="0"/>
              <w:jc w:val="center"/>
              <w:rPr>
                <w:color w:val="000000"/>
                <w:szCs w:val="20"/>
                <w:lang w:eastAsia="pl-PL"/>
              </w:rPr>
            </w:pPr>
            <w:r w:rsidRPr="00D94B5E">
              <w:rPr>
                <w:color w:val="000000"/>
                <w:szCs w:val="20"/>
                <w:lang w:eastAsia="pl-PL"/>
              </w:rPr>
              <w:t>67</w:t>
            </w:r>
          </w:p>
        </w:tc>
        <w:tc>
          <w:tcPr>
            <w:tcW w:w="612" w:type="dxa"/>
            <w:tcBorders>
              <w:top w:val="nil"/>
              <w:left w:val="nil"/>
              <w:bottom w:val="single" w:sz="4" w:space="0" w:color="auto"/>
              <w:right w:val="single" w:sz="4" w:space="0" w:color="auto"/>
            </w:tcBorders>
            <w:shd w:val="clear" w:color="auto" w:fill="auto"/>
            <w:noWrap/>
          </w:tcPr>
          <w:p w14:paraId="2EBC6D02" w14:textId="77777777" w:rsidR="00F34BD4" w:rsidRPr="00D94B5E" w:rsidRDefault="00F34BD4" w:rsidP="00B823C1">
            <w:pPr>
              <w:spacing w:after="0"/>
              <w:jc w:val="center"/>
              <w:rPr>
                <w:color w:val="000000"/>
                <w:szCs w:val="20"/>
                <w:lang w:eastAsia="pl-PL"/>
              </w:rPr>
            </w:pPr>
            <w:r w:rsidRPr="00D94B5E">
              <w:rPr>
                <w:color w:val="000000"/>
                <w:szCs w:val="20"/>
                <w:lang w:eastAsia="pl-PL"/>
              </w:rPr>
              <w:t>67</w:t>
            </w:r>
          </w:p>
        </w:tc>
        <w:tc>
          <w:tcPr>
            <w:tcW w:w="612" w:type="dxa"/>
            <w:tcBorders>
              <w:top w:val="nil"/>
              <w:left w:val="nil"/>
              <w:bottom w:val="single" w:sz="4" w:space="0" w:color="auto"/>
              <w:right w:val="single" w:sz="4" w:space="0" w:color="auto"/>
            </w:tcBorders>
            <w:shd w:val="clear" w:color="auto" w:fill="auto"/>
            <w:noWrap/>
          </w:tcPr>
          <w:p w14:paraId="0DAEBA07" w14:textId="77777777" w:rsidR="00F34BD4" w:rsidRPr="00D94B5E" w:rsidRDefault="00F34BD4" w:rsidP="00B823C1">
            <w:pPr>
              <w:spacing w:after="0"/>
              <w:jc w:val="center"/>
              <w:rPr>
                <w:color w:val="000000"/>
                <w:szCs w:val="20"/>
                <w:lang w:eastAsia="pl-PL"/>
              </w:rPr>
            </w:pPr>
            <w:r w:rsidRPr="00D94B5E">
              <w:rPr>
                <w:color w:val="000000"/>
                <w:szCs w:val="20"/>
                <w:lang w:eastAsia="pl-PL"/>
              </w:rPr>
              <w:t>67</w:t>
            </w:r>
          </w:p>
        </w:tc>
        <w:tc>
          <w:tcPr>
            <w:tcW w:w="611" w:type="dxa"/>
            <w:tcBorders>
              <w:top w:val="single" w:sz="4" w:space="0" w:color="auto"/>
              <w:left w:val="single" w:sz="4" w:space="0" w:color="auto"/>
              <w:bottom w:val="single" w:sz="4" w:space="0" w:color="auto"/>
              <w:right w:val="single" w:sz="4" w:space="0" w:color="auto"/>
            </w:tcBorders>
          </w:tcPr>
          <w:p w14:paraId="0323446C" w14:textId="77777777" w:rsidR="00F34BD4" w:rsidRPr="00D94B5E" w:rsidRDefault="00F34BD4" w:rsidP="00B823C1">
            <w:pPr>
              <w:spacing w:after="0"/>
              <w:jc w:val="center"/>
              <w:rPr>
                <w:color w:val="000000"/>
                <w:szCs w:val="20"/>
                <w:lang w:eastAsia="pl-PL"/>
              </w:rPr>
            </w:pPr>
            <w:r w:rsidRPr="00D94B5E">
              <w:rPr>
                <w:color w:val="000000"/>
                <w:szCs w:val="20"/>
                <w:lang w:eastAsia="pl-PL"/>
              </w:rPr>
              <w:t>67</w:t>
            </w:r>
          </w:p>
        </w:tc>
        <w:tc>
          <w:tcPr>
            <w:tcW w:w="612" w:type="dxa"/>
            <w:tcBorders>
              <w:top w:val="single" w:sz="4" w:space="0" w:color="auto"/>
              <w:left w:val="single" w:sz="4" w:space="0" w:color="auto"/>
              <w:bottom w:val="single" w:sz="4" w:space="0" w:color="auto"/>
              <w:right w:val="single" w:sz="4" w:space="0" w:color="auto"/>
            </w:tcBorders>
          </w:tcPr>
          <w:p w14:paraId="7B04A2F5" w14:textId="77777777" w:rsidR="00F34BD4" w:rsidRPr="00D94B5E" w:rsidRDefault="00F34BD4" w:rsidP="00B823C1">
            <w:pPr>
              <w:spacing w:after="0"/>
              <w:jc w:val="center"/>
              <w:rPr>
                <w:color w:val="000000"/>
                <w:szCs w:val="20"/>
                <w:lang w:eastAsia="pl-PL"/>
              </w:rPr>
            </w:pPr>
            <w:r w:rsidRPr="00D94B5E">
              <w:rPr>
                <w:color w:val="000000"/>
                <w:szCs w:val="20"/>
                <w:lang w:eastAsia="pl-PL"/>
              </w:rPr>
              <w:t>67</w:t>
            </w:r>
          </w:p>
        </w:tc>
        <w:tc>
          <w:tcPr>
            <w:tcW w:w="612" w:type="dxa"/>
            <w:tcBorders>
              <w:top w:val="single" w:sz="4" w:space="0" w:color="auto"/>
              <w:left w:val="single" w:sz="4" w:space="0" w:color="auto"/>
              <w:bottom w:val="single" w:sz="4" w:space="0" w:color="auto"/>
              <w:right w:val="single" w:sz="4" w:space="0" w:color="auto"/>
            </w:tcBorders>
          </w:tcPr>
          <w:p w14:paraId="7BEC90A5" w14:textId="77777777" w:rsidR="00F34BD4" w:rsidRPr="00D94B5E" w:rsidRDefault="00F34BD4" w:rsidP="00B823C1">
            <w:pPr>
              <w:spacing w:after="0"/>
              <w:jc w:val="center"/>
              <w:rPr>
                <w:color w:val="000000"/>
                <w:szCs w:val="20"/>
                <w:lang w:eastAsia="pl-PL"/>
              </w:rPr>
            </w:pPr>
            <w:r w:rsidRPr="00D94B5E">
              <w:rPr>
                <w:color w:val="000000"/>
                <w:szCs w:val="20"/>
                <w:lang w:eastAsia="pl-PL"/>
              </w:rPr>
              <w:t>3</w:t>
            </w:r>
          </w:p>
        </w:tc>
        <w:tc>
          <w:tcPr>
            <w:tcW w:w="612" w:type="dxa"/>
            <w:tcBorders>
              <w:top w:val="single" w:sz="4" w:space="0" w:color="auto"/>
              <w:left w:val="single" w:sz="4" w:space="0" w:color="auto"/>
              <w:bottom w:val="single" w:sz="4" w:space="0" w:color="auto"/>
              <w:right w:val="single" w:sz="4" w:space="0" w:color="auto"/>
            </w:tcBorders>
            <w:shd w:val="clear" w:color="auto" w:fill="auto"/>
            <w:noWrap/>
          </w:tcPr>
          <w:p w14:paraId="3D75F803" w14:textId="77777777" w:rsidR="00F34BD4" w:rsidRPr="00D94B5E" w:rsidRDefault="00F34BD4" w:rsidP="00B823C1">
            <w:pPr>
              <w:spacing w:after="0"/>
              <w:jc w:val="center"/>
              <w:rPr>
                <w:color w:val="000000"/>
                <w:szCs w:val="20"/>
                <w:lang w:eastAsia="pl-PL"/>
              </w:rPr>
            </w:pPr>
            <w:r w:rsidRPr="00D94B5E">
              <w:rPr>
                <w:color w:val="000000"/>
                <w:szCs w:val="20"/>
                <w:lang w:eastAsia="pl-PL"/>
              </w:rPr>
              <w:t>3</w:t>
            </w:r>
          </w:p>
        </w:tc>
        <w:tc>
          <w:tcPr>
            <w:tcW w:w="1609" w:type="dxa"/>
            <w:vMerge/>
            <w:tcBorders>
              <w:left w:val="single" w:sz="4" w:space="0" w:color="auto"/>
              <w:bottom w:val="single" w:sz="4" w:space="0" w:color="auto"/>
              <w:right w:val="single" w:sz="4" w:space="0" w:color="auto"/>
            </w:tcBorders>
            <w:vAlign w:val="center"/>
          </w:tcPr>
          <w:p w14:paraId="71B85E7B" w14:textId="77777777" w:rsidR="00F34BD4" w:rsidRPr="00D94B5E" w:rsidRDefault="00F34BD4" w:rsidP="00B823C1">
            <w:pPr>
              <w:spacing w:after="0"/>
              <w:jc w:val="center"/>
              <w:rPr>
                <w:color w:val="000000"/>
                <w:szCs w:val="20"/>
                <w:lang w:eastAsia="pl-PL"/>
              </w:rPr>
            </w:pPr>
          </w:p>
        </w:tc>
      </w:tr>
      <w:tr w:rsidR="00F34BD4" w:rsidRPr="00523F53" w14:paraId="0D820A66" w14:textId="77777777" w:rsidTr="00B823C1">
        <w:trPr>
          <w:trHeight w:val="297"/>
        </w:trPr>
        <w:tc>
          <w:tcPr>
            <w:tcW w:w="1369" w:type="dxa"/>
            <w:tcBorders>
              <w:top w:val="nil"/>
              <w:left w:val="single" w:sz="4" w:space="0" w:color="auto"/>
              <w:bottom w:val="single" w:sz="4" w:space="0" w:color="auto"/>
              <w:right w:val="single" w:sz="4" w:space="0" w:color="auto"/>
            </w:tcBorders>
            <w:shd w:val="clear" w:color="auto" w:fill="auto"/>
            <w:noWrap/>
            <w:vAlign w:val="center"/>
            <w:hideMark/>
          </w:tcPr>
          <w:p w14:paraId="2A09EF25" w14:textId="77777777" w:rsidR="00F34BD4" w:rsidRPr="00D94B5E" w:rsidRDefault="00F34BD4" w:rsidP="00B823C1">
            <w:pPr>
              <w:spacing w:after="0"/>
              <w:jc w:val="center"/>
              <w:rPr>
                <w:color w:val="000000"/>
                <w:szCs w:val="20"/>
                <w:lang w:eastAsia="pl-PL"/>
              </w:rPr>
            </w:pPr>
            <w:r w:rsidRPr="00D94B5E">
              <w:rPr>
                <w:color w:val="000000"/>
                <w:szCs w:val="20"/>
                <w:lang w:eastAsia="pl-PL"/>
              </w:rPr>
              <w:t>Razem (</w:t>
            </w:r>
            <w:proofErr w:type="spellStart"/>
            <w:r w:rsidRPr="00D94B5E">
              <w:rPr>
                <w:color w:val="000000"/>
                <w:szCs w:val="20"/>
                <w:lang w:eastAsia="pl-PL"/>
              </w:rPr>
              <w:t>ktoe</w:t>
            </w:r>
            <w:proofErr w:type="spellEnd"/>
            <w:r w:rsidRPr="00D94B5E">
              <w:rPr>
                <w:color w:val="000000"/>
                <w:szCs w:val="20"/>
                <w:lang w:eastAsia="pl-PL"/>
              </w:rPr>
              <w:t>)</w:t>
            </w:r>
          </w:p>
        </w:tc>
        <w:tc>
          <w:tcPr>
            <w:tcW w:w="614" w:type="dxa"/>
            <w:tcBorders>
              <w:top w:val="nil"/>
              <w:left w:val="nil"/>
              <w:bottom w:val="single" w:sz="4" w:space="0" w:color="auto"/>
              <w:right w:val="single" w:sz="4" w:space="0" w:color="auto"/>
            </w:tcBorders>
            <w:shd w:val="clear" w:color="auto" w:fill="auto"/>
            <w:noWrap/>
            <w:vAlign w:val="center"/>
          </w:tcPr>
          <w:p w14:paraId="5A2832CF" w14:textId="77777777" w:rsidR="00F34BD4" w:rsidRPr="00D94B5E" w:rsidRDefault="00F34BD4" w:rsidP="00B823C1">
            <w:pPr>
              <w:spacing w:after="0"/>
              <w:jc w:val="center"/>
              <w:rPr>
                <w:b/>
                <w:bCs/>
                <w:color w:val="000000"/>
                <w:szCs w:val="20"/>
                <w:lang w:eastAsia="pl-PL"/>
              </w:rPr>
            </w:pPr>
            <w:r w:rsidRPr="00D94B5E">
              <w:rPr>
                <w:b/>
                <w:bCs/>
                <w:color w:val="000000"/>
                <w:szCs w:val="20"/>
                <w:lang w:eastAsia="pl-PL"/>
              </w:rPr>
              <w:t>182</w:t>
            </w:r>
          </w:p>
        </w:tc>
        <w:tc>
          <w:tcPr>
            <w:tcW w:w="612" w:type="dxa"/>
            <w:tcBorders>
              <w:top w:val="nil"/>
              <w:left w:val="nil"/>
              <w:bottom w:val="single" w:sz="4" w:space="0" w:color="auto"/>
              <w:right w:val="single" w:sz="4" w:space="0" w:color="auto"/>
            </w:tcBorders>
            <w:shd w:val="clear" w:color="auto" w:fill="auto"/>
            <w:noWrap/>
            <w:vAlign w:val="center"/>
          </w:tcPr>
          <w:p w14:paraId="53321D45" w14:textId="77777777" w:rsidR="00F34BD4" w:rsidRPr="00D94B5E" w:rsidRDefault="00F34BD4" w:rsidP="00B823C1">
            <w:pPr>
              <w:spacing w:after="0"/>
              <w:jc w:val="center"/>
              <w:rPr>
                <w:b/>
                <w:bCs/>
                <w:color w:val="000000"/>
                <w:szCs w:val="20"/>
                <w:lang w:eastAsia="pl-PL"/>
              </w:rPr>
            </w:pPr>
            <w:r w:rsidRPr="00D94B5E">
              <w:rPr>
                <w:rFonts w:cs="Calibri"/>
                <w:b/>
                <w:bCs/>
                <w:color w:val="000000"/>
                <w:szCs w:val="20"/>
              </w:rPr>
              <w:t>312</w:t>
            </w:r>
          </w:p>
        </w:tc>
        <w:tc>
          <w:tcPr>
            <w:tcW w:w="612" w:type="dxa"/>
            <w:tcBorders>
              <w:top w:val="nil"/>
              <w:left w:val="nil"/>
              <w:bottom w:val="single" w:sz="4" w:space="0" w:color="auto"/>
              <w:right w:val="single" w:sz="4" w:space="0" w:color="auto"/>
            </w:tcBorders>
            <w:shd w:val="clear" w:color="auto" w:fill="auto"/>
            <w:noWrap/>
            <w:vAlign w:val="center"/>
          </w:tcPr>
          <w:p w14:paraId="4499B363" w14:textId="77777777" w:rsidR="00F34BD4" w:rsidRPr="00D94B5E" w:rsidRDefault="00F34BD4" w:rsidP="00B823C1">
            <w:pPr>
              <w:spacing w:after="0"/>
              <w:jc w:val="center"/>
              <w:rPr>
                <w:b/>
                <w:bCs/>
                <w:color w:val="000000"/>
                <w:szCs w:val="20"/>
                <w:lang w:eastAsia="pl-PL"/>
              </w:rPr>
            </w:pPr>
            <w:r w:rsidRPr="00D94B5E">
              <w:rPr>
                <w:rFonts w:cs="Calibri"/>
                <w:b/>
                <w:bCs/>
                <w:color w:val="000000"/>
                <w:szCs w:val="20"/>
              </w:rPr>
              <w:t>327</w:t>
            </w:r>
          </w:p>
        </w:tc>
        <w:tc>
          <w:tcPr>
            <w:tcW w:w="612" w:type="dxa"/>
            <w:tcBorders>
              <w:top w:val="nil"/>
              <w:left w:val="nil"/>
              <w:bottom w:val="single" w:sz="4" w:space="0" w:color="auto"/>
              <w:right w:val="single" w:sz="4" w:space="0" w:color="auto"/>
            </w:tcBorders>
            <w:shd w:val="clear" w:color="auto" w:fill="auto"/>
            <w:noWrap/>
            <w:vAlign w:val="center"/>
          </w:tcPr>
          <w:p w14:paraId="5783B634" w14:textId="77777777" w:rsidR="00F34BD4" w:rsidRPr="00D94B5E" w:rsidRDefault="00F34BD4" w:rsidP="00B823C1">
            <w:pPr>
              <w:spacing w:after="0"/>
              <w:jc w:val="center"/>
              <w:rPr>
                <w:b/>
                <w:bCs/>
                <w:color w:val="000000"/>
                <w:szCs w:val="20"/>
                <w:lang w:eastAsia="pl-PL"/>
              </w:rPr>
            </w:pPr>
            <w:r w:rsidRPr="00D94B5E">
              <w:rPr>
                <w:rFonts w:cs="Calibri"/>
                <w:b/>
                <w:bCs/>
                <w:color w:val="000000"/>
                <w:szCs w:val="20"/>
              </w:rPr>
              <w:t>457</w:t>
            </w:r>
          </w:p>
        </w:tc>
        <w:tc>
          <w:tcPr>
            <w:tcW w:w="612" w:type="dxa"/>
            <w:tcBorders>
              <w:top w:val="nil"/>
              <w:left w:val="nil"/>
              <w:bottom w:val="single" w:sz="4" w:space="0" w:color="auto"/>
              <w:right w:val="single" w:sz="4" w:space="0" w:color="auto"/>
            </w:tcBorders>
            <w:shd w:val="clear" w:color="auto" w:fill="auto"/>
            <w:noWrap/>
            <w:vAlign w:val="center"/>
          </w:tcPr>
          <w:p w14:paraId="72F1CF8A" w14:textId="77777777" w:rsidR="00F34BD4" w:rsidRPr="00D94B5E" w:rsidRDefault="00F34BD4" w:rsidP="00B823C1">
            <w:pPr>
              <w:spacing w:after="0"/>
              <w:jc w:val="center"/>
              <w:rPr>
                <w:b/>
                <w:bCs/>
                <w:color w:val="000000"/>
                <w:szCs w:val="20"/>
                <w:lang w:eastAsia="pl-PL"/>
              </w:rPr>
            </w:pPr>
            <w:r w:rsidRPr="00D94B5E">
              <w:rPr>
                <w:rFonts w:cs="Calibri"/>
                <w:b/>
                <w:bCs/>
                <w:color w:val="000000"/>
                <w:szCs w:val="20"/>
              </w:rPr>
              <w:t>587</w:t>
            </w:r>
          </w:p>
        </w:tc>
        <w:tc>
          <w:tcPr>
            <w:tcW w:w="612" w:type="dxa"/>
            <w:tcBorders>
              <w:top w:val="nil"/>
              <w:left w:val="nil"/>
              <w:bottom w:val="single" w:sz="4" w:space="0" w:color="auto"/>
              <w:right w:val="single" w:sz="4" w:space="0" w:color="auto"/>
            </w:tcBorders>
            <w:shd w:val="clear" w:color="auto" w:fill="auto"/>
            <w:noWrap/>
            <w:vAlign w:val="center"/>
          </w:tcPr>
          <w:p w14:paraId="41B3DB7E" w14:textId="77777777" w:rsidR="00F34BD4" w:rsidRPr="00D94B5E" w:rsidRDefault="00F34BD4" w:rsidP="00B823C1">
            <w:pPr>
              <w:spacing w:after="0"/>
              <w:jc w:val="center"/>
              <w:rPr>
                <w:b/>
                <w:bCs/>
                <w:color w:val="000000"/>
                <w:szCs w:val="20"/>
                <w:lang w:eastAsia="pl-PL"/>
              </w:rPr>
            </w:pPr>
            <w:r w:rsidRPr="00D94B5E">
              <w:rPr>
                <w:rFonts w:cs="Calibri"/>
                <w:b/>
                <w:bCs/>
                <w:color w:val="000000"/>
                <w:szCs w:val="20"/>
              </w:rPr>
              <w:t>717</w:t>
            </w:r>
          </w:p>
        </w:tc>
        <w:tc>
          <w:tcPr>
            <w:tcW w:w="611" w:type="dxa"/>
            <w:tcBorders>
              <w:top w:val="single" w:sz="4" w:space="0" w:color="auto"/>
              <w:left w:val="single" w:sz="4" w:space="0" w:color="auto"/>
              <w:bottom w:val="single" w:sz="4" w:space="0" w:color="auto"/>
              <w:right w:val="single" w:sz="4" w:space="0" w:color="auto"/>
            </w:tcBorders>
            <w:vAlign w:val="center"/>
          </w:tcPr>
          <w:p w14:paraId="2BF83C14" w14:textId="77777777" w:rsidR="00F34BD4" w:rsidRPr="00D94B5E" w:rsidRDefault="00F34BD4" w:rsidP="00B823C1">
            <w:pPr>
              <w:spacing w:after="0"/>
              <w:jc w:val="center"/>
              <w:rPr>
                <w:b/>
                <w:bCs/>
                <w:color w:val="000000"/>
                <w:szCs w:val="20"/>
                <w:lang w:eastAsia="pl-PL"/>
              </w:rPr>
            </w:pPr>
            <w:r w:rsidRPr="00D94B5E">
              <w:rPr>
                <w:rFonts w:cs="Calibri"/>
                <w:b/>
                <w:bCs/>
                <w:color w:val="000000"/>
                <w:szCs w:val="20"/>
              </w:rPr>
              <w:t>847</w:t>
            </w:r>
          </w:p>
        </w:tc>
        <w:tc>
          <w:tcPr>
            <w:tcW w:w="612" w:type="dxa"/>
            <w:tcBorders>
              <w:top w:val="single" w:sz="4" w:space="0" w:color="auto"/>
              <w:left w:val="single" w:sz="4" w:space="0" w:color="auto"/>
              <w:bottom w:val="single" w:sz="4" w:space="0" w:color="auto"/>
              <w:right w:val="single" w:sz="4" w:space="0" w:color="auto"/>
            </w:tcBorders>
            <w:vAlign w:val="center"/>
          </w:tcPr>
          <w:p w14:paraId="6D2593CB" w14:textId="77777777" w:rsidR="00F34BD4" w:rsidRPr="00D94B5E" w:rsidRDefault="00F34BD4" w:rsidP="00B823C1">
            <w:pPr>
              <w:spacing w:after="0"/>
              <w:jc w:val="center"/>
              <w:rPr>
                <w:b/>
                <w:bCs/>
                <w:color w:val="000000"/>
                <w:szCs w:val="20"/>
                <w:lang w:eastAsia="pl-PL"/>
              </w:rPr>
            </w:pPr>
            <w:r w:rsidRPr="00D94B5E">
              <w:rPr>
                <w:rFonts w:cs="Calibri"/>
                <w:b/>
                <w:bCs/>
                <w:color w:val="000000"/>
                <w:szCs w:val="20"/>
              </w:rPr>
              <w:t>977</w:t>
            </w:r>
          </w:p>
        </w:tc>
        <w:tc>
          <w:tcPr>
            <w:tcW w:w="612" w:type="dxa"/>
            <w:tcBorders>
              <w:top w:val="single" w:sz="4" w:space="0" w:color="auto"/>
              <w:left w:val="single" w:sz="4" w:space="0" w:color="auto"/>
              <w:bottom w:val="single" w:sz="4" w:space="0" w:color="auto"/>
              <w:right w:val="single" w:sz="4" w:space="0" w:color="auto"/>
            </w:tcBorders>
            <w:vAlign w:val="center"/>
          </w:tcPr>
          <w:p w14:paraId="55A3CC5B" w14:textId="77777777" w:rsidR="00F34BD4" w:rsidRPr="00D94B5E" w:rsidRDefault="00F34BD4" w:rsidP="00B823C1">
            <w:pPr>
              <w:spacing w:after="0"/>
              <w:jc w:val="center"/>
              <w:rPr>
                <w:b/>
                <w:bCs/>
                <w:color w:val="000000"/>
                <w:szCs w:val="20"/>
                <w:lang w:eastAsia="pl-PL"/>
              </w:rPr>
            </w:pPr>
            <w:r w:rsidRPr="00D94B5E">
              <w:rPr>
                <w:rFonts w:cs="Calibri"/>
                <w:b/>
                <w:bCs/>
                <w:color w:val="000000"/>
                <w:szCs w:val="20"/>
              </w:rPr>
              <w:t>1043</w:t>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39169" w14:textId="77777777" w:rsidR="00F34BD4" w:rsidRPr="00D94B5E" w:rsidRDefault="00F34BD4" w:rsidP="00B823C1">
            <w:pPr>
              <w:spacing w:after="0"/>
              <w:jc w:val="center"/>
              <w:rPr>
                <w:b/>
                <w:bCs/>
                <w:color w:val="000000"/>
                <w:szCs w:val="20"/>
                <w:lang w:eastAsia="pl-PL"/>
              </w:rPr>
            </w:pPr>
            <w:r w:rsidRPr="00D94B5E">
              <w:rPr>
                <w:rFonts w:cs="Calibri"/>
                <w:b/>
                <w:bCs/>
                <w:color w:val="000000"/>
                <w:szCs w:val="20"/>
              </w:rPr>
              <w:t>1173</w:t>
            </w:r>
          </w:p>
        </w:tc>
        <w:tc>
          <w:tcPr>
            <w:tcW w:w="1609" w:type="dxa"/>
            <w:tcBorders>
              <w:top w:val="nil"/>
              <w:left w:val="single" w:sz="4" w:space="0" w:color="auto"/>
              <w:bottom w:val="single" w:sz="4" w:space="0" w:color="auto"/>
              <w:right w:val="single" w:sz="4" w:space="0" w:color="auto"/>
            </w:tcBorders>
            <w:shd w:val="clear" w:color="auto" w:fill="auto"/>
            <w:noWrap/>
            <w:vAlign w:val="center"/>
            <w:hideMark/>
          </w:tcPr>
          <w:p w14:paraId="404E0E29" w14:textId="77777777" w:rsidR="00F34BD4" w:rsidRPr="00D94B5E" w:rsidRDefault="00F34BD4" w:rsidP="00B823C1">
            <w:pPr>
              <w:spacing w:after="0"/>
              <w:jc w:val="center"/>
              <w:rPr>
                <w:b/>
                <w:bCs/>
                <w:color w:val="000000"/>
                <w:szCs w:val="20"/>
                <w:lang w:eastAsia="pl-PL"/>
              </w:rPr>
            </w:pPr>
            <w:r w:rsidRPr="00D94B5E">
              <w:rPr>
                <w:rFonts w:cs="Calibri"/>
                <w:b/>
                <w:bCs/>
                <w:color w:val="4472C4" w:themeColor="accent1"/>
                <w:szCs w:val="20"/>
              </w:rPr>
              <w:t>6 62</w:t>
            </w:r>
            <w:r>
              <w:rPr>
                <w:rFonts w:cs="Calibri"/>
                <w:b/>
                <w:bCs/>
                <w:color w:val="4472C4" w:themeColor="accent1"/>
                <w:szCs w:val="20"/>
              </w:rPr>
              <w:t>2</w:t>
            </w:r>
          </w:p>
        </w:tc>
      </w:tr>
    </w:tbl>
    <w:p w14:paraId="50D593D1" w14:textId="77777777" w:rsidR="00F34BD4" w:rsidRDefault="00F34BD4" w:rsidP="00F34BD4">
      <w:pPr>
        <w:spacing w:after="0" w:line="360" w:lineRule="auto"/>
      </w:pPr>
    </w:p>
    <w:p w14:paraId="00AAC744" w14:textId="7EE4FDC8" w:rsidR="00F34BD4" w:rsidRDefault="00F34BD4" w:rsidP="00F34BD4">
      <w:r w:rsidRPr="00E35197">
        <w:t xml:space="preserve">Biorąc pod uwagę energochłonność autobusów elektrycznych i wodorowych oraz przewidywaną ilość innych inwestycji w sektorze transportu  w latach 2021-2030 (tj. zabezpieczone wyznaczonym budżetem), przyjęto, że średnio roczna oszczędność energii </w:t>
      </w:r>
      <w:r>
        <w:t xml:space="preserve">w okresie 2022-2030 </w:t>
      </w:r>
      <w:r w:rsidRPr="00E35197">
        <w:t>wynos</w:t>
      </w:r>
      <w:r>
        <w:t>ie</w:t>
      </w:r>
      <w:r w:rsidRPr="00E35197">
        <w:t xml:space="preserve"> 130 </w:t>
      </w:r>
      <w:proofErr w:type="spellStart"/>
      <w:r w:rsidRPr="00E35197">
        <w:t>toe</w:t>
      </w:r>
      <w:proofErr w:type="spellEnd"/>
      <w:r w:rsidRPr="00E35197">
        <w:t xml:space="preserve"> na rok.</w:t>
      </w:r>
      <w:r>
        <w:t xml:space="preserve"> </w:t>
      </w:r>
    </w:p>
    <w:p w14:paraId="32AB25F7" w14:textId="77777777" w:rsidR="00F34BD4" w:rsidRPr="004A2365" w:rsidRDefault="00F34BD4" w:rsidP="00FF3BC7">
      <w:pPr>
        <w:pStyle w:val="Akapitzlist"/>
        <w:numPr>
          <w:ilvl w:val="0"/>
          <w:numId w:val="14"/>
        </w:numPr>
        <w:spacing w:line="360" w:lineRule="auto"/>
        <w:ind w:left="1134"/>
        <w:jc w:val="left"/>
        <w:rPr>
          <w:b/>
          <w:bCs/>
          <w:color w:val="2F5496" w:themeColor="accent1" w:themeShade="BF"/>
        </w:rPr>
      </w:pPr>
      <w:r w:rsidRPr="004A2365">
        <w:rPr>
          <w:b/>
          <w:bCs/>
          <w:color w:val="2F5496" w:themeColor="accent1" w:themeShade="BF"/>
        </w:rPr>
        <w:t>Monitorowanie i weryfikacja</w:t>
      </w:r>
    </w:p>
    <w:p w14:paraId="6ADC394A" w14:textId="77777777" w:rsidR="00F34BD4" w:rsidRPr="00D62DB9" w:rsidRDefault="00F34BD4" w:rsidP="00373FD3">
      <w:r w:rsidRPr="00D62DB9">
        <w:t>Sprawozdania zawierające informacje dotyczące ilości zakupionego i zmodernizowanego taboru kolejowego oraz ilości zakupionych pojazdów zero- i niskoemisyjnych przeskładane jest ministrowi właściwemu ds. transportu.</w:t>
      </w:r>
      <w:r w:rsidRPr="00D62DB9">
        <w:br/>
        <w:t>Dodatkowo w przypadku dopłat realizowanych w ramach Funduszu rozwoju przewozów autobusowych o charakterze użyteczności publicznej wojewodowie przekazują roczne sprawozdania ministrowi właściwemu ds. transportu z realizacji zadań na które zostało udzielone dofinansowanie w danym województwie, dotyczące roku poprzedniego.</w:t>
      </w:r>
    </w:p>
    <w:p w14:paraId="1D8EB8F2" w14:textId="77777777" w:rsidR="00F34BD4" w:rsidRPr="00D62DB9" w:rsidRDefault="00F34BD4" w:rsidP="00373FD3">
      <w:r w:rsidRPr="00D62DB9">
        <w:t>Dane dotyczące wymiany taboru pojazdów transportu publicznego realizowanej w ramach działalności Centrum Unijnych Projektów Transportowych są raportowane i weryfikowane w centralnym systemie teleinformatycznym. W przypadku działań realizowanych w ramach funduszy celowych, sprawozdania roczne temat inwestycji są raportowane do ministra właściwego ds. transportu. </w:t>
      </w:r>
    </w:p>
    <w:p w14:paraId="0759CABF" w14:textId="77777777" w:rsidR="00F34BD4" w:rsidRDefault="00F34BD4" w:rsidP="00373FD3">
      <w:r w:rsidRPr="00D62DB9">
        <w:t>Ministerstwo właściwe ds. transportu w ramach przedkładanych corocznie, przez podmioty i instytucje, w których właściwości jest realizacja zadań na rzecz efektywności energetycznej (np. CUPT oraz JST), sprawozdań oraz intensywności finansowania weryfikuje zakres realizowanych zadań.</w:t>
      </w:r>
    </w:p>
    <w:p w14:paraId="1AC3C905" w14:textId="77777777" w:rsidR="00F34BD4" w:rsidRDefault="00F34BD4" w:rsidP="00373FD3">
      <w:r>
        <w:t xml:space="preserve">Dodatkowo jednostkowe informacje o wysokości oszczędności energii finalnej raportowane do </w:t>
      </w:r>
      <w:r w:rsidRPr="00EF4FC0">
        <w:t>Centralnego Rejestru Oszczędności Energii Finalnej</w:t>
      </w:r>
      <w:r>
        <w:t xml:space="preserve"> są wer</w:t>
      </w:r>
      <w:r w:rsidRPr="00EF4FC0">
        <w:t>yfik</w:t>
      </w:r>
      <w:r>
        <w:t>owane</w:t>
      </w:r>
      <w:r w:rsidRPr="00EF4FC0">
        <w:t xml:space="preserve"> przez administratorów systemu. Każde przedsięwzięcie dodane w CROEF musi zostać sprawdzone pod względem merytorycznym</w:t>
      </w:r>
      <w:r>
        <w:t xml:space="preserve"> (tj. rodzaj przedsięwzięcia, ilość średniorocznych oszczędności, okres uzyskiwania oszczędności oraz potwierdzenie uzyskiwanych oszczędności energii finalnej)</w:t>
      </w:r>
      <w:r w:rsidRPr="00EF4FC0">
        <w:t xml:space="preserve"> przez administratora Ministerstwa Klimatu i Środowiska. </w:t>
      </w:r>
    </w:p>
    <w:p w14:paraId="6403912B" w14:textId="77777777" w:rsidR="00F34BD4" w:rsidRDefault="00F34BD4" w:rsidP="00F34BD4">
      <w:pPr>
        <w:spacing w:after="0" w:line="360" w:lineRule="auto"/>
        <w:ind w:firstLine="709"/>
      </w:pPr>
    </w:p>
    <w:p w14:paraId="77E4FBFB" w14:textId="77777777" w:rsidR="00F34BD4" w:rsidRDefault="00F34BD4" w:rsidP="00F34BD4">
      <w:r>
        <w:br w:type="page"/>
      </w:r>
    </w:p>
    <w:p w14:paraId="26A3B276" w14:textId="77777777" w:rsidR="00F34BD4" w:rsidRPr="00E832B0" w:rsidRDefault="00F34BD4" w:rsidP="00FF3BC7">
      <w:pPr>
        <w:pStyle w:val="Akapitzlist"/>
        <w:numPr>
          <w:ilvl w:val="0"/>
          <w:numId w:val="12"/>
        </w:numPr>
        <w:spacing w:after="240" w:line="480" w:lineRule="auto"/>
        <w:jc w:val="left"/>
        <w:rPr>
          <w:b/>
          <w:bCs/>
          <w:color w:val="2F5496" w:themeColor="accent1" w:themeShade="BF"/>
        </w:rPr>
      </w:pPr>
      <w:r w:rsidRPr="00EB07C7">
        <w:rPr>
          <w:b/>
          <w:bCs/>
          <w:color w:val="2F5496" w:themeColor="accent1" w:themeShade="BF"/>
        </w:rPr>
        <w:lastRenderedPageBreak/>
        <w:t xml:space="preserve">Poprawa Efektywności Energetycznej Budynków </w:t>
      </w:r>
      <w:r w:rsidRPr="00E832B0">
        <w:rPr>
          <w:b/>
          <w:bCs/>
          <w:color w:val="2F5496" w:themeColor="accent1" w:themeShade="BF"/>
        </w:rPr>
        <w:t>Mieszkalnych</w:t>
      </w:r>
    </w:p>
    <w:p w14:paraId="71023075" w14:textId="77777777" w:rsidR="00F34BD4" w:rsidRPr="00EB07C7" w:rsidRDefault="00F34BD4" w:rsidP="00FF3BC7">
      <w:pPr>
        <w:pStyle w:val="Akapitzlist"/>
        <w:numPr>
          <w:ilvl w:val="0"/>
          <w:numId w:val="17"/>
        </w:numPr>
        <w:spacing w:after="240" w:line="480" w:lineRule="auto"/>
        <w:ind w:left="1134"/>
        <w:jc w:val="left"/>
        <w:rPr>
          <w:b/>
          <w:bCs/>
          <w:color w:val="2F5496" w:themeColor="accent1" w:themeShade="BF"/>
        </w:rPr>
      </w:pPr>
      <w:r w:rsidRPr="00EB07C7">
        <w:rPr>
          <w:b/>
          <w:bCs/>
          <w:color w:val="2F5496" w:themeColor="accent1" w:themeShade="BF"/>
        </w:rPr>
        <w:t>Skrócony opis środka alternatywnego</w:t>
      </w:r>
    </w:p>
    <w:tbl>
      <w:tblPr>
        <w:tblStyle w:val="Tabela-Siatka"/>
        <w:tblW w:w="8729" w:type="dxa"/>
        <w:tblInd w:w="360" w:type="dxa"/>
        <w:tblBorders>
          <w:top w:val="none" w:sz="0" w:space="0" w:color="auto"/>
          <w:left w:val="none" w:sz="0" w:space="0" w:color="auto"/>
          <w:bottom w:val="none" w:sz="0" w:space="0" w:color="auto"/>
          <w:right w:val="none" w:sz="0" w:space="0" w:color="auto"/>
          <w:insideH w:val="single" w:sz="12" w:space="0" w:color="auto"/>
          <w:insideV w:val="none" w:sz="0" w:space="0" w:color="auto"/>
        </w:tblBorders>
        <w:tblLook w:val="04A0" w:firstRow="1" w:lastRow="0" w:firstColumn="1" w:lastColumn="0" w:noHBand="0" w:noVBand="1"/>
      </w:tblPr>
      <w:tblGrid>
        <w:gridCol w:w="1644"/>
        <w:gridCol w:w="7085"/>
      </w:tblGrid>
      <w:tr w:rsidR="00F34BD4" w:rsidRPr="004A2365" w14:paraId="27133B21" w14:textId="77777777" w:rsidTr="00B823C1">
        <w:tc>
          <w:tcPr>
            <w:tcW w:w="1644" w:type="dxa"/>
            <w:vAlign w:val="center"/>
          </w:tcPr>
          <w:p w14:paraId="7C09DF4D"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 xml:space="preserve">Nazwa </w:t>
            </w:r>
            <w:r>
              <w:rPr>
                <w:rFonts w:cs="Times New Roman"/>
                <w:i/>
                <w:iCs/>
                <w:color w:val="5B9BD5" w:themeColor="accent5"/>
              </w:rPr>
              <w:t>środka alternatywnego</w:t>
            </w:r>
          </w:p>
        </w:tc>
        <w:tc>
          <w:tcPr>
            <w:tcW w:w="7085" w:type="dxa"/>
            <w:vAlign w:val="center"/>
          </w:tcPr>
          <w:p w14:paraId="21C89545" w14:textId="77777777" w:rsidR="00F34BD4" w:rsidRPr="002B0945" w:rsidRDefault="00F34BD4" w:rsidP="00FF3BC7">
            <w:pPr>
              <w:spacing w:line="276" w:lineRule="auto"/>
              <w:rPr>
                <w:b/>
                <w:bCs/>
              </w:rPr>
            </w:pPr>
            <w:r>
              <w:rPr>
                <w:b/>
                <w:bCs/>
              </w:rPr>
              <w:t>Poprawa Efektywności Energetycznej Budynków Mieszkalnych</w:t>
            </w:r>
          </w:p>
        </w:tc>
      </w:tr>
      <w:tr w:rsidR="00F34BD4" w:rsidRPr="004A2365" w14:paraId="2923D77E" w14:textId="77777777" w:rsidTr="00B823C1">
        <w:tc>
          <w:tcPr>
            <w:tcW w:w="1644" w:type="dxa"/>
            <w:vAlign w:val="center"/>
          </w:tcPr>
          <w:p w14:paraId="27D02A45"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Kategoria</w:t>
            </w:r>
          </w:p>
        </w:tc>
        <w:tc>
          <w:tcPr>
            <w:tcW w:w="7085" w:type="dxa"/>
            <w:vAlign w:val="center"/>
          </w:tcPr>
          <w:p w14:paraId="77F26544" w14:textId="77777777" w:rsidR="00F34BD4" w:rsidRPr="004A2365" w:rsidRDefault="00F34BD4" w:rsidP="00FF3BC7">
            <w:pPr>
              <w:spacing w:line="276" w:lineRule="auto"/>
              <w:rPr>
                <w:rFonts w:cs="Times New Roman"/>
              </w:rPr>
            </w:pPr>
            <w:r w:rsidRPr="004A2365">
              <w:rPr>
                <w:rFonts w:cs="Times New Roman"/>
              </w:rPr>
              <w:t>Mechanizm finansowy</w:t>
            </w:r>
          </w:p>
        </w:tc>
      </w:tr>
      <w:tr w:rsidR="00F34BD4" w:rsidRPr="004A2365" w14:paraId="742658F2" w14:textId="77777777" w:rsidTr="00B823C1">
        <w:tc>
          <w:tcPr>
            <w:tcW w:w="1644" w:type="dxa"/>
            <w:vAlign w:val="center"/>
          </w:tcPr>
          <w:p w14:paraId="5F0EC4EE"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 xml:space="preserve">Cel </w:t>
            </w:r>
          </w:p>
        </w:tc>
        <w:tc>
          <w:tcPr>
            <w:tcW w:w="7085" w:type="dxa"/>
            <w:vAlign w:val="center"/>
          </w:tcPr>
          <w:p w14:paraId="54A5B53A" w14:textId="77777777" w:rsidR="00F34BD4" w:rsidRPr="004A2365" w:rsidRDefault="00F34BD4" w:rsidP="00FF3BC7">
            <w:pPr>
              <w:spacing w:line="276" w:lineRule="auto"/>
            </w:pPr>
            <w:r w:rsidRPr="004A2365">
              <w:t>Poprawa efektywności energetycznej poprzez renowację istniejących budynków</w:t>
            </w:r>
            <w:r>
              <w:t>, poprawa efektywności energetycznej poprzez zwiększenie produkcji energii cieplnej z niskoemisyjnych źródeł ciepła</w:t>
            </w:r>
            <w:r w:rsidRPr="004A2365">
              <w:t>; zmniejszenie emisji pyłów i innych zanieczyszczeń do atmosfery</w:t>
            </w:r>
            <w:r>
              <w:t>.</w:t>
            </w:r>
          </w:p>
        </w:tc>
      </w:tr>
      <w:tr w:rsidR="00F34BD4" w:rsidRPr="004A2365" w14:paraId="0695FEB7" w14:textId="77777777" w:rsidTr="00B823C1">
        <w:tc>
          <w:tcPr>
            <w:tcW w:w="1644" w:type="dxa"/>
            <w:vAlign w:val="center"/>
          </w:tcPr>
          <w:p w14:paraId="7E2F24CF"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 xml:space="preserve">Działania </w:t>
            </w:r>
          </w:p>
        </w:tc>
        <w:tc>
          <w:tcPr>
            <w:tcW w:w="7085" w:type="dxa"/>
            <w:vAlign w:val="center"/>
          </w:tcPr>
          <w:p w14:paraId="71A424CA" w14:textId="77777777" w:rsidR="00F34BD4" w:rsidRPr="004A2365" w:rsidRDefault="00F34BD4" w:rsidP="00FF3BC7">
            <w:pPr>
              <w:pStyle w:val="Akapitzlist"/>
              <w:numPr>
                <w:ilvl w:val="0"/>
                <w:numId w:val="21"/>
              </w:numPr>
              <w:spacing w:line="276" w:lineRule="auto"/>
              <w:rPr>
                <w:rFonts w:cs="Times New Roman"/>
              </w:rPr>
            </w:pPr>
            <w:r w:rsidRPr="004A2365">
              <w:rPr>
                <w:rFonts w:cs="Times New Roman"/>
              </w:rPr>
              <w:t>Wymiana</w:t>
            </w:r>
            <w:r>
              <w:rPr>
                <w:rFonts w:cs="Times New Roman"/>
              </w:rPr>
              <w:t>/zakup</w:t>
            </w:r>
            <w:r w:rsidRPr="004A2365">
              <w:rPr>
                <w:rFonts w:cs="Times New Roman"/>
              </w:rPr>
              <w:t xml:space="preserve"> źródła ciepła, inwestycja przyłącza </w:t>
            </w:r>
            <w:r>
              <w:rPr>
                <w:rFonts w:cs="Times New Roman"/>
              </w:rPr>
              <w:t xml:space="preserve">c.o. i </w:t>
            </w:r>
            <w:proofErr w:type="spellStart"/>
            <w:r>
              <w:rPr>
                <w:rFonts w:cs="Times New Roman"/>
              </w:rPr>
              <w:t>c.w.u</w:t>
            </w:r>
            <w:proofErr w:type="spellEnd"/>
            <w:r>
              <w:rPr>
                <w:rFonts w:cs="Times New Roman"/>
              </w:rPr>
              <w:t xml:space="preserve"> </w:t>
            </w:r>
            <w:r w:rsidRPr="004A2365">
              <w:rPr>
                <w:rFonts w:cs="Times New Roman"/>
              </w:rPr>
              <w:t>(w tym m.in: podłączenie do sieci ciepłowniczej wraz z przyłączem, zakup pompy ciepła, zakup kotła gazowego kondensacyjnego).</w:t>
            </w:r>
          </w:p>
          <w:p w14:paraId="41244282" w14:textId="77777777" w:rsidR="00F34BD4" w:rsidRDefault="00F34BD4" w:rsidP="00FF3BC7">
            <w:pPr>
              <w:pStyle w:val="Akapitzlist"/>
              <w:numPr>
                <w:ilvl w:val="0"/>
                <w:numId w:val="21"/>
              </w:numPr>
              <w:spacing w:line="276" w:lineRule="auto"/>
              <w:rPr>
                <w:rFonts w:cs="Times New Roman"/>
              </w:rPr>
            </w:pPr>
            <w:r w:rsidRPr="004A2365">
              <w:rPr>
                <w:rFonts w:cs="Times New Roman"/>
              </w:rPr>
              <w:t>Ocieplenie przegród budowlanych, wymiana stolarki okiennej i drzwiowej.</w:t>
            </w:r>
          </w:p>
          <w:p w14:paraId="27184913" w14:textId="77777777" w:rsidR="00F34BD4" w:rsidRDefault="00F34BD4" w:rsidP="00FF3BC7">
            <w:pPr>
              <w:pStyle w:val="Akapitzlist"/>
              <w:numPr>
                <w:ilvl w:val="0"/>
                <w:numId w:val="21"/>
              </w:numPr>
              <w:spacing w:line="276" w:lineRule="auto"/>
              <w:rPr>
                <w:rFonts w:cs="Times New Roman"/>
              </w:rPr>
            </w:pPr>
            <w:r>
              <w:rPr>
                <w:rFonts w:cs="Times New Roman"/>
              </w:rPr>
              <w:t xml:space="preserve">Zakup i montaż okien, drzwi oddzielających pomieszczenia od przestrzeni nieogrzewanej. </w:t>
            </w:r>
          </w:p>
          <w:p w14:paraId="69B81B31" w14:textId="77777777" w:rsidR="00F34BD4" w:rsidRDefault="00F34BD4" w:rsidP="00FF3BC7">
            <w:pPr>
              <w:pStyle w:val="Akapitzlist"/>
              <w:numPr>
                <w:ilvl w:val="0"/>
                <w:numId w:val="21"/>
              </w:numPr>
              <w:spacing w:line="276" w:lineRule="auto"/>
              <w:rPr>
                <w:rFonts w:cs="Times New Roman"/>
              </w:rPr>
            </w:pPr>
            <w:r>
              <w:rPr>
                <w:rFonts w:cs="Times New Roman"/>
              </w:rPr>
              <w:t>Zakup i montaż wentylacji mechanicznej z odzyskiem ciepła.</w:t>
            </w:r>
          </w:p>
          <w:p w14:paraId="56F816F8" w14:textId="77777777" w:rsidR="00F34BD4" w:rsidRPr="004A2365" w:rsidRDefault="00F34BD4" w:rsidP="00FF3BC7">
            <w:pPr>
              <w:pStyle w:val="Akapitzlist"/>
              <w:numPr>
                <w:ilvl w:val="0"/>
                <w:numId w:val="21"/>
              </w:numPr>
              <w:spacing w:line="276" w:lineRule="auto"/>
              <w:rPr>
                <w:rFonts w:cs="Times New Roman"/>
              </w:rPr>
            </w:pPr>
            <w:r>
              <w:rPr>
                <w:rFonts w:cs="Times New Roman"/>
              </w:rPr>
              <w:t>Instalacja układów hybrydowych, tj. fotowoltaika lub elektrownia wiatrowa wraz z pompą ciepła, sprzężone w jeden układ.</w:t>
            </w:r>
          </w:p>
        </w:tc>
      </w:tr>
      <w:tr w:rsidR="00F34BD4" w:rsidRPr="004A2365" w14:paraId="66C9848C" w14:textId="77777777" w:rsidTr="00B823C1">
        <w:tc>
          <w:tcPr>
            <w:tcW w:w="1644" w:type="dxa"/>
            <w:vAlign w:val="center"/>
          </w:tcPr>
          <w:p w14:paraId="4359650F"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Typ beneficjentów</w:t>
            </w:r>
          </w:p>
        </w:tc>
        <w:tc>
          <w:tcPr>
            <w:tcW w:w="7085" w:type="dxa"/>
            <w:vAlign w:val="center"/>
          </w:tcPr>
          <w:p w14:paraId="5786BB3A" w14:textId="77777777" w:rsidR="00F34BD4" w:rsidRPr="004A2365" w:rsidRDefault="00F34BD4" w:rsidP="00FF3BC7">
            <w:pPr>
              <w:spacing w:line="276" w:lineRule="auto"/>
              <w:rPr>
                <w:rFonts w:cs="Times New Roman"/>
              </w:rPr>
            </w:pPr>
            <w:r w:rsidRPr="004A2365">
              <w:rPr>
                <w:rFonts w:cs="Times New Roman"/>
              </w:rPr>
              <w:t>Osoba fizyczna</w:t>
            </w:r>
            <w:r>
              <w:rPr>
                <w:rFonts w:cs="Times New Roman"/>
              </w:rPr>
              <w:t>, spółdzielnie mieszkaniowe,   wspólnota mieszkaniowa</w:t>
            </w:r>
            <w:r w:rsidRPr="004A2365">
              <w:rPr>
                <w:rFonts w:cs="Times New Roman"/>
              </w:rPr>
              <w:t xml:space="preserve"> </w:t>
            </w:r>
          </w:p>
        </w:tc>
      </w:tr>
      <w:tr w:rsidR="00F34BD4" w:rsidRPr="004A2365" w14:paraId="7ABA21F1" w14:textId="77777777" w:rsidTr="00B823C1">
        <w:tc>
          <w:tcPr>
            <w:tcW w:w="1644" w:type="dxa"/>
            <w:vAlign w:val="center"/>
          </w:tcPr>
          <w:p w14:paraId="5BEEDEF3"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Instytucja wdrażająca</w:t>
            </w:r>
          </w:p>
        </w:tc>
        <w:tc>
          <w:tcPr>
            <w:tcW w:w="7085" w:type="dxa"/>
            <w:vAlign w:val="center"/>
          </w:tcPr>
          <w:p w14:paraId="75EC0649" w14:textId="77777777" w:rsidR="00F34BD4" w:rsidRPr="004A2365" w:rsidRDefault="00F34BD4" w:rsidP="00FF3BC7">
            <w:pPr>
              <w:spacing w:line="276" w:lineRule="auto"/>
              <w:rPr>
                <w:rFonts w:cs="Times New Roman"/>
              </w:rPr>
            </w:pPr>
            <w:r w:rsidRPr="004A2365">
              <w:rPr>
                <w:rFonts w:cs="Times New Roman"/>
              </w:rPr>
              <w:t>Narodowy Fundusz Ochrony Środowiska i Gospodarki Wodnej (NFOŚiGW)</w:t>
            </w:r>
            <w:r>
              <w:rPr>
                <w:rFonts w:cs="Times New Roman"/>
              </w:rPr>
              <w:t>, Wojewódzkie Fundusze Ochrony Środowiska i Gospodarki Wodnej (</w:t>
            </w:r>
            <w:proofErr w:type="spellStart"/>
            <w:r>
              <w:rPr>
                <w:rFonts w:cs="Times New Roman"/>
              </w:rPr>
              <w:t>WFOŚiGW</w:t>
            </w:r>
            <w:proofErr w:type="spellEnd"/>
            <w:r>
              <w:rPr>
                <w:rFonts w:cs="Times New Roman"/>
              </w:rPr>
              <w:t>), Jednostki Samorządu Terytorialnego (JST)</w:t>
            </w:r>
          </w:p>
        </w:tc>
      </w:tr>
      <w:tr w:rsidR="00F34BD4" w:rsidRPr="004A2365" w14:paraId="0CAC8996" w14:textId="77777777" w:rsidTr="00B823C1">
        <w:tc>
          <w:tcPr>
            <w:tcW w:w="1644" w:type="dxa"/>
            <w:vAlign w:val="center"/>
          </w:tcPr>
          <w:p w14:paraId="51B50B78"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Instytucja nadzorująca</w:t>
            </w:r>
          </w:p>
        </w:tc>
        <w:tc>
          <w:tcPr>
            <w:tcW w:w="7085" w:type="dxa"/>
            <w:vAlign w:val="center"/>
          </w:tcPr>
          <w:p w14:paraId="2985CA3F" w14:textId="77777777" w:rsidR="00F34BD4" w:rsidRPr="004A2365" w:rsidRDefault="00F34BD4" w:rsidP="00FF3BC7">
            <w:pPr>
              <w:spacing w:line="276" w:lineRule="auto"/>
              <w:rPr>
                <w:rFonts w:cs="Times New Roman"/>
              </w:rPr>
            </w:pPr>
            <w:r w:rsidRPr="004A2365">
              <w:rPr>
                <w:rFonts w:cs="Times New Roman"/>
              </w:rPr>
              <w:t>Ministerstwo Klimatu i Środowiska (MKiŚ)</w:t>
            </w:r>
            <w:r>
              <w:rPr>
                <w:rFonts w:cs="Times New Roman"/>
              </w:rPr>
              <w:t>, NFOŚiGW, JST</w:t>
            </w:r>
          </w:p>
        </w:tc>
      </w:tr>
      <w:tr w:rsidR="00F34BD4" w:rsidRPr="004A2365" w14:paraId="06FCFC24" w14:textId="77777777" w:rsidTr="00B823C1">
        <w:tc>
          <w:tcPr>
            <w:tcW w:w="1644" w:type="dxa"/>
            <w:vAlign w:val="center"/>
          </w:tcPr>
          <w:p w14:paraId="522709E5" w14:textId="77777777" w:rsidR="00F34BD4" w:rsidRPr="005F6322" w:rsidRDefault="00F34BD4" w:rsidP="00FF3BC7">
            <w:pPr>
              <w:spacing w:line="276" w:lineRule="auto"/>
              <w:jc w:val="center"/>
              <w:rPr>
                <w:rFonts w:cs="Times New Roman"/>
                <w:i/>
                <w:iCs/>
                <w:color w:val="5B9BD5" w:themeColor="accent5"/>
              </w:rPr>
            </w:pPr>
          </w:p>
        </w:tc>
        <w:tc>
          <w:tcPr>
            <w:tcW w:w="7085" w:type="dxa"/>
            <w:vAlign w:val="center"/>
          </w:tcPr>
          <w:p w14:paraId="3EB37E31" w14:textId="77777777" w:rsidR="00F34BD4" w:rsidRPr="004A2365" w:rsidRDefault="00F34BD4" w:rsidP="00FF3BC7">
            <w:pPr>
              <w:spacing w:line="276" w:lineRule="auto"/>
              <w:rPr>
                <w:rFonts w:cs="Times New Roman"/>
              </w:rPr>
            </w:pPr>
          </w:p>
        </w:tc>
      </w:tr>
    </w:tbl>
    <w:p w14:paraId="3261987E" w14:textId="77777777" w:rsidR="00F34BD4" w:rsidRDefault="00F34BD4" w:rsidP="00F34BD4">
      <w:pPr>
        <w:rPr>
          <w:b/>
          <w:bCs/>
          <w:color w:val="2F5496" w:themeColor="accent1" w:themeShade="BF"/>
        </w:rPr>
      </w:pPr>
      <w:r>
        <w:rPr>
          <w:b/>
          <w:bCs/>
          <w:color w:val="2F5496" w:themeColor="accent1" w:themeShade="BF"/>
        </w:rPr>
        <w:br w:type="page"/>
      </w:r>
    </w:p>
    <w:p w14:paraId="6523E214" w14:textId="77777777" w:rsidR="00F34BD4" w:rsidRPr="004A2365" w:rsidRDefault="00F34BD4" w:rsidP="00FF3BC7">
      <w:pPr>
        <w:pStyle w:val="Akapitzlist"/>
        <w:numPr>
          <w:ilvl w:val="0"/>
          <w:numId w:val="17"/>
        </w:numPr>
        <w:spacing w:line="360" w:lineRule="auto"/>
        <w:jc w:val="left"/>
        <w:rPr>
          <w:b/>
          <w:bCs/>
          <w:color w:val="2F5496" w:themeColor="accent1" w:themeShade="BF"/>
        </w:rPr>
      </w:pPr>
      <w:r>
        <w:rPr>
          <w:b/>
          <w:bCs/>
          <w:color w:val="2F5496" w:themeColor="accent1" w:themeShade="BF"/>
        </w:rPr>
        <w:lastRenderedPageBreak/>
        <w:t>Opis środka alternatywnego</w:t>
      </w:r>
    </w:p>
    <w:p w14:paraId="2CA4FDF9" w14:textId="77777777" w:rsidR="00F34BD4" w:rsidRPr="004A2365" w:rsidRDefault="00F34BD4" w:rsidP="00373FD3">
      <w:r w:rsidRPr="004A2365">
        <w:t>Polity</w:t>
      </w:r>
      <w:r>
        <w:t>ka</w:t>
      </w:r>
      <w:r w:rsidRPr="004A2365">
        <w:t xml:space="preserve"> energetyczn</w:t>
      </w:r>
      <w:r>
        <w:t>a</w:t>
      </w:r>
      <w:r w:rsidRPr="004A2365">
        <w:t xml:space="preserve"> Polski 2040</w:t>
      </w:r>
      <w:r w:rsidRPr="00373FD3">
        <w:footnoteReference w:id="9"/>
      </w:r>
      <w:r>
        <w:t xml:space="preserve"> zakłada rozwój dwóch celów szczegółowych</w:t>
      </w:r>
      <w:r w:rsidRPr="004A2365">
        <w:t xml:space="preserve">: </w:t>
      </w:r>
      <w:r w:rsidRPr="00373FD3">
        <w:t xml:space="preserve">Rozwój ciepłownictwa i  kogeneracji </w:t>
      </w:r>
      <w:r w:rsidRPr="004A2365">
        <w:t xml:space="preserve">oraz </w:t>
      </w:r>
      <w:r w:rsidRPr="00373FD3">
        <w:t>Poprawa efektywności energetycznej</w:t>
      </w:r>
      <w:r w:rsidRPr="004A2365">
        <w:t xml:space="preserve">. W ramach powyższych celów opisane są dwa problemy horyzontalne obserwowane w Polsce, tj. </w:t>
      </w:r>
      <w:r w:rsidRPr="009619FC">
        <w:t xml:space="preserve">ograniczenie emisji i ograniczenie wykorzystania paliw stałych w gospodarstwach domowych, </w:t>
      </w:r>
      <w:r w:rsidRPr="004A2365">
        <w:t xml:space="preserve">których skala może zostać zmniejszona poprzez </w:t>
      </w:r>
      <w:r>
        <w:t xml:space="preserve">wspieranie </w:t>
      </w:r>
      <w:r w:rsidRPr="004A2365">
        <w:t>działa</w:t>
      </w:r>
      <w:r>
        <w:t>ń</w:t>
      </w:r>
      <w:r w:rsidRPr="004A2365">
        <w:t xml:space="preserve"> na rzecz poprawy efektywności energetycznej. </w:t>
      </w:r>
    </w:p>
    <w:p w14:paraId="50AFF1BA" w14:textId="77777777" w:rsidR="00F34BD4" w:rsidRDefault="00F34BD4" w:rsidP="00373FD3">
      <w:r w:rsidRPr="004A2365">
        <w:t xml:space="preserve">Mając na uwadze powyższe, </w:t>
      </w:r>
      <w:r>
        <w:t xml:space="preserve">od </w:t>
      </w:r>
      <w:r w:rsidRPr="004A2365">
        <w:t xml:space="preserve">2018 r. </w:t>
      </w:r>
      <w:r>
        <w:t xml:space="preserve">Narodowy Fundusz Ochrony Środowiska i Gospodarki Wodnej wdraża programy priorytetowe, które mają być ukierunkowane na poprawę efektywności energetycznej, a w rezultacie przyczyniać się do ograniczenia emisji i stopniowego odejście od stałych paliw kopalnych w polskich gospodarstwach domowych. </w:t>
      </w:r>
    </w:p>
    <w:p w14:paraId="08D95639" w14:textId="77777777" w:rsidR="00F34BD4" w:rsidRDefault="00F34BD4" w:rsidP="00373FD3">
      <w:r>
        <w:t xml:space="preserve">Biorąc pod uwagę skalę wymian nieefektywnych źródeł ciepła inicjatywę przejęły również jednostki samorządu terytorialnego, które w ramach dotacji celowych przyznawanych na podstawie programów niskiej emisji, ograniczenia emisji i uchwał z zakresu ochrony środowiska realizują przedsięwzięcia służące poprawie efektywności energetycznej na terenie gminy, miasta lub powiatu. Dodatkowo JST, które objęte zostały ustawą tzw. uchwałą antysmogową mają możliwość skorzystania z dofinansowania w ramach środków programu STOP SMOG. </w:t>
      </w:r>
    </w:p>
    <w:p w14:paraId="14CD8088" w14:textId="77777777" w:rsidR="00F34BD4" w:rsidRDefault="00F34BD4" w:rsidP="00373FD3">
      <w:r>
        <w:t xml:space="preserve"> W ramach środka alternatywnego Beneficjent może zrealizować następujące przedsięwzięcia: </w:t>
      </w:r>
    </w:p>
    <w:p w14:paraId="2AC8A13F" w14:textId="77777777" w:rsidR="00F34BD4" w:rsidRPr="00945B56" w:rsidRDefault="00F34BD4" w:rsidP="00373FD3">
      <w:r w:rsidRPr="00F34BD4">
        <w:t>Zakup/montaż efektywnego źródła ciepła wraz z niezbędnym osprzętem oraz/lub zbiornik c.w.u. z osprzętem;</w:t>
      </w:r>
    </w:p>
    <w:p w14:paraId="6DDEBE6F" w14:textId="77777777" w:rsidR="00F34BD4" w:rsidRPr="00E73044" w:rsidRDefault="00F34BD4" w:rsidP="00FF3BC7">
      <w:pPr>
        <w:numPr>
          <w:ilvl w:val="0"/>
          <w:numId w:val="38"/>
        </w:numPr>
      </w:pPr>
      <w:r w:rsidRPr="00F34BD4">
        <w:t xml:space="preserve">Wykonanie przyłącza gazowego i instalacji od przyłącza do kotła; </w:t>
      </w:r>
    </w:p>
    <w:p w14:paraId="153C8C48" w14:textId="77777777" w:rsidR="00F34BD4" w:rsidRPr="008D6F38" w:rsidRDefault="00F34BD4" w:rsidP="00FF3BC7">
      <w:pPr>
        <w:numPr>
          <w:ilvl w:val="0"/>
          <w:numId w:val="38"/>
        </w:numPr>
      </w:pPr>
      <w:r w:rsidRPr="00F34BD4">
        <w:t>Zakup/montaż materiałów instalacyjnych i urządzeń wchodzących w skład instalacji centralnego ogrzewania (w tym kolektorów słonecznych i pomp ciepła do ciepłej wody użytkowej);</w:t>
      </w:r>
    </w:p>
    <w:p w14:paraId="4EDE659F" w14:textId="77777777" w:rsidR="00F34BD4" w:rsidRPr="007F41D4" w:rsidRDefault="00F34BD4" w:rsidP="00FF3BC7">
      <w:pPr>
        <w:numPr>
          <w:ilvl w:val="0"/>
          <w:numId w:val="38"/>
        </w:numPr>
      </w:pPr>
      <w:r w:rsidRPr="00F34BD4">
        <w:t>Zakup/montaż materiałów instalacyjnych składających się na system wentylacji mechanicznej z odzyskiem ciepła (wentylacja z centralą wentylacyjną, rekuperatory ścienne).</w:t>
      </w:r>
    </w:p>
    <w:p w14:paraId="44ED58D5" w14:textId="77777777" w:rsidR="00F34BD4" w:rsidRPr="00185D36" w:rsidRDefault="00F34BD4" w:rsidP="00FF3BC7">
      <w:pPr>
        <w:numPr>
          <w:ilvl w:val="0"/>
          <w:numId w:val="38"/>
        </w:numPr>
      </w:pPr>
      <w:r w:rsidRPr="00F34BD4">
        <w:t>Zakup/montaż materiałów budowlanych wykorzystywanych do ocieplenia przegród budowlanych zewnętrznych i wewnętrznych oddzielających pomieszczenia ogrzewane od nieogrzewanych, stropów pod nieogrzewanymi poddaszami, stropów nad pomieszczeniami nieogrzewanymi i zamkniętymi przestrzeniami podpodłogowymi, płyt balkonowych, fundamentów itp. wchodzących w skład systemów dociepleń lub wykorzystywanych do zabezpieczenia przed zawilgoceniem.</w:t>
      </w:r>
    </w:p>
    <w:p w14:paraId="6075B593" w14:textId="77777777" w:rsidR="00F34BD4" w:rsidRPr="00185D36" w:rsidRDefault="00F34BD4" w:rsidP="00FF3BC7">
      <w:pPr>
        <w:numPr>
          <w:ilvl w:val="0"/>
          <w:numId w:val="38"/>
        </w:numPr>
      </w:pPr>
      <w:r w:rsidRPr="00F34BD4">
        <w:t xml:space="preserve">Zakup/montaż stolarki okiennej w tym okna/drzwi balkonowe, okna połaciowe, powierzchnie przezroczyste nieotwieralne wraz z systemami montażowymi. </w:t>
      </w:r>
    </w:p>
    <w:p w14:paraId="1EC3AC36" w14:textId="77777777" w:rsidR="00F34BD4" w:rsidRPr="00FE727B" w:rsidRDefault="00F34BD4" w:rsidP="00FF3BC7">
      <w:pPr>
        <w:numPr>
          <w:ilvl w:val="0"/>
          <w:numId w:val="38"/>
        </w:numPr>
      </w:pPr>
      <w:r w:rsidRPr="00F34BD4">
        <w:t xml:space="preserve">Zakup/montaż stolarki drzwiowej w tym drzwi zewnętrzne, </w:t>
      </w:r>
      <w:r w:rsidRPr="00373FD3">
        <w:t>drzwi oddzielających przestrzeń ogrzewaną od nieogrzewanej</w:t>
      </w:r>
      <w:r w:rsidRPr="00F34BD4">
        <w:t xml:space="preserve">, drzwi/bramy garażowe. </w:t>
      </w:r>
    </w:p>
    <w:p w14:paraId="53B244FE" w14:textId="77777777" w:rsidR="00F34BD4" w:rsidRDefault="00F34BD4" w:rsidP="00373FD3">
      <w:r w:rsidRPr="00FE727B">
        <w:t xml:space="preserve">Dodatkowo Beneficjent ma możliwość skorzystania z dofinansowania pokrywającego koszty dokumentacji technicznej, tj. audyt energetyczny, ekspertyzy i dokumentacje projektowe. </w:t>
      </w:r>
      <w:r>
        <w:t xml:space="preserve">Program finansowany ze środków NFOŚiGW,  środków Krajowego Planu Odbudowy, budżetu Unii Europejskiej w ramach perspektywy finansowej na lata 2021-2030 oraz instrumentu finansowego Banku Światowego Programu for </w:t>
      </w:r>
      <w:proofErr w:type="spellStart"/>
      <w:r>
        <w:t>Results</w:t>
      </w:r>
      <w:proofErr w:type="spellEnd"/>
      <w:r>
        <w:t>, jak również ze środków własnych JST.</w:t>
      </w:r>
    </w:p>
    <w:p w14:paraId="790DB902" w14:textId="77777777" w:rsidR="00F34BD4" w:rsidRDefault="00F34BD4" w:rsidP="00373FD3">
      <w:r>
        <w:t xml:space="preserve">Pomimo faktu, że program realizowany jest w skali całego kraju to przyjmowanie wniosków o dofinansowanie i wydatkowanie dotacji realizowane są lokalnie, tj. przez 16-ście </w:t>
      </w:r>
      <w:proofErr w:type="spellStart"/>
      <w:r>
        <w:t>WFOŚiGW</w:t>
      </w:r>
      <w:proofErr w:type="spellEnd"/>
      <w:r>
        <w:t xml:space="preserve"> oraz przez JST (np. gminy, miasta, powiaty).  </w:t>
      </w:r>
      <w:r w:rsidRPr="00707A7A">
        <w:t xml:space="preserve">Dostępność informacji o dofinansowaniu jest zatem orientowana </w:t>
      </w:r>
      <w:r w:rsidRPr="00707A7A">
        <w:lastRenderedPageBreak/>
        <w:t xml:space="preserve">lokalnie, organizowane są punkty doradcze i informacyjne, takie podejście zdecydowanie wpływa na podjęcie decyzji o przystąpieniu do programu. </w:t>
      </w:r>
    </w:p>
    <w:p w14:paraId="1E7F81C8" w14:textId="77777777" w:rsidR="00F34BD4" w:rsidRDefault="00F34BD4" w:rsidP="00373FD3">
      <w:r w:rsidRPr="00164916">
        <w:t xml:space="preserve">Dodatkowo uruchomiona została platforma </w:t>
      </w:r>
      <w:r w:rsidRPr="00373FD3">
        <w:t>czystepowietrze.pl</w:t>
      </w:r>
      <w:r w:rsidRPr="00373FD3">
        <w:footnoteReference w:id="10"/>
      </w:r>
      <w:r w:rsidRPr="00164916">
        <w:t xml:space="preserve">, gdzie </w:t>
      </w:r>
      <w:r>
        <w:t xml:space="preserve">można znaleźć wszystkie informacje na temat dostępnych programów, a dodatkowo platforma pozwala na składanie  </w:t>
      </w:r>
      <w:r w:rsidRPr="00164916">
        <w:t>wniosk</w:t>
      </w:r>
      <w:r>
        <w:t>ów</w:t>
      </w:r>
      <w:r w:rsidRPr="00164916">
        <w:t xml:space="preserve"> o dofinansowanie </w:t>
      </w:r>
      <w:r>
        <w:t xml:space="preserve">drogą </w:t>
      </w:r>
      <w:r w:rsidRPr="00164916">
        <w:t xml:space="preserve">elektroniczną, co powoduje jeszcze większą chęć skorzystania z dofinansowania. </w:t>
      </w:r>
      <w:r>
        <w:t>Dopełnieniem jest również Platforma Ekspertów Efektywności Energetycznej</w:t>
      </w:r>
      <w:r w:rsidRPr="00373FD3">
        <w:footnoteReference w:id="11"/>
      </w:r>
      <w:r>
        <w:t xml:space="preserve">, której </w:t>
      </w:r>
      <w:r w:rsidRPr="003D24D7">
        <w:t xml:space="preserve">celem jest ułatwienie nawiązania kontaktu między osobami planującymi wymianę </w:t>
      </w:r>
      <w:r>
        <w:t>nieefektywnego źródła ciepła</w:t>
      </w:r>
      <w:r w:rsidRPr="003D24D7">
        <w:t xml:space="preserve"> w swoim domu lub częściową bądź kompleksową termomodernizację budynku, a ekspertami w dziedzinie efektywności energetycznej budynku. Eksperci mogą pomóc w podjęciu racjonalnej decyzji opartej na technicznych i ekonomicznych przesłankach.</w:t>
      </w:r>
    </w:p>
    <w:p w14:paraId="4E7EC577" w14:textId="77777777" w:rsidR="00F34BD4" w:rsidRPr="0026334A" w:rsidRDefault="00F34BD4" w:rsidP="00FF3BC7">
      <w:pPr>
        <w:pStyle w:val="Akapitzlist"/>
        <w:numPr>
          <w:ilvl w:val="0"/>
          <w:numId w:val="17"/>
        </w:numPr>
        <w:spacing w:before="120" w:line="360" w:lineRule="auto"/>
        <w:ind w:left="1134" w:hanging="357"/>
        <w:jc w:val="left"/>
        <w:rPr>
          <w:b/>
          <w:bCs/>
          <w:color w:val="2F5496" w:themeColor="accent1" w:themeShade="BF"/>
        </w:rPr>
      </w:pPr>
      <w:bookmarkStart w:id="20" w:name="mip64171623"/>
      <w:bookmarkStart w:id="21" w:name="mip64171624"/>
      <w:bookmarkStart w:id="22" w:name="mip64171626"/>
      <w:bookmarkEnd w:id="20"/>
      <w:bookmarkEnd w:id="21"/>
      <w:bookmarkEnd w:id="22"/>
      <w:r w:rsidRPr="0026334A">
        <w:rPr>
          <w:b/>
          <w:bCs/>
          <w:color w:val="2F5496" w:themeColor="accent1" w:themeShade="BF"/>
        </w:rPr>
        <w:t xml:space="preserve">Zastosowane metody obliczeniowe, o których mowa w pkt 1 Załącznika V do dyrektywy </w:t>
      </w:r>
      <w:r>
        <w:rPr>
          <w:b/>
          <w:bCs/>
          <w:color w:val="2F5496" w:themeColor="accent1" w:themeShade="BF"/>
        </w:rPr>
        <w:t>2023/1791/UE</w:t>
      </w:r>
    </w:p>
    <w:p w14:paraId="706A57E5" w14:textId="77777777" w:rsidR="00F34BD4" w:rsidRPr="001523A2" w:rsidRDefault="00F34BD4" w:rsidP="00373FD3">
      <w:r w:rsidRPr="00851BFF">
        <w:t xml:space="preserve">W zakresie realizacji umów z programu </w:t>
      </w:r>
      <w:r w:rsidRPr="00373FD3">
        <w:t xml:space="preserve">Poprawa Efektywności Energetycznej w Budynkach Mieszkalnych </w:t>
      </w:r>
      <w:r w:rsidRPr="00851BFF">
        <w:t xml:space="preserve">dane o uzyskanych oszczędnościach energii u odbiorców końcowych są gromadzone przez </w:t>
      </w:r>
      <w:proofErr w:type="spellStart"/>
      <w:r w:rsidRPr="00851BFF">
        <w:t>WFOŚiGW</w:t>
      </w:r>
      <w:proofErr w:type="spellEnd"/>
      <w:r w:rsidRPr="00851BFF">
        <w:t xml:space="preserve"> </w:t>
      </w:r>
      <w:r>
        <w:t>oraz przez JST</w:t>
      </w:r>
      <w:r w:rsidRPr="00851BFF">
        <w:t xml:space="preserve">. W związku z faktem, że program przewiduje realizację różnych przedsięwzięć, wykorzystywane są dwie możliwe metody obliczenia oszczędności </w:t>
      </w:r>
      <w:r w:rsidRPr="00284BA9">
        <w:t xml:space="preserve">energii: </w:t>
      </w:r>
      <w:r w:rsidRPr="001523A2">
        <w:t xml:space="preserve"> oszczędność szacowna oraz oszczędność skalowana. </w:t>
      </w:r>
    </w:p>
    <w:p w14:paraId="3ABADB16" w14:textId="77777777" w:rsidR="00F34BD4" w:rsidRPr="00851BFF" w:rsidRDefault="00F34BD4" w:rsidP="00F34BD4">
      <w:pPr>
        <w:spacing w:after="0" w:line="360" w:lineRule="auto"/>
        <w:ind w:firstLine="709"/>
        <w:rPr>
          <w:b/>
          <w:bCs/>
          <w:i/>
          <w:iCs/>
          <w:color w:val="5B9BD5" w:themeColor="accent5"/>
        </w:rPr>
      </w:pPr>
      <w:r>
        <w:rPr>
          <w:b/>
          <w:bCs/>
          <w:i/>
          <w:iCs/>
          <w:color w:val="5B9BD5" w:themeColor="accent5"/>
        </w:rPr>
        <w:t>Oszczędność szacowana</w:t>
      </w:r>
    </w:p>
    <w:p w14:paraId="2D73AE3D" w14:textId="77777777" w:rsidR="00F34BD4" w:rsidRPr="00851BFF" w:rsidRDefault="00F34BD4" w:rsidP="00373FD3">
      <w:r w:rsidRPr="00F34BD4">
        <w:t>W ramach przeprowadzenia audytu energetycznego powstaje o</w:t>
      </w:r>
      <w:r w:rsidRPr="00851BFF">
        <w:t>pracowanie określające zakres oraz parametry techniczne i ekonomiczne przedsięwzięcia termomodernizacyjnego, ze wskazaniem rozwiązania optymalnego, w szczególności z punktu widzenia kosztów realizacji tego przedsięwzięcia oraz oszczędności energii. Audyt stanowi założenia do projektu budowlanego dotyczącego realizowanego przedsięwzięcia. Co więcej audyt określa efekt techniczny (oszczędności energii) i ekonomiczny przedsięwzięć termomodernizacyjnych, uwzględniane są straty energii (przenikanie i wentylacja), zapotrzebowanie na energię do ogrzewania, chłodzenia, oświetlenia oraz przygotowania ciepłej wody użytkowej oraz zyski słoneczne i bytowe</w:t>
      </w:r>
      <w:r>
        <w:t>.</w:t>
      </w:r>
    </w:p>
    <w:p w14:paraId="49F02C6E" w14:textId="77777777" w:rsidR="00F34BD4" w:rsidRPr="00851BFF" w:rsidRDefault="00F34BD4" w:rsidP="00F34BD4">
      <w:pPr>
        <w:spacing w:after="0" w:line="360" w:lineRule="auto"/>
        <w:ind w:firstLine="709"/>
        <w:rPr>
          <w:b/>
          <w:bCs/>
          <w:i/>
          <w:iCs/>
          <w:color w:val="5B9BD5" w:themeColor="accent5"/>
        </w:rPr>
      </w:pPr>
      <w:r w:rsidRPr="00851BFF">
        <w:rPr>
          <w:b/>
          <w:bCs/>
          <w:i/>
          <w:iCs/>
          <w:color w:val="5B9BD5" w:themeColor="accent5"/>
        </w:rPr>
        <w:t>Oszczędność skalowana</w:t>
      </w:r>
    </w:p>
    <w:p w14:paraId="1DE562BC" w14:textId="77777777" w:rsidR="00F34BD4" w:rsidRPr="00851BFF" w:rsidRDefault="00F34BD4" w:rsidP="00373FD3">
      <w:r w:rsidRPr="00851BFF">
        <w:t xml:space="preserve">W związku z faktem, że jest to program </w:t>
      </w:r>
      <w:r>
        <w:t xml:space="preserve">realizowany jest na skalę masowo - </w:t>
      </w:r>
      <w:r w:rsidRPr="00851BFF">
        <w:t>potencjalnie dotyczy milionów beneficjentów</w:t>
      </w:r>
      <w:r>
        <w:t>,</w:t>
      </w:r>
      <w:r w:rsidRPr="00851BFF">
        <w:t xml:space="preserve"> metodyka określania efektów jest szacunkowa na podstawie średnich wartości dla budynku referencyjnego. </w:t>
      </w:r>
    </w:p>
    <w:p w14:paraId="040999EC" w14:textId="77777777" w:rsidR="00F34BD4" w:rsidRPr="00DB3E40" w:rsidRDefault="00F34BD4" w:rsidP="00FF3BC7">
      <w:pPr>
        <w:pStyle w:val="Akapitzlist"/>
        <w:numPr>
          <w:ilvl w:val="0"/>
          <w:numId w:val="17"/>
        </w:numPr>
        <w:spacing w:before="120" w:line="360" w:lineRule="auto"/>
        <w:ind w:left="1134" w:hanging="357"/>
        <w:jc w:val="left"/>
        <w:rPr>
          <w:b/>
          <w:bCs/>
          <w:color w:val="2F5496" w:themeColor="accent1" w:themeShade="BF"/>
        </w:rPr>
      </w:pPr>
      <w:r w:rsidRPr="00DB3E40">
        <w:rPr>
          <w:b/>
          <w:bCs/>
          <w:color w:val="2F5496" w:themeColor="accent1" w:themeShade="BF"/>
        </w:rPr>
        <w:t>Metoda wyrażania wielkości oszczędności energii (oszczędność energii pierwotnej lub finalnej)</w:t>
      </w:r>
    </w:p>
    <w:p w14:paraId="7F629B1E" w14:textId="77777777" w:rsidR="00F34BD4" w:rsidRPr="00DB3E40" w:rsidRDefault="00F34BD4" w:rsidP="00373FD3">
      <w:r w:rsidRPr="00DB3E40">
        <w:t>Wielkość zużycia energii określa się na podstawie audytu energetycznego budynku lub w uzasadnionych przypadkach uproszczonego audytu energetycznego budynku, tj. oblicz</w:t>
      </w:r>
      <w:r>
        <w:t>a się</w:t>
      </w:r>
      <w:r w:rsidRPr="00DB3E40">
        <w:t xml:space="preserve"> wskaźnik efektu ekologicznego. Na podstawie powyższych, określane są podstawowe parametry przedsięwzięcia służącego poprawie efektywności energetycznej, w tym średnioroczna oszczędność energii finalnej. </w:t>
      </w:r>
    </w:p>
    <w:p w14:paraId="04E5CA6F" w14:textId="77777777" w:rsidR="00F34BD4" w:rsidRPr="00DB3E40" w:rsidRDefault="00F34BD4" w:rsidP="00FF3BC7">
      <w:pPr>
        <w:pStyle w:val="Akapitzlist"/>
        <w:numPr>
          <w:ilvl w:val="0"/>
          <w:numId w:val="17"/>
        </w:numPr>
        <w:spacing w:before="120" w:line="360" w:lineRule="auto"/>
        <w:ind w:left="1134" w:hanging="357"/>
        <w:jc w:val="left"/>
        <w:rPr>
          <w:b/>
          <w:bCs/>
          <w:color w:val="2F5496" w:themeColor="accent1" w:themeShade="BF"/>
        </w:rPr>
      </w:pPr>
      <w:r w:rsidRPr="00DB3E40">
        <w:rPr>
          <w:b/>
          <w:bCs/>
          <w:color w:val="2F5496" w:themeColor="accent1" w:themeShade="BF"/>
        </w:rPr>
        <w:t>Okres obowiązywania środków i tempo zmniejszania się oszczędności w tym okresie</w:t>
      </w:r>
    </w:p>
    <w:p w14:paraId="7E93B39A" w14:textId="68230F93" w:rsidR="00F34BD4" w:rsidRPr="00DB3E40" w:rsidRDefault="00F34BD4" w:rsidP="00373FD3">
      <w:r w:rsidRPr="00DB3E40">
        <w:t xml:space="preserve">Zgodnie z Dodatkiem VIII </w:t>
      </w:r>
      <w:r w:rsidRPr="00373FD3">
        <w:t xml:space="preserve">Okres obowiązywania środków i tempo zmniejszania się oszczędności w tym okresie </w:t>
      </w:r>
      <w:r w:rsidRPr="00DB3E40">
        <w:t>do Zaleceń Komisji</w:t>
      </w:r>
      <w:r w:rsidRPr="00373FD3">
        <w:fldChar w:fldCharType="begin"/>
      </w:r>
      <w:r w:rsidRPr="00373FD3">
        <w:instrText xml:space="preserve"> NOTEREF _Ref133923497 \h  \* MERGEFORMAT </w:instrText>
      </w:r>
      <w:r w:rsidRPr="00373FD3">
        <w:fldChar w:fldCharType="separate"/>
      </w:r>
      <w:r w:rsidR="00FD1148">
        <w:t>3</w:t>
      </w:r>
      <w:r w:rsidRPr="00373FD3">
        <w:fldChar w:fldCharType="end"/>
      </w:r>
      <w:r w:rsidRPr="00DB3E40">
        <w:t xml:space="preserve"> określono orientacyjne czasy trwania środka. W ramach realizacji programu wykonywane są następujące zadania: </w:t>
      </w:r>
    </w:p>
    <w:p w14:paraId="035E0C64" w14:textId="77777777" w:rsidR="00F34BD4" w:rsidRDefault="00F34BD4" w:rsidP="00FF3BC7">
      <w:pPr>
        <w:numPr>
          <w:ilvl w:val="0"/>
          <w:numId w:val="39"/>
        </w:numPr>
      </w:pPr>
      <w:r>
        <w:lastRenderedPageBreak/>
        <w:t>przedsięwzięcie niskoemisyjne zgodnie z art. 2 ust. 1b) ustawy z dnia 21 listopada 2008 roku o wspieraniu termomodernizacji i remontów oraz o centralnej ewidencji emisyjności budynków (Dz. U. z 2022 r. poz. 438),</w:t>
      </w:r>
    </w:p>
    <w:p w14:paraId="4A0E0C1A" w14:textId="77777777" w:rsidR="00F34BD4" w:rsidRPr="00DB3E40" w:rsidRDefault="00F34BD4" w:rsidP="00FF3BC7">
      <w:pPr>
        <w:numPr>
          <w:ilvl w:val="0"/>
          <w:numId w:val="39"/>
        </w:numPr>
      </w:pPr>
      <w:r w:rsidRPr="00DB3E40">
        <w:t xml:space="preserve">przedsięwzięcie termomodernizacyjne w rozumieniu </w:t>
      </w:r>
      <w:hyperlink r:id="rId19" w:history="1">
        <w:r w:rsidRPr="00DB3E40">
          <w:t>art. 2 pkt 2</w:t>
        </w:r>
      </w:hyperlink>
      <w:r w:rsidRPr="00DB3E40">
        <w:t xml:space="preserve"> ustawy z dnia 21 listopada 2008 r. </w:t>
      </w:r>
      <w:r w:rsidRPr="00373FD3">
        <w:t>o wspieraniu termomodernizacji i remontów oraz o centralnej ewidencji emisyjności budynków</w:t>
      </w:r>
      <w:r w:rsidRPr="00DB3E40">
        <w:t xml:space="preserve">, </w:t>
      </w:r>
    </w:p>
    <w:p w14:paraId="17F32EFE" w14:textId="77777777" w:rsidR="00F34BD4" w:rsidRPr="00DB3E40" w:rsidRDefault="00F34BD4" w:rsidP="00FF3BC7">
      <w:pPr>
        <w:numPr>
          <w:ilvl w:val="0"/>
          <w:numId w:val="39"/>
        </w:numPr>
      </w:pPr>
      <w:bookmarkStart w:id="23" w:name="mip61703357"/>
      <w:bookmarkEnd w:id="23"/>
      <w:r w:rsidRPr="00DB3E40">
        <w:t xml:space="preserve">przedsięwzięcie remontowe w rozumieniu </w:t>
      </w:r>
      <w:hyperlink r:id="rId20" w:history="1">
        <w:r w:rsidRPr="00DB3E40">
          <w:t>art. 2 pkt 3</w:t>
        </w:r>
      </w:hyperlink>
      <w:r w:rsidRPr="00DB3E40">
        <w:t xml:space="preserve"> ustawy z dnia 21 listopada 2008 r. </w:t>
      </w:r>
      <w:r w:rsidRPr="00373FD3">
        <w:t>o wspieraniu termomodernizacji i remontów oraz o centralnej ewidencji emisyjności budynków</w:t>
      </w:r>
      <w:r w:rsidRPr="00DB3E40">
        <w:t xml:space="preserve">, </w:t>
      </w:r>
    </w:p>
    <w:p w14:paraId="675E8F2D" w14:textId="77777777" w:rsidR="00F34BD4" w:rsidRPr="00DB3E40" w:rsidRDefault="00F34BD4" w:rsidP="00FF3BC7">
      <w:pPr>
        <w:numPr>
          <w:ilvl w:val="0"/>
          <w:numId w:val="39"/>
        </w:numPr>
      </w:pPr>
      <w:r w:rsidRPr="00DB3E40">
        <w:t xml:space="preserve">przedsięwzięcie termomodernizacyjne finansowane ze środków, o których mowa w </w:t>
      </w:r>
      <w:hyperlink r:id="rId21" w:history="1">
        <w:r w:rsidRPr="00DB3E40">
          <w:t>art. 18 ust. 3 pkt 2-6</w:t>
        </w:r>
      </w:hyperlink>
      <w:r w:rsidRPr="00DB3E40">
        <w:t xml:space="preserve"> ustawy z dnia 20 maja 2016 r. </w:t>
      </w:r>
      <w:r w:rsidRPr="00373FD3">
        <w:t>o efektywności energetycznej</w:t>
      </w:r>
      <w:r w:rsidRPr="00DB3E40">
        <w:t xml:space="preserve"> (Dz.U. z 2021 r. </w:t>
      </w:r>
      <w:hyperlink r:id="rId22" w:history="1">
        <w:r w:rsidRPr="00DB3E40">
          <w:t>poz. 2166</w:t>
        </w:r>
      </w:hyperlink>
      <w:r w:rsidRPr="00DB3E40">
        <w:t>).</w:t>
      </w:r>
    </w:p>
    <w:p w14:paraId="31A7A770" w14:textId="77777777" w:rsidR="00F34BD4" w:rsidRDefault="00F34BD4" w:rsidP="00373FD3">
      <w:r w:rsidRPr="00DB3E40">
        <w:t xml:space="preserve">Biorąc pod uwagę rodzaj przedsięwzięć realizowanych w ramach programu czas obowiązywania środków będzie nie dłuższy </w:t>
      </w:r>
      <w:r w:rsidRPr="00373FD3">
        <w:t>niż 25 lat</w:t>
      </w:r>
      <w:r w:rsidRPr="00DB3E40">
        <w:t xml:space="preserve">. </w:t>
      </w:r>
    </w:p>
    <w:p w14:paraId="07CF315B" w14:textId="77777777" w:rsidR="00F34BD4" w:rsidRPr="001644C2" w:rsidRDefault="00F34BD4" w:rsidP="00FF3BC7">
      <w:pPr>
        <w:pStyle w:val="Akapitzlist"/>
        <w:numPr>
          <w:ilvl w:val="0"/>
          <w:numId w:val="17"/>
        </w:numPr>
        <w:spacing w:before="120" w:line="360" w:lineRule="auto"/>
        <w:ind w:left="1134" w:hanging="357"/>
        <w:jc w:val="left"/>
        <w:rPr>
          <w:b/>
          <w:bCs/>
          <w:color w:val="2F5496" w:themeColor="accent1" w:themeShade="BF"/>
        </w:rPr>
      </w:pPr>
      <w:bookmarkStart w:id="24" w:name="mip61703358"/>
      <w:bookmarkEnd w:id="24"/>
      <w:r w:rsidRPr="001644C2">
        <w:rPr>
          <w:b/>
          <w:bCs/>
          <w:color w:val="2F5496" w:themeColor="accent1" w:themeShade="BF"/>
        </w:rPr>
        <w:t xml:space="preserve">Krótki opis metody obliczania oszczędności energii, w tym sposobów zapewniania dodatkowości i istotności oraz metod i poziomów referencyjnych stosowanych do oszczędności </w:t>
      </w:r>
      <w:r>
        <w:rPr>
          <w:b/>
          <w:bCs/>
          <w:color w:val="2F5496" w:themeColor="accent1" w:themeShade="BF"/>
        </w:rPr>
        <w:t>szacowanej</w:t>
      </w:r>
      <w:r w:rsidRPr="001644C2">
        <w:rPr>
          <w:b/>
          <w:bCs/>
          <w:color w:val="2F5496" w:themeColor="accent1" w:themeShade="BF"/>
        </w:rPr>
        <w:t xml:space="preserve"> i skalowanych</w:t>
      </w:r>
    </w:p>
    <w:p w14:paraId="32A53658" w14:textId="77777777" w:rsidR="00F34BD4" w:rsidRDefault="00F34BD4" w:rsidP="00373FD3">
      <w:r>
        <w:t xml:space="preserve">Oszczędność energii finalnej obliczana </w:t>
      </w:r>
      <w:r w:rsidRPr="00956BE8">
        <w:t>na podstawie uproszczonej metodyki szacowania efektu ekologicznego, która</w:t>
      </w:r>
      <w:r>
        <w:t xml:space="preserve"> zostaje każdorazowo przygotowana na potrzeby danego priorytetowego oraz na podstawie Rozporządzenia </w:t>
      </w:r>
      <w:r w:rsidRPr="002A34FA">
        <w:t xml:space="preserve">Ministra Klimatu i Środowiska </w:t>
      </w:r>
      <w:r>
        <w:t xml:space="preserve">z dnia 22 listopada 2021 r. </w:t>
      </w:r>
      <w:r w:rsidRPr="00373FD3">
        <w:t xml:space="preserve">w sprawie wartości referencyjnych oszczędności energii finalnej dla przedsięwzięć służących poprawie efektywności energetycznej oraz w sprawie sposobu obliczania tych wartości </w:t>
      </w:r>
      <w:r>
        <w:t xml:space="preserve">(Dz. U. z 2021 r. poz. 2172).  </w:t>
      </w:r>
      <w:r w:rsidRPr="00956BE8">
        <w:t xml:space="preserve">Stosowna metodyka została opracowana </w:t>
      </w:r>
      <w:r>
        <w:t xml:space="preserve">biorąc pod uwagę </w:t>
      </w:r>
      <w:r w:rsidRPr="00956BE8">
        <w:t>sprawnoś</w:t>
      </w:r>
      <w:r>
        <w:t xml:space="preserve">ć </w:t>
      </w:r>
      <w:r w:rsidRPr="00956BE8">
        <w:t xml:space="preserve"> sezonow</w:t>
      </w:r>
      <w:r>
        <w:t>ą</w:t>
      </w:r>
      <w:r w:rsidRPr="00956BE8">
        <w:t xml:space="preserve"> źródeł ciepła oraz współczynnik nakładu nieodnawialnej energii pierwotnej</w:t>
      </w:r>
      <w:r>
        <w:t>. Dane do szacunków</w:t>
      </w:r>
      <w:r w:rsidRPr="00956BE8">
        <w:t xml:space="preserve"> zostały przyjęte na podstawie dostępnej literatury </w:t>
      </w:r>
      <w:r>
        <w:t>oraz</w:t>
      </w:r>
      <w:r w:rsidRPr="00956BE8">
        <w:t xml:space="preserve"> Rozporządzenia Ministra Infrastruktury i Rozwoju z dnia 27 lutego 2015 r. </w:t>
      </w:r>
      <w:r w:rsidRPr="00373FD3">
        <w:t xml:space="preserve">w sprawie metodologii wyznaczania charakterystyki energetycznej budynku lub części budynku oraz świadectw charakterystyki energetycznej </w:t>
      </w:r>
      <w:r w:rsidRPr="006114CF">
        <w:t>(Dz. U. z 2015 r. poz. 376).</w:t>
      </w:r>
      <w:r w:rsidRPr="00373FD3">
        <w:t xml:space="preserve"> </w:t>
      </w:r>
      <w:r w:rsidRPr="00956BE8">
        <w:t>Na tej podstawie, dla każdego z przedsięwzięć realizowanego w ramach programu ustalone zostały uśrednione wskaźniki osiągnięcia celu (tj. zmniejszenie zużycia energii końcowej) w odniesieniu do 1m</w:t>
      </w:r>
      <w:r w:rsidRPr="00373FD3">
        <w:t>2</w:t>
      </w:r>
      <w:r w:rsidRPr="00956BE8">
        <w:t xml:space="preserve"> powierzchni lokalu</w:t>
      </w:r>
      <w:r>
        <w:t>. W</w:t>
      </w:r>
      <w:r w:rsidRPr="00956BE8">
        <w:t xml:space="preserve"> celu monitorowania postępu osiągania założonego celu </w:t>
      </w:r>
      <w:r>
        <w:t xml:space="preserve">oszczędności energii finalnej </w:t>
      </w:r>
      <w:r w:rsidRPr="00956BE8">
        <w:t xml:space="preserve">stosuje się następujący wzór: </w:t>
      </w:r>
    </w:p>
    <w:p w14:paraId="07228FFC" w14:textId="77777777" w:rsidR="00F34BD4" w:rsidRDefault="00F34BD4" w:rsidP="00373FD3"/>
    <w:p w14:paraId="53FA6AFF" w14:textId="77777777" w:rsidR="00F34BD4" w:rsidRPr="00956BE8" w:rsidRDefault="00F34BD4" w:rsidP="00F34BD4">
      <w:pPr>
        <w:spacing w:after="0" w:line="360" w:lineRule="auto"/>
        <w:ind w:firstLine="709"/>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512"/>
        <w:gridCol w:w="562"/>
      </w:tblGrid>
      <w:tr w:rsidR="00F34BD4" w14:paraId="1A583779" w14:textId="77777777" w:rsidTr="00B823C1">
        <w:tc>
          <w:tcPr>
            <w:tcW w:w="988" w:type="dxa"/>
          </w:tcPr>
          <w:p w14:paraId="48E7982C" w14:textId="77777777" w:rsidR="00F34BD4" w:rsidRDefault="00F34BD4" w:rsidP="00B823C1">
            <w:pPr>
              <w:spacing w:line="360" w:lineRule="auto"/>
            </w:pPr>
          </w:p>
        </w:tc>
        <w:tc>
          <w:tcPr>
            <w:tcW w:w="7512" w:type="dxa"/>
          </w:tcPr>
          <w:p w14:paraId="77C59A29" w14:textId="77777777" w:rsidR="00F34BD4" w:rsidRPr="00417968" w:rsidRDefault="00FD1148" w:rsidP="00B823C1">
            <w:pPr>
              <w:spacing w:line="360" w:lineRule="auto"/>
              <w:ind w:firstLine="709"/>
              <w:rPr>
                <w:b/>
                <w:bCs/>
                <w:sz w:val="28"/>
                <w:szCs w:val="28"/>
              </w:rPr>
            </w:pPr>
            <m:oMathPara>
              <m:oMath>
                <m:sSub>
                  <m:sSubPr>
                    <m:ctrlPr>
                      <w:rPr>
                        <w:rFonts w:ascii="Cambria Math" w:hAnsi="Cambria Math"/>
                        <w:b/>
                        <w:bCs/>
                        <w:sz w:val="28"/>
                        <w:szCs w:val="28"/>
                      </w:rPr>
                    </m:ctrlPr>
                  </m:sSubPr>
                  <m:e>
                    <m:r>
                      <m:rPr>
                        <m:sty m:val="bi"/>
                      </m:rPr>
                      <w:rPr>
                        <w:rFonts w:ascii="Cambria Math" w:hAnsi="Cambria Math"/>
                        <w:sz w:val="28"/>
                        <w:szCs w:val="28"/>
                      </w:rPr>
                      <m:t>R</m:t>
                    </m:r>
                  </m:e>
                  <m:sub>
                    <m:r>
                      <m:rPr>
                        <m:sty m:val="bi"/>
                      </m:rPr>
                      <w:rPr>
                        <w:rFonts w:ascii="Cambria Math" w:hAnsi="Cambria Math"/>
                        <w:sz w:val="28"/>
                        <w:szCs w:val="28"/>
                      </w:rPr>
                      <m:t>f</m:t>
                    </m:r>
                  </m:sub>
                </m:sSub>
                <m:r>
                  <m:rPr>
                    <m:sty m:val="b"/>
                  </m:rPr>
                  <w:rPr>
                    <w:rFonts w:ascii="Cambria Math" w:hAnsi="Cambria Math"/>
                    <w:sz w:val="28"/>
                    <w:szCs w:val="28"/>
                  </w:rPr>
                  <m:t>=A∙ω,</m:t>
                </m:r>
              </m:oMath>
            </m:oMathPara>
          </w:p>
        </w:tc>
        <w:tc>
          <w:tcPr>
            <w:tcW w:w="562" w:type="dxa"/>
          </w:tcPr>
          <w:p w14:paraId="72B8105A" w14:textId="77777777" w:rsidR="00F34BD4" w:rsidRDefault="00F34BD4" w:rsidP="00B823C1">
            <w:pPr>
              <w:spacing w:line="360" w:lineRule="auto"/>
            </w:pPr>
            <w:r>
              <w:t>(4)</w:t>
            </w:r>
          </w:p>
        </w:tc>
      </w:tr>
    </w:tbl>
    <w:p w14:paraId="4554CA4A" w14:textId="77777777" w:rsidR="00F34BD4" w:rsidRPr="001644C2" w:rsidRDefault="00F34BD4" w:rsidP="00F34BD4">
      <w:pPr>
        <w:spacing w:after="0" w:line="360" w:lineRule="auto"/>
      </w:pPr>
      <w:r w:rsidRPr="001644C2">
        <w:t xml:space="preserve">gdzie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0"/>
        <w:gridCol w:w="390"/>
        <w:gridCol w:w="7082"/>
      </w:tblGrid>
      <w:tr w:rsidR="00F34BD4" w14:paraId="684A260F" w14:textId="77777777" w:rsidTr="00B823C1">
        <w:tc>
          <w:tcPr>
            <w:tcW w:w="1590" w:type="dxa"/>
          </w:tcPr>
          <w:p w14:paraId="60E14E99" w14:textId="77777777" w:rsidR="00F34BD4" w:rsidRPr="005A569A" w:rsidRDefault="00FD1148" w:rsidP="00B823C1">
            <w:pPr>
              <w:spacing w:line="360" w:lineRule="auto"/>
              <w:rPr>
                <w:rFonts w:eastAsia="Calibri" w:cs="Arial"/>
              </w:rPr>
            </w:pPr>
            <m:oMathPara>
              <m:oMathParaPr>
                <m:jc m:val="left"/>
              </m:oMathParaPr>
              <m:oMath>
                <m:sSub>
                  <m:sSubPr>
                    <m:ctrlPr>
                      <w:rPr>
                        <w:rFonts w:ascii="Cambria Math" w:hAnsi="Cambria Math"/>
                      </w:rPr>
                    </m:ctrlPr>
                  </m:sSubPr>
                  <m:e>
                    <m:r>
                      <w:rPr>
                        <w:rFonts w:ascii="Cambria Math" w:hAnsi="Cambria Math"/>
                      </w:rPr>
                      <m:t>R</m:t>
                    </m:r>
                  </m:e>
                  <m:sub>
                    <m:r>
                      <w:rPr>
                        <w:rFonts w:ascii="Cambria Math" w:hAnsi="Cambria Math"/>
                      </w:rPr>
                      <m:t>f</m:t>
                    </m:r>
                  </m:sub>
                </m:sSub>
              </m:oMath>
            </m:oMathPara>
          </w:p>
        </w:tc>
        <w:tc>
          <w:tcPr>
            <w:tcW w:w="390" w:type="dxa"/>
          </w:tcPr>
          <w:p w14:paraId="3E913BFE" w14:textId="77777777" w:rsidR="00F34BD4" w:rsidRDefault="00F34BD4" w:rsidP="00B823C1">
            <w:pPr>
              <w:spacing w:line="360" w:lineRule="auto"/>
            </w:pPr>
            <w:r>
              <w:t>-</w:t>
            </w:r>
          </w:p>
        </w:tc>
        <w:tc>
          <w:tcPr>
            <w:tcW w:w="7082" w:type="dxa"/>
          </w:tcPr>
          <w:p w14:paraId="64B75524" w14:textId="77777777" w:rsidR="00F34BD4" w:rsidRPr="007356AA" w:rsidRDefault="00F34BD4" w:rsidP="00B823C1">
            <w:pPr>
              <w:spacing w:line="360" w:lineRule="auto"/>
            </w:pPr>
            <w:r w:rsidRPr="00E9324C">
              <w:t>wartość referencyjną oszczędności energii finalnej</w:t>
            </w:r>
            <w:r>
              <w:t xml:space="preserve"> [</w:t>
            </w:r>
            <w:proofErr w:type="spellStart"/>
            <w:r>
              <w:t>ktoe</w:t>
            </w:r>
            <w:proofErr w:type="spellEnd"/>
            <w:r>
              <w:t>/rok];</w:t>
            </w:r>
          </w:p>
        </w:tc>
      </w:tr>
      <w:tr w:rsidR="00F34BD4" w14:paraId="3217C6AF" w14:textId="77777777" w:rsidTr="00B823C1">
        <w:tc>
          <w:tcPr>
            <w:tcW w:w="1590" w:type="dxa"/>
          </w:tcPr>
          <w:p w14:paraId="7FA3016F" w14:textId="77777777" w:rsidR="00F34BD4" w:rsidRPr="005F0FD1" w:rsidRDefault="00F34BD4" w:rsidP="00B823C1">
            <w:pPr>
              <w:spacing w:line="360" w:lineRule="auto"/>
            </w:pPr>
            <m:oMathPara>
              <m:oMathParaPr>
                <m:jc m:val="left"/>
              </m:oMathParaPr>
              <m:oMath>
                <m:r>
                  <m:rPr>
                    <m:sty m:val="p"/>
                  </m:rPr>
                  <w:rPr>
                    <w:rFonts w:ascii="Cambria Math" w:hAnsi="Cambria Math"/>
                  </w:rPr>
                  <m:t>A</m:t>
                </m:r>
              </m:oMath>
            </m:oMathPara>
          </w:p>
        </w:tc>
        <w:tc>
          <w:tcPr>
            <w:tcW w:w="390" w:type="dxa"/>
          </w:tcPr>
          <w:p w14:paraId="2B7B066C" w14:textId="77777777" w:rsidR="00F34BD4" w:rsidRDefault="00F34BD4" w:rsidP="00B823C1">
            <w:pPr>
              <w:spacing w:line="360" w:lineRule="auto"/>
            </w:pPr>
            <w:r>
              <w:t>-</w:t>
            </w:r>
          </w:p>
        </w:tc>
        <w:tc>
          <w:tcPr>
            <w:tcW w:w="7082" w:type="dxa"/>
          </w:tcPr>
          <w:p w14:paraId="29B223E5" w14:textId="77777777" w:rsidR="00F34BD4" w:rsidRDefault="00F34BD4" w:rsidP="00B823C1">
            <w:pPr>
              <w:spacing w:line="360" w:lineRule="auto"/>
            </w:pPr>
            <w:r w:rsidRPr="007356AA">
              <w:t>powierzchnia o regulowanej temperaturze powietrza</w:t>
            </w:r>
            <w:r>
              <w:t xml:space="preserve"> [m</w:t>
            </w:r>
            <w:r>
              <w:rPr>
                <w:vertAlign w:val="superscript"/>
              </w:rPr>
              <w:t>2</w:t>
            </w:r>
            <w:r>
              <w:t>]</w:t>
            </w:r>
            <w:r w:rsidRPr="007356AA">
              <w:t>;</w:t>
            </w:r>
            <w:r>
              <w:t xml:space="preserve"> </w:t>
            </w:r>
          </w:p>
        </w:tc>
      </w:tr>
      <w:tr w:rsidR="00F34BD4" w14:paraId="3371FD8C" w14:textId="77777777" w:rsidTr="00B823C1">
        <w:tc>
          <w:tcPr>
            <w:tcW w:w="1590" w:type="dxa"/>
          </w:tcPr>
          <w:p w14:paraId="552DEDC8" w14:textId="77777777" w:rsidR="00F34BD4" w:rsidRPr="005F0FD1" w:rsidRDefault="00F34BD4" w:rsidP="00B823C1">
            <w:pPr>
              <w:spacing w:line="360" w:lineRule="auto"/>
              <w:rPr>
                <w:rFonts w:eastAsia="Calibri" w:cs="Arial"/>
              </w:rPr>
            </w:pPr>
            <m:oMathPara>
              <m:oMathParaPr>
                <m:jc m:val="left"/>
              </m:oMathParaPr>
              <m:oMath>
                <m:r>
                  <m:rPr>
                    <m:sty m:val="p"/>
                  </m:rPr>
                  <w:rPr>
                    <w:rFonts w:ascii="Cambria Math" w:hAnsi="Cambria Math"/>
                  </w:rPr>
                  <m:t>ω</m:t>
                </m:r>
              </m:oMath>
            </m:oMathPara>
          </w:p>
        </w:tc>
        <w:tc>
          <w:tcPr>
            <w:tcW w:w="390" w:type="dxa"/>
          </w:tcPr>
          <w:p w14:paraId="5E07F310" w14:textId="77777777" w:rsidR="00F34BD4" w:rsidRDefault="00F34BD4" w:rsidP="00B823C1">
            <w:pPr>
              <w:spacing w:line="360" w:lineRule="auto"/>
            </w:pPr>
            <w:r>
              <w:t>-</w:t>
            </w:r>
          </w:p>
        </w:tc>
        <w:tc>
          <w:tcPr>
            <w:tcW w:w="7082" w:type="dxa"/>
          </w:tcPr>
          <w:p w14:paraId="72048BBE" w14:textId="77777777" w:rsidR="00F34BD4" w:rsidRDefault="00F34BD4" w:rsidP="00B823C1">
            <w:pPr>
              <w:spacing w:line="360" w:lineRule="auto"/>
            </w:pPr>
            <w:r w:rsidRPr="00981769">
              <w:t>współczynnik oszczędności energii finalnej dla przedsięwzięcia polegającego na wymianie w budynku mieszkalnym źródła ciepła</w:t>
            </w:r>
            <w:r>
              <w:t xml:space="preserve"> </w:t>
            </w:r>
            <w:r>
              <w:br/>
              <w:t>[</w:t>
            </w:r>
            <w:proofErr w:type="spellStart"/>
            <w:r>
              <w:t>toe</w:t>
            </w:r>
            <w:proofErr w:type="spellEnd"/>
            <w:r>
              <w:t>/ m</w:t>
            </w:r>
            <w:r>
              <w:rPr>
                <w:vertAlign w:val="superscript"/>
              </w:rPr>
              <w:t>2</w:t>
            </w:r>
            <w:r>
              <w:t>].</w:t>
            </w:r>
          </w:p>
        </w:tc>
      </w:tr>
    </w:tbl>
    <w:p w14:paraId="3718B1B6" w14:textId="77777777" w:rsidR="00F34BD4" w:rsidRPr="002A34FA" w:rsidRDefault="00F34BD4" w:rsidP="00F34BD4">
      <w:pPr>
        <w:spacing w:after="0" w:line="360" w:lineRule="auto"/>
        <w:ind w:firstLine="709"/>
      </w:pPr>
    </w:p>
    <w:p w14:paraId="49666264" w14:textId="77777777" w:rsidR="00F34BD4" w:rsidRDefault="00F34BD4" w:rsidP="00373FD3">
      <w:r>
        <w:t xml:space="preserve">Biorąc pod uwagę fakt, że program zakłada również możliwość realizacji przedsięwzięcia na podstawie audytu energetycznego, w którym oszacowane zostają wskaźniki… ostatecznie oszczędność energii finalnej dla programu Poprawa Efektywności Energetycznej Budynków Mieszkalnych oblicza się ze wzoru: </w:t>
      </w:r>
    </w:p>
    <w:p w14:paraId="77D976E8" w14:textId="77777777" w:rsidR="00F34BD4" w:rsidRDefault="00F34BD4" w:rsidP="00F34BD4">
      <w:pPr>
        <w:spacing w:after="0" w:line="360" w:lineRule="auto"/>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512"/>
        <w:gridCol w:w="562"/>
      </w:tblGrid>
      <w:tr w:rsidR="00F34BD4" w14:paraId="0A7C504A" w14:textId="77777777" w:rsidTr="00B823C1">
        <w:tc>
          <w:tcPr>
            <w:tcW w:w="988" w:type="dxa"/>
          </w:tcPr>
          <w:p w14:paraId="6CB3A7A7" w14:textId="77777777" w:rsidR="00F34BD4" w:rsidRDefault="00F34BD4" w:rsidP="00B823C1">
            <w:pPr>
              <w:spacing w:line="360" w:lineRule="auto"/>
            </w:pPr>
          </w:p>
          <w:p w14:paraId="433397CC" w14:textId="77777777" w:rsidR="00F34BD4" w:rsidRDefault="00F34BD4" w:rsidP="00B823C1">
            <w:pPr>
              <w:spacing w:line="360" w:lineRule="auto"/>
            </w:pPr>
          </w:p>
        </w:tc>
        <w:tc>
          <w:tcPr>
            <w:tcW w:w="7512" w:type="dxa"/>
          </w:tcPr>
          <w:p w14:paraId="2D5336C4" w14:textId="77777777" w:rsidR="00F34BD4" w:rsidRPr="00417968" w:rsidRDefault="00FD1148" w:rsidP="00B823C1">
            <w:pPr>
              <w:spacing w:line="360" w:lineRule="auto"/>
              <w:ind w:firstLine="709"/>
              <w:rPr>
                <w:b/>
                <w:bCs/>
                <w:sz w:val="28"/>
                <w:szCs w:val="28"/>
              </w:rPr>
            </w:pPr>
            <m:oMathPara>
              <m:oMath>
                <m:sSub>
                  <m:sSubPr>
                    <m:ctrlPr>
                      <w:rPr>
                        <w:rFonts w:ascii="Cambria Math" w:hAnsi="Cambria Math"/>
                        <w:b/>
                        <w:bCs/>
                        <w:sz w:val="28"/>
                        <w:szCs w:val="28"/>
                      </w:rPr>
                    </m:ctrlPr>
                  </m:sSubPr>
                  <m:e>
                    <m:r>
                      <m:rPr>
                        <m:sty m:val="bi"/>
                      </m:rPr>
                      <w:rPr>
                        <w:rFonts w:ascii="Cambria Math" w:hAnsi="Cambria Math"/>
                        <w:sz w:val="28"/>
                        <w:szCs w:val="28"/>
                      </w:rPr>
                      <m:t>O</m:t>
                    </m:r>
                  </m:e>
                  <m:sub>
                    <m:r>
                      <m:rPr>
                        <m:sty m:val="bi"/>
                      </m:rPr>
                      <w:rPr>
                        <w:rFonts w:ascii="Cambria Math" w:hAnsi="Cambria Math"/>
                        <w:sz w:val="28"/>
                        <w:szCs w:val="28"/>
                      </w:rPr>
                      <m:t>PEEBM</m:t>
                    </m:r>
                  </m:sub>
                </m:sSub>
                <m:r>
                  <m:rPr>
                    <m:sty m:val="b"/>
                  </m:rPr>
                  <w:rPr>
                    <w:rFonts w:ascii="Cambria Math" w:hAnsi="Cambria Math"/>
                    <w:sz w:val="28"/>
                    <w:szCs w:val="28"/>
                  </w:rPr>
                  <m:t>=</m:t>
                </m:r>
                <m:sSub>
                  <m:sSubPr>
                    <m:ctrlPr>
                      <w:rPr>
                        <w:rFonts w:ascii="Cambria Math" w:hAnsi="Cambria Math"/>
                        <w:b/>
                        <w:bCs/>
                        <w:sz w:val="28"/>
                        <w:szCs w:val="28"/>
                      </w:rPr>
                    </m:ctrlPr>
                  </m:sSubPr>
                  <m:e>
                    <m:r>
                      <m:rPr>
                        <m:sty m:val="bi"/>
                      </m:rPr>
                      <w:rPr>
                        <w:rFonts w:ascii="Cambria Math" w:hAnsi="Cambria Math"/>
                        <w:sz w:val="28"/>
                        <w:szCs w:val="28"/>
                      </w:rPr>
                      <m:t>R</m:t>
                    </m:r>
                  </m:e>
                  <m:sub>
                    <m:r>
                      <m:rPr>
                        <m:sty m:val="bi"/>
                      </m:rPr>
                      <w:rPr>
                        <w:rFonts w:ascii="Cambria Math" w:hAnsi="Cambria Math"/>
                        <w:sz w:val="28"/>
                        <w:szCs w:val="28"/>
                      </w:rPr>
                      <m:t>f</m:t>
                    </m:r>
                  </m:sub>
                </m:sSub>
                <m:r>
                  <m:rPr>
                    <m:sty m:val="b"/>
                  </m:rPr>
                  <w:rPr>
                    <w:rFonts w:ascii="Cambria Math" w:hAnsi="Cambria Math"/>
                    <w:sz w:val="28"/>
                    <w:szCs w:val="28"/>
                  </w:rPr>
                  <m:t>+</m:t>
                </m:r>
                <m:r>
                  <m:rPr>
                    <m:sty m:val="bi"/>
                  </m:rPr>
                  <w:rPr>
                    <w:rFonts w:ascii="Cambria Math" w:hAnsi="Cambria Math"/>
                    <w:sz w:val="28"/>
                    <w:szCs w:val="28"/>
                  </w:rPr>
                  <m:t>other savings,</m:t>
                </m:r>
              </m:oMath>
            </m:oMathPara>
          </w:p>
        </w:tc>
        <w:tc>
          <w:tcPr>
            <w:tcW w:w="562" w:type="dxa"/>
          </w:tcPr>
          <w:p w14:paraId="6C68C5E2" w14:textId="77777777" w:rsidR="00F34BD4" w:rsidRDefault="00F34BD4" w:rsidP="00B823C1">
            <w:pPr>
              <w:spacing w:line="360" w:lineRule="auto"/>
            </w:pPr>
            <w:r>
              <w:t>(5)</w:t>
            </w:r>
          </w:p>
        </w:tc>
      </w:tr>
    </w:tbl>
    <w:p w14:paraId="5E20CA9F" w14:textId="77777777" w:rsidR="00F34BD4" w:rsidRPr="001644C2" w:rsidRDefault="00F34BD4" w:rsidP="00F34BD4">
      <w:pPr>
        <w:spacing w:after="0" w:line="360" w:lineRule="auto"/>
      </w:pPr>
      <w:r w:rsidRPr="001644C2">
        <w:t xml:space="preserve">gdzie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0"/>
        <w:gridCol w:w="390"/>
        <w:gridCol w:w="7082"/>
      </w:tblGrid>
      <w:tr w:rsidR="00F34BD4" w14:paraId="5A90EC51" w14:textId="77777777" w:rsidTr="00B823C1">
        <w:tc>
          <w:tcPr>
            <w:tcW w:w="1590" w:type="dxa"/>
          </w:tcPr>
          <w:p w14:paraId="2B0A2841" w14:textId="77777777" w:rsidR="00F34BD4" w:rsidRPr="00417968" w:rsidRDefault="00FD1148" w:rsidP="00B823C1">
            <w:pPr>
              <w:spacing w:line="360" w:lineRule="auto"/>
            </w:pPr>
            <m:oMathPara>
              <m:oMathParaPr>
                <m:jc m:val="left"/>
              </m:oMathParaPr>
              <m:oMath>
                <m:sSub>
                  <m:sSubPr>
                    <m:ctrlPr>
                      <w:rPr>
                        <w:rFonts w:ascii="Cambria Math" w:hAnsi="Cambria Math"/>
                      </w:rPr>
                    </m:ctrlPr>
                  </m:sSubPr>
                  <m:e>
                    <m:r>
                      <w:rPr>
                        <w:rFonts w:ascii="Cambria Math" w:hAnsi="Cambria Math"/>
                      </w:rPr>
                      <m:t>O</m:t>
                    </m:r>
                  </m:e>
                  <m:sub>
                    <m:r>
                      <w:rPr>
                        <w:rFonts w:ascii="Cambria Math" w:hAnsi="Cambria Math"/>
                      </w:rPr>
                      <m:t>PEEBM</m:t>
                    </m:r>
                  </m:sub>
                </m:sSub>
              </m:oMath>
            </m:oMathPara>
          </w:p>
        </w:tc>
        <w:tc>
          <w:tcPr>
            <w:tcW w:w="390" w:type="dxa"/>
          </w:tcPr>
          <w:p w14:paraId="3FB70E12" w14:textId="77777777" w:rsidR="00F34BD4" w:rsidRDefault="00F34BD4" w:rsidP="00B823C1">
            <w:pPr>
              <w:spacing w:line="360" w:lineRule="auto"/>
            </w:pPr>
            <w:r>
              <w:t>-</w:t>
            </w:r>
          </w:p>
        </w:tc>
        <w:tc>
          <w:tcPr>
            <w:tcW w:w="7082" w:type="dxa"/>
          </w:tcPr>
          <w:p w14:paraId="6CA394D0" w14:textId="77777777" w:rsidR="00F34BD4" w:rsidRDefault="00F34BD4" w:rsidP="00B823C1">
            <w:pPr>
              <w:spacing w:line="360" w:lineRule="auto"/>
            </w:pPr>
            <w:r>
              <w:t>oszczędność energii finalnej [</w:t>
            </w:r>
            <w:proofErr w:type="spellStart"/>
            <w:r>
              <w:t>ktoe</w:t>
            </w:r>
            <w:proofErr w:type="spellEnd"/>
            <w:r>
              <w:t>/rok];</w:t>
            </w:r>
          </w:p>
        </w:tc>
      </w:tr>
      <w:tr w:rsidR="00F34BD4" w14:paraId="6E0586F1" w14:textId="77777777" w:rsidTr="00B823C1">
        <w:tc>
          <w:tcPr>
            <w:tcW w:w="1590" w:type="dxa"/>
          </w:tcPr>
          <w:p w14:paraId="04C6C9E7" w14:textId="77777777" w:rsidR="00F34BD4" w:rsidRPr="00417968" w:rsidRDefault="00F34BD4" w:rsidP="00B823C1">
            <w:pPr>
              <w:spacing w:line="360" w:lineRule="auto"/>
              <w:rPr>
                <w:rFonts w:eastAsia="Calibri" w:cs="Arial"/>
              </w:rPr>
            </w:pPr>
            <m:oMathPara>
              <m:oMathParaPr>
                <m:jc m:val="left"/>
              </m:oMathParaPr>
              <m:oMath>
                <m:r>
                  <w:rPr>
                    <w:rFonts w:ascii="Cambria Math" w:hAnsi="Cambria Math"/>
                  </w:rPr>
                  <m:t>other savings</m:t>
                </m:r>
              </m:oMath>
            </m:oMathPara>
          </w:p>
        </w:tc>
        <w:tc>
          <w:tcPr>
            <w:tcW w:w="390" w:type="dxa"/>
          </w:tcPr>
          <w:p w14:paraId="593C5AAA" w14:textId="77777777" w:rsidR="00F34BD4" w:rsidRDefault="00F34BD4" w:rsidP="00B823C1">
            <w:pPr>
              <w:spacing w:line="360" w:lineRule="auto"/>
            </w:pPr>
            <w:r>
              <w:t>-</w:t>
            </w:r>
          </w:p>
        </w:tc>
        <w:tc>
          <w:tcPr>
            <w:tcW w:w="7082" w:type="dxa"/>
          </w:tcPr>
          <w:p w14:paraId="7B6F0AFD" w14:textId="77777777" w:rsidR="00F34BD4" w:rsidRDefault="00F34BD4" w:rsidP="00B823C1">
            <w:pPr>
              <w:spacing w:line="360" w:lineRule="auto"/>
            </w:pPr>
            <w:r>
              <w:t>inne oszczędności energii finalnej wynikające z metody szacowanej, tj. z audytów energetycznych lub efektywności energetycznej przeprowadzanych w ramach realizacji przedsięwzięcia.</w:t>
            </w:r>
          </w:p>
        </w:tc>
      </w:tr>
    </w:tbl>
    <w:p w14:paraId="6516AF47" w14:textId="77777777" w:rsidR="00F34BD4" w:rsidRPr="001644C2" w:rsidRDefault="00F34BD4" w:rsidP="00F34BD4">
      <w:pPr>
        <w:spacing w:after="0" w:line="360" w:lineRule="auto"/>
        <w:ind w:firstLine="709"/>
      </w:pPr>
    </w:p>
    <w:p w14:paraId="324F2E01" w14:textId="77777777" w:rsidR="00F34BD4" w:rsidRPr="004E2B0D" w:rsidRDefault="00F34BD4" w:rsidP="00373FD3">
      <w:r w:rsidRPr="004E2B0D">
        <w:t>Wartości szacunkowe określone na podstawie Metodyki szacowania efektu przekazanej przez NFOŚiGW</w:t>
      </w:r>
      <w:r>
        <w:t xml:space="preserve"> są na bieżąco aktualizowane w ramach wybiórczych kontroli trwałości </w:t>
      </w:r>
      <w:r w:rsidRPr="004E2B0D">
        <w:t xml:space="preserve"> przedsięwzięcia. </w:t>
      </w:r>
      <w:r>
        <w:t xml:space="preserve">Regulamin programu przewiduje aby finansowana w ramach przedsięwzięcia instalacja była użytkowana minimum od 3 do 5 lat w zależności od rodzaju inwestycji. W tym okresie NFOŚiGW przeprowadza wybiórcze kontrole mające na celu aktualizacje oszacowanych wartości wskaźników efektów ekologicznych, w tym oszczędności energii finalnej. </w:t>
      </w:r>
    </w:p>
    <w:p w14:paraId="22A4B5D4" w14:textId="77777777" w:rsidR="00F34BD4" w:rsidRPr="00707A7A" w:rsidRDefault="00F34BD4" w:rsidP="00F34BD4">
      <w:pPr>
        <w:spacing w:after="0" w:line="360" w:lineRule="auto"/>
        <w:rPr>
          <w:b/>
          <w:bCs/>
          <w:i/>
          <w:iCs/>
          <w:color w:val="5B9BD5" w:themeColor="accent5"/>
        </w:rPr>
      </w:pPr>
      <w:r w:rsidRPr="00707A7A">
        <w:rPr>
          <w:b/>
          <w:bCs/>
          <w:i/>
          <w:iCs/>
          <w:color w:val="5B9BD5" w:themeColor="accent5"/>
        </w:rPr>
        <w:t>Zasada istotności</w:t>
      </w:r>
    </w:p>
    <w:p w14:paraId="23E05B36" w14:textId="77777777" w:rsidR="00F34BD4" w:rsidRDefault="00F34BD4" w:rsidP="00373FD3">
      <w:r>
        <w:t>Dofinansowanie</w:t>
      </w:r>
      <w:r w:rsidRPr="00707A7A">
        <w:t xml:space="preserve"> ma znaczący wpływ na decyzję o wykonaniu przedsięwzięcia służącego poprawie efektywności energetycznej, </w:t>
      </w:r>
      <w:r>
        <w:t>d</w:t>
      </w:r>
      <w:r w:rsidRPr="00707A7A">
        <w:t>ziałania beneficjenta wynikają ze wsparcia finansowego oferowanego w ramach program</w:t>
      </w:r>
      <w:r>
        <w:t>ów priorytetowych i dotacji celowych JST. Co więcej, program jest skierowany również dla beneficjentów mieszkających w budyniach wielorodzinnych od 3 do 20 lokali. W Polsce istnieje duży potencjał termomodernizacji budynków wielorodzinnych, zatem możliwość skorzystania z dofinansowania formie dotacji będzie brana pod uwagę w momencie podejmowania decyzji dotyczącej opłacalności realizacji przedsięwzięć na rzecz poprawy efektywności energetycznej.</w:t>
      </w:r>
    </w:p>
    <w:p w14:paraId="7117EE3F" w14:textId="77777777" w:rsidR="00F34BD4" w:rsidRPr="00707A7A" w:rsidRDefault="00F34BD4" w:rsidP="00373FD3">
      <w:r>
        <w:t xml:space="preserve">Dodatkowo, </w:t>
      </w:r>
      <w:r w:rsidRPr="00707A7A">
        <w:t>beneficjent zachęcany jest aby w pierwszej kolejności wykonać audyt energetyczny budynku</w:t>
      </w:r>
      <w:r>
        <w:t xml:space="preserve"> </w:t>
      </w:r>
      <w:r w:rsidRPr="00707A7A">
        <w:t xml:space="preserve">ze względu na fakt, że audyt jako koszt kwalifikowany, może uzyskać intensywność dofinansowania na poziomie 100%. </w:t>
      </w:r>
      <w:r>
        <w:t xml:space="preserve">Audyt energetyczny budynku powinien wskazywać na rozwiązania najbardziej efektywne kosztowo przedsięwzięcia służące poprawie efektywności energetycznej. </w:t>
      </w:r>
    </w:p>
    <w:p w14:paraId="3E1BD99A" w14:textId="77777777" w:rsidR="00F34BD4" w:rsidRPr="00373FD3" w:rsidRDefault="00F34BD4" w:rsidP="00373FD3">
      <w:r w:rsidRPr="00373FD3">
        <w:t>Oszczędności energii finalnej uzyskane w ramach tego środka alternatywnego są istotne dla osiągnięcia krajowego celu w zakresie oszczędności energii, określonego w art. 8 dyrektywy. Szczególne znaczenie należy przypisać efektowi skali. W ramach tego środka alternatywnego uzyskuje się istotne oszczędności energii finalnej podczas realizacji wielu przedsięwzięć służących poprawie efektywności energetycznej przynoszących stosunkowo niewielką ilość oszczędności energii.</w:t>
      </w:r>
    </w:p>
    <w:p w14:paraId="4D77C661" w14:textId="77777777" w:rsidR="00F34BD4" w:rsidRPr="008D7F37" w:rsidRDefault="00F34BD4" w:rsidP="00F34BD4">
      <w:pPr>
        <w:spacing w:after="0" w:line="360" w:lineRule="auto"/>
        <w:rPr>
          <w:b/>
          <w:bCs/>
          <w:i/>
          <w:iCs/>
          <w:color w:val="5B9BD5" w:themeColor="accent5"/>
        </w:rPr>
      </w:pPr>
      <w:r w:rsidRPr="008D7F37">
        <w:rPr>
          <w:b/>
          <w:bCs/>
          <w:i/>
          <w:iCs/>
          <w:color w:val="5B9BD5" w:themeColor="accent5"/>
        </w:rPr>
        <w:t>Zasada dodatkowości</w:t>
      </w:r>
    </w:p>
    <w:p w14:paraId="0702647D" w14:textId="77777777" w:rsidR="00F34BD4" w:rsidRDefault="00F34BD4" w:rsidP="00373FD3">
      <w:r w:rsidRPr="008D7F37">
        <w:t xml:space="preserve">Zgodnie z pkt. 2 lit </w:t>
      </w:r>
      <w:r>
        <w:t>c</w:t>
      </w:r>
      <w:r w:rsidRPr="008D7F37">
        <w:t xml:space="preserve"> Załącznika V oszczędności związane z renowacją istniejących budynków mogą być zaliczone jako oszczędność energii na użytek art. </w:t>
      </w:r>
      <w:r>
        <w:t>8</w:t>
      </w:r>
      <w:r w:rsidRPr="008D7F37">
        <w:t xml:space="preserve"> ust. 1 pod warunkiem spełnienia kryterium istotności. Co więcej, audyt energetyczny wskazuje przede wszystkim na celowość podejmowania w pierwszej kolejności racjonalnych działań poprawy charakterystyki energetycznej budynku w celu zmniejszenia zapotrzebowania na energię do ogrzewania budynku i przygotowania ciepłej wody użytkowej. Cel ten jest osiągany poprzez dodatkową izolację cieplną przegród zewnętrznych budynku, likwidację mostków cieplnych, ograniczenie strat na wentylację, uszczelnianie powłok oddzielających budynek od otoczenia zewnętrznego, częściową lub całkowitą wymianę stolarki okiennej lub drzwiowej. Inwestor, stymulowany możliwością uzyskania dofinasowanie ze środków programu, realizuje te zadania w pierwszej kolejności. </w:t>
      </w:r>
      <w:r w:rsidRPr="0082517C">
        <w:t xml:space="preserve"> </w:t>
      </w:r>
      <w:r>
        <w:t>W</w:t>
      </w:r>
      <w:r w:rsidRPr="00E3177A">
        <w:t xml:space="preserve"> wyniku realizacji przedsięwzięcia termomodernizacyjnego, w jego zakresie, muszą być spełnione minimalne aktualne standardy dla nowego budynku o niemal zerowym zużyciu energii, zdefiniowane i określone w rozporządzeniu Ministra Infrastruktury z dnia 12 kwietnia 2002 r. </w:t>
      </w:r>
      <w:r w:rsidRPr="00373FD3">
        <w:t>w sprawie warunków technicznych, jakim powinny odpowiadać budynki i ich usytuowanie</w:t>
      </w:r>
      <w:r w:rsidRPr="00E3177A">
        <w:t>.</w:t>
      </w:r>
    </w:p>
    <w:p w14:paraId="01D5BC72" w14:textId="7DB59E2E" w:rsidR="00F34BD4" w:rsidRDefault="00F34BD4" w:rsidP="00373FD3">
      <w:r>
        <w:t xml:space="preserve">Dodatkowo w przypadku inwestycji mających na celu:  </w:t>
      </w:r>
      <w:r w:rsidRPr="00665104">
        <w:t>modernizacj</w:t>
      </w:r>
      <w:r>
        <w:t>ę</w:t>
      </w:r>
      <w:r w:rsidRPr="00665104">
        <w:t xml:space="preserve"> instalacji oświetlenia </w:t>
      </w:r>
      <w:r>
        <w:t>cz</w:t>
      </w:r>
      <w:r w:rsidRPr="00665104">
        <w:t>y wymian</w:t>
      </w:r>
      <w:r>
        <w:t>ę</w:t>
      </w:r>
      <w:r w:rsidRPr="00665104">
        <w:t xml:space="preserve"> kotłów/źródeł ciepła w instalacjach ogrzewczych</w:t>
      </w:r>
      <w:r>
        <w:t xml:space="preserve"> u</w:t>
      </w:r>
      <w:r w:rsidRPr="00665104">
        <w:t xml:space="preserve">znane mogą zostać wyłącznie oszczędności energii </w:t>
      </w:r>
      <w:r w:rsidRPr="00665104">
        <w:lastRenderedPageBreak/>
        <w:t xml:space="preserve">przekraczające poziomy unijnych wymagań dotyczących wycofywania z obrotu określonych produktów związanych z energią w następstwie </w:t>
      </w:r>
      <w:r w:rsidRPr="0071320E">
        <w:t>wdrożenia środków wykonawczych na mocy dyrektywy 2009/125/WE</w:t>
      </w:r>
      <w:r w:rsidRPr="00373FD3">
        <w:fldChar w:fldCharType="begin"/>
      </w:r>
      <w:r w:rsidRPr="00373FD3">
        <w:instrText xml:space="preserve"> NOTEREF _Ref135213769 \h  \* MERGEFORMAT </w:instrText>
      </w:r>
      <w:r w:rsidRPr="00373FD3">
        <w:fldChar w:fldCharType="separate"/>
      </w:r>
      <w:r w:rsidR="00FD1148">
        <w:t>5</w:t>
      </w:r>
      <w:r w:rsidRPr="00373FD3">
        <w:fldChar w:fldCharType="end"/>
      </w:r>
      <w:r w:rsidRPr="0071320E">
        <w:t>.</w:t>
      </w:r>
      <w:r w:rsidRPr="00665104">
        <w:t xml:space="preserve"> W przypadku tych przedsięwzięć minimalne poziomy wynikające z wdrożenia przepisów unijnych dotyczących wymogów </w:t>
      </w:r>
      <w:proofErr w:type="spellStart"/>
      <w:r w:rsidRPr="00665104">
        <w:t>ekoprojektu</w:t>
      </w:r>
      <w:proofErr w:type="spellEnd"/>
      <w:r w:rsidRPr="00665104">
        <w:t xml:space="preserve"> są wyznaczane i stosowane jako poziomy referencyjne będące punktami wyjścia przy obliczaniu oszczędności energii.</w:t>
      </w:r>
    </w:p>
    <w:p w14:paraId="7FAB1B41" w14:textId="77777777" w:rsidR="00F34BD4" w:rsidRPr="00AB73D9" w:rsidRDefault="00F34BD4" w:rsidP="00FF3BC7">
      <w:pPr>
        <w:pStyle w:val="Akapitzlist"/>
        <w:numPr>
          <w:ilvl w:val="0"/>
          <w:numId w:val="17"/>
        </w:numPr>
        <w:spacing w:before="240" w:line="360" w:lineRule="auto"/>
        <w:ind w:left="1134" w:hanging="357"/>
        <w:jc w:val="left"/>
        <w:rPr>
          <w:b/>
          <w:bCs/>
          <w:color w:val="2F5496" w:themeColor="accent1" w:themeShade="BF"/>
        </w:rPr>
      </w:pPr>
      <w:r w:rsidRPr="00AB73D9">
        <w:rPr>
          <w:b/>
          <w:bCs/>
          <w:color w:val="2F5496" w:themeColor="accent1" w:themeShade="BF"/>
        </w:rPr>
        <w:t>Informacja o sposobie postępowania z ewentualnym dublowaniem się środków i indywidualnych działań w celu unikania podwójnego zliczania oszczędności energii</w:t>
      </w:r>
    </w:p>
    <w:p w14:paraId="62419582" w14:textId="77777777" w:rsidR="00F34BD4" w:rsidRPr="00AB73D9" w:rsidRDefault="00F34BD4" w:rsidP="00373FD3">
      <w:r w:rsidRPr="00AB73D9">
        <w:t xml:space="preserve">Dane zawarte we wniosku o dofinansowanie składanego do </w:t>
      </w:r>
      <w:proofErr w:type="spellStart"/>
      <w:r w:rsidRPr="00AB73D9">
        <w:t>WFOŚiGW</w:t>
      </w:r>
      <w:proofErr w:type="spellEnd"/>
      <w:r w:rsidRPr="00AB73D9">
        <w:t xml:space="preserve"> jednoznacznie identyfikują miejsce, sposób i termin przeprowadzenia danego przedsięwzięcia. Wyklucza to możliwość wydania dofinansowania dla tego samego przedsięwzięcia dla dwóch różnych podmiotów, zatem nie mogą być zgłaszane oszczędności energii wynikające z działania indywidualnego przez więcej niż jedną stronę zobowiązan</w:t>
      </w:r>
      <w:r w:rsidRPr="00AA6D86">
        <w:t>ą</w:t>
      </w:r>
      <w:r w:rsidRPr="00075176">
        <w:t>.</w:t>
      </w:r>
    </w:p>
    <w:p w14:paraId="0911879A" w14:textId="77777777" w:rsidR="00F34BD4" w:rsidRPr="00AB73D9" w:rsidRDefault="00F34BD4" w:rsidP="00373FD3">
      <w:r w:rsidRPr="00AB73D9">
        <w:t>W przypadku gdy Beneficjent programu otrzymał dofinansowanie z innych programów finansowanych ze środków publicznych, w tym w szczególności</w:t>
      </w:r>
      <w:r>
        <w:t>:</w:t>
      </w:r>
      <w:r w:rsidRPr="00AB73D9">
        <w:t xml:space="preserve"> </w:t>
      </w:r>
      <w:r>
        <w:t xml:space="preserve">z </w:t>
      </w:r>
      <w:r w:rsidRPr="00AB73D9">
        <w:t xml:space="preserve">gminnych programów ograniczania niskiej emisji, </w:t>
      </w:r>
      <w:r>
        <w:t>w ramach regionalnych programów operacyjnych 2014-2020 oraz innych programów priorytetowych NFOŚiGW, wnioskodawca</w:t>
      </w:r>
      <w:r w:rsidRPr="00AB73D9">
        <w:t xml:space="preserve"> może otrzymać dofinansowanie z programu tylko na zakres przedsięwzięcia, na który nie otrzymał dofinansowania w ramach innych programów.</w:t>
      </w:r>
    </w:p>
    <w:p w14:paraId="008BDD97" w14:textId="77777777" w:rsidR="00F34BD4" w:rsidRDefault="00F34BD4" w:rsidP="00373FD3">
      <w:r>
        <w:t>C</w:t>
      </w:r>
      <w:r w:rsidRPr="00AB73D9">
        <w:t xml:space="preserve">elem zliczania </w:t>
      </w:r>
      <w:r>
        <w:t xml:space="preserve">oszczędności wynikających z tzw. </w:t>
      </w:r>
      <w:r w:rsidRPr="00AB73D9">
        <w:t xml:space="preserve">środków alternatywnych, powołany został Centralny Rejestr Oszczędności Energii Finalnej, w którym raportowane są wszystkie przedsięwzięcia realizowane w ramach </w:t>
      </w:r>
      <w:r>
        <w:t>programu Poprawy Efektywności Energetycznej w Budynkach Mieszkalnych</w:t>
      </w:r>
      <w:r w:rsidRPr="00AB73D9">
        <w:t xml:space="preserve">. </w:t>
      </w:r>
      <w:r>
        <w:t xml:space="preserve">Instytucje </w:t>
      </w:r>
      <w:r w:rsidRPr="00EF4FC0">
        <w:t>podpisując</w:t>
      </w:r>
      <w:r>
        <w:t>e</w:t>
      </w:r>
      <w:r w:rsidRPr="00EF4FC0">
        <w:t xml:space="preserve"> umow</w:t>
      </w:r>
      <w:r>
        <w:t>ę</w:t>
      </w:r>
      <w:r w:rsidRPr="00EF4FC0">
        <w:t xml:space="preserve"> o dofinansowanie z odbiorcą końcowym </w:t>
      </w:r>
      <w:r>
        <w:t>są</w:t>
      </w:r>
      <w:r w:rsidRPr="00EF4FC0">
        <w:t xml:space="preserve"> zobowiązane do przekazania jednostkowych danych na temat przedsięwzięcia do 31 marca każdego roku, po zakończonej inwestycji</w:t>
      </w:r>
      <w:r>
        <w:t xml:space="preserve">. </w:t>
      </w:r>
      <w:r w:rsidRPr="00EF4FC0">
        <w:t>System następnie weryfikuje czy nie występuje tzw. podwójne zliczania</w:t>
      </w:r>
      <w:r>
        <w:t xml:space="preserve"> dla danej lokalizacji przedsięwzięcia</w:t>
      </w:r>
      <w:r w:rsidRPr="00EF4FC0">
        <w:t xml:space="preserve">. </w:t>
      </w:r>
    </w:p>
    <w:p w14:paraId="10C097A4" w14:textId="77777777" w:rsidR="00F34BD4" w:rsidRPr="00842530" w:rsidRDefault="00F34BD4" w:rsidP="00FF3BC7">
      <w:pPr>
        <w:pStyle w:val="Akapitzlist"/>
        <w:numPr>
          <w:ilvl w:val="0"/>
          <w:numId w:val="17"/>
        </w:numPr>
        <w:spacing w:before="120" w:line="360" w:lineRule="auto"/>
        <w:ind w:left="1134" w:hanging="357"/>
        <w:jc w:val="left"/>
        <w:rPr>
          <w:b/>
          <w:bCs/>
          <w:color w:val="2F5496" w:themeColor="accent1" w:themeShade="BF"/>
        </w:rPr>
      </w:pPr>
      <w:r w:rsidRPr="00842530">
        <w:rPr>
          <w:b/>
          <w:bCs/>
          <w:color w:val="2F5496" w:themeColor="accent1" w:themeShade="BF"/>
        </w:rPr>
        <w:t>Uwzględnienie różnic klimatycznych między regionami i zastosowane podejście</w:t>
      </w:r>
    </w:p>
    <w:p w14:paraId="47862161" w14:textId="77777777" w:rsidR="00F34BD4" w:rsidRDefault="00F34BD4" w:rsidP="00373FD3">
      <w:r w:rsidRPr="00842530">
        <w:t xml:space="preserve">W przypadku szacowanej metody obliczania oszczędności energii nie uwzględnia się różnic klimatycznych między regionami. Natomiast w przypadku inwestycji realizowanych w związku z wykonaniem audytu energetycznego, uwzględnione zostają czynniki zewnętrzne takie jak różnice klimatyczne. Wynika to z faktu, że  audyt energetyczny budynku uwzględnia czynniki zewnętrzne wpływające na zużycie energii, które dotyczą, m.in. lokalizacji (strefa klimatyczna Polski) i usytuowania budynku, a także warunków eksploatacyjnych. </w:t>
      </w:r>
    </w:p>
    <w:p w14:paraId="4B0777E0" w14:textId="77777777" w:rsidR="00F34BD4" w:rsidRPr="00684624" w:rsidRDefault="00F34BD4" w:rsidP="00FF3BC7">
      <w:pPr>
        <w:pStyle w:val="Akapitzlist"/>
        <w:numPr>
          <w:ilvl w:val="0"/>
          <w:numId w:val="17"/>
        </w:numPr>
        <w:spacing w:before="120" w:line="360" w:lineRule="auto"/>
        <w:ind w:left="1134"/>
        <w:jc w:val="left"/>
        <w:rPr>
          <w:b/>
          <w:bCs/>
          <w:color w:val="2F5496" w:themeColor="accent1" w:themeShade="BF"/>
        </w:rPr>
      </w:pPr>
      <w:r w:rsidRPr="00684624">
        <w:rPr>
          <w:b/>
          <w:bCs/>
          <w:color w:val="2F5496" w:themeColor="accent1" w:themeShade="BF"/>
        </w:rPr>
        <w:t xml:space="preserve">Oszczędność </w:t>
      </w:r>
      <w:r>
        <w:rPr>
          <w:b/>
          <w:bCs/>
          <w:color w:val="2F5496" w:themeColor="accent1" w:themeShade="BF"/>
        </w:rPr>
        <w:t xml:space="preserve">końcowego zużycia </w:t>
      </w:r>
      <w:r w:rsidRPr="00684624">
        <w:rPr>
          <w:b/>
          <w:bCs/>
          <w:color w:val="2F5496" w:themeColor="accent1" w:themeShade="BF"/>
        </w:rPr>
        <w:t>energii w okresie 2021-2030</w:t>
      </w:r>
    </w:p>
    <w:p w14:paraId="788EB50C" w14:textId="77777777" w:rsidR="00F34BD4" w:rsidRDefault="00F34BD4" w:rsidP="00373FD3">
      <w:r w:rsidRPr="00684624">
        <w:t xml:space="preserve">Realizacja </w:t>
      </w:r>
      <w:r>
        <w:t>p</w:t>
      </w:r>
      <w:r w:rsidRPr="00684624">
        <w:t>rogram</w:t>
      </w:r>
      <w:r>
        <w:t xml:space="preserve">u Poprawa Efektywności Energetycznej Budynków Mieszkalnych </w:t>
      </w:r>
      <w:r w:rsidRPr="00684624">
        <w:t xml:space="preserve"> przyczyni się do uzyskania nowych średniorocznych oszczędności </w:t>
      </w:r>
      <w:r>
        <w:t>końcowego zużycia energii</w:t>
      </w:r>
      <w:r w:rsidRPr="00684624">
        <w:t xml:space="preserve">, w wysokości </w:t>
      </w:r>
      <w:r>
        <w:t xml:space="preserve">60 </w:t>
      </w:r>
      <w:proofErr w:type="spellStart"/>
      <w:r w:rsidRPr="00684624">
        <w:t>ktoe</w:t>
      </w:r>
      <w:proofErr w:type="spellEnd"/>
      <w:r>
        <w:t xml:space="preserve"> w 2022 roku oraz 90 </w:t>
      </w:r>
      <w:proofErr w:type="spellStart"/>
      <w:r>
        <w:t>ktoe</w:t>
      </w:r>
      <w:proofErr w:type="spellEnd"/>
      <w:r>
        <w:t xml:space="preserve"> w okresie od 2023-2030</w:t>
      </w:r>
      <w:r w:rsidRPr="00684624">
        <w:t xml:space="preserve">. W Tab. </w:t>
      </w:r>
      <w:r>
        <w:t>9</w:t>
      </w:r>
      <w:r w:rsidRPr="00684624">
        <w:t xml:space="preserve"> przedstawiono </w:t>
      </w:r>
      <w:r>
        <w:t xml:space="preserve">roczne i skumulowane </w:t>
      </w:r>
      <w:r w:rsidRPr="00684624">
        <w:t>oszczędności</w:t>
      </w:r>
      <w:r>
        <w:t xml:space="preserve"> końcowego zużycia</w:t>
      </w:r>
      <w:r w:rsidRPr="00684624">
        <w:t xml:space="preserve"> energii w okresie 2021-2030</w:t>
      </w:r>
      <w:r>
        <w:t>.</w:t>
      </w:r>
    </w:p>
    <w:p w14:paraId="2895864A" w14:textId="77777777" w:rsidR="00FF3BC7" w:rsidRDefault="00FF3BC7" w:rsidP="00373FD3"/>
    <w:p w14:paraId="36F248E1" w14:textId="77777777" w:rsidR="00FF3BC7" w:rsidRDefault="00FF3BC7" w:rsidP="00373FD3"/>
    <w:p w14:paraId="1D19356B" w14:textId="77777777" w:rsidR="00FF3BC7" w:rsidRDefault="00FF3BC7" w:rsidP="00373FD3"/>
    <w:p w14:paraId="3A8E97C9" w14:textId="77777777" w:rsidR="00FF3BC7" w:rsidRDefault="00FF3BC7" w:rsidP="00373FD3"/>
    <w:p w14:paraId="15C4840C" w14:textId="43DF36CC" w:rsidR="00F34BD4" w:rsidRDefault="00F34BD4" w:rsidP="00F34BD4">
      <w:pPr>
        <w:pStyle w:val="Legenda"/>
        <w:keepNext/>
        <w:spacing w:before="120" w:line="276" w:lineRule="auto"/>
        <w:jc w:val="center"/>
      </w:pPr>
      <w:r w:rsidRPr="002D7331">
        <w:rPr>
          <w:rStyle w:val="rynqvb"/>
          <w:b/>
          <w:bCs/>
        </w:rPr>
        <w:lastRenderedPageBreak/>
        <w:t xml:space="preserve">Tab. </w:t>
      </w:r>
      <w:r w:rsidRPr="002D7331">
        <w:rPr>
          <w:rStyle w:val="rynqvb"/>
          <w:b/>
          <w:bCs/>
        </w:rPr>
        <w:fldChar w:fldCharType="begin"/>
      </w:r>
      <w:r w:rsidRPr="002D7331">
        <w:rPr>
          <w:rStyle w:val="rynqvb"/>
          <w:b/>
          <w:bCs/>
        </w:rPr>
        <w:instrText xml:space="preserve"> SEQ Tab. \* ARABIC </w:instrText>
      </w:r>
      <w:r w:rsidRPr="002D7331">
        <w:rPr>
          <w:rStyle w:val="rynqvb"/>
          <w:b/>
          <w:bCs/>
        </w:rPr>
        <w:fldChar w:fldCharType="separate"/>
      </w:r>
      <w:r w:rsidR="00FD1148">
        <w:rPr>
          <w:rStyle w:val="rynqvb"/>
          <w:b/>
          <w:bCs/>
          <w:noProof/>
        </w:rPr>
        <w:t>5</w:t>
      </w:r>
      <w:r w:rsidRPr="002D7331">
        <w:rPr>
          <w:rStyle w:val="rynqvb"/>
          <w:b/>
          <w:bCs/>
        </w:rPr>
        <w:fldChar w:fldCharType="end"/>
      </w:r>
      <w:r w:rsidRPr="002D7331">
        <w:rPr>
          <w:rStyle w:val="rynqvb"/>
          <w:b/>
          <w:bCs/>
        </w:rPr>
        <w:t xml:space="preserve"> </w:t>
      </w:r>
      <w:r>
        <w:rPr>
          <w:rStyle w:val="rynqvb"/>
          <w:b/>
          <w:bCs/>
        </w:rPr>
        <w:t>Poprawa Efektywności Energetycznej Budynków Mieszkalnych: o</w:t>
      </w:r>
      <w:r w:rsidRPr="00E35197">
        <w:rPr>
          <w:rStyle w:val="rynqvb"/>
          <w:b/>
          <w:bCs/>
        </w:rPr>
        <w:t>szczędności</w:t>
      </w:r>
      <w:r>
        <w:rPr>
          <w:rStyle w:val="rynqvb"/>
          <w:b/>
          <w:bCs/>
        </w:rPr>
        <w:t xml:space="preserve"> końcowego zużycia</w:t>
      </w:r>
      <w:r w:rsidRPr="00E35197">
        <w:rPr>
          <w:rStyle w:val="rynqvb"/>
          <w:b/>
          <w:bCs/>
        </w:rPr>
        <w:t xml:space="preserve"> energii osiągnię</w:t>
      </w:r>
      <w:r>
        <w:rPr>
          <w:rStyle w:val="rynqvb"/>
          <w:b/>
          <w:bCs/>
        </w:rPr>
        <w:t>te w 2021 roku oraz szacunkowe oszczędności</w:t>
      </w:r>
      <w:r w:rsidRPr="00E35197">
        <w:rPr>
          <w:rStyle w:val="rynqvb"/>
          <w:b/>
          <w:bCs/>
        </w:rPr>
        <w:t xml:space="preserve"> </w:t>
      </w:r>
      <w:r>
        <w:rPr>
          <w:rStyle w:val="rynqvb"/>
          <w:b/>
          <w:bCs/>
        </w:rPr>
        <w:t>do osiągnięcia</w:t>
      </w:r>
      <w:r w:rsidRPr="00E35197">
        <w:rPr>
          <w:rStyle w:val="rynqvb"/>
          <w:b/>
          <w:bCs/>
        </w:rPr>
        <w:t xml:space="preserve"> latach 202</w:t>
      </w:r>
      <w:r>
        <w:rPr>
          <w:rStyle w:val="rynqvb"/>
          <w:b/>
          <w:bCs/>
        </w:rPr>
        <w:t>2</w:t>
      </w:r>
      <w:r w:rsidRPr="00E35197">
        <w:rPr>
          <w:rStyle w:val="rynqvb"/>
          <w:b/>
          <w:bCs/>
        </w:rPr>
        <w:t>-2030 – roczne i skumulowane</w:t>
      </w:r>
    </w:p>
    <w:tbl>
      <w:tblPr>
        <w:tblpPr w:leftFromText="141" w:rightFromText="141" w:vertAnchor="text" w:horzAnchor="margin" w:tblpY="196"/>
        <w:tblW w:w="5041" w:type="pct"/>
        <w:tblCellMar>
          <w:left w:w="70" w:type="dxa"/>
          <w:right w:w="70" w:type="dxa"/>
        </w:tblCellMar>
        <w:tblLook w:val="04A0" w:firstRow="1" w:lastRow="0" w:firstColumn="1" w:lastColumn="0" w:noHBand="0" w:noVBand="1"/>
      </w:tblPr>
      <w:tblGrid>
        <w:gridCol w:w="1396"/>
        <w:gridCol w:w="670"/>
        <w:gridCol w:w="624"/>
        <w:gridCol w:w="624"/>
        <w:gridCol w:w="624"/>
        <w:gridCol w:w="656"/>
        <w:gridCol w:w="656"/>
        <w:gridCol w:w="623"/>
        <w:gridCol w:w="624"/>
        <w:gridCol w:w="624"/>
        <w:gridCol w:w="656"/>
        <w:gridCol w:w="1359"/>
      </w:tblGrid>
      <w:tr w:rsidR="00F34BD4" w:rsidRPr="0082517C" w14:paraId="52294ACF" w14:textId="77777777" w:rsidTr="00B823C1">
        <w:trPr>
          <w:trHeight w:val="282"/>
        </w:trPr>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A8F69" w14:textId="77777777" w:rsidR="00F34BD4" w:rsidRPr="00D94B5E" w:rsidRDefault="00F34BD4" w:rsidP="00B823C1">
            <w:pPr>
              <w:spacing w:after="0"/>
              <w:jc w:val="center"/>
              <w:rPr>
                <w:color w:val="000000"/>
                <w:szCs w:val="20"/>
                <w:lang w:eastAsia="pl-PL"/>
              </w:rPr>
            </w:pPr>
            <w:r w:rsidRPr="00D94B5E">
              <w:rPr>
                <w:color w:val="000000"/>
                <w:szCs w:val="20"/>
                <w:lang w:eastAsia="pl-PL"/>
              </w:rPr>
              <w:t>Rok</w:t>
            </w:r>
          </w:p>
        </w:tc>
        <w:tc>
          <w:tcPr>
            <w:tcW w:w="670" w:type="dxa"/>
            <w:tcBorders>
              <w:top w:val="single" w:sz="4" w:space="0" w:color="auto"/>
              <w:left w:val="nil"/>
              <w:bottom w:val="single" w:sz="4" w:space="0" w:color="auto"/>
              <w:right w:val="single" w:sz="4" w:space="0" w:color="auto"/>
            </w:tcBorders>
            <w:shd w:val="clear" w:color="auto" w:fill="auto"/>
            <w:noWrap/>
            <w:vAlign w:val="center"/>
            <w:hideMark/>
          </w:tcPr>
          <w:p w14:paraId="432C7AD2" w14:textId="77777777" w:rsidR="00F34BD4" w:rsidRPr="00D94B5E" w:rsidRDefault="00F34BD4" w:rsidP="00B823C1">
            <w:pPr>
              <w:spacing w:after="0"/>
              <w:jc w:val="center"/>
              <w:rPr>
                <w:color w:val="000000"/>
                <w:szCs w:val="20"/>
                <w:lang w:eastAsia="pl-PL"/>
              </w:rPr>
            </w:pPr>
            <w:r w:rsidRPr="00D94B5E">
              <w:rPr>
                <w:color w:val="000000"/>
                <w:szCs w:val="20"/>
                <w:lang w:eastAsia="pl-PL"/>
              </w:rPr>
              <w:t>2021</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14:paraId="1C70B5AA" w14:textId="77777777" w:rsidR="00F34BD4" w:rsidRPr="00D94B5E" w:rsidRDefault="00F34BD4" w:rsidP="00B823C1">
            <w:pPr>
              <w:spacing w:after="0"/>
              <w:jc w:val="center"/>
              <w:rPr>
                <w:color w:val="000000"/>
                <w:szCs w:val="20"/>
                <w:lang w:eastAsia="pl-PL"/>
              </w:rPr>
            </w:pPr>
            <w:r w:rsidRPr="00D94B5E">
              <w:rPr>
                <w:color w:val="000000"/>
                <w:szCs w:val="20"/>
                <w:lang w:eastAsia="pl-PL"/>
              </w:rPr>
              <w:t>2022</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14:paraId="2AF5F966" w14:textId="77777777" w:rsidR="00F34BD4" w:rsidRPr="00D94B5E" w:rsidRDefault="00F34BD4" w:rsidP="00B823C1">
            <w:pPr>
              <w:spacing w:after="0"/>
              <w:jc w:val="center"/>
              <w:rPr>
                <w:color w:val="000000"/>
                <w:szCs w:val="20"/>
                <w:lang w:eastAsia="pl-PL"/>
              </w:rPr>
            </w:pPr>
            <w:r w:rsidRPr="00D94B5E">
              <w:rPr>
                <w:color w:val="000000"/>
                <w:szCs w:val="20"/>
                <w:lang w:eastAsia="pl-PL"/>
              </w:rPr>
              <w:t>2023</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14:paraId="396D9233" w14:textId="77777777" w:rsidR="00F34BD4" w:rsidRPr="00D94B5E" w:rsidRDefault="00F34BD4" w:rsidP="00B823C1">
            <w:pPr>
              <w:spacing w:after="0"/>
              <w:jc w:val="center"/>
              <w:rPr>
                <w:color w:val="000000"/>
                <w:szCs w:val="20"/>
                <w:lang w:eastAsia="pl-PL"/>
              </w:rPr>
            </w:pPr>
            <w:r w:rsidRPr="00D94B5E">
              <w:rPr>
                <w:color w:val="000000"/>
                <w:szCs w:val="20"/>
                <w:lang w:eastAsia="pl-PL"/>
              </w:rPr>
              <w:t>2024</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3B8E87B1" w14:textId="77777777" w:rsidR="00F34BD4" w:rsidRPr="00D94B5E" w:rsidRDefault="00F34BD4" w:rsidP="00B823C1">
            <w:pPr>
              <w:spacing w:after="0"/>
              <w:jc w:val="center"/>
              <w:rPr>
                <w:color w:val="000000"/>
                <w:szCs w:val="20"/>
                <w:lang w:eastAsia="pl-PL"/>
              </w:rPr>
            </w:pPr>
            <w:r w:rsidRPr="00D94B5E">
              <w:rPr>
                <w:color w:val="000000"/>
                <w:szCs w:val="20"/>
                <w:lang w:eastAsia="pl-PL"/>
              </w:rPr>
              <w:t>2025</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65F870FB" w14:textId="77777777" w:rsidR="00F34BD4" w:rsidRPr="00D94B5E" w:rsidRDefault="00F34BD4" w:rsidP="00B823C1">
            <w:pPr>
              <w:spacing w:after="0"/>
              <w:jc w:val="center"/>
              <w:rPr>
                <w:color w:val="000000"/>
                <w:szCs w:val="20"/>
                <w:lang w:eastAsia="pl-PL"/>
              </w:rPr>
            </w:pPr>
            <w:r w:rsidRPr="00D94B5E">
              <w:rPr>
                <w:color w:val="000000"/>
                <w:szCs w:val="20"/>
                <w:lang w:eastAsia="pl-PL"/>
              </w:rPr>
              <w:t>2026</w:t>
            </w:r>
          </w:p>
        </w:tc>
        <w:tc>
          <w:tcPr>
            <w:tcW w:w="624" w:type="dxa"/>
            <w:tcBorders>
              <w:top w:val="single" w:sz="4" w:space="0" w:color="auto"/>
              <w:left w:val="single" w:sz="4" w:space="0" w:color="auto"/>
              <w:bottom w:val="single" w:sz="4" w:space="0" w:color="auto"/>
              <w:right w:val="single" w:sz="4" w:space="0" w:color="auto"/>
            </w:tcBorders>
            <w:vAlign w:val="center"/>
          </w:tcPr>
          <w:p w14:paraId="07134BAB" w14:textId="77777777" w:rsidR="00F34BD4" w:rsidRPr="00D94B5E" w:rsidRDefault="00F34BD4" w:rsidP="00B823C1">
            <w:pPr>
              <w:spacing w:after="0"/>
              <w:jc w:val="center"/>
              <w:rPr>
                <w:color w:val="000000"/>
                <w:szCs w:val="20"/>
                <w:lang w:eastAsia="pl-PL"/>
              </w:rPr>
            </w:pPr>
            <w:r w:rsidRPr="00D94B5E">
              <w:rPr>
                <w:color w:val="000000"/>
                <w:szCs w:val="20"/>
                <w:lang w:eastAsia="pl-PL"/>
              </w:rPr>
              <w:t>2027</w:t>
            </w:r>
          </w:p>
        </w:tc>
        <w:tc>
          <w:tcPr>
            <w:tcW w:w="624" w:type="dxa"/>
            <w:tcBorders>
              <w:top w:val="single" w:sz="4" w:space="0" w:color="auto"/>
              <w:left w:val="single" w:sz="4" w:space="0" w:color="auto"/>
              <w:bottom w:val="single" w:sz="4" w:space="0" w:color="auto"/>
              <w:right w:val="single" w:sz="4" w:space="0" w:color="auto"/>
            </w:tcBorders>
            <w:vAlign w:val="center"/>
          </w:tcPr>
          <w:p w14:paraId="0A4A839D" w14:textId="77777777" w:rsidR="00F34BD4" w:rsidRPr="00D94B5E" w:rsidRDefault="00F34BD4" w:rsidP="00B823C1">
            <w:pPr>
              <w:spacing w:after="0"/>
              <w:jc w:val="center"/>
              <w:rPr>
                <w:color w:val="000000"/>
                <w:szCs w:val="20"/>
                <w:lang w:eastAsia="pl-PL"/>
              </w:rPr>
            </w:pPr>
            <w:r w:rsidRPr="00D94B5E">
              <w:rPr>
                <w:color w:val="000000"/>
                <w:szCs w:val="20"/>
                <w:lang w:eastAsia="pl-PL"/>
              </w:rPr>
              <w:t>2028</w:t>
            </w:r>
          </w:p>
        </w:tc>
        <w:tc>
          <w:tcPr>
            <w:tcW w:w="624" w:type="dxa"/>
            <w:tcBorders>
              <w:top w:val="single" w:sz="4" w:space="0" w:color="auto"/>
              <w:left w:val="single" w:sz="4" w:space="0" w:color="auto"/>
              <w:bottom w:val="single" w:sz="4" w:space="0" w:color="auto"/>
              <w:right w:val="single" w:sz="4" w:space="0" w:color="auto"/>
            </w:tcBorders>
            <w:vAlign w:val="center"/>
          </w:tcPr>
          <w:p w14:paraId="67A7E31E" w14:textId="77777777" w:rsidR="00F34BD4" w:rsidRPr="00D94B5E" w:rsidRDefault="00F34BD4" w:rsidP="00B823C1">
            <w:pPr>
              <w:spacing w:after="0"/>
              <w:jc w:val="center"/>
              <w:rPr>
                <w:color w:val="000000"/>
                <w:szCs w:val="20"/>
                <w:lang w:eastAsia="pl-PL"/>
              </w:rPr>
            </w:pPr>
            <w:r w:rsidRPr="00D94B5E">
              <w:rPr>
                <w:color w:val="000000"/>
                <w:szCs w:val="20"/>
                <w:lang w:eastAsia="pl-PL"/>
              </w:rPr>
              <w:t>2029</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0E1DF" w14:textId="77777777" w:rsidR="00F34BD4" w:rsidRPr="00D94B5E" w:rsidRDefault="00F34BD4" w:rsidP="00B823C1">
            <w:pPr>
              <w:spacing w:after="0"/>
              <w:jc w:val="center"/>
              <w:rPr>
                <w:color w:val="000000"/>
                <w:szCs w:val="20"/>
                <w:lang w:eastAsia="pl-PL"/>
              </w:rPr>
            </w:pPr>
            <w:r w:rsidRPr="00D94B5E">
              <w:rPr>
                <w:color w:val="000000"/>
                <w:szCs w:val="20"/>
                <w:lang w:eastAsia="pl-PL"/>
              </w:rPr>
              <w:t>2030</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5F809" w14:textId="77777777" w:rsidR="00F34BD4" w:rsidRPr="00D94B5E" w:rsidRDefault="00F34BD4" w:rsidP="00B823C1">
            <w:pPr>
              <w:spacing w:after="0"/>
              <w:jc w:val="center"/>
              <w:rPr>
                <w:color w:val="000000"/>
                <w:szCs w:val="20"/>
                <w:lang w:eastAsia="pl-PL"/>
              </w:rPr>
            </w:pPr>
          </w:p>
        </w:tc>
      </w:tr>
      <w:tr w:rsidR="00F34BD4" w:rsidRPr="0082517C" w14:paraId="77FEC1ED" w14:textId="77777777" w:rsidTr="00B823C1">
        <w:trPr>
          <w:trHeight w:val="282"/>
        </w:trPr>
        <w:tc>
          <w:tcPr>
            <w:tcW w:w="1396" w:type="dxa"/>
            <w:vMerge w:val="restart"/>
            <w:tcBorders>
              <w:top w:val="nil"/>
              <w:left w:val="single" w:sz="4" w:space="0" w:color="auto"/>
              <w:right w:val="single" w:sz="4" w:space="0" w:color="auto"/>
            </w:tcBorders>
            <w:shd w:val="clear" w:color="auto" w:fill="auto"/>
            <w:vAlign w:val="center"/>
            <w:hideMark/>
          </w:tcPr>
          <w:p w14:paraId="1527C35D" w14:textId="77777777" w:rsidR="00F34BD4" w:rsidRPr="0082517C" w:rsidRDefault="00F34BD4" w:rsidP="00B823C1">
            <w:pPr>
              <w:spacing w:after="0"/>
              <w:jc w:val="center"/>
              <w:rPr>
                <w:color w:val="000000"/>
                <w:szCs w:val="20"/>
                <w:lang w:eastAsia="pl-PL"/>
              </w:rPr>
            </w:pPr>
            <w:r w:rsidRPr="00D94B5E">
              <w:rPr>
                <w:color w:val="000000"/>
                <w:szCs w:val="20"/>
                <w:lang w:eastAsia="pl-PL"/>
              </w:rPr>
              <w:t xml:space="preserve">Oszczędności </w:t>
            </w:r>
            <w:r w:rsidRPr="0082517C">
              <w:rPr>
                <w:color w:val="000000"/>
                <w:szCs w:val="20"/>
                <w:lang w:eastAsia="pl-PL"/>
              </w:rPr>
              <w:t>końcowego zużycia energii (</w:t>
            </w:r>
            <w:proofErr w:type="spellStart"/>
            <w:r w:rsidRPr="0082517C">
              <w:rPr>
                <w:color w:val="000000"/>
                <w:szCs w:val="20"/>
                <w:lang w:eastAsia="pl-PL"/>
              </w:rPr>
              <w:t>ktoe</w:t>
            </w:r>
            <w:proofErr w:type="spellEnd"/>
            <w:r w:rsidRPr="0082517C">
              <w:rPr>
                <w:color w:val="000000"/>
                <w:szCs w:val="20"/>
                <w:lang w:eastAsia="pl-PL"/>
              </w:rPr>
              <w:t>)</w:t>
            </w:r>
          </w:p>
        </w:tc>
        <w:tc>
          <w:tcPr>
            <w:tcW w:w="670" w:type="dxa"/>
            <w:tcBorders>
              <w:top w:val="nil"/>
              <w:left w:val="nil"/>
              <w:bottom w:val="single" w:sz="4" w:space="0" w:color="auto"/>
              <w:right w:val="single" w:sz="4" w:space="0" w:color="auto"/>
            </w:tcBorders>
            <w:shd w:val="clear" w:color="auto" w:fill="auto"/>
            <w:noWrap/>
            <w:vAlign w:val="center"/>
          </w:tcPr>
          <w:p w14:paraId="317E8A4C" w14:textId="77777777" w:rsidR="00F34BD4" w:rsidRPr="0082517C" w:rsidRDefault="00F34BD4" w:rsidP="00B823C1">
            <w:pPr>
              <w:spacing w:after="0"/>
              <w:jc w:val="center"/>
              <w:rPr>
                <w:color w:val="000000"/>
                <w:szCs w:val="20"/>
                <w:lang w:eastAsia="pl-PL"/>
              </w:rPr>
            </w:pPr>
            <w:r w:rsidRPr="0082517C">
              <w:rPr>
                <w:rFonts w:cs="Calibri"/>
                <w:color w:val="000000"/>
                <w:szCs w:val="20"/>
              </w:rPr>
              <w:t> </w:t>
            </w:r>
          </w:p>
        </w:tc>
        <w:tc>
          <w:tcPr>
            <w:tcW w:w="624" w:type="dxa"/>
            <w:tcBorders>
              <w:top w:val="nil"/>
              <w:left w:val="nil"/>
              <w:bottom w:val="single" w:sz="4" w:space="0" w:color="auto"/>
              <w:right w:val="single" w:sz="4" w:space="0" w:color="auto"/>
            </w:tcBorders>
            <w:shd w:val="clear" w:color="auto" w:fill="auto"/>
            <w:noWrap/>
            <w:vAlign w:val="center"/>
          </w:tcPr>
          <w:p w14:paraId="5E8C5256" w14:textId="77777777" w:rsidR="00F34BD4" w:rsidRPr="0082517C" w:rsidRDefault="00F34BD4" w:rsidP="00B823C1">
            <w:pPr>
              <w:spacing w:after="0"/>
              <w:jc w:val="center"/>
              <w:rPr>
                <w:color w:val="000000"/>
                <w:szCs w:val="20"/>
                <w:lang w:eastAsia="pl-PL"/>
              </w:rPr>
            </w:pPr>
            <w:r w:rsidRPr="0082517C">
              <w:rPr>
                <w:rFonts w:cs="Calibri"/>
                <w:color w:val="000000"/>
                <w:szCs w:val="20"/>
              </w:rPr>
              <w:t> </w:t>
            </w:r>
          </w:p>
        </w:tc>
        <w:tc>
          <w:tcPr>
            <w:tcW w:w="624" w:type="dxa"/>
            <w:tcBorders>
              <w:top w:val="nil"/>
              <w:left w:val="nil"/>
              <w:bottom w:val="single" w:sz="4" w:space="0" w:color="auto"/>
              <w:right w:val="single" w:sz="4" w:space="0" w:color="auto"/>
            </w:tcBorders>
            <w:shd w:val="clear" w:color="auto" w:fill="auto"/>
            <w:noWrap/>
            <w:vAlign w:val="center"/>
          </w:tcPr>
          <w:p w14:paraId="483F8715" w14:textId="77777777" w:rsidR="00F34BD4" w:rsidRPr="0082517C" w:rsidRDefault="00F34BD4" w:rsidP="00B823C1">
            <w:pPr>
              <w:spacing w:after="0"/>
              <w:jc w:val="center"/>
              <w:rPr>
                <w:color w:val="000000"/>
                <w:szCs w:val="20"/>
                <w:lang w:eastAsia="pl-PL"/>
              </w:rPr>
            </w:pPr>
            <w:r w:rsidRPr="0082517C">
              <w:rPr>
                <w:rFonts w:cs="Calibri"/>
                <w:color w:val="000000"/>
                <w:szCs w:val="20"/>
              </w:rPr>
              <w:t> </w:t>
            </w:r>
          </w:p>
        </w:tc>
        <w:tc>
          <w:tcPr>
            <w:tcW w:w="624" w:type="dxa"/>
            <w:tcBorders>
              <w:top w:val="nil"/>
              <w:left w:val="nil"/>
              <w:bottom w:val="single" w:sz="4" w:space="0" w:color="auto"/>
              <w:right w:val="single" w:sz="4" w:space="0" w:color="auto"/>
            </w:tcBorders>
            <w:shd w:val="clear" w:color="auto" w:fill="auto"/>
            <w:noWrap/>
            <w:vAlign w:val="center"/>
          </w:tcPr>
          <w:p w14:paraId="482E024D" w14:textId="77777777" w:rsidR="00F34BD4" w:rsidRPr="0082517C" w:rsidRDefault="00F34BD4" w:rsidP="00B823C1">
            <w:pPr>
              <w:spacing w:after="0"/>
              <w:jc w:val="center"/>
              <w:rPr>
                <w:color w:val="000000"/>
                <w:szCs w:val="20"/>
                <w:lang w:eastAsia="pl-PL"/>
              </w:rPr>
            </w:pPr>
            <w:r w:rsidRPr="0082517C">
              <w:rPr>
                <w:rFonts w:cs="Calibri"/>
                <w:color w:val="000000"/>
                <w:szCs w:val="20"/>
              </w:rPr>
              <w:t> </w:t>
            </w:r>
          </w:p>
        </w:tc>
        <w:tc>
          <w:tcPr>
            <w:tcW w:w="656" w:type="dxa"/>
            <w:tcBorders>
              <w:top w:val="nil"/>
              <w:left w:val="nil"/>
              <w:bottom w:val="single" w:sz="4" w:space="0" w:color="auto"/>
              <w:right w:val="single" w:sz="4" w:space="0" w:color="auto"/>
            </w:tcBorders>
            <w:shd w:val="clear" w:color="auto" w:fill="auto"/>
            <w:noWrap/>
            <w:vAlign w:val="center"/>
          </w:tcPr>
          <w:p w14:paraId="281B1D5D" w14:textId="77777777" w:rsidR="00F34BD4" w:rsidRPr="0082517C" w:rsidRDefault="00F34BD4" w:rsidP="00B823C1">
            <w:pPr>
              <w:spacing w:after="0"/>
              <w:jc w:val="center"/>
              <w:rPr>
                <w:color w:val="000000"/>
                <w:szCs w:val="20"/>
                <w:lang w:eastAsia="pl-PL"/>
              </w:rPr>
            </w:pPr>
            <w:r w:rsidRPr="0082517C">
              <w:rPr>
                <w:rFonts w:cs="Calibri"/>
                <w:color w:val="000000"/>
                <w:szCs w:val="20"/>
              </w:rPr>
              <w:t> </w:t>
            </w:r>
          </w:p>
        </w:tc>
        <w:tc>
          <w:tcPr>
            <w:tcW w:w="656" w:type="dxa"/>
            <w:tcBorders>
              <w:top w:val="nil"/>
              <w:left w:val="nil"/>
              <w:bottom w:val="single" w:sz="4" w:space="0" w:color="auto"/>
              <w:right w:val="single" w:sz="4" w:space="0" w:color="auto"/>
            </w:tcBorders>
            <w:shd w:val="clear" w:color="auto" w:fill="auto"/>
            <w:noWrap/>
            <w:vAlign w:val="center"/>
          </w:tcPr>
          <w:p w14:paraId="33424703" w14:textId="77777777" w:rsidR="00F34BD4" w:rsidRPr="0082517C" w:rsidRDefault="00F34BD4" w:rsidP="00B823C1">
            <w:pPr>
              <w:spacing w:after="0"/>
              <w:jc w:val="center"/>
              <w:rPr>
                <w:color w:val="000000"/>
                <w:szCs w:val="20"/>
                <w:lang w:eastAsia="pl-PL"/>
              </w:rPr>
            </w:pPr>
            <w:r w:rsidRPr="0082517C">
              <w:rPr>
                <w:rFonts w:cs="Calibri"/>
                <w:color w:val="000000"/>
                <w:szCs w:val="20"/>
              </w:rPr>
              <w:t> </w:t>
            </w:r>
          </w:p>
        </w:tc>
        <w:tc>
          <w:tcPr>
            <w:tcW w:w="624" w:type="dxa"/>
            <w:tcBorders>
              <w:top w:val="single" w:sz="4" w:space="0" w:color="auto"/>
              <w:left w:val="single" w:sz="4" w:space="0" w:color="auto"/>
              <w:bottom w:val="single" w:sz="4" w:space="0" w:color="auto"/>
              <w:right w:val="single" w:sz="4" w:space="0" w:color="auto"/>
            </w:tcBorders>
            <w:vAlign w:val="center"/>
          </w:tcPr>
          <w:p w14:paraId="10AB09D8" w14:textId="77777777" w:rsidR="00F34BD4" w:rsidRPr="0082517C" w:rsidRDefault="00F34BD4" w:rsidP="00B823C1">
            <w:pPr>
              <w:spacing w:after="0"/>
              <w:jc w:val="center"/>
              <w:rPr>
                <w:color w:val="000000"/>
                <w:szCs w:val="20"/>
                <w:lang w:eastAsia="pl-PL"/>
              </w:rPr>
            </w:pPr>
            <w:r w:rsidRPr="0082517C">
              <w:rPr>
                <w:rFonts w:cs="Calibri"/>
                <w:color w:val="000000"/>
                <w:szCs w:val="20"/>
              </w:rPr>
              <w:t> </w:t>
            </w:r>
          </w:p>
        </w:tc>
        <w:tc>
          <w:tcPr>
            <w:tcW w:w="624" w:type="dxa"/>
            <w:tcBorders>
              <w:top w:val="single" w:sz="4" w:space="0" w:color="auto"/>
              <w:left w:val="single" w:sz="4" w:space="0" w:color="auto"/>
              <w:bottom w:val="single" w:sz="4" w:space="0" w:color="auto"/>
              <w:right w:val="single" w:sz="4" w:space="0" w:color="auto"/>
            </w:tcBorders>
            <w:vAlign w:val="center"/>
          </w:tcPr>
          <w:p w14:paraId="0CA56F73" w14:textId="77777777" w:rsidR="00F34BD4" w:rsidRPr="0082517C" w:rsidRDefault="00F34BD4" w:rsidP="00B823C1">
            <w:pPr>
              <w:spacing w:after="0"/>
              <w:jc w:val="center"/>
              <w:rPr>
                <w:color w:val="000000"/>
                <w:szCs w:val="20"/>
                <w:lang w:eastAsia="pl-PL"/>
              </w:rPr>
            </w:pPr>
            <w:r w:rsidRPr="0082517C">
              <w:rPr>
                <w:rFonts w:cs="Calibri"/>
                <w:color w:val="000000"/>
                <w:szCs w:val="20"/>
              </w:rPr>
              <w:t> </w:t>
            </w:r>
          </w:p>
        </w:tc>
        <w:tc>
          <w:tcPr>
            <w:tcW w:w="624" w:type="dxa"/>
            <w:tcBorders>
              <w:top w:val="single" w:sz="4" w:space="0" w:color="auto"/>
              <w:left w:val="single" w:sz="4" w:space="0" w:color="auto"/>
              <w:bottom w:val="single" w:sz="4" w:space="0" w:color="auto"/>
              <w:right w:val="single" w:sz="4" w:space="0" w:color="auto"/>
            </w:tcBorders>
            <w:vAlign w:val="center"/>
          </w:tcPr>
          <w:p w14:paraId="41B1494C" w14:textId="77777777" w:rsidR="00F34BD4" w:rsidRPr="0082517C" w:rsidRDefault="00F34BD4" w:rsidP="00B823C1">
            <w:pPr>
              <w:spacing w:after="0"/>
              <w:jc w:val="center"/>
              <w:rPr>
                <w:color w:val="000000"/>
                <w:szCs w:val="20"/>
                <w:lang w:eastAsia="pl-PL"/>
              </w:rPr>
            </w:pPr>
            <w:r w:rsidRPr="0082517C">
              <w:rPr>
                <w:rFonts w:cs="Calibri"/>
                <w:color w:val="000000"/>
                <w:szCs w:val="20"/>
              </w:rPr>
              <w:t>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55BD21" w14:textId="77777777" w:rsidR="00F34BD4" w:rsidRPr="0082517C" w:rsidRDefault="00F34BD4" w:rsidP="00B823C1">
            <w:pPr>
              <w:spacing w:after="0"/>
              <w:jc w:val="center"/>
              <w:rPr>
                <w:color w:val="000000"/>
                <w:szCs w:val="20"/>
                <w:lang w:eastAsia="pl-PL"/>
              </w:rPr>
            </w:pPr>
            <w:r w:rsidRPr="0082517C">
              <w:rPr>
                <w:rFonts w:cs="Calibri"/>
                <w:color w:val="000000"/>
                <w:szCs w:val="20"/>
              </w:rPr>
              <w:t>90</w:t>
            </w:r>
          </w:p>
        </w:tc>
        <w:tc>
          <w:tcPr>
            <w:tcW w:w="1359" w:type="dxa"/>
            <w:vMerge w:val="restart"/>
            <w:tcBorders>
              <w:top w:val="nil"/>
              <w:left w:val="single" w:sz="4" w:space="0" w:color="auto"/>
              <w:right w:val="single" w:sz="4" w:space="0" w:color="auto"/>
            </w:tcBorders>
            <w:shd w:val="clear" w:color="auto" w:fill="auto"/>
            <w:vAlign w:val="center"/>
            <w:hideMark/>
          </w:tcPr>
          <w:p w14:paraId="794570A1" w14:textId="77777777" w:rsidR="00F34BD4" w:rsidRPr="0082517C" w:rsidRDefault="00F34BD4" w:rsidP="00B823C1">
            <w:pPr>
              <w:spacing w:after="0"/>
              <w:jc w:val="center"/>
              <w:rPr>
                <w:color w:val="000000"/>
                <w:szCs w:val="20"/>
                <w:lang w:eastAsia="pl-PL"/>
              </w:rPr>
            </w:pPr>
            <w:r w:rsidRPr="0082517C">
              <w:rPr>
                <w:color w:val="000000"/>
                <w:szCs w:val="20"/>
                <w:lang w:eastAsia="pl-PL"/>
              </w:rPr>
              <w:t>Całkowite skumulowane oszczędności końcowego zużycia energii (do 2030)</w:t>
            </w:r>
          </w:p>
        </w:tc>
      </w:tr>
      <w:tr w:rsidR="00F34BD4" w:rsidRPr="0082517C" w14:paraId="631B3368" w14:textId="77777777" w:rsidTr="00B823C1">
        <w:trPr>
          <w:trHeight w:val="282"/>
        </w:trPr>
        <w:tc>
          <w:tcPr>
            <w:tcW w:w="1396" w:type="dxa"/>
            <w:vMerge/>
            <w:tcBorders>
              <w:left w:val="single" w:sz="4" w:space="0" w:color="auto"/>
              <w:right w:val="single" w:sz="4" w:space="0" w:color="auto"/>
            </w:tcBorders>
            <w:shd w:val="clear" w:color="auto" w:fill="auto"/>
            <w:vAlign w:val="center"/>
            <w:hideMark/>
          </w:tcPr>
          <w:p w14:paraId="0362A19B" w14:textId="77777777" w:rsidR="00F34BD4" w:rsidRPr="0082517C" w:rsidRDefault="00F34BD4" w:rsidP="00B823C1">
            <w:pPr>
              <w:spacing w:after="0"/>
              <w:jc w:val="center"/>
              <w:rPr>
                <w:color w:val="000000"/>
                <w:szCs w:val="20"/>
                <w:lang w:eastAsia="pl-PL"/>
              </w:rPr>
            </w:pPr>
          </w:p>
        </w:tc>
        <w:tc>
          <w:tcPr>
            <w:tcW w:w="670" w:type="dxa"/>
            <w:tcBorders>
              <w:top w:val="nil"/>
              <w:left w:val="nil"/>
              <w:bottom w:val="single" w:sz="4" w:space="0" w:color="auto"/>
              <w:right w:val="single" w:sz="4" w:space="0" w:color="auto"/>
            </w:tcBorders>
            <w:shd w:val="clear" w:color="auto" w:fill="auto"/>
            <w:noWrap/>
            <w:vAlign w:val="center"/>
          </w:tcPr>
          <w:p w14:paraId="79DE5833" w14:textId="77777777" w:rsidR="00F34BD4" w:rsidRPr="0082517C" w:rsidRDefault="00F34BD4" w:rsidP="00B823C1">
            <w:pPr>
              <w:spacing w:after="0"/>
              <w:jc w:val="center"/>
              <w:rPr>
                <w:color w:val="000000"/>
                <w:szCs w:val="20"/>
                <w:lang w:eastAsia="pl-PL"/>
              </w:rPr>
            </w:pPr>
          </w:p>
        </w:tc>
        <w:tc>
          <w:tcPr>
            <w:tcW w:w="624" w:type="dxa"/>
            <w:tcBorders>
              <w:top w:val="nil"/>
              <w:left w:val="nil"/>
              <w:bottom w:val="single" w:sz="4" w:space="0" w:color="auto"/>
              <w:right w:val="single" w:sz="4" w:space="0" w:color="auto"/>
            </w:tcBorders>
            <w:shd w:val="clear" w:color="auto" w:fill="auto"/>
            <w:noWrap/>
            <w:vAlign w:val="center"/>
          </w:tcPr>
          <w:p w14:paraId="61EA92C3" w14:textId="77777777" w:rsidR="00F34BD4" w:rsidRPr="0082517C" w:rsidRDefault="00F34BD4" w:rsidP="00B823C1">
            <w:pPr>
              <w:spacing w:after="0"/>
              <w:jc w:val="center"/>
              <w:rPr>
                <w:color w:val="000000"/>
                <w:szCs w:val="20"/>
                <w:lang w:eastAsia="pl-PL"/>
              </w:rPr>
            </w:pPr>
          </w:p>
        </w:tc>
        <w:tc>
          <w:tcPr>
            <w:tcW w:w="624" w:type="dxa"/>
            <w:tcBorders>
              <w:top w:val="nil"/>
              <w:left w:val="nil"/>
              <w:bottom w:val="single" w:sz="4" w:space="0" w:color="auto"/>
              <w:right w:val="single" w:sz="4" w:space="0" w:color="auto"/>
            </w:tcBorders>
            <w:shd w:val="clear" w:color="auto" w:fill="auto"/>
            <w:noWrap/>
            <w:vAlign w:val="center"/>
          </w:tcPr>
          <w:p w14:paraId="7F0D34F4" w14:textId="77777777" w:rsidR="00F34BD4" w:rsidRPr="0082517C" w:rsidRDefault="00F34BD4" w:rsidP="00B823C1">
            <w:pPr>
              <w:spacing w:after="0"/>
              <w:jc w:val="center"/>
              <w:rPr>
                <w:color w:val="000000"/>
                <w:szCs w:val="20"/>
                <w:lang w:eastAsia="pl-PL"/>
              </w:rPr>
            </w:pPr>
          </w:p>
        </w:tc>
        <w:tc>
          <w:tcPr>
            <w:tcW w:w="624" w:type="dxa"/>
            <w:tcBorders>
              <w:top w:val="nil"/>
              <w:left w:val="nil"/>
              <w:bottom w:val="single" w:sz="4" w:space="0" w:color="auto"/>
              <w:right w:val="single" w:sz="4" w:space="0" w:color="auto"/>
            </w:tcBorders>
            <w:shd w:val="clear" w:color="auto" w:fill="auto"/>
            <w:noWrap/>
            <w:vAlign w:val="center"/>
          </w:tcPr>
          <w:p w14:paraId="38B566FB" w14:textId="77777777" w:rsidR="00F34BD4" w:rsidRPr="0082517C" w:rsidRDefault="00F34BD4" w:rsidP="00B823C1">
            <w:pPr>
              <w:spacing w:after="0"/>
              <w:jc w:val="center"/>
              <w:rPr>
                <w:color w:val="000000"/>
                <w:szCs w:val="20"/>
                <w:lang w:eastAsia="pl-PL"/>
              </w:rPr>
            </w:pPr>
          </w:p>
        </w:tc>
        <w:tc>
          <w:tcPr>
            <w:tcW w:w="656" w:type="dxa"/>
            <w:tcBorders>
              <w:top w:val="nil"/>
              <w:left w:val="nil"/>
              <w:bottom w:val="single" w:sz="4" w:space="0" w:color="auto"/>
              <w:right w:val="single" w:sz="4" w:space="0" w:color="auto"/>
            </w:tcBorders>
            <w:shd w:val="clear" w:color="auto" w:fill="auto"/>
            <w:noWrap/>
            <w:vAlign w:val="center"/>
          </w:tcPr>
          <w:p w14:paraId="223C8C38" w14:textId="77777777" w:rsidR="00F34BD4" w:rsidRPr="0082517C" w:rsidRDefault="00F34BD4" w:rsidP="00B823C1">
            <w:pPr>
              <w:spacing w:after="0"/>
              <w:jc w:val="center"/>
              <w:rPr>
                <w:color w:val="000000"/>
                <w:szCs w:val="20"/>
                <w:lang w:eastAsia="pl-PL"/>
              </w:rPr>
            </w:pPr>
          </w:p>
        </w:tc>
        <w:tc>
          <w:tcPr>
            <w:tcW w:w="656" w:type="dxa"/>
            <w:tcBorders>
              <w:top w:val="nil"/>
              <w:left w:val="nil"/>
              <w:bottom w:val="single" w:sz="4" w:space="0" w:color="auto"/>
              <w:right w:val="single" w:sz="4" w:space="0" w:color="auto"/>
            </w:tcBorders>
            <w:shd w:val="clear" w:color="auto" w:fill="auto"/>
            <w:noWrap/>
            <w:vAlign w:val="center"/>
          </w:tcPr>
          <w:p w14:paraId="07DBFC71" w14:textId="77777777" w:rsidR="00F34BD4" w:rsidRPr="0082517C" w:rsidRDefault="00F34BD4" w:rsidP="00B823C1">
            <w:pPr>
              <w:spacing w:after="0"/>
              <w:jc w:val="center"/>
              <w:rPr>
                <w:color w:val="000000"/>
                <w:szCs w:val="20"/>
                <w:lang w:eastAsia="pl-PL"/>
              </w:rPr>
            </w:pPr>
          </w:p>
        </w:tc>
        <w:tc>
          <w:tcPr>
            <w:tcW w:w="624" w:type="dxa"/>
            <w:tcBorders>
              <w:top w:val="single" w:sz="4" w:space="0" w:color="auto"/>
              <w:left w:val="single" w:sz="4" w:space="0" w:color="auto"/>
              <w:bottom w:val="single" w:sz="4" w:space="0" w:color="auto"/>
              <w:right w:val="single" w:sz="4" w:space="0" w:color="auto"/>
            </w:tcBorders>
            <w:vAlign w:val="center"/>
          </w:tcPr>
          <w:p w14:paraId="1D702217" w14:textId="77777777" w:rsidR="00F34BD4" w:rsidRPr="0082517C" w:rsidRDefault="00F34BD4" w:rsidP="00B823C1">
            <w:pPr>
              <w:spacing w:after="0"/>
              <w:jc w:val="center"/>
              <w:rPr>
                <w:color w:val="000000"/>
                <w:szCs w:val="20"/>
                <w:lang w:eastAsia="pl-PL"/>
              </w:rPr>
            </w:pPr>
          </w:p>
        </w:tc>
        <w:tc>
          <w:tcPr>
            <w:tcW w:w="624" w:type="dxa"/>
            <w:tcBorders>
              <w:top w:val="single" w:sz="4" w:space="0" w:color="auto"/>
              <w:left w:val="single" w:sz="4" w:space="0" w:color="auto"/>
              <w:bottom w:val="single" w:sz="4" w:space="0" w:color="auto"/>
              <w:right w:val="single" w:sz="4" w:space="0" w:color="auto"/>
            </w:tcBorders>
            <w:vAlign w:val="center"/>
          </w:tcPr>
          <w:p w14:paraId="71D8982E" w14:textId="77777777" w:rsidR="00F34BD4" w:rsidRPr="0082517C" w:rsidRDefault="00F34BD4" w:rsidP="00B823C1">
            <w:pPr>
              <w:spacing w:after="0"/>
              <w:jc w:val="center"/>
              <w:rPr>
                <w:color w:val="000000"/>
                <w:szCs w:val="20"/>
                <w:lang w:eastAsia="pl-PL"/>
              </w:rPr>
            </w:pPr>
          </w:p>
        </w:tc>
        <w:tc>
          <w:tcPr>
            <w:tcW w:w="624" w:type="dxa"/>
            <w:tcBorders>
              <w:top w:val="single" w:sz="4" w:space="0" w:color="auto"/>
              <w:left w:val="single" w:sz="4" w:space="0" w:color="auto"/>
              <w:bottom w:val="single" w:sz="4" w:space="0" w:color="auto"/>
              <w:right w:val="single" w:sz="4" w:space="0" w:color="auto"/>
            </w:tcBorders>
            <w:vAlign w:val="center"/>
          </w:tcPr>
          <w:p w14:paraId="1D531606" w14:textId="77777777" w:rsidR="00F34BD4" w:rsidRPr="0082517C" w:rsidRDefault="00F34BD4" w:rsidP="00B823C1">
            <w:pPr>
              <w:spacing w:after="0"/>
              <w:jc w:val="center"/>
              <w:rPr>
                <w:color w:val="000000"/>
                <w:szCs w:val="20"/>
                <w:lang w:eastAsia="pl-PL"/>
              </w:rPr>
            </w:pPr>
            <w:r w:rsidRPr="0082517C">
              <w:rPr>
                <w:rFonts w:cs="Calibri"/>
                <w:color w:val="000000"/>
                <w:szCs w:val="20"/>
              </w:rPr>
              <w:t>90</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809AA8" w14:textId="77777777" w:rsidR="00F34BD4" w:rsidRPr="0082517C" w:rsidRDefault="00F34BD4" w:rsidP="00B823C1">
            <w:pPr>
              <w:spacing w:after="0"/>
              <w:jc w:val="center"/>
              <w:rPr>
                <w:color w:val="000000"/>
                <w:szCs w:val="20"/>
                <w:lang w:eastAsia="pl-PL"/>
              </w:rPr>
            </w:pPr>
            <w:r w:rsidRPr="0082517C">
              <w:rPr>
                <w:rFonts w:cs="Calibri"/>
                <w:color w:val="000000"/>
                <w:szCs w:val="20"/>
              </w:rPr>
              <w:t>90</w:t>
            </w:r>
          </w:p>
        </w:tc>
        <w:tc>
          <w:tcPr>
            <w:tcW w:w="1359" w:type="dxa"/>
            <w:vMerge/>
            <w:tcBorders>
              <w:left w:val="single" w:sz="4" w:space="0" w:color="auto"/>
              <w:right w:val="single" w:sz="4" w:space="0" w:color="auto"/>
            </w:tcBorders>
            <w:shd w:val="clear" w:color="auto" w:fill="auto"/>
            <w:vAlign w:val="center"/>
            <w:hideMark/>
          </w:tcPr>
          <w:p w14:paraId="3BB9D488" w14:textId="77777777" w:rsidR="00F34BD4" w:rsidRPr="0082517C" w:rsidRDefault="00F34BD4" w:rsidP="00B823C1">
            <w:pPr>
              <w:spacing w:after="0"/>
              <w:jc w:val="center"/>
              <w:rPr>
                <w:color w:val="000000"/>
                <w:szCs w:val="20"/>
                <w:lang w:eastAsia="pl-PL"/>
              </w:rPr>
            </w:pPr>
          </w:p>
        </w:tc>
      </w:tr>
      <w:tr w:rsidR="00F34BD4" w:rsidRPr="0082517C" w14:paraId="58A34F80" w14:textId="77777777" w:rsidTr="00B823C1">
        <w:trPr>
          <w:trHeight w:val="282"/>
        </w:trPr>
        <w:tc>
          <w:tcPr>
            <w:tcW w:w="1396" w:type="dxa"/>
            <w:vMerge/>
            <w:tcBorders>
              <w:left w:val="single" w:sz="4" w:space="0" w:color="auto"/>
              <w:right w:val="single" w:sz="4" w:space="0" w:color="auto"/>
            </w:tcBorders>
            <w:shd w:val="clear" w:color="auto" w:fill="auto"/>
            <w:vAlign w:val="center"/>
            <w:hideMark/>
          </w:tcPr>
          <w:p w14:paraId="258FF9FE" w14:textId="77777777" w:rsidR="00F34BD4" w:rsidRPr="0082517C" w:rsidRDefault="00F34BD4" w:rsidP="00B823C1">
            <w:pPr>
              <w:spacing w:after="0"/>
              <w:jc w:val="center"/>
              <w:rPr>
                <w:color w:val="000000"/>
                <w:szCs w:val="20"/>
                <w:lang w:eastAsia="pl-PL"/>
              </w:rPr>
            </w:pPr>
          </w:p>
        </w:tc>
        <w:tc>
          <w:tcPr>
            <w:tcW w:w="670" w:type="dxa"/>
            <w:tcBorders>
              <w:top w:val="nil"/>
              <w:left w:val="nil"/>
              <w:bottom w:val="single" w:sz="4" w:space="0" w:color="auto"/>
              <w:right w:val="single" w:sz="4" w:space="0" w:color="auto"/>
            </w:tcBorders>
            <w:shd w:val="clear" w:color="auto" w:fill="auto"/>
            <w:noWrap/>
            <w:vAlign w:val="center"/>
          </w:tcPr>
          <w:p w14:paraId="1F765D9E" w14:textId="77777777" w:rsidR="00F34BD4" w:rsidRPr="0082517C" w:rsidRDefault="00F34BD4" w:rsidP="00B823C1">
            <w:pPr>
              <w:spacing w:after="0"/>
              <w:jc w:val="center"/>
              <w:rPr>
                <w:color w:val="000000"/>
                <w:szCs w:val="20"/>
                <w:lang w:eastAsia="pl-PL"/>
              </w:rPr>
            </w:pPr>
          </w:p>
        </w:tc>
        <w:tc>
          <w:tcPr>
            <w:tcW w:w="624" w:type="dxa"/>
            <w:tcBorders>
              <w:top w:val="nil"/>
              <w:left w:val="nil"/>
              <w:bottom w:val="single" w:sz="4" w:space="0" w:color="auto"/>
              <w:right w:val="single" w:sz="4" w:space="0" w:color="auto"/>
            </w:tcBorders>
            <w:shd w:val="clear" w:color="auto" w:fill="auto"/>
            <w:noWrap/>
            <w:vAlign w:val="center"/>
          </w:tcPr>
          <w:p w14:paraId="1AF22FCC" w14:textId="77777777" w:rsidR="00F34BD4" w:rsidRPr="0082517C" w:rsidRDefault="00F34BD4" w:rsidP="00B823C1">
            <w:pPr>
              <w:spacing w:after="0"/>
              <w:jc w:val="center"/>
              <w:rPr>
                <w:color w:val="000000"/>
                <w:szCs w:val="20"/>
                <w:lang w:eastAsia="pl-PL"/>
              </w:rPr>
            </w:pPr>
          </w:p>
        </w:tc>
        <w:tc>
          <w:tcPr>
            <w:tcW w:w="624" w:type="dxa"/>
            <w:tcBorders>
              <w:top w:val="nil"/>
              <w:left w:val="nil"/>
              <w:bottom w:val="single" w:sz="4" w:space="0" w:color="auto"/>
              <w:right w:val="single" w:sz="4" w:space="0" w:color="auto"/>
            </w:tcBorders>
            <w:shd w:val="clear" w:color="auto" w:fill="auto"/>
            <w:noWrap/>
            <w:vAlign w:val="center"/>
          </w:tcPr>
          <w:p w14:paraId="58205DD4" w14:textId="77777777" w:rsidR="00F34BD4" w:rsidRPr="0082517C" w:rsidRDefault="00F34BD4" w:rsidP="00B823C1">
            <w:pPr>
              <w:spacing w:after="0"/>
              <w:jc w:val="center"/>
              <w:rPr>
                <w:color w:val="000000"/>
                <w:szCs w:val="20"/>
                <w:lang w:eastAsia="pl-PL"/>
              </w:rPr>
            </w:pPr>
          </w:p>
        </w:tc>
        <w:tc>
          <w:tcPr>
            <w:tcW w:w="624" w:type="dxa"/>
            <w:tcBorders>
              <w:top w:val="nil"/>
              <w:left w:val="nil"/>
              <w:bottom w:val="single" w:sz="4" w:space="0" w:color="auto"/>
              <w:right w:val="single" w:sz="4" w:space="0" w:color="auto"/>
            </w:tcBorders>
            <w:shd w:val="clear" w:color="auto" w:fill="auto"/>
            <w:noWrap/>
            <w:vAlign w:val="center"/>
          </w:tcPr>
          <w:p w14:paraId="6CBC7B1C" w14:textId="77777777" w:rsidR="00F34BD4" w:rsidRPr="0082517C" w:rsidRDefault="00F34BD4" w:rsidP="00B823C1">
            <w:pPr>
              <w:spacing w:after="0"/>
              <w:jc w:val="center"/>
              <w:rPr>
                <w:color w:val="000000"/>
                <w:szCs w:val="20"/>
                <w:lang w:eastAsia="pl-PL"/>
              </w:rPr>
            </w:pPr>
          </w:p>
        </w:tc>
        <w:tc>
          <w:tcPr>
            <w:tcW w:w="656" w:type="dxa"/>
            <w:tcBorders>
              <w:top w:val="nil"/>
              <w:left w:val="nil"/>
              <w:bottom w:val="single" w:sz="4" w:space="0" w:color="auto"/>
              <w:right w:val="single" w:sz="4" w:space="0" w:color="auto"/>
            </w:tcBorders>
            <w:shd w:val="clear" w:color="auto" w:fill="auto"/>
            <w:noWrap/>
            <w:vAlign w:val="center"/>
          </w:tcPr>
          <w:p w14:paraId="15CBCCFF" w14:textId="77777777" w:rsidR="00F34BD4" w:rsidRPr="0082517C" w:rsidRDefault="00F34BD4" w:rsidP="00B823C1">
            <w:pPr>
              <w:spacing w:after="0"/>
              <w:jc w:val="center"/>
              <w:rPr>
                <w:color w:val="000000"/>
                <w:szCs w:val="20"/>
                <w:lang w:eastAsia="pl-PL"/>
              </w:rPr>
            </w:pPr>
          </w:p>
        </w:tc>
        <w:tc>
          <w:tcPr>
            <w:tcW w:w="656" w:type="dxa"/>
            <w:tcBorders>
              <w:top w:val="nil"/>
              <w:left w:val="nil"/>
              <w:bottom w:val="single" w:sz="4" w:space="0" w:color="auto"/>
              <w:right w:val="single" w:sz="4" w:space="0" w:color="auto"/>
            </w:tcBorders>
            <w:shd w:val="clear" w:color="auto" w:fill="auto"/>
            <w:noWrap/>
            <w:vAlign w:val="center"/>
          </w:tcPr>
          <w:p w14:paraId="468414CC" w14:textId="77777777" w:rsidR="00F34BD4" w:rsidRPr="0082517C" w:rsidRDefault="00F34BD4" w:rsidP="00B823C1">
            <w:pPr>
              <w:spacing w:after="0"/>
              <w:jc w:val="center"/>
              <w:rPr>
                <w:color w:val="000000"/>
                <w:szCs w:val="20"/>
                <w:lang w:eastAsia="pl-PL"/>
              </w:rPr>
            </w:pPr>
          </w:p>
        </w:tc>
        <w:tc>
          <w:tcPr>
            <w:tcW w:w="624" w:type="dxa"/>
            <w:tcBorders>
              <w:top w:val="single" w:sz="4" w:space="0" w:color="auto"/>
              <w:left w:val="single" w:sz="4" w:space="0" w:color="auto"/>
              <w:bottom w:val="single" w:sz="4" w:space="0" w:color="auto"/>
              <w:right w:val="single" w:sz="4" w:space="0" w:color="auto"/>
            </w:tcBorders>
            <w:vAlign w:val="center"/>
          </w:tcPr>
          <w:p w14:paraId="541EBEDC" w14:textId="77777777" w:rsidR="00F34BD4" w:rsidRPr="0082517C" w:rsidRDefault="00F34BD4" w:rsidP="00B823C1">
            <w:pPr>
              <w:spacing w:after="0"/>
              <w:jc w:val="center"/>
              <w:rPr>
                <w:color w:val="000000"/>
                <w:szCs w:val="20"/>
                <w:lang w:eastAsia="pl-PL"/>
              </w:rPr>
            </w:pPr>
          </w:p>
        </w:tc>
        <w:tc>
          <w:tcPr>
            <w:tcW w:w="624" w:type="dxa"/>
            <w:tcBorders>
              <w:top w:val="single" w:sz="4" w:space="0" w:color="auto"/>
              <w:left w:val="single" w:sz="4" w:space="0" w:color="auto"/>
              <w:bottom w:val="single" w:sz="4" w:space="0" w:color="auto"/>
              <w:right w:val="single" w:sz="4" w:space="0" w:color="auto"/>
            </w:tcBorders>
            <w:vAlign w:val="center"/>
          </w:tcPr>
          <w:p w14:paraId="3A8CD537" w14:textId="77777777" w:rsidR="00F34BD4" w:rsidRPr="0082517C" w:rsidRDefault="00F34BD4" w:rsidP="00B823C1">
            <w:pPr>
              <w:spacing w:after="0"/>
              <w:jc w:val="center"/>
              <w:rPr>
                <w:color w:val="000000"/>
                <w:szCs w:val="20"/>
                <w:lang w:eastAsia="pl-PL"/>
              </w:rPr>
            </w:pPr>
            <w:r w:rsidRPr="0082517C">
              <w:rPr>
                <w:rFonts w:cs="Calibri"/>
                <w:color w:val="000000"/>
                <w:szCs w:val="20"/>
              </w:rPr>
              <w:t>90</w:t>
            </w:r>
          </w:p>
        </w:tc>
        <w:tc>
          <w:tcPr>
            <w:tcW w:w="624" w:type="dxa"/>
            <w:tcBorders>
              <w:top w:val="single" w:sz="4" w:space="0" w:color="auto"/>
              <w:left w:val="single" w:sz="4" w:space="0" w:color="auto"/>
              <w:bottom w:val="single" w:sz="4" w:space="0" w:color="auto"/>
              <w:right w:val="single" w:sz="4" w:space="0" w:color="auto"/>
            </w:tcBorders>
            <w:vAlign w:val="center"/>
          </w:tcPr>
          <w:p w14:paraId="47DC69E9" w14:textId="77777777" w:rsidR="00F34BD4" w:rsidRPr="0082517C" w:rsidRDefault="00F34BD4" w:rsidP="00B823C1">
            <w:pPr>
              <w:spacing w:after="0"/>
              <w:jc w:val="center"/>
              <w:rPr>
                <w:color w:val="000000"/>
                <w:szCs w:val="20"/>
                <w:lang w:eastAsia="pl-PL"/>
              </w:rPr>
            </w:pPr>
            <w:r w:rsidRPr="0082517C">
              <w:rPr>
                <w:rFonts w:cs="Calibri"/>
                <w:color w:val="000000"/>
                <w:szCs w:val="20"/>
              </w:rPr>
              <w:t>90</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7DBB2" w14:textId="77777777" w:rsidR="00F34BD4" w:rsidRPr="0082517C" w:rsidRDefault="00F34BD4" w:rsidP="00B823C1">
            <w:pPr>
              <w:spacing w:after="0"/>
              <w:jc w:val="center"/>
              <w:rPr>
                <w:color w:val="000000"/>
                <w:szCs w:val="20"/>
                <w:lang w:eastAsia="pl-PL"/>
              </w:rPr>
            </w:pPr>
            <w:r w:rsidRPr="0082517C">
              <w:rPr>
                <w:rFonts w:cs="Calibri"/>
                <w:color w:val="000000"/>
                <w:szCs w:val="20"/>
              </w:rPr>
              <w:t>90</w:t>
            </w:r>
          </w:p>
        </w:tc>
        <w:tc>
          <w:tcPr>
            <w:tcW w:w="1359" w:type="dxa"/>
            <w:vMerge/>
            <w:tcBorders>
              <w:left w:val="single" w:sz="4" w:space="0" w:color="auto"/>
              <w:right w:val="single" w:sz="4" w:space="0" w:color="auto"/>
            </w:tcBorders>
            <w:shd w:val="clear" w:color="auto" w:fill="auto"/>
            <w:vAlign w:val="center"/>
            <w:hideMark/>
          </w:tcPr>
          <w:p w14:paraId="0D142385" w14:textId="77777777" w:rsidR="00F34BD4" w:rsidRPr="0082517C" w:rsidRDefault="00F34BD4" w:rsidP="00B823C1">
            <w:pPr>
              <w:spacing w:after="0"/>
              <w:jc w:val="center"/>
              <w:rPr>
                <w:color w:val="000000"/>
                <w:szCs w:val="20"/>
                <w:lang w:eastAsia="pl-PL"/>
              </w:rPr>
            </w:pPr>
          </w:p>
        </w:tc>
      </w:tr>
      <w:tr w:rsidR="00F34BD4" w:rsidRPr="0082517C" w14:paraId="4DB114C2" w14:textId="77777777" w:rsidTr="00B823C1">
        <w:trPr>
          <w:trHeight w:val="282"/>
        </w:trPr>
        <w:tc>
          <w:tcPr>
            <w:tcW w:w="1396" w:type="dxa"/>
            <w:vMerge/>
            <w:tcBorders>
              <w:left w:val="single" w:sz="4" w:space="0" w:color="auto"/>
              <w:right w:val="single" w:sz="4" w:space="0" w:color="auto"/>
            </w:tcBorders>
            <w:vAlign w:val="center"/>
            <w:hideMark/>
          </w:tcPr>
          <w:p w14:paraId="0C2DC575" w14:textId="77777777" w:rsidR="00F34BD4" w:rsidRPr="0082517C" w:rsidRDefault="00F34BD4" w:rsidP="00B823C1">
            <w:pPr>
              <w:spacing w:after="0"/>
              <w:jc w:val="center"/>
              <w:rPr>
                <w:color w:val="000000"/>
                <w:szCs w:val="20"/>
                <w:lang w:eastAsia="pl-PL"/>
              </w:rPr>
            </w:pPr>
          </w:p>
        </w:tc>
        <w:tc>
          <w:tcPr>
            <w:tcW w:w="670" w:type="dxa"/>
            <w:tcBorders>
              <w:top w:val="nil"/>
              <w:left w:val="nil"/>
              <w:bottom w:val="single" w:sz="4" w:space="0" w:color="auto"/>
              <w:right w:val="single" w:sz="4" w:space="0" w:color="auto"/>
            </w:tcBorders>
            <w:shd w:val="clear" w:color="auto" w:fill="auto"/>
            <w:noWrap/>
            <w:vAlign w:val="center"/>
          </w:tcPr>
          <w:p w14:paraId="52FCD8D1" w14:textId="77777777" w:rsidR="00F34BD4" w:rsidRPr="0082517C" w:rsidRDefault="00F34BD4" w:rsidP="00B823C1">
            <w:pPr>
              <w:spacing w:after="0"/>
              <w:jc w:val="center"/>
              <w:rPr>
                <w:color w:val="000000"/>
                <w:szCs w:val="20"/>
                <w:lang w:eastAsia="pl-PL"/>
              </w:rPr>
            </w:pPr>
          </w:p>
        </w:tc>
        <w:tc>
          <w:tcPr>
            <w:tcW w:w="624" w:type="dxa"/>
            <w:tcBorders>
              <w:top w:val="nil"/>
              <w:left w:val="nil"/>
              <w:bottom w:val="single" w:sz="4" w:space="0" w:color="auto"/>
              <w:right w:val="single" w:sz="4" w:space="0" w:color="auto"/>
            </w:tcBorders>
            <w:shd w:val="clear" w:color="auto" w:fill="auto"/>
            <w:noWrap/>
            <w:vAlign w:val="center"/>
          </w:tcPr>
          <w:p w14:paraId="4916B66C" w14:textId="77777777" w:rsidR="00F34BD4" w:rsidRPr="0082517C" w:rsidRDefault="00F34BD4" w:rsidP="00B823C1">
            <w:pPr>
              <w:spacing w:after="0"/>
              <w:jc w:val="center"/>
              <w:rPr>
                <w:color w:val="000000"/>
                <w:szCs w:val="20"/>
                <w:lang w:eastAsia="pl-PL"/>
              </w:rPr>
            </w:pPr>
          </w:p>
        </w:tc>
        <w:tc>
          <w:tcPr>
            <w:tcW w:w="624" w:type="dxa"/>
            <w:tcBorders>
              <w:top w:val="nil"/>
              <w:left w:val="nil"/>
              <w:bottom w:val="single" w:sz="4" w:space="0" w:color="auto"/>
              <w:right w:val="single" w:sz="4" w:space="0" w:color="auto"/>
            </w:tcBorders>
            <w:shd w:val="clear" w:color="auto" w:fill="auto"/>
            <w:noWrap/>
            <w:vAlign w:val="center"/>
          </w:tcPr>
          <w:p w14:paraId="076127AD" w14:textId="77777777" w:rsidR="00F34BD4" w:rsidRPr="0082517C" w:rsidRDefault="00F34BD4" w:rsidP="00B823C1">
            <w:pPr>
              <w:spacing w:after="0"/>
              <w:jc w:val="center"/>
              <w:rPr>
                <w:color w:val="000000"/>
                <w:szCs w:val="20"/>
                <w:lang w:eastAsia="pl-PL"/>
              </w:rPr>
            </w:pPr>
          </w:p>
        </w:tc>
        <w:tc>
          <w:tcPr>
            <w:tcW w:w="624" w:type="dxa"/>
            <w:tcBorders>
              <w:top w:val="nil"/>
              <w:left w:val="nil"/>
              <w:bottom w:val="single" w:sz="4" w:space="0" w:color="auto"/>
              <w:right w:val="single" w:sz="4" w:space="0" w:color="auto"/>
            </w:tcBorders>
            <w:shd w:val="clear" w:color="auto" w:fill="auto"/>
            <w:noWrap/>
            <w:vAlign w:val="center"/>
          </w:tcPr>
          <w:p w14:paraId="353BD48A" w14:textId="77777777" w:rsidR="00F34BD4" w:rsidRPr="0082517C" w:rsidRDefault="00F34BD4" w:rsidP="00B823C1">
            <w:pPr>
              <w:spacing w:after="0"/>
              <w:jc w:val="center"/>
              <w:rPr>
                <w:color w:val="000000"/>
                <w:szCs w:val="20"/>
                <w:lang w:eastAsia="pl-PL"/>
              </w:rPr>
            </w:pPr>
          </w:p>
        </w:tc>
        <w:tc>
          <w:tcPr>
            <w:tcW w:w="656" w:type="dxa"/>
            <w:tcBorders>
              <w:top w:val="nil"/>
              <w:left w:val="nil"/>
              <w:bottom w:val="single" w:sz="4" w:space="0" w:color="auto"/>
              <w:right w:val="single" w:sz="4" w:space="0" w:color="auto"/>
            </w:tcBorders>
            <w:shd w:val="clear" w:color="auto" w:fill="auto"/>
            <w:noWrap/>
            <w:vAlign w:val="center"/>
          </w:tcPr>
          <w:p w14:paraId="535590EB" w14:textId="77777777" w:rsidR="00F34BD4" w:rsidRPr="0082517C" w:rsidRDefault="00F34BD4" w:rsidP="00B823C1">
            <w:pPr>
              <w:spacing w:after="0"/>
              <w:jc w:val="center"/>
              <w:rPr>
                <w:color w:val="000000"/>
                <w:szCs w:val="20"/>
                <w:lang w:eastAsia="pl-PL"/>
              </w:rPr>
            </w:pPr>
          </w:p>
        </w:tc>
        <w:tc>
          <w:tcPr>
            <w:tcW w:w="656" w:type="dxa"/>
            <w:tcBorders>
              <w:top w:val="nil"/>
              <w:left w:val="nil"/>
              <w:bottom w:val="single" w:sz="4" w:space="0" w:color="auto"/>
              <w:right w:val="single" w:sz="4" w:space="0" w:color="auto"/>
            </w:tcBorders>
            <w:shd w:val="clear" w:color="auto" w:fill="auto"/>
            <w:noWrap/>
            <w:vAlign w:val="center"/>
          </w:tcPr>
          <w:p w14:paraId="14A55899" w14:textId="77777777" w:rsidR="00F34BD4" w:rsidRPr="0082517C" w:rsidRDefault="00F34BD4" w:rsidP="00B823C1">
            <w:pPr>
              <w:spacing w:after="0"/>
              <w:jc w:val="center"/>
              <w:rPr>
                <w:color w:val="000000"/>
                <w:szCs w:val="20"/>
                <w:lang w:eastAsia="pl-PL"/>
              </w:rPr>
            </w:pPr>
          </w:p>
        </w:tc>
        <w:tc>
          <w:tcPr>
            <w:tcW w:w="624" w:type="dxa"/>
            <w:tcBorders>
              <w:top w:val="single" w:sz="4" w:space="0" w:color="auto"/>
              <w:left w:val="single" w:sz="4" w:space="0" w:color="auto"/>
              <w:bottom w:val="single" w:sz="4" w:space="0" w:color="auto"/>
              <w:right w:val="single" w:sz="4" w:space="0" w:color="auto"/>
            </w:tcBorders>
            <w:vAlign w:val="center"/>
          </w:tcPr>
          <w:p w14:paraId="2644952A" w14:textId="77777777" w:rsidR="00F34BD4" w:rsidRPr="0082517C" w:rsidRDefault="00F34BD4" w:rsidP="00B823C1">
            <w:pPr>
              <w:spacing w:after="0"/>
              <w:jc w:val="center"/>
              <w:rPr>
                <w:color w:val="000000"/>
                <w:szCs w:val="20"/>
                <w:lang w:eastAsia="pl-PL"/>
              </w:rPr>
            </w:pPr>
            <w:r w:rsidRPr="0082517C">
              <w:rPr>
                <w:rFonts w:cs="Calibri"/>
                <w:color w:val="000000"/>
                <w:szCs w:val="20"/>
              </w:rPr>
              <w:t>90</w:t>
            </w:r>
          </w:p>
        </w:tc>
        <w:tc>
          <w:tcPr>
            <w:tcW w:w="624" w:type="dxa"/>
            <w:tcBorders>
              <w:top w:val="single" w:sz="4" w:space="0" w:color="auto"/>
              <w:left w:val="single" w:sz="4" w:space="0" w:color="auto"/>
              <w:bottom w:val="single" w:sz="4" w:space="0" w:color="auto"/>
              <w:right w:val="single" w:sz="4" w:space="0" w:color="auto"/>
            </w:tcBorders>
            <w:vAlign w:val="center"/>
          </w:tcPr>
          <w:p w14:paraId="301B2CD9" w14:textId="77777777" w:rsidR="00F34BD4" w:rsidRPr="0082517C" w:rsidRDefault="00F34BD4" w:rsidP="00B823C1">
            <w:pPr>
              <w:spacing w:after="0"/>
              <w:jc w:val="center"/>
              <w:rPr>
                <w:color w:val="000000"/>
                <w:szCs w:val="20"/>
                <w:lang w:eastAsia="pl-PL"/>
              </w:rPr>
            </w:pPr>
            <w:r w:rsidRPr="0082517C">
              <w:rPr>
                <w:rFonts w:cs="Calibri"/>
                <w:color w:val="000000"/>
                <w:szCs w:val="20"/>
              </w:rPr>
              <w:t>90</w:t>
            </w:r>
          </w:p>
        </w:tc>
        <w:tc>
          <w:tcPr>
            <w:tcW w:w="624" w:type="dxa"/>
            <w:tcBorders>
              <w:top w:val="single" w:sz="4" w:space="0" w:color="auto"/>
              <w:left w:val="single" w:sz="4" w:space="0" w:color="auto"/>
              <w:bottom w:val="single" w:sz="4" w:space="0" w:color="auto"/>
              <w:right w:val="single" w:sz="4" w:space="0" w:color="auto"/>
            </w:tcBorders>
            <w:vAlign w:val="center"/>
          </w:tcPr>
          <w:p w14:paraId="1D944A57" w14:textId="77777777" w:rsidR="00F34BD4" w:rsidRPr="0082517C" w:rsidRDefault="00F34BD4" w:rsidP="00B823C1">
            <w:pPr>
              <w:spacing w:after="0"/>
              <w:jc w:val="center"/>
              <w:rPr>
                <w:color w:val="000000"/>
                <w:szCs w:val="20"/>
                <w:lang w:eastAsia="pl-PL"/>
              </w:rPr>
            </w:pPr>
            <w:r w:rsidRPr="0082517C">
              <w:rPr>
                <w:rFonts w:cs="Calibri"/>
                <w:color w:val="000000"/>
                <w:szCs w:val="20"/>
              </w:rPr>
              <w:t>90</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F4A659" w14:textId="77777777" w:rsidR="00F34BD4" w:rsidRPr="0082517C" w:rsidRDefault="00F34BD4" w:rsidP="00B823C1">
            <w:pPr>
              <w:spacing w:after="0"/>
              <w:jc w:val="center"/>
              <w:rPr>
                <w:color w:val="000000"/>
                <w:szCs w:val="20"/>
                <w:lang w:eastAsia="pl-PL"/>
              </w:rPr>
            </w:pPr>
            <w:r w:rsidRPr="0082517C">
              <w:rPr>
                <w:rFonts w:cs="Calibri"/>
                <w:color w:val="000000"/>
                <w:szCs w:val="20"/>
              </w:rPr>
              <w:t>90</w:t>
            </w:r>
          </w:p>
        </w:tc>
        <w:tc>
          <w:tcPr>
            <w:tcW w:w="1359" w:type="dxa"/>
            <w:vMerge/>
            <w:tcBorders>
              <w:left w:val="single" w:sz="4" w:space="0" w:color="auto"/>
              <w:right w:val="single" w:sz="4" w:space="0" w:color="auto"/>
            </w:tcBorders>
            <w:shd w:val="clear" w:color="auto" w:fill="auto"/>
            <w:vAlign w:val="center"/>
            <w:hideMark/>
          </w:tcPr>
          <w:p w14:paraId="309E8DC2" w14:textId="77777777" w:rsidR="00F34BD4" w:rsidRPr="0082517C" w:rsidRDefault="00F34BD4" w:rsidP="00B823C1">
            <w:pPr>
              <w:spacing w:after="0"/>
              <w:jc w:val="center"/>
              <w:rPr>
                <w:color w:val="000000"/>
                <w:szCs w:val="20"/>
                <w:lang w:eastAsia="pl-PL"/>
              </w:rPr>
            </w:pPr>
          </w:p>
        </w:tc>
      </w:tr>
      <w:tr w:rsidR="00F34BD4" w:rsidRPr="0082517C" w14:paraId="6D0123B9" w14:textId="77777777" w:rsidTr="00B823C1">
        <w:trPr>
          <w:trHeight w:val="282"/>
        </w:trPr>
        <w:tc>
          <w:tcPr>
            <w:tcW w:w="1396" w:type="dxa"/>
            <w:vMerge/>
            <w:tcBorders>
              <w:left w:val="single" w:sz="4" w:space="0" w:color="auto"/>
              <w:right w:val="single" w:sz="4" w:space="0" w:color="auto"/>
            </w:tcBorders>
            <w:vAlign w:val="center"/>
            <w:hideMark/>
          </w:tcPr>
          <w:p w14:paraId="1D7622AE" w14:textId="77777777" w:rsidR="00F34BD4" w:rsidRPr="0082517C" w:rsidRDefault="00F34BD4" w:rsidP="00B823C1">
            <w:pPr>
              <w:spacing w:after="0"/>
              <w:jc w:val="center"/>
              <w:rPr>
                <w:color w:val="000000"/>
                <w:szCs w:val="20"/>
                <w:lang w:eastAsia="pl-PL"/>
              </w:rPr>
            </w:pPr>
          </w:p>
        </w:tc>
        <w:tc>
          <w:tcPr>
            <w:tcW w:w="670" w:type="dxa"/>
            <w:tcBorders>
              <w:top w:val="nil"/>
              <w:left w:val="nil"/>
              <w:bottom w:val="single" w:sz="4" w:space="0" w:color="auto"/>
              <w:right w:val="single" w:sz="4" w:space="0" w:color="auto"/>
            </w:tcBorders>
            <w:shd w:val="clear" w:color="auto" w:fill="auto"/>
            <w:noWrap/>
            <w:vAlign w:val="center"/>
          </w:tcPr>
          <w:p w14:paraId="581D3CA2" w14:textId="77777777" w:rsidR="00F34BD4" w:rsidRPr="0082517C" w:rsidRDefault="00F34BD4" w:rsidP="00B823C1">
            <w:pPr>
              <w:spacing w:after="0"/>
              <w:jc w:val="center"/>
              <w:rPr>
                <w:color w:val="000000"/>
                <w:szCs w:val="20"/>
                <w:lang w:eastAsia="pl-PL"/>
              </w:rPr>
            </w:pPr>
          </w:p>
        </w:tc>
        <w:tc>
          <w:tcPr>
            <w:tcW w:w="624" w:type="dxa"/>
            <w:tcBorders>
              <w:top w:val="nil"/>
              <w:left w:val="nil"/>
              <w:bottom w:val="single" w:sz="4" w:space="0" w:color="auto"/>
              <w:right w:val="single" w:sz="4" w:space="0" w:color="auto"/>
            </w:tcBorders>
            <w:shd w:val="clear" w:color="auto" w:fill="auto"/>
            <w:noWrap/>
            <w:vAlign w:val="center"/>
          </w:tcPr>
          <w:p w14:paraId="74AC015E" w14:textId="77777777" w:rsidR="00F34BD4" w:rsidRPr="0082517C" w:rsidRDefault="00F34BD4" w:rsidP="00B823C1">
            <w:pPr>
              <w:spacing w:after="0"/>
              <w:jc w:val="center"/>
              <w:rPr>
                <w:color w:val="000000"/>
                <w:szCs w:val="20"/>
                <w:lang w:eastAsia="pl-PL"/>
              </w:rPr>
            </w:pPr>
          </w:p>
        </w:tc>
        <w:tc>
          <w:tcPr>
            <w:tcW w:w="624" w:type="dxa"/>
            <w:tcBorders>
              <w:top w:val="nil"/>
              <w:left w:val="nil"/>
              <w:bottom w:val="single" w:sz="4" w:space="0" w:color="auto"/>
              <w:right w:val="single" w:sz="4" w:space="0" w:color="auto"/>
            </w:tcBorders>
            <w:shd w:val="clear" w:color="auto" w:fill="auto"/>
            <w:noWrap/>
            <w:vAlign w:val="center"/>
          </w:tcPr>
          <w:p w14:paraId="05BD7048" w14:textId="77777777" w:rsidR="00F34BD4" w:rsidRPr="0082517C" w:rsidRDefault="00F34BD4" w:rsidP="00B823C1">
            <w:pPr>
              <w:spacing w:after="0"/>
              <w:jc w:val="center"/>
              <w:rPr>
                <w:color w:val="000000"/>
                <w:szCs w:val="20"/>
                <w:lang w:eastAsia="pl-PL"/>
              </w:rPr>
            </w:pPr>
          </w:p>
        </w:tc>
        <w:tc>
          <w:tcPr>
            <w:tcW w:w="624" w:type="dxa"/>
            <w:tcBorders>
              <w:top w:val="nil"/>
              <w:left w:val="nil"/>
              <w:bottom w:val="single" w:sz="4" w:space="0" w:color="auto"/>
              <w:right w:val="single" w:sz="4" w:space="0" w:color="auto"/>
            </w:tcBorders>
            <w:shd w:val="clear" w:color="auto" w:fill="auto"/>
            <w:noWrap/>
            <w:vAlign w:val="center"/>
          </w:tcPr>
          <w:p w14:paraId="4F893AD2" w14:textId="77777777" w:rsidR="00F34BD4" w:rsidRPr="0082517C" w:rsidRDefault="00F34BD4" w:rsidP="00B823C1">
            <w:pPr>
              <w:spacing w:after="0"/>
              <w:jc w:val="center"/>
              <w:rPr>
                <w:color w:val="000000"/>
                <w:szCs w:val="20"/>
                <w:lang w:eastAsia="pl-PL"/>
              </w:rPr>
            </w:pPr>
          </w:p>
        </w:tc>
        <w:tc>
          <w:tcPr>
            <w:tcW w:w="656" w:type="dxa"/>
            <w:tcBorders>
              <w:top w:val="nil"/>
              <w:left w:val="nil"/>
              <w:bottom w:val="single" w:sz="4" w:space="0" w:color="auto"/>
              <w:right w:val="single" w:sz="4" w:space="0" w:color="auto"/>
            </w:tcBorders>
            <w:shd w:val="clear" w:color="auto" w:fill="auto"/>
            <w:noWrap/>
            <w:vAlign w:val="center"/>
          </w:tcPr>
          <w:p w14:paraId="5EA25AC3" w14:textId="77777777" w:rsidR="00F34BD4" w:rsidRPr="0082517C" w:rsidRDefault="00F34BD4" w:rsidP="00B823C1">
            <w:pPr>
              <w:spacing w:after="0"/>
              <w:jc w:val="center"/>
              <w:rPr>
                <w:color w:val="000000"/>
                <w:szCs w:val="20"/>
                <w:lang w:eastAsia="pl-PL"/>
              </w:rPr>
            </w:pPr>
          </w:p>
        </w:tc>
        <w:tc>
          <w:tcPr>
            <w:tcW w:w="656" w:type="dxa"/>
            <w:tcBorders>
              <w:top w:val="nil"/>
              <w:left w:val="nil"/>
              <w:bottom w:val="single" w:sz="4" w:space="0" w:color="auto"/>
              <w:right w:val="single" w:sz="4" w:space="0" w:color="auto"/>
            </w:tcBorders>
            <w:shd w:val="clear" w:color="auto" w:fill="auto"/>
            <w:noWrap/>
            <w:vAlign w:val="center"/>
          </w:tcPr>
          <w:p w14:paraId="1580C7D4" w14:textId="77777777" w:rsidR="00F34BD4" w:rsidRPr="0082517C" w:rsidRDefault="00F34BD4" w:rsidP="00B823C1">
            <w:pPr>
              <w:spacing w:after="0"/>
              <w:jc w:val="center"/>
              <w:rPr>
                <w:color w:val="000000"/>
                <w:szCs w:val="20"/>
                <w:lang w:eastAsia="pl-PL"/>
              </w:rPr>
            </w:pPr>
            <w:r w:rsidRPr="0082517C">
              <w:rPr>
                <w:rFonts w:cs="Calibri"/>
                <w:color w:val="000000"/>
                <w:szCs w:val="20"/>
              </w:rPr>
              <w:t>90</w:t>
            </w:r>
          </w:p>
        </w:tc>
        <w:tc>
          <w:tcPr>
            <w:tcW w:w="624" w:type="dxa"/>
            <w:tcBorders>
              <w:top w:val="single" w:sz="4" w:space="0" w:color="auto"/>
              <w:left w:val="single" w:sz="4" w:space="0" w:color="auto"/>
              <w:bottom w:val="single" w:sz="4" w:space="0" w:color="auto"/>
              <w:right w:val="single" w:sz="4" w:space="0" w:color="auto"/>
            </w:tcBorders>
            <w:vAlign w:val="center"/>
          </w:tcPr>
          <w:p w14:paraId="087ED374" w14:textId="77777777" w:rsidR="00F34BD4" w:rsidRPr="0082517C" w:rsidRDefault="00F34BD4" w:rsidP="00B823C1">
            <w:pPr>
              <w:spacing w:after="0"/>
              <w:jc w:val="center"/>
              <w:rPr>
                <w:color w:val="000000"/>
                <w:szCs w:val="20"/>
                <w:lang w:eastAsia="pl-PL"/>
              </w:rPr>
            </w:pPr>
            <w:r w:rsidRPr="0082517C">
              <w:rPr>
                <w:rFonts w:cs="Calibri"/>
                <w:color w:val="000000"/>
                <w:szCs w:val="20"/>
              </w:rPr>
              <w:t>90</w:t>
            </w:r>
          </w:p>
        </w:tc>
        <w:tc>
          <w:tcPr>
            <w:tcW w:w="624" w:type="dxa"/>
            <w:tcBorders>
              <w:top w:val="single" w:sz="4" w:space="0" w:color="auto"/>
              <w:left w:val="single" w:sz="4" w:space="0" w:color="auto"/>
              <w:bottom w:val="single" w:sz="4" w:space="0" w:color="auto"/>
              <w:right w:val="single" w:sz="4" w:space="0" w:color="auto"/>
            </w:tcBorders>
            <w:vAlign w:val="center"/>
          </w:tcPr>
          <w:p w14:paraId="0482CEE7" w14:textId="77777777" w:rsidR="00F34BD4" w:rsidRPr="0082517C" w:rsidRDefault="00F34BD4" w:rsidP="00B823C1">
            <w:pPr>
              <w:spacing w:after="0"/>
              <w:jc w:val="center"/>
              <w:rPr>
                <w:color w:val="000000"/>
                <w:szCs w:val="20"/>
                <w:lang w:eastAsia="pl-PL"/>
              </w:rPr>
            </w:pPr>
            <w:r w:rsidRPr="0082517C">
              <w:rPr>
                <w:rFonts w:cs="Calibri"/>
                <w:color w:val="000000"/>
                <w:szCs w:val="20"/>
              </w:rPr>
              <w:t>90</w:t>
            </w:r>
          </w:p>
        </w:tc>
        <w:tc>
          <w:tcPr>
            <w:tcW w:w="624" w:type="dxa"/>
            <w:tcBorders>
              <w:top w:val="single" w:sz="4" w:space="0" w:color="auto"/>
              <w:left w:val="single" w:sz="4" w:space="0" w:color="auto"/>
              <w:bottom w:val="single" w:sz="4" w:space="0" w:color="auto"/>
              <w:right w:val="single" w:sz="4" w:space="0" w:color="auto"/>
            </w:tcBorders>
            <w:vAlign w:val="center"/>
          </w:tcPr>
          <w:p w14:paraId="29482B84" w14:textId="77777777" w:rsidR="00F34BD4" w:rsidRPr="0082517C" w:rsidRDefault="00F34BD4" w:rsidP="00B823C1">
            <w:pPr>
              <w:spacing w:after="0"/>
              <w:jc w:val="center"/>
              <w:rPr>
                <w:color w:val="000000"/>
                <w:szCs w:val="20"/>
                <w:lang w:eastAsia="pl-PL"/>
              </w:rPr>
            </w:pPr>
            <w:r w:rsidRPr="0082517C">
              <w:rPr>
                <w:rFonts w:cs="Calibri"/>
                <w:color w:val="000000"/>
                <w:szCs w:val="20"/>
              </w:rPr>
              <w:t>90</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BA3840" w14:textId="77777777" w:rsidR="00F34BD4" w:rsidRPr="0082517C" w:rsidRDefault="00F34BD4" w:rsidP="00B823C1">
            <w:pPr>
              <w:spacing w:after="0"/>
              <w:jc w:val="center"/>
              <w:rPr>
                <w:color w:val="000000"/>
                <w:szCs w:val="20"/>
                <w:lang w:eastAsia="pl-PL"/>
              </w:rPr>
            </w:pPr>
            <w:r w:rsidRPr="0082517C">
              <w:rPr>
                <w:rFonts w:cs="Calibri"/>
                <w:color w:val="000000"/>
                <w:szCs w:val="20"/>
              </w:rPr>
              <w:t>90</w:t>
            </w:r>
          </w:p>
        </w:tc>
        <w:tc>
          <w:tcPr>
            <w:tcW w:w="1359" w:type="dxa"/>
            <w:vMerge/>
            <w:tcBorders>
              <w:left w:val="single" w:sz="4" w:space="0" w:color="auto"/>
              <w:right w:val="single" w:sz="4" w:space="0" w:color="auto"/>
            </w:tcBorders>
            <w:vAlign w:val="center"/>
            <w:hideMark/>
          </w:tcPr>
          <w:p w14:paraId="130CCC2A" w14:textId="77777777" w:rsidR="00F34BD4" w:rsidRPr="0082517C" w:rsidRDefault="00F34BD4" w:rsidP="00B823C1">
            <w:pPr>
              <w:spacing w:after="0"/>
              <w:jc w:val="center"/>
              <w:rPr>
                <w:color w:val="000000"/>
                <w:szCs w:val="20"/>
                <w:lang w:eastAsia="pl-PL"/>
              </w:rPr>
            </w:pPr>
          </w:p>
        </w:tc>
      </w:tr>
      <w:tr w:rsidR="00F34BD4" w:rsidRPr="0082517C" w14:paraId="637851B5" w14:textId="77777777" w:rsidTr="00B823C1">
        <w:trPr>
          <w:trHeight w:val="282"/>
        </w:trPr>
        <w:tc>
          <w:tcPr>
            <w:tcW w:w="1396" w:type="dxa"/>
            <w:vMerge/>
            <w:tcBorders>
              <w:left w:val="single" w:sz="4" w:space="0" w:color="auto"/>
              <w:right w:val="single" w:sz="4" w:space="0" w:color="auto"/>
            </w:tcBorders>
            <w:vAlign w:val="center"/>
            <w:hideMark/>
          </w:tcPr>
          <w:p w14:paraId="5FC46073" w14:textId="77777777" w:rsidR="00F34BD4" w:rsidRPr="0082517C" w:rsidRDefault="00F34BD4" w:rsidP="00B823C1">
            <w:pPr>
              <w:spacing w:after="0"/>
              <w:jc w:val="center"/>
              <w:rPr>
                <w:color w:val="000000"/>
                <w:szCs w:val="20"/>
                <w:lang w:eastAsia="pl-PL"/>
              </w:rPr>
            </w:pPr>
          </w:p>
        </w:tc>
        <w:tc>
          <w:tcPr>
            <w:tcW w:w="670" w:type="dxa"/>
            <w:tcBorders>
              <w:top w:val="nil"/>
              <w:left w:val="nil"/>
              <w:bottom w:val="single" w:sz="4" w:space="0" w:color="auto"/>
              <w:right w:val="single" w:sz="4" w:space="0" w:color="auto"/>
            </w:tcBorders>
            <w:shd w:val="clear" w:color="auto" w:fill="auto"/>
            <w:noWrap/>
            <w:vAlign w:val="center"/>
          </w:tcPr>
          <w:p w14:paraId="0BB4F984" w14:textId="77777777" w:rsidR="00F34BD4" w:rsidRPr="0082517C" w:rsidRDefault="00F34BD4" w:rsidP="00B823C1">
            <w:pPr>
              <w:spacing w:after="0"/>
              <w:jc w:val="center"/>
              <w:rPr>
                <w:color w:val="000000"/>
                <w:szCs w:val="20"/>
                <w:lang w:eastAsia="pl-PL"/>
              </w:rPr>
            </w:pPr>
          </w:p>
        </w:tc>
        <w:tc>
          <w:tcPr>
            <w:tcW w:w="624" w:type="dxa"/>
            <w:tcBorders>
              <w:top w:val="nil"/>
              <w:left w:val="nil"/>
              <w:bottom w:val="single" w:sz="4" w:space="0" w:color="auto"/>
              <w:right w:val="single" w:sz="4" w:space="0" w:color="auto"/>
            </w:tcBorders>
            <w:shd w:val="clear" w:color="auto" w:fill="auto"/>
            <w:noWrap/>
            <w:vAlign w:val="center"/>
          </w:tcPr>
          <w:p w14:paraId="38D4F959" w14:textId="77777777" w:rsidR="00F34BD4" w:rsidRPr="0082517C" w:rsidRDefault="00F34BD4" w:rsidP="00B823C1">
            <w:pPr>
              <w:spacing w:after="0"/>
              <w:jc w:val="center"/>
              <w:rPr>
                <w:color w:val="000000"/>
                <w:szCs w:val="20"/>
                <w:lang w:eastAsia="pl-PL"/>
              </w:rPr>
            </w:pPr>
          </w:p>
        </w:tc>
        <w:tc>
          <w:tcPr>
            <w:tcW w:w="624" w:type="dxa"/>
            <w:tcBorders>
              <w:top w:val="nil"/>
              <w:left w:val="nil"/>
              <w:bottom w:val="single" w:sz="4" w:space="0" w:color="auto"/>
              <w:right w:val="single" w:sz="4" w:space="0" w:color="auto"/>
            </w:tcBorders>
            <w:shd w:val="clear" w:color="auto" w:fill="auto"/>
            <w:noWrap/>
            <w:vAlign w:val="center"/>
          </w:tcPr>
          <w:p w14:paraId="5D6E8E3E" w14:textId="77777777" w:rsidR="00F34BD4" w:rsidRPr="0082517C" w:rsidRDefault="00F34BD4" w:rsidP="00B823C1">
            <w:pPr>
              <w:spacing w:after="0"/>
              <w:jc w:val="center"/>
              <w:rPr>
                <w:color w:val="000000"/>
                <w:szCs w:val="20"/>
                <w:lang w:eastAsia="pl-PL"/>
              </w:rPr>
            </w:pPr>
          </w:p>
        </w:tc>
        <w:tc>
          <w:tcPr>
            <w:tcW w:w="624" w:type="dxa"/>
            <w:tcBorders>
              <w:top w:val="nil"/>
              <w:left w:val="nil"/>
              <w:bottom w:val="single" w:sz="4" w:space="0" w:color="auto"/>
              <w:right w:val="single" w:sz="4" w:space="0" w:color="auto"/>
            </w:tcBorders>
            <w:shd w:val="clear" w:color="auto" w:fill="auto"/>
            <w:noWrap/>
            <w:vAlign w:val="center"/>
          </w:tcPr>
          <w:p w14:paraId="7553C23A" w14:textId="77777777" w:rsidR="00F34BD4" w:rsidRPr="0082517C" w:rsidRDefault="00F34BD4" w:rsidP="00B823C1">
            <w:pPr>
              <w:spacing w:after="0"/>
              <w:jc w:val="center"/>
              <w:rPr>
                <w:color w:val="000000"/>
                <w:szCs w:val="20"/>
                <w:lang w:eastAsia="pl-PL"/>
              </w:rPr>
            </w:pPr>
          </w:p>
        </w:tc>
        <w:tc>
          <w:tcPr>
            <w:tcW w:w="656" w:type="dxa"/>
            <w:tcBorders>
              <w:top w:val="nil"/>
              <w:left w:val="nil"/>
              <w:bottom w:val="single" w:sz="4" w:space="0" w:color="auto"/>
              <w:right w:val="single" w:sz="4" w:space="0" w:color="auto"/>
            </w:tcBorders>
            <w:shd w:val="clear" w:color="auto" w:fill="auto"/>
            <w:noWrap/>
            <w:vAlign w:val="center"/>
          </w:tcPr>
          <w:p w14:paraId="294F25E1" w14:textId="77777777" w:rsidR="00F34BD4" w:rsidRPr="0082517C" w:rsidRDefault="00F34BD4" w:rsidP="00B823C1">
            <w:pPr>
              <w:spacing w:after="0"/>
              <w:jc w:val="center"/>
              <w:rPr>
                <w:color w:val="000000"/>
                <w:szCs w:val="20"/>
                <w:lang w:eastAsia="pl-PL"/>
              </w:rPr>
            </w:pPr>
            <w:r w:rsidRPr="0082517C">
              <w:rPr>
                <w:rFonts w:cs="Calibri"/>
                <w:color w:val="000000"/>
                <w:szCs w:val="20"/>
              </w:rPr>
              <w:t>90</w:t>
            </w:r>
          </w:p>
        </w:tc>
        <w:tc>
          <w:tcPr>
            <w:tcW w:w="656" w:type="dxa"/>
            <w:tcBorders>
              <w:top w:val="nil"/>
              <w:left w:val="nil"/>
              <w:bottom w:val="single" w:sz="4" w:space="0" w:color="auto"/>
              <w:right w:val="single" w:sz="4" w:space="0" w:color="auto"/>
            </w:tcBorders>
            <w:shd w:val="clear" w:color="auto" w:fill="auto"/>
            <w:noWrap/>
            <w:vAlign w:val="center"/>
          </w:tcPr>
          <w:p w14:paraId="5C6CF77D" w14:textId="77777777" w:rsidR="00F34BD4" w:rsidRPr="0082517C" w:rsidRDefault="00F34BD4" w:rsidP="00B823C1">
            <w:pPr>
              <w:spacing w:after="0"/>
              <w:jc w:val="center"/>
              <w:rPr>
                <w:color w:val="000000"/>
                <w:szCs w:val="20"/>
                <w:lang w:eastAsia="pl-PL"/>
              </w:rPr>
            </w:pPr>
            <w:r w:rsidRPr="0082517C">
              <w:rPr>
                <w:rFonts w:cs="Calibri"/>
                <w:color w:val="000000"/>
                <w:szCs w:val="20"/>
              </w:rPr>
              <w:t>90</w:t>
            </w:r>
          </w:p>
        </w:tc>
        <w:tc>
          <w:tcPr>
            <w:tcW w:w="624" w:type="dxa"/>
            <w:tcBorders>
              <w:top w:val="single" w:sz="4" w:space="0" w:color="auto"/>
              <w:left w:val="single" w:sz="4" w:space="0" w:color="auto"/>
              <w:bottom w:val="single" w:sz="4" w:space="0" w:color="auto"/>
              <w:right w:val="single" w:sz="4" w:space="0" w:color="auto"/>
            </w:tcBorders>
            <w:vAlign w:val="center"/>
          </w:tcPr>
          <w:p w14:paraId="5B5F4C94" w14:textId="77777777" w:rsidR="00F34BD4" w:rsidRPr="0082517C" w:rsidRDefault="00F34BD4" w:rsidP="00B823C1">
            <w:pPr>
              <w:spacing w:after="0"/>
              <w:jc w:val="center"/>
              <w:rPr>
                <w:color w:val="000000"/>
                <w:szCs w:val="20"/>
                <w:lang w:eastAsia="pl-PL"/>
              </w:rPr>
            </w:pPr>
            <w:r w:rsidRPr="0082517C">
              <w:rPr>
                <w:rFonts w:cs="Calibri"/>
                <w:color w:val="000000"/>
                <w:szCs w:val="20"/>
              </w:rPr>
              <w:t>90</w:t>
            </w:r>
          </w:p>
        </w:tc>
        <w:tc>
          <w:tcPr>
            <w:tcW w:w="624" w:type="dxa"/>
            <w:tcBorders>
              <w:top w:val="single" w:sz="4" w:space="0" w:color="auto"/>
              <w:left w:val="single" w:sz="4" w:space="0" w:color="auto"/>
              <w:bottom w:val="single" w:sz="4" w:space="0" w:color="auto"/>
              <w:right w:val="single" w:sz="4" w:space="0" w:color="auto"/>
            </w:tcBorders>
            <w:vAlign w:val="center"/>
          </w:tcPr>
          <w:p w14:paraId="72099F42" w14:textId="77777777" w:rsidR="00F34BD4" w:rsidRPr="0082517C" w:rsidRDefault="00F34BD4" w:rsidP="00B823C1">
            <w:pPr>
              <w:spacing w:after="0"/>
              <w:jc w:val="center"/>
              <w:rPr>
                <w:color w:val="000000"/>
                <w:szCs w:val="20"/>
                <w:lang w:eastAsia="pl-PL"/>
              </w:rPr>
            </w:pPr>
            <w:r w:rsidRPr="0082517C">
              <w:rPr>
                <w:rFonts w:cs="Calibri"/>
                <w:color w:val="000000"/>
                <w:szCs w:val="20"/>
              </w:rPr>
              <w:t>90</w:t>
            </w:r>
          </w:p>
        </w:tc>
        <w:tc>
          <w:tcPr>
            <w:tcW w:w="624" w:type="dxa"/>
            <w:tcBorders>
              <w:top w:val="single" w:sz="4" w:space="0" w:color="auto"/>
              <w:left w:val="single" w:sz="4" w:space="0" w:color="auto"/>
              <w:bottom w:val="single" w:sz="4" w:space="0" w:color="auto"/>
              <w:right w:val="single" w:sz="4" w:space="0" w:color="auto"/>
            </w:tcBorders>
            <w:vAlign w:val="center"/>
          </w:tcPr>
          <w:p w14:paraId="762F8A7A" w14:textId="77777777" w:rsidR="00F34BD4" w:rsidRPr="0082517C" w:rsidRDefault="00F34BD4" w:rsidP="00B823C1">
            <w:pPr>
              <w:spacing w:after="0"/>
              <w:jc w:val="center"/>
              <w:rPr>
                <w:color w:val="000000"/>
                <w:szCs w:val="20"/>
                <w:lang w:eastAsia="pl-PL"/>
              </w:rPr>
            </w:pPr>
            <w:r w:rsidRPr="0082517C">
              <w:rPr>
                <w:rFonts w:cs="Calibri"/>
                <w:color w:val="000000"/>
                <w:szCs w:val="20"/>
              </w:rPr>
              <w:t>90</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E072EB" w14:textId="77777777" w:rsidR="00F34BD4" w:rsidRPr="0082517C" w:rsidRDefault="00F34BD4" w:rsidP="00B823C1">
            <w:pPr>
              <w:spacing w:after="0"/>
              <w:jc w:val="center"/>
              <w:rPr>
                <w:color w:val="000000"/>
                <w:szCs w:val="20"/>
                <w:lang w:eastAsia="pl-PL"/>
              </w:rPr>
            </w:pPr>
            <w:r w:rsidRPr="0082517C">
              <w:rPr>
                <w:rFonts w:cs="Calibri"/>
                <w:color w:val="000000"/>
                <w:szCs w:val="20"/>
              </w:rPr>
              <w:t>90</w:t>
            </w:r>
          </w:p>
        </w:tc>
        <w:tc>
          <w:tcPr>
            <w:tcW w:w="1359" w:type="dxa"/>
            <w:vMerge/>
            <w:tcBorders>
              <w:left w:val="single" w:sz="4" w:space="0" w:color="auto"/>
              <w:right w:val="single" w:sz="4" w:space="0" w:color="auto"/>
            </w:tcBorders>
            <w:shd w:val="clear" w:color="auto" w:fill="auto"/>
            <w:vAlign w:val="center"/>
            <w:hideMark/>
          </w:tcPr>
          <w:p w14:paraId="75A559F0" w14:textId="77777777" w:rsidR="00F34BD4" w:rsidRPr="0082517C" w:rsidRDefault="00F34BD4" w:rsidP="00B823C1">
            <w:pPr>
              <w:spacing w:after="0"/>
              <w:jc w:val="center"/>
              <w:rPr>
                <w:color w:val="000000"/>
                <w:szCs w:val="20"/>
                <w:lang w:eastAsia="pl-PL"/>
              </w:rPr>
            </w:pPr>
          </w:p>
        </w:tc>
      </w:tr>
      <w:tr w:rsidR="00F34BD4" w:rsidRPr="0082517C" w14:paraId="3B9DF85D" w14:textId="77777777" w:rsidTr="00B823C1">
        <w:trPr>
          <w:trHeight w:val="282"/>
        </w:trPr>
        <w:tc>
          <w:tcPr>
            <w:tcW w:w="1396" w:type="dxa"/>
            <w:vMerge/>
            <w:tcBorders>
              <w:left w:val="single" w:sz="4" w:space="0" w:color="auto"/>
              <w:right w:val="single" w:sz="4" w:space="0" w:color="auto"/>
            </w:tcBorders>
            <w:vAlign w:val="center"/>
            <w:hideMark/>
          </w:tcPr>
          <w:p w14:paraId="19E380F8" w14:textId="77777777" w:rsidR="00F34BD4" w:rsidRPr="0082517C" w:rsidRDefault="00F34BD4" w:rsidP="00B823C1">
            <w:pPr>
              <w:spacing w:after="0"/>
              <w:jc w:val="center"/>
              <w:rPr>
                <w:color w:val="000000"/>
                <w:szCs w:val="20"/>
                <w:lang w:eastAsia="pl-PL"/>
              </w:rPr>
            </w:pPr>
          </w:p>
        </w:tc>
        <w:tc>
          <w:tcPr>
            <w:tcW w:w="670" w:type="dxa"/>
            <w:tcBorders>
              <w:top w:val="nil"/>
              <w:left w:val="nil"/>
              <w:bottom w:val="single" w:sz="4" w:space="0" w:color="auto"/>
              <w:right w:val="single" w:sz="4" w:space="0" w:color="auto"/>
            </w:tcBorders>
            <w:shd w:val="clear" w:color="auto" w:fill="auto"/>
            <w:noWrap/>
            <w:vAlign w:val="center"/>
          </w:tcPr>
          <w:p w14:paraId="47D7795E" w14:textId="77777777" w:rsidR="00F34BD4" w:rsidRPr="0082517C" w:rsidRDefault="00F34BD4" w:rsidP="00B823C1">
            <w:pPr>
              <w:spacing w:after="0"/>
              <w:jc w:val="center"/>
              <w:rPr>
                <w:color w:val="000000"/>
                <w:szCs w:val="20"/>
                <w:lang w:eastAsia="pl-PL"/>
              </w:rPr>
            </w:pPr>
          </w:p>
        </w:tc>
        <w:tc>
          <w:tcPr>
            <w:tcW w:w="624" w:type="dxa"/>
            <w:tcBorders>
              <w:top w:val="nil"/>
              <w:left w:val="nil"/>
              <w:bottom w:val="single" w:sz="4" w:space="0" w:color="auto"/>
              <w:right w:val="single" w:sz="4" w:space="0" w:color="auto"/>
            </w:tcBorders>
            <w:shd w:val="clear" w:color="auto" w:fill="auto"/>
            <w:noWrap/>
            <w:vAlign w:val="center"/>
          </w:tcPr>
          <w:p w14:paraId="3057EBBB" w14:textId="77777777" w:rsidR="00F34BD4" w:rsidRPr="0082517C" w:rsidRDefault="00F34BD4" w:rsidP="00B823C1">
            <w:pPr>
              <w:spacing w:after="0"/>
              <w:jc w:val="center"/>
              <w:rPr>
                <w:color w:val="000000"/>
                <w:szCs w:val="20"/>
                <w:lang w:eastAsia="pl-PL"/>
              </w:rPr>
            </w:pPr>
          </w:p>
        </w:tc>
        <w:tc>
          <w:tcPr>
            <w:tcW w:w="624" w:type="dxa"/>
            <w:tcBorders>
              <w:top w:val="nil"/>
              <w:left w:val="nil"/>
              <w:bottom w:val="single" w:sz="4" w:space="0" w:color="auto"/>
              <w:right w:val="single" w:sz="4" w:space="0" w:color="auto"/>
            </w:tcBorders>
            <w:shd w:val="clear" w:color="auto" w:fill="auto"/>
            <w:noWrap/>
            <w:vAlign w:val="center"/>
          </w:tcPr>
          <w:p w14:paraId="37FB43F2" w14:textId="77777777" w:rsidR="00F34BD4" w:rsidRPr="0082517C" w:rsidRDefault="00F34BD4" w:rsidP="00B823C1">
            <w:pPr>
              <w:spacing w:after="0"/>
              <w:jc w:val="center"/>
              <w:rPr>
                <w:color w:val="000000"/>
                <w:szCs w:val="20"/>
                <w:lang w:eastAsia="pl-PL"/>
              </w:rPr>
            </w:pPr>
          </w:p>
        </w:tc>
        <w:tc>
          <w:tcPr>
            <w:tcW w:w="624" w:type="dxa"/>
            <w:tcBorders>
              <w:top w:val="nil"/>
              <w:left w:val="nil"/>
              <w:bottom w:val="single" w:sz="4" w:space="0" w:color="auto"/>
              <w:right w:val="single" w:sz="4" w:space="0" w:color="auto"/>
            </w:tcBorders>
            <w:shd w:val="clear" w:color="auto" w:fill="auto"/>
            <w:noWrap/>
            <w:vAlign w:val="center"/>
          </w:tcPr>
          <w:p w14:paraId="3D6A5AAE" w14:textId="77777777" w:rsidR="00F34BD4" w:rsidRPr="0082517C" w:rsidRDefault="00F34BD4" w:rsidP="00B823C1">
            <w:pPr>
              <w:spacing w:after="0"/>
              <w:jc w:val="center"/>
              <w:rPr>
                <w:color w:val="000000"/>
                <w:szCs w:val="20"/>
                <w:lang w:eastAsia="pl-PL"/>
              </w:rPr>
            </w:pPr>
            <w:r w:rsidRPr="0082517C">
              <w:rPr>
                <w:rFonts w:cs="Calibri"/>
                <w:color w:val="000000"/>
                <w:szCs w:val="20"/>
              </w:rPr>
              <w:t>90</w:t>
            </w:r>
          </w:p>
        </w:tc>
        <w:tc>
          <w:tcPr>
            <w:tcW w:w="656" w:type="dxa"/>
            <w:tcBorders>
              <w:top w:val="nil"/>
              <w:left w:val="nil"/>
              <w:bottom w:val="single" w:sz="4" w:space="0" w:color="auto"/>
              <w:right w:val="single" w:sz="4" w:space="0" w:color="auto"/>
            </w:tcBorders>
            <w:shd w:val="clear" w:color="auto" w:fill="auto"/>
            <w:noWrap/>
            <w:vAlign w:val="center"/>
          </w:tcPr>
          <w:p w14:paraId="34258ECB" w14:textId="77777777" w:rsidR="00F34BD4" w:rsidRPr="0082517C" w:rsidRDefault="00F34BD4" w:rsidP="00B823C1">
            <w:pPr>
              <w:spacing w:after="0"/>
              <w:jc w:val="center"/>
              <w:rPr>
                <w:color w:val="000000"/>
                <w:szCs w:val="20"/>
                <w:lang w:eastAsia="pl-PL"/>
              </w:rPr>
            </w:pPr>
            <w:r w:rsidRPr="0082517C">
              <w:rPr>
                <w:rFonts w:cs="Calibri"/>
                <w:color w:val="000000"/>
                <w:szCs w:val="20"/>
              </w:rPr>
              <w:t>90</w:t>
            </w:r>
          </w:p>
        </w:tc>
        <w:tc>
          <w:tcPr>
            <w:tcW w:w="656" w:type="dxa"/>
            <w:tcBorders>
              <w:top w:val="nil"/>
              <w:left w:val="nil"/>
              <w:bottom w:val="single" w:sz="4" w:space="0" w:color="auto"/>
              <w:right w:val="single" w:sz="4" w:space="0" w:color="auto"/>
            </w:tcBorders>
            <w:shd w:val="clear" w:color="auto" w:fill="auto"/>
            <w:noWrap/>
            <w:vAlign w:val="center"/>
          </w:tcPr>
          <w:p w14:paraId="1FE3C376" w14:textId="77777777" w:rsidR="00F34BD4" w:rsidRPr="0082517C" w:rsidRDefault="00F34BD4" w:rsidP="00B823C1">
            <w:pPr>
              <w:spacing w:after="0"/>
              <w:jc w:val="center"/>
              <w:rPr>
                <w:color w:val="000000"/>
                <w:szCs w:val="20"/>
                <w:lang w:eastAsia="pl-PL"/>
              </w:rPr>
            </w:pPr>
            <w:r w:rsidRPr="0082517C">
              <w:rPr>
                <w:rFonts w:cs="Calibri"/>
                <w:color w:val="000000"/>
                <w:szCs w:val="20"/>
              </w:rPr>
              <w:t>90</w:t>
            </w:r>
          </w:p>
        </w:tc>
        <w:tc>
          <w:tcPr>
            <w:tcW w:w="624" w:type="dxa"/>
            <w:tcBorders>
              <w:top w:val="single" w:sz="4" w:space="0" w:color="auto"/>
              <w:left w:val="single" w:sz="4" w:space="0" w:color="auto"/>
              <w:bottom w:val="single" w:sz="4" w:space="0" w:color="auto"/>
              <w:right w:val="single" w:sz="4" w:space="0" w:color="auto"/>
            </w:tcBorders>
            <w:vAlign w:val="center"/>
          </w:tcPr>
          <w:p w14:paraId="7FCE44CE" w14:textId="77777777" w:rsidR="00F34BD4" w:rsidRPr="0082517C" w:rsidRDefault="00F34BD4" w:rsidP="00B823C1">
            <w:pPr>
              <w:spacing w:after="0"/>
              <w:jc w:val="center"/>
              <w:rPr>
                <w:color w:val="000000"/>
                <w:szCs w:val="20"/>
                <w:lang w:eastAsia="pl-PL"/>
              </w:rPr>
            </w:pPr>
            <w:r w:rsidRPr="0082517C">
              <w:rPr>
                <w:rFonts w:cs="Calibri"/>
                <w:color w:val="000000"/>
                <w:szCs w:val="20"/>
              </w:rPr>
              <w:t>90</w:t>
            </w:r>
          </w:p>
        </w:tc>
        <w:tc>
          <w:tcPr>
            <w:tcW w:w="624" w:type="dxa"/>
            <w:tcBorders>
              <w:top w:val="single" w:sz="4" w:space="0" w:color="auto"/>
              <w:left w:val="single" w:sz="4" w:space="0" w:color="auto"/>
              <w:bottom w:val="single" w:sz="4" w:space="0" w:color="auto"/>
              <w:right w:val="single" w:sz="4" w:space="0" w:color="auto"/>
            </w:tcBorders>
            <w:vAlign w:val="center"/>
          </w:tcPr>
          <w:p w14:paraId="273282DB" w14:textId="77777777" w:rsidR="00F34BD4" w:rsidRPr="0082517C" w:rsidRDefault="00F34BD4" w:rsidP="00B823C1">
            <w:pPr>
              <w:spacing w:after="0"/>
              <w:jc w:val="center"/>
              <w:rPr>
                <w:color w:val="000000"/>
                <w:szCs w:val="20"/>
                <w:lang w:eastAsia="pl-PL"/>
              </w:rPr>
            </w:pPr>
            <w:r w:rsidRPr="0082517C">
              <w:rPr>
                <w:rFonts w:cs="Calibri"/>
                <w:color w:val="000000"/>
                <w:szCs w:val="20"/>
              </w:rPr>
              <w:t>90</w:t>
            </w:r>
          </w:p>
        </w:tc>
        <w:tc>
          <w:tcPr>
            <w:tcW w:w="624" w:type="dxa"/>
            <w:tcBorders>
              <w:top w:val="single" w:sz="4" w:space="0" w:color="auto"/>
              <w:left w:val="single" w:sz="4" w:space="0" w:color="auto"/>
              <w:bottom w:val="single" w:sz="4" w:space="0" w:color="auto"/>
              <w:right w:val="single" w:sz="4" w:space="0" w:color="auto"/>
            </w:tcBorders>
            <w:vAlign w:val="center"/>
          </w:tcPr>
          <w:p w14:paraId="57D2D450" w14:textId="77777777" w:rsidR="00F34BD4" w:rsidRPr="0082517C" w:rsidRDefault="00F34BD4" w:rsidP="00B823C1">
            <w:pPr>
              <w:spacing w:after="0"/>
              <w:jc w:val="center"/>
              <w:rPr>
                <w:color w:val="000000"/>
                <w:szCs w:val="20"/>
                <w:lang w:eastAsia="pl-PL"/>
              </w:rPr>
            </w:pPr>
            <w:r w:rsidRPr="0082517C">
              <w:rPr>
                <w:rFonts w:cs="Calibri"/>
                <w:color w:val="000000"/>
                <w:szCs w:val="20"/>
              </w:rPr>
              <w:t>90</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7E936" w14:textId="77777777" w:rsidR="00F34BD4" w:rsidRPr="0082517C" w:rsidRDefault="00F34BD4" w:rsidP="00B823C1">
            <w:pPr>
              <w:spacing w:after="0"/>
              <w:jc w:val="center"/>
              <w:rPr>
                <w:color w:val="000000"/>
                <w:szCs w:val="20"/>
                <w:lang w:eastAsia="pl-PL"/>
              </w:rPr>
            </w:pPr>
            <w:r w:rsidRPr="0082517C">
              <w:rPr>
                <w:rFonts w:cs="Calibri"/>
                <w:color w:val="000000"/>
                <w:szCs w:val="20"/>
              </w:rPr>
              <w:t>90</w:t>
            </w:r>
          </w:p>
        </w:tc>
        <w:tc>
          <w:tcPr>
            <w:tcW w:w="1359" w:type="dxa"/>
            <w:vMerge/>
            <w:tcBorders>
              <w:left w:val="single" w:sz="4" w:space="0" w:color="auto"/>
              <w:right w:val="single" w:sz="4" w:space="0" w:color="auto"/>
            </w:tcBorders>
            <w:vAlign w:val="center"/>
            <w:hideMark/>
          </w:tcPr>
          <w:p w14:paraId="6C2AA8E3" w14:textId="77777777" w:rsidR="00F34BD4" w:rsidRPr="0082517C" w:rsidRDefault="00F34BD4" w:rsidP="00B823C1">
            <w:pPr>
              <w:spacing w:after="0"/>
              <w:jc w:val="center"/>
              <w:rPr>
                <w:color w:val="000000"/>
                <w:szCs w:val="20"/>
                <w:lang w:eastAsia="pl-PL"/>
              </w:rPr>
            </w:pPr>
          </w:p>
        </w:tc>
      </w:tr>
      <w:tr w:rsidR="00F34BD4" w:rsidRPr="0082517C" w14:paraId="033740CA" w14:textId="77777777" w:rsidTr="00B823C1">
        <w:trPr>
          <w:trHeight w:val="282"/>
        </w:trPr>
        <w:tc>
          <w:tcPr>
            <w:tcW w:w="1396" w:type="dxa"/>
            <w:vMerge/>
            <w:tcBorders>
              <w:left w:val="single" w:sz="4" w:space="0" w:color="auto"/>
              <w:right w:val="single" w:sz="4" w:space="0" w:color="auto"/>
            </w:tcBorders>
            <w:vAlign w:val="center"/>
          </w:tcPr>
          <w:p w14:paraId="364DD0D7" w14:textId="77777777" w:rsidR="00F34BD4" w:rsidRPr="0082517C" w:rsidRDefault="00F34BD4" w:rsidP="00B823C1">
            <w:pPr>
              <w:spacing w:after="0"/>
              <w:jc w:val="center"/>
              <w:rPr>
                <w:color w:val="000000"/>
                <w:szCs w:val="20"/>
                <w:lang w:eastAsia="pl-PL"/>
              </w:rPr>
            </w:pPr>
          </w:p>
        </w:tc>
        <w:tc>
          <w:tcPr>
            <w:tcW w:w="670" w:type="dxa"/>
            <w:tcBorders>
              <w:top w:val="nil"/>
              <w:left w:val="nil"/>
              <w:bottom w:val="single" w:sz="4" w:space="0" w:color="auto"/>
              <w:right w:val="single" w:sz="4" w:space="0" w:color="auto"/>
            </w:tcBorders>
            <w:shd w:val="clear" w:color="auto" w:fill="auto"/>
            <w:noWrap/>
            <w:vAlign w:val="center"/>
          </w:tcPr>
          <w:p w14:paraId="6251A5C4" w14:textId="77777777" w:rsidR="00F34BD4" w:rsidRPr="0082517C" w:rsidRDefault="00F34BD4" w:rsidP="00B823C1">
            <w:pPr>
              <w:spacing w:after="0"/>
              <w:jc w:val="center"/>
              <w:rPr>
                <w:color w:val="000000"/>
                <w:szCs w:val="20"/>
                <w:lang w:eastAsia="pl-PL"/>
              </w:rPr>
            </w:pPr>
          </w:p>
        </w:tc>
        <w:tc>
          <w:tcPr>
            <w:tcW w:w="624" w:type="dxa"/>
            <w:tcBorders>
              <w:top w:val="nil"/>
              <w:left w:val="nil"/>
              <w:bottom w:val="single" w:sz="4" w:space="0" w:color="auto"/>
              <w:right w:val="single" w:sz="4" w:space="0" w:color="auto"/>
            </w:tcBorders>
            <w:shd w:val="clear" w:color="auto" w:fill="auto"/>
            <w:noWrap/>
            <w:vAlign w:val="center"/>
          </w:tcPr>
          <w:p w14:paraId="71512BFD" w14:textId="77777777" w:rsidR="00F34BD4" w:rsidRPr="0082517C" w:rsidRDefault="00F34BD4" w:rsidP="00B823C1">
            <w:pPr>
              <w:spacing w:after="0"/>
              <w:jc w:val="center"/>
              <w:rPr>
                <w:color w:val="000000"/>
                <w:szCs w:val="20"/>
                <w:lang w:eastAsia="pl-PL"/>
              </w:rPr>
            </w:pPr>
          </w:p>
        </w:tc>
        <w:tc>
          <w:tcPr>
            <w:tcW w:w="624" w:type="dxa"/>
            <w:tcBorders>
              <w:top w:val="nil"/>
              <w:left w:val="nil"/>
              <w:bottom w:val="single" w:sz="4" w:space="0" w:color="auto"/>
              <w:right w:val="single" w:sz="4" w:space="0" w:color="auto"/>
            </w:tcBorders>
            <w:shd w:val="clear" w:color="auto" w:fill="auto"/>
            <w:noWrap/>
            <w:vAlign w:val="center"/>
          </w:tcPr>
          <w:p w14:paraId="5211764E" w14:textId="77777777" w:rsidR="00F34BD4" w:rsidRPr="0082517C" w:rsidRDefault="00F34BD4" w:rsidP="00B823C1">
            <w:pPr>
              <w:spacing w:after="0"/>
              <w:jc w:val="center"/>
              <w:rPr>
                <w:color w:val="000000"/>
                <w:szCs w:val="20"/>
                <w:lang w:eastAsia="pl-PL"/>
              </w:rPr>
            </w:pPr>
            <w:r w:rsidRPr="0082517C">
              <w:rPr>
                <w:rFonts w:cs="Calibri"/>
                <w:color w:val="000000"/>
                <w:szCs w:val="20"/>
              </w:rPr>
              <w:t>90</w:t>
            </w:r>
          </w:p>
        </w:tc>
        <w:tc>
          <w:tcPr>
            <w:tcW w:w="624" w:type="dxa"/>
            <w:tcBorders>
              <w:top w:val="nil"/>
              <w:left w:val="nil"/>
              <w:bottom w:val="single" w:sz="4" w:space="0" w:color="auto"/>
              <w:right w:val="single" w:sz="4" w:space="0" w:color="auto"/>
            </w:tcBorders>
            <w:shd w:val="clear" w:color="auto" w:fill="auto"/>
            <w:noWrap/>
            <w:vAlign w:val="center"/>
          </w:tcPr>
          <w:p w14:paraId="02F46FAC" w14:textId="77777777" w:rsidR="00F34BD4" w:rsidRPr="0082517C" w:rsidRDefault="00F34BD4" w:rsidP="00B823C1">
            <w:pPr>
              <w:spacing w:after="0"/>
              <w:jc w:val="center"/>
              <w:rPr>
                <w:color w:val="000000"/>
                <w:szCs w:val="20"/>
                <w:lang w:eastAsia="pl-PL"/>
              </w:rPr>
            </w:pPr>
            <w:r w:rsidRPr="0082517C">
              <w:rPr>
                <w:rFonts w:cs="Calibri"/>
                <w:color w:val="000000"/>
                <w:szCs w:val="20"/>
              </w:rPr>
              <w:t>90</w:t>
            </w:r>
          </w:p>
        </w:tc>
        <w:tc>
          <w:tcPr>
            <w:tcW w:w="656" w:type="dxa"/>
            <w:tcBorders>
              <w:top w:val="nil"/>
              <w:left w:val="nil"/>
              <w:bottom w:val="single" w:sz="4" w:space="0" w:color="auto"/>
              <w:right w:val="single" w:sz="4" w:space="0" w:color="auto"/>
            </w:tcBorders>
            <w:shd w:val="clear" w:color="auto" w:fill="auto"/>
            <w:noWrap/>
            <w:vAlign w:val="center"/>
          </w:tcPr>
          <w:p w14:paraId="766CCB15" w14:textId="77777777" w:rsidR="00F34BD4" w:rsidRPr="0082517C" w:rsidRDefault="00F34BD4" w:rsidP="00B823C1">
            <w:pPr>
              <w:spacing w:after="0"/>
              <w:jc w:val="center"/>
              <w:rPr>
                <w:color w:val="000000"/>
                <w:szCs w:val="20"/>
                <w:lang w:eastAsia="pl-PL"/>
              </w:rPr>
            </w:pPr>
            <w:r w:rsidRPr="0082517C">
              <w:rPr>
                <w:rFonts w:cs="Calibri"/>
                <w:color w:val="000000"/>
                <w:szCs w:val="20"/>
              </w:rPr>
              <w:t>90</w:t>
            </w:r>
          </w:p>
        </w:tc>
        <w:tc>
          <w:tcPr>
            <w:tcW w:w="656" w:type="dxa"/>
            <w:tcBorders>
              <w:top w:val="nil"/>
              <w:left w:val="nil"/>
              <w:bottom w:val="single" w:sz="4" w:space="0" w:color="auto"/>
              <w:right w:val="single" w:sz="4" w:space="0" w:color="auto"/>
            </w:tcBorders>
            <w:shd w:val="clear" w:color="auto" w:fill="auto"/>
            <w:noWrap/>
            <w:vAlign w:val="center"/>
          </w:tcPr>
          <w:p w14:paraId="46B7EE46" w14:textId="77777777" w:rsidR="00F34BD4" w:rsidRPr="0082517C" w:rsidRDefault="00F34BD4" w:rsidP="00B823C1">
            <w:pPr>
              <w:spacing w:after="0"/>
              <w:jc w:val="center"/>
              <w:rPr>
                <w:color w:val="000000"/>
                <w:szCs w:val="20"/>
                <w:lang w:eastAsia="pl-PL"/>
              </w:rPr>
            </w:pPr>
            <w:r w:rsidRPr="0082517C">
              <w:rPr>
                <w:rFonts w:cs="Calibri"/>
                <w:color w:val="000000"/>
                <w:szCs w:val="20"/>
              </w:rPr>
              <w:t>90</w:t>
            </w:r>
          </w:p>
        </w:tc>
        <w:tc>
          <w:tcPr>
            <w:tcW w:w="624" w:type="dxa"/>
            <w:tcBorders>
              <w:top w:val="single" w:sz="4" w:space="0" w:color="auto"/>
              <w:left w:val="single" w:sz="4" w:space="0" w:color="auto"/>
              <w:bottom w:val="single" w:sz="4" w:space="0" w:color="auto"/>
              <w:right w:val="single" w:sz="4" w:space="0" w:color="auto"/>
            </w:tcBorders>
            <w:vAlign w:val="center"/>
          </w:tcPr>
          <w:p w14:paraId="193CD7C3" w14:textId="77777777" w:rsidR="00F34BD4" w:rsidRPr="0082517C" w:rsidRDefault="00F34BD4" w:rsidP="00B823C1">
            <w:pPr>
              <w:spacing w:after="0"/>
              <w:jc w:val="center"/>
              <w:rPr>
                <w:color w:val="000000"/>
                <w:szCs w:val="20"/>
                <w:lang w:eastAsia="pl-PL"/>
              </w:rPr>
            </w:pPr>
            <w:r w:rsidRPr="0082517C">
              <w:rPr>
                <w:rFonts w:cs="Calibri"/>
                <w:color w:val="000000"/>
                <w:szCs w:val="20"/>
              </w:rPr>
              <w:t>90</w:t>
            </w:r>
          </w:p>
        </w:tc>
        <w:tc>
          <w:tcPr>
            <w:tcW w:w="624" w:type="dxa"/>
            <w:tcBorders>
              <w:top w:val="single" w:sz="4" w:space="0" w:color="auto"/>
              <w:left w:val="single" w:sz="4" w:space="0" w:color="auto"/>
              <w:bottom w:val="single" w:sz="4" w:space="0" w:color="auto"/>
              <w:right w:val="single" w:sz="4" w:space="0" w:color="auto"/>
            </w:tcBorders>
            <w:vAlign w:val="center"/>
          </w:tcPr>
          <w:p w14:paraId="4E2E0FA2" w14:textId="77777777" w:rsidR="00F34BD4" w:rsidRPr="0082517C" w:rsidRDefault="00F34BD4" w:rsidP="00B823C1">
            <w:pPr>
              <w:spacing w:after="0"/>
              <w:jc w:val="center"/>
              <w:rPr>
                <w:color w:val="000000"/>
                <w:szCs w:val="20"/>
                <w:lang w:eastAsia="pl-PL"/>
              </w:rPr>
            </w:pPr>
            <w:r w:rsidRPr="0082517C">
              <w:rPr>
                <w:rFonts w:cs="Calibri"/>
                <w:color w:val="000000"/>
                <w:szCs w:val="20"/>
              </w:rPr>
              <w:t>90</w:t>
            </w:r>
          </w:p>
        </w:tc>
        <w:tc>
          <w:tcPr>
            <w:tcW w:w="624" w:type="dxa"/>
            <w:tcBorders>
              <w:top w:val="single" w:sz="4" w:space="0" w:color="auto"/>
              <w:left w:val="single" w:sz="4" w:space="0" w:color="auto"/>
              <w:bottom w:val="single" w:sz="4" w:space="0" w:color="auto"/>
              <w:right w:val="single" w:sz="4" w:space="0" w:color="auto"/>
            </w:tcBorders>
            <w:vAlign w:val="center"/>
          </w:tcPr>
          <w:p w14:paraId="581A91BE" w14:textId="77777777" w:rsidR="00F34BD4" w:rsidRPr="0082517C" w:rsidRDefault="00F34BD4" w:rsidP="00B823C1">
            <w:pPr>
              <w:spacing w:after="0"/>
              <w:jc w:val="center"/>
              <w:rPr>
                <w:color w:val="000000"/>
                <w:szCs w:val="20"/>
                <w:lang w:eastAsia="pl-PL"/>
              </w:rPr>
            </w:pPr>
            <w:r w:rsidRPr="0082517C">
              <w:rPr>
                <w:rFonts w:cs="Calibri"/>
                <w:color w:val="000000"/>
                <w:szCs w:val="20"/>
              </w:rPr>
              <w:t>90</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560257" w14:textId="77777777" w:rsidR="00F34BD4" w:rsidRPr="0082517C" w:rsidRDefault="00F34BD4" w:rsidP="00B823C1">
            <w:pPr>
              <w:spacing w:after="0"/>
              <w:jc w:val="center"/>
              <w:rPr>
                <w:color w:val="000000"/>
                <w:szCs w:val="20"/>
                <w:lang w:eastAsia="pl-PL"/>
              </w:rPr>
            </w:pPr>
            <w:r w:rsidRPr="0082517C">
              <w:rPr>
                <w:rFonts w:cs="Calibri"/>
                <w:color w:val="000000"/>
                <w:szCs w:val="20"/>
              </w:rPr>
              <w:t>90</w:t>
            </w:r>
          </w:p>
        </w:tc>
        <w:tc>
          <w:tcPr>
            <w:tcW w:w="1359" w:type="dxa"/>
            <w:vMerge/>
            <w:tcBorders>
              <w:left w:val="single" w:sz="4" w:space="0" w:color="auto"/>
              <w:right w:val="single" w:sz="4" w:space="0" w:color="auto"/>
            </w:tcBorders>
            <w:vAlign w:val="center"/>
          </w:tcPr>
          <w:p w14:paraId="14A46EB1" w14:textId="77777777" w:rsidR="00F34BD4" w:rsidRPr="0082517C" w:rsidRDefault="00F34BD4" w:rsidP="00B823C1">
            <w:pPr>
              <w:spacing w:after="0"/>
              <w:jc w:val="center"/>
              <w:rPr>
                <w:color w:val="000000"/>
                <w:szCs w:val="20"/>
                <w:lang w:eastAsia="pl-PL"/>
              </w:rPr>
            </w:pPr>
          </w:p>
        </w:tc>
      </w:tr>
      <w:tr w:rsidR="00F34BD4" w:rsidRPr="0082517C" w14:paraId="79F2C8E4" w14:textId="77777777" w:rsidTr="00B823C1">
        <w:trPr>
          <w:trHeight w:val="282"/>
        </w:trPr>
        <w:tc>
          <w:tcPr>
            <w:tcW w:w="1396" w:type="dxa"/>
            <w:vMerge/>
            <w:tcBorders>
              <w:left w:val="single" w:sz="4" w:space="0" w:color="auto"/>
              <w:right w:val="single" w:sz="4" w:space="0" w:color="auto"/>
            </w:tcBorders>
            <w:vAlign w:val="center"/>
          </w:tcPr>
          <w:p w14:paraId="79BD399B" w14:textId="77777777" w:rsidR="00F34BD4" w:rsidRPr="0082517C" w:rsidRDefault="00F34BD4" w:rsidP="00B823C1">
            <w:pPr>
              <w:spacing w:after="0"/>
              <w:jc w:val="center"/>
              <w:rPr>
                <w:color w:val="000000"/>
                <w:szCs w:val="20"/>
                <w:lang w:eastAsia="pl-PL"/>
              </w:rPr>
            </w:pPr>
          </w:p>
        </w:tc>
        <w:tc>
          <w:tcPr>
            <w:tcW w:w="670" w:type="dxa"/>
            <w:tcBorders>
              <w:top w:val="nil"/>
              <w:left w:val="nil"/>
              <w:bottom w:val="single" w:sz="4" w:space="0" w:color="auto"/>
              <w:right w:val="single" w:sz="4" w:space="0" w:color="auto"/>
            </w:tcBorders>
            <w:shd w:val="clear" w:color="auto" w:fill="auto"/>
            <w:noWrap/>
            <w:vAlign w:val="center"/>
          </w:tcPr>
          <w:p w14:paraId="6B57E04D" w14:textId="77777777" w:rsidR="00F34BD4" w:rsidRPr="0082517C" w:rsidRDefault="00F34BD4" w:rsidP="00B823C1">
            <w:pPr>
              <w:spacing w:after="0"/>
              <w:jc w:val="center"/>
              <w:rPr>
                <w:color w:val="000000"/>
                <w:szCs w:val="20"/>
                <w:lang w:eastAsia="pl-PL"/>
              </w:rPr>
            </w:pPr>
          </w:p>
        </w:tc>
        <w:tc>
          <w:tcPr>
            <w:tcW w:w="624" w:type="dxa"/>
            <w:tcBorders>
              <w:top w:val="nil"/>
              <w:left w:val="nil"/>
              <w:bottom w:val="single" w:sz="4" w:space="0" w:color="auto"/>
              <w:right w:val="single" w:sz="4" w:space="0" w:color="auto"/>
            </w:tcBorders>
            <w:shd w:val="clear" w:color="auto" w:fill="auto"/>
            <w:noWrap/>
            <w:vAlign w:val="center"/>
          </w:tcPr>
          <w:p w14:paraId="2544D798" w14:textId="77777777" w:rsidR="00F34BD4" w:rsidRPr="0082517C" w:rsidRDefault="00F34BD4" w:rsidP="00B823C1">
            <w:pPr>
              <w:spacing w:after="0"/>
              <w:jc w:val="center"/>
              <w:rPr>
                <w:color w:val="000000"/>
                <w:szCs w:val="20"/>
                <w:lang w:eastAsia="pl-PL"/>
              </w:rPr>
            </w:pPr>
            <w:r w:rsidRPr="0082517C">
              <w:rPr>
                <w:rFonts w:cs="Calibri"/>
                <w:color w:val="000000"/>
                <w:szCs w:val="20"/>
              </w:rPr>
              <w:t>60</w:t>
            </w:r>
          </w:p>
        </w:tc>
        <w:tc>
          <w:tcPr>
            <w:tcW w:w="624" w:type="dxa"/>
            <w:tcBorders>
              <w:top w:val="nil"/>
              <w:left w:val="nil"/>
              <w:bottom w:val="single" w:sz="4" w:space="0" w:color="auto"/>
              <w:right w:val="single" w:sz="4" w:space="0" w:color="auto"/>
            </w:tcBorders>
            <w:shd w:val="clear" w:color="auto" w:fill="auto"/>
            <w:noWrap/>
            <w:vAlign w:val="center"/>
          </w:tcPr>
          <w:p w14:paraId="5D0FB22A" w14:textId="77777777" w:rsidR="00F34BD4" w:rsidRPr="0082517C" w:rsidRDefault="00F34BD4" w:rsidP="00B823C1">
            <w:pPr>
              <w:spacing w:after="0"/>
              <w:jc w:val="center"/>
              <w:rPr>
                <w:color w:val="000000"/>
                <w:szCs w:val="20"/>
                <w:lang w:eastAsia="pl-PL"/>
              </w:rPr>
            </w:pPr>
            <w:r w:rsidRPr="0082517C">
              <w:rPr>
                <w:rFonts w:cs="Calibri"/>
                <w:color w:val="000000"/>
                <w:szCs w:val="20"/>
              </w:rPr>
              <w:t>60</w:t>
            </w:r>
          </w:p>
        </w:tc>
        <w:tc>
          <w:tcPr>
            <w:tcW w:w="624" w:type="dxa"/>
            <w:tcBorders>
              <w:top w:val="nil"/>
              <w:left w:val="nil"/>
              <w:bottom w:val="single" w:sz="4" w:space="0" w:color="auto"/>
              <w:right w:val="single" w:sz="4" w:space="0" w:color="auto"/>
            </w:tcBorders>
            <w:shd w:val="clear" w:color="auto" w:fill="auto"/>
            <w:noWrap/>
            <w:vAlign w:val="center"/>
          </w:tcPr>
          <w:p w14:paraId="3E32EE31" w14:textId="77777777" w:rsidR="00F34BD4" w:rsidRPr="0082517C" w:rsidRDefault="00F34BD4" w:rsidP="00B823C1">
            <w:pPr>
              <w:spacing w:after="0"/>
              <w:jc w:val="center"/>
              <w:rPr>
                <w:color w:val="000000"/>
                <w:szCs w:val="20"/>
                <w:lang w:eastAsia="pl-PL"/>
              </w:rPr>
            </w:pPr>
            <w:r w:rsidRPr="0082517C">
              <w:rPr>
                <w:rFonts w:cs="Calibri"/>
                <w:color w:val="000000"/>
                <w:szCs w:val="20"/>
              </w:rPr>
              <w:t>60</w:t>
            </w:r>
          </w:p>
        </w:tc>
        <w:tc>
          <w:tcPr>
            <w:tcW w:w="656" w:type="dxa"/>
            <w:tcBorders>
              <w:top w:val="nil"/>
              <w:left w:val="nil"/>
              <w:bottom w:val="single" w:sz="4" w:space="0" w:color="auto"/>
              <w:right w:val="single" w:sz="4" w:space="0" w:color="auto"/>
            </w:tcBorders>
            <w:shd w:val="clear" w:color="auto" w:fill="auto"/>
            <w:noWrap/>
            <w:vAlign w:val="center"/>
          </w:tcPr>
          <w:p w14:paraId="42E8AE15" w14:textId="77777777" w:rsidR="00F34BD4" w:rsidRPr="0082517C" w:rsidRDefault="00F34BD4" w:rsidP="00B823C1">
            <w:pPr>
              <w:spacing w:after="0"/>
              <w:jc w:val="center"/>
              <w:rPr>
                <w:color w:val="000000"/>
                <w:szCs w:val="20"/>
                <w:lang w:eastAsia="pl-PL"/>
              </w:rPr>
            </w:pPr>
            <w:r w:rsidRPr="0082517C">
              <w:rPr>
                <w:rFonts w:cs="Calibri"/>
                <w:color w:val="000000"/>
                <w:szCs w:val="20"/>
              </w:rPr>
              <w:t>60</w:t>
            </w:r>
          </w:p>
        </w:tc>
        <w:tc>
          <w:tcPr>
            <w:tcW w:w="656" w:type="dxa"/>
            <w:tcBorders>
              <w:top w:val="nil"/>
              <w:left w:val="nil"/>
              <w:bottom w:val="single" w:sz="4" w:space="0" w:color="auto"/>
              <w:right w:val="single" w:sz="4" w:space="0" w:color="auto"/>
            </w:tcBorders>
            <w:shd w:val="clear" w:color="auto" w:fill="auto"/>
            <w:noWrap/>
            <w:vAlign w:val="center"/>
          </w:tcPr>
          <w:p w14:paraId="736B4520" w14:textId="77777777" w:rsidR="00F34BD4" w:rsidRPr="0082517C" w:rsidRDefault="00F34BD4" w:rsidP="00B823C1">
            <w:pPr>
              <w:spacing w:after="0"/>
              <w:jc w:val="center"/>
              <w:rPr>
                <w:color w:val="000000"/>
                <w:szCs w:val="20"/>
                <w:lang w:eastAsia="pl-PL"/>
              </w:rPr>
            </w:pPr>
            <w:r w:rsidRPr="0082517C">
              <w:rPr>
                <w:rFonts w:cs="Calibri"/>
                <w:color w:val="000000"/>
                <w:szCs w:val="20"/>
              </w:rPr>
              <w:t>60</w:t>
            </w:r>
          </w:p>
        </w:tc>
        <w:tc>
          <w:tcPr>
            <w:tcW w:w="624" w:type="dxa"/>
            <w:tcBorders>
              <w:top w:val="single" w:sz="4" w:space="0" w:color="auto"/>
              <w:left w:val="single" w:sz="4" w:space="0" w:color="auto"/>
              <w:bottom w:val="single" w:sz="4" w:space="0" w:color="auto"/>
              <w:right w:val="single" w:sz="4" w:space="0" w:color="auto"/>
            </w:tcBorders>
            <w:vAlign w:val="center"/>
          </w:tcPr>
          <w:p w14:paraId="7547D33C" w14:textId="77777777" w:rsidR="00F34BD4" w:rsidRPr="0082517C" w:rsidRDefault="00F34BD4" w:rsidP="00B823C1">
            <w:pPr>
              <w:spacing w:after="0"/>
              <w:jc w:val="center"/>
              <w:rPr>
                <w:color w:val="000000"/>
                <w:szCs w:val="20"/>
                <w:lang w:eastAsia="pl-PL"/>
              </w:rPr>
            </w:pPr>
            <w:r w:rsidRPr="0082517C">
              <w:rPr>
                <w:rFonts w:cs="Calibri"/>
                <w:color w:val="000000"/>
                <w:szCs w:val="20"/>
              </w:rPr>
              <w:t>60</w:t>
            </w:r>
          </w:p>
        </w:tc>
        <w:tc>
          <w:tcPr>
            <w:tcW w:w="624" w:type="dxa"/>
            <w:tcBorders>
              <w:top w:val="single" w:sz="4" w:space="0" w:color="auto"/>
              <w:left w:val="single" w:sz="4" w:space="0" w:color="auto"/>
              <w:bottom w:val="single" w:sz="4" w:space="0" w:color="auto"/>
              <w:right w:val="single" w:sz="4" w:space="0" w:color="auto"/>
            </w:tcBorders>
            <w:vAlign w:val="center"/>
          </w:tcPr>
          <w:p w14:paraId="5F7F9351" w14:textId="77777777" w:rsidR="00F34BD4" w:rsidRPr="0082517C" w:rsidRDefault="00F34BD4" w:rsidP="00B823C1">
            <w:pPr>
              <w:spacing w:after="0"/>
              <w:jc w:val="center"/>
              <w:rPr>
                <w:color w:val="000000"/>
                <w:szCs w:val="20"/>
                <w:lang w:eastAsia="pl-PL"/>
              </w:rPr>
            </w:pPr>
            <w:r w:rsidRPr="0082517C">
              <w:rPr>
                <w:rFonts w:cs="Calibri"/>
                <w:color w:val="000000"/>
                <w:szCs w:val="20"/>
              </w:rPr>
              <w:t>60</w:t>
            </w:r>
          </w:p>
        </w:tc>
        <w:tc>
          <w:tcPr>
            <w:tcW w:w="624" w:type="dxa"/>
            <w:tcBorders>
              <w:top w:val="single" w:sz="4" w:space="0" w:color="auto"/>
              <w:left w:val="single" w:sz="4" w:space="0" w:color="auto"/>
              <w:bottom w:val="single" w:sz="4" w:space="0" w:color="auto"/>
              <w:right w:val="single" w:sz="4" w:space="0" w:color="auto"/>
            </w:tcBorders>
            <w:vAlign w:val="center"/>
          </w:tcPr>
          <w:p w14:paraId="3C436145" w14:textId="77777777" w:rsidR="00F34BD4" w:rsidRPr="0082517C" w:rsidRDefault="00F34BD4" w:rsidP="00B823C1">
            <w:pPr>
              <w:spacing w:after="0"/>
              <w:jc w:val="center"/>
              <w:rPr>
                <w:color w:val="000000"/>
                <w:szCs w:val="20"/>
                <w:lang w:eastAsia="pl-PL"/>
              </w:rPr>
            </w:pPr>
            <w:r w:rsidRPr="0082517C">
              <w:rPr>
                <w:rFonts w:cs="Calibri"/>
                <w:color w:val="000000"/>
                <w:szCs w:val="20"/>
              </w:rPr>
              <w:t>60</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F75B8B" w14:textId="77777777" w:rsidR="00F34BD4" w:rsidRPr="0082517C" w:rsidRDefault="00F34BD4" w:rsidP="00B823C1">
            <w:pPr>
              <w:spacing w:after="0"/>
              <w:jc w:val="center"/>
              <w:rPr>
                <w:color w:val="000000"/>
                <w:szCs w:val="20"/>
                <w:lang w:eastAsia="pl-PL"/>
              </w:rPr>
            </w:pPr>
            <w:r w:rsidRPr="0082517C">
              <w:rPr>
                <w:rFonts w:cs="Calibri"/>
                <w:color w:val="000000"/>
                <w:szCs w:val="20"/>
              </w:rPr>
              <w:t>60</w:t>
            </w:r>
          </w:p>
        </w:tc>
        <w:tc>
          <w:tcPr>
            <w:tcW w:w="1359" w:type="dxa"/>
            <w:vMerge/>
            <w:tcBorders>
              <w:left w:val="single" w:sz="4" w:space="0" w:color="auto"/>
              <w:right w:val="single" w:sz="4" w:space="0" w:color="auto"/>
            </w:tcBorders>
            <w:vAlign w:val="center"/>
          </w:tcPr>
          <w:p w14:paraId="4F7FEEA3" w14:textId="77777777" w:rsidR="00F34BD4" w:rsidRPr="0082517C" w:rsidRDefault="00F34BD4" w:rsidP="00B823C1">
            <w:pPr>
              <w:spacing w:after="0"/>
              <w:jc w:val="center"/>
              <w:rPr>
                <w:color w:val="000000"/>
                <w:szCs w:val="20"/>
                <w:lang w:eastAsia="pl-PL"/>
              </w:rPr>
            </w:pPr>
          </w:p>
        </w:tc>
      </w:tr>
      <w:tr w:rsidR="00F34BD4" w:rsidRPr="0082517C" w14:paraId="5D6FB19B" w14:textId="77777777" w:rsidTr="00B823C1">
        <w:trPr>
          <w:trHeight w:val="282"/>
        </w:trPr>
        <w:tc>
          <w:tcPr>
            <w:tcW w:w="1396" w:type="dxa"/>
            <w:vMerge/>
            <w:tcBorders>
              <w:left w:val="single" w:sz="4" w:space="0" w:color="auto"/>
              <w:bottom w:val="single" w:sz="4" w:space="0" w:color="auto"/>
              <w:right w:val="single" w:sz="4" w:space="0" w:color="auto"/>
            </w:tcBorders>
            <w:vAlign w:val="center"/>
          </w:tcPr>
          <w:p w14:paraId="7211BF52" w14:textId="77777777" w:rsidR="00F34BD4" w:rsidRPr="0082517C" w:rsidRDefault="00F34BD4" w:rsidP="00B823C1">
            <w:pPr>
              <w:spacing w:after="0"/>
              <w:jc w:val="center"/>
              <w:rPr>
                <w:color w:val="000000"/>
                <w:szCs w:val="20"/>
                <w:lang w:eastAsia="pl-PL"/>
              </w:rPr>
            </w:pPr>
          </w:p>
        </w:tc>
        <w:tc>
          <w:tcPr>
            <w:tcW w:w="670" w:type="dxa"/>
            <w:tcBorders>
              <w:top w:val="nil"/>
              <w:left w:val="nil"/>
              <w:bottom w:val="single" w:sz="4" w:space="0" w:color="auto"/>
              <w:right w:val="single" w:sz="4" w:space="0" w:color="auto"/>
            </w:tcBorders>
            <w:shd w:val="clear" w:color="auto" w:fill="auto"/>
            <w:noWrap/>
            <w:vAlign w:val="center"/>
          </w:tcPr>
          <w:p w14:paraId="2DE5AD98" w14:textId="77777777" w:rsidR="00F34BD4" w:rsidRPr="0082517C" w:rsidRDefault="00F34BD4" w:rsidP="00B823C1">
            <w:pPr>
              <w:spacing w:after="0"/>
              <w:jc w:val="center"/>
              <w:rPr>
                <w:color w:val="000000"/>
                <w:szCs w:val="20"/>
                <w:lang w:eastAsia="pl-PL"/>
              </w:rPr>
            </w:pPr>
            <w:r w:rsidRPr="0082517C">
              <w:rPr>
                <w:rFonts w:cs="Calibri"/>
                <w:color w:val="000000"/>
                <w:szCs w:val="20"/>
              </w:rPr>
              <w:t>0</w:t>
            </w:r>
          </w:p>
        </w:tc>
        <w:tc>
          <w:tcPr>
            <w:tcW w:w="624" w:type="dxa"/>
            <w:tcBorders>
              <w:top w:val="nil"/>
              <w:left w:val="nil"/>
              <w:bottom w:val="single" w:sz="4" w:space="0" w:color="auto"/>
              <w:right w:val="single" w:sz="4" w:space="0" w:color="auto"/>
            </w:tcBorders>
            <w:shd w:val="clear" w:color="auto" w:fill="auto"/>
            <w:noWrap/>
            <w:vAlign w:val="center"/>
          </w:tcPr>
          <w:p w14:paraId="5F415CFC" w14:textId="77777777" w:rsidR="00F34BD4" w:rsidRPr="0082517C" w:rsidRDefault="00F34BD4" w:rsidP="00B823C1">
            <w:pPr>
              <w:spacing w:after="0"/>
              <w:jc w:val="center"/>
              <w:rPr>
                <w:color w:val="000000"/>
                <w:szCs w:val="20"/>
                <w:lang w:eastAsia="pl-PL"/>
              </w:rPr>
            </w:pPr>
            <w:r w:rsidRPr="0082517C">
              <w:rPr>
                <w:rFonts w:cs="Calibri"/>
                <w:color w:val="000000"/>
                <w:szCs w:val="20"/>
              </w:rPr>
              <w:t>0</w:t>
            </w:r>
          </w:p>
        </w:tc>
        <w:tc>
          <w:tcPr>
            <w:tcW w:w="624" w:type="dxa"/>
            <w:tcBorders>
              <w:top w:val="nil"/>
              <w:left w:val="nil"/>
              <w:bottom w:val="single" w:sz="4" w:space="0" w:color="auto"/>
              <w:right w:val="single" w:sz="4" w:space="0" w:color="auto"/>
            </w:tcBorders>
            <w:shd w:val="clear" w:color="auto" w:fill="auto"/>
            <w:noWrap/>
            <w:vAlign w:val="center"/>
          </w:tcPr>
          <w:p w14:paraId="6999154C" w14:textId="77777777" w:rsidR="00F34BD4" w:rsidRPr="0082517C" w:rsidRDefault="00F34BD4" w:rsidP="00B823C1">
            <w:pPr>
              <w:spacing w:after="0"/>
              <w:jc w:val="center"/>
              <w:rPr>
                <w:color w:val="000000"/>
                <w:szCs w:val="20"/>
                <w:lang w:eastAsia="pl-PL"/>
              </w:rPr>
            </w:pPr>
            <w:r w:rsidRPr="0082517C">
              <w:rPr>
                <w:rFonts w:cs="Calibri"/>
                <w:color w:val="000000"/>
                <w:szCs w:val="20"/>
              </w:rPr>
              <w:t>0</w:t>
            </w:r>
          </w:p>
        </w:tc>
        <w:tc>
          <w:tcPr>
            <w:tcW w:w="624" w:type="dxa"/>
            <w:tcBorders>
              <w:top w:val="nil"/>
              <w:left w:val="nil"/>
              <w:bottom w:val="single" w:sz="4" w:space="0" w:color="auto"/>
              <w:right w:val="single" w:sz="4" w:space="0" w:color="auto"/>
            </w:tcBorders>
            <w:shd w:val="clear" w:color="auto" w:fill="auto"/>
            <w:noWrap/>
            <w:vAlign w:val="center"/>
          </w:tcPr>
          <w:p w14:paraId="30D2F813" w14:textId="77777777" w:rsidR="00F34BD4" w:rsidRPr="0082517C" w:rsidRDefault="00F34BD4" w:rsidP="00B823C1">
            <w:pPr>
              <w:spacing w:after="0"/>
              <w:jc w:val="center"/>
              <w:rPr>
                <w:color w:val="000000"/>
                <w:szCs w:val="20"/>
                <w:lang w:eastAsia="pl-PL"/>
              </w:rPr>
            </w:pPr>
            <w:r w:rsidRPr="0082517C">
              <w:rPr>
                <w:rFonts w:cs="Calibri"/>
                <w:color w:val="000000"/>
                <w:szCs w:val="20"/>
              </w:rPr>
              <w:t>0</w:t>
            </w:r>
          </w:p>
        </w:tc>
        <w:tc>
          <w:tcPr>
            <w:tcW w:w="656" w:type="dxa"/>
            <w:tcBorders>
              <w:top w:val="nil"/>
              <w:left w:val="nil"/>
              <w:bottom w:val="single" w:sz="4" w:space="0" w:color="auto"/>
              <w:right w:val="single" w:sz="4" w:space="0" w:color="auto"/>
            </w:tcBorders>
            <w:shd w:val="clear" w:color="auto" w:fill="auto"/>
            <w:noWrap/>
            <w:vAlign w:val="center"/>
          </w:tcPr>
          <w:p w14:paraId="2883C739" w14:textId="77777777" w:rsidR="00F34BD4" w:rsidRPr="0082517C" w:rsidRDefault="00F34BD4" w:rsidP="00B823C1">
            <w:pPr>
              <w:spacing w:after="0"/>
              <w:jc w:val="center"/>
              <w:rPr>
                <w:color w:val="000000"/>
                <w:szCs w:val="20"/>
                <w:lang w:eastAsia="pl-PL"/>
              </w:rPr>
            </w:pPr>
            <w:r w:rsidRPr="0082517C">
              <w:rPr>
                <w:rFonts w:cs="Calibri"/>
                <w:color w:val="000000"/>
                <w:szCs w:val="20"/>
              </w:rPr>
              <w:t>0</w:t>
            </w:r>
          </w:p>
        </w:tc>
        <w:tc>
          <w:tcPr>
            <w:tcW w:w="656" w:type="dxa"/>
            <w:tcBorders>
              <w:top w:val="nil"/>
              <w:left w:val="nil"/>
              <w:bottom w:val="single" w:sz="4" w:space="0" w:color="auto"/>
              <w:right w:val="single" w:sz="4" w:space="0" w:color="auto"/>
            </w:tcBorders>
            <w:shd w:val="clear" w:color="auto" w:fill="auto"/>
            <w:noWrap/>
            <w:vAlign w:val="center"/>
          </w:tcPr>
          <w:p w14:paraId="627E92C6" w14:textId="77777777" w:rsidR="00F34BD4" w:rsidRPr="0082517C" w:rsidRDefault="00F34BD4" w:rsidP="00B823C1">
            <w:pPr>
              <w:spacing w:after="0"/>
              <w:jc w:val="center"/>
              <w:rPr>
                <w:color w:val="000000"/>
                <w:szCs w:val="20"/>
                <w:lang w:eastAsia="pl-PL"/>
              </w:rPr>
            </w:pPr>
            <w:r w:rsidRPr="0082517C">
              <w:rPr>
                <w:color w:val="000000"/>
                <w:szCs w:val="20"/>
                <w:lang w:eastAsia="pl-PL"/>
              </w:rPr>
              <w:t>0</w:t>
            </w:r>
          </w:p>
        </w:tc>
        <w:tc>
          <w:tcPr>
            <w:tcW w:w="624" w:type="dxa"/>
            <w:tcBorders>
              <w:top w:val="single" w:sz="4" w:space="0" w:color="auto"/>
              <w:left w:val="single" w:sz="4" w:space="0" w:color="auto"/>
              <w:bottom w:val="single" w:sz="4" w:space="0" w:color="auto"/>
              <w:right w:val="single" w:sz="4" w:space="0" w:color="auto"/>
            </w:tcBorders>
            <w:vAlign w:val="center"/>
          </w:tcPr>
          <w:p w14:paraId="2CD19132" w14:textId="77777777" w:rsidR="00F34BD4" w:rsidRPr="0082517C" w:rsidRDefault="00F34BD4" w:rsidP="00B823C1">
            <w:pPr>
              <w:spacing w:after="0"/>
              <w:jc w:val="center"/>
              <w:rPr>
                <w:color w:val="000000"/>
                <w:szCs w:val="20"/>
                <w:lang w:eastAsia="pl-PL"/>
              </w:rPr>
            </w:pPr>
            <w:r w:rsidRPr="0082517C">
              <w:rPr>
                <w:color w:val="000000"/>
                <w:szCs w:val="20"/>
                <w:lang w:eastAsia="pl-PL"/>
              </w:rPr>
              <w:t>0</w:t>
            </w:r>
          </w:p>
        </w:tc>
        <w:tc>
          <w:tcPr>
            <w:tcW w:w="624" w:type="dxa"/>
            <w:tcBorders>
              <w:top w:val="single" w:sz="4" w:space="0" w:color="auto"/>
              <w:left w:val="single" w:sz="4" w:space="0" w:color="auto"/>
              <w:bottom w:val="single" w:sz="4" w:space="0" w:color="auto"/>
              <w:right w:val="single" w:sz="4" w:space="0" w:color="auto"/>
            </w:tcBorders>
            <w:vAlign w:val="center"/>
          </w:tcPr>
          <w:p w14:paraId="7EBBE7C7" w14:textId="77777777" w:rsidR="00F34BD4" w:rsidRPr="0082517C" w:rsidRDefault="00F34BD4" w:rsidP="00B823C1">
            <w:pPr>
              <w:spacing w:after="0"/>
              <w:jc w:val="center"/>
              <w:rPr>
                <w:color w:val="000000"/>
                <w:szCs w:val="20"/>
                <w:lang w:eastAsia="pl-PL"/>
              </w:rPr>
            </w:pPr>
            <w:r w:rsidRPr="0082517C">
              <w:rPr>
                <w:color w:val="000000"/>
                <w:szCs w:val="20"/>
                <w:lang w:eastAsia="pl-PL"/>
              </w:rPr>
              <w:t>0</w:t>
            </w:r>
          </w:p>
        </w:tc>
        <w:tc>
          <w:tcPr>
            <w:tcW w:w="624" w:type="dxa"/>
            <w:tcBorders>
              <w:top w:val="single" w:sz="4" w:space="0" w:color="auto"/>
              <w:left w:val="single" w:sz="4" w:space="0" w:color="auto"/>
              <w:bottom w:val="single" w:sz="4" w:space="0" w:color="auto"/>
              <w:right w:val="single" w:sz="4" w:space="0" w:color="auto"/>
            </w:tcBorders>
            <w:vAlign w:val="center"/>
          </w:tcPr>
          <w:p w14:paraId="09B7BB7A" w14:textId="77777777" w:rsidR="00F34BD4" w:rsidRPr="0082517C" w:rsidRDefault="00F34BD4" w:rsidP="00B823C1">
            <w:pPr>
              <w:spacing w:after="0"/>
              <w:jc w:val="center"/>
              <w:rPr>
                <w:color w:val="000000"/>
                <w:szCs w:val="20"/>
                <w:lang w:eastAsia="pl-PL"/>
              </w:rPr>
            </w:pPr>
            <w:r w:rsidRPr="0082517C">
              <w:rPr>
                <w:color w:val="000000"/>
                <w:szCs w:val="20"/>
                <w:lang w:eastAsia="pl-PL"/>
              </w:rPr>
              <w:t>0</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9FE64C" w14:textId="77777777" w:rsidR="00F34BD4" w:rsidRPr="0082517C" w:rsidRDefault="00F34BD4" w:rsidP="00B823C1">
            <w:pPr>
              <w:spacing w:after="0"/>
              <w:jc w:val="center"/>
              <w:rPr>
                <w:color w:val="000000"/>
                <w:szCs w:val="20"/>
                <w:lang w:eastAsia="pl-PL"/>
              </w:rPr>
            </w:pPr>
            <w:r w:rsidRPr="0082517C">
              <w:rPr>
                <w:color w:val="000000"/>
                <w:szCs w:val="20"/>
                <w:lang w:eastAsia="pl-PL"/>
              </w:rPr>
              <w:t>0</w:t>
            </w:r>
          </w:p>
        </w:tc>
        <w:tc>
          <w:tcPr>
            <w:tcW w:w="1359" w:type="dxa"/>
            <w:vMerge/>
            <w:tcBorders>
              <w:left w:val="single" w:sz="4" w:space="0" w:color="auto"/>
              <w:bottom w:val="single" w:sz="4" w:space="0" w:color="auto"/>
              <w:right w:val="single" w:sz="4" w:space="0" w:color="auto"/>
            </w:tcBorders>
            <w:vAlign w:val="center"/>
          </w:tcPr>
          <w:p w14:paraId="5952ED8A" w14:textId="77777777" w:rsidR="00F34BD4" w:rsidRPr="0082517C" w:rsidRDefault="00F34BD4" w:rsidP="00B823C1">
            <w:pPr>
              <w:spacing w:after="0"/>
              <w:jc w:val="center"/>
              <w:rPr>
                <w:color w:val="000000"/>
                <w:szCs w:val="20"/>
                <w:lang w:eastAsia="pl-PL"/>
              </w:rPr>
            </w:pPr>
          </w:p>
        </w:tc>
      </w:tr>
      <w:tr w:rsidR="00F34BD4" w:rsidRPr="0082517C" w14:paraId="609104DE" w14:textId="77777777" w:rsidTr="00B823C1">
        <w:trPr>
          <w:trHeight w:val="282"/>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20FD656C" w14:textId="77777777" w:rsidR="00F34BD4" w:rsidRPr="0082517C" w:rsidRDefault="00F34BD4" w:rsidP="00B823C1">
            <w:pPr>
              <w:spacing w:after="0"/>
              <w:jc w:val="center"/>
              <w:rPr>
                <w:color w:val="000000"/>
                <w:szCs w:val="20"/>
                <w:lang w:eastAsia="pl-PL"/>
              </w:rPr>
            </w:pPr>
            <w:r w:rsidRPr="0082517C">
              <w:rPr>
                <w:color w:val="000000"/>
                <w:szCs w:val="20"/>
                <w:lang w:eastAsia="pl-PL"/>
              </w:rPr>
              <w:t>Razem (</w:t>
            </w:r>
            <w:proofErr w:type="spellStart"/>
            <w:r w:rsidRPr="0082517C">
              <w:rPr>
                <w:color w:val="000000"/>
                <w:szCs w:val="20"/>
                <w:lang w:eastAsia="pl-PL"/>
              </w:rPr>
              <w:t>ktoe</w:t>
            </w:r>
            <w:proofErr w:type="spellEnd"/>
            <w:r w:rsidRPr="0082517C">
              <w:rPr>
                <w:color w:val="000000"/>
                <w:szCs w:val="20"/>
                <w:lang w:eastAsia="pl-PL"/>
              </w:rPr>
              <w:t>)</w:t>
            </w:r>
          </w:p>
        </w:tc>
        <w:tc>
          <w:tcPr>
            <w:tcW w:w="670" w:type="dxa"/>
            <w:tcBorders>
              <w:top w:val="nil"/>
              <w:left w:val="nil"/>
              <w:bottom w:val="single" w:sz="4" w:space="0" w:color="auto"/>
              <w:right w:val="single" w:sz="4" w:space="0" w:color="auto"/>
            </w:tcBorders>
            <w:shd w:val="clear" w:color="auto" w:fill="auto"/>
            <w:noWrap/>
            <w:vAlign w:val="center"/>
          </w:tcPr>
          <w:p w14:paraId="3428991B" w14:textId="77777777" w:rsidR="00F34BD4" w:rsidRPr="0082517C" w:rsidRDefault="00F34BD4" w:rsidP="00B823C1">
            <w:pPr>
              <w:spacing w:after="0"/>
              <w:jc w:val="center"/>
              <w:rPr>
                <w:b/>
                <w:bCs/>
                <w:color w:val="000000"/>
                <w:szCs w:val="20"/>
                <w:lang w:eastAsia="pl-PL"/>
              </w:rPr>
            </w:pPr>
            <w:r w:rsidRPr="0082517C">
              <w:rPr>
                <w:rFonts w:cs="Calibri"/>
                <w:b/>
                <w:bCs/>
                <w:color w:val="000000"/>
                <w:szCs w:val="20"/>
              </w:rPr>
              <w:t>0</w:t>
            </w:r>
          </w:p>
        </w:tc>
        <w:tc>
          <w:tcPr>
            <w:tcW w:w="624" w:type="dxa"/>
            <w:tcBorders>
              <w:top w:val="nil"/>
              <w:left w:val="nil"/>
              <w:bottom w:val="single" w:sz="4" w:space="0" w:color="auto"/>
              <w:right w:val="single" w:sz="4" w:space="0" w:color="auto"/>
            </w:tcBorders>
            <w:shd w:val="clear" w:color="auto" w:fill="auto"/>
            <w:noWrap/>
            <w:vAlign w:val="center"/>
          </w:tcPr>
          <w:p w14:paraId="1486757B" w14:textId="77777777" w:rsidR="00F34BD4" w:rsidRPr="0082517C" w:rsidRDefault="00F34BD4" w:rsidP="00B823C1">
            <w:pPr>
              <w:spacing w:after="0"/>
              <w:jc w:val="center"/>
              <w:rPr>
                <w:b/>
                <w:bCs/>
                <w:color w:val="000000"/>
                <w:szCs w:val="20"/>
                <w:lang w:eastAsia="pl-PL"/>
              </w:rPr>
            </w:pPr>
            <w:r w:rsidRPr="0082517C">
              <w:rPr>
                <w:rFonts w:cs="Calibri"/>
                <w:b/>
                <w:bCs/>
                <w:color w:val="000000"/>
                <w:szCs w:val="20"/>
              </w:rPr>
              <w:t>60</w:t>
            </w:r>
          </w:p>
        </w:tc>
        <w:tc>
          <w:tcPr>
            <w:tcW w:w="624" w:type="dxa"/>
            <w:tcBorders>
              <w:top w:val="nil"/>
              <w:left w:val="nil"/>
              <w:bottom w:val="single" w:sz="4" w:space="0" w:color="auto"/>
              <w:right w:val="single" w:sz="4" w:space="0" w:color="auto"/>
            </w:tcBorders>
            <w:shd w:val="clear" w:color="auto" w:fill="auto"/>
            <w:noWrap/>
            <w:vAlign w:val="center"/>
          </w:tcPr>
          <w:p w14:paraId="0555ACE7" w14:textId="77777777" w:rsidR="00F34BD4" w:rsidRPr="0082517C" w:rsidRDefault="00F34BD4" w:rsidP="00B823C1">
            <w:pPr>
              <w:spacing w:after="0"/>
              <w:jc w:val="center"/>
              <w:rPr>
                <w:b/>
                <w:bCs/>
                <w:color w:val="000000"/>
                <w:szCs w:val="20"/>
                <w:lang w:eastAsia="pl-PL"/>
              </w:rPr>
            </w:pPr>
            <w:r w:rsidRPr="0082517C">
              <w:rPr>
                <w:rFonts w:cs="Calibri"/>
                <w:b/>
                <w:bCs/>
                <w:color w:val="000000"/>
                <w:szCs w:val="20"/>
              </w:rPr>
              <w:t>150</w:t>
            </w:r>
          </w:p>
        </w:tc>
        <w:tc>
          <w:tcPr>
            <w:tcW w:w="624" w:type="dxa"/>
            <w:tcBorders>
              <w:top w:val="nil"/>
              <w:left w:val="nil"/>
              <w:bottom w:val="single" w:sz="4" w:space="0" w:color="auto"/>
              <w:right w:val="single" w:sz="4" w:space="0" w:color="auto"/>
            </w:tcBorders>
            <w:shd w:val="clear" w:color="auto" w:fill="auto"/>
            <w:noWrap/>
            <w:vAlign w:val="center"/>
          </w:tcPr>
          <w:p w14:paraId="42D6DCC1" w14:textId="77777777" w:rsidR="00F34BD4" w:rsidRPr="0082517C" w:rsidRDefault="00F34BD4" w:rsidP="00B823C1">
            <w:pPr>
              <w:spacing w:after="0"/>
              <w:jc w:val="center"/>
              <w:rPr>
                <w:b/>
                <w:bCs/>
                <w:color w:val="000000"/>
                <w:szCs w:val="20"/>
                <w:lang w:eastAsia="pl-PL"/>
              </w:rPr>
            </w:pPr>
            <w:r w:rsidRPr="0082517C">
              <w:rPr>
                <w:rFonts w:cs="Calibri"/>
                <w:b/>
                <w:bCs/>
                <w:color w:val="000000"/>
                <w:szCs w:val="20"/>
              </w:rPr>
              <w:t>240</w:t>
            </w:r>
          </w:p>
        </w:tc>
        <w:tc>
          <w:tcPr>
            <w:tcW w:w="656" w:type="dxa"/>
            <w:tcBorders>
              <w:top w:val="nil"/>
              <w:left w:val="nil"/>
              <w:bottom w:val="single" w:sz="4" w:space="0" w:color="auto"/>
              <w:right w:val="single" w:sz="4" w:space="0" w:color="auto"/>
            </w:tcBorders>
            <w:shd w:val="clear" w:color="auto" w:fill="auto"/>
            <w:noWrap/>
            <w:vAlign w:val="center"/>
          </w:tcPr>
          <w:p w14:paraId="47DFB2DA" w14:textId="77777777" w:rsidR="00F34BD4" w:rsidRPr="0082517C" w:rsidRDefault="00F34BD4" w:rsidP="00B823C1">
            <w:pPr>
              <w:spacing w:after="0"/>
              <w:jc w:val="center"/>
              <w:rPr>
                <w:b/>
                <w:bCs/>
                <w:color w:val="000000"/>
                <w:szCs w:val="20"/>
                <w:lang w:eastAsia="pl-PL"/>
              </w:rPr>
            </w:pPr>
            <w:r w:rsidRPr="0082517C">
              <w:rPr>
                <w:rFonts w:cs="Calibri"/>
                <w:b/>
                <w:bCs/>
                <w:color w:val="000000"/>
                <w:szCs w:val="20"/>
              </w:rPr>
              <w:t>330</w:t>
            </w:r>
          </w:p>
        </w:tc>
        <w:tc>
          <w:tcPr>
            <w:tcW w:w="656" w:type="dxa"/>
            <w:tcBorders>
              <w:top w:val="nil"/>
              <w:left w:val="nil"/>
              <w:bottom w:val="single" w:sz="4" w:space="0" w:color="auto"/>
              <w:right w:val="single" w:sz="4" w:space="0" w:color="auto"/>
            </w:tcBorders>
            <w:shd w:val="clear" w:color="auto" w:fill="auto"/>
            <w:noWrap/>
            <w:vAlign w:val="center"/>
          </w:tcPr>
          <w:p w14:paraId="6BDD2DC2" w14:textId="77777777" w:rsidR="00F34BD4" w:rsidRPr="0082517C" w:rsidRDefault="00F34BD4" w:rsidP="00B823C1">
            <w:pPr>
              <w:spacing w:after="0"/>
              <w:jc w:val="center"/>
              <w:rPr>
                <w:b/>
                <w:bCs/>
                <w:color w:val="000000"/>
                <w:szCs w:val="20"/>
                <w:lang w:eastAsia="pl-PL"/>
              </w:rPr>
            </w:pPr>
            <w:r w:rsidRPr="0082517C">
              <w:rPr>
                <w:rFonts w:cs="Calibri"/>
                <w:b/>
                <w:bCs/>
                <w:color w:val="000000"/>
                <w:szCs w:val="20"/>
              </w:rPr>
              <w:t>420</w:t>
            </w:r>
          </w:p>
        </w:tc>
        <w:tc>
          <w:tcPr>
            <w:tcW w:w="624" w:type="dxa"/>
            <w:tcBorders>
              <w:top w:val="single" w:sz="4" w:space="0" w:color="auto"/>
              <w:left w:val="single" w:sz="4" w:space="0" w:color="auto"/>
              <w:bottom w:val="single" w:sz="4" w:space="0" w:color="auto"/>
              <w:right w:val="single" w:sz="4" w:space="0" w:color="auto"/>
            </w:tcBorders>
            <w:vAlign w:val="center"/>
          </w:tcPr>
          <w:p w14:paraId="1F316024" w14:textId="77777777" w:rsidR="00F34BD4" w:rsidRPr="0082517C" w:rsidRDefault="00F34BD4" w:rsidP="00B823C1">
            <w:pPr>
              <w:spacing w:after="0"/>
              <w:jc w:val="center"/>
              <w:rPr>
                <w:b/>
                <w:bCs/>
                <w:color w:val="000000"/>
                <w:szCs w:val="20"/>
                <w:lang w:eastAsia="pl-PL"/>
              </w:rPr>
            </w:pPr>
            <w:r w:rsidRPr="0082517C">
              <w:rPr>
                <w:rFonts w:cs="Calibri"/>
                <w:b/>
                <w:bCs/>
                <w:color w:val="000000"/>
                <w:szCs w:val="20"/>
              </w:rPr>
              <w:t>510</w:t>
            </w:r>
          </w:p>
        </w:tc>
        <w:tc>
          <w:tcPr>
            <w:tcW w:w="624" w:type="dxa"/>
            <w:tcBorders>
              <w:top w:val="single" w:sz="4" w:space="0" w:color="auto"/>
              <w:left w:val="single" w:sz="4" w:space="0" w:color="auto"/>
              <w:bottom w:val="single" w:sz="4" w:space="0" w:color="auto"/>
              <w:right w:val="single" w:sz="4" w:space="0" w:color="auto"/>
            </w:tcBorders>
            <w:vAlign w:val="center"/>
          </w:tcPr>
          <w:p w14:paraId="444217E0" w14:textId="77777777" w:rsidR="00F34BD4" w:rsidRPr="0082517C" w:rsidRDefault="00F34BD4" w:rsidP="00B823C1">
            <w:pPr>
              <w:spacing w:after="0"/>
              <w:jc w:val="center"/>
              <w:rPr>
                <w:b/>
                <w:bCs/>
                <w:color w:val="000000"/>
                <w:szCs w:val="20"/>
                <w:lang w:eastAsia="pl-PL"/>
              </w:rPr>
            </w:pPr>
            <w:r w:rsidRPr="0082517C">
              <w:rPr>
                <w:rFonts w:cs="Calibri"/>
                <w:b/>
                <w:bCs/>
                <w:color w:val="000000"/>
                <w:szCs w:val="20"/>
              </w:rPr>
              <w:t>600</w:t>
            </w:r>
          </w:p>
        </w:tc>
        <w:tc>
          <w:tcPr>
            <w:tcW w:w="624" w:type="dxa"/>
            <w:tcBorders>
              <w:top w:val="single" w:sz="4" w:space="0" w:color="auto"/>
              <w:left w:val="single" w:sz="4" w:space="0" w:color="auto"/>
              <w:bottom w:val="single" w:sz="4" w:space="0" w:color="auto"/>
              <w:right w:val="single" w:sz="4" w:space="0" w:color="auto"/>
            </w:tcBorders>
            <w:vAlign w:val="center"/>
          </w:tcPr>
          <w:p w14:paraId="369ABB33" w14:textId="77777777" w:rsidR="00F34BD4" w:rsidRPr="0082517C" w:rsidRDefault="00F34BD4" w:rsidP="00B823C1">
            <w:pPr>
              <w:spacing w:after="0"/>
              <w:jc w:val="center"/>
              <w:rPr>
                <w:b/>
                <w:bCs/>
                <w:color w:val="000000"/>
                <w:szCs w:val="20"/>
                <w:lang w:eastAsia="pl-PL"/>
              </w:rPr>
            </w:pPr>
            <w:r w:rsidRPr="0082517C">
              <w:rPr>
                <w:rFonts w:cs="Calibri"/>
                <w:b/>
                <w:bCs/>
                <w:color w:val="000000"/>
                <w:szCs w:val="20"/>
              </w:rPr>
              <w:t>690</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0C70A9" w14:textId="77777777" w:rsidR="00F34BD4" w:rsidRPr="0082517C" w:rsidRDefault="00F34BD4" w:rsidP="00B823C1">
            <w:pPr>
              <w:spacing w:after="0"/>
              <w:jc w:val="center"/>
              <w:rPr>
                <w:b/>
                <w:bCs/>
                <w:color w:val="000000"/>
                <w:szCs w:val="20"/>
                <w:lang w:eastAsia="pl-PL"/>
              </w:rPr>
            </w:pPr>
            <w:r w:rsidRPr="0082517C">
              <w:rPr>
                <w:rFonts w:cs="Calibri"/>
                <w:b/>
                <w:bCs/>
                <w:color w:val="000000"/>
                <w:szCs w:val="20"/>
              </w:rPr>
              <w:t>780</w:t>
            </w:r>
          </w:p>
        </w:tc>
        <w:tc>
          <w:tcPr>
            <w:tcW w:w="1359" w:type="dxa"/>
            <w:tcBorders>
              <w:top w:val="nil"/>
              <w:left w:val="single" w:sz="4" w:space="0" w:color="auto"/>
              <w:bottom w:val="single" w:sz="4" w:space="0" w:color="auto"/>
              <w:right w:val="single" w:sz="4" w:space="0" w:color="auto"/>
            </w:tcBorders>
            <w:shd w:val="clear" w:color="auto" w:fill="auto"/>
            <w:noWrap/>
            <w:vAlign w:val="center"/>
            <w:hideMark/>
          </w:tcPr>
          <w:p w14:paraId="1D4AFB22" w14:textId="77777777" w:rsidR="00F34BD4" w:rsidRPr="0082517C" w:rsidRDefault="00F34BD4" w:rsidP="00B823C1">
            <w:pPr>
              <w:spacing w:after="0"/>
              <w:jc w:val="center"/>
              <w:rPr>
                <w:b/>
                <w:bCs/>
                <w:color w:val="000000"/>
                <w:szCs w:val="20"/>
                <w:lang w:eastAsia="pl-PL"/>
              </w:rPr>
            </w:pPr>
            <w:r w:rsidRPr="0082517C">
              <w:rPr>
                <w:rFonts w:cs="Calibri"/>
                <w:b/>
                <w:bCs/>
                <w:color w:val="2F5496" w:themeColor="accent1" w:themeShade="BF"/>
                <w:szCs w:val="20"/>
              </w:rPr>
              <w:t>3780</w:t>
            </w:r>
          </w:p>
        </w:tc>
      </w:tr>
    </w:tbl>
    <w:p w14:paraId="3674975C" w14:textId="77777777" w:rsidR="00F34BD4" w:rsidRPr="00FD1A00" w:rsidRDefault="00F34BD4" w:rsidP="00F34BD4">
      <w:pPr>
        <w:spacing w:after="0" w:line="360" w:lineRule="auto"/>
        <w:ind w:firstLine="709"/>
      </w:pPr>
      <w:r>
        <w:t xml:space="preserve"> </w:t>
      </w:r>
      <w:r w:rsidRPr="00FD1A00">
        <w:t xml:space="preserve"> </w:t>
      </w:r>
    </w:p>
    <w:p w14:paraId="31DF6EAD" w14:textId="77777777" w:rsidR="00F34BD4" w:rsidRPr="004A2365" w:rsidRDefault="00F34BD4" w:rsidP="00FF3BC7">
      <w:pPr>
        <w:pStyle w:val="Akapitzlist"/>
        <w:numPr>
          <w:ilvl w:val="0"/>
          <w:numId w:val="17"/>
        </w:numPr>
        <w:spacing w:before="120" w:line="360" w:lineRule="auto"/>
        <w:ind w:left="1134"/>
        <w:jc w:val="left"/>
        <w:rPr>
          <w:b/>
          <w:bCs/>
          <w:color w:val="2F5496" w:themeColor="accent1" w:themeShade="BF"/>
        </w:rPr>
      </w:pPr>
      <w:r w:rsidRPr="004A2365">
        <w:rPr>
          <w:b/>
          <w:bCs/>
          <w:color w:val="2F5496" w:themeColor="accent1" w:themeShade="BF"/>
        </w:rPr>
        <w:t>Monitorowanie i weryfikacja</w:t>
      </w:r>
    </w:p>
    <w:p w14:paraId="63A5BCE9" w14:textId="77777777" w:rsidR="00F34BD4" w:rsidRDefault="00F34BD4" w:rsidP="00373FD3">
      <w:proofErr w:type="spellStart"/>
      <w:r w:rsidRPr="00EF4FC0">
        <w:t>WFOŚiGW</w:t>
      </w:r>
      <w:proofErr w:type="spellEnd"/>
      <w:r>
        <w:t xml:space="preserve"> i JST</w:t>
      </w:r>
      <w:r w:rsidRPr="00EF4FC0">
        <w:t xml:space="preserve"> w ramach umów udostępnienia środków zobowiązane są do przekazywania efektów ekologicznych i rzeczowy wynikających z podpisanych i zakończonych umów z beneficjentami. Powyższe dane przekazywane są do NFOŚiGW </w:t>
      </w:r>
      <w:r>
        <w:t>i/lub</w:t>
      </w:r>
      <w:r w:rsidRPr="00EF4FC0">
        <w:t xml:space="preserve"> do Centralnego Rejestru Oszczędności Energii Finalnej</w:t>
      </w:r>
      <w:r w:rsidRPr="00EF4FC0" w:rsidDel="00E75F44">
        <w:t xml:space="preserve">. </w:t>
      </w:r>
    </w:p>
    <w:p w14:paraId="684D1D38" w14:textId="77777777" w:rsidR="00F34BD4" w:rsidRDefault="00F34BD4" w:rsidP="00373FD3">
      <w:r>
        <w:t xml:space="preserve">Jednostkowe informacje o wysokości oszczędności energii finalnej raportowane do </w:t>
      </w:r>
      <w:r w:rsidRPr="00EF4FC0">
        <w:t>Centralnego Rejestru Oszczędności Energii Finalnej</w:t>
      </w:r>
      <w:r>
        <w:t xml:space="preserve"> są wer</w:t>
      </w:r>
      <w:r w:rsidRPr="00EF4FC0">
        <w:t>yfik</w:t>
      </w:r>
      <w:r>
        <w:t>owane</w:t>
      </w:r>
      <w:r w:rsidRPr="00EF4FC0">
        <w:t xml:space="preserve"> przez administratorów systemu. Każde przedsięwzięcie dodane w CROEF musi zostać sprawdzone pod względem merytorycznym</w:t>
      </w:r>
      <w:r>
        <w:t xml:space="preserve"> (tj. rodzaj przedsięwzięcia, ilość średniorocznych oszczędności, okres uzyskiwania oszczędności oraz potwierdzenie uzyskiwanych oszczędności energii finalnej)</w:t>
      </w:r>
      <w:r w:rsidRPr="00EF4FC0">
        <w:t xml:space="preserve"> przez administratora Ministerstwa Klimatu i Środowiska. </w:t>
      </w:r>
    </w:p>
    <w:p w14:paraId="7166E0BB" w14:textId="77777777" w:rsidR="00F34BD4" w:rsidRDefault="00F34BD4" w:rsidP="00373FD3">
      <w:r w:rsidRPr="00EF4FC0">
        <w:t xml:space="preserve">Ponadto, </w:t>
      </w:r>
      <w:proofErr w:type="spellStart"/>
      <w:r w:rsidRPr="00EF4FC0">
        <w:t>WFOŚiGW</w:t>
      </w:r>
      <w:proofErr w:type="spellEnd"/>
      <w:r w:rsidRPr="00EF4FC0">
        <w:t xml:space="preserve"> przekazują do NFOŚiGW bieżące informacje na temat realizacji programu, m.in.: liczby i kwoty złożonych wniosków, liczby i kwoty podjętych decyzji o przyznaniu dofinansowania, liczby i kwoty podpisanych umów oraz dane o wypłatach.</w:t>
      </w:r>
    </w:p>
    <w:p w14:paraId="12C85BA6" w14:textId="77777777" w:rsidR="00F34BD4" w:rsidRDefault="00F34BD4" w:rsidP="00F34BD4">
      <w:r>
        <w:br w:type="page"/>
      </w:r>
    </w:p>
    <w:p w14:paraId="2B70B092" w14:textId="77777777" w:rsidR="00F34BD4" w:rsidRPr="00E832B0" w:rsidRDefault="00F34BD4" w:rsidP="00FF3BC7">
      <w:pPr>
        <w:pStyle w:val="Akapitzlist"/>
        <w:numPr>
          <w:ilvl w:val="0"/>
          <w:numId w:val="12"/>
        </w:numPr>
        <w:spacing w:after="240" w:line="480" w:lineRule="auto"/>
        <w:jc w:val="left"/>
        <w:rPr>
          <w:b/>
          <w:bCs/>
          <w:color w:val="2F5496" w:themeColor="accent1" w:themeShade="BF"/>
        </w:rPr>
      </w:pPr>
      <w:r w:rsidRPr="00E832B0">
        <w:rPr>
          <w:b/>
          <w:bCs/>
          <w:color w:val="2F5496" w:themeColor="accent1" w:themeShade="BF"/>
        </w:rPr>
        <w:lastRenderedPageBreak/>
        <w:t>Efektywn</w:t>
      </w:r>
      <w:r>
        <w:rPr>
          <w:b/>
          <w:bCs/>
          <w:color w:val="2F5496" w:themeColor="accent1" w:themeShade="BF"/>
        </w:rPr>
        <w:t>y</w:t>
      </w:r>
      <w:r w:rsidRPr="00E832B0">
        <w:rPr>
          <w:b/>
          <w:bCs/>
          <w:color w:val="2F5496" w:themeColor="accent1" w:themeShade="BF"/>
        </w:rPr>
        <w:t xml:space="preserve"> Energetyczn</w:t>
      </w:r>
      <w:r>
        <w:rPr>
          <w:b/>
          <w:bCs/>
          <w:color w:val="2F5496" w:themeColor="accent1" w:themeShade="BF"/>
        </w:rPr>
        <w:t>ie Sektor</w:t>
      </w:r>
      <w:r w:rsidRPr="00E832B0">
        <w:rPr>
          <w:b/>
          <w:bCs/>
          <w:color w:val="2F5496" w:themeColor="accent1" w:themeShade="BF"/>
        </w:rPr>
        <w:t xml:space="preserve"> </w:t>
      </w:r>
      <w:r>
        <w:rPr>
          <w:b/>
          <w:bCs/>
          <w:color w:val="2F5496" w:themeColor="accent1" w:themeShade="BF"/>
        </w:rPr>
        <w:t>Publiczny</w:t>
      </w:r>
      <w:r w:rsidRPr="00E832B0" w:rsidDel="00CA6DB2">
        <w:rPr>
          <w:b/>
          <w:bCs/>
          <w:color w:val="2F5496" w:themeColor="accent1" w:themeShade="BF"/>
        </w:rPr>
        <w:t xml:space="preserve"> </w:t>
      </w:r>
    </w:p>
    <w:p w14:paraId="1E4A6327" w14:textId="77777777" w:rsidR="00E54E14" w:rsidRPr="004A2365" w:rsidRDefault="00E54E14" w:rsidP="00FF3BC7">
      <w:pPr>
        <w:pStyle w:val="Akapitzlist"/>
        <w:numPr>
          <w:ilvl w:val="0"/>
          <w:numId w:val="5"/>
        </w:numPr>
        <w:spacing w:after="240" w:line="480" w:lineRule="auto"/>
        <w:ind w:left="1134"/>
        <w:jc w:val="left"/>
        <w:rPr>
          <w:b/>
          <w:bCs/>
          <w:color w:val="2F5496" w:themeColor="accent1" w:themeShade="BF"/>
        </w:rPr>
      </w:pPr>
      <w:r w:rsidRPr="004A2365">
        <w:rPr>
          <w:b/>
          <w:bCs/>
          <w:color w:val="2F5496" w:themeColor="accent1" w:themeShade="BF"/>
        </w:rPr>
        <w:t xml:space="preserve">Skrócony opis </w:t>
      </w:r>
      <w:r>
        <w:rPr>
          <w:b/>
          <w:bCs/>
          <w:color w:val="2F5496" w:themeColor="accent1" w:themeShade="BF"/>
        </w:rPr>
        <w:t>środka alternatywnego</w:t>
      </w:r>
    </w:p>
    <w:tbl>
      <w:tblPr>
        <w:tblStyle w:val="Tabela-Siatka"/>
        <w:tblW w:w="8729" w:type="dxa"/>
        <w:tblInd w:w="360" w:type="dxa"/>
        <w:tblBorders>
          <w:top w:val="none" w:sz="0" w:space="0" w:color="auto"/>
          <w:left w:val="none" w:sz="0" w:space="0" w:color="auto"/>
          <w:bottom w:val="none" w:sz="0" w:space="0" w:color="auto"/>
          <w:right w:val="none" w:sz="0" w:space="0" w:color="auto"/>
          <w:insideH w:val="single" w:sz="12" w:space="0" w:color="auto"/>
          <w:insideV w:val="none" w:sz="0" w:space="0" w:color="auto"/>
        </w:tblBorders>
        <w:tblLook w:val="04A0" w:firstRow="1" w:lastRow="0" w:firstColumn="1" w:lastColumn="0" w:noHBand="0" w:noVBand="1"/>
      </w:tblPr>
      <w:tblGrid>
        <w:gridCol w:w="1644"/>
        <w:gridCol w:w="7085"/>
      </w:tblGrid>
      <w:tr w:rsidR="00E54E14" w:rsidRPr="004A2365" w14:paraId="3065944E" w14:textId="77777777" w:rsidTr="00B823C1">
        <w:tc>
          <w:tcPr>
            <w:tcW w:w="1644" w:type="dxa"/>
            <w:vAlign w:val="center"/>
          </w:tcPr>
          <w:p w14:paraId="26CA8BA3" w14:textId="77777777" w:rsidR="00E54E14" w:rsidRPr="005F6322" w:rsidRDefault="00E54E14" w:rsidP="00FF3BC7">
            <w:pPr>
              <w:spacing w:line="276" w:lineRule="auto"/>
              <w:jc w:val="center"/>
              <w:rPr>
                <w:rFonts w:cs="Times New Roman"/>
                <w:i/>
                <w:iCs/>
                <w:color w:val="5B9BD5" w:themeColor="accent5"/>
              </w:rPr>
            </w:pPr>
            <w:r w:rsidRPr="005F6322">
              <w:rPr>
                <w:rFonts w:cs="Times New Roman"/>
                <w:i/>
                <w:iCs/>
                <w:color w:val="5B9BD5" w:themeColor="accent5"/>
              </w:rPr>
              <w:t xml:space="preserve">Nazwa </w:t>
            </w:r>
            <w:r>
              <w:rPr>
                <w:rFonts w:cs="Times New Roman"/>
                <w:i/>
                <w:iCs/>
                <w:color w:val="5B9BD5" w:themeColor="accent5"/>
              </w:rPr>
              <w:t>środka alternatywnego</w:t>
            </w:r>
          </w:p>
        </w:tc>
        <w:tc>
          <w:tcPr>
            <w:tcW w:w="7085" w:type="dxa"/>
            <w:vAlign w:val="center"/>
          </w:tcPr>
          <w:p w14:paraId="435BB618" w14:textId="77777777" w:rsidR="00E54E14" w:rsidRPr="002B0945" w:rsidRDefault="00E54E14" w:rsidP="00FF3BC7">
            <w:pPr>
              <w:spacing w:line="276" w:lineRule="auto"/>
              <w:rPr>
                <w:b/>
                <w:bCs/>
              </w:rPr>
            </w:pPr>
            <w:r w:rsidRPr="00665ACA">
              <w:rPr>
                <w:b/>
                <w:bCs/>
              </w:rPr>
              <w:t>Efektywny Energetycznie Sektor Publiczny</w:t>
            </w:r>
          </w:p>
        </w:tc>
      </w:tr>
      <w:tr w:rsidR="00E54E14" w:rsidRPr="004A2365" w14:paraId="1FDD7089" w14:textId="77777777" w:rsidTr="00B823C1">
        <w:tc>
          <w:tcPr>
            <w:tcW w:w="1644" w:type="dxa"/>
            <w:vAlign w:val="center"/>
          </w:tcPr>
          <w:p w14:paraId="43F74928" w14:textId="77777777" w:rsidR="00E54E14" w:rsidRPr="005F6322" w:rsidRDefault="00E54E14" w:rsidP="00FF3BC7">
            <w:pPr>
              <w:spacing w:line="276" w:lineRule="auto"/>
              <w:jc w:val="center"/>
              <w:rPr>
                <w:rFonts w:cs="Times New Roman"/>
                <w:i/>
                <w:iCs/>
                <w:color w:val="5B9BD5" w:themeColor="accent5"/>
              </w:rPr>
            </w:pPr>
            <w:r w:rsidRPr="005F6322">
              <w:rPr>
                <w:rFonts w:cs="Times New Roman"/>
                <w:i/>
                <w:iCs/>
                <w:color w:val="5B9BD5" w:themeColor="accent5"/>
              </w:rPr>
              <w:t>Kategoria</w:t>
            </w:r>
          </w:p>
        </w:tc>
        <w:tc>
          <w:tcPr>
            <w:tcW w:w="7085" w:type="dxa"/>
            <w:vAlign w:val="center"/>
          </w:tcPr>
          <w:p w14:paraId="00BE4EB0" w14:textId="77777777" w:rsidR="00E54E14" w:rsidRPr="004A2365" w:rsidRDefault="00E54E14" w:rsidP="00FF3BC7">
            <w:pPr>
              <w:spacing w:line="276" w:lineRule="auto"/>
              <w:rPr>
                <w:rFonts w:cs="Times New Roman"/>
              </w:rPr>
            </w:pPr>
            <w:r w:rsidRPr="004A2365">
              <w:rPr>
                <w:rFonts w:cs="Times New Roman"/>
              </w:rPr>
              <w:t>Mechanizm finansowy</w:t>
            </w:r>
          </w:p>
        </w:tc>
      </w:tr>
      <w:tr w:rsidR="00E54E14" w:rsidRPr="004A2365" w14:paraId="35B88440" w14:textId="77777777" w:rsidTr="00B823C1">
        <w:tc>
          <w:tcPr>
            <w:tcW w:w="1644" w:type="dxa"/>
            <w:vAlign w:val="center"/>
          </w:tcPr>
          <w:p w14:paraId="0D32ECE6" w14:textId="77777777" w:rsidR="00E54E14" w:rsidRPr="005F6322" w:rsidRDefault="00E54E14" w:rsidP="00FF3BC7">
            <w:pPr>
              <w:spacing w:line="276" w:lineRule="auto"/>
              <w:jc w:val="center"/>
              <w:rPr>
                <w:rFonts w:cs="Times New Roman"/>
                <w:i/>
                <w:iCs/>
                <w:color w:val="5B9BD5" w:themeColor="accent5"/>
              </w:rPr>
            </w:pPr>
            <w:r w:rsidRPr="005F6322">
              <w:rPr>
                <w:rFonts w:cs="Times New Roman"/>
                <w:i/>
                <w:iCs/>
                <w:color w:val="5B9BD5" w:themeColor="accent5"/>
              </w:rPr>
              <w:t xml:space="preserve">Cel </w:t>
            </w:r>
          </w:p>
        </w:tc>
        <w:tc>
          <w:tcPr>
            <w:tcW w:w="7085" w:type="dxa"/>
            <w:vAlign w:val="center"/>
          </w:tcPr>
          <w:p w14:paraId="75B6EA36" w14:textId="77777777" w:rsidR="00E54E14" w:rsidRDefault="00E54E14" w:rsidP="00FF3BC7">
            <w:pPr>
              <w:spacing w:line="276" w:lineRule="auto"/>
            </w:pPr>
            <w:r w:rsidRPr="0032035F">
              <w:t xml:space="preserve">Celem </w:t>
            </w:r>
            <w:r>
              <w:t>programu</w:t>
            </w:r>
            <w:r w:rsidRPr="0032035F">
              <w:t xml:space="preserve"> jest</w:t>
            </w:r>
            <w:r>
              <w:t>:</w:t>
            </w:r>
          </w:p>
          <w:p w14:paraId="05441A16" w14:textId="77777777" w:rsidR="00E54E14" w:rsidRPr="005C2D7C" w:rsidRDefault="00E54E14" w:rsidP="00FF3BC7">
            <w:pPr>
              <w:pStyle w:val="Akapitzlist"/>
              <w:numPr>
                <w:ilvl w:val="0"/>
                <w:numId w:val="6"/>
              </w:numPr>
              <w:spacing w:line="276" w:lineRule="auto"/>
              <w:rPr>
                <w:rFonts w:cs="Times New Roman"/>
              </w:rPr>
            </w:pPr>
            <w:r w:rsidRPr="005C2D7C">
              <w:t>upowszechnienie dobrych praktyk z zakresu efektywności energetycznej</w:t>
            </w:r>
            <w:r>
              <w:t>,</w:t>
            </w:r>
            <w:r w:rsidRPr="005C2D7C">
              <w:t xml:space="preserve"> </w:t>
            </w:r>
          </w:p>
          <w:p w14:paraId="20A96E9F" w14:textId="77777777" w:rsidR="00E54E14" w:rsidRDefault="00E54E14" w:rsidP="00FF3BC7">
            <w:pPr>
              <w:pStyle w:val="Akapitzlist"/>
              <w:numPr>
                <w:ilvl w:val="0"/>
                <w:numId w:val="6"/>
              </w:numPr>
              <w:spacing w:line="276" w:lineRule="auto"/>
            </w:pPr>
            <w:r w:rsidRPr="005C2D7C">
              <w:t>zmniejszenie emisji zanieczyszczeń do atmosfery poprzez realizację inwestycji polegających</w:t>
            </w:r>
            <w:r>
              <w:t xml:space="preserve"> </w:t>
            </w:r>
            <w:r w:rsidRPr="005C2D7C">
              <w:t>na kompleksowej</w:t>
            </w:r>
            <w:r>
              <w:t xml:space="preserve"> </w:t>
            </w:r>
            <w:r w:rsidRPr="005C2D7C">
              <w:t>termomodernizacji budynków  prowadzącej do racjonalizacji zużycia energii</w:t>
            </w:r>
            <w:r>
              <w:t>,</w:t>
            </w:r>
          </w:p>
          <w:p w14:paraId="1F059F2F" w14:textId="77777777" w:rsidR="00E54E14" w:rsidRPr="004A2365" w:rsidRDefault="00E54E14" w:rsidP="00FF3BC7">
            <w:pPr>
              <w:pStyle w:val="Akapitzlist"/>
              <w:numPr>
                <w:ilvl w:val="0"/>
                <w:numId w:val="6"/>
              </w:numPr>
              <w:spacing w:line="276" w:lineRule="auto"/>
            </w:pPr>
            <w:r>
              <w:rPr>
                <w:rFonts w:cs="Times New Roman"/>
              </w:rPr>
              <w:t>poprawa efektywności energetycznej budynków użyteczności publicznej.</w:t>
            </w:r>
          </w:p>
        </w:tc>
      </w:tr>
      <w:tr w:rsidR="00E54E14" w:rsidRPr="004A2365" w14:paraId="41A9028B" w14:textId="77777777" w:rsidTr="00B823C1">
        <w:tc>
          <w:tcPr>
            <w:tcW w:w="1644" w:type="dxa"/>
            <w:vAlign w:val="center"/>
          </w:tcPr>
          <w:p w14:paraId="02B64B3E" w14:textId="77777777" w:rsidR="00E54E14" w:rsidRPr="005F6322" w:rsidRDefault="00E54E14" w:rsidP="00FF3BC7">
            <w:pPr>
              <w:spacing w:line="276" w:lineRule="auto"/>
              <w:jc w:val="center"/>
              <w:rPr>
                <w:rFonts w:cs="Times New Roman"/>
                <w:i/>
                <w:iCs/>
                <w:color w:val="5B9BD5" w:themeColor="accent5"/>
              </w:rPr>
            </w:pPr>
            <w:r w:rsidRPr="005F6322">
              <w:rPr>
                <w:rFonts w:cs="Times New Roman"/>
                <w:i/>
                <w:iCs/>
                <w:color w:val="5B9BD5" w:themeColor="accent5"/>
              </w:rPr>
              <w:t xml:space="preserve">Działania </w:t>
            </w:r>
          </w:p>
        </w:tc>
        <w:tc>
          <w:tcPr>
            <w:tcW w:w="7085" w:type="dxa"/>
            <w:vAlign w:val="center"/>
          </w:tcPr>
          <w:p w14:paraId="267141A6" w14:textId="77777777" w:rsidR="00E54E14" w:rsidRDefault="00E54E14" w:rsidP="00FF3BC7">
            <w:pPr>
              <w:pStyle w:val="Akapitzlist"/>
              <w:numPr>
                <w:ilvl w:val="0"/>
                <w:numId w:val="4"/>
              </w:numPr>
              <w:spacing w:line="276" w:lineRule="auto"/>
            </w:pPr>
            <w:r w:rsidRPr="00BF414B">
              <w:t>Przedsięwzięcie termomodernizacyjne</w:t>
            </w:r>
            <w:r>
              <w:t>, remontowe</w:t>
            </w:r>
            <w:r w:rsidRPr="00BF414B">
              <w:t xml:space="preserve"> </w:t>
            </w:r>
            <w:r>
              <w:t xml:space="preserve">i niskoemisyjne </w:t>
            </w:r>
            <w:r w:rsidRPr="00BF414B">
              <w:t xml:space="preserve">w rozumieniu ustawy z dnia 21 listopada 2008 r. </w:t>
            </w:r>
            <w:r w:rsidRPr="00BF414B">
              <w:rPr>
                <w:i/>
                <w:iCs/>
              </w:rPr>
              <w:t>o wspieraniu termomodernizacji i remontów oraz o centralnej ewidencji emisyjności budynków</w:t>
            </w:r>
            <w:r w:rsidRPr="00BF414B">
              <w:t xml:space="preserve"> (Dz.U. z 2</w:t>
            </w:r>
            <w:bookmarkStart w:id="25" w:name="mip61703359"/>
            <w:bookmarkStart w:id="26" w:name="mip61703360"/>
            <w:bookmarkEnd w:id="25"/>
            <w:bookmarkEnd w:id="26"/>
            <w:r>
              <w:t>022 r. poz. 438)</w:t>
            </w:r>
          </w:p>
          <w:p w14:paraId="61F032A7" w14:textId="77777777" w:rsidR="00E54E14" w:rsidRDefault="00E54E14" w:rsidP="00FF3BC7">
            <w:pPr>
              <w:pStyle w:val="Akapitzlist"/>
              <w:numPr>
                <w:ilvl w:val="0"/>
                <w:numId w:val="4"/>
              </w:numPr>
              <w:spacing w:line="276" w:lineRule="auto"/>
            </w:pPr>
            <w:r w:rsidRPr="00BF414B">
              <w:t>Modernizacja lub wymiana oświetlenia.</w:t>
            </w:r>
            <w:bookmarkStart w:id="27" w:name="mip61703361"/>
            <w:bookmarkEnd w:id="27"/>
          </w:p>
          <w:p w14:paraId="56D42E19" w14:textId="77777777" w:rsidR="00E54E14" w:rsidRDefault="00E54E14" w:rsidP="00FF3BC7">
            <w:pPr>
              <w:pStyle w:val="Akapitzlist"/>
              <w:numPr>
                <w:ilvl w:val="0"/>
                <w:numId w:val="4"/>
              </w:numPr>
              <w:spacing w:line="276" w:lineRule="auto"/>
            </w:pPr>
            <w:r w:rsidRPr="00BF414B">
              <w:t>Modernizacja procesu technologicznego, produkcyjnego, telekomunikacyjnego lub informatycznego.</w:t>
            </w:r>
            <w:bookmarkStart w:id="28" w:name="mip61703362"/>
            <w:bookmarkEnd w:id="28"/>
          </w:p>
          <w:p w14:paraId="24F95178" w14:textId="77777777" w:rsidR="00E54E14" w:rsidRDefault="00E54E14" w:rsidP="00FF3BC7">
            <w:pPr>
              <w:pStyle w:val="Akapitzlist"/>
              <w:numPr>
                <w:ilvl w:val="0"/>
                <w:numId w:val="4"/>
              </w:numPr>
              <w:spacing w:line="276" w:lineRule="auto"/>
            </w:pPr>
            <w:r w:rsidRPr="00BF414B">
              <w:t>Wymiana lub modernizacja urządzeń i instalacji oraz odzysk energii w procesach przemysłowych.</w:t>
            </w:r>
            <w:bookmarkStart w:id="29" w:name="mip61703363"/>
            <w:bookmarkEnd w:id="29"/>
          </w:p>
          <w:p w14:paraId="0BB74103" w14:textId="77777777" w:rsidR="00E54E14" w:rsidRDefault="00E54E14" w:rsidP="00FF3BC7">
            <w:pPr>
              <w:pStyle w:val="Akapitzlist"/>
              <w:numPr>
                <w:ilvl w:val="0"/>
                <w:numId w:val="4"/>
              </w:numPr>
              <w:spacing w:line="276" w:lineRule="auto"/>
            </w:pPr>
            <w:r w:rsidRPr="00BF414B">
              <w:t>Ograniczanie strat energii na transformacji.</w:t>
            </w:r>
            <w:bookmarkStart w:id="30" w:name="mip61703364"/>
            <w:bookmarkEnd w:id="30"/>
          </w:p>
          <w:p w14:paraId="1045D075" w14:textId="77777777" w:rsidR="00E54E14" w:rsidRDefault="00E54E14" w:rsidP="00FF3BC7">
            <w:pPr>
              <w:pStyle w:val="Akapitzlist"/>
              <w:numPr>
                <w:ilvl w:val="0"/>
                <w:numId w:val="4"/>
              </w:numPr>
              <w:spacing w:line="276" w:lineRule="auto"/>
            </w:pPr>
            <w:r w:rsidRPr="00BF414B">
              <w:t>Modernizacja lub wymiana sieci ciepłowniczej.</w:t>
            </w:r>
            <w:bookmarkStart w:id="31" w:name="mip61703365"/>
            <w:bookmarkEnd w:id="31"/>
          </w:p>
          <w:p w14:paraId="615ACD1A" w14:textId="77777777" w:rsidR="00E54E14" w:rsidRDefault="00E54E14" w:rsidP="00FF3BC7">
            <w:pPr>
              <w:pStyle w:val="Akapitzlist"/>
              <w:numPr>
                <w:ilvl w:val="0"/>
                <w:numId w:val="4"/>
              </w:numPr>
              <w:spacing w:line="276" w:lineRule="auto"/>
            </w:pPr>
            <w:r w:rsidRPr="00BF414B">
              <w:t>Modernizacja lub wymiana napędów, w szczególności silników, przekładni i układów regulacji.</w:t>
            </w:r>
            <w:bookmarkStart w:id="32" w:name="mip61703366"/>
            <w:bookmarkEnd w:id="32"/>
          </w:p>
          <w:p w14:paraId="737B4BEA" w14:textId="77777777" w:rsidR="00E54E14" w:rsidRDefault="00E54E14" w:rsidP="00FF3BC7">
            <w:pPr>
              <w:pStyle w:val="Akapitzlist"/>
              <w:numPr>
                <w:ilvl w:val="0"/>
                <w:numId w:val="4"/>
              </w:numPr>
              <w:spacing w:line="276" w:lineRule="auto"/>
            </w:pPr>
            <w:r w:rsidRPr="00BF414B">
              <w:t>Ograniczenie strat związanych z poborem energii biernej przez odbiorniki energii elektrycznej.</w:t>
            </w:r>
            <w:bookmarkStart w:id="33" w:name="mip61703367"/>
            <w:bookmarkEnd w:id="33"/>
          </w:p>
          <w:p w14:paraId="5C1C384E" w14:textId="77777777" w:rsidR="00E54E14" w:rsidRPr="004A2365" w:rsidRDefault="00E54E14" w:rsidP="00FF3BC7">
            <w:pPr>
              <w:pStyle w:val="Akapitzlist"/>
              <w:numPr>
                <w:ilvl w:val="0"/>
                <w:numId w:val="4"/>
              </w:numPr>
              <w:spacing w:line="276" w:lineRule="auto"/>
              <w:rPr>
                <w:rFonts w:cs="Times New Roman"/>
              </w:rPr>
            </w:pPr>
            <w:r w:rsidRPr="00BF414B">
              <w:t>Modernizacja lub wymiana pojazdów służących do transportu drogowego lub kolejowego</w:t>
            </w:r>
            <w:r>
              <w:t>.</w:t>
            </w:r>
          </w:p>
        </w:tc>
      </w:tr>
      <w:tr w:rsidR="00E54E14" w:rsidRPr="004A2365" w14:paraId="270B2613" w14:textId="77777777" w:rsidTr="00B823C1">
        <w:tc>
          <w:tcPr>
            <w:tcW w:w="1644" w:type="dxa"/>
            <w:vAlign w:val="center"/>
          </w:tcPr>
          <w:p w14:paraId="0BD37227" w14:textId="77777777" w:rsidR="00E54E14" w:rsidRPr="005F6322" w:rsidRDefault="00E54E14" w:rsidP="00FF3BC7">
            <w:pPr>
              <w:spacing w:line="276" w:lineRule="auto"/>
              <w:jc w:val="center"/>
              <w:rPr>
                <w:rFonts w:cs="Times New Roman"/>
                <w:i/>
                <w:iCs/>
                <w:color w:val="5B9BD5" w:themeColor="accent5"/>
              </w:rPr>
            </w:pPr>
            <w:r w:rsidRPr="005F6322">
              <w:rPr>
                <w:rFonts w:cs="Times New Roman"/>
                <w:i/>
                <w:iCs/>
                <w:color w:val="5B9BD5" w:themeColor="accent5"/>
              </w:rPr>
              <w:t>Typ beneficjentów</w:t>
            </w:r>
          </w:p>
        </w:tc>
        <w:tc>
          <w:tcPr>
            <w:tcW w:w="7085" w:type="dxa"/>
            <w:vAlign w:val="center"/>
          </w:tcPr>
          <w:p w14:paraId="49CF0BF9" w14:textId="77777777" w:rsidR="00E54E14" w:rsidRPr="004A2365" w:rsidRDefault="00E54E14" w:rsidP="00FF3BC7">
            <w:pPr>
              <w:spacing w:line="276" w:lineRule="auto"/>
              <w:rPr>
                <w:rFonts w:cs="Times New Roman"/>
              </w:rPr>
            </w:pPr>
            <w:r>
              <w:rPr>
                <w:rFonts w:cs="Times New Roman"/>
              </w:rPr>
              <w:t>J</w:t>
            </w:r>
            <w:r w:rsidRPr="0097450C">
              <w:rPr>
                <w:rFonts w:cs="Times New Roman"/>
              </w:rPr>
              <w:t xml:space="preserve">ednostki samorządu terytorialnego, </w:t>
            </w:r>
            <w:r w:rsidRPr="0032035F">
              <w:rPr>
                <w:rFonts w:cs="Times New Roman"/>
              </w:rPr>
              <w:t>publiczne uczelnie wyższe, samorządowe instytucje kultury, samodzielne publiczne zakłady opieki zdrowotnej prowadzone przez jednostki samorządu terytorialnego</w:t>
            </w:r>
            <w:r>
              <w:rPr>
                <w:rFonts w:cs="Times New Roman"/>
              </w:rPr>
              <w:t xml:space="preserve">, </w:t>
            </w:r>
            <w:r w:rsidRPr="0032035F">
              <w:rPr>
                <w:rFonts w:eastAsia="Times New Roman" w:cs="Times New Roman"/>
                <w:lang w:eastAsia="pl-PL"/>
              </w:rPr>
              <w:t>organizacje pozarządowe</w:t>
            </w:r>
            <w:r>
              <w:rPr>
                <w:rFonts w:eastAsia="Times New Roman" w:cs="Times New Roman"/>
                <w:lang w:eastAsia="pl-PL"/>
              </w:rPr>
              <w:t xml:space="preserve">, </w:t>
            </w:r>
            <w:r w:rsidRPr="0032035F">
              <w:rPr>
                <w:rFonts w:eastAsia="Times New Roman" w:cs="Times New Roman"/>
                <w:lang w:eastAsia="pl-PL"/>
              </w:rPr>
              <w:t xml:space="preserve">związki </w:t>
            </w:r>
            <w:r>
              <w:rPr>
                <w:rFonts w:eastAsia="Times New Roman" w:cs="Times New Roman"/>
                <w:lang w:eastAsia="pl-PL"/>
              </w:rPr>
              <w:t xml:space="preserve">i  wspólnoty </w:t>
            </w:r>
            <w:r w:rsidRPr="0032035F">
              <w:rPr>
                <w:rFonts w:eastAsia="Times New Roman" w:cs="Times New Roman"/>
                <w:lang w:eastAsia="pl-PL"/>
              </w:rPr>
              <w:t>wyznaniowe</w:t>
            </w:r>
            <w:r>
              <w:rPr>
                <w:rFonts w:eastAsia="Times New Roman" w:cs="Times New Roman"/>
                <w:lang w:eastAsia="pl-PL"/>
              </w:rPr>
              <w:t>, jednostki budżetowe, samorządowe zakłady budżetowe lub inne jednostki sektora finansów publicznych</w:t>
            </w:r>
          </w:p>
        </w:tc>
      </w:tr>
      <w:tr w:rsidR="00E54E14" w:rsidRPr="004A2365" w14:paraId="5D7AF184" w14:textId="77777777" w:rsidTr="00B823C1">
        <w:tc>
          <w:tcPr>
            <w:tcW w:w="1644" w:type="dxa"/>
            <w:vAlign w:val="center"/>
          </w:tcPr>
          <w:p w14:paraId="71C07FD7" w14:textId="77777777" w:rsidR="00E54E14" w:rsidRPr="005F6322" w:rsidRDefault="00E54E14" w:rsidP="00FF3BC7">
            <w:pPr>
              <w:spacing w:line="276" w:lineRule="auto"/>
              <w:jc w:val="center"/>
              <w:rPr>
                <w:rFonts w:cs="Times New Roman"/>
                <w:i/>
                <w:iCs/>
                <w:color w:val="5B9BD5" w:themeColor="accent5"/>
              </w:rPr>
            </w:pPr>
            <w:r w:rsidRPr="005F6322">
              <w:rPr>
                <w:rFonts w:cs="Times New Roman"/>
                <w:i/>
                <w:iCs/>
                <w:color w:val="5B9BD5" w:themeColor="accent5"/>
              </w:rPr>
              <w:t>Instytucja wdrażająca</w:t>
            </w:r>
          </w:p>
        </w:tc>
        <w:tc>
          <w:tcPr>
            <w:tcW w:w="7085" w:type="dxa"/>
            <w:vAlign w:val="center"/>
          </w:tcPr>
          <w:p w14:paraId="00F54C40" w14:textId="77777777" w:rsidR="00E54E14" w:rsidRPr="004A2365" w:rsidRDefault="00E54E14" w:rsidP="00FF3BC7">
            <w:pPr>
              <w:spacing w:line="276" w:lineRule="auto"/>
              <w:rPr>
                <w:rFonts w:cs="Times New Roman"/>
              </w:rPr>
            </w:pPr>
            <w:r w:rsidRPr="004A2365">
              <w:rPr>
                <w:rFonts w:cs="Times New Roman"/>
              </w:rPr>
              <w:t>Narodowy Fundusz Ochrony Środowiska i Gospodarki Wodnej (NFOŚiGW)</w:t>
            </w:r>
            <w:r>
              <w:rPr>
                <w:rFonts w:cs="Times New Roman"/>
              </w:rPr>
              <w:t>, Wojewódzkie Fundusze Ochrony Środowiska i Gospodarki Wodnej (</w:t>
            </w:r>
            <w:proofErr w:type="spellStart"/>
            <w:r>
              <w:rPr>
                <w:rFonts w:cs="Times New Roman"/>
              </w:rPr>
              <w:t>WFOŚiGW</w:t>
            </w:r>
            <w:proofErr w:type="spellEnd"/>
            <w:r>
              <w:rPr>
                <w:rFonts w:cs="Times New Roman"/>
              </w:rPr>
              <w:t>), Jednostki Samorządu Terytorialnego (JST)</w:t>
            </w:r>
          </w:p>
        </w:tc>
      </w:tr>
      <w:tr w:rsidR="00E54E14" w:rsidRPr="004A2365" w14:paraId="6DC7F6A4" w14:textId="77777777" w:rsidTr="00B823C1">
        <w:tc>
          <w:tcPr>
            <w:tcW w:w="1644" w:type="dxa"/>
            <w:vAlign w:val="center"/>
          </w:tcPr>
          <w:p w14:paraId="50902C9F" w14:textId="77777777" w:rsidR="00E54E14" w:rsidRPr="005F6322" w:rsidRDefault="00E54E14" w:rsidP="00FF3BC7">
            <w:pPr>
              <w:spacing w:line="276" w:lineRule="auto"/>
              <w:jc w:val="center"/>
              <w:rPr>
                <w:rFonts w:cs="Times New Roman"/>
                <w:i/>
                <w:iCs/>
                <w:color w:val="5B9BD5" w:themeColor="accent5"/>
              </w:rPr>
            </w:pPr>
            <w:r w:rsidRPr="005F6322">
              <w:rPr>
                <w:rFonts w:cs="Times New Roman"/>
                <w:i/>
                <w:iCs/>
                <w:color w:val="5B9BD5" w:themeColor="accent5"/>
              </w:rPr>
              <w:t>Instytucja nadzorująca</w:t>
            </w:r>
          </w:p>
        </w:tc>
        <w:tc>
          <w:tcPr>
            <w:tcW w:w="7085" w:type="dxa"/>
            <w:vAlign w:val="center"/>
          </w:tcPr>
          <w:p w14:paraId="460CA2A2" w14:textId="77777777" w:rsidR="00E54E14" w:rsidRPr="004A2365" w:rsidRDefault="00E54E14" w:rsidP="00FF3BC7">
            <w:pPr>
              <w:spacing w:line="276" w:lineRule="auto"/>
              <w:rPr>
                <w:rFonts w:cs="Times New Roman"/>
              </w:rPr>
            </w:pPr>
            <w:r w:rsidRPr="004A2365">
              <w:rPr>
                <w:rFonts w:cs="Times New Roman"/>
              </w:rPr>
              <w:t>MKiŚ</w:t>
            </w:r>
            <w:r>
              <w:rPr>
                <w:rFonts w:cs="Times New Roman"/>
              </w:rPr>
              <w:t>, NFOŚiGW, JST</w:t>
            </w:r>
          </w:p>
        </w:tc>
      </w:tr>
    </w:tbl>
    <w:p w14:paraId="2B4DF0F5" w14:textId="77777777" w:rsidR="00E54E14" w:rsidRPr="0012644B" w:rsidRDefault="00E54E14" w:rsidP="00FF3BC7">
      <w:pPr>
        <w:pStyle w:val="Akapitzlist"/>
        <w:numPr>
          <w:ilvl w:val="0"/>
          <w:numId w:val="5"/>
        </w:numPr>
        <w:spacing w:before="120"/>
        <w:ind w:left="1134" w:hanging="357"/>
        <w:jc w:val="left"/>
        <w:rPr>
          <w:b/>
          <w:bCs/>
          <w:color w:val="2F5496" w:themeColor="accent1" w:themeShade="BF"/>
        </w:rPr>
      </w:pPr>
      <w:r w:rsidRPr="0012644B">
        <w:rPr>
          <w:b/>
          <w:bCs/>
          <w:color w:val="2F5496" w:themeColor="accent1" w:themeShade="BF"/>
        </w:rPr>
        <w:t>Opis środka alternatywnego</w:t>
      </w:r>
    </w:p>
    <w:p w14:paraId="6821B8C0" w14:textId="77777777" w:rsidR="00E54E14" w:rsidRPr="00A00895" w:rsidRDefault="00E54E14" w:rsidP="00373FD3">
      <w:r w:rsidRPr="00A00895">
        <w:t>W ramach programu Efektywny Energetycznie Sektor Publiczny realizowane są zadania dla obszarów priorytetowych takich jak: ochrona atmosfery, efektywność energetyczna</w:t>
      </w:r>
      <w:r>
        <w:t>, sprawiedliwa transformacja itp.</w:t>
      </w:r>
      <w:r w:rsidRPr="00A00895">
        <w:t xml:space="preserve"> </w:t>
      </w:r>
      <w:r>
        <w:t xml:space="preserve">Program realizowany jest przez </w:t>
      </w:r>
      <w:proofErr w:type="spellStart"/>
      <w:r w:rsidRPr="00A00895">
        <w:t>WFOŚiGW</w:t>
      </w:r>
      <w:proofErr w:type="spellEnd"/>
      <w:r w:rsidRPr="00A00895">
        <w:t xml:space="preserve"> oraz JST</w:t>
      </w:r>
      <w:r>
        <w:t>, w ramach dofinansowania ze środków własnych oraz Funduszy Europejskich na lata 2021-2027.</w:t>
      </w:r>
      <w:r w:rsidRPr="00A00895">
        <w:t xml:space="preserve"> </w:t>
      </w:r>
      <w:r>
        <w:t>W</w:t>
      </w:r>
      <w:r w:rsidRPr="00A00895">
        <w:t xml:space="preserve"> ramach </w:t>
      </w:r>
      <w:r>
        <w:t xml:space="preserve">powyższych </w:t>
      </w:r>
      <w:r w:rsidRPr="00A00895">
        <w:t xml:space="preserve">priorytetów  realizowały następujące zadania mające na celu m.in.: </w:t>
      </w:r>
    </w:p>
    <w:p w14:paraId="70B97E1B" w14:textId="77777777" w:rsidR="00E54E14" w:rsidRPr="00E54E14" w:rsidRDefault="00E54E14" w:rsidP="00FF3BC7">
      <w:pPr>
        <w:numPr>
          <w:ilvl w:val="0"/>
          <w:numId w:val="40"/>
        </w:numPr>
      </w:pPr>
      <w:r w:rsidRPr="00E54E14">
        <w:lastRenderedPageBreak/>
        <w:t>Wdrażanie obszarowych programów ograniczenia emisji pyłowo-gazowych;</w:t>
      </w:r>
    </w:p>
    <w:p w14:paraId="1727C247" w14:textId="77777777" w:rsidR="00E54E14" w:rsidRPr="00E54E14" w:rsidRDefault="00E54E14" w:rsidP="00FF3BC7">
      <w:pPr>
        <w:numPr>
          <w:ilvl w:val="0"/>
          <w:numId w:val="40"/>
        </w:numPr>
      </w:pPr>
      <w:r w:rsidRPr="00E54E14">
        <w:t>Wdrażanie projektów nowoczesnych, efektywnych i przyjaznych środowisku układów technologicznych oraz systemów wytwarzania, przesyłu lub użytkowania energii;</w:t>
      </w:r>
    </w:p>
    <w:p w14:paraId="6B54E9FE" w14:textId="77777777" w:rsidR="00E54E14" w:rsidRPr="00E54E14" w:rsidRDefault="00E54E14" w:rsidP="00FF3BC7">
      <w:pPr>
        <w:numPr>
          <w:ilvl w:val="0"/>
          <w:numId w:val="40"/>
        </w:numPr>
      </w:pPr>
      <w:r w:rsidRPr="00E54E14">
        <w:t>Termomodernizacji budynków w zakresie wynikającym z audytu energetycznego;</w:t>
      </w:r>
    </w:p>
    <w:p w14:paraId="33A1AB10" w14:textId="77777777" w:rsidR="00E54E14" w:rsidRPr="00373FD3" w:rsidRDefault="00E54E14" w:rsidP="00FF3BC7">
      <w:pPr>
        <w:numPr>
          <w:ilvl w:val="0"/>
          <w:numId w:val="40"/>
        </w:numPr>
      </w:pPr>
      <w:r w:rsidRPr="00E54E14">
        <w:t>Modernizacja istniejących źródeł ciepła;</w:t>
      </w:r>
    </w:p>
    <w:p w14:paraId="5C2C4CF8" w14:textId="77777777" w:rsidR="00E54E14" w:rsidRPr="00373FD3" w:rsidRDefault="00E54E14" w:rsidP="00FF3BC7">
      <w:pPr>
        <w:numPr>
          <w:ilvl w:val="0"/>
          <w:numId w:val="40"/>
        </w:numPr>
      </w:pPr>
      <w:r w:rsidRPr="00E54E14">
        <w:t>Zwiększanie efektywności energetycznej, w tym z zastosowaniem odnawialnych źródeł energii;</w:t>
      </w:r>
    </w:p>
    <w:p w14:paraId="2A919CDD" w14:textId="77777777" w:rsidR="00E54E14" w:rsidRPr="00373FD3" w:rsidRDefault="00E54E14" w:rsidP="00FF3BC7">
      <w:pPr>
        <w:numPr>
          <w:ilvl w:val="0"/>
          <w:numId w:val="40"/>
        </w:numPr>
      </w:pPr>
      <w:r w:rsidRPr="00E54E14">
        <w:t xml:space="preserve">Zastosowanie inteligentnych sieci energetycznych; </w:t>
      </w:r>
    </w:p>
    <w:p w14:paraId="2F3B8ACD" w14:textId="77777777" w:rsidR="00E54E14" w:rsidRPr="00373FD3" w:rsidRDefault="00E54E14" w:rsidP="00FF3BC7">
      <w:pPr>
        <w:numPr>
          <w:ilvl w:val="0"/>
          <w:numId w:val="40"/>
        </w:numPr>
      </w:pPr>
      <w:r w:rsidRPr="00E54E14">
        <w:t>Modernizacja oświetlenia.</w:t>
      </w:r>
    </w:p>
    <w:p w14:paraId="1A489D03" w14:textId="77777777" w:rsidR="00E54E14" w:rsidRPr="00E54E14" w:rsidRDefault="00E54E14" w:rsidP="00373FD3">
      <w:r w:rsidRPr="00E54E14">
        <w:t xml:space="preserve">Wsparcie finansowane zaadresowane jest do podmiotów świadczących usługi publiczne w ramach realizacji obowiązków własnych jednostek samorządu terytorialnego w formie dotacji lub jako instrument zwrotny. </w:t>
      </w:r>
    </w:p>
    <w:p w14:paraId="6EBC3AF4" w14:textId="77777777" w:rsidR="00E54E14" w:rsidRDefault="00E54E14" w:rsidP="00373FD3">
      <w:r w:rsidRPr="00A00895">
        <w:t xml:space="preserve">W przypadku programów związanych z kompleksową termomodernizacją budynku użyteczności publicznej, jak i ochotniczych straży pożarnych dofinansowanie udzielane na działania prowadzone według standardów efektywności energetycznej i ekonomicznej wskazane w dołączonym do wniosku audycie energetycznym budynku, jako optymalny wariant przedsięwzięcia. </w:t>
      </w:r>
    </w:p>
    <w:p w14:paraId="462E8BB1" w14:textId="77777777" w:rsidR="00E54E14" w:rsidRDefault="00E54E14" w:rsidP="00373FD3">
      <w:r>
        <w:t>W ramach programu w szczególności wspierane są i</w:t>
      </w:r>
      <w:r w:rsidRPr="0090065D">
        <w:t>nwestycje w zakresie kompleksowej</w:t>
      </w:r>
      <w:r>
        <w:t xml:space="preserve"> </w:t>
      </w:r>
      <w:r w:rsidRPr="0090065D">
        <w:t>(głębokiej) modernizacji energetycznej</w:t>
      </w:r>
      <w:r>
        <w:t xml:space="preserve"> </w:t>
      </w:r>
      <w:r w:rsidRPr="0090065D">
        <w:t>budynków sektora publicznego</w:t>
      </w:r>
      <w:r>
        <w:t xml:space="preserve">. Dotowane będą projekty mające na celu m.in. </w:t>
      </w:r>
    </w:p>
    <w:p w14:paraId="02B1D242" w14:textId="77777777" w:rsidR="00E54E14" w:rsidRPr="00373FD3" w:rsidRDefault="00E54E14" w:rsidP="00FF3BC7">
      <w:pPr>
        <w:numPr>
          <w:ilvl w:val="0"/>
          <w:numId w:val="41"/>
        </w:numPr>
      </w:pPr>
      <w:r>
        <w:t xml:space="preserve">docieplenie </w:t>
      </w:r>
      <w:r w:rsidRPr="008137B8">
        <w:t>mostków grze</w:t>
      </w:r>
      <w:r>
        <w:t xml:space="preserve">wczych </w:t>
      </w:r>
      <w:r w:rsidRPr="00192179">
        <w:t xml:space="preserve">wymianę </w:t>
      </w:r>
      <w:r>
        <w:t>stolarki drzwiowej i wymianę okien.</w:t>
      </w:r>
    </w:p>
    <w:p w14:paraId="7ADBCFFE" w14:textId="77777777" w:rsidR="00E54E14" w:rsidRPr="00373FD3" w:rsidRDefault="00E54E14" w:rsidP="00FF3BC7">
      <w:pPr>
        <w:numPr>
          <w:ilvl w:val="0"/>
          <w:numId w:val="41"/>
        </w:numPr>
      </w:pPr>
      <w:r w:rsidRPr="00192179">
        <w:t>przebudowę/modern</w:t>
      </w:r>
      <w:r>
        <w:t>izację</w:t>
      </w:r>
      <w:r w:rsidRPr="00192179">
        <w:t xml:space="preserve"> systemów grzewczych, </w:t>
      </w:r>
    </w:p>
    <w:p w14:paraId="5DC72EF2" w14:textId="77777777" w:rsidR="00E54E14" w:rsidRPr="00373FD3" w:rsidRDefault="00E54E14" w:rsidP="00FF3BC7">
      <w:pPr>
        <w:numPr>
          <w:ilvl w:val="0"/>
          <w:numId w:val="41"/>
        </w:numPr>
      </w:pPr>
      <w:r w:rsidRPr="00192179">
        <w:t>instalację/przebud</w:t>
      </w:r>
      <w:r>
        <w:t>owę</w:t>
      </w:r>
      <w:r w:rsidRPr="00192179">
        <w:t xml:space="preserve"> systemów wentylacji i klimatyzacji,</w:t>
      </w:r>
    </w:p>
    <w:p w14:paraId="3D60EB6E" w14:textId="77777777" w:rsidR="00E54E14" w:rsidRPr="00373FD3" w:rsidRDefault="00E54E14" w:rsidP="00FF3BC7">
      <w:pPr>
        <w:numPr>
          <w:ilvl w:val="0"/>
          <w:numId w:val="41"/>
        </w:numPr>
      </w:pPr>
      <w:r w:rsidRPr="00192179">
        <w:t>instalację/przebud</w:t>
      </w:r>
      <w:r>
        <w:t>owę</w:t>
      </w:r>
      <w:r w:rsidRPr="00192179">
        <w:t xml:space="preserve"> systemów chłodzących,</w:t>
      </w:r>
    </w:p>
    <w:p w14:paraId="4A34BBEB" w14:textId="77777777" w:rsidR="00E54E14" w:rsidRPr="00373FD3" w:rsidRDefault="00E54E14" w:rsidP="00FF3BC7">
      <w:pPr>
        <w:numPr>
          <w:ilvl w:val="0"/>
          <w:numId w:val="41"/>
        </w:numPr>
      </w:pPr>
      <w:r w:rsidRPr="00192179">
        <w:t>wymianę oświetl. na energooszcz</w:t>
      </w:r>
      <w:r>
        <w:t>ędne</w:t>
      </w:r>
      <w:r w:rsidRPr="00192179">
        <w:t>,</w:t>
      </w:r>
    </w:p>
    <w:p w14:paraId="641A01DB" w14:textId="77777777" w:rsidR="00E54E14" w:rsidRPr="00373FD3" w:rsidRDefault="00E54E14" w:rsidP="00FF3BC7">
      <w:pPr>
        <w:numPr>
          <w:ilvl w:val="0"/>
          <w:numId w:val="41"/>
        </w:numPr>
      </w:pPr>
      <w:r w:rsidRPr="00192179">
        <w:t>zastosowanie inteligentnych syst</w:t>
      </w:r>
      <w:r>
        <w:t>emów</w:t>
      </w:r>
      <w:r w:rsidRPr="00192179">
        <w:t xml:space="preserve"> zarz</w:t>
      </w:r>
      <w:r>
        <w:t>ądzania</w:t>
      </w:r>
      <w:r w:rsidRPr="00192179">
        <w:t xml:space="preserve"> ener</w:t>
      </w:r>
      <w:r>
        <w:t>gią</w:t>
      </w:r>
      <w:r w:rsidRPr="00192179">
        <w:t xml:space="preserve"> </w:t>
      </w:r>
    </w:p>
    <w:p w14:paraId="54C62671" w14:textId="77777777" w:rsidR="00E54E14" w:rsidRPr="00373FD3" w:rsidRDefault="00E54E14" w:rsidP="00FF3BC7">
      <w:pPr>
        <w:numPr>
          <w:ilvl w:val="0"/>
          <w:numId w:val="41"/>
        </w:numPr>
      </w:pPr>
      <w:r>
        <w:t>m</w:t>
      </w:r>
      <w:r w:rsidRPr="00192179">
        <w:t>oderniz</w:t>
      </w:r>
      <w:r>
        <w:t>acja</w:t>
      </w:r>
      <w:r w:rsidRPr="00192179">
        <w:t xml:space="preserve"> instal</w:t>
      </w:r>
      <w:r>
        <w:t xml:space="preserve">acji </w:t>
      </w:r>
      <w:r w:rsidRPr="00192179">
        <w:t>ogrzewania i ciepłej wody użytkowej</w:t>
      </w:r>
      <w:r w:rsidRPr="00373FD3">
        <w:t>,</w:t>
      </w:r>
    </w:p>
    <w:p w14:paraId="50BDAEDE" w14:textId="77777777" w:rsidR="00E54E14" w:rsidRPr="00B567C6" w:rsidRDefault="00E54E14" w:rsidP="00FF3BC7">
      <w:pPr>
        <w:numPr>
          <w:ilvl w:val="0"/>
          <w:numId w:val="41"/>
        </w:numPr>
      </w:pPr>
      <w:r w:rsidRPr="00B567C6">
        <w:t>przeprowadz</w:t>
      </w:r>
      <w:r>
        <w:t>enie</w:t>
      </w:r>
      <w:r w:rsidRPr="00B567C6">
        <w:t xml:space="preserve"> audytów energetycznych (</w:t>
      </w:r>
      <w:r>
        <w:t xml:space="preserve">element </w:t>
      </w:r>
      <w:r w:rsidRPr="00B567C6">
        <w:t>inwest</w:t>
      </w:r>
      <w:r>
        <w:t>ycji</w:t>
      </w:r>
      <w:r w:rsidRPr="00B567C6">
        <w:t>)</w:t>
      </w:r>
    </w:p>
    <w:p w14:paraId="17EA511E" w14:textId="77777777" w:rsidR="00E54E14" w:rsidRDefault="00E54E14" w:rsidP="00373FD3">
      <w:r>
        <w:t xml:space="preserve">Dodatkowo wspierana będzie </w:t>
      </w:r>
      <w:r w:rsidRPr="00BF2A34">
        <w:t>budow</w:t>
      </w:r>
      <w:r>
        <w:t>a</w:t>
      </w:r>
      <w:r w:rsidRPr="00BF2A34">
        <w:t xml:space="preserve"> i rozbudow</w:t>
      </w:r>
      <w:r>
        <w:t>a</w:t>
      </w:r>
      <w:r w:rsidRPr="00BF2A34">
        <w:t xml:space="preserve"> instalacji służących do wytwarzania ciepła i chłodu z OZE wraz z magazynami energii</w:t>
      </w:r>
      <w:r>
        <w:t xml:space="preserve"> oraz inne uzasadnione działania niewynikające wprost z audytów energetycznych mające na celu podwyższenie standardów techniczno-użytkowych i wzmacniających adaptacyjność do zmian klimatu. W</w:t>
      </w:r>
      <w:r w:rsidRPr="00BF2A34">
        <w:t>ykorzystywanie najlepszych możliwych technik, inteligentnych i niskoemisyjnych rozwiązań, pozwoli na tworzenie obszarów zrównoważonych</w:t>
      </w:r>
      <w:r>
        <w:t xml:space="preserve"> </w:t>
      </w:r>
      <w:r w:rsidRPr="00BF2A34">
        <w:t>energetycznie</w:t>
      </w:r>
      <w:r>
        <w:t xml:space="preserve"> i </w:t>
      </w:r>
      <w:r w:rsidRPr="00BF2A34">
        <w:t>wykorzystujących lokalne potencjały</w:t>
      </w:r>
      <w:r>
        <w:t xml:space="preserve"> energetyczne</w:t>
      </w:r>
      <w:r w:rsidRPr="00BF2A34">
        <w:t xml:space="preserve">. </w:t>
      </w:r>
    </w:p>
    <w:p w14:paraId="1336B6E8" w14:textId="77777777" w:rsidR="00E54E14" w:rsidRPr="00373FD3" w:rsidRDefault="00E54E14" w:rsidP="00373FD3">
      <w:r>
        <w:t xml:space="preserve">W program Efektywny Energetycznie Sektor Publiczny przewiduje się dotacje dla inwestycji mających na celu zwiększenie efektywności energetycznej  co najmniej 60%, w szczególności wspierane będą projekty w formule ESCO lub inne modele z wykorzystaniem kapitału prywatnego, w tym w formule PPP. </w:t>
      </w:r>
    </w:p>
    <w:p w14:paraId="35138EF1" w14:textId="77777777" w:rsidR="00E54E14" w:rsidRPr="00E66C7C" w:rsidRDefault="00E54E14" w:rsidP="00FF3BC7">
      <w:pPr>
        <w:pStyle w:val="Akapitzlist"/>
        <w:numPr>
          <w:ilvl w:val="0"/>
          <w:numId w:val="5"/>
        </w:numPr>
        <w:spacing w:beforeLines="120" w:before="288" w:afterLines="160" w:after="384" w:line="276" w:lineRule="auto"/>
        <w:ind w:left="1134"/>
        <w:jc w:val="left"/>
        <w:rPr>
          <w:b/>
          <w:bCs/>
          <w:color w:val="2F5496" w:themeColor="accent1" w:themeShade="BF"/>
        </w:rPr>
      </w:pPr>
      <w:r w:rsidRPr="00E66C7C">
        <w:rPr>
          <w:b/>
          <w:bCs/>
          <w:color w:val="2F5496" w:themeColor="accent1" w:themeShade="BF"/>
        </w:rPr>
        <w:t xml:space="preserve">Zastosowane metody obliczeniowe, o których mowa w pkt 1 Załącznika V do dyrektywy </w:t>
      </w:r>
      <w:r>
        <w:rPr>
          <w:b/>
          <w:bCs/>
          <w:color w:val="2F5496" w:themeColor="accent1" w:themeShade="BF"/>
        </w:rPr>
        <w:t>2023/1791/UE</w:t>
      </w:r>
    </w:p>
    <w:p w14:paraId="4A5F70EB" w14:textId="77777777" w:rsidR="00E54E14" w:rsidRPr="007548B8" w:rsidRDefault="00E54E14" w:rsidP="00373FD3">
      <w:r w:rsidRPr="007548B8">
        <w:t xml:space="preserve">W zakresie realizacji umów z programu dane o uzyskanych oszczędnościach energii </w:t>
      </w:r>
      <w:r>
        <w:t xml:space="preserve">w budynkach sektora publicznego są gromadzone przez </w:t>
      </w:r>
      <w:proofErr w:type="spellStart"/>
      <w:r>
        <w:t>WFOŚiGW</w:t>
      </w:r>
      <w:proofErr w:type="spellEnd"/>
      <w:r>
        <w:t>, NFOŚiGW i JST. M</w:t>
      </w:r>
      <w:r w:rsidRPr="007548B8">
        <w:t xml:space="preserve">ożliwe metody obliczenia oszczędności </w:t>
      </w:r>
      <w:r w:rsidRPr="007548B8">
        <w:lastRenderedPageBreak/>
        <w:t xml:space="preserve">energii: </w:t>
      </w:r>
      <w:r>
        <w:t xml:space="preserve">oszczędność szacowana , </w:t>
      </w:r>
      <w:r w:rsidRPr="007548B8">
        <w:t>oszczędność skalowana</w:t>
      </w:r>
      <w:r>
        <w:t xml:space="preserve"> oraz w stosownych przypadkach oszczędność mierzona</w:t>
      </w:r>
      <w:r w:rsidRPr="007548B8">
        <w:t xml:space="preserve">. </w:t>
      </w:r>
    </w:p>
    <w:p w14:paraId="4A7BB825" w14:textId="77777777" w:rsidR="00E54E14" w:rsidRPr="007548B8" w:rsidRDefault="00E54E14" w:rsidP="00E54E14">
      <w:pPr>
        <w:spacing w:after="0" w:line="360" w:lineRule="auto"/>
        <w:rPr>
          <w:b/>
          <w:bCs/>
          <w:i/>
          <w:iCs/>
          <w:color w:val="5B9BD5" w:themeColor="accent5"/>
        </w:rPr>
      </w:pPr>
      <w:r>
        <w:rPr>
          <w:b/>
          <w:bCs/>
          <w:i/>
          <w:iCs/>
          <w:color w:val="5B9BD5" w:themeColor="accent5"/>
        </w:rPr>
        <w:t>Oszczędność szacowana</w:t>
      </w:r>
    </w:p>
    <w:p w14:paraId="075435F1" w14:textId="77777777" w:rsidR="00E54E14" w:rsidRPr="007548B8" w:rsidRDefault="00E54E14" w:rsidP="00373FD3">
      <w:r w:rsidRPr="00E54E14">
        <w:t>W ramach przeprowadzenia audytu energetycznego powstaje o</w:t>
      </w:r>
      <w:r w:rsidRPr="007548B8">
        <w:t>pracowanie określające zakres oraz parametry techniczne i ekonomiczne przedsięwzięcia termomodernizacyjnego, ze wskazaniem rozwiązania optymalnego, w szczególności z punktu widzenia kosztów realizacji tego przedsięwzięcia oraz oszczędności energii. Audyt stanowi założenia do projektu budowlanego dotyczącego realizowanego przedsięwzięcia. Co więcej audyt określa efekt techniczny (oszczędności energii) i ekonomiczny przedsięwzięć termomodernizacyjnych, uwzględniane są straty energii (przenikanie i wentylacja), zapotrzebowanie na energię do ogrzewania, chłodzenia, oświetlenia oraz przygotowania ciepłej wody użytkowej oraz zyski słoneczne i bytowe.</w:t>
      </w:r>
    </w:p>
    <w:p w14:paraId="44A61181" w14:textId="77777777" w:rsidR="00E54E14" w:rsidRPr="007548B8" w:rsidRDefault="00E54E14" w:rsidP="00E54E14">
      <w:pPr>
        <w:spacing w:after="0" w:line="360" w:lineRule="auto"/>
        <w:rPr>
          <w:b/>
          <w:bCs/>
          <w:i/>
          <w:iCs/>
          <w:color w:val="5B9BD5" w:themeColor="accent5"/>
        </w:rPr>
      </w:pPr>
      <w:r w:rsidRPr="007548B8">
        <w:rPr>
          <w:b/>
          <w:bCs/>
          <w:i/>
          <w:iCs/>
          <w:color w:val="5B9BD5" w:themeColor="accent5"/>
        </w:rPr>
        <w:t>Oszczędność skalowana</w:t>
      </w:r>
    </w:p>
    <w:p w14:paraId="31FA491F" w14:textId="77777777" w:rsidR="00E54E14" w:rsidRDefault="00E54E14" w:rsidP="00373FD3">
      <w:r>
        <w:t xml:space="preserve">W celu uproszczenia ścieżki dostępności dofinansowania dla standardowych przedsięwzięć, tj. np. wymiana oświetlenia, wykorzystuje się metodę </w:t>
      </w:r>
      <w:r w:rsidRPr="007548B8">
        <w:t xml:space="preserve">określania efektów </w:t>
      </w:r>
      <w:r>
        <w:t>jako</w:t>
      </w:r>
      <w:r w:rsidRPr="007548B8">
        <w:t xml:space="preserve"> </w:t>
      </w:r>
      <w:r>
        <w:t>skalowaną</w:t>
      </w:r>
      <w:r w:rsidRPr="007548B8">
        <w:t xml:space="preserve"> na podstawie średnich wartości dla budynku referencyjnego.</w:t>
      </w:r>
      <w:r>
        <w:t xml:space="preserve"> Potencjalny beneficjent jest zobowiązany do przedłożenia uproszczonego audytu energetycznego, jako jeden z elementów wymaganych we wniosku o dofinansowanie. </w:t>
      </w:r>
    </w:p>
    <w:p w14:paraId="69D3FA22" w14:textId="77777777" w:rsidR="00E54E14" w:rsidRDefault="00E54E14" w:rsidP="00E54E14">
      <w:pPr>
        <w:spacing w:after="0" w:line="360" w:lineRule="auto"/>
        <w:rPr>
          <w:b/>
          <w:bCs/>
          <w:i/>
          <w:iCs/>
          <w:color w:val="5B9BD5" w:themeColor="accent5"/>
        </w:rPr>
      </w:pPr>
      <w:r w:rsidRPr="007548B8">
        <w:rPr>
          <w:b/>
          <w:bCs/>
          <w:i/>
          <w:iCs/>
          <w:color w:val="5B9BD5" w:themeColor="accent5"/>
        </w:rPr>
        <w:t xml:space="preserve">Oszczędność </w:t>
      </w:r>
      <w:r>
        <w:rPr>
          <w:b/>
          <w:bCs/>
          <w:i/>
          <w:iCs/>
          <w:color w:val="5B9BD5" w:themeColor="accent5"/>
        </w:rPr>
        <w:t>mierzona</w:t>
      </w:r>
    </w:p>
    <w:p w14:paraId="042FDC52" w14:textId="77777777" w:rsidR="00E54E14" w:rsidRPr="003834EE" w:rsidRDefault="00E54E14" w:rsidP="00373FD3">
      <w:r w:rsidRPr="003834EE">
        <w:t xml:space="preserve">W </w:t>
      </w:r>
      <w:r>
        <w:t xml:space="preserve">przypadku realizacji przedsięwzięć innych niż przedsięwzięcie termomodernizacyjnych, inwestycja musi zostać zakończona audytem efektywności energetycznym powykonawczym, weryfikującym założenia inwestycyjne. </w:t>
      </w:r>
      <w:r w:rsidRPr="003834EE">
        <w:t xml:space="preserve"> </w:t>
      </w:r>
    </w:p>
    <w:p w14:paraId="3B23F3D5" w14:textId="77777777" w:rsidR="00E54E14" w:rsidRPr="00FB3833" w:rsidRDefault="00E54E14" w:rsidP="00FF3BC7">
      <w:pPr>
        <w:pStyle w:val="Akapitzlist"/>
        <w:numPr>
          <w:ilvl w:val="0"/>
          <w:numId w:val="5"/>
        </w:numPr>
        <w:spacing w:beforeLines="120" w:before="288" w:afterLines="160" w:after="384"/>
        <w:ind w:left="1134"/>
        <w:jc w:val="left"/>
        <w:rPr>
          <w:b/>
          <w:bCs/>
          <w:color w:val="2F5496" w:themeColor="accent1" w:themeShade="BF"/>
        </w:rPr>
      </w:pPr>
      <w:r w:rsidRPr="00FB3833">
        <w:rPr>
          <w:b/>
          <w:bCs/>
          <w:color w:val="2F5496" w:themeColor="accent1" w:themeShade="BF"/>
        </w:rPr>
        <w:t>Metoda wyrażania wielkości oszczędności energii (oszczędność energii pierwotnej lub finalnej)</w:t>
      </w:r>
    </w:p>
    <w:p w14:paraId="6D4DF523" w14:textId="77777777" w:rsidR="00E54E14" w:rsidRDefault="00E54E14" w:rsidP="00373FD3">
      <w:r w:rsidRPr="00FB3833">
        <w:t xml:space="preserve">Wielkość zużycia energii określa się na podstawie audytu energetycznego budynku lub w uzasadnionych przypadkach uproszczonego audytu energetycznego budynku, tj. oblicza się wskaźnik efektu ekologicznego. Na podstawie powyższych, określane są podstawowe parametry przedsięwzięcia służącego poprawie efektywności energetycznej, w tym średnioroczna oszczędność energii finalnej. </w:t>
      </w:r>
    </w:p>
    <w:p w14:paraId="62C239D9" w14:textId="77777777" w:rsidR="00E54E14" w:rsidRPr="00356EE7" w:rsidRDefault="00E54E14" w:rsidP="00FF3BC7">
      <w:pPr>
        <w:pStyle w:val="Akapitzlist"/>
        <w:numPr>
          <w:ilvl w:val="0"/>
          <w:numId w:val="5"/>
        </w:numPr>
        <w:spacing w:beforeLines="120" w:before="288" w:afterLines="160" w:after="384"/>
        <w:ind w:left="1134"/>
        <w:jc w:val="left"/>
        <w:rPr>
          <w:b/>
          <w:bCs/>
          <w:color w:val="2F5496" w:themeColor="accent1" w:themeShade="BF"/>
        </w:rPr>
      </w:pPr>
      <w:r w:rsidRPr="00356EE7">
        <w:rPr>
          <w:b/>
          <w:bCs/>
          <w:color w:val="2F5496" w:themeColor="accent1" w:themeShade="BF"/>
        </w:rPr>
        <w:t>Okres obowiązywania środków i tempo zmniejszania się oszczędności w tym okresie</w:t>
      </w:r>
    </w:p>
    <w:p w14:paraId="503216AB" w14:textId="77777777" w:rsidR="00E54E14" w:rsidRPr="00E54E14" w:rsidRDefault="00E54E14" w:rsidP="00373FD3">
      <w:r w:rsidRPr="00E54E14">
        <w:t xml:space="preserve">Okres obowiązywania oszczędności został opracowany według Dodatku VIII do zalecenia Komisji (UE) 2019/1658 z dnia 25 września 2019 r. </w:t>
      </w:r>
      <w:r w:rsidRPr="00373FD3">
        <w:t>dotyczące transpozycji obowiązków oszczędności energii na podstawie dyrektywy w sprawie efektywności energetycznej</w:t>
      </w:r>
      <w:r w:rsidRPr="00E54E14">
        <w:t xml:space="preserve"> (Dz. Urz. UE L 275/1 z 28.10.2019 r.). Szacunkowy czas obowiązywania przedsięwzięć realizowanych w ramach środka alternatywnego wynosi 2 do 25 lat. </w:t>
      </w:r>
    </w:p>
    <w:p w14:paraId="3D0CEF7F" w14:textId="77777777" w:rsidR="00E54E14" w:rsidRPr="00AC7FD8" w:rsidRDefault="00E54E14" w:rsidP="00FF3BC7">
      <w:pPr>
        <w:pStyle w:val="Akapitzlist"/>
        <w:numPr>
          <w:ilvl w:val="0"/>
          <w:numId w:val="5"/>
        </w:numPr>
        <w:spacing w:beforeLines="120" w:before="288" w:afterLines="160" w:after="384"/>
        <w:ind w:left="1134"/>
        <w:jc w:val="left"/>
        <w:rPr>
          <w:b/>
          <w:bCs/>
          <w:color w:val="2F5496" w:themeColor="accent1" w:themeShade="BF"/>
        </w:rPr>
      </w:pPr>
      <w:r w:rsidRPr="00AC7FD8">
        <w:rPr>
          <w:b/>
          <w:bCs/>
          <w:color w:val="2F5496" w:themeColor="accent1" w:themeShade="BF"/>
        </w:rPr>
        <w:t xml:space="preserve">Krótki opis metody obliczania oszczędności energii, w tym sposobów zapewniania dodatkowości i istotności oraz metod i poziomów referencyjnych stosowanych do oszczędności </w:t>
      </w:r>
      <w:r>
        <w:rPr>
          <w:b/>
          <w:bCs/>
          <w:color w:val="2F5496" w:themeColor="accent1" w:themeShade="BF"/>
        </w:rPr>
        <w:t>szacowanej</w:t>
      </w:r>
      <w:r w:rsidRPr="00AC7FD8">
        <w:rPr>
          <w:b/>
          <w:bCs/>
          <w:color w:val="2F5496" w:themeColor="accent1" w:themeShade="BF"/>
        </w:rPr>
        <w:t xml:space="preserve"> i skalowanych</w:t>
      </w:r>
    </w:p>
    <w:p w14:paraId="344CBA39" w14:textId="77777777" w:rsidR="00E54E14" w:rsidRPr="00373FD3" w:rsidRDefault="00E54E14" w:rsidP="00373FD3">
      <w:r w:rsidRPr="00373FD3">
        <w:t xml:space="preserve">W celu realizacji projektu wymagane jest opracowanie audytu energetycznego </w:t>
      </w:r>
      <w:proofErr w:type="spellStart"/>
      <w:r w:rsidRPr="00373FD3">
        <w:t>przedrealizacyjnego</w:t>
      </w:r>
      <w:proofErr w:type="spellEnd"/>
      <w:r w:rsidRPr="00373FD3">
        <w:t xml:space="preserve">, z którego wynikać będzie zakres modernizacji. Wybrany wariant realizowanego przedsięwzięcia musi uwzględniać kryterium efektywności ekonomicznej, tj. nakłady finansowanie odnoszące się do uzyskanych efektów zmniejszania zapotrzebowania na energię). Co więcej, w przypadku przedsięwzięć innych niż modernizacja budynków wymagany jest audyt efektywności energetycznej dotyczący danego przedsięwzięcia, np. dla modernizacji systemów oświetlenia. Weryfikacja założonych celów i efektów </w:t>
      </w:r>
      <w:r w:rsidRPr="00373FD3">
        <w:lastRenderedPageBreak/>
        <w:t xml:space="preserve">inwestycyjnych (poza formułą ESCO) musi zostać potwierdzona audytem ex-post po zakończonej inwestycji. </w:t>
      </w:r>
    </w:p>
    <w:p w14:paraId="7E90E370" w14:textId="77777777" w:rsidR="00E54E14" w:rsidRPr="00373FD3" w:rsidRDefault="00E54E14" w:rsidP="00373FD3">
      <w:r w:rsidRPr="00373FD3">
        <w:t>Zasada istotności</w:t>
      </w:r>
    </w:p>
    <w:p w14:paraId="17722B83" w14:textId="77777777" w:rsidR="00E54E14" w:rsidRDefault="00E54E14" w:rsidP="00373FD3">
      <w:r w:rsidRPr="005F3048">
        <w:t xml:space="preserve">Dotacje w ramach środka jest kierowana do </w:t>
      </w:r>
      <w:r>
        <w:t xml:space="preserve">jednostek sektora publicznego, w tym głównie do jednostek budżetowych realizujących </w:t>
      </w:r>
      <w:r w:rsidRPr="005F3048">
        <w:t>zadania jednostek samorządu terytorialnego, w związku z czym dofinansowanie ma znaczący, jeżeli nie jedyny wpływ na decyzję o wykonaniu przedsięwzięcia służącego poprawie efektywności energetycznej. Co więcej dofinansowani</w:t>
      </w:r>
      <w:r>
        <w:t xml:space="preserve">a dotyczą określonych priorytetów, np. Sprawiedliwa transformacja, efektywne wykorzystanie energii czy ochrona powietrza. </w:t>
      </w:r>
      <w:r w:rsidRPr="00D62DB9">
        <w:t>Szeroki zakres dostępnych programów pozwala wnioskodawcy na otrzymanie dofinansowania na zadanie, które w jego jednostce przyniesie najbardziej wymierny efekt energetyczny i ekonomiczny.</w:t>
      </w:r>
    </w:p>
    <w:p w14:paraId="11FC02C1" w14:textId="77777777" w:rsidR="00E54E14" w:rsidRDefault="00E54E14" w:rsidP="00373FD3">
      <w:r w:rsidRPr="00373FD3">
        <w:t>Oszczędności energii finalnej uzyskane w ramach tego środka alternatywnego są istotne dla osiągnięcia krajowego celu w zakresie oszczędności energii, określonego w art. 8 dyrektywy. Szczególne znaczenie należy przypisać efektowi skali. W ramach tego środka alternatywnego uzyskuje się istotne oszczędności energii finalnej podczas realizacji wielu przedsięwzięć służących poprawie efektywności energetycznej przynoszących stosunkowo niewielką ilość oszczędności energii.</w:t>
      </w:r>
    </w:p>
    <w:p w14:paraId="0C026881" w14:textId="77777777" w:rsidR="00E54E14" w:rsidRPr="00373FD3" w:rsidRDefault="00E54E14" w:rsidP="00373FD3">
      <w:r w:rsidRPr="00373FD3">
        <w:t>Zasada dodatkowości</w:t>
      </w:r>
    </w:p>
    <w:p w14:paraId="536FCDCA" w14:textId="77777777" w:rsidR="00E54E14" w:rsidRPr="00D94B5E" w:rsidRDefault="00E54E14" w:rsidP="00373FD3">
      <w:r w:rsidRPr="008D7F37">
        <w:t xml:space="preserve">Zgodnie z pkt. 2 lit </w:t>
      </w:r>
      <w:r>
        <w:t>c</w:t>
      </w:r>
      <w:r w:rsidRPr="008D7F37">
        <w:t xml:space="preserve"> Załącznika V oszczędności związane z renowacją istniejących budynków mogą być zaliczone jako oszczędność energii na użytek art. </w:t>
      </w:r>
      <w:r>
        <w:t>8</w:t>
      </w:r>
      <w:r w:rsidRPr="008D7F37">
        <w:t xml:space="preserve"> ust. 1 pod warunkiem spełnienia kryterium istotności. Co więcej, audyt energetyczny wskazuje przede wszystkim na celowość podejmowania w pierwszej kolejności racjonalnych działań poprawy charakterystyki energetycznej budynku w celu zmniejszenia zapotrzebowania na energię do ogrzewania budynku i przygotowania ciepłej wody użytkowej. Cel ten jest osiągany poprzez dodatkową izolację cieplną przegród zewnętrznych budynku, likwidację mostków cieplnych, ograniczenie strat na wentylację, uszczelnianie powłok oddzielających budynek od otoczenia zewnętrznego, częściową lub całkowitą wymianę stolarki okiennej lub drzwiowej. Inwestor, stymulowany możliwością uzyskania dofinasowanie ze środków programu, realizuje te zadania w pierwszej kolejności. </w:t>
      </w:r>
      <w:r w:rsidRPr="00D94B5E">
        <w:t xml:space="preserve">W wyniku realizacji przedsięwzięcia termomodernizacyjnego, w jego zakresie, muszą być spełnione minimalne aktualne standardy dla nowego budynku o niemal zerowym zużyciu energii, zdefiniowane i określone w rozporządzeniu Ministra Infrastruktury z dnia 12 kwietnia 2002 r. </w:t>
      </w:r>
      <w:r w:rsidRPr="00373FD3">
        <w:t>w sprawie warunków technicznych, jakim powinny odpowiadać budynki i ich usytuowanie</w:t>
      </w:r>
      <w:r w:rsidRPr="00D94B5E">
        <w:t xml:space="preserve">. </w:t>
      </w:r>
    </w:p>
    <w:p w14:paraId="0336AFAE" w14:textId="4B1DDF45" w:rsidR="00E54E14" w:rsidRPr="00665104" w:rsidRDefault="00E54E14" w:rsidP="00373FD3">
      <w:r>
        <w:t xml:space="preserve">Dodatkowo w przypadku inwestycji mających na celu:  </w:t>
      </w:r>
      <w:r w:rsidRPr="00665104">
        <w:t>modernizacj</w:t>
      </w:r>
      <w:r>
        <w:t>ę</w:t>
      </w:r>
      <w:r w:rsidRPr="00665104">
        <w:t xml:space="preserve"> instalacji oświetlenia </w:t>
      </w:r>
      <w:r>
        <w:t>cz</w:t>
      </w:r>
      <w:r w:rsidRPr="00665104">
        <w:t>y wymian</w:t>
      </w:r>
      <w:r>
        <w:t>ę</w:t>
      </w:r>
      <w:r w:rsidRPr="00665104">
        <w:t xml:space="preserve"> kotłów/źródeł ciepła w instalacjach ogrzewczych</w:t>
      </w:r>
      <w:r>
        <w:t xml:space="preserve"> u</w:t>
      </w:r>
      <w:r w:rsidRPr="00665104">
        <w:t xml:space="preserve">znane mogą zostać wyłącznie oszczędności energii przekraczające poziomy unijnych wymagań dotyczących wycofywania z obrotu określonych produktów związanych z energią w następstwie </w:t>
      </w:r>
      <w:r w:rsidRPr="0071320E">
        <w:t>wdrożenia środków wykonawczych na mocy dyrektywy 2009/125/WE</w:t>
      </w:r>
      <w:r w:rsidRPr="00373FD3">
        <w:fldChar w:fldCharType="begin"/>
      </w:r>
      <w:r w:rsidRPr="00373FD3">
        <w:instrText xml:space="preserve"> NOTEREF _Ref135213769 \h  \* MERGEFORMAT </w:instrText>
      </w:r>
      <w:r w:rsidRPr="00373FD3">
        <w:fldChar w:fldCharType="separate"/>
      </w:r>
      <w:r w:rsidR="00FD1148">
        <w:t>5</w:t>
      </w:r>
      <w:r w:rsidRPr="00373FD3">
        <w:fldChar w:fldCharType="end"/>
      </w:r>
      <w:r w:rsidRPr="0071320E">
        <w:t>.</w:t>
      </w:r>
      <w:r w:rsidRPr="00665104">
        <w:t xml:space="preserve"> W przypadku tych przedsięwzięć minimalne poziomy wynikające z wdrożenia przepisów unijnych dotyczących wymogów </w:t>
      </w:r>
      <w:proofErr w:type="spellStart"/>
      <w:r w:rsidRPr="00665104">
        <w:t>ekoprojektu</w:t>
      </w:r>
      <w:proofErr w:type="spellEnd"/>
      <w:r w:rsidRPr="00665104">
        <w:t xml:space="preserve"> są wyznaczane i stosowane jako poziomy referencyjne będące punktami wyjścia przy obliczaniu oszczędności energii.</w:t>
      </w:r>
    </w:p>
    <w:p w14:paraId="63FE4BE6" w14:textId="77777777" w:rsidR="00E54E14" w:rsidRPr="00961A28" w:rsidRDefault="00E54E14" w:rsidP="00FF3BC7">
      <w:pPr>
        <w:pStyle w:val="Akapitzlist"/>
        <w:numPr>
          <w:ilvl w:val="0"/>
          <w:numId w:val="5"/>
        </w:numPr>
        <w:spacing w:beforeLines="120" w:before="288" w:afterLines="160" w:after="384"/>
        <w:ind w:left="714" w:hanging="357"/>
        <w:jc w:val="left"/>
        <w:rPr>
          <w:b/>
          <w:bCs/>
          <w:color w:val="2F5496" w:themeColor="accent1" w:themeShade="BF"/>
        </w:rPr>
      </w:pPr>
      <w:r w:rsidRPr="00961A28">
        <w:rPr>
          <w:b/>
          <w:bCs/>
          <w:color w:val="2F5496" w:themeColor="accent1" w:themeShade="BF"/>
        </w:rPr>
        <w:t>Informacja o sposobie postępowania z ewentualnym dublowaniem się środków i indywidualnych działań w celu unikania podwójnego zliczania oszczędności energii</w:t>
      </w:r>
    </w:p>
    <w:p w14:paraId="2DB29E69" w14:textId="77777777" w:rsidR="00E54E14" w:rsidRPr="002D675E" w:rsidRDefault="00E54E14" w:rsidP="00373FD3">
      <w:r w:rsidRPr="002D675E">
        <w:t>Dane zawarte we wniosku o dofinansowanie jednoznacznie identyfikują miejsce, sposób i termin przeprowadzenia danego przedsięwzięcia. Wyklucza to możliwość wydania dofinansowania dla tego samego przedsięwzięcia dla dwóch różnych podmiotów, zatem nie mogą być zgłaszane oszczędności energii wynikające z działania indywidualnego przez więcej niż jedną stronę zobowiązan</w:t>
      </w:r>
      <w:r w:rsidRPr="00C81B0C">
        <w:t>ą</w:t>
      </w:r>
      <w:r w:rsidRPr="00D62DB9">
        <w:t>.</w:t>
      </w:r>
      <w:r w:rsidRPr="002D675E">
        <w:t xml:space="preserve"> </w:t>
      </w:r>
    </w:p>
    <w:p w14:paraId="3873E32F" w14:textId="77777777" w:rsidR="00E54E14" w:rsidRPr="002D675E" w:rsidRDefault="00E54E14" w:rsidP="00373FD3">
      <w:r w:rsidRPr="002D675E">
        <w:t>W przypadku gdy Beneficjent programu otrzymał dofinansowanie z innych programów finansowanych ze środków publicznych, w tym w szczególności: w ramach regionalnych programów operacyjnych 2014-2020 oraz innych programów priorytetowych NFOŚiGW, wnioskodawca może otrzymać dofinansowanie z programu tylko na zakres przedsięwzięcia, na który nie otrzymał dofinansowania w ramach innych programów.</w:t>
      </w:r>
    </w:p>
    <w:p w14:paraId="50DF4F06" w14:textId="4A7A57FB" w:rsidR="00E54E14" w:rsidRPr="00373FD3" w:rsidRDefault="00E54E14" w:rsidP="00373FD3">
      <w:r w:rsidRPr="002D675E">
        <w:lastRenderedPageBreak/>
        <w:t>Dodatkowo, należy zwrócić uwagę, że celem zliczania środków alternatywnych, powołany został Centralny Rejestr Oszczędności Energii Finalnej</w:t>
      </w:r>
      <w:r w:rsidRPr="00373FD3">
        <w:fldChar w:fldCharType="begin"/>
      </w:r>
      <w:r w:rsidRPr="00373FD3">
        <w:instrText xml:space="preserve"> NOTEREF _Ref135216444 \h  \* MERGEFORMAT </w:instrText>
      </w:r>
      <w:r w:rsidRPr="00373FD3">
        <w:fldChar w:fldCharType="separate"/>
      </w:r>
      <w:r w:rsidR="00FD1148">
        <w:t>6</w:t>
      </w:r>
      <w:r w:rsidRPr="00373FD3">
        <w:fldChar w:fldCharType="end"/>
      </w:r>
      <w:r w:rsidRPr="002D675E">
        <w:t>, w którym raportowane są wszystkie przedsięwzięcia realizowane w ramach programu</w:t>
      </w:r>
      <w:r>
        <w:t xml:space="preserve"> Efektywny Energetycznie Sektor Publiczny</w:t>
      </w:r>
      <w:r w:rsidRPr="002D675E">
        <w:t xml:space="preserve">. Walidacja nowododanych przedsięwzięć pozwala na sprawdzenie czy dla danej lokalizacji takie samo przedsięwzięcie nie było podwójnie finansowane, w takim przypadku rekord nie zostanie dodany. </w:t>
      </w:r>
      <w:r w:rsidRPr="00373FD3">
        <w:t xml:space="preserve"> </w:t>
      </w:r>
    </w:p>
    <w:p w14:paraId="21E787ED" w14:textId="77777777" w:rsidR="00E54E14" w:rsidRPr="003B6074" w:rsidRDefault="00E54E14" w:rsidP="00FF3BC7">
      <w:pPr>
        <w:pStyle w:val="Akapitzlist"/>
        <w:numPr>
          <w:ilvl w:val="0"/>
          <w:numId w:val="5"/>
        </w:numPr>
        <w:spacing w:beforeLines="120" w:before="288" w:afterLines="160" w:after="384"/>
        <w:ind w:left="714" w:hanging="357"/>
        <w:jc w:val="left"/>
        <w:rPr>
          <w:b/>
          <w:bCs/>
          <w:color w:val="2F5496" w:themeColor="accent1" w:themeShade="BF"/>
        </w:rPr>
      </w:pPr>
      <w:r w:rsidRPr="003B6074">
        <w:rPr>
          <w:b/>
          <w:bCs/>
          <w:color w:val="2F5496" w:themeColor="accent1" w:themeShade="BF"/>
        </w:rPr>
        <w:t>Uwzględnienie różnic klimatycznych między regionami i zastosowane podejście</w:t>
      </w:r>
    </w:p>
    <w:p w14:paraId="4A565468" w14:textId="77777777" w:rsidR="00E54E14" w:rsidRPr="003B6074" w:rsidRDefault="00E54E14" w:rsidP="00373FD3">
      <w:r w:rsidRPr="003B6074">
        <w:t xml:space="preserve">W przypadku szacowanej metody obliczania oszczędności energii nie uwzględnia się różnic klimatycznych między regionami. Natomiast w przypadku inwestycji realizowanych w związku z wykonaniem audytu energetycznego, uwzględnione zostają czynniki zewnętrzne takie jak różnice klimatyczne. Wynika to z faktu, że  audyt energetyczny budynku uwzględnia czynniki zewnętrzne wpływające na zużycie energii, które dotyczą, m.in. lokalizacji (strefa klimatyczna Polski) i usytuowania budynku, a także warunków eksploatacyjnych. </w:t>
      </w:r>
    </w:p>
    <w:p w14:paraId="6CF0F44B" w14:textId="77777777" w:rsidR="00E54E14" w:rsidRPr="00FA697D" w:rsidRDefault="00E54E14" w:rsidP="00FF3BC7">
      <w:pPr>
        <w:pStyle w:val="Akapitzlist"/>
        <w:numPr>
          <w:ilvl w:val="0"/>
          <w:numId w:val="5"/>
        </w:numPr>
        <w:spacing w:beforeLines="120" w:before="288" w:afterLines="160" w:after="384"/>
        <w:ind w:left="714" w:hanging="357"/>
        <w:jc w:val="left"/>
        <w:rPr>
          <w:b/>
          <w:bCs/>
          <w:color w:val="2F5496" w:themeColor="accent1" w:themeShade="BF"/>
        </w:rPr>
      </w:pPr>
      <w:r w:rsidRPr="00FA697D">
        <w:rPr>
          <w:b/>
          <w:bCs/>
          <w:color w:val="2F5496" w:themeColor="accent1" w:themeShade="BF"/>
        </w:rPr>
        <w:t>Oszczędność</w:t>
      </w:r>
      <w:r>
        <w:rPr>
          <w:b/>
          <w:bCs/>
          <w:color w:val="2F5496" w:themeColor="accent1" w:themeShade="BF"/>
        </w:rPr>
        <w:t xml:space="preserve"> końcowego zużycia energii</w:t>
      </w:r>
      <w:r w:rsidRPr="00FA697D">
        <w:rPr>
          <w:b/>
          <w:bCs/>
          <w:color w:val="2F5496" w:themeColor="accent1" w:themeShade="BF"/>
        </w:rPr>
        <w:t xml:space="preserve"> w okresie 20</w:t>
      </w:r>
      <w:r>
        <w:rPr>
          <w:b/>
          <w:bCs/>
          <w:color w:val="2F5496" w:themeColor="accent1" w:themeShade="BF"/>
        </w:rPr>
        <w:t>21-2030</w:t>
      </w:r>
    </w:p>
    <w:p w14:paraId="72D8CB44" w14:textId="77777777" w:rsidR="00E54E14" w:rsidRPr="00FA697D" w:rsidRDefault="00E54E14" w:rsidP="00373FD3">
      <w:r w:rsidRPr="00FA697D">
        <w:t xml:space="preserve">Realizacja programu </w:t>
      </w:r>
      <w:r>
        <w:t xml:space="preserve">Efektywny Energetycznie Sektor Publiczny </w:t>
      </w:r>
      <w:r w:rsidRPr="00FA697D">
        <w:t xml:space="preserve">przyczyni się do uzyskania nowych średniorocznych oszczędności </w:t>
      </w:r>
      <w:r>
        <w:t xml:space="preserve">końcowego zużycia </w:t>
      </w:r>
      <w:r w:rsidRPr="00FA697D">
        <w:t xml:space="preserve">energii, w wysokości </w:t>
      </w:r>
      <w:r>
        <w:t>6 </w:t>
      </w:r>
      <w:proofErr w:type="spellStart"/>
      <w:r>
        <w:t>ktoe</w:t>
      </w:r>
      <w:proofErr w:type="spellEnd"/>
      <w:r w:rsidRPr="00FA697D">
        <w:t xml:space="preserve">. W Tab. </w:t>
      </w:r>
      <w:r>
        <w:t>10</w:t>
      </w:r>
      <w:r w:rsidRPr="00FA697D">
        <w:t xml:space="preserve"> przedstawiono </w:t>
      </w:r>
      <w:r>
        <w:t xml:space="preserve">roczne i skumulowane  </w:t>
      </w:r>
      <w:r w:rsidRPr="00FA697D">
        <w:t xml:space="preserve">oszczędności </w:t>
      </w:r>
      <w:r>
        <w:t xml:space="preserve">końcowego zużycia </w:t>
      </w:r>
      <w:r w:rsidRPr="00FA697D">
        <w:t>energii w okresie 2021-2030</w:t>
      </w:r>
      <w:r>
        <w:t>.</w:t>
      </w:r>
    </w:p>
    <w:p w14:paraId="01FAF0CF" w14:textId="7A0CC356" w:rsidR="00E54E14" w:rsidRDefault="00E54E14" w:rsidP="00E54E14">
      <w:pPr>
        <w:pStyle w:val="Legenda"/>
        <w:keepNext/>
        <w:spacing w:before="240" w:line="276" w:lineRule="auto"/>
        <w:jc w:val="center"/>
      </w:pPr>
      <w:r w:rsidRPr="008819FA">
        <w:rPr>
          <w:rStyle w:val="rynqvb"/>
          <w:b/>
          <w:bCs/>
        </w:rPr>
        <w:t xml:space="preserve">Tab. </w:t>
      </w:r>
      <w:r w:rsidRPr="008819FA">
        <w:rPr>
          <w:rStyle w:val="rynqvb"/>
          <w:b/>
          <w:bCs/>
        </w:rPr>
        <w:fldChar w:fldCharType="begin"/>
      </w:r>
      <w:r w:rsidRPr="008819FA">
        <w:rPr>
          <w:rStyle w:val="rynqvb"/>
          <w:b/>
          <w:bCs/>
        </w:rPr>
        <w:instrText xml:space="preserve"> SEQ Tab. \* ARABIC </w:instrText>
      </w:r>
      <w:r w:rsidRPr="008819FA">
        <w:rPr>
          <w:rStyle w:val="rynqvb"/>
          <w:b/>
          <w:bCs/>
        </w:rPr>
        <w:fldChar w:fldCharType="separate"/>
      </w:r>
      <w:r w:rsidR="00FD1148">
        <w:rPr>
          <w:rStyle w:val="rynqvb"/>
          <w:b/>
          <w:bCs/>
          <w:noProof/>
        </w:rPr>
        <w:t>6</w:t>
      </w:r>
      <w:r w:rsidRPr="008819FA">
        <w:rPr>
          <w:rStyle w:val="rynqvb"/>
          <w:b/>
          <w:bCs/>
        </w:rPr>
        <w:fldChar w:fldCharType="end"/>
      </w:r>
      <w:r w:rsidRPr="008819FA">
        <w:rPr>
          <w:rStyle w:val="rynqvb"/>
          <w:b/>
          <w:bCs/>
        </w:rPr>
        <w:t xml:space="preserve"> </w:t>
      </w:r>
      <w:r>
        <w:rPr>
          <w:rStyle w:val="rynqvb"/>
          <w:b/>
          <w:bCs/>
        </w:rPr>
        <w:t>Efektywny Energetycznie Sektor Publiczny: o</w:t>
      </w:r>
      <w:r w:rsidRPr="00E35197">
        <w:rPr>
          <w:rStyle w:val="rynqvb"/>
          <w:b/>
          <w:bCs/>
        </w:rPr>
        <w:t>szczędności</w:t>
      </w:r>
      <w:r>
        <w:rPr>
          <w:rStyle w:val="rynqvb"/>
          <w:b/>
          <w:bCs/>
        </w:rPr>
        <w:t xml:space="preserve"> końcowego zużycia</w:t>
      </w:r>
      <w:r w:rsidRPr="00E35197">
        <w:rPr>
          <w:rStyle w:val="rynqvb"/>
          <w:b/>
          <w:bCs/>
        </w:rPr>
        <w:t xml:space="preserve"> energii osiągnię</w:t>
      </w:r>
      <w:r>
        <w:rPr>
          <w:rStyle w:val="rynqvb"/>
          <w:b/>
          <w:bCs/>
        </w:rPr>
        <w:t>te w 2021 roku oraz szacunkowe oszczędności</w:t>
      </w:r>
      <w:r w:rsidRPr="00E35197">
        <w:rPr>
          <w:rStyle w:val="rynqvb"/>
          <w:b/>
          <w:bCs/>
        </w:rPr>
        <w:t xml:space="preserve"> </w:t>
      </w:r>
      <w:r>
        <w:rPr>
          <w:rStyle w:val="rynqvb"/>
          <w:b/>
          <w:bCs/>
        </w:rPr>
        <w:t>do osiągnięcia</w:t>
      </w:r>
      <w:r w:rsidRPr="00E35197">
        <w:rPr>
          <w:rStyle w:val="rynqvb"/>
          <w:b/>
          <w:bCs/>
        </w:rPr>
        <w:t xml:space="preserve"> latach 202</w:t>
      </w:r>
      <w:r>
        <w:rPr>
          <w:rStyle w:val="rynqvb"/>
          <w:b/>
          <w:bCs/>
        </w:rPr>
        <w:t>2</w:t>
      </w:r>
      <w:r w:rsidRPr="00E35197">
        <w:rPr>
          <w:rStyle w:val="rynqvb"/>
          <w:b/>
          <w:bCs/>
        </w:rPr>
        <w:t>-2030</w:t>
      </w:r>
      <w:r>
        <w:rPr>
          <w:rStyle w:val="rynqvb"/>
          <w:b/>
          <w:bCs/>
        </w:rPr>
        <w:t xml:space="preserve"> </w:t>
      </w:r>
      <w:r w:rsidRPr="00E35197">
        <w:rPr>
          <w:rStyle w:val="rynqvb"/>
          <w:b/>
          <w:bCs/>
        </w:rPr>
        <w:t>– roczne i skumulowane</w:t>
      </w:r>
    </w:p>
    <w:tbl>
      <w:tblPr>
        <w:tblpPr w:leftFromText="141" w:rightFromText="141" w:vertAnchor="text" w:horzAnchor="margin" w:tblpY="196"/>
        <w:tblW w:w="5289" w:type="pct"/>
        <w:tblCellMar>
          <w:left w:w="70" w:type="dxa"/>
          <w:right w:w="70" w:type="dxa"/>
        </w:tblCellMar>
        <w:tblLook w:val="04A0" w:firstRow="1" w:lastRow="0" w:firstColumn="1" w:lastColumn="0" w:noHBand="0" w:noVBand="1"/>
      </w:tblPr>
      <w:tblGrid>
        <w:gridCol w:w="1456"/>
        <w:gridCol w:w="699"/>
        <w:gridCol w:w="651"/>
        <w:gridCol w:w="651"/>
        <w:gridCol w:w="651"/>
        <w:gridCol w:w="684"/>
        <w:gridCol w:w="684"/>
        <w:gridCol w:w="651"/>
        <w:gridCol w:w="651"/>
        <w:gridCol w:w="651"/>
        <w:gridCol w:w="684"/>
        <w:gridCol w:w="1473"/>
      </w:tblGrid>
      <w:tr w:rsidR="00E54E14" w:rsidRPr="00D94B5E" w14:paraId="3B77800F" w14:textId="77777777" w:rsidTr="00B823C1">
        <w:trPr>
          <w:trHeight w:val="273"/>
        </w:trPr>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4E77B" w14:textId="77777777" w:rsidR="00E54E14" w:rsidRPr="00D94B5E" w:rsidRDefault="00E54E14" w:rsidP="00B823C1">
            <w:pPr>
              <w:spacing w:after="0"/>
              <w:jc w:val="center"/>
              <w:rPr>
                <w:color w:val="000000"/>
                <w:szCs w:val="20"/>
                <w:lang w:eastAsia="pl-PL"/>
              </w:rPr>
            </w:pPr>
            <w:r w:rsidRPr="00D94B5E">
              <w:rPr>
                <w:color w:val="000000"/>
                <w:szCs w:val="20"/>
                <w:lang w:eastAsia="pl-PL"/>
              </w:rPr>
              <w:t>Rok</w:t>
            </w:r>
          </w:p>
        </w:tc>
        <w:tc>
          <w:tcPr>
            <w:tcW w:w="699" w:type="dxa"/>
            <w:tcBorders>
              <w:top w:val="single" w:sz="4" w:space="0" w:color="auto"/>
              <w:left w:val="nil"/>
              <w:bottom w:val="single" w:sz="4" w:space="0" w:color="auto"/>
              <w:right w:val="single" w:sz="4" w:space="0" w:color="auto"/>
            </w:tcBorders>
            <w:shd w:val="clear" w:color="auto" w:fill="auto"/>
            <w:noWrap/>
            <w:vAlign w:val="center"/>
            <w:hideMark/>
          </w:tcPr>
          <w:p w14:paraId="58610897" w14:textId="77777777" w:rsidR="00E54E14" w:rsidRPr="00D94B5E" w:rsidRDefault="00E54E14" w:rsidP="00B823C1">
            <w:pPr>
              <w:spacing w:after="0"/>
              <w:jc w:val="center"/>
              <w:rPr>
                <w:color w:val="000000"/>
                <w:szCs w:val="20"/>
                <w:lang w:eastAsia="pl-PL"/>
              </w:rPr>
            </w:pPr>
            <w:r w:rsidRPr="00D94B5E">
              <w:rPr>
                <w:color w:val="000000"/>
                <w:szCs w:val="20"/>
                <w:lang w:eastAsia="pl-PL"/>
              </w:rPr>
              <w:t>2021</w:t>
            </w:r>
          </w:p>
        </w:tc>
        <w:tc>
          <w:tcPr>
            <w:tcW w:w="651" w:type="dxa"/>
            <w:tcBorders>
              <w:top w:val="single" w:sz="4" w:space="0" w:color="auto"/>
              <w:left w:val="nil"/>
              <w:bottom w:val="single" w:sz="4" w:space="0" w:color="auto"/>
              <w:right w:val="single" w:sz="4" w:space="0" w:color="auto"/>
            </w:tcBorders>
            <w:shd w:val="clear" w:color="auto" w:fill="auto"/>
            <w:noWrap/>
            <w:vAlign w:val="center"/>
            <w:hideMark/>
          </w:tcPr>
          <w:p w14:paraId="1D936E76" w14:textId="77777777" w:rsidR="00E54E14" w:rsidRPr="00D94B5E" w:rsidRDefault="00E54E14" w:rsidP="00B823C1">
            <w:pPr>
              <w:spacing w:after="0"/>
              <w:jc w:val="center"/>
              <w:rPr>
                <w:color w:val="000000"/>
                <w:szCs w:val="20"/>
                <w:lang w:eastAsia="pl-PL"/>
              </w:rPr>
            </w:pPr>
            <w:r w:rsidRPr="00D94B5E">
              <w:rPr>
                <w:color w:val="000000"/>
                <w:szCs w:val="20"/>
                <w:lang w:eastAsia="pl-PL"/>
              </w:rPr>
              <w:t>2022</w:t>
            </w:r>
          </w:p>
        </w:tc>
        <w:tc>
          <w:tcPr>
            <w:tcW w:w="651" w:type="dxa"/>
            <w:tcBorders>
              <w:top w:val="single" w:sz="4" w:space="0" w:color="auto"/>
              <w:left w:val="nil"/>
              <w:bottom w:val="single" w:sz="4" w:space="0" w:color="auto"/>
              <w:right w:val="single" w:sz="4" w:space="0" w:color="auto"/>
            </w:tcBorders>
            <w:shd w:val="clear" w:color="auto" w:fill="auto"/>
            <w:noWrap/>
            <w:vAlign w:val="center"/>
            <w:hideMark/>
          </w:tcPr>
          <w:p w14:paraId="3C016408" w14:textId="77777777" w:rsidR="00E54E14" w:rsidRPr="00D94B5E" w:rsidRDefault="00E54E14" w:rsidP="00B823C1">
            <w:pPr>
              <w:spacing w:after="0"/>
              <w:jc w:val="center"/>
              <w:rPr>
                <w:color w:val="000000"/>
                <w:szCs w:val="20"/>
                <w:lang w:eastAsia="pl-PL"/>
              </w:rPr>
            </w:pPr>
            <w:r w:rsidRPr="00D94B5E">
              <w:rPr>
                <w:color w:val="000000"/>
                <w:szCs w:val="20"/>
                <w:lang w:eastAsia="pl-PL"/>
              </w:rPr>
              <w:t>2023</w:t>
            </w:r>
          </w:p>
        </w:tc>
        <w:tc>
          <w:tcPr>
            <w:tcW w:w="651" w:type="dxa"/>
            <w:tcBorders>
              <w:top w:val="single" w:sz="4" w:space="0" w:color="auto"/>
              <w:left w:val="nil"/>
              <w:bottom w:val="single" w:sz="4" w:space="0" w:color="auto"/>
              <w:right w:val="single" w:sz="4" w:space="0" w:color="auto"/>
            </w:tcBorders>
            <w:shd w:val="clear" w:color="auto" w:fill="auto"/>
            <w:noWrap/>
            <w:vAlign w:val="center"/>
            <w:hideMark/>
          </w:tcPr>
          <w:p w14:paraId="1C676578" w14:textId="77777777" w:rsidR="00E54E14" w:rsidRPr="00D94B5E" w:rsidRDefault="00E54E14" w:rsidP="00B823C1">
            <w:pPr>
              <w:spacing w:after="0"/>
              <w:jc w:val="center"/>
              <w:rPr>
                <w:color w:val="000000"/>
                <w:szCs w:val="20"/>
                <w:lang w:eastAsia="pl-PL"/>
              </w:rPr>
            </w:pPr>
            <w:r w:rsidRPr="00D94B5E">
              <w:rPr>
                <w:color w:val="000000"/>
                <w:szCs w:val="20"/>
                <w:lang w:eastAsia="pl-PL"/>
              </w:rPr>
              <w:t>2024</w:t>
            </w:r>
          </w:p>
        </w:tc>
        <w:tc>
          <w:tcPr>
            <w:tcW w:w="684" w:type="dxa"/>
            <w:tcBorders>
              <w:top w:val="single" w:sz="4" w:space="0" w:color="auto"/>
              <w:left w:val="nil"/>
              <w:bottom w:val="single" w:sz="4" w:space="0" w:color="auto"/>
              <w:right w:val="single" w:sz="4" w:space="0" w:color="auto"/>
            </w:tcBorders>
            <w:shd w:val="clear" w:color="auto" w:fill="auto"/>
            <w:noWrap/>
            <w:vAlign w:val="center"/>
            <w:hideMark/>
          </w:tcPr>
          <w:p w14:paraId="45AC68E9" w14:textId="77777777" w:rsidR="00E54E14" w:rsidRPr="00D94B5E" w:rsidRDefault="00E54E14" w:rsidP="00B823C1">
            <w:pPr>
              <w:spacing w:after="0"/>
              <w:jc w:val="center"/>
              <w:rPr>
                <w:color w:val="000000"/>
                <w:szCs w:val="20"/>
                <w:lang w:eastAsia="pl-PL"/>
              </w:rPr>
            </w:pPr>
            <w:r w:rsidRPr="00D94B5E">
              <w:rPr>
                <w:color w:val="000000"/>
                <w:szCs w:val="20"/>
                <w:lang w:eastAsia="pl-PL"/>
              </w:rPr>
              <w:t>2025</w:t>
            </w:r>
          </w:p>
        </w:tc>
        <w:tc>
          <w:tcPr>
            <w:tcW w:w="684" w:type="dxa"/>
            <w:tcBorders>
              <w:top w:val="single" w:sz="4" w:space="0" w:color="auto"/>
              <w:left w:val="nil"/>
              <w:bottom w:val="single" w:sz="4" w:space="0" w:color="auto"/>
              <w:right w:val="single" w:sz="4" w:space="0" w:color="auto"/>
            </w:tcBorders>
            <w:shd w:val="clear" w:color="auto" w:fill="auto"/>
            <w:noWrap/>
            <w:vAlign w:val="center"/>
            <w:hideMark/>
          </w:tcPr>
          <w:p w14:paraId="024194F4" w14:textId="77777777" w:rsidR="00E54E14" w:rsidRPr="00D94B5E" w:rsidRDefault="00E54E14" w:rsidP="00B823C1">
            <w:pPr>
              <w:spacing w:after="0"/>
              <w:jc w:val="center"/>
              <w:rPr>
                <w:color w:val="000000"/>
                <w:szCs w:val="20"/>
                <w:lang w:eastAsia="pl-PL"/>
              </w:rPr>
            </w:pPr>
            <w:r w:rsidRPr="00D94B5E">
              <w:rPr>
                <w:color w:val="000000"/>
                <w:szCs w:val="20"/>
                <w:lang w:eastAsia="pl-PL"/>
              </w:rPr>
              <w:t>2026</w:t>
            </w:r>
          </w:p>
        </w:tc>
        <w:tc>
          <w:tcPr>
            <w:tcW w:w="651" w:type="dxa"/>
            <w:tcBorders>
              <w:top w:val="single" w:sz="4" w:space="0" w:color="auto"/>
              <w:left w:val="single" w:sz="4" w:space="0" w:color="auto"/>
              <w:bottom w:val="single" w:sz="4" w:space="0" w:color="auto"/>
              <w:right w:val="single" w:sz="4" w:space="0" w:color="auto"/>
            </w:tcBorders>
            <w:vAlign w:val="center"/>
          </w:tcPr>
          <w:p w14:paraId="28FC141B" w14:textId="77777777" w:rsidR="00E54E14" w:rsidRPr="00D94B5E" w:rsidRDefault="00E54E14" w:rsidP="00B823C1">
            <w:pPr>
              <w:spacing w:after="0"/>
              <w:jc w:val="center"/>
              <w:rPr>
                <w:color w:val="000000"/>
                <w:szCs w:val="20"/>
                <w:lang w:eastAsia="pl-PL"/>
              </w:rPr>
            </w:pPr>
            <w:r w:rsidRPr="00D94B5E">
              <w:rPr>
                <w:color w:val="000000"/>
                <w:szCs w:val="20"/>
                <w:lang w:eastAsia="pl-PL"/>
              </w:rPr>
              <w:t>2027</w:t>
            </w:r>
          </w:p>
        </w:tc>
        <w:tc>
          <w:tcPr>
            <w:tcW w:w="651" w:type="dxa"/>
            <w:tcBorders>
              <w:top w:val="single" w:sz="4" w:space="0" w:color="auto"/>
              <w:left w:val="single" w:sz="4" w:space="0" w:color="auto"/>
              <w:bottom w:val="single" w:sz="4" w:space="0" w:color="auto"/>
              <w:right w:val="single" w:sz="4" w:space="0" w:color="auto"/>
            </w:tcBorders>
            <w:vAlign w:val="center"/>
          </w:tcPr>
          <w:p w14:paraId="699C23E1" w14:textId="77777777" w:rsidR="00E54E14" w:rsidRPr="00D94B5E" w:rsidRDefault="00E54E14" w:rsidP="00B823C1">
            <w:pPr>
              <w:spacing w:after="0"/>
              <w:jc w:val="center"/>
              <w:rPr>
                <w:color w:val="000000"/>
                <w:szCs w:val="20"/>
                <w:lang w:eastAsia="pl-PL"/>
              </w:rPr>
            </w:pPr>
            <w:r w:rsidRPr="00D94B5E">
              <w:rPr>
                <w:color w:val="000000"/>
                <w:szCs w:val="20"/>
                <w:lang w:eastAsia="pl-PL"/>
              </w:rPr>
              <w:t>2028</w:t>
            </w:r>
          </w:p>
        </w:tc>
        <w:tc>
          <w:tcPr>
            <w:tcW w:w="651" w:type="dxa"/>
            <w:tcBorders>
              <w:top w:val="single" w:sz="4" w:space="0" w:color="auto"/>
              <w:left w:val="single" w:sz="4" w:space="0" w:color="auto"/>
              <w:bottom w:val="single" w:sz="4" w:space="0" w:color="auto"/>
              <w:right w:val="single" w:sz="4" w:space="0" w:color="auto"/>
            </w:tcBorders>
            <w:vAlign w:val="center"/>
          </w:tcPr>
          <w:p w14:paraId="261957F1" w14:textId="77777777" w:rsidR="00E54E14" w:rsidRPr="00D94B5E" w:rsidRDefault="00E54E14" w:rsidP="00B823C1">
            <w:pPr>
              <w:spacing w:after="0"/>
              <w:jc w:val="center"/>
              <w:rPr>
                <w:color w:val="000000"/>
                <w:szCs w:val="20"/>
                <w:lang w:eastAsia="pl-PL"/>
              </w:rPr>
            </w:pPr>
            <w:r w:rsidRPr="00D94B5E">
              <w:rPr>
                <w:color w:val="000000"/>
                <w:szCs w:val="20"/>
                <w:lang w:eastAsia="pl-PL"/>
              </w:rPr>
              <w:t>2029</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F6CED" w14:textId="77777777" w:rsidR="00E54E14" w:rsidRPr="00D94B5E" w:rsidRDefault="00E54E14" w:rsidP="00B823C1">
            <w:pPr>
              <w:spacing w:after="0"/>
              <w:jc w:val="center"/>
              <w:rPr>
                <w:color w:val="000000"/>
                <w:szCs w:val="20"/>
                <w:lang w:eastAsia="pl-PL"/>
              </w:rPr>
            </w:pPr>
            <w:r w:rsidRPr="00D94B5E">
              <w:rPr>
                <w:color w:val="000000"/>
                <w:szCs w:val="20"/>
                <w:lang w:eastAsia="pl-PL"/>
              </w:rPr>
              <w:t>2030</w:t>
            </w:r>
          </w:p>
        </w:tc>
        <w:tc>
          <w:tcPr>
            <w:tcW w:w="1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298AA" w14:textId="77777777" w:rsidR="00E54E14" w:rsidRPr="00D94B5E" w:rsidRDefault="00E54E14" w:rsidP="00B823C1">
            <w:pPr>
              <w:spacing w:after="0"/>
              <w:jc w:val="center"/>
              <w:rPr>
                <w:color w:val="000000"/>
                <w:szCs w:val="20"/>
                <w:lang w:eastAsia="pl-PL"/>
              </w:rPr>
            </w:pPr>
          </w:p>
        </w:tc>
      </w:tr>
      <w:tr w:rsidR="00E54E14" w:rsidRPr="00D94B5E" w14:paraId="296D4EB6" w14:textId="77777777" w:rsidTr="00B823C1">
        <w:trPr>
          <w:trHeight w:val="273"/>
        </w:trPr>
        <w:tc>
          <w:tcPr>
            <w:tcW w:w="1456" w:type="dxa"/>
            <w:vMerge w:val="restart"/>
            <w:tcBorders>
              <w:top w:val="nil"/>
              <w:left w:val="single" w:sz="4" w:space="0" w:color="auto"/>
              <w:right w:val="single" w:sz="4" w:space="0" w:color="auto"/>
            </w:tcBorders>
            <w:shd w:val="clear" w:color="auto" w:fill="auto"/>
            <w:vAlign w:val="center"/>
            <w:hideMark/>
          </w:tcPr>
          <w:p w14:paraId="7278922B" w14:textId="77777777" w:rsidR="00E54E14" w:rsidRPr="00D94B5E" w:rsidRDefault="00E54E14" w:rsidP="00B823C1">
            <w:pPr>
              <w:spacing w:after="0"/>
              <w:jc w:val="center"/>
              <w:rPr>
                <w:color w:val="000000"/>
                <w:szCs w:val="20"/>
                <w:lang w:eastAsia="pl-PL"/>
              </w:rPr>
            </w:pPr>
            <w:r w:rsidRPr="00D94B5E">
              <w:rPr>
                <w:color w:val="000000"/>
                <w:szCs w:val="20"/>
                <w:lang w:eastAsia="pl-PL"/>
              </w:rPr>
              <w:t>Oszczędności końcowego zużycia energii (</w:t>
            </w:r>
            <w:proofErr w:type="spellStart"/>
            <w:r w:rsidRPr="00D94B5E">
              <w:rPr>
                <w:color w:val="000000"/>
                <w:szCs w:val="20"/>
                <w:lang w:eastAsia="pl-PL"/>
              </w:rPr>
              <w:t>ktoe</w:t>
            </w:r>
            <w:proofErr w:type="spellEnd"/>
            <w:r w:rsidRPr="00D94B5E">
              <w:rPr>
                <w:color w:val="000000"/>
                <w:szCs w:val="20"/>
                <w:lang w:eastAsia="pl-PL"/>
              </w:rPr>
              <w:t>)</w:t>
            </w:r>
          </w:p>
        </w:tc>
        <w:tc>
          <w:tcPr>
            <w:tcW w:w="699" w:type="dxa"/>
            <w:tcBorders>
              <w:top w:val="nil"/>
              <w:left w:val="nil"/>
              <w:bottom w:val="single" w:sz="4" w:space="0" w:color="auto"/>
              <w:right w:val="single" w:sz="4" w:space="0" w:color="auto"/>
            </w:tcBorders>
            <w:shd w:val="clear" w:color="auto" w:fill="auto"/>
            <w:noWrap/>
            <w:vAlign w:val="center"/>
          </w:tcPr>
          <w:p w14:paraId="168C69D8" w14:textId="77777777" w:rsidR="00E54E14" w:rsidRPr="00D94B5E" w:rsidRDefault="00E54E14" w:rsidP="00B823C1">
            <w:pPr>
              <w:spacing w:after="0"/>
              <w:jc w:val="center"/>
              <w:rPr>
                <w:color w:val="000000"/>
                <w:szCs w:val="20"/>
                <w:lang w:eastAsia="pl-PL"/>
              </w:rPr>
            </w:pPr>
            <w:r w:rsidRPr="00D94B5E">
              <w:rPr>
                <w:rFonts w:cs="Calibri"/>
                <w:color w:val="000000"/>
                <w:szCs w:val="20"/>
              </w:rPr>
              <w:t> </w:t>
            </w:r>
          </w:p>
        </w:tc>
        <w:tc>
          <w:tcPr>
            <w:tcW w:w="651" w:type="dxa"/>
            <w:tcBorders>
              <w:top w:val="nil"/>
              <w:left w:val="nil"/>
              <w:bottom w:val="single" w:sz="4" w:space="0" w:color="auto"/>
              <w:right w:val="single" w:sz="4" w:space="0" w:color="auto"/>
            </w:tcBorders>
            <w:shd w:val="clear" w:color="auto" w:fill="auto"/>
            <w:noWrap/>
            <w:vAlign w:val="center"/>
          </w:tcPr>
          <w:p w14:paraId="23C53E70" w14:textId="77777777" w:rsidR="00E54E14" w:rsidRPr="00D94B5E" w:rsidRDefault="00E54E14" w:rsidP="00B823C1">
            <w:pPr>
              <w:spacing w:after="0"/>
              <w:jc w:val="center"/>
              <w:rPr>
                <w:color w:val="000000"/>
                <w:szCs w:val="20"/>
                <w:lang w:eastAsia="pl-PL"/>
              </w:rPr>
            </w:pPr>
            <w:r w:rsidRPr="00D94B5E">
              <w:rPr>
                <w:rFonts w:cs="Calibri"/>
                <w:color w:val="000000"/>
                <w:szCs w:val="20"/>
              </w:rPr>
              <w:t> </w:t>
            </w:r>
          </w:p>
        </w:tc>
        <w:tc>
          <w:tcPr>
            <w:tcW w:w="651" w:type="dxa"/>
            <w:tcBorders>
              <w:top w:val="nil"/>
              <w:left w:val="nil"/>
              <w:bottom w:val="single" w:sz="4" w:space="0" w:color="auto"/>
              <w:right w:val="single" w:sz="4" w:space="0" w:color="auto"/>
            </w:tcBorders>
            <w:shd w:val="clear" w:color="auto" w:fill="auto"/>
            <w:noWrap/>
            <w:vAlign w:val="center"/>
          </w:tcPr>
          <w:p w14:paraId="60F926A7" w14:textId="77777777" w:rsidR="00E54E14" w:rsidRPr="00D94B5E" w:rsidRDefault="00E54E14" w:rsidP="00B823C1">
            <w:pPr>
              <w:spacing w:after="0"/>
              <w:jc w:val="center"/>
              <w:rPr>
                <w:color w:val="000000"/>
                <w:szCs w:val="20"/>
                <w:lang w:eastAsia="pl-PL"/>
              </w:rPr>
            </w:pPr>
            <w:r w:rsidRPr="00D94B5E">
              <w:rPr>
                <w:rFonts w:cs="Calibri"/>
                <w:color w:val="000000"/>
                <w:szCs w:val="20"/>
              </w:rPr>
              <w:t> </w:t>
            </w:r>
          </w:p>
        </w:tc>
        <w:tc>
          <w:tcPr>
            <w:tcW w:w="651" w:type="dxa"/>
            <w:tcBorders>
              <w:top w:val="nil"/>
              <w:left w:val="nil"/>
              <w:bottom w:val="single" w:sz="4" w:space="0" w:color="auto"/>
              <w:right w:val="single" w:sz="4" w:space="0" w:color="auto"/>
            </w:tcBorders>
            <w:shd w:val="clear" w:color="auto" w:fill="auto"/>
            <w:noWrap/>
            <w:vAlign w:val="center"/>
          </w:tcPr>
          <w:p w14:paraId="514CB7F2" w14:textId="77777777" w:rsidR="00E54E14" w:rsidRPr="00D94B5E" w:rsidRDefault="00E54E14" w:rsidP="00B823C1">
            <w:pPr>
              <w:spacing w:after="0"/>
              <w:jc w:val="center"/>
              <w:rPr>
                <w:color w:val="000000"/>
                <w:szCs w:val="20"/>
                <w:lang w:eastAsia="pl-PL"/>
              </w:rPr>
            </w:pPr>
            <w:r w:rsidRPr="00D94B5E">
              <w:rPr>
                <w:rFonts w:cs="Calibri"/>
                <w:color w:val="000000"/>
                <w:szCs w:val="20"/>
              </w:rPr>
              <w:t> </w:t>
            </w:r>
          </w:p>
        </w:tc>
        <w:tc>
          <w:tcPr>
            <w:tcW w:w="684" w:type="dxa"/>
            <w:tcBorders>
              <w:top w:val="nil"/>
              <w:left w:val="nil"/>
              <w:bottom w:val="single" w:sz="4" w:space="0" w:color="auto"/>
              <w:right w:val="single" w:sz="4" w:space="0" w:color="auto"/>
            </w:tcBorders>
            <w:shd w:val="clear" w:color="auto" w:fill="auto"/>
            <w:noWrap/>
            <w:vAlign w:val="center"/>
          </w:tcPr>
          <w:p w14:paraId="0739B29B" w14:textId="77777777" w:rsidR="00E54E14" w:rsidRPr="00D94B5E" w:rsidRDefault="00E54E14" w:rsidP="00B823C1">
            <w:pPr>
              <w:spacing w:after="0"/>
              <w:jc w:val="center"/>
              <w:rPr>
                <w:color w:val="000000"/>
                <w:szCs w:val="20"/>
                <w:lang w:eastAsia="pl-PL"/>
              </w:rPr>
            </w:pPr>
            <w:r w:rsidRPr="00D94B5E">
              <w:rPr>
                <w:rFonts w:cs="Calibri"/>
                <w:color w:val="000000"/>
                <w:szCs w:val="20"/>
              </w:rPr>
              <w:t> </w:t>
            </w:r>
          </w:p>
        </w:tc>
        <w:tc>
          <w:tcPr>
            <w:tcW w:w="684" w:type="dxa"/>
            <w:tcBorders>
              <w:top w:val="nil"/>
              <w:left w:val="nil"/>
              <w:bottom w:val="single" w:sz="4" w:space="0" w:color="auto"/>
              <w:right w:val="single" w:sz="4" w:space="0" w:color="auto"/>
            </w:tcBorders>
            <w:shd w:val="clear" w:color="auto" w:fill="auto"/>
            <w:noWrap/>
            <w:vAlign w:val="center"/>
          </w:tcPr>
          <w:p w14:paraId="4B85A92B" w14:textId="77777777" w:rsidR="00E54E14" w:rsidRPr="00D94B5E" w:rsidRDefault="00E54E14" w:rsidP="00B823C1">
            <w:pPr>
              <w:spacing w:after="0"/>
              <w:jc w:val="center"/>
              <w:rPr>
                <w:color w:val="000000"/>
                <w:szCs w:val="20"/>
                <w:lang w:eastAsia="pl-PL"/>
              </w:rPr>
            </w:pPr>
            <w:r w:rsidRPr="00D94B5E">
              <w:rPr>
                <w:rFonts w:cs="Calibri"/>
                <w:color w:val="000000"/>
                <w:szCs w:val="20"/>
              </w:rPr>
              <w:t> </w:t>
            </w:r>
          </w:p>
        </w:tc>
        <w:tc>
          <w:tcPr>
            <w:tcW w:w="651" w:type="dxa"/>
            <w:tcBorders>
              <w:top w:val="single" w:sz="4" w:space="0" w:color="auto"/>
              <w:left w:val="single" w:sz="4" w:space="0" w:color="auto"/>
              <w:bottom w:val="single" w:sz="4" w:space="0" w:color="auto"/>
              <w:right w:val="single" w:sz="4" w:space="0" w:color="auto"/>
            </w:tcBorders>
            <w:vAlign w:val="center"/>
          </w:tcPr>
          <w:p w14:paraId="61B7ADB0" w14:textId="77777777" w:rsidR="00E54E14" w:rsidRPr="00D94B5E" w:rsidRDefault="00E54E14" w:rsidP="00B823C1">
            <w:pPr>
              <w:spacing w:after="0"/>
              <w:jc w:val="center"/>
              <w:rPr>
                <w:color w:val="000000"/>
                <w:szCs w:val="20"/>
                <w:lang w:eastAsia="pl-PL"/>
              </w:rPr>
            </w:pPr>
            <w:r w:rsidRPr="00D94B5E">
              <w:rPr>
                <w:rFonts w:cs="Calibri"/>
                <w:color w:val="000000"/>
                <w:szCs w:val="20"/>
              </w:rPr>
              <w:t> </w:t>
            </w:r>
          </w:p>
        </w:tc>
        <w:tc>
          <w:tcPr>
            <w:tcW w:w="651" w:type="dxa"/>
            <w:tcBorders>
              <w:top w:val="single" w:sz="4" w:space="0" w:color="auto"/>
              <w:left w:val="single" w:sz="4" w:space="0" w:color="auto"/>
              <w:bottom w:val="single" w:sz="4" w:space="0" w:color="auto"/>
              <w:right w:val="single" w:sz="4" w:space="0" w:color="auto"/>
            </w:tcBorders>
            <w:vAlign w:val="center"/>
          </w:tcPr>
          <w:p w14:paraId="5E8F1553" w14:textId="77777777" w:rsidR="00E54E14" w:rsidRPr="00D94B5E" w:rsidRDefault="00E54E14" w:rsidP="00B823C1">
            <w:pPr>
              <w:spacing w:after="0"/>
              <w:jc w:val="center"/>
              <w:rPr>
                <w:color w:val="000000"/>
                <w:szCs w:val="20"/>
                <w:lang w:eastAsia="pl-PL"/>
              </w:rPr>
            </w:pPr>
            <w:r w:rsidRPr="00D94B5E">
              <w:rPr>
                <w:rFonts w:cs="Calibri"/>
                <w:color w:val="000000"/>
                <w:szCs w:val="20"/>
              </w:rPr>
              <w:t> </w:t>
            </w:r>
          </w:p>
        </w:tc>
        <w:tc>
          <w:tcPr>
            <w:tcW w:w="651" w:type="dxa"/>
            <w:tcBorders>
              <w:top w:val="single" w:sz="4" w:space="0" w:color="auto"/>
              <w:left w:val="single" w:sz="4" w:space="0" w:color="auto"/>
              <w:bottom w:val="single" w:sz="4" w:space="0" w:color="auto"/>
              <w:right w:val="single" w:sz="4" w:space="0" w:color="auto"/>
            </w:tcBorders>
            <w:vAlign w:val="center"/>
          </w:tcPr>
          <w:p w14:paraId="3231E992" w14:textId="77777777" w:rsidR="00E54E14" w:rsidRPr="00D94B5E" w:rsidRDefault="00E54E14" w:rsidP="00B823C1">
            <w:pPr>
              <w:spacing w:after="0"/>
              <w:jc w:val="center"/>
              <w:rPr>
                <w:color w:val="000000"/>
                <w:szCs w:val="20"/>
                <w:lang w:eastAsia="pl-PL"/>
              </w:rPr>
            </w:pPr>
            <w:r w:rsidRPr="00D94B5E">
              <w:rPr>
                <w:rFonts w:cs="Calibri"/>
                <w:color w:val="000000"/>
                <w:szCs w:val="20"/>
              </w:rPr>
              <w:t> </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DA4667" w14:textId="77777777" w:rsidR="00E54E14" w:rsidRPr="00D94B5E" w:rsidRDefault="00E54E14" w:rsidP="00B823C1">
            <w:pPr>
              <w:spacing w:after="0"/>
              <w:jc w:val="center"/>
              <w:rPr>
                <w:color w:val="000000"/>
                <w:szCs w:val="20"/>
                <w:lang w:eastAsia="pl-PL"/>
              </w:rPr>
            </w:pPr>
            <w:r w:rsidRPr="00D94B5E">
              <w:rPr>
                <w:rFonts w:cs="Calibri"/>
                <w:color w:val="000000"/>
                <w:szCs w:val="20"/>
              </w:rPr>
              <w:t>6</w:t>
            </w:r>
          </w:p>
        </w:tc>
        <w:tc>
          <w:tcPr>
            <w:tcW w:w="1473" w:type="dxa"/>
            <w:vMerge w:val="restart"/>
            <w:tcBorders>
              <w:top w:val="nil"/>
              <w:left w:val="single" w:sz="4" w:space="0" w:color="auto"/>
              <w:right w:val="single" w:sz="4" w:space="0" w:color="auto"/>
            </w:tcBorders>
            <w:shd w:val="clear" w:color="auto" w:fill="auto"/>
            <w:vAlign w:val="center"/>
            <w:hideMark/>
          </w:tcPr>
          <w:p w14:paraId="33CBB862" w14:textId="77777777" w:rsidR="00E54E14" w:rsidRPr="00D94B5E" w:rsidRDefault="00E54E14" w:rsidP="00B823C1">
            <w:pPr>
              <w:spacing w:after="0"/>
              <w:jc w:val="center"/>
              <w:rPr>
                <w:color w:val="000000"/>
                <w:szCs w:val="20"/>
                <w:lang w:eastAsia="pl-PL"/>
              </w:rPr>
            </w:pPr>
            <w:r w:rsidRPr="00D94B5E">
              <w:rPr>
                <w:color w:val="000000"/>
                <w:szCs w:val="20"/>
                <w:lang w:eastAsia="pl-PL"/>
              </w:rPr>
              <w:t>Całkowite skumulowane oszczędności końcowego zużycia energii (do 2030)</w:t>
            </w:r>
          </w:p>
        </w:tc>
      </w:tr>
      <w:tr w:rsidR="00E54E14" w:rsidRPr="00D94B5E" w14:paraId="10E98585" w14:textId="77777777" w:rsidTr="00B823C1">
        <w:trPr>
          <w:trHeight w:val="273"/>
        </w:trPr>
        <w:tc>
          <w:tcPr>
            <w:tcW w:w="1456" w:type="dxa"/>
            <w:vMerge/>
            <w:tcBorders>
              <w:left w:val="single" w:sz="4" w:space="0" w:color="auto"/>
              <w:right w:val="single" w:sz="4" w:space="0" w:color="auto"/>
            </w:tcBorders>
            <w:shd w:val="clear" w:color="auto" w:fill="auto"/>
            <w:vAlign w:val="center"/>
            <w:hideMark/>
          </w:tcPr>
          <w:p w14:paraId="61715E0D" w14:textId="77777777" w:rsidR="00E54E14" w:rsidRPr="00D94B5E" w:rsidRDefault="00E54E14" w:rsidP="00B823C1">
            <w:pPr>
              <w:spacing w:after="0"/>
              <w:jc w:val="center"/>
              <w:rPr>
                <w:color w:val="000000"/>
                <w:szCs w:val="20"/>
                <w:lang w:eastAsia="pl-PL"/>
              </w:rPr>
            </w:pPr>
          </w:p>
        </w:tc>
        <w:tc>
          <w:tcPr>
            <w:tcW w:w="699" w:type="dxa"/>
            <w:tcBorders>
              <w:top w:val="nil"/>
              <w:left w:val="nil"/>
              <w:bottom w:val="single" w:sz="4" w:space="0" w:color="auto"/>
              <w:right w:val="single" w:sz="4" w:space="0" w:color="auto"/>
            </w:tcBorders>
            <w:shd w:val="clear" w:color="auto" w:fill="auto"/>
            <w:noWrap/>
            <w:vAlign w:val="center"/>
          </w:tcPr>
          <w:p w14:paraId="553212EE" w14:textId="77777777" w:rsidR="00E54E14" w:rsidRPr="00D94B5E" w:rsidRDefault="00E54E14" w:rsidP="00B823C1">
            <w:pPr>
              <w:spacing w:after="0"/>
              <w:jc w:val="center"/>
              <w:rPr>
                <w:color w:val="000000"/>
                <w:szCs w:val="20"/>
                <w:lang w:eastAsia="pl-PL"/>
              </w:rPr>
            </w:pPr>
            <w:r w:rsidRPr="00D94B5E">
              <w:rPr>
                <w:rFonts w:cs="Calibri"/>
                <w:color w:val="000000"/>
                <w:szCs w:val="20"/>
              </w:rPr>
              <w:t> </w:t>
            </w:r>
          </w:p>
        </w:tc>
        <w:tc>
          <w:tcPr>
            <w:tcW w:w="651" w:type="dxa"/>
            <w:tcBorders>
              <w:top w:val="nil"/>
              <w:left w:val="nil"/>
              <w:bottom w:val="single" w:sz="4" w:space="0" w:color="auto"/>
              <w:right w:val="single" w:sz="4" w:space="0" w:color="auto"/>
            </w:tcBorders>
            <w:shd w:val="clear" w:color="auto" w:fill="auto"/>
            <w:noWrap/>
            <w:vAlign w:val="center"/>
          </w:tcPr>
          <w:p w14:paraId="7D0D181D" w14:textId="77777777" w:rsidR="00E54E14" w:rsidRPr="00D94B5E" w:rsidRDefault="00E54E14" w:rsidP="00B823C1">
            <w:pPr>
              <w:spacing w:after="0"/>
              <w:jc w:val="center"/>
              <w:rPr>
                <w:color w:val="000000"/>
                <w:szCs w:val="20"/>
                <w:lang w:eastAsia="pl-PL"/>
              </w:rPr>
            </w:pPr>
            <w:r w:rsidRPr="00D94B5E">
              <w:rPr>
                <w:rFonts w:cs="Calibri"/>
                <w:color w:val="000000"/>
                <w:szCs w:val="20"/>
              </w:rPr>
              <w:t> </w:t>
            </w:r>
          </w:p>
        </w:tc>
        <w:tc>
          <w:tcPr>
            <w:tcW w:w="651" w:type="dxa"/>
            <w:tcBorders>
              <w:top w:val="nil"/>
              <w:left w:val="nil"/>
              <w:bottom w:val="single" w:sz="4" w:space="0" w:color="auto"/>
              <w:right w:val="single" w:sz="4" w:space="0" w:color="auto"/>
            </w:tcBorders>
            <w:shd w:val="clear" w:color="auto" w:fill="auto"/>
            <w:noWrap/>
            <w:vAlign w:val="center"/>
          </w:tcPr>
          <w:p w14:paraId="7A6300B3" w14:textId="77777777" w:rsidR="00E54E14" w:rsidRPr="00D94B5E" w:rsidRDefault="00E54E14" w:rsidP="00B823C1">
            <w:pPr>
              <w:spacing w:after="0"/>
              <w:jc w:val="center"/>
              <w:rPr>
                <w:color w:val="000000"/>
                <w:szCs w:val="20"/>
                <w:lang w:eastAsia="pl-PL"/>
              </w:rPr>
            </w:pPr>
            <w:r w:rsidRPr="00D94B5E">
              <w:rPr>
                <w:rFonts w:cs="Calibri"/>
                <w:color w:val="000000"/>
                <w:szCs w:val="20"/>
              </w:rPr>
              <w:t> </w:t>
            </w:r>
          </w:p>
        </w:tc>
        <w:tc>
          <w:tcPr>
            <w:tcW w:w="651" w:type="dxa"/>
            <w:tcBorders>
              <w:top w:val="nil"/>
              <w:left w:val="nil"/>
              <w:bottom w:val="single" w:sz="4" w:space="0" w:color="auto"/>
              <w:right w:val="single" w:sz="4" w:space="0" w:color="auto"/>
            </w:tcBorders>
            <w:shd w:val="clear" w:color="auto" w:fill="auto"/>
            <w:noWrap/>
            <w:vAlign w:val="center"/>
          </w:tcPr>
          <w:p w14:paraId="431ED015" w14:textId="77777777" w:rsidR="00E54E14" w:rsidRPr="00D94B5E" w:rsidRDefault="00E54E14" w:rsidP="00B823C1">
            <w:pPr>
              <w:spacing w:after="0"/>
              <w:jc w:val="center"/>
              <w:rPr>
                <w:color w:val="000000"/>
                <w:szCs w:val="20"/>
                <w:lang w:eastAsia="pl-PL"/>
              </w:rPr>
            </w:pPr>
            <w:r w:rsidRPr="00D94B5E">
              <w:rPr>
                <w:rFonts w:cs="Calibri"/>
                <w:color w:val="000000"/>
                <w:szCs w:val="20"/>
              </w:rPr>
              <w:t> </w:t>
            </w:r>
          </w:p>
        </w:tc>
        <w:tc>
          <w:tcPr>
            <w:tcW w:w="684" w:type="dxa"/>
            <w:tcBorders>
              <w:top w:val="nil"/>
              <w:left w:val="nil"/>
              <w:bottom w:val="single" w:sz="4" w:space="0" w:color="auto"/>
              <w:right w:val="single" w:sz="4" w:space="0" w:color="auto"/>
            </w:tcBorders>
            <w:shd w:val="clear" w:color="auto" w:fill="auto"/>
            <w:noWrap/>
            <w:vAlign w:val="center"/>
          </w:tcPr>
          <w:p w14:paraId="1021959E" w14:textId="77777777" w:rsidR="00E54E14" w:rsidRPr="00D94B5E" w:rsidRDefault="00E54E14" w:rsidP="00B823C1">
            <w:pPr>
              <w:spacing w:after="0"/>
              <w:jc w:val="center"/>
              <w:rPr>
                <w:color w:val="000000"/>
                <w:szCs w:val="20"/>
                <w:lang w:eastAsia="pl-PL"/>
              </w:rPr>
            </w:pPr>
            <w:r w:rsidRPr="00D94B5E">
              <w:rPr>
                <w:rFonts w:cs="Calibri"/>
                <w:color w:val="000000"/>
                <w:szCs w:val="20"/>
              </w:rPr>
              <w:t> </w:t>
            </w:r>
          </w:p>
        </w:tc>
        <w:tc>
          <w:tcPr>
            <w:tcW w:w="684" w:type="dxa"/>
            <w:tcBorders>
              <w:top w:val="nil"/>
              <w:left w:val="nil"/>
              <w:bottom w:val="single" w:sz="4" w:space="0" w:color="auto"/>
              <w:right w:val="single" w:sz="4" w:space="0" w:color="auto"/>
            </w:tcBorders>
            <w:shd w:val="clear" w:color="auto" w:fill="auto"/>
            <w:noWrap/>
            <w:vAlign w:val="center"/>
          </w:tcPr>
          <w:p w14:paraId="737575A8" w14:textId="77777777" w:rsidR="00E54E14" w:rsidRPr="00D94B5E" w:rsidRDefault="00E54E14" w:rsidP="00B823C1">
            <w:pPr>
              <w:spacing w:after="0"/>
              <w:jc w:val="center"/>
              <w:rPr>
                <w:color w:val="000000"/>
                <w:szCs w:val="20"/>
                <w:lang w:eastAsia="pl-PL"/>
              </w:rPr>
            </w:pPr>
            <w:r w:rsidRPr="00D94B5E">
              <w:rPr>
                <w:rFonts w:cs="Calibri"/>
                <w:color w:val="000000"/>
                <w:szCs w:val="20"/>
              </w:rPr>
              <w:t> </w:t>
            </w:r>
          </w:p>
        </w:tc>
        <w:tc>
          <w:tcPr>
            <w:tcW w:w="651" w:type="dxa"/>
            <w:tcBorders>
              <w:top w:val="single" w:sz="4" w:space="0" w:color="auto"/>
              <w:left w:val="single" w:sz="4" w:space="0" w:color="auto"/>
              <w:bottom w:val="single" w:sz="4" w:space="0" w:color="auto"/>
              <w:right w:val="single" w:sz="4" w:space="0" w:color="auto"/>
            </w:tcBorders>
            <w:vAlign w:val="center"/>
          </w:tcPr>
          <w:p w14:paraId="7C2FB520" w14:textId="77777777" w:rsidR="00E54E14" w:rsidRPr="00D94B5E" w:rsidRDefault="00E54E14" w:rsidP="00B823C1">
            <w:pPr>
              <w:spacing w:after="0"/>
              <w:jc w:val="center"/>
              <w:rPr>
                <w:color w:val="000000"/>
                <w:szCs w:val="20"/>
                <w:lang w:eastAsia="pl-PL"/>
              </w:rPr>
            </w:pPr>
            <w:r w:rsidRPr="00D94B5E">
              <w:rPr>
                <w:rFonts w:cs="Calibri"/>
                <w:color w:val="000000"/>
                <w:szCs w:val="20"/>
              </w:rPr>
              <w:t> </w:t>
            </w:r>
          </w:p>
        </w:tc>
        <w:tc>
          <w:tcPr>
            <w:tcW w:w="651" w:type="dxa"/>
            <w:tcBorders>
              <w:top w:val="single" w:sz="4" w:space="0" w:color="auto"/>
              <w:left w:val="single" w:sz="4" w:space="0" w:color="auto"/>
              <w:bottom w:val="single" w:sz="4" w:space="0" w:color="auto"/>
              <w:right w:val="single" w:sz="4" w:space="0" w:color="auto"/>
            </w:tcBorders>
            <w:vAlign w:val="center"/>
          </w:tcPr>
          <w:p w14:paraId="4D4479A5" w14:textId="77777777" w:rsidR="00E54E14" w:rsidRPr="00D94B5E" w:rsidRDefault="00E54E14" w:rsidP="00B823C1">
            <w:pPr>
              <w:spacing w:after="0"/>
              <w:jc w:val="center"/>
              <w:rPr>
                <w:color w:val="000000"/>
                <w:szCs w:val="20"/>
                <w:lang w:eastAsia="pl-PL"/>
              </w:rPr>
            </w:pPr>
            <w:r w:rsidRPr="00D94B5E">
              <w:rPr>
                <w:rFonts w:cs="Calibri"/>
                <w:color w:val="000000"/>
                <w:szCs w:val="20"/>
              </w:rPr>
              <w:t> </w:t>
            </w:r>
          </w:p>
        </w:tc>
        <w:tc>
          <w:tcPr>
            <w:tcW w:w="651" w:type="dxa"/>
            <w:tcBorders>
              <w:top w:val="single" w:sz="4" w:space="0" w:color="auto"/>
              <w:left w:val="single" w:sz="4" w:space="0" w:color="auto"/>
              <w:bottom w:val="single" w:sz="4" w:space="0" w:color="auto"/>
              <w:right w:val="single" w:sz="4" w:space="0" w:color="auto"/>
            </w:tcBorders>
            <w:vAlign w:val="center"/>
          </w:tcPr>
          <w:p w14:paraId="56FB93DE" w14:textId="77777777" w:rsidR="00E54E14" w:rsidRPr="00D94B5E" w:rsidRDefault="00E54E14" w:rsidP="00B823C1">
            <w:pPr>
              <w:spacing w:after="0"/>
              <w:jc w:val="center"/>
              <w:rPr>
                <w:color w:val="000000"/>
                <w:szCs w:val="20"/>
                <w:lang w:eastAsia="pl-PL"/>
              </w:rPr>
            </w:pPr>
            <w:r w:rsidRPr="00D94B5E">
              <w:rPr>
                <w:rFonts w:cs="Calibri"/>
                <w:color w:val="000000"/>
                <w:szCs w:val="20"/>
              </w:rPr>
              <w:t>6</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649F31" w14:textId="77777777" w:rsidR="00E54E14" w:rsidRPr="00D94B5E" w:rsidRDefault="00E54E14" w:rsidP="00B823C1">
            <w:pPr>
              <w:spacing w:after="0"/>
              <w:jc w:val="center"/>
              <w:rPr>
                <w:color w:val="000000"/>
                <w:szCs w:val="20"/>
                <w:lang w:eastAsia="pl-PL"/>
              </w:rPr>
            </w:pPr>
            <w:r w:rsidRPr="00D94B5E">
              <w:rPr>
                <w:rFonts w:cs="Calibri"/>
                <w:color w:val="000000"/>
                <w:szCs w:val="20"/>
              </w:rPr>
              <w:t>6</w:t>
            </w:r>
          </w:p>
        </w:tc>
        <w:tc>
          <w:tcPr>
            <w:tcW w:w="1473" w:type="dxa"/>
            <w:vMerge/>
            <w:tcBorders>
              <w:left w:val="single" w:sz="4" w:space="0" w:color="auto"/>
              <w:right w:val="single" w:sz="4" w:space="0" w:color="auto"/>
            </w:tcBorders>
            <w:shd w:val="clear" w:color="auto" w:fill="auto"/>
            <w:vAlign w:val="center"/>
            <w:hideMark/>
          </w:tcPr>
          <w:p w14:paraId="0B3BD1BA" w14:textId="77777777" w:rsidR="00E54E14" w:rsidRPr="00D94B5E" w:rsidRDefault="00E54E14" w:rsidP="00B823C1">
            <w:pPr>
              <w:spacing w:after="0"/>
              <w:jc w:val="center"/>
              <w:rPr>
                <w:color w:val="000000"/>
                <w:szCs w:val="20"/>
                <w:lang w:eastAsia="pl-PL"/>
              </w:rPr>
            </w:pPr>
          </w:p>
        </w:tc>
      </w:tr>
      <w:tr w:rsidR="00E54E14" w:rsidRPr="00D94B5E" w14:paraId="029F98CD" w14:textId="77777777" w:rsidTr="00B823C1">
        <w:trPr>
          <w:trHeight w:val="273"/>
        </w:trPr>
        <w:tc>
          <w:tcPr>
            <w:tcW w:w="1456" w:type="dxa"/>
            <w:vMerge/>
            <w:tcBorders>
              <w:left w:val="single" w:sz="4" w:space="0" w:color="auto"/>
              <w:right w:val="single" w:sz="4" w:space="0" w:color="auto"/>
            </w:tcBorders>
            <w:shd w:val="clear" w:color="auto" w:fill="auto"/>
            <w:vAlign w:val="center"/>
            <w:hideMark/>
          </w:tcPr>
          <w:p w14:paraId="69B3F497" w14:textId="77777777" w:rsidR="00E54E14" w:rsidRPr="00D94B5E" w:rsidRDefault="00E54E14" w:rsidP="00B823C1">
            <w:pPr>
              <w:spacing w:after="0"/>
              <w:jc w:val="center"/>
              <w:rPr>
                <w:color w:val="000000"/>
                <w:szCs w:val="20"/>
                <w:lang w:eastAsia="pl-PL"/>
              </w:rPr>
            </w:pPr>
          </w:p>
        </w:tc>
        <w:tc>
          <w:tcPr>
            <w:tcW w:w="699" w:type="dxa"/>
            <w:tcBorders>
              <w:top w:val="nil"/>
              <w:left w:val="nil"/>
              <w:bottom w:val="single" w:sz="4" w:space="0" w:color="auto"/>
              <w:right w:val="single" w:sz="4" w:space="0" w:color="auto"/>
            </w:tcBorders>
            <w:shd w:val="clear" w:color="auto" w:fill="auto"/>
            <w:noWrap/>
            <w:vAlign w:val="center"/>
          </w:tcPr>
          <w:p w14:paraId="37BB2451" w14:textId="77777777" w:rsidR="00E54E14" w:rsidRPr="00D94B5E" w:rsidRDefault="00E54E14" w:rsidP="00B823C1">
            <w:pPr>
              <w:spacing w:after="0"/>
              <w:jc w:val="center"/>
              <w:rPr>
                <w:color w:val="000000"/>
                <w:szCs w:val="20"/>
                <w:lang w:eastAsia="pl-PL"/>
              </w:rPr>
            </w:pPr>
            <w:r w:rsidRPr="00D94B5E">
              <w:rPr>
                <w:rFonts w:cs="Calibri"/>
                <w:color w:val="000000"/>
                <w:szCs w:val="20"/>
              </w:rPr>
              <w:t> </w:t>
            </w:r>
          </w:p>
        </w:tc>
        <w:tc>
          <w:tcPr>
            <w:tcW w:w="651" w:type="dxa"/>
            <w:tcBorders>
              <w:top w:val="nil"/>
              <w:left w:val="nil"/>
              <w:bottom w:val="single" w:sz="4" w:space="0" w:color="auto"/>
              <w:right w:val="single" w:sz="4" w:space="0" w:color="auto"/>
            </w:tcBorders>
            <w:shd w:val="clear" w:color="auto" w:fill="auto"/>
            <w:noWrap/>
            <w:vAlign w:val="center"/>
          </w:tcPr>
          <w:p w14:paraId="216CFAA3" w14:textId="77777777" w:rsidR="00E54E14" w:rsidRPr="00D94B5E" w:rsidRDefault="00E54E14" w:rsidP="00B823C1">
            <w:pPr>
              <w:spacing w:after="0"/>
              <w:jc w:val="center"/>
              <w:rPr>
                <w:color w:val="000000"/>
                <w:szCs w:val="20"/>
                <w:lang w:eastAsia="pl-PL"/>
              </w:rPr>
            </w:pPr>
            <w:r w:rsidRPr="00D94B5E">
              <w:rPr>
                <w:rFonts w:cs="Calibri"/>
                <w:color w:val="000000"/>
                <w:szCs w:val="20"/>
              </w:rPr>
              <w:t> </w:t>
            </w:r>
          </w:p>
        </w:tc>
        <w:tc>
          <w:tcPr>
            <w:tcW w:w="651" w:type="dxa"/>
            <w:tcBorders>
              <w:top w:val="nil"/>
              <w:left w:val="nil"/>
              <w:bottom w:val="single" w:sz="4" w:space="0" w:color="auto"/>
              <w:right w:val="single" w:sz="4" w:space="0" w:color="auto"/>
            </w:tcBorders>
            <w:shd w:val="clear" w:color="auto" w:fill="auto"/>
            <w:noWrap/>
            <w:vAlign w:val="center"/>
          </w:tcPr>
          <w:p w14:paraId="6CD8166E" w14:textId="77777777" w:rsidR="00E54E14" w:rsidRPr="00D94B5E" w:rsidRDefault="00E54E14" w:rsidP="00B823C1">
            <w:pPr>
              <w:spacing w:after="0"/>
              <w:jc w:val="center"/>
              <w:rPr>
                <w:color w:val="000000"/>
                <w:szCs w:val="20"/>
                <w:lang w:eastAsia="pl-PL"/>
              </w:rPr>
            </w:pPr>
            <w:r w:rsidRPr="00D94B5E">
              <w:rPr>
                <w:rFonts w:cs="Calibri"/>
                <w:color w:val="000000"/>
                <w:szCs w:val="20"/>
              </w:rPr>
              <w:t> </w:t>
            </w:r>
          </w:p>
        </w:tc>
        <w:tc>
          <w:tcPr>
            <w:tcW w:w="651" w:type="dxa"/>
            <w:tcBorders>
              <w:top w:val="nil"/>
              <w:left w:val="nil"/>
              <w:bottom w:val="single" w:sz="4" w:space="0" w:color="auto"/>
              <w:right w:val="single" w:sz="4" w:space="0" w:color="auto"/>
            </w:tcBorders>
            <w:shd w:val="clear" w:color="auto" w:fill="auto"/>
            <w:noWrap/>
            <w:vAlign w:val="center"/>
          </w:tcPr>
          <w:p w14:paraId="38E16449" w14:textId="77777777" w:rsidR="00E54E14" w:rsidRPr="00D94B5E" w:rsidRDefault="00E54E14" w:rsidP="00B823C1">
            <w:pPr>
              <w:spacing w:after="0"/>
              <w:jc w:val="center"/>
              <w:rPr>
                <w:color w:val="000000"/>
                <w:szCs w:val="20"/>
                <w:lang w:eastAsia="pl-PL"/>
              </w:rPr>
            </w:pPr>
            <w:r w:rsidRPr="00D94B5E">
              <w:rPr>
                <w:rFonts w:cs="Calibri"/>
                <w:color w:val="000000"/>
                <w:szCs w:val="20"/>
              </w:rPr>
              <w:t> </w:t>
            </w:r>
          </w:p>
        </w:tc>
        <w:tc>
          <w:tcPr>
            <w:tcW w:w="684" w:type="dxa"/>
            <w:tcBorders>
              <w:top w:val="nil"/>
              <w:left w:val="nil"/>
              <w:bottom w:val="single" w:sz="4" w:space="0" w:color="auto"/>
              <w:right w:val="single" w:sz="4" w:space="0" w:color="auto"/>
            </w:tcBorders>
            <w:shd w:val="clear" w:color="auto" w:fill="auto"/>
            <w:noWrap/>
            <w:vAlign w:val="center"/>
          </w:tcPr>
          <w:p w14:paraId="39D114C5" w14:textId="77777777" w:rsidR="00E54E14" w:rsidRPr="00D94B5E" w:rsidRDefault="00E54E14" w:rsidP="00B823C1">
            <w:pPr>
              <w:spacing w:after="0"/>
              <w:jc w:val="center"/>
              <w:rPr>
                <w:color w:val="000000"/>
                <w:szCs w:val="20"/>
                <w:lang w:eastAsia="pl-PL"/>
              </w:rPr>
            </w:pPr>
            <w:r w:rsidRPr="00D94B5E">
              <w:rPr>
                <w:rFonts w:cs="Calibri"/>
                <w:color w:val="000000"/>
                <w:szCs w:val="20"/>
              </w:rPr>
              <w:t> </w:t>
            </w:r>
          </w:p>
        </w:tc>
        <w:tc>
          <w:tcPr>
            <w:tcW w:w="684" w:type="dxa"/>
            <w:tcBorders>
              <w:top w:val="nil"/>
              <w:left w:val="nil"/>
              <w:bottom w:val="single" w:sz="4" w:space="0" w:color="auto"/>
              <w:right w:val="single" w:sz="4" w:space="0" w:color="auto"/>
            </w:tcBorders>
            <w:shd w:val="clear" w:color="auto" w:fill="auto"/>
            <w:noWrap/>
            <w:vAlign w:val="center"/>
          </w:tcPr>
          <w:p w14:paraId="251691A6" w14:textId="77777777" w:rsidR="00E54E14" w:rsidRPr="00D94B5E" w:rsidRDefault="00E54E14" w:rsidP="00B823C1">
            <w:pPr>
              <w:spacing w:after="0"/>
              <w:jc w:val="center"/>
              <w:rPr>
                <w:color w:val="000000"/>
                <w:szCs w:val="20"/>
                <w:lang w:eastAsia="pl-PL"/>
              </w:rPr>
            </w:pPr>
            <w:r w:rsidRPr="00D94B5E">
              <w:rPr>
                <w:rFonts w:cs="Calibri"/>
                <w:color w:val="000000"/>
                <w:szCs w:val="20"/>
              </w:rPr>
              <w:t> </w:t>
            </w:r>
          </w:p>
        </w:tc>
        <w:tc>
          <w:tcPr>
            <w:tcW w:w="651" w:type="dxa"/>
            <w:tcBorders>
              <w:top w:val="single" w:sz="4" w:space="0" w:color="auto"/>
              <w:left w:val="single" w:sz="4" w:space="0" w:color="auto"/>
              <w:bottom w:val="single" w:sz="4" w:space="0" w:color="auto"/>
              <w:right w:val="single" w:sz="4" w:space="0" w:color="auto"/>
            </w:tcBorders>
            <w:vAlign w:val="center"/>
          </w:tcPr>
          <w:p w14:paraId="6DDE5D1A" w14:textId="77777777" w:rsidR="00E54E14" w:rsidRPr="00D94B5E" w:rsidRDefault="00E54E14" w:rsidP="00B823C1">
            <w:pPr>
              <w:spacing w:after="0"/>
              <w:jc w:val="center"/>
              <w:rPr>
                <w:color w:val="000000"/>
                <w:szCs w:val="20"/>
                <w:lang w:eastAsia="pl-PL"/>
              </w:rPr>
            </w:pPr>
            <w:r w:rsidRPr="00D94B5E">
              <w:rPr>
                <w:rFonts w:cs="Calibri"/>
                <w:color w:val="000000"/>
                <w:szCs w:val="20"/>
              </w:rPr>
              <w:t> </w:t>
            </w:r>
          </w:p>
        </w:tc>
        <w:tc>
          <w:tcPr>
            <w:tcW w:w="651" w:type="dxa"/>
            <w:tcBorders>
              <w:top w:val="single" w:sz="4" w:space="0" w:color="auto"/>
              <w:left w:val="single" w:sz="4" w:space="0" w:color="auto"/>
              <w:bottom w:val="single" w:sz="4" w:space="0" w:color="auto"/>
              <w:right w:val="single" w:sz="4" w:space="0" w:color="auto"/>
            </w:tcBorders>
            <w:vAlign w:val="center"/>
          </w:tcPr>
          <w:p w14:paraId="06A69972" w14:textId="77777777" w:rsidR="00E54E14" w:rsidRPr="00D94B5E" w:rsidRDefault="00E54E14" w:rsidP="00B823C1">
            <w:pPr>
              <w:spacing w:after="0"/>
              <w:jc w:val="center"/>
              <w:rPr>
                <w:color w:val="000000"/>
                <w:szCs w:val="20"/>
                <w:lang w:eastAsia="pl-PL"/>
              </w:rPr>
            </w:pPr>
            <w:r w:rsidRPr="00D94B5E">
              <w:rPr>
                <w:rFonts w:cs="Calibri"/>
                <w:color w:val="000000"/>
                <w:szCs w:val="20"/>
              </w:rPr>
              <w:t>6</w:t>
            </w:r>
          </w:p>
        </w:tc>
        <w:tc>
          <w:tcPr>
            <w:tcW w:w="651" w:type="dxa"/>
            <w:tcBorders>
              <w:top w:val="single" w:sz="4" w:space="0" w:color="auto"/>
              <w:left w:val="single" w:sz="4" w:space="0" w:color="auto"/>
              <w:bottom w:val="single" w:sz="4" w:space="0" w:color="auto"/>
              <w:right w:val="single" w:sz="4" w:space="0" w:color="auto"/>
            </w:tcBorders>
            <w:vAlign w:val="center"/>
          </w:tcPr>
          <w:p w14:paraId="40596C93" w14:textId="77777777" w:rsidR="00E54E14" w:rsidRPr="00D94B5E" w:rsidRDefault="00E54E14" w:rsidP="00B823C1">
            <w:pPr>
              <w:spacing w:after="0"/>
              <w:jc w:val="center"/>
              <w:rPr>
                <w:color w:val="000000"/>
                <w:szCs w:val="20"/>
                <w:lang w:eastAsia="pl-PL"/>
              </w:rPr>
            </w:pPr>
            <w:r w:rsidRPr="00D94B5E">
              <w:rPr>
                <w:rFonts w:cs="Calibri"/>
                <w:color w:val="000000"/>
                <w:szCs w:val="20"/>
              </w:rPr>
              <w:t>6</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72C27" w14:textId="77777777" w:rsidR="00E54E14" w:rsidRPr="00D94B5E" w:rsidRDefault="00E54E14" w:rsidP="00B823C1">
            <w:pPr>
              <w:spacing w:after="0"/>
              <w:jc w:val="center"/>
              <w:rPr>
                <w:color w:val="000000"/>
                <w:szCs w:val="20"/>
                <w:lang w:eastAsia="pl-PL"/>
              </w:rPr>
            </w:pPr>
            <w:r w:rsidRPr="00D94B5E">
              <w:rPr>
                <w:rFonts w:cs="Calibri"/>
                <w:color w:val="000000"/>
                <w:szCs w:val="20"/>
              </w:rPr>
              <w:t>6</w:t>
            </w:r>
          </w:p>
        </w:tc>
        <w:tc>
          <w:tcPr>
            <w:tcW w:w="1473" w:type="dxa"/>
            <w:vMerge/>
            <w:tcBorders>
              <w:left w:val="single" w:sz="4" w:space="0" w:color="auto"/>
              <w:right w:val="single" w:sz="4" w:space="0" w:color="auto"/>
            </w:tcBorders>
            <w:shd w:val="clear" w:color="auto" w:fill="auto"/>
            <w:vAlign w:val="center"/>
            <w:hideMark/>
          </w:tcPr>
          <w:p w14:paraId="4555AB76" w14:textId="77777777" w:rsidR="00E54E14" w:rsidRPr="00D94B5E" w:rsidRDefault="00E54E14" w:rsidP="00B823C1">
            <w:pPr>
              <w:spacing w:after="0"/>
              <w:jc w:val="center"/>
              <w:rPr>
                <w:color w:val="000000"/>
                <w:szCs w:val="20"/>
                <w:lang w:eastAsia="pl-PL"/>
              </w:rPr>
            </w:pPr>
          </w:p>
        </w:tc>
      </w:tr>
      <w:tr w:rsidR="00E54E14" w:rsidRPr="00D94B5E" w14:paraId="7082BD64" w14:textId="77777777" w:rsidTr="00B823C1">
        <w:trPr>
          <w:trHeight w:val="273"/>
        </w:trPr>
        <w:tc>
          <w:tcPr>
            <w:tcW w:w="1456" w:type="dxa"/>
            <w:vMerge/>
            <w:tcBorders>
              <w:left w:val="single" w:sz="4" w:space="0" w:color="auto"/>
              <w:right w:val="single" w:sz="4" w:space="0" w:color="auto"/>
            </w:tcBorders>
            <w:vAlign w:val="center"/>
            <w:hideMark/>
          </w:tcPr>
          <w:p w14:paraId="3FB59629" w14:textId="77777777" w:rsidR="00E54E14" w:rsidRPr="00D94B5E" w:rsidRDefault="00E54E14" w:rsidP="00B823C1">
            <w:pPr>
              <w:spacing w:after="0"/>
              <w:jc w:val="center"/>
              <w:rPr>
                <w:color w:val="000000"/>
                <w:szCs w:val="20"/>
                <w:lang w:eastAsia="pl-PL"/>
              </w:rPr>
            </w:pPr>
          </w:p>
        </w:tc>
        <w:tc>
          <w:tcPr>
            <w:tcW w:w="699" w:type="dxa"/>
            <w:tcBorders>
              <w:top w:val="nil"/>
              <w:left w:val="nil"/>
              <w:bottom w:val="single" w:sz="4" w:space="0" w:color="auto"/>
              <w:right w:val="single" w:sz="4" w:space="0" w:color="auto"/>
            </w:tcBorders>
            <w:shd w:val="clear" w:color="auto" w:fill="auto"/>
            <w:noWrap/>
            <w:vAlign w:val="center"/>
          </w:tcPr>
          <w:p w14:paraId="344E8AC0" w14:textId="77777777" w:rsidR="00E54E14" w:rsidRPr="00D94B5E" w:rsidRDefault="00E54E14" w:rsidP="00B823C1">
            <w:pPr>
              <w:spacing w:after="0"/>
              <w:jc w:val="center"/>
              <w:rPr>
                <w:color w:val="000000"/>
                <w:szCs w:val="20"/>
                <w:lang w:eastAsia="pl-PL"/>
              </w:rPr>
            </w:pPr>
            <w:r w:rsidRPr="00D94B5E">
              <w:rPr>
                <w:rFonts w:cs="Calibri"/>
                <w:color w:val="000000"/>
                <w:szCs w:val="20"/>
              </w:rPr>
              <w:t> </w:t>
            </w:r>
          </w:p>
        </w:tc>
        <w:tc>
          <w:tcPr>
            <w:tcW w:w="651" w:type="dxa"/>
            <w:tcBorders>
              <w:top w:val="nil"/>
              <w:left w:val="nil"/>
              <w:bottom w:val="single" w:sz="4" w:space="0" w:color="auto"/>
              <w:right w:val="single" w:sz="4" w:space="0" w:color="auto"/>
            </w:tcBorders>
            <w:shd w:val="clear" w:color="auto" w:fill="auto"/>
            <w:noWrap/>
            <w:vAlign w:val="center"/>
          </w:tcPr>
          <w:p w14:paraId="442DA8CA" w14:textId="77777777" w:rsidR="00E54E14" w:rsidRPr="00D94B5E" w:rsidRDefault="00E54E14" w:rsidP="00B823C1">
            <w:pPr>
              <w:spacing w:after="0"/>
              <w:jc w:val="center"/>
              <w:rPr>
                <w:color w:val="000000"/>
                <w:szCs w:val="20"/>
                <w:lang w:eastAsia="pl-PL"/>
              </w:rPr>
            </w:pPr>
            <w:r w:rsidRPr="00D94B5E">
              <w:rPr>
                <w:rFonts w:cs="Calibri"/>
                <w:color w:val="000000"/>
                <w:szCs w:val="20"/>
              </w:rPr>
              <w:t> </w:t>
            </w:r>
          </w:p>
        </w:tc>
        <w:tc>
          <w:tcPr>
            <w:tcW w:w="651" w:type="dxa"/>
            <w:tcBorders>
              <w:top w:val="nil"/>
              <w:left w:val="nil"/>
              <w:bottom w:val="single" w:sz="4" w:space="0" w:color="auto"/>
              <w:right w:val="single" w:sz="4" w:space="0" w:color="auto"/>
            </w:tcBorders>
            <w:shd w:val="clear" w:color="auto" w:fill="auto"/>
            <w:noWrap/>
            <w:vAlign w:val="center"/>
          </w:tcPr>
          <w:p w14:paraId="26B11A56" w14:textId="77777777" w:rsidR="00E54E14" w:rsidRPr="00D94B5E" w:rsidRDefault="00E54E14" w:rsidP="00B823C1">
            <w:pPr>
              <w:spacing w:after="0"/>
              <w:jc w:val="center"/>
              <w:rPr>
                <w:color w:val="000000"/>
                <w:szCs w:val="20"/>
                <w:lang w:eastAsia="pl-PL"/>
              </w:rPr>
            </w:pPr>
            <w:r w:rsidRPr="00D94B5E">
              <w:rPr>
                <w:rFonts w:cs="Calibri"/>
                <w:color w:val="000000"/>
                <w:szCs w:val="20"/>
              </w:rPr>
              <w:t> </w:t>
            </w:r>
          </w:p>
        </w:tc>
        <w:tc>
          <w:tcPr>
            <w:tcW w:w="651" w:type="dxa"/>
            <w:tcBorders>
              <w:top w:val="nil"/>
              <w:left w:val="nil"/>
              <w:bottom w:val="single" w:sz="4" w:space="0" w:color="auto"/>
              <w:right w:val="single" w:sz="4" w:space="0" w:color="auto"/>
            </w:tcBorders>
            <w:shd w:val="clear" w:color="auto" w:fill="auto"/>
            <w:noWrap/>
            <w:vAlign w:val="center"/>
          </w:tcPr>
          <w:p w14:paraId="734C1D9F" w14:textId="77777777" w:rsidR="00E54E14" w:rsidRPr="00D94B5E" w:rsidRDefault="00E54E14" w:rsidP="00B823C1">
            <w:pPr>
              <w:spacing w:after="0"/>
              <w:jc w:val="center"/>
              <w:rPr>
                <w:color w:val="000000"/>
                <w:szCs w:val="20"/>
                <w:lang w:eastAsia="pl-PL"/>
              </w:rPr>
            </w:pPr>
            <w:r w:rsidRPr="00D94B5E">
              <w:rPr>
                <w:rFonts w:cs="Calibri"/>
                <w:color w:val="000000"/>
                <w:szCs w:val="20"/>
              </w:rPr>
              <w:t> </w:t>
            </w:r>
          </w:p>
        </w:tc>
        <w:tc>
          <w:tcPr>
            <w:tcW w:w="684" w:type="dxa"/>
            <w:tcBorders>
              <w:top w:val="nil"/>
              <w:left w:val="nil"/>
              <w:bottom w:val="single" w:sz="4" w:space="0" w:color="auto"/>
              <w:right w:val="single" w:sz="4" w:space="0" w:color="auto"/>
            </w:tcBorders>
            <w:shd w:val="clear" w:color="auto" w:fill="auto"/>
            <w:noWrap/>
            <w:vAlign w:val="center"/>
          </w:tcPr>
          <w:p w14:paraId="4A19486F" w14:textId="77777777" w:rsidR="00E54E14" w:rsidRPr="00D94B5E" w:rsidRDefault="00E54E14" w:rsidP="00B823C1">
            <w:pPr>
              <w:spacing w:after="0"/>
              <w:jc w:val="center"/>
              <w:rPr>
                <w:color w:val="000000"/>
                <w:szCs w:val="20"/>
                <w:lang w:eastAsia="pl-PL"/>
              </w:rPr>
            </w:pPr>
            <w:r w:rsidRPr="00D94B5E">
              <w:rPr>
                <w:rFonts w:cs="Calibri"/>
                <w:color w:val="000000"/>
                <w:szCs w:val="20"/>
              </w:rPr>
              <w:t> </w:t>
            </w:r>
          </w:p>
        </w:tc>
        <w:tc>
          <w:tcPr>
            <w:tcW w:w="684" w:type="dxa"/>
            <w:tcBorders>
              <w:top w:val="nil"/>
              <w:left w:val="nil"/>
              <w:bottom w:val="single" w:sz="4" w:space="0" w:color="auto"/>
              <w:right w:val="single" w:sz="4" w:space="0" w:color="auto"/>
            </w:tcBorders>
            <w:shd w:val="clear" w:color="auto" w:fill="auto"/>
            <w:noWrap/>
            <w:vAlign w:val="center"/>
          </w:tcPr>
          <w:p w14:paraId="46FCA4EA" w14:textId="77777777" w:rsidR="00E54E14" w:rsidRPr="00D94B5E" w:rsidRDefault="00E54E14" w:rsidP="00B823C1">
            <w:pPr>
              <w:spacing w:after="0"/>
              <w:jc w:val="center"/>
              <w:rPr>
                <w:color w:val="000000"/>
                <w:szCs w:val="20"/>
                <w:lang w:eastAsia="pl-PL"/>
              </w:rPr>
            </w:pPr>
            <w:r w:rsidRPr="00D94B5E">
              <w:rPr>
                <w:rFonts w:cs="Calibri"/>
                <w:color w:val="000000"/>
                <w:szCs w:val="20"/>
              </w:rPr>
              <w:t> </w:t>
            </w:r>
          </w:p>
        </w:tc>
        <w:tc>
          <w:tcPr>
            <w:tcW w:w="651" w:type="dxa"/>
            <w:tcBorders>
              <w:top w:val="single" w:sz="4" w:space="0" w:color="auto"/>
              <w:left w:val="single" w:sz="4" w:space="0" w:color="auto"/>
              <w:bottom w:val="single" w:sz="4" w:space="0" w:color="auto"/>
              <w:right w:val="single" w:sz="4" w:space="0" w:color="auto"/>
            </w:tcBorders>
            <w:vAlign w:val="center"/>
          </w:tcPr>
          <w:p w14:paraId="654F6FA2" w14:textId="77777777" w:rsidR="00E54E14" w:rsidRPr="00D94B5E" w:rsidRDefault="00E54E14" w:rsidP="00B823C1">
            <w:pPr>
              <w:spacing w:after="0"/>
              <w:jc w:val="center"/>
              <w:rPr>
                <w:color w:val="000000"/>
                <w:szCs w:val="20"/>
                <w:lang w:eastAsia="pl-PL"/>
              </w:rPr>
            </w:pPr>
            <w:r w:rsidRPr="00D94B5E">
              <w:rPr>
                <w:rFonts w:cs="Calibri"/>
                <w:color w:val="000000"/>
                <w:szCs w:val="20"/>
              </w:rPr>
              <w:t>6</w:t>
            </w:r>
          </w:p>
        </w:tc>
        <w:tc>
          <w:tcPr>
            <w:tcW w:w="651" w:type="dxa"/>
            <w:tcBorders>
              <w:top w:val="single" w:sz="4" w:space="0" w:color="auto"/>
              <w:left w:val="single" w:sz="4" w:space="0" w:color="auto"/>
              <w:bottom w:val="single" w:sz="4" w:space="0" w:color="auto"/>
              <w:right w:val="single" w:sz="4" w:space="0" w:color="auto"/>
            </w:tcBorders>
            <w:vAlign w:val="center"/>
          </w:tcPr>
          <w:p w14:paraId="337A96C2" w14:textId="77777777" w:rsidR="00E54E14" w:rsidRPr="00D94B5E" w:rsidRDefault="00E54E14" w:rsidP="00B823C1">
            <w:pPr>
              <w:spacing w:after="0"/>
              <w:jc w:val="center"/>
              <w:rPr>
                <w:color w:val="000000"/>
                <w:szCs w:val="20"/>
                <w:lang w:eastAsia="pl-PL"/>
              </w:rPr>
            </w:pPr>
            <w:r w:rsidRPr="00D94B5E">
              <w:rPr>
                <w:rFonts w:cs="Calibri"/>
                <w:color w:val="000000"/>
                <w:szCs w:val="20"/>
              </w:rPr>
              <w:t>6</w:t>
            </w:r>
          </w:p>
        </w:tc>
        <w:tc>
          <w:tcPr>
            <w:tcW w:w="651" w:type="dxa"/>
            <w:tcBorders>
              <w:top w:val="single" w:sz="4" w:space="0" w:color="auto"/>
              <w:left w:val="single" w:sz="4" w:space="0" w:color="auto"/>
              <w:bottom w:val="single" w:sz="4" w:space="0" w:color="auto"/>
              <w:right w:val="single" w:sz="4" w:space="0" w:color="auto"/>
            </w:tcBorders>
            <w:vAlign w:val="center"/>
          </w:tcPr>
          <w:p w14:paraId="00F66274" w14:textId="77777777" w:rsidR="00E54E14" w:rsidRPr="00D94B5E" w:rsidRDefault="00E54E14" w:rsidP="00B823C1">
            <w:pPr>
              <w:spacing w:after="0"/>
              <w:jc w:val="center"/>
              <w:rPr>
                <w:color w:val="000000"/>
                <w:szCs w:val="20"/>
                <w:lang w:eastAsia="pl-PL"/>
              </w:rPr>
            </w:pPr>
            <w:r w:rsidRPr="00D94B5E">
              <w:rPr>
                <w:rFonts w:cs="Calibri"/>
                <w:color w:val="000000"/>
                <w:szCs w:val="20"/>
              </w:rPr>
              <w:t>6</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2BA4AE" w14:textId="77777777" w:rsidR="00E54E14" w:rsidRPr="00D94B5E" w:rsidRDefault="00E54E14" w:rsidP="00B823C1">
            <w:pPr>
              <w:spacing w:after="0"/>
              <w:jc w:val="center"/>
              <w:rPr>
                <w:color w:val="000000"/>
                <w:szCs w:val="20"/>
                <w:lang w:eastAsia="pl-PL"/>
              </w:rPr>
            </w:pPr>
            <w:r w:rsidRPr="00D94B5E">
              <w:rPr>
                <w:rFonts w:cs="Calibri"/>
                <w:color w:val="000000"/>
                <w:szCs w:val="20"/>
              </w:rPr>
              <w:t>6</w:t>
            </w:r>
          </w:p>
        </w:tc>
        <w:tc>
          <w:tcPr>
            <w:tcW w:w="1473" w:type="dxa"/>
            <w:vMerge/>
            <w:tcBorders>
              <w:left w:val="single" w:sz="4" w:space="0" w:color="auto"/>
              <w:right w:val="single" w:sz="4" w:space="0" w:color="auto"/>
            </w:tcBorders>
            <w:shd w:val="clear" w:color="auto" w:fill="auto"/>
            <w:vAlign w:val="center"/>
            <w:hideMark/>
          </w:tcPr>
          <w:p w14:paraId="305964F4" w14:textId="77777777" w:rsidR="00E54E14" w:rsidRPr="00D94B5E" w:rsidRDefault="00E54E14" w:rsidP="00B823C1">
            <w:pPr>
              <w:spacing w:after="0"/>
              <w:jc w:val="center"/>
              <w:rPr>
                <w:color w:val="000000"/>
                <w:szCs w:val="20"/>
                <w:lang w:eastAsia="pl-PL"/>
              </w:rPr>
            </w:pPr>
          </w:p>
        </w:tc>
      </w:tr>
      <w:tr w:rsidR="00E54E14" w:rsidRPr="00D94B5E" w14:paraId="2003B564" w14:textId="77777777" w:rsidTr="00B823C1">
        <w:trPr>
          <w:trHeight w:val="273"/>
        </w:trPr>
        <w:tc>
          <w:tcPr>
            <w:tcW w:w="1456" w:type="dxa"/>
            <w:vMerge/>
            <w:tcBorders>
              <w:left w:val="single" w:sz="4" w:space="0" w:color="auto"/>
              <w:right w:val="single" w:sz="4" w:space="0" w:color="auto"/>
            </w:tcBorders>
            <w:vAlign w:val="center"/>
            <w:hideMark/>
          </w:tcPr>
          <w:p w14:paraId="62A8983B" w14:textId="77777777" w:rsidR="00E54E14" w:rsidRPr="00D94B5E" w:rsidRDefault="00E54E14" w:rsidP="00B823C1">
            <w:pPr>
              <w:spacing w:after="0"/>
              <w:jc w:val="center"/>
              <w:rPr>
                <w:color w:val="000000"/>
                <w:szCs w:val="20"/>
                <w:lang w:eastAsia="pl-PL"/>
              </w:rPr>
            </w:pPr>
          </w:p>
        </w:tc>
        <w:tc>
          <w:tcPr>
            <w:tcW w:w="699" w:type="dxa"/>
            <w:tcBorders>
              <w:top w:val="nil"/>
              <w:left w:val="nil"/>
              <w:bottom w:val="single" w:sz="4" w:space="0" w:color="auto"/>
              <w:right w:val="single" w:sz="4" w:space="0" w:color="auto"/>
            </w:tcBorders>
            <w:shd w:val="clear" w:color="auto" w:fill="auto"/>
            <w:noWrap/>
            <w:vAlign w:val="center"/>
          </w:tcPr>
          <w:p w14:paraId="78E4EB11" w14:textId="77777777" w:rsidR="00E54E14" w:rsidRPr="00D94B5E" w:rsidRDefault="00E54E14" w:rsidP="00B823C1">
            <w:pPr>
              <w:spacing w:after="0"/>
              <w:jc w:val="center"/>
              <w:rPr>
                <w:color w:val="000000"/>
                <w:szCs w:val="20"/>
                <w:lang w:eastAsia="pl-PL"/>
              </w:rPr>
            </w:pPr>
            <w:r w:rsidRPr="00D94B5E">
              <w:rPr>
                <w:rFonts w:cs="Calibri"/>
                <w:color w:val="000000"/>
                <w:szCs w:val="20"/>
              </w:rPr>
              <w:t> </w:t>
            </w:r>
          </w:p>
        </w:tc>
        <w:tc>
          <w:tcPr>
            <w:tcW w:w="651" w:type="dxa"/>
            <w:tcBorders>
              <w:top w:val="nil"/>
              <w:left w:val="nil"/>
              <w:bottom w:val="single" w:sz="4" w:space="0" w:color="auto"/>
              <w:right w:val="single" w:sz="4" w:space="0" w:color="auto"/>
            </w:tcBorders>
            <w:shd w:val="clear" w:color="auto" w:fill="auto"/>
            <w:noWrap/>
            <w:vAlign w:val="center"/>
          </w:tcPr>
          <w:p w14:paraId="011AF100" w14:textId="77777777" w:rsidR="00E54E14" w:rsidRPr="00D94B5E" w:rsidRDefault="00E54E14" w:rsidP="00B823C1">
            <w:pPr>
              <w:spacing w:after="0"/>
              <w:jc w:val="center"/>
              <w:rPr>
                <w:color w:val="000000"/>
                <w:szCs w:val="20"/>
                <w:lang w:eastAsia="pl-PL"/>
              </w:rPr>
            </w:pPr>
            <w:r w:rsidRPr="00D94B5E">
              <w:rPr>
                <w:rFonts w:cs="Calibri"/>
                <w:color w:val="000000"/>
                <w:szCs w:val="20"/>
              </w:rPr>
              <w:t> </w:t>
            </w:r>
          </w:p>
        </w:tc>
        <w:tc>
          <w:tcPr>
            <w:tcW w:w="651" w:type="dxa"/>
            <w:tcBorders>
              <w:top w:val="nil"/>
              <w:left w:val="nil"/>
              <w:bottom w:val="single" w:sz="4" w:space="0" w:color="auto"/>
              <w:right w:val="single" w:sz="4" w:space="0" w:color="auto"/>
            </w:tcBorders>
            <w:shd w:val="clear" w:color="auto" w:fill="auto"/>
            <w:noWrap/>
            <w:vAlign w:val="center"/>
          </w:tcPr>
          <w:p w14:paraId="019C505D" w14:textId="77777777" w:rsidR="00E54E14" w:rsidRPr="00D94B5E" w:rsidRDefault="00E54E14" w:rsidP="00B823C1">
            <w:pPr>
              <w:spacing w:after="0"/>
              <w:jc w:val="center"/>
              <w:rPr>
                <w:color w:val="000000"/>
                <w:szCs w:val="20"/>
                <w:lang w:eastAsia="pl-PL"/>
              </w:rPr>
            </w:pPr>
            <w:r w:rsidRPr="00D94B5E">
              <w:rPr>
                <w:rFonts w:cs="Calibri"/>
                <w:color w:val="000000"/>
                <w:szCs w:val="20"/>
              </w:rPr>
              <w:t> </w:t>
            </w:r>
          </w:p>
        </w:tc>
        <w:tc>
          <w:tcPr>
            <w:tcW w:w="651" w:type="dxa"/>
            <w:tcBorders>
              <w:top w:val="nil"/>
              <w:left w:val="nil"/>
              <w:bottom w:val="single" w:sz="4" w:space="0" w:color="auto"/>
              <w:right w:val="single" w:sz="4" w:space="0" w:color="auto"/>
            </w:tcBorders>
            <w:shd w:val="clear" w:color="auto" w:fill="auto"/>
            <w:noWrap/>
            <w:vAlign w:val="bottom"/>
          </w:tcPr>
          <w:p w14:paraId="64C3BE93" w14:textId="77777777" w:rsidR="00E54E14" w:rsidRPr="00D94B5E" w:rsidRDefault="00E54E14" w:rsidP="00B823C1">
            <w:pPr>
              <w:spacing w:after="0"/>
              <w:jc w:val="center"/>
              <w:rPr>
                <w:color w:val="000000"/>
                <w:szCs w:val="20"/>
                <w:lang w:eastAsia="pl-PL"/>
              </w:rPr>
            </w:pPr>
          </w:p>
        </w:tc>
        <w:tc>
          <w:tcPr>
            <w:tcW w:w="684" w:type="dxa"/>
            <w:tcBorders>
              <w:top w:val="nil"/>
              <w:left w:val="nil"/>
              <w:bottom w:val="single" w:sz="4" w:space="0" w:color="auto"/>
              <w:right w:val="single" w:sz="4" w:space="0" w:color="auto"/>
            </w:tcBorders>
            <w:shd w:val="clear" w:color="auto" w:fill="auto"/>
            <w:noWrap/>
            <w:vAlign w:val="center"/>
          </w:tcPr>
          <w:p w14:paraId="4472FAFC" w14:textId="77777777" w:rsidR="00E54E14" w:rsidRPr="00D94B5E" w:rsidRDefault="00E54E14" w:rsidP="00B823C1">
            <w:pPr>
              <w:spacing w:after="0"/>
              <w:jc w:val="center"/>
              <w:rPr>
                <w:color w:val="000000"/>
                <w:szCs w:val="20"/>
                <w:lang w:eastAsia="pl-PL"/>
              </w:rPr>
            </w:pPr>
            <w:r w:rsidRPr="00D94B5E">
              <w:rPr>
                <w:rFonts w:cs="Calibri"/>
                <w:color w:val="000000"/>
                <w:szCs w:val="20"/>
              </w:rPr>
              <w:t> </w:t>
            </w:r>
          </w:p>
        </w:tc>
        <w:tc>
          <w:tcPr>
            <w:tcW w:w="684" w:type="dxa"/>
            <w:tcBorders>
              <w:top w:val="nil"/>
              <w:left w:val="nil"/>
              <w:bottom w:val="single" w:sz="4" w:space="0" w:color="auto"/>
              <w:right w:val="single" w:sz="4" w:space="0" w:color="auto"/>
            </w:tcBorders>
            <w:shd w:val="clear" w:color="auto" w:fill="auto"/>
            <w:noWrap/>
            <w:vAlign w:val="center"/>
          </w:tcPr>
          <w:p w14:paraId="0A135E28" w14:textId="77777777" w:rsidR="00E54E14" w:rsidRPr="00D94B5E" w:rsidRDefault="00E54E14" w:rsidP="00B823C1">
            <w:pPr>
              <w:spacing w:after="0"/>
              <w:jc w:val="center"/>
              <w:rPr>
                <w:color w:val="000000"/>
                <w:szCs w:val="20"/>
                <w:lang w:eastAsia="pl-PL"/>
              </w:rPr>
            </w:pPr>
            <w:r w:rsidRPr="00D94B5E">
              <w:rPr>
                <w:rFonts w:cs="Calibri"/>
                <w:color w:val="000000"/>
                <w:szCs w:val="20"/>
              </w:rPr>
              <w:t>6</w:t>
            </w:r>
          </w:p>
        </w:tc>
        <w:tc>
          <w:tcPr>
            <w:tcW w:w="651" w:type="dxa"/>
            <w:tcBorders>
              <w:top w:val="single" w:sz="4" w:space="0" w:color="auto"/>
              <w:left w:val="single" w:sz="4" w:space="0" w:color="auto"/>
              <w:bottom w:val="single" w:sz="4" w:space="0" w:color="auto"/>
              <w:right w:val="single" w:sz="4" w:space="0" w:color="auto"/>
            </w:tcBorders>
            <w:vAlign w:val="center"/>
          </w:tcPr>
          <w:p w14:paraId="240FD862" w14:textId="77777777" w:rsidR="00E54E14" w:rsidRPr="00D94B5E" w:rsidRDefault="00E54E14" w:rsidP="00B823C1">
            <w:pPr>
              <w:spacing w:after="0"/>
              <w:jc w:val="center"/>
              <w:rPr>
                <w:color w:val="000000"/>
                <w:szCs w:val="20"/>
                <w:lang w:eastAsia="pl-PL"/>
              </w:rPr>
            </w:pPr>
            <w:r w:rsidRPr="00D94B5E">
              <w:rPr>
                <w:rFonts w:cs="Calibri"/>
                <w:color w:val="000000"/>
                <w:szCs w:val="20"/>
              </w:rPr>
              <w:t>6</w:t>
            </w:r>
          </w:p>
        </w:tc>
        <w:tc>
          <w:tcPr>
            <w:tcW w:w="651" w:type="dxa"/>
            <w:tcBorders>
              <w:top w:val="single" w:sz="4" w:space="0" w:color="auto"/>
              <w:left w:val="single" w:sz="4" w:space="0" w:color="auto"/>
              <w:bottom w:val="single" w:sz="4" w:space="0" w:color="auto"/>
              <w:right w:val="single" w:sz="4" w:space="0" w:color="auto"/>
            </w:tcBorders>
            <w:vAlign w:val="center"/>
          </w:tcPr>
          <w:p w14:paraId="0EECF5C1" w14:textId="77777777" w:rsidR="00E54E14" w:rsidRPr="00D94B5E" w:rsidRDefault="00E54E14" w:rsidP="00B823C1">
            <w:pPr>
              <w:spacing w:after="0"/>
              <w:jc w:val="center"/>
              <w:rPr>
                <w:color w:val="000000"/>
                <w:szCs w:val="20"/>
                <w:lang w:eastAsia="pl-PL"/>
              </w:rPr>
            </w:pPr>
            <w:r w:rsidRPr="00D94B5E">
              <w:rPr>
                <w:rFonts w:cs="Calibri"/>
                <w:color w:val="000000"/>
                <w:szCs w:val="20"/>
              </w:rPr>
              <w:t>6</w:t>
            </w:r>
          </w:p>
        </w:tc>
        <w:tc>
          <w:tcPr>
            <w:tcW w:w="651" w:type="dxa"/>
            <w:tcBorders>
              <w:top w:val="single" w:sz="4" w:space="0" w:color="auto"/>
              <w:left w:val="single" w:sz="4" w:space="0" w:color="auto"/>
              <w:bottom w:val="single" w:sz="4" w:space="0" w:color="auto"/>
              <w:right w:val="single" w:sz="4" w:space="0" w:color="auto"/>
            </w:tcBorders>
            <w:vAlign w:val="center"/>
          </w:tcPr>
          <w:p w14:paraId="339CB1E6" w14:textId="77777777" w:rsidR="00E54E14" w:rsidRPr="00D94B5E" w:rsidRDefault="00E54E14" w:rsidP="00B823C1">
            <w:pPr>
              <w:spacing w:after="0"/>
              <w:jc w:val="center"/>
              <w:rPr>
                <w:color w:val="000000"/>
                <w:szCs w:val="20"/>
                <w:lang w:eastAsia="pl-PL"/>
              </w:rPr>
            </w:pPr>
            <w:r w:rsidRPr="00D94B5E">
              <w:rPr>
                <w:rFonts w:cs="Calibri"/>
                <w:color w:val="000000"/>
                <w:szCs w:val="20"/>
              </w:rPr>
              <w:t>6</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194A8" w14:textId="77777777" w:rsidR="00E54E14" w:rsidRPr="00D94B5E" w:rsidRDefault="00E54E14" w:rsidP="00B823C1">
            <w:pPr>
              <w:spacing w:after="0"/>
              <w:jc w:val="center"/>
              <w:rPr>
                <w:color w:val="000000"/>
                <w:szCs w:val="20"/>
                <w:lang w:eastAsia="pl-PL"/>
              </w:rPr>
            </w:pPr>
            <w:r w:rsidRPr="00D94B5E">
              <w:rPr>
                <w:rFonts w:cs="Calibri"/>
                <w:color w:val="000000"/>
                <w:szCs w:val="20"/>
              </w:rPr>
              <w:t>6</w:t>
            </w:r>
          </w:p>
        </w:tc>
        <w:tc>
          <w:tcPr>
            <w:tcW w:w="1473" w:type="dxa"/>
            <w:vMerge/>
            <w:tcBorders>
              <w:left w:val="single" w:sz="4" w:space="0" w:color="auto"/>
              <w:right w:val="single" w:sz="4" w:space="0" w:color="auto"/>
            </w:tcBorders>
            <w:vAlign w:val="center"/>
            <w:hideMark/>
          </w:tcPr>
          <w:p w14:paraId="4390AB2D" w14:textId="77777777" w:rsidR="00E54E14" w:rsidRPr="00D94B5E" w:rsidRDefault="00E54E14" w:rsidP="00B823C1">
            <w:pPr>
              <w:spacing w:after="0"/>
              <w:jc w:val="center"/>
              <w:rPr>
                <w:color w:val="000000"/>
                <w:szCs w:val="20"/>
                <w:lang w:eastAsia="pl-PL"/>
              </w:rPr>
            </w:pPr>
          </w:p>
        </w:tc>
      </w:tr>
      <w:tr w:rsidR="00E54E14" w:rsidRPr="00D94B5E" w14:paraId="11BBA759" w14:textId="77777777" w:rsidTr="00B823C1">
        <w:trPr>
          <w:trHeight w:val="273"/>
        </w:trPr>
        <w:tc>
          <w:tcPr>
            <w:tcW w:w="1456" w:type="dxa"/>
            <w:vMerge/>
            <w:tcBorders>
              <w:left w:val="single" w:sz="4" w:space="0" w:color="auto"/>
              <w:right w:val="single" w:sz="4" w:space="0" w:color="auto"/>
            </w:tcBorders>
            <w:vAlign w:val="center"/>
            <w:hideMark/>
          </w:tcPr>
          <w:p w14:paraId="49528137" w14:textId="77777777" w:rsidR="00E54E14" w:rsidRPr="00D94B5E" w:rsidRDefault="00E54E14" w:rsidP="00B823C1">
            <w:pPr>
              <w:spacing w:after="0"/>
              <w:jc w:val="center"/>
              <w:rPr>
                <w:color w:val="000000"/>
                <w:szCs w:val="20"/>
                <w:lang w:eastAsia="pl-PL"/>
              </w:rPr>
            </w:pPr>
          </w:p>
        </w:tc>
        <w:tc>
          <w:tcPr>
            <w:tcW w:w="699" w:type="dxa"/>
            <w:tcBorders>
              <w:top w:val="nil"/>
              <w:left w:val="nil"/>
              <w:bottom w:val="single" w:sz="4" w:space="0" w:color="auto"/>
              <w:right w:val="single" w:sz="4" w:space="0" w:color="auto"/>
            </w:tcBorders>
            <w:shd w:val="clear" w:color="auto" w:fill="auto"/>
            <w:noWrap/>
            <w:vAlign w:val="center"/>
          </w:tcPr>
          <w:p w14:paraId="7D33E42F" w14:textId="77777777" w:rsidR="00E54E14" w:rsidRPr="00D94B5E" w:rsidRDefault="00E54E14" w:rsidP="00B823C1">
            <w:pPr>
              <w:spacing w:after="0"/>
              <w:jc w:val="center"/>
              <w:rPr>
                <w:color w:val="000000"/>
                <w:szCs w:val="20"/>
                <w:lang w:eastAsia="pl-PL"/>
              </w:rPr>
            </w:pPr>
            <w:r w:rsidRPr="00D94B5E">
              <w:rPr>
                <w:rFonts w:cs="Calibri"/>
                <w:color w:val="000000"/>
                <w:szCs w:val="20"/>
              </w:rPr>
              <w:t> </w:t>
            </w:r>
          </w:p>
        </w:tc>
        <w:tc>
          <w:tcPr>
            <w:tcW w:w="651" w:type="dxa"/>
            <w:tcBorders>
              <w:top w:val="nil"/>
              <w:left w:val="nil"/>
              <w:bottom w:val="single" w:sz="4" w:space="0" w:color="auto"/>
              <w:right w:val="single" w:sz="4" w:space="0" w:color="auto"/>
            </w:tcBorders>
            <w:shd w:val="clear" w:color="auto" w:fill="auto"/>
            <w:noWrap/>
            <w:vAlign w:val="center"/>
          </w:tcPr>
          <w:p w14:paraId="4AC5CAAC" w14:textId="77777777" w:rsidR="00E54E14" w:rsidRPr="00D94B5E" w:rsidRDefault="00E54E14" w:rsidP="00B823C1">
            <w:pPr>
              <w:spacing w:after="0"/>
              <w:jc w:val="center"/>
              <w:rPr>
                <w:color w:val="000000"/>
                <w:szCs w:val="20"/>
                <w:lang w:eastAsia="pl-PL"/>
              </w:rPr>
            </w:pPr>
            <w:r w:rsidRPr="00D94B5E">
              <w:rPr>
                <w:rFonts w:cs="Calibri"/>
                <w:color w:val="000000"/>
                <w:szCs w:val="20"/>
              </w:rPr>
              <w:t> </w:t>
            </w:r>
          </w:p>
        </w:tc>
        <w:tc>
          <w:tcPr>
            <w:tcW w:w="651" w:type="dxa"/>
            <w:tcBorders>
              <w:top w:val="nil"/>
              <w:left w:val="nil"/>
              <w:bottom w:val="single" w:sz="4" w:space="0" w:color="auto"/>
              <w:right w:val="single" w:sz="4" w:space="0" w:color="auto"/>
            </w:tcBorders>
            <w:shd w:val="clear" w:color="auto" w:fill="auto"/>
            <w:noWrap/>
            <w:vAlign w:val="center"/>
          </w:tcPr>
          <w:p w14:paraId="20FCFC08" w14:textId="77777777" w:rsidR="00E54E14" w:rsidRPr="00D94B5E" w:rsidRDefault="00E54E14" w:rsidP="00B823C1">
            <w:pPr>
              <w:spacing w:after="0"/>
              <w:jc w:val="center"/>
              <w:rPr>
                <w:color w:val="000000"/>
                <w:szCs w:val="20"/>
                <w:lang w:eastAsia="pl-PL"/>
              </w:rPr>
            </w:pPr>
            <w:r w:rsidRPr="00D94B5E">
              <w:rPr>
                <w:rFonts w:cs="Calibri"/>
                <w:color w:val="000000"/>
                <w:szCs w:val="20"/>
              </w:rPr>
              <w:t> </w:t>
            </w:r>
          </w:p>
        </w:tc>
        <w:tc>
          <w:tcPr>
            <w:tcW w:w="651" w:type="dxa"/>
            <w:tcBorders>
              <w:top w:val="nil"/>
              <w:left w:val="nil"/>
              <w:bottom w:val="single" w:sz="4" w:space="0" w:color="auto"/>
              <w:right w:val="single" w:sz="4" w:space="0" w:color="auto"/>
            </w:tcBorders>
            <w:shd w:val="clear" w:color="auto" w:fill="auto"/>
            <w:noWrap/>
            <w:vAlign w:val="center"/>
          </w:tcPr>
          <w:p w14:paraId="245D86B1" w14:textId="77777777" w:rsidR="00E54E14" w:rsidRPr="00D94B5E" w:rsidRDefault="00E54E14" w:rsidP="00B823C1">
            <w:pPr>
              <w:spacing w:after="0"/>
              <w:jc w:val="center"/>
              <w:rPr>
                <w:color w:val="000000"/>
                <w:szCs w:val="20"/>
                <w:lang w:eastAsia="pl-PL"/>
              </w:rPr>
            </w:pPr>
            <w:r w:rsidRPr="00D94B5E">
              <w:rPr>
                <w:rFonts w:cs="Calibri"/>
                <w:color w:val="000000"/>
                <w:szCs w:val="20"/>
              </w:rPr>
              <w:t> </w:t>
            </w:r>
          </w:p>
        </w:tc>
        <w:tc>
          <w:tcPr>
            <w:tcW w:w="684" w:type="dxa"/>
            <w:tcBorders>
              <w:top w:val="nil"/>
              <w:left w:val="nil"/>
              <w:bottom w:val="single" w:sz="4" w:space="0" w:color="auto"/>
              <w:right w:val="single" w:sz="4" w:space="0" w:color="auto"/>
            </w:tcBorders>
            <w:shd w:val="clear" w:color="auto" w:fill="auto"/>
            <w:noWrap/>
            <w:vAlign w:val="center"/>
          </w:tcPr>
          <w:p w14:paraId="3304E83A" w14:textId="77777777" w:rsidR="00E54E14" w:rsidRPr="00D94B5E" w:rsidRDefault="00E54E14" w:rsidP="00B823C1">
            <w:pPr>
              <w:spacing w:after="0"/>
              <w:jc w:val="center"/>
              <w:rPr>
                <w:color w:val="000000"/>
                <w:szCs w:val="20"/>
                <w:lang w:eastAsia="pl-PL"/>
              </w:rPr>
            </w:pPr>
            <w:r w:rsidRPr="00D94B5E">
              <w:rPr>
                <w:rFonts w:cs="Calibri"/>
                <w:color w:val="000000"/>
                <w:szCs w:val="20"/>
              </w:rPr>
              <w:t>6</w:t>
            </w:r>
          </w:p>
        </w:tc>
        <w:tc>
          <w:tcPr>
            <w:tcW w:w="684" w:type="dxa"/>
            <w:tcBorders>
              <w:top w:val="nil"/>
              <w:left w:val="nil"/>
              <w:bottom w:val="single" w:sz="4" w:space="0" w:color="auto"/>
              <w:right w:val="single" w:sz="4" w:space="0" w:color="auto"/>
            </w:tcBorders>
            <w:shd w:val="clear" w:color="auto" w:fill="auto"/>
            <w:noWrap/>
            <w:vAlign w:val="center"/>
          </w:tcPr>
          <w:p w14:paraId="5E4DCE30" w14:textId="77777777" w:rsidR="00E54E14" w:rsidRPr="00D94B5E" w:rsidRDefault="00E54E14" w:rsidP="00B823C1">
            <w:pPr>
              <w:spacing w:after="0"/>
              <w:jc w:val="center"/>
              <w:rPr>
                <w:color w:val="000000"/>
                <w:szCs w:val="20"/>
                <w:lang w:eastAsia="pl-PL"/>
              </w:rPr>
            </w:pPr>
            <w:r w:rsidRPr="00D94B5E">
              <w:rPr>
                <w:rFonts w:cs="Calibri"/>
                <w:color w:val="000000"/>
                <w:szCs w:val="20"/>
              </w:rPr>
              <w:t>6</w:t>
            </w:r>
          </w:p>
        </w:tc>
        <w:tc>
          <w:tcPr>
            <w:tcW w:w="651" w:type="dxa"/>
            <w:tcBorders>
              <w:top w:val="single" w:sz="4" w:space="0" w:color="auto"/>
              <w:left w:val="single" w:sz="4" w:space="0" w:color="auto"/>
              <w:bottom w:val="single" w:sz="4" w:space="0" w:color="auto"/>
              <w:right w:val="single" w:sz="4" w:space="0" w:color="auto"/>
            </w:tcBorders>
            <w:vAlign w:val="center"/>
          </w:tcPr>
          <w:p w14:paraId="69EBEE76" w14:textId="77777777" w:rsidR="00E54E14" w:rsidRPr="00D94B5E" w:rsidRDefault="00E54E14" w:rsidP="00B823C1">
            <w:pPr>
              <w:spacing w:after="0"/>
              <w:jc w:val="center"/>
              <w:rPr>
                <w:color w:val="000000"/>
                <w:szCs w:val="20"/>
                <w:lang w:eastAsia="pl-PL"/>
              </w:rPr>
            </w:pPr>
            <w:r w:rsidRPr="00D94B5E">
              <w:rPr>
                <w:rFonts w:cs="Calibri"/>
                <w:color w:val="000000"/>
                <w:szCs w:val="20"/>
              </w:rPr>
              <w:t>6</w:t>
            </w:r>
          </w:p>
        </w:tc>
        <w:tc>
          <w:tcPr>
            <w:tcW w:w="651" w:type="dxa"/>
            <w:tcBorders>
              <w:top w:val="single" w:sz="4" w:space="0" w:color="auto"/>
              <w:left w:val="single" w:sz="4" w:space="0" w:color="auto"/>
              <w:bottom w:val="single" w:sz="4" w:space="0" w:color="auto"/>
              <w:right w:val="single" w:sz="4" w:space="0" w:color="auto"/>
            </w:tcBorders>
            <w:vAlign w:val="center"/>
          </w:tcPr>
          <w:p w14:paraId="1B281BB5" w14:textId="77777777" w:rsidR="00E54E14" w:rsidRPr="00D94B5E" w:rsidRDefault="00E54E14" w:rsidP="00B823C1">
            <w:pPr>
              <w:spacing w:after="0"/>
              <w:jc w:val="center"/>
              <w:rPr>
                <w:color w:val="000000"/>
                <w:szCs w:val="20"/>
                <w:lang w:eastAsia="pl-PL"/>
              </w:rPr>
            </w:pPr>
            <w:r w:rsidRPr="00D94B5E">
              <w:rPr>
                <w:rFonts w:cs="Calibri"/>
                <w:color w:val="000000"/>
                <w:szCs w:val="20"/>
              </w:rPr>
              <w:t>6</w:t>
            </w:r>
          </w:p>
        </w:tc>
        <w:tc>
          <w:tcPr>
            <w:tcW w:w="651" w:type="dxa"/>
            <w:tcBorders>
              <w:top w:val="single" w:sz="4" w:space="0" w:color="auto"/>
              <w:left w:val="single" w:sz="4" w:space="0" w:color="auto"/>
              <w:bottom w:val="single" w:sz="4" w:space="0" w:color="auto"/>
              <w:right w:val="single" w:sz="4" w:space="0" w:color="auto"/>
            </w:tcBorders>
            <w:vAlign w:val="center"/>
          </w:tcPr>
          <w:p w14:paraId="6CBBA560" w14:textId="77777777" w:rsidR="00E54E14" w:rsidRPr="00D94B5E" w:rsidRDefault="00E54E14" w:rsidP="00B823C1">
            <w:pPr>
              <w:spacing w:after="0"/>
              <w:jc w:val="center"/>
              <w:rPr>
                <w:color w:val="000000"/>
                <w:szCs w:val="20"/>
                <w:lang w:eastAsia="pl-PL"/>
              </w:rPr>
            </w:pPr>
            <w:r w:rsidRPr="00D94B5E">
              <w:rPr>
                <w:rFonts w:cs="Calibri"/>
                <w:color w:val="000000"/>
                <w:szCs w:val="20"/>
              </w:rPr>
              <w:t>6</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C43DAC" w14:textId="77777777" w:rsidR="00E54E14" w:rsidRPr="00D94B5E" w:rsidRDefault="00E54E14" w:rsidP="00B823C1">
            <w:pPr>
              <w:spacing w:after="0"/>
              <w:jc w:val="center"/>
              <w:rPr>
                <w:color w:val="000000"/>
                <w:szCs w:val="20"/>
                <w:lang w:eastAsia="pl-PL"/>
              </w:rPr>
            </w:pPr>
            <w:r w:rsidRPr="00D94B5E">
              <w:rPr>
                <w:rFonts w:cs="Calibri"/>
                <w:color w:val="000000"/>
                <w:szCs w:val="20"/>
              </w:rPr>
              <w:t>6</w:t>
            </w:r>
          </w:p>
        </w:tc>
        <w:tc>
          <w:tcPr>
            <w:tcW w:w="1473" w:type="dxa"/>
            <w:vMerge/>
            <w:tcBorders>
              <w:left w:val="single" w:sz="4" w:space="0" w:color="auto"/>
              <w:right w:val="single" w:sz="4" w:space="0" w:color="auto"/>
            </w:tcBorders>
            <w:shd w:val="clear" w:color="auto" w:fill="auto"/>
            <w:vAlign w:val="center"/>
            <w:hideMark/>
          </w:tcPr>
          <w:p w14:paraId="047EDB9C" w14:textId="77777777" w:rsidR="00E54E14" w:rsidRPr="00D94B5E" w:rsidRDefault="00E54E14" w:rsidP="00B823C1">
            <w:pPr>
              <w:spacing w:after="0"/>
              <w:jc w:val="center"/>
              <w:rPr>
                <w:color w:val="000000"/>
                <w:szCs w:val="20"/>
                <w:lang w:eastAsia="pl-PL"/>
              </w:rPr>
            </w:pPr>
          </w:p>
        </w:tc>
      </w:tr>
      <w:tr w:rsidR="00E54E14" w:rsidRPr="00D94B5E" w14:paraId="26AAB7A0" w14:textId="77777777" w:rsidTr="00B823C1">
        <w:trPr>
          <w:trHeight w:val="273"/>
        </w:trPr>
        <w:tc>
          <w:tcPr>
            <w:tcW w:w="1456" w:type="dxa"/>
            <w:vMerge/>
            <w:tcBorders>
              <w:left w:val="single" w:sz="4" w:space="0" w:color="auto"/>
              <w:right w:val="single" w:sz="4" w:space="0" w:color="auto"/>
            </w:tcBorders>
            <w:vAlign w:val="center"/>
            <w:hideMark/>
          </w:tcPr>
          <w:p w14:paraId="670FB33B" w14:textId="77777777" w:rsidR="00E54E14" w:rsidRPr="00D94B5E" w:rsidRDefault="00E54E14" w:rsidP="00B823C1">
            <w:pPr>
              <w:spacing w:after="0"/>
              <w:jc w:val="center"/>
              <w:rPr>
                <w:color w:val="000000"/>
                <w:szCs w:val="20"/>
                <w:lang w:eastAsia="pl-PL"/>
              </w:rPr>
            </w:pPr>
          </w:p>
        </w:tc>
        <w:tc>
          <w:tcPr>
            <w:tcW w:w="699" w:type="dxa"/>
            <w:tcBorders>
              <w:top w:val="nil"/>
              <w:left w:val="nil"/>
              <w:bottom w:val="single" w:sz="4" w:space="0" w:color="auto"/>
              <w:right w:val="single" w:sz="4" w:space="0" w:color="auto"/>
            </w:tcBorders>
            <w:shd w:val="clear" w:color="auto" w:fill="auto"/>
            <w:noWrap/>
            <w:vAlign w:val="center"/>
          </w:tcPr>
          <w:p w14:paraId="605BDD96" w14:textId="77777777" w:rsidR="00E54E14" w:rsidRPr="00D94B5E" w:rsidRDefault="00E54E14" w:rsidP="00B823C1">
            <w:pPr>
              <w:spacing w:after="0"/>
              <w:jc w:val="center"/>
              <w:rPr>
                <w:color w:val="000000"/>
                <w:szCs w:val="20"/>
                <w:lang w:eastAsia="pl-PL"/>
              </w:rPr>
            </w:pPr>
            <w:r w:rsidRPr="00D94B5E">
              <w:rPr>
                <w:rFonts w:cs="Calibri"/>
                <w:color w:val="000000"/>
                <w:szCs w:val="20"/>
              </w:rPr>
              <w:t> </w:t>
            </w:r>
          </w:p>
        </w:tc>
        <w:tc>
          <w:tcPr>
            <w:tcW w:w="651" w:type="dxa"/>
            <w:tcBorders>
              <w:top w:val="nil"/>
              <w:left w:val="nil"/>
              <w:bottom w:val="single" w:sz="4" w:space="0" w:color="auto"/>
              <w:right w:val="single" w:sz="4" w:space="0" w:color="auto"/>
            </w:tcBorders>
            <w:shd w:val="clear" w:color="auto" w:fill="auto"/>
            <w:noWrap/>
            <w:vAlign w:val="center"/>
          </w:tcPr>
          <w:p w14:paraId="3F50A6B3" w14:textId="77777777" w:rsidR="00E54E14" w:rsidRPr="00D94B5E" w:rsidRDefault="00E54E14" w:rsidP="00B823C1">
            <w:pPr>
              <w:spacing w:after="0"/>
              <w:jc w:val="center"/>
              <w:rPr>
                <w:color w:val="000000"/>
                <w:szCs w:val="20"/>
                <w:lang w:eastAsia="pl-PL"/>
              </w:rPr>
            </w:pPr>
            <w:r w:rsidRPr="00D94B5E">
              <w:rPr>
                <w:rFonts w:cs="Calibri"/>
                <w:color w:val="000000"/>
                <w:szCs w:val="20"/>
              </w:rPr>
              <w:t> </w:t>
            </w:r>
          </w:p>
        </w:tc>
        <w:tc>
          <w:tcPr>
            <w:tcW w:w="651" w:type="dxa"/>
            <w:tcBorders>
              <w:top w:val="nil"/>
              <w:left w:val="nil"/>
              <w:bottom w:val="single" w:sz="4" w:space="0" w:color="auto"/>
              <w:right w:val="single" w:sz="4" w:space="0" w:color="auto"/>
            </w:tcBorders>
            <w:shd w:val="clear" w:color="auto" w:fill="auto"/>
            <w:noWrap/>
            <w:vAlign w:val="center"/>
          </w:tcPr>
          <w:p w14:paraId="1417E763" w14:textId="77777777" w:rsidR="00E54E14" w:rsidRPr="00D94B5E" w:rsidRDefault="00E54E14" w:rsidP="00B823C1">
            <w:pPr>
              <w:spacing w:after="0"/>
              <w:jc w:val="center"/>
              <w:rPr>
                <w:color w:val="000000"/>
                <w:szCs w:val="20"/>
                <w:lang w:eastAsia="pl-PL"/>
              </w:rPr>
            </w:pPr>
            <w:r w:rsidRPr="00D94B5E">
              <w:rPr>
                <w:rFonts w:cs="Calibri"/>
                <w:color w:val="000000"/>
                <w:szCs w:val="20"/>
              </w:rPr>
              <w:t> </w:t>
            </w:r>
          </w:p>
        </w:tc>
        <w:tc>
          <w:tcPr>
            <w:tcW w:w="651" w:type="dxa"/>
            <w:tcBorders>
              <w:top w:val="nil"/>
              <w:left w:val="nil"/>
              <w:bottom w:val="single" w:sz="4" w:space="0" w:color="auto"/>
              <w:right w:val="single" w:sz="4" w:space="0" w:color="auto"/>
            </w:tcBorders>
            <w:shd w:val="clear" w:color="auto" w:fill="auto"/>
            <w:noWrap/>
            <w:vAlign w:val="center"/>
          </w:tcPr>
          <w:p w14:paraId="741489F1" w14:textId="77777777" w:rsidR="00E54E14" w:rsidRPr="00D94B5E" w:rsidRDefault="00E54E14" w:rsidP="00B823C1">
            <w:pPr>
              <w:spacing w:after="0"/>
              <w:jc w:val="center"/>
              <w:rPr>
                <w:color w:val="000000"/>
                <w:szCs w:val="20"/>
                <w:lang w:eastAsia="pl-PL"/>
              </w:rPr>
            </w:pPr>
            <w:r w:rsidRPr="00D94B5E">
              <w:rPr>
                <w:rFonts w:cs="Calibri"/>
                <w:color w:val="000000"/>
                <w:szCs w:val="20"/>
              </w:rPr>
              <w:t>6</w:t>
            </w:r>
          </w:p>
        </w:tc>
        <w:tc>
          <w:tcPr>
            <w:tcW w:w="684" w:type="dxa"/>
            <w:tcBorders>
              <w:top w:val="nil"/>
              <w:left w:val="nil"/>
              <w:bottom w:val="single" w:sz="4" w:space="0" w:color="auto"/>
              <w:right w:val="single" w:sz="4" w:space="0" w:color="auto"/>
            </w:tcBorders>
            <w:shd w:val="clear" w:color="auto" w:fill="auto"/>
            <w:noWrap/>
            <w:vAlign w:val="center"/>
          </w:tcPr>
          <w:p w14:paraId="52FCDF9B" w14:textId="77777777" w:rsidR="00E54E14" w:rsidRPr="00D94B5E" w:rsidRDefault="00E54E14" w:rsidP="00B823C1">
            <w:pPr>
              <w:spacing w:after="0"/>
              <w:jc w:val="center"/>
              <w:rPr>
                <w:color w:val="000000"/>
                <w:szCs w:val="20"/>
                <w:lang w:eastAsia="pl-PL"/>
              </w:rPr>
            </w:pPr>
            <w:r w:rsidRPr="00D94B5E">
              <w:rPr>
                <w:rFonts w:cs="Calibri"/>
                <w:color w:val="000000"/>
                <w:szCs w:val="20"/>
              </w:rPr>
              <w:t>6</w:t>
            </w:r>
          </w:p>
        </w:tc>
        <w:tc>
          <w:tcPr>
            <w:tcW w:w="684" w:type="dxa"/>
            <w:tcBorders>
              <w:top w:val="nil"/>
              <w:left w:val="nil"/>
              <w:bottom w:val="single" w:sz="4" w:space="0" w:color="auto"/>
              <w:right w:val="single" w:sz="4" w:space="0" w:color="auto"/>
            </w:tcBorders>
            <w:shd w:val="clear" w:color="auto" w:fill="auto"/>
            <w:noWrap/>
            <w:vAlign w:val="center"/>
          </w:tcPr>
          <w:p w14:paraId="4A1B1D4B" w14:textId="77777777" w:rsidR="00E54E14" w:rsidRPr="00D94B5E" w:rsidRDefault="00E54E14" w:rsidP="00B823C1">
            <w:pPr>
              <w:spacing w:after="0"/>
              <w:jc w:val="center"/>
              <w:rPr>
                <w:color w:val="000000"/>
                <w:szCs w:val="20"/>
                <w:lang w:eastAsia="pl-PL"/>
              </w:rPr>
            </w:pPr>
            <w:r w:rsidRPr="00D94B5E">
              <w:rPr>
                <w:rFonts w:cs="Calibri"/>
                <w:color w:val="000000"/>
                <w:szCs w:val="20"/>
              </w:rPr>
              <w:t>6</w:t>
            </w:r>
          </w:p>
        </w:tc>
        <w:tc>
          <w:tcPr>
            <w:tcW w:w="651" w:type="dxa"/>
            <w:tcBorders>
              <w:top w:val="single" w:sz="4" w:space="0" w:color="auto"/>
              <w:left w:val="single" w:sz="4" w:space="0" w:color="auto"/>
              <w:bottom w:val="single" w:sz="4" w:space="0" w:color="auto"/>
              <w:right w:val="single" w:sz="4" w:space="0" w:color="auto"/>
            </w:tcBorders>
            <w:vAlign w:val="center"/>
          </w:tcPr>
          <w:p w14:paraId="0D3F93E0" w14:textId="77777777" w:rsidR="00E54E14" w:rsidRPr="00D94B5E" w:rsidRDefault="00E54E14" w:rsidP="00B823C1">
            <w:pPr>
              <w:spacing w:after="0"/>
              <w:jc w:val="center"/>
              <w:rPr>
                <w:color w:val="000000"/>
                <w:szCs w:val="20"/>
                <w:lang w:eastAsia="pl-PL"/>
              </w:rPr>
            </w:pPr>
            <w:r w:rsidRPr="00D94B5E">
              <w:rPr>
                <w:rFonts w:cs="Calibri"/>
                <w:color w:val="000000"/>
                <w:szCs w:val="20"/>
              </w:rPr>
              <w:t>6</w:t>
            </w:r>
          </w:p>
        </w:tc>
        <w:tc>
          <w:tcPr>
            <w:tcW w:w="651" w:type="dxa"/>
            <w:tcBorders>
              <w:top w:val="single" w:sz="4" w:space="0" w:color="auto"/>
              <w:left w:val="single" w:sz="4" w:space="0" w:color="auto"/>
              <w:bottom w:val="single" w:sz="4" w:space="0" w:color="auto"/>
              <w:right w:val="single" w:sz="4" w:space="0" w:color="auto"/>
            </w:tcBorders>
            <w:vAlign w:val="center"/>
          </w:tcPr>
          <w:p w14:paraId="5B18B2BE" w14:textId="77777777" w:rsidR="00E54E14" w:rsidRPr="00D94B5E" w:rsidRDefault="00E54E14" w:rsidP="00B823C1">
            <w:pPr>
              <w:spacing w:after="0"/>
              <w:jc w:val="center"/>
              <w:rPr>
                <w:color w:val="000000"/>
                <w:szCs w:val="20"/>
                <w:lang w:eastAsia="pl-PL"/>
              </w:rPr>
            </w:pPr>
            <w:r w:rsidRPr="00D94B5E">
              <w:rPr>
                <w:rFonts w:cs="Calibri"/>
                <w:color w:val="000000"/>
                <w:szCs w:val="20"/>
              </w:rPr>
              <w:t>6</w:t>
            </w:r>
          </w:p>
        </w:tc>
        <w:tc>
          <w:tcPr>
            <w:tcW w:w="651" w:type="dxa"/>
            <w:tcBorders>
              <w:top w:val="single" w:sz="4" w:space="0" w:color="auto"/>
              <w:left w:val="single" w:sz="4" w:space="0" w:color="auto"/>
              <w:bottom w:val="single" w:sz="4" w:space="0" w:color="auto"/>
              <w:right w:val="single" w:sz="4" w:space="0" w:color="auto"/>
            </w:tcBorders>
            <w:vAlign w:val="center"/>
          </w:tcPr>
          <w:p w14:paraId="5D8E0FF8" w14:textId="77777777" w:rsidR="00E54E14" w:rsidRPr="00D94B5E" w:rsidRDefault="00E54E14" w:rsidP="00B823C1">
            <w:pPr>
              <w:spacing w:after="0"/>
              <w:jc w:val="center"/>
              <w:rPr>
                <w:color w:val="000000"/>
                <w:szCs w:val="20"/>
                <w:lang w:eastAsia="pl-PL"/>
              </w:rPr>
            </w:pPr>
            <w:r w:rsidRPr="00D94B5E">
              <w:rPr>
                <w:rFonts w:cs="Calibri"/>
                <w:color w:val="000000"/>
                <w:szCs w:val="20"/>
              </w:rPr>
              <w:t>6</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077AFB" w14:textId="77777777" w:rsidR="00E54E14" w:rsidRPr="00D94B5E" w:rsidRDefault="00E54E14" w:rsidP="00B823C1">
            <w:pPr>
              <w:spacing w:after="0"/>
              <w:jc w:val="center"/>
              <w:rPr>
                <w:color w:val="000000"/>
                <w:szCs w:val="20"/>
                <w:lang w:eastAsia="pl-PL"/>
              </w:rPr>
            </w:pPr>
            <w:r w:rsidRPr="00D94B5E">
              <w:rPr>
                <w:rFonts w:cs="Calibri"/>
                <w:color w:val="000000"/>
                <w:szCs w:val="20"/>
              </w:rPr>
              <w:t>6</w:t>
            </w:r>
          </w:p>
        </w:tc>
        <w:tc>
          <w:tcPr>
            <w:tcW w:w="1473" w:type="dxa"/>
            <w:vMerge/>
            <w:tcBorders>
              <w:left w:val="single" w:sz="4" w:space="0" w:color="auto"/>
              <w:right w:val="single" w:sz="4" w:space="0" w:color="auto"/>
            </w:tcBorders>
            <w:vAlign w:val="center"/>
            <w:hideMark/>
          </w:tcPr>
          <w:p w14:paraId="7005B983" w14:textId="77777777" w:rsidR="00E54E14" w:rsidRPr="00D94B5E" w:rsidRDefault="00E54E14" w:rsidP="00B823C1">
            <w:pPr>
              <w:spacing w:after="0"/>
              <w:jc w:val="center"/>
              <w:rPr>
                <w:color w:val="000000"/>
                <w:szCs w:val="20"/>
                <w:lang w:eastAsia="pl-PL"/>
              </w:rPr>
            </w:pPr>
          </w:p>
        </w:tc>
      </w:tr>
      <w:tr w:rsidR="00E54E14" w:rsidRPr="00D94B5E" w14:paraId="0B89FB4F" w14:textId="77777777" w:rsidTr="00B823C1">
        <w:trPr>
          <w:trHeight w:val="273"/>
        </w:trPr>
        <w:tc>
          <w:tcPr>
            <w:tcW w:w="1456" w:type="dxa"/>
            <w:vMerge/>
            <w:tcBorders>
              <w:left w:val="single" w:sz="4" w:space="0" w:color="auto"/>
              <w:right w:val="single" w:sz="4" w:space="0" w:color="auto"/>
            </w:tcBorders>
            <w:vAlign w:val="center"/>
          </w:tcPr>
          <w:p w14:paraId="7E53314A" w14:textId="77777777" w:rsidR="00E54E14" w:rsidRPr="00D94B5E" w:rsidRDefault="00E54E14" w:rsidP="00B823C1">
            <w:pPr>
              <w:spacing w:after="0"/>
              <w:jc w:val="center"/>
              <w:rPr>
                <w:color w:val="000000"/>
                <w:szCs w:val="20"/>
                <w:lang w:eastAsia="pl-PL"/>
              </w:rPr>
            </w:pPr>
          </w:p>
        </w:tc>
        <w:tc>
          <w:tcPr>
            <w:tcW w:w="699" w:type="dxa"/>
            <w:tcBorders>
              <w:top w:val="nil"/>
              <w:left w:val="nil"/>
              <w:bottom w:val="single" w:sz="4" w:space="0" w:color="auto"/>
              <w:right w:val="single" w:sz="4" w:space="0" w:color="auto"/>
            </w:tcBorders>
            <w:shd w:val="clear" w:color="auto" w:fill="auto"/>
            <w:noWrap/>
            <w:vAlign w:val="center"/>
          </w:tcPr>
          <w:p w14:paraId="5896DE9D" w14:textId="77777777" w:rsidR="00E54E14" w:rsidRPr="00D94B5E" w:rsidRDefault="00E54E14" w:rsidP="00B823C1">
            <w:pPr>
              <w:spacing w:after="0"/>
              <w:jc w:val="center"/>
              <w:rPr>
                <w:color w:val="000000"/>
                <w:szCs w:val="20"/>
                <w:lang w:eastAsia="pl-PL"/>
              </w:rPr>
            </w:pPr>
            <w:r w:rsidRPr="00D94B5E">
              <w:rPr>
                <w:rFonts w:cs="Calibri"/>
                <w:color w:val="000000"/>
                <w:szCs w:val="20"/>
              </w:rPr>
              <w:t> </w:t>
            </w:r>
          </w:p>
        </w:tc>
        <w:tc>
          <w:tcPr>
            <w:tcW w:w="651" w:type="dxa"/>
            <w:tcBorders>
              <w:top w:val="nil"/>
              <w:left w:val="nil"/>
              <w:bottom w:val="single" w:sz="4" w:space="0" w:color="auto"/>
              <w:right w:val="single" w:sz="4" w:space="0" w:color="auto"/>
            </w:tcBorders>
            <w:shd w:val="clear" w:color="auto" w:fill="auto"/>
            <w:noWrap/>
            <w:vAlign w:val="center"/>
          </w:tcPr>
          <w:p w14:paraId="2EE71B42" w14:textId="77777777" w:rsidR="00E54E14" w:rsidRPr="00D94B5E" w:rsidRDefault="00E54E14" w:rsidP="00B823C1">
            <w:pPr>
              <w:spacing w:after="0"/>
              <w:jc w:val="center"/>
              <w:rPr>
                <w:color w:val="000000"/>
                <w:szCs w:val="20"/>
                <w:lang w:eastAsia="pl-PL"/>
              </w:rPr>
            </w:pPr>
            <w:r w:rsidRPr="00D94B5E">
              <w:rPr>
                <w:rFonts w:cs="Calibri"/>
                <w:color w:val="000000"/>
                <w:szCs w:val="20"/>
              </w:rPr>
              <w:t> </w:t>
            </w:r>
          </w:p>
        </w:tc>
        <w:tc>
          <w:tcPr>
            <w:tcW w:w="651" w:type="dxa"/>
            <w:tcBorders>
              <w:top w:val="nil"/>
              <w:left w:val="nil"/>
              <w:bottom w:val="single" w:sz="4" w:space="0" w:color="auto"/>
              <w:right w:val="single" w:sz="4" w:space="0" w:color="auto"/>
            </w:tcBorders>
            <w:shd w:val="clear" w:color="auto" w:fill="auto"/>
            <w:noWrap/>
            <w:vAlign w:val="center"/>
          </w:tcPr>
          <w:p w14:paraId="730D6DDE" w14:textId="77777777" w:rsidR="00E54E14" w:rsidRPr="00D94B5E" w:rsidRDefault="00E54E14" w:rsidP="00B823C1">
            <w:pPr>
              <w:spacing w:after="0"/>
              <w:jc w:val="center"/>
              <w:rPr>
                <w:color w:val="000000"/>
                <w:szCs w:val="20"/>
                <w:lang w:eastAsia="pl-PL"/>
              </w:rPr>
            </w:pPr>
            <w:r w:rsidRPr="00D94B5E">
              <w:rPr>
                <w:rFonts w:cs="Calibri"/>
                <w:color w:val="000000"/>
                <w:szCs w:val="20"/>
              </w:rPr>
              <w:t>6</w:t>
            </w:r>
          </w:p>
        </w:tc>
        <w:tc>
          <w:tcPr>
            <w:tcW w:w="651" w:type="dxa"/>
            <w:tcBorders>
              <w:top w:val="nil"/>
              <w:left w:val="nil"/>
              <w:bottom w:val="single" w:sz="4" w:space="0" w:color="auto"/>
              <w:right w:val="single" w:sz="4" w:space="0" w:color="auto"/>
            </w:tcBorders>
            <w:shd w:val="clear" w:color="auto" w:fill="auto"/>
            <w:noWrap/>
            <w:vAlign w:val="center"/>
          </w:tcPr>
          <w:p w14:paraId="653CD502" w14:textId="77777777" w:rsidR="00E54E14" w:rsidRPr="00D94B5E" w:rsidRDefault="00E54E14" w:rsidP="00B823C1">
            <w:pPr>
              <w:spacing w:after="0"/>
              <w:jc w:val="center"/>
              <w:rPr>
                <w:color w:val="000000"/>
                <w:szCs w:val="20"/>
                <w:lang w:eastAsia="pl-PL"/>
              </w:rPr>
            </w:pPr>
            <w:r w:rsidRPr="00D94B5E">
              <w:rPr>
                <w:rFonts w:cs="Calibri"/>
                <w:color w:val="000000"/>
                <w:szCs w:val="20"/>
              </w:rPr>
              <w:t>6</w:t>
            </w:r>
          </w:p>
        </w:tc>
        <w:tc>
          <w:tcPr>
            <w:tcW w:w="684" w:type="dxa"/>
            <w:tcBorders>
              <w:top w:val="nil"/>
              <w:left w:val="nil"/>
              <w:bottom w:val="single" w:sz="4" w:space="0" w:color="auto"/>
              <w:right w:val="single" w:sz="4" w:space="0" w:color="auto"/>
            </w:tcBorders>
            <w:shd w:val="clear" w:color="auto" w:fill="auto"/>
            <w:noWrap/>
            <w:vAlign w:val="center"/>
          </w:tcPr>
          <w:p w14:paraId="69C49533" w14:textId="77777777" w:rsidR="00E54E14" w:rsidRPr="00D94B5E" w:rsidRDefault="00E54E14" w:rsidP="00B823C1">
            <w:pPr>
              <w:spacing w:after="0"/>
              <w:jc w:val="center"/>
              <w:rPr>
                <w:color w:val="000000"/>
                <w:szCs w:val="20"/>
                <w:lang w:eastAsia="pl-PL"/>
              </w:rPr>
            </w:pPr>
            <w:r w:rsidRPr="00D94B5E">
              <w:rPr>
                <w:rFonts w:cs="Calibri"/>
                <w:color w:val="000000"/>
                <w:szCs w:val="20"/>
              </w:rPr>
              <w:t>6</w:t>
            </w:r>
          </w:p>
        </w:tc>
        <w:tc>
          <w:tcPr>
            <w:tcW w:w="684" w:type="dxa"/>
            <w:tcBorders>
              <w:top w:val="nil"/>
              <w:left w:val="nil"/>
              <w:bottom w:val="single" w:sz="4" w:space="0" w:color="auto"/>
              <w:right w:val="single" w:sz="4" w:space="0" w:color="auto"/>
            </w:tcBorders>
            <w:shd w:val="clear" w:color="auto" w:fill="auto"/>
            <w:noWrap/>
            <w:vAlign w:val="center"/>
          </w:tcPr>
          <w:p w14:paraId="359CBFD0" w14:textId="77777777" w:rsidR="00E54E14" w:rsidRPr="00D94B5E" w:rsidRDefault="00E54E14" w:rsidP="00B823C1">
            <w:pPr>
              <w:spacing w:after="0"/>
              <w:jc w:val="center"/>
              <w:rPr>
                <w:color w:val="000000"/>
                <w:szCs w:val="20"/>
                <w:lang w:eastAsia="pl-PL"/>
              </w:rPr>
            </w:pPr>
            <w:r w:rsidRPr="00D94B5E">
              <w:rPr>
                <w:rFonts w:cs="Calibri"/>
                <w:color w:val="000000"/>
                <w:szCs w:val="20"/>
              </w:rPr>
              <w:t>6</w:t>
            </w:r>
          </w:p>
        </w:tc>
        <w:tc>
          <w:tcPr>
            <w:tcW w:w="651" w:type="dxa"/>
            <w:tcBorders>
              <w:top w:val="single" w:sz="4" w:space="0" w:color="auto"/>
              <w:left w:val="single" w:sz="4" w:space="0" w:color="auto"/>
              <w:bottom w:val="single" w:sz="4" w:space="0" w:color="auto"/>
              <w:right w:val="single" w:sz="4" w:space="0" w:color="auto"/>
            </w:tcBorders>
            <w:vAlign w:val="center"/>
          </w:tcPr>
          <w:p w14:paraId="597752D2" w14:textId="77777777" w:rsidR="00E54E14" w:rsidRPr="00D94B5E" w:rsidRDefault="00E54E14" w:rsidP="00B823C1">
            <w:pPr>
              <w:spacing w:after="0"/>
              <w:jc w:val="center"/>
              <w:rPr>
                <w:color w:val="000000"/>
                <w:szCs w:val="20"/>
                <w:lang w:eastAsia="pl-PL"/>
              </w:rPr>
            </w:pPr>
            <w:r w:rsidRPr="00D94B5E">
              <w:rPr>
                <w:rFonts w:cs="Calibri"/>
                <w:color w:val="000000"/>
                <w:szCs w:val="20"/>
              </w:rPr>
              <w:t>6</w:t>
            </w:r>
          </w:p>
        </w:tc>
        <w:tc>
          <w:tcPr>
            <w:tcW w:w="651" w:type="dxa"/>
            <w:tcBorders>
              <w:top w:val="single" w:sz="4" w:space="0" w:color="auto"/>
              <w:left w:val="single" w:sz="4" w:space="0" w:color="auto"/>
              <w:bottom w:val="single" w:sz="4" w:space="0" w:color="auto"/>
              <w:right w:val="single" w:sz="4" w:space="0" w:color="auto"/>
            </w:tcBorders>
            <w:vAlign w:val="center"/>
          </w:tcPr>
          <w:p w14:paraId="51B12E56" w14:textId="77777777" w:rsidR="00E54E14" w:rsidRPr="00D94B5E" w:rsidRDefault="00E54E14" w:rsidP="00B823C1">
            <w:pPr>
              <w:spacing w:after="0"/>
              <w:jc w:val="center"/>
              <w:rPr>
                <w:color w:val="000000"/>
                <w:szCs w:val="20"/>
                <w:lang w:eastAsia="pl-PL"/>
              </w:rPr>
            </w:pPr>
            <w:r w:rsidRPr="00D94B5E">
              <w:rPr>
                <w:rFonts w:cs="Calibri"/>
                <w:color w:val="000000"/>
                <w:szCs w:val="20"/>
              </w:rPr>
              <w:t>6</w:t>
            </w:r>
          </w:p>
        </w:tc>
        <w:tc>
          <w:tcPr>
            <w:tcW w:w="651" w:type="dxa"/>
            <w:tcBorders>
              <w:top w:val="single" w:sz="4" w:space="0" w:color="auto"/>
              <w:left w:val="single" w:sz="4" w:space="0" w:color="auto"/>
              <w:bottom w:val="single" w:sz="4" w:space="0" w:color="auto"/>
              <w:right w:val="single" w:sz="4" w:space="0" w:color="auto"/>
            </w:tcBorders>
            <w:vAlign w:val="center"/>
          </w:tcPr>
          <w:p w14:paraId="154B703D" w14:textId="77777777" w:rsidR="00E54E14" w:rsidRPr="00D94B5E" w:rsidRDefault="00E54E14" w:rsidP="00B823C1">
            <w:pPr>
              <w:spacing w:after="0"/>
              <w:jc w:val="center"/>
              <w:rPr>
                <w:color w:val="000000"/>
                <w:szCs w:val="20"/>
                <w:lang w:eastAsia="pl-PL"/>
              </w:rPr>
            </w:pPr>
            <w:r w:rsidRPr="00D94B5E">
              <w:rPr>
                <w:rFonts w:cs="Calibri"/>
                <w:color w:val="000000"/>
                <w:szCs w:val="20"/>
              </w:rPr>
              <w:t>6</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D8338" w14:textId="77777777" w:rsidR="00E54E14" w:rsidRPr="00D94B5E" w:rsidRDefault="00E54E14" w:rsidP="00B823C1">
            <w:pPr>
              <w:spacing w:after="0"/>
              <w:jc w:val="center"/>
              <w:rPr>
                <w:color w:val="000000"/>
                <w:szCs w:val="20"/>
                <w:lang w:eastAsia="pl-PL"/>
              </w:rPr>
            </w:pPr>
            <w:r w:rsidRPr="00D94B5E">
              <w:rPr>
                <w:rFonts w:cs="Calibri"/>
                <w:color w:val="000000"/>
                <w:szCs w:val="20"/>
              </w:rPr>
              <w:t>6</w:t>
            </w:r>
          </w:p>
        </w:tc>
        <w:tc>
          <w:tcPr>
            <w:tcW w:w="1473" w:type="dxa"/>
            <w:vMerge/>
            <w:tcBorders>
              <w:left w:val="single" w:sz="4" w:space="0" w:color="auto"/>
              <w:right w:val="single" w:sz="4" w:space="0" w:color="auto"/>
            </w:tcBorders>
            <w:vAlign w:val="center"/>
          </w:tcPr>
          <w:p w14:paraId="293FB185" w14:textId="77777777" w:rsidR="00E54E14" w:rsidRPr="00D94B5E" w:rsidRDefault="00E54E14" w:rsidP="00B823C1">
            <w:pPr>
              <w:spacing w:after="0"/>
              <w:jc w:val="center"/>
              <w:rPr>
                <w:color w:val="000000"/>
                <w:szCs w:val="20"/>
                <w:lang w:eastAsia="pl-PL"/>
              </w:rPr>
            </w:pPr>
          </w:p>
        </w:tc>
      </w:tr>
      <w:tr w:rsidR="00E54E14" w:rsidRPr="00D94B5E" w14:paraId="5F9BF5F5" w14:textId="77777777" w:rsidTr="00B823C1">
        <w:trPr>
          <w:trHeight w:val="273"/>
        </w:trPr>
        <w:tc>
          <w:tcPr>
            <w:tcW w:w="1456" w:type="dxa"/>
            <w:vMerge/>
            <w:tcBorders>
              <w:left w:val="single" w:sz="4" w:space="0" w:color="auto"/>
              <w:right w:val="single" w:sz="4" w:space="0" w:color="auto"/>
            </w:tcBorders>
            <w:vAlign w:val="center"/>
          </w:tcPr>
          <w:p w14:paraId="477ABDD2" w14:textId="77777777" w:rsidR="00E54E14" w:rsidRPr="00D94B5E" w:rsidRDefault="00E54E14" w:rsidP="00B823C1">
            <w:pPr>
              <w:spacing w:after="0"/>
              <w:jc w:val="center"/>
              <w:rPr>
                <w:color w:val="000000"/>
                <w:szCs w:val="20"/>
                <w:lang w:eastAsia="pl-PL"/>
              </w:rPr>
            </w:pPr>
          </w:p>
        </w:tc>
        <w:tc>
          <w:tcPr>
            <w:tcW w:w="699" w:type="dxa"/>
            <w:tcBorders>
              <w:top w:val="nil"/>
              <w:left w:val="nil"/>
              <w:bottom w:val="single" w:sz="4" w:space="0" w:color="auto"/>
              <w:right w:val="single" w:sz="4" w:space="0" w:color="auto"/>
            </w:tcBorders>
            <w:shd w:val="clear" w:color="auto" w:fill="auto"/>
            <w:noWrap/>
            <w:vAlign w:val="center"/>
          </w:tcPr>
          <w:p w14:paraId="4AD0FD00" w14:textId="77777777" w:rsidR="00E54E14" w:rsidRPr="00D94B5E" w:rsidRDefault="00E54E14" w:rsidP="00B823C1">
            <w:pPr>
              <w:spacing w:after="0"/>
              <w:jc w:val="center"/>
              <w:rPr>
                <w:color w:val="000000"/>
                <w:szCs w:val="20"/>
                <w:lang w:eastAsia="pl-PL"/>
              </w:rPr>
            </w:pPr>
            <w:r w:rsidRPr="00D94B5E">
              <w:rPr>
                <w:rFonts w:cs="Calibri"/>
                <w:color w:val="000000"/>
                <w:szCs w:val="20"/>
              </w:rPr>
              <w:t> </w:t>
            </w:r>
          </w:p>
        </w:tc>
        <w:tc>
          <w:tcPr>
            <w:tcW w:w="651" w:type="dxa"/>
            <w:tcBorders>
              <w:top w:val="nil"/>
              <w:left w:val="nil"/>
              <w:bottom w:val="single" w:sz="4" w:space="0" w:color="auto"/>
              <w:right w:val="single" w:sz="4" w:space="0" w:color="auto"/>
            </w:tcBorders>
            <w:shd w:val="clear" w:color="auto" w:fill="auto"/>
            <w:noWrap/>
            <w:vAlign w:val="center"/>
          </w:tcPr>
          <w:p w14:paraId="4E86CF6D" w14:textId="77777777" w:rsidR="00E54E14" w:rsidRPr="00D94B5E" w:rsidRDefault="00E54E14" w:rsidP="00B823C1">
            <w:pPr>
              <w:spacing w:after="0"/>
              <w:jc w:val="center"/>
              <w:rPr>
                <w:color w:val="000000"/>
                <w:szCs w:val="20"/>
                <w:lang w:eastAsia="pl-PL"/>
              </w:rPr>
            </w:pPr>
            <w:r w:rsidRPr="00D94B5E">
              <w:rPr>
                <w:rFonts w:cs="Calibri"/>
                <w:color w:val="000000"/>
                <w:szCs w:val="20"/>
              </w:rPr>
              <w:t>6</w:t>
            </w:r>
          </w:p>
        </w:tc>
        <w:tc>
          <w:tcPr>
            <w:tcW w:w="651" w:type="dxa"/>
            <w:tcBorders>
              <w:top w:val="nil"/>
              <w:left w:val="nil"/>
              <w:bottom w:val="single" w:sz="4" w:space="0" w:color="auto"/>
              <w:right w:val="single" w:sz="4" w:space="0" w:color="auto"/>
            </w:tcBorders>
            <w:shd w:val="clear" w:color="auto" w:fill="auto"/>
            <w:noWrap/>
            <w:vAlign w:val="center"/>
          </w:tcPr>
          <w:p w14:paraId="24D06E0D" w14:textId="77777777" w:rsidR="00E54E14" w:rsidRPr="00D94B5E" w:rsidRDefault="00E54E14" w:rsidP="00B823C1">
            <w:pPr>
              <w:spacing w:after="0"/>
              <w:jc w:val="center"/>
              <w:rPr>
                <w:color w:val="000000"/>
                <w:szCs w:val="20"/>
                <w:lang w:eastAsia="pl-PL"/>
              </w:rPr>
            </w:pPr>
            <w:r w:rsidRPr="00D94B5E">
              <w:rPr>
                <w:rFonts w:cs="Calibri"/>
                <w:color w:val="000000"/>
                <w:szCs w:val="20"/>
              </w:rPr>
              <w:t>6</w:t>
            </w:r>
          </w:p>
        </w:tc>
        <w:tc>
          <w:tcPr>
            <w:tcW w:w="651" w:type="dxa"/>
            <w:tcBorders>
              <w:top w:val="nil"/>
              <w:left w:val="nil"/>
              <w:bottom w:val="single" w:sz="4" w:space="0" w:color="auto"/>
              <w:right w:val="single" w:sz="4" w:space="0" w:color="auto"/>
            </w:tcBorders>
            <w:shd w:val="clear" w:color="auto" w:fill="auto"/>
            <w:noWrap/>
            <w:vAlign w:val="center"/>
          </w:tcPr>
          <w:p w14:paraId="6B1AC050" w14:textId="77777777" w:rsidR="00E54E14" w:rsidRPr="00D94B5E" w:rsidRDefault="00E54E14" w:rsidP="00B823C1">
            <w:pPr>
              <w:spacing w:after="0"/>
              <w:jc w:val="center"/>
              <w:rPr>
                <w:color w:val="000000"/>
                <w:szCs w:val="20"/>
                <w:lang w:eastAsia="pl-PL"/>
              </w:rPr>
            </w:pPr>
            <w:r w:rsidRPr="00D94B5E">
              <w:rPr>
                <w:rFonts w:cs="Calibri"/>
                <w:color w:val="000000"/>
                <w:szCs w:val="20"/>
              </w:rPr>
              <w:t>6</w:t>
            </w:r>
          </w:p>
        </w:tc>
        <w:tc>
          <w:tcPr>
            <w:tcW w:w="684" w:type="dxa"/>
            <w:tcBorders>
              <w:top w:val="nil"/>
              <w:left w:val="nil"/>
              <w:bottom w:val="single" w:sz="4" w:space="0" w:color="auto"/>
              <w:right w:val="single" w:sz="4" w:space="0" w:color="auto"/>
            </w:tcBorders>
            <w:shd w:val="clear" w:color="auto" w:fill="auto"/>
            <w:noWrap/>
            <w:vAlign w:val="center"/>
          </w:tcPr>
          <w:p w14:paraId="7C50A3DC" w14:textId="77777777" w:rsidR="00E54E14" w:rsidRPr="00D94B5E" w:rsidRDefault="00E54E14" w:rsidP="00B823C1">
            <w:pPr>
              <w:spacing w:after="0"/>
              <w:jc w:val="center"/>
              <w:rPr>
                <w:color w:val="000000"/>
                <w:szCs w:val="20"/>
                <w:lang w:eastAsia="pl-PL"/>
              </w:rPr>
            </w:pPr>
            <w:r w:rsidRPr="00D94B5E">
              <w:rPr>
                <w:rFonts w:cs="Calibri"/>
                <w:color w:val="000000"/>
                <w:szCs w:val="20"/>
              </w:rPr>
              <w:t>6</w:t>
            </w:r>
          </w:p>
        </w:tc>
        <w:tc>
          <w:tcPr>
            <w:tcW w:w="684" w:type="dxa"/>
            <w:tcBorders>
              <w:top w:val="nil"/>
              <w:left w:val="nil"/>
              <w:bottom w:val="single" w:sz="4" w:space="0" w:color="auto"/>
              <w:right w:val="single" w:sz="4" w:space="0" w:color="auto"/>
            </w:tcBorders>
            <w:shd w:val="clear" w:color="auto" w:fill="auto"/>
            <w:noWrap/>
            <w:vAlign w:val="center"/>
          </w:tcPr>
          <w:p w14:paraId="3CAB3738" w14:textId="77777777" w:rsidR="00E54E14" w:rsidRPr="00D94B5E" w:rsidRDefault="00E54E14" w:rsidP="00B823C1">
            <w:pPr>
              <w:spacing w:after="0"/>
              <w:jc w:val="center"/>
              <w:rPr>
                <w:color w:val="000000"/>
                <w:szCs w:val="20"/>
                <w:lang w:eastAsia="pl-PL"/>
              </w:rPr>
            </w:pPr>
            <w:r w:rsidRPr="00D94B5E">
              <w:rPr>
                <w:rFonts w:cs="Calibri"/>
                <w:color w:val="000000"/>
                <w:szCs w:val="20"/>
              </w:rPr>
              <w:t>6</w:t>
            </w:r>
          </w:p>
        </w:tc>
        <w:tc>
          <w:tcPr>
            <w:tcW w:w="651" w:type="dxa"/>
            <w:tcBorders>
              <w:top w:val="single" w:sz="4" w:space="0" w:color="auto"/>
              <w:left w:val="single" w:sz="4" w:space="0" w:color="auto"/>
              <w:bottom w:val="single" w:sz="4" w:space="0" w:color="auto"/>
              <w:right w:val="single" w:sz="4" w:space="0" w:color="auto"/>
            </w:tcBorders>
            <w:vAlign w:val="center"/>
          </w:tcPr>
          <w:p w14:paraId="0F722268" w14:textId="77777777" w:rsidR="00E54E14" w:rsidRPr="00D94B5E" w:rsidRDefault="00E54E14" w:rsidP="00B823C1">
            <w:pPr>
              <w:spacing w:after="0"/>
              <w:jc w:val="center"/>
              <w:rPr>
                <w:color w:val="000000"/>
                <w:szCs w:val="20"/>
                <w:lang w:eastAsia="pl-PL"/>
              </w:rPr>
            </w:pPr>
            <w:r w:rsidRPr="00D94B5E">
              <w:rPr>
                <w:rFonts w:cs="Calibri"/>
                <w:color w:val="000000"/>
                <w:szCs w:val="20"/>
              </w:rPr>
              <w:t>6</w:t>
            </w:r>
          </w:p>
        </w:tc>
        <w:tc>
          <w:tcPr>
            <w:tcW w:w="651" w:type="dxa"/>
            <w:tcBorders>
              <w:top w:val="single" w:sz="4" w:space="0" w:color="auto"/>
              <w:left w:val="single" w:sz="4" w:space="0" w:color="auto"/>
              <w:bottom w:val="single" w:sz="4" w:space="0" w:color="auto"/>
              <w:right w:val="single" w:sz="4" w:space="0" w:color="auto"/>
            </w:tcBorders>
            <w:vAlign w:val="center"/>
          </w:tcPr>
          <w:p w14:paraId="289EB910" w14:textId="77777777" w:rsidR="00E54E14" w:rsidRPr="00D94B5E" w:rsidRDefault="00E54E14" w:rsidP="00B823C1">
            <w:pPr>
              <w:spacing w:after="0"/>
              <w:jc w:val="center"/>
              <w:rPr>
                <w:color w:val="000000"/>
                <w:szCs w:val="20"/>
                <w:lang w:eastAsia="pl-PL"/>
              </w:rPr>
            </w:pPr>
            <w:r w:rsidRPr="00D94B5E">
              <w:rPr>
                <w:rFonts w:cs="Calibri"/>
                <w:color w:val="000000"/>
                <w:szCs w:val="20"/>
              </w:rPr>
              <w:t>6</w:t>
            </w:r>
          </w:p>
        </w:tc>
        <w:tc>
          <w:tcPr>
            <w:tcW w:w="651" w:type="dxa"/>
            <w:tcBorders>
              <w:top w:val="single" w:sz="4" w:space="0" w:color="auto"/>
              <w:left w:val="single" w:sz="4" w:space="0" w:color="auto"/>
              <w:bottom w:val="single" w:sz="4" w:space="0" w:color="auto"/>
              <w:right w:val="single" w:sz="4" w:space="0" w:color="auto"/>
            </w:tcBorders>
            <w:vAlign w:val="center"/>
          </w:tcPr>
          <w:p w14:paraId="6C2E6703" w14:textId="77777777" w:rsidR="00E54E14" w:rsidRPr="00D94B5E" w:rsidRDefault="00E54E14" w:rsidP="00B823C1">
            <w:pPr>
              <w:spacing w:after="0"/>
              <w:jc w:val="center"/>
              <w:rPr>
                <w:color w:val="000000"/>
                <w:szCs w:val="20"/>
                <w:lang w:eastAsia="pl-PL"/>
              </w:rPr>
            </w:pPr>
            <w:r w:rsidRPr="00D94B5E">
              <w:rPr>
                <w:rFonts w:cs="Calibri"/>
                <w:color w:val="000000"/>
                <w:szCs w:val="20"/>
              </w:rPr>
              <w:t>6</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2D3E0" w14:textId="77777777" w:rsidR="00E54E14" w:rsidRPr="00D94B5E" w:rsidRDefault="00E54E14" w:rsidP="00B823C1">
            <w:pPr>
              <w:spacing w:after="0"/>
              <w:jc w:val="center"/>
              <w:rPr>
                <w:color w:val="000000"/>
                <w:szCs w:val="20"/>
                <w:lang w:eastAsia="pl-PL"/>
              </w:rPr>
            </w:pPr>
            <w:r w:rsidRPr="00D94B5E">
              <w:rPr>
                <w:rFonts w:cs="Calibri"/>
                <w:color w:val="000000"/>
                <w:szCs w:val="20"/>
              </w:rPr>
              <w:t>6</w:t>
            </w:r>
          </w:p>
        </w:tc>
        <w:tc>
          <w:tcPr>
            <w:tcW w:w="1473" w:type="dxa"/>
            <w:vMerge/>
            <w:tcBorders>
              <w:left w:val="single" w:sz="4" w:space="0" w:color="auto"/>
              <w:right w:val="single" w:sz="4" w:space="0" w:color="auto"/>
            </w:tcBorders>
            <w:vAlign w:val="center"/>
          </w:tcPr>
          <w:p w14:paraId="77F726E4" w14:textId="77777777" w:rsidR="00E54E14" w:rsidRPr="00D94B5E" w:rsidRDefault="00E54E14" w:rsidP="00B823C1">
            <w:pPr>
              <w:spacing w:after="0"/>
              <w:jc w:val="center"/>
              <w:rPr>
                <w:color w:val="000000"/>
                <w:szCs w:val="20"/>
                <w:lang w:eastAsia="pl-PL"/>
              </w:rPr>
            </w:pPr>
          </w:p>
        </w:tc>
      </w:tr>
      <w:tr w:rsidR="00E54E14" w:rsidRPr="00D94B5E" w14:paraId="19252484" w14:textId="77777777" w:rsidTr="00B823C1">
        <w:trPr>
          <w:trHeight w:val="273"/>
        </w:trPr>
        <w:tc>
          <w:tcPr>
            <w:tcW w:w="1456" w:type="dxa"/>
            <w:vMerge/>
            <w:tcBorders>
              <w:left w:val="single" w:sz="4" w:space="0" w:color="auto"/>
              <w:bottom w:val="single" w:sz="4" w:space="0" w:color="auto"/>
              <w:right w:val="single" w:sz="4" w:space="0" w:color="auto"/>
            </w:tcBorders>
            <w:vAlign w:val="center"/>
          </w:tcPr>
          <w:p w14:paraId="7D379F07" w14:textId="77777777" w:rsidR="00E54E14" w:rsidRPr="00D94B5E" w:rsidRDefault="00E54E14" w:rsidP="00B823C1">
            <w:pPr>
              <w:spacing w:after="0"/>
              <w:jc w:val="center"/>
              <w:rPr>
                <w:color w:val="000000"/>
                <w:szCs w:val="20"/>
                <w:lang w:eastAsia="pl-PL"/>
              </w:rPr>
            </w:pPr>
          </w:p>
        </w:tc>
        <w:tc>
          <w:tcPr>
            <w:tcW w:w="699" w:type="dxa"/>
            <w:tcBorders>
              <w:top w:val="nil"/>
              <w:left w:val="nil"/>
              <w:bottom w:val="single" w:sz="4" w:space="0" w:color="auto"/>
              <w:right w:val="single" w:sz="4" w:space="0" w:color="auto"/>
            </w:tcBorders>
            <w:shd w:val="clear" w:color="auto" w:fill="auto"/>
            <w:noWrap/>
            <w:vAlign w:val="center"/>
          </w:tcPr>
          <w:p w14:paraId="59DCC661" w14:textId="77777777" w:rsidR="00E54E14" w:rsidRPr="00D94B5E" w:rsidRDefault="00E54E14" w:rsidP="00B823C1">
            <w:pPr>
              <w:spacing w:after="0"/>
              <w:jc w:val="center"/>
              <w:rPr>
                <w:color w:val="000000"/>
                <w:szCs w:val="20"/>
                <w:lang w:eastAsia="pl-PL"/>
              </w:rPr>
            </w:pPr>
            <w:r w:rsidRPr="00D94B5E">
              <w:rPr>
                <w:rFonts w:cs="Calibri"/>
                <w:color w:val="000000"/>
                <w:szCs w:val="20"/>
              </w:rPr>
              <w:t>0</w:t>
            </w:r>
          </w:p>
        </w:tc>
        <w:tc>
          <w:tcPr>
            <w:tcW w:w="651" w:type="dxa"/>
            <w:tcBorders>
              <w:top w:val="nil"/>
              <w:left w:val="nil"/>
              <w:bottom w:val="single" w:sz="4" w:space="0" w:color="auto"/>
              <w:right w:val="single" w:sz="4" w:space="0" w:color="auto"/>
            </w:tcBorders>
            <w:shd w:val="clear" w:color="auto" w:fill="auto"/>
            <w:noWrap/>
            <w:vAlign w:val="center"/>
          </w:tcPr>
          <w:p w14:paraId="05B35461" w14:textId="77777777" w:rsidR="00E54E14" w:rsidRPr="00D94B5E" w:rsidRDefault="00E54E14" w:rsidP="00B823C1">
            <w:pPr>
              <w:spacing w:after="0"/>
              <w:jc w:val="center"/>
              <w:rPr>
                <w:color w:val="000000"/>
                <w:szCs w:val="20"/>
                <w:lang w:eastAsia="pl-PL"/>
              </w:rPr>
            </w:pPr>
            <w:r w:rsidRPr="00D94B5E">
              <w:rPr>
                <w:rFonts w:cs="Calibri"/>
                <w:color w:val="000000"/>
                <w:szCs w:val="20"/>
              </w:rPr>
              <w:t>0</w:t>
            </w:r>
          </w:p>
        </w:tc>
        <w:tc>
          <w:tcPr>
            <w:tcW w:w="651" w:type="dxa"/>
            <w:tcBorders>
              <w:top w:val="nil"/>
              <w:left w:val="nil"/>
              <w:bottom w:val="single" w:sz="4" w:space="0" w:color="auto"/>
              <w:right w:val="single" w:sz="4" w:space="0" w:color="auto"/>
            </w:tcBorders>
            <w:shd w:val="clear" w:color="auto" w:fill="auto"/>
            <w:noWrap/>
            <w:vAlign w:val="center"/>
          </w:tcPr>
          <w:p w14:paraId="4BB8B83F" w14:textId="77777777" w:rsidR="00E54E14" w:rsidRPr="00D94B5E" w:rsidRDefault="00E54E14" w:rsidP="00B823C1">
            <w:pPr>
              <w:spacing w:after="0"/>
              <w:jc w:val="center"/>
              <w:rPr>
                <w:color w:val="000000"/>
                <w:szCs w:val="20"/>
                <w:lang w:eastAsia="pl-PL"/>
              </w:rPr>
            </w:pPr>
            <w:r w:rsidRPr="00D94B5E">
              <w:rPr>
                <w:rFonts w:cs="Calibri"/>
                <w:color w:val="000000"/>
                <w:szCs w:val="20"/>
              </w:rPr>
              <w:t>0</w:t>
            </w:r>
          </w:p>
        </w:tc>
        <w:tc>
          <w:tcPr>
            <w:tcW w:w="651" w:type="dxa"/>
            <w:tcBorders>
              <w:top w:val="nil"/>
              <w:left w:val="nil"/>
              <w:bottom w:val="single" w:sz="4" w:space="0" w:color="auto"/>
              <w:right w:val="single" w:sz="4" w:space="0" w:color="auto"/>
            </w:tcBorders>
            <w:shd w:val="clear" w:color="auto" w:fill="auto"/>
            <w:noWrap/>
            <w:vAlign w:val="center"/>
          </w:tcPr>
          <w:p w14:paraId="08812CC5" w14:textId="77777777" w:rsidR="00E54E14" w:rsidRPr="00D94B5E" w:rsidRDefault="00E54E14" w:rsidP="00B823C1">
            <w:pPr>
              <w:spacing w:after="0"/>
              <w:jc w:val="center"/>
              <w:rPr>
                <w:color w:val="000000"/>
                <w:szCs w:val="20"/>
                <w:lang w:eastAsia="pl-PL"/>
              </w:rPr>
            </w:pPr>
            <w:r w:rsidRPr="00D94B5E">
              <w:rPr>
                <w:rFonts w:cs="Calibri"/>
                <w:color w:val="000000"/>
                <w:szCs w:val="20"/>
              </w:rPr>
              <w:t>0</w:t>
            </w:r>
          </w:p>
        </w:tc>
        <w:tc>
          <w:tcPr>
            <w:tcW w:w="684" w:type="dxa"/>
            <w:tcBorders>
              <w:top w:val="nil"/>
              <w:left w:val="nil"/>
              <w:bottom w:val="single" w:sz="4" w:space="0" w:color="auto"/>
              <w:right w:val="single" w:sz="4" w:space="0" w:color="auto"/>
            </w:tcBorders>
            <w:shd w:val="clear" w:color="auto" w:fill="auto"/>
            <w:noWrap/>
            <w:vAlign w:val="center"/>
          </w:tcPr>
          <w:p w14:paraId="5E9F39E9" w14:textId="77777777" w:rsidR="00E54E14" w:rsidRPr="00D94B5E" w:rsidRDefault="00E54E14" w:rsidP="00B823C1">
            <w:pPr>
              <w:spacing w:after="0"/>
              <w:jc w:val="center"/>
              <w:rPr>
                <w:color w:val="000000"/>
                <w:szCs w:val="20"/>
                <w:lang w:eastAsia="pl-PL"/>
              </w:rPr>
            </w:pPr>
            <w:r w:rsidRPr="00D94B5E">
              <w:rPr>
                <w:rFonts w:cs="Calibri"/>
                <w:color w:val="000000"/>
                <w:szCs w:val="20"/>
              </w:rPr>
              <w:t>0</w:t>
            </w:r>
          </w:p>
        </w:tc>
        <w:tc>
          <w:tcPr>
            <w:tcW w:w="684" w:type="dxa"/>
            <w:tcBorders>
              <w:top w:val="nil"/>
              <w:left w:val="nil"/>
              <w:bottom w:val="single" w:sz="4" w:space="0" w:color="auto"/>
              <w:right w:val="single" w:sz="4" w:space="0" w:color="auto"/>
            </w:tcBorders>
            <w:shd w:val="clear" w:color="auto" w:fill="auto"/>
            <w:noWrap/>
            <w:vAlign w:val="center"/>
          </w:tcPr>
          <w:p w14:paraId="1D7D9044" w14:textId="77777777" w:rsidR="00E54E14" w:rsidRPr="00D94B5E" w:rsidRDefault="00E54E14" w:rsidP="00B823C1">
            <w:pPr>
              <w:spacing w:after="0"/>
              <w:jc w:val="center"/>
              <w:rPr>
                <w:color w:val="000000"/>
                <w:szCs w:val="20"/>
                <w:lang w:eastAsia="pl-PL"/>
              </w:rPr>
            </w:pPr>
            <w:r w:rsidRPr="00D94B5E">
              <w:rPr>
                <w:rFonts w:cs="Calibri"/>
                <w:color w:val="000000"/>
                <w:szCs w:val="20"/>
              </w:rPr>
              <w:t>0</w:t>
            </w:r>
          </w:p>
        </w:tc>
        <w:tc>
          <w:tcPr>
            <w:tcW w:w="651" w:type="dxa"/>
            <w:tcBorders>
              <w:top w:val="single" w:sz="4" w:space="0" w:color="auto"/>
              <w:left w:val="single" w:sz="4" w:space="0" w:color="auto"/>
              <w:bottom w:val="single" w:sz="4" w:space="0" w:color="auto"/>
              <w:right w:val="single" w:sz="4" w:space="0" w:color="auto"/>
            </w:tcBorders>
            <w:vAlign w:val="center"/>
          </w:tcPr>
          <w:p w14:paraId="75143467" w14:textId="77777777" w:rsidR="00E54E14" w:rsidRPr="00D94B5E" w:rsidRDefault="00E54E14" w:rsidP="00B823C1">
            <w:pPr>
              <w:spacing w:after="0"/>
              <w:jc w:val="center"/>
              <w:rPr>
                <w:color w:val="000000"/>
                <w:szCs w:val="20"/>
                <w:lang w:eastAsia="pl-PL"/>
              </w:rPr>
            </w:pPr>
            <w:r w:rsidRPr="00D94B5E">
              <w:rPr>
                <w:rFonts w:cs="Calibri"/>
                <w:color w:val="000000"/>
                <w:szCs w:val="20"/>
              </w:rPr>
              <w:t>0</w:t>
            </w:r>
          </w:p>
        </w:tc>
        <w:tc>
          <w:tcPr>
            <w:tcW w:w="651" w:type="dxa"/>
            <w:tcBorders>
              <w:top w:val="single" w:sz="4" w:space="0" w:color="auto"/>
              <w:left w:val="single" w:sz="4" w:space="0" w:color="auto"/>
              <w:bottom w:val="single" w:sz="4" w:space="0" w:color="auto"/>
              <w:right w:val="single" w:sz="4" w:space="0" w:color="auto"/>
            </w:tcBorders>
            <w:vAlign w:val="center"/>
          </w:tcPr>
          <w:p w14:paraId="232B39FF" w14:textId="77777777" w:rsidR="00E54E14" w:rsidRPr="00D94B5E" w:rsidRDefault="00E54E14" w:rsidP="00B823C1">
            <w:pPr>
              <w:spacing w:after="0"/>
              <w:jc w:val="center"/>
              <w:rPr>
                <w:color w:val="000000"/>
                <w:szCs w:val="20"/>
                <w:lang w:eastAsia="pl-PL"/>
              </w:rPr>
            </w:pPr>
            <w:r w:rsidRPr="00D94B5E">
              <w:rPr>
                <w:rFonts w:cs="Calibri"/>
                <w:color w:val="000000"/>
                <w:szCs w:val="20"/>
              </w:rPr>
              <w:t>0</w:t>
            </w:r>
          </w:p>
        </w:tc>
        <w:tc>
          <w:tcPr>
            <w:tcW w:w="651" w:type="dxa"/>
            <w:tcBorders>
              <w:top w:val="single" w:sz="4" w:space="0" w:color="auto"/>
              <w:left w:val="single" w:sz="4" w:space="0" w:color="auto"/>
              <w:bottom w:val="single" w:sz="4" w:space="0" w:color="auto"/>
              <w:right w:val="single" w:sz="4" w:space="0" w:color="auto"/>
            </w:tcBorders>
            <w:vAlign w:val="center"/>
          </w:tcPr>
          <w:p w14:paraId="4C5CB8BD" w14:textId="77777777" w:rsidR="00E54E14" w:rsidRPr="00D94B5E" w:rsidRDefault="00E54E14" w:rsidP="00B823C1">
            <w:pPr>
              <w:spacing w:after="0"/>
              <w:jc w:val="center"/>
              <w:rPr>
                <w:color w:val="000000"/>
                <w:szCs w:val="20"/>
                <w:lang w:eastAsia="pl-PL"/>
              </w:rPr>
            </w:pPr>
            <w:r w:rsidRPr="00D94B5E">
              <w:rPr>
                <w:rFonts w:cs="Calibri"/>
                <w:color w:val="000000"/>
                <w:szCs w:val="20"/>
              </w:rPr>
              <w:t>0</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800FB" w14:textId="77777777" w:rsidR="00E54E14" w:rsidRPr="00D94B5E" w:rsidRDefault="00E54E14" w:rsidP="00B823C1">
            <w:pPr>
              <w:spacing w:after="0"/>
              <w:jc w:val="center"/>
              <w:rPr>
                <w:color w:val="000000"/>
                <w:szCs w:val="20"/>
                <w:lang w:eastAsia="pl-PL"/>
              </w:rPr>
            </w:pPr>
            <w:r w:rsidRPr="00D94B5E">
              <w:rPr>
                <w:rFonts w:cs="Calibri"/>
                <w:color w:val="000000"/>
                <w:szCs w:val="20"/>
              </w:rPr>
              <w:t>0</w:t>
            </w:r>
          </w:p>
        </w:tc>
        <w:tc>
          <w:tcPr>
            <w:tcW w:w="1473" w:type="dxa"/>
            <w:vMerge/>
            <w:tcBorders>
              <w:left w:val="single" w:sz="4" w:space="0" w:color="auto"/>
              <w:bottom w:val="single" w:sz="4" w:space="0" w:color="auto"/>
              <w:right w:val="single" w:sz="4" w:space="0" w:color="auto"/>
            </w:tcBorders>
            <w:vAlign w:val="center"/>
          </w:tcPr>
          <w:p w14:paraId="45BA5A40" w14:textId="77777777" w:rsidR="00E54E14" w:rsidRPr="00D94B5E" w:rsidRDefault="00E54E14" w:rsidP="00B823C1">
            <w:pPr>
              <w:spacing w:after="0"/>
              <w:jc w:val="center"/>
              <w:rPr>
                <w:color w:val="000000"/>
                <w:szCs w:val="20"/>
                <w:lang w:eastAsia="pl-PL"/>
              </w:rPr>
            </w:pPr>
          </w:p>
        </w:tc>
      </w:tr>
      <w:tr w:rsidR="00E54E14" w:rsidRPr="00D94B5E" w14:paraId="50338036" w14:textId="77777777" w:rsidTr="00B823C1">
        <w:trPr>
          <w:trHeight w:val="273"/>
        </w:trPr>
        <w:tc>
          <w:tcPr>
            <w:tcW w:w="1456" w:type="dxa"/>
            <w:tcBorders>
              <w:top w:val="nil"/>
              <w:left w:val="single" w:sz="4" w:space="0" w:color="auto"/>
              <w:bottom w:val="single" w:sz="4" w:space="0" w:color="auto"/>
              <w:right w:val="single" w:sz="4" w:space="0" w:color="auto"/>
            </w:tcBorders>
            <w:shd w:val="clear" w:color="auto" w:fill="auto"/>
            <w:noWrap/>
            <w:vAlign w:val="center"/>
            <w:hideMark/>
          </w:tcPr>
          <w:p w14:paraId="40F69892" w14:textId="77777777" w:rsidR="00E54E14" w:rsidRPr="00D94B5E" w:rsidRDefault="00E54E14" w:rsidP="00B823C1">
            <w:pPr>
              <w:spacing w:after="0"/>
              <w:jc w:val="center"/>
              <w:rPr>
                <w:color w:val="000000"/>
                <w:szCs w:val="20"/>
                <w:lang w:eastAsia="pl-PL"/>
              </w:rPr>
            </w:pPr>
            <w:r w:rsidRPr="00D94B5E">
              <w:rPr>
                <w:color w:val="000000"/>
                <w:szCs w:val="20"/>
                <w:lang w:eastAsia="pl-PL"/>
              </w:rPr>
              <w:t>Razem (</w:t>
            </w:r>
            <w:proofErr w:type="spellStart"/>
            <w:r w:rsidRPr="00D94B5E">
              <w:rPr>
                <w:color w:val="000000"/>
                <w:szCs w:val="20"/>
                <w:lang w:eastAsia="pl-PL"/>
              </w:rPr>
              <w:t>ktoe</w:t>
            </w:r>
            <w:proofErr w:type="spellEnd"/>
            <w:r w:rsidRPr="00D94B5E">
              <w:rPr>
                <w:color w:val="000000"/>
                <w:szCs w:val="20"/>
                <w:lang w:eastAsia="pl-PL"/>
              </w:rPr>
              <w:t>)</w:t>
            </w:r>
          </w:p>
        </w:tc>
        <w:tc>
          <w:tcPr>
            <w:tcW w:w="699" w:type="dxa"/>
            <w:tcBorders>
              <w:top w:val="nil"/>
              <w:left w:val="nil"/>
              <w:bottom w:val="single" w:sz="4" w:space="0" w:color="auto"/>
              <w:right w:val="single" w:sz="4" w:space="0" w:color="auto"/>
            </w:tcBorders>
            <w:shd w:val="clear" w:color="auto" w:fill="auto"/>
            <w:noWrap/>
            <w:vAlign w:val="center"/>
          </w:tcPr>
          <w:p w14:paraId="4F47F0DB" w14:textId="77777777" w:rsidR="00E54E14" w:rsidRPr="00D94B5E" w:rsidRDefault="00E54E14" w:rsidP="00B823C1">
            <w:pPr>
              <w:spacing w:after="0"/>
              <w:jc w:val="center"/>
              <w:rPr>
                <w:b/>
                <w:bCs/>
                <w:color w:val="000000"/>
                <w:szCs w:val="20"/>
                <w:lang w:eastAsia="pl-PL"/>
              </w:rPr>
            </w:pPr>
            <w:r w:rsidRPr="00D94B5E">
              <w:rPr>
                <w:rFonts w:cs="Calibri"/>
                <w:b/>
                <w:bCs/>
                <w:color w:val="000000"/>
                <w:szCs w:val="20"/>
              </w:rPr>
              <w:t>0</w:t>
            </w:r>
          </w:p>
        </w:tc>
        <w:tc>
          <w:tcPr>
            <w:tcW w:w="651" w:type="dxa"/>
            <w:tcBorders>
              <w:top w:val="nil"/>
              <w:left w:val="nil"/>
              <w:bottom w:val="single" w:sz="4" w:space="0" w:color="auto"/>
              <w:right w:val="single" w:sz="4" w:space="0" w:color="auto"/>
            </w:tcBorders>
            <w:shd w:val="clear" w:color="auto" w:fill="auto"/>
            <w:noWrap/>
            <w:vAlign w:val="center"/>
          </w:tcPr>
          <w:p w14:paraId="15EFD6E8" w14:textId="77777777" w:rsidR="00E54E14" w:rsidRPr="00D94B5E" w:rsidRDefault="00E54E14" w:rsidP="00B823C1">
            <w:pPr>
              <w:spacing w:after="0"/>
              <w:jc w:val="center"/>
              <w:rPr>
                <w:b/>
                <w:bCs/>
                <w:color w:val="000000"/>
                <w:szCs w:val="20"/>
                <w:lang w:eastAsia="pl-PL"/>
              </w:rPr>
            </w:pPr>
            <w:r w:rsidRPr="00D94B5E">
              <w:rPr>
                <w:rFonts w:cs="Calibri"/>
                <w:b/>
                <w:bCs/>
                <w:color w:val="000000"/>
                <w:szCs w:val="20"/>
              </w:rPr>
              <w:t>6</w:t>
            </w:r>
          </w:p>
        </w:tc>
        <w:tc>
          <w:tcPr>
            <w:tcW w:w="651" w:type="dxa"/>
            <w:tcBorders>
              <w:top w:val="nil"/>
              <w:left w:val="nil"/>
              <w:bottom w:val="single" w:sz="4" w:space="0" w:color="auto"/>
              <w:right w:val="single" w:sz="4" w:space="0" w:color="auto"/>
            </w:tcBorders>
            <w:shd w:val="clear" w:color="auto" w:fill="auto"/>
            <w:noWrap/>
            <w:vAlign w:val="center"/>
          </w:tcPr>
          <w:p w14:paraId="2D14317D" w14:textId="77777777" w:rsidR="00E54E14" w:rsidRPr="00D94B5E" w:rsidRDefault="00E54E14" w:rsidP="00B823C1">
            <w:pPr>
              <w:spacing w:after="0"/>
              <w:jc w:val="center"/>
              <w:rPr>
                <w:b/>
                <w:bCs/>
                <w:color w:val="000000"/>
                <w:szCs w:val="20"/>
                <w:lang w:eastAsia="pl-PL"/>
              </w:rPr>
            </w:pPr>
            <w:r w:rsidRPr="00D94B5E">
              <w:rPr>
                <w:rFonts w:cs="Calibri"/>
                <w:b/>
                <w:bCs/>
                <w:color w:val="000000"/>
                <w:szCs w:val="20"/>
              </w:rPr>
              <w:t>12</w:t>
            </w:r>
          </w:p>
        </w:tc>
        <w:tc>
          <w:tcPr>
            <w:tcW w:w="651" w:type="dxa"/>
            <w:tcBorders>
              <w:top w:val="nil"/>
              <w:left w:val="nil"/>
              <w:bottom w:val="single" w:sz="4" w:space="0" w:color="auto"/>
              <w:right w:val="single" w:sz="4" w:space="0" w:color="auto"/>
            </w:tcBorders>
            <w:shd w:val="clear" w:color="auto" w:fill="auto"/>
            <w:noWrap/>
            <w:vAlign w:val="center"/>
          </w:tcPr>
          <w:p w14:paraId="7ABB4C84" w14:textId="77777777" w:rsidR="00E54E14" w:rsidRPr="00D94B5E" w:rsidRDefault="00E54E14" w:rsidP="00B823C1">
            <w:pPr>
              <w:spacing w:after="0"/>
              <w:jc w:val="center"/>
              <w:rPr>
                <w:b/>
                <w:bCs/>
                <w:color w:val="000000"/>
                <w:szCs w:val="20"/>
                <w:lang w:eastAsia="pl-PL"/>
              </w:rPr>
            </w:pPr>
            <w:r w:rsidRPr="00D94B5E">
              <w:rPr>
                <w:rFonts w:cs="Calibri"/>
                <w:b/>
                <w:bCs/>
                <w:color w:val="000000"/>
                <w:szCs w:val="20"/>
              </w:rPr>
              <w:t>18</w:t>
            </w:r>
          </w:p>
        </w:tc>
        <w:tc>
          <w:tcPr>
            <w:tcW w:w="684" w:type="dxa"/>
            <w:tcBorders>
              <w:top w:val="nil"/>
              <w:left w:val="nil"/>
              <w:bottom w:val="single" w:sz="4" w:space="0" w:color="auto"/>
              <w:right w:val="single" w:sz="4" w:space="0" w:color="auto"/>
            </w:tcBorders>
            <w:shd w:val="clear" w:color="auto" w:fill="auto"/>
            <w:noWrap/>
            <w:vAlign w:val="center"/>
          </w:tcPr>
          <w:p w14:paraId="7E73686C" w14:textId="77777777" w:rsidR="00E54E14" w:rsidRPr="00D94B5E" w:rsidRDefault="00E54E14" w:rsidP="00B823C1">
            <w:pPr>
              <w:spacing w:after="0"/>
              <w:jc w:val="center"/>
              <w:rPr>
                <w:b/>
                <w:bCs/>
                <w:color w:val="000000"/>
                <w:szCs w:val="20"/>
                <w:lang w:eastAsia="pl-PL"/>
              </w:rPr>
            </w:pPr>
            <w:r w:rsidRPr="00D94B5E">
              <w:rPr>
                <w:rFonts w:cs="Calibri"/>
                <w:b/>
                <w:bCs/>
                <w:color w:val="000000"/>
                <w:szCs w:val="20"/>
              </w:rPr>
              <w:t>24</w:t>
            </w:r>
          </w:p>
        </w:tc>
        <w:tc>
          <w:tcPr>
            <w:tcW w:w="684" w:type="dxa"/>
            <w:tcBorders>
              <w:top w:val="nil"/>
              <w:left w:val="nil"/>
              <w:bottom w:val="single" w:sz="4" w:space="0" w:color="auto"/>
              <w:right w:val="single" w:sz="4" w:space="0" w:color="auto"/>
            </w:tcBorders>
            <w:shd w:val="clear" w:color="auto" w:fill="auto"/>
            <w:noWrap/>
            <w:vAlign w:val="center"/>
          </w:tcPr>
          <w:p w14:paraId="2C79FCD5" w14:textId="77777777" w:rsidR="00E54E14" w:rsidRPr="00D94B5E" w:rsidRDefault="00E54E14" w:rsidP="00B823C1">
            <w:pPr>
              <w:spacing w:after="0"/>
              <w:jc w:val="center"/>
              <w:rPr>
                <w:b/>
                <w:bCs/>
                <w:color w:val="000000"/>
                <w:szCs w:val="20"/>
                <w:lang w:eastAsia="pl-PL"/>
              </w:rPr>
            </w:pPr>
            <w:r w:rsidRPr="00D94B5E">
              <w:rPr>
                <w:rFonts w:cs="Calibri"/>
                <w:b/>
                <w:bCs/>
                <w:color w:val="000000"/>
                <w:szCs w:val="20"/>
              </w:rPr>
              <w:t>30</w:t>
            </w:r>
          </w:p>
        </w:tc>
        <w:tc>
          <w:tcPr>
            <w:tcW w:w="651" w:type="dxa"/>
            <w:tcBorders>
              <w:top w:val="single" w:sz="4" w:space="0" w:color="auto"/>
              <w:left w:val="single" w:sz="4" w:space="0" w:color="auto"/>
              <w:bottom w:val="single" w:sz="4" w:space="0" w:color="auto"/>
              <w:right w:val="single" w:sz="4" w:space="0" w:color="auto"/>
            </w:tcBorders>
            <w:vAlign w:val="center"/>
          </w:tcPr>
          <w:p w14:paraId="5EE54C1F" w14:textId="77777777" w:rsidR="00E54E14" w:rsidRPr="00D94B5E" w:rsidRDefault="00E54E14" w:rsidP="00B823C1">
            <w:pPr>
              <w:spacing w:after="0"/>
              <w:jc w:val="center"/>
              <w:rPr>
                <w:b/>
                <w:bCs/>
                <w:color w:val="000000"/>
                <w:szCs w:val="20"/>
                <w:lang w:eastAsia="pl-PL"/>
              </w:rPr>
            </w:pPr>
            <w:r w:rsidRPr="00D94B5E">
              <w:rPr>
                <w:rFonts w:cs="Calibri"/>
                <w:b/>
                <w:bCs/>
                <w:color w:val="000000"/>
                <w:szCs w:val="20"/>
              </w:rPr>
              <w:t>36</w:t>
            </w:r>
          </w:p>
        </w:tc>
        <w:tc>
          <w:tcPr>
            <w:tcW w:w="651" w:type="dxa"/>
            <w:tcBorders>
              <w:top w:val="single" w:sz="4" w:space="0" w:color="auto"/>
              <w:left w:val="single" w:sz="4" w:space="0" w:color="auto"/>
              <w:bottom w:val="single" w:sz="4" w:space="0" w:color="auto"/>
              <w:right w:val="single" w:sz="4" w:space="0" w:color="auto"/>
            </w:tcBorders>
            <w:vAlign w:val="center"/>
          </w:tcPr>
          <w:p w14:paraId="1DA62BD0" w14:textId="77777777" w:rsidR="00E54E14" w:rsidRPr="00D94B5E" w:rsidRDefault="00E54E14" w:rsidP="00B823C1">
            <w:pPr>
              <w:spacing w:after="0"/>
              <w:jc w:val="center"/>
              <w:rPr>
                <w:b/>
                <w:bCs/>
                <w:color w:val="000000"/>
                <w:szCs w:val="20"/>
                <w:lang w:eastAsia="pl-PL"/>
              </w:rPr>
            </w:pPr>
            <w:r w:rsidRPr="00D94B5E">
              <w:rPr>
                <w:rFonts w:cs="Calibri"/>
                <w:b/>
                <w:bCs/>
                <w:color w:val="000000"/>
                <w:szCs w:val="20"/>
              </w:rPr>
              <w:t>42</w:t>
            </w:r>
          </w:p>
        </w:tc>
        <w:tc>
          <w:tcPr>
            <w:tcW w:w="651" w:type="dxa"/>
            <w:tcBorders>
              <w:top w:val="single" w:sz="4" w:space="0" w:color="auto"/>
              <w:left w:val="single" w:sz="4" w:space="0" w:color="auto"/>
              <w:bottom w:val="single" w:sz="4" w:space="0" w:color="auto"/>
              <w:right w:val="single" w:sz="4" w:space="0" w:color="auto"/>
            </w:tcBorders>
            <w:vAlign w:val="center"/>
          </w:tcPr>
          <w:p w14:paraId="0AEB8948" w14:textId="77777777" w:rsidR="00E54E14" w:rsidRPr="00D94B5E" w:rsidRDefault="00E54E14" w:rsidP="00B823C1">
            <w:pPr>
              <w:spacing w:after="0"/>
              <w:jc w:val="center"/>
              <w:rPr>
                <w:b/>
                <w:bCs/>
                <w:color w:val="000000"/>
                <w:szCs w:val="20"/>
                <w:lang w:eastAsia="pl-PL"/>
              </w:rPr>
            </w:pPr>
            <w:r w:rsidRPr="00D94B5E">
              <w:rPr>
                <w:rFonts w:cs="Calibri"/>
                <w:b/>
                <w:bCs/>
                <w:color w:val="000000"/>
                <w:szCs w:val="20"/>
              </w:rPr>
              <w:t>48</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E43E9" w14:textId="77777777" w:rsidR="00E54E14" w:rsidRPr="00D94B5E" w:rsidRDefault="00E54E14" w:rsidP="00B823C1">
            <w:pPr>
              <w:spacing w:after="0"/>
              <w:jc w:val="center"/>
              <w:rPr>
                <w:b/>
                <w:bCs/>
                <w:color w:val="000000"/>
                <w:szCs w:val="20"/>
                <w:lang w:eastAsia="pl-PL"/>
              </w:rPr>
            </w:pPr>
            <w:r w:rsidRPr="00D94B5E">
              <w:rPr>
                <w:rFonts w:cs="Calibri"/>
                <w:b/>
                <w:bCs/>
                <w:color w:val="000000"/>
                <w:szCs w:val="20"/>
              </w:rPr>
              <w:t>54</w:t>
            </w:r>
          </w:p>
        </w:tc>
        <w:tc>
          <w:tcPr>
            <w:tcW w:w="1473" w:type="dxa"/>
            <w:tcBorders>
              <w:top w:val="nil"/>
              <w:left w:val="single" w:sz="4" w:space="0" w:color="auto"/>
              <w:bottom w:val="single" w:sz="4" w:space="0" w:color="auto"/>
              <w:right w:val="single" w:sz="4" w:space="0" w:color="auto"/>
            </w:tcBorders>
            <w:shd w:val="clear" w:color="auto" w:fill="auto"/>
            <w:noWrap/>
            <w:vAlign w:val="center"/>
            <w:hideMark/>
          </w:tcPr>
          <w:p w14:paraId="1D7FF054" w14:textId="77777777" w:rsidR="00E54E14" w:rsidRPr="00D94B5E" w:rsidRDefault="00E54E14" w:rsidP="00B823C1">
            <w:pPr>
              <w:spacing w:after="0"/>
              <w:jc w:val="center"/>
              <w:rPr>
                <w:b/>
                <w:bCs/>
                <w:color w:val="000000"/>
                <w:szCs w:val="20"/>
                <w:lang w:eastAsia="pl-PL"/>
              </w:rPr>
            </w:pPr>
            <w:r w:rsidRPr="00D94B5E">
              <w:rPr>
                <w:b/>
                <w:bCs/>
                <w:color w:val="000000"/>
                <w:szCs w:val="20"/>
                <w:lang w:eastAsia="pl-PL"/>
              </w:rPr>
              <w:t>270</w:t>
            </w:r>
          </w:p>
        </w:tc>
      </w:tr>
    </w:tbl>
    <w:p w14:paraId="62CA6C36" w14:textId="77777777" w:rsidR="00E54E14" w:rsidRPr="00562B51" w:rsidRDefault="00E54E14" w:rsidP="00E54E14">
      <w:pPr>
        <w:rPr>
          <w:b/>
          <w:bCs/>
          <w:color w:val="2F5496" w:themeColor="accent1" w:themeShade="BF"/>
          <w:highlight w:val="yellow"/>
        </w:rPr>
      </w:pPr>
    </w:p>
    <w:p w14:paraId="0AA6303B" w14:textId="77777777" w:rsidR="00E54E14" w:rsidRPr="000246CE" w:rsidRDefault="00E54E14" w:rsidP="00FF3BC7">
      <w:pPr>
        <w:pStyle w:val="Akapitzlist"/>
        <w:numPr>
          <w:ilvl w:val="0"/>
          <w:numId w:val="5"/>
        </w:numPr>
        <w:jc w:val="left"/>
        <w:rPr>
          <w:b/>
          <w:bCs/>
          <w:color w:val="2F5496" w:themeColor="accent1" w:themeShade="BF"/>
        </w:rPr>
      </w:pPr>
      <w:r w:rsidRPr="000246CE">
        <w:rPr>
          <w:b/>
          <w:bCs/>
          <w:color w:val="2F5496" w:themeColor="accent1" w:themeShade="BF"/>
        </w:rPr>
        <w:t>Monitorowanie i weryfikacja</w:t>
      </w:r>
    </w:p>
    <w:p w14:paraId="24950E65" w14:textId="77777777" w:rsidR="00E54E14" w:rsidRDefault="00E54E14" w:rsidP="00373FD3">
      <w:proofErr w:type="spellStart"/>
      <w:r w:rsidRPr="00EF4FC0">
        <w:t>WFOŚiGW</w:t>
      </w:r>
      <w:proofErr w:type="spellEnd"/>
      <w:r>
        <w:t xml:space="preserve"> i JST</w:t>
      </w:r>
      <w:r w:rsidRPr="00EF4FC0">
        <w:t xml:space="preserve"> w ramach umów udostępnienia środków zobowiązane są do przekazywania efektów ekologicznych i rzeczowy wynikających z podpisanych i zakończonych umów z beneficjentami. Powyższe dane przekazywane są do NFOŚiGW </w:t>
      </w:r>
      <w:r>
        <w:t>i/lub</w:t>
      </w:r>
      <w:r w:rsidRPr="00EF4FC0">
        <w:t xml:space="preserve"> do Centralnego Rejestru Oszczędności Energii Finalnej</w:t>
      </w:r>
      <w:r>
        <w:t xml:space="preserve"> (CROEF)</w:t>
      </w:r>
      <w:r w:rsidRPr="00EF4FC0">
        <w:t>.</w:t>
      </w:r>
      <w:r>
        <w:t xml:space="preserve"> </w:t>
      </w:r>
      <w:r w:rsidRPr="00EF4FC0">
        <w:t xml:space="preserve">CROEF służy do agregacji i weryfikacji przedsięwzięć realizowanych w ramach tzw. środków alternatywnych. Instytucje podpisujące umowy o dofinansowanie z odbiorcą końcowym są zobowiązane do przekazania jednostkowych danych na temat przedsięwzięcia do 31 marca każdego roku, po zakończonej inwestycji. System następnie weryfikuje czy nie występuje tzw. podwójne zliczania. </w:t>
      </w:r>
    </w:p>
    <w:p w14:paraId="0555ECB2" w14:textId="732F956E" w:rsidR="00E54E14" w:rsidRPr="00CF531B" w:rsidRDefault="00E54E14" w:rsidP="00373FD3">
      <w:r w:rsidRPr="00EF4FC0">
        <w:t>Dodatkowo wprowadzony został moduł weryfikacji przedsięwzięć przez administratorów systemu. Każde przedsięwzięcie dodane w CROEF musi zostać sprawdzone pod względem merytorycznym</w:t>
      </w:r>
      <w:r>
        <w:t xml:space="preserve"> (tj. rodzaj przedsięwzięcia, ilość średniorocznych oszczędności, okres uzyskiwania oszczędności oraz potwierdzenie uzyskiwanych oszczędności energii finalnej)</w:t>
      </w:r>
      <w:r w:rsidRPr="00EF4FC0">
        <w:t xml:space="preserve"> przez administratora Ministerstwa Klimatu i Środowiska. </w:t>
      </w:r>
    </w:p>
    <w:p w14:paraId="4C661E63" w14:textId="77777777" w:rsidR="00E54E14" w:rsidRPr="000E0BD1" w:rsidRDefault="00E54E14" w:rsidP="00FF3BC7">
      <w:pPr>
        <w:pStyle w:val="Akapitzlist"/>
        <w:numPr>
          <w:ilvl w:val="0"/>
          <w:numId w:val="12"/>
        </w:numPr>
        <w:spacing w:after="240" w:line="480" w:lineRule="auto"/>
        <w:jc w:val="left"/>
        <w:rPr>
          <w:b/>
          <w:bCs/>
          <w:color w:val="2F5496" w:themeColor="accent1" w:themeShade="BF"/>
        </w:rPr>
      </w:pPr>
      <w:r w:rsidRPr="000E0BD1">
        <w:rPr>
          <w:b/>
          <w:bCs/>
          <w:color w:val="2F5496" w:themeColor="accent1" w:themeShade="BF"/>
        </w:rPr>
        <w:lastRenderedPageBreak/>
        <w:t>Opłata paliwowa</w:t>
      </w:r>
      <w:r>
        <w:rPr>
          <w:b/>
          <w:bCs/>
          <w:color w:val="2F5496" w:themeColor="accent1" w:themeShade="BF"/>
        </w:rPr>
        <w:t xml:space="preserve"> i opłata emisyjna</w:t>
      </w:r>
    </w:p>
    <w:p w14:paraId="04A89EE0" w14:textId="77777777" w:rsidR="00E54E14" w:rsidRPr="004A2365" w:rsidRDefault="00E54E14" w:rsidP="00FF3BC7">
      <w:pPr>
        <w:pStyle w:val="Akapitzlist"/>
        <w:numPr>
          <w:ilvl w:val="0"/>
          <w:numId w:val="7"/>
        </w:numPr>
        <w:spacing w:after="240" w:line="480" w:lineRule="auto"/>
        <w:ind w:left="1134"/>
        <w:jc w:val="left"/>
        <w:rPr>
          <w:b/>
          <w:bCs/>
          <w:color w:val="2F5496" w:themeColor="accent1" w:themeShade="BF"/>
        </w:rPr>
      </w:pPr>
      <w:r w:rsidRPr="004A2365">
        <w:rPr>
          <w:b/>
          <w:bCs/>
          <w:color w:val="2F5496" w:themeColor="accent1" w:themeShade="BF"/>
        </w:rPr>
        <w:t xml:space="preserve">Skrócony opis </w:t>
      </w:r>
      <w:r>
        <w:rPr>
          <w:b/>
          <w:bCs/>
          <w:color w:val="2F5496" w:themeColor="accent1" w:themeShade="BF"/>
        </w:rPr>
        <w:t>środka alternatywnego</w:t>
      </w:r>
    </w:p>
    <w:tbl>
      <w:tblPr>
        <w:tblStyle w:val="Tabela-Siatka"/>
        <w:tblW w:w="8729" w:type="dxa"/>
        <w:tblInd w:w="360" w:type="dxa"/>
        <w:tblBorders>
          <w:top w:val="none" w:sz="0" w:space="0" w:color="auto"/>
          <w:left w:val="none" w:sz="0" w:space="0" w:color="auto"/>
          <w:bottom w:val="none" w:sz="0" w:space="0" w:color="auto"/>
          <w:right w:val="none" w:sz="0" w:space="0" w:color="auto"/>
          <w:insideH w:val="single" w:sz="12" w:space="0" w:color="auto"/>
          <w:insideV w:val="none" w:sz="0" w:space="0" w:color="auto"/>
        </w:tblBorders>
        <w:tblLook w:val="04A0" w:firstRow="1" w:lastRow="0" w:firstColumn="1" w:lastColumn="0" w:noHBand="0" w:noVBand="1"/>
      </w:tblPr>
      <w:tblGrid>
        <w:gridCol w:w="1644"/>
        <w:gridCol w:w="7085"/>
      </w:tblGrid>
      <w:tr w:rsidR="00E54E14" w:rsidRPr="004A2365" w14:paraId="525D0128" w14:textId="77777777" w:rsidTr="00B823C1">
        <w:tc>
          <w:tcPr>
            <w:tcW w:w="1644" w:type="dxa"/>
            <w:vAlign w:val="center"/>
          </w:tcPr>
          <w:p w14:paraId="53E3A1DC" w14:textId="77777777" w:rsidR="00E54E14" w:rsidRPr="005F6322" w:rsidRDefault="00E54E14" w:rsidP="00FF3BC7">
            <w:pPr>
              <w:spacing w:line="276" w:lineRule="auto"/>
              <w:rPr>
                <w:rFonts w:cs="Times New Roman"/>
                <w:i/>
                <w:iCs/>
                <w:color w:val="5B9BD5" w:themeColor="accent5"/>
              </w:rPr>
            </w:pPr>
            <w:r w:rsidRPr="005F6322">
              <w:rPr>
                <w:rFonts w:cs="Times New Roman"/>
                <w:i/>
                <w:iCs/>
                <w:color w:val="5B9BD5" w:themeColor="accent5"/>
              </w:rPr>
              <w:t xml:space="preserve">Nazwa </w:t>
            </w:r>
            <w:r>
              <w:rPr>
                <w:rFonts w:cs="Times New Roman"/>
                <w:i/>
                <w:iCs/>
                <w:color w:val="5B9BD5" w:themeColor="accent5"/>
              </w:rPr>
              <w:t>środka alternatywnego</w:t>
            </w:r>
          </w:p>
        </w:tc>
        <w:tc>
          <w:tcPr>
            <w:tcW w:w="7085" w:type="dxa"/>
            <w:vAlign w:val="center"/>
          </w:tcPr>
          <w:p w14:paraId="5EC54E62" w14:textId="77777777" w:rsidR="00E54E14" w:rsidRPr="000E0BD1" w:rsidRDefault="00E54E14" w:rsidP="00FF3BC7">
            <w:pPr>
              <w:spacing w:line="276" w:lineRule="auto"/>
              <w:rPr>
                <w:b/>
                <w:bCs/>
                <w:highlight w:val="yellow"/>
              </w:rPr>
            </w:pPr>
            <w:r w:rsidRPr="00CA5C1B">
              <w:rPr>
                <w:b/>
                <w:bCs/>
              </w:rPr>
              <w:t>Opłata paliwowa i opłata emisyjna</w:t>
            </w:r>
          </w:p>
        </w:tc>
      </w:tr>
      <w:tr w:rsidR="00E54E14" w:rsidRPr="004A2365" w14:paraId="42D5DC0D" w14:textId="77777777" w:rsidTr="00B823C1">
        <w:tc>
          <w:tcPr>
            <w:tcW w:w="1644" w:type="dxa"/>
            <w:vAlign w:val="center"/>
          </w:tcPr>
          <w:p w14:paraId="55024986" w14:textId="77777777" w:rsidR="00E54E14" w:rsidRPr="005F6322" w:rsidRDefault="00E54E14" w:rsidP="00FF3BC7">
            <w:pPr>
              <w:spacing w:line="276" w:lineRule="auto"/>
              <w:rPr>
                <w:rFonts w:cs="Times New Roman"/>
                <w:i/>
                <w:iCs/>
                <w:color w:val="5B9BD5" w:themeColor="accent5"/>
              </w:rPr>
            </w:pPr>
            <w:r w:rsidRPr="005F6322">
              <w:rPr>
                <w:rFonts w:cs="Times New Roman"/>
                <w:i/>
                <w:iCs/>
                <w:color w:val="5B9BD5" w:themeColor="accent5"/>
              </w:rPr>
              <w:t>Kategoria</w:t>
            </w:r>
          </w:p>
        </w:tc>
        <w:tc>
          <w:tcPr>
            <w:tcW w:w="7085" w:type="dxa"/>
            <w:vAlign w:val="center"/>
          </w:tcPr>
          <w:p w14:paraId="53CB8C65" w14:textId="77777777" w:rsidR="00E54E14" w:rsidRPr="00A50275" w:rsidRDefault="00E54E14" w:rsidP="00FF3BC7">
            <w:pPr>
              <w:spacing w:line="276" w:lineRule="auto"/>
              <w:rPr>
                <w:rFonts w:cs="Times New Roman"/>
              </w:rPr>
            </w:pPr>
            <w:r w:rsidRPr="00A50275">
              <w:rPr>
                <w:rFonts w:cs="Times New Roman"/>
              </w:rPr>
              <w:t>Środek podatkowy</w:t>
            </w:r>
          </w:p>
        </w:tc>
      </w:tr>
      <w:tr w:rsidR="00E54E14" w:rsidRPr="004A2365" w14:paraId="289F6FCA" w14:textId="77777777" w:rsidTr="00B823C1">
        <w:tc>
          <w:tcPr>
            <w:tcW w:w="1644" w:type="dxa"/>
            <w:vAlign w:val="center"/>
          </w:tcPr>
          <w:p w14:paraId="2167C501" w14:textId="77777777" w:rsidR="00E54E14" w:rsidRPr="005F6322" w:rsidRDefault="00E54E14" w:rsidP="00FF3BC7">
            <w:pPr>
              <w:spacing w:line="276" w:lineRule="auto"/>
              <w:rPr>
                <w:rFonts w:cs="Times New Roman"/>
                <w:i/>
                <w:iCs/>
                <w:color w:val="5B9BD5" w:themeColor="accent5"/>
              </w:rPr>
            </w:pPr>
            <w:r>
              <w:rPr>
                <w:rFonts w:cs="Times New Roman"/>
                <w:i/>
                <w:iCs/>
                <w:color w:val="5B9BD5" w:themeColor="accent5"/>
              </w:rPr>
              <w:t>Sektor</w:t>
            </w:r>
          </w:p>
        </w:tc>
        <w:tc>
          <w:tcPr>
            <w:tcW w:w="7085" w:type="dxa"/>
            <w:vAlign w:val="center"/>
          </w:tcPr>
          <w:p w14:paraId="24FD6885" w14:textId="77777777" w:rsidR="00E54E14" w:rsidRPr="00A50275" w:rsidRDefault="00E54E14" w:rsidP="00FF3BC7">
            <w:pPr>
              <w:spacing w:line="276" w:lineRule="auto"/>
              <w:rPr>
                <w:rFonts w:cs="Times New Roman"/>
              </w:rPr>
            </w:pPr>
            <w:r w:rsidRPr="00A50275">
              <w:t>Transport</w:t>
            </w:r>
          </w:p>
        </w:tc>
      </w:tr>
      <w:tr w:rsidR="00E54E14" w:rsidRPr="004A2365" w14:paraId="6A1AF4C9" w14:textId="77777777" w:rsidTr="00B823C1">
        <w:trPr>
          <w:trHeight w:val="566"/>
        </w:trPr>
        <w:tc>
          <w:tcPr>
            <w:tcW w:w="1644" w:type="dxa"/>
            <w:vAlign w:val="center"/>
          </w:tcPr>
          <w:p w14:paraId="07905813" w14:textId="77777777" w:rsidR="00E54E14" w:rsidRPr="005F6322" w:rsidRDefault="00E54E14" w:rsidP="00FF3BC7">
            <w:pPr>
              <w:spacing w:line="276" w:lineRule="auto"/>
              <w:rPr>
                <w:rFonts w:cs="Times New Roman"/>
                <w:i/>
                <w:iCs/>
                <w:color w:val="5B9BD5" w:themeColor="accent5"/>
              </w:rPr>
            </w:pPr>
            <w:r>
              <w:rPr>
                <w:rFonts w:cs="Times New Roman"/>
                <w:i/>
                <w:iCs/>
                <w:color w:val="5B9BD5" w:themeColor="accent5"/>
              </w:rPr>
              <w:t>Typ podatnika</w:t>
            </w:r>
          </w:p>
        </w:tc>
        <w:tc>
          <w:tcPr>
            <w:tcW w:w="7085" w:type="dxa"/>
            <w:vAlign w:val="center"/>
          </w:tcPr>
          <w:p w14:paraId="478F9383" w14:textId="77777777" w:rsidR="00E54E14" w:rsidRPr="00A50275" w:rsidRDefault="00E54E14" w:rsidP="00FF3BC7">
            <w:pPr>
              <w:spacing w:line="276" w:lineRule="auto"/>
              <w:rPr>
                <w:rFonts w:cs="Times New Roman"/>
              </w:rPr>
            </w:pPr>
            <w:r w:rsidRPr="00A50275">
              <w:t>Konsumenci paliw</w:t>
            </w:r>
          </w:p>
        </w:tc>
      </w:tr>
      <w:tr w:rsidR="00E54E14" w:rsidRPr="004A2365" w14:paraId="5A4C596D" w14:textId="77777777" w:rsidTr="00B823C1">
        <w:tc>
          <w:tcPr>
            <w:tcW w:w="1644" w:type="dxa"/>
            <w:vAlign w:val="center"/>
          </w:tcPr>
          <w:p w14:paraId="272DA7F3" w14:textId="77777777" w:rsidR="00E54E14" w:rsidRPr="005F6322" w:rsidRDefault="00E54E14" w:rsidP="00FF3BC7">
            <w:pPr>
              <w:spacing w:line="276" w:lineRule="auto"/>
              <w:rPr>
                <w:rFonts w:cs="Times New Roman"/>
                <w:i/>
                <w:iCs/>
                <w:color w:val="5B9BD5" w:themeColor="accent5"/>
              </w:rPr>
            </w:pPr>
            <w:r w:rsidRPr="005F6322">
              <w:rPr>
                <w:rFonts w:cs="Times New Roman"/>
                <w:i/>
                <w:iCs/>
                <w:color w:val="5B9BD5" w:themeColor="accent5"/>
              </w:rPr>
              <w:t>Instytucja wdrażająca</w:t>
            </w:r>
          </w:p>
        </w:tc>
        <w:tc>
          <w:tcPr>
            <w:tcW w:w="7085" w:type="dxa"/>
            <w:vAlign w:val="center"/>
          </w:tcPr>
          <w:p w14:paraId="1D90E275" w14:textId="77777777" w:rsidR="00E54E14" w:rsidRPr="00A50275" w:rsidRDefault="00E54E14" w:rsidP="00FF3BC7">
            <w:pPr>
              <w:spacing w:line="276" w:lineRule="auto"/>
              <w:rPr>
                <w:rFonts w:cs="Times New Roman"/>
              </w:rPr>
            </w:pPr>
            <w:r w:rsidRPr="00A50275">
              <w:rPr>
                <w:rFonts w:cs="Times New Roman"/>
              </w:rPr>
              <w:t>Ministerstwo Finansów</w:t>
            </w:r>
            <w:r>
              <w:rPr>
                <w:rFonts w:cs="Times New Roman"/>
              </w:rPr>
              <w:t>, Ministerstwo Infrastruktury</w:t>
            </w:r>
          </w:p>
        </w:tc>
      </w:tr>
      <w:tr w:rsidR="00E54E14" w:rsidRPr="004A2365" w14:paraId="766E6AD4" w14:textId="77777777" w:rsidTr="00B823C1">
        <w:tc>
          <w:tcPr>
            <w:tcW w:w="1644" w:type="dxa"/>
            <w:vAlign w:val="center"/>
          </w:tcPr>
          <w:p w14:paraId="3E0F89E8" w14:textId="77777777" w:rsidR="00E54E14" w:rsidRPr="005F6322" w:rsidRDefault="00E54E14" w:rsidP="00FF3BC7">
            <w:pPr>
              <w:spacing w:line="276" w:lineRule="auto"/>
              <w:rPr>
                <w:rFonts w:cs="Times New Roman"/>
                <w:i/>
                <w:iCs/>
                <w:color w:val="5B9BD5" w:themeColor="accent5"/>
              </w:rPr>
            </w:pPr>
          </w:p>
        </w:tc>
        <w:tc>
          <w:tcPr>
            <w:tcW w:w="7085" w:type="dxa"/>
            <w:vAlign w:val="center"/>
          </w:tcPr>
          <w:p w14:paraId="752A64EA" w14:textId="77777777" w:rsidR="00E54E14" w:rsidRPr="000E0BD1" w:rsidRDefault="00E54E14" w:rsidP="00FF3BC7">
            <w:pPr>
              <w:spacing w:line="276" w:lineRule="auto"/>
              <w:rPr>
                <w:rFonts w:cs="Times New Roman"/>
                <w:highlight w:val="yellow"/>
              </w:rPr>
            </w:pPr>
          </w:p>
        </w:tc>
      </w:tr>
    </w:tbl>
    <w:p w14:paraId="050530BE" w14:textId="77777777" w:rsidR="00E54E14" w:rsidRPr="0012644B" w:rsidRDefault="00E54E14" w:rsidP="00FF3BC7">
      <w:pPr>
        <w:pStyle w:val="Akapitzlist"/>
        <w:numPr>
          <w:ilvl w:val="0"/>
          <w:numId w:val="8"/>
        </w:numPr>
        <w:ind w:left="1134"/>
        <w:jc w:val="left"/>
        <w:rPr>
          <w:b/>
          <w:bCs/>
          <w:color w:val="2F5496" w:themeColor="accent1" w:themeShade="BF"/>
        </w:rPr>
      </w:pPr>
      <w:r w:rsidRPr="0012644B">
        <w:rPr>
          <w:b/>
          <w:bCs/>
          <w:color w:val="2F5496" w:themeColor="accent1" w:themeShade="BF"/>
        </w:rPr>
        <w:t>Opis środka alternatywnego</w:t>
      </w:r>
    </w:p>
    <w:p w14:paraId="332BA7E4" w14:textId="77777777" w:rsidR="00E54E14" w:rsidRPr="00723115" w:rsidRDefault="00E54E14" w:rsidP="00373FD3">
      <w:r w:rsidRPr="00723115">
        <w:t>Zastosowanie środka z dziedziny polityki celem uzyskania oszczędności energii u</w:t>
      </w:r>
      <w:r>
        <w:t> </w:t>
      </w:r>
      <w:r w:rsidRPr="00723115">
        <w:t xml:space="preserve">odbiorcy końcowego w sektorze transportu ma służyć ograniczeniu lub uniknięciu emisji dwutlenku węgla poprzez zmniejszone zużycie paliwa w sektorze transportu. W tym celu  wprowadzony został podatek na paliwa powyżej minimalnego poziomu określonego w </w:t>
      </w:r>
      <w:r>
        <w:t>D</w:t>
      </w:r>
      <w:r w:rsidRPr="00723115">
        <w:t xml:space="preserve">yrektywie </w:t>
      </w:r>
      <w:r>
        <w:t xml:space="preserve">Parlamentu Europejskiego i </w:t>
      </w:r>
      <w:r w:rsidRPr="00723115">
        <w:t>Rady</w:t>
      </w:r>
      <w:r>
        <w:t xml:space="preserve"> UE</w:t>
      </w:r>
      <w:r w:rsidRPr="00723115">
        <w:t xml:space="preserve"> 2003/96/WE z dnia 27 października 2003 r. </w:t>
      </w:r>
      <w:r w:rsidRPr="00373FD3">
        <w:t xml:space="preserve">w sprawie restrukturyzacji wspólnotowych przepisów ramowych dotyczących opodatkowania produktów energetycznych i energii elektrycznej </w:t>
      </w:r>
      <w:r w:rsidRPr="00923081">
        <w:t>(Dz. Urz. L 285/51 z 31.10.2003 s. 405).</w:t>
      </w:r>
      <w:r w:rsidRPr="00723115">
        <w:t xml:space="preserve"> </w:t>
      </w:r>
    </w:p>
    <w:p w14:paraId="2CD49884" w14:textId="77777777" w:rsidR="00E54E14" w:rsidRPr="00AA7FDA" w:rsidRDefault="00E54E14" w:rsidP="00E54E14">
      <w:pPr>
        <w:spacing w:after="0" w:line="360" w:lineRule="auto"/>
        <w:rPr>
          <w:b/>
          <w:bCs/>
          <w:i/>
          <w:iCs/>
          <w:color w:val="4472C4" w:themeColor="accent1"/>
          <w:u w:val="single"/>
        </w:rPr>
      </w:pPr>
      <w:r w:rsidRPr="00AA7FDA">
        <w:rPr>
          <w:b/>
          <w:bCs/>
          <w:i/>
          <w:iCs/>
          <w:color w:val="4472C4" w:themeColor="accent1"/>
          <w:u w:val="single"/>
        </w:rPr>
        <w:t>Opłata paliwowa</w:t>
      </w:r>
    </w:p>
    <w:p w14:paraId="72EBCCC0" w14:textId="77777777" w:rsidR="00E54E14" w:rsidRDefault="00E54E14" w:rsidP="00373FD3">
      <w:r w:rsidRPr="00723115">
        <w:t xml:space="preserve">Ustawa z dnia 27 października 1994 r. </w:t>
      </w:r>
      <w:r w:rsidRPr="00373FD3">
        <w:t>o autostradach płatnych oraz o Krajowym Funduszu Drogowym</w:t>
      </w:r>
      <w:r w:rsidRPr="00723115">
        <w:t xml:space="preserve"> (Dz. U. z 2022 r. poz. 659)</w:t>
      </w:r>
      <w:r>
        <w:t xml:space="preserve">, </w:t>
      </w:r>
      <w:r w:rsidRPr="00723115">
        <w:t xml:space="preserve">nakłada obowiązek opłaty za wprowadzenie na rynek krajowy paliw silnikowych oraz gazu wykorzystywanych do napędu silników spalinowych. Obowiązek uiszczania opłaty został określony w art. 37j </w:t>
      </w:r>
      <w:r>
        <w:t xml:space="preserve">ww. </w:t>
      </w:r>
      <w:r w:rsidRPr="00723115">
        <w:t>ustawy; są to: producenci oraz importerzy paliw silnikowych oraz gazu, podmioty dokonujące nabycia wewnątrzwspólnotowego w rozumieniu przepisów o podatku akcyzowym paliw silnikowych lub gazu oraz inne podmioty podlegające na podstawie przepisów o podatku akcyzowym obowiązkowi podatkowemu w zakresie podatku akcyzowego od paliw silnikowych lub gazu.</w:t>
      </w:r>
    </w:p>
    <w:p w14:paraId="5B1AE8EB" w14:textId="77777777" w:rsidR="00E54E14" w:rsidRPr="00AF4331" w:rsidRDefault="00E54E14" w:rsidP="00373FD3">
      <w:r>
        <w:t xml:space="preserve">Wysokość opłaty paliwowej jest określana przez ministra właściwego ds. transportu według art. 37m ustawy </w:t>
      </w:r>
      <w:r w:rsidRPr="00723115">
        <w:t xml:space="preserve">z dnia 27 października 1994 r. </w:t>
      </w:r>
      <w:r w:rsidRPr="00373FD3">
        <w:t xml:space="preserve">o autostradach płatnych oraz o Krajowym Funduszu Drogowym. </w:t>
      </w:r>
      <w:r w:rsidRPr="00AF4331">
        <w:t>Wysokości stawki opłaty paliwowej w okresie 2014-202</w:t>
      </w:r>
      <w:r>
        <w:t>3</w:t>
      </w:r>
      <w:r w:rsidRPr="00AF4331">
        <w:t xml:space="preserve"> z podziałem na poszczególne paliwa</w:t>
      </w:r>
      <w:r>
        <w:t xml:space="preserve"> została przedstawiona w tab. 11</w:t>
      </w:r>
      <w:r w:rsidRPr="00AF4331">
        <w:t>:</w:t>
      </w:r>
    </w:p>
    <w:p w14:paraId="32667349" w14:textId="77777777" w:rsidR="00E54E14" w:rsidRDefault="00E54E14" w:rsidP="00E54E14">
      <w:pPr>
        <w:ind w:firstLine="709"/>
        <w:rPr>
          <w:rFonts w:ascii="Times New Roman" w:hAnsi="Times New Roman"/>
          <w:sz w:val="24"/>
          <w:szCs w:val="24"/>
        </w:rPr>
      </w:pPr>
    </w:p>
    <w:p w14:paraId="1F619149" w14:textId="68EE7D98" w:rsidR="00E54E14" w:rsidRPr="00931850" w:rsidRDefault="00E54E14" w:rsidP="00E54E14">
      <w:pPr>
        <w:pStyle w:val="Legenda"/>
        <w:keepNext/>
        <w:spacing w:before="120" w:after="120" w:line="276" w:lineRule="auto"/>
        <w:jc w:val="center"/>
        <w:rPr>
          <w:rStyle w:val="rynqvb"/>
          <w:b/>
          <w:bCs/>
        </w:rPr>
      </w:pPr>
      <w:r w:rsidRPr="00931850">
        <w:rPr>
          <w:rStyle w:val="rynqvb"/>
          <w:b/>
          <w:bCs/>
        </w:rPr>
        <w:t xml:space="preserve">Tab. </w:t>
      </w:r>
      <w:r w:rsidRPr="00931850">
        <w:rPr>
          <w:rStyle w:val="rynqvb"/>
          <w:b/>
          <w:bCs/>
        </w:rPr>
        <w:fldChar w:fldCharType="begin"/>
      </w:r>
      <w:r w:rsidRPr="00931850">
        <w:rPr>
          <w:rStyle w:val="rynqvb"/>
          <w:b/>
          <w:bCs/>
        </w:rPr>
        <w:instrText xml:space="preserve"> SEQ Tab. \* ARABIC </w:instrText>
      </w:r>
      <w:r w:rsidRPr="00931850">
        <w:rPr>
          <w:rStyle w:val="rynqvb"/>
          <w:b/>
          <w:bCs/>
        </w:rPr>
        <w:fldChar w:fldCharType="separate"/>
      </w:r>
      <w:r w:rsidR="00FD1148">
        <w:rPr>
          <w:rStyle w:val="rynqvb"/>
          <w:b/>
          <w:bCs/>
          <w:noProof/>
        </w:rPr>
        <w:t>7</w:t>
      </w:r>
      <w:r w:rsidRPr="00931850">
        <w:rPr>
          <w:rStyle w:val="rynqvb"/>
          <w:b/>
          <w:bCs/>
        </w:rPr>
        <w:fldChar w:fldCharType="end"/>
      </w:r>
      <w:r w:rsidRPr="00931850">
        <w:rPr>
          <w:rStyle w:val="rynqvb"/>
          <w:b/>
          <w:bCs/>
        </w:rPr>
        <w:t xml:space="preserve"> Wysokość stawki opłaty paliwowej w latach 2014-2023</w:t>
      </w:r>
      <w:r>
        <w:rPr>
          <w:rStyle w:val="rynqvb"/>
          <w:b/>
          <w:bCs/>
        </w:rPr>
        <w:t>.</w:t>
      </w:r>
    </w:p>
    <w:tbl>
      <w:tblPr>
        <w:tblW w:w="0" w:type="auto"/>
        <w:jc w:val="center"/>
        <w:tblBorders>
          <w:insideH w:val="single" w:sz="4" w:space="0" w:color="auto"/>
        </w:tblBorders>
        <w:tblLook w:val="04A0" w:firstRow="1" w:lastRow="0" w:firstColumn="1" w:lastColumn="0" w:noHBand="0" w:noVBand="1"/>
      </w:tblPr>
      <w:tblGrid>
        <w:gridCol w:w="1759"/>
        <w:gridCol w:w="3473"/>
        <w:gridCol w:w="3473"/>
      </w:tblGrid>
      <w:tr w:rsidR="00E54E14" w:rsidRPr="00875F98" w14:paraId="7357276F" w14:textId="77777777" w:rsidTr="00FF3BC7">
        <w:trPr>
          <w:trHeight w:val="1606"/>
          <w:jc w:val="center"/>
        </w:trPr>
        <w:tc>
          <w:tcPr>
            <w:tcW w:w="1759" w:type="dxa"/>
            <w:tcBorders>
              <w:bottom w:val="single" w:sz="12" w:space="0" w:color="auto"/>
            </w:tcBorders>
            <w:shd w:val="clear" w:color="auto" w:fill="auto"/>
            <w:vAlign w:val="center"/>
          </w:tcPr>
          <w:p w14:paraId="7D0F6838" w14:textId="77777777" w:rsidR="00E54E14" w:rsidRPr="00F119FA" w:rsidRDefault="00E54E14" w:rsidP="00FF3BC7">
            <w:pPr>
              <w:spacing w:after="0" w:line="276" w:lineRule="auto"/>
              <w:jc w:val="center"/>
              <w:rPr>
                <w:rFonts w:cs="Times New Roman"/>
                <w:b/>
                <w:bCs/>
                <w:color w:val="5B9BD5" w:themeColor="accent5"/>
              </w:rPr>
            </w:pPr>
            <w:r w:rsidRPr="00F119FA">
              <w:rPr>
                <w:rFonts w:cs="Times New Roman"/>
                <w:b/>
                <w:bCs/>
                <w:color w:val="5B9BD5" w:themeColor="accent5"/>
              </w:rPr>
              <w:t>Rok obowiązywania</w:t>
            </w:r>
          </w:p>
        </w:tc>
        <w:tc>
          <w:tcPr>
            <w:tcW w:w="3473" w:type="dxa"/>
            <w:tcBorders>
              <w:bottom w:val="single" w:sz="12" w:space="0" w:color="auto"/>
            </w:tcBorders>
            <w:shd w:val="clear" w:color="auto" w:fill="auto"/>
            <w:vAlign w:val="center"/>
          </w:tcPr>
          <w:p w14:paraId="531E3037" w14:textId="77777777" w:rsidR="00E54E14" w:rsidRPr="00F119FA" w:rsidRDefault="00E54E14" w:rsidP="00FF3BC7">
            <w:pPr>
              <w:spacing w:after="0" w:line="276" w:lineRule="auto"/>
              <w:jc w:val="center"/>
              <w:rPr>
                <w:rFonts w:cs="Times New Roman"/>
                <w:b/>
                <w:bCs/>
                <w:color w:val="5B9BD5" w:themeColor="accent5"/>
              </w:rPr>
            </w:pPr>
            <w:r w:rsidRPr="00F119FA">
              <w:rPr>
                <w:rFonts w:cs="Times New Roman"/>
                <w:b/>
                <w:bCs/>
                <w:color w:val="5B9BD5" w:themeColor="accent5"/>
              </w:rPr>
              <w:t xml:space="preserve">Za 1000 l benzyn silnikowych, </w:t>
            </w:r>
            <w:r w:rsidRPr="00F119FA">
              <w:rPr>
                <w:rFonts w:cs="Times New Roman"/>
                <w:b/>
                <w:bCs/>
                <w:color w:val="5B9BD5" w:themeColor="accent5"/>
              </w:rPr>
              <w:br/>
              <w:t xml:space="preserve">o których mowa </w:t>
            </w:r>
            <w:r w:rsidRPr="00F119FA">
              <w:rPr>
                <w:rFonts w:cs="Times New Roman"/>
                <w:b/>
                <w:bCs/>
                <w:color w:val="5B9BD5" w:themeColor="accent5"/>
              </w:rPr>
              <w:br/>
              <w:t xml:space="preserve">w art. 37h ust. 4 pkt 1 ustawy </w:t>
            </w:r>
            <w:r w:rsidRPr="00F119FA">
              <w:rPr>
                <w:rFonts w:cs="Times New Roman"/>
                <w:b/>
                <w:bCs/>
                <w:i/>
                <w:iCs/>
                <w:color w:val="5B9BD5" w:themeColor="accent5"/>
              </w:rPr>
              <w:t>o autostradach płatnych oraz o Krajowym Funduszu Drogowym</w:t>
            </w:r>
            <w:r>
              <w:rPr>
                <w:rFonts w:cs="Times New Roman"/>
                <w:b/>
                <w:bCs/>
                <w:i/>
                <w:iCs/>
                <w:color w:val="5B9BD5" w:themeColor="accent5"/>
              </w:rPr>
              <w:t xml:space="preserve"> [zł]</w:t>
            </w:r>
          </w:p>
        </w:tc>
        <w:tc>
          <w:tcPr>
            <w:tcW w:w="3473" w:type="dxa"/>
            <w:tcBorders>
              <w:bottom w:val="single" w:sz="12" w:space="0" w:color="auto"/>
            </w:tcBorders>
            <w:shd w:val="clear" w:color="auto" w:fill="auto"/>
            <w:vAlign w:val="center"/>
          </w:tcPr>
          <w:p w14:paraId="482CA232" w14:textId="77777777" w:rsidR="00E54E14" w:rsidRPr="00F119FA" w:rsidRDefault="00E54E14" w:rsidP="00FF3BC7">
            <w:pPr>
              <w:spacing w:after="0" w:line="276" w:lineRule="auto"/>
              <w:jc w:val="center"/>
              <w:rPr>
                <w:rFonts w:cs="Times New Roman"/>
                <w:b/>
                <w:bCs/>
                <w:color w:val="5B9BD5" w:themeColor="accent5"/>
              </w:rPr>
            </w:pPr>
            <w:r w:rsidRPr="00F119FA">
              <w:rPr>
                <w:rFonts w:cs="Times New Roman"/>
                <w:b/>
                <w:bCs/>
                <w:color w:val="5B9BD5" w:themeColor="accent5"/>
              </w:rPr>
              <w:t xml:space="preserve">Za 1000 l olejów napędowych, </w:t>
            </w:r>
            <w:r w:rsidRPr="00F119FA">
              <w:rPr>
                <w:rFonts w:cs="Times New Roman"/>
                <w:b/>
                <w:bCs/>
                <w:color w:val="5B9BD5" w:themeColor="accent5"/>
              </w:rPr>
              <w:br/>
              <w:t xml:space="preserve">o których mowa </w:t>
            </w:r>
            <w:r w:rsidRPr="00F119FA">
              <w:rPr>
                <w:rFonts w:cs="Times New Roman"/>
                <w:b/>
                <w:bCs/>
                <w:color w:val="5B9BD5" w:themeColor="accent5"/>
              </w:rPr>
              <w:br/>
              <w:t xml:space="preserve">w art. 37h ust. 4 pkt 2  ustawy </w:t>
            </w:r>
            <w:r w:rsidRPr="00F119FA">
              <w:rPr>
                <w:rFonts w:cs="Times New Roman"/>
                <w:b/>
                <w:bCs/>
                <w:i/>
                <w:iCs/>
                <w:color w:val="5B9BD5" w:themeColor="accent5"/>
              </w:rPr>
              <w:t>o autostradach płatnych oraz o Krajowym Funduszu Drogowym</w:t>
            </w:r>
            <w:r>
              <w:rPr>
                <w:rFonts w:cs="Times New Roman"/>
                <w:b/>
                <w:bCs/>
                <w:i/>
                <w:iCs/>
                <w:color w:val="5B9BD5" w:themeColor="accent5"/>
              </w:rPr>
              <w:t xml:space="preserve"> [zł]</w:t>
            </w:r>
          </w:p>
        </w:tc>
      </w:tr>
      <w:tr w:rsidR="00E54E14" w:rsidRPr="00875F98" w14:paraId="7FF5333E" w14:textId="77777777" w:rsidTr="00B823C1">
        <w:trPr>
          <w:trHeight w:val="306"/>
          <w:jc w:val="center"/>
        </w:trPr>
        <w:tc>
          <w:tcPr>
            <w:tcW w:w="1759" w:type="dxa"/>
            <w:tcBorders>
              <w:top w:val="single" w:sz="12" w:space="0" w:color="auto"/>
              <w:bottom w:val="single" w:sz="12" w:space="0" w:color="auto"/>
            </w:tcBorders>
            <w:shd w:val="clear" w:color="auto" w:fill="auto"/>
            <w:vAlign w:val="center"/>
          </w:tcPr>
          <w:p w14:paraId="7190D444" w14:textId="77777777" w:rsidR="00E54E14" w:rsidRPr="00875F98" w:rsidRDefault="00E54E14" w:rsidP="00B823C1">
            <w:pPr>
              <w:spacing w:after="0"/>
              <w:jc w:val="center"/>
              <w:rPr>
                <w:rFonts w:eastAsia="Calibri"/>
              </w:rPr>
            </w:pPr>
            <w:r w:rsidRPr="00875F98">
              <w:rPr>
                <w:rFonts w:eastAsia="Calibri"/>
              </w:rPr>
              <w:t>2014</w:t>
            </w:r>
          </w:p>
        </w:tc>
        <w:tc>
          <w:tcPr>
            <w:tcW w:w="3473" w:type="dxa"/>
            <w:tcBorders>
              <w:top w:val="single" w:sz="12" w:space="0" w:color="auto"/>
              <w:bottom w:val="single" w:sz="12" w:space="0" w:color="auto"/>
            </w:tcBorders>
            <w:shd w:val="clear" w:color="auto" w:fill="auto"/>
            <w:vAlign w:val="center"/>
          </w:tcPr>
          <w:p w14:paraId="5C2C3A26" w14:textId="77777777" w:rsidR="00E54E14" w:rsidRPr="00875F98" w:rsidRDefault="00E54E14" w:rsidP="00B823C1">
            <w:pPr>
              <w:spacing w:after="0"/>
              <w:jc w:val="center"/>
              <w:rPr>
                <w:rFonts w:eastAsia="Calibri"/>
              </w:rPr>
            </w:pPr>
            <w:r w:rsidRPr="00875F98">
              <w:rPr>
                <w:rFonts w:eastAsia="Calibri"/>
              </w:rPr>
              <w:t>104,20</w:t>
            </w:r>
          </w:p>
        </w:tc>
        <w:tc>
          <w:tcPr>
            <w:tcW w:w="3473" w:type="dxa"/>
            <w:tcBorders>
              <w:top w:val="single" w:sz="12" w:space="0" w:color="auto"/>
              <w:bottom w:val="single" w:sz="12" w:space="0" w:color="auto"/>
            </w:tcBorders>
            <w:shd w:val="clear" w:color="auto" w:fill="auto"/>
            <w:vAlign w:val="center"/>
          </w:tcPr>
          <w:p w14:paraId="27BFB0FA" w14:textId="77777777" w:rsidR="00E54E14" w:rsidRPr="00875F98" w:rsidRDefault="00E54E14" w:rsidP="00B823C1">
            <w:pPr>
              <w:spacing w:after="0"/>
              <w:jc w:val="center"/>
              <w:rPr>
                <w:rFonts w:eastAsia="Calibri"/>
              </w:rPr>
            </w:pPr>
            <w:r w:rsidRPr="00875F98">
              <w:rPr>
                <w:rFonts w:eastAsia="Calibri"/>
              </w:rPr>
              <w:t>262,52</w:t>
            </w:r>
          </w:p>
        </w:tc>
      </w:tr>
      <w:tr w:rsidR="00E54E14" w:rsidRPr="00875F98" w14:paraId="5204CA61" w14:textId="77777777" w:rsidTr="00B823C1">
        <w:trPr>
          <w:trHeight w:val="306"/>
          <w:jc w:val="center"/>
        </w:trPr>
        <w:tc>
          <w:tcPr>
            <w:tcW w:w="1759" w:type="dxa"/>
            <w:tcBorders>
              <w:top w:val="single" w:sz="12" w:space="0" w:color="auto"/>
              <w:bottom w:val="single" w:sz="12" w:space="0" w:color="auto"/>
            </w:tcBorders>
            <w:shd w:val="clear" w:color="auto" w:fill="auto"/>
            <w:vAlign w:val="center"/>
          </w:tcPr>
          <w:p w14:paraId="7CBBDC36" w14:textId="77777777" w:rsidR="00E54E14" w:rsidRPr="00875F98" w:rsidRDefault="00E54E14" w:rsidP="00B823C1">
            <w:pPr>
              <w:spacing w:after="0"/>
              <w:jc w:val="center"/>
              <w:rPr>
                <w:rFonts w:eastAsia="Calibri"/>
              </w:rPr>
            </w:pPr>
            <w:r w:rsidRPr="00875F98">
              <w:rPr>
                <w:rFonts w:eastAsia="Calibri"/>
              </w:rPr>
              <w:t>2015</w:t>
            </w:r>
          </w:p>
        </w:tc>
        <w:tc>
          <w:tcPr>
            <w:tcW w:w="3473" w:type="dxa"/>
            <w:tcBorders>
              <w:top w:val="single" w:sz="12" w:space="0" w:color="auto"/>
              <w:bottom w:val="single" w:sz="12" w:space="0" w:color="auto"/>
            </w:tcBorders>
            <w:shd w:val="clear" w:color="auto" w:fill="auto"/>
            <w:vAlign w:val="center"/>
          </w:tcPr>
          <w:p w14:paraId="4DFC0C36" w14:textId="77777777" w:rsidR="00E54E14" w:rsidRPr="00875F98" w:rsidRDefault="00E54E14" w:rsidP="00B823C1">
            <w:pPr>
              <w:spacing w:after="0"/>
              <w:jc w:val="center"/>
              <w:rPr>
                <w:rFonts w:eastAsia="Calibri"/>
              </w:rPr>
            </w:pPr>
            <w:r w:rsidRPr="00875F98">
              <w:rPr>
                <w:rFonts w:eastAsia="Calibri"/>
              </w:rPr>
              <w:t>129,41</w:t>
            </w:r>
          </w:p>
        </w:tc>
        <w:tc>
          <w:tcPr>
            <w:tcW w:w="3473" w:type="dxa"/>
            <w:tcBorders>
              <w:top w:val="single" w:sz="12" w:space="0" w:color="auto"/>
              <w:bottom w:val="single" w:sz="12" w:space="0" w:color="auto"/>
            </w:tcBorders>
            <w:shd w:val="clear" w:color="auto" w:fill="auto"/>
            <w:vAlign w:val="center"/>
          </w:tcPr>
          <w:p w14:paraId="596D528D" w14:textId="77777777" w:rsidR="00E54E14" w:rsidRPr="00875F98" w:rsidRDefault="00E54E14" w:rsidP="00B823C1">
            <w:pPr>
              <w:spacing w:after="0"/>
              <w:jc w:val="center"/>
              <w:rPr>
                <w:rFonts w:eastAsia="Calibri"/>
              </w:rPr>
            </w:pPr>
            <w:r w:rsidRPr="00875F98">
              <w:rPr>
                <w:rFonts w:eastAsia="Calibri"/>
              </w:rPr>
              <w:t>288,05</w:t>
            </w:r>
          </w:p>
        </w:tc>
      </w:tr>
      <w:tr w:rsidR="00E54E14" w:rsidRPr="00875F98" w14:paraId="021E5BF7" w14:textId="77777777" w:rsidTr="00B823C1">
        <w:trPr>
          <w:trHeight w:val="306"/>
          <w:jc w:val="center"/>
        </w:trPr>
        <w:tc>
          <w:tcPr>
            <w:tcW w:w="1759" w:type="dxa"/>
            <w:tcBorders>
              <w:top w:val="single" w:sz="12" w:space="0" w:color="auto"/>
              <w:bottom w:val="single" w:sz="12" w:space="0" w:color="auto"/>
            </w:tcBorders>
            <w:shd w:val="clear" w:color="auto" w:fill="auto"/>
            <w:vAlign w:val="center"/>
          </w:tcPr>
          <w:p w14:paraId="1CD4DF4E" w14:textId="77777777" w:rsidR="00E54E14" w:rsidRPr="00875F98" w:rsidRDefault="00E54E14" w:rsidP="00B823C1">
            <w:pPr>
              <w:spacing w:after="0"/>
              <w:jc w:val="center"/>
              <w:rPr>
                <w:rFonts w:eastAsia="Calibri"/>
              </w:rPr>
            </w:pPr>
            <w:r w:rsidRPr="00875F98">
              <w:rPr>
                <w:rFonts w:eastAsia="Calibri"/>
              </w:rPr>
              <w:t>2016</w:t>
            </w:r>
          </w:p>
        </w:tc>
        <w:tc>
          <w:tcPr>
            <w:tcW w:w="3473" w:type="dxa"/>
            <w:tcBorders>
              <w:top w:val="single" w:sz="12" w:space="0" w:color="auto"/>
              <w:bottom w:val="single" w:sz="12" w:space="0" w:color="auto"/>
            </w:tcBorders>
            <w:shd w:val="clear" w:color="auto" w:fill="auto"/>
            <w:vAlign w:val="center"/>
          </w:tcPr>
          <w:p w14:paraId="2D8774AD" w14:textId="77777777" w:rsidR="00E54E14" w:rsidRPr="00875F98" w:rsidRDefault="00E54E14" w:rsidP="00B823C1">
            <w:pPr>
              <w:spacing w:after="0"/>
              <w:jc w:val="center"/>
              <w:rPr>
                <w:rFonts w:eastAsia="Calibri"/>
              </w:rPr>
            </w:pPr>
            <w:r w:rsidRPr="00875F98">
              <w:rPr>
                <w:rFonts w:eastAsia="Calibri"/>
              </w:rPr>
              <w:t>129,41</w:t>
            </w:r>
          </w:p>
        </w:tc>
        <w:tc>
          <w:tcPr>
            <w:tcW w:w="3473" w:type="dxa"/>
            <w:tcBorders>
              <w:top w:val="single" w:sz="12" w:space="0" w:color="auto"/>
              <w:bottom w:val="single" w:sz="12" w:space="0" w:color="auto"/>
            </w:tcBorders>
            <w:shd w:val="clear" w:color="auto" w:fill="auto"/>
            <w:vAlign w:val="center"/>
          </w:tcPr>
          <w:p w14:paraId="4093D34F" w14:textId="77777777" w:rsidR="00E54E14" w:rsidRPr="00875F98" w:rsidRDefault="00E54E14" w:rsidP="00B823C1">
            <w:pPr>
              <w:spacing w:after="0"/>
              <w:jc w:val="center"/>
              <w:rPr>
                <w:rFonts w:eastAsia="Calibri"/>
              </w:rPr>
            </w:pPr>
            <w:r w:rsidRPr="00875F98">
              <w:rPr>
                <w:rFonts w:eastAsia="Calibri"/>
              </w:rPr>
              <w:t>288,05</w:t>
            </w:r>
          </w:p>
        </w:tc>
      </w:tr>
      <w:tr w:rsidR="00E54E14" w:rsidRPr="00875F98" w14:paraId="4116676E" w14:textId="77777777" w:rsidTr="00B823C1">
        <w:trPr>
          <w:trHeight w:val="306"/>
          <w:jc w:val="center"/>
        </w:trPr>
        <w:tc>
          <w:tcPr>
            <w:tcW w:w="1759" w:type="dxa"/>
            <w:tcBorders>
              <w:top w:val="single" w:sz="12" w:space="0" w:color="auto"/>
              <w:bottom w:val="single" w:sz="12" w:space="0" w:color="auto"/>
            </w:tcBorders>
            <w:shd w:val="clear" w:color="auto" w:fill="auto"/>
            <w:vAlign w:val="center"/>
          </w:tcPr>
          <w:p w14:paraId="61BAB32C" w14:textId="77777777" w:rsidR="00E54E14" w:rsidRPr="00875F98" w:rsidRDefault="00E54E14" w:rsidP="00B823C1">
            <w:pPr>
              <w:spacing w:after="0"/>
              <w:jc w:val="center"/>
              <w:rPr>
                <w:rFonts w:eastAsia="Calibri"/>
              </w:rPr>
            </w:pPr>
            <w:r w:rsidRPr="00875F98">
              <w:rPr>
                <w:rFonts w:eastAsia="Calibri"/>
              </w:rPr>
              <w:t>2017</w:t>
            </w:r>
          </w:p>
        </w:tc>
        <w:tc>
          <w:tcPr>
            <w:tcW w:w="3473" w:type="dxa"/>
            <w:tcBorders>
              <w:top w:val="single" w:sz="12" w:space="0" w:color="auto"/>
              <w:bottom w:val="single" w:sz="12" w:space="0" w:color="auto"/>
            </w:tcBorders>
            <w:shd w:val="clear" w:color="auto" w:fill="auto"/>
            <w:vAlign w:val="center"/>
          </w:tcPr>
          <w:p w14:paraId="527891C7" w14:textId="77777777" w:rsidR="00E54E14" w:rsidRPr="00875F98" w:rsidRDefault="00E54E14" w:rsidP="00B823C1">
            <w:pPr>
              <w:spacing w:after="0"/>
              <w:jc w:val="center"/>
              <w:rPr>
                <w:rFonts w:eastAsia="Calibri"/>
              </w:rPr>
            </w:pPr>
            <w:r w:rsidRPr="00875F98">
              <w:rPr>
                <w:rFonts w:eastAsia="Calibri"/>
              </w:rPr>
              <w:t>129,41</w:t>
            </w:r>
          </w:p>
        </w:tc>
        <w:tc>
          <w:tcPr>
            <w:tcW w:w="3473" w:type="dxa"/>
            <w:tcBorders>
              <w:top w:val="single" w:sz="12" w:space="0" w:color="auto"/>
              <w:bottom w:val="single" w:sz="12" w:space="0" w:color="auto"/>
            </w:tcBorders>
            <w:shd w:val="clear" w:color="auto" w:fill="auto"/>
            <w:vAlign w:val="center"/>
          </w:tcPr>
          <w:p w14:paraId="767D5442" w14:textId="77777777" w:rsidR="00E54E14" w:rsidRPr="00875F98" w:rsidRDefault="00E54E14" w:rsidP="00B823C1">
            <w:pPr>
              <w:spacing w:after="0"/>
              <w:jc w:val="center"/>
              <w:rPr>
                <w:rFonts w:eastAsia="Calibri"/>
              </w:rPr>
            </w:pPr>
            <w:r w:rsidRPr="00875F98">
              <w:rPr>
                <w:rFonts w:eastAsia="Calibri"/>
              </w:rPr>
              <w:t>288,05</w:t>
            </w:r>
          </w:p>
        </w:tc>
      </w:tr>
      <w:tr w:rsidR="00E54E14" w:rsidRPr="00875F98" w14:paraId="754DC4C3" w14:textId="77777777" w:rsidTr="00B823C1">
        <w:trPr>
          <w:trHeight w:val="306"/>
          <w:jc w:val="center"/>
        </w:trPr>
        <w:tc>
          <w:tcPr>
            <w:tcW w:w="1759" w:type="dxa"/>
            <w:tcBorders>
              <w:top w:val="single" w:sz="12" w:space="0" w:color="auto"/>
              <w:bottom w:val="single" w:sz="12" w:space="0" w:color="auto"/>
            </w:tcBorders>
            <w:shd w:val="clear" w:color="auto" w:fill="auto"/>
            <w:vAlign w:val="center"/>
          </w:tcPr>
          <w:p w14:paraId="138ABFC1" w14:textId="77777777" w:rsidR="00E54E14" w:rsidRPr="00875F98" w:rsidRDefault="00E54E14" w:rsidP="00B823C1">
            <w:pPr>
              <w:spacing w:after="0"/>
              <w:jc w:val="center"/>
              <w:rPr>
                <w:rFonts w:eastAsia="Calibri"/>
              </w:rPr>
            </w:pPr>
            <w:r w:rsidRPr="00875F98">
              <w:rPr>
                <w:rFonts w:eastAsia="Calibri"/>
              </w:rPr>
              <w:t>2018</w:t>
            </w:r>
          </w:p>
        </w:tc>
        <w:tc>
          <w:tcPr>
            <w:tcW w:w="3473" w:type="dxa"/>
            <w:tcBorders>
              <w:top w:val="single" w:sz="12" w:space="0" w:color="auto"/>
              <w:bottom w:val="single" w:sz="12" w:space="0" w:color="auto"/>
            </w:tcBorders>
            <w:shd w:val="clear" w:color="auto" w:fill="auto"/>
            <w:vAlign w:val="center"/>
          </w:tcPr>
          <w:p w14:paraId="4CEB0BF4" w14:textId="77777777" w:rsidR="00E54E14" w:rsidRPr="00875F98" w:rsidRDefault="00E54E14" w:rsidP="00B823C1">
            <w:pPr>
              <w:spacing w:after="0"/>
              <w:jc w:val="center"/>
              <w:rPr>
                <w:rFonts w:eastAsia="Calibri"/>
              </w:rPr>
            </w:pPr>
            <w:r w:rsidRPr="00875F98">
              <w:rPr>
                <w:rFonts w:eastAsia="Calibri"/>
              </w:rPr>
              <w:t>131,40</w:t>
            </w:r>
          </w:p>
        </w:tc>
        <w:tc>
          <w:tcPr>
            <w:tcW w:w="3473" w:type="dxa"/>
            <w:tcBorders>
              <w:top w:val="single" w:sz="12" w:space="0" w:color="auto"/>
              <w:bottom w:val="single" w:sz="12" w:space="0" w:color="auto"/>
            </w:tcBorders>
            <w:shd w:val="clear" w:color="auto" w:fill="auto"/>
            <w:vAlign w:val="center"/>
          </w:tcPr>
          <w:p w14:paraId="70367C5C" w14:textId="77777777" w:rsidR="00E54E14" w:rsidRPr="00875F98" w:rsidRDefault="00E54E14" w:rsidP="00B823C1">
            <w:pPr>
              <w:spacing w:after="0"/>
              <w:jc w:val="center"/>
              <w:rPr>
                <w:rFonts w:eastAsia="Calibri"/>
              </w:rPr>
            </w:pPr>
            <w:r w:rsidRPr="00875F98">
              <w:rPr>
                <w:rFonts w:eastAsia="Calibri"/>
              </w:rPr>
              <w:t>293,05</w:t>
            </w:r>
          </w:p>
        </w:tc>
      </w:tr>
      <w:tr w:rsidR="00E54E14" w:rsidRPr="00875F98" w14:paraId="5B54D6BE" w14:textId="77777777" w:rsidTr="00B823C1">
        <w:trPr>
          <w:trHeight w:val="306"/>
          <w:jc w:val="center"/>
        </w:trPr>
        <w:tc>
          <w:tcPr>
            <w:tcW w:w="1759" w:type="dxa"/>
            <w:tcBorders>
              <w:top w:val="single" w:sz="12" w:space="0" w:color="auto"/>
              <w:bottom w:val="single" w:sz="12" w:space="0" w:color="auto"/>
            </w:tcBorders>
            <w:shd w:val="clear" w:color="auto" w:fill="auto"/>
            <w:vAlign w:val="center"/>
          </w:tcPr>
          <w:p w14:paraId="43826A0C" w14:textId="77777777" w:rsidR="00E54E14" w:rsidRPr="00875F98" w:rsidRDefault="00E54E14" w:rsidP="00B823C1">
            <w:pPr>
              <w:spacing w:after="0"/>
              <w:jc w:val="center"/>
              <w:rPr>
                <w:rFonts w:eastAsia="Calibri"/>
              </w:rPr>
            </w:pPr>
            <w:r w:rsidRPr="00875F98">
              <w:rPr>
                <w:rFonts w:eastAsia="Calibri"/>
              </w:rPr>
              <w:lastRenderedPageBreak/>
              <w:t>2019</w:t>
            </w:r>
          </w:p>
        </w:tc>
        <w:tc>
          <w:tcPr>
            <w:tcW w:w="3473" w:type="dxa"/>
            <w:tcBorders>
              <w:top w:val="single" w:sz="12" w:space="0" w:color="auto"/>
              <w:bottom w:val="single" w:sz="12" w:space="0" w:color="auto"/>
            </w:tcBorders>
            <w:shd w:val="clear" w:color="auto" w:fill="auto"/>
            <w:vAlign w:val="center"/>
          </w:tcPr>
          <w:p w14:paraId="7D2B15EA" w14:textId="77777777" w:rsidR="00E54E14" w:rsidRPr="00875F98" w:rsidRDefault="00E54E14" w:rsidP="00B823C1">
            <w:pPr>
              <w:spacing w:after="0"/>
              <w:jc w:val="center"/>
              <w:rPr>
                <w:rFonts w:eastAsia="Calibri"/>
              </w:rPr>
            </w:pPr>
            <w:r w:rsidRPr="00875F98">
              <w:rPr>
                <w:rFonts w:eastAsia="Calibri"/>
              </w:rPr>
              <w:t>133,21</w:t>
            </w:r>
          </w:p>
        </w:tc>
        <w:tc>
          <w:tcPr>
            <w:tcW w:w="3473" w:type="dxa"/>
            <w:tcBorders>
              <w:top w:val="single" w:sz="12" w:space="0" w:color="auto"/>
              <w:bottom w:val="single" w:sz="12" w:space="0" w:color="auto"/>
            </w:tcBorders>
            <w:shd w:val="clear" w:color="auto" w:fill="auto"/>
            <w:vAlign w:val="center"/>
          </w:tcPr>
          <w:p w14:paraId="78F49DC0" w14:textId="77777777" w:rsidR="00E54E14" w:rsidRPr="00875F98" w:rsidRDefault="00E54E14" w:rsidP="00B823C1">
            <w:pPr>
              <w:spacing w:after="0"/>
              <w:jc w:val="center"/>
              <w:rPr>
                <w:rFonts w:eastAsia="Calibri"/>
              </w:rPr>
            </w:pPr>
            <w:r w:rsidRPr="00875F98">
              <w:rPr>
                <w:rFonts w:eastAsia="Calibri"/>
              </w:rPr>
              <w:t>297,61</w:t>
            </w:r>
          </w:p>
        </w:tc>
      </w:tr>
      <w:tr w:rsidR="00E54E14" w:rsidRPr="00875F98" w14:paraId="3CF93E7B" w14:textId="77777777" w:rsidTr="00B823C1">
        <w:trPr>
          <w:trHeight w:val="625"/>
          <w:jc w:val="center"/>
        </w:trPr>
        <w:tc>
          <w:tcPr>
            <w:tcW w:w="1759" w:type="dxa"/>
            <w:tcBorders>
              <w:top w:val="single" w:sz="12" w:space="0" w:color="auto"/>
              <w:bottom w:val="single" w:sz="12" w:space="0" w:color="auto"/>
            </w:tcBorders>
            <w:shd w:val="clear" w:color="auto" w:fill="auto"/>
            <w:vAlign w:val="center"/>
          </w:tcPr>
          <w:p w14:paraId="60BF2AF0" w14:textId="77777777" w:rsidR="00E54E14" w:rsidRPr="00875F98" w:rsidRDefault="00E54E14" w:rsidP="00B823C1">
            <w:pPr>
              <w:spacing w:after="0"/>
              <w:jc w:val="center"/>
              <w:rPr>
                <w:rFonts w:eastAsia="Calibri"/>
              </w:rPr>
            </w:pPr>
            <w:r w:rsidRPr="00875F98">
              <w:rPr>
                <w:rFonts w:eastAsia="Calibri"/>
              </w:rPr>
              <w:t>2020 styczeń – luty</w:t>
            </w:r>
          </w:p>
        </w:tc>
        <w:tc>
          <w:tcPr>
            <w:tcW w:w="3473" w:type="dxa"/>
            <w:tcBorders>
              <w:top w:val="single" w:sz="12" w:space="0" w:color="auto"/>
              <w:bottom w:val="single" w:sz="12" w:space="0" w:color="auto"/>
            </w:tcBorders>
            <w:shd w:val="clear" w:color="auto" w:fill="auto"/>
            <w:vAlign w:val="center"/>
          </w:tcPr>
          <w:p w14:paraId="20DF12F4" w14:textId="77777777" w:rsidR="00E54E14" w:rsidRPr="00875F98" w:rsidRDefault="00E54E14" w:rsidP="00B823C1">
            <w:pPr>
              <w:spacing w:after="0"/>
              <w:jc w:val="center"/>
              <w:rPr>
                <w:rFonts w:eastAsia="Calibri"/>
              </w:rPr>
            </w:pPr>
            <w:r w:rsidRPr="00875F98">
              <w:rPr>
                <w:rFonts w:eastAsia="Calibri"/>
              </w:rPr>
              <w:t>138,49</w:t>
            </w:r>
          </w:p>
        </w:tc>
        <w:tc>
          <w:tcPr>
            <w:tcW w:w="3473" w:type="dxa"/>
            <w:tcBorders>
              <w:top w:val="single" w:sz="12" w:space="0" w:color="auto"/>
              <w:bottom w:val="single" w:sz="12" w:space="0" w:color="auto"/>
            </w:tcBorders>
            <w:shd w:val="clear" w:color="auto" w:fill="auto"/>
            <w:vAlign w:val="center"/>
          </w:tcPr>
          <w:p w14:paraId="28E6E559" w14:textId="77777777" w:rsidR="00E54E14" w:rsidRPr="00875F98" w:rsidRDefault="00E54E14" w:rsidP="00B823C1">
            <w:pPr>
              <w:spacing w:after="0"/>
              <w:jc w:val="center"/>
              <w:rPr>
                <w:rFonts w:eastAsia="Calibri"/>
              </w:rPr>
            </w:pPr>
            <w:r w:rsidRPr="00875F98">
              <w:rPr>
                <w:rFonts w:eastAsia="Calibri"/>
              </w:rPr>
              <w:t>306,34</w:t>
            </w:r>
          </w:p>
        </w:tc>
      </w:tr>
      <w:tr w:rsidR="00E54E14" w:rsidRPr="00875F98" w14:paraId="1C9FD3C7" w14:textId="77777777" w:rsidTr="00B823C1">
        <w:trPr>
          <w:trHeight w:val="609"/>
          <w:jc w:val="center"/>
        </w:trPr>
        <w:tc>
          <w:tcPr>
            <w:tcW w:w="1759" w:type="dxa"/>
            <w:tcBorders>
              <w:top w:val="single" w:sz="12" w:space="0" w:color="auto"/>
              <w:bottom w:val="single" w:sz="12" w:space="0" w:color="auto"/>
            </w:tcBorders>
            <w:shd w:val="clear" w:color="auto" w:fill="auto"/>
            <w:vAlign w:val="center"/>
          </w:tcPr>
          <w:p w14:paraId="40DEC289" w14:textId="77777777" w:rsidR="00E54E14" w:rsidRPr="00875F98" w:rsidRDefault="00E54E14" w:rsidP="00B823C1">
            <w:pPr>
              <w:spacing w:after="0"/>
              <w:jc w:val="center"/>
              <w:rPr>
                <w:rFonts w:eastAsia="Calibri"/>
              </w:rPr>
            </w:pPr>
            <w:r w:rsidRPr="00875F98">
              <w:rPr>
                <w:rFonts w:eastAsia="Calibri"/>
              </w:rPr>
              <w:t>2020 marzec - grudzień</w:t>
            </w:r>
          </w:p>
        </w:tc>
        <w:tc>
          <w:tcPr>
            <w:tcW w:w="3473" w:type="dxa"/>
            <w:tcBorders>
              <w:top w:val="single" w:sz="12" w:space="0" w:color="auto"/>
              <w:bottom w:val="single" w:sz="12" w:space="0" w:color="auto"/>
            </w:tcBorders>
            <w:shd w:val="clear" w:color="auto" w:fill="auto"/>
            <w:vAlign w:val="center"/>
          </w:tcPr>
          <w:p w14:paraId="3CD9D10B" w14:textId="77777777" w:rsidR="00E54E14" w:rsidRPr="00875F98" w:rsidRDefault="00E54E14" w:rsidP="00B823C1">
            <w:pPr>
              <w:spacing w:after="0"/>
              <w:jc w:val="center"/>
              <w:rPr>
                <w:rFonts w:eastAsia="Calibri"/>
              </w:rPr>
            </w:pPr>
            <w:r w:rsidRPr="00875F98">
              <w:rPr>
                <w:rFonts w:eastAsia="Calibri"/>
              </w:rPr>
              <w:t>155,49</w:t>
            </w:r>
          </w:p>
        </w:tc>
        <w:tc>
          <w:tcPr>
            <w:tcW w:w="3473" w:type="dxa"/>
            <w:tcBorders>
              <w:top w:val="single" w:sz="12" w:space="0" w:color="auto"/>
              <w:bottom w:val="single" w:sz="12" w:space="0" w:color="auto"/>
            </w:tcBorders>
            <w:shd w:val="clear" w:color="auto" w:fill="auto"/>
            <w:vAlign w:val="center"/>
          </w:tcPr>
          <w:p w14:paraId="0B357395" w14:textId="77777777" w:rsidR="00E54E14" w:rsidRPr="00875F98" w:rsidRDefault="00E54E14" w:rsidP="00B823C1">
            <w:pPr>
              <w:spacing w:after="0"/>
              <w:jc w:val="center"/>
              <w:rPr>
                <w:rFonts w:eastAsia="Calibri"/>
              </w:rPr>
            </w:pPr>
            <w:r w:rsidRPr="00875F98">
              <w:rPr>
                <w:rFonts w:eastAsia="Calibri"/>
              </w:rPr>
              <w:t>323,34</w:t>
            </w:r>
          </w:p>
        </w:tc>
      </w:tr>
      <w:tr w:rsidR="00E54E14" w:rsidRPr="00875F98" w14:paraId="3D2664B4" w14:textId="77777777" w:rsidTr="00B823C1">
        <w:trPr>
          <w:trHeight w:val="306"/>
          <w:jc w:val="center"/>
        </w:trPr>
        <w:tc>
          <w:tcPr>
            <w:tcW w:w="1759" w:type="dxa"/>
            <w:tcBorders>
              <w:top w:val="single" w:sz="12" w:space="0" w:color="auto"/>
              <w:bottom w:val="single" w:sz="12" w:space="0" w:color="auto"/>
            </w:tcBorders>
            <w:shd w:val="clear" w:color="auto" w:fill="auto"/>
            <w:vAlign w:val="center"/>
          </w:tcPr>
          <w:p w14:paraId="3A8C390F" w14:textId="77777777" w:rsidR="00E54E14" w:rsidRDefault="00E54E14" w:rsidP="00B823C1">
            <w:pPr>
              <w:spacing w:after="0"/>
              <w:jc w:val="center"/>
              <w:rPr>
                <w:rFonts w:eastAsia="Calibri"/>
              </w:rPr>
            </w:pPr>
            <w:r>
              <w:rPr>
                <w:rFonts w:eastAsia="Calibri"/>
              </w:rPr>
              <w:t>2021</w:t>
            </w:r>
          </w:p>
        </w:tc>
        <w:tc>
          <w:tcPr>
            <w:tcW w:w="3473" w:type="dxa"/>
            <w:tcBorders>
              <w:top w:val="single" w:sz="12" w:space="0" w:color="auto"/>
              <w:bottom w:val="single" w:sz="12" w:space="0" w:color="auto"/>
            </w:tcBorders>
            <w:shd w:val="clear" w:color="auto" w:fill="auto"/>
            <w:vAlign w:val="center"/>
          </w:tcPr>
          <w:p w14:paraId="3075BE08" w14:textId="77777777" w:rsidR="00E54E14" w:rsidRPr="00875F98" w:rsidRDefault="00E54E14" w:rsidP="00B823C1">
            <w:pPr>
              <w:spacing w:after="0"/>
              <w:jc w:val="center"/>
              <w:rPr>
                <w:rFonts w:eastAsia="Calibri"/>
              </w:rPr>
            </w:pPr>
            <w:r>
              <w:rPr>
                <w:rFonts w:eastAsia="Calibri"/>
              </w:rPr>
              <w:t>165,14</w:t>
            </w:r>
          </w:p>
        </w:tc>
        <w:tc>
          <w:tcPr>
            <w:tcW w:w="3473" w:type="dxa"/>
            <w:tcBorders>
              <w:top w:val="single" w:sz="12" w:space="0" w:color="auto"/>
              <w:bottom w:val="single" w:sz="12" w:space="0" w:color="auto"/>
            </w:tcBorders>
            <w:shd w:val="clear" w:color="auto" w:fill="auto"/>
            <w:vAlign w:val="center"/>
          </w:tcPr>
          <w:p w14:paraId="3007FA9F" w14:textId="77777777" w:rsidR="00E54E14" w:rsidRPr="00875F98" w:rsidRDefault="00E54E14" w:rsidP="00B823C1">
            <w:pPr>
              <w:spacing w:after="0"/>
              <w:jc w:val="center"/>
              <w:rPr>
                <w:rFonts w:eastAsia="Calibri"/>
              </w:rPr>
            </w:pPr>
            <w:r>
              <w:rPr>
                <w:rFonts w:eastAsia="Calibri"/>
              </w:rPr>
              <w:t>338,53</w:t>
            </w:r>
          </w:p>
        </w:tc>
      </w:tr>
      <w:tr w:rsidR="00E54E14" w:rsidRPr="00875F98" w14:paraId="6ECB6BF4" w14:textId="77777777" w:rsidTr="00B823C1">
        <w:trPr>
          <w:trHeight w:val="306"/>
          <w:jc w:val="center"/>
        </w:trPr>
        <w:tc>
          <w:tcPr>
            <w:tcW w:w="1759" w:type="dxa"/>
            <w:tcBorders>
              <w:top w:val="single" w:sz="12" w:space="0" w:color="auto"/>
              <w:bottom w:val="single" w:sz="12" w:space="0" w:color="auto"/>
            </w:tcBorders>
            <w:shd w:val="clear" w:color="auto" w:fill="auto"/>
            <w:vAlign w:val="center"/>
          </w:tcPr>
          <w:p w14:paraId="04F2170D" w14:textId="77777777" w:rsidR="00E54E14" w:rsidRPr="00875F98" w:rsidRDefault="00E54E14" w:rsidP="00B823C1">
            <w:pPr>
              <w:spacing w:after="0"/>
              <w:jc w:val="center"/>
              <w:rPr>
                <w:rFonts w:eastAsia="Calibri"/>
              </w:rPr>
            </w:pPr>
            <w:r>
              <w:rPr>
                <w:rFonts w:eastAsia="Calibri"/>
              </w:rPr>
              <w:t>2022</w:t>
            </w:r>
          </w:p>
        </w:tc>
        <w:tc>
          <w:tcPr>
            <w:tcW w:w="3473" w:type="dxa"/>
            <w:tcBorders>
              <w:top w:val="single" w:sz="12" w:space="0" w:color="auto"/>
              <w:bottom w:val="single" w:sz="12" w:space="0" w:color="auto"/>
            </w:tcBorders>
            <w:shd w:val="clear" w:color="auto" w:fill="auto"/>
            <w:vAlign w:val="center"/>
          </w:tcPr>
          <w:p w14:paraId="566AF00A" w14:textId="77777777" w:rsidR="00E54E14" w:rsidRPr="00875F98" w:rsidRDefault="00E54E14" w:rsidP="00B823C1">
            <w:pPr>
              <w:spacing w:after="0"/>
              <w:jc w:val="center"/>
              <w:rPr>
                <w:rFonts w:eastAsia="Calibri"/>
              </w:rPr>
            </w:pPr>
            <w:r>
              <w:rPr>
                <w:rFonts w:eastAsia="Calibri"/>
              </w:rPr>
              <w:t>152,61</w:t>
            </w:r>
          </w:p>
        </w:tc>
        <w:tc>
          <w:tcPr>
            <w:tcW w:w="3473" w:type="dxa"/>
            <w:tcBorders>
              <w:top w:val="single" w:sz="12" w:space="0" w:color="auto"/>
              <w:bottom w:val="single" w:sz="12" w:space="0" w:color="auto"/>
            </w:tcBorders>
            <w:shd w:val="clear" w:color="auto" w:fill="auto"/>
            <w:vAlign w:val="center"/>
          </w:tcPr>
          <w:p w14:paraId="5F8790D0" w14:textId="77777777" w:rsidR="00E54E14" w:rsidRPr="00875F98" w:rsidRDefault="00E54E14" w:rsidP="00B823C1">
            <w:pPr>
              <w:spacing w:after="0"/>
              <w:jc w:val="center"/>
              <w:rPr>
                <w:rFonts w:eastAsia="Calibri"/>
              </w:rPr>
            </w:pPr>
            <w:r>
              <w:rPr>
                <w:rFonts w:eastAsia="Calibri"/>
              </w:rPr>
              <w:t>329,12</w:t>
            </w:r>
          </w:p>
        </w:tc>
      </w:tr>
      <w:tr w:rsidR="00E54E14" w:rsidRPr="00875F98" w14:paraId="25751CBF" w14:textId="77777777" w:rsidTr="00B823C1">
        <w:trPr>
          <w:trHeight w:val="306"/>
          <w:jc w:val="center"/>
        </w:trPr>
        <w:tc>
          <w:tcPr>
            <w:tcW w:w="1759" w:type="dxa"/>
            <w:tcBorders>
              <w:top w:val="single" w:sz="12" w:space="0" w:color="auto"/>
              <w:bottom w:val="single" w:sz="12" w:space="0" w:color="auto"/>
            </w:tcBorders>
            <w:shd w:val="clear" w:color="auto" w:fill="auto"/>
            <w:vAlign w:val="center"/>
          </w:tcPr>
          <w:p w14:paraId="0CF95B2B" w14:textId="77777777" w:rsidR="00E54E14" w:rsidRDefault="00E54E14" w:rsidP="00B823C1">
            <w:pPr>
              <w:spacing w:after="0"/>
              <w:jc w:val="center"/>
              <w:rPr>
                <w:rFonts w:eastAsia="Calibri"/>
              </w:rPr>
            </w:pPr>
            <w:r>
              <w:rPr>
                <w:rFonts w:eastAsia="Calibri"/>
              </w:rPr>
              <w:t>2023</w:t>
            </w:r>
          </w:p>
        </w:tc>
        <w:tc>
          <w:tcPr>
            <w:tcW w:w="3473" w:type="dxa"/>
            <w:tcBorders>
              <w:top w:val="single" w:sz="12" w:space="0" w:color="auto"/>
              <w:bottom w:val="single" w:sz="12" w:space="0" w:color="auto"/>
            </w:tcBorders>
            <w:shd w:val="clear" w:color="auto" w:fill="auto"/>
            <w:vAlign w:val="center"/>
          </w:tcPr>
          <w:p w14:paraId="552B26E9" w14:textId="77777777" w:rsidR="00E54E14" w:rsidRPr="00875F98" w:rsidRDefault="00E54E14" w:rsidP="00B823C1">
            <w:pPr>
              <w:spacing w:after="0"/>
              <w:jc w:val="center"/>
              <w:rPr>
                <w:rFonts w:eastAsia="Calibri"/>
              </w:rPr>
            </w:pPr>
            <w:r>
              <w:rPr>
                <w:rFonts w:eastAsia="Calibri"/>
              </w:rPr>
              <w:t>172,91</w:t>
            </w:r>
          </w:p>
        </w:tc>
        <w:tc>
          <w:tcPr>
            <w:tcW w:w="3473" w:type="dxa"/>
            <w:tcBorders>
              <w:top w:val="single" w:sz="12" w:space="0" w:color="auto"/>
              <w:bottom w:val="single" w:sz="12" w:space="0" w:color="auto"/>
            </w:tcBorders>
            <w:shd w:val="clear" w:color="auto" w:fill="auto"/>
            <w:vAlign w:val="center"/>
          </w:tcPr>
          <w:p w14:paraId="73808B83" w14:textId="77777777" w:rsidR="00E54E14" w:rsidRPr="00875F98" w:rsidRDefault="00E54E14" w:rsidP="00B823C1">
            <w:pPr>
              <w:spacing w:after="0"/>
              <w:jc w:val="center"/>
              <w:rPr>
                <w:rFonts w:eastAsia="Calibri"/>
              </w:rPr>
            </w:pPr>
            <w:r>
              <w:rPr>
                <w:rFonts w:eastAsia="Calibri"/>
              </w:rPr>
              <w:t>372,90</w:t>
            </w:r>
          </w:p>
        </w:tc>
      </w:tr>
    </w:tbl>
    <w:p w14:paraId="18DCA47B" w14:textId="77777777" w:rsidR="00E54E14" w:rsidRDefault="00E54E14" w:rsidP="00E54E14">
      <w:pPr>
        <w:spacing w:after="0" w:line="360" w:lineRule="auto"/>
        <w:ind w:firstLine="709"/>
        <w:rPr>
          <w:i/>
          <w:iCs/>
        </w:rPr>
      </w:pPr>
    </w:p>
    <w:p w14:paraId="639EB509" w14:textId="77777777" w:rsidR="00E54E14" w:rsidRPr="003B5B3D" w:rsidRDefault="00E54E14" w:rsidP="00E54E14">
      <w:pPr>
        <w:spacing w:after="0" w:line="360" w:lineRule="auto"/>
        <w:rPr>
          <w:b/>
          <w:bCs/>
          <w:i/>
          <w:iCs/>
          <w:color w:val="4472C4" w:themeColor="accent1"/>
          <w:u w:val="single"/>
        </w:rPr>
      </w:pPr>
      <w:r w:rsidRPr="003B5B3D">
        <w:rPr>
          <w:b/>
          <w:bCs/>
          <w:i/>
          <w:iCs/>
          <w:color w:val="4472C4" w:themeColor="accent1"/>
          <w:u w:val="single"/>
        </w:rPr>
        <w:t xml:space="preserve">Oplata emisyjna </w:t>
      </w:r>
    </w:p>
    <w:p w14:paraId="5A93F681" w14:textId="77777777" w:rsidR="00E54E14" w:rsidRDefault="00E54E14" w:rsidP="00373FD3">
      <w:r>
        <w:t xml:space="preserve">Ustawa z dnia </w:t>
      </w:r>
      <w:r w:rsidRPr="00373FD3">
        <w:t>Prawo ochrony środowiska</w:t>
      </w:r>
      <w:r>
        <w:t xml:space="preserve"> (Dz. U. z 2022 r. poz. 2556) nakłada na producentów i importerów paliw silnikowych, podmioty dokonujące nabycia wewnątrzwspólnotowego w rozumieniu przepisów o podatku akcyzowym wprowadzających na rynek krajowy paliw silnikowych obowiązek uiszczenia opłaty emisyjnej w wysokości 80 zł/1000 l. </w:t>
      </w:r>
    </w:p>
    <w:p w14:paraId="7964A3B4" w14:textId="77777777" w:rsidR="00E54E14" w:rsidRDefault="00E54E14" w:rsidP="00373FD3">
      <w:r w:rsidRPr="00B7409D">
        <w:t xml:space="preserve">Opłata emisyjna stanowi przychód Narodowego Funduszu Ochrony Środowiska i Gospodarki Wodnej oraz Funduszu rozwoju przewozów autobusowych o charakterze użyteczności publicznej, o którym mowa w </w:t>
      </w:r>
      <w:hyperlink r:id="rId23" w:history="1">
        <w:r w:rsidRPr="00B7409D">
          <w:t>ustawie</w:t>
        </w:r>
      </w:hyperlink>
      <w:r w:rsidRPr="00B7409D">
        <w:t xml:space="preserve"> z dnia 16 maja 2019 r. </w:t>
      </w:r>
      <w:r w:rsidRPr="00373FD3">
        <w:t xml:space="preserve">o Funduszu rozwoju przewozów autobusowych o charakterze użyteczności publicznej </w:t>
      </w:r>
      <w:r w:rsidRPr="00B7409D">
        <w:t>(Dz. U. z 2022 r. poz. 2464), z tym że kwota stanowiąca 95% opłaty emisyjnej stanowi przychód Narodowego Funduszu Ochrony Środowiska i Gospodarki Wodnej, a kwota 5% tej opłaty - Funduszu rozwoju przewozów autobusowych o charakterze użyteczności publicznej.</w:t>
      </w:r>
    </w:p>
    <w:p w14:paraId="24E91F5D" w14:textId="77777777" w:rsidR="00E54E14" w:rsidRDefault="00E54E14" w:rsidP="00373FD3">
      <w:r w:rsidRPr="00723115">
        <w:t>Oszczędności energii wynikające z zaproponowanego środka z dziedziny polityki w zakresie efektywności energetycznej, które zostaną zliczone od 20</w:t>
      </w:r>
      <w:r>
        <w:t>22</w:t>
      </w:r>
      <w:r w:rsidRPr="00723115">
        <w:t xml:space="preserve"> r. </w:t>
      </w:r>
      <w:r>
        <w:t xml:space="preserve">będą </w:t>
      </w:r>
      <w:r w:rsidRPr="00723115">
        <w:t>wynikiem</w:t>
      </w:r>
      <w:r>
        <w:t xml:space="preserve"> nałożenia zarówno opłaty paliwowe i emisyjnej.</w:t>
      </w:r>
      <w:r w:rsidRPr="003B5B3D">
        <w:t xml:space="preserve"> </w:t>
      </w:r>
      <w:r w:rsidRPr="00723115">
        <w:t>Organem odpowiedzialnymi za nadzór i wdrażanie są odpowiednio Ministerstwo Finansów oraz Ministerstwo Infrastruktury.</w:t>
      </w:r>
    </w:p>
    <w:p w14:paraId="1E64E6B6" w14:textId="77777777" w:rsidR="00E54E14" w:rsidRPr="00FB3833" w:rsidRDefault="00E54E14" w:rsidP="00FF3BC7">
      <w:pPr>
        <w:pStyle w:val="Akapitzlist"/>
        <w:numPr>
          <w:ilvl w:val="0"/>
          <w:numId w:val="8"/>
        </w:numPr>
        <w:spacing w:before="120" w:after="240"/>
        <w:ind w:left="1134" w:hanging="357"/>
        <w:jc w:val="left"/>
        <w:rPr>
          <w:b/>
          <w:bCs/>
          <w:color w:val="2F5496" w:themeColor="accent1" w:themeShade="BF"/>
        </w:rPr>
      </w:pPr>
      <w:r>
        <w:rPr>
          <w:b/>
          <w:bCs/>
          <w:color w:val="2F5496" w:themeColor="accent1" w:themeShade="BF"/>
        </w:rPr>
        <w:t>Metody obliczeniowe, obliczenie elastyczności cenowej popytu dla wybranego rodzaju paliw</w:t>
      </w:r>
    </w:p>
    <w:p w14:paraId="1FF3A93D" w14:textId="77777777" w:rsidR="00E54E14" w:rsidRPr="003A59EA" w:rsidRDefault="00E54E14" w:rsidP="00373FD3">
      <w:r w:rsidRPr="003A59EA">
        <w:t xml:space="preserve">Przy obliczaniu elastyczności wykorzystano analizę, która uwzględnia zmienne wpływające na zużycie energii w korelacji ze zmiennością cen paliw w Polsce. Na zmianę zużycia energii mają wpływ dwie elastyczności: krótko- i długoterminowa. W krótkim okresie wzrost cen paliw przyczynia się do </w:t>
      </w:r>
      <w:r>
        <w:t xml:space="preserve">oszczędności energii ze względu na reakcję behawioralną, tj. </w:t>
      </w:r>
      <w:proofErr w:type="spellStart"/>
      <w:r>
        <w:t>tenedencji</w:t>
      </w:r>
      <w:proofErr w:type="spellEnd"/>
      <w:r>
        <w:t xml:space="preserve"> ograniczającej korzystanie z pojazdów osobowych. </w:t>
      </w:r>
      <w:r w:rsidRPr="003A59EA">
        <w:t xml:space="preserve">W przypadku długoterminowej perspektywy wzrost cen skłania obywateli do zakupu energooszczędnych pojazdów – co również ma przełożenie na ostateczne zużycie energii w badanym sektorze. W celu określenia prognozowanego scenariusza zużycia paliwa wykorzystano również zmienność cenową obserwowaną w okresie 2010-2020. </w:t>
      </w:r>
    </w:p>
    <w:p w14:paraId="61B049D2" w14:textId="77777777" w:rsidR="00E54E14" w:rsidRPr="003A59EA" w:rsidRDefault="00E54E14" w:rsidP="00373FD3">
      <w:r w:rsidRPr="003A59EA">
        <w:t>Zmienność cenowa, która posłużyła do określenia wahań cen paliwa w badanym przedziale czasowym, wykazała, że w ciągu ostatniej dekady obserwowane były duże wahania w tym sektorze gospodarki. W związku z tym do kalkulacji oszczędności energii zastosowano  krótkoterminową elastycznością cenową.</w:t>
      </w:r>
    </w:p>
    <w:p w14:paraId="430CF420" w14:textId="77777777" w:rsidR="00E54E14" w:rsidRPr="003A59EA" w:rsidRDefault="00E54E14" w:rsidP="00373FD3">
      <w:r w:rsidRPr="003A59EA">
        <w:t xml:space="preserve">Aby obliczyć elastyczność zastosowano analizę autoregresji szeregów czasowych. Zmienne, które zostały uwzględnione w obliczeniach: </w:t>
      </w:r>
      <w:r w:rsidRPr="00B52D8F">
        <w:t>cena paliwa, zużycie paliwa, liczba samochodów, średnie nominalne wynagrodzenie brutto</w:t>
      </w:r>
      <w:r>
        <w:t xml:space="preserve"> </w:t>
      </w:r>
      <w:r w:rsidRPr="003A59EA">
        <w:t>oraz wskaźniki cen w sektorze transportu. Do obliczeń wykorzystano dane: Głównego Urzędu Statystycznego, Ministerstwa Klimatu i Środowiska, Ministerstwa Infrastruktury, Europejskiego Banku Centralnego i Eurostatu.</w:t>
      </w:r>
    </w:p>
    <w:p w14:paraId="62FE4C9C" w14:textId="77777777" w:rsidR="00E54E14" w:rsidRPr="003A59EA" w:rsidRDefault="00E54E14" w:rsidP="00373FD3">
      <w:r w:rsidRPr="00175345">
        <w:t>Elastyczność wynosi odpowiednio -0,186, -0,321 dla oleju napędowego EURODIESEL oraz benzyny bezołowiowej 95. Do obliczeń wykorzystana została krótkoterminowa elastyczność cenowa ze względu na duże wahania cen paliw w badanym okresie.</w:t>
      </w:r>
      <w:r w:rsidRPr="003A59EA">
        <w:t xml:space="preserve"> </w:t>
      </w:r>
    </w:p>
    <w:p w14:paraId="50CDE678" w14:textId="77777777" w:rsidR="00E54E14" w:rsidRPr="00D62DB9" w:rsidRDefault="00E54E14" w:rsidP="00FF3BC7">
      <w:pPr>
        <w:pStyle w:val="Akapitzlist"/>
        <w:numPr>
          <w:ilvl w:val="0"/>
          <w:numId w:val="8"/>
        </w:numPr>
        <w:spacing w:before="120" w:after="240"/>
        <w:ind w:left="1134" w:hanging="357"/>
        <w:jc w:val="left"/>
        <w:rPr>
          <w:color w:val="2F5496" w:themeColor="accent1" w:themeShade="BF"/>
          <w:u w:val="single"/>
        </w:rPr>
      </w:pPr>
      <w:r w:rsidRPr="00D62DB9">
        <w:rPr>
          <w:b/>
          <w:color w:val="2F5496" w:themeColor="accent1" w:themeShade="BF"/>
        </w:rPr>
        <w:lastRenderedPageBreak/>
        <w:t>Krótki opis metody obliczania oszczędności energii</w:t>
      </w:r>
    </w:p>
    <w:p w14:paraId="060F75B8" w14:textId="77777777" w:rsidR="00E54E14" w:rsidRPr="00D62DB9" w:rsidRDefault="00E54E14" w:rsidP="00373FD3">
      <w:r w:rsidRPr="00853234">
        <w:t>W myśl pkt 4 lit a Załącznika</w:t>
      </w:r>
      <w:r>
        <w:t xml:space="preserve"> V W SPRAWIE EFEKTYWNOŚCI ENERGETYCZNEJ </w:t>
      </w:r>
      <w:r w:rsidRPr="00D62DB9">
        <w:t xml:space="preserve"> państwa członkowskie zapewniają, że oszczędności energii wynikające ze środków podatkowych pochodzą tylko w wyniku powstałej różnicy między prognozowanym zużyciem paliwa w sytuacji gdy podatek nałożony w państwie członkowskim jest większy od minimalnego podatku w UE określonego w dyrektywie Rady 2003/96/WE z dnia 27 października 2003 r. w sprawie restrukturyzacji wspólnotowych przepisów ramowych dotyczących opodatkowania produktów energetycznych i energii elektrycznej.</w:t>
      </w:r>
    </w:p>
    <w:p w14:paraId="1A23CB71" w14:textId="77777777" w:rsidR="00E54E14" w:rsidRPr="00D62DB9" w:rsidRDefault="00E54E14" w:rsidP="00373FD3">
      <w:r w:rsidRPr="00D62DB9">
        <w:t xml:space="preserve">Aby obliczyć wpływ podatku (tj. opłaty paliwowej i opłaty emisyjnej) oszczędności uzyskane w okresie 2022-2030 wyznaczone zostały na podstawie scenariusza, w którym od 1 stycznia 2022 r. obniżono poziom podatku do minimalnych stawek nałożonych przez UE. Analiza zużycia energii bez podatku od energii została wykonana analogicznie do przedstawionego przez Komisję Europejską przykładu w Zaleceniach… </w:t>
      </w:r>
    </w:p>
    <w:p w14:paraId="6A407F59" w14:textId="77777777" w:rsidR="00E54E14" w:rsidRPr="00D62DB9" w:rsidRDefault="00E54E14" w:rsidP="00373FD3">
      <w:r w:rsidRPr="00D62DB9">
        <w:t>W pierwszym kroku należy oszacować zmianę cen energii, w przypadku gdy podatki nałożone przez państwo są wyższe od minimalnej dopuszczalnej stawki podatku w UE:</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092"/>
        <w:gridCol w:w="982"/>
      </w:tblGrid>
      <w:tr w:rsidR="00E54E14" w14:paraId="309013C6" w14:textId="77777777" w:rsidTr="00B823C1">
        <w:tc>
          <w:tcPr>
            <w:tcW w:w="988" w:type="dxa"/>
          </w:tcPr>
          <w:p w14:paraId="4762563E" w14:textId="77777777" w:rsidR="00E54E14" w:rsidRPr="00D62DB9" w:rsidRDefault="00E54E14" w:rsidP="00B823C1">
            <w:pPr>
              <w:spacing w:line="360" w:lineRule="auto"/>
              <w:ind w:left="1080"/>
            </w:pPr>
          </w:p>
        </w:tc>
        <w:tc>
          <w:tcPr>
            <w:tcW w:w="7092" w:type="dxa"/>
          </w:tcPr>
          <w:p w14:paraId="22936B5B" w14:textId="77777777" w:rsidR="00E54E14" w:rsidRPr="00D62DB9" w:rsidRDefault="00E54E14" w:rsidP="00B823C1">
            <w:pPr>
              <w:spacing w:line="360" w:lineRule="auto"/>
              <w:ind w:left="360"/>
              <w:rPr>
                <w:b/>
                <w:sz w:val="28"/>
                <w:szCs w:val="28"/>
              </w:rPr>
            </w:pPr>
            <m:oMathPara>
              <m:oMath>
                <m:r>
                  <m:rPr>
                    <m:sty m:val="b"/>
                  </m:rPr>
                  <w:rPr>
                    <w:rFonts w:ascii="Cambria Math" w:hAnsi="Cambria Math"/>
                    <w:sz w:val="28"/>
                    <w:szCs w:val="28"/>
                  </w:rPr>
                  <m:t>∆</m:t>
                </m:r>
                <m:sSub>
                  <m:sSubPr>
                    <m:ctrlPr>
                      <w:rPr>
                        <w:rFonts w:ascii="Cambria Math" w:hAnsi="Cambria Math"/>
                        <w:b/>
                        <w:i/>
                        <w:iCs/>
                        <w:sz w:val="28"/>
                        <w:szCs w:val="28"/>
                      </w:rPr>
                    </m:ctrlPr>
                  </m:sSubPr>
                  <m:e>
                    <m:r>
                      <m:rPr>
                        <m:sty m:val="bi"/>
                      </m:rPr>
                      <w:rPr>
                        <w:rFonts w:ascii="Cambria Math" w:hAnsi="Cambria Math"/>
                        <w:sz w:val="28"/>
                        <w:szCs w:val="28"/>
                      </w:rPr>
                      <m:t>p</m:t>
                    </m:r>
                  </m:e>
                  <m:sub>
                    <m:r>
                      <m:rPr>
                        <m:sty m:val="bi"/>
                      </m:rPr>
                      <w:rPr>
                        <w:rFonts w:ascii="Cambria Math" w:hAnsi="Cambria Math"/>
                        <w:sz w:val="28"/>
                        <w:szCs w:val="28"/>
                      </w:rPr>
                      <m:t>i</m:t>
                    </m:r>
                  </m:sub>
                </m:sSub>
                <m:r>
                  <m:rPr>
                    <m:sty m:val="b"/>
                  </m:rPr>
                  <w:rPr>
                    <w:rFonts w:ascii="Cambria Math" w:hAnsi="Cambria Math"/>
                    <w:sz w:val="28"/>
                    <w:szCs w:val="28"/>
                  </w:rPr>
                  <m:t>=</m:t>
                </m:r>
                <m:d>
                  <m:dPr>
                    <m:ctrlPr>
                      <w:rPr>
                        <w:rFonts w:ascii="Cambria Math" w:hAnsi="Cambria Math"/>
                        <w:b/>
                        <w:sz w:val="28"/>
                        <w:szCs w:val="28"/>
                      </w:rPr>
                    </m:ctrlPr>
                  </m:dPr>
                  <m:e>
                    <m:r>
                      <m:rPr>
                        <m:sty m:val="bi"/>
                      </m:rPr>
                      <w:rPr>
                        <w:rFonts w:ascii="Cambria Math" w:hAnsi="Cambria Math"/>
                        <w:sz w:val="28"/>
                        <w:szCs w:val="28"/>
                      </w:rPr>
                      <m:t>ta</m:t>
                    </m:r>
                    <m:sSub>
                      <m:sSubPr>
                        <m:ctrlPr>
                          <w:rPr>
                            <w:rFonts w:ascii="Cambria Math" w:hAnsi="Cambria Math"/>
                            <w:b/>
                            <w:i/>
                            <w:sz w:val="28"/>
                            <w:szCs w:val="28"/>
                          </w:rPr>
                        </m:ctrlPr>
                      </m:sSubPr>
                      <m:e>
                        <m:r>
                          <m:rPr>
                            <m:sty m:val="bi"/>
                          </m:rPr>
                          <w:rPr>
                            <w:rFonts w:ascii="Cambria Math" w:hAnsi="Cambria Math"/>
                            <w:sz w:val="28"/>
                            <w:szCs w:val="28"/>
                          </w:rPr>
                          <m:t>x</m:t>
                        </m:r>
                      </m:e>
                      <m:sub>
                        <m:r>
                          <m:rPr>
                            <m:sty m:val="bi"/>
                          </m:rPr>
                          <w:rPr>
                            <w:rFonts w:ascii="Cambria Math" w:hAnsi="Cambria Math"/>
                            <w:sz w:val="28"/>
                            <w:szCs w:val="28"/>
                          </w:rPr>
                          <m:t>rzeczywisty,i</m:t>
                        </m:r>
                      </m:sub>
                    </m:sSub>
                    <m:r>
                      <m:rPr>
                        <m:sty m:val="bi"/>
                      </m:rPr>
                      <w:rPr>
                        <w:rFonts w:ascii="Cambria Math" w:hAnsi="Cambria Math"/>
                        <w:sz w:val="28"/>
                        <w:szCs w:val="28"/>
                      </w:rPr>
                      <m:t>-ta</m:t>
                    </m:r>
                    <m:sSub>
                      <m:sSubPr>
                        <m:ctrlPr>
                          <w:rPr>
                            <w:rFonts w:ascii="Cambria Math" w:hAnsi="Cambria Math"/>
                            <w:b/>
                            <w:i/>
                            <w:sz w:val="28"/>
                            <w:szCs w:val="28"/>
                          </w:rPr>
                        </m:ctrlPr>
                      </m:sSubPr>
                      <m:e>
                        <m:r>
                          <m:rPr>
                            <m:sty m:val="bi"/>
                          </m:rPr>
                          <w:rPr>
                            <w:rFonts w:ascii="Cambria Math" w:hAnsi="Cambria Math"/>
                            <w:sz w:val="28"/>
                            <w:szCs w:val="28"/>
                          </w:rPr>
                          <m:t>x</m:t>
                        </m:r>
                      </m:e>
                      <m:sub>
                        <m:r>
                          <m:rPr>
                            <m:sty m:val="bi"/>
                          </m:rPr>
                          <w:rPr>
                            <w:rFonts w:ascii="Cambria Math" w:hAnsi="Cambria Math"/>
                            <w:sz w:val="28"/>
                            <w:szCs w:val="28"/>
                          </w:rPr>
                          <m:t>min</m:t>
                        </m:r>
                      </m:sub>
                    </m:sSub>
                  </m:e>
                </m:d>
                <m:r>
                  <m:rPr>
                    <m:sty m:val="b"/>
                  </m:rPr>
                  <w:rPr>
                    <w:rFonts w:ascii="Cambria Math" w:hAnsi="Cambria Math"/>
                    <w:sz w:val="28"/>
                    <w:szCs w:val="28"/>
                  </w:rPr>
                  <m:t>∙</m:t>
                </m:r>
                <m:f>
                  <m:fPr>
                    <m:ctrlPr>
                      <w:rPr>
                        <w:rFonts w:ascii="Cambria Math" w:hAnsi="Cambria Math"/>
                        <w:b/>
                        <w:sz w:val="28"/>
                        <w:szCs w:val="28"/>
                      </w:rPr>
                    </m:ctrlPr>
                  </m:fPr>
                  <m:num>
                    <m:r>
                      <m:rPr>
                        <m:sty m:val="b"/>
                      </m:rPr>
                      <w:rPr>
                        <w:rFonts w:ascii="Cambria Math" w:hAnsi="Cambria Math"/>
                        <w:sz w:val="28"/>
                        <w:szCs w:val="28"/>
                      </w:rPr>
                      <m:t>1</m:t>
                    </m:r>
                  </m:num>
                  <m:den>
                    <m:r>
                      <m:rPr>
                        <m:sty m:val="bi"/>
                      </m:rPr>
                      <w:rPr>
                        <w:rFonts w:ascii="Cambria Math" w:hAnsi="Cambria Math"/>
                        <w:sz w:val="28"/>
                        <w:szCs w:val="28"/>
                      </w:rPr>
                      <m:t>cena energi</m:t>
                    </m:r>
                    <m:sSub>
                      <m:sSubPr>
                        <m:ctrlPr>
                          <w:rPr>
                            <w:rFonts w:ascii="Cambria Math" w:hAnsi="Cambria Math"/>
                            <w:b/>
                            <w:i/>
                            <w:sz w:val="28"/>
                            <w:szCs w:val="28"/>
                          </w:rPr>
                        </m:ctrlPr>
                      </m:sSubPr>
                      <m:e>
                        <m:r>
                          <m:rPr>
                            <m:sty m:val="bi"/>
                          </m:rPr>
                          <w:rPr>
                            <w:rFonts w:ascii="Cambria Math" w:hAnsi="Cambria Math"/>
                            <w:sz w:val="28"/>
                            <w:szCs w:val="28"/>
                          </w:rPr>
                          <m:t>i</m:t>
                        </m:r>
                      </m:e>
                      <m:sub>
                        <m:r>
                          <m:rPr>
                            <m:sty m:val="bi"/>
                          </m:rPr>
                          <w:rPr>
                            <w:rFonts w:ascii="Cambria Math" w:hAnsi="Cambria Math"/>
                            <w:sz w:val="28"/>
                            <w:szCs w:val="28"/>
                          </w:rPr>
                          <m:t>i</m:t>
                        </m:r>
                      </m:sub>
                    </m:sSub>
                  </m:den>
                </m:f>
                <m:r>
                  <m:rPr>
                    <m:sty m:val="b"/>
                  </m:rPr>
                  <w:rPr>
                    <w:rFonts w:ascii="Cambria Math" w:hAnsi="Cambria Math"/>
                    <w:sz w:val="28"/>
                    <w:szCs w:val="28"/>
                  </w:rPr>
                  <m:t>,</m:t>
                </m:r>
              </m:oMath>
            </m:oMathPara>
          </w:p>
        </w:tc>
        <w:tc>
          <w:tcPr>
            <w:tcW w:w="982" w:type="dxa"/>
          </w:tcPr>
          <w:p w14:paraId="0C8A4BF1" w14:textId="77777777" w:rsidR="00E54E14" w:rsidRPr="00D62DB9" w:rsidRDefault="00E54E14" w:rsidP="00B823C1">
            <w:pPr>
              <w:spacing w:line="360" w:lineRule="auto"/>
              <w:ind w:left="360"/>
            </w:pPr>
            <w:r w:rsidRPr="00D62DB9">
              <w:t>(</w:t>
            </w:r>
            <w:r>
              <w:t>6</w:t>
            </w:r>
            <w:r w:rsidRPr="00D62DB9">
              <w:t>)</w:t>
            </w:r>
          </w:p>
        </w:tc>
      </w:tr>
    </w:tbl>
    <w:p w14:paraId="225367C0" w14:textId="77777777" w:rsidR="00E54E14" w:rsidRPr="00075176" w:rsidRDefault="00E54E14" w:rsidP="00E54E14">
      <w:pPr>
        <w:spacing w:after="0" w:line="360" w:lineRule="auto"/>
        <w:ind w:left="360"/>
      </w:pPr>
      <w:r w:rsidRPr="00075176">
        <w:t xml:space="preserve">gdzie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646"/>
        <w:gridCol w:w="6843"/>
      </w:tblGrid>
      <w:tr w:rsidR="00E54E14" w14:paraId="6E40C08C" w14:textId="77777777" w:rsidTr="00B823C1">
        <w:tc>
          <w:tcPr>
            <w:tcW w:w="1590" w:type="dxa"/>
          </w:tcPr>
          <w:p w14:paraId="74BFFBE6" w14:textId="77777777" w:rsidR="00E54E14" w:rsidRPr="00D62DB9" w:rsidRDefault="00E54E14" w:rsidP="00B823C1">
            <w:pPr>
              <w:spacing w:line="360" w:lineRule="auto"/>
              <w:ind w:left="360"/>
              <w:rPr>
                <w:rFonts w:eastAsia="Calibri" w:cs="Arial"/>
              </w:rPr>
            </w:pPr>
            <m:oMathPara>
              <m:oMathParaPr>
                <m:jc m:val="left"/>
              </m:oMathParaPr>
              <m:oMath>
                <m:r>
                  <w:rPr>
                    <w:rFonts w:ascii="Cambria Math" w:eastAsia="Calibri" w:hAnsi="Cambria Math" w:cs="Arial"/>
                  </w:rPr>
                  <m:t>i</m:t>
                </m:r>
              </m:oMath>
            </m:oMathPara>
          </w:p>
        </w:tc>
        <w:tc>
          <w:tcPr>
            <w:tcW w:w="390" w:type="dxa"/>
          </w:tcPr>
          <w:p w14:paraId="042FADE1" w14:textId="77777777" w:rsidR="00E54E14" w:rsidRPr="00D62DB9" w:rsidRDefault="00E54E14" w:rsidP="00B823C1">
            <w:pPr>
              <w:spacing w:line="360" w:lineRule="auto"/>
              <w:ind w:left="360"/>
            </w:pPr>
            <w:r w:rsidRPr="00D62DB9">
              <w:t>-</w:t>
            </w:r>
          </w:p>
        </w:tc>
        <w:tc>
          <w:tcPr>
            <w:tcW w:w="7082" w:type="dxa"/>
          </w:tcPr>
          <w:p w14:paraId="342E4603" w14:textId="77777777" w:rsidR="00E54E14" w:rsidRPr="00D62DB9" w:rsidRDefault="00E54E14" w:rsidP="00B823C1">
            <w:pPr>
              <w:spacing w:line="360" w:lineRule="auto"/>
              <w:ind w:left="360"/>
            </w:pPr>
            <w:r w:rsidRPr="00D62DB9">
              <w:t xml:space="preserve">lata dla których obliczane jest alternatywne zużycie energii, tj. </w:t>
            </w:r>
            <m:oMath>
              <m:r>
                <w:rPr>
                  <w:rFonts w:ascii="Cambria Math" w:hAnsi="Cambria Math"/>
                </w:rPr>
                <m:t>i=2021, 2022…</m:t>
              </m:r>
            </m:oMath>
            <w:r w:rsidRPr="00D62DB9">
              <w:rPr>
                <w:rFonts w:eastAsiaTheme="minorEastAsia"/>
              </w:rPr>
              <w:t>;</w:t>
            </w:r>
          </w:p>
        </w:tc>
      </w:tr>
      <w:tr w:rsidR="00E54E14" w14:paraId="32882F92" w14:textId="77777777" w:rsidTr="00B823C1">
        <w:tc>
          <w:tcPr>
            <w:tcW w:w="1590" w:type="dxa"/>
          </w:tcPr>
          <w:p w14:paraId="4527A46F" w14:textId="77777777" w:rsidR="00E54E14" w:rsidRPr="00D62DB9" w:rsidRDefault="00E54E14" w:rsidP="00B823C1">
            <w:pPr>
              <w:spacing w:line="360" w:lineRule="auto"/>
              <w:ind w:left="360"/>
              <w:rPr>
                <w:rFonts w:eastAsia="Calibri" w:cs="Arial"/>
              </w:rPr>
            </w:pPr>
            <m:oMathPara>
              <m:oMathParaPr>
                <m:jc m:val="left"/>
              </m:oMathParaPr>
              <m:oMath>
                <m:r>
                  <w:rPr>
                    <w:rFonts w:ascii="Cambria Math" w:eastAsia="Calibri" w:hAnsi="Cambria Math" w:cs="Arial"/>
                  </w:rPr>
                  <m:t>∆</m:t>
                </m:r>
                <m:sSub>
                  <m:sSubPr>
                    <m:ctrlPr>
                      <w:rPr>
                        <w:rFonts w:ascii="Cambria Math" w:eastAsia="Calibri" w:hAnsi="Cambria Math" w:cs="Arial"/>
                        <w:i/>
                      </w:rPr>
                    </m:ctrlPr>
                  </m:sSubPr>
                  <m:e>
                    <m:r>
                      <w:rPr>
                        <w:rFonts w:ascii="Cambria Math" w:eastAsia="Calibri" w:hAnsi="Cambria Math" w:cs="Arial"/>
                      </w:rPr>
                      <m:t>p</m:t>
                    </m:r>
                  </m:e>
                  <m:sub>
                    <m:r>
                      <w:rPr>
                        <w:rFonts w:ascii="Cambria Math" w:eastAsia="Calibri" w:hAnsi="Cambria Math" w:cs="Arial"/>
                      </w:rPr>
                      <m:t>i</m:t>
                    </m:r>
                  </m:sub>
                </m:sSub>
              </m:oMath>
            </m:oMathPara>
          </w:p>
        </w:tc>
        <w:tc>
          <w:tcPr>
            <w:tcW w:w="390" w:type="dxa"/>
          </w:tcPr>
          <w:p w14:paraId="1CDC0D9E" w14:textId="77777777" w:rsidR="00E54E14" w:rsidRPr="00D62DB9" w:rsidRDefault="00E54E14" w:rsidP="00B823C1">
            <w:pPr>
              <w:spacing w:line="360" w:lineRule="auto"/>
              <w:ind w:left="360"/>
            </w:pPr>
            <w:r w:rsidRPr="00D62DB9">
              <w:t>-</w:t>
            </w:r>
          </w:p>
        </w:tc>
        <w:tc>
          <w:tcPr>
            <w:tcW w:w="7082" w:type="dxa"/>
          </w:tcPr>
          <w:p w14:paraId="41033154" w14:textId="77777777" w:rsidR="00E54E14" w:rsidRPr="00D62DB9" w:rsidRDefault="00E54E14" w:rsidP="00B823C1">
            <w:pPr>
              <w:spacing w:line="360" w:lineRule="auto"/>
              <w:ind w:left="360"/>
            </w:pPr>
            <w:r w:rsidRPr="00D62DB9">
              <w:t xml:space="preserve">zmiana ceny energii w danym roku </w:t>
            </w:r>
            <m:oMath>
              <m:r>
                <w:rPr>
                  <w:rFonts w:ascii="Cambria Math" w:eastAsia="Calibri" w:hAnsi="Cambria Math" w:cs="Arial"/>
                </w:rPr>
                <m:t>i</m:t>
              </m:r>
            </m:oMath>
            <w:r w:rsidRPr="00D62DB9">
              <w:t xml:space="preserve"> [%].</w:t>
            </w:r>
          </w:p>
        </w:tc>
      </w:tr>
      <w:tr w:rsidR="00E54E14" w14:paraId="4F833718" w14:textId="77777777" w:rsidTr="00B823C1">
        <w:tc>
          <w:tcPr>
            <w:tcW w:w="1590" w:type="dxa"/>
          </w:tcPr>
          <w:p w14:paraId="2D95B587" w14:textId="77777777" w:rsidR="00E54E14" w:rsidRPr="00D62DB9" w:rsidRDefault="00E54E14" w:rsidP="00B823C1">
            <w:pPr>
              <w:spacing w:line="360" w:lineRule="auto"/>
              <w:ind w:left="360"/>
              <w:rPr>
                <w:rFonts w:eastAsia="Calibri" w:cs="Arial"/>
              </w:rPr>
            </w:pPr>
            <m:oMathPara>
              <m:oMathParaPr>
                <m:jc m:val="left"/>
              </m:oMathParaPr>
              <m:oMath>
                <m:r>
                  <w:rPr>
                    <w:rFonts w:ascii="Cambria Math" w:eastAsia="Calibri" w:hAnsi="Cambria Math" w:cs="Arial"/>
                  </w:rPr>
                  <m:t>ta</m:t>
                </m:r>
                <m:sSub>
                  <m:sSubPr>
                    <m:ctrlPr>
                      <w:rPr>
                        <w:rFonts w:ascii="Cambria Math" w:eastAsia="Calibri" w:hAnsi="Cambria Math" w:cs="Arial"/>
                        <w:i/>
                      </w:rPr>
                    </m:ctrlPr>
                  </m:sSubPr>
                  <m:e>
                    <m:r>
                      <w:rPr>
                        <w:rFonts w:ascii="Cambria Math" w:eastAsia="Calibri" w:hAnsi="Cambria Math" w:cs="Arial"/>
                      </w:rPr>
                      <m:t>x</m:t>
                    </m:r>
                  </m:e>
                  <m:sub>
                    <m:r>
                      <w:rPr>
                        <w:rFonts w:ascii="Cambria Math" w:eastAsia="Calibri" w:hAnsi="Cambria Math" w:cs="Arial"/>
                      </w:rPr>
                      <m:t>rzeczywisty,i</m:t>
                    </m:r>
                  </m:sub>
                </m:sSub>
              </m:oMath>
            </m:oMathPara>
          </w:p>
        </w:tc>
        <w:tc>
          <w:tcPr>
            <w:tcW w:w="390" w:type="dxa"/>
          </w:tcPr>
          <w:p w14:paraId="6361CC70" w14:textId="77777777" w:rsidR="00E54E14" w:rsidRPr="00C94DB1" w:rsidRDefault="00E54E14" w:rsidP="00B823C1">
            <w:pPr>
              <w:spacing w:line="360" w:lineRule="auto"/>
              <w:ind w:left="360"/>
            </w:pPr>
            <w:r w:rsidRPr="00C94DB1">
              <w:t>-</w:t>
            </w:r>
          </w:p>
        </w:tc>
        <w:tc>
          <w:tcPr>
            <w:tcW w:w="7082" w:type="dxa"/>
          </w:tcPr>
          <w:p w14:paraId="39ECE112" w14:textId="77777777" w:rsidR="00E54E14" w:rsidRPr="00C94DB1" w:rsidRDefault="00E54E14" w:rsidP="00B823C1">
            <w:pPr>
              <w:spacing w:line="360" w:lineRule="auto"/>
              <w:ind w:left="360"/>
            </w:pPr>
            <w:r w:rsidRPr="00C94DB1">
              <w:t>wysokość podatku;</w:t>
            </w:r>
          </w:p>
        </w:tc>
      </w:tr>
      <w:tr w:rsidR="00E54E14" w14:paraId="005ED7BB" w14:textId="77777777" w:rsidTr="00B823C1">
        <w:tc>
          <w:tcPr>
            <w:tcW w:w="1590" w:type="dxa"/>
          </w:tcPr>
          <w:p w14:paraId="77E57F76" w14:textId="77777777" w:rsidR="00E54E14" w:rsidRPr="009219DB" w:rsidRDefault="00FD1148" w:rsidP="00B823C1">
            <w:pPr>
              <w:spacing w:line="360" w:lineRule="auto"/>
              <w:ind w:left="360"/>
            </w:pPr>
            <m:oMathPara>
              <m:oMathParaPr>
                <m:jc m:val="left"/>
              </m:oMathParaPr>
              <m:oMath>
                <m:sSub>
                  <m:sSubPr>
                    <m:ctrlPr>
                      <w:rPr>
                        <w:rFonts w:ascii="Cambria Math" w:hAnsi="Cambria Math"/>
                        <w:i/>
                      </w:rPr>
                    </m:ctrlPr>
                  </m:sSubPr>
                  <m:e>
                    <m:r>
                      <w:rPr>
                        <w:rFonts w:ascii="Cambria Math" w:hAnsi="Cambria Math"/>
                      </w:rPr>
                      <m:t>tax</m:t>
                    </m:r>
                  </m:e>
                  <m:sub>
                    <m:r>
                      <w:rPr>
                        <w:rFonts w:ascii="Cambria Math" w:hAnsi="Cambria Math"/>
                      </w:rPr>
                      <m:t>min</m:t>
                    </m:r>
                  </m:sub>
                </m:sSub>
              </m:oMath>
            </m:oMathPara>
          </w:p>
        </w:tc>
        <w:tc>
          <w:tcPr>
            <w:tcW w:w="390" w:type="dxa"/>
          </w:tcPr>
          <w:p w14:paraId="3A57D9B6" w14:textId="77777777" w:rsidR="00E54E14" w:rsidRPr="00C94DB1" w:rsidRDefault="00E54E14" w:rsidP="00B823C1">
            <w:pPr>
              <w:spacing w:line="360" w:lineRule="auto"/>
              <w:ind w:left="360"/>
            </w:pPr>
            <w:r w:rsidRPr="00C94DB1">
              <w:t>-</w:t>
            </w:r>
          </w:p>
        </w:tc>
        <w:tc>
          <w:tcPr>
            <w:tcW w:w="7082" w:type="dxa"/>
          </w:tcPr>
          <w:p w14:paraId="57480118" w14:textId="77777777" w:rsidR="00E54E14" w:rsidRPr="00C94DB1" w:rsidRDefault="00E54E14" w:rsidP="00B823C1">
            <w:pPr>
              <w:spacing w:line="360" w:lineRule="auto"/>
              <w:ind w:left="360"/>
            </w:pPr>
            <w:r w:rsidRPr="00C94DB1">
              <w:t>minimalna wysokość podatku nałożona na dany nośnik energii wynikająca z Dyrektywy 2003/96/WE</w:t>
            </w:r>
            <w:r>
              <w:rPr>
                <w:rStyle w:val="Odwoanieprzypisudolnego"/>
              </w:rPr>
              <w:footnoteReference w:id="12"/>
            </w:r>
            <w:r w:rsidRPr="00C94DB1">
              <w:t>.</w:t>
            </w:r>
          </w:p>
        </w:tc>
      </w:tr>
      <w:tr w:rsidR="00E54E14" w14:paraId="0941E5D6" w14:textId="77777777" w:rsidTr="00B823C1">
        <w:tc>
          <w:tcPr>
            <w:tcW w:w="1590" w:type="dxa"/>
          </w:tcPr>
          <w:p w14:paraId="5186C486" w14:textId="77777777" w:rsidR="00E54E14" w:rsidRPr="00C94DB1" w:rsidRDefault="00E54E14" w:rsidP="00B823C1">
            <w:pPr>
              <w:spacing w:line="360" w:lineRule="auto"/>
              <w:ind w:left="360"/>
              <w:rPr>
                <w:rFonts w:eastAsia="Calibri" w:cs="Arial"/>
              </w:rPr>
            </w:pPr>
          </w:p>
        </w:tc>
        <w:tc>
          <w:tcPr>
            <w:tcW w:w="390" w:type="dxa"/>
          </w:tcPr>
          <w:p w14:paraId="3A2E2D3C" w14:textId="77777777" w:rsidR="00E54E14" w:rsidRPr="00C94DB1" w:rsidRDefault="00E54E14" w:rsidP="00B823C1">
            <w:pPr>
              <w:spacing w:line="360" w:lineRule="auto"/>
              <w:ind w:left="360"/>
            </w:pPr>
          </w:p>
        </w:tc>
        <w:tc>
          <w:tcPr>
            <w:tcW w:w="7082" w:type="dxa"/>
          </w:tcPr>
          <w:p w14:paraId="188A35E2" w14:textId="77777777" w:rsidR="00E54E14" w:rsidRPr="00C94DB1" w:rsidRDefault="00E54E14" w:rsidP="00B823C1">
            <w:pPr>
              <w:spacing w:line="360" w:lineRule="auto"/>
              <w:ind w:left="360"/>
            </w:pPr>
          </w:p>
        </w:tc>
      </w:tr>
    </w:tbl>
    <w:p w14:paraId="401B0833" w14:textId="77777777" w:rsidR="00E54E14" w:rsidRPr="00C94DB1" w:rsidRDefault="00E54E14" w:rsidP="00E54E14">
      <w:pPr>
        <w:spacing w:after="0" w:line="360" w:lineRule="auto"/>
        <w:ind w:left="360"/>
      </w:pPr>
      <w:r w:rsidRPr="00C94DB1">
        <w:t>Następnie oblicza się alternatywne zużycie energii uwzgledniające procentową zmianę cen energii oraz krótkoterminową elastyczność popytu:</w:t>
      </w:r>
    </w:p>
    <w:p w14:paraId="681674FA" w14:textId="77777777" w:rsidR="00E54E14" w:rsidRPr="00C94DB1" w:rsidRDefault="00E54E14" w:rsidP="00E54E14">
      <w:pPr>
        <w:ind w:left="360"/>
        <w:rPr>
          <w:b/>
          <w:color w:val="2F5496" w:themeColor="accent1" w:themeShade="BF"/>
          <w:highlight w:val="yellow"/>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092"/>
        <w:gridCol w:w="982"/>
      </w:tblGrid>
      <w:tr w:rsidR="00E54E14" w14:paraId="450EB8C9" w14:textId="77777777" w:rsidTr="00B823C1">
        <w:tc>
          <w:tcPr>
            <w:tcW w:w="988" w:type="dxa"/>
          </w:tcPr>
          <w:p w14:paraId="40927C9A" w14:textId="77777777" w:rsidR="00E54E14" w:rsidRPr="00C94DB1" w:rsidRDefault="00E54E14" w:rsidP="00B823C1">
            <w:pPr>
              <w:spacing w:line="360" w:lineRule="auto"/>
              <w:ind w:left="360"/>
            </w:pPr>
          </w:p>
          <w:p w14:paraId="4EC2FB5B" w14:textId="77777777" w:rsidR="00E54E14" w:rsidRDefault="00E54E14" w:rsidP="00B823C1">
            <w:pPr>
              <w:spacing w:line="360" w:lineRule="auto"/>
            </w:pPr>
          </w:p>
        </w:tc>
        <w:tc>
          <w:tcPr>
            <w:tcW w:w="7092" w:type="dxa"/>
          </w:tcPr>
          <w:p w14:paraId="2931C2FA" w14:textId="77777777" w:rsidR="00E54E14" w:rsidRPr="00C94DB1" w:rsidRDefault="00FD1148" w:rsidP="00B823C1">
            <w:pPr>
              <w:spacing w:line="360" w:lineRule="auto"/>
              <w:ind w:left="360"/>
              <w:rPr>
                <w:b/>
                <w:sz w:val="28"/>
                <w:szCs w:val="28"/>
              </w:rPr>
            </w:pPr>
            <m:oMathPara>
              <m:oMath>
                <m:sSub>
                  <m:sSubPr>
                    <m:ctrlPr>
                      <w:rPr>
                        <w:rFonts w:ascii="Cambria Math" w:hAnsi="Cambria Math"/>
                        <w:b/>
                        <w:i/>
                        <w:sz w:val="28"/>
                        <w:szCs w:val="28"/>
                      </w:rPr>
                    </m:ctrlPr>
                  </m:sSubPr>
                  <m:e>
                    <m:sSub>
                      <m:sSubPr>
                        <m:ctrlPr>
                          <w:rPr>
                            <w:rFonts w:ascii="Cambria Math" w:hAnsi="Cambria Math"/>
                            <w:b/>
                            <w:i/>
                            <w:sz w:val="28"/>
                            <w:szCs w:val="28"/>
                          </w:rPr>
                        </m:ctrlPr>
                      </m:sSubPr>
                      <m:e>
                        <m:r>
                          <m:rPr>
                            <m:sty m:val="bi"/>
                          </m:rPr>
                          <w:rPr>
                            <w:rFonts w:ascii="Cambria Math" w:hAnsi="Cambria Math"/>
                            <w:sz w:val="28"/>
                            <w:szCs w:val="28"/>
                          </w:rPr>
                          <m:t>EK</m:t>
                        </m:r>
                      </m:e>
                      <m:sub>
                        <m:r>
                          <m:rPr>
                            <m:sty m:val="bi"/>
                          </m:rPr>
                          <w:rPr>
                            <w:rFonts w:ascii="Cambria Math" w:hAnsi="Cambria Math"/>
                            <w:sz w:val="28"/>
                            <w:szCs w:val="28"/>
                          </w:rPr>
                          <m:t>alternatywne,i</m:t>
                        </m:r>
                      </m:sub>
                    </m:sSub>
                    <m:r>
                      <m:rPr>
                        <m:sty m:val="bi"/>
                      </m:rPr>
                      <w:rPr>
                        <w:rFonts w:ascii="Cambria Math" w:hAnsi="Cambria Math"/>
                        <w:sz w:val="28"/>
                        <w:szCs w:val="28"/>
                      </w:rPr>
                      <m:t>=EK</m:t>
                    </m:r>
                  </m:e>
                  <m:sub>
                    <m:r>
                      <m:rPr>
                        <m:sty m:val="bi"/>
                      </m:rPr>
                      <w:rPr>
                        <w:rFonts w:ascii="Cambria Math" w:hAnsi="Cambria Math"/>
                        <w:sz w:val="28"/>
                        <w:szCs w:val="28"/>
                      </w:rPr>
                      <m:t>rzeczywiste,i</m:t>
                    </m:r>
                  </m:sub>
                </m:sSub>
                <m:r>
                  <m:rPr>
                    <m:sty m:val="bi"/>
                  </m:rPr>
                  <w:rPr>
                    <w:rFonts w:ascii="Cambria Math" w:hAnsi="Cambria Math"/>
                    <w:sz w:val="28"/>
                    <w:szCs w:val="28"/>
                  </w:rPr>
                  <m:t>∙</m:t>
                </m:r>
                <m:f>
                  <m:fPr>
                    <m:ctrlPr>
                      <w:rPr>
                        <w:rFonts w:ascii="Cambria Math" w:hAnsi="Cambria Math"/>
                        <w:b/>
                        <w:i/>
                        <w:sz w:val="28"/>
                        <w:szCs w:val="28"/>
                      </w:rPr>
                    </m:ctrlPr>
                  </m:fPr>
                  <m:num>
                    <m:r>
                      <m:rPr>
                        <m:sty m:val="bi"/>
                      </m:rPr>
                      <w:rPr>
                        <w:rFonts w:ascii="Cambria Math" w:hAnsi="Cambria Math"/>
                        <w:sz w:val="28"/>
                        <w:szCs w:val="28"/>
                      </w:rPr>
                      <m:t>1</m:t>
                    </m:r>
                  </m:num>
                  <m:den>
                    <m:r>
                      <m:rPr>
                        <m:sty m:val="bi"/>
                      </m:rPr>
                      <w:rPr>
                        <w:rFonts w:ascii="Cambria Math" w:hAnsi="Cambria Math"/>
                        <w:sz w:val="28"/>
                        <w:szCs w:val="28"/>
                      </w:rPr>
                      <m:t>1+∆</m:t>
                    </m:r>
                    <m:sSub>
                      <m:sSubPr>
                        <m:ctrlPr>
                          <w:rPr>
                            <w:rFonts w:ascii="Cambria Math" w:hAnsi="Cambria Math"/>
                            <w:b/>
                            <w:i/>
                            <w:sz w:val="28"/>
                            <w:szCs w:val="28"/>
                          </w:rPr>
                        </m:ctrlPr>
                      </m:sSubPr>
                      <m:e>
                        <m:r>
                          <m:rPr>
                            <m:sty m:val="bi"/>
                          </m:rPr>
                          <w:rPr>
                            <w:rFonts w:ascii="Cambria Math" w:hAnsi="Cambria Math"/>
                            <w:sz w:val="28"/>
                            <w:szCs w:val="28"/>
                          </w:rPr>
                          <m:t>p</m:t>
                        </m:r>
                      </m:e>
                      <m:sub>
                        <m:r>
                          <m:rPr>
                            <m:sty m:val="bi"/>
                          </m:rPr>
                          <w:rPr>
                            <w:rFonts w:ascii="Cambria Math" w:hAnsi="Cambria Math"/>
                            <w:sz w:val="28"/>
                            <w:szCs w:val="28"/>
                          </w:rPr>
                          <m:t>i</m:t>
                        </m:r>
                      </m:sub>
                    </m:sSub>
                    <m:r>
                      <m:rPr>
                        <m:sty m:val="bi"/>
                      </m:rPr>
                      <w:rPr>
                        <w:rFonts w:ascii="Cambria Math" w:hAnsi="Cambria Math"/>
                        <w:sz w:val="28"/>
                        <w:szCs w:val="28"/>
                      </w:rPr>
                      <m:t>∙</m:t>
                    </m:r>
                    <m:f>
                      <m:fPr>
                        <m:ctrlPr>
                          <w:rPr>
                            <w:rFonts w:ascii="Cambria Math" w:hAnsi="Cambria Math"/>
                            <w:b/>
                            <w:i/>
                            <w:sz w:val="28"/>
                            <w:szCs w:val="28"/>
                          </w:rPr>
                        </m:ctrlPr>
                      </m:fPr>
                      <m:num>
                        <m:r>
                          <m:rPr>
                            <m:sty m:val="bi"/>
                          </m:rPr>
                          <w:rPr>
                            <w:rFonts w:ascii="Cambria Math" w:hAnsi="Cambria Math"/>
                            <w:sz w:val="28"/>
                            <w:szCs w:val="28"/>
                          </w:rPr>
                          <m:t>∂e</m:t>
                        </m:r>
                      </m:num>
                      <m:den>
                        <m:r>
                          <m:rPr>
                            <m:sty m:val="bi"/>
                          </m:rPr>
                          <w:rPr>
                            <w:rFonts w:ascii="Cambria Math" w:hAnsi="Cambria Math"/>
                            <w:sz w:val="28"/>
                            <w:szCs w:val="28"/>
                          </w:rPr>
                          <m:t>∂p</m:t>
                        </m:r>
                      </m:den>
                    </m:f>
                  </m:den>
                </m:f>
                <m:r>
                  <m:rPr>
                    <m:sty m:val="bi"/>
                  </m:rPr>
                  <w:rPr>
                    <w:rFonts w:ascii="Cambria Math" w:hAnsi="Cambria Math"/>
                    <w:sz w:val="28"/>
                    <w:szCs w:val="28"/>
                  </w:rPr>
                  <m:t>,</m:t>
                </m:r>
              </m:oMath>
            </m:oMathPara>
          </w:p>
        </w:tc>
        <w:tc>
          <w:tcPr>
            <w:tcW w:w="982" w:type="dxa"/>
          </w:tcPr>
          <w:p w14:paraId="7511C064" w14:textId="77777777" w:rsidR="00E54E14" w:rsidRPr="00C94DB1" w:rsidRDefault="00E54E14" w:rsidP="00B823C1">
            <w:pPr>
              <w:spacing w:line="360" w:lineRule="auto"/>
              <w:ind w:left="360"/>
            </w:pPr>
            <w:r w:rsidRPr="00C94DB1">
              <w:t>(</w:t>
            </w:r>
            <w:r>
              <w:t>7</w:t>
            </w:r>
            <w:r w:rsidRPr="00C94DB1">
              <w:t>)</w:t>
            </w:r>
          </w:p>
        </w:tc>
      </w:tr>
    </w:tbl>
    <w:p w14:paraId="60D3C59E" w14:textId="77777777" w:rsidR="00E54E14" w:rsidRPr="00C94DB1" w:rsidRDefault="00E54E14" w:rsidP="00E54E14">
      <w:pPr>
        <w:spacing w:after="0" w:line="360" w:lineRule="auto"/>
        <w:ind w:left="360"/>
      </w:pPr>
      <w:r w:rsidRPr="00C94DB1">
        <w:t xml:space="preserve">gdzie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7"/>
        <w:gridCol w:w="646"/>
        <w:gridCol w:w="6839"/>
      </w:tblGrid>
      <w:tr w:rsidR="00E54E14" w14:paraId="2D8C24F6" w14:textId="77777777" w:rsidTr="00B823C1">
        <w:tc>
          <w:tcPr>
            <w:tcW w:w="1590" w:type="dxa"/>
          </w:tcPr>
          <w:p w14:paraId="37512CFE" w14:textId="77777777" w:rsidR="00E54E14" w:rsidRPr="00C94DB1" w:rsidRDefault="00E54E14" w:rsidP="00B823C1">
            <w:pPr>
              <w:spacing w:line="360" w:lineRule="auto"/>
              <w:ind w:left="360"/>
              <w:rPr>
                <w:rFonts w:eastAsia="Calibri" w:cs="Arial"/>
              </w:rPr>
            </w:pPr>
          </w:p>
        </w:tc>
        <w:tc>
          <w:tcPr>
            <w:tcW w:w="390" w:type="dxa"/>
          </w:tcPr>
          <w:p w14:paraId="4037EA02" w14:textId="77777777" w:rsidR="00E54E14" w:rsidRPr="00C94DB1" w:rsidRDefault="00E54E14" w:rsidP="00B823C1">
            <w:pPr>
              <w:spacing w:line="360" w:lineRule="auto"/>
              <w:ind w:left="360"/>
            </w:pPr>
          </w:p>
        </w:tc>
        <w:tc>
          <w:tcPr>
            <w:tcW w:w="7082" w:type="dxa"/>
          </w:tcPr>
          <w:p w14:paraId="3C19317C" w14:textId="77777777" w:rsidR="00E54E14" w:rsidRPr="00C94DB1" w:rsidRDefault="00E54E14" w:rsidP="00B823C1">
            <w:pPr>
              <w:spacing w:line="360" w:lineRule="auto"/>
              <w:ind w:left="360"/>
            </w:pPr>
          </w:p>
        </w:tc>
      </w:tr>
      <w:tr w:rsidR="00E54E14" w14:paraId="058AF90F" w14:textId="77777777" w:rsidTr="00B823C1">
        <w:tc>
          <w:tcPr>
            <w:tcW w:w="1590" w:type="dxa"/>
          </w:tcPr>
          <w:p w14:paraId="7472ACB5" w14:textId="77777777" w:rsidR="00E54E14" w:rsidRPr="009219DB" w:rsidRDefault="00FD1148" w:rsidP="00B823C1">
            <w:pPr>
              <w:spacing w:line="360" w:lineRule="auto"/>
              <w:ind w:left="360"/>
              <w:rPr>
                <w:rFonts w:eastAsia="Calibri" w:cs="Arial"/>
              </w:rPr>
            </w:pPr>
            <m:oMathPara>
              <m:oMath>
                <m:sSub>
                  <m:sSubPr>
                    <m:ctrlPr>
                      <w:rPr>
                        <w:rFonts w:ascii="Cambria Math" w:hAnsi="Cambria Math"/>
                      </w:rPr>
                    </m:ctrlPr>
                  </m:sSubPr>
                  <m:e>
                    <m:r>
                      <w:rPr>
                        <w:rFonts w:ascii="Cambria Math" w:hAnsi="Cambria Math"/>
                      </w:rPr>
                      <m:t>EK</m:t>
                    </m:r>
                  </m:e>
                  <m:sub>
                    <m:r>
                      <w:rPr>
                        <w:rFonts w:ascii="Cambria Math" w:hAnsi="Cambria Math"/>
                      </w:rPr>
                      <m:t>alternatywne,i</m:t>
                    </m:r>
                  </m:sub>
                </m:sSub>
              </m:oMath>
            </m:oMathPara>
          </w:p>
        </w:tc>
        <w:tc>
          <w:tcPr>
            <w:tcW w:w="390" w:type="dxa"/>
          </w:tcPr>
          <w:p w14:paraId="6E58968F" w14:textId="77777777" w:rsidR="00E54E14" w:rsidRPr="00C94DB1" w:rsidRDefault="00E54E14" w:rsidP="00B823C1">
            <w:pPr>
              <w:spacing w:line="360" w:lineRule="auto"/>
              <w:ind w:left="360"/>
            </w:pPr>
            <w:r w:rsidRPr="00C94DB1">
              <w:t>-</w:t>
            </w:r>
          </w:p>
        </w:tc>
        <w:tc>
          <w:tcPr>
            <w:tcW w:w="7082" w:type="dxa"/>
          </w:tcPr>
          <w:p w14:paraId="5794E110" w14:textId="77777777" w:rsidR="00E54E14" w:rsidRPr="00C94DB1" w:rsidRDefault="00E54E14" w:rsidP="00B823C1">
            <w:pPr>
              <w:spacing w:line="360" w:lineRule="auto"/>
              <w:ind w:left="360"/>
            </w:pPr>
            <w:r w:rsidRPr="00C94DB1">
              <w:t>alternatywne zużycie energii w roku</w:t>
            </w:r>
            <m:oMath>
              <m:r>
                <w:rPr>
                  <w:rFonts w:ascii="Cambria Math" w:hAnsi="Cambria Math"/>
                </w:rPr>
                <m:t xml:space="preserve"> i</m:t>
              </m:r>
            </m:oMath>
            <w:r w:rsidRPr="00C94DB1">
              <w:t>(zużycie energii bez podatku od energii) [ktoe/rok];</w:t>
            </w:r>
          </w:p>
        </w:tc>
      </w:tr>
      <w:tr w:rsidR="00E54E14" w14:paraId="64AB6253" w14:textId="77777777" w:rsidTr="00B823C1">
        <w:tc>
          <w:tcPr>
            <w:tcW w:w="1590" w:type="dxa"/>
          </w:tcPr>
          <w:p w14:paraId="3F816A8C" w14:textId="77777777" w:rsidR="00E54E14" w:rsidRPr="009219DB" w:rsidRDefault="00FD1148" w:rsidP="00B823C1">
            <w:pPr>
              <w:spacing w:line="360" w:lineRule="auto"/>
              <w:ind w:left="360"/>
            </w:pPr>
            <m:oMathPara>
              <m:oMathParaPr>
                <m:jc m:val="left"/>
              </m:oMathParaPr>
              <m:oMath>
                <m:sSub>
                  <m:sSubPr>
                    <m:ctrlPr>
                      <w:rPr>
                        <w:rFonts w:ascii="Cambria Math" w:hAnsi="Cambria Math"/>
                      </w:rPr>
                    </m:ctrlPr>
                  </m:sSubPr>
                  <m:e>
                    <m:r>
                      <w:rPr>
                        <w:rFonts w:ascii="Cambria Math" w:hAnsi="Cambria Math"/>
                      </w:rPr>
                      <m:t>EK</m:t>
                    </m:r>
                  </m:e>
                  <m:sub>
                    <m:r>
                      <w:rPr>
                        <w:rFonts w:ascii="Cambria Math" w:hAnsi="Cambria Math"/>
                      </w:rPr>
                      <m:t>rzeczywiste,i</m:t>
                    </m:r>
                  </m:sub>
                </m:sSub>
              </m:oMath>
            </m:oMathPara>
          </w:p>
        </w:tc>
        <w:tc>
          <w:tcPr>
            <w:tcW w:w="390" w:type="dxa"/>
          </w:tcPr>
          <w:p w14:paraId="62E15C3E" w14:textId="77777777" w:rsidR="00E54E14" w:rsidRPr="00C94DB1" w:rsidRDefault="00E54E14" w:rsidP="00B823C1">
            <w:pPr>
              <w:spacing w:line="360" w:lineRule="auto"/>
              <w:ind w:left="360"/>
            </w:pPr>
            <w:r w:rsidRPr="00C94DB1">
              <w:t>-</w:t>
            </w:r>
          </w:p>
        </w:tc>
        <w:tc>
          <w:tcPr>
            <w:tcW w:w="7082" w:type="dxa"/>
          </w:tcPr>
          <w:p w14:paraId="7A9C9920" w14:textId="77777777" w:rsidR="00E54E14" w:rsidRPr="00C94DB1" w:rsidRDefault="00E54E14" w:rsidP="00B823C1">
            <w:pPr>
              <w:spacing w:line="360" w:lineRule="auto"/>
              <w:ind w:left="360"/>
            </w:pPr>
            <w:r w:rsidRPr="00C94DB1">
              <w:t>rzeczywiste zużycie energii w roku</w:t>
            </w:r>
            <m:oMath>
              <m:r>
                <w:rPr>
                  <w:rFonts w:ascii="Cambria Math" w:hAnsi="Cambria Math"/>
                </w:rPr>
                <m:t xml:space="preserve"> i</m:t>
              </m:r>
            </m:oMath>
            <w:r w:rsidRPr="00C94DB1">
              <w:t xml:space="preserve"> [ktoe/rok];</w:t>
            </w:r>
          </w:p>
        </w:tc>
      </w:tr>
      <w:tr w:rsidR="00E54E14" w14:paraId="3090CB5C" w14:textId="77777777" w:rsidTr="00B823C1">
        <w:tc>
          <w:tcPr>
            <w:tcW w:w="1590" w:type="dxa"/>
          </w:tcPr>
          <w:p w14:paraId="1DE7F42E" w14:textId="77777777" w:rsidR="00E54E14" w:rsidRPr="009219DB" w:rsidRDefault="00FD1148" w:rsidP="00B823C1">
            <w:pPr>
              <w:spacing w:line="360" w:lineRule="auto"/>
              <w:ind w:left="360"/>
              <w:rPr>
                <w:rFonts w:eastAsia="Calibri" w:cs="Arial"/>
              </w:rPr>
            </w:pPr>
            <m:oMathPara>
              <m:oMathParaPr>
                <m:jc m:val="left"/>
              </m:oMathParaPr>
              <m:oMath>
                <m:f>
                  <m:fPr>
                    <m:ctrlPr>
                      <w:rPr>
                        <w:rFonts w:ascii="Cambria Math" w:hAnsi="Cambria Math"/>
                      </w:rPr>
                    </m:ctrlPr>
                  </m:fPr>
                  <m:num>
                    <m:r>
                      <w:rPr>
                        <w:rFonts w:ascii="Cambria Math" w:hAnsi="Cambria Math"/>
                      </w:rPr>
                      <m:t>∂e</m:t>
                    </m:r>
                  </m:num>
                  <m:den>
                    <m:r>
                      <w:rPr>
                        <w:rFonts w:ascii="Cambria Math" w:hAnsi="Cambria Math"/>
                      </w:rPr>
                      <m:t>∂p</m:t>
                    </m:r>
                  </m:den>
                </m:f>
              </m:oMath>
            </m:oMathPara>
          </w:p>
        </w:tc>
        <w:tc>
          <w:tcPr>
            <w:tcW w:w="390" w:type="dxa"/>
          </w:tcPr>
          <w:p w14:paraId="668F3D02" w14:textId="77777777" w:rsidR="00E54E14" w:rsidRPr="00C94DB1" w:rsidRDefault="00E54E14" w:rsidP="00B823C1">
            <w:pPr>
              <w:spacing w:line="360" w:lineRule="auto"/>
              <w:ind w:left="360"/>
            </w:pPr>
            <w:r w:rsidRPr="00C94DB1">
              <w:t>-</w:t>
            </w:r>
          </w:p>
        </w:tc>
        <w:tc>
          <w:tcPr>
            <w:tcW w:w="7082" w:type="dxa"/>
          </w:tcPr>
          <w:p w14:paraId="20246DB0" w14:textId="77777777" w:rsidR="00E54E14" w:rsidRPr="00C94DB1" w:rsidRDefault="00E54E14" w:rsidP="00B823C1">
            <w:pPr>
              <w:spacing w:line="360" w:lineRule="auto"/>
              <w:ind w:left="360"/>
            </w:pPr>
            <w:r w:rsidRPr="00C94DB1">
              <w:t>elastyczność cenowa popytu.</w:t>
            </w:r>
          </w:p>
        </w:tc>
      </w:tr>
    </w:tbl>
    <w:p w14:paraId="3DD65AC5" w14:textId="77777777" w:rsidR="00E54E14" w:rsidRPr="00C94DB1" w:rsidRDefault="00E54E14" w:rsidP="00E54E14">
      <w:pPr>
        <w:spacing w:after="0" w:line="360" w:lineRule="auto"/>
      </w:pPr>
      <w:r w:rsidRPr="00C94DB1">
        <w:lastRenderedPageBreak/>
        <w:t xml:space="preserve">Oszczędność energii finalnej jest to różnica pomiędzy zwiększonym alternatywnym zużyciem energii a rzeczywistym zużyciem energii w danym roku: </w:t>
      </w:r>
    </w:p>
    <w:p w14:paraId="636502F1" w14:textId="77777777" w:rsidR="00E54E14" w:rsidRPr="00C94DB1" w:rsidRDefault="00E54E14" w:rsidP="00E54E14">
      <w:pPr>
        <w:spacing w:after="0" w:line="360" w:lineRule="auto"/>
        <w:ind w:left="360"/>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234"/>
        <w:gridCol w:w="840"/>
      </w:tblGrid>
      <w:tr w:rsidR="00E54E14" w14:paraId="424D017E" w14:textId="77777777" w:rsidTr="00B823C1">
        <w:tc>
          <w:tcPr>
            <w:tcW w:w="988" w:type="dxa"/>
          </w:tcPr>
          <w:p w14:paraId="352ECD6A" w14:textId="77777777" w:rsidR="00E54E14" w:rsidRPr="00C94DB1" w:rsidRDefault="00E54E14" w:rsidP="00B823C1">
            <w:pPr>
              <w:spacing w:line="360" w:lineRule="auto"/>
              <w:ind w:left="360"/>
            </w:pPr>
          </w:p>
          <w:p w14:paraId="5F8B2AA1" w14:textId="77777777" w:rsidR="00E54E14" w:rsidRDefault="00E54E14" w:rsidP="00B823C1">
            <w:pPr>
              <w:spacing w:line="360" w:lineRule="auto"/>
            </w:pPr>
          </w:p>
        </w:tc>
        <w:tc>
          <w:tcPr>
            <w:tcW w:w="7234" w:type="dxa"/>
          </w:tcPr>
          <w:p w14:paraId="78EF5B7F" w14:textId="77777777" w:rsidR="00E54E14" w:rsidRPr="00C94DB1" w:rsidRDefault="00FD1148" w:rsidP="00B823C1">
            <w:pPr>
              <w:spacing w:line="360" w:lineRule="auto"/>
              <w:ind w:left="360"/>
              <w:rPr>
                <w:b/>
                <w:sz w:val="28"/>
                <w:szCs w:val="28"/>
              </w:rPr>
            </w:pPr>
            <m:oMathPara>
              <m:oMath>
                <m:sSub>
                  <m:sSubPr>
                    <m:ctrlPr>
                      <w:rPr>
                        <w:rFonts w:ascii="Cambria Math" w:hAnsi="Cambria Math"/>
                        <w:b/>
                        <w:bCs/>
                        <w:sz w:val="28"/>
                        <w:szCs w:val="28"/>
                      </w:rPr>
                    </m:ctrlPr>
                  </m:sSubPr>
                  <m:e>
                    <m:r>
                      <m:rPr>
                        <m:sty m:val="bi"/>
                      </m:rPr>
                      <w:rPr>
                        <w:rFonts w:ascii="Cambria Math" w:hAnsi="Cambria Math"/>
                        <w:sz w:val="28"/>
                        <w:szCs w:val="28"/>
                      </w:rPr>
                      <m:t>O</m:t>
                    </m:r>
                  </m:e>
                  <m:sub>
                    <m:r>
                      <m:rPr>
                        <m:sty m:val="bi"/>
                      </m:rPr>
                      <w:rPr>
                        <w:rFonts w:ascii="Cambria Math" w:hAnsi="Cambria Math"/>
                        <w:sz w:val="28"/>
                        <w:szCs w:val="28"/>
                      </w:rPr>
                      <m:t>tax</m:t>
                    </m:r>
                  </m:sub>
                </m:sSub>
                <m:r>
                  <m:rPr>
                    <m:sty m:val="b"/>
                  </m:rPr>
                  <w:rPr>
                    <w:rFonts w:ascii="Cambria Math" w:hAnsi="Cambria Math"/>
                    <w:sz w:val="28"/>
                    <w:szCs w:val="28"/>
                  </w:rPr>
                  <m:t>=</m:t>
                </m:r>
                <m:nary>
                  <m:naryPr>
                    <m:chr m:val="∑"/>
                    <m:limLoc m:val="undOvr"/>
                    <m:supHide m:val="1"/>
                    <m:ctrlPr>
                      <w:rPr>
                        <w:rFonts w:ascii="Cambria Math" w:hAnsi="Cambria Math"/>
                        <w:b/>
                        <w:sz w:val="28"/>
                        <w:szCs w:val="28"/>
                      </w:rPr>
                    </m:ctrlPr>
                  </m:naryPr>
                  <m:sub>
                    <m:r>
                      <m:rPr>
                        <m:sty m:val="bi"/>
                      </m:rPr>
                      <w:rPr>
                        <w:rFonts w:ascii="Cambria Math" w:hAnsi="Cambria Math"/>
                        <w:sz w:val="28"/>
                        <w:szCs w:val="28"/>
                      </w:rPr>
                      <m:t>i</m:t>
                    </m:r>
                  </m:sub>
                  <m:sup/>
                  <m:e>
                    <m:d>
                      <m:dPr>
                        <m:ctrlPr>
                          <w:rPr>
                            <w:rFonts w:ascii="Cambria Math" w:hAnsi="Cambria Math"/>
                            <w:b/>
                            <w:i/>
                            <w:sz w:val="28"/>
                            <w:szCs w:val="28"/>
                          </w:rPr>
                        </m:ctrlPr>
                      </m:dPr>
                      <m:e>
                        <m:sSub>
                          <m:sSubPr>
                            <m:ctrlPr>
                              <w:rPr>
                                <w:rFonts w:ascii="Cambria Math" w:hAnsi="Cambria Math"/>
                                <w:b/>
                                <w:i/>
                                <w:sz w:val="28"/>
                                <w:szCs w:val="28"/>
                              </w:rPr>
                            </m:ctrlPr>
                          </m:sSubPr>
                          <m:e>
                            <m:r>
                              <m:rPr>
                                <m:sty m:val="bi"/>
                              </m:rPr>
                              <w:rPr>
                                <w:rFonts w:ascii="Cambria Math" w:hAnsi="Cambria Math"/>
                                <w:sz w:val="28"/>
                                <w:szCs w:val="28"/>
                              </w:rPr>
                              <m:t>EK</m:t>
                            </m:r>
                          </m:e>
                          <m:sub>
                            <m:r>
                              <m:rPr>
                                <m:sty m:val="bi"/>
                              </m:rPr>
                              <w:rPr>
                                <w:rFonts w:ascii="Cambria Math" w:hAnsi="Cambria Math"/>
                                <w:sz w:val="28"/>
                                <w:szCs w:val="28"/>
                              </w:rPr>
                              <m:t>alternatywne,i</m:t>
                            </m:r>
                          </m:sub>
                        </m:sSub>
                        <m:r>
                          <m:rPr>
                            <m:sty m:val="bi"/>
                          </m:rPr>
                          <w:rPr>
                            <w:rFonts w:ascii="Cambria Math" w:hAnsi="Cambria Math"/>
                            <w:sz w:val="28"/>
                            <w:szCs w:val="28"/>
                          </w:rPr>
                          <m:t>-</m:t>
                        </m:r>
                        <m:sSub>
                          <m:sSubPr>
                            <m:ctrlPr>
                              <w:rPr>
                                <w:rFonts w:ascii="Cambria Math" w:hAnsi="Cambria Math"/>
                                <w:b/>
                                <w:i/>
                                <w:sz w:val="28"/>
                                <w:szCs w:val="28"/>
                              </w:rPr>
                            </m:ctrlPr>
                          </m:sSubPr>
                          <m:e>
                            <m:r>
                              <m:rPr>
                                <m:sty m:val="bi"/>
                              </m:rPr>
                              <w:rPr>
                                <w:rFonts w:ascii="Cambria Math" w:hAnsi="Cambria Math"/>
                                <w:sz w:val="28"/>
                                <w:szCs w:val="28"/>
                              </w:rPr>
                              <m:t>EK</m:t>
                            </m:r>
                          </m:e>
                          <m:sub>
                            <m:r>
                              <m:rPr>
                                <m:sty m:val="bi"/>
                              </m:rPr>
                              <w:rPr>
                                <w:rFonts w:ascii="Cambria Math" w:hAnsi="Cambria Math"/>
                                <w:sz w:val="28"/>
                                <w:szCs w:val="28"/>
                              </w:rPr>
                              <m:t>rzeczywiste,i</m:t>
                            </m:r>
                          </m:sub>
                        </m:sSub>
                      </m:e>
                    </m:d>
                  </m:e>
                </m:nary>
                <m:r>
                  <m:rPr>
                    <m:sty m:val="bi"/>
                  </m:rPr>
                  <w:rPr>
                    <w:rFonts w:ascii="Cambria Math" w:hAnsi="Cambria Math"/>
                    <w:sz w:val="28"/>
                    <w:szCs w:val="28"/>
                  </w:rPr>
                  <m:t>,</m:t>
                </m:r>
              </m:oMath>
            </m:oMathPara>
          </w:p>
        </w:tc>
        <w:tc>
          <w:tcPr>
            <w:tcW w:w="840" w:type="dxa"/>
          </w:tcPr>
          <w:p w14:paraId="1195FE64" w14:textId="77777777" w:rsidR="00E54E14" w:rsidRPr="00C94DB1" w:rsidRDefault="00E54E14" w:rsidP="00B823C1">
            <w:pPr>
              <w:spacing w:line="360" w:lineRule="auto"/>
              <w:ind w:left="360"/>
            </w:pPr>
            <w:r w:rsidRPr="00C94DB1">
              <w:t>(</w:t>
            </w:r>
            <w:r>
              <w:t>8</w:t>
            </w:r>
            <w:r w:rsidRPr="00C94DB1">
              <w:t>)</w:t>
            </w:r>
          </w:p>
        </w:tc>
      </w:tr>
    </w:tbl>
    <w:p w14:paraId="1F3F1D56" w14:textId="77777777" w:rsidR="00E54E14" w:rsidRPr="00075176" w:rsidRDefault="00E54E14" w:rsidP="00E54E14">
      <w:pPr>
        <w:spacing w:after="0" w:line="360" w:lineRule="auto"/>
        <w:ind w:left="360"/>
      </w:pPr>
      <w:r w:rsidRPr="00075176">
        <w:t xml:space="preserve">gdzie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2"/>
        <w:gridCol w:w="646"/>
        <w:gridCol w:w="6874"/>
      </w:tblGrid>
      <w:tr w:rsidR="00E54E14" w14:paraId="4173921F" w14:textId="77777777" w:rsidTr="00B823C1">
        <w:tc>
          <w:tcPr>
            <w:tcW w:w="1590" w:type="dxa"/>
          </w:tcPr>
          <w:p w14:paraId="5355288F" w14:textId="77777777" w:rsidR="00E54E14" w:rsidRPr="009219DB" w:rsidRDefault="00FD1148" w:rsidP="00B823C1">
            <w:pPr>
              <w:spacing w:line="360" w:lineRule="auto"/>
              <w:ind w:left="360"/>
            </w:pPr>
            <m:oMathPara>
              <m:oMathParaPr>
                <m:jc m:val="left"/>
              </m:oMathParaPr>
              <m:oMath>
                <m:sSub>
                  <m:sSubPr>
                    <m:ctrlPr>
                      <w:rPr>
                        <w:rFonts w:ascii="Cambria Math" w:hAnsi="Cambria Math"/>
                      </w:rPr>
                    </m:ctrlPr>
                  </m:sSubPr>
                  <m:e>
                    <m:r>
                      <w:rPr>
                        <w:rFonts w:ascii="Cambria Math" w:hAnsi="Cambria Math"/>
                      </w:rPr>
                      <m:t>O</m:t>
                    </m:r>
                  </m:e>
                  <m:sub>
                    <m:r>
                      <w:rPr>
                        <w:rFonts w:ascii="Cambria Math" w:hAnsi="Cambria Math"/>
                      </w:rPr>
                      <m:t>tax</m:t>
                    </m:r>
                  </m:sub>
                </m:sSub>
              </m:oMath>
            </m:oMathPara>
          </w:p>
        </w:tc>
        <w:tc>
          <w:tcPr>
            <w:tcW w:w="390" w:type="dxa"/>
          </w:tcPr>
          <w:p w14:paraId="0501D842" w14:textId="77777777" w:rsidR="00E54E14" w:rsidRPr="00C94DB1" w:rsidRDefault="00E54E14" w:rsidP="00B823C1">
            <w:pPr>
              <w:spacing w:line="360" w:lineRule="auto"/>
              <w:ind w:left="360"/>
            </w:pPr>
            <w:r w:rsidRPr="00C94DB1">
              <w:t>-</w:t>
            </w:r>
          </w:p>
        </w:tc>
        <w:tc>
          <w:tcPr>
            <w:tcW w:w="7082" w:type="dxa"/>
          </w:tcPr>
          <w:p w14:paraId="32D21B71" w14:textId="77777777" w:rsidR="00E54E14" w:rsidRPr="00C94DB1" w:rsidRDefault="00E54E14" w:rsidP="00B823C1">
            <w:pPr>
              <w:spacing w:line="360" w:lineRule="auto"/>
              <w:ind w:left="360"/>
            </w:pPr>
            <w:r w:rsidRPr="00C94DB1">
              <w:t>oszczędność energii finalnej [</w:t>
            </w:r>
            <w:proofErr w:type="spellStart"/>
            <w:r w:rsidRPr="00C94DB1">
              <w:t>ktoe</w:t>
            </w:r>
            <w:proofErr w:type="spellEnd"/>
            <w:r w:rsidRPr="00C94DB1">
              <w:t>];</w:t>
            </w:r>
          </w:p>
        </w:tc>
      </w:tr>
    </w:tbl>
    <w:p w14:paraId="09B98176" w14:textId="77777777" w:rsidR="00E54E14" w:rsidRDefault="00E54E14" w:rsidP="00E54E14">
      <w:pPr>
        <w:rPr>
          <w:color w:val="2F5496" w:themeColor="accent1" w:themeShade="BF"/>
          <w:highlight w:val="yellow"/>
          <w:u w:val="single"/>
        </w:rPr>
      </w:pPr>
    </w:p>
    <w:p w14:paraId="2CA8494F" w14:textId="77777777" w:rsidR="00E54E14" w:rsidRPr="00961A28" w:rsidRDefault="00E54E14" w:rsidP="00FF3BC7">
      <w:pPr>
        <w:pStyle w:val="Akapitzlist"/>
        <w:numPr>
          <w:ilvl w:val="0"/>
          <w:numId w:val="8"/>
        </w:numPr>
        <w:spacing w:line="276" w:lineRule="auto"/>
        <w:ind w:left="1134"/>
        <w:jc w:val="left"/>
        <w:rPr>
          <w:b/>
          <w:bCs/>
          <w:color w:val="2F5496" w:themeColor="accent1" w:themeShade="BF"/>
        </w:rPr>
      </w:pPr>
      <w:r w:rsidRPr="00961A28">
        <w:rPr>
          <w:b/>
          <w:bCs/>
          <w:color w:val="2F5496" w:themeColor="accent1" w:themeShade="BF"/>
        </w:rPr>
        <w:t>Informacja o sposobie postępowania z ewentualnym dublowaniem się środków i indywidualnych działań w celu unikania podwójnego zliczania oszczędności energii</w:t>
      </w:r>
    </w:p>
    <w:p w14:paraId="4F113371" w14:textId="77777777" w:rsidR="00E54E14" w:rsidRDefault="00E54E14" w:rsidP="00373FD3">
      <w:r>
        <w:t xml:space="preserve">W celu uniknięcia podwójnego zliczania w okresie 2023-2030 do obliczeń oszczędności energii zostały obliczone przy zastosowaniu krótkoterminowej elastyczności cenowej – zgodnie z pkt 4 lit. d Załącznika V oraz oszacowanie wpływu innych środków z dziedziny polityki w sektorze transportu obliczono osobno z zastosowaniem metody </w:t>
      </w:r>
      <w:proofErr w:type="spellStart"/>
      <w:r>
        <w:t>bottom</w:t>
      </w:r>
      <w:proofErr w:type="spellEnd"/>
      <w:r>
        <w:t xml:space="preserve">-up. </w:t>
      </w:r>
    </w:p>
    <w:p w14:paraId="61EF446D" w14:textId="77777777" w:rsidR="00E54E14" w:rsidRPr="00FA697D" w:rsidRDefault="00E54E14" w:rsidP="00FF3BC7">
      <w:pPr>
        <w:pStyle w:val="Akapitzlist"/>
        <w:numPr>
          <w:ilvl w:val="0"/>
          <w:numId w:val="8"/>
        </w:numPr>
        <w:spacing w:before="120"/>
        <w:ind w:left="1134" w:hanging="357"/>
        <w:jc w:val="left"/>
        <w:rPr>
          <w:b/>
          <w:bCs/>
          <w:color w:val="2F5496" w:themeColor="accent1" w:themeShade="BF"/>
        </w:rPr>
      </w:pPr>
      <w:r w:rsidRPr="00FA697D">
        <w:rPr>
          <w:b/>
          <w:bCs/>
          <w:color w:val="2F5496" w:themeColor="accent1" w:themeShade="BF"/>
        </w:rPr>
        <w:t>Oszczędność energii finalnej i skumulowana oszczędność energii finalnej w okresie 20</w:t>
      </w:r>
      <w:r>
        <w:rPr>
          <w:b/>
          <w:bCs/>
          <w:color w:val="2F5496" w:themeColor="accent1" w:themeShade="BF"/>
        </w:rPr>
        <w:t>21-2030</w:t>
      </w:r>
    </w:p>
    <w:p w14:paraId="3320E34A" w14:textId="77777777" w:rsidR="00E54E14" w:rsidRPr="00FA697D" w:rsidRDefault="00E54E14" w:rsidP="00373FD3">
      <w:r w:rsidRPr="00A12717">
        <w:t>Różnica wynikająca z założenia alternatywnego scenariusza zużycia energii w przypadku gdy opłata paliwowa</w:t>
      </w:r>
      <w:r>
        <w:t xml:space="preserve"> i emisyjna</w:t>
      </w:r>
      <w:r w:rsidRPr="00A12717">
        <w:t xml:space="preserve"> nie stanowi nadwyżki w stosunku do minimalnego podatku nałożonego przez UE, przyczyni</w:t>
      </w:r>
      <w:r>
        <w:t>a</w:t>
      </w:r>
      <w:r w:rsidRPr="00A12717">
        <w:t xml:space="preserve"> się do uzyskania średniorocznych oszczędności </w:t>
      </w:r>
      <w:r>
        <w:t xml:space="preserve">końcowego </w:t>
      </w:r>
      <w:proofErr w:type="spellStart"/>
      <w:r>
        <w:t>zużcia</w:t>
      </w:r>
      <w:proofErr w:type="spellEnd"/>
      <w:r>
        <w:t xml:space="preserve"> energii wysokości ok. 50 </w:t>
      </w:r>
      <w:proofErr w:type="spellStart"/>
      <w:r>
        <w:t>ktoe</w:t>
      </w:r>
      <w:proofErr w:type="spellEnd"/>
      <w:r w:rsidRPr="00A12717">
        <w:t>. W okresie 20</w:t>
      </w:r>
      <w:r>
        <w:t xml:space="preserve">23-2030 całkowite oszczędności końcowego zużycia energii </w:t>
      </w:r>
      <w:r w:rsidRPr="00A12717">
        <w:t xml:space="preserve">wynoszą </w:t>
      </w:r>
      <w:r>
        <w:t xml:space="preserve">400 </w:t>
      </w:r>
      <w:proofErr w:type="spellStart"/>
      <w:r w:rsidRPr="00A12717">
        <w:t>ktoe</w:t>
      </w:r>
      <w:proofErr w:type="spellEnd"/>
      <w:r>
        <w:t xml:space="preserve"> - </w:t>
      </w:r>
      <w:r w:rsidRPr="00FA697D">
        <w:t xml:space="preserve">W Tab. </w:t>
      </w:r>
      <w:r>
        <w:t>12.</w:t>
      </w:r>
      <w:r w:rsidRPr="00FA697D">
        <w:t xml:space="preserve"> </w:t>
      </w:r>
      <w:r>
        <w:t xml:space="preserve">Oszczędność końcowego zużycia energii jest obliczana od 2023, z uwagi na fakt, że w 2022 r. stawki podatków w Polsce zostały zmniejszone do poziomu minimalnej stawki podatku w UE w związku z kryzysem energetycznym. </w:t>
      </w:r>
    </w:p>
    <w:p w14:paraId="0FBC519F" w14:textId="266E88E2" w:rsidR="00E54E14" w:rsidRDefault="00E54E14" w:rsidP="00E54E14">
      <w:pPr>
        <w:pStyle w:val="Legenda"/>
        <w:keepNext/>
        <w:spacing w:before="120" w:after="120" w:line="276" w:lineRule="auto"/>
        <w:jc w:val="center"/>
      </w:pPr>
      <w:r w:rsidRPr="004E6921">
        <w:rPr>
          <w:rStyle w:val="rynqvb"/>
          <w:b/>
          <w:bCs/>
        </w:rPr>
        <w:t xml:space="preserve">Tab. </w:t>
      </w:r>
      <w:r w:rsidRPr="004E6921">
        <w:rPr>
          <w:rStyle w:val="rynqvb"/>
          <w:b/>
          <w:bCs/>
        </w:rPr>
        <w:fldChar w:fldCharType="begin"/>
      </w:r>
      <w:r w:rsidRPr="004E6921">
        <w:rPr>
          <w:rStyle w:val="rynqvb"/>
          <w:b/>
          <w:bCs/>
        </w:rPr>
        <w:instrText xml:space="preserve"> SEQ Tab. \* ARABIC </w:instrText>
      </w:r>
      <w:r w:rsidRPr="004E6921">
        <w:rPr>
          <w:rStyle w:val="rynqvb"/>
          <w:b/>
          <w:bCs/>
        </w:rPr>
        <w:fldChar w:fldCharType="separate"/>
      </w:r>
      <w:r w:rsidR="00FD1148">
        <w:rPr>
          <w:rStyle w:val="rynqvb"/>
          <w:b/>
          <w:bCs/>
          <w:noProof/>
        </w:rPr>
        <w:t>8</w:t>
      </w:r>
      <w:r w:rsidRPr="004E6921">
        <w:rPr>
          <w:rStyle w:val="rynqvb"/>
          <w:b/>
          <w:bCs/>
        </w:rPr>
        <w:fldChar w:fldCharType="end"/>
      </w:r>
      <w:r w:rsidRPr="004E6921">
        <w:rPr>
          <w:rStyle w:val="rynqvb"/>
          <w:b/>
          <w:bCs/>
        </w:rPr>
        <w:t xml:space="preserve"> </w:t>
      </w:r>
      <w:r>
        <w:rPr>
          <w:rStyle w:val="rynqvb"/>
          <w:b/>
          <w:bCs/>
        </w:rPr>
        <w:t>Opłata paliwowa i emisyjna: o</w:t>
      </w:r>
      <w:r w:rsidRPr="00E35197">
        <w:rPr>
          <w:rStyle w:val="rynqvb"/>
          <w:b/>
          <w:bCs/>
        </w:rPr>
        <w:t>szczędności</w:t>
      </w:r>
      <w:r>
        <w:rPr>
          <w:rStyle w:val="rynqvb"/>
          <w:b/>
          <w:bCs/>
        </w:rPr>
        <w:t xml:space="preserve"> końcowego zużycia</w:t>
      </w:r>
      <w:r w:rsidRPr="00E35197">
        <w:rPr>
          <w:rStyle w:val="rynqvb"/>
          <w:b/>
          <w:bCs/>
        </w:rPr>
        <w:t xml:space="preserve"> energii </w:t>
      </w:r>
      <w:r>
        <w:rPr>
          <w:rStyle w:val="rynqvb"/>
          <w:b/>
          <w:bCs/>
        </w:rPr>
        <w:t>do osiągnięcia</w:t>
      </w:r>
      <w:r w:rsidRPr="00E35197">
        <w:rPr>
          <w:rStyle w:val="rynqvb"/>
          <w:b/>
          <w:bCs/>
        </w:rPr>
        <w:t xml:space="preserve"> latach 202</w:t>
      </w:r>
      <w:r>
        <w:rPr>
          <w:rStyle w:val="rynqvb"/>
          <w:b/>
          <w:bCs/>
        </w:rPr>
        <w:t>3</w:t>
      </w:r>
      <w:r w:rsidRPr="00E35197">
        <w:rPr>
          <w:rStyle w:val="rynqvb"/>
          <w:b/>
          <w:bCs/>
        </w:rPr>
        <w:t>-2030 – roczne i skumulowane</w:t>
      </w:r>
      <w:r>
        <w:rPr>
          <w:rStyle w:val="rynqvb"/>
          <w:b/>
          <w:bCs/>
        </w:rPr>
        <w:t>.</w:t>
      </w:r>
    </w:p>
    <w:tbl>
      <w:tblPr>
        <w:tblpPr w:leftFromText="141" w:rightFromText="141" w:vertAnchor="text" w:horzAnchor="margin" w:tblpY="196"/>
        <w:tblW w:w="5093" w:type="pct"/>
        <w:tblCellMar>
          <w:left w:w="70" w:type="dxa"/>
          <w:right w:w="70" w:type="dxa"/>
        </w:tblCellMar>
        <w:tblLook w:val="04A0" w:firstRow="1" w:lastRow="0" w:firstColumn="1" w:lastColumn="0" w:noHBand="0" w:noVBand="1"/>
      </w:tblPr>
      <w:tblGrid>
        <w:gridCol w:w="1335"/>
        <w:gridCol w:w="604"/>
        <w:gridCol w:w="604"/>
        <w:gridCol w:w="604"/>
        <w:gridCol w:w="604"/>
        <w:gridCol w:w="604"/>
        <w:gridCol w:w="604"/>
        <w:gridCol w:w="604"/>
        <w:gridCol w:w="604"/>
        <w:gridCol w:w="604"/>
        <w:gridCol w:w="604"/>
        <w:gridCol w:w="2008"/>
      </w:tblGrid>
      <w:tr w:rsidR="00E54E14" w:rsidRPr="00706980" w14:paraId="73727A9B" w14:textId="77777777" w:rsidTr="00B823C1">
        <w:trPr>
          <w:trHeight w:val="304"/>
        </w:trPr>
        <w:tc>
          <w:tcPr>
            <w:tcW w:w="13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3FC08" w14:textId="77777777" w:rsidR="00E54E14" w:rsidRPr="00D94B5E" w:rsidRDefault="00E54E14" w:rsidP="00B823C1">
            <w:pPr>
              <w:spacing w:after="0"/>
              <w:jc w:val="center"/>
              <w:rPr>
                <w:color w:val="000000"/>
                <w:szCs w:val="20"/>
                <w:lang w:eastAsia="pl-PL"/>
              </w:rPr>
            </w:pPr>
            <w:r w:rsidRPr="00D94B5E">
              <w:rPr>
                <w:color w:val="000000"/>
                <w:szCs w:val="20"/>
                <w:lang w:eastAsia="pl-PL"/>
              </w:rPr>
              <w:t>Rok</w:t>
            </w:r>
          </w:p>
        </w:tc>
        <w:tc>
          <w:tcPr>
            <w:tcW w:w="598" w:type="dxa"/>
            <w:tcBorders>
              <w:top w:val="single" w:sz="4" w:space="0" w:color="auto"/>
              <w:left w:val="nil"/>
              <w:bottom w:val="single" w:sz="4" w:space="0" w:color="auto"/>
              <w:right w:val="single" w:sz="4" w:space="0" w:color="auto"/>
            </w:tcBorders>
            <w:shd w:val="clear" w:color="auto" w:fill="auto"/>
            <w:noWrap/>
            <w:vAlign w:val="center"/>
            <w:hideMark/>
          </w:tcPr>
          <w:p w14:paraId="36388C62" w14:textId="77777777" w:rsidR="00E54E14" w:rsidRPr="00D94B5E" w:rsidRDefault="00E54E14" w:rsidP="00B823C1">
            <w:pPr>
              <w:spacing w:after="0"/>
              <w:jc w:val="center"/>
              <w:rPr>
                <w:color w:val="000000"/>
                <w:szCs w:val="20"/>
                <w:lang w:eastAsia="pl-PL"/>
              </w:rPr>
            </w:pPr>
            <w:r w:rsidRPr="00D94B5E">
              <w:rPr>
                <w:color w:val="000000"/>
                <w:szCs w:val="20"/>
                <w:lang w:eastAsia="pl-PL"/>
              </w:rPr>
              <w:t>2021</w:t>
            </w:r>
          </w:p>
        </w:tc>
        <w:tc>
          <w:tcPr>
            <w:tcW w:w="591" w:type="dxa"/>
            <w:tcBorders>
              <w:top w:val="single" w:sz="4" w:space="0" w:color="auto"/>
              <w:left w:val="nil"/>
              <w:bottom w:val="single" w:sz="4" w:space="0" w:color="auto"/>
              <w:right w:val="single" w:sz="4" w:space="0" w:color="auto"/>
            </w:tcBorders>
            <w:shd w:val="clear" w:color="auto" w:fill="auto"/>
            <w:noWrap/>
            <w:vAlign w:val="center"/>
            <w:hideMark/>
          </w:tcPr>
          <w:p w14:paraId="326E5E66" w14:textId="77777777" w:rsidR="00E54E14" w:rsidRPr="00D94B5E" w:rsidRDefault="00E54E14" w:rsidP="00B823C1">
            <w:pPr>
              <w:spacing w:after="0"/>
              <w:jc w:val="center"/>
              <w:rPr>
                <w:color w:val="000000"/>
                <w:szCs w:val="20"/>
                <w:lang w:eastAsia="pl-PL"/>
              </w:rPr>
            </w:pPr>
            <w:r w:rsidRPr="00D94B5E">
              <w:rPr>
                <w:color w:val="000000"/>
                <w:szCs w:val="20"/>
                <w:lang w:eastAsia="pl-PL"/>
              </w:rPr>
              <w:t>2022</w:t>
            </w:r>
          </w:p>
        </w:tc>
        <w:tc>
          <w:tcPr>
            <w:tcW w:w="591" w:type="dxa"/>
            <w:tcBorders>
              <w:top w:val="single" w:sz="4" w:space="0" w:color="auto"/>
              <w:left w:val="nil"/>
              <w:bottom w:val="single" w:sz="4" w:space="0" w:color="auto"/>
              <w:right w:val="single" w:sz="4" w:space="0" w:color="auto"/>
            </w:tcBorders>
            <w:shd w:val="clear" w:color="auto" w:fill="auto"/>
            <w:noWrap/>
            <w:vAlign w:val="center"/>
            <w:hideMark/>
          </w:tcPr>
          <w:p w14:paraId="4F283DE1" w14:textId="77777777" w:rsidR="00E54E14" w:rsidRPr="00D94B5E" w:rsidRDefault="00E54E14" w:rsidP="00B823C1">
            <w:pPr>
              <w:spacing w:after="0"/>
              <w:jc w:val="center"/>
              <w:rPr>
                <w:color w:val="000000"/>
                <w:szCs w:val="20"/>
                <w:lang w:eastAsia="pl-PL"/>
              </w:rPr>
            </w:pPr>
            <w:r w:rsidRPr="00D94B5E">
              <w:rPr>
                <w:color w:val="000000"/>
                <w:szCs w:val="20"/>
                <w:lang w:eastAsia="pl-PL"/>
              </w:rPr>
              <w:t>2023</w:t>
            </w:r>
          </w:p>
        </w:tc>
        <w:tc>
          <w:tcPr>
            <w:tcW w:w="591" w:type="dxa"/>
            <w:tcBorders>
              <w:top w:val="single" w:sz="4" w:space="0" w:color="auto"/>
              <w:left w:val="nil"/>
              <w:bottom w:val="single" w:sz="4" w:space="0" w:color="auto"/>
              <w:right w:val="single" w:sz="4" w:space="0" w:color="auto"/>
            </w:tcBorders>
            <w:shd w:val="clear" w:color="auto" w:fill="auto"/>
            <w:noWrap/>
            <w:vAlign w:val="center"/>
            <w:hideMark/>
          </w:tcPr>
          <w:p w14:paraId="55DABDE0" w14:textId="77777777" w:rsidR="00E54E14" w:rsidRPr="00D94B5E" w:rsidRDefault="00E54E14" w:rsidP="00B823C1">
            <w:pPr>
              <w:spacing w:after="0"/>
              <w:jc w:val="center"/>
              <w:rPr>
                <w:color w:val="000000"/>
                <w:szCs w:val="20"/>
                <w:lang w:eastAsia="pl-PL"/>
              </w:rPr>
            </w:pPr>
            <w:r w:rsidRPr="00D94B5E">
              <w:rPr>
                <w:color w:val="000000"/>
                <w:szCs w:val="20"/>
                <w:lang w:eastAsia="pl-PL"/>
              </w:rPr>
              <w:t>2024</w:t>
            </w:r>
          </w:p>
        </w:tc>
        <w:tc>
          <w:tcPr>
            <w:tcW w:w="591" w:type="dxa"/>
            <w:tcBorders>
              <w:top w:val="single" w:sz="4" w:space="0" w:color="auto"/>
              <w:left w:val="nil"/>
              <w:bottom w:val="single" w:sz="4" w:space="0" w:color="auto"/>
              <w:right w:val="single" w:sz="4" w:space="0" w:color="auto"/>
            </w:tcBorders>
            <w:shd w:val="clear" w:color="auto" w:fill="auto"/>
            <w:noWrap/>
            <w:vAlign w:val="center"/>
            <w:hideMark/>
          </w:tcPr>
          <w:p w14:paraId="43B30BBF" w14:textId="77777777" w:rsidR="00E54E14" w:rsidRPr="00D94B5E" w:rsidRDefault="00E54E14" w:rsidP="00B823C1">
            <w:pPr>
              <w:spacing w:after="0"/>
              <w:jc w:val="center"/>
              <w:rPr>
                <w:color w:val="000000"/>
                <w:szCs w:val="20"/>
                <w:lang w:eastAsia="pl-PL"/>
              </w:rPr>
            </w:pPr>
            <w:r w:rsidRPr="00D94B5E">
              <w:rPr>
                <w:color w:val="000000"/>
                <w:szCs w:val="20"/>
                <w:lang w:eastAsia="pl-PL"/>
              </w:rPr>
              <w:t>2025</w:t>
            </w:r>
          </w:p>
        </w:tc>
        <w:tc>
          <w:tcPr>
            <w:tcW w:w="591" w:type="dxa"/>
            <w:tcBorders>
              <w:top w:val="single" w:sz="4" w:space="0" w:color="auto"/>
              <w:left w:val="nil"/>
              <w:bottom w:val="single" w:sz="4" w:space="0" w:color="auto"/>
              <w:right w:val="single" w:sz="4" w:space="0" w:color="auto"/>
            </w:tcBorders>
            <w:shd w:val="clear" w:color="auto" w:fill="auto"/>
            <w:noWrap/>
            <w:vAlign w:val="center"/>
            <w:hideMark/>
          </w:tcPr>
          <w:p w14:paraId="46D68244" w14:textId="77777777" w:rsidR="00E54E14" w:rsidRPr="00D94B5E" w:rsidRDefault="00E54E14" w:rsidP="00B823C1">
            <w:pPr>
              <w:spacing w:after="0"/>
              <w:jc w:val="center"/>
              <w:rPr>
                <w:color w:val="000000"/>
                <w:szCs w:val="20"/>
                <w:lang w:eastAsia="pl-PL"/>
              </w:rPr>
            </w:pPr>
            <w:r w:rsidRPr="00D94B5E">
              <w:rPr>
                <w:color w:val="000000"/>
                <w:szCs w:val="20"/>
                <w:lang w:eastAsia="pl-PL"/>
              </w:rPr>
              <w:t>2026</w:t>
            </w:r>
          </w:p>
        </w:tc>
        <w:tc>
          <w:tcPr>
            <w:tcW w:w="591" w:type="dxa"/>
            <w:tcBorders>
              <w:top w:val="single" w:sz="4" w:space="0" w:color="auto"/>
              <w:left w:val="single" w:sz="4" w:space="0" w:color="auto"/>
              <w:bottom w:val="single" w:sz="4" w:space="0" w:color="auto"/>
              <w:right w:val="single" w:sz="4" w:space="0" w:color="auto"/>
            </w:tcBorders>
            <w:vAlign w:val="center"/>
          </w:tcPr>
          <w:p w14:paraId="2E50496A" w14:textId="77777777" w:rsidR="00E54E14" w:rsidRPr="00D94B5E" w:rsidRDefault="00E54E14" w:rsidP="00B823C1">
            <w:pPr>
              <w:spacing w:after="0"/>
              <w:jc w:val="center"/>
              <w:rPr>
                <w:color w:val="000000"/>
                <w:szCs w:val="20"/>
                <w:lang w:eastAsia="pl-PL"/>
              </w:rPr>
            </w:pPr>
            <w:r w:rsidRPr="00D94B5E">
              <w:rPr>
                <w:color w:val="000000"/>
                <w:szCs w:val="20"/>
                <w:lang w:eastAsia="pl-PL"/>
              </w:rPr>
              <w:t>2027</w:t>
            </w:r>
          </w:p>
        </w:tc>
        <w:tc>
          <w:tcPr>
            <w:tcW w:w="591" w:type="dxa"/>
            <w:tcBorders>
              <w:top w:val="single" w:sz="4" w:space="0" w:color="auto"/>
              <w:left w:val="single" w:sz="4" w:space="0" w:color="auto"/>
              <w:bottom w:val="single" w:sz="4" w:space="0" w:color="auto"/>
              <w:right w:val="single" w:sz="4" w:space="0" w:color="auto"/>
            </w:tcBorders>
            <w:vAlign w:val="center"/>
          </w:tcPr>
          <w:p w14:paraId="591D31C3" w14:textId="77777777" w:rsidR="00E54E14" w:rsidRPr="00D94B5E" w:rsidRDefault="00E54E14" w:rsidP="00B823C1">
            <w:pPr>
              <w:spacing w:after="0"/>
              <w:jc w:val="center"/>
              <w:rPr>
                <w:color w:val="000000"/>
                <w:szCs w:val="20"/>
                <w:lang w:eastAsia="pl-PL"/>
              </w:rPr>
            </w:pPr>
            <w:r w:rsidRPr="00D94B5E">
              <w:rPr>
                <w:color w:val="000000"/>
                <w:szCs w:val="20"/>
                <w:lang w:eastAsia="pl-PL"/>
              </w:rPr>
              <w:t>2028</w:t>
            </w:r>
          </w:p>
        </w:tc>
        <w:tc>
          <w:tcPr>
            <w:tcW w:w="591" w:type="dxa"/>
            <w:tcBorders>
              <w:top w:val="single" w:sz="4" w:space="0" w:color="auto"/>
              <w:left w:val="single" w:sz="4" w:space="0" w:color="auto"/>
              <w:bottom w:val="single" w:sz="4" w:space="0" w:color="auto"/>
              <w:right w:val="single" w:sz="4" w:space="0" w:color="auto"/>
            </w:tcBorders>
            <w:vAlign w:val="center"/>
          </w:tcPr>
          <w:p w14:paraId="500ADFE7" w14:textId="77777777" w:rsidR="00E54E14" w:rsidRPr="00D94B5E" w:rsidRDefault="00E54E14" w:rsidP="00B823C1">
            <w:pPr>
              <w:spacing w:after="0"/>
              <w:jc w:val="center"/>
              <w:rPr>
                <w:color w:val="000000"/>
                <w:szCs w:val="20"/>
                <w:lang w:eastAsia="pl-PL"/>
              </w:rPr>
            </w:pPr>
            <w:r w:rsidRPr="00D94B5E">
              <w:rPr>
                <w:color w:val="000000"/>
                <w:szCs w:val="20"/>
                <w:lang w:eastAsia="pl-PL"/>
              </w:rPr>
              <w:t>2029</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C877F" w14:textId="77777777" w:rsidR="00E54E14" w:rsidRPr="00D94B5E" w:rsidRDefault="00E54E14" w:rsidP="00B823C1">
            <w:pPr>
              <w:spacing w:after="0"/>
              <w:jc w:val="center"/>
              <w:rPr>
                <w:color w:val="000000"/>
                <w:szCs w:val="20"/>
                <w:lang w:eastAsia="pl-PL"/>
              </w:rPr>
            </w:pPr>
            <w:r w:rsidRPr="00D94B5E">
              <w:rPr>
                <w:color w:val="000000"/>
                <w:szCs w:val="20"/>
                <w:lang w:eastAsia="pl-PL"/>
              </w:rPr>
              <w:t>2030</w:t>
            </w:r>
          </w:p>
        </w:tc>
        <w:tc>
          <w:tcPr>
            <w:tcW w:w="2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6E02A" w14:textId="77777777" w:rsidR="00E54E14" w:rsidRPr="00D94B5E" w:rsidRDefault="00E54E14" w:rsidP="00B823C1">
            <w:pPr>
              <w:spacing w:after="0"/>
              <w:jc w:val="center"/>
              <w:rPr>
                <w:color w:val="000000"/>
                <w:szCs w:val="20"/>
                <w:lang w:eastAsia="pl-PL"/>
              </w:rPr>
            </w:pPr>
          </w:p>
        </w:tc>
      </w:tr>
      <w:tr w:rsidR="00E54E14" w:rsidRPr="00706980" w14:paraId="59D4D98B" w14:textId="77777777" w:rsidTr="00B823C1">
        <w:trPr>
          <w:trHeight w:val="304"/>
        </w:trPr>
        <w:tc>
          <w:tcPr>
            <w:tcW w:w="1306" w:type="dxa"/>
            <w:vMerge w:val="restart"/>
            <w:tcBorders>
              <w:top w:val="nil"/>
              <w:left w:val="single" w:sz="4" w:space="0" w:color="auto"/>
              <w:right w:val="single" w:sz="4" w:space="0" w:color="auto"/>
            </w:tcBorders>
            <w:shd w:val="clear" w:color="auto" w:fill="auto"/>
            <w:vAlign w:val="center"/>
            <w:hideMark/>
          </w:tcPr>
          <w:p w14:paraId="09D673DD" w14:textId="77777777" w:rsidR="00E54E14" w:rsidRPr="00D94B5E" w:rsidRDefault="00E54E14" w:rsidP="00B823C1">
            <w:pPr>
              <w:spacing w:after="0"/>
              <w:jc w:val="center"/>
              <w:rPr>
                <w:color w:val="000000"/>
                <w:szCs w:val="20"/>
                <w:lang w:eastAsia="pl-PL"/>
              </w:rPr>
            </w:pPr>
            <w:proofErr w:type="spellStart"/>
            <w:r w:rsidRPr="00D94B5E">
              <w:rPr>
                <w:color w:val="000000"/>
                <w:szCs w:val="20"/>
                <w:lang w:val="en-GB" w:eastAsia="pl-PL"/>
              </w:rPr>
              <w:t>Oszczędności</w:t>
            </w:r>
            <w:proofErr w:type="spellEnd"/>
            <w:r w:rsidRPr="00D94B5E">
              <w:rPr>
                <w:color w:val="000000"/>
                <w:szCs w:val="20"/>
                <w:lang w:val="en-GB" w:eastAsia="pl-PL"/>
              </w:rPr>
              <w:t xml:space="preserve"> </w:t>
            </w:r>
            <w:proofErr w:type="spellStart"/>
            <w:r w:rsidRPr="00D94B5E">
              <w:rPr>
                <w:color w:val="000000"/>
                <w:szCs w:val="20"/>
                <w:lang w:val="en-GB" w:eastAsia="pl-PL"/>
              </w:rPr>
              <w:t>energii</w:t>
            </w:r>
            <w:proofErr w:type="spellEnd"/>
            <w:r w:rsidRPr="00D94B5E">
              <w:rPr>
                <w:color w:val="000000"/>
                <w:szCs w:val="20"/>
                <w:lang w:val="en-GB" w:eastAsia="pl-PL"/>
              </w:rPr>
              <w:t xml:space="preserve"> </w:t>
            </w:r>
            <w:proofErr w:type="spellStart"/>
            <w:r w:rsidRPr="00D94B5E">
              <w:rPr>
                <w:color w:val="000000"/>
                <w:szCs w:val="20"/>
                <w:lang w:val="en-GB" w:eastAsia="pl-PL"/>
              </w:rPr>
              <w:t>finalnej</w:t>
            </w:r>
            <w:proofErr w:type="spellEnd"/>
            <w:r w:rsidRPr="00D94B5E">
              <w:rPr>
                <w:color w:val="000000"/>
                <w:szCs w:val="20"/>
                <w:lang w:val="en-GB" w:eastAsia="pl-PL"/>
              </w:rPr>
              <w:t xml:space="preserve"> (</w:t>
            </w:r>
            <w:proofErr w:type="spellStart"/>
            <w:r w:rsidRPr="00D94B5E">
              <w:rPr>
                <w:color w:val="000000"/>
                <w:szCs w:val="20"/>
                <w:lang w:val="en-GB" w:eastAsia="pl-PL"/>
              </w:rPr>
              <w:t>ktoe</w:t>
            </w:r>
            <w:proofErr w:type="spellEnd"/>
            <w:r w:rsidRPr="00D94B5E">
              <w:rPr>
                <w:color w:val="000000"/>
                <w:szCs w:val="20"/>
                <w:lang w:val="en-GB" w:eastAsia="pl-PL"/>
              </w:rPr>
              <w:t>)</w:t>
            </w:r>
          </w:p>
        </w:tc>
        <w:tc>
          <w:tcPr>
            <w:tcW w:w="598" w:type="dxa"/>
            <w:tcBorders>
              <w:top w:val="nil"/>
              <w:left w:val="nil"/>
              <w:bottom w:val="single" w:sz="4" w:space="0" w:color="auto"/>
              <w:right w:val="single" w:sz="4" w:space="0" w:color="auto"/>
            </w:tcBorders>
            <w:shd w:val="clear" w:color="auto" w:fill="auto"/>
            <w:noWrap/>
            <w:vAlign w:val="center"/>
          </w:tcPr>
          <w:p w14:paraId="032799F7" w14:textId="77777777" w:rsidR="00E54E14" w:rsidRPr="00D94B5E" w:rsidRDefault="00E54E14" w:rsidP="00B823C1">
            <w:pPr>
              <w:spacing w:after="0"/>
              <w:jc w:val="center"/>
              <w:rPr>
                <w:color w:val="000000"/>
                <w:szCs w:val="20"/>
                <w:lang w:eastAsia="pl-PL"/>
              </w:rPr>
            </w:pPr>
          </w:p>
        </w:tc>
        <w:tc>
          <w:tcPr>
            <w:tcW w:w="591" w:type="dxa"/>
            <w:tcBorders>
              <w:top w:val="nil"/>
              <w:left w:val="nil"/>
              <w:bottom w:val="single" w:sz="4" w:space="0" w:color="auto"/>
              <w:right w:val="single" w:sz="4" w:space="0" w:color="auto"/>
            </w:tcBorders>
            <w:shd w:val="clear" w:color="auto" w:fill="auto"/>
            <w:noWrap/>
            <w:vAlign w:val="center"/>
          </w:tcPr>
          <w:p w14:paraId="214A4072" w14:textId="77777777" w:rsidR="00E54E14" w:rsidRPr="00D94B5E" w:rsidRDefault="00E54E14" w:rsidP="00B823C1">
            <w:pPr>
              <w:spacing w:after="0"/>
              <w:jc w:val="center"/>
              <w:rPr>
                <w:color w:val="000000"/>
                <w:szCs w:val="20"/>
                <w:lang w:eastAsia="pl-PL"/>
              </w:rPr>
            </w:pPr>
          </w:p>
        </w:tc>
        <w:tc>
          <w:tcPr>
            <w:tcW w:w="591" w:type="dxa"/>
            <w:tcBorders>
              <w:top w:val="nil"/>
              <w:left w:val="nil"/>
              <w:bottom w:val="single" w:sz="4" w:space="0" w:color="auto"/>
              <w:right w:val="single" w:sz="4" w:space="0" w:color="auto"/>
            </w:tcBorders>
            <w:shd w:val="clear" w:color="auto" w:fill="auto"/>
            <w:noWrap/>
            <w:vAlign w:val="center"/>
          </w:tcPr>
          <w:p w14:paraId="3897133C" w14:textId="77777777" w:rsidR="00E54E14" w:rsidRPr="00D94B5E" w:rsidRDefault="00E54E14" w:rsidP="00B823C1">
            <w:pPr>
              <w:spacing w:after="0"/>
              <w:jc w:val="center"/>
              <w:rPr>
                <w:color w:val="000000"/>
                <w:szCs w:val="20"/>
                <w:lang w:eastAsia="pl-PL"/>
              </w:rPr>
            </w:pPr>
          </w:p>
        </w:tc>
        <w:tc>
          <w:tcPr>
            <w:tcW w:w="591" w:type="dxa"/>
            <w:tcBorders>
              <w:top w:val="nil"/>
              <w:left w:val="nil"/>
              <w:bottom w:val="single" w:sz="4" w:space="0" w:color="auto"/>
              <w:right w:val="single" w:sz="4" w:space="0" w:color="auto"/>
            </w:tcBorders>
            <w:shd w:val="clear" w:color="auto" w:fill="auto"/>
            <w:noWrap/>
            <w:vAlign w:val="center"/>
          </w:tcPr>
          <w:p w14:paraId="16C9A9A9" w14:textId="77777777" w:rsidR="00E54E14" w:rsidRPr="00D94B5E" w:rsidRDefault="00E54E14" w:rsidP="00B823C1">
            <w:pPr>
              <w:spacing w:after="0"/>
              <w:jc w:val="center"/>
              <w:rPr>
                <w:color w:val="000000"/>
                <w:szCs w:val="20"/>
                <w:lang w:eastAsia="pl-PL"/>
              </w:rPr>
            </w:pPr>
          </w:p>
        </w:tc>
        <w:tc>
          <w:tcPr>
            <w:tcW w:w="591" w:type="dxa"/>
            <w:tcBorders>
              <w:top w:val="nil"/>
              <w:left w:val="nil"/>
              <w:bottom w:val="single" w:sz="4" w:space="0" w:color="auto"/>
              <w:right w:val="single" w:sz="4" w:space="0" w:color="auto"/>
            </w:tcBorders>
            <w:shd w:val="clear" w:color="auto" w:fill="auto"/>
            <w:noWrap/>
            <w:vAlign w:val="center"/>
          </w:tcPr>
          <w:p w14:paraId="517E6919" w14:textId="77777777" w:rsidR="00E54E14" w:rsidRPr="00D94B5E" w:rsidRDefault="00E54E14" w:rsidP="00B823C1">
            <w:pPr>
              <w:spacing w:after="0"/>
              <w:jc w:val="center"/>
              <w:rPr>
                <w:color w:val="000000"/>
                <w:szCs w:val="20"/>
                <w:lang w:eastAsia="pl-PL"/>
              </w:rPr>
            </w:pPr>
          </w:p>
        </w:tc>
        <w:tc>
          <w:tcPr>
            <w:tcW w:w="591" w:type="dxa"/>
            <w:tcBorders>
              <w:top w:val="nil"/>
              <w:left w:val="nil"/>
              <w:bottom w:val="single" w:sz="4" w:space="0" w:color="auto"/>
              <w:right w:val="single" w:sz="4" w:space="0" w:color="auto"/>
            </w:tcBorders>
            <w:shd w:val="clear" w:color="auto" w:fill="auto"/>
            <w:noWrap/>
            <w:vAlign w:val="center"/>
          </w:tcPr>
          <w:p w14:paraId="7992C077" w14:textId="77777777" w:rsidR="00E54E14" w:rsidRPr="00D94B5E" w:rsidRDefault="00E54E14" w:rsidP="00B823C1">
            <w:pPr>
              <w:spacing w:after="0"/>
              <w:jc w:val="center"/>
              <w:rPr>
                <w:color w:val="000000"/>
                <w:szCs w:val="20"/>
                <w:lang w:eastAsia="pl-PL"/>
              </w:rPr>
            </w:pPr>
          </w:p>
        </w:tc>
        <w:tc>
          <w:tcPr>
            <w:tcW w:w="591" w:type="dxa"/>
            <w:tcBorders>
              <w:top w:val="single" w:sz="4" w:space="0" w:color="auto"/>
              <w:left w:val="single" w:sz="4" w:space="0" w:color="auto"/>
              <w:bottom w:val="single" w:sz="4" w:space="0" w:color="auto"/>
              <w:right w:val="single" w:sz="4" w:space="0" w:color="auto"/>
            </w:tcBorders>
            <w:vAlign w:val="center"/>
          </w:tcPr>
          <w:p w14:paraId="0DEE9403" w14:textId="77777777" w:rsidR="00E54E14" w:rsidRPr="00D94B5E" w:rsidRDefault="00E54E14" w:rsidP="00B823C1">
            <w:pPr>
              <w:spacing w:after="0"/>
              <w:jc w:val="center"/>
              <w:rPr>
                <w:color w:val="000000"/>
                <w:szCs w:val="20"/>
                <w:lang w:eastAsia="pl-PL"/>
              </w:rPr>
            </w:pPr>
          </w:p>
        </w:tc>
        <w:tc>
          <w:tcPr>
            <w:tcW w:w="591" w:type="dxa"/>
            <w:tcBorders>
              <w:top w:val="single" w:sz="4" w:space="0" w:color="auto"/>
              <w:left w:val="single" w:sz="4" w:space="0" w:color="auto"/>
              <w:bottom w:val="single" w:sz="4" w:space="0" w:color="auto"/>
              <w:right w:val="single" w:sz="4" w:space="0" w:color="auto"/>
            </w:tcBorders>
            <w:vAlign w:val="center"/>
          </w:tcPr>
          <w:p w14:paraId="14B0F775" w14:textId="77777777" w:rsidR="00E54E14" w:rsidRPr="00D94B5E" w:rsidRDefault="00E54E14" w:rsidP="00B823C1">
            <w:pPr>
              <w:spacing w:after="0"/>
              <w:jc w:val="center"/>
              <w:rPr>
                <w:color w:val="000000"/>
                <w:szCs w:val="20"/>
                <w:lang w:eastAsia="pl-PL"/>
              </w:rPr>
            </w:pPr>
          </w:p>
        </w:tc>
        <w:tc>
          <w:tcPr>
            <w:tcW w:w="591" w:type="dxa"/>
            <w:tcBorders>
              <w:top w:val="single" w:sz="4" w:space="0" w:color="auto"/>
              <w:left w:val="single" w:sz="4" w:space="0" w:color="auto"/>
              <w:bottom w:val="single" w:sz="4" w:space="0" w:color="auto"/>
              <w:right w:val="single" w:sz="4" w:space="0" w:color="auto"/>
            </w:tcBorders>
            <w:vAlign w:val="center"/>
          </w:tcPr>
          <w:p w14:paraId="6411F81A" w14:textId="77777777" w:rsidR="00E54E14" w:rsidRPr="00D94B5E" w:rsidRDefault="00E54E14" w:rsidP="00B823C1">
            <w:pPr>
              <w:spacing w:after="0"/>
              <w:jc w:val="center"/>
              <w:rPr>
                <w:color w:val="000000"/>
                <w:szCs w:val="20"/>
                <w:lang w:eastAsia="pl-PL"/>
              </w:rPr>
            </w:pP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7EAEB" w14:textId="77777777" w:rsidR="00E54E14" w:rsidRPr="00D94B5E" w:rsidRDefault="00E54E14" w:rsidP="00B823C1">
            <w:pPr>
              <w:spacing w:after="0"/>
              <w:jc w:val="center"/>
              <w:rPr>
                <w:color w:val="000000"/>
                <w:szCs w:val="20"/>
                <w:lang w:eastAsia="pl-PL"/>
              </w:rPr>
            </w:pPr>
            <w:r w:rsidRPr="00D94B5E">
              <w:rPr>
                <w:color w:val="000000"/>
                <w:szCs w:val="20"/>
                <w:lang w:eastAsia="pl-PL"/>
              </w:rPr>
              <w:t>50</w:t>
            </w:r>
          </w:p>
        </w:tc>
        <w:tc>
          <w:tcPr>
            <w:tcW w:w="2008" w:type="dxa"/>
            <w:vMerge w:val="restart"/>
            <w:tcBorders>
              <w:top w:val="nil"/>
              <w:left w:val="single" w:sz="4" w:space="0" w:color="auto"/>
              <w:right w:val="single" w:sz="4" w:space="0" w:color="auto"/>
            </w:tcBorders>
            <w:shd w:val="clear" w:color="auto" w:fill="auto"/>
            <w:vAlign w:val="center"/>
            <w:hideMark/>
          </w:tcPr>
          <w:p w14:paraId="4DABFB4F" w14:textId="77777777" w:rsidR="00E54E14" w:rsidRPr="00D94B5E" w:rsidRDefault="00E54E14" w:rsidP="00B823C1">
            <w:pPr>
              <w:spacing w:after="0"/>
              <w:jc w:val="center"/>
              <w:rPr>
                <w:color w:val="000000"/>
                <w:szCs w:val="20"/>
                <w:lang w:eastAsia="pl-PL"/>
              </w:rPr>
            </w:pPr>
            <w:r w:rsidRPr="00D94B5E">
              <w:rPr>
                <w:color w:val="000000"/>
                <w:szCs w:val="20"/>
                <w:lang w:eastAsia="pl-PL"/>
              </w:rPr>
              <w:t>Całkowite oszczędności</w:t>
            </w:r>
            <w:r>
              <w:rPr>
                <w:color w:val="000000"/>
                <w:szCs w:val="20"/>
                <w:lang w:eastAsia="pl-PL"/>
              </w:rPr>
              <w:t xml:space="preserve"> końcowego zużycia</w:t>
            </w:r>
            <w:r w:rsidRPr="00D94B5E">
              <w:rPr>
                <w:color w:val="000000"/>
                <w:szCs w:val="20"/>
                <w:lang w:eastAsia="pl-PL"/>
              </w:rPr>
              <w:t xml:space="preserve"> energii (do 2030)</w:t>
            </w:r>
          </w:p>
        </w:tc>
      </w:tr>
      <w:tr w:rsidR="00E54E14" w:rsidRPr="00706980" w14:paraId="08F356BF" w14:textId="77777777" w:rsidTr="00B823C1">
        <w:trPr>
          <w:trHeight w:val="304"/>
        </w:trPr>
        <w:tc>
          <w:tcPr>
            <w:tcW w:w="1306" w:type="dxa"/>
            <w:vMerge/>
            <w:tcBorders>
              <w:left w:val="single" w:sz="4" w:space="0" w:color="auto"/>
              <w:right w:val="single" w:sz="4" w:space="0" w:color="auto"/>
            </w:tcBorders>
            <w:shd w:val="clear" w:color="auto" w:fill="auto"/>
            <w:vAlign w:val="center"/>
            <w:hideMark/>
          </w:tcPr>
          <w:p w14:paraId="55AA8D26" w14:textId="77777777" w:rsidR="00E54E14" w:rsidRPr="00D94B5E" w:rsidRDefault="00E54E14" w:rsidP="00B823C1">
            <w:pPr>
              <w:spacing w:after="0"/>
              <w:jc w:val="center"/>
              <w:rPr>
                <w:color w:val="000000"/>
                <w:szCs w:val="20"/>
                <w:lang w:eastAsia="pl-PL"/>
              </w:rPr>
            </w:pPr>
          </w:p>
        </w:tc>
        <w:tc>
          <w:tcPr>
            <w:tcW w:w="598" w:type="dxa"/>
            <w:tcBorders>
              <w:top w:val="nil"/>
              <w:left w:val="nil"/>
              <w:bottom w:val="single" w:sz="4" w:space="0" w:color="auto"/>
              <w:right w:val="single" w:sz="4" w:space="0" w:color="auto"/>
            </w:tcBorders>
            <w:shd w:val="clear" w:color="auto" w:fill="auto"/>
            <w:noWrap/>
            <w:vAlign w:val="center"/>
          </w:tcPr>
          <w:p w14:paraId="0AF5DAFA" w14:textId="77777777" w:rsidR="00E54E14" w:rsidRPr="00D94B5E" w:rsidRDefault="00E54E14" w:rsidP="00B823C1">
            <w:pPr>
              <w:spacing w:after="0"/>
              <w:jc w:val="center"/>
              <w:rPr>
                <w:color w:val="000000"/>
                <w:szCs w:val="20"/>
                <w:lang w:eastAsia="pl-PL"/>
              </w:rPr>
            </w:pPr>
          </w:p>
        </w:tc>
        <w:tc>
          <w:tcPr>
            <w:tcW w:w="591" w:type="dxa"/>
            <w:tcBorders>
              <w:top w:val="nil"/>
              <w:left w:val="nil"/>
              <w:bottom w:val="single" w:sz="4" w:space="0" w:color="auto"/>
              <w:right w:val="single" w:sz="4" w:space="0" w:color="auto"/>
            </w:tcBorders>
            <w:shd w:val="clear" w:color="auto" w:fill="auto"/>
            <w:noWrap/>
            <w:vAlign w:val="center"/>
          </w:tcPr>
          <w:p w14:paraId="14DE5914" w14:textId="77777777" w:rsidR="00E54E14" w:rsidRPr="00D94B5E" w:rsidRDefault="00E54E14" w:rsidP="00B823C1">
            <w:pPr>
              <w:spacing w:after="0"/>
              <w:jc w:val="center"/>
              <w:rPr>
                <w:color w:val="000000"/>
                <w:szCs w:val="20"/>
                <w:lang w:eastAsia="pl-PL"/>
              </w:rPr>
            </w:pPr>
          </w:p>
        </w:tc>
        <w:tc>
          <w:tcPr>
            <w:tcW w:w="591" w:type="dxa"/>
            <w:tcBorders>
              <w:top w:val="nil"/>
              <w:left w:val="nil"/>
              <w:bottom w:val="single" w:sz="4" w:space="0" w:color="auto"/>
              <w:right w:val="single" w:sz="4" w:space="0" w:color="auto"/>
            </w:tcBorders>
            <w:shd w:val="clear" w:color="auto" w:fill="auto"/>
            <w:noWrap/>
            <w:vAlign w:val="center"/>
          </w:tcPr>
          <w:p w14:paraId="310C06D8" w14:textId="77777777" w:rsidR="00E54E14" w:rsidRPr="00D94B5E" w:rsidRDefault="00E54E14" w:rsidP="00B823C1">
            <w:pPr>
              <w:spacing w:after="0"/>
              <w:jc w:val="center"/>
              <w:rPr>
                <w:color w:val="000000"/>
                <w:szCs w:val="20"/>
                <w:lang w:eastAsia="pl-PL"/>
              </w:rPr>
            </w:pPr>
          </w:p>
        </w:tc>
        <w:tc>
          <w:tcPr>
            <w:tcW w:w="591" w:type="dxa"/>
            <w:tcBorders>
              <w:top w:val="nil"/>
              <w:left w:val="nil"/>
              <w:bottom w:val="single" w:sz="4" w:space="0" w:color="auto"/>
              <w:right w:val="single" w:sz="4" w:space="0" w:color="auto"/>
            </w:tcBorders>
            <w:shd w:val="clear" w:color="auto" w:fill="auto"/>
            <w:noWrap/>
            <w:vAlign w:val="center"/>
          </w:tcPr>
          <w:p w14:paraId="356F5740" w14:textId="77777777" w:rsidR="00E54E14" w:rsidRPr="00D94B5E" w:rsidRDefault="00E54E14" w:rsidP="00B823C1">
            <w:pPr>
              <w:spacing w:after="0"/>
              <w:jc w:val="center"/>
              <w:rPr>
                <w:color w:val="000000"/>
                <w:szCs w:val="20"/>
                <w:lang w:eastAsia="pl-PL"/>
              </w:rPr>
            </w:pPr>
          </w:p>
        </w:tc>
        <w:tc>
          <w:tcPr>
            <w:tcW w:w="591" w:type="dxa"/>
            <w:tcBorders>
              <w:top w:val="nil"/>
              <w:left w:val="nil"/>
              <w:bottom w:val="single" w:sz="4" w:space="0" w:color="auto"/>
              <w:right w:val="single" w:sz="4" w:space="0" w:color="auto"/>
            </w:tcBorders>
            <w:shd w:val="clear" w:color="auto" w:fill="auto"/>
            <w:noWrap/>
            <w:vAlign w:val="center"/>
          </w:tcPr>
          <w:p w14:paraId="0B72F05E" w14:textId="77777777" w:rsidR="00E54E14" w:rsidRPr="00D94B5E" w:rsidRDefault="00E54E14" w:rsidP="00B823C1">
            <w:pPr>
              <w:spacing w:after="0"/>
              <w:jc w:val="center"/>
              <w:rPr>
                <w:color w:val="000000"/>
                <w:szCs w:val="20"/>
                <w:lang w:eastAsia="pl-PL"/>
              </w:rPr>
            </w:pPr>
          </w:p>
        </w:tc>
        <w:tc>
          <w:tcPr>
            <w:tcW w:w="591" w:type="dxa"/>
            <w:tcBorders>
              <w:top w:val="nil"/>
              <w:left w:val="nil"/>
              <w:bottom w:val="single" w:sz="4" w:space="0" w:color="auto"/>
              <w:right w:val="single" w:sz="4" w:space="0" w:color="auto"/>
            </w:tcBorders>
            <w:shd w:val="clear" w:color="auto" w:fill="auto"/>
            <w:noWrap/>
            <w:vAlign w:val="center"/>
          </w:tcPr>
          <w:p w14:paraId="537C0FE1" w14:textId="77777777" w:rsidR="00E54E14" w:rsidRPr="00D94B5E" w:rsidRDefault="00E54E14" w:rsidP="00B823C1">
            <w:pPr>
              <w:spacing w:after="0"/>
              <w:jc w:val="center"/>
              <w:rPr>
                <w:color w:val="000000"/>
                <w:szCs w:val="20"/>
                <w:lang w:eastAsia="pl-PL"/>
              </w:rPr>
            </w:pPr>
          </w:p>
        </w:tc>
        <w:tc>
          <w:tcPr>
            <w:tcW w:w="591" w:type="dxa"/>
            <w:tcBorders>
              <w:top w:val="single" w:sz="4" w:space="0" w:color="auto"/>
              <w:left w:val="single" w:sz="4" w:space="0" w:color="auto"/>
              <w:bottom w:val="single" w:sz="4" w:space="0" w:color="auto"/>
              <w:right w:val="single" w:sz="4" w:space="0" w:color="auto"/>
            </w:tcBorders>
            <w:vAlign w:val="center"/>
          </w:tcPr>
          <w:p w14:paraId="5979FA63" w14:textId="77777777" w:rsidR="00E54E14" w:rsidRPr="00D94B5E" w:rsidRDefault="00E54E14" w:rsidP="00B823C1">
            <w:pPr>
              <w:spacing w:after="0"/>
              <w:jc w:val="center"/>
              <w:rPr>
                <w:color w:val="000000"/>
                <w:szCs w:val="20"/>
                <w:lang w:eastAsia="pl-PL"/>
              </w:rPr>
            </w:pPr>
          </w:p>
        </w:tc>
        <w:tc>
          <w:tcPr>
            <w:tcW w:w="591" w:type="dxa"/>
            <w:tcBorders>
              <w:top w:val="single" w:sz="4" w:space="0" w:color="auto"/>
              <w:left w:val="single" w:sz="4" w:space="0" w:color="auto"/>
              <w:bottom w:val="single" w:sz="4" w:space="0" w:color="auto"/>
              <w:right w:val="single" w:sz="4" w:space="0" w:color="auto"/>
            </w:tcBorders>
            <w:vAlign w:val="center"/>
          </w:tcPr>
          <w:p w14:paraId="37878507" w14:textId="77777777" w:rsidR="00E54E14" w:rsidRPr="00D94B5E" w:rsidRDefault="00E54E14" w:rsidP="00B823C1">
            <w:pPr>
              <w:spacing w:after="0"/>
              <w:jc w:val="center"/>
              <w:rPr>
                <w:color w:val="000000"/>
                <w:szCs w:val="20"/>
                <w:lang w:eastAsia="pl-PL"/>
              </w:rPr>
            </w:pPr>
          </w:p>
        </w:tc>
        <w:tc>
          <w:tcPr>
            <w:tcW w:w="591" w:type="dxa"/>
            <w:tcBorders>
              <w:top w:val="single" w:sz="4" w:space="0" w:color="auto"/>
              <w:left w:val="single" w:sz="4" w:space="0" w:color="auto"/>
              <w:bottom w:val="single" w:sz="4" w:space="0" w:color="auto"/>
              <w:right w:val="single" w:sz="4" w:space="0" w:color="auto"/>
            </w:tcBorders>
            <w:vAlign w:val="center"/>
          </w:tcPr>
          <w:p w14:paraId="650727F2" w14:textId="77777777" w:rsidR="00E54E14" w:rsidRPr="00D94B5E" w:rsidRDefault="00E54E14" w:rsidP="00B823C1">
            <w:pPr>
              <w:spacing w:after="0"/>
              <w:jc w:val="center"/>
              <w:rPr>
                <w:color w:val="000000"/>
                <w:szCs w:val="20"/>
                <w:lang w:eastAsia="pl-PL"/>
              </w:rPr>
            </w:pPr>
            <w:r w:rsidRPr="00D94B5E">
              <w:rPr>
                <w:color w:val="000000"/>
                <w:szCs w:val="20"/>
                <w:lang w:eastAsia="pl-PL"/>
              </w:rPr>
              <w:t>50</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9456EA" w14:textId="77777777" w:rsidR="00E54E14" w:rsidRPr="00D94B5E" w:rsidRDefault="00E54E14" w:rsidP="00B823C1">
            <w:pPr>
              <w:spacing w:after="0"/>
              <w:jc w:val="center"/>
              <w:rPr>
                <w:color w:val="000000"/>
                <w:szCs w:val="20"/>
                <w:lang w:eastAsia="pl-PL"/>
              </w:rPr>
            </w:pPr>
            <w:r w:rsidRPr="00D94B5E">
              <w:rPr>
                <w:color w:val="000000"/>
                <w:szCs w:val="20"/>
                <w:lang w:eastAsia="pl-PL"/>
              </w:rPr>
              <w:t>0</w:t>
            </w:r>
          </w:p>
        </w:tc>
        <w:tc>
          <w:tcPr>
            <w:tcW w:w="2008" w:type="dxa"/>
            <w:vMerge/>
            <w:tcBorders>
              <w:left w:val="single" w:sz="4" w:space="0" w:color="auto"/>
              <w:right w:val="single" w:sz="4" w:space="0" w:color="auto"/>
            </w:tcBorders>
            <w:shd w:val="clear" w:color="auto" w:fill="auto"/>
            <w:vAlign w:val="center"/>
            <w:hideMark/>
          </w:tcPr>
          <w:p w14:paraId="7BD72D57" w14:textId="77777777" w:rsidR="00E54E14" w:rsidRPr="00D94B5E" w:rsidRDefault="00E54E14" w:rsidP="00B823C1">
            <w:pPr>
              <w:spacing w:after="0"/>
              <w:jc w:val="center"/>
              <w:rPr>
                <w:color w:val="000000"/>
                <w:szCs w:val="20"/>
                <w:lang w:eastAsia="pl-PL"/>
              </w:rPr>
            </w:pPr>
          </w:p>
        </w:tc>
      </w:tr>
      <w:tr w:rsidR="00E54E14" w:rsidRPr="00706980" w14:paraId="31A038FD" w14:textId="77777777" w:rsidTr="00B823C1">
        <w:trPr>
          <w:trHeight w:val="304"/>
        </w:trPr>
        <w:tc>
          <w:tcPr>
            <w:tcW w:w="1306" w:type="dxa"/>
            <w:vMerge/>
            <w:tcBorders>
              <w:left w:val="single" w:sz="4" w:space="0" w:color="auto"/>
              <w:right w:val="single" w:sz="4" w:space="0" w:color="auto"/>
            </w:tcBorders>
            <w:shd w:val="clear" w:color="auto" w:fill="auto"/>
            <w:vAlign w:val="center"/>
            <w:hideMark/>
          </w:tcPr>
          <w:p w14:paraId="7A53A5D7" w14:textId="77777777" w:rsidR="00E54E14" w:rsidRPr="00D94B5E" w:rsidRDefault="00E54E14" w:rsidP="00B823C1">
            <w:pPr>
              <w:spacing w:after="0"/>
              <w:jc w:val="center"/>
              <w:rPr>
                <w:color w:val="000000"/>
                <w:szCs w:val="20"/>
                <w:lang w:eastAsia="pl-PL"/>
              </w:rPr>
            </w:pPr>
          </w:p>
        </w:tc>
        <w:tc>
          <w:tcPr>
            <w:tcW w:w="598" w:type="dxa"/>
            <w:tcBorders>
              <w:top w:val="nil"/>
              <w:left w:val="nil"/>
              <w:bottom w:val="single" w:sz="4" w:space="0" w:color="auto"/>
              <w:right w:val="single" w:sz="4" w:space="0" w:color="auto"/>
            </w:tcBorders>
            <w:shd w:val="clear" w:color="auto" w:fill="auto"/>
            <w:noWrap/>
            <w:vAlign w:val="center"/>
          </w:tcPr>
          <w:p w14:paraId="760E1BBE" w14:textId="77777777" w:rsidR="00E54E14" w:rsidRPr="00D94B5E" w:rsidRDefault="00E54E14" w:rsidP="00B823C1">
            <w:pPr>
              <w:spacing w:after="0"/>
              <w:jc w:val="center"/>
              <w:rPr>
                <w:color w:val="000000"/>
                <w:szCs w:val="20"/>
                <w:lang w:eastAsia="pl-PL"/>
              </w:rPr>
            </w:pPr>
          </w:p>
        </w:tc>
        <w:tc>
          <w:tcPr>
            <w:tcW w:w="591" w:type="dxa"/>
            <w:tcBorders>
              <w:top w:val="nil"/>
              <w:left w:val="nil"/>
              <w:bottom w:val="single" w:sz="4" w:space="0" w:color="auto"/>
              <w:right w:val="single" w:sz="4" w:space="0" w:color="auto"/>
            </w:tcBorders>
            <w:shd w:val="clear" w:color="auto" w:fill="auto"/>
            <w:noWrap/>
            <w:vAlign w:val="center"/>
          </w:tcPr>
          <w:p w14:paraId="164B44EF" w14:textId="77777777" w:rsidR="00E54E14" w:rsidRPr="00D94B5E" w:rsidRDefault="00E54E14" w:rsidP="00B823C1">
            <w:pPr>
              <w:spacing w:after="0"/>
              <w:jc w:val="center"/>
              <w:rPr>
                <w:color w:val="000000"/>
                <w:szCs w:val="20"/>
                <w:lang w:eastAsia="pl-PL"/>
              </w:rPr>
            </w:pPr>
          </w:p>
        </w:tc>
        <w:tc>
          <w:tcPr>
            <w:tcW w:w="591" w:type="dxa"/>
            <w:tcBorders>
              <w:top w:val="nil"/>
              <w:left w:val="nil"/>
              <w:bottom w:val="single" w:sz="4" w:space="0" w:color="auto"/>
              <w:right w:val="single" w:sz="4" w:space="0" w:color="auto"/>
            </w:tcBorders>
            <w:shd w:val="clear" w:color="auto" w:fill="auto"/>
            <w:noWrap/>
            <w:vAlign w:val="center"/>
          </w:tcPr>
          <w:p w14:paraId="60A03081" w14:textId="77777777" w:rsidR="00E54E14" w:rsidRPr="00D94B5E" w:rsidRDefault="00E54E14" w:rsidP="00B823C1">
            <w:pPr>
              <w:spacing w:after="0"/>
              <w:jc w:val="center"/>
              <w:rPr>
                <w:color w:val="000000"/>
                <w:szCs w:val="20"/>
                <w:lang w:eastAsia="pl-PL"/>
              </w:rPr>
            </w:pPr>
          </w:p>
        </w:tc>
        <w:tc>
          <w:tcPr>
            <w:tcW w:w="591" w:type="dxa"/>
            <w:tcBorders>
              <w:top w:val="nil"/>
              <w:left w:val="nil"/>
              <w:bottom w:val="single" w:sz="4" w:space="0" w:color="auto"/>
              <w:right w:val="single" w:sz="4" w:space="0" w:color="auto"/>
            </w:tcBorders>
            <w:shd w:val="clear" w:color="auto" w:fill="auto"/>
            <w:noWrap/>
            <w:vAlign w:val="center"/>
          </w:tcPr>
          <w:p w14:paraId="7C71C117" w14:textId="77777777" w:rsidR="00E54E14" w:rsidRPr="00D94B5E" w:rsidRDefault="00E54E14" w:rsidP="00B823C1">
            <w:pPr>
              <w:spacing w:after="0"/>
              <w:jc w:val="center"/>
              <w:rPr>
                <w:color w:val="000000"/>
                <w:szCs w:val="20"/>
                <w:lang w:eastAsia="pl-PL"/>
              </w:rPr>
            </w:pPr>
          </w:p>
        </w:tc>
        <w:tc>
          <w:tcPr>
            <w:tcW w:w="591" w:type="dxa"/>
            <w:tcBorders>
              <w:top w:val="nil"/>
              <w:left w:val="nil"/>
              <w:bottom w:val="single" w:sz="4" w:space="0" w:color="auto"/>
              <w:right w:val="single" w:sz="4" w:space="0" w:color="auto"/>
            </w:tcBorders>
            <w:shd w:val="clear" w:color="auto" w:fill="auto"/>
            <w:noWrap/>
            <w:vAlign w:val="center"/>
          </w:tcPr>
          <w:p w14:paraId="330995B4" w14:textId="77777777" w:rsidR="00E54E14" w:rsidRPr="00D94B5E" w:rsidRDefault="00E54E14" w:rsidP="00B823C1">
            <w:pPr>
              <w:spacing w:after="0"/>
              <w:jc w:val="center"/>
              <w:rPr>
                <w:color w:val="000000"/>
                <w:szCs w:val="20"/>
                <w:lang w:eastAsia="pl-PL"/>
              </w:rPr>
            </w:pPr>
          </w:p>
        </w:tc>
        <w:tc>
          <w:tcPr>
            <w:tcW w:w="591" w:type="dxa"/>
            <w:tcBorders>
              <w:top w:val="nil"/>
              <w:left w:val="nil"/>
              <w:bottom w:val="single" w:sz="4" w:space="0" w:color="auto"/>
              <w:right w:val="single" w:sz="4" w:space="0" w:color="auto"/>
            </w:tcBorders>
            <w:shd w:val="clear" w:color="auto" w:fill="auto"/>
            <w:noWrap/>
            <w:vAlign w:val="center"/>
          </w:tcPr>
          <w:p w14:paraId="11C0E818" w14:textId="77777777" w:rsidR="00E54E14" w:rsidRPr="00D94B5E" w:rsidRDefault="00E54E14" w:rsidP="00B823C1">
            <w:pPr>
              <w:spacing w:after="0"/>
              <w:jc w:val="center"/>
              <w:rPr>
                <w:color w:val="000000"/>
                <w:szCs w:val="20"/>
                <w:lang w:eastAsia="pl-PL"/>
              </w:rPr>
            </w:pPr>
          </w:p>
        </w:tc>
        <w:tc>
          <w:tcPr>
            <w:tcW w:w="591" w:type="dxa"/>
            <w:tcBorders>
              <w:top w:val="single" w:sz="4" w:space="0" w:color="auto"/>
              <w:left w:val="single" w:sz="4" w:space="0" w:color="auto"/>
              <w:bottom w:val="single" w:sz="4" w:space="0" w:color="auto"/>
              <w:right w:val="single" w:sz="4" w:space="0" w:color="auto"/>
            </w:tcBorders>
            <w:vAlign w:val="center"/>
          </w:tcPr>
          <w:p w14:paraId="3094A20F" w14:textId="77777777" w:rsidR="00E54E14" w:rsidRPr="00D94B5E" w:rsidRDefault="00E54E14" w:rsidP="00B823C1">
            <w:pPr>
              <w:spacing w:after="0"/>
              <w:jc w:val="center"/>
              <w:rPr>
                <w:color w:val="000000"/>
                <w:szCs w:val="20"/>
                <w:lang w:eastAsia="pl-PL"/>
              </w:rPr>
            </w:pPr>
          </w:p>
        </w:tc>
        <w:tc>
          <w:tcPr>
            <w:tcW w:w="591" w:type="dxa"/>
            <w:tcBorders>
              <w:top w:val="single" w:sz="4" w:space="0" w:color="auto"/>
              <w:left w:val="single" w:sz="4" w:space="0" w:color="auto"/>
              <w:bottom w:val="single" w:sz="4" w:space="0" w:color="auto"/>
              <w:right w:val="single" w:sz="4" w:space="0" w:color="auto"/>
            </w:tcBorders>
            <w:vAlign w:val="center"/>
          </w:tcPr>
          <w:p w14:paraId="5119DBE9" w14:textId="77777777" w:rsidR="00E54E14" w:rsidRPr="00D94B5E" w:rsidRDefault="00E54E14" w:rsidP="00B823C1">
            <w:pPr>
              <w:spacing w:after="0"/>
              <w:jc w:val="center"/>
              <w:rPr>
                <w:color w:val="000000"/>
                <w:szCs w:val="20"/>
                <w:lang w:eastAsia="pl-PL"/>
              </w:rPr>
            </w:pPr>
            <w:r w:rsidRPr="00D94B5E">
              <w:rPr>
                <w:color w:val="000000"/>
                <w:szCs w:val="20"/>
                <w:lang w:eastAsia="pl-PL"/>
              </w:rPr>
              <w:t>50</w:t>
            </w:r>
          </w:p>
        </w:tc>
        <w:tc>
          <w:tcPr>
            <w:tcW w:w="591" w:type="dxa"/>
            <w:tcBorders>
              <w:top w:val="single" w:sz="4" w:space="0" w:color="auto"/>
              <w:left w:val="single" w:sz="4" w:space="0" w:color="auto"/>
              <w:bottom w:val="single" w:sz="4" w:space="0" w:color="auto"/>
              <w:right w:val="single" w:sz="4" w:space="0" w:color="auto"/>
            </w:tcBorders>
          </w:tcPr>
          <w:p w14:paraId="681657E7" w14:textId="77777777" w:rsidR="00E54E14" w:rsidRPr="00D94B5E" w:rsidRDefault="00E54E14" w:rsidP="00B823C1">
            <w:pPr>
              <w:spacing w:after="0"/>
              <w:jc w:val="center"/>
              <w:rPr>
                <w:color w:val="000000"/>
                <w:szCs w:val="20"/>
                <w:lang w:eastAsia="pl-PL"/>
              </w:rPr>
            </w:pPr>
            <w:r w:rsidRPr="00D94B5E">
              <w:rPr>
                <w:color w:val="000000"/>
                <w:szCs w:val="20"/>
                <w:lang w:eastAsia="pl-PL"/>
              </w:rPr>
              <w:t>0</w:t>
            </w:r>
          </w:p>
        </w:tc>
        <w:tc>
          <w:tcPr>
            <w:tcW w:w="591" w:type="dxa"/>
            <w:tcBorders>
              <w:top w:val="single" w:sz="4" w:space="0" w:color="auto"/>
              <w:left w:val="single" w:sz="4" w:space="0" w:color="auto"/>
              <w:bottom w:val="single" w:sz="4" w:space="0" w:color="auto"/>
              <w:right w:val="single" w:sz="4" w:space="0" w:color="auto"/>
            </w:tcBorders>
            <w:shd w:val="clear" w:color="auto" w:fill="auto"/>
            <w:noWrap/>
          </w:tcPr>
          <w:p w14:paraId="3C372617" w14:textId="77777777" w:rsidR="00E54E14" w:rsidRPr="00D94B5E" w:rsidRDefault="00E54E14" w:rsidP="00B823C1">
            <w:pPr>
              <w:spacing w:after="0"/>
              <w:jc w:val="center"/>
              <w:rPr>
                <w:color w:val="000000"/>
                <w:szCs w:val="20"/>
                <w:lang w:eastAsia="pl-PL"/>
              </w:rPr>
            </w:pPr>
            <w:r w:rsidRPr="00D94B5E">
              <w:rPr>
                <w:color w:val="000000"/>
                <w:szCs w:val="20"/>
                <w:lang w:eastAsia="pl-PL"/>
              </w:rPr>
              <w:t>0</w:t>
            </w:r>
          </w:p>
        </w:tc>
        <w:tc>
          <w:tcPr>
            <w:tcW w:w="2008" w:type="dxa"/>
            <w:vMerge/>
            <w:tcBorders>
              <w:left w:val="single" w:sz="4" w:space="0" w:color="auto"/>
              <w:right w:val="single" w:sz="4" w:space="0" w:color="auto"/>
            </w:tcBorders>
            <w:shd w:val="clear" w:color="auto" w:fill="auto"/>
            <w:vAlign w:val="center"/>
            <w:hideMark/>
          </w:tcPr>
          <w:p w14:paraId="2ABD0CC9" w14:textId="77777777" w:rsidR="00E54E14" w:rsidRPr="00D94B5E" w:rsidRDefault="00E54E14" w:rsidP="00B823C1">
            <w:pPr>
              <w:spacing w:after="0"/>
              <w:jc w:val="center"/>
              <w:rPr>
                <w:color w:val="000000"/>
                <w:szCs w:val="20"/>
                <w:lang w:eastAsia="pl-PL"/>
              </w:rPr>
            </w:pPr>
          </w:p>
        </w:tc>
      </w:tr>
      <w:tr w:rsidR="00E54E14" w:rsidRPr="00706980" w14:paraId="5DBBCDFF" w14:textId="77777777" w:rsidTr="00B823C1">
        <w:trPr>
          <w:trHeight w:val="304"/>
        </w:trPr>
        <w:tc>
          <w:tcPr>
            <w:tcW w:w="1306" w:type="dxa"/>
            <w:vMerge/>
            <w:tcBorders>
              <w:left w:val="single" w:sz="4" w:space="0" w:color="auto"/>
              <w:right w:val="single" w:sz="4" w:space="0" w:color="auto"/>
            </w:tcBorders>
            <w:vAlign w:val="center"/>
            <w:hideMark/>
          </w:tcPr>
          <w:p w14:paraId="6AB6FDB3" w14:textId="77777777" w:rsidR="00E54E14" w:rsidRPr="00D94B5E" w:rsidRDefault="00E54E14" w:rsidP="00B823C1">
            <w:pPr>
              <w:spacing w:after="0"/>
              <w:jc w:val="center"/>
              <w:rPr>
                <w:color w:val="000000"/>
                <w:szCs w:val="20"/>
                <w:lang w:eastAsia="pl-PL"/>
              </w:rPr>
            </w:pPr>
          </w:p>
        </w:tc>
        <w:tc>
          <w:tcPr>
            <w:tcW w:w="598" w:type="dxa"/>
            <w:tcBorders>
              <w:top w:val="nil"/>
              <w:left w:val="nil"/>
              <w:bottom w:val="single" w:sz="4" w:space="0" w:color="auto"/>
              <w:right w:val="single" w:sz="4" w:space="0" w:color="auto"/>
            </w:tcBorders>
            <w:shd w:val="clear" w:color="auto" w:fill="auto"/>
            <w:noWrap/>
            <w:vAlign w:val="center"/>
          </w:tcPr>
          <w:p w14:paraId="092FBA49" w14:textId="77777777" w:rsidR="00E54E14" w:rsidRPr="00D94B5E" w:rsidRDefault="00E54E14" w:rsidP="00B823C1">
            <w:pPr>
              <w:spacing w:after="0"/>
              <w:jc w:val="center"/>
              <w:rPr>
                <w:color w:val="000000"/>
                <w:szCs w:val="20"/>
                <w:lang w:eastAsia="pl-PL"/>
              </w:rPr>
            </w:pPr>
          </w:p>
        </w:tc>
        <w:tc>
          <w:tcPr>
            <w:tcW w:w="591" w:type="dxa"/>
            <w:tcBorders>
              <w:top w:val="nil"/>
              <w:left w:val="nil"/>
              <w:bottom w:val="single" w:sz="4" w:space="0" w:color="auto"/>
              <w:right w:val="single" w:sz="4" w:space="0" w:color="auto"/>
            </w:tcBorders>
            <w:shd w:val="clear" w:color="auto" w:fill="auto"/>
            <w:noWrap/>
            <w:vAlign w:val="center"/>
          </w:tcPr>
          <w:p w14:paraId="070A3879" w14:textId="77777777" w:rsidR="00E54E14" w:rsidRPr="00D94B5E" w:rsidRDefault="00E54E14" w:rsidP="00B823C1">
            <w:pPr>
              <w:spacing w:after="0"/>
              <w:jc w:val="center"/>
              <w:rPr>
                <w:color w:val="000000"/>
                <w:szCs w:val="20"/>
                <w:lang w:eastAsia="pl-PL"/>
              </w:rPr>
            </w:pPr>
          </w:p>
        </w:tc>
        <w:tc>
          <w:tcPr>
            <w:tcW w:w="591" w:type="dxa"/>
            <w:tcBorders>
              <w:top w:val="nil"/>
              <w:left w:val="nil"/>
              <w:bottom w:val="single" w:sz="4" w:space="0" w:color="auto"/>
              <w:right w:val="single" w:sz="4" w:space="0" w:color="auto"/>
            </w:tcBorders>
            <w:shd w:val="clear" w:color="auto" w:fill="auto"/>
            <w:noWrap/>
            <w:vAlign w:val="center"/>
          </w:tcPr>
          <w:p w14:paraId="2E25250B" w14:textId="77777777" w:rsidR="00E54E14" w:rsidRPr="00D94B5E" w:rsidRDefault="00E54E14" w:rsidP="00B823C1">
            <w:pPr>
              <w:spacing w:after="0"/>
              <w:jc w:val="center"/>
              <w:rPr>
                <w:color w:val="000000"/>
                <w:szCs w:val="20"/>
                <w:lang w:eastAsia="pl-PL"/>
              </w:rPr>
            </w:pPr>
          </w:p>
        </w:tc>
        <w:tc>
          <w:tcPr>
            <w:tcW w:w="591" w:type="dxa"/>
            <w:tcBorders>
              <w:top w:val="nil"/>
              <w:left w:val="nil"/>
              <w:bottom w:val="single" w:sz="4" w:space="0" w:color="auto"/>
              <w:right w:val="single" w:sz="4" w:space="0" w:color="auto"/>
            </w:tcBorders>
            <w:shd w:val="clear" w:color="auto" w:fill="auto"/>
            <w:noWrap/>
            <w:vAlign w:val="center"/>
          </w:tcPr>
          <w:p w14:paraId="620ADB7B" w14:textId="77777777" w:rsidR="00E54E14" w:rsidRPr="00D94B5E" w:rsidRDefault="00E54E14" w:rsidP="00B823C1">
            <w:pPr>
              <w:spacing w:after="0"/>
              <w:jc w:val="center"/>
              <w:rPr>
                <w:color w:val="000000"/>
                <w:szCs w:val="20"/>
                <w:lang w:eastAsia="pl-PL"/>
              </w:rPr>
            </w:pPr>
          </w:p>
        </w:tc>
        <w:tc>
          <w:tcPr>
            <w:tcW w:w="591" w:type="dxa"/>
            <w:tcBorders>
              <w:top w:val="nil"/>
              <w:left w:val="nil"/>
              <w:bottom w:val="single" w:sz="4" w:space="0" w:color="auto"/>
              <w:right w:val="single" w:sz="4" w:space="0" w:color="auto"/>
            </w:tcBorders>
            <w:shd w:val="clear" w:color="auto" w:fill="auto"/>
            <w:noWrap/>
            <w:vAlign w:val="center"/>
          </w:tcPr>
          <w:p w14:paraId="5592D845" w14:textId="77777777" w:rsidR="00E54E14" w:rsidRPr="00D94B5E" w:rsidRDefault="00E54E14" w:rsidP="00B823C1">
            <w:pPr>
              <w:spacing w:after="0"/>
              <w:jc w:val="center"/>
              <w:rPr>
                <w:color w:val="000000"/>
                <w:szCs w:val="20"/>
                <w:lang w:eastAsia="pl-PL"/>
              </w:rPr>
            </w:pPr>
          </w:p>
        </w:tc>
        <w:tc>
          <w:tcPr>
            <w:tcW w:w="591" w:type="dxa"/>
            <w:tcBorders>
              <w:top w:val="nil"/>
              <w:left w:val="nil"/>
              <w:bottom w:val="single" w:sz="4" w:space="0" w:color="auto"/>
              <w:right w:val="single" w:sz="4" w:space="0" w:color="auto"/>
            </w:tcBorders>
            <w:shd w:val="clear" w:color="auto" w:fill="auto"/>
            <w:noWrap/>
            <w:vAlign w:val="center"/>
          </w:tcPr>
          <w:p w14:paraId="7D7FC00E" w14:textId="77777777" w:rsidR="00E54E14" w:rsidRPr="00D94B5E" w:rsidRDefault="00E54E14" w:rsidP="00B823C1">
            <w:pPr>
              <w:spacing w:after="0"/>
              <w:jc w:val="center"/>
              <w:rPr>
                <w:color w:val="000000"/>
                <w:szCs w:val="20"/>
                <w:lang w:eastAsia="pl-PL"/>
              </w:rPr>
            </w:pPr>
          </w:p>
        </w:tc>
        <w:tc>
          <w:tcPr>
            <w:tcW w:w="591" w:type="dxa"/>
            <w:tcBorders>
              <w:top w:val="single" w:sz="4" w:space="0" w:color="auto"/>
              <w:left w:val="single" w:sz="4" w:space="0" w:color="auto"/>
              <w:bottom w:val="single" w:sz="4" w:space="0" w:color="auto"/>
              <w:right w:val="single" w:sz="4" w:space="0" w:color="auto"/>
            </w:tcBorders>
            <w:vAlign w:val="center"/>
          </w:tcPr>
          <w:p w14:paraId="28F7D5FE" w14:textId="77777777" w:rsidR="00E54E14" w:rsidRPr="00D94B5E" w:rsidRDefault="00E54E14" w:rsidP="00B823C1">
            <w:pPr>
              <w:spacing w:after="0"/>
              <w:jc w:val="center"/>
              <w:rPr>
                <w:color w:val="000000"/>
                <w:szCs w:val="20"/>
                <w:lang w:eastAsia="pl-PL"/>
              </w:rPr>
            </w:pPr>
            <w:r w:rsidRPr="00D94B5E">
              <w:rPr>
                <w:color w:val="000000"/>
                <w:szCs w:val="20"/>
                <w:lang w:eastAsia="pl-PL"/>
              </w:rPr>
              <w:t>50</w:t>
            </w:r>
          </w:p>
        </w:tc>
        <w:tc>
          <w:tcPr>
            <w:tcW w:w="591" w:type="dxa"/>
            <w:tcBorders>
              <w:top w:val="single" w:sz="4" w:space="0" w:color="auto"/>
              <w:left w:val="single" w:sz="4" w:space="0" w:color="auto"/>
              <w:bottom w:val="single" w:sz="4" w:space="0" w:color="auto"/>
              <w:right w:val="single" w:sz="4" w:space="0" w:color="auto"/>
            </w:tcBorders>
          </w:tcPr>
          <w:p w14:paraId="46D94352" w14:textId="77777777" w:rsidR="00E54E14" w:rsidRPr="00D94B5E" w:rsidRDefault="00E54E14" w:rsidP="00B823C1">
            <w:pPr>
              <w:spacing w:after="0"/>
              <w:jc w:val="center"/>
              <w:rPr>
                <w:color w:val="000000"/>
                <w:szCs w:val="20"/>
                <w:lang w:eastAsia="pl-PL"/>
              </w:rPr>
            </w:pPr>
            <w:r w:rsidRPr="00D94B5E">
              <w:rPr>
                <w:color w:val="000000"/>
                <w:szCs w:val="20"/>
                <w:lang w:eastAsia="pl-PL"/>
              </w:rPr>
              <w:t>0</w:t>
            </w:r>
          </w:p>
        </w:tc>
        <w:tc>
          <w:tcPr>
            <w:tcW w:w="591" w:type="dxa"/>
            <w:tcBorders>
              <w:top w:val="single" w:sz="4" w:space="0" w:color="auto"/>
              <w:left w:val="single" w:sz="4" w:space="0" w:color="auto"/>
              <w:bottom w:val="single" w:sz="4" w:space="0" w:color="auto"/>
              <w:right w:val="single" w:sz="4" w:space="0" w:color="auto"/>
            </w:tcBorders>
          </w:tcPr>
          <w:p w14:paraId="17F876A9" w14:textId="77777777" w:rsidR="00E54E14" w:rsidRPr="00D94B5E" w:rsidRDefault="00E54E14" w:rsidP="00B823C1">
            <w:pPr>
              <w:spacing w:after="0"/>
              <w:jc w:val="center"/>
              <w:rPr>
                <w:color w:val="000000"/>
                <w:szCs w:val="20"/>
                <w:lang w:eastAsia="pl-PL"/>
              </w:rPr>
            </w:pPr>
            <w:r w:rsidRPr="00D94B5E">
              <w:rPr>
                <w:color w:val="000000"/>
                <w:szCs w:val="20"/>
                <w:lang w:eastAsia="pl-PL"/>
              </w:rPr>
              <w:t>0</w:t>
            </w:r>
          </w:p>
        </w:tc>
        <w:tc>
          <w:tcPr>
            <w:tcW w:w="591" w:type="dxa"/>
            <w:tcBorders>
              <w:top w:val="single" w:sz="4" w:space="0" w:color="auto"/>
              <w:left w:val="single" w:sz="4" w:space="0" w:color="auto"/>
              <w:bottom w:val="single" w:sz="4" w:space="0" w:color="auto"/>
              <w:right w:val="single" w:sz="4" w:space="0" w:color="auto"/>
            </w:tcBorders>
            <w:shd w:val="clear" w:color="auto" w:fill="auto"/>
            <w:noWrap/>
          </w:tcPr>
          <w:p w14:paraId="31ECEB04" w14:textId="77777777" w:rsidR="00E54E14" w:rsidRPr="00D94B5E" w:rsidRDefault="00E54E14" w:rsidP="00B823C1">
            <w:pPr>
              <w:spacing w:after="0"/>
              <w:jc w:val="center"/>
              <w:rPr>
                <w:color w:val="000000"/>
                <w:szCs w:val="20"/>
                <w:lang w:eastAsia="pl-PL"/>
              </w:rPr>
            </w:pPr>
            <w:r w:rsidRPr="00D94B5E">
              <w:rPr>
                <w:color w:val="000000"/>
                <w:szCs w:val="20"/>
                <w:lang w:eastAsia="pl-PL"/>
              </w:rPr>
              <w:t>0</w:t>
            </w:r>
          </w:p>
        </w:tc>
        <w:tc>
          <w:tcPr>
            <w:tcW w:w="2008" w:type="dxa"/>
            <w:vMerge/>
            <w:tcBorders>
              <w:left w:val="single" w:sz="4" w:space="0" w:color="auto"/>
              <w:right w:val="single" w:sz="4" w:space="0" w:color="auto"/>
            </w:tcBorders>
            <w:shd w:val="clear" w:color="auto" w:fill="auto"/>
            <w:vAlign w:val="center"/>
            <w:hideMark/>
          </w:tcPr>
          <w:p w14:paraId="6900C614" w14:textId="77777777" w:rsidR="00E54E14" w:rsidRPr="00D94B5E" w:rsidRDefault="00E54E14" w:rsidP="00B823C1">
            <w:pPr>
              <w:spacing w:after="0"/>
              <w:jc w:val="center"/>
              <w:rPr>
                <w:color w:val="000000"/>
                <w:szCs w:val="20"/>
                <w:lang w:eastAsia="pl-PL"/>
              </w:rPr>
            </w:pPr>
          </w:p>
        </w:tc>
      </w:tr>
      <w:tr w:rsidR="00E54E14" w:rsidRPr="00706980" w14:paraId="41DDA8FF" w14:textId="77777777" w:rsidTr="00B823C1">
        <w:trPr>
          <w:trHeight w:val="304"/>
        </w:trPr>
        <w:tc>
          <w:tcPr>
            <w:tcW w:w="1306" w:type="dxa"/>
            <w:vMerge/>
            <w:tcBorders>
              <w:left w:val="single" w:sz="4" w:space="0" w:color="auto"/>
              <w:right w:val="single" w:sz="4" w:space="0" w:color="auto"/>
            </w:tcBorders>
            <w:vAlign w:val="center"/>
            <w:hideMark/>
          </w:tcPr>
          <w:p w14:paraId="08DA9C96" w14:textId="77777777" w:rsidR="00E54E14" w:rsidRPr="00D94B5E" w:rsidRDefault="00E54E14" w:rsidP="00B823C1">
            <w:pPr>
              <w:spacing w:after="0"/>
              <w:jc w:val="center"/>
              <w:rPr>
                <w:color w:val="000000"/>
                <w:szCs w:val="20"/>
                <w:lang w:eastAsia="pl-PL"/>
              </w:rPr>
            </w:pPr>
          </w:p>
        </w:tc>
        <w:tc>
          <w:tcPr>
            <w:tcW w:w="598" w:type="dxa"/>
            <w:tcBorders>
              <w:top w:val="nil"/>
              <w:left w:val="nil"/>
              <w:bottom w:val="single" w:sz="4" w:space="0" w:color="auto"/>
              <w:right w:val="single" w:sz="4" w:space="0" w:color="auto"/>
            </w:tcBorders>
            <w:shd w:val="clear" w:color="auto" w:fill="auto"/>
            <w:noWrap/>
            <w:vAlign w:val="center"/>
          </w:tcPr>
          <w:p w14:paraId="45B5DE04" w14:textId="77777777" w:rsidR="00E54E14" w:rsidRPr="00D94B5E" w:rsidRDefault="00E54E14" w:rsidP="00B823C1">
            <w:pPr>
              <w:spacing w:after="0"/>
              <w:jc w:val="center"/>
              <w:rPr>
                <w:color w:val="000000"/>
                <w:szCs w:val="20"/>
                <w:lang w:eastAsia="pl-PL"/>
              </w:rPr>
            </w:pPr>
          </w:p>
        </w:tc>
        <w:tc>
          <w:tcPr>
            <w:tcW w:w="591" w:type="dxa"/>
            <w:tcBorders>
              <w:top w:val="nil"/>
              <w:left w:val="nil"/>
              <w:bottom w:val="single" w:sz="4" w:space="0" w:color="auto"/>
              <w:right w:val="single" w:sz="4" w:space="0" w:color="auto"/>
            </w:tcBorders>
            <w:shd w:val="clear" w:color="auto" w:fill="auto"/>
            <w:noWrap/>
            <w:vAlign w:val="center"/>
          </w:tcPr>
          <w:p w14:paraId="6D1309C8" w14:textId="77777777" w:rsidR="00E54E14" w:rsidRPr="00D94B5E" w:rsidRDefault="00E54E14" w:rsidP="00B823C1">
            <w:pPr>
              <w:spacing w:after="0"/>
              <w:jc w:val="center"/>
              <w:rPr>
                <w:color w:val="000000"/>
                <w:szCs w:val="20"/>
                <w:lang w:eastAsia="pl-PL"/>
              </w:rPr>
            </w:pPr>
          </w:p>
        </w:tc>
        <w:tc>
          <w:tcPr>
            <w:tcW w:w="591" w:type="dxa"/>
            <w:tcBorders>
              <w:top w:val="nil"/>
              <w:left w:val="nil"/>
              <w:bottom w:val="single" w:sz="4" w:space="0" w:color="auto"/>
              <w:right w:val="single" w:sz="4" w:space="0" w:color="auto"/>
            </w:tcBorders>
            <w:shd w:val="clear" w:color="auto" w:fill="auto"/>
            <w:noWrap/>
            <w:vAlign w:val="center"/>
          </w:tcPr>
          <w:p w14:paraId="0E6B1EB1" w14:textId="77777777" w:rsidR="00E54E14" w:rsidRPr="00D94B5E" w:rsidRDefault="00E54E14" w:rsidP="00B823C1">
            <w:pPr>
              <w:spacing w:after="0"/>
              <w:jc w:val="center"/>
              <w:rPr>
                <w:color w:val="000000"/>
                <w:szCs w:val="20"/>
                <w:lang w:eastAsia="pl-PL"/>
              </w:rPr>
            </w:pPr>
          </w:p>
        </w:tc>
        <w:tc>
          <w:tcPr>
            <w:tcW w:w="591" w:type="dxa"/>
            <w:tcBorders>
              <w:top w:val="nil"/>
              <w:left w:val="nil"/>
              <w:bottom w:val="single" w:sz="4" w:space="0" w:color="auto"/>
              <w:right w:val="single" w:sz="4" w:space="0" w:color="auto"/>
            </w:tcBorders>
            <w:shd w:val="clear" w:color="auto" w:fill="auto"/>
            <w:noWrap/>
            <w:vAlign w:val="center"/>
          </w:tcPr>
          <w:p w14:paraId="3E852878" w14:textId="77777777" w:rsidR="00E54E14" w:rsidRPr="00D94B5E" w:rsidRDefault="00E54E14" w:rsidP="00B823C1">
            <w:pPr>
              <w:spacing w:after="0"/>
              <w:jc w:val="center"/>
              <w:rPr>
                <w:color w:val="000000"/>
                <w:szCs w:val="20"/>
                <w:lang w:eastAsia="pl-PL"/>
              </w:rPr>
            </w:pPr>
          </w:p>
        </w:tc>
        <w:tc>
          <w:tcPr>
            <w:tcW w:w="591" w:type="dxa"/>
            <w:tcBorders>
              <w:top w:val="nil"/>
              <w:left w:val="nil"/>
              <w:bottom w:val="single" w:sz="4" w:space="0" w:color="auto"/>
              <w:right w:val="single" w:sz="4" w:space="0" w:color="auto"/>
            </w:tcBorders>
            <w:shd w:val="clear" w:color="auto" w:fill="auto"/>
            <w:noWrap/>
            <w:vAlign w:val="center"/>
          </w:tcPr>
          <w:p w14:paraId="156E57F7" w14:textId="77777777" w:rsidR="00E54E14" w:rsidRPr="00D94B5E" w:rsidRDefault="00E54E14" w:rsidP="00B823C1">
            <w:pPr>
              <w:spacing w:after="0"/>
              <w:jc w:val="center"/>
              <w:rPr>
                <w:color w:val="000000"/>
                <w:szCs w:val="20"/>
                <w:lang w:eastAsia="pl-PL"/>
              </w:rPr>
            </w:pPr>
          </w:p>
        </w:tc>
        <w:tc>
          <w:tcPr>
            <w:tcW w:w="591" w:type="dxa"/>
            <w:tcBorders>
              <w:top w:val="nil"/>
              <w:left w:val="nil"/>
              <w:bottom w:val="single" w:sz="4" w:space="0" w:color="auto"/>
              <w:right w:val="single" w:sz="4" w:space="0" w:color="auto"/>
            </w:tcBorders>
            <w:shd w:val="clear" w:color="auto" w:fill="auto"/>
            <w:noWrap/>
            <w:vAlign w:val="center"/>
          </w:tcPr>
          <w:p w14:paraId="45316670" w14:textId="77777777" w:rsidR="00E54E14" w:rsidRPr="00D94B5E" w:rsidRDefault="00E54E14" w:rsidP="00B823C1">
            <w:pPr>
              <w:spacing w:after="0"/>
              <w:jc w:val="center"/>
              <w:rPr>
                <w:color w:val="000000"/>
                <w:szCs w:val="20"/>
                <w:lang w:eastAsia="pl-PL"/>
              </w:rPr>
            </w:pPr>
            <w:r w:rsidRPr="00D94B5E">
              <w:rPr>
                <w:color w:val="000000"/>
                <w:szCs w:val="20"/>
                <w:lang w:eastAsia="pl-PL"/>
              </w:rPr>
              <w:t>50</w:t>
            </w:r>
          </w:p>
        </w:tc>
        <w:tc>
          <w:tcPr>
            <w:tcW w:w="591" w:type="dxa"/>
            <w:tcBorders>
              <w:top w:val="single" w:sz="4" w:space="0" w:color="auto"/>
              <w:left w:val="single" w:sz="4" w:space="0" w:color="auto"/>
              <w:bottom w:val="single" w:sz="4" w:space="0" w:color="auto"/>
              <w:right w:val="single" w:sz="4" w:space="0" w:color="auto"/>
            </w:tcBorders>
          </w:tcPr>
          <w:p w14:paraId="1333AA03" w14:textId="77777777" w:rsidR="00E54E14" w:rsidRPr="00D94B5E" w:rsidRDefault="00E54E14" w:rsidP="00B823C1">
            <w:pPr>
              <w:spacing w:after="0"/>
              <w:jc w:val="center"/>
              <w:rPr>
                <w:color w:val="000000"/>
                <w:szCs w:val="20"/>
                <w:lang w:eastAsia="pl-PL"/>
              </w:rPr>
            </w:pPr>
            <w:r w:rsidRPr="00D94B5E">
              <w:rPr>
                <w:color w:val="000000"/>
                <w:szCs w:val="20"/>
                <w:lang w:eastAsia="pl-PL"/>
              </w:rPr>
              <w:t>0</w:t>
            </w:r>
          </w:p>
        </w:tc>
        <w:tc>
          <w:tcPr>
            <w:tcW w:w="591" w:type="dxa"/>
            <w:tcBorders>
              <w:top w:val="single" w:sz="4" w:space="0" w:color="auto"/>
              <w:left w:val="single" w:sz="4" w:space="0" w:color="auto"/>
              <w:bottom w:val="single" w:sz="4" w:space="0" w:color="auto"/>
              <w:right w:val="single" w:sz="4" w:space="0" w:color="auto"/>
            </w:tcBorders>
          </w:tcPr>
          <w:p w14:paraId="400DE7F7" w14:textId="77777777" w:rsidR="00E54E14" w:rsidRPr="00D94B5E" w:rsidRDefault="00E54E14" w:rsidP="00B823C1">
            <w:pPr>
              <w:spacing w:after="0"/>
              <w:jc w:val="center"/>
              <w:rPr>
                <w:color w:val="000000"/>
                <w:szCs w:val="20"/>
                <w:lang w:eastAsia="pl-PL"/>
              </w:rPr>
            </w:pPr>
            <w:r w:rsidRPr="00D94B5E">
              <w:rPr>
                <w:color w:val="000000"/>
                <w:szCs w:val="20"/>
                <w:lang w:eastAsia="pl-PL"/>
              </w:rPr>
              <w:t>0</w:t>
            </w:r>
          </w:p>
        </w:tc>
        <w:tc>
          <w:tcPr>
            <w:tcW w:w="591" w:type="dxa"/>
            <w:tcBorders>
              <w:top w:val="single" w:sz="4" w:space="0" w:color="auto"/>
              <w:left w:val="single" w:sz="4" w:space="0" w:color="auto"/>
              <w:bottom w:val="single" w:sz="4" w:space="0" w:color="auto"/>
              <w:right w:val="single" w:sz="4" w:space="0" w:color="auto"/>
            </w:tcBorders>
          </w:tcPr>
          <w:p w14:paraId="7088D561" w14:textId="77777777" w:rsidR="00E54E14" w:rsidRPr="00D94B5E" w:rsidRDefault="00E54E14" w:rsidP="00B823C1">
            <w:pPr>
              <w:spacing w:after="0"/>
              <w:jc w:val="center"/>
              <w:rPr>
                <w:color w:val="000000"/>
                <w:szCs w:val="20"/>
                <w:lang w:eastAsia="pl-PL"/>
              </w:rPr>
            </w:pPr>
            <w:r w:rsidRPr="00D94B5E">
              <w:rPr>
                <w:color w:val="000000"/>
                <w:szCs w:val="20"/>
                <w:lang w:eastAsia="pl-PL"/>
              </w:rPr>
              <w:t>0</w:t>
            </w:r>
          </w:p>
        </w:tc>
        <w:tc>
          <w:tcPr>
            <w:tcW w:w="591" w:type="dxa"/>
            <w:tcBorders>
              <w:top w:val="single" w:sz="4" w:space="0" w:color="auto"/>
              <w:left w:val="single" w:sz="4" w:space="0" w:color="auto"/>
              <w:bottom w:val="single" w:sz="4" w:space="0" w:color="auto"/>
              <w:right w:val="single" w:sz="4" w:space="0" w:color="auto"/>
            </w:tcBorders>
            <w:shd w:val="clear" w:color="auto" w:fill="auto"/>
            <w:noWrap/>
          </w:tcPr>
          <w:p w14:paraId="4C6EE499" w14:textId="77777777" w:rsidR="00E54E14" w:rsidRPr="00D94B5E" w:rsidRDefault="00E54E14" w:rsidP="00B823C1">
            <w:pPr>
              <w:spacing w:after="0"/>
              <w:jc w:val="center"/>
              <w:rPr>
                <w:color w:val="000000"/>
                <w:szCs w:val="20"/>
                <w:lang w:eastAsia="pl-PL"/>
              </w:rPr>
            </w:pPr>
            <w:r w:rsidRPr="00D94B5E">
              <w:rPr>
                <w:color w:val="000000"/>
                <w:szCs w:val="20"/>
                <w:lang w:eastAsia="pl-PL"/>
              </w:rPr>
              <w:t>0</w:t>
            </w:r>
          </w:p>
        </w:tc>
        <w:tc>
          <w:tcPr>
            <w:tcW w:w="2008" w:type="dxa"/>
            <w:vMerge/>
            <w:tcBorders>
              <w:left w:val="single" w:sz="4" w:space="0" w:color="auto"/>
              <w:right w:val="single" w:sz="4" w:space="0" w:color="auto"/>
            </w:tcBorders>
            <w:vAlign w:val="center"/>
            <w:hideMark/>
          </w:tcPr>
          <w:p w14:paraId="55448CE2" w14:textId="77777777" w:rsidR="00E54E14" w:rsidRPr="00D94B5E" w:rsidRDefault="00E54E14" w:rsidP="00B823C1">
            <w:pPr>
              <w:spacing w:after="0"/>
              <w:jc w:val="center"/>
              <w:rPr>
                <w:color w:val="000000"/>
                <w:szCs w:val="20"/>
                <w:lang w:eastAsia="pl-PL"/>
              </w:rPr>
            </w:pPr>
          </w:p>
        </w:tc>
      </w:tr>
      <w:tr w:rsidR="00E54E14" w:rsidRPr="00706980" w14:paraId="1856FA06" w14:textId="77777777" w:rsidTr="00B823C1">
        <w:trPr>
          <w:trHeight w:val="304"/>
        </w:trPr>
        <w:tc>
          <w:tcPr>
            <w:tcW w:w="1306" w:type="dxa"/>
            <w:vMerge/>
            <w:tcBorders>
              <w:left w:val="single" w:sz="4" w:space="0" w:color="auto"/>
              <w:right w:val="single" w:sz="4" w:space="0" w:color="auto"/>
            </w:tcBorders>
            <w:vAlign w:val="center"/>
            <w:hideMark/>
          </w:tcPr>
          <w:p w14:paraId="6FA911E1" w14:textId="77777777" w:rsidR="00E54E14" w:rsidRPr="00D94B5E" w:rsidRDefault="00E54E14" w:rsidP="00B823C1">
            <w:pPr>
              <w:spacing w:after="0"/>
              <w:jc w:val="center"/>
              <w:rPr>
                <w:color w:val="000000"/>
                <w:szCs w:val="20"/>
                <w:lang w:eastAsia="pl-PL"/>
              </w:rPr>
            </w:pPr>
          </w:p>
        </w:tc>
        <w:tc>
          <w:tcPr>
            <w:tcW w:w="598" w:type="dxa"/>
            <w:tcBorders>
              <w:top w:val="nil"/>
              <w:left w:val="nil"/>
              <w:bottom w:val="single" w:sz="4" w:space="0" w:color="auto"/>
              <w:right w:val="single" w:sz="4" w:space="0" w:color="auto"/>
            </w:tcBorders>
            <w:shd w:val="clear" w:color="auto" w:fill="auto"/>
            <w:noWrap/>
            <w:vAlign w:val="center"/>
          </w:tcPr>
          <w:p w14:paraId="441FDD5F" w14:textId="77777777" w:rsidR="00E54E14" w:rsidRPr="00D94B5E" w:rsidRDefault="00E54E14" w:rsidP="00B823C1">
            <w:pPr>
              <w:spacing w:after="0"/>
              <w:jc w:val="center"/>
              <w:rPr>
                <w:color w:val="000000"/>
                <w:szCs w:val="20"/>
                <w:lang w:eastAsia="pl-PL"/>
              </w:rPr>
            </w:pPr>
          </w:p>
        </w:tc>
        <w:tc>
          <w:tcPr>
            <w:tcW w:w="591" w:type="dxa"/>
            <w:tcBorders>
              <w:top w:val="nil"/>
              <w:left w:val="nil"/>
              <w:bottom w:val="single" w:sz="4" w:space="0" w:color="auto"/>
              <w:right w:val="single" w:sz="4" w:space="0" w:color="auto"/>
            </w:tcBorders>
            <w:shd w:val="clear" w:color="auto" w:fill="auto"/>
            <w:noWrap/>
            <w:vAlign w:val="center"/>
          </w:tcPr>
          <w:p w14:paraId="157C7070" w14:textId="77777777" w:rsidR="00E54E14" w:rsidRPr="00D94B5E" w:rsidRDefault="00E54E14" w:rsidP="00B823C1">
            <w:pPr>
              <w:spacing w:after="0"/>
              <w:jc w:val="center"/>
              <w:rPr>
                <w:color w:val="000000"/>
                <w:szCs w:val="20"/>
                <w:lang w:eastAsia="pl-PL"/>
              </w:rPr>
            </w:pPr>
          </w:p>
        </w:tc>
        <w:tc>
          <w:tcPr>
            <w:tcW w:w="591" w:type="dxa"/>
            <w:tcBorders>
              <w:top w:val="nil"/>
              <w:left w:val="nil"/>
              <w:bottom w:val="single" w:sz="4" w:space="0" w:color="auto"/>
              <w:right w:val="single" w:sz="4" w:space="0" w:color="auto"/>
            </w:tcBorders>
            <w:shd w:val="clear" w:color="auto" w:fill="auto"/>
            <w:noWrap/>
            <w:vAlign w:val="center"/>
          </w:tcPr>
          <w:p w14:paraId="61F233E1" w14:textId="77777777" w:rsidR="00E54E14" w:rsidRPr="00D94B5E" w:rsidRDefault="00E54E14" w:rsidP="00B823C1">
            <w:pPr>
              <w:spacing w:after="0"/>
              <w:jc w:val="center"/>
              <w:rPr>
                <w:color w:val="000000"/>
                <w:szCs w:val="20"/>
                <w:lang w:eastAsia="pl-PL"/>
              </w:rPr>
            </w:pPr>
          </w:p>
        </w:tc>
        <w:tc>
          <w:tcPr>
            <w:tcW w:w="591" w:type="dxa"/>
            <w:tcBorders>
              <w:top w:val="nil"/>
              <w:left w:val="nil"/>
              <w:bottom w:val="single" w:sz="4" w:space="0" w:color="auto"/>
              <w:right w:val="single" w:sz="4" w:space="0" w:color="auto"/>
            </w:tcBorders>
            <w:shd w:val="clear" w:color="auto" w:fill="auto"/>
            <w:noWrap/>
            <w:vAlign w:val="center"/>
          </w:tcPr>
          <w:p w14:paraId="23BD2B9C" w14:textId="77777777" w:rsidR="00E54E14" w:rsidRPr="00D94B5E" w:rsidRDefault="00E54E14" w:rsidP="00B823C1">
            <w:pPr>
              <w:spacing w:after="0"/>
              <w:jc w:val="center"/>
              <w:rPr>
                <w:color w:val="000000"/>
                <w:szCs w:val="20"/>
                <w:lang w:eastAsia="pl-PL"/>
              </w:rPr>
            </w:pPr>
          </w:p>
        </w:tc>
        <w:tc>
          <w:tcPr>
            <w:tcW w:w="591" w:type="dxa"/>
            <w:tcBorders>
              <w:top w:val="nil"/>
              <w:left w:val="nil"/>
              <w:bottom w:val="single" w:sz="4" w:space="0" w:color="auto"/>
              <w:right w:val="single" w:sz="4" w:space="0" w:color="auto"/>
            </w:tcBorders>
            <w:shd w:val="clear" w:color="auto" w:fill="auto"/>
            <w:noWrap/>
            <w:vAlign w:val="center"/>
          </w:tcPr>
          <w:p w14:paraId="2B3ED697" w14:textId="77777777" w:rsidR="00E54E14" w:rsidRPr="00D94B5E" w:rsidRDefault="00E54E14" w:rsidP="00B823C1">
            <w:pPr>
              <w:spacing w:after="0"/>
              <w:jc w:val="center"/>
              <w:rPr>
                <w:color w:val="000000"/>
                <w:szCs w:val="20"/>
                <w:lang w:eastAsia="pl-PL"/>
              </w:rPr>
            </w:pPr>
            <w:r w:rsidRPr="00D94B5E">
              <w:rPr>
                <w:color w:val="000000"/>
                <w:szCs w:val="20"/>
                <w:lang w:eastAsia="pl-PL"/>
              </w:rPr>
              <w:t>50</w:t>
            </w:r>
          </w:p>
        </w:tc>
        <w:tc>
          <w:tcPr>
            <w:tcW w:w="591" w:type="dxa"/>
            <w:tcBorders>
              <w:top w:val="nil"/>
              <w:left w:val="nil"/>
              <w:bottom w:val="single" w:sz="4" w:space="0" w:color="auto"/>
              <w:right w:val="single" w:sz="4" w:space="0" w:color="auto"/>
            </w:tcBorders>
            <w:shd w:val="clear" w:color="auto" w:fill="auto"/>
            <w:noWrap/>
          </w:tcPr>
          <w:p w14:paraId="24BB2D4F" w14:textId="77777777" w:rsidR="00E54E14" w:rsidRPr="00D94B5E" w:rsidRDefault="00E54E14" w:rsidP="00B823C1">
            <w:pPr>
              <w:spacing w:after="0"/>
              <w:jc w:val="center"/>
              <w:rPr>
                <w:color w:val="000000"/>
                <w:szCs w:val="20"/>
                <w:lang w:eastAsia="pl-PL"/>
              </w:rPr>
            </w:pPr>
            <w:r w:rsidRPr="00D94B5E">
              <w:rPr>
                <w:color w:val="000000"/>
                <w:szCs w:val="20"/>
                <w:lang w:eastAsia="pl-PL"/>
              </w:rPr>
              <w:t>0</w:t>
            </w:r>
          </w:p>
        </w:tc>
        <w:tc>
          <w:tcPr>
            <w:tcW w:w="591" w:type="dxa"/>
            <w:tcBorders>
              <w:top w:val="single" w:sz="4" w:space="0" w:color="auto"/>
              <w:left w:val="single" w:sz="4" w:space="0" w:color="auto"/>
              <w:bottom w:val="single" w:sz="4" w:space="0" w:color="auto"/>
              <w:right w:val="single" w:sz="4" w:space="0" w:color="auto"/>
            </w:tcBorders>
          </w:tcPr>
          <w:p w14:paraId="3BC5E9FE" w14:textId="77777777" w:rsidR="00E54E14" w:rsidRPr="00D94B5E" w:rsidRDefault="00E54E14" w:rsidP="00B823C1">
            <w:pPr>
              <w:spacing w:after="0"/>
              <w:jc w:val="center"/>
              <w:rPr>
                <w:color w:val="000000"/>
                <w:szCs w:val="20"/>
                <w:lang w:eastAsia="pl-PL"/>
              </w:rPr>
            </w:pPr>
            <w:r w:rsidRPr="00D94B5E">
              <w:rPr>
                <w:color w:val="000000"/>
                <w:szCs w:val="20"/>
                <w:lang w:eastAsia="pl-PL"/>
              </w:rPr>
              <w:t>0</w:t>
            </w:r>
          </w:p>
        </w:tc>
        <w:tc>
          <w:tcPr>
            <w:tcW w:w="591" w:type="dxa"/>
            <w:tcBorders>
              <w:top w:val="single" w:sz="4" w:space="0" w:color="auto"/>
              <w:left w:val="single" w:sz="4" w:space="0" w:color="auto"/>
              <w:bottom w:val="single" w:sz="4" w:space="0" w:color="auto"/>
              <w:right w:val="single" w:sz="4" w:space="0" w:color="auto"/>
            </w:tcBorders>
          </w:tcPr>
          <w:p w14:paraId="32AE9B41" w14:textId="77777777" w:rsidR="00E54E14" w:rsidRPr="00D94B5E" w:rsidRDefault="00E54E14" w:rsidP="00B823C1">
            <w:pPr>
              <w:spacing w:after="0"/>
              <w:jc w:val="center"/>
              <w:rPr>
                <w:color w:val="000000"/>
                <w:szCs w:val="20"/>
                <w:lang w:eastAsia="pl-PL"/>
              </w:rPr>
            </w:pPr>
            <w:r w:rsidRPr="00D94B5E">
              <w:rPr>
                <w:color w:val="000000"/>
                <w:szCs w:val="20"/>
                <w:lang w:eastAsia="pl-PL"/>
              </w:rPr>
              <w:t>0</w:t>
            </w:r>
          </w:p>
        </w:tc>
        <w:tc>
          <w:tcPr>
            <w:tcW w:w="591" w:type="dxa"/>
            <w:tcBorders>
              <w:top w:val="single" w:sz="4" w:space="0" w:color="auto"/>
              <w:left w:val="single" w:sz="4" w:space="0" w:color="auto"/>
              <w:bottom w:val="single" w:sz="4" w:space="0" w:color="auto"/>
              <w:right w:val="single" w:sz="4" w:space="0" w:color="auto"/>
            </w:tcBorders>
          </w:tcPr>
          <w:p w14:paraId="6F86C841" w14:textId="77777777" w:rsidR="00E54E14" w:rsidRPr="00D94B5E" w:rsidRDefault="00E54E14" w:rsidP="00B823C1">
            <w:pPr>
              <w:spacing w:after="0"/>
              <w:jc w:val="center"/>
              <w:rPr>
                <w:color w:val="000000"/>
                <w:szCs w:val="20"/>
                <w:lang w:eastAsia="pl-PL"/>
              </w:rPr>
            </w:pPr>
            <w:r w:rsidRPr="00D94B5E">
              <w:rPr>
                <w:color w:val="000000"/>
                <w:szCs w:val="20"/>
                <w:lang w:eastAsia="pl-PL"/>
              </w:rPr>
              <w:t>0</w:t>
            </w:r>
          </w:p>
        </w:tc>
        <w:tc>
          <w:tcPr>
            <w:tcW w:w="591" w:type="dxa"/>
            <w:tcBorders>
              <w:top w:val="single" w:sz="4" w:space="0" w:color="auto"/>
              <w:left w:val="single" w:sz="4" w:space="0" w:color="auto"/>
              <w:bottom w:val="single" w:sz="4" w:space="0" w:color="auto"/>
              <w:right w:val="single" w:sz="4" w:space="0" w:color="auto"/>
            </w:tcBorders>
            <w:shd w:val="clear" w:color="auto" w:fill="auto"/>
            <w:noWrap/>
          </w:tcPr>
          <w:p w14:paraId="20BD55EF" w14:textId="77777777" w:rsidR="00E54E14" w:rsidRPr="00D94B5E" w:rsidRDefault="00E54E14" w:rsidP="00B823C1">
            <w:pPr>
              <w:spacing w:after="0"/>
              <w:jc w:val="center"/>
              <w:rPr>
                <w:color w:val="000000"/>
                <w:szCs w:val="20"/>
                <w:lang w:eastAsia="pl-PL"/>
              </w:rPr>
            </w:pPr>
            <w:r w:rsidRPr="00D94B5E">
              <w:rPr>
                <w:color w:val="000000"/>
                <w:szCs w:val="20"/>
                <w:lang w:eastAsia="pl-PL"/>
              </w:rPr>
              <w:t>0</w:t>
            </w:r>
          </w:p>
        </w:tc>
        <w:tc>
          <w:tcPr>
            <w:tcW w:w="2008" w:type="dxa"/>
            <w:vMerge/>
            <w:tcBorders>
              <w:left w:val="single" w:sz="4" w:space="0" w:color="auto"/>
              <w:right w:val="single" w:sz="4" w:space="0" w:color="auto"/>
            </w:tcBorders>
            <w:shd w:val="clear" w:color="auto" w:fill="auto"/>
            <w:vAlign w:val="center"/>
            <w:hideMark/>
          </w:tcPr>
          <w:p w14:paraId="1A967018" w14:textId="77777777" w:rsidR="00E54E14" w:rsidRPr="00D94B5E" w:rsidRDefault="00E54E14" w:rsidP="00B823C1">
            <w:pPr>
              <w:spacing w:after="0"/>
              <w:jc w:val="center"/>
              <w:rPr>
                <w:color w:val="000000"/>
                <w:szCs w:val="20"/>
                <w:lang w:eastAsia="pl-PL"/>
              </w:rPr>
            </w:pPr>
          </w:p>
        </w:tc>
      </w:tr>
      <w:tr w:rsidR="00E54E14" w:rsidRPr="00706980" w14:paraId="03C70753" w14:textId="77777777" w:rsidTr="00B823C1">
        <w:trPr>
          <w:trHeight w:val="304"/>
        </w:trPr>
        <w:tc>
          <w:tcPr>
            <w:tcW w:w="1306" w:type="dxa"/>
            <w:vMerge/>
            <w:tcBorders>
              <w:left w:val="single" w:sz="4" w:space="0" w:color="auto"/>
              <w:right w:val="single" w:sz="4" w:space="0" w:color="auto"/>
            </w:tcBorders>
            <w:vAlign w:val="center"/>
            <w:hideMark/>
          </w:tcPr>
          <w:p w14:paraId="5BC27F96" w14:textId="77777777" w:rsidR="00E54E14" w:rsidRPr="00D94B5E" w:rsidRDefault="00E54E14" w:rsidP="00B823C1">
            <w:pPr>
              <w:spacing w:after="0"/>
              <w:jc w:val="center"/>
              <w:rPr>
                <w:color w:val="000000"/>
                <w:szCs w:val="20"/>
                <w:lang w:eastAsia="pl-PL"/>
              </w:rPr>
            </w:pPr>
          </w:p>
        </w:tc>
        <w:tc>
          <w:tcPr>
            <w:tcW w:w="598" w:type="dxa"/>
            <w:tcBorders>
              <w:top w:val="nil"/>
              <w:left w:val="nil"/>
              <w:bottom w:val="single" w:sz="4" w:space="0" w:color="auto"/>
              <w:right w:val="single" w:sz="4" w:space="0" w:color="auto"/>
            </w:tcBorders>
            <w:shd w:val="clear" w:color="auto" w:fill="auto"/>
            <w:noWrap/>
            <w:vAlign w:val="center"/>
          </w:tcPr>
          <w:p w14:paraId="4FA57B4D" w14:textId="77777777" w:rsidR="00E54E14" w:rsidRPr="00D94B5E" w:rsidRDefault="00E54E14" w:rsidP="00B823C1">
            <w:pPr>
              <w:spacing w:after="0"/>
              <w:jc w:val="center"/>
              <w:rPr>
                <w:color w:val="000000"/>
                <w:szCs w:val="20"/>
                <w:lang w:eastAsia="pl-PL"/>
              </w:rPr>
            </w:pPr>
          </w:p>
        </w:tc>
        <w:tc>
          <w:tcPr>
            <w:tcW w:w="591" w:type="dxa"/>
            <w:tcBorders>
              <w:top w:val="nil"/>
              <w:left w:val="nil"/>
              <w:bottom w:val="single" w:sz="4" w:space="0" w:color="auto"/>
              <w:right w:val="single" w:sz="4" w:space="0" w:color="auto"/>
            </w:tcBorders>
            <w:shd w:val="clear" w:color="auto" w:fill="auto"/>
            <w:noWrap/>
            <w:vAlign w:val="center"/>
          </w:tcPr>
          <w:p w14:paraId="1A7822B3" w14:textId="77777777" w:rsidR="00E54E14" w:rsidRPr="00D94B5E" w:rsidRDefault="00E54E14" w:rsidP="00B823C1">
            <w:pPr>
              <w:spacing w:after="0"/>
              <w:jc w:val="center"/>
              <w:rPr>
                <w:color w:val="000000"/>
                <w:szCs w:val="20"/>
                <w:lang w:eastAsia="pl-PL"/>
              </w:rPr>
            </w:pPr>
          </w:p>
        </w:tc>
        <w:tc>
          <w:tcPr>
            <w:tcW w:w="591" w:type="dxa"/>
            <w:tcBorders>
              <w:top w:val="nil"/>
              <w:left w:val="nil"/>
              <w:bottom w:val="single" w:sz="4" w:space="0" w:color="auto"/>
              <w:right w:val="single" w:sz="4" w:space="0" w:color="auto"/>
            </w:tcBorders>
            <w:shd w:val="clear" w:color="auto" w:fill="auto"/>
            <w:noWrap/>
            <w:vAlign w:val="center"/>
          </w:tcPr>
          <w:p w14:paraId="0DD7EBD2" w14:textId="77777777" w:rsidR="00E54E14" w:rsidRPr="00D94B5E" w:rsidRDefault="00E54E14" w:rsidP="00B823C1">
            <w:pPr>
              <w:spacing w:after="0"/>
              <w:jc w:val="center"/>
              <w:rPr>
                <w:color w:val="000000"/>
                <w:szCs w:val="20"/>
                <w:lang w:eastAsia="pl-PL"/>
              </w:rPr>
            </w:pPr>
          </w:p>
        </w:tc>
        <w:tc>
          <w:tcPr>
            <w:tcW w:w="591" w:type="dxa"/>
            <w:tcBorders>
              <w:top w:val="nil"/>
              <w:left w:val="nil"/>
              <w:bottom w:val="single" w:sz="4" w:space="0" w:color="auto"/>
              <w:right w:val="single" w:sz="4" w:space="0" w:color="auto"/>
            </w:tcBorders>
            <w:shd w:val="clear" w:color="auto" w:fill="auto"/>
            <w:noWrap/>
            <w:vAlign w:val="center"/>
          </w:tcPr>
          <w:p w14:paraId="2F7E9302" w14:textId="77777777" w:rsidR="00E54E14" w:rsidRPr="00D94B5E" w:rsidRDefault="00E54E14" w:rsidP="00B823C1">
            <w:pPr>
              <w:spacing w:after="0"/>
              <w:jc w:val="center"/>
              <w:rPr>
                <w:color w:val="000000"/>
                <w:szCs w:val="20"/>
                <w:lang w:eastAsia="pl-PL"/>
              </w:rPr>
            </w:pPr>
            <w:r w:rsidRPr="00D94B5E">
              <w:rPr>
                <w:color w:val="000000"/>
                <w:szCs w:val="20"/>
                <w:lang w:eastAsia="pl-PL"/>
              </w:rPr>
              <w:t>50</w:t>
            </w:r>
          </w:p>
        </w:tc>
        <w:tc>
          <w:tcPr>
            <w:tcW w:w="591" w:type="dxa"/>
            <w:tcBorders>
              <w:top w:val="nil"/>
              <w:left w:val="nil"/>
              <w:bottom w:val="single" w:sz="4" w:space="0" w:color="auto"/>
              <w:right w:val="single" w:sz="4" w:space="0" w:color="auto"/>
            </w:tcBorders>
            <w:shd w:val="clear" w:color="auto" w:fill="auto"/>
            <w:noWrap/>
          </w:tcPr>
          <w:p w14:paraId="25DA84A7" w14:textId="77777777" w:rsidR="00E54E14" w:rsidRPr="00D94B5E" w:rsidRDefault="00E54E14" w:rsidP="00B823C1">
            <w:pPr>
              <w:spacing w:after="0"/>
              <w:jc w:val="center"/>
              <w:rPr>
                <w:color w:val="000000"/>
                <w:szCs w:val="20"/>
                <w:lang w:eastAsia="pl-PL"/>
              </w:rPr>
            </w:pPr>
            <w:r w:rsidRPr="00D94B5E">
              <w:rPr>
                <w:color w:val="000000"/>
                <w:szCs w:val="20"/>
                <w:lang w:eastAsia="pl-PL"/>
              </w:rPr>
              <w:t>0</w:t>
            </w:r>
          </w:p>
        </w:tc>
        <w:tc>
          <w:tcPr>
            <w:tcW w:w="591" w:type="dxa"/>
            <w:tcBorders>
              <w:top w:val="nil"/>
              <w:left w:val="nil"/>
              <w:bottom w:val="single" w:sz="4" w:space="0" w:color="auto"/>
              <w:right w:val="single" w:sz="4" w:space="0" w:color="auto"/>
            </w:tcBorders>
            <w:shd w:val="clear" w:color="auto" w:fill="auto"/>
            <w:noWrap/>
          </w:tcPr>
          <w:p w14:paraId="4B1FB4BD" w14:textId="77777777" w:rsidR="00E54E14" w:rsidRPr="00D94B5E" w:rsidRDefault="00E54E14" w:rsidP="00B823C1">
            <w:pPr>
              <w:spacing w:after="0"/>
              <w:jc w:val="center"/>
              <w:rPr>
                <w:color w:val="000000"/>
                <w:szCs w:val="20"/>
                <w:lang w:eastAsia="pl-PL"/>
              </w:rPr>
            </w:pPr>
            <w:r w:rsidRPr="00D94B5E">
              <w:rPr>
                <w:color w:val="000000"/>
                <w:szCs w:val="20"/>
                <w:lang w:eastAsia="pl-PL"/>
              </w:rPr>
              <w:t>0</w:t>
            </w:r>
          </w:p>
        </w:tc>
        <w:tc>
          <w:tcPr>
            <w:tcW w:w="591" w:type="dxa"/>
            <w:tcBorders>
              <w:top w:val="single" w:sz="4" w:space="0" w:color="auto"/>
              <w:left w:val="single" w:sz="4" w:space="0" w:color="auto"/>
              <w:bottom w:val="single" w:sz="4" w:space="0" w:color="auto"/>
              <w:right w:val="single" w:sz="4" w:space="0" w:color="auto"/>
            </w:tcBorders>
          </w:tcPr>
          <w:p w14:paraId="1A6587BC" w14:textId="77777777" w:rsidR="00E54E14" w:rsidRPr="00D94B5E" w:rsidRDefault="00E54E14" w:rsidP="00B823C1">
            <w:pPr>
              <w:spacing w:after="0"/>
              <w:jc w:val="center"/>
              <w:rPr>
                <w:color w:val="000000"/>
                <w:szCs w:val="20"/>
                <w:lang w:eastAsia="pl-PL"/>
              </w:rPr>
            </w:pPr>
            <w:r w:rsidRPr="00D94B5E">
              <w:rPr>
                <w:color w:val="000000"/>
                <w:szCs w:val="20"/>
                <w:lang w:eastAsia="pl-PL"/>
              </w:rPr>
              <w:t>0</w:t>
            </w:r>
          </w:p>
        </w:tc>
        <w:tc>
          <w:tcPr>
            <w:tcW w:w="591" w:type="dxa"/>
            <w:tcBorders>
              <w:top w:val="single" w:sz="4" w:space="0" w:color="auto"/>
              <w:left w:val="single" w:sz="4" w:space="0" w:color="auto"/>
              <w:bottom w:val="single" w:sz="4" w:space="0" w:color="auto"/>
              <w:right w:val="single" w:sz="4" w:space="0" w:color="auto"/>
            </w:tcBorders>
          </w:tcPr>
          <w:p w14:paraId="4414FF4E" w14:textId="77777777" w:rsidR="00E54E14" w:rsidRPr="00D94B5E" w:rsidRDefault="00E54E14" w:rsidP="00B823C1">
            <w:pPr>
              <w:spacing w:after="0"/>
              <w:jc w:val="center"/>
              <w:rPr>
                <w:color w:val="000000"/>
                <w:szCs w:val="20"/>
                <w:lang w:eastAsia="pl-PL"/>
              </w:rPr>
            </w:pPr>
            <w:r w:rsidRPr="00D94B5E">
              <w:rPr>
                <w:color w:val="000000"/>
                <w:szCs w:val="20"/>
                <w:lang w:eastAsia="pl-PL"/>
              </w:rPr>
              <w:t>0</w:t>
            </w:r>
          </w:p>
        </w:tc>
        <w:tc>
          <w:tcPr>
            <w:tcW w:w="591" w:type="dxa"/>
            <w:tcBorders>
              <w:top w:val="single" w:sz="4" w:space="0" w:color="auto"/>
              <w:left w:val="single" w:sz="4" w:space="0" w:color="auto"/>
              <w:bottom w:val="single" w:sz="4" w:space="0" w:color="auto"/>
              <w:right w:val="single" w:sz="4" w:space="0" w:color="auto"/>
            </w:tcBorders>
          </w:tcPr>
          <w:p w14:paraId="74931C2A" w14:textId="77777777" w:rsidR="00E54E14" w:rsidRPr="00D94B5E" w:rsidRDefault="00E54E14" w:rsidP="00B823C1">
            <w:pPr>
              <w:spacing w:after="0"/>
              <w:jc w:val="center"/>
              <w:rPr>
                <w:color w:val="000000"/>
                <w:szCs w:val="20"/>
                <w:lang w:eastAsia="pl-PL"/>
              </w:rPr>
            </w:pPr>
            <w:r w:rsidRPr="00D94B5E">
              <w:rPr>
                <w:color w:val="000000"/>
                <w:szCs w:val="20"/>
                <w:lang w:eastAsia="pl-PL"/>
              </w:rPr>
              <w:t>0</w:t>
            </w:r>
          </w:p>
        </w:tc>
        <w:tc>
          <w:tcPr>
            <w:tcW w:w="591" w:type="dxa"/>
            <w:tcBorders>
              <w:top w:val="single" w:sz="4" w:space="0" w:color="auto"/>
              <w:left w:val="single" w:sz="4" w:space="0" w:color="auto"/>
              <w:bottom w:val="single" w:sz="4" w:space="0" w:color="auto"/>
              <w:right w:val="single" w:sz="4" w:space="0" w:color="auto"/>
            </w:tcBorders>
            <w:shd w:val="clear" w:color="auto" w:fill="auto"/>
            <w:noWrap/>
          </w:tcPr>
          <w:p w14:paraId="4AAC6660" w14:textId="77777777" w:rsidR="00E54E14" w:rsidRPr="00D94B5E" w:rsidRDefault="00E54E14" w:rsidP="00B823C1">
            <w:pPr>
              <w:spacing w:after="0"/>
              <w:jc w:val="center"/>
              <w:rPr>
                <w:color w:val="000000"/>
                <w:szCs w:val="20"/>
                <w:lang w:eastAsia="pl-PL"/>
              </w:rPr>
            </w:pPr>
            <w:r w:rsidRPr="00D94B5E">
              <w:rPr>
                <w:color w:val="000000"/>
                <w:szCs w:val="20"/>
                <w:lang w:eastAsia="pl-PL"/>
              </w:rPr>
              <w:t>0</w:t>
            </w:r>
          </w:p>
        </w:tc>
        <w:tc>
          <w:tcPr>
            <w:tcW w:w="2008" w:type="dxa"/>
            <w:vMerge/>
            <w:tcBorders>
              <w:left w:val="single" w:sz="4" w:space="0" w:color="auto"/>
              <w:right w:val="single" w:sz="4" w:space="0" w:color="auto"/>
            </w:tcBorders>
            <w:vAlign w:val="center"/>
            <w:hideMark/>
          </w:tcPr>
          <w:p w14:paraId="52E05919" w14:textId="77777777" w:rsidR="00E54E14" w:rsidRPr="00D94B5E" w:rsidRDefault="00E54E14" w:rsidP="00B823C1">
            <w:pPr>
              <w:spacing w:after="0"/>
              <w:jc w:val="center"/>
              <w:rPr>
                <w:color w:val="000000"/>
                <w:szCs w:val="20"/>
                <w:lang w:eastAsia="pl-PL"/>
              </w:rPr>
            </w:pPr>
          </w:p>
        </w:tc>
      </w:tr>
      <w:tr w:rsidR="00E54E14" w:rsidRPr="00706980" w14:paraId="732F81F2" w14:textId="77777777" w:rsidTr="00B823C1">
        <w:trPr>
          <w:trHeight w:val="304"/>
        </w:trPr>
        <w:tc>
          <w:tcPr>
            <w:tcW w:w="1306" w:type="dxa"/>
            <w:vMerge/>
            <w:tcBorders>
              <w:left w:val="single" w:sz="4" w:space="0" w:color="auto"/>
              <w:right w:val="single" w:sz="4" w:space="0" w:color="auto"/>
            </w:tcBorders>
            <w:vAlign w:val="center"/>
          </w:tcPr>
          <w:p w14:paraId="0570BC92" w14:textId="77777777" w:rsidR="00E54E14" w:rsidRPr="00D94B5E" w:rsidRDefault="00E54E14" w:rsidP="00B823C1">
            <w:pPr>
              <w:spacing w:after="0"/>
              <w:jc w:val="center"/>
              <w:rPr>
                <w:color w:val="000000"/>
                <w:szCs w:val="20"/>
                <w:lang w:eastAsia="pl-PL"/>
              </w:rPr>
            </w:pPr>
          </w:p>
        </w:tc>
        <w:tc>
          <w:tcPr>
            <w:tcW w:w="598" w:type="dxa"/>
            <w:tcBorders>
              <w:top w:val="nil"/>
              <w:left w:val="nil"/>
              <w:bottom w:val="single" w:sz="4" w:space="0" w:color="auto"/>
              <w:right w:val="single" w:sz="4" w:space="0" w:color="auto"/>
            </w:tcBorders>
            <w:shd w:val="clear" w:color="auto" w:fill="auto"/>
            <w:noWrap/>
            <w:vAlign w:val="center"/>
          </w:tcPr>
          <w:p w14:paraId="50FED01B" w14:textId="77777777" w:rsidR="00E54E14" w:rsidRPr="00D94B5E" w:rsidRDefault="00E54E14" w:rsidP="00B823C1">
            <w:pPr>
              <w:spacing w:after="0"/>
              <w:jc w:val="center"/>
              <w:rPr>
                <w:color w:val="000000"/>
                <w:szCs w:val="20"/>
                <w:lang w:eastAsia="pl-PL"/>
              </w:rPr>
            </w:pPr>
          </w:p>
        </w:tc>
        <w:tc>
          <w:tcPr>
            <w:tcW w:w="591" w:type="dxa"/>
            <w:tcBorders>
              <w:top w:val="nil"/>
              <w:left w:val="nil"/>
              <w:bottom w:val="single" w:sz="4" w:space="0" w:color="auto"/>
              <w:right w:val="single" w:sz="4" w:space="0" w:color="auto"/>
            </w:tcBorders>
            <w:shd w:val="clear" w:color="auto" w:fill="auto"/>
            <w:noWrap/>
            <w:vAlign w:val="center"/>
          </w:tcPr>
          <w:p w14:paraId="5A8275F2" w14:textId="77777777" w:rsidR="00E54E14" w:rsidRPr="00D94B5E" w:rsidRDefault="00E54E14" w:rsidP="00B823C1">
            <w:pPr>
              <w:spacing w:after="0"/>
              <w:jc w:val="center"/>
              <w:rPr>
                <w:color w:val="000000"/>
                <w:szCs w:val="20"/>
                <w:lang w:eastAsia="pl-PL"/>
              </w:rPr>
            </w:pPr>
          </w:p>
        </w:tc>
        <w:tc>
          <w:tcPr>
            <w:tcW w:w="591" w:type="dxa"/>
            <w:tcBorders>
              <w:top w:val="nil"/>
              <w:left w:val="nil"/>
              <w:bottom w:val="single" w:sz="4" w:space="0" w:color="auto"/>
              <w:right w:val="single" w:sz="4" w:space="0" w:color="auto"/>
            </w:tcBorders>
            <w:shd w:val="clear" w:color="auto" w:fill="auto"/>
            <w:noWrap/>
            <w:vAlign w:val="center"/>
          </w:tcPr>
          <w:p w14:paraId="59F3B275" w14:textId="77777777" w:rsidR="00E54E14" w:rsidRPr="00D94B5E" w:rsidRDefault="00E54E14" w:rsidP="00B823C1">
            <w:pPr>
              <w:spacing w:after="0"/>
              <w:jc w:val="center"/>
              <w:rPr>
                <w:color w:val="000000"/>
                <w:szCs w:val="20"/>
                <w:lang w:eastAsia="pl-PL"/>
              </w:rPr>
            </w:pPr>
            <w:r w:rsidRPr="00D94B5E">
              <w:rPr>
                <w:color w:val="000000"/>
                <w:szCs w:val="20"/>
                <w:lang w:eastAsia="pl-PL"/>
              </w:rPr>
              <w:t>50</w:t>
            </w:r>
          </w:p>
        </w:tc>
        <w:tc>
          <w:tcPr>
            <w:tcW w:w="591" w:type="dxa"/>
            <w:tcBorders>
              <w:top w:val="nil"/>
              <w:left w:val="nil"/>
              <w:bottom w:val="single" w:sz="4" w:space="0" w:color="auto"/>
              <w:right w:val="single" w:sz="4" w:space="0" w:color="auto"/>
            </w:tcBorders>
            <w:shd w:val="clear" w:color="auto" w:fill="auto"/>
            <w:noWrap/>
          </w:tcPr>
          <w:p w14:paraId="751221C5" w14:textId="77777777" w:rsidR="00E54E14" w:rsidRPr="00D94B5E" w:rsidRDefault="00E54E14" w:rsidP="00B823C1">
            <w:pPr>
              <w:spacing w:after="0"/>
              <w:jc w:val="center"/>
              <w:rPr>
                <w:color w:val="000000"/>
                <w:szCs w:val="20"/>
                <w:lang w:eastAsia="pl-PL"/>
              </w:rPr>
            </w:pPr>
            <w:r w:rsidRPr="00D94B5E">
              <w:rPr>
                <w:color w:val="000000"/>
                <w:szCs w:val="20"/>
                <w:lang w:eastAsia="pl-PL"/>
              </w:rPr>
              <w:t>0</w:t>
            </w:r>
          </w:p>
        </w:tc>
        <w:tc>
          <w:tcPr>
            <w:tcW w:w="591" w:type="dxa"/>
            <w:tcBorders>
              <w:top w:val="nil"/>
              <w:left w:val="nil"/>
              <w:bottom w:val="single" w:sz="4" w:space="0" w:color="auto"/>
              <w:right w:val="single" w:sz="4" w:space="0" w:color="auto"/>
            </w:tcBorders>
            <w:shd w:val="clear" w:color="auto" w:fill="auto"/>
            <w:noWrap/>
          </w:tcPr>
          <w:p w14:paraId="53A678A7" w14:textId="77777777" w:rsidR="00E54E14" w:rsidRPr="00D94B5E" w:rsidRDefault="00E54E14" w:rsidP="00B823C1">
            <w:pPr>
              <w:spacing w:after="0"/>
              <w:jc w:val="center"/>
              <w:rPr>
                <w:color w:val="000000"/>
                <w:szCs w:val="20"/>
                <w:lang w:eastAsia="pl-PL"/>
              </w:rPr>
            </w:pPr>
            <w:r w:rsidRPr="00D94B5E">
              <w:rPr>
                <w:color w:val="000000"/>
                <w:szCs w:val="20"/>
                <w:lang w:eastAsia="pl-PL"/>
              </w:rPr>
              <w:t>0</w:t>
            </w:r>
          </w:p>
        </w:tc>
        <w:tc>
          <w:tcPr>
            <w:tcW w:w="591" w:type="dxa"/>
            <w:tcBorders>
              <w:top w:val="nil"/>
              <w:left w:val="nil"/>
              <w:bottom w:val="single" w:sz="4" w:space="0" w:color="auto"/>
              <w:right w:val="single" w:sz="4" w:space="0" w:color="auto"/>
            </w:tcBorders>
            <w:shd w:val="clear" w:color="auto" w:fill="auto"/>
            <w:noWrap/>
          </w:tcPr>
          <w:p w14:paraId="346F82B3" w14:textId="77777777" w:rsidR="00E54E14" w:rsidRPr="00D94B5E" w:rsidRDefault="00E54E14" w:rsidP="00B823C1">
            <w:pPr>
              <w:spacing w:after="0"/>
              <w:jc w:val="center"/>
              <w:rPr>
                <w:color w:val="000000"/>
                <w:szCs w:val="20"/>
                <w:lang w:eastAsia="pl-PL"/>
              </w:rPr>
            </w:pPr>
            <w:r w:rsidRPr="00D94B5E">
              <w:rPr>
                <w:color w:val="000000"/>
                <w:szCs w:val="20"/>
                <w:lang w:eastAsia="pl-PL"/>
              </w:rPr>
              <w:t>0</w:t>
            </w:r>
          </w:p>
        </w:tc>
        <w:tc>
          <w:tcPr>
            <w:tcW w:w="591" w:type="dxa"/>
            <w:tcBorders>
              <w:top w:val="single" w:sz="4" w:space="0" w:color="auto"/>
              <w:left w:val="single" w:sz="4" w:space="0" w:color="auto"/>
              <w:bottom w:val="single" w:sz="4" w:space="0" w:color="auto"/>
              <w:right w:val="single" w:sz="4" w:space="0" w:color="auto"/>
            </w:tcBorders>
          </w:tcPr>
          <w:p w14:paraId="34F5D350" w14:textId="77777777" w:rsidR="00E54E14" w:rsidRPr="00D94B5E" w:rsidRDefault="00E54E14" w:rsidP="00B823C1">
            <w:pPr>
              <w:spacing w:after="0"/>
              <w:jc w:val="center"/>
              <w:rPr>
                <w:color w:val="000000"/>
                <w:szCs w:val="20"/>
                <w:lang w:eastAsia="pl-PL"/>
              </w:rPr>
            </w:pPr>
            <w:r w:rsidRPr="00D94B5E">
              <w:rPr>
                <w:color w:val="000000"/>
                <w:szCs w:val="20"/>
                <w:lang w:eastAsia="pl-PL"/>
              </w:rPr>
              <w:t>0</w:t>
            </w:r>
          </w:p>
        </w:tc>
        <w:tc>
          <w:tcPr>
            <w:tcW w:w="591" w:type="dxa"/>
            <w:tcBorders>
              <w:top w:val="single" w:sz="4" w:space="0" w:color="auto"/>
              <w:left w:val="single" w:sz="4" w:space="0" w:color="auto"/>
              <w:bottom w:val="single" w:sz="4" w:space="0" w:color="auto"/>
              <w:right w:val="single" w:sz="4" w:space="0" w:color="auto"/>
            </w:tcBorders>
          </w:tcPr>
          <w:p w14:paraId="55B86613" w14:textId="77777777" w:rsidR="00E54E14" w:rsidRPr="00D94B5E" w:rsidRDefault="00E54E14" w:rsidP="00B823C1">
            <w:pPr>
              <w:spacing w:after="0"/>
              <w:jc w:val="center"/>
              <w:rPr>
                <w:color w:val="000000"/>
                <w:szCs w:val="20"/>
                <w:lang w:eastAsia="pl-PL"/>
              </w:rPr>
            </w:pPr>
            <w:r w:rsidRPr="00D94B5E">
              <w:rPr>
                <w:color w:val="000000"/>
                <w:szCs w:val="20"/>
                <w:lang w:eastAsia="pl-PL"/>
              </w:rPr>
              <w:t>0</w:t>
            </w:r>
          </w:p>
        </w:tc>
        <w:tc>
          <w:tcPr>
            <w:tcW w:w="591" w:type="dxa"/>
            <w:tcBorders>
              <w:top w:val="single" w:sz="4" w:space="0" w:color="auto"/>
              <w:left w:val="single" w:sz="4" w:space="0" w:color="auto"/>
              <w:bottom w:val="single" w:sz="4" w:space="0" w:color="auto"/>
              <w:right w:val="single" w:sz="4" w:space="0" w:color="auto"/>
            </w:tcBorders>
          </w:tcPr>
          <w:p w14:paraId="1E30C1B8" w14:textId="77777777" w:rsidR="00E54E14" w:rsidRPr="00D94B5E" w:rsidRDefault="00E54E14" w:rsidP="00B823C1">
            <w:pPr>
              <w:spacing w:after="0"/>
              <w:jc w:val="center"/>
              <w:rPr>
                <w:color w:val="000000"/>
                <w:szCs w:val="20"/>
                <w:lang w:eastAsia="pl-PL"/>
              </w:rPr>
            </w:pPr>
            <w:r w:rsidRPr="00D94B5E">
              <w:rPr>
                <w:color w:val="000000"/>
                <w:szCs w:val="20"/>
                <w:lang w:eastAsia="pl-PL"/>
              </w:rPr>
              <w:t>0</w:t>
            </w:r>
          </w:p>
        </w:tc>
        <w:tc>
          <w:tcPr>
            <w:tcW w:w="591" w:type="dxa"/>
            <w:tcBorders>
              <w:top w:val="single" w:sz="4" w:space="0" w:color="auto"/>
              <w:left w:val="single" w:sz="4" w:space="0" w:color="auto"/>
              <w:bottom w:val="single" w:sz="4" w:space="0" w:color="auto"/>
              <w:right w:val="single" w:sz="4" w:space="0" w:color="auto"/>
            </w:tcBorders>
            <w:shd w:val="clear" w:color="auto" w:fill="auto"/>
            <w:noWrap/>
          </w:tcPr>
          <w:p w14:paraId="4F846903" w14:textId="77777777" w:rsidR="00E54E14" w:rsidRPr="00D94B5E" w:rsidRDefault="00E54E14" w:rsidP="00B823C1">
            <w:pPr>
              <w:spacing w:after="0"/>
              <w:jc w:val="center"/>
              <w:rPr>
                <w:color w:val="000000"/>
                <w:szCs w:val="20"/>
                <w:lang w:eastAsia="pl-PL"/>
              </w:rPr>
            </w:pPr>
            <w:r w:rsidRPr="00D94B5E">
              <w:rPr>
                <w:color w:val="000000"/>
                <w:szCs w:val="20"/>
                <w:lang w:eastAsia="pl-PL"/>
              </w:rPr>
              <w:t>0</w:t>
            </w:r>
          </w:p>
        </w:tc>
        <w:tc>
          <w:tcPr>
            <w:tcW w:w="2008" w:type="dxa"/>
            <w:vMerge/>
            <w:tcBorders>
              <w:left w:val="single" w:sz="4" w:space="0" w:color="auto"/>
              <w:right w:val="single" w:sz="4" w:space="0" w:color="auto"/>
            </w:tcBorders>
            <w:vAlign w:val="center"/>
          </w:tcPr>
          <w:p w14:paraId="25BD88A2" w14:textId="77777777" w:rsidR="00E54E14" w:rsidRPr="00D94B5E" w:rsidRDefault="00E54E14" w:rsidP="00B823C1">
            <w:pPr>
              <w:spacing w:after="0"/>
              <w:jc w:val="center"/>
              <w:rPr>
                <w:color w:val="000000"/>
                <w:szCs w:val="20"/>
                <w:lang w:eastAsia="pl-PL"/>
              </w:rPr>
            </w:pPr>
          </w:p>
        </w:tc>
      </w:tr>
      <w:tr w:rsidR="00E54E14" w:rsidRPr="00706980" w14:paraId="30817B57" w14:textId="77777777" w:rsidTr="00B823C1">
        <w:trPr>
          <w:trHeight w:val="304"/>
        </w:trPr>
        <w:tc>
          <w:tcPr>
            <w:tcW w:w="1306" w:type="dxa"/>
            <w:vMerge/>
            <w:tcBorders>
              <w:left w:val="single" w:sz="4" w:space="0" w:color="auto"/>
              <w:right w:val="single" w:sz="4" w:space="0" w:color="auto"/>
            </w:tcBorders>
            <w:vAlign w:val="center"/>
          </w:tcPr>
          <w:p w14:paraId="00990B9E" w14:textId="77777777" w:rsidR="00E54E14" w:rsidRPr="00D94B5E" w:rsidRDefault="00E54E14" w:rsidP="00B823C1">
            <w:pPr>
              <w:spacing w:after="0"/>
              <w:jc w:val="center"/>
              <w:rPr>
                <w:color w:val="000000"/>
                <w:szCs w:val="20"/>
                <w:lang w:eastAsia="pl-PL"/>
              </w:rPr>
            </w:pPr>
          </w:p>
        </w:tc>
        <w:tc>
          <w:tcPr>
            <w:tcW w:w="598" w:type="dxa"/>
            <w:tcBorders>
              <w:top w:val="nil"/>
              <w:left w:val="nil"/>
              <w:bottom w:val="single" w:sz="4" w:space="0" w:color="auto"/>
              <w:right w:val="single" w:sz="4" w:space="0" w:color="auto"/>
            </w:tcBorders>
            <w:shd w:val="clear" w:color="auto" w:fill="auto"/>
            <w:noWrap/>
            <w:vAlign w:val="center"/>
          </w:tcPr>
          <w:p w14:paraId="0A5F52B1" w14:textId="77777777" w:rsidR="00E54E14" w:rsidRPr="00D94B5E" w:rsidRDefault="00E54E14" w:rsidP="00B823C1">
            <w:pPr>
              <w:spacing w:after="0"/>
              <w:jc w:val="center"/>
              <w:rPr>
                <w:color w:val="000000"/>
                <w:szCs w:val="20"/>
                <w:lang w:eastAsia="pl-PL"/>
              </w:rPr>
            </w:pPr>
          </w:p>
        </w:tc>
        <w:tc>
          <w:tcPr>
            <w:tcW w:w="591" w:type="dxa"/>
            <w:tcBorders>
              <w:top w:val="nil"/>
              <w:left w:val="nil"/>
              <w:bottom w:val="single" w:sz="4" w:space="0" w:color="auto"/>
              <w:right w:val="single" w:sz="4" w:space="0" w:color="auto"/>
            </w:tcBorders>
            <w:shd w:val="clear" w:color="auto" w:fill="auto"/>
            <w:noWrap/>
          </w:tcPr>
          <w:p w14:paraId="05F3FCD0" w14:textId="77777777" w:rsidR="00E54E14" w:rsidRPr="00D94B5E" w:rsidRDefault="00E54E14" w:rsidP="00B823C1">
            <w:pPr>
              <w:spacing w:after="0"/>
              <w:jc w:val="center"/>
              <w:rPr>
                <w:color w:val="000000"/>
                <w:szCs w:val="20"/>
                <w:lang w:eastAsia="pl-PL"/>
              </w:rPr>
            </w:pPr>
            <w:r w:rsidRPr="00D94B5E">
              <w:rPr>
                <w:color w:val="000000"/>
                <w:szCs w:val="20"/>
                <w:lang w:eastAsia="pl-PL"/>
              </w:rPr>
              <w:t>0</w:t>
            </w:r>
          </w:p>
        </w:tc>
        <w:tc>
          <w:tcPr>
            <w:tcW w:w="591" w:type="dxa"/>
            <w:tcBorders>
              <w:top w:val="nil"/>
              <w:left w:val="nil"/>
              <w:bottom w:val="single" w:sz="4" w:space="0" w:color="auto"/>
              <w:right w:val="single" w:sz="4" w:space="0" w:color="auto"/>
            </w:tcBorders>
            <w:shd w:val="clear" w:color="auto" w:fill="auto"/>
            <w:noWrap/>
          </w:tcPr>
          <w:p w14:paraId="7C36727E" w14:textId="77777777" w:rsidR="00E54E14" w:rsidRPr="00D94B5E" w:rsidRDefault="00E54E14" w:rsidP="00B823C1">
            <w:pPr>
              <w:spacing w:after="0"/>
              <w:jc w:val="center"/>
              <w:rPr>
                <w:color w:val="000000"/>
                <w:szCs w:val="20"/>
                <w:lang w:eastAsia="pl-PL"/>
              </w:rPr>
            </w:pPr>
            <w:r w:rsidRPr="00D94B5E">
              <w:rPr>
                <w:color w:val="000000"/>
                <w:szCs w:val="20"/>
                <w:lang w:eastAsia="pl-PL"/>
              </w:rPr>
              <w:t>0</w:t>
            </w:r>
          </w:p>
        </w:tc>
        <w:tc>
          <w:tcPr>
            <w:tcW w:w="591" w:type="dxa"/>
            <w:tcBorders>
              <w:top w:val="nil"/>
              <w:left w:val="nil"/>
              <w:bottom w:val="single" w:sz="4" w:space="0" w:color="auto"/>
              <w:right w:val="single" w:sz="4" w:space="0" w:color="auto"/>
            </w:tcBorders>
            <w:shd w:val="clear" w:color="auto" w:fill="auto"/>
            <w:noWrap/>
          </w:tcPr>
          <w:p w14:paraId="4FD33370" w14:textId="77777777" w:rsidR="00E54E14" w:rsidRPr="00D94B5E" w:rsidRDefault="00E54E14" w:rsidP="00B823C1">
            <w:pPr>
              <w:spacing w:after="0"/>
              <w:jc w:val="center"/>
              <w:rPr>
                <w:color w:val="000000"/>
                <w:szCs w:val="20"/>
                <w:lang w:eastAsia="pl-PL"/>
              </w:rPr>
            </w:pPr>
            <w:r w:rsidRPr="00D94B5E">
              <w:rPr>
                <w:color w:val="000000"/>
                <w:szCs w:val="20"/>
                <w:lang w:eastAsia="pl-PL"/>
              </w:rPr>
              <w:t>0</w:t>
            </w:r>
          </w:p>
        </w:tc>
        <w:tc>
          <w:tcPr>
            <w:tcW w:w="591" w:type="dxa"/>
            <w:tcBorders>
              <w:top w:val="nil"/>
              <w:left w:val="nil"/>
              <w:bottom w:val="single" w:sz="4" w:space="0" w:color="auto"/>
              <w:right w:val="single" w:sz="4" w:space="0" w:color="auto"/>
            </w:tcBorders>
            <w:shd w:val="clear" w:color="auto" w:fill="auto"/>
            <w:noWrap/>
          </w:tcPr>
          <w:p w14:paraId="746921E2" w14:textId="77777777" w:rsidR="00E54E14" w:rsidRPr="00D94B5E" w:rsidRDefault="00E54E14" w:rsidP="00B823C1">
            <w:pPr>
              <w:spacing w:after="0"/>
              <w:jc w:val="center"/>
              <w:rPr>
                <w:color w:val="000000"/>
                <w:szCs w:val="20"/>
                <w:lang w:eastAsia="pl-PL"/>
              </w:rPr>
            </w:pPr>
            <w:r w:rsidRPr="00D94B5E">
              <w:rPr>
                <w:color w:val="000000"/>
                <w:szCs w:val="20"/>
                <w:lang w:eastAsia="pl-PL"/>
              </w:rPr>
              <w:t>0</w:t>
            </w:r>
          </w:p>
        </w:tc>
        <w:tc>
          <w:tcPr>
            <w:tcW w:w="591" w:type="dxa"/>
            <w:tcBorders>
              <w:top w:val="nil"/>
              <w:left w:val="nil"/>
              <w:bottom w:val="single" w:sz="4" w:space="0" w:color="auto"/>
              <w:right w:val="single" w:sz="4" w:space="0" w:color="auto"/>
            </w:tcBorders>
            <w:shd w:val="clear" w:color="auto" w:fill="auto"/>
            <w:noWrap/>
          </w:tcPr>
          <w:p w14:paraId="0045BEE9" w14:textId="77777777" w:rsidR="00E54E14" w:rsidRPr="00D94B5E" w:rsidRDefault="00E54E14" w:rsidP="00B823C1">
            <w:pPr>
              <w:spacing w:after="0"/>
              <w:jc w:val="center"/>
              <w:rPr>
                <w:color w:val="000000"/>
                <w:szCs w:val="20"/>
                <w:lang w:eastAsia="pl-PL"/>
              </w:rPr>
            </w:pPr>
            <w:r w:rsidRPr="00D94B5E">
              <w:rPr>
                <w:color w:val="000000"/>
                <w:szCs w:val="20"/>
                <w:lang w:eastAsia="pl-PL"/>
              </w:rPr>
              <w:t>0</w:t>
            </w:r>
          </w:p>
        </w:tc>
        <w:tc>
          <w:tcPr>
            <w:tcW w:w="591" w:type="dxa"/>
            <w:tcBorders>
              <w:top w:val="single" w:sz="4" w:space="0" w:color="auto"/>
              <w:left w:val="single" w:sz="4" w:space="0" w:color="auto"/>
              <w:bottom w:val="single" w:sz="4" w:space="0" w:color="auto"/>
              <w:right w:val="single" w:sz="4" w:space="0" w:color="auto"/>
            </w:tcBorders>
          </w:tcPr>
          <w:p w14:paraId="0EB9A207" w14:textId="77777777" w:rsidR="00E54E14" w:rsidRPr="00D94B5E" w:rsidRDefault="00E54E14" w:rsidP="00B823C1">
            <w:pPr>
              <w:spacing w:after="0"/>
              <w:jc w:val="center"/>
              <w:rPr>
                <w:color w:val="000000"/>
                <w:szCs w:val="20"/>
                <w:lang w:eastAsia="pl-PL"/>
              </w:rPr>
            </w:pPr>
            <w:r w:rsidRPr="00D94B5E">
              <w:rPr>
                <w:color w:val="000000"/>
                <w:szCs w:val="20"/>
                <w:lang w:eastAsia="pl-PL"/>
              </w:rPr>
              <w:t>0</w:t>
            </w:r>
          </w:p>
        </w:tc>
        <w:tc>
          <w:tcPr>
            <w:tcW w:w="591" w:type="dxa"/>
            <w:tcBorders>
              <w:top w:val="single" w:sz="4" w:space="0" w:color="auto"/>
              <w:left w:val="single" w:sz="4" w:space="0" w:color="auto"/>
              <w:bottom w:val="single" w:sz="4" w:space="0" w:color="auto"/>
              <w:right w:val="single" w:sz="4" w:space="0" w:color="auto"/>
            </w:tcBorders>
          </w:tcPr>
          <w:p w14:paraId="02898E8F" w14:textId="77777777" w:rsidR="00E54E14" w:rsidRPr="00D94B5E" w:rsidRDefault="00E54E14" w:rsidP="00B823C1">
            <w:pPr>
              <w:spacing w:after="0"/>
              <w:jc w:val="center"/>
              <w:rPr>
                <w:color w:val="000000"/>
                <w:szCs w:val="20"/>
                <w:lang w:eastAsia="pl-PL"/>
              </w:rPr>
            </w:pPr>
            <w:r w:rsidRPr="00D94B5E">
              <w:rPr>
                <w:color w:val="000000"/>
                <w:szCs w:val="20"/>
                <w:lang w:eastAsia="pl-PL"/>
              </w:rPr>
              <w:t>0</w:t>
            </w:r>
          </w:p>
        </w:tc>
        <w:tc>
          <w:tcPr>
            <w:tcW w:w="591" w:type="dxa"/>
            <w:tcBorders>
              <w:top w:val="single" w:sz="4" w:space="0" w:color="auto"/>
              <w:left w:val="single" w:sz="4" w:space="0" w:color="auto"/>
              <w:bottom w:val="single" w:sz="4" w:space="0" w:color="auto"/>
              <w:right w:val="single" w:sz="4" w:space="0" w:color="auto"/>
            </w:tcBorders>
          </w:tcPr>
          <w:p w14:paraId="722EC5A4" w14:textId="77777777" w:rsidR="00E54E14" w:rsidRPr="00D94B5E" w:rsidRDefault="00E54E14" w:rsidP="00B823C1">
            <w:pPr>
              <w:spacing w:after="0"/>
              <w:jc w:val="center"/>
              <w:rPr>
                <w:color w:val="000000"/>
                <w:szCs w:val="20"/>
                <w:lang w:eastAsia="pl-PL"/>
              </w:rPr>
            </w:pPr>
            <w:r w:rsidRPr="00D94B5E">
              <w:rPr>
                <w:color w:val="000000"/>
                <w:szCs w:val="20"/>
                <w:lang w:eastAsia="pl-PL"/>
              </w:rPr>
              <w:t>0</w:t>
            </w:r>
          </w:p>
        </w:tc>
        <w:tc>
          <w:tcPr>
            <w:tcW w:w="591" w:type="dxa"/>
            <w:tcBorders>
              <w:top w:val="single" w:sz="4" w:space="0" w:color="auto"/>
              <w:left w:val="single" w:sz="4" w:space="0" w:color="auto"/>
              <w:bottom w:val="single" w:sz="4" w:space="0" w:color="auto"/>
              <w:right w:val="single" w:sz="4" w:space="0" w:color="auto"/>
            </w:tcBorders>
            <w:shd w:val="clear" w:color="auto" w:fill="auto"/>
            <w:noWrap/>
          </w:tcPr>
          <w:p w14:paraId="076111BC" w14:textId="77777777" w:rsidR="00E54E14" w:rsidRPr="00D94B5E" w:rsidRDefault="00E54E14" w:rsidP="00B823C1">
            <w:pPr>
              <w:spacing w:after="0"/>
              <w:jc w:val="center"/>
              <w:rPr>
                <w:color w:val="000000"/>
                <w:szCs w:val="20"/>
                <w:lang w:eastAsia="pl-PL"/>
              </w:rPr>
            </w:pPr>
            <w:r w:rsidRPr="00D94B5E">
              <w:rPr>
                <w:color w:val="000000"/>
                <w:szCs w:val="20"/>
                <w:lang w:eastAsia="pl-PL"/>
              </w:rPr>
              <w:t>0</w:t>
            </w:r>
          </w:p>
        </w:tc>
        <w:tc>
          <w:tcPr>
            <w:tcW w:w="2008" w:type="dxa"/>
            <w:vMerge/>
            <w:tcBorders>
              <w:left w:val="single" w:sz="4" w:space="0" w:color="auto"/>
              <w:right w:val="single" w:sz="4" w:space="0" w:color="auto"/>
            </w:tcBorders>
            <w:vAlign w:val="center"/>
          </w:tcPr>
          <w:p w14:paraId="31F21E4F" w14:textId="77777777" w:rsidR="00E54E14" w:rsidRPr="00D94B5E" w:rsidRDefault="00E54E14" w:rsidP="00B823C1">
            <w:pPr>
              <w:spacing w:after="0"/>
              <w:jc w:val="center"/>
              <w:rPr>
                <w:color w:val="000000"/>
                <w:szCs w:val="20"/>
                <w:lang w:eastAsia="pl-PL"/>
              </w:rPr>
            </w:pPr>
          </w:p>
        </w:tc>
      </w:tr>
      <w:tr w:rsidR="00E54E14" w:rsidRPr="00706980" w14:paraId="11144C32" w14:textId="77777777" w:rsidTr="00B823C1">
        <w:trPr>
          <w:trHeight w:val="304"/>
        </w:trPr>
        <w:tc>
          <w:tcPr>
            <w:tcW w:w="1306" w:type="dxa"/>
            <w:vMerge/>
            <w:tcBorders>
              <w:left w:val="single" w:sz="4" w:space="0" w:color="auto"/>
              <w:bottom w:val="single" w:sz="4" w:space="0" w:color="auto"/>
              <w:right w:val="single" w:sz="4" w:space="0" w:color="auto"/>
            </w:tcBorders>
            <w:vAlign w:val="center"/>
          </w:tcPr>
          <w:p w14:paraId="72658CBF" w14:textId="77777777" w:rsidR="00E54E14" w:rsidRPr="00D94B5E" w:rsidRDefault="00E54E14" w:rsidP="00B823C1">
            <w:pPr>
              <w:spacing w:after="0"/>
              <w:jc w:val="center"/>
              <w:rPr>
                <w:color w:val="000000"/>
                <w:szCs w:val="20"/>
                <w:lang w:eastAsia="pl-PL"/>
              </w:rPr>
            </w:pPr>
          </w:p>
        </w:tc>
        <w:tc>
          <w:tcPr>
            <w:tcW w:w="598" w:type="dxa"/>
            <w:tcBorders>
              <w:top w:val="nil"/>
              <w:left w:val="nil"/>
              <w:bottom w:val="single" w:sz="4" w:space="0" w:color="auto"/>
              <w:right w:val="single" w:sz="4" w:space="0" w:color="auto"/>
            </w:tcBorders>
            <w:shd w:val="clear" w:color="auto" w:fill="auto"/>
            <w:noWrap/>
            <w:vAlign w:val="center"/>
          </w:tcPr>
          <w:p w14:paraId="3CD57AEA" w14:textId="77777777" w:rsidR="00E54E14" w:rsidRPr="00D94B5E" w:rsidRDefault="00E54E14" w:rsidP="00B823C1">
            <w:pPr>
              <w:spacing w:after="0"/>
              <w:jc w:val="center"/>
              <w:rPr>
                <w:color w:val="000000"/>
                <w:szCs w:val="20"/>
                <w:lang w:eastAsia="pl-PL"/>
              </w:rPr>
            </w:pPr>
            <w:r w:rsidRPr="00D94B5E">
              <w:rPr>
                <w:color w:val="000000"/>
                <w:szCs w:val="20"/>
                <w:lang w:eastAsia="pl-PL"/>
              </w:rPr>
              <w:t>0</w:t>
            </w:r>
          </w:p>
        </w:tc>
        <w:tc>
          <w:tcPr>
            <w:tcW w:w="591" w:type="dxa"/>
            <w:tcBorders>
              <w:top w:val="nil"/>
              <w:left w:val="nil"/>
              <w:bottom w:val="single" w:sz="4" w:space="0" w:color="auto"/>
              <w:right w:val="single" w:sz="4" w:space="0" w:color="auto"/>
            </w:tcBorders>
            <w:shd w:val="clear" w:color="auto" w:fill="auto"/>
            <w:noWrap/>
          </w:tcPr>
          <w:p w14:paraId="64D942D7" w14:textId="77777777" w:rsidR="00E54E14" w:rsidRPr="00D94B5E" w:rsidRDefault="00E54E14" w:rsidP="00B823C1">
            <w:pPr>
              <w:spacing w:after="0"/>
              <w:jc w:val="center"/>
              <w:rPr>
                <w:color w:val="000000"/>
                <w:szCs w:val="20"/>
                <w:lang w:eastAsia="pl-PL"/>
              </w:rPr>
            </w:pPr>
            <w:r w:rsidRPr="00D94B5E">
              <w:rPr>
                <w:color w:val="000000"/>
                <w:szCs w:val="20"/>
                <w:lang w:eastAsia="pl-PL"/>
              </w:rPr>
              <w:t>0</w:t>
            </w:r>
          </w:p>
        </w:tc>
        <w:tc>
          <w:tcPr>
            <w:tcW w:w="591" w:type="dxa"/>
            <w:tcBorders>
              <w:top w:val="nil"/>
              <w:left w:val="nil"/>
              <w:bottom w:val="single" w:sz="4" w:space="0" w:color="auto"/>
              <w:right w:val="single" w:sz="4" w:space="0" w:color="auto"/>
            </w:tcBorders>
            <w:shd w:val="clear" w:color="auto" w:fill="auto"/>
            <w:noWrap/>
          </w:tcPr>
          <w:p w14:paraId="7DE61828" w14:textId="77777777" w:rsidR="00E54E14" w:rsidRPr="00D94B5E" w:rsidRDefault="00E54E14" w:rsidP="00B823C1">
            <w:pPr>
              <w:spacing w:after="0"/>
              <w:jc w:val="center"/>
              <w:rPr>
                <w:color w:val="000000"/>
                <w:szCs w:val="20"/>
                <w:lang w:eastAsia="pl-PL"/>
              </w:rPr>
            </w:pPr>
            <w:r w:rsidRPr="00D94B5E">
              <w:rPr>
                <w:color w:val="000000"/>
                <w:szCs w:val="20"/>
                <w:lang w:eastAsia="pl-PL"/>
              </w:rPr>
              <w:t>0</w:t>
            </w:r>
          </w:p>
        </w:tc>
        <w:tc>
          <w:tcPr>
            <w:tcW w:w="591" w:type="dxa"/>
            <w:tcBorders>
              <w:top w:val="nil"/>
              <w:left w:val="nil"/>
              <w:bottom w:val="single" w:sz="4" w:space="0" w:color="auto"/>
              <w:right w:val="single" w:sz="4" w:space="0" w:color="auto"/>
            </w:tcBorders>
            <w:shd w:val="clear" w:color="auto" w:fill="auto"/>
            <w:noWrap/>
          </w:tcPr>
          <w:p w14:paraId="7F399F81" w14:textId="77777777" w:rsidR="00E54E14" w:rsidRPr="00D94B5E" w:rsidRDefault="00E54E14" w:rsidP="00B823C1">
            <w:pPr>
              <w:spacing w:after="0"/>
              <w:jc w:val="center"/>
              <w:rPr>
                <w:color w:val="000000"/>
                <w:szCs w:val="20"/>
                <w:lang w:eastAsia="pl-PL"/>
              </w:rPr>
            </w:pPr>
            <w:r w:rsidRPr="00D94B5E">
              <w:rPr>
                <w:color w:val="000000"/>
                <w:szCs w:val="20"/>
                <w:lang w:eastAsia="pl-PL"/>
              </w:rPr>
              <w:t>0</w:t>
            </w:r>
          </w:p>
        </w:tc>
        <w:tc>
          <w:tcPr>
            <w:tcW w:w="591" w:type="dxa"/>
            <w:tcBorders>
              <w:top w:val="nil"/>
              <w:left w:val="nil"/>
              <w:bottom w:val="single" w:sz="4" w:space="0" w:color="auto"/>
              <w:right w:val="single" w:sz="4" w:space="0" w:color="auto"/>
            </w:tcBorders>
            <w:shd w:val="clear" w:color="auto" w:fill="auto"/>
            <w:noWrap/>
          </w:tcPr>
          <w:p w14:paraId="60A90422" w14:textId="77777777" w:rsidR="00E54E14" w:rsidRPr="00D94B5E" w:rsidRDefault="00E54E14" w:rsidP="00B823C1">
            <w:pPr>
              <w:spacing w:after="0"/>
              <w:jc w:val="center"/>
              <w:rPr>
                <w:color w:val="000000"/>
                <w:szCs w:val="20"/>
                <w:lang w:eastAsia="pl-PL"/>
              </w:rPr>
            </w:pPr>
            <w:r w:rsidRPr="00D94B5E">
              <w:rPr>
                <w:color w:val="000000"/>
                <w:szCs w:val="20"/>
                <w:lang w:eastAsia="pl-PL"/>
              </w:rPr>
              <w:t>0</w:t>
            </w:r>
          </w:p>
        </w:tc>
        <w:tc>
          <w:tcPr>
            <w:tcW w:w="591" w:type="dxa"/>
            <w:tcBorders>
              <w:top w:val="nil"/>
              <w:left w:val="nil"/>
              <w:bottom w:val="single" w:sz="4" w:space="0" w:color="auto"/>
              <w:right w:val="single" w:sz="4" w:space="0" w:color="auto"/>
            </w:tcBorders>
            <w:shd w:val="clear" w:color="auto" w:fill="auto"/>
            <w:noWrap/>
          </w:tcPr>
          <w:p w14:paraId="4F107853" w14:textId="77777777" w:rsidR="00E54E14" w:rsidRPr="00D94B5E" w:rsidRDefault="00E54E14" w:rsidP="00B823C1">
            <w:pPr>
              <w:spacing w:after="0"/>
              <w:jc w:val="center"/>
              <w:rPr>
                <w:color w:val="000000"/>
                <w:szCs w:val="20"/>
                <w:lang w:eastAsia="pl-PL"/>
              </w:rPr>
            </w:pPr>
            <w:r w:rsidRPr="00D94B5E">
              <w:rPr>
                <w:color w:val="000000"/>
                <w:szCs w:val="20"/>
                <w:lang w:eastAsia="pl-PL"/>
              </w:rPr>
              <w:t>0</w:t>
            </w:r>
          </w:p>
        </w:tc>
        <w:tc>
          <w:tcPr>
            <w:tcW w:w="591" w:type="dxa"/>
            <w:tcBorders>
              <w:top w:val="single" w:sz="4" w:space="0" w:color="auto"/>
              <w:left w:val="single" w:sz="4" w:space="0" w:color="auto"/>
              <w:bottom w:val="single" w:sz="4" w:space="0" w:color="auto"/>
              <w:right w:val="single" w:sz="4" w:space="0" w:color="auto"/>
            </w:tcBorders>
          </w:tcPr>
          <w:p w14:paraId="45E4D82D" w14:textId="77777777" w:rsidR="00E54E14" w:rsidRPr="00D94B5E" w:rsidRDefault="00E54E14" w:rsidP="00B823C1">
            <w:pPr>
              <w:spacing w:after="0"/>
              <w:jc w:val="center"/>
              <w:rPr>
                <w:color w:val="000000"/>
                <w:szCs w:val="20"/>
                <w:lang w:eastAsia="pl-PL"/>
              </w:rPr>
            </w:pPr>
            <w:r w:rsidRPr="00D94B5E">
              <w:rPr>
                <w:color w:val="000000"/>
                <w:szCs w:val="20"/>
                <w:lang w:eastAsia="pl-PL"/>
              </w:rPr>
              <w:t>0</w:t>
            </w:r>
          </w:p>
        </w:tc>
        <w:tc>
          <w:tcPr>
            <w:tcW w:w="591" w:type="dxa"/>
            <w:tcBorders>
              <w:top w:val="single" w:sz="4" w:space="0" w:color="auto"/>
              <w:left w:val="single" w:sz="4" w:space="0" w:color="auto"/>
              <w:bottom w:val="single" w:sz="4" w:space="0" w:color="auto"/>
              <w:right w:val="single" w:sz="4" w:space="0" w:color="auto"/>
            </w:tcBorders>
          </w:tcPr>
          <w:p w14:paraId="77460FE2" w14:textId="77777777" w:rsidR="00E54E14" w:rsidRPr="00D94B5E" w:rsidRDefault="00E54E14" w:rsidP="00B823C1">
            <w:pPr>
              <w:spacing w:after="0"/>
              <w:jc w:val="center"/>
              <w:rPr>
                <w:color w:val="000000"/>
                <w:szCs w:val="20"/>
                <w:lang w:eastAsia="pl-PL"/>
              </w:rPr>
            </w:pPr>
            <w:r w:rsidRPr="00D94B5E">
              <w:rPr>
                <w:color w:val="000000"/>
                <w:szCs w:val="20"/>
                <w:lang w:eastAsia="pl-PL"/>
              </w:rPr>
              <w:t>0</w:t>
            </w:r>
          </w:p>
        </w:tc>
        <w:tc>
          <w:tcPr>
            <w:tcW w:w="591" w:type="dxa"/>
            <w:tcBorders>
              <w:top w:val="single" w:sz="4" w:space="0" w:color="auto"/>
              <w:left w:val="single" w:sz="4" w:space="0" w:color="auto"/>
              <w:bottom w:val="single" w:sz="4" w:space="0" w:color="auto"/>
              <w:right w:val="single" w:sz="4" w:space="0" w:color="auto"/>
            </w:tcBorders>
          </w:tcPr>
          <w:p w14:paraId="55DC53A0" w14:textId="77777777" w:rsidR="00E54E14" w:rsidRPr="00D94B5E" w:rsidRDefault="00E54E14" w:rsidP="00B823C1">
            <w:pPr>
              <w:spacing w:after="0"/>
              <w:jc w:val="center"/>
              <w:rPr>
                <w:color w:val="000000"/>
                <w:szCs w:val="20"/>
                <w:lang w:eastAsia="pl-PL"/>
              </w:rPr>
            </w:pPr>
            <w:r w:rsidRPr="00D94B5E">
              <w:rPr>
                <w:color w:val="000000"/>
                <w:szCs w:val="20"/>
                <w:lang w:eastAsia="pl-PL"/>
              </w:rPr>
              <w:t>0</w:t>
            </w:r>
          </w:p>
        </w:tc>
        <w:tc>
          <w:tcPr>
            <w:tcW w:w="591" w:type="dxa"/>
            <w:tcBorders>
              <w:top w:val="single" w:sz="4" w:space="0" w:color="auto"/>
              <w:left w:val="single" w:sz="4" w:space="0" w:color="auto"/>
              <w:bottom w:val="single" w:sz="4" w:space="0" w:color="auto"/>
              <w:right w:val="single" w:sz="4" w:space="0" w:color="auto"/>
            </w:tcBorders>
            <w:shd w:val="clear" w:color="auto" w:fill="auto"/>
            <w:noWrap/>
          </w:tcPr>
          <w:p w14:paraId="00810B27" w14:textId="77777777" w:rsidR="00E54E14" w:rsidRPr="00D94B5E" w:rsidRDefault="00E54E14" w:rsidP="00B823C1">
            <w:pPr>
              <w:spacing w:after="0"/>
              <w:jc w:val="center"/>
              <w:rPr>
                <w:color w:val="000000"/>
                <w:szCs w:val="20"/>
                <w:lang w:eastAsia="pl-PL"/>
              </w:rPr>
            </w:pPr>
            <w:r w:rsidRPr="00D94B5E">
              <w:rPr>
                <w:color w:val="000000"/>
                <w:szCs w:val="20"/>
                <w:lang w:eastAsia="pl-PL"/>
              </w:rPr>
              <w:t>0</w:t>
            </w:r>
          </w:p>
        </w:tc>
        <w:tc>
          <w:tcPr>
            <w:tcW w:w="2008" w:type="dxa"/>
            <w:vMerge/>
            <w:tcBorders>
              <w:left w:val="single" w:sz="4" w:space="0" w:color="auto"/>
              <w:bottom w:val="single" w:sz="4" w:space="0" w:color="auto"/>
              <w:right w:val="single" w:sz="4" w:space="0" w:color="auto"/>
            </w:tcBorders>
            <w:vAlign w:val="center"/>
          </w:tcPr>
          <w:p w14:paraId="71958B77" w14:textId="77777777" w:rsidR="00E54E14" w:rsidRPr="00D94B5E" w:rsidRDefault="00E54E14" w:rsidP="00B823C1">
            <w:pPr>
              <w:spacing w:after="0"/>
              <w:jc w:val="center"/>
              <w:rPr>
                <w:color w:val="000000"/>
                <w:szCs w:val="20"/>
                <w:lang w:eastAsia="pl-PL"/>
              </w:rPr>
            </w:pPr>
          </w:p>
        </w:tc>
      </w:tr>
      <w:tr w:rsidR="00E54E14" w:rsidRPr="00706980" w14:paraId="22520B4E" w14:textId="77777777" w:rsidTr="00B823C1">
        <w:trPr>
          <w:trHeight w:val="304"/>
        </w:trPr>
        <w:tc>
          <w:tcPr>
            <w:tcW w:w="1306" w:type="dxa"/>
            <w:tcBorders>
              <w:top w:val="nil"/>
              <w:left w:val="single" w:sz="4" w:space="0" w:color="auto"/>
              <w:bottom w:val="single" w:sz="4" w:space="0" w:color="auto"/>
              <w:right w:val="single" w:sz="4" w:space="0" w:color="auto"/>
            </w:tcBorders>
            <w:shd w:val="clear" w:color="auto" w:fill="auto"/>
            <w:noWrap/>
            <w:vAlign w:val="center"/>
            <w:hideMark/>
          </w:tcPr>
          <w:p w14:paraId="52BBD1D6" w14:textId="77777777" w:rsidR="00E54E14" w:rsidRPr="00D94B5E" w:rsidRDefault="00E54E14" w:rsidP="00B823C1">
            <w:pPr>
              <w:spacing w:after="0"/>
              <w:jc w:val="center"/>
              <w:rPr>
                <w:color w:val="000000"/>
                <w:szCs w:val="20"/>
                <w:lang w:eastAsia="pl-PL"/>
              </w:rPr>
            </w:pPr>
            <w:r w:rsidRPr="00D94B5E">
              <w:rPr>
                <w:color w:val="000000"/>
                <w:szCs w:val="20"/>
                <w:lang w:eastAsia="pl-PL"/>
              </w:rPr>
              <w:t>Razem (</w:t>
            </w:r>
            <w:proofErr w:type="spellStart"/>
            <w:r w:rsidRPr="00D94B5E">
              <w:rPr>
                <w:color w:val="000000"/>
                <w:szCs w:val="20"/>
                <w:lang w:eastAsia="pl-PL"/>
              </w:rPr>
              <w:t>ktoe</w:t>
            </w:r>
            <w:proofErr w:type="spellEnd"/>
            <w:r w:rsidRPr="00D94B5E">
              <w:rPr>
                <w:color w:val="000000"/>
                <w:szCs w:val="20"/>
                <w:lang w:eastAsia="pl-PL"/>
              </w:rPr>
              <w:t>)</w:t>
            </w:r>
          </w:p>
        </w:tc>
        <w:tc>
          <w:tcPr>
            <w:tcW w:w="598" w:type="dxa"/>
            <w:tcBorders>
              <w:top w:val="nil"/>
              <w:left w:val="nil"/>
              <w:bottom w:val="single" w:sz="4" w:space="0" w:color="auto"/>
              <w:right w:val="single" w:sz="4" w:space="0" w:color="auto"/>
            </w:tcBorders>
            <w:shd w:val="clear" w:color="auto" w:fill="auto"/>
            <w:noWrap/>
            <w:vAlign w:val="center"/>
          </w:tcPr>
          <w:p w14:paraId="0A6DD703" w14:textId="77777777" w:rsidR="00E54E14" w:rsidRPr="00D94B5E" w:rsidRDefault="00E54E14" w:rsidP="00B823C1">
            <w:pPr>
              <w:spacing w:after="0"/>
              <w:jc w:val="center"/>
              <w:rPr>
                <w:b/>
                <w:bCs/>
                <w:color w:val="000000"/>
                <w:szCs w:val="20"/>
                <w:lang w:eastAsia="pl-PL"/>
              </w:rPr>
            </w:pPr>
            <w:r w:rsidRPr="00D94B5E">
              <w:rPr>
                <w:b/>
                <w:bCs/>
                <w:color w:val="000000"/>
                <w:szCs w:val="20"/>
                <w:lang w:eastAsia="pl-PL"/>
              </w:rPr>
              <w:t>0</w:t>
            </w:r>
          </w:p>
        </w:tc>
        <w:tc>
          <w:tcPr>
            <w:tcW w:w="591" w:type="dxa"/>
            <w:tcBorders>
              <w:top w:val="nil"/>
              <w:left w:val="nil"/>
              <w:bottom w:val="single" w:sz="4" w:space="0" w:color="auto"/>
              <w:right w:val="single" w:sz="4" w:space="0" w:color="auto"/>
            </w:tcBorders>
            <w:shd w:val="clear" w:color="auto" w:fill="auto"/>
            <w:noWrap/>
          </w:tcPr>
          <w:p w14:paraId="32DE4085" w14:textId="77777777" w:rsidR="00E54E14" w:rsidRPr="00D94B5E" w:rsidRDefault="00E54E14" w:rsidP="00B823C1">
            <w:pPr>
              <w:spacing w:after="0"/>
              <w:jc w:val="center"/>
              <w:rPr>
                <w:b/>
                <w:bCs/>
                <w:color w:val="000000"/>
                <w:szCs w:val="20"/>
                <w:lang w:eastAsia="pl-PL"/>
              </w:rPr>
            </w:pPr>
            <w:r w:rsidRPr="00D94B5E">
              <w:rPr>
                <w:b/>
                <w:bCs/>
                <w:color w:val="000000"/>
                <w:szCs w:val="20"/>
                <w:lang w:eastAsia="pl-PL"/>
              </w:rPr>
              <w:t>0</w:t>
            </w:r>
          </w:p>
        </w:tc>
        <w:tc>
          <w:tcPr>
            <w:tcW w:w="591" w:type="dxa"/>
            <w:tcBorders>
              <w:top w:val="nil"/>
              <w:left w:val="nil"/>
              <w:bottom w:val="single" w:sz="4" w:space="0" w:color="auto"/>
              <w:right w:val="single" w:sz="4" w:space="0" w:color="auto"/>
            </w:tcBorders>
            <w:shd w:val="clear" w:color="auto" w:fill="auto"/>
            <w:noWrap/>
          </w:tcPr>
          <w:p w14:paraId="135DEB29" w14:textId="77777777" w:rsidR="00E54E14" w:rsidRPr="00D94B5E" w:rsidRDefault="00E54E14" w:rsidP="00B823C1">
            <w:pPr>
              <w:spacing w:after="0"/>
              <w:jc w:val="center"/>
              <w:rPr>
                <w:b/>
                <w:bCs/>
                <w:color w:val="000000"/>
                <w:szCs w:val="20"/>
                <w:lang w:eastAsia="pl-PL"/>
              </w:rPr>
            </w:pPr>
            <w:r w:rsidRPr="00D94B5E">
              <w:rPr>
                <w:b/>
                <w:bCs/>
                <w:color w:val="000000"/>
                <w:szCs w:val="20"/>
                <w:lang w:eastAsia="pl-PL"/>
              </w:rPr>
              <w:t>50</w:t>
            </w:r>
          </w:p>
        </w:tc>
        <w:tc>
          <w:tcPr>
            <w:tcW w:w="591" w:type="dxa"/>
            <w:tcBorders>
              <w:top w:val="nil"/>
              <w:left w:val="nil"/>
              <w:bottom w:val="single" w:sz="4" w:space="0" w:color="auto"/>
              <w:right w:val="single" w:sz="4" w:space="0" w:color="auto"/>
            </w:tcBorders>
            <w:shd w:val="clear" w:color="auto" w:fill="auto"/>
            <w:noWrap/>
          </w:tcPr>
          <w:p w14:paraId="15134A41" w14:textId="77777777" w:rsidR="00E54E14" w:rsidRPr="00D94B5E" w:rsidRDefault="00E54E14" w:rsidP="00B823C1">
            <w:pPr>
              <w:spacing w:after="0"/>
              <w:jc w:val="center"/>
              <w:rPr>
                <w:b/>
                <w:bCs/>
                <w:color w:val="000000"/>
                <w:szCs w:val="20"/>
                <w:lang w:eastAsia="pl-PL"/>
              </w:rPr>
            </w:pPr>
            <w:r w:rsidRPr="00D94B5E">
              <w:rPr>
                <w:b/>
                <w:bCs/>
                <w:color w:val="000000"/>
                <w:szCs w:val="20"/>
                <w:lang w:eastAsia="pl-PL"/>
              </w:rPr>
              <w:t>50</w:t>
            </w:r>
          </w:p>
        </w:tc>
        <w:tc>
          <w:tcPr>
            <w:tcW w:w="591" w:type="dxa"/>
            <w:tcBorders>
              <w:top w:val="nil"/>
              <w:left w:val="nil"/>
              <w:bottom w:val="single" w:sz="4" w:space="0" w:color="auto"/>
              <w:right w:val="single" w:sz="4" w:space="0" w:color="auto"/>
            </w:tcBorders>
            <w:shd w:val="clear" w:color="auto" w:fill="auto"/>
            <w:noWrap/>
          </w:tcPr>
          <w:p w14:paraId="20146899" w14:textId="77777777" w:rsidR="00E54E14" w:rsidRPr="00D94B5E" w:rsidRDefault="00E54E14" w:rsidP="00B823C1">
            <w:pPr>
              <w:spacing w:after="0"/>
              <w:jc w:val="center"/>
              <w:rPr>
                <w:b/>
                <w:bCs/>
                <w:color w:val="000000"/>
                <w:szCs w:val="20"/>
                <w:lang w:eastAsia="pl-PL"/>
              </w:rPr>
            </w:pPr>
            <w:r w:rsidRPr="00D94B5E">
              <w:rPr>
                <w:b/>
                <w:bCs/>
                <w:color w:val="000000"/>
                <w:szCs w:val="20"/>
                <w:lang w:eastAsia="pl-PL"/>
              </w:rPr>
              <w:t>50</w:t>
            </w:r>
          </w:p>
        </w:tc>
        <w:tc>
          <w:tcPr>
            <w:tcW w:w="591" w:type="dxa"/>
            <w:tcBorders>
              <w:top w:val="nil"/>
              <w:left w:val="nil"/>
              <w:bottom w:val="single" w:sz="4" w:space="0" w:color="auto"/>
              <w:right w:val="single" w:sz="4" w:space="0" w:color="auto"/>
            </w:tcBorders>
            <w:shd w:val="clear" w:color="auto" w:fill="auto"/>
            <w:noWrap/>
          </w:tcPr>
          <w:p w14:paraId="49FD65E9" w14:textId="77777777" w:rsidR="00E54E14" w:rsidRPr="00D94B5E" w:rsidRDefault="00E54E14" w:rsidP="00B823C1">
            <w:pPr>
              <w:spacing w:after="0"/>
              <w:jc w:val="center"/>
              <w:rPr>
                <w:b/>
                <w:bCs/>
                <w:color w:val="000000"/>
                <w:szCs w:val="20"/>
                <w:lang w:eastAsia="pl-PL"/>
              </w:rPr>
            </w:pPr>
            <w:r w:rsidRPr="00D94B5E">
              <w:rPr>
                <w:b/>
                <w:bCs/>
                <w:color w:val="000000"/>
                <w:szCs w:val="20"/>
                <w:lang w:eastAsia="pl-PL"/>
              </w:rPr>
              <w:t>50</w:t>
            </w:r>
          </w:p>
        </w:tc>
        <w:tc>
          <w:tcPr>
            <w:tcW w:w="591" w:type="dxa"/>
            <w:tcBorders>
              <w:top w:val="single" w:sz="4" w:space="0" w:color="auto"/>
              <w:left w:val="single" w:sz="4" w:space="0" w:color="auto"/>
              <w:bottom w:val="single" w:sz="4" w:space="0" w:color="auto"/>
              <w:right w:val="single" w:sz="4" w:space="0" w:color="auto"/>
            </w:tcBorders>
          </w:tcPr>
          <w:p w14:paraId="193B7B8E" w14:textId="77777777" w:rsidR="00E54E14" w:rsidRPr="00D94B5E" w:rsidRDefault="00E54E14" w:rsidP="00B823C1">
            <w:pPr>
              <w:spacing w:after="0"/>
              <w:jc w:val="center"/>
              <w:rPr>
                <w:b/>
                <w:bCs/>
                <w:color w:val="000000"/>
                <w:szCs w:val="20"/>
                <w:lang w:eastAsia="pl-PL"/>
              </w:rPr>
            </w:pPr>
            <w:r w:rsidRPr="00D94B5E">
              <w:rPr>
                <w:b/>
                <w:bCs/>
                <w:color w:val="000000"/>
                <w:szCs w:val="20"/>
                <w:lang w:eastAsia="pl-PL"/>
              </w:rPr>
              <w:t>50</w:t>
            </w:r>
          </w:p>
        </w:tc>
        <w:tc>
          <w:tcPr>
            <w:tcW w:w="591" w:type="dxa"/>
            <w:tcBorders>
              <w:top w:val="single" w:sz="4" w:space="0" w:color="auto"/>
              <w:left w:val="single" w:sz="4" w:space="0" w:color="auto"/>
              <w:bottom w:val="single" w:sz="4" w:space="0" w:color="auto"/>
              <w:right w:val="single" w:sz="4" w:space="0" w:color="auto"/>
            </w:tcBorders>
          </w:tcPr>
          <w:p w14:paraId="19FFBD3F" w14:textId="77777777" w:rsidR="00E54E14" w:rsidRPr="00D94B5E" w:rsidRDefault="00E54E14" w:rsidP="00B823C1">
            <w:pPr>
              <w:spacing w:after="0"/>
              <w:jc w:val="center"/>
              <w:rPr>
                <w:b/>
                <w:bCs/>
                <w:color w:val="000000"/>
                <w:szCs w:val="20"/>
                <w:lang w:eastAsia="pl-PL"/>
              </w:rPr>
            </w:pPr>
            <w:r w:rsidRPr="00D94B5E">
              <w:rPr>
                <w:b/>
                <w:bCs/>
                <w:color w:val="000000"/>
                <w:szCs w:val="20"/>
                <w:lang w:eastAsia="pl-PL"/>
              </w:rPr>
              <w:t>50</w:t>
            </w:r>
          </w:p>
        </w:tc>
        <w:tc>
          <w:tcPr>
            <w:tcW w:w="591" w:type="dxa"/>
            <w:tcBorders>
              <w:top w:val="single" w:sz="4" w:space="0" w:color="auto"/>
              <w:left w:val="single" w:sz="4" w:space="0" w:color="auto"/>
              <w:bottom w:val="single" w:sz="4" w:space="0" w:color="auto"/>
              <w:right w:val="single" w:sz="4" w:space="0" w:color="auto"/>
            </w:tcBorders>
          </w:tcPr>
          <w:p w14:paraId="030BD862" w14:textId="77777777" w:rsidR="00E54E14" w:rsidRPr="00D94B5E" w:rsidRDefault="00E54E14" w:rsidP="00B823C1">
            <w:pPr>
              <w:spacing w:after="0"/>
              <w:jc w:val="center"/>
              <w:rPr>
                <w:b/>
                <w:bCs/>
                <w:color w:val="000000"/>
                <w:szCs w:val="20"/>
                <w:lang w:eastAsia="pl-PL"/>
              </w:rPr>
            </w:pPr>
            <w:r w:rsidRPr="00D94B5E">
              <w:rPr>
                <w:b/>
                <w:bCs/>
                <w:color w:val="000000"/>
                <w:szCs w:val="20"/>
                <w:lang w:eastAsia="pl-PL"/>
              </w:rPr>
              <w:t>50</w:t>
            </w:r>
          </w:p>
        </w:tc>
        <w:tc>
          <w:tcPr>
            <w:tcW w:w="591" w:type="dxa"/>
            <w:tcBorders>
              <w:top w:val="single" w:sz="4" w:space="0" w:color="auto"/>
              <w:left w:val="single" w:sz="4" w:space="0" w:color="auto"/>
              <w:bottom w:val="single" w:sz="4" w:space="0" w:color="auto"/>
              <w:right w:val="single" w:sz="4" w:space="0" w:color="auto"/>
            </w:tcBorders>
            <w:shd w:val="clear" w:color="auto" w:fill="auto"/>
            <w:noWrap/>
          </w:tcPr>
          <w:p w14:paraId="7878C771" w14:textId="77777777" w:rsidR="00E54E14" w:rsidRPr="00D94B5E" w:rsidRDefault="00E54E14" w:rsidP="00B823C1">
            <w:pPr>
              <w:spacing w:after="0"/>
              <w:jc w:val="center"/>
              <w:rPr>
                <w:b/>
                <w:bCs/>
                <w:color w:val="000000"/>
                <w:szCs w:val="20"/>
                <w:lang w:eastAsia="pl-PL"/>
              </w:rPr>
            </w:pPr>
            <w:r w:rsidRPr="00D94B5E">
              <w:rPr>
                <w:b/>
                <w:bCs/>
                <w:color w:val="000000"/>
                <w:szCs w:val="20"/>
                <w:lang w:eastAsia="pl-PL"/>
              </w:rPr>
              <w:t>50</w:t>
            </w:r>
          </w:p>
        </w:tc>
        <w:tc>
          <w:tcPr>
            <w:tcW w:w="2008" w:type="dxa"/>
            <w:tcBorders>
              <w:top w:val="nil"/>
              <w:left w:val="single" w:sz="4" w:space="0" w:color="auto"/>
              <w:bottom w:val="single" w:sz="4" w:space="0" w:color="auto"/>
              <w:right w:val="single" w:sz="4" w:space="0" w:color="auto"/>
            </w:tcBorders>
            <w:shd w:val="clear" w:color="auto" w:fill="auto"/>
            <w:noWrap/>
            <w:vAlign w:val="center"/>
            <w:hideMark/>
          </w:tcPr>
          <w:p w14:paraId="4C8841D3" w14:textId="77777777" w:rsidR="00E54E14" w:rsidRPr="00D94B5E" w:rsidRDefault="00E54E14" w:rsidP="00B823C1">
            <w:pPr>
              <w:spacing w:after="0"/>
              <w:jc w:val="center"/>
              <w:rPr>
                <w:b/>
                <w:bCs/>
                <w:color w:val="000000"/>
                <w:szCs w:val="20"/>
                <w:lang w:eastAsia="pl-PL"/>
              </w:rPr>
            </w:pPr>
            <w:r w:rsidRPr="00D94B5E">
              <w:rPr>
                <w:b/>
                <w:bCs/>
                <w:color w:val="000000"/>
                <w:szCs w:val="20"/>
                <w:lang w:eastAsia="pl-PL"/>
              </w:rPr>
              <w:t>400</w:t>
            </w:r>
          </w:p>
        </w:tc>
      </w:tr>
    </w:tbl>
    <w:p w14:paraId="7B824F6F" w14:textId="77777777" w:rsidR="00F34BD4" w:rsidRPr="00373FD3" w:rsidRDefault="00F34BD4" w:rsidP="00373FD3"/>
    <w:p w14:paraId="4BA2971B" w14:textId="77777777" w:rsidR="00AD75DF" w:rsidRDefault="00AD75DF">
      <w:pPr>
        <w:jc w:val="left"/>
        <w:rPr>
          <w:rFonts w:ascii="Bahnschrift" w:eastAsiaTheme="majorEastAsia" w:hAnsi="Bahnschrift" w:cstheme="majorBidi"/>
          <w:sz w:val="48"/>
          <w:szCs w:val="32"/>
        </w:rPr>
      </w:pPr>
      <w:r>
        <w:rPr>
          <w:b/>
        </w:rPr>
        <w:br w:type="page"/>
      </w:r>
    </w:p>
    <w:p w14:paraId="4AD8C17A" w14:textId="00808CC1" w:rsidR="00AD75DF" w:rsidRPr="00373FD3" w:rsidRDefault="00FF3BC7" w:rsidP="00FF3BC7">
      <w:pPr>
        <w:pStyle w:val="Nagwek1"/>
        <w:numPr>
          <w:ilvl w:val="0"/>
          <w:numId w:val="0"/>
        </w:numPr>
      </w:pPr>
      <w:bookmarkStart w:id="34" w:name="_Toc159424904"/>
      <w:r>
        <w:lastRenderedPageBreak/>
        <w:t xml:space="preserve">Część B. </w:t>
      </w:r>
      <w:r w:rsidR="00AD75DF" w:rsidRPr="00373FD3">
        <w:t>Wartości współczynnika nakładu energii pierwotnej dla energii elektrycznej z sieci</w:t>
      </w:r>
      <w:r w:rsidR="00AD75DF">
        <w:t xml:space="preserve"> e</w:t>
      </w:r>
      <w:r w:rsidR="00AD75DF" w:rsidRPr="00373FD3">
        <w:t>lektroenergetycznej</w:t>
      </w:r>
      <w:r w:rsidR="00AD75DF">
        <w:t xml:space="preserve"> </w:t>
      </w:r>
      <w:r w:rsidR="00AD75DF" w:rsidRPr="00373FD3">
        <w:t xml:space="preserve">(ang. </w:t>
      </w:r>
      <w:proofErr w:type="spellStart"/>
      <w:r w:rsidR="00AD75DF" w:rsidRPr="00373FD3">
        <w:t>Primary</w:t>
      </w:r>
      <w:proofErr w:type="spellEnd"/>
      <w:r w:rsidR="00AD75DF" w:rsidRPr="00373FD3">
        <w:t xml:space="preserve"> Energy </w:t>
      </w:r>
      <w:proofErr w:type="spellStart"/>
      <w:r w:rsidR="00AD75DF" w:rsidRPr="00373FD3">
        <w:t>Factor</w:t>
      </w:r>
      <w:proofErr w:type="spellEnd"/>
      <w:r w:rsidR="00AD75DF" w:rsidRPr="00373FD3">
        <w:t xml:space="preserve"> – PEF) dla Polski</w:t>
      </w:r>
      <w:bookmarkEnd w:id="34"/>
      <w:r w:rsidR="00AD75DF" w:rsidRPr="00373FD3">
        <w:t xml:space="preserve"> </w:t>
      </w:r>
    </w:p>
    <w:p w14:paraId="788346F3" w14:textId="77777777" w:rsidR="00AD75DF" w:rsidRPr="00373FD3" w:rsidRDefault="00AD75DF" w:rsidP="00373FD3">
      <w:r w:rsidRPr="00373FD3">
        <w:t xml:space="preserve">Obowiązującą aktualnie w Polsce wartość współczynnika nakładu nieodnawialnej energii pierwotnej wynosi 2,5. </w:t>
      </w:r>
    </w:p>
    <w:p w14:paraId="5F45CC1D" w14:textId="77777777" w:rsidR="00AD75DF" w:rsidRPr="00373FD3" w:rsidRDefault="00AD75DF" w:rsidP="00373FD3">
      <w:r w:rsidRPr="00373FD3">
        <w:t>Rozporządzenie delegowane Komisji (UE) 2023/807 z dnia 15 grudnia 2022 r. w sprawie przeglądu współczynnika energii pierwotnej dla energii elektrycznej w zastosowaniu dyrektywy Parlamentu Europejskiego i Rady 2012/27/UE, zmieniając załącznik IV do dyrektywy 2012/27/UE, stanowi, że dla oszczędności wyrażonej w kWh państwa członkowskie mogą zastosować współczynnik domyślny wynoszący 1,9 lub skorzystać z prawa do określenia innego współczynnika, pod warunkiem że mogą go uzasadnić.</w:t>
      </w:r>
    </w:p>
    <w:p w14:paraId="13B46DD9" w14:textId="77777777" w:rsidR="00AD75DF" w:rsidRPr="00706980" w:rsidRDefault="00AD75DF" w:rsidP="00AD75DF">
      <w:pPr>
        <w:autoSpaceDE w:val="0"/>
        <w:autoSpaceDN w:val="0"/>
        <w:adjustRightInd w:val="0"/>
        <w:spacing w:after="0" w:line="240" w:lineRule="auto"/>
      </w:pPr>
    </w:p>
    <w:p w14:paraId="0BE6D43C" w14:textId="77777777" w:rsidR="00AD75DF" w:rsidRPr="00373FD3" w:rsidRDefault="00AD75DF" w:rsidP="00373FD3">
      <w:r w:rsidRPr="00373FD3">
        <w:t>Uzasadnienie przyjęcie innej wartość niż 1,9 zalecanej przez Komisję Europejską.</w:t>
      </w:r>
    </w:p>
    <w:p w14:paraId="3168B054" w14:textId="77777777" w:rsidR="00AD75DF" w:rsidRPr="00373FD3" w:rsidRDefault="00AD75DF" w:rsidP="00373FD3">
      <w:r w:rsidRPr="00373FD3">
        <w:t>W Polsce konsekwentnie od 2008 roku stosuje się wartości współczynnika nakładu nieodnawialnej energii pierwotnej. Przebieg zmian wartości współczynnika nakładu nieodnawialnej energii pierwotnej, przyjmowanych w krajowych regulacjach był jak następuje:</w:t>
      </w:r>
    </w:p>
    <w:p w14:paraId="184158A4" w14:textId="77777777" w:rsidR="00AD75DF" w:rsidRPr="00197DA8" w:rsidRDefault="00AD75DF" w:rsidP="00FF3BC7">
      <w:pPr>
        <w:pStyle w:val="Akapitzlist"/>
        <w:numPr>
          <w:ilvl w:val="0"/>
          <w:numId w:val="42"/>
        </w:numPr>
      </w:pPr>
      <w:r w:rsidRPr="00197DA8">
        <w:t>w odniesieniu do Dyrektywy w sprawie charakterystyki energetycznej budynków 2010/21/UE (dalej: EPBD</w:t>
      </w:r>
      <w:r>
        <w:t>)</w:t>
      </w:r>
      <w:r w:rsidRPr="00197DA8">
        <w:t xml:space="preserve">, rozporządzenie Ministra Infrastruktury z dnia 6 listopada 2008 r. </w:t>
      </w:r>
      <w:r w:rsidRPr="00373FD3">
        <w:t>w sprawie metodologii obliczania charakterystyki energetycznej budynku i lokalu mieszkalnego lub części budynku stanowiącej samodzielną całość techniczno-użytkową oraz sposobu sporządzania i wzorów świadectw ich charakterystyki energetycznej</w:t>
      </w:r>
      <w:r w:rsidRPr="00197DA8">
        <w:t xml:space="preserve"> (Dz.U. 2008 nr 201 poz. 1240) ustaliło wartość współczynnika nakładu nieodnawialnej energii pierwotnej wynoszącą 3;</w:t>
      </w:r>
    </w:p>
    <w:p w14:paraId="1DF2420E" w14:textId="77777777" w:rsidR="00AD75DF" w:rsidRPr="00F1243E" w:rsidRDefault="00AD75DF" w:rsidP="00FF3BC7">
      <w:pPr>
        <w:pStyle w:val="Akapitzlist"/>
        <w:numPr>
          <w:ilvl w:val="0"/>
          <w:numId w:val="42"/>
        </w:numPr>
      </w:pPr>
      <w:r>
        <w:t>o</w:t>
      </w:r>
      <w:r w:rsidRPr="00F1243E">
        <w:t xml:space="preserve">bowiązujące aktualnie rozporządzenie Ministra Rozwoju i Technologii z dnia 28 marca 2023 r. </w:t>
      </w:r>
      <w:r w:rsidRPr="00373FD3">
        <w:t>zmieniające rozporządzenie w sprawie metodologii wyznaczania charakterystyki energetycznej budynku lub części budynku oraz świadectw charakterystyki energetycznej</w:t>
      </w:r>
      <w:r w:rsidRPr="00F1243E">
        <w:t xml:space="preserve"> (Dz.U. 2023 poz. 697) ustaliło wartość 2,5 współczynnika nakładu nieodnawialnej energii pierwotnej na wytworzenie i dostarczenie energii elektrycznej z systemowej sieci elektroenergetycznej. (Rozporządzenie weszło  w życie z dniem 28 kwietnia 2023 r.).</w:t>
      </w:r>
      <w:r>
        <w:t>;</w:t>
      </w:r>
    </w:p>
    <w:p w14:paraId="71DCC895" w14:textId="77777777" w:rsidR="00AD75DF" w:rsidRPr="00F1243E" w:rsidRDefault="00AD75DF" w:rsidP="00FF3BC7">
      <w:pPr>
        <w:pStyle w:val="Akapitzlist"/>
        <w:numPr>
          <w:ilvl w:val="0"/>
          <w:numId w:val="42"/>
        </w:numPr>
      </w:pPr>
      <w:r>
        <w:t>w</w:t>
      </w:r>
      <w:r w:rsidRPr="00F1243E">
        <w:t xml:space="preserve"> odniesieniu do </w:t>
      </w:r>
      <w:r>
        <w:t>W SPRAWIE EFEKTYWNOŚCI ENERGETYCZNEJ</w:t>
      </w:r>
      <w:r w:rsidRPr="00F1243E">
        <w:t xml:space="preserve">, w rozporządzeniu Ministra Gospodarki z dnia 4 września 2012 r. </w:t>
      </w:r>
      <w:r w:rsidRPr="00F1243E">
        <w:br/>
      </w:r>
      <w:r w:rsidRPr="00373FD3">
        <w:t>w sprawie sposobu obliczania ilości energii pierwotnej odpowiadającej wartości świadectwa efektywności energetycznej oraz wysokości jednostkowej opłaty zastępczej</w:t>
      </w:r>
      <w:r w:rsidRPr="00F1243E">
        <w:t xml:space="preserve"> (Dz.U. 2012 poz. 1039) ustalono wielkość sprawności systemu elektroenergetycznego przyjęto 0,33, co odpowiada wartości PEF nieodnawialnej wynoszącej 3.</w:t>
      </w:r>
    </w:p>
    <w:p w14:paraId="3E07F07E" w14:textId="77777777" w:rsidR="00AD75DF" w:rsidRDefault="00AD75DF" w:rsidP="00373FD3">
      <w:r>
        <w:t>o</w:t>
      </w:r>
      <w:r w:rsidRPr="00F1243E">
        <w:t>bowiązującą aktualnie wartość 2,5 ustaliło rozporządzenie Ministra Energii z dnia 5</w:t>
      </w:r>
      <w:r>
        <w:t> </w:t>
      </w:r>
      <w:r w:rsidRPr="00F1243E">
        <w:t xml:space="preserve">października 2017 r. </w:t>
      </w:r>
      <w:r w:rsidRPr="00373FD3">
        <w:t>w sprawie szczegółowego zakresu i sposobu sporządzania audytu efektywności energetycznej oraz metod obliczania oszczędności energii</w:t>
      </w:r>
      <w:r w:rsidRPr="00F1243E">
        <w:t xml:space="preserve"> (Dz.U. 2017 poz. 1912).</w:t>
      </w:r>
    </w:p>
    <w:p w14:paraId="51A1EF0F" w14:textId="77777777" w:rsidR="00AD75DF" w:rsidRPr="00706980" w:rsidRDefault="00AD75DF" w:rsidP="00373FD3">
      <w:r w:rsidRPr="00706980">
        <w:lastRenderedPageBreak/>
        <w:t>W 2022 roku</w:t>
      </w:r>
      <w:bookmarkStart w:id="35" w:name="_Ref135218349"/>
      <w:r w:rsidRPr="00706980">
        <w:t xml:space="preserve"> przeprowadzona została analiza</w:t>
      </w:r>
      <w:bookmarkEnd w:id="35"/>
      <w:r>
        <w:t xml:space="preserve"> </w:t>
      </w:r>
      <w:r w:rsidRPr="00706980">
        <w:t>obliczenia wartości współczynnika nakładu całkowitej oraz nieodnawialnej energii pierwotnej dla miksu energetycznego Polski</w:t>
      </w:r>
      <w:bookmarkStart w:id="36" w:name="_Ref137037688"/>
      <w:r w:rsidRPr="00373FD3">
        <w:footnoteReference w:id="13"/>
      </w:r>
      <w:bookmarkEnd w:id="36"/>
      <w:r w:rsidRPr="00706980">
        <w:t xml:space="preserve">, </w:t>
      </w:r>
      <w:r w:rsidRPr="00706980">
        <w:br/>
        <w:t>z wykorzystaniem zasad kalkulacji określonych w normie PN-EN 17423.</w:t>
      </w:r>
    </w:p>
    <w:p w14:paraId="4C5CF1C2" w14:textId="77777777" w:rsidR="00AD75DF" w:rsidRPr="00706980" w:rsidRDefault="00AD75DF" w:rsidP="00373FD3">
      <w:r w:rsidRPr="00706980">
        <w:t>Zestawienie danych oraz wyniki obliczeń współczynnika nakładu całkowitej energii pierwotnej dla energii elektrycznej pochodzącej z sieci elektroenergetycznej, dla lat 2005-2020 przedstawiono w poniższej – Tab. 1</w:t>
      </w:r>
      <w:r>
        <w:t>2</w:t>
      </w:r>
      <w:r w:rsidRPr="00706980">
        <w:t xml:space="preserve">. </w:t>
      </w:r>
    </w:p>
    <w:p w14:paraId="24B37B1E" w14:textId="79AC7192" w:rsidR="00AD75DF" w:rsidRDefault="00AD75DF" w:rsidP="00AD75DF">
      <w:pPr>
        <w:pStyle w:val="Legenda"/>
        <w:keepNext/>
        <w:spacing w:before="120" w:line="276" w:lineRule="auto"/>
        <w:jc w:val="center"/>
      </w:pPr>
      <w:r w:rsidRPr="004E6921">
        <w:rPr>
          <w:rStyle w:val="rynqvb"/>
          <w:b/>
          <w:bCs/>
        </w:rPr>
        <w:t xml:space="preserve">Tab. </w:t>
      </w:r>
      <w:r w:rsidRPr="004E6921">
        <w:rPr>
          <w:rStyle w:val="rynqvb"/>
          <w:b/>
          <w:bCs/>
        </w:rPr>
        <w:fldChar w:fldCharType="begin"/>
      </w:r>
      <w:r w:rsidRPr="004E6921">
        <w:rPr>
          <w:rStyle w:val="rynqvb"/>
          <w:b/>
          <w:bCs/>
        </w:rPr>
        <w:instrText xml:space="preserve"> SEQ Tab. \* ARABIC </w:instrText>
      </w:r>
      <w:r w:rsidRPr="004E6921">
        <w:rPr>
          <w:rStyle w:val="rynqvb"/>
          <w:b/>
          <w:bCs/>
        </w:rPr>
        <w:fldChar w:fldCharType="separate"/>
      </w:r>
      <w:r w:rsidR="00FD1148">
        <w:rPr>
          <w:rStyle w:val="rynqvb"/>
          <w:b/>
          <w:bCs/>
          <w:noProof/>
        </w:rPr>
        <w:t>9</w:t>
      </w:r>
      <w:r w:rsidRPr="004E6921">
        <w:rPr>
          <w:rStyle w:val="rynqvb"/>
          <w:b/>
          <w:bCs/>
        </w:rPr>
        <w:fldChar w:fldCharType="end"/>
      </w:r>
      <w:r w:rsidRPr="004E6921">
        <w:rPr>
          <w:rStyle w:val="rynqvb"/>
          <w:b/>
          <w:bCs/>
        </w:rPr>
        <w:t xml:space="preserve"> Wyniki obliczeń wskaźnika całkowitej energii pierwotnej dla miksu energetycznego Polski </w:t>
      </w:r>
    </w:p>
    <w:p w14:paraId="1486E6FF" w14:textId="77777777" w:rsidR="00AD75DF" w:rsidRDefault="00AD75DF" w:rsidP="00AD75DF">
      <w:pPr>
        <w:spacing w:after="0" w:line="360" w:lineRule="auto"/>
        <w:rPr>
          <w:lang w:val="en-GB"/>
        </w:rPr>
      </w:pPr>
      <w:r>
        <w:rPr>
          <w:noProof/>
        </w:rPr>
        <w:drawing>
          <wp:inline distT="0" distB="0" distL="0" distR="0" wp14:anchorId="4B355941" wp14:editId="58ADFE49">
            <wp:extent cx="5722620" cy="5439410"/>
            <wp:effectExtent l="0" t="0" r="0" b="8890"/>
            <wp:docPr id="27606555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22620" cy="5439410"/>
                    </a:xfrm>
                    <a:prstGeom prst="rect">
                      <a:avLst/>
                    </a:prstGeom>
                    <a:noFill/>
                    <a:ln>
                      <a:noFill/>
                    </a:ln>
                  </pic:spPr>
                </pic:pic>
              </a:graphicData>
            </a:graphic>
          </wp:inline>
        </w:drawing>
      </w:r>
    </w:p>
    <w:p w14:paraId="165887DA" w14:textId="77777777" w:rsidR="00AD75DF" w:rsidRPr="008C5DF9" w:rsidRDefault="00AD75DF" w:rsidP="00AD75DF">
      <w:pPr>
        <w:spacing w:after="0" w:line="360" w:lineRule="auto"/>
      </w:pPr>
      <w:r w:rsidRPr="008C5DF9">
        <w:t>Oznaczenie symboli w tabeli powyżej jest następujące:</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
        <w:gridCol w:w="420"/>
        <w:gridCol w:w="7688"/>
      </w:tblGrid>
      <w:tr w:rsidR="00AD75DF" w:rsidRPr="008C5DF9" w14:paraId="30F2B4DD" w14:textId="77777777" w:rsidTr="00B823C1">
        <w:tc>
          <w:tcPr>
            <w:tcW w:w="704" w:type="dxa"/>
            <w:hideMark/>
          </w:tcPr>
          <w:p w14:paraId="5D60670C" w14:textId="77777777" w:rsidR="00AD75DF" w:rsidRPr="008C5DF9" w:rsidRDefault="00FD1148" w:rsidP="00B823C1">
            <w:pPr>
              <w:spacing w:line="276" w:lineRule="auto"/>
            </w:pPr>
            <m:oMathPara>
              <m:oMath>
                <m:sSub>
                  <m:sSubPr>
                    <m:ctrlPr>
                      <w:rPr>
                        <w:rFonts w:ascii="Cambria Math" w:hAnsi="Cambria Math"/>
                        <w:i/>
                      </w:rPr>
                    </m:ctrlPr>
                  </m:sSubPr>
                  <m:e>
                    <m:r>
                      <w:rPr>
                        <w:rFonts w:ascii="Cambria Math" w:hAnsi="Cambria Math"/>
                      </w:rPr>
                      <m:t>E</m:t>
                    </m:r>
                  </m:e>
                  <m:sub>
                    <m:r>
                      <w:rPr>
                        <w:rFonts w:ascii="Cambria Math" w:hAnsi="Cambria Math"/>
                      </w:rPr>
                      <m:t>prod,,el,j</m:t>
                    </m:r>
                  </m:sub>
                </m:sSub>
              </m:oMath>
            </m:oMathPara>
          </w:p>
        </w:tc>
        <w:tc>
          <w:tcPr>
            <w:tcW w:w="425" w:type="dxa"/>
            <w:hideMark/>
          </w:tcPr>
          <w:p w14:paraId="565E21AE" w14:textId="77777777" w:rsidR="00AD75DF" w:rsidRPr="008C5DF9" w:rsidRDefault="00AD75DF" w:rsidP="00B823C1">
            <w:pPr>
              <w:spacing w:line="276" w:lineRule="auto"/>
            </w:pPr>
            <w:r w:rsidRPr="008C5DF9">
              <w:t>-</w:t>
            </w:r>
          </w:p>
        </w:tc>
        <w:tc>
          <w:tcPr>
            <w:tcW w:w="7933" w:type="dxa"/>
            <w:hideMark/>
          </w:tcPr>
          <w:p w14:paraId="743F06BF" w14:textId="77777777" w:rsidR="00AD75DF" w:rsidRPr="008C5DF9" w:rsidRDefault="00AD75DF" w:rsidP="00B823C1">
            <w:pPr>
              <w:spacing w:line="276" w:lineRule="auto"/>
            </w:pPr>
            <w:r w:rsidRPr="008C5DF9">
              <w:t>energia elektryczna wyprodukowana w wyniku konwersji j-tego paliwa;</w:t>
            </w:r>
          </w:p>
        </w:tc>
      </w:tr>
      <w:tr w:rsidR="00AD75DF" w:rsidRPr="008C5DF9" w14:paraId="659C9868" w14:textId="77777777" w:rsidTr="00B823C1">
        <w:tc>
          <w:tcPr>
            <w:tcW w:w="704" w:type="dxa"/>
            <w:hideMark/>
          </w:tcPr>
          <w:p w14:paraId="6A115647" w14:textId="77777777" w:rsidR="00AD75DF" w:rsidRPr="008C5DF9" w:rsidRDefault="00FD1148" w:rsidP="00B823C1">
            <w:pPr>
              <w:spacing w:line="276" w:lineRule="auto"/>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tot,j</m:t>
                    </m:r>
                  </m:sub>
                </m:sSub>
              </m:oMath>
            </m:oMathPara>
          </w:p>
        </w:tc>
        <w:tc>
          <w:tcPr>
            <w:tcW w:w="425" w:type="dxa"/>
            <w:hideMark/>
          </w:tcPr>
          <w:p w14:paraId="3627D363" w14:textId="77777777" w:rsidR="00AD75DF" w:rsidRPr="008C5DF9" w:rsidRDefault="00AD75DF" w:rsidP="00B823C1">
            <w:pPr>
              <w:spacing w:line="276" w:lineRule="auto"/>
            </w:pPr>
            <w:r w:rsidRPr="008C5DF9">
              <w:t>-</w:t>
            </w:r>
          </w:p>
        </w:tc>
        <w:tc>
          <w:tcPr>
            <w:tcW w:w="7933" w:type="dxa"/>
            <w:hideMark/>
          </w:tcPr>
          <w:p w14:paraId="30E53E87" w14:textId="77777777" w:rsidR="00AD75DF" w:rsidRPr="008C5DF9" w:rsidRDefault="00AD75DF" w:rsidP="00B823C1">
            <w:pPr>
              <w:spacing w:line="276" w:lineRule="auto"/>
            </w:pPr>
            <w:r w:rsidRPr="008C5DF9">
              <w:t xml:space="preserve">współczynnik nakładu całkowitej energii pierwotnej </w:t>
            </w:r>
            <w:r w:rsidRPr="008C5DF9">
              <w:rPr>
                <w:i/>
                <w:iCs/>
              </w:rPr>
              <w:t>j</w:t>
            </w:r>
            <w:r w:rsidRPr="008C5DF9">
              <w:t>-tego paliwa;</w:t>
            </w:r>
          </w:p>
        </w:tc>
      </w:tr>
      <w:tr w:rsidR="00AD75DF" w:rsidRPr="008C5DF9" w14:paraId="3A03EC1B" w14:textId="77777777" w:rsidTr="00B823C1">
        <w:tc>
          <w:tcPr>
            <w:tcW w:w="704" w:type="dxa"/>
            <w:hideMark/>
          </w:tcPr>
          <w:p w14:paraId="438FC60B" w14:textId="77777777" w:rsidR="00AD75DF" w:rsidRPr="008C5DF9" w:rsidRDefault="00FD1148" w:rsidP="00B823C1">
            <w:pPr>
              <w:spacing w:line="276" w:lineRule="auto"/>
            </w:pPr>
            <m:oMathPara>
              <m:oMathParaPr>
                <m:jc m:val="left"/>
              </m:oMathParaPr>
              <m:oMath>
                <m:sSub>
                  <m:sSubPr>
                    <m:ctrlPr>
                      <w:rPr>
                        <w:rFonts w:ascii="Cambria Math" w:hAnsi="Cambria Math"/>
                        <w:i/>
                      </w:rPr>
                    </m:ctrlPr>
                  </m:sSubPr>
                  <m:e>
                    <m:r>
                      <w:rPr>
                        <w:rFonts w:ascii="Cambria Math" w:hAnsi="Cambria Math"/>
                      </w:rPr>
                      <m:t>η</m:t>
                    </m:r>
                  </m:e>
                  <m:sub>
                    <m:r>
                      <w:rPr>
                        <w:rFonts w:ascii="Cambria Math" w:hAnsi="Cambria Math"/>
                      </w:rPr>
                      <m:t>prod,j</m:t>
                    </m:r>
                  </m:sub>
                </m:sSub>
              </m:oMath>
            </m:oMathPara>
          </w:p>
        </w:tc>
        <w:tc>
          <w:tcPr>
            <w:tcW w:w="425" w:type="dxa"/>
            <w:hideMark/>
          </w:tcPr>
          <w:p w14:paraId="7DAD5BEC" w14:textId="77777777" w:rsidR="00AD75DF" w:rsidRPr="008C5DF9" w:rsidRDefault="00AD75DF" w:rsidP="00B823C1">
            <w:pPr>
              <w:spacing w:line="276" w:lineRule="auto"/>
            </w:pPr>
            <w:r w:rsidRPr="008C5DF9">
              <w:t>-</w:t>
            </w:r>
          </w:p>
        </w:tc>
        <w:tc>
          <w:tcPr>
            <w:tcW w:w="7933" w:type="dxa"/>
            <w:hideMark/>
          </w:tcPr>
          <w:p w14:paraId="7EAC7B52" w14:textId="77777777" w:rsidR="00AD75DF" w:rsidRPr="008C5DF9" w:rsidRDefault="00AD75DF" w:rsidP="00B823C1">
            <w:pPr>
              <w:spacing w:line="276" w:lineRule="auto"/>
            </w:pPr>
            <w:r w:rsidRPr="008C5DF9">
              <w:t xml:space="preserve">sprawność wytwarzania energii elektrycznej w wyniku konwersji </w:t>
            </w:r>
            <w:r w:rsidRPr="008C5DF9">
              <w:rPr>
                <w:i/>
                <w:iCs/>
              </w:rPr>
              <w:t>j</w:t>
            </w:r>
            <w:r w:rsidRPr="008C5DF9">
              <w:t>-tego paliwa;</w:t>
            </w:r>
          </w:p>
        </w:tc>
      </w:tr>
      <w:tr w:rsidR="00AD75DF" w:rsidRPr="008C5DF9" w14:paraId="14BC64E1" w14:textId="77777777" w:rsidTr="00B823C1">
        <w:tc>
          <w:tcPr>
            <w:tcW w:w="704" w:type="dxa"/>
            <w:hideMark/>
          </w:tcPr>
          <w:p w14:paraId="43859044" w14:textId="77777777" w:rsidR="00AD75DF" w:rsidRPr="008C5DF9" w:rsidRDefault="00FD1148" w:rsidP="00B823C1">
            <w:pPr>
              <w:spacing w:line="276" w:lineRule="auto"/>
            </w:pPr>
            <m:oMathPara>
              <m:oMathParaPr>
                <m:jc m:val="left"/>
              </m:oMathParaPr>
              <m:oMath>
                <m:sSub>
                  <m:sSubPr>
                    <m:ctrlPr>
                      <w:rPr>
                        <w:rFonts w:ascii="Cambria Math" w:hAnsi="Cambria Math"/>
                        <w:i/>
                      </w:rPr>
                    </m:ctrlPr>
                  </m:sSubPr>
                  <m:e>
                    <m:r>
                      <w:rPr>
                        <w:rFonts w:ascii="Cambria Math" w:hAnsi="Cambria Math"/>
                      </w:rPr>
                      <m:t>η</m:t>
                    </m:r>
                  </m:e>
                  <m:sub>
                    <m:r>
                      <w:rPr>
                        <w:rFonts w:ascii="Cambria Math" w:hAnsi="Cambria Math"/>
                      </w:rPr>
                      <m:t>del</m:t>
                    </m:r>
                  </m:sub>
                </m:sSub>
              </m:oMath>
            </m:oMathPara>
          </w:p>
        </w:tc>
        <w:tc>
          <w:tcPr>
            <w:tcW w:w="425" w:type="dxa"/>
            <w:hideMark/>
          </w:tcPr>
          <w:p w14:paraId="75FC4CFA" w14:textId="77777777" w:rsidR="00AD75DF" w:rsidRPr="008C5DF9" w:rsidRDefault="00AD75DF" w:rsidP="00B823C1">
            <w:pPr>
              <w:spacing w:line="276" w:lineRule="auto"/>
            </w:pPr>
            <w:r w:rsidRPr="008C5DF9">
              <w:t>-</w:t>
            </w:r>
          </w:p>
        </w:tc>
        <w:tc>
          <w:tcPr>
            <w:tcW w:w="7933" w:type="dxa"/>
            <w:hideMark/>
          </w:tcPr>
          <w:p w14:paraId="6B220F93" w14:textId="77777777" w:rsidR="00AD75DF" w:rsidRPr="008C5DF9" w:rsidRDefault="00AD75DF" w:rsidP="00B823C1">
            <w:pPr>
              <w:spacing w:line="276" w:lineRule="auto"/>
            </w:pPr>
            <w:r w:rsidRPr="008C5DF9">
              <w:t>sprawność przesyłu i dystrybucji energii elektrycznej.</w:t>
            </w:r>
          </w:p>
        </w:tc>
      </w:tr>
    </w:tbl>
    <w:p w14:paraId="1A76C390" w14:textId="77777777" w:rsidR="00AD75DF" w:rsidRDefault="00AD75DF" w:rsidP="00AD75DF">
      <w:pPr>
        <w:spacing w:after="0" w:line="276" w:lineRule="auto"/>
      </w:pPr>
    </w:p>
    <w:p w14:paraId="59392B26" w14:textId="77777777" w:rsidR="00AD75DF" w:rsidRDefault="00AD75DF" w:rsidP="00AD75DF">
      <w:pPr>
        <w:spacing w:after="0" w:line="360" w:lineRule="auto"/>
        <w:ind w:firstLine="708"/>
      </w:pPr>
    </w:p>
    <w:p w14:paraId="4CC829B9" w14:textId="77777777" w:rsidR="00AD75DF" w:rsidRDefault="00AD75DF" w:rsidP="00373FD3">
      <w:r>
        <w:lastRenderedPageBreak/>
        <w:t>Na poniższym wykresie przedstawiono przebieg zmian obliczonych wartości współczynnika nakładu całkowitej nieodnawialnej energii pierwotnej dla systemowej energii elektrycznej.</w:t>
      </w:r>
      <w:r>
        <w:rPr>
          <w:noProof/>
        </w:rPr>
        <w:drawing>
          <wp:inline distT="0" distB="0" distL="0" distR="0" wp14:anchorId="26011109" wp14:editId="7D25A29E">
            <wp:extent cx="5907819" cy="2743200"/>
            <wp:effectExtent l="0" t="0" r="0" b="0"/>
            <wp:docPr id="1688410467" name="Wykres 1688410467">
              <a:extLst xmlns:a="http://schemas.openxmlformats.org/drawingml/2006/main">
                <a:ext uri="{FF2B5EF4-FFF2-40B4-BE49-F238E27FC236}">
                  <a16:creationId xmlns:a16="http://schemas.microsoft.com/office/drawing/2014/main" id="{4D2A4D4A-1472-69F2-EC02-A2C3A2E8D5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5F581B6" w14:textId="77777777" w:rsidR="00AD75DF" w:rsidRDefault="00AD75DF" w:rsidP="00AD75DF">
      <w:pPr>
        <w:pStyle w:val="Legenda"/>
        <w:spacing w:line="276" w:lineRule="auto"/>
        <w:jc w:val="center"/>
        <w:rPr>
          <w:color w:val="1F3864" w:themeColor="accent1" w:themeShade="80"/>
          <w:sz w:val="20"/>
          <w:szCs w:val="20"/>
        </w:rPr>
      </w:pPr>
      <w:r w:rsidRPr="00A31E0C">
        <w:rPr>
          <w:color w:val="1F3864" w:themeColor="accent1" w:themeShade="80"/>
          <w:sz w:val="20"/>
          <w:szCs w:val="20"/>
        </w:rPr>
        <w:t>Rys. 3.1 Całkowity współczynnik nakładu energii pierwotnej w kolejnych latach</w:t>
      </w:r>
    </w:p>
    <w:p w14:paraId="267E055A" w14:textId="49EB5E6D" w:rsidR="00AD75DF" w:rsidRPr="000843AD" w:rsidRDefault="00AD75DF" w:rsidP="00373FD3">
      <w:r w:rsidRPr="000843AD">
        <w:t>Natomiast w  wyniku obliczeń współczynnika nakładu nieodnawialnej energii pierwotnej uzyskano wartość wynoszącą 2,19</w:t>
      </w:r>
      <w:r w:rsidRPr="00373FD3">
        <w:fldChar w:fldCharType="begin"/>
      </w:r>
      <w:r w:rsidRPr="00373FD3">
        <w:instrText xml:space="preserve"> NOTEREF _Ref137037688 \h  \* MERGEFORMAT </w:instrText>
      </w:r>
      <w:r w:rsidRPr="00373FD3">
        <w:fldChar w:fldCharType="separate"/>
      </w:r>
      <w:r w:rsidR="00FD1148">
        <w:t>13</w:t>
      </w:r>
      <w:r w:rsidRPr="00373FD3">
        <w:fldChar w:fldCharType="end"/>
      </w:r>
      <w:r w:rsidRPr="000843AD">
        <w:t xml:space="preserve">. </w:t>
      </w:r>
    </w:p>
    <w:p w14:paraId="4BA00631" w14:textId="3B6E49A4" w:rsidR="00AD75DF" w:rsidRDefault="00AD75DF" w:rsidP="00373FD3">
      <w:r>
        <w:t xml:space="preserve">Przy ustalaniu wartości współczynnika nakładu energii pierwotnej uwzględniono także wyliczenia </w:t>
      </w:r>
      <w:r w:rsidRPr="00BB6245">
        <w:t>największych producentów</w:t>
      </w:r>
      <w:r>
        <w:t xml:space="preserve"> </w:t>
      </w:r>
      <w:r w:rsidRPr="00BB6245">
        <w:t>i dostawców energii elektrycznej w Polsce</w:t>
      </w:r>
      <w:r>
        <w:t xml:space="preserve"> dotyczące średniej </w:t>
      </w:r>
      <w:r w:rsidRPr="00BB6245">
        <w:t>sprawnoś</w:t>
      </w:r>
      <w:r>
        <w:t>ci</w:t>
      </w:r>
      <w:r w:rsidRPr="00BB6245">
        <w:t xml:space="preserve"> wytwarzania </w:t>
      </w:r>
      <w:r>
        <w:t xml:space="preserve">energii elektrycznej podające wartość </w:t>
      </w:r>
      <w:r w:rsidRPr="00BB6245">
        <w:t>34,987%</w:t>
      </w:r>
      <w:r>
        <w:t xml:space="preserve">. Odpowiada to </w:t>
      </w:r>
      <w:r w:rsidRPr="00BB6245">
        <w:t>wartoś</w:t>
      </w:r>
      <w:r>
        <w:t>ci</w:t>
      </w:r>
      <w:r w:rsidRPr="00BB6245">
        <w:t xml:space="preserve"> całkowitego współczynnika nakładu energii pierwotnej wynosząc</w:t>
      </w:r>
      <w:r>
        <w:t>ej</w:t>
      </w:r>
      <w:r w:rsidRPr="00BB6245">
        <w:t xml:space="preserve"> 2,86 (1/0,34987).</w:t>
      </w:r>
      <w:r>
        <w:t xml:space="preserve"> Odnosząc relację pomiędzy wartościami współczynników nakładu nieodnawialnej i całkowitej energii pierwotnej (2,19/2,5)</w:t>
      </w:r>
      <w:r w:rsidRPr="00373FD3">
        <w:fldChar w:fldCharType="begin"/>
      </w:r>
      <w:r w:rsidRPr="00373FD3">
        <w:instrText xml:space="preserve"> NOTEREF _Ref137037688 \h  \* MERGEFORMAT </w:instrText>
      </w:r>
      <w:r w:rsidRPr="00373FD3">
        <w:fldChar w:fldCharType="separate"/>
      </w:r>
      <w:r w:rsidR="00FD1148">
        <w:t>13</w:t>
      </w:r>
      <w:r w:rsidRPr="00373FD3">
        <w:fldChar w:fldCharType="end"/>
      </w:r>
      <w:r>
        <w:t xml:space="preserve"> do współczynnika nakładu 2,86, uzyskano wartość współczynnika nakładu nieodnawialnej energii pierwotnej wynoszącą 2,505. Wartość 2,5 jest wartością aktualnie obowiązującą w Polsce zarówno w regulacjach wdrażających </w:t>
      </w:r>
      <w:r w:rsidRPr="00235915">
        <w:t xml:space="preserve">dyrektywę </w:t>
      </w:r>
      <w:hyperlink r:id="rId26" w:tgtFrame="_blank" w:history="1">
        <w:r w:rsidRPr="00373FD3">
          <w:t>2010/31/EU</w:t>
        </w:r>
      </w:hyperlink>
      <w:r>
        <w:t xml:space="preserve"> jak dyrektywę </w:t>
      </w:r>
      <w:r w:rsidRPr="00373FD3">
        <w:t>2012/27/UE</w:t>
      </w:r>
      <w:r>
        <w:t>.</w:t>
      </w:r>
    </w:p>
    <w:p w14:paraId="551A5DFE" w14:textId="77777777" w:rsidR="00AD75DF" w:rsidRDefault="00AD75DF" w:rsidP="00AD75DF">
      <w:pPr>
        <w:spacing w:after="0" w:line="360" w:lineRule="auto"/>
        <w:ind w:firstLine="709"/>
      </w:pPr>
    </w:p>
    <w:p w14:paraId="6F94AB18" w14:textId="77777777" w:rsidR="00AD75DF" w:rsidRDefault="00AD75DF" w:rsidP="00AD75DF">
      <w:pPr>
        <w:spacing w:after="0" w:line="360" w:lineRule="auto"/>
        <w:ind w:firstLine="709"/>
      </w:pPr>
    </w:p>
    <w:p w14:paraId="35749F0C" w14:textId="77777777" w:rsidR="00AD75DF" w:rsidRDefault="00AD75DF" w:rsidP="00AD75DF">
      <w:pPr>
        <w:spacing w:after="0" w:line="360" w:lineRule="auto"/>
        <w:ind w:firstLine="709"/>
      </w:pPr>
    </w:p>
    <w:p w14:paraId="5606556B" w14:textId="77777777" w:rsidR="00AD75DF" w:rsidRDefault="00AD75DF" w:rsidP="00AD75DF">
      <w:r>
        <w:br w:type="page"/>
      </w:r>
    </w:p>
    <w:p w14:paraId="4C07BD57" w14:textId="77777777" w:rsidR="00AD75DF" w:rsidRPr="00DD583F" w:rsidRDefault="00AD75DF" w:rsidP="00FF3BC7">
      <w:pPr>
        <w:pStyle w:val="Nagwek1"/>
        <w:numPr>
          <w:ilvl w:val="0"/>
          <w:numId w:val="0"/>
        </w:numPr>
        <w:rPr>
          <w:rFonts w:eastAsiaTheme="minorHAnsi"/>
        </w:rPr>
      </w:pPr>
      <w:bookmarkStart w:id="37" w:name="_Toc159424905"/>
      <w:r w:rsidRPr="00DD583F">
        <w:rPr>
          <w:rFonts w:eastAsiaTheme="minorHAnsi"/>
        </w:rPr>
        <w:lastRenderedPageBreak/>
        <w:t>Źródła danych</w:t>
      </w:r>
      <w:bookmarkEnd w:id="37"/>
    </w:p>
    <w:p w14:paraId="5FF799C8" w14:textId="77777777" w:rsidR="00AD75DF" w:rsidRDefault="00AD75DF" w:rsidP="00FF3BC7">
      <w:pPr>
        <w:pStyle w:val="Akapitzlist"/>
        <w:numPr>
          <w:ilvl w:val="0"/>
          <w:numId w:val="22"/>
        </w:numPr>
        <w:spacing w:before="120" w:after="120" w:line="360" w:lineRule="auto"/>
        <w:ind w:left="567" w:hanging="567"/>
      </w:pPr>
      <w:r>
        <w:t xml:space="preserve">Dane dotyczące produkcji energii w polskim systemie elektroenergetycznym </w:t>
      </w:r>
      <w:r>
        <w:br/>
        <w:t>w podziale na poszczególne nośniki energii, sprawności przemian energetycznych, produkcji energii elektrycznej w kogeneracji:</w:t>
      </w:r>
    </w:p>
    <w:p w14:paraId="38D36C11" w14:textId="77777777" w:rsidR="00AD75DF" w:rsidRDefault="00AD75DF" w:rsidP="00FF3BC7">
      <w:pPr>
        <w:pStyle w:val="Akapitzlist"/>
        <w:numPr>
          <w:ilvl w:val="0"/>
          <w:numId w:val="23"/>
        </w:numPr>
        <w:spacing w:before="120" w:after="120" w:line="360" w:lineRule="auto"/>
        <w:ind w:left="1134" w:hanging="567"/>
        <w:jc w:val="left"/>
      </w:pPr>
      <w:r>
        <w:t xml:space="preserve">Lata 2005 oraz 2019 oraz 2020 - Statystyka Elektroenergetyki Polskiej Rocznik 2020, ISSN- 1232-2415, Publikacja Ministerstwa Klimatu i Środowiska oraz Agencji Rynku Energii S.A. </w:t>
      </w:r>
      <w:hyperlink r:id="rId27" w:history="1">
        <w:r>
          <w:rPr>
            <w:rStyle w:val="Hipercze"/>
          </w:rPr>
          <w:t>https://www.are.waw.pl/badania-statystyczne/wynikowe-informacje-statystyczne/publikacje-roczne</w:t>
        </w:r>
      </w:hyperlink>
      <w:r>
        <w:t xml:space="preserve"> </w:t>
      </w:r>
    </w:p>
    <w:p w14:paraId="21E59CEC" w14:textId="77777777" w:rsidR="00AD75DF" w:rsidRDefault="00AD75DF" w:rsidP="00FF3BC7">
      <w:pPr>
        <w:pStyle w:val="Akapitzlist"/>
        <w:numPr>
          <w:ilvl w:val="0"/>
          <w:numId w:val="23"/>
        </w:numPr>
        <w:spacing w:before="120" w:after="120" w:line="360" w:lineRule="auto"/>
        <w:ind w:left="1134" w:hanging="567"/>
        <w:jc w:val="left"/>
      </w:pPr>
      <w:r>
        <w:t xml:space="preserve">Lata 2010-2018 Gospodarka paliwowo-energetyczna w latach 2010-18, Główny Urząd Statystyczny, </w:t>
      </w:r>
      <w:hyperlink r:id="rId28" w:history="1">
        <w:r>
          <w:rPr>
            <w:rStyle w:val="Hipercze"/>
          </w:rPr>
          <w:t>https://stat.gov.pl/obszary-tematyczne/srodowisko-energia/energia/gospodarka-paliwowo-energetyczna-w-latach-2019-i-2020,4,16.html</w:t>
        </w:r>
      </w:hyperlink>
      <w:r>
        <w:t>.</w:t>
      </w:r>
    </w:p>
    <w:p w14:paraId="00C1CDEC" w14:textId="77777777" w:rsidR="00AD75DF" w:rsidRDefault="00AD75DF" w:rsidP="00FF3BC7">
      <w:pPr>
        <w:pStyle w:val="Akapitzlist"/>
        <w:numPr>
          <w:ilvl w:val="0"/>
          <w:numId w:val="23"/>
        </w:numPr>
        <w:spacing w:before="120" w:after="120" w:line="360" w:lineRule="auto"/>
        <w:ind w:left="1134" w:hanging="567"/>
        <w:jc w:val="left"/>
      </w:pPr>
      <w:r>
        <w:t xml:space="preserve">Lata 2025 – 2040 – Polityka Energetyczna Polski do 2040 roku, przyjęta przez RM 2.02.2021roku. Załącznik 2,  </w:t>
      </w:r>
      <w:hyperlink r:id="rId29" w:history="1">
        <w:r>
          <w:rPr>
            <w:rStyle w:val="Hipercze"/>
          </w:rPr>
          <w:t>https://www.gov.pl/web/klimat/polityka-energetyczna-polski-do-2040-r-przyjeta-przez-rade-ministrow</w:t>
        </w:r>
      </w:hyperlink>
      <w:r>
        <w:t xml:space="preserve">. </w:t>
      </w:r>
    </w:p>
    <w:p w14:paraId="26059574" w14:textId="77777777" w:rsidR="00AD75DF" w:rsidRDefault="00AD75DF" w:rsidP="00FF3BC7">
      <w:pPr>
        <w:pStyle w:val="Akapitzlist"/>
        <w:numPr>
          <w:ilvl w:val="0"/>
          <w:numId w:val="22"/>
        </w:numPr>
        <w:spacing w:before="120" w:after="120" w:line="360" w:lineRule="auto"/>
        <w:ind w:left="567" w:hanging="567"/>
      </w:pPr>
      <w:r>
        <w:t>Współczynniki nakładu nieodnawialnej energii pierwotnej dla poszczególnych nośników energii:</w:t>
      </w:r>
    </w:p>
    <w:p w14:paraId="3F4337E4" w14:textId="77777777" w:rsidR="00AD75DF" w:rsidRDefault="00AD75DF" w:rsidP="00FF3BC7">
      <w:pPr>
        <w:pStyle w:val="Akapitzlist"/>
        <w:numPr>
          <w:ilvl w:val="0"/>
          <w:numId w:val="24"/>
        </w:numPr>
        <w:spacing w:before="120" w:after="120" w:line="360" w:lineRule="auto"/>
        <w:ind w:left="1134" w:hanging="567"/>
        <w:jc w:val="left"/>
      </w:pPr>
      <w:r>
        <w:t>Współczynniki dla odnawialnych nośników energii i paliw kopalnych - Rozporządzenie Dz. U. z 2015 poz. 376.</w:t>
      </w:r>
    </w:p>
    <w:p w14:paraId="10C40660" w14:textId="77777777" w:rsidR="00AD75DF" w:rsidRDefault="00AD75DF" w:rsidP="00FF3BC7">
      <w:pPr>
        <w:pStyle w:val="Akapitzlist"/>
        <w:numPr>
          <w:ilvl w:val="0"/>
          <w:numId w:val="24"/>
        </w:numPr>
        <w:spacing w:before="120" w:after="120" w:line="360" w:lineRule="auto"/>
        <w:ind w:left="1134" w:right="-142" w:hanging="567"/>
        <w:jc w:val="left"/>
        <w:rPr>
          <w:lang w:val="en-US"/>
        </w:rPr>
      </w:pPr>
      <w:r>
        <w:t xml:space="preserve">Paliwo jądrowe – przyjęto wartość 1, zaś sprawność przemiany 33%, wg rekomendacji zawartych w raporcie: A. Esser, F. </w:t>
      </w:r>
      <w:proofErr w:type="spellStart"/>
      <w:r>
        <w:t>Senfuss</w:t>
      </w:r>
      <w:proofErr w:type="spellEnd"/>
      <w:r>
        <w:t xml:space="preserve">, </w:t>
      </w:r>
      <w:r>
        <w:rPr>
          <w:i/>
          <w:iCs/>
        </w:rPr>
        <w:t xml:space="preserve">Evaluation of </w:t>
      </w:r>
      <w:proofErr w:type="spellStart"/>
      <w:r>
        <w:rPr>
          <w:i/>
          <w:iCs/>
        </w:rPr>
        <w:t>primary</w:t>
      </w:r>
      <w:proofErr w:type="spellEnd"/>
      <w:r>
        <w:rPr>
          <w:i/>
          <w:iCs/>
        </w:rPr>
        <w:t xml:space="preserve"> energy </w:t>
      </w:r>
      <w:proofErr w:type="spellStart"/>
      <w:r>
        <w:rPr>
          <w:i/>
          <w:iCs/>
        </w:rPr>
        <w:t>factor</w:t>
      </w:r>
      <w:proofErr w:type="spellEnd"/>
      <w:r>
        <w:rPr>
          <w:i/>
          <w:iCs/>
        </w:rPr>
        <w:t xml:space="preserve"> </w:t>
      </w:r>
      <w:proofErr w:type="spellStart"/>
      <w:r>
        <w:rPr>
          <w:i/>
          <w:iCs/>
        </w:rPr>
        <w:t>calculation</w:t>
      </w:r>
      <w:proofErr w:type="spellEnd"/>
      <w:r>
        <w:rPr>
          <w:i/>
          <w:iCs/>
        </w:rPr>
        <w:t xml:space="preserve"> </w:t>
      </w:r>
      <w:proofErr w:type="spellStart"/>
      <w:r>
        <w:rPr>
          <w:i/>
          <w:iCs/>
        </w:rPr>
        <w:t>options</w:t>
      </w:r>
      <w:proofErr w:type="spellEnd"/>
      <w:r>
        <w:rPr>
          <w:i/>
          <w:iCs/>
        </w:rPr>
        <w:t xml:space="preserve"> for </w:t>
      </w:r>
      <w:proofErr w:type="spellStart"/>
      <w:r>
        <w:rPr>
          <w:i/>
          <w:iCs/>
        </w:rPr>
        <w:t>electricity</w:t>
      </w:r>
      <w:proofErr w:type="spellEnd"/>
      <w:r>
        <w:t xml:space="preserve">. </w:t>
      </w:r>
      <w:r>
        <w:rPr>
          <w:lang w:val="en-US"/>
        </w:rPr>
        <w:t xml:space="preserve">Final Report 13.05.2016, Multiple Framework Service Contract ENER/C3/2013-484, Fraunhofer ISE: https://ec.europa.eu/energy/sites/ener/files/documents/final_report_pef_w </w:t>
      </w:r>
      <w:proofErr w:type="spellStart"/>
      <w:r>
        <w:rPr>
          <w:lang w:val="en-US"/>
        </w:rPr>
        <w:t>sprawie</w:t>
      </w:r>
      <w:proofErr w:type="spellEnd"/>
      <w:r>
        <w:rPr>
          <w:lang w:val="en-US"/>
        </w:rPr>
        <w:t xml:space="preserve"> </w:t>
      </w:r>
      <w:proofErr w:type="spellStart"/>
      <w:r>
        <w:rPr>
          <w:lang w:val="en-US"/>
        </w:rPr>
        <w:t>efektywności</w:t>
      </w:r>
      <w:proofErr w:type="spellEnd"/>
      <w:r>
        <w:rPr>
          <w:lang w:val="en-US"/>
        </w:rPr>
        <w:t xml:space="preserve"> energetycznej.pdf.</w:t>
      </w:r>
    </w:p>
    <w:p w14:paraId="5F5B49A5" w14:textId="77777777" w:rsidR="00A66FE8" w:rsidRPr="00373FD3" w:rsidRDefault="00A66FE8" w:rsidP="00FF3BC7">
      <w:pPr>
        <w:rPr>
          <w:lang w:val="en-GB"/>
        </w:rPr>
      </w:pPr>
    </w:p>
    <w:sectPr w:rsidR="00A66FE8" w:rsidRPr="00373FD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D938B" w14:textId="77777777" w:rsidR="00A758CF" w:rsidRDefault="00A758CF" w:rsidP="003772B3">
      <w:pPr>
        <w:spacing w:after="0" w:line="240" w:lineRule="auto"/>
      </w:pPr>
      <w:r>
        <w:separator/>
      </w:r>
    </w:p>
  </w:endnote>
  <w:endnote w:type="continuationSeparator" w:id="0">
    <w:p w14:paraId="28EE0632" w14:textId="77777777" w:rsidR="00A758CF" w:rsidRDefault="00A758CF" w:rsidP="00377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EE"/>
    <w:family w:val="swiss"/>
    <w:pitch w:val="variable"/>
    <w:sig w:usb0="E4002EFF" w:usb1="C200247B" w:usb2="00000009" w:usb3="00000000" w:csb0="000001FF" w:csb1="00000000"/>
  </w:font>
  <w:font w:name="Bahnschrift">
    <w:panose1 w:val="020B0502040204020203"/>
    <w:charset w:val="EE"/>
    <w:family w:val="swiss"/>
    <w:pitch w:val="variable"/>
    <w:sig w:usb0="A00002C7"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87984"/>
      <w:docPartObj>
        <w:docPartGallery w:val="Page Numbers (Bottom of Page)"/>
        <w:docPartUnique/>
      </w:docPartObj>
    </w:sdtPr>
    <w:sdtEndPr/>
    <w:sdtContent>
      <w:p w14:paraId="186B2232" w14:textId="3507A015" w:rsidR="00D92449" w:rsidRDefault="00D92449">
        <w:pPr>
          <w:pStyle w:val="Stopka"/>
          <w:jc w:val="center"/>
        </w:pPr>
        <w:r>
          <w:fldChar w:fldCharType="begin"/>
        </w:r>
        <w:r>
          <w:instrText>PAGE   \* MERGEFORMAT</w:instrText>
        </w:r>
        <w:r>
          <w:fldChar w:fldCharType="separate"/>
        </w:r>
        <w:r>
          <w:t>2</w:t>
        </w:r>
        <w:r>
          <w:fldChar w:fldCharType="end"/>
        </w:r>
      </w:p>
    </w:sdtContent>
  </w:sdt>
  <w:p w14:paraId="3FA06CB4" w14:textId="77777777" w:rsidR="00D92449" w:rsidRDefault="00D924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F1C32" w14:textId="77777777" w:rsidR="00A758CF" w:rsidRDefault="00A758CF" w:rsidP="003772B3">
      <w:pPr>
        <w:spacing w:after="0" w:line="240" w:lineRule="auto"/>
      </w:pPr>
      <w:r>
        <w:separator/>
      </w:r>
    </w:p>
  </w:footnote>
  <w:footnote w:type="continuationSeparator" w:id="0">
    <w:p w14:paraId="33AD58D7" w14:textId="77777777" w:rsidR="00A758CF" w:rsidRDefault="00A758CF" w:rsidP="003772B3">
      <w:pPr>
        <w:spacing w:after="0" w:line="240" w:lineRule="auto"/>
      </w:pPr>
      <w:r>
        <w:continuationSeparator/>
      </w:r>
    </w:p>
  </w:footnote>
  <w:footnote w:id="1">
    <w:p w14:paraId="1D328C89" w14:textId="77777777" w:rsidR="00F34BD4" w:rsidRPr="00C831FC" w:rsidRDefault="00F34BD4" w:rsidP="00F34BD4">
      <w:pPr>
        <w:spacing w:after="0" w:line="240" w:lineRule="auto"/>
        <w:rPr>
          <w:szCs w:val="20"/>
        </w:rPr>
      </w:pPr>
      <w:r w:rsidRPr="00C831FC">
        <w:rPr>
          <w:szCs w:val="20"/>
          <w:vertAlign w:val="superscript"/>
        </w:rPr>
        <w:footnoteRef/>
      </w:r>
      <w:r w:rsidRPr="00C831FC">
        <w:rPr>
          <w:szCs w:val="20"/>
        </w:rPr>
        <w:t xml:space="preserve"> Obwieszczenie Marszałka Sejmu Rzeczypospolitej Polskiej z dnia 17 stycznia 2019 r. </w:t>
      </w:r>
      <w:r w:rsidRPr="00C831FC">
        <w:rPr>
          <w:i/>
          <w:iCs/>
          <w:szCs w:val="20"/>
        </w:rPr>
        <w:t>w sprawie ogłoszenia jednolitego tekstu ustawy o giełdach towarowych</w:t>
      </w:r>
      <w:r w:rsidRPr="00C831FC">
        <w:rPr>
          <w:szCs w:val="20"/>
        </w:rPr>
        <w:t xml:space="preserve"> (Dz. U. z 2019 r. poz. 312)</w:t>
      </w:r>
      <w:r>
        <w:rPr>
          <w:szCs w:val="20"/>
        </w:rPr>
        <w:t>.</w:t>
      </w:r>
    </w:p>
  </w:footnote>
  <w:footnote w:id="2">
    <w:p w14:paraId="37461FCA" w14:textId="77777777" w:rsidR="00F34BD4" w:rsidRPr="00434207" w:rsidRDefault="00F34BD4" w:rsidP="00F34BD4">
      <w:pPr>
        <w:pStyle w:val="Tekstprzypisudolnego"/>
        <w:rPr>
          <w:sz w:val="18"/>
          <w:szCs w:val="18"/>
        </w:rPr>
      </w:pPr>
      <w:r w:rsidRPr="0070073E">
        <w:rPr>
          <w:rStyle w:val="Odwoanieprzypisudolnego"/>
        </w:rPr>
        <w:footnoteRef/>
      </w:r>
      <w:r w:rsidRPr="0070073E">
        <w:t xml:space="preserve"> </w:t>
      </w:r>
      <w:r w:rsidRPr="00434207">
        <w:rPr>
          <w:sz w:val="18"/>
          <w:szCs w:val="18"/>
        </w:rPr>
        <w:t xml:space="preserve">Obwieszczenie Ministra Klimatu i Środowiska z dnia 30 listopada 2021 r. </w:t>
      </w:r>
      <w:r w:rsidRPr="00434207">
        <w:rPr>
          <w:i/>
          <w:iCs/>
          <w:sz w:val="18"/>
          <w:szCs w:val="18"/>
        </w:rPr>
        <w:t>w sprawie szczegółowego wykazu przedsięwzięć służących poprawie efektywności energetycznej</w:t>
      </w:r>
      <w:r w:rsidRPr="00434207">
        <w:rPr>
          <w:sz w:val="18"/>
          <w:szCs w:val="18"/>
        </w:rPr>
        <w:t xml:space="preserve"> (M.P. z 2021 r., poz. 1188).</w:t>
      </w:r>
    </w:p>
    <w:p w14:paraId="183E4ED1" w14:textId="77777777" w:rsidR="00F34BD4" w:rsidRPr="00434207" w:rsidRDefault="00F34BD4" w:rsidP="00F34BD4">
      <w:pPr>
        <w:pStyle w:val="Tekstprzypisudolnego"/>
        <w:rPr>
          <w:sz w:val="18"/>
          <w:szCs w:val="18"/>
        </w:rPr>
      </w:pPr>
    </w:p>
  </w:footnote>
  <w:footnote w:id="3">
    <w:p w14:paraId="296277E0" w14:textId="77777777" w:rsidR="00F34BD4" w:rsidRPr="00EB312D" w:rsidRDefault="00F34BD4" w:rsidP="00F34BD4">
      <w:pPr>
        <w:pStyle w:val="Tekstprzypisudolnego"/>
        <w:rPr>
          <w:rFonts w:cs="Calibri"/>
        </w:rPr>
      </w:pPr>
      <w:r w:rsidRPr="00435887">
        <w:rPr>
          <w:rStyle w:val="Odwoanieprzypisudolnego"/>
          <w:rFonts w:eastAsia="Calibri" w:cs="Calibri"/>
          <w:sz w:val="18"/>
          <w:szCs w:val="18"/>
        </w:rPr>
        <w:footnoteRef/>
      </w:r>
      <w:r w:rsidRPr="00435887">
        <w:rPr>
          <w:rFonts w:cs="Calibri"/>
          <w:sz w:val="18"/>
          <w:szCs w:val="18"/>
        </w:rPr>
        <w:t xml:space="preserve"> Zalecenie Komisji (UE) 2019/1658 z dnia 25 września 2019 r. </w:t>
      </w:r>
      <w:r w:rsidRPr="00435887">
        <w:rPr>
          <w:rFonts w:cs="Calibri"/>
          <w:i/>
          <w:iCs/>
          <w:sz w:val="18"/>
          <w:szCs w:val="18"/>
        </w:rPr>
        <w:t>dotyczące transpozycji obowiązków oszczędności energii na podstawie dyrektywy w sprawie efektywności energetycznej</w:t>
      </w:r>
      <w:r w:rsidRPr="00435887">
        <w:rPr>
          <w:rFonts w:cs="Calibri"/>
          <w:sz w:val="18"/>
          <w:szCs w:val="18"/>
        </w:rPr>
        <w:t xml:space="preserve"> (Dz. Urz. UE L 275 z 28.10.2019, str. 1). </w:t>
      </w:r>
    </w:p>
  </w:footnote>
  <w:footnote w:id="4">
    <w:p w14:paraId="419D9EF2" w14:textId="77777777" w:rsidR="00F34BD4" w:rsidRPr="00634871" w:rsidRDefault="00F34BD4" w:rsidP="00F34BD4">
      <w:pPr>
        <w:pStyle w:val="Tekstprzypisudolnego"/>
        <w:rPr>
          <w:rFonts w:cs="Calibri"/>
          <w:sz w:val="18"/>
          <w:szCs w:val="18"/>
        </w:rPr>
      </w:pPr>
      <w:r w:rsidRPr="00634871">
        <w:rPr>
          <w:rStyle w:val="Odwoanieprzypisudolnego"/>
          <w:rFonts w:cs="Calibri"/>
          <w:sz w:val="18"/>
          <w:szCs w:val="18"/>
        </w:rPr>
        <w:footnoteRef/>
      </w:r>
      <w:r w:rsidRPr="00634871">
        <w:rPr>
          <w:rFonts w:cs="Calibri"/>
          <w:sz w:val="18"/>
          <w:szCs w:val="18"/>
        </w:rPr>
        <w:t xml:space="preserve"> Metoda „</w:t>
      </w:r>
      <w:r w:rsidRPr="00634871">
        <w:rPr>
          <w:rFonts w:cs="Calibri"/>
          <w:i/>
          <w:sz w:val="18"/>
          <w:szCs w:val="18"/>
        </w:rPr>
        <w:t>bottom-up</w:t>
      </w:r>
      <w:r w:rsidRPr="00634871">
        <w:rPr>
          <w:rFonts w:cs="Calibri"/>
          <w:sz w:val="18"/>
          <w:szCs w:val="18"/>
        </w:rPr>
        <w:t>”</w:t>
      </w:r>
      <w:r w:rsidRPr="00634871">
        <w:rPr>
          <w:rFonts w:cs="Calibri"/>
          <w:bCs/>
          <w:i/>
          <w:sz w:val="18"/>
          <w:szCs w:val="18"/>
        </w:rPr>
        <w:t xml:space="preserve"> </w:t>
      </w:r>
      <w:r w:rsidRPr="00634871">
        <w:rPr>
          <w:rFonts w:cs="Calibri"/>
          <w:bCs/>
          <w:sz w:val="18"/>
          <w:szCs w:val="18"/>
        </w:rPr>
        <w:t>(</w:t>
      </w:r>
      <w:r w:rsidRPr="00634871">
        <w:rPr>
          <w:rFonts w:cs="Calibri"/>
          <w:bCs/>
          <w:i/>
          <w:sz w:val="18"/>
          <w:szCs w:val="18"/>
        </w:rPr>
        <w:t>„</w:t>
      </w:r>
      <w:r w:rsidRPr="00634871">
        <w:rPr>
          <w:rFonts w:cs="Calibri"/>
          <w:bCs/>
          <w:sz w:val="18"/>
          <w:szCs w:val="18"/>
        </w:rPr>
        <w:t>od szczegółu do ogółu</w:t>
      </w:r>
      <w:r w:rsidRPr="00634871">
        <w:rPr>
          <w:rFonts w:cs="Calibri"/>
          <w:bCs/>
          <w:i/>
          <w:sz w:val="18"/>
          <w:szCs w:val="18"/>
        </w:rPr>
        <w:t>”</w:t>
      </w:r>
      <w:r w:rsidRPr="00634871">
        <w:rPr>
          <w:rFonts w:cs="Calibri"/>
          <w:bCs/>
          <w:sz w:val="18"/>
          <w:szCs w:val="18"/>
        </w:rPr>
        <w:t>)</w:t>
      </w:r>
      <w:r w:rsidRPr="00634871">
        <w:rPr>
          <w:rFonts w:cs="Calibri"/>
          <w:sz w:val="18"/>
          <w:szCs w:val="18"/>
        </w:rPr>
        <w:t xml:space="preserve"> jest precyzyjnym sposobem obliczania oszczędności energii wynikających ze wzrostu efektywności energetycznej. Najpierw oblicza się zużycie energii dla pojedynczego środka poprawy efektywności energetycznej, w określonym przedziale czasu przed wdrożeniem działania mającego na celu zwiększenie efektywności energetycznej, uzyskując „wartości odniesienia”. Następnie stwierdzony poziom zużycia porównuje się ze zużyciem energii (odnotowanym w takim samym przedziale czasu, ale po wdrożeniu środka zwiększającego efektywność energetyczną). Różnica pomiędzy uzyskanymi wynikami jest miarą zwiększenia efektywności energetycznej.</w:t>
      </w:r>
    </w:p>
  </w:footnote>
  <w:footnote w:id="5">
    <w:p w14:paraId="56E78A32" w14:textId="77777777" w:rsidR="00F34BD4" w:rsidRPr="00634871" w:rsidRDefault="00F34BD4" w:rsidP="00F34BD4">
      <w:pPr>
        <w:pStyle w:val="Tekstprzypisudolnego"/>
        <w:rPr>
          <w:rFonts w:cs="Calibri"/>
          <w:sz w:val="18"/>
          <w:szCs w:val="18"/>
        </w:rPr>
      </w:pPr>
      <w:r w:rsidRPr="00634871">
        <w:rPr>
          <w:rStyle w:val="Odwoanieprzypisudolnego"/>
          <w:rFonts w:eastAsia="Calibri" w:cs="Calibri"/>
          <w:sz w:val="18"/>
          <w:szCs w:val="18"/>
        </w:rPr>
        <w:footnoteRef/>
      </w:r>
      <w:r w:rsidRPr="00634871">
        <w:rPr>
          <w:rFonts w:cs="Calibri"/>
          <w:sz w:val="18"/>
          <w:szCs w:val="18"/>
        </w:rPr>
        <w:t xml:space="preserve"> D</w:t>
      </w:r>
      <w:r w:rsidRPr="00634871">
        <w:rPr>
          <w:rFonts w:cs="Calibri"/>
          <w:iCs/>
          <w:sz w:val="18"/>
          <w:szCs w:val="18"/>
        </w:rPr>
        <w:t xml:space="preserve">yrektywa Parlamentu Europejskiego i Rady 2009/125/WE z dnia 21 października 2009 r. </w:t>
      </w:r>
      <w:r w:rsidRPr="00435887">
        <w:rPr>
          <w:rFonts w:cs="Calibri"/>
          <w:i/>
          <w:sz w:val="18"/>
          <w:szCs w:val="18"/>
        </w:rPr>
        <w:t>ustanawiającej ogólne zasady ustalania wymogów dotyczących ekoprojektu dla produktów związanych z energią</w:t>
      </w:r>
      <w:r w:rsidRPr="00634871">
        <w:rPr>
          <w:rFonts w:cs="Calibri"/>
          <w:iCs/>
          <w:sz w:val="18"/>
          <w:szCs w:val="18"/>
        </w:rPr>
        <w:t xml:space="preserve"> (Dz. Urz. UE L 285 z 31.10.2009, str. 10)</w:t>
      </w:r>
    </w:p>
  </w:footnote>
  <w:footnote w:id="6">
    <w:p w14:paraId="0BAD89AB" w14:textId="77777777" w:rsidR="00F34BD4" w:rsidRPr="00CB1BA8" w:rsidRDefault="00F34BD4" w:rsidP="00F34BD4">
      <w:pPr>
        <w:pStyle w:val="Tekstprzypisudolnego"/>
      </w:pPr>
      <w:r>
        <w:rPr>
          <w:rStyle w:val="Odwoanieprzypisudolnego"/>
        </w:rPr>
        <w:footnoteRef/>
      </w:r>
      <w:r w:rsidRPr="00CB1BA8">
        <w:t xml:space="preserve"> </w:t>
      </w:r>
      <w:r>
        <w:t xml:space="preserve">Art. 35a ustawy z dnia 20 maja 2016 roku </w:t>
      </w:r>
      <w:r w:rsidRPr="00D62DB9">
        <w:rPr>
          <w:i/>
        </w:rPr>
        <w:t>o efektywności energetycznej</w:t>
      </w:r>
      <w:r>
        <w:t xml:space="preserve"> (Dz. U. z 2021 r. poz. 2166).</w:t>
      </w:r>
    </w:p>
  </w:footnote>
  <w:footnote w:id="7">
    <w:p w14:paraId="1B870F02" w14:textId="77777777" w:rsidR="00F34BD4" w:rsidRPr="00D62DB9" w:rsidRDefault="00F34BD4" w:rsidP="00F34BD4">
      <w:pPr>
        <w:pStyle w:val="Tekstprzypisudolnego"/>
        <w:rPr>
          <w:sz w:val="18"/>
          <w:szCs w:val="18"/>
        </w:rPr>
      </w:pPr>
      <w:r w:rsidRPr="00D62DB9">
        <w:rPr>
          <w:rStyle w:val="Odwoanieprzypisudolnego"/>
          <w:sz w:val="18"/>
          <w:szCs w:val="18"/>
        </w:rPr>
        <w:footnoteRef/>
      </w:r>
      <w:r w:rsidRPr="00D62DB9">
        <w:rPr>
          <w:sz w:val="18"/>
          <w:szCs w:val="18"/>
        </w:rPr>
        <w:t xml:space="preserve"> Metoda </w:t>
      </w:r>
      <w:r>
        <w:rPr>
          <w:sz w:val="18"/>
          <w:szCs w:val="18"/>
        </w:rPr>
        <w:t>„</w:t>
      </w:r>
      <w:r w:rsidRPr="00EF584C">
        <w:rPr>
          <w:i/>
          <w:sz w:val="18"/>
          <w:szCs w:val="18"/>
        </w:rPr>
        <w:t>top-down</w:t>
      </w:r>
      <w:r>
        <w:rPr>
          <w:sz w:val="18"/>
          <w:szCs w:val="18"/>
        </w:rPr>
        <w:t>”</w:t>
      </w:r>
      <w:r w:rsidRPr="00D62DB9">
        <w:rPr>
          <w:sz w:val="18"/>
          <w:szCs w:val="18"/>
        </w:rPr>
        <w:t xml:space="preserve"> („od ogółu do szczegółu”) wykorzystuje dana zagregowane i dlatego nazywa się tę metodą „wskaźników efektywności energetycznej”. Dzięki niej można ustalić poprawne wskaźniki rozwoju sytuacji, natomiast nie daje ona dokładnych wartości oszczędności energii na poziomie szczegółowym. </w:t>
      </w:r>
    </w:p>
  </w:footnote>
  <w:footnote w:id="8">
    <w:p w14:paraId="275787CF" w14:textId="77777777" w:rsidR="00F34BD4" w:rsidRPr="00634871" w:rsidRDefault="00F34BD4" w:rsidP="00F34BD4">
      <w:pPr>
        <w:pStyle w:val="Tekstprzypisudolnego"/>
        <w:rPr>
          <w:rFonts w:cs="Calibri"/>
          <w:sz w:val="18"/>
          <w:szCs w:val="18"/>
        </w:rPr>
      </w:pPr>
      <w:r w:rsidRPr="00634871">
        <w:rPr>
          <w:rStyle w:val="Odwoanieprzypisudolnego"/>
          <w:rFonts w:eastAsia="Calibri" w:cs="Calibri"/>
          <w:sz w:val="18"/>
          <w:szCs w:val="18"/>
        </w:rPr>
        <w:footnoteRef/>
      </w:r>
      <w:r w:rsidRPr="00634871">
        <w:rPr>
          <w:rFonts w:cs="Calibri"/>
          <w:sz w:val="18"/>
          <w:szCs w:val="18"/>
        </w:rPr>
        <w:t xml:space="preserve"> D</w:t>
      </w:r>
      <w:r w:rsidRPr="00634871">
        <w:rPr>
          <w:rFonts w:cs="Calibri"/>
          <w:iCs/>
          <w:sz w:val="18"/>
          <w:szCs w:val="18"/>
        </w:rPr>
        <w:t xml:space="preserve">yrektywa Parlamentu Europejskiego i Rady 2009/125/WE z dnia 21 października 2009 r. </w:t>
      </w:r>
      <w:r w:rsidRPr="00435887">
        <w:rPr>
          <w:rFonts w:cs="Calibri"/>
          <w:i/>
          <w:sz w:val="18"/>
          <w:szCs w:val="18"/>
        </w:rPr>
        <w:t>ustanawiającej ogólne zasady ustalania wymogów dotyczących ekoprojektu dla produktów związanych z energią</w:t>
      </w:r>
      <w:r w:rsidRPr="00634871">
        <w:rPr>
          <w:rFonts w:cs="Calibri"/>
          <w:iCs/>
          <w:sz w:val="18"/>
          <w:szCs w:val="18"/>
        </w:rPr>
        <w:t xml:space="preserve"> (Dz. Urz. UE L 285 z 31.10.2009, str. 10)</w:t>
      </w:r>
    </w:p>
  </w:footnote>
  <w:footnote w:id="9">
    <w:p w14:paraId="6401DFFF" w14:textId="77777777" w:rsidR="00F34BD4" w:rsidRPr="005F6322" w:rsidRDefault="00F34BD4" w:rsidP="00F34BD4">
      <w:pPr>
        <w:pStyle w:val="Tekstprzypisudolnego"/>
        <w:rPr>
          <w:sz w:val="18"/>
          <w:szCs w:val="18"/>
        </w:rPr>
      </w:pPr>
      <w:r w:rsidRPr="005F6322">
        <w:rPr>
          <w:rStyle w:val="Odwoanieprzypisudolnego"/>
        </w:rPr>
        <w:footnoteRef/>
      </w:r>
      <w:r w:rsidRPr="00B32169">
        <w:t xml:space="preserve"> </w:t>
      </w:r>
      <w:r w:rsidRPr="005F6322">
        <w:rPr>
          <w:sz w:val="18"/>
          <w:szCs w:val="18"/>
        </w:rPr>
        <w:t xml:space="preserve">Załącznik od obwieszczenia Ministra Klimatu i Środowiska z dnia 2 marca 2021 roku </w:t>
      </w:r>
      <w:r w:rsidRPr="005F6322">
        <w:rPr>
          <w:i/>
          <w:iCs/>
          <w:sz w:val="18"/>
          <w:szCs w:val="18"/>
        </w:rPr>
        <w:t xml:space="preserve">w sprawie polityki energetycznej państwa do 2040 roku </w:t>
      </w:r>
      <w:r w:rsidRPr="005F6322">
        <w:rPr>
          <w:sz w:val="18"/>
          <w:szCs w:val="18"/>
        </w:rPr>
        <w:t>(M.P. z 2021 r. poz. 264)</w:t>
      </w:r>
    </w:p>
  </w:footnote>
  <w:footnote w:id="10">
    <w:p w14:paraId="36FB24A3" w14:textId="77777777" w:rsidR="00F34BD4" w:rsidRPr="005F6322" w:rsidRDefault="00F34BD4" w:rsidP="00F34BD4">
      <w:pPr>
        <w:pStyle w:val="Tekstprzypisudolnego"/>
      </w:pPr>
      <w:r w:rsidRPr="005F6322">
        <w:rPr>
          <w:rStyle w:val="Odwoanieprzypisudolnego"/>
          <w:sz w:val="18"/>
          <w:szCs w:val="18"/>
        </w:rPr>
        <w:footnoteRef/>
      </w:r>
      <w:r w:rsidRPr="005F6322">
        <w:rPr>
          <w:sz w:val="18"/>
          <w:szCs w:val="18"/>
        </w:rPr>
        <w:t xml:space="preserve"> https://czystepowietrze.gov.pl/</w:t>
      </w:r>
    </w:p>
  </w:footnote>
  <w:footnote w:id="11">
    <w:p w14:paraId="5BB94360" w14:textId="77777777" w:rsidR="00F34BD4" w:rsidRPr="002273E7" w:rsidRDefault="00F34BD4" w:rsidP="00F34BD4">
      <w:pPr>
        <w:pStyle w:val="Tekstprzypisudolnego"/>
      </w:pPr>
      <w:r>
        <w:rPr>
          <w:rStyle w:val="Odwoanieprzypisudolnego"/>
        </w:rPr>
        <w:footnoteRef/>
      </w:r>
      <w:r w:rsidRPr="002273E7">
        <w:t xml:space="preserve"> </w:t>
      </w:r>
      <w:r w:rsidRPr="003D24D7">
        <w:t>https://www.peee.gov.pl/pl</w:t>
      </w:r>
    </w:p>
  </w:footnote>
  <w:footnote w:id="12">
    <w:p w14:paraId="40886609" w14:textId="77777777" w:rsidR="00E54E14" w:rsidRPr="005609EF" w:rsidRDefault="00E54E14" w:rsidP="00E54E14">
      <w:pPr>
        <w:pStyle w:val="Tekstprzypisudolnego"/>
        <w:rPr>
          <w:sz w:val="16"/>
          <w:szCs w:val="16"/>
        </w:rPr>
      </w:pPr>
      <w:r w:rsidRPr="005609EF">
        <w:rPr>
          <w:rStyle w:val="Odwoanieprzypisudolnego"/>
          <w:sz w:val="16"/>
          <w:szCs w:val="16"/>
        </w:rPr>
        <w:footnoteRef/>
      </w:r>
      <w:r w:rsidRPr="005609EF">
        <w:rPr>
          <w:sz w:val="16"/>
          <w:szCs w:val="16"/>
        </w:rPr>
        <w:t xml:space="preserve"> Pełna nazwa: Dyrektywa Rady 2003/96/WE z dnia 27 października 2003 r. </w:t>
      </w:r>
      <w:r w:rsidRPr="005609EF">
        <w:rPr>
          <w:i/>
          <w:iCs/>
          <w:sz w:val="16"/>
          <w:szCs w:val="16"/>
        </w:rPr>
        <w:t>w sprawie restrukturyzacji wspólnotowych przepisów ramowych dotyczących opodatkowania produktów energetycznych i energii elektrycznej</w:t>
      </w:r>
      <w:r>
        <w:rPr>
          <w:i/>
          <w:iCs/>
          <w:sz w:val="16"/>
          <w:szCs w:val="16"/>
        </w:rPr>
        <w:t xml:space="preserve"> </w:t>
      </w:r>
      <w:r>
        <w:rPr>
          <w:sz w:val="16"/>
          <w:szCs w:val="16"/>
        </w:rPr>
        <w:t xml:space="preserve">(Dz. U. L 283/51 z 31.10.2003 s. 405) </w:t>
      </w:r>
    </w:p>
  </w:footnote>
  <w:footnote w:id="13">
    <w:p w14:paraId="56DC0A20" w14:textId="77777777" w:rsidR="00AD75DF" w:rsidRPr="00D94B5E" w:rsidRDefault="00AD75DF" w:rsidP="00AD75DF">
      <w:pPr>
        <w:pStyle w:val="Tekstprzypisudolnego"/>
        <w:rPr>
          <w:sz w:val="18"/>
          <w:szCs w:val="18"/>
        </w:rPr>
      </w:pPr>
      <w:r>
        <w:rPr>
          <w:rStyle w:val="Odwoanieprzypisudolnego"/>
        </w:rPr>
        <w:footnoteRef/>
      </w:r>
      <w:r w:rsidRPr="00D94B5E">
        <w:t xml:space="preserve"> </w:t>
      </w:r>
      <w:r w:rsidRPr="00D94B5E">
        <w:rPr>
          <w:sz w:val="18"/>
          <w:szCs w:val="18"/>
        </w:rPr>
        <w:t>KAPE S.A., Zmiana regulacji w zakresie wyznaczania charakterystyki energetycznej budynku lub części budynku oraz świadectw charakterystyki energetycznej, 2.11.2022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2135D" w14:textId="17F34D30" w:rsidR="00FF3BC7" w:rsidRDefault="00FF3BC7" w:rsidP="00FF3BC7">
    <w:pPr>
      <w:pStyle w:val="Nagwek"/>
      <w:jc w:val="right"/>
    </w:pPr>
    <w:r>
      <w:t xml:space="preserve">Załącznik 3 do projektu aKPEiK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B0259"/>
    <w:multiLevelType w:val="multilevel"/>
    <w:tmpl w:val="852438E0"/>
    <w:lvl w:ilvl="0">
      <w:start w:val="1"/>
      <w:numFmt w:val="upperRoman"/>
      <w:pStyle w:val="Nagwek1"/>
      <w:lvlText w:val="%1."/>
      <w:lvlJc w:val="left"/>
      <w:pPr>
        <w:ind w:left="0" w:firstLine="0"/>
      </w:pPr>
      <w:rPr>
        <w:rFonts w:hint="default"/>
        <w:sz w:val="40"/>
        <w:szCs w:val="24"/>
      </w:rPr>
    </w:lvl>
    <w:lvl w:ilvl="1">
      <w:start w:val="1"/>
      <w:numFmt w:val="decimal"/>
      <w:pStyle w:val="Nagwek2"/>
      <w:suff w:val="space"/>
      <w:lvlText w:val="Wymiar %2."/>
      <w:lvlJc w:val="left"/>
      <w:pPr>
        <w:ind w:left="567" w:hanging="567"/>
      </w:pPr>
      <w:rPr>
        <w:rFonts w:hint="default"/>
      </w:rPr>
    </w:lvl>
    <w:lvl w:ilvl="2">
      <w:start w:val="1"/>
      <w:numFmt w:val="decimal"/>
      <w:pStyle w:val="Nagwek3"/>
      <w:lvlText w:val="Obszar %2.%3."/>
      <w:lvlJc w:val="left"/>
      <w:pPr>
        <w:ind w:left="567" w:hanging="567"/>
      </w:pPr>
      <w:rPr>
        <w:rFonts w:hint="default"/>
      </w:rPr>
    </w:lvl>
    <w:lvl w:ilvl="3">
      <w:start w:val="1"/>
      <w:numFmt w:val="decimal"/>
      <w:pStyle w:val="Nagwek4"/>
      <w:lvlText w:val="Cel. %2.%3.%4."/>
      <w:lvlJc w:val="left"/>
      <w:pPr>
        <w:ind w:left="1572" w:hanging="862"/>
      </w:pPr>
      <w:rPr>
        <w:rFonts w:hint="default"/>
      </w:rPr>
    </w:lvl>
    <w:lvl w:ilvl="4">
      <w:start w:val="1"/>
      <w:numFmt w:val="decimal"/>
      <w:pStyle w:val="Nagwek5"/>
      <w:lvlText w:val="%2.%3.%4.%5."/>
      <w:lvlJc w:val="left"/>
      <w:pPr>
        <w:ind w:left="1008" w:hanging="1008"/>
      </w:pPr>
      <w:rPr>
        <w:rFonts w:hint="default"/>
      </w:rPr>
    </w:lvl>
    <w:lvl w:ilvl="5">
      <w:start w:val="1"/>
      <w:numFmt w:val="decimal"/>
      <w:pStyle w:val="Nagwek6"/>
      <w:lvlText w:val="%2.%3.%4.%5.%6."/>
      <w:lvlJc w:val="left"/>
      <w:pPr>
        <w:ind w:left="1152" w:hanging="1152"/>
      </w:pPr>
      <w:rPr>
        <w:rFonts w:hint="default"/>
      </w:rPr>
    </w:lvl>
    <w:lvl w:ilvl="6">
      <w:start w:val="1"/>
      <w:numFmt w:val="decimal"/>
      <w:pStyle w:val="Nagwek7"/>
      <w:lvlText w:val="%2.%3.%4.%5.%6.%7"/>
      <w:lvlJc w:val="left"/>
      <w:pPr>
        <w:ind w:left="1296" w:hanging="1296"/>
      </w:pPr>
      <w:rPr>
        <w:rFonts w:hint="default"/>
      </w:rPr>
    </w:lvl>
    <w:lvl w:ilvl="7">
      <w:start w:val="1"/>
      <w:numFmt w:val="decimal"/>
      <w:pStyle w:val="Nagwek8"/>
      <w:lvlText w:val="%2.%3.%4.%5.%6.%7.%8"/>
      <w:lvlJc w:val="left"/>
      <w:pPr>
        <w:ind w:left="1440" w:hanging="1440"/>
      </w:pPr>
      <w:rPr>
        <w:rFonts w:hint="default"/>
      </w:rPr>
    </w:lvl>
    <w:lvl w:ilvl="8">
      <w:start w:val="1"/>
      <w:numFmt w:val="decimal"/>
      <w:pStyle w:val="Nagwek9"/>
      <w:lvlText w:val="%2.%3.%4.%5.%6.%7.%8.%9"/>
      <w:lvlJc w:val="left"/>
      <w:pPr>
        <w:ind w:left="1584" w:hanging="1584"/>
      </w:pPr>
      <w:rPr>
        <w:rFonts w:hint="default"/>
      </w:rPr>
    </w:lvl>
  </w:abstractNum>
  <w:abstractNum w:abstractNumId="1" w15:restartNumberingAfterBreak="0">
    <w:nsid w:val="06687D2B"/>
    <w:multiLevelType w:val="hybridMultilevel"/>
    <w:tmpl w:val="7A46735C"/>
    <w:lvl w:ilvl="0" w:tplc="59406E4A">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B61801"/>
    <w:multiLevelType w:val="hybridMultilevel"/>
    <w:tmpl w:val="2778A714"/>
    <w:lvl w:ilvl="0" w:tplc="81A8A552">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D37CD1"/>
    <w:multiLevelType w:val="hybridMultilevel"/>
    <w:tmpl w:val="6248F8EC"/>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4" w15:restartNumberingAfterBreak="0">
    <w:nsid w:val="0FF56F32"/>
    <w:multiLevelType w:val="multilevel"/>
    <w:tmpl w:val="A54826DE"/>
    <w:lvl w:ilvl="0">
      <w:start w:val="1"/>
      <w:numFmt w:val="decimal"/>
      <w:lvlText w:val="%1."/>
      <w:lvlJc w:val="left"/>
      <w:pPr>
        <w:ind w:left="720" w:hanging="360"/>
      </w:pPr>
      <w:rPr>
        <w:rFonts w:hint="default"/>
        <w:color w:val="1F3864" w:themeColor="accent1" w:themeShade="80"/>
      </w:rPr>
    </w:lvl>
    <w:lvl w:ilvl="1">
      <w:start w:val="1"/>
      <w:numFmt w:val="decimal"/>
      <w:isLgl/>
      <w:lvlText w:val="%1.%2."/>
      <w:lvlJc w:val="left"/>
      <w:pPr>
        <w:ind w:left="1069" w:hanging="360"/>
      </w:pPr>
      <w:rPr>
        <w:rFonts w:ascii="Lato" w:hAnsi="Lato" w:hint="default"/>
        <w:b/>
        <w:bCs/>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11A93D4D"/>
    <w:multiLevelType w:val="hybridMultilevel"/>
    <w:tmpl w:val="07B059CE"/>
    <w:lvl w:ilvl="0" w:tplc="81A8A552">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A55CEF"/>
    <w:multiLevelType w:val="hybridMultilevel"/>
    <w:tmpl w:val="2C1CA58E"/>
    <w:lvl w:ilvl="0" w:tplc="5C7466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B65F02"/>
    <w:multiLevelType w:val="hybridMultilevel"/>
    <w:tmpl w:val="B9B85D46"/>
    <w:lvl w:ilvl="0" w:tplc="5C7466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7B81722"/>
    <w:multiLevelType w:val="hybridMultilevel"/>
    <w:tmpl w:val="A1F818C2"/>
    <w:lvl w:ilvl="0" w:tplc="5C74665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8CB5C75"/>
    <w:multiLevelType w:val="hybridMultilevel"/>
    <w:tmpl w:val="69D80264"/>
    <w:lvl w:ilvl="0" w:tplc="81A8A552">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C367CD7"/>
    <w:multiLevelType w:val="hybridMultilevel"/>
    <w:tmpl w:val="15FE1B5C"/>
    <w:lvl w:ilvl="0" w:tplc="5C746652">
      <w:start w:val="1"/>
      <w:numFmt w:val="bullet"/>
      <w:lvlText w:val=""/>
      <w:lvlJc w:val="left"/>
      <w:pPr>
        <w:ind w:left="2149" w:hanging="360"/>
      </w:pPr>
      <w:rPr>
        <w:rFonts w:ascii="Symbol" w:hAnsi="Symbol"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11" w15:restartNumberingAfterBreak="0">
    <w:nsid w:val="22A66DB2"/>
    <w:multiLevelType w:val="hybridMultilevel"/>
    <w:tmpl w:val="11DEB174"/>
    <w:lvl w:ilvl="0" w:tplc="81A8A552">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2CC327F"/>
    <w:multiLevelType w:val="hybridMultilevel"/>
    <w:tmpl w:val="C3787B7C"/>
    <w:lvl w:ilvl="0" w:tplc="81A8A552">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42963D3"/>
    <w:multiLevelType w:val="hybridMultilevel"/>
    <w:tmpl w:val="C93EEDA6"/>
    <w:lvl w:ilvl="0" w:tplc="81A8A552">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5113142"/>
    <w:multiLevelType w:val="hybridMultilevel"/>
    <w:tmpl w:val="407E7F44"/>
    <w:lvl w:ilvl="0" w:tplc="F7A62B6E">
      <w:start w:val="2"/>
      <w:numFmt w:val="lowerLetter"/>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00334F"/>
    <w:multiLevelType w:val="hybridMultilevel"/>
    <w:tmpl w:val="2272D8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E46765E"/>
    <w:multiLevelType w:val="hybridMultilevel"/>
    <w:tmpl w:val="A67EABEC"/>
    <w:lvl w:ilvl="0" w:tplc="81A8A552">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02E09DF"/>
    <w:multiLevelType w:val="hybridMultilevel"/>
    <w:tmpl w:val="9C28312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1571302"/>
    <w:multiLevelType w:val="hybridMultilevel"/>
    <w:tmpl w:val="18944DF2"/>
    <w:lvl w:ilvl="0" w:tplc="098466D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24B1C31"/>
    <w:multiLevelType w:val="hybridMultilevel"/>
    <w:tmpl w:val="7A46735C"/>
    <w:lvl w:ilvl="0" w:tplc="FFFFFFFF">
      <w:start w:val="1"/>
      <w:numFmt w:val="lowerLetter"/>
      <w:lvlText w:val="%1)"/>
      <w:lvlJc w:val="left"/>
      <w:pPr>
        <w:ind w:left="390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298354F"/>
    <w:multiLevelType w:val="hybridMultilevel"/>
    <w:tmpl w:val="89121792"/>
    <w:lvl w:ilvl="0" w:tplc="81A8A552">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2FB1372"/>
    <w:multiLevelType w:val="hybridMultilevel"/>
    <w:tmpl w:val="6A0A8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37A0329"/>
    <w:multiLevelType w:val="hybridMultilevel"/>
    <w:tmpl w:val="1C3A3290"/>
    <w:lvl w:ilvl="0" w:tplc="A05EE47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753E1B"/>
    <w:multiLevelType w:val="hybridMultilevel"/>
    <w:tmpl w:val="83EA1D9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3C07264"/>
    <w:multiLevelType w:val="hybridMultilevel"/>
    <w:tmpl w:val="7B70E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4EF3543"/>
    <w:multiLevelType w:val="hybridMultilevel"/>
    <w:tmpl w:val="EE3ABFD4"/>
    <w:lvl w:ilvl="0" w:tplc="81A8A552">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B0C5D1E"/>
    <w:multiLevelType w:val="hybridMultilevel"/>
    <w:tmpl w:val="302EAA14"/>
    <w:lvl w:ilvl="0" w:tplc="81A8A552">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F3B614D"/>
    <w:multiLevelType w:val="hybridMultilevel"/>
    <w:tmpl w:val="73CCB528"/>
    <w:lvl w:ilvl="0" w:tplc="DE782AEE">
      <w:start w:val="1"/>
      <w:numFmt w:val="lowerLetter"/>
      <w:lvlText w:val="%1)"/>
      <w:lvlJc w:val="left"/>
      <w:pPr>
        <w:ind w:left="720" w:hanging="360"/>
      </w:pPr>
      <w:rPr>
        <w:rFonts w:hint="default"/>
      </w:rPr>
    </w:lvl>
    <w:lvl w:ilvl="1" w:tplc="5C908422">
      <w:start w:val="1"/>
      <w:numFmt w:val="decimal"/>
      <w:lvlText w:val="%2)"/>
      <w:lvlJc w:val="left"/>
      <w:pPr>
        <w:ind w:left="1440" w:hanging="360"/>
      </w:pPr>
      <w:rPr>
        <w:rFonts w:ascii="Lato" w:hAnsi="Lato"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0087A31"/>
    <w:multiLevelType w:val="hybridMultilevel"/>
    <w:tmpl w:val="FA6A3DB4"/>
    <w:lvl w:ilvl="0" w:tplc="C8EECD0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0F87395"/>
    <w:multiLevelType w:val="hybridMultilevel"/>
    <w:tmpl w:val="AF4EF9E4"/>
    <w:lvl w:ilvl="0" w:tplc="0415001B">
      <w:start w:val="1"/>
      <w:numFmt w:val="lowerRoman"/>
      <w:lvlText w:val="%1."/>
      <w:lvlJc w:val="right"/>
      <w:pPr>
        <w:ind w:left="1429" w:hanging="360"/>
      </w:pPr>
      <w:rPr>
        <w:rFonts w:cs="Times New Roman"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0" w15:restartNumberingAfterBreak="0">
    <w:nsid w:val="513B7D7F"/>
    <w:multiLevelType w:val="hybridMultilevel"/>
    <w:tmpl w:val="44A83414"/>
    <w:lvl w:ilvl="0" w:tplc="12A250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7CE369A"/>
    <w:multiLevelType w:val="hybridMultilevel"/>
    <w:tmpl w:val="5F3A9346"/>
    <w:lvl w:ilvl="0" w:tplc="5C74665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8F90B2D"/>
    <w:multiLevelType w:val="hybridMultilevel"/>
    <w:tmpl w:val="309673E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5E9A0D89"/>
    <w:multiLevelType w:val="hybridMultilevel"/>
    <w:tmpl w:val="D91824A0"/>
    <w:lvl w:ilvl="0" w:tplc="D13684F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1A96356"/>
    <w:multiLevelType w:val="hybridMultilevel"/>
    <w:tmpl w:val="5B6CC39E"/>
    <w:lvl w:ilvl="0" w:tplc="81A8A552">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82D482E"/>
    <w:multiLevelType w:val="hybridMultilevel"/>
    <w:tmpl w:val="887A2B7A"/>
    <w:lvl w:ilvl="0" w:tplc="5C7466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CD27B7F"/>
    <w:multiLevelType w:val="hybridMultilevel"/>
    <w:tmpl w:val="BD3643A8"/>
    <w:lvl w:ilvl="0" w:tplc="5C74665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13303B5"/>
    <w:multiLevelType w:val="hybridMultilevel"/>
    <w:tmpl w:val="9F0E785E"/>
    <w:lvl w:ilvl="0" w:tplc="81A8A552">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697555D"/>
    <w:multiLevelType w:val="hybridMultilevel"/>
    <w:tmpl w:val="24949EDC"/>
    <w:lvl w:ilvl="0" w:tplc="81A8A552">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74275FD"/>
    <w:multiLevelType w:val="hybridMultilevel"/>
    <w:tmpl w:val="99FCDC7A"/>
    <w:lvl w:ilvl="0" w:tplc="81A8A552">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BE3159B"/>
    <w:multiLevelType w:val="hybridMultilevel"/>
    <w:tmpl w:val="16C61BBE"/>
    <w:lvl w:ilvl="0" w:tplc="81A8A552">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D707E2C"/>
    <w:multiLevelType w:val="hybridMultilevel"/>
    <w:tmpl w:val="5DCCC8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498351002">
    <w:abstractNumId w:val="0"/>
  </w:num>
  <w:num w:numId="2" w16cid:durableId="164321154">
    <w:abstractNumId w:val="4"/>
  </w:num>
  <w:num w:numId="3" w16cid:durableId="2058311552">
    <w:abstractNumId w:val="1"/>
  </w:num>
  <w:num w:numId="4" w16cid:durableId="451023384">
    <w:abstractNumId w:val="17"/>
  </w:num>
  <w:num w:numId="5" w16cid:durableId="2030138960">
    <w:abstractNumId w:val="22"/>
  </w:num>
  <w:num w:numId="6" w16cid:durableId="44569156">
    <w:abstractNumId w:val="3"/>
  </w:num>
  <w:num w:numId="7" w16cid:durableId="1975717297">
    <w:abstractNumId w:val="33"/>
  </w:num>
  <w:num w:numId="8" w16cid:durableId="47656076">
    <w:abstractNumId w:val="14"/>
  </w:num>
  <w:num w:numId="9" w16cid:durableId="1580477644">
    <w:abstractNumId w:val="29"/>
  </w:num>
  <w:num w:numId="10" w16cid:durableId="775179636">
    <w:abstractNumId w:val="10"/>
  </w:num>
  <w:num w:numId="11" w16cid:durableId="1167476735">
    <w:abstractNumId w:val="19"/>
  </w:num>
  <w:num w:numId="12" w16cid:durableId="456678742">
    <w:abstractNumId w:val="30"/>
  </w:num>
  <w:num w:numId="13" w16cid:durableId="130752295">
    <w:abstractNumId w:val="27"/>
  </w:num>
  <w:num w:numId="14" w16cid:durableId="956330403">
    <w:abstractNumId w:val="28"/>
  </w:num>
  <w:num w:numId="15" w16cid:durableId="1650279103">
    <w:abstractNumId w:val="6"/>
  </w:num>
  <w:num w:numId="16" w16cid:durableId="898788009">
    <w:abstractNumId w:val="21"/>
  </w:num>
  <w:num w:numId="17" w16cid:durableId="934165572">
    <w:abstractNumId w:val="18"/>
  </w:num>
  <w:num w:numId="18" w16cid:durableId="1160585755">
    <w:abstractNumId w:val="7"/>
  </w:num>
  <w:num w:numId="19" w16cid:durableId="2030720340">
    <w:abstractNumId w:val="31"/>
  </w:num>
  <w:num w:numId="20" w16cid:durableId="889532147">
    <w:abstractNumId w:val="8"/>
  </w:num>
  <w:num w:numId="21" w16cid:durableId="194272050">
    <w:abstractNumId w:val="36"/>
  </w:num>
  <w:num w:numId="22" w16cid:durableId="161474395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01552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22587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7655004">
    <w:abstractNumId w:val="35"/>
  </w:num>
  <w:num w:numId="26" w16cid:durableId="902911715">
    <w:abstractNumId w:val="5"/>
  </w:num>
  <w:num w:numId="27" w16cid:durableId="1260022255">
    <w:abstractNumId w:val="25"/>
  </w:num>
  <w:num w:numId="28" w16cid:durableId="1961959999">
    <w:abstractNumId w:val="39"/>
  </w:num>
  <w:num w:numId="29" w16cid:durableId="1563325038">
    <w:abstractNumId w:val="15"/>
  </w:num>
  <w:num w:numId="30" w16cid:durableId="1693215799">
    <w:abstractNumId w:val="24"/>
  </w:num>
  <w:num w:numId="31" w16cid:durableId="1718432255">
    <w:abstractNumId w:val="37"/>
  </w:num>
  <w:num w:numId="32" w16cid:durableId="428623500">
    <w:abstractNumId w:val="16"/>
  </w:num>
  <w:num w:numId="33" w16cid:durableId="871453465">
    <w:abstractNumId w:val="20"/>
  </w:num>
  <w:num w:numId="34" w16cid:durableId="1000156044">
    <w:abstractNumId w:val="34"/>
  </w:num>
  <w:num w:numId="35" w16cid:durableId="612130746">
    <w:abstractNumId w:val="13"/>
  </w:num>
  <w:num w:numId="36" w16cid:durableId="815342440">
    <w:abstractNumId w:val="38"/>
  </w:num>
  <w:num w:numId="37" w16cid:durableId="337737322">
    <w:abstractNumId w:val="2"/>
  </w:num>
  <w:num w:numId="38" w16cid:durableId="1253516604">
    <w:abstractNumId w:val="11"/>
  </w:num>
  <w:num w:numId="39" w16cid:durableId="1947958480">
    <w:abstractNumId w:val="40"/>
  </w:num>
  <w:num w:numId="40" w16cid:durableId="476840968">
    <w:abstractNumId w:val="26"/>
  </w:num>
  <w:num w:numId="41" w16cid:durableId="984968486">
    <w:abstractNumId w:val="12"/>
  </w:num>
  <w:num w:numId="42" w16cid:durableId="1049063418">
    <w:abstractNumId w:val="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D61"/>
    <w:rsid w:val="000069C4"/>
    <w:rsid w:val="00011EE3"/>
    <w:rsid w:val="00013D10"/>
    <w:rsid w:val="00014C8E"/>
    <w:rsid w:val="00021535"/>
    <w:rsid w:val="00022613"/>
    <w:rsid w:val="00024489"/>
    <w:rsid w:val="00024875"/>
    <w:rsid w:val="00024AFC"/>
    <w:rsid w:val="000252C0"/>
    <w:rsid w:val="00026968"/>
    <w:rsid w:val="00026B76"/>
    <w:rsid w:val="000345B8"/>
    <w:rsid w:val="00037E94"/>
    <w:rsid w:val="000406CB"/>
    <w:rsid w:val="00043521"/>
    <w:rsid w:val="00044565"/>
    <w:rsid w:val="00044D05"/>
    <w:rsid w:val="00045F4B"/>
    <w:rsid w:val="00050EC3"/>
    <w:rsid w:val="000619B3"/>
    <w:rsid w:val="0007244C"/>
    <w:rsid w:val="00072534"/>
    <w:rsid w:val="00074286"/>
    <w:rsid w:val="00076CBC"/>
    <w:rsid w:val="00080BA7"/>
    <w:rsid w:val="000817A4"/>
    <w:rsid w:val="000826C8"/>
    <w:rsid w:val="000840AF"/>
    <w:rsid w:val="000855B2"/>
    <w:rsid w:val="00086894"/>
    <w:rsid w:val="00091221"/>
    <w:rsid w:val="00091927"/>
    <w:rsid w:val="00093AFF"/>
    <w:rsid w:val="00093D74"/>
    <w:rsid w:val="000947CE"/>
    <w:rsid w:val="00094AC3"/>
    <w:rsid w:val="000954F2"/>
    <w:rsid w:val="000973FB"/>
    <w:rsid w:val="000A3DDB"/>
    <w:rsid w:val="000A541B"/>
    <w:rsid w:val="000A5A45"/>
    <w:rsid w:val="000A7B74"/>
    <w:rsid w:val="000B376A"/>
    <w:rsid w:val="000B5849"/>
    <w:rsid w:val="000B5BED"/>
    <w:rsid w:val="000B65C9"/>
    <w:rsid w:val="000B6B4D"/>
    <w:rsid w:val="000C2A6C"/>
    <w:rsid w:val="000C39D7"/>
    <w:rsid w:val="000D2929"/>
    <w:rsid w:val="000D4915"/>
    <w:rsid w:val="000D6750"/>
    <w:rsid w:val="000D74A4"/>
    <w:rsid w:val="000E240E"/>
    <w:rsid w:val="000E5C6F"/>
    <w:rsid w:val="000E6F56"/>
    <w:rsid w:val="000E7E63"/>
    <w:rsid w:val="000F514E"/>
    <w:rsid w:val="000F62FD"/>
    <w:rsid w:val="000F78F6"/>
    <w:rsid w:val="001039C9"/>
    <w:rsid w:val="001078E9"/>
    <w:rsid w:val="00112AFA"/>
    <w:rsid w:val="001144FC"/>
    <w:rsid w:val="00116706"/>
    <w:rsid w:val="00117314"/>
    <w:rsid w:val="00122156"/>
    <w:rsid w:val="00127FE4"/>
    <w:rsid w:val="001305A8"/>
    <w:rsid w:val="00131BA8"/>
    <w:rsid w:val="00131D8B"/>
    <w:rsid w:val="00133B72"/>
    <w:rsid w:val="0013403E"/>
    <w:rsid w:val="0013643C"/>
    <w:rsid w:val="00136584"/>
    <w:rsid w:val="00147008"/>
    <w:rsid w:val="001473F6"/>
    <w:rsid w:val="00150B9A"/>
    <w:rsid w:val="00153D02"/>
    <w:rsid w:val="001571C0"/>
    <w:rsid w:val="001644F5"/>
    <w:rsid w:val="0016455E"/>
    <w:rsid w:val="0016533D"/>
    <w:rsid w:val="00165A9C"/>
    <w:rsid w:val="0017116C"/>
    <w:rsid w:val="00171BB2"/>
    <w:rsid w:val="00173360"/>
    <w:rsid w:val="00174C5E"/>
    <w:rsid w:val="00174C91"/>
    <w:rsid w:val="001819CE"/>
    <w:rsid w:val="00186AEC"/>
    <w:rsid w:val="00187A35"/>
    <w:rsid w:val="001928BC"/>
    <w:rsid w:val="00194461"/>
    <w:rsid w:val="001A04F5"/>
    <w:rsid w:val="001A0C6D"/>
    <w:rsid w:val="001A45B6"/>
    <w:rsid w:val="001A55A8"/>
    <w:rsid w:val="001B1463"/>
    <w:rsid w:val="001B23F0"/>
    <w:rsid w:val="001B49A5"/>
    <w:rsid w:val="001B4D1A"/>
    <w:rsid w:val="001B60E6"/>
    <w:rsid w:val="001B6485"/>
    <w:rsid w:val="001C38F1"/>
    <w:rsid w:val="001C4F5B"/>
    <w:rsid w:val="001D254E"/>
    <w:rsid w:val="001D2611"/>
    <w:rsid w:val="001D3258"/>
    <w:rsid w:val="001D4C71"/>
    <w:rsid w:val="001D4F3C"/>
    <w:rsid w:val="001D5196"/>
    <w:rsid w:val="001D643A"/>
    <w:rsid w:val="001D6A7F"/>
    <w:rsid w:val="001D79FD"/>
    <w:rsid w:val="001E4CC6"/>
    <w:rsid w:val="001E75C1"/>
    <w:rsid w:val="001F0AC7"/>
    <w:rsid w:val="001F287B"/>
    <w:rsid w:val="002009F8"/>
    <w:rsid w:val="00200D01"/>
    <w:rsid w:val="00203C68"/>
    <w:rsid w:val="00204676"/>
    <w:rsid w:val="00212281"/>
    <w:rsid w:val="00212CF2"/>
    <w:rsid w:val="002134AD"/>
    <w:rsid w:val="002164B8"/>
    <w:rsid w:val="002164CD"/>
    <w:rsid w:val="00217F28"/>
    <w:rsid w:val="00220A47"/>
    <w:rsid w:val="0022368D"/>
    <w:rsid w:val="00226FAD"/>
    <w:rsid w:val="00227851"/>
    <w:rsid w:val="002318C6"/>
    <w:rsid w:val="00232064"/>
    <w:rsid w:val="00232663"/>
    <w:rsid w:val="00232FFB"/>
    <w:rsid w:val="0023727C"/>
    <w:rsid w:val="00243EFA"/>
    <w:rsid w:val="00244A97"/>
    <w:rsid w:val="00246140"/>
    <w:rsid w:val="00246AF5"/>
    <w:rsid w:val="00256256"/>
    <w:rsid w:val="002578B2"/>
    <w:rsid w:val="00260F5F"/>
    <w:rsid w:val="0026186D"/>
    <w:rsid w:val="002635F5"/>
    <w:rsid w:val="00270892"/>
    <w:rsid w:val="00273790"/>
    <w:rsid w:val="00273FD8"/>
    <w:rsid w:val="00276F2C"/>
    <w:rsid w:val="002802EC"/>
    <w:rsid w:val="00284572"/>
    <w:rsid w:val="00287862"/>
    <w:rsid w:val="00294C33"/>
    <w:rsid w:val="002A0AD2"/>
    <w:rsid w:val="002A0B76"/>
    <w:rsid w:val="002A2FC6"/>
    <w:rsid w:val="002A5705"/>
    <w:rsid w:val="002A5A38"/>
    <w:rsid w:val="002A5F96"/>
    <w:rsid w:val="002A6DFA"/>
    <w:rsid w:val="002A6F3E"/>
    <w:rsid w:val="002A7783"/>
    <w:rsid w:val="002A7DCE"/>
    <w:rsid w:val="002B0C64"/>
    <w:rsid w:val="002B4DFC"/>
    <w:rsid w:val="002B4F0C"/>
    <w:rsid w:val="002B5CFB"/>
    <w:rsid w:val="002C382E"/>
    <w:rsid w:val="002C3B28"/>
    <w:rsid w:val="002C7E20"/>
    <w:rsid w:val="002E068E"/>
    <w:rsid w:val="002E161B"/>
    <w:rsid w:val="002E1E0B"/>
    <w:rsid w:val="002E21AC"/>
    <w:rsid w:val="002E3810"/>
    <w:rsid w:val="002E6883"/>
    <w:rsid w:val="002E7134"/>
    <w:rsid w:val="002E7E3A"/>
    <w:rsid w:val="002F206A"/>
    <w:rsid w:val="002F5C50"/>
    <w:rsid w:val="003001C8"/>
    <w:rsid w:val="003036B9"/>
    <w:rsid w:val="00312F74"/>
    <w:rsid w:val="00312FE1"/>
    <w:rsid w:val="00313DE1"/>
    <w:rsid w:val="00315CD1"/>
    <w:rsid w:val="003221F6"/>
    <w:rsid w:val="00323F9B"/>
    <w:rsid w:val="003260C9"/>
    <w:rsid w:val="00332CFC"/>
    <w:rsid w:val="003352F5"/>
    <w:rsid w:val="00336579"/>
    <w:rsid w:val="003369C8"/>
    <w:rsid w:val="003432D5"/>
    <w:rsid w:val="0034650B"/>
    <w:rsid w:val="0035104B"/>
    <w:rsid w:val="003654C6"/>
    <w:rsid w:val="003657F2"/>
    <w:rsid w:val="0037341E"/>
    <w:rsid w:val="00373FD3"/>
    <w:rsid w:val="00375130"/>
    <w:rsid w:val="003768A4"/>
    <w:rsid w:val="003772B3"/>
    <w:rsid w:val="0038115D"/>
    <w:rsid w:val="003829EA"/>
    <w:rsid w:val="00384755"/>
    <w:rsid w:val="00385BC9"/>
    <w:rsid w:val="00390032"/>
    <w:rsid w:val="00391F08"/>
    <w:rsid w:val="00393939"/>
    <w:rsid w:val="0039442A"/>
    <w:rsid w:val="00394747"/>
    <w:rsid w:val="00394D21"/>
    <w:rsid w:val="003967BC"/>
    <w:rsid w:val="003979F9"/>
    <w:rsid w:val="003A13F8"/>
    <w:rsid w:val="003A4978"/>
    <w:rsid w:val="003A54B0"/>
    <w:rsid w:val="003A746A"/>
    <w:rsid w:val="003A78FE"/>
    <w:rsid w:val="003B05BE"/>
    <w:rsid w:val="003B0BAF"/>
    <w:rsid w:val="003B1A37"/>
    <w:rsid w:val="003B20C4"/>
    <w:rsid w:val="003B48D6"/>
    <w:rsid w:val="003B7642"/>
    <w:rsid w:val="003C194F"/>
    <w:rsid w:val="003C37CE"/>
    <w:rsid w:val="003C445B"/>
    <w:rsid w:val="003C553E"/>
    <w:rsid w:val="003C7268"/>
    <w:rsid w:val="003D1A13"/>
    <w:rsid w:val="003D1AD6"/>
    <w:rsid w:val="003D1C81"/>
    <w:rsid w:val="003D48D3"/>
    <w:rsid w:val="003E2037"/>
    <w:rsid w:val="003E6660"/>
    <w:rsid w:val="003E673D"/>
    <w:rsid w:val="003F0371"/>
    <w:rsid w:val="003F21E8"/>
    <w:rsid w:val="003F418C"/>
    <w:rsid w:val="004003A9"/>
    <w:rsid w:val="00402433"/>
    <w:rsid w:val="0040311D"/>
    <w:rsid w:val="00404B36"/>
    <w:rsid w:val="00405B64"/>
    <w:rsid w:val="00405FBD"/>
    <w:rsid w:val="00412BDC"/>
    <w:rsid w:val="0041319C"/>
    <w:rsid w:val="004155BC"/>
    <w:rsid w:val="0041775E"/>
    <w:rsid w:val="00420129"/>
    <w:rsid w:val="00421932"/>
    <w:rsid w:val="00423DF5"/>
    <w:rsid w:val="00425F8E"/>
    <w:rsid w:val="00431806"/>
    <w:rsid w:val="00431927"/>
    <w:rsid w:val="00431C2F"/>
    <w:rsid w:val="00432A9E"/>
    <w:rsid w:val="004429F3"/>
    <w:rsid w:val="00444575"/>
    <w:rsid w:val="00445A54"/>
    <w:rsid w:val="00451528"/>
    <w:rsid w:val="00453051"/>
    <w:rsid w:val="004540F4"/>
    <w:rsid w:val="00454C74"/>
    <w:rsid w:val="00460C8C"/>
    <w:rsid w:val="00463DEC"/>
    <w:rsid w:val="00464678"/>
    <w:rsid w:val="00465D61"/>
    <w:rsid w:val="00470030"/>
    <w:rsid w:val="00471A6A"/>
    <w:rsid w:val="0047233E"/>
    <w:rsid w:val="00473696"/>
    <w:rsid w:val="00474216"/>
    <w:rsid w:val="00475F96"/>
    <w:rsid w:val="00476378"/>
    <w:rsid w:val="00480883"/>
    <w:rsid w:val="00483B9F"/>
    <w:rsid w:val="004850DF"/>
    <w:rsid w:val="004862BA"/>
    <w:rsid w:val="00487114"/>
    <w:rsid w:val="00490841"/>
    <w:rsid w:val="00490E3D"/>
    <w:rsid w:val="00491322"/>
    <w:rsid w:val="004938AB"/>
    <w:rsid w:val="004948D8"/>
    <w:rsid w:val="004A3E80"/>
    <w:rsid w:val="004B160D"/>
    <w:rsid w:val="004B3F51"/>
    <w:rsid w:val="004C1A1B"/>
    <w:rsid w:val="004C33B1"/>
    <w:rsid w:val="004D4432"/>
    <w:rsid w:val="004E000C"/>
    <w:rsid w:val="004E21CF"/>
    <w:rsid w:val="004E5440"/>
    <w:rsid w:val="004E6955"/>
    <w:rsid w:val="004E7B0B"/>
    <w:rsid w:val="004F203A"/>
    <w:rsid w:val="004F3AD3"/>
    <w:rsid w:val="00501AD3"/>
    <w:rsid w:val="00501B72"/>
    <w:rsid w:val="00503D15"/>
    <w:rsid w:val="00504CB7"/>
    <w:rsid w:val="00515199"/>
    <w:rsid w:val="00516BCA"/>
    <w:rsid w:val="00516D41"/>
    <w:rsid w:val="00517CE9"/>
    <w:rsid w:val="00520D25"/>
    <w:rsid w:val="00524E26"/>
    <w:rsid w:val="005250E4"/>
    <w:rsid w:val="005317FE"/>
    <w:rsid w:val="0053209D"/>
    <w:rsid w:val="005341DB"/>
    <w:rsid w:val="0053470B"/>
    <w:rsid w:val="00534863"/>
    <w:rsid w:val="00536833"/>
    <w:rsid w:val="00537D76"/>
    <w:rsid w:val="005408CE"/>
    <w:rsid w:val="0054158D"/>
    <w:rsid w:val="00541635"/>
    <w:rsid w:val="00542B81"/>
    <w:rsid w:val="00545062"/>
    <w:rsid w:val="00550223"/>
    <w:rsid w:val="005504F0"/>
    <w:rsid w:val="0055302F"/>
    <w:rsid w:val="00553078"/>
    <w:rsid w:val="00554E84"/>
    <w:rsid w:val="005614FF"/>
    <w:rsid w:val="005622DF"/>
    <w:rsid w:val="00564F99"/>
    <w:rsid w:val="005676C8"/>
    <w:rsid w:val="00567C92"/>
    <w:rsid w:val="0057223B"/>
    <w:rsid w:val="005751F2"/>
    <w:rsid w:val="00575331"/>
    <w:rsid w:val="0057595A"/>
    <w:rsid w:val="00575AE1"/>
    <w:rsid w:val="0057684D"/>
    <w:rsid w:val="005801E0"/>
    <w:rsid w:val="00581FF6"/>
    <w:rsid w:val="00582793"/>
    <w:rsid w:val="005837F2"/>
    <w:rsid w:val="00583F68"/>
    <w:rsid w:val="00584C34"/>
    <w:rsid w:val="005877F6"/>
    <w:rsid w:val="00590945"/>
    <w:rsid w:val="00592BBB"/>
    <w:rsid w:val="005A0EA7"/>
    <w:rsid w:val="005A1949"/>
    <w:rsid w:val="005A197D"/>
    <w:rsid w:val="005A57E0"/>
    <w:rsid w:val="005A678E"/>
    <w:rsid w:val="005B00D6"/>
    <w:rsid w:val="005B01A5"/>
    <w:rsid w:val="005B0E34"/>
    <w:rsid w:val="005B442A"/>
    <w:rsid w:val="005B537D"/>
    <w:rsid w:val="005B5E2B"/>
    <w:rsid w:val="005C644A"/>
    <w:rsid w:val="005D0B87"/>
    <w:rsid w:val="005D3B61"/>
    <w:rsid w:val="005E16E5"/>
    <w:rsid w:val="005E4D15"/>
    <w:rsid w:val="005E54CA"/>
    <w:rsid w:val="005E609B"/>
    <w:rsid w:val="005F09C1"/>
    <w:rsid w:val="005F1482"/>
    <w:rsid w:val="005F43D4"/>
    <w:rsid w:val="005F4499"/>
    <w:rsid w:val="005F4621"/>
    <w:rsid w:val="005F68D7"/>
    <w:rsid w:val="005F740C"/>
    <w:rsid w:val="005F7741"/>
    <w:rsid w:val="005F7BFD"/>
    <w:rsid w:val="00601E54"/>
    <w:rsid w:val="0060410E"/>
    <w:rsid w:val="00604B88"/>
    <w:rsid w:val="00605235"/>
    <w:rsid w:val="006065DE"/>
    <w:rsid w:val="006068E2"/>
    <w:rsid w:val="00612679"/>
    <w:rsid w:val="00612A1A"/>
    <w:rsid w:val="00616B1C"/>
    <w:rsid w:val="00620976"/>
    <w:rsid w:val="00620A75"/>
    <w:rsid w:val="00625F81"/>
    <w:rsid w:val="00627A3D"/>
    <w:rsid w:val="006300E6"/>
    <w:rsid w:val="006324C5"/>
    <w:rsid w:val="006328A9"/>
    <w:rsid w:val="00635E21"/>
    <w:rsid w:val="00636558"/>
    <w:rsid w:val="00641AE7"/>
    <w:rsid w:val="00643BAB"/>
    <w:rsid w:val="00645D28"/>
    <w:rsid w:val="006466FA"/>
    <w:rsid w:val="00647401"/>
    <w:rsid w:val="00647F2A"/>
    <w:rsid w:val="0066222C"/>
    <w:rsid w:val="00662275"/>
    <w:rsid w:val="006638B1"/>
    <w:rsid w:val="00665CF0"/>
    <w:rsid w:val="00665DA7"/>
    <w:rsid w:val="00666319"/>
    <w:rsid w:val="00673535"/>
    <w:rsid w:val="0067469F"/>
    <w:rsid w:val="00675007"/>
    <w:rsid w:val="00676075"/>
    <w:rsid w:val="00677406"/>
    <w:rsid w:val="00680E7D"/>
    <w:rsid w:val="00681CF4"/>
    <w:rsid w:val="0068367B"/>
    <w:rsid w:val="006839EA"/>
    <w:rsid w:val="00685ED0"/>
    <w:rsid w:val="0068663A"/>
    <w:rsid w:val="006868BC"/>
    <w:rsid w:val="00691EA7"/>
    <w:rsid w:val="00693B35"/>
    <w:rsid w:val="00694A4E"/>
    <w:rsid w:val="006A2997"/>
    <w:rsid w:val="006A6003"/>
    <w:rsid w:val="006B1206"/>
    <w:rsid w:val="006B1526"/>
    <w:rsid w:val="006B2A65"/>
    <w:rsid w:val="006B3ACD"/>
    <w:rsid w:val="006B449C"/>
    <w:rsid w:val="006B648E"/>
    <w:rsid w:val="006B783C"/>
    <w:rsid w:val="006C4C02"/>
    <w:rsid w:val="006C6123"/>
    <w:rsid w:val="006C697D"/>
    <w:rsid w:val="006D019A"/>
    <w:rsid w:val="006D0C65"/>
    <w:rsid w:val="006D2F10"/>
    <w:rsid w:val="006D6589"/>
    <w:rsid w:val="006D78D9"/>
    <w:rsid w:val="006D7940"/>
    <w:rsid w:val="006D7D05"/>
    <w:rsid w:val="006E2892"/>
    <w:rsid w:val="006E3DFB"/>
    <w:rsid w:val="006E6AC8"/>
    <w:rsid w:val="006E7045"/>
    <w:rsid w:val="006F34B5"/>
    <w:rsid w:val="00701613"/>
    <w:rsid w:val="00702846"/>
    <w:rsid w:val="007045D1"/>
    <w:rsid w:val="0071010F"/>
    <w:rsid w:val="00710199"/>
    <w:rsid w:val="00713B4C"/>
    <w:rsid w:val="00713E45"/>
    <w:rsid w:val="00715ACC"/>
    <w:rsid w:val="007169E8"/>
    <w:rsid w:val="00731325"/>
    <w:rsid w:val="00731619"/>
    <w:rsid w:val="0073208A"/>
    <w:rsid w:val="00733916"/>
    <w:rsid w:val="00733EE9"/>
    <w:rsid w:val="00734230"/>
    <w:rsid w:val="0073427D"/>
    <w:rsid w:val="00737C12"/>
    <w:rsid w:val="0074268E"/>
    <w:rsid w:val="00743A88"/>
    <w:rsid w:val="00746A1E"/>
    <w:rsid w:val="00747447"/>
    <w:rsid w:val="00750424"/>
    <w:rsid w:val="007551FD"/>
    <w:rsid w:val="00755FA3"/>
    <w:rsid w:val="00756856"/>
    <w:rsid w:val="00757C82"/>
    <w:rsid w:val="00760265"/>
    <w:rsid w:val="007636C1"/>
    <w:rsid w:val="00767D0F"/>
    <w:rsid w:val="007712C2"/>
    <w:rsid w:val="007712D1"/>
    <w:rsid w:val="0077251A"/>
    <w:rsid w:val="007743B5"/>
    <w:rsid w:val="0077447B"/>
    <w:rsid w:val="007754E2"/>
    <w:rsid w:val="00776800"/>
    <w:rsid w:val="00776F23"/>
    <w:rsid w:val="00782942"/>
    <w:rsid w:val="00783334"/>
    <w:rsid w:val="00783ECC"/>
    <w:rsid w:val="0078415A"/>
    <w:rsid w:val="007864F4"/>
    <w:rsid w:val="00793CBE"/>
    <w:rsid w:val="00793F4E"/>
    <w:rsid w:val="00794724"/>
    <w:rsid w:val="00795826"/>
    <w:rsid w:val="007961FA"/>
    <w:rsid w:val="00797F8D"/>
    <w:rsid w:val="007A12A0"/>
    <w:rsid w:val="007A1735"/>
    <w:rsid w:val="007B587E"/>
    <w:rsid w:val="007B67BC"/>
    <w:rsid w:val="007B74D2"/>
    <w:rsid w:val="007C218B"/>
    <w:rsid w:val="007C40B3"/>
    <w:rsid w:val="007D5D1D"/>
    <w:rsid w:val="007E3599"/>
    <w:rsid w:val="007E6993"/>
    <w:rsid w:val="007E6F5F"/>
    <w:rsid w:val="007F170F"/>
    <w:rsid w:val="007F19ED"/>
    <w:rsid w:val="007F22F4"/>
    <w:rsid w:val="00801494"/>
    <w:rsid w:val="00802438"/>
    <w:rsid w:val="00802825"/>
    <w:rsid w:val="008057F6"/>
    <w:rsid w:val="008106DA"/>
    <w:rsid w:val="00810BA3"/>
    <w:rsid w:val="00810DCA"/>
    <w:rsid w:val="00813E69"/>
    <w:rsid w:val="008173D7"/>
    <w:rsid w:val="00817D26"/>
    <w:rsid w:val="00821032"/>
    <w:rsid w:val="008223D8"/>
    <w:rsid w:val="00824620"/>
    <w:rsid w:val="00824AF6"/>
    <w:rsid w:val="00824B0E"/>
    <w:rsid w:val="00826462"/>
    <w:rsid w:val="00830FBB"/>
    <w:rsid w:val="00832E72"/>
    <w:rsid w:val="008340D5"/>
    <w:rsid w:val="008372D3"/>
    <w:rsid w:val="008372FE"/>
    <w:rsid w:val="00841C4F"/>
    <w:rsid w:val="008425F9"/>
    <w:rsid w:val="00850BAF"/>
    <w:rsid w:val="0085119E"/>
    <w:rsid w:val="008527DF"/>
    <w:rsid w:val="008620C5"/>
    <w:rsid w:val="00863675"/>
    <w:rsid w:val="008730F0"/>
    <w:rsid w:val="00875EF7"/>
    <w:rsid w:val="00880B30"/>
    <w:rsid w:val="00882475"/>
    <w:rsid w:val="00883D86"/>
    <w:rsid w:val="00884105"/>
    <w:rsid w:val="0088560C"/>
    <w:rsid w:val="00887BC0"/>
    <w:rsid w:val="008905D6"/>
    <w:rsid w:val="008943F2"/>
    <w:rsid w:val="00894DDD"/>
    <w:rsid w:val="008952BB"/>
    <w:rsid w:val="00895CCA"/>
    <w:rsid w:val="00896235"/>
    <w:rsid w:val="008A128B"/>
    <w:rsid w:val="008A6558"/>
    <w:rsid w:val="008A7D3F"/>
    <w:rsid w:val="008B188E"/>
    <w:rsid w:val="008B4B0C"/>
    <w:rsid w:val="008B4C3B"/>
    <w:rsid w:val="008B71F5"/>
    <w:rsid w:val="008C0B55"/>
    <w:rsid w:val="008C328C"/>
    <w:rsid w:val="008C53A0"/>
    <w:rsid w:val="008C6278"/>
    <w:rsid w:val="008C6671"/>
    <w:rsid w:val="008C69A6"/>
    <w:rsid w:val="008C7926"/>
    <w:rsid w:val="008D4A8C"/>
    <w:rsid w:val="008D4D47"/>
    <w:rsid w:val="008D5B84"/>
    <w:rsid w:val="008D7F51"/>
    <w:rsid w:val="008E1C88"/>
    <w:rsid w:val="008E4C8A"/>
    <w:rsid w:val="008F02EE"/>
    <w:rsid w:val="008F1A2E"/>
    <w:rsid w:val="008F2556"/>
    <w:rsid w:val="008F2D6A"/>
    <w:rsid w:val="008F370E"/>
    <w:rsid w:val="008F3871"/>
    <w:rsid w:val="008F731E"/>
    <w:rsid w:val="008F7850"/>
    <w:rsid w:val="0090095D"/>
    <w:rsid w:val="009012B3"/>
    <w:rsid w:val="00903C8D"/>
    <w:rsid w:val="009052C5"/>
    <w:rsid w:val="0090670E"/>
    <w:rsid w:val="00907D2B"/>
    <w:rsid w:val="00910772"/>
    <w:rsid w:val="009110E8"/>
    <w:rsid w:val="00913628"/>
    <w:rsid w:val="00917318"/>
    <w:rsid w:val="009209FC"/>
    <w:rsid w:val="00921EC3"/>
    <w:rsid w:val="00922425"/>
    <w:rsid w:val="00922EAF"/>
    <w:rsid w:val="00924DDE"/>
    <w:rsid w:val="00925327"/>
    <w:rsid w:val="009259C8"/>
    <w:rsid w:val="00930DB2"/>
    <w:rsid w:val="009319C0"/>
    <w:rsid w:val="00932BB1"/>
    <w:rsid w:val="00933E23"/>
    <w:rsid w:val="00935A57"/>
    <w:rsid w:val="00936B2E"/>
    <w:rsid w:val="00942B7A"/>
    <w:rsid w:val="009437FD"/>
    <w:rsid w:val="00946F60"/>
    <w:rsid w:val="009501B1"/>
    <w:rsid w:val="00955EE6"/>
    <w:rsid w:val="0095663B"/>
    <w:rsid w:val="00957383"/>
    <w:rsid w:val="00957F1C"/>
    <w:rsid w:val="00966AE9"/>
    <w:rsid w:val="009675DC"/>
    <w:rsid w:val="00970A5B"/>
    <w:rsid w:val="009714FB"/>
    <w:rsid w:val="00971742"/>
    <w:rsid w:val="009729C8"/>
    <w:rsid w:val="00975A22"/>
    <w:rsid w:val="00982366"/>
    <w:rsid w:val="00982E9E"/>
    <w:rsid w:val="00983BF4"/>
    <w:rsid w:val="0098730C"/>
    <w:rsid w:val="00992251"/>
    <w:rsid w:val="009A021C"/>
    <w:rsid w:val="009A0EE5"/>
    <w:rsid w:val="009A1852"/>
    <w:rsid w:val="009A7CF9"/>
    <w:rsid w:val="009B11B7"/>
    <w:rsid w:val="009B25FD"/>
    <w:rsid w:val="009C0159"/>
    <w:rsid w:val="009C07EC"/>
    <w:rsid w:val="009C08C2"/>
    <w:rsid w:val="009C0B2E"/>
    <w:rsid w:val="009C52A3"/>
    <w:rsid w:val="009D13E1"/>
    <w:rsid w:val="009D1D14"/>
    <w:rsid w:val="009E1A27"/>
    <w:rsid w:val="009E2C45"/>
    <w:rsid w:val="009E4C24"/>
    <w:rsid w:val="009F0D94"/>
    <w:rsid w:val="009F0F44"/>
    <w:rsid w:val="009F3B69"/>
    <w:rsid w:val="009F4788"/>
    <w:rsid w:val="009F57DA"/>
    <w:rsid w:val="00A006E8"/>
    <w:rsid w:val="00A01F85"/>
    <w:rsid w:val="00A03664"/>
    <w:rsid w:val="00A05B82"/>
    <w:rsid w:val="00A12A96"/>
    <w:rsid w:val="00A177F4"/>
    <w:rsid w:val="00A17DD8"/>
    <w:rsid w:val="00A20FD2"/>
    <w:rsid w:val="00A2100A"/>
    <w:rsid w:val="00A21A00"/>
    <w:rsid w:val="00A24E12"/>
    <w:rsid w:val="00A2654E"/>
    <w:rsid w:val="00A26E30"/>
    <w:rsid w:val="00A3162E"/>
    <w:rsid w:val="00A35815"/>
    <w:rsid w:val="00A3626D"/>
    <w:rsid w:val="00A373B1"/>
    <w:rsid w:val="00A41398"/>
    <w:rsid w:val="00A4361E"/>
    <w:rsid w:val="00A439AD"/>
    <w:rsid w:val="00A43E87"/>
    <w:rsid w:val="00A46A65"/>
    <w:rsid w:val="00A506EF"/>
    <w:rsid w:val="00A54A92"/>
    <w:rsid w:val="00A55765"/>
    <w:rsid w:val="00A55DFF"/>
    <w:rsid w:val="00A578D5"/>
    <w:rsid w:val="00A60E77"/>
    <w:rsid w:val="00A62B27"/>
    <w:rsid w:val="00A6327E"/>
    <w:rsid w:val="00A66FE8"/>
    <w:rsid w:val="00A72774"/>
    <w:rsid w:val="00A752FC"/>
    <w:rsid w:val="00A758CF"/>
    <w:rsid w:val="00A76572"/>
    <w:rsid w:val="00A806F1"/>
    <w:rsid w:val="00A80E8F"/>
    <w:rsid w:val="00A82014"/>
    <w:rsid w:val="00A832F5"/>
    <w:rsid w:val="00A86C39"/>
    <w:rsid w:val="00A90AB5"/>
    <w:rsid w:val="00A92592"/>
    <w:rsid w:val="00A93D92"/>
    <w:rsid w:val="00A951C6"/>
    <w:rsid w:val="00AA0D6B"/>
    <w:rsid w:val="00AA1E94"/>
    <w:rsid w:val="00AA5A87"/>
    <w:rsid w:val="00AB1A75"/>
    <w:rsid w:val="00AB263F"/>
    <w:rsid w:val="00AB47C0"/>
    <w:rsid w:val="00AB61AA"/>
    <w:rsid w:val="00AB7950"/>
    <w:rsid w:val="00AC61D8"/>
    <w:rsid w:val="00AC63C4"/>
    <w:rsid w:val="00AD08C8"/>
    <w:rsid w:val="00AD1570"/>
    <w:rsid w:val="00AD4814"/>
    <w:rsid w:val="00AD6633"/>
    <w:rsid w:val="00AD6E8A"/>
    <w:rsid w:val="00AD75DF"/>
    <w:rsid w:val="00AE2526"/>
    <w:rsid w:val="00AE2910"/>
    <w:rsid w:val="00AE5592"/>
    <w:rsid w:val="00AF0FA8"/>
    <w:rsid w:val="00AF4DD4"/>
    <w:rsid w:val="00AF5083"/>
    <w:rsid w:val="00AF549B"/>
    <w:rsid w:val="00AF5B98"/>
    <w:rsid w:val="00AF6391"/>
    <w:rsid w:val="00B013CD"/>
    <w:rsid w:val="00B01D4A"/>
    <w:rsid w:val="00B023C0"/>
    <w:rsid w:val="00B03CB7"/>
    <w:rsid w:val="00B06700"/>
    <w:rsid w:val="00B13C7D"/>
    <w:rsid w:val="00B13CBA"/>
    <w:rsid w:val="00B14FEA"/>
    <w:rsid w:val="00B1564D"/>
    <w:rsid w:val="00B15954"/>
    <w:rsid w:val="00B21AD3"/>
    <w:rsid w:val="00B229EA"/>
    <w:rsid w:val="00B242AD"/>
    <w:rsid w:val="00B265AB"/>
    <w:rsid w:val="00B32E42"/>
    <w:rsid w:val="00B35066"/>
    <w:rsid w:val="00B36CA1"/>
    <w:rsid w:val="00B376BD"/>
    <w:rsid w:val="00B377B2"/>
    <w:rsid w:val="00B401BF"/>
    <w:rsid w:val="00B40B22"/>
    <w:rsid w:val="00B4680C"/>
    <w:rsid w:val="00B47E04"/>
    <w:rsid w:val="00B5086C"/>
    <w:rsid w:val="00B539D0"/>
    <w:rsid w:val="00B54D46"/>
    <w:rsid w:val="00B6117F"/>
    <w:rsid w:val="00B61335"/>
    <w:rsid w:val="00B613FC"/>
    <w:rsid w:val="00B6300A"/>
    <w:rsid w:val="00B64F0D"/>
    <w:rsid w:val="00B6570B"/>
    <w:rsid w:val="00B67C84"/>
    <w:rsid w:val="00B72584"/>
    <w:rsid w:val="00B816AE"/>
    <w:rsid w:val="00B832B7"/>
    <w:rsid w:val="00B96AE9"/>
    <w:rsid w:val="00B97B50"/>
    <w:rsid w:val="00BA30BB"/>
    <w:rsid w:val="00BA3E0C"/>
    <w:rsid w:val="00BA40C4"/>
    <w:rsid w:val="00BA4318"/>
    <w:rsid w:val="00BA4355"/>
    <w:rsid w:val="00BA46AC"/>
    <w:rsid w:val="00BA64EC"/>
    <w:rsid w:val="00BA7B6D"/>
    <w:rsid w:val="00BB468B"/>
    <w:rsid w:val="00BC1921"/>
    <w:rsid w:val="00BC50BF"/>
    <w:rsid w:val="00BC5C4E"/>
    <w:rsid w:val="00BC6918"/>
    <w:rsid w:val="00BC79F1"/>
    <w:rsid w:val="00BD1C89"/>
    <w:rsid w:val="00BD3176"/>
    <w:rsid w:val="00BD3900"/>
    <w:rsid w:val="00BD63CD"/>
    <w:rsid w:val="00BE10C2"/>
    <w:rsid w:val="00BF5399"/>
    <w:rsid w:val="00C01BC5"/>
    <w:rsid w:val="00C01DAA"/>
    <w:rsid w:val="00C024A4"/>
    <w:rsid w:val="00C06AA6"/>
    <w:rsid w:val="00C07034"/>
    <w:rsid w:val="00C10F84"/>
    <w:rsid w:val="00C11C55"/>
    <w:rsid w:val="00C12553"/>
    <w:rsid w:val="00C1301A"/>
    <w:rsid w:val="00C13FCA"/>
    <w:rsid w:val="00C140A9"/>
    <w:rsid w:val="00C15E3E"/>
    <w:rsid w:val="00C16FF6"/>
    <w:rsid w:val="00C21079"/>
    <w:rsid w:val="00C234E4"/>
    <w:rsid w:val="00C24471"/>
    <w:rsid w:val="00C30B84"/>
    <w:rsid w:val="00C32B22"/>
    <w:rsid w:val="00C33878"/>
    <w:rsid w:val="00C33E97"/>
    <w:rsid w:val="00C3492C"/>
    <w:rsid w:val="00C349E3"/>
    <w:rsid w:val="00C34B78"/>
    <w:rsid w:val="00C40D35"/>
    <w:rsid w:val="00C41270"/>
    <w:rsid w:val="00C42CCF"/>
    <w:rsid w:val="00C46DAA"/>
    <w:rsid w:val="00C52563"/>
    <w:rsid w:val="00C54BB2"/>
    <w:rsid w:val="00C600E0"/>
    <w:rsid w:val="00C601B0"/>
    <w:rsid w:val="00C61F47"/>
    <w:rsid w:val="00C62D5D"/>
    <w:rsid w:val="00C6779E"/>
    <w:rsid w:val="00C70412"/>
    <w:rsid w:val="00C709C6"/>
    <w:rsid w:val="00C740E9"/>
    <w:rsid w:val="00C7414A"/>
    <w:rsid w:val="00C74F3E"/>
    <w:rsid w:val="00C762BE"/>
    <w:rsid w:val="00C8138B"/>
    <w:rsid w:val="00C829B7"/>
    <w:rsid w:val="00C8356A"/>
    <w:rsid w:val="00C84E2D"/>
    <w:rsid w:val="00C87A52"/>
    <w:rsid w:val="00C92B07"/>
    <w:rsid w:val="00C939E0"/>
    <w:rsid w:val="00C960E2"/>
    <w:rsid w:val="00C96974"/>
    <w:rsid w:val="00C97F24"/>
    <w:rsid w:val="00CA0E0F"/>
    <w:rsid w:val="00CA13C5"/>
    <w:rsid w:val="00CA4545"/>
    <w:rsid w:val="00CA5CE2"/>
    <w:rsid w:val="00CA5D28"/>
    <w:rsid w:val="00CA6F98"/>
    <w:rsid w:val="00CA7CDE"/>
    <w:rsid w:val="00CB005F"/>
    <w:rsid w:val="00CB2432"/>
    <w:rsid w:val="00CB3F7F"/>
    <w:rsid w:val="00CB4A44"/>
    <w:rsid w:val="00CC2A63"/>
    <w:rsid w:val="00CC42E3"/>
    <w:rsid w:val="00CC53FD"/>
    <w:rsid w:val="00CC5FCD"/>
    <w:rsid w:val="00CC77EC"/>
    <w:rsid w:val="00CD32A0"/>
    <w:rsid w:val="00CD4C9F"/>
    <w:rsid w:val="00CD72EB"/>
    <w:rsid w:val="00CE432B"/>
    <w:rsid w:val="00CF0465"/>
    <w:rsid w:val="00CF231D"/>
    <w:rsid w:val="00CF3665"/>
    <w:rsid w:val="00CF3E51"/>
    <w:rsid w:val="00CF407B"/>
    <w:rsid w:val="00CF4501"/>
    <w:rsid w:val="00CF4A6F"/>
    <w:rsid w:val="00D010FB"/>
    <w:rsid w:val="00D0260B"/>
    <w:rsid w:val="00D05B5D"/>
    <w:rsid w:val="00D1050C"/>
    <w:rsid w:val="00D1219E"/>
    <w:rsid w:val="00D12FD9"/>
    <w:rsid w:val="00D1447B"/>
    <w:rsid w:val="00D1513B"/>
    <w:rsid w:val="00D16383"/>
    <w:rsid w:val="00D165C3"/>
    <w:rsid w:val="00D22C5E"/>
    <w:rsid w:val="00D23A28"/>
    <w:rsid w:val="00D24687"/>
    <w:rsid w:val="00D24C7B"/>
    <w:rsid w:val="00D25B44"/>
    <w:rsid w:val="00D26D7C"/>
    <w:rsid w:val="00D27FCA"/>
    <w:rsid w:val="00D307C3"/>
    <w:rsid w:val="00D3312B"/>
    <w:rsid w:val="00D349DE"/>
    <w:rsid w:val="00D43A29"/>
    <w:rsid w:val="00D442B9"/>
    <w:rsid w:val="00D46925"/>
    <w:rsid w:val="00D474AA"/>
    <w:rsid w:val="00D513AD"/>
    <w:rsid w:val="00D5269D"/>
    <w:rsid w:val="00D5281B"/>
    <w:rsid w:val="00D53269"/>
    <w:rsid w:val="00D54B26"/>
    <w:rsid w:val="00D557ED"/>
    <w:rsid w:val="00D56647"/>
    <w:rsid w:val="00D6225F"/>
    <w:rsid w:val="00D6537D"/>
    <w:rsid w:val="00D66FA7"/>
    <w:rsid w:val="00D73323"/>
    <w:rsid w:val="00D73A43"/>
    <w:rsid w:val="00D74F64"/>
    <w:rsid w:val="00D7557E"/>
    <w:rsid w:val="00D75B7C"/>
    <w:rsid w:val="00D802EB"/>
    <w:rsid w:val="00D822DF"/>
    <w:rsid w:val="00D83268"/>
    <w:rsid w:val="00D84AAA"/>
    <w:rsid w:val="00D85272"/>
    <w:rsid w:val="00D86C2F"/>
    <w:rsid w:val="00D92449"/>
    <w:rsid w:val="00D94FBA"/>
    <w:rsid w:val="00DA00F5"/>
    <w:rsid w:val="00DA5A6A"/>
    <w:rsid w:val="00DA73DE"/>
    <w:rsid w:val="00DB14D0"/>
    <w:rsid w:val="00DB3AEF"/>
    <w:rsid w:val="00DB574E"/>
    <w:rsid w:val="00DB696B"/>
    <w:rsid w:val="00DB7273"/>
    <w:rsid w:val="00DC1AB1"/>
    <w:rsid w:val="00DC3D34"/>
    <w:rsid w:val="00DC466B"/>
    <w:rsid w:val="00DC497F"/>
    <w:rsid w:val="00DC4F72"/>
    <w:rsid w:val="00DC5888"/>
    <w:rsid w:val="00DD0494"/>
    <w:rsid w:val="00DD3960"/>
    <w:rsid w:val="00DD662F"/>
    <w:rsid w:val="00DD6FAA"/>
    <w:rsid w:val="00DE0E5E"/>
    <w:rsid w:val="00DE1F37"/>
    <w:rsid w:val="00DE2319"/>
    <w:rsid w:val="00DE72EA"/>
    <w:rsid w:val="00DF3CE6"/>
    <w:rsid w:val="00DF7334"/>
    <w:rsid w:val="00E01172"/>
    <w:rsid w:val="00E042DE"/>
    <w:rsid w:val="00E10CA1"/>
    <w:rsid w:val="00E133EB"/>
    <w:rsid w:val="00E15E7D"/>
    <w:rsid w:val="00E17A47"/>
    <w:rsid w:val="00E20503"/>
    <w:rsid w:val="00E20558"/>
    <w:rsid w:val="00E224B5"/>
    <w:rsid w:val="00E23B70"/>
    <w:rsid w:val="00E267CA"/>
    <w:rsid w:val="00E273CE"/>
    <w:rsid w:val="00E312E8"/>
    <w:rsid w:val="00E324BC"/>
    <w:rsid w:val="00E45668"/>
    <w:rsid w:val="00E4780F"/>
    <w:rsid w:val="00E53753"/>
    <w:rsid w:val="00E54B30"/>
    <w:rsid w:val="00E54E14"/>
    <w:rsid w:val="00E6079B"/>
    <w:rsid w:val="00E60962"/>
    <w:rsid w:val="00E615F8"/>
    <w:rsid w:val="00E63CF3"/>
    <w:rsid w:val="00E7209C"/>
    <w:rsid w:val="00E73C6C"/>
    <w:rsid w:val="00E74EA2"/>
    <w:rsid w:val="00E77B69"/>
    <w:rsid w:val="00E80B03"/>
    <w:rsid w:val="00E81508"/>
    <w:rsid w:val="00E83BB1"/>
    <w:rsid w:val="00E869D3"/>
    <w:rsid w:val="00E873D3"/>
    <w:rsid w:val="00E9067B"/>
    <w:rsid w:val="00E9399E"/>
    <w:rsid w:val="00E939BE"/>
    <w:rsid w:val="00E96F21"/>
    <w:rsid w:val="00EA13CD"/>
    <w:rsid w:val="00EA2E52"/>
    <w:rsid w:val="00EC0CEB"/>
    <w:rsid w:val="00EC106B"/>
    <w:rsid w:val="00EC6278"/>
    <w:rsid w:val="00ED0B20"/>
    <w:rsid w:val="00ED0C69"/>
    <w:rsid w:val="00ED1A4F"/>
    <w:rsid w:val="00ED3017"/>
    <w:rsid w:val="00ED3548"/>
    <w:rsid w:val="00ED3AB0"/>
    <w:rsid w:val="00ED424A"/>
    <w:rsid w:val="00ED446D"/>
    <w:rsid w:val="00ED56C7"/>
    <w:rsid w:val="00ED5C0A"/>
    <w:rsid w:val="00ED6AA4"/>
    <w:rsid w:val="00ED7356"/>
    <w:rsid w:val="00EE3ECF"/>
    <w:rsid w:val="00EE60D1"/>
    <w:rsid w:val="00EF3714"/>
    <w:rsid w:val="00EF4A99"/>
    <w:rsid w:val="00EF5539"/>
    <w:rsid w:val="00EF61BE"/>
    <w:rsid w:val="00F0034E"/>
    <w:rsid w:val="00F065ED"/>
    <w:rsid w:val="00F077D1"/>
    <w:rsid w:val="00F07B60"/>
    <w:rsid w:val="00F11157"/>
    <w:rsid w:val="00F14970"/>
    <w:rsid w:val="00F14CAE"/>
    <w:rsid w:val="00F14F6A"/>
    <w:rsid w:val="00F15246"/>
    <w:rsid w:val="00F152AD"/>
    <w:rsid w:val="00F1544B"/>
    <w:rsid w:val="00F1593B"/>
    <w:rsid w:val="00F25183"/>
    <w:rsid w:val="00F34493"/>
    <w:rsid w:val="00F34A58"/>
    <w:rsid w:val="00F34AC9"/>
    <w:rsid w:val="00F34BD4"/>
    <w:rsid w:val="00F3544D"/>
    <w:rsid w:val="00F35A53"/>
    <w:rsid w:val="00F3711B"/>
    <w:rsid w:val="00F40D7B"/>
    <w:rsid w:val="00F47799"/>
    <w:rsid w:val="00F53663"/>
    <w:rsid w:val="00F5568A"/>
    <w:rsid w:val="00F57B63"/>
    <w:rsid w:val="00F6387B"/>
    <w:rsid w:val="00F63EAE"/>
    <w:rsid w:val="00F649D5"/>
    <w:rsid w:val="00F707C8"/>
    <w:rsid w:val="00F714FC"/>
    <w:rsid w:val="00F721EE"/>
    <w:rsid w:val="00F73DDE"/>
    <w:rsid w:val="00F758DC"/>
    <w:rsid w:val="00F775EA"/>
    <w:rsid w:val="00F77C02"/>
    <w:rsid w:val="00F92708"/>
    <w:rsid w:val="00FA05D7"/>
    <w:rsid w:val="00FA2C84"/>
    <w:rsid w:val="00FA794D"/>
    <w:rsid w:val="00FB1B20"/>
    <w:rsid w:val="00FB2CEB"/>
    <w:rsid w:val="00FB43ED"/>
    <w:rsid w:val="00FB5D17"/>
    <w:rsid w:val="00FC190C"/>
    <w:rsid w:val="00FC4631"/>
    <w:rsid w:val="00FD1148"/>
    <w:rsid w:val="00FD411D"/>
    <w:rsid w:val="00FD5859"/>
    <w:rsid w:val="00FE0740"/>
    <w:rsid w:val="00FE2183"/>
    <w:rsid w:val="00FE4752"/>
    <w:rsid w:val="00FE4AD2"/>
    <w:rsid w:val="00FE5B55"/>
    <w:rsid w:val="00FF1774"/>
    <w:rsid w:val="00FF1F7B"/>
    <w:rsid w:val="00FF3BC7"/>
    <w:rsid w:val="00FF40DB"/>
    <w:rsid w:val="00FF572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D6E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319C"/>
    <w:pPr>
      <w:jc w:val="both"/>
    </w:pPr>
    <w:rPr>
      <w:rFonts w:ascii="Lato" w:hAnsi="Lato"/>
      <w:sz w:val="20"/>
    </w:rPr>
  </w:style>
  <w:style w:type="paragraph" w:styleId="Nagwek1">
    <w:name w:val="heading 1"/>
    <w:basedOn w:val="Normalny"/>
    <w:next w:val="Normalny"/>
    <w:link w:val="Nagwek1Znak"/>
    <w:uiPriority w:val="9"/>
    <w:qFormat/>
    <w:rsid w:val="00E10CA1"/>
    <w:pPr>
      <w:keepNext/>
      <w:keepLines/>
      <w:numPr>
        <w:numId w:val="1"/>
      </w:numPr>
      <w:spacing w:before="240" w:after="360" w:line="240" w:lineRule="auto"/>
      <w:jc w:val="left"/>
      <w:outlineLvl w:val="0"/>
    </w:pPr>
    <w:rPr>
      <w:rFonts w:ascii="Bahnschrift" w:eastAsiaTheme="majorEastAsia" w:hAnsi="Bahnschrift" w:cstheme="majorBidi"/>
      <w:b/>
      <w:sz w:val="48"/>
      <w:szCs w:val="32"/>
    </w:rPr>
  </w:style>
  <w:style w:type="paragraph" w:styleId="Nagwek2">
    <w:name w:val="heading 2"/>
    <w:basedOn w:val="Normalny"/>
    <w:next w:val="Normalny"/>
    <w:link w:val="Nagwek2Znak"/>
    <w:uiPriority w:val="9"/>
    <w:unhideWhenUsed/>
    <w:qFormat/>
    <w:rsid w:val="00FF5725"/>
    <w:pPr>
      <w:keepNext/>
      <w:keepLines/>
      <w:numPr>
        <w:ilvl w:val="1"/>
        <w:numId w:val="1"/>
      </w:numPr>
      <w:spacing w:before="240" w:after="360"/>
      <w:jc w:val="left"/>
      <w:outlineLvl w:val="1"/>
    </w:pPr>
    <w:rPr>
      <w:rFonts w:ascii="Bahnschrift" w:eastAsiaTheme="majorEastAsia" w:hAnsi="Bahnschrift" w:cstheme="majorBidi"/>
      <w:b/>
      <w:sz w:val="44"/>
      <w:szCs w:val="26"/>
    </w:rPr>
  </w:style>
  <w:style w:type="paragraph" w:styleId="Nagwek3">
    <w:name w:val="heading 3"/>
    <w:basedOn w:val="Normalny"/>
    <w:next w:val="Normalny"/>
    <w:link w:val="Nagwek3Znak"/>
    <w:uiPriority w:val="9"/>
    <w:unhideWhenUsed/>
    <w:qFormat/>
    <w:rsid w:val="008F7850"/>
    <w:pPr>
      <w:keepNext/>
      <w:keepLines/>
      <w:numPr>
        <w:ilvl w:val="2"/>
        <w:numId w:val="1"/>
      </w:numPr>
      <w:spacing w:before="600" w:after="240"/>
      <w:jc w:val="left"/>
      <w:outlineLvl w:val="2"/>
    </w:pPr>
    <w:rPr>
      <w:rFonts w:ascii="Bahnschrift" w:eastAsiaTheme="majorEastAsia" w:hAnsi="Bahnschrift" w:cstheme="majorBidi"/>
      <w:b/>
      <w:sz w:val="40"/>
      <w:szCs w:val="24"/>
    </w:rPr>
  </w:style>
  <w:style w:type="paragraph" w:styleId="Nagwek4">
    <w:name w:val="heading 4"/>
    <w:basedOn w:val="Normalny"/>
    <w:next w:val="Normalny"/>
    <w:link w:val="Nagwek4Znak"/>
    <w:uiPriority w:val="9"/>
    <w:unhideWhenUsed/>
    <w:qFormat/>
    <w:rsid w:val="007F19ED"/>
    <w:pPr>
      <w:keepNext/>
      <w:keepLines/>
      <w:numPr>
        <w:ilvl w:val="3"/>
        <w:numId w:val="1"/>
      </w:numPr>
      <w:spacing w:before="600" w:after="240"/>
      <w:jc w:val="left"/>
      <w:outlineLvl w:val="3"/>
    </w:pPr>
    <w:rPr>
      <w:rFonts w:ascii="Bahnschrift" w:eastAsiaTheme="majorEastAsia" w:hAnsi="Bahnschrift" w:cstheme="majorBidi"/>
      <w:b/>
      <w:iCs/>
      <w:sz w:val="32"/>
    </w:rPr>
  </w:style>
  <w:style w:type="paragraph" w:styleId="Nagwek5">
    <w:name w:val="heading 5"/>
    <w:basedOn w:val="Normalny"/>
    <w:next w:val="Normalny"/>
    <w:link w:val="Nagwek5Znak"/>
    <w:uiPriority w:val="9"/>
    <w:semiHidden/>
    <w:unhideWhenUsed/>
    <w:qFormat/>
    <w:rsid w:val="00D05B5D"/>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D05B5D"/>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D05B5D"/>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D05B5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D05B5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10CA1"/>
    <w:rPr>
      <w:rFonts w:ascii="Bahnschrift" w:eastAsiaTheme="majorEastAsia" w:hAnsi="Bahnschrift" w:cstheme="majorBidi"/>
      <w:b/>
      <w:sz w:val="48"/>
      <w:szCs w:val="32"/>
    </w:rPr>
  </w:style>
  <w:style w:type="character" w:customStyle="1" w:styleId="Nagwek2Znak">
    <w:name w:val="Nagłówek 2 Znak"/>
    <w:basedOn w:val="Domylnaczcionkaakapitu"/>
    <w:link w:val="Nagwek2"/>
    <w:uiPriority w:val="9"/>
    <w:rsid w:val="00FF5725"/>
    <w:rPr>
      <w:rFonts w:ascii="Bahnschrift" w:eastAsiaTheme="majorEastAsia" w:hAnsi="Bahnschrift" w:cstheme="majorBidi"/>
      <w:b/>
      <w:sz w:val="44"/>
      <w:szCs w:val="26"/>
    </w:rPr>
  </w:style>
  <w:style w:type="character" w:customStyle="1" w:styleId="Nagwek3Znak">
    <w:name w:val="Nagłówek 3 Znak"/>
    <w:basedOn w:val="Domylnaczcionkaakapitu"/>
    <w:link w:val="Nagwek3"/>
    <w:uiPriority w:val="9"/>
    <w:rsid w:val="008F7850"/>
    <w:rPr>
      <w:rFonts w:ascii="Bahnschrift" w:eastAsiaTheme="majorEastAsia" w:hAnsi="Bahnschrift" w:cstheme="majorBidi"/>
      <w:b/>
      <w:sz w:val="40"/>
      <w:szCs w:val="24"/>
    </w:rPr>
  </w:style>
  <w:style w:type="character" w:customStyle="1" w:styleId="Nagwek4Znak">
    <w:name w:val="Nagłówek 4 Znak"/>
    <w:basedOn w:val="Domylnaczcionkaakapitu"/>
    <w:link w:val="Nagwek4"/>
    <w:uiPriority w:val="9"/>
    <w:rsid w:val="007F19ED"/>
    <w:rPr>
      <w:rFonts w:ascii="Bahnschrift" w:eastAsiaTheme="majorEastAsia" w:hAnsi="Bahnschrift" w:cstheme="majorBidi"/>
      <w:b/>
      <w:iCs/>
      <w:sz w:val="32"/>
    </w:rPr>
  </w:style>
  <w:style w:type="table" w:styleId="Tabela-Siatka">
    <w:name w:val="Table Grid"/>
    <w:basedOn w:val="Standardowy"/>
    <w:uiPriority w:val="39"/>
    <w:rsid w:val="00691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CB2432"/>
    <w:pPr>
      <w:tabs>
        <w:tab w:val="left" w:pos="440"/>
        <w:tab w:val="right" w:leader="dot" w:pos="9062"/>
      </w:tabs>
      <w:spacing w:after="100"/>
    </w:pPr>
    <w:rPr>
      <w:rFonts w:ascii="Bahnschrift" w:hAnsi="Bahnschrift"/>
      <w:sz w:val="22"/>
    </w:rPr>
  </w:style>
  <w:style w:type="character" w:styleId="Odwoaniedokomentarza">
    <w:name w:val="annotation reference"/>
    <w:basedOn w:val="Domylnaczcionkaakapitu"/>
    <w:uiPriority w:val="99"/>
    <w:semiHidden/>
    <w:unhideWhenUsed/>
    <w:rsid w:val="0060410E"/>
    <w:rPr>
      <w:sz w:val="16"/>
      <w:szCs w:val="16"/>
    </w:rPr>
  </w:style>
  <w:style w:type="paragraph" w:styleId="Tekstkomentarza">
    <w:name w:val="annotation text"/>
    <w:basedOn w:val="Normalny"/>
    <w:link w:val="TekstkomentarzaZnak"/>
    <w:uiPriority w:val="99"/>
    <w:unhideWhenUsed/>
    <w:rsid w:val="0060410E"/>
    <w:pPr>
      <w:spacing w:line="240" w:lineRule="auto"/>
    </w:pPr>
    <w:rPr>
      <w:szCs w:val="20"/>
    </w:rPr>
  </w:style>
  <w:style w:type="character" w:customStyle="1" w:styleId="TekstkomentarzaZnak">
    <w:name w:val="Tekst komentarza Znak"/>
    <w:basedOn w:val="Domylnaczcionkaakapitu"/>
    <w:link w:val="Tekstkomentarza"/>
    <w:uiPriority w:val="99"/>
    <w:rsid w:val="0060410E"/>
    <w:rPr>
      <w:rFonts w:ascii="Lato" w:hAnsi="Lato"/>
      <w:sz w:val="20"/>
      <w:szCs w:val="20"/>
    </w:rPr>
  </w:style>
  <w:style w:type="paragraph" w:styleId="Tematkomentarza">
    <w:name w:val="annotation subject"/>
    <w:basedOn w:val="Tekstkomentarza"/>
    <w:next w:val="Tekstkomentarza"/>
    <w:link w:val="TematkomentarzaZnak"/>
    <w:uiPriority w:val="99"/>
    <w:semiHidden/>
    <w:unhideWhenUsed/>
    <w:rsid w:val="0060410E"/>
    <w:rPr>
      <w:b/>
      <w:bCs/>
    </w:rPr>
  </w:style>
  <w:style w:type="character" w:customStyle="1" w:styleId="TematkomentarzaZnak">
    <w:name w:val="Temat komentarza Znak"/>
    <w:basedOn w:val="TekstkomentarzaZnak"/>
    <w:link w:val="Tematkomentarza"/>
    <w:uiPriority w:val="99"/>
    <w:semiHidden/>
    <w:rsid w:val="0060410E"/>
    <w:rPr>
      <w:rFonts w:ascii="Lato" w:hAnsi="Lato"/>
      <w:b/>
      <w:bCs/>
      <w:sz w:val="20"/>
      <w:szCs w:val="20"/>
    </w:rPr>
  </w:style>
  <w:style w:type="character" w:styleId="Uwydatnienie">
    <w:name w:val="Emphasis"/>
    <w:basedOn w:val="Domylnaczcionkaakapitu"/>
    <w:uiPriority w:val="20"/>
    <w:qFormat/>
    <w:rsid w:val="008F3871"/>
    <w:rPr>
      <w:i/>
      <w:iCs/>
    </w:rPr>
  </w:style>
  <w:style w:type="paragraph" w:customStyle="1" w:styleId="20181999">
    <w:name w:val="2018/1999"/>
    <w:basedOn w:val="Normalny"/>
    <w:link w:val="20181999Znak"/>
    <w:qFormat/>
    <w:rsid w:val="002B5CFB"/>
    <w:pPr>
      <w:shd w:val="clear" w:color="auto" w:fill="BDD6EE" w:themeFill="accent5" w:themeFillTint="66"/>
    </w:pPr>
    <w:rPr>
      <w:color w:val="595959" w:themeColor="text1" w:themeTint="A6"/>
    </w:rPr>
  </w:style>
  <w:style w:type="character" w:customStyle="1" w:styleId="20181999Znak">
    <w:name w:val="2018/1999 Znak"/>
    <w:basedOn w:val="Domylnaczcionkaakapitu"/>
    <w:link w:val="20181999"/>
    <w:rsid w:val="002B5CFB"/>
    <w:rPr>
      <w:rFonts w:ascii="Lato" w:hAnsi="Lato"/>
      <w:color w:val="595959" w:themeColor="text1" w:themeTint="A6"/>
      <w:shd w:val="clear" w:color="auto" w:fill="BDD6EE" w:themeFill="accent5" w:themeFillTint="66"/>
    </w:rPr>
  </w:style>
  <w:style w:type="paragraph" w:styleId="Nagwekspisutreci">
    <w:name w:val="TOC Heading"/>
    <w:basedOn w:val="Nagwek1"/>
    <w:next w:val="Normalny"/>
    <w:uiPriority w:val="39"/>
    <w:unhideWhenUsed/>
    <w:qFormat/>
    <w:rsid w:val="00BA46AC"/>
    <w:pPr>
      <w:spacing w:after="0"/>
      <w:outlineLvl w:val="9"/>
    </w:pPr>
    <w:rPr>
      <w:rFonts w:asciiTheme="majorHAnsi" w:hAnsiTheme="majorHAnsi"/>
      <w:b w:val="0"/>
      <w:kern w:val="0"/>
      <w:sz w:val="32"/>
      <w:lang w:eastAsia="pl-PL"/>
      <w14:ligatures w14:val="none"/>
    </w:rPr>
  </w:style>
  <w:style w:type="paragraph" w:styleId="Spistreci3">
    <w:name w:val="toc 3"/>
    <w:basedOn w:val="Normalny"/>
    <w:next w:val="Normalny"/>
    <w:autoRedefine/>
    <w:uiPriority w:val="39"/>
    <w:unhideWhenUsed/>
    <w:rsid w:val="00955EE6"/>
    <w:pPr>
      <w:tabs>
        <w:tab w:val="left" w:pos="1560"/>
        <w:tab w:val="right" w:leader="dot" w:pos="9062"/>
      </w:tabs>
      <w:spacing w:after="100"/>
      <w:ind w:left="440"/>
    </w:pPr>
    <w:rPr>
      <w:rFonts w:ascii="Bahnschrift" w:hAnsi="Bahnschrift"/>
    </w:rPr>
  </w:style>
  <w:style w:type="paragraph" w:styleId="Spistreci2">
    <w:name w:val="toc 2"/>
    <w:basedOn w:val="Normalny"/>
    <w:next w:val="Normalny"/>
    <w:autoRedefine/>
    <w:uiPriority w:val="39"/>
    <w:unhideWhenUsed/>
    <w:rsid w:val="00CB2432"/>
    <w:pPr>
      <w:spacing w:after="100"/>
      <w:ind w:left="220"/>
    </w:pPr>
    <w:rPr>
      <w:rFonts w:ascii="Bahnschrift" w:hAnsi="Bahnschrift"/>
    </w:rPr>
  </w:style>
  <w:style w:type="character" w:styleId="Hipercze">
    <w:name w:val="Hyperlink"/>
    <w:basedOn w:val="Domylnaczcionkaakapitu"/>
    <w:uiPriority w:val="99"/>
    <w:unhideWhenUsed/>
    <w:rsid w:val="00BA46AC"/>
    <w:rPr>
      <w:color w:val="0563C1" w:themeColor="hyperlink"/>
      <w:u w:val="single"/>
    </w:rPr>
  </w:style>
  <w:style w:type="paragraph" w:styleId="Akapitzlist">
    <w:name w:val="List Paragraph"/>
    <w:aliases w:val="Dot pt,F5 List Paragraph,List Paragraph1,Recommendation,List Paragraph11,List Paragraph,Kolorowa lista — akcent 11,Akapit z listą1,Numerowanie,1 Akapit z listą,목록 단락,Akapit z listą11,Numbered Para 1,No Spacing1,List Paragraph Char Char Ch"/>
    <w:basedOn w:val="Normalny"/>
    <w:link w:val="AkapitzlistZnak"/>
    <w:uiPriority w:val="34"/>
    <w:qFormat/>
    <w:rsid w:val="00476378"/>
    <w:pPr>
      <w:ind w:left="720"/>
      <w:contextualSpacing/>
    </w:pPr>
  </w:style>
  <w:style w:type="paragraph" w:customStyle="1" w:styleId="tekstroboczy">
    <w:name w:val="tekst roboczy"/>
    <w:basedOn w:val="Normalny"/>
    <w:link w:val="tekstroboczyZnak"/>
    <w:qFormat/>
    <w:rsid w:val="005F4621"/>
    <w:pPr>
      <w:shd w:val="clear" w:color="auto" w:fill="FFF2CC" w:themeFill="accent4" w:themeFillTint="33"/>
    </w:pPr>
    <w:rPr>
      <w:color w:val="660033"/>
    </w:rPr>
  </w:style>
  <w:style w:type="character" w:customStyle="1" w:styleId="tekstroboczyZnak">
    <w:name w:val="tekst roboczy Znak"/>
    <w:basedOn w:val="Domylnaczcionkaakapitu"/>
    <w:link w:val="tekstroboczy"/>
    <w:rsid w:val="005F4621"/>
    <w:rPr>
      <w:rFonts w:ascii="Lato" w:hAnsi="Lato"/>
      <w:color w:val="660033"/>
      <w:shd w:val="clear" w:color="auto" w:fill="FFF2CC" w:themeFill="accent4" w:themeFillTint="33"/>
    </w:rPr>
  </w:style>
  <w:style w:type="paragraph" w:styleId="Tekstprzypisukocowego">
    <w:name w:val="endnote text"/>
    <w:basedOn w:val="Normalny"/>
    <w:link w:val="TekstprzypisukocowegoZnak"/>
    <w:uiPriority w:val="99"/>
    <w:semiHidden/>
    <w:unhideWhenUsed/>
    <w:rsid w:val="003772B3"/>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3772B3"/>
    <w:rPr>
      <w:rFonts w:ascii="Lato" w:hAnsi="Lato"/>
      <w:sz w:val="20"/>
      <w:szCs w:val="20"/>
    </w:rPr>
  </w:style>
  <w:style w:type="character" w:styleId="Odwoanieprzypisukocowego">
    <w:name w:val="endnote reference"/>
    <w:basedOn w:val="Domylnaczcionkaakapitu"/>
    <w:uiPriority w:val="99"/>
    <w:semiHidden/>
    <w:unhideWhenUsed/>
    <w:rsid w:val="003772B3"/>
    <w:rPr>
      <w:vertAlign w:val="superscript"/>
    </w:rPr>
  </w:style>
  <w:style w:type="paragraph" w:styleId="Tekstprzypisudolnego">
    <w:name w:val="footnote text"/>
    <w:aliases w:val="Footnote,IFZ f,Fußnote,-E Fußnotentext,Fußnotentext Ursprung,-E Fuﬂnotentext,Fuﬂnotentext Ursprung,Podrozdział,Przypis,Tekst przypisu"/>
    <w:basedOn w:val="Normalny"/>
    <w:link w:val="TekstprzypisudolnegoZnak"/>
    <w:uiPriority w:val="99"/>
    <w:semiHidden/>
    <w:unhideWhenUsed/>
    <w:rsid w:val="00F775EA"/>
    <w:pPr>
      <w:spacing w:after="0" w:line="240" w:lineRule="auto"/>
    </w:pPr>
    <w:rPr>
      <w:szCs w:val="20"/>
    </w:rPr>
  </w:style>
  <w:style w:type="character" w:customStyle="1" w:styleId="TekstprzypisudolnegoZnak">
    <w:name w:val="Tekst przypisu dolnego Znak"/>
    <w:aliases w:val="Footnote Znak,IFZ f Znak,Fußnote Znak,-E Fußnotentext Znak,Fußnotentext Ursprung Znak,-E Fuﬂnotentext Znak,Fuﬂnotentext Ursprung Znak,Podrozdział Znak,Przypis Znak,Tekst przypisu Znak"/>
    <w:basedOn w:val="Domylnaczcionkaakapitu"/>
    <w:link w:val="Tekstprzypisudolnego"/>
    <w:uiPriority w:val="99"/>
    <w:semiHidden/>
    <w:rsid w:val="00F775EA"/>
    <w:rPr>
      <w:rFonts w:ascii="Lato" w:hAnsi="Lato"/>
      <w:sz w:val="20"/>
      <w:szCs w:val="20"/>
    </w:rPr>
  </w:style>
  <w:style w:type="character" w:styleId="Odwoanieprzypisudolnego">
    <w:name w:val="footnote reference"/>
    <w:aliases w:val="Footnote number,-E Fußnotenzeichen,SUPERS,Footnote Reference Superscript,BVI fnr,Footnote symbol,(Footnote Reference),Footnote reference number,note TESI,EN Footnote Reference,Voetnootverwijzing,Times 10 Point,Exposant 3 Point"/>
    <w:basedOn w:val="Domylnaczcionkaakapitu"/>
    <w:uiPriority w:val="99"/>
    <w:unhideWhenUsed/>
    <w:rsid w:val="00F775EA"/>
    <w:rPr>
      <w:vertAlign w:val="superscript"/>
    </w:rPr>
  </w:style>
  <w:style w:type="paragraph" w:styleId="Tekstpodstawowy">
    <w:name w:val="Body Text"/>
    <w:basedOn w:val="Normalny"/>
    <w:link w:val="TekstpodstawowyZnak"/>
    <w:uiPriority w:val="99"/>
    <w:semiHidden/>
    <w:unhideWhenUsed/>
    <w:rsid w:val="00136584"/>
    <w:pPr>
      <w:spacing w:after="120"/>
    </w:pPr>
  </w:style>
  <w:style w:type="paragraph" w:customStyle="1" w:styleId="odesaniedoza">
    <w:name w:val="odesłanie do zał"/>
    <w:basedOn w:val="Normalny"/>
    <w:link w:val="odesaniedozaZnak"/>
    <w:qFormat/>
    <w:rsid w:val="00FE4752"/>
    <w:pPr>
      <w:spacing w:before="120"/>
    </w:pPr>
    <w:rPr>
      <w:color w:val="808080" w:themeColor="background1" w:themeShade="80"/>
    </w:rPr>
  </w:style>
  <w:style w:type="character" w:customStyle="1" w:styleId="odesaniedozaZnak">
    <w:name w:val="odesłanie do zał Znak"/>
    <w:basedOn w:val="Domylnaczcionkaakapitu"/>
    <w:link w:val="odesaniedoza"/>
    <w:rsid w:val="00FE4752"/>
    <w:rPr>
      <w:rFonts w:ascii="Lato" w:hAnsi="Lato"/>
      <w:color w:val="808080" w:themeColor="background1" w:themeShade="80"/>
      <w:sz w:val="20"/>
    </w:rPr>
  </w:style>
  <w:style w:type="paragraph" w:customStyle="1" w:styleId="Przypisy">
    <w:name w:val="Przypisy"/>
    <w:basedOn w:val="Bezodstpw"/>
    <w:link w:val="PrzypisyZnak"/>
    <w:autoRedefine/>
    <w:qFormat/>
    <w:rsid w:val="00783334"/>
    <w:pPr>
      <w:spacing w:after="20"/>
    </w:pPr>
    <w:rPr>
      <w:rFonts w:ascii="Lato" w:eastAsia="Calibri" w:hAnsi="Lato" w:cs="Times New Roman"/>
      <w:sz w:val="18"/>
      <w:szCs w:val="18"/>
    </w:rPr>
  </w:style>
  <w:style w:type="character" w:customStyle="1" w:styleId="PrzypisyZnak">
    <w:name w:val="Przypisy Znak"/>
    <w:basedOn w:val="Domylnaczcionkaakapitu"/>
    <w:link w:val="Przypisy"/>
    <w:rsid w:val="00783334"/>
    <w:rPr>
      <w:rFonts w:ascii="Lato" w:eastAsia="Calibri" w:hAnsi="Lato" w:cs="Times New Roman"/>
      <w:kern w:val="0"/>
      <w:sz w:val="18"/>
      <w:szCs w:val="18"/>
      <w14:ligatures w14:val="none"/>
    </w:rPr>
  </w:style>
  <w:style w:type="paragraph" w:styleId="Bezodstpw">
    <w:name w:val="No Spacing"/>
    <w:link w:val="BezodstpwZnak"/>
    <w:autoRedefine/>
    <w:uiPriority w:val="1"/>
    <w:qFormat/>
    <w:rsid w:val="001E75C1"/>
    <w:pPr>
      <w:spacing w:after="0"/>
      <w:ind w:left="43" w:firstLine="79"/>
      <w:jc w:val="both"/>
    </w:pPr>
    <w:rPr>
      <w:rFonts w:cs="Calibri"/>
      <w:kern w:val="0"/>
      <w14:ligatures w14:val="none"/>
    </w:rPr>
  </w:style>
  <w:style w:type="character" w:customStyle="1" w:styleId="BezodstpwZnak">
    <w:name w:val="Bez odstępów Znak"/>
    <w:basedOn w:val="Domylnaczcionkaakapitu"/>
    <w:link w:val="Bezodstpw"/>
    <w:uiPriority w:val="1"/>
    <w:rsid w:val="001E75C1"/>
    <w:rPr>
      <w:rFonts w:cs="Calibri"/>
      <w:kern w:val="0"/>
      <w14:ligatures w14:val="none"/>
    </w:rPr>
  </w:style>
  <w:style w:type="paragraph" w:styleId="Nagwek">
    <w:name w:val="header"/>
    <w:basedOn w:val="Normalny"/>
    <w:link w:val="NagwekZnak"/>
    <w:uiPriority w:val="99"/>
    <w:unhideWhenUsed/>
    <w:rsid w:val="00D924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2449"/>
    <w:rPr>
      <w:rFonts w:ascii="Lato" w:hAnsi="Lato"/>
    </w:rPr>
  </w:style>
  <w:style w:type="paragraph" w:styleId="Stopka">
    <w:name w:val="footer"/>
    <w:basedOn w:val="Normalny"/>
    <w:link w:val="StopkaZnak"/>
    <w:uiPriority w:val="99"/>
    <w:unhideWhenUsed/>
    <w:rsid w:val="00D924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2449"/>
    <w:rPr>
      <w:rFonts w:ascii="Lato" w:hAnsi="Lato"/>
    </w:rPr>
  </w:style>
  <w:style w:type="character" w:customStyle="1" w:styleId="Nagwek5Znak">
    <w:name w:val="Nagłówek 5 Znak"/>
    <w:basedOn w:val="Domylnaczcionkaakapitu"/>
    <w:link w:val="Nagwek5"/>
    <w:uiPriority w:val="9"/>
    <w:semiHidden/>
    <w:rsid w:val="00D05B5D"/>
    <w:rPr>
      <w:rFonts w:asciiTheme="majorHAnsi" w:eastAsiaTheme="majorEastAsia" w:hAnsiTheme="majorHAnsi" w:cstheme="majorBidi"/>
      <w:color w:val="2F5496" w:themeColor="accent1" w:themeShade="BF"/>
      <w:sz w:val="20"/>
    </w:rPr>
  </w:style>
  <w:style w:type="character" w:customStyle="1" w:styleId="Nagwek6Znak">
    <w:name w:val="Nagłówek 6 Znak"/>
    <w:basedOn w:val="Domylnaczcionkaakapitu"/>
    <w:link w:val="Nagwek6"/>
    <w:uiPriority w:val="9"/>
    <w:semiHidden/>
    <w:rsid w:val="00D05B5D"/>
    <w:rPr>
      <w:rFonts w:asciiTheme="majorHAnsi" w:eastAsiaTheme="majorEastAsia" w:hAnsiTheme="majorHAnsi" w:cstheme="majorBidi"/>
      <w:color w:val="1F3763" w:themeColor="accent1" w:themeShade="7F"/>
      <w:sz w:val="20"/>
    </w:rPr>
  </w:style>
  <w:style w:type="character" w:customStyle="1" w:styleId="Nagwek7Znak">
    <w:name w:val="Nagłówek 7 Znak"/>
    <w:basedOn w:val="Domylnaczcionkaakapitu"/>
    <w:link w:val="Nagwek7"/>
    <w:uiPriority w:val="9"/>
    <w:semiHidden/>
    <w:rsid w:val="00D05B5D"/>
    <w:rPr>
      <w:rFonts w:asciiTheme="majorHAnsi" w:eastAsiaTheme="majorEastAsia" w:hAnsiTheme="majorHAnsi" w:cstheme="majorBidi"/>
      <w:i/>
      <w:iCs/>
      <w:color w:val="1F3763" w:themeColor="accent1" w:themeShade="7F"/>
      <w:sz w:val="20"/>
    </w:rPr>
  </w:style>
  <w:style w:type="character" w:customStyle="1" w:styleId="Nagwek8Znak">
    <w:name w:val="Nagłówek 8 Znak"/>
    <w:basedOn w:val="Domylnaczcionkaakapitu"/>
    <w:link w:val="Nagwek8"/>
    <w:uiPriority w:val="9"/>
    <w:semiHidden/>
    <w:rsid w:val="00D05B5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D05B5D"/>
    <w:rPr>
      <w:rFonts w:asciiTheme="majorHAnsi" w:eastAsiaTheme="majorEastAsia" w:hAnsiTheme="majorHAnsi" w:cstheme="majorBidi"/>
      <w:i/>
      <w:iCs/>
      <w:color w:val="272727" w:themeColor="text1" w:themeTint="D8"/>
      <w:sz w:val="21"/>
      <w:szCs w:val="21"/>
    </w:rPr>
  </w:style>
  <w:style w:type="paragraph" w:customStyle="1" w:styleId="Cele">
    <w:name w:val="Cele"/>
    <w:basedOn w:val="Normalny"/>
    <w:link w:val="CeleZnak"/>
    <w:qFormat/>
    <w:rsid w:val="003C194F"/>
    <w:pPr>
      <w:pBdr>
        <w:top w:val="single" w:sz="24" w:space="2" w:color="F2F2F2" w:themeColor="background1" w:themeShade="F2"/>
        <w:left w:val="single" w:sz="24" w:space="4" w:color="F2F2F2" w:themeColor="background1" w:themeShade="F2"/>
        <w:bottom w:val="single" w:sz="24" w:space="2" w:color="F2F2F2" w:themeColor="background1" w:themeShade="F2"/>
        <w:right w:val="single" w:sz="24" w:space="4" w:color="F2F2F2" w:themeColor="background1" w:themeShade="F2"/>
      </w:pBdr>
      <w:shd w:val="clear" w:color="auto" w:fill="F2F2F2" w:themeFill="background1" w:themeFillShade="F2"/>
      <w:spacing w:before="160" w:after="360"/>
    </w:pPr>
    <w:rPr>
      <w:rFonts w:cs="Calibri"/>
    </w:rPr>
  </w:style>
  <w:style w:type="character" w:customStyle="1" w:styleId="CeleZnak">
    <w:name w:val="Cele Znak"/>
    <w:basedOn w:val="Domylnaczcionkaakapitu"/>
    <w:link w:val="Cele"/>
    <w:rsid w:val="003C194F"/>
    <w:rPr>
      <w:rFonts w:ascii="Lato" w:hAnsi="Lato" w:cs="Calibri"/>
      <w:shd w:val="clear" w:color="auto" w:fill="F2F2F2" w:themeFill="background1" w:themeFillShade="F2"/>
    </w:rPr>
  </w:style>
  <w:style w:type="paragraph" w:styleId="Poprawka">
    <w:name w:val="Revision"/>
    <w:hidden/>
    <w:uiPriority w:val="99"/>
    <w:semiHidden/>
    <w:rsid w:val="00AC61D8"/>
    <w:pPr>
      <w:spacing w:after="0" w:line="240" w:lineRule="auto"/>
    </w:pPr>
    <w:rPr>
      <w:rFonts w:ascii="Lato" w:hAnsi="Lato"/>
    </w:rPr>
  </w:style>
  <w:style w:type="paragraph" w:customStyle="1" w:styleId="Polityka">
    <w:name w:val="Polityka"/>
    <w:basedOn w:val="Normalny"/>
    <w:link w:val="PolitykaZnak"/>
    <w:qFormat/>
    <w:rsid w:val="00F6387B"/>
    <w:pPr>
      <w:keepNext/>
      <w:spacing w:before="400" w:after="80"/>
    </w:pPr>
    <w:rPr>
      <w:rFonts w:ascii="Bahnschrift" w:hAnsi="Bahnschrift"/>
      <w:b/>
      <w:bCs/>
      <w:sz w:val="32"/>
      <w:szCs w:val="32"/>
    </w:rPr>
  </w:style>
  <w:style w:type="character" w:customStyle="1" w:styleId="PolitykaZnak">
    <w:name w:val="Polityka Znak"/>
    <w:basedOn w:val="Domylnaczcionkaakapitu"/>
    <w:link w:val="Polityka"/>
    <w:rsid w:val="00F6387B"/>
    <w:rPr>
      <w:rFonts w:ascii="Bahnschrift" w:hAnsi="Bahnschrift"/>
      <w:b/>
      <w:bCs/>
      <w:sz w:val="32"/>
      <w:szCs w:val="32"/>
    </w:rPr>
  </w:style>
  <w:style w:type="character" w:styleId="Nierozpoznanawzmianka">
    <w:name w:val="Unresolved Mention"/>
    <w:basedOn w:val="Domylnaczcionkaakapitu"/>
    <w:uiPriority w:val="99"/>
    <w:semiHidden/>
    <w:unhideWhenUsed/>
    <w:rsid w:val="00AB47C0"/>
    <w:rPr>
      <w:color w:val="605E5C"/>
      <w:shd w:val="clear" w:color="auto" w:fill="E1DFDD"/>
    </w:rPr>
  </w:style>
  <w:style w:type="character" w:customStyle="1" w:styleId="TekstpodstawowyZnak">
    <w:name w:val="Tekst podstawowy Znak"/>
    <w:basedOn w:val="Domylnaczcionkaakapitu"/>
    <w:link w:val="Tekstpodstawowy"/>
    <w:uiPriority w:val="99"/>
    <w:semiHidden/>
    <w:rsid w:val="00136584"/>
    <w:rPr>
      <w:rFonts w:ascii="Lato" w:hAnsi="Lato"/>
    </w:rPr>
  </w:style>
  <w:style w:type="paragraph" w:customStyle="1" w:styleId="Ramka">
    <w:name w:val="Ramka"/>
    <w:basedOn w:val="Normalny"/>
    <w:link w:val="RamkaZnak"/>
    <w:qFormat/>
    <w:rsid w:val="00B64F0D"/>
    <w:pPr>
      <w:spacing w:after="120"/>
      <w:jc w:val="center"/>
    </w:pPr>
    <w:rPr>
      <w:color w:val="595959" w:themeColor="text1" w:themeTint="A6"/>
      <w:sz w:val="18"/>
      <w:szCs w:val="18"/>
    </w:rPr>
  </w:style>
  <w:style w:type="character" w:customStyle="1" w:styleId="RamkaZnak">
    <w:name w:val="Ramka Znak"/>
    <w:basedOn w:val="Domylnaczcionkaakapitu"/>
    <w:link w:val="Ramka"/>
    <w:rsid w:val="00B64F0D"/>
    <w:rPr>
      <w:rFonts w:ascii="Lato" w:hAnsi="Lato"/>
      <w:color w:val="595959" w:themeColor="text1" w:themeTint="A6"/>
      <w:sz w:val="18"/>
      <w:szCs w:val="18"/>
    </w:rPr>
  </w:style>
  <w:style w:type="paragraph" w:customStyle="1" w:styleId="pf0">
    <w:name w:val="pf0"/>
    <w:basedOn w:val="Normalny"/>
    <w:rsid w:val="00E45668"/>
    <w:pPr>
      <w:spacing w:before="100" w:beforeAutospacing="1" w:after="100" w:afterAutospacing="1" w:line="240" w:lineRule="auto"/>
      <w:jc w:val="left"/>
    </w:pPr>
    <w:rPr>
      <w:rFonts w:ascii="Times New Roman" w:eastAsia="Times New Roman" w:hAnsi="Times New Roman" w:cs="Times New Roman"/>
      <w:kern w:val="0"/>
      <w:sz w:val="24"/>
      <w:szCs w:val="24"/>
      <w:lang w:eastAsia="pl-PL"/>
      <w14:ligatures w14:val="none"/>
    </w:rPr>
  </w:style>
  <w:style w:type="character" w:customStyle="1" w:styleId="oj-sub">
    <w:name w:val="oj-sub"/>
    <w:basedOn w:val="Domylnaczcionkaakapitu"/>
    <w:rsid w:val="000E5C6F"/>
  </w:style>
  <w:style w:type="paragraph" w:styleId="Legenda">
    <w:name w:val="caption"/>
    <w:basedOn w:val="Normalny"/>
    <w:next w:val="Normalny"/>
    <w:link w:val="LegendaZnak"/>
    <w:uiPriority w:val="35"/>
    <w:unhideWhenUsed/>
    <w:qFormat/>
    <w:rsid w:val="00677406"/>
    <w:pPr>
      <w:spacing w:after="200" w:line="240" w:lineRule="auto"/>
    </w:pPr>
    <w:rPr>
      <w:i/>
      <w:iCs/>
      <w:color w:val="44546A" w:themeColor="text2"/>
      <w:sz w:val="18"/>
      <w:szCs w:val="18"/>
    </w:rPr>
  </w:style>
  <w:style w:type="paragraph" w:styleId="Tytu">
    <w:name w:val="Title"/>
    <w:basedOn w:val="Normalny"/>
    <w:next w:val="Normalny"/>
    <w:link w:val="TytuZnak"/>
    <w:uiPriority w:val="10"/>
    <w:qFormat/>
    <w:rsid w:val="00BA64EC"/>
    <w:pPr>
      <w:spacing w:after="0" w:line="240" w:lineRule="auto"/>
      <w:contextualSpacing/>
      <w:jc w:val="left"/>
    </w:pPr>
    <w:rPr>
      <w:rFonts w:ascii="Bahnschrift" w:eastAsiaTheme="majorEastAsia" w:hAnsi="Bahnschrift" w:cstheme="majorBidi"/>
      <w:color w:val="FFFFFF" w:themeColor="background1"/>
      <w:spacing w:val="-10"/>
      <w:kern w:val="28"/>
      <w:sz w:val="56"/>
      <w:szCs w:val="56"/>
    </w:rPr>
  </w:style>
  <w:style w:type="character" w:customStyle="1" w:styleId="TytuZnak">
    <w:name w:val="Tytuł Znak"/>
    <w:basedOn w:val="Domylnaczcionkaakapitu"/>
    <w:link w:val="Tytu"/>
    <w:uiPriority w:val="10"/>
    <w:rsid w:val="00BA64EC"/>
    <w:rPr>
      <w:rFonts w:ascii="Bahnschrift" w:eastAsiaTheme="majorEastAsia" w:hAnsi="Bahnschrift" w:cstheme="majorBidi"/>
      <w:color w:val="FFFFFF" w:themeColor="background1"/>
      <w:spacing w:val="-10"/>
      <w:kern w:val="28"/>
      <w:sz w:val="56"/>
      <w:szCs w:val="56"/>
    </w:rPr>
  </w:style>
  <w:style w:type="character" w:customStyle="1" w:styleId="AkapitzlistZnak">
    <w:name w:val="Akapit z listą Znak"/>
    <w:aliases w:val="Dot pt Znak,F5 List Paragraph Znak,List Paragraph1 Znak,Recommendation Znak,List Paragraph11 Znak,List Paragraph Znak,Kolorowa lista — akcent 11 Znak,Akapit z listą1 Znak,Numerowanie Znak,1 Akapit z listą Znak,목록 단락 Znak"/>
    <w:link w:val="Akapitzlist"/>
    <w:uiPriority w:val="34"/>
    <w:qFormat/>
    <w:locked/>
    <w:rsid w:val="005F740C"/>
    <w:rPr>
      <w:rFonts w:ascii="Lato" w:hAnsi="Lato"/>
      <w:sz w:val="20"/>
    </w:rPr>
  </w:style>
  <w:style w:type="paragraph" w:styleId="Spistreci4">
    <w:name w:val="toc 4"/>
    <w:basedOn w:val="Normalny"/>
    <w:next w:val="Normalny"/>
    <w:autoRedefine/>
    <w:uiPriority w:val="39"/>
    <w:unhideWhenUsed/>
    <w:rsid w:val="00955EE6"/>
    <w:pPr>
      <w:tabs>
        <w:tab w:val="left" w:pos="1418"/>
        <w:tab w:val="right" w:leader="dot" w:pos="9062"/>
      </w:tabs>
      <w:spacing w:after="100"/>
      <w:ind w:left="600"/>
    </w:pPr>
    <w:rPr>
      <w:rFonts w:ascii="Bahnschrift" w:hAnsi="Bahnschrift"/>
      <w:sz w:val="18"/>
    </w:rPr>
  </w:style>
  <w:style w:type="paragraph" w:styleId="Spistreci5">
    <w:name w:val="toc 5"/>
    <w:basedOn w:val="Normalny"/>
    <w:next w:val="Normalny"/>
    <w:autoRedefine/>
    <w:uiPriority w:val="39"/>
    <w:unhideWhenUsed/>
    <w:rsid w:val="00955EE6"/>
    <w:pPr>
      <w:spacing w:after="100"/>
      <w:ind w:left="880"/>
      <w:jc w:val="left"/>
    </w:pPr>
    <w:rPr>
      <w:rFonts w:asciiTheme="minorHAnsi" w:eastAsiaTheme="minorEastAsia" w:hAnsiTheme="minorHAnsi"/>
      <w:sz w:val="22"/>
      <w:lang w:eastAsia="pl-PL"/>
    </w:rPr>
  </w:style>
  <w:style w:type="paragraph" w:styleId="Spistreci6">
    <w:name w:val="toc 6"/>
    <w:basedOn w:val="Normalny"/>
    <w:next w:val="Normalny"/>
    <w:autoRedefine/>
    <w:uiPriority w:val="39"/>
    <w:unhideWhenUsed/>
    <w:rsid w:val="00955EE6"/>
    <w:pPr>
      <w:spacing w:after="100"/>
      <w:ind w:left="1100"/>
      <w:jc w:val="left"/>
    </w:pPr>
    <w:rPr>
      <w:rFonts w:asciiTheme="minorHAnsi" w:eastAsiaTheme="minorEastAsia" w:hAnsiTheme="minorHAnsi"/>
      <w:sz w:val="22"/>
      <w:lang w:eastAsia="pl-PL"/>
    </w:rPr>
  </w:style>
  <w:style w:type="paragraph" w:styleId="Spistreci7">
    <w:name w:val="toc 7"/>
    <w:basedOn w:val="Normalny"/>
    <w:next w:val="Normalny"/>
    <w:autoRedefine/>
    <w:uiPriority w:val="39"/>
    <w:unhideWhenUsed/>
    <w:rsid w:val="00955EE6"/>
    <w:pPr>
      <w:spacing w:after="100"/>
      <w:ind w:left="1320"/>
      <w:jc w:val="left"/>
    </w:pPr>
    <w:rPr>
      <w:rFonts w:asciiTheme="minorHAnsi" w:eastAsiaTheme="minorEastAsia" w:hAnsiTheme="minorHAnsi"/>
      <w:sz w:val="22"/>
      <w:lang w:eastAsia="pl-PL"/>
    </w:rPr>
  </w:style>
  <w:style w:type="paragraph" w:styleId="Spistreci8">
    <w:name w:val="toc 8"/>
    <w:basedOn w:val="Normalny"/>
    <w:next w:val="Normalny"/>
    <w:autoRedefine/>
    <w:uiPriority w:val="39"/>
    <w:unhideWhenUsed/>
    <w:rsid w:val="00955EE6"/>
    <w:pPr>
      <w:spacing w:after="100"/>
      <w:ind w:left="1540"/>
      <w:jc w:val="left"/>
    </w:pPr>
    <w:rPr>
      <w:rFonts w:asciiTheme="minorHAnsi" w:eastAsiaTheme="minorEastAsia" w:hAnsiTheme="minorHAnsi"/>
      <w:sz w:val="22"/>
      <w:lang w:eastAsia="pl-PL"/>
    </w:rPr>
  </w:style>
  <w:style w:type="paragraph" w:styleId="Spistreci9">
    <w:name w:val="toc 9"/>
    <w:basedOn w:val="Normalny"/>
    <w:next w:val="Normalny"/>
    <w:autoRedefine/>
    <w:uiPriority w:val="39"/>
    <w:unhideWhenUsed/>
    <w:rsid w:val="00955EE6"/>
    <w:pPr>
      <w:spacing w:after="100"/>
      <w:ind w:left="1760"/>
      <w:jc w:val="left"/>
    </w:pPr>
    <w:rPr>
      <w:rFonts w:asciiTheme="minorHAnsi" w:eastAsiaTheme="minorEastAsia" w:hAnsiTheme="minorHAnsi"/>
      <w:sz w:val="22"/>
      <w:lang w:eastAsia="pl-PL"/>
    </w:rPr>
  </w:style>
  <w:style w:type="character" w:customStyle="1" w:styleId="rynqvb">
    <w:name w:val="rynqvb"/>
    <w:basedOn w:val="Domylnaczcionkaakapitu"/>
    <w:rsid w:val="00501AD3"/>
  </w:style>
  <w:style w:type="character" w:customStyle="1" w:styleId="LegendaZnak">
    <w:name w:val="Legenda Znak"/>
    <w:basedOn w:val="Domylnaczcionkaakapitu"/>
    <w:link w:val="Legenda"/>
    <w:uiPriority w:val="35"/>
    <w:locked/>
    <w:rsid w:val="00501AD3"/>
    <w:rPr>
      <w:rFonts w:ascii="Lato" w:hAnsi="Lato"/>
      <w:i/>
      <w:iCs/>
      <w:color w:val="44546A" w:themeColor="text2"/>
      <w:sz w:val="18"/>
      <w:szCs w:val="18"/>
    </w:rPr>
  </w:style>
  <w:style w:type="character" w:customStyle="1" w:styleId="hwtze">
    <w:name w:val="hwtze"/>
    <w:basedOn w:val="Domylnaczcionkaakapitu"/>
    <w:rsid w:val="00B013CD"/>
  </w:style>
  <w:style w:type="paragraph" w:styleId="NormalnyWeb">
    <w:name w:val="Normal (Web)"/>
    <w:basedOn w:val="Normalny"/>
    <w:uiPriority w:val="99"/>
    <w:rsid w:val="00F34BD4"/>
    <w:pPr>
      <w:spacing w:before="100" w:beforeAutospacing="1" w:after="100" w:afterAutospacing="1" w:line="240" w:lineRule="auto"/>
      <w:jc w:val="left"/>
    </w:pPr>
    <w:rPr>
      <w:rFonts w:ascii="Times New Roman" w:eastAsia="Times New Roman" w:hAnsi="Times New Roman" w:cs="Times New Roman"/>
      <w:kern w:val="0"/>
      <w:sz w:val="24"/>
      <w:szCs w:val="24"/>
      <w:lang w:eastAsia="pl-PL"/>
      <w14:ligatures w14:val="none"/>
    </w:rPr>
  </w:style>
  <w:style w:type="character" w:customStyle="1" w:styleId="markedcontent">
    <w:name w:val="markedcontent"/>
    <w:basedOn w:val="Domylnaczcionkaakapitu"/>
    <w:rsid w:val="00F34BD4"/>
  </w:style>
  <w:style w:type="character" w:styleId="Tekstzastpczy">
    <w:name w:val="Placeholder Text"/>
    <w:basedOn w:val="Domylnaczcionkaakapitu"/>
    <w:uiPriority w:val="99"/>
    <w:semiHidden/>
    <w:rsid w:val="00F34BD4"/>
    <w:rPr>
      <w:color w:val="808080"/>
    </w:rPr>
  </w:style>
  <w:style w:type="character" w:customStyle="1" w:styleId="highlight">
    <w:name w:val="highlight"/>
    <w:basedOn w:val="Domylnaczcionkaakapitu"/>
    <w:rsid w:val="00F34BD4"/>
  </w:style>
  <w:style w:type="paragraph" w:customStyle="1" w:styleId="0KAPEtekst">
    <w:name w:val="0_KAPE_tekst"/>
    <w:basedOn w:val="Normalny"/>
    <w:rsid w:val="00F34BD4"/>
    <w:pPr>
      <w:spacing w:before="100" w:after="120" w:line="26" w:lineRule="atLeast"/>
    </w:pPr>
    <w:rPr>
      <w:rFonts w:ascii="Times New Roman" w:eastAsia="Times New Roman" w:hAnsi="Times New Roman" w:cs="Times New Roman"/>
      <w:kern w:val="0"/>
      <w:sz w:val="24"/>
      <w:szCs w:val="24"/>
      <w:lang w:eastAsia="pl-PL"/>
      <w14:ligatures w14:val="none"/>
    </w:rPr>
  </w:style>
  <w:style w:type="paragraph" w:customStyle="1" w:styleId="Default">
    <w:name w:val="Default"/>
    <w:rsid w:val="00F34BD4"/>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pl-PL"/>
      <w14:ligatures w14:val="none"/>
    </w:rPr>
  </w:style>
  <w:style w:type="paragraph" w:customStyle="1" w:styleId="Point1letter">
    <w:name w:val="Point 1 (letter)"/>
    <w:basedOn w:val="Normalny"/>
    <w:rsid w:val="00F34BD4"/>
    <w:pPr>
      <w:spacing w:before="120" w:after="120" w:line="360" w:lineRule="auto"/>
      <w:ind w:left="1418" w:hanging="567"/>
    </w:pPr>
    <w:rPr>
      <w:rFonts w:ascii="Times New Roman" w:hAnsi="Times New Roman" w:cs="Times New Roman"/>
      <w:kern w:val="0"/>
      <w:sz w:val="24"/>
      <w:lang w:val="en-GB"/>
      <w14:ligatures w14:val="none"/>
    </w:rPr>
  </w:style>
  <w:style w:type="character" w:customStyle="1" w:styleId="cf01">
    <w:name w:val="cf01"/>
    <w:basedOn w:val="Domylnaczcionkaakapitu"/>
    <w:rsid w:val="00F34BD4"/>
    <w:rPr>
      <w:rFonts w:ascii="Segoe UI" w:hAnsi="Segoe UI" w:cs="Segoe UI" w:hint="default"/>
      <w:sz w:val="18"/>
      <w:szCs w:val="18"/>
    </w:rPr>
  </w:style>
  <w:style w:type="character" w:customStyle="1" w:styleId="cf11">
    <w:name w:val="cf11"/>
    <w:basedOn w:val="Domylnaczcionkaakapitu"/>
    <w:rsid w:val="00F34BD4"/>
    <w:rPr>
      <w:rFonts w:ascii="Segoe UI" w:hAnsi="Segoe UI" w:cs="Segoe UI" w:hint="default"/>
      <w:i/>
      <w:iCs/>
      <w:sz w:val="18"/>
      <w:szCs w:val="18"/>
    </w:rPr>
  </w:style>
  <w:style w:type="paragraph" w:customStyle="1" w:styleId="oj-doc-ti">
    <w:name w:val="oj-doc-ti"/>
    <w:basedOn w:val="Normalny"/>
    <w:rsid w:val="00F34BD4"/>
    <w:pPr>
      <w:spacing w:before="100" w:beforeAutospacing="1" w:after="100" w:afterAutospacing="1" w:line="240" w:lineRule="auto"/>
      <w:jc w:val="left"/>
    </w:pPr>
    <w:rPr>
      <w:rFonts w:ascii="Times New Roman" w:eastAsia="Times New Roman" w:hAnsi="Times New Roman" w:cs="Times New Roman"/>
      <w:kern w:val="0"/>
      <w:sz w:val="24"/>
      <w:szCs w:val="24"/>
      <w:lang w:eastAsia="pl-PL"/>
      <w14:ligatures w14:val="none"/>
    </w:rPr>
  </w:style>
  <w:style w:type="character" w:styleId="UyteHipercze">
    <w:name w:val="FollowedHyperlink"/>
    <w:basedOn w:val="Domylnaczcionkaakapitu"/>
    <w:uiPriority w:val="99"/>
    <w:semiHidden/>
    <w:unhideWhenUsed/>
    <w:rsid w:val="00F34B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0134">
      <w:bodyDiv w:val="1"/>
      <w:marLeft w:val="0"/>
      <w:marRight w:val="0"/>
      <w:marTop w:val="0"/>
      <w:marBottom w:val="0"/>
      <w:divBdr>
        <w:top w:val="none" w:sz="0" w:space="0" w:color="auto"/>
        <w:left w:val="none" w:sz="0" w:space="0" w:color="auto"/>
        <w:bottom w:val="none" w:sz="0" w:space="0" w:color="auto"/>
        <w:right w:val="none" w:sz="0" w:space="0" w:color="auto"/>
      </w:divBdr>
    </w:div>
    <w:div w:id="134884202">
      <w:bodyDiv w:val="1"/>
      <w:marLeft w:val="0"/>
      <w:marRight w:val="0"/>
      <w:marTop w:val="0"/>
      <w:marBottom w:val="0"/>
      <w:divBdr>
        <w:top w:val="none" w:sz="0" w:space="0" w:color="auto"/>
        <w:left w:val="none" w:sz="0" w:space="0" w:color="auto"/>
        <w:bottom w:val="none" w:sz="0" w:space="0" w:color="auto"/>
        <w:right w:val="none" w:sz="0" w:space="0" w:color="auto"/>
      </w:divBdr>
    </w:div>
    <w:div w:id="137260986">
      <w:bodyDiv w:val="1"/>
      <w:marLeft w:val="0"/>
      <w:marRight w:val="0"/>
      <w:marTop w:val="0"/>
      <w:marBottom w:val="0"/>
      <w:divBdr>
        <w:top w:val="none" w:sz="0" w:space="0" w:color="auto"/>
        <w:left w:val="none" w:sz="0" w:space="0" w:color="auto"/>
        <w:bottom w:val="none" w:sz="0" w:space="0" w:color="auto"/>
        <w:right w:val="none" w:sz="0" w:space="0" w:color="auto"/>
      </w:divBdr>
    </w:div>
    <w:div w:id="193426052">
      <w:bodyDiv w:val="1"/>
      <w:marLeft w:val="0"/>
      <w:marRight w:val="0"/>
      <w:marTop w:val="0"/>
      <w:marBottom w:val="0"/>
      <w:divBdr>
        <w:top w:val="none" w:sz="0" w:space="0" w:color="auto"/>
        <w:left w:val="none" w:sz="0" w:space="0" w:color="auto"/>
        <w:bottom w:val="none" w:sz="0" w:space="0" w:color="auto"/>
        <w:right w:val="none" w:sz="0" w:space="0" w:color="auto"/>
      </w:divBdr>
    </w:div>
    <w:div w:id="208418356">
      <w:bodyDiv w:val="1"/>
      <w:marLeft w:val="0"/>
      <w:marRight w:val="0"/>
      <w:marTop w:val="0"/>
      <w:marBottom w:val="0"/>
      <w:divBdr>
        <w:top w:val="none" w:sz="0" w:space="0" w:color="auto"/>
        <w:left w:val="none" w:sz="0" w:space="0" w:color="auto"/>
        <w:bottom w:val="none" w:sz="0" w:space="0" w:color="auto"/>
        <w:right w:val="none" w:sz="0" w:space="0" w:color="auto"/>
      </w:divBdr>
    </w:div>
    <w:div w:id="254900803">
      <w:bodyDiv w:val="1"/>
      <w:marLeft w:val="0"/>
      <w:marRight w:val="0"/>
      <w:marTop w:val="0"/>
      <w:marBottom w:val="0"/>
      <w:divBdr>
        <w:top w:val="none" w:sz="0" w:space="0" w:color="auto"/>
        <w:left w:val="none" w:sz="0" w:space="0" w:color="auto"/>
        <w:bottom w:val="none" w:sz="0" w:space="0" w:color="auto"/>
        <w:right w:val="none" w:sz="0" w:space="0" w:color="auto"/>
      </w:divBdr>
    </w:div>
    <w:div w:id="343164801">
      <w:bodyDiv w:val="1"/>
      <w:marLeft w:val="0"/>
      <w:marRight w:val="0"/>
      <w:marTop w:val="0"/>
      <w:marBottom w:val="0"/>
      <w:divBdr>
        <w:top w:val="none" w:sz="0" w:space="0" w:color="auto"/>
        <w:left w:val="none" w:sz="0" w:space="0" w:color="auto"/>
        <w:bottom w:val="none" w:sz="0" w:space="0" w:color="auto"/>
        <w:right w:val="none" w:sz="0" w:space="0" w:color="auto"/>
      </w:divBdr>
    </w:div>
    <w:div w:id="397824851">
      <w:bodyDiv w:val="1"/>
      <w:marLeft w:val="0"/>
      <w:marRight w:val="0"/>
      <w:marTop w:val="0"/>
      <w:marBottom w:val="0"/>
      <w:divBdr>
        <w:top w:val="none" w:sz="0" w:space="0" w:color="auto"/>
        <w:left w:val="none" w:sz="0" w:space="0" w:color="auto"/>
        <w:bottom w:val="none" w:sz="0" w:space="0" w:color="auto"/>
        <w:right w:val="none" w:sz="0" w:space="0" w:color="auto"/>
      </w:divBdr>
    </w:div>
    <w:div w:id="762848084">
      <w:bodyDiv w:val="1"/>
      <w:marLeft w:val="0"/>
      <w:marRight w:val="0"/>
      <w:marTop w:val="0"/>
      <w:marBottom w:val="0"/>
      <w:divBdr>
        <w:top w:val="none" w:sz="0" w:space="0" w:color="auto"/>
        <w:left w:val="none" w:sz="0" w:space="0" w:color="auto"/>
        <w:bottom w:val="none" w:sz="0" w:space="0" w:color="auto"/>
        <w:right w:val="none" w:sz="0" w:space="0" w:color="auto"/>
      </w:divBdr>
      <w:divsChild>
        <w:div w:id="2106532334">
          <w:marLeft w:val="0"/>
          <w:marRight w:val="0"/>
          <w:marTop w:val="0"/>
          <w:marBottom w:val="0"/>
          <w:divBdr>
            <w:top w:val="none" w:sz="0" w:space="0" w:color="auto"/>
            <w:left w:val="none" w:sz="0" w:space="0" w:color="auto"/>
            <w:bottom w:val="none" w:sz="0" w:space="0" w:color="auto"/>
            <w:right w:val="none" w:sz="0" w:space="0" w:color="auto"/>
          </w:divBdr>
        </w:div>
      </w:divsChild>
    </w:div>
    <w:div w:id="780145978">
      <w:bodyDiv w:val="1"/>
      <w:marLeft w:val="0"/>
      <w:marRight w:val="0"/>
      <w:marTop w:val="0"/>
      <w:marBottom w:val="0"/>
      <w:divBdr>
        <w:top w:val="none" w:sz="0" w:space="0" w:color="auto"/>
        <w:left w:val="none" w:sz="0" w:space="0" w:color="auto"/>
        <w:bottom w:val="none" w:sz="0" w:space="0" w:color="auto"/>
        <w:right w:val="none" w:sz="0" w:space="0" w:color="auto"/>
      </w:divBdr>
    </w:div>
    <w:div w:id="846023493">
      <w:bodyDiv w:val="1"/>
      <w:marLeft w:val="0"/>
      <w:marRight w:val="0"/>
      <w:marTop w:val="0"/>
      <w:marBottom w:val="0"/>
      <w:divBdr>
        <w:top w:val="none" w:sz="0" w:space="0" w:color="auto"/>
        <w:left w:val="none" w:sz="0" w:space="0" w:color="auto"/>
        <w:bottom w:val="none" w:sz="0" w:space="0" w:color="auto"/>
        <w:right w:val="none" w:sz="0" w:space="0" w:color="auto"/>
      </w:divBdr>
    </w:div>
    <w:div w:id="867451977">
      <w:bodyDiv w:val="1"/>
      <w:marLeft w:val="0"/>
      <w:marRight w:val="0"/>
      <w:marTop w:val="0"/>
      <w:marBottom w:val="0"/>
      <w:divBdr>
        <w:top w:val="none" w:sz="0" w:space="0" w:color="auto"/>
        <w:left w:val="none" w:sz="0" w:space="0" w:color="auto"/>
        <w:bottom w:val="none" w:sz="0" w:space="0" w:color="auto"/>
        <w:right w:val="none" w:sz="0" w:space="0" w:color="auto"/>
      </w:divBdr>
    </w:div>
    <w:div w:id="869416784">
      <w:bodyDiv w:val="1"/>
      <w:marLeft w:val="0"/>
      <w:marRight w:val="0"/>
      <w:marTop w:val="0"/>
      <w:marBottom w:val="0"/>
      <w:divBdr>
        <w:top w:val="none" w:sz="0" w:space="0" w:color="auto"/>
        <w:left w:val="none" w:sz="0" w:space="0" w:color="auto"/>
        <w:bottom w:val="none" w:sz="0" w:space="0" w:color="auto"/>
        <w:right w:val="none" w:sz="0" w:space="0" w:color="auto"/>
      </w:divBdr>
    </w:div>
    <w:div w:id="926763956">
      <w:bodyDiv w:val="1"/>
      <w:marLeft w:val="0"/>
      <w:marRight w:val="0"/>
      <w:marTop w:val="0"/>
      <w:marBottom w:val="0"/>
      <w:divBdr>
        <w:top w:val="none" w:sz="0" w:space="0" w:color="auto"/>
        <w:left w:val="none" w:sz="0" w:space="0" w:color="auto"/>
        <w:bottom w:val="none" w:sz="0" w:space="0" w:color="auto"/>
        <w:right w:val="none" w:sz="0" w:space="0" w:color="auto"/>
      </w:divBdr>
    </w:div>
    <w:div w:id="962462826">
      <w:bodyDiv w:val="1"/>
      <w:marLeft w:val="0"/>
      <w:marRight w:val="0"/>
      <w:marTop w:val="0"/>
      <w:marBottom w:val="0"/>
      <w:divBdr>
        <w:top w:val="none" w:sz="0" w:space="0" w:color="auto"/>
        <w:left w:val="none" w:sz="0" w:space="0" w:color="auto"/>
        <w:bottom w:val="none" w:sz="0" w:space="0" w:color="auto"/>
        <w:right w:val="none" w:sz="0" w:space="0" w:color="auto"/>
      </w:divBdr>
      <w:divsChild>
        <w:div w:id="1044670915">
          <w:marLeft w:val="0"/>
          <w:marRight w:val="0"/>
          <w:marTop w:val="0"/>
          <w:marBottom w:val="0"/>
          <w:divBdr>
            <w:top w:val="none" w:sz="0" w:space="0" w:color="auto"/>
            <w:left w:val="none" w:sz="0" w:space="0" w:color="auto"/>
            <w:bottom w:val="none" w:sz="0" w:space="0" w:color="auto"/>
            <w:right w:val="none" w:sz="0" w:space="0" w:color="auto"/>
          </w:divBdr>
        </w:div>
        <w:div w:id="42364180">
          <w:marLeft w:val="0"/>
          <w:marRight w:val="0"/>
          <w:marTop w:val="0"/>
          <w:marBottom w:val="0"/>
          <w:divBdr>
            <w:top w:val="none" w:sz="0" w:space="0" w:color="auto"/>
            <w:left w:val="none" w:sz="0" w:space="0" w:color="auto"/>
            <w:bottom w:val="none" w:sz="0" w:space="0" w:color="auto"/>
            <w:right w:val="none" w:sz="0" w:space="0" w:color="auto"/>
          </w:divBdr>
        </w:div>
      </w:divsChild>
    </w:div>
    <w:div w:id="978151508">
      <w:bodyDiv w:val="1"/>
      <w:marLeft w:val="0"/>
      <w:marRight w:val="0"/>
      <w:marTop w:val="0"/>
      <w:marBottom w:val="0"/>
      <w:divBdr>
        <w:top w:val="none" w:sz="0" w:space="0" w:color="auto"/>
        <w:left w:val="none" w:sz="0" w:space="0" w:color="auto"/>
        <w:bottom w:val="none" w:sz="0" w:space="0" w:color="auto"/>
        <w:right w:val="none" w:sz="0" w:space="0" w:color="auto"/>
      </w:divBdr>
    </w:div>
    <w:div w:id="986132325">
      <w:bodyDiv w:val="1"/>
      <w:marLeft w:val="0"/>
      <w:marRight w:val="0"/>
      <w:marTop w:val="0"/>
      <w:marBottom w:val="0"/>
      <w:divBdr>
        <w:top w:val="none" w:sz="0" w:space="0" w:color="auto"/>
        <w:left w:val="none" w:sz="0" w:space="0" w:color="auto"/>
        <w:bottom w:val="none" w:sz="0" w:space="0" w:color="auto"/>
        <w:right w:val="none" w:sz="0" w:space="0" w:color="auto"/>
      </w:divBdr>
    </w:div>
    <w:div w:id="1083141162">
      <w:bodyDiv w:val="1"/>
      <w:marLeft w:val="0"/>
      <w:marRight w:val="0"/>
      <w:marTop w:val="0"/>
      <w:marBottom w:val="0"/>
      <w:divBdr>
        <w:top w:val="none" w:sz="0" w:space="0" w:color="auto"/>
        <w:left w:val="none" w:sz="0" w:space="0" w:color="auto"/>
        <w:bottom w:val="none" w:sz="0" w:space="0" w:color="auto"/>
        <w:right w:val="none" w:sz="0" w:space="0" w:color="auto"/>
      </w:divBdr>
      <w:divsChild>
        <w:div w:id="64308435">
          <w:marLeft w:val="0"/>
          <w:marRight w:val="0"/>
          <w:marTop w:val="0"/>
          <w:marBottom w:val="0"/>
          <w:divBdr>
            <w:top w:val="none" w:sz="0" w:space="0" w:color="auto"/>
            <w:left w:val="none" w:sz="0" w:space="0" w:color="auto"/>
            <w:bottom w:val="none" w:sz="0" w:space="0" w:color="auto"/>
            <w:right w:val="none" w:sz="0" w:space="0" w:color="auto"/>
          </w:divBdr>
        </w:div>
        <w:div w:id="1157841162">
          <w:marLeft w:val="0"/>
          <w:marRight w:val="0"/>
          <w:marTop w:val="0"/>
          <w:marBottom w:val="0"/>
          <w:divBdr>
            <w:top w:val="none" w:sz="0" w:space="0" w:color="auto"/>
            <w:left w:val="none" w:sz="0" w:space="0" w:color="auto"/>
            <w:bottom w:val="none" w:sz="0" w:space="0" w:color="auto"/>
            <w:right w:val="none" w:sz="0" w:space="0" w:color="auto"/>
          </w:divBdr>
          <w:divsChild>
            <w:div w:id="2968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955054">
      <w:bodyDiv w:val="1"/>
      <w:marLeft w:val="0"/>
      <w:marRight w:val="0"/>
      <w:marTop w:val="0"/>
      <w:marBottom w:val="0"/>
      <w:divBdr>
        <w:top w:val="none" w:sz="0" w:space="0" w:color="auto"/>
        <w:left w:val="none" w:sz="0" w:space="0" w:color="auto"/>
        <w:bottom w:val="none" w:sz="0" w:space="0" w:color="auto"/>
        <w:right w:val="none" w:sz="0" w:space="0" w:color="auto"/>
      </w:divBdr>
    </w:div>
    <w:div w:id="1117144531">
      <w:bodyDiv w:val="1"/>
      <w:marLeft w:val="0"/>
      <w:marRight w:val="0"/>
      <w:marTop w:val="0"/>
      <w:marBottom w:val="0"/>
      <w:divBdr>
        <w:top w:val="none" w:sz="0" w:space="0" w:color="auto"/>
        <w:left w:val="none" w:sz="0" w:space="0" w:color="auto"/>
        <w:bottom w:val="none" w:sz="0" w:space="0" w:color="auto"/>
        <w:right w:val="none" w:sz="0" w:space="0" w:color="auto"/>
      </w:divBdr>
    </w:div>
    <w:div w:id="1121149931">
      <w:bodyDiv w:val="1"/>
      <w:marLeft w:val="0"/>
      <w:marRight w:val="0"/>
      <w:marTop w:val="0"/>
      <w:marBottom w:val="0"/>
      <w:divBdr>
        <w:top w:val="none" w:sz="0" w:space="0" w:color="auto"/>
        <w:left w:val="none" w:sz="0" w:space="0" w:color="auto"/>
        <w:bottom w:val="none" w:sz="0" w:space="0" w:color="auto"/>
        <w:right w:val="none" w:sz="0" w:space="0" w:color="auto"/>
      </w:divBdr>
    </w:div>
    <w:div w:id="1138231028">
      <w:bodyDiv w:val="1"/>
      <w:marLeft w:val="0"/>
      <w:marRight w:val="0"/>
      <w:marTop w:val="0"/>
      <w:marBottom w:val="0"/>
      <w:divBdr>
        <w:top w:val="none" w:sz="0" w:space="0" w:color="auto"/>
        <w:left w:val="none" w:sz="0" w:space="0" w:color="auto"/>
        <w:bottom w:val="none" w:sz="0" w:space="0" w:color="auto"/>
        <w:right w:val="none" w:sz="0" w:space="0" w:color="auto"/>
      </w:divBdr>
    </w:div>
    <w:div w:id="1227765923">
      <w:bodyDiv w:val="1"/>
      <w:marLeft w:val="0"/>
      <w:marRight w:val="0"/>
      <w:marTop w:val="0"/>
      <w:marBottom w:val="0"/>
      <w:divBdr>
        <w:top w:val="none" w:sz="0" w:space="0" w:color="auto"/>
        <w:left w:val="none" w:sz="0" w:space="0" w:color="auto"/>
        <w:bottom w:val="none" w:sz="0" w:space="0" w:color="auto"/>
        <w:right w:val="none" w:sz="0" w:space="0" w:color="auto"/>
      </w:divBdr>
    </w:div>
    <w:div w:id="1369112699">
      <w:bodyDiv w:val="1"/>
      <w:marLeft w:val="0"/>
      <w:marRight w:val="0"/>
      <w:marTop w:val="0"/>
      <w:marBottom w:val="0"/>
      <w:divBdr>
        <w:top w:val="none" w:sz="0" w:space="0" w:color="auto"/>
        <w:left w:val="none" w:sz="0" w:space="0" w:color="auto"/>
        <w:bottom w:val="none" w:sz="0" w:space="0" w:color="auto"/>
        <w:right w:val="none" w:sz="0" w:space="0" w:color="auto"/>
      </w:divBdr>
    </w:div>
    <w:div w:id="1376656014">
      <w:bodyDiv w:val="1"/>
      <w:marLeft w:val="0"/>
      <w:marRight w:val="0"/>
      <w:marTop w:val="0"/>
      <w:marBottom w:val="0"/>
      <w:divBdr>
        <w:top w:val="none" w:sz="0" w:space="0" w:color="auto"/>
        <w:left w:val="none" w:sz="0" w:space="0" w:color="auto"/>
        <w:bottom w:val="none" w:sz="0" w:space="0" w:color="auto"/>
        <w:right w:val="none" w:sz="0" w:space="0" w:color="auto"/>
      </w:divBdr>
    </w:div>
    <w:div w:id="1392925528">
      <w:bodyDiv w:val="1"/>
      <w:marLeft w:val="0"/>
      <w:marRight w:val="0"/>
      <w:marTop w:val="0"/>
      <w:marBottom w:val="0"/>
      <w:divBdr>
        <w:top w:val="none" w:sz="0" w:space="0" w:color="auto"/>
        <w:left w:val="none" w:sz="0" w:space="0" w:color="auto"/>
        <w:bottom w:val="none" w:sz="0" w:space="0" w:color="auto"/>
        <w:right w:val="none" w:sz="0" w:space="0" w:color="auto"/>
      </w:divBdr>
    </w:div>
    <w:div w:id="1452944564">
      <w:bodyDiv w:val="1"/>
      <w:marLeft w:val="0"/>
      <w:marRight w:val="0"/>
      <w:marTop w:val="0"/>
      <w:marBottom w:val="0"/>
      <w:divBdr>
        <w:top w:val="none" w:sz="0" w:space="0" w:color="auto"/>
        <w:left w:val="none" w:sz="0" w:space="0" w:color="auto"/>
        <w:bottom w:val="none" w:sz="0" w:space="0" w:color="auto"/>
        <w:right w:val="none" w:sz="0" w:space="0" w:color="auto"/>
      </w:divBdr>
    </w:div>
    <w:div w:id="1574074497">
      <w:bodyDiv w:val="1"/>
      <w:marLeft w:val="0"/>
      <w:marRight w:val="0"/>
      <w:marTop w:val="0"/>
      <w:marBottom w:val="0"/>
      <w:divBdr>
        <w:top w:val="none" w:sz="0" w:space="0" w:color="auto"/>
        <w:left w:val="none" w:sz="0" w:space="0" w:color="auto"/>
        <w:bottom w:val="none" w:sz="0" w:space="0" w:color="auto"/>
        <w:right w:val="none" w:sz="0" w:space="0" w:color="auto"/>
      </w:divBdr>
    </w:div>
    <w:div w:id="1599606485">
      <w:bodyDiv w:val="1"/>
      <w:marLeft w:val="0"/>
      <w:marRight w:val="0"/>
      <w:marTop w:val="0"/>
      <w:marBottom w:val="0"/>
      <w:divBdr>
        <w:top w:val="none" w:sz="0" w:space="0" w:color="auto"/>
        <w:left w:val="none" w:sz="0" w:space="0" w:color="auto"/>
        <w:bottom w:val="none" w:sz="0" w:space="0" w:color="auto"/>
        <w:right w:val="none" w:sz="0" w:space="0" w:color="auto"/>
      </w:divBdr>
    </w:div>
    <w:div w:id="1635402411">
      <w:bodyDiv w:val="1"/>
      <w:marLeft w:val="0"/>
      <w:marRight w:val="0"/>
      <w:marTop w:val="0"/>
      <w:marBottom w:val="0"/>
      <w:divBdr>
        <w:top w:val="none" w:sz="0" w:space="0" w:color="auto"/>
        <w:left w:val="none" w:sz="0" w:space="0" w:color="auto"/>
        <w:bottom w:val="none" w:sz="0" w:space="0" w:color="auto"/>
        <w:right w:val="none" w:sz="0" w:space="0" w:color="auto"/>
      </w:divBdr>
    </w:div>
    <w:div w:id="1691638031">
      <w:bodyDiv w:val="1"/>
      <w:marLeft w:val="0"/>
      <w:marRight w:val="0"/>
      <w:marTop w:val="0"/>
      <w:marBottom w:val="0"/>
      <w:divBdr>
        <w:top w:val="none" w:sz="0" w:space="0" w:color="auto"/>
        <w:left w:val="none" w:sz="0" w:space="0" w:color="auto"/>
        <w:bottom w:val="none" w:sz="0" w:space="0" w:color="auto"/>
        <w:right w:val="none" w:sz="0" w:space="0" w:color="auto"/>
      </w:divBdr>
    </w:div>
    <w:div w:id="1709640281">
      <w:bodyDiv w:val="1"/>
      <w:marLeft w:val="0"/>
      <w:marRight w:val="0"/>
      <w:marTop w:val="0"/>
      <w:marBottom w:val="0"/>
      <w:divBdr>
        <w:top w:val="none" w:sz="0" w:space="0" w:color="auto"/>
        <w:left w:val="none" w:sz="0" w:space="0" w:color="auto"/>
        <w:bottom w:val="none" w:sz="0" w:space="0" w:color="auto"/>
        <w:right w:val="none" w:sz="0" w:space="0" w:color="auto"/>
      </w:divBdr>
    </w:div>
    <w:div w:id="1766068982">
      <w:bodyDiv w:val="1"/>
      <w:marLeft w:val="0"/>
      <w:marRight w:val="0"/>
      <w:marTop w:val="0"/>
      <w:marBottom w:val="0"/>
      <w:divBdr>
        <w:top w:val="none" w:sz="0" w:space="0" w:color="auto"/>
        <w:left w:val="none" w:sz="0" w:space="0" w:color="auto"/>
        <w:bottom w:val="none" w:sz="0" w:space="0" w:color="auto"/>
        <w:right w:val="none" w:sz="0" w:space="0" w:color="auto"/>
      </w:divBdr>
    </w:div>
    <w:div w:id="1771773572">
      <w:bodyDiv w:val="1"/>
      <w:marLeft w:val="0"/>
      <w:marRight w:val="0"/>
      <w:marTop w:val="0"/>
      <w:marBottom w:val="0"/>
      <w:divBdr>
        <w:top w:val="none" w:sz="0" w:space="0" w:color="auto"/>
        <w:left w:val="none" w:sz="0" w:space="0" w:color="auto"/>
        <w:bottom w:val="none" w:sz="0" w:space="0" w:color="auto"/>
        <w:right w:val="none" w:sz="0" w:space="0" w:color="auto"/>
      </w:divBdr>
    </w:div>
    <w:div w:id="1883398171">
      <w:bodyDiv w:val="1"/>
      <w:marLeft w:val="0"/>
      <w:marRight w:val="0"/>
      <w:marTop w:val="0"/>
      <w:marBottom w:val="0"/>
      <w:divBdr>
        <w:top w:val="none" w:sz="0" w:space="0" w:color="auto"/>
        <w:left w:val="none" w:sz="0" w:space="0" w:color="auto"/>
        <w:bottom w:val="none" w:sz="0" w:space="0" w:color="auto"/>
        <w:right w:val="none" w:sz="0" w:space="0" w:color="auto"/>
      </w:divBdr>
    </w:div>
    <w:div w:id="1918896869">
      <w:bodyDiv w:val="1"/>
      <w:marLeft w:val="0"/>
      <w:marRight w:val="0"/>
      <w:marTop w:val="0"/>
      <w:marBottom w:val="0"/>
      <w:divBdr>
        <w:top w:val="none" w:sz="0" w:space="0" w:color="auto"/>
        <w:left w:val="none" w:sz="0" w:space="0" w:color="auto"/>
        <w:bottom w:val="none" w:sz="0" w:space="0" w:color="auto"/>
        <w:right w:val="none" w:sz="0" w:space="0" w:color="auto"/>
      </w:divBdr>
    </w:div>
    <w:div w:id="1935087421">
      <w:bodyDiv w:val="1"/>
      <w:marLeft w:val="0"/>
      <w:marRight w:val="0"/>
      <w:marTop w:val="0"/>
      <w:marBottom w:val="0"/>
      <w:divBdr>
        <w:top w:val="none" w:sz="0" w:space="0" w:color="auto"/>
        <w:left w:val="none" w:sz="0" w:space="0" w:color="auto"/>
        <w:bottom w:val="none" w:sz="0" w:space="0" w:color="auto"/>
        <w:right w:val="none" w:sz="0" w:space="0" w:color="auto"/>
      </w:divBdr>
    </w:div>
    <w:div w:id="1937127148">
      <w:bodyDiv w:val="1"/>
      <w:marLeft w:val="0"/>
      <w:marRight w:val="0"/>
      <w:marTop w:val="0"/>
      <w:marBottom w:val="0"/>
      <w:divBdr>
        <w:top w:val="none" w:sz="0" w:space="0" w:color="auto"/>
        <w:left w:val="none" w:sz="0" w:space="0" w:color="auto"/>
        <w:bottom w:val="none" w:sz="0" w:space="0" w:color="auto"/>
        <w:right w:val="none" w:sz="0" w:space="0" w:color="auto"/>
      </w:divBdr>
    </w:div>
    <w:div w:id="2027360382">
      <w:bodyDiv w:val="1"/>
      <w:marLeft w:val="0"/>
      <w:marRight w:val="0"/>
      <w:marTop w:val="0"/>
      <w:marBottom w:val="0"/>
      <w:divBdr>
        <w:top w:val="none" w:sz="0" w:space="0" w:color="auto"/>
        <w:left w:val="none" w:sz="0" w:space="0" w:color="auto"/>
        <w:bottom w:val="none" w:sz="0" w:space="0" w:color="auto"/>
        <w:right w:val="none" w:sz="0" w:space="0" w:color="auto"/>
      </w:divBdr>
    </w:div>
    <w:div w:id="2039088745">
      <w:bodyDiv w:val="1"/>
      <w:marLeft w:val="0"/>
      <w:marRight w:val="0"/>
      <w:marTop w:val="0"/>
      <w:marBottom w:val="0"/>
      <w:divBdr>
        <w:top w:val="none" w:sz="0" w:space="0" w:color="auto"/>
        <w:left w:val="none" w:sz="0" w:space="0" w:color="auto"/>
        <w:bottom w:val="none" w:sz="0" w:space="0" w:color="auto"/>
        <w:right w:val="none" w:sz="0" w:space="0" w:color="auto"/>
      </w:divBdr>
    </w:div>
    <w:div w:id="2078739990">
      <w:bodyDiv w:val="1"/>
      <w:marLeft w:val="0"/>
      <w:marRight w:val="0"/>
      <w:marTop w:val="0"/>
      <w:marBottom w:val="0"/>
      <w:divBdr>
        <w:top w:val="none" w:sz="0" w:space="0" w:color="auto"/>
        <w:left w:val="none" w:sz="0" w:space="0" w:color="auto"/>
        <w:bottom w:val="none" w:sz="0" w:space="0" w:color="auto"/>
        <w:right w:val="none" w:sz="0" w:space="0" w:color="auto"/>
      </w:divBdr>
    </w:div>
    <w:div w:id="2132699491">
      <w:bodyDiv w:val="1"/>
      <w:marLeft w:val="0"/>
      <w:marRight w:val="0"/>
      <w:marTop w:val="0"/>
      <w:marBottom w:val="0"/>
      <w:divBdr>
        <w:top w:val="none" w:sz="0" w:space="0" w:color="auto"/>
        <w:left w:val="none" w:sz="0" w:space="0" w:color="auto"/>
        <w:bottom w:val="none" w:sz="0" w:space="0" w:color="auto"/>
        <w:right w:val="none" w:sz="0" w:space="0" w:color="auto"/>
      </w:divBdr>
      <w:divsChild>
        <w:div w:id="1799102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p.legalis.pl/document-view.seam?documentId=mfrxilrtg4ytmobzgm4tcltqmfyc4nrrgizdmmjtgu" TargetMode="External"/><Relationship Id="rId18" Type="http://schemas.openxmlformats.org/officeDocument/2006/relationships/hyperlink" Target="https://sip.legalis.pl/document-view.seam?documentId=mfrxilrtg4ytmobzgm4tcltqmfyc4nrrgizdmmjsgm" TargetMode="External"/><Relationship Id="rId26" Type="http://schemas.openxmlformats.org/officeDocument/2006/relationships/hyperlink" Target="http://eur-lex.europa.eu/legal-content/EN/TXT/?uri=uriserv%3AOJ.L_.2018.156.01.0075.01.ENG" TargetMode="External"/><Relationship Id="rId3" Type="http://schemas.openxmlformats.org/officeDocument/2006/relationships/styles" Target="styles.xml"/><Relationship Id="rId21" Type="http://schemas.openxmlformats.org/officeDocument/2006/relationships/hyperlink" Target="https://sip.legalis.pl/document-view.seam?documentId=mfrxilrtg4ytmobzgm4tcltqmfyc4nrrgizdmnrrgy" TargetMode="External"/><Relationship Id="rId7" Type="http://schemas.openxmlformats.org/officeDocument/2006/relationships/endnotes" Target="endnotes.xml"/><Relationship Id="rId12" Type="http://schemas.openxmlformats.org/officeDocument/2006/relationships/hyperlink" Target="https://sip.legalis.pl/document-view.seam?documentId=mfrxilrtg4ytmmjtgqydqltqmfyc4njygizdkmjxhe" TargetMode="External"/><Relationship Id="rId17" Type="http://schemas.openxmlformats.org/officeDocument/2006/relationships/hyperlink" Target="https://sip.legalis.pl/document-view.seam?documentId=mfrxilrtg4ytmobzgm4tcltqmfyc4nrrgizdmnrrgy" TargetMode="External"/><Relationship Id="rId25"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hyperlink" Target="https://sip.legalis.pl/document-view.seam?documentId=mfrxilrtg4ytmobzgm4tcltqmfyc4nrrgizdmmjtgu" TargetMode="External"/><Relationship Id="rId20" Type="http://schemas.openxmlformats.org/officeDocument/2006/relationships/hyperlink" Target="https://sip.legalis.pl/document-view.seam?documentId=mfrxilrtg4ytmobzgm4tcltqmfyc4nrrgizdmmjtgu" TargetMode="External"/><Relationship Id="rId29" Type="http://schemas.openxmlformats.org/officeDocument/2006/relationships/hyperlink" Target="https://www.gov.pl/web/klimat/polityka-energetyczna-polski-do-2040-r-przyjeta-przez-rade-ministro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https://sip.legalis.pl/document-view.seam?documentId=mfrxilrtg4ytmmjtgqydqltqmfyc4njygizdkmjxhe" TargetMode="External"/><Relationship Id="rId23" Type="http://schemas.openxmlformats.org/officeDocument/2006/relationships/hyperlink" Target="https://sip.lex.pl/akty-prawne/dzu-dziennik-ustaw/fundusz-rozwoju-przewozow-autobusowych-o-charakterze-uzytecznosci-18863801" TargetMode="External"/><Relationship Id="rId28" Type="http://schemas.openxmlformats.org/officeDocument/2006/relationships/hyperlink" Target="https://stat.gov.pl/obszary-tematyczne/srodowisko-energia/energia/gospodarka-paliwowo-energetyczna-w-latach-2019-i-2020,4,16.html" TargetMode="External"/><Relationship Id="rId10" Type="http://schemas.openxmlformats.org/officeDocument/2006/relationships/header" Target="header1.xml"/><Relationship Id="rId19" Type="http://schemas.openxmlformats.org/officeDocument/2006/relationships/hyperlink" Target="https://sip.legalis.pl/document-view.seam?documentId=mfrxilrtg4ytmmjtgqydqltqmfyc4njygizdkmjxh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ip.legalis.pl/document-view.seam?documentId=mfrxilrtg4ytmobzgm4tcltqmfyc4nrrgizdmnrrgy" TargetMode="External"/><Relationship Id="rId22" Type="http://schemas.openxmlformats.org/officeDocument/2006/relationships/hyperlink" Target="https://sip.legalis.pl/document-view.seam?documentId=mfrxilrtg4ytmobzgm4tcltqmfyc4nrrgizdmmjsgm" TargetMode="External"/><Relationship Id="rId27" Type="http://schemas.openxmlformats.org/officeDocument/2006/relationships/hyperlink" Target="https://www.are.waw.pl/badania-statystyczne/wynikowe-informacje-statystyczne/publikacje-roczne"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Arkusz1!$U$10</c:f>
              <c:strCache>
                <c:ptCount val="1"/>
                <c:pt idx="0">
                  <c:v>całkowity wsp. nakładu en. pierwotnej </c:v>
                </c:pt>
              </c:strCache>
            </c:strRef>
          </c:tx>
          <c:spPr>
            <a:solidFill>
              <a:schemeClr val="accent4"/>
            </a:solidFill>
            <a:ln>
              <a:noFill/>
            </a:ln>
            <a:effectLst/>
          </c:spPr>
          <c:invertIfNegative val="0"/>
          <c:dLbls>
            <c:dLbl>
              <c:idx val="13"/>
              <c:layout>
                <c:manualLayout>
                  <c:x val="-1.019356216155062E-16"/>
                  <c:y val="4.64900046490004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CBA-4434-97B1-E712F88E6452}"/>
                </c:ext>
              </c:extLst>
            </c:dLbl>
            <c:dLbl>
              <c:idx val="15"/>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Lato" panose="020F0502020204030203" pitchFamily="34" charset="-18"/>
                      <a:ea typeface="+mn-ea"/>
                      <a:cs typeface="+mn-cs"/>
                    </a:defRPr>
                  </a:pPr>
                  <a:endParaRPr lang="pl-PL"/>
                </a:p>
              </c:txPr>
              <c:showLegendKey val="0"/>
              <c:showVal val="1"/>
              <c:showCatName val="0"/>
              <c:showSerName val="0"/>
              <c:showPercent val="0"/>
              <c:showBubbleSize val="0"/>
              <c:extLst>
                <c:ext xmlns:c16="http://schemas.microsoft.com/office/drawing/2014/chart" uri="{C3380CC4-5D6E-409C-BE32-E72D297353CC}">
                  <c16:uniqueId val="{00000001-6CBA-4434-97B1-E712F88E6452}"/>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Lato" panose="020F0502020204030203" pitchFamily="34" charset="-18"/>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Arkusz1!$L$3:$AA$3</c:f>
              <c:numCache>
                <c:formatCode>General</c:formatCode>
                <c:ptCount val="1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numCache>
            </c:numRef>
          </c:cat>
          <c:val>
            <c:numRef>
              <c:f>Arkusz1!$L$5:$AA$5</c:f>
              <c:numCache>
                <c:formatCode>General</c:formatCode>
                <c:ptCount val="16"/>
                <c:pt idx="0">
                  <c:v>3.05</c:v>
                </c:pt>
                <c:pt idx="5">
                  <c:v>2.9</c:v>
                </c:pt>
                <c:pt idx="6">
                  <c:v>2.87</c:v>
                </c:pt>
                <c:pt idx="7">
                  <c:v>2.85</c:v>
                </c:pt>
                <c:pt idx="8">
                  <c:v>2.83</c:v>
                </c:pt>
                <c:pt idx="9">
                  <c:v>2.79</c:v>
                </c:pt>
                <c:pt idx="10">
                  <c:v>2.72</c:v>
                </c:pt>
                <c:pt idx="11">
                  <c:v>2.66</c:v>
                </c:pt>
                <c:pt idx="12">
                  <c:v>2.61</c:v>
                </c:pt>
                <c:pt idx="13">
                  <c:v>2.62</c:v>
                </c:pt>
                <c:pt idx="14">
                  <c:v>2.57</c:v>
                </c:pt>
                <c:pt idx="15">
                  <c:v>2.5</c:v>
                </c:pt>
              </c:numCache>
            </c:numRef>
          </c:val>
          <c:extLst>
            <c:ext xmlns:c16="http://schemas.microsoft.com/office/drawing/2014/chart" uri="{C3380CC4-5D6E-409C-BE32-E72D297353CC}">
              <c16:uniqueId val="{00000002-6CBA-4434-97B1-E712F88E6452}"/>
            </c:ext>
          </c:extLst>
        </c:ser>
        <c:dLbls>
          <c:showLegendKey val="0"/>
          <c:showVal val="0"/>
          <c:showCatName val="0"/>
          <c:showSerName val="0"/>
          <c:showPercent val="0"/>
          <c:showBubbleSize val="0"/>
        </c:dLbls>
        <c:gapWidth val="150"/>
        <c:axId val="465555344"/>
        <c:axId val="22500080"/>
      </c:barChart>
      <c:catAx>
        <c:axId val="465555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Lato" panose="020F0502020204030203" pitchFamily="34" charset="-18"/>
                <a:ea typeface="+mn-ea"/>
                <a:cs typeface="+mn-cs"/>
              </a:defRPr>
            </a:pPr>
            <a:endParaRPr lang="pl-PL"/>
          </a:p>
        </c:txPr>
        <c:crossAx val="22500080"/>
        <c:crosses val="autoZero"/>
        <c:auto val="1"/>
        <c:lblAlgn val="ctr"/>
        <c:lblOffset val="100"/>
        <c:noMultiLvlLbl val="0"/>
      </c:catAx>
      <c:valAx>
        <c:axId val="22500080"/>
        <c:scaling>
          <c:orientation val="minMax"/>
          <c:min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Lato" panose="020F0502020204030203" pitchFamily="34" charset="-18"/>
                <a:ea typeface="+mn-ea"/>
                <a:cs typeface="+mn-cs"/>
              </a:defRPr>
            </a:pPr>
            <a:endParaRPr lang="pl-PL"/>
          </a:p>
        </c:txPr>
        <c:crossAx val="465555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Lato" panose="020F0502020204030203" pitchFamily="34" charset="-18"/>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latin typeface="Lato" panose="020F0502020204030203" pitchFamily="34" charset="-18"/>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C9C4F-3436-4912-B6F8-A64239E23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16096</Words>
  <Characters>116821</Characters>
  <Application>Microsoft Office Word</Application>
  <DocSecurity>0</DocSecurity>
  <Lines>973</Lines>
  <Paragraphs>265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2024-03-06T08:49:00Z</dcterms:created>
  <dcterms:modified xsi:type="dcterms:W3CDTF">2024-03-06T08:50:00Z</dcterms:modified>
</cp:coreProperties>
</file>