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C058B" w14:textId="77777777" w:rsidR="009276B2" w:rsidRPr="00D61726" w:rsidRDefault="009276B2" w:rsidP="00D61726">
      <w:pPr>
        <w:spacing w:line="260" w:lineRule="exact"/>
        <w:rPr>
          <w:rFonts w:ascii="Lato" w:hAnsi="Lato"/>
        </w:rPr>
      </w:pPr>
    </w:p>
    <w:p w14:paraId="14F117F9" w14:textId="57DF2D62" w:rsidR="00350165" w:rsidRDefault="00350165" w:rsidP="00350165">
      <w:pPr>
        <w:rPr>
          <w:rFonts w:ascii="Lato" w:hAnsi="Lato"/>
          <w:spacing w:val="4"/>
          <w:sz w:val="22"/>
          <w:szCs w:val="22"/>
        </w:rPr>
      </w:pPr>
      <w:r w:rsidRPr="007D72E3">
        <w:rPr>
          <w:rFonts w:ascii="Lato" w:hAnsi="Lato"/>
          <w:spacing w:val="4"/>
          <w:sz w:val="22"/>
          <w:szCs w:val="22"/>
        </w:rPr>
        <w:t>Znak sprawy</w:t>
      </w:r>
      <w:r w:rsidRPr="002C770F">
        <w:rPr>
          <w:rFonts w:ascii="Lato" w:hAnsi="Lato"/>
          <w:spacing w:val="4"/>
          <w:sz w:val="22"/>
          <w:szCs w:val="22"/>
        </w:rPr>
        <w:t xml:space="preserve">: </w:t>
      </w:r>
      <w:r w:rsidR="00B12C20" w:rsidRPr="00B12C20">
        <w:rPr>
          <w:rFonts w:ascii="Lato" w:hAnsi="Lato"/>
          <w:spacing w:val="4"/>
          <w:sz w:val="22"/>
          <w:szCs w:val="22"/>
        </w:rPr>
        <w:t>DLI-III.7620.10.2023.AW.</w:t>
      </w:r>
      <w:r w:rsidR="00281085">
        <w:rPr>
          <w:rFonts w:ascii="Lato" w:hAnsi="Lato"/>
          <w:spacing w:val="4"/>
          <w:sz w:val="22"/>
          <w:szCs w:val="22"/>
        </w:rPr>
        <w:t>2</w:t>
      </w:r>
      <w:r w:rsidR="0006465B">
        <w:rPr>
          <w:rFonts w:ascii="Lato" w:hAnsi="Lato"/>
          <w:spacing w:val="4"/>
          <w:sz w:val="22"/>
          <w:szCs w:val="22"/>
        </w:rPr>
        <w:t>4</w:t>
      </w:r>
    </w:p>
    <w:p w14:paraId="3FF96670" w14:textId="57E2B5E6" w:rsidR="00F01BA7" w:rsidRPr="00F01BA7" w:rsidRDefault="00F01BA7" w:rsidP="00F01BA7">
      <w:pPr>
        <w:rPr>
          <w:rFonts w:ascii="Lato" w:hAnsi="Lato"/>
          <w:spacing w:val="4"/>
          <w:sz w:val="22"/>
          <w:szCs w:val="22"/>
        </w:rPr>
      </w:pPr>
      <w:r w:rsidRPr="00F01BA7">
        <w:rPr>
          <w:rFonts w:ascii="Lato" w:hAnsi="Lato"/>
          <w:spacing w:val="4"/>
          <w:sz w:val="22"/>
          <w:szCs w:val="22"/>
        </w:rPr>
        <w:t>Warszawa,</w:t>
      </w:r>
      <w:r w:rsidR="00484F17">
        <w:rPr>
          <w:rFonts w:ascii="Lato" w:hAnsi="Lato"/>
          <w:spacing w:val="4"/>
          <w:sz w:val="22"/>
          <w:szCs w:val="22"/>
        </w:rPr>
        <w:t xml:space="preserve"> </w:t>
      </w:r>
      <w:r w:rsidR="004B77D2">
        <w:rPr>
          <w:rFonts w:ascii="Lato" w:hAnsi="Lato"/>
          <w:spacing w:val="4"/>
          <w:sz w:val="22"/>
          <w:szCs w:val="22"/>
        </w:rPr>
        <w:t xml:space="preserve">01 </w:t>
      </w:r>
      <w:r w:rsidR="00E4389C">
        <w:rPr>
          <w:rFonts w:ascii="Lato" w:hAnsi="Lato"/>
          <w:spacing w:val="4"/>
          <w:sz w:val="22"/>
          <w:szCs w:val="22"/>
        </w:rPr>
        <w:t xml:space="preserve">września </w:t>
      </w:r>
      <w:r w:rsidR="00281085">
        <w:rPr>
          <w:rFonts w:ascii="Lato" w:hAnsi="Lato"/>
          <w:spacing w:val="4"/>
          <w:sz w:val="22"/>
          <w:szCs w:val="22"/>
        </w:rPr>
        <w:t xml:space="preserve">2026 </w:t>
      </w:r>
      <w:r w:rsidRPr="00F01BA7">
        <w:rPr>
          <w:rFonts w:ascii="Lato" w:hAnsi="Lato"/>
          <w:spacing w:val="4"/>
          <w:sz w:val="22"/>
          <w:szCs w:val="22"/>
        </w:rPr>
        <w:t xml:space="preserve">r. </w:t>
      </w:r>
    </w:p>
    <w:p w14:paraId="5118D03C" w14:textId="77777777" w:rsidR="00F01BA7" w:rsidRPr="00350165" w:rsidRDefault="00F01BA7" w:rsidP="00350165">
      <w:pPr>
        <w:rPr>
          <w:rFonts w:ascii="Lato" w:hAnsi="Lato"/>
          <w:spacing w:val="4"/>
          <w:sz w:val="22"/>
          <w:szCs w:val="22"/>
        </w:rPr>
      </w:pPr>
    </w:p>
    <w:p w14:paraId="4A3B9B7A" w14:textId="137BBECD" w:rsidR="004116FD" w:rsidRDefault="004116FD" w:rsidP="00D61726">
      <w:pPr>
        <w:spacing w:line="260" w:lineRule="exact"/>
        <w:rPr>
          <w:rFonts w:ascii="Lato" w:hAnsi="Lato" w:cstheme="minorHAnsi"/>
        </w:rPr>
      </w:pPr>
    </w:p>
    <w:p w14:paraId="1459ABC6" w14:textId="77777777" w:rsidR="00090D6E" w:rsidRDefault="00090D6E" w:rsidP="00D61726">
      <w:pPr>
        <w:spacing w:line="260" w:lineRule="exact"/>
        <w:rPr>
          <w:rFonts w:ascii="Lato" w:hAnsi="Lato" w:cstheme="minorHAnsi"/>
        </w:rPr>
      </w:pPr>
    </w:p>
    <w:p w14:paraId="092F6BB4" w14:textId="77777777" w:rsidR="00090D6E" w:rsidRDefault="00090D6E" w:rsidP="00D61726">
      <w:pPr>
        <w:spacing w:line="260" w:lineRule="exact"/>
        <w:rPr>
          <w:rFonts w:ascii="Lato" w:hAnsi="Lato" w:cstheme="minorHAnsi"/>
        </w:rPr>
      </w:pPr>
    </w:p>
    <w:p w14:paraId="6911B88D" w14:textId="77777777" w:rsidR="00090D6E" w:rsidRDefault="00090D6E" w:rsidP="00D61726">
      <w:pPr>
        <w:spacing w:line="260" w:lineRule="exact"/>
        <w:rPr>
          <w:rFonts w:ascii="Lato" w:hAnsi="Lato" w:cstheme="minorHAnsi"/>
        </w:rPr>
      </w:pPr>
    </w:p>
    <w:p w14:paraId="614D71BC" w14:textId="77777777" w:rsidR="00090D6E" w:rsidRDefault="00090D6E" w:rsidP="00D61726">
      <w:pPr>
        <w:spacing w:line="260" w:lineRule="exact"/>
        <w:rPr>
          <w:rFonts w:ascii="Lato" w:hAnsi="Lato" w:cstheme="minorHAnsi"/>
        </w:rPr>
      </w:pPr>
    </w:p>
    <w:p w14:paraId="75CF4111" w14:textId="77777777" w:rsidR="00090D6E" w:rsidRDefault="00090D6E" w:rsidP="00D61726">
      <w:pPr>
        <w:spacing w:line="260" w:lineRule="exact"/>
        <w:rPr>
          <w:rFonts w:ascii="Lato" w:hAnsi="Lato" w:cstheme="minorHAnsi"/>
        </w:rPr>
      </w:pPr>
    </w:p>
    <w:p w14:paraId="3F884843" w14:textId="77777777" w:rsidR="00090D6E" w:rsidRDefault="00090D6E" w:rsidP="00D61726">
      <w:pPr>
        <w:spacing w:line="260" w:lineRule="exact"/>
        <w:rPr>
          <w:rFonts w:ascii="Lato" w:hAnsi="Lato" w:cstheme="minorHAnsi"/>
        </w:rPr>
      </w:pPr>
    </w:p>
    <w:p w14:paraId="62E5E483" w14:textId="77777777" w:rsidR="00A21071" w:rsidRPr="00C55062" w:rsidRDefault="00A21071" w:rsidP="00A21071">
      <w:pPr>
        <w:tabs>
          <w:tab w:val="left" w:pos="5387"/>
          <w:tab w:val="left" w:pos="5670"/>
          <w:tab w:val="left" w:pos="6096"/>
          <w:tab w:val="right" w:pos="6237"/>
          <w:tab w:val="left" w:pos="8931"/>
        </w:tabs>
        <w:spacing w:after="360" w:line="240" w:lineRule="exact"/>
        <w:jc w:val="center"/>
        <w:outlineLvl w:val="0"/>
        <w:rPr>
          <w:rFonts w:ascii="Lato" w:eastAsia="Arial" w:hAnsi="Lato" w:cs="Arial"/>
          <w:color w:val="000000"/>
          <w:spacing w:val="4"/>
          <w:sz w:val="22"/>
          <w:szCs w:val="22"/>
          <w:lang w:eastAsia="en-US"/>
        </w:rPr>
      </w:pPr>
      <w:r w:rsidRPr="00C55062">
        <w:rPr>
          <w:rFonts w:ascii="Lato" w:eastAsiaTheme="minorHAnsi" w:hAnsi="Lato" w:cs="Arial"/>
          <w:b/>
          <w:spacing w:val="4"/>
          <w:sz w:val="22"/>
          <w:szCs w:val="22"/>
          <w:lang w:eastAsia="en-US"/>
        </w:rPr>
        <w:t>DECYZJA</w:t>
      </w:r>
    </w:p>
    <w:p w14:paraId="7B189C13" w14:textId="66931BF3" w:rsidR="00E424A7" w:rsidRPr="001915D0" w:rsidRDefault="00173BB2" w:rsidP="0032021F">
      <w:pPr>
        <w:spacing w:after="240" w:line="240" w:lineRule="exact"/>
        <w:jc w:val="both"/>
        <w:rPr>
          <w:rFonts w:ascii="Lato" w:hAnsi="Lato" w:cs="Arial"/>
          <w:spacing w:val="4"/>
          <w:sz w:val="22"/>
          <w:szCs w:val="22"/>
        </w:rPr>
      </w:pPr>
      <w:r w:rsidRPr="001915D0">
        <w:rPr>
          <w:rFonts w:ascii="Lato" w:hAnsi="Lato" w:cs="Arial"/>
          <w:spacing w:val="4"/>
          <w:sz w:val="22"/>
          <w:szCs w:val="22"/>
        </w:rPr>
        <w:t xml:space="preserve">Na podstawie art. 138 § 1 pkt </w:t>
      </w:r>
      <w:r w:rsidR="00B12C20" w:rsidRPr="001915D0">
        <w:rPr>
          <w:rFonts w:ascii="Lato" w:hAnsi="Lato" w:cs="Arial"/>
          <w:spacing w:val="4"/>
          <w:sz w:val="22"/>
          <w:szCs w:val="22"/>
        </w:rPr>
        <w:t>2</w:t>
      </w:r>
      <w:r w:rsidRPr="001915D0">
        <w:rPr>
          <w:rFonts w:ascii="Lato" w:hAnsi="Lato" w:cs="Arial"/>
          <w:spacing w:val="4"/>
          <w:sz w:val="22"/>
          <w:szCs w:val="22"/>
        </w:rPr>
        <w:t xml:space="preserve"> ustawy z dnia 14 czerwca 1960 r. Kodeks postępowania administracyjnego (t.j. Dz.</w:t>
      </w:r>
      <w:r w:rsidR="003A29E4" w:rsidRPr="001915D0">
        <w:rPr>
          <w:rFonts w:ascii="Lato" w:hAnsi="Lato" w:cs="Arial"/>
          <w:spacing w:val="4"/>
          <w:sz w:val="22"/>
          <w:szCs w:val="22"/>
        </w:rPr>
        <w:t xml:space="preserve"> </w:t>
      </w:r>
      <w:r w:rsidRPr="001915D0">
        <w:rPr>
          <w:rFonts w:ascii="Lato" w:hAnsi="Lato" w:cs="Arial"/>
          <w:spacing w:val="4"/>
          <w:sz w:val="22"/>
          <w:szCs w:val="22"/>
        </w:rPr>
        <w:t>U. z 202</w:t>
      </w:r>
      <w:r w:rsidR="001915D0">
        <w:rPr>
          <w:rFonts w:ascii="Lato" w:hAnsi="Lato" w:cs="Arial"/>
          <w:spacing w:val="4"/>
          <w:sz w:val="22"/>
          <w:szCs w:val="22"/>
        </w:rPr>
        <w:t>5</w:t>
      </w:r>
      <w:r w:rsidRPr="001915D0">
        <w:rPr>
          <w:rFonts w:ascii="Lato" w:hAnsi="Lato" w:cs="Arial"/>
          <w:spacing w:val="4"/>
          <w:sz w:val="22"/>
          <w:szCs w:val="22"/>
        </w:rPr>
        <w:t xml:space="preserve"> r. poz.</w:t>
      </w:r>
      <w:r w:rsidR="003A29E4" w:rsidRPr="001915D0">
        <w:rPr>
          <w:rFonts w:ascii="Lato" w:hAnsi="Lato" w:cs="Arial"/>
          <w:spacing w:val="4"/>
          <w:sz w:val="22"/>
          <w:szCs w:val="22"/>
        </w:rPr>
        <w:t xml:space="preserve"> </w:t>
      </w:r>
      <w:r w:rsidR="001915D0">
        <w:rPr>
          <w:rFonts w:ascii="Lato" w:hAnsi="Lato" w:cs="Arial"/>
          <w:spacing w:val="4"/>
          <w:sz w:val="22"/>
          <w:szCs w:val="22"/>
        </w:rPr>
        <w:t>1691</w:t>
      </w:r>
      <w:r w:rsidRPr="001915D0">
        <w:rPr>
          <w:rFonts w:ascii="Lato" w:hAnsi="Lato" w:cs="Arial"/>
          <w:spacing w:val="4"/>
          <w:sz w:val="22"/>
          <w:szCs w:val="22"/>
        </w:rPr>
        <w:t xml:space="preserve">), zwanej dalej „kpa”, oraz art. 5 ust. 3 </w:t>
      </w:r>
      <w:r w:rsidR="00B04FDD" w:rsidRPr="001915D0">
        <w:rPr>
          <w:rFonts w:ascii="Lato" w:hAnsi="Lato" w:cs="Arial"/>
          <w:spacing w:val="4"/>
          <w:sz w:val="22"/>
          <w:szCs w:val="22"/>
        </w:rPr>
        <w:br/>
      </w:r>
      <w:r w:rsidR="00FE232D" w:rsidRPr="001915D0">
        <w:rPr>
          <w:rFonts w:ascii="Lato" w:hAnsi="Lato" w:cs="Arial"/>
          <w:spacing w:val="4"/>
          <w:sz w:val="22"/>
          <w:szCs w:val="22"/>
        </w:rPr>
        <w:t xml:space="preserve">w zw. z art. 39 ust. 1 </w:t>
      </w:r>
      <w:bookmarkStart w:id="0" w:name="_Hlk144907730"/>
      <w:r w:rsidRPr="001915D0">
        <w:rPr>
          <w:rFonts w:ascii="Lato" w:hAnsi="Lato" w:cs="Arial"/>
          <w:spacing w:val="4"/>
          <w:sz w:val="22"/>
          <w:szCs w:val="22"/>
        </w:rPr>
        <w:t xml:space="preserve">ustawy z dnia 24 kwietnia 2009 r. o inwestycjach w zakresie terminalu regazyfikacyjnego skroplonego gazu ziemnego w Świnoujściu </w:t>
      </w:r>
      <w:bookmarkEnd w:id="0"/>
      <w:r w:rsidR="001915D0" w:rsidRPr="001915D0">
        <w:rPr>
          <w:rFonts w:ascii="Lato" w:hAnsi="Lato" w:cs="Arial"/>
          <w:spacing w:val="4"/>
          <w:sz w:val="22"/>
          <w:szCs w:val="22"/>
        </w:rPr>
        <w:t>(t.j. Dz. U. z 2025 r. poz. 1222</w:t>
      </w:r>
      <w:r w:rsidRPr="001915D0">
        <w:rPr>
          <w:rFonts w:ascii="Lato" w:hAnsi="Lato" w:cs="Arial"/>
          <w:spacing w:val="4"/>
          <w:sz w:val="22"/>
          <w:szCs w:val="22"/>
        </w:rPr>
        <w:t xml:space="preserve">), zwanej dalej „specustawą gazową”, po rozpatrzeniu </w:t>
      </w:r>
      <w:proofErr w:type="spellStart"/>
      <w:r w:rsidRPr="001915D0">
        <w:rPr>
          <w:rFonts w:ascii="Lato" w:hAnsi="Lato" w:cs="Arial"/>
          <w:spacing w:val="4"/>
          <w:sz w:val="22"/>
          <w:szCs w:val="22"/>
        </w:rPr>
        <w:t>odwoła</w:t>
      </w:r>
      <w:r w:rsidR="00C55062" w:rsidRPr="001915D0">
        <w:rPr>
          <w:rFonts w:ascii="Lato" w:hAnsi="Lato" w:cs="Arial"/>
          <w:spacing w:val="4"/>
          <w:sz w:val="22"/>
          <w:szCs w:val="22"/>
        </w:rPr>
        <w:t>ń</w:t>
      </w:r>
      <w:proofErr w:type="spellEnd"/>
      <w:r w:rsidRPr="001915D0">
        <w:rPr>
          <w:rFonts w:ascii="Lato" w:hAnsi="Lato" w:cs="Arial"/>
          <w:spacing w:val="4"/>
          <w:sz w:val="22"/>
          <w:szCs w:val="22"/>
        </w:rPr>
        <w:t xml:space="preserve"> </w:t>
      </w:r>
      <w:bookmarkStart w:id="1" w:name="_Hlk122432681"/>
      <w:r w:rsidR="00391380" w:rsidRPr="001915D0">
        <w:rPr>
          <w:rFonts w:ascii="Lato" w:hAnsi="Lato" w:cs="Arial"/>
          <w:spacing w:val="4"/>
          <w:sz w:val="22"/>
          <w:szCs w:val="22"/>
        </w:rPr>
        <w:t xml:space="preserve">Pana </w:t>
      </w:r>
      <w:r w:rsidR="009A4DE8">
        <w:rPr>
          <w:rFonts w:ascii="Lato" w:hAnsi="Lato" w:cs="Arial"/>
          <w:spacing w:val="4"/>
          <w:sz w:val="22"/>
          <w:szCs w:val="22"/>
        </w:rPr>
        <w:t>A.</w:t>
      </w:r>
      <w:r w:rsidR="00391380" w:rsidRPr="001915D0">
        <w:rPr>
          <w:rFonts w:ascii="Lato" w:hAnsi="Lato" w:cs="Arial"/>
          <w:spacing w:val="4"/>
          <w:sz w:val="22"/>
          <w:szCs w:val="22"/>
        </w:rPr>
        <w:t xml:space="preserve"> </w:t>
      </w:r>
      <w:r w:rsidR="009A4DE8">
        <w:rPr>
          <w:rFonts w:ascii="Lato" w:hAnsi="Lato" w:cs="Arial"/>
          <w:spacing w:val="4"/>
          <w:sz w:val="22"/>
          <w:szCs w:val="22"/>
        </w:rPr>
        <w:t>B.</w:t>
      </w:r>
      <w:r w:rsidR="00391380" w:rsidRPr="001915D0">
        <w:rPr>
          <w:rFonts w:ascii="Lato" w:hAnsi="Lato" w:cs="Arial"/>
          <w:spacing w:val="4"/>
          <w:sz w:val="22"/>
          <w:szCs w:val="22"/>
        </w:rPr>
        <w:t xml:space="preserve"> </w:t>
      </w:r>
      <w:r w:rsidR="009A4DE8">
        <w:rPr>
          <w:rFonts w:ascii="Lato" w:hAnsi="Lato" w:cs="Arial"/>
          <w:spacing w:val="4"/>
          <w:sz w:val="22"/>
          <w:szCs w:val="22"/>
        </w:rPr>
        <w:br/>
      </w:r>
      <w:r w:rsidR="00391380" w:rsidRPr="001915D0">
        <w:rPr>
          <w:rFonts w:ascii="Lato" w:hAnsi="Lato" w:cs="Arial"/>
          <w:spacing w:val="4"/>
          <w:sz w:val="22"/>
          <w:szCs w:val="22"/>
        </w:rPr>
        <w:t xml:space="preserve">i Pani </w:t>
      </w:r>
      <w:r w:rsidR="009A4DE8">
        <w:rPr>
          <w:rFonts w:ascii="Lato" w:hAnsi="Lato" w:cs="Arial"/>
          <w:spacing w:val="4"/>
          <w:sz w:val="22"/>
          <w:szCs w:val="22"/>
        </w:rPr>
        <w:t>A.</w:t>
      </w:r>
      <w:r w:rsidR="00391380" w:rsidRPr="001915D0">
        <w:rPr>
          <w:rFonts w:ascii="Lato" w:hAnsi="Lato" w:cs="Arial"/>
          <w:spacing w:val="4"/>
          <w:sz w:val="22"/>
          <w:szCs w:val="22"/>
        </w:rPr>
        <w:t xml:space="preserve"> </w:t>
      </w:r>
      <w:r w:rsidR="009A4DE8">
        <w:rPr>
          <w:rFonts w:ascii="Lato" w:hAnsi="Lato" w:cs="Arial"/>
          <w:spacing w:val="4"/>
          <w:sz w:val="22"/>
          <w:szCs w:val="22"/>
        </w:rPr>
        <w:t>S.</w:t>
      </w:r>
      <w:r w:rsidR="00391380" w:rsidRPr="001915D0">
        <w:rPr>
          <w:rFonts w:ascii="Lato" w:hAnsi="Lato" w:cs="Arial"/>
          <w:spacing w:val="4"/>
          <w:sz w:val="22"/>
          <w:szCs w:val="22"/>
        </w:rPr>
        <w:t xml:space="preserve">, Pani </w:t>
      </w:r>
      <w:r w:rsidR="009A4DE8">
        <w:rPr>
          <w:rFonts w:ascii="Lato" w:hAnsi="Lato" w:cs="Arial"/>
          <w:spacing w:val="4"/>
          <w:sz w:val="22"/>
          <w:szCs w:val="22"/>
        </w:rPr>
        <w:t>B.</w:t>
      </w:r>
      <w:r w:rsidR="00391380" w:rsidRPr="001915D0">
        <w:rPr>
          <w:rFonts w:ascii="Lato" w:hAnsi="Lato" w:cs="Arial"/>
          <w:spacing w:val="4"/>
          <w:sz w:val="22"/>
          <w:szCs w:val="22"/>
        </w:rPr>
        <w:t xml:space="preserve"> </w:t>
      </w:r>
      <w:r w:rsidR="009A4DE8">
        <w:rPr>
          <w:rFonts w:ascii="Lato" w:hAnsi="Lato" w:cs="Arial"/>
          <w:spacing w:val="4"/>
          <w:sz w:val="22"/>
          <w:szCs w:val="22"/>
        </w:rPr>
        <w:t>Z.</w:t>
      </w:r>
      <w:r w:rsidR="00391380" w:rsidRPr="001915D0">
        <w:rPr>
          <w:rFonts w:ascii="Lato" w:hAnsi="Lato" w:cs="Arial"/>
          <w:spacing w:val="4"/>
          <w:sz w:val="22"/>
          <w:szCs w:val="22"/>
        </w:rPr>
        <w:t xml:space="preserve"> i Pana </w:t>
      </w:r>
      <w:r w:rsidR="009A4DE8">
        <w:rPr>
          <w:rFonts w:ascii="Lato" w:hAnsi="Lato" w:cs="Arial"/>
          <w:spacing w:val="4"/>
          <w:sz w:val="22"/>
          <w:szCs w:val="22"/>
        </w:rPr>
        <w:t>J.</w:t>
      </w:r>
      <w:r w:rsidR="00391380" w:rsidRPr="001915D0">
        <w:rPr>
          <w:rFonts w:ascii="Lato" w:hAnsi="Lato" w:cs="Arial"/>
          <w:spacing w:val="4"/>
          <w:sz w:val="22"/>
          <w:szCs w:val="22"/>
        </w:rPr>
        <w:t xml:space="preserve"> </w:t>
      </w:r>
      <w:proofErr w:type="gramStart"/>
      <w:r w:rsidR="009A4DE8">
        <w:rPr>
          <w:rFonts w:ascii="Lato" w:hAnsi="Lato" w:cs="Arial"/>
          <w:spacing w:val="4"/>
          <w:sz w:val="22"/>
          <w:szCs w:val="22"/>
        </w:rPr>
        <w:t>Z,</w:t>
      </w:r>
      <w:proofErr w:type="gramEnd"/>
      <w:r w:rsidR="00391380" w:rsidRPr="001915D0">
        <w:rPr>
          <w:rFonts w:ascii="Lato" w:hAnsi="Lato" w:cs="Arial"/>
          <w:spacing w:val="4"/>
          <w:sz w:val="22"/>
          <w:szCs w:val="22"/>
        </w:rPr>
        <w:t xml:space="preserve"> oraz Pani </w:t>
      </w:r>
      <w:r w:rsidR="009A4DE8">
        <w:rPr>
          <w:rFonts w:ascii="Lato" w:hAnsi="Lato" w:cs="Arial"/>
          <w:spacing w:val="4"/>
          <w:sz w:val="22"/>
          <w:szCs w:val="22"/>
        </w:rPr>
        <w:t>M.</w:t>
      </w:r>
      <w:r w:rsidR="00391380" w:rsidRPr="001915D0">
        <w:rPr>
          <w:rFonts w:ascii="Lato" w:hAnsi="Lato" w:cs="Arial"/>
          <w:spacing w:val="4"/>
          <w:sz w:val="22"/>
          <w:szCs w:val="22"/>
        </w:rPr>
        <w:t xml:space="preserve"> </w:t>
      </w:r>
      <w:r w:rsidR="009A4DE8">
        <w:rPr>
          <w:rFonts w:ascii="Lato" w:hAnsi="Lato" w:cs="Arial"/>
          <w:spacing w:val="4"/>
          <w:sz w:val="22"/>
          <w:szCs w:val="22"/>
        </w:rPr>
        <w:t>S.</w:t>
      </w:r>
      <w:r w:rsidR="00391380" w:rsidRPr="001915D0">
        <w:rPr>
          <w:rFonts w:ascii="Lato" w:hAnsi="Lato" w:cs="Arial"/>
          <w:spacing w:val="4"/>
          <w:sz w:val="22"/>
          <w:szCs w:val="22"/>
        </w:rPr>
        <w:t xml:space="preserve"> </w:t>
      </w:r>
      <w:r w:rsidR="001904B3" w:rsidRPr="001915D0">
        <w:rPr>
          <w:rFonts w:ascii="Lato" w:hAnsi="Lato" w:cs="Arial"/>
          <w:spacing w:val="4"/>
          <w:sz w:val="22"/>
          <w:szCs w:val="22"/>
        </w:rPr>
        <w:t xml:space="preserve">od </w:t>
      </w:r>
      <w:r w:rsidR="00916FAC" w:rsidRPr="001915D0">
        <w:rPr>
          <w:rFonts w:ascii="Lato" w:hAnsi="Lato" w:cs="Arial"/>
          <w:spacing w:val="4"/>
          <w:sz w:val="22"/>
          <w:szCs w:val="22"/>
        </w:rPr>
        <w:t xml:space="preserve">decyzji Wojewody </w:t>
      </w:r>
      <w:bookmarkStart w:id="2" w:name="_Hlk161060179"/>
      <w:r w:rsidR="00391380" w:rsidRPr="001915D0">
        <w:rPr>
          <w:rFonts w:ascii="Lato" w:hAnsi="Lato" w:cs="Arial"/>
          <w:spacing w:val="4"/>
          <w:sz w:val="22"/>
          <w:szCs w:val="22"/>
        </w:rPr>
        <w:t xml:space="preserve">Podkarpackiego nr 1/25/22 z dnia 22 lutego 2023 r., znak: N-VIII.747.1.25.2022, o ustaleniu lokalizacji inwestycji towarzyszącej inwestycjom w zakresie terminalu regazyfikacyjnego skroplonego gazu ziemnego w Świnoujściu pod nazwą „Budowa odcinka gazociągu wysokiego ciśnienia DN 50 PN 63 wraz z infrastrukturą towarzyszącą, realizowane </w:t>
      </w:r>
      <w:r w:rsidR="009A4DE8">
        <w:rPr>
          <w:rFonts w:ascii="Lato" w:hAnsi="Lato" w:cs="Arial"/>
          <w:spacing w:val="4"/>
          <w:sz w:val="22"/>
          <w:szCs w:val="22"/>
        </w:rPr>
        <w:br/>
      </w:r>
      <w:r w:rsidR="00391380" w:rsidRPr="001915D0">
        <w:rPr>
          <w:rFonts w:ascii="Lato" w:hAnsi="Lato" w:cs="Arial"/>
          <w:spacing w:val="4"/>
          <w:sz w:val="22"/>
          <w:szCs w:val="22"/>
        </w:rPr>
        <w:t>w ramach inwestycji pn. „Podłączenie odwiertu Bratkowice 6K – KGZ Czarna Sędziszowska”</w:t>
      </w:r>
      <w:r w:rsidR="0051605D" w:rsidRPr="001915D0">
        <w:rPr>
          <w:rFonts w:ascii="Lato" w:hAnsi="Lato" w:cs="Arial"/>
          <w:spacing w:val="4"/>
          <w:sz w:val="22"/>
          <w:szCs w:val="22"/>
        </w:rPr>
        <w:t>,</w:t>
      </w:r>
      <w:bookmarkEnd w:id="2"/>
      <w:r w:rsidR="003A29E4" w:rsidRPr="001915D0">
        <w:rPr>
          <w:rFonts w:ascii="Lato" w:hAnsi="Lato" w:cs="Arial"/>
          <w:spacing w:val="4"/>
          <w:sz w:val="22"/>
          <w:szCs w:val="22"/>
        </w:rPr>
        <w:t xml:space="preserve"> </w:t>
      </w:r>
    </w:p>
    <w:p w14:paraId="376E18B1" w14:textId="48C994F0" w:rsidR="00391380" w:rsidRPr="00391380" w:rsidRDefault="00391380" w:rsidP="00391380">
      <w:pPr>
        <w:numPr>
          <w:ilvl w:val="0"/>
          <w:numId w:val="5"/>
        </w:numPr>
        <w:tabs>
          <w:tab w:val="center" w:pos="1470"/>
          <w:tab w:val="left" w:pos="5387"/>
        </w:tabs>
        <w:spacing w:before="120" w:after="240" w:line="240" w:lineRule="exact"/>
        <w:ind w:left="284" w:hanging="142"/>
        <w:jc w:val="both"/>
        <w:outlineLvl w:val="0"/>
        <w:rPr>
          <w:rFonts w:ascii="Lato" w:hAnsi="Lato"/>
          <w:b/>
          <w:bCs/>
          <w:sz w:val="22"/>
          <w:szCs w:val="22"/>
        </w:rPr>
      </w:pPr>
      <w:r w:rsidRPr="00391380">
        <w:rPr>
          <w:rFonts w:ascii="Lato" w:hAnsi="Lato"/>
          <w:b/>
          <w:bCs/>
          <w:sz w:val="22"/>
          <w:szCs w:val="22"/>
        </w:rPr>
        <w:t>Uchylam</w:t>
      </w:r>
      <w:r w:rsidRPr="00391380">
        <w:rPr>
          <w:rFonts w:ascii="Lato" w:hAnsi="Lato"/>
          <w:bCs/>
          <w:sz w:val="22"/>
          <w:szCs w:val="22"/>
        </w:rPr>
        <w:t>:</w:t>
      </w:r>
    </w:p>
    <w:p w14:paraId="15B61AD7" w14:textId="632CE4B4" w:rsidR="00391380" w:rsidRPr="00391380" w:rsidRDefault="007F305D" w:rsidP="00391380">
      <w:pPr>
        <w:pStyle w:val="Akapitzlist"/>
        <w:numPr>
          <w:ilvl w:val="0"/>
          <w:numId w:val="7"/>
        </w:numPr>
        <w:spacing w:after="240" w:line="240" w:lineRule="exact"/>
        <w:ind w:left="567" w:hanging="283"/>
        <w:contextualSpacing w:val="0"/>
        <w:jc w:val="both"/>
        <w:rPr>
          <w:rFonts w:ascii="Lato" w:hAnsi="Lato" w:cs="Arial"/>
          <w:bCs/>
          <w:spacing w:val="4"/>
          <w:sz w:val="22"/>
          <w:szCs w:val="22"/>
          <w:lang w:eastAsia="en-US"/>
        </w:rPr>
      </w:pPr>
      <w:bookmarkStart w:id="3" w:name="_Hlk131580681"/>
      <w:r>
        <w:rPr>
          <w:rFonts w:ascii="Lato" w:hAnsi="Lato" w:cs="Arial"/>
          <w:bCs/>
          <w:spacing w:val="4"/>
          <w:sz w:val="22"/>
          <w:szCs w:val="22"/>
          <w:lang w:eastAsia="en-US"/>
        </w:rPr>
        <w:t xml:space="preserve">w rozstrzygnięciu zaskarżonej decyzji, </w:t>
      </w:r>
      <w:r w:rsidR="00391380" w:rsidRPr="00391380">
        <w:rPr>
          <w:rFonts w:ascii="Lato" w:hAnsi="Lato" w:cs="Arial"/>
          <w:bCs/>
          <w:spacing w:val="4"/>
          <w:sz w:val="22"/>
          <w:szCs w:val="22"/>
          <w:lang w:eastAsia="en-US"/>
        </w:rPr>
        <w:t xml:space="preserve">znajdujące się na stronie </w:t>
      </w:r>
      <w:r>
        <w:rPr>
          <w:rFonts w:ascii="Lato" w:hAnsi="Lato" w:cs="Arial"/>
          <w:bCs/>
          <w:spacing w:val="4"/>
          <w:sz w:val="22"/>
          <w:szCs w:val="22"/>
          <w:lang w:eastAsia="en-US"/>
        </w:rPr>
        <w:t>6</w:t>
      </w:r>
      <w:r w:rsidR="00391380" w:rsidRPr="00391380">
        <w:rPr>
          <w:rFonts w:ascii="Lato" w:hAnsi="Lato" w:cs="Arial"/>
          <w:bCs/>
          <w:spacing w:val="4"/>
          <w:sz w:val="22"/>
          <w:szCs w:val="22"/>
          <w:lang w:eastAsia="en-US"/>
        </w:rPr>
        <w:t xml:space="preserve">, zapisy stanowiące dotychczasową treść pkt </w:t>
      </w:r>
      <w:r>
        <w:rPr>
          <w:rFonts w:ascii="Lato" w:hAnsi="Lato" w:cs="Arial"/>
          <w:bCs/>
          <w:spacing w:val="4"/>
          <w:sz w:val="22"/>
          <w:szCs w:val="22"/>
          <w:lang w:eastAsia="en-US"/>
        </w:rPr>
        <w:t>5</w:t>
      </w:r>
      <w:r w:rsidR="00391380" w:rsidRPr="00391380">
        <w:rPr>
          <w:rFonts w:ascii="Lato" w:hAnsi="Lato" w:cs="Arial"/>
          <w:bCs/>
          <w:spacing w:val="4"/>
          <w:sz w:val="22"/>
          <w:szCs w:val="22"/>
          <w:lang w:eastAsia="en-US"/>
        </w:rPr>
        <w:t>,</w:t>
      </w:r>
    </w:p>
    <w:bookmarkEnd w:id="3"/>
    <w:p w14:paraId="6AF51C15" w14:textId="06E0A979" w:rsidR="00391380" w:rsidRPr="00391380" w:rsidRDefault="00391380" w:rsidP="00391380">
      <w:pPr>
        <w:tabs>
          <w:tab w:val="center" w:pos="1470"/>
          <w:tab w:val="left" w:pos="5387"/>
        </w:tabs>
        <w:spacing w:before="120" w:after="240" w:line="240" w:lineRule="exact"/>
        <w:ind w:left="284"/>
        <w:jc w:val="both"/>
        <w:outlineLvl w:val="0"/>
        <w:rPr>
          <w:rFonts w:ascii="Lato" w:hAnsi="Lato"/>
          <w:bCs/>
          <w:sz w:val="22"/>
          <w:szCs w:val="22"/>
        </w:rPr>
      </w:pPr>
      <w:r w:rsidRPr="00391380">
        <w:rPr>
          <w:rFonts w:ascii="Lato" w:hAnsi="Lato"/>
          <w:b/>
          <w:bCs/>
          <w:sz w:val="22"/>
          <w:szCs w:val="22"/>
        </w:rPr>
        <w:t>i orzekam w tym zakresie</w:t>
      </w:r>
      <w:r w:rsidR="007F305D">
        <w:rPr>
          <w:rFonts w:ascii="Lato" w:hAnsi="Lato"/>
          <w:bCs/>
          <w:sz w:val="22"/>
          <w:szCs w:val="22"/>
        </w:rPr>
        <w:t xml:space="preserve"> poprzez</w:t>
      </w:r>
      <w:r w:rsidRPr="00391380">
        <w:rPr>
          <w:rFonts w:ascii="Lato" w:hAnsi="Lato"/>
          <w:bCs/>
          <w:sz w:val="22"/>
          <w:szCs w:val="22"/>
        </w:rPr>
        <w:t>:</w:t>
      </w:r>
    </w:p>
    <w:p w14:paraId="58433BCD" w14:textId="5A1FB5B0" w:rsidR="00391380" w:rsidRPr="00391380" w:rsidRDefault="007F305D" w:rsidP="00391380">
      <w:pPr>
        <w:numPr>
          <w:ilvl w:val="0"/>
          <w:numId w:val="8"/>
        </w:numPr>
        <w:spacing w:after="240" w:line="240" w:lineRule="exact"/>
        <w:ind w:left="568" w:hanging="284"/>
        <w:jc w:val="both"/>
        <w:rPr>
          <w:rFonts w:ascii="Lato" w:hAnsi="Lato" w:cs="Arial"/>
          <w:b/>
          <w:spacing w:val="4"/>
          <w:sz w:val="22"/>
          <w:szCs w:val="22"/>
        </w:rPr>
      </w:pPr>
      <w:bookmarkStart w:id="4" w:name="_Hlk131580640"/>
      <w:r w:rsidRPr="00391380">
        <w:rPr>
          <w:rFonts w:ascii="Lato" w:hAnsi="Lato"/>
          <w:bCs/>
          <w:iCs/>
          <w:sz w:val="22"/>
          <w:szCs w:val="22"/>
        </w:rPr>
        <w:t>ustalenie</w:t>
      </w:r>
      <w:r w:rsidRPr="00391380">
        <w:rPr>
          <w:rFonts w:ascii="Lato" w:hAnsi="Lato" w:cs="Arial"/>
          <w:bCs/>
          <w:spacing w:val="4"/>
          <w:sz w:val="22"/>
          <w:szCs w:val="22"/>
        </w:rPr>
        <w:t>, w rozstrzygnięciu zaskarżonej decyzji</w:t>
      </w:r>
      <w:r>
        <w:rPr>
          <w:rFonts w:ascii="Lato" w:hAnsi="Lato" w:cs="Arial"/>
          <w:bCs/>
          <w:spacing w:val="4"/>
          <w:sz w:val="22"/>
          <w:szCs w:val="22"/>
        </w:rPr>
        <w:t>,</w:t>
      </w:r>
      <w:r w:rsidRPr="00391380">
        <w:rPr>
          <w:rFonts w:ascii="Lato" w:hAnsi="Lato" w:cs="Arial"/>
          <w:bCs/>
          <w:spacing w:val="4"/>
          <w:sz w:val="22"/>
          <w:szCs w:val="22"/>
        </w:rPr>
        <w:t xml:space="preserve"> </w:t>
      </w:r>
      <w:r w:rsidR="00391380" w:rsidRPr="00391380">
        <w:rPr>
          <w:rFonts w:ascii="Lato" w:hAnsi="Lato" w:cs="Arial"/>
          <w:bCs/>
          <w:spacing w:val="4"/>
          <w:sz w:val="22"/>
          <w:szCs w:val="22"/>
        </w:rPr>
        <w:t>w miejsce uchylenia, na stronie</w:t>
      </w:r>
      <w:r w:rsidR="00391380" w:rsidRPr="00391380">
        <w:rPr>
          <w:rFonts w:ascii="Lato" w:hAnsi="Lato" w:cs="Arial"/>
          <w:spacing w:val="4"/>
          <w:sz w:val="22"/>
          <w:szCs w:val="22"/>
        </w:rPr>
        <w:t xml:space="preserve"> </w:t>
      </w:r>
      <w:r>
        <w:rPr>
          <w:rFonts w:ascii="Lato" w:hAnsi="Lato" w:cs="Arial"/>
          <w:spacing w:val="4"/>
          <w:sz w:val="22"/>
          <w:szCs w:val="22"/>
        </w:rPr>
        <w:t>6</w:t>
      </w:r>
      <w:r w:rsidR="00391380" w:rsidRPr="00391380">
        <w:rPr>
          <w:rFonts w:ascii="Lato" w:hAnsi="Lato" w:cs="Arial"/>
          <w:spacing w:val="4"/>
          <w:sz w:val="22"/>
          <w:szCs w:val="22"/>
        </w:rPr>
        <w:t xml:space="preserve"> zapisów stanowiących nową treść pkt </w:t>
      </w:r>
      <w:r>
        <w:rPr>
          <w:rFonts w:ascii="Lato" w:hAnsi="Lato" w:cs="Arial"/>
          <w:spacing w:val="4"/>
          <w:sz w:val="22"/>
          <w:szCs w:val="22"/>
        </w:rPr>
        <w:t>5</w:t>
      </w:r>
      <w:r w:rsidR="00391380" w:rsidRPr="00391380">
        <w:rPr>
          <w:rFonts w:ascii="Lato" w:hAnsi="Lato" w:cs="Arial"/>
          <w:spacing w:val="4"/>
          <w:sz w:val="22"/>
          <w:szCs w:val="22"/>
        </w:rPr>
        <w:t xml:space="preserve"> zaskarżonej decyzji:</w:t>
      </w:r>
    </w:p>
    <w:p w14:paraId="265A1026" w14:textId="24F0674B" w:rsidR="00391380" w:rsidRDefault="00391380" w:rsidP="004358F3">
      <w:pPr>
        <w:pBdr>
          <w:top w:val="none" w:sz="0" w:space="0" w:color="000000"/>
          <w:left w:val="none" w:sz="0" w:space="0" w:color="000000"/>
          <w:bottom w:val="none" w:sz="0" w:space="0" w:color="000000"/>
          <w:right w:val="none" w:sz="0" w:space="0" w:color="000000"/>
          <w:between w:val="none" w:sz="0" w:space="0" w:color="000000"/>
        </w:pBdr>
        <w:spacing w:after="240" w:line="240" w:lineRule="exact"/>
        <w:ind w:left="567" w:hanging="141"/>
        <w:jc w:val="both"/>
        <w:outlineLvl w:val="0"/>
        <w:rPr>
          <w:rFonts w:ascii="Lato" w:hAnsi="Lato" w:cs="Arial"/>
          <w:b/>
          <w:bCs/>
          <w:spacing w:val="4"/>
          <w:sz w:val="22"/>
          <w:szCs w:val="22"/>
        </w:rPr>
      </w:pPr>
      <w:r w:rsidRPr="00391380">
        <w:rPr>
          <w:rFonts w:ascii="Lato" w:hAnsi="Lato" w:cs="Arial"/>
          <w:spacing w:val="4"/>
          <w:sz w:val="22"/>
          <w:szCs w:val="22"/>
        </w:rPr>
        <w:t>„</w:t>
      </w:r>
      <w:bookmarkEnd w:id="4"/>
      <w:r w:rsidR="007F305D">
        <w:rPr>
          <w:rFonts w:ascii="Lato" w:hAnsi="Lato" w:cs="Arial"/>
          <w:b/>
          <w:bCs/>
          <w:spacing w:val="4"/>
          <w:sz w:val="22"/>
          <w:szCs w:val="22"/>
        </w:rPr>
        <w:t>5. Wymagania dotyczące ochrony interesów osób trzecich:</w:t>
      </w:r>
    </w:p>
    <w:p w14:paraId="08E513D8" w14:textId="23CEC88A" w:rsidR="004358F3" w:rsidRPr="004358F3" w:rsidRDefault="004358F3" w:rsidP="004358F3">
      <w:pPr>
        <w:pStyle w:val="Akapitzlist"/>
        <w:numPr>
          <w:ilvl w:val="0"/>
          <w:numId w:val="10"/>
        </w:numPr>
        <w:pBdr>
          <w:top w:val="none" w:sz="0" w:space="0" w:color="000000"/>
          <w:left w:val="none" w:sz="0" w:space="0" w:color="000000"/>
          <w:bottom w:val="none" w:sz="0" w:space="0" w:color="000000"/>
          <w:right w:val="none" w:sz="0" w:space="0" w:color="000000"/>
          <w:between w:val="none" w:sz="0" w:space="0" w:color="000000"/>
        </w:pBdr>
        <w:spacing w:after="120" w:line="240" w:lineRule="exact"/>
        <w:ind w:left="924" w:hanging="357"/>
        <w:contextualSpacing w:val="0"/>
        <w:jc w:val="both"/>
        <w:outlineLvl w:val="0"/>
        <w:rPr>
          <w:rFonts w:ascii="Lato" w:hAnsi="Lato" w:cs="Arial"/>
          <w:spacing w:val="4"/>
          <w:sz w:val="22"/>
          <w:szCs w:val="22"/>
        </w:rPr>
      </w:pPr>
      <w:r w:rsidRPr="004358F3">
        <w:rPr>
          <w:rFonts w:ascii="Lato" w:hAnsi="Lato" w:cs="Arial"/>
          <w:spacing w:val="4"/>
          <w:sz w:val="22"/>
          <w:szCs w:val="22"/>
        </w:rPr>
        <w:t>zabezpieczenie interesów osób trzecich powinno być zapewnione poprzez ochronę przed:</w:t>
      </w:r>
    </w:p>
    <w:p w14:paraId="729D67AE" w14:textId="095157E8" w:rsidR="004358F3" w:rsidRDefault="004358F3" w:rsidP="004358F3">
      <w:pPr>
        <w:pStyle w:val="Akapitzlist"/>
        <w:numPr>
          <w:ilvl w:val="0"/>
          <w:numId w:val="11"/>
        </w:numPr>
        <w:pBdr>
          <w:top w:val="none" w:sz="0" w:space="0" w:color="000000"/>
          <w:left w:val="none" w:sz="0" w:space="0" w:color="000000"/>
          <w:bottom w:val="none" w:sz="0" w:space="0" w:color="000000"/>
          <w:right w:val="none" w:sz="0" w:space="0" w:color="000000"/>
          <w:between w:val="none" w:sz="0" w:space="0" w:color="000000"/>
        </w:pBdr>
        <w:spacing w:after="240" w:line="240" w:lineRule="exact"/>
        <w:jc w:val="both"/>
        <w:outlineLvl w:val="0"/>
        <w:rPr>
          <w:rFonts w:ascii="Lato" w:hAnsi="Lato" w:cs="Arial"/>
          <w:spacing w:val="4"/>
          <w:sz w:val="22"/>
          <w:szCs w:val="22"/>
        </w:rPr>
      </w:pPr>
      <w:r>
        <w:rPr>
          <w:rFonts w:ascii="Lato" w:hAnsi="Lato" w:cs="Arial"/>
          <w:spacing w:val="4"/>
          <w:sz w:val="22"/>
          <w:szCs w:val="22"/>
        </w:rPr>
        <w:t>pozbawieniem dostępu do drogi publicznej,</w:t>
      </w:r>
    </w:p>
    <w:p w14:paraId="4FFC1932" w14:textId="19E0103E" w:rsidR="004358F3" w:rsidRDefault="004358F3" w:rsidP="004358F3">
      <w:pPr>
        <w:pStyle w:val="Akapitzlist"/>
        <w:numPr>
          <w:ilvl w:val="0"/>
          <w:numId w:val="11"/>
        </w:numPr>
        <w:pBdr>
          <w:top w:val="none" w:sz="0" w:space="0" w:color="000000"/>
          <w:left w:val="none" w:sz="0" w:space="0" w:color="000000"/>
          <w:bottom w:val="none" w:sz="0" w:space="0" w:color="000000"/>
          <w:right w:val="none" w:sz="0" w:space="0" w:color="000000"/>
          <w:between w:val="none" w:sz="0" w:space="0" w:color="000000"/>
        </w:pBdr>
        <w:spacing w:after="240" w:line="240" w:lineRule="exact"/>
        <w:jc w:val="both"/>
        <w:outlineLvl w:val="0"/>
        <w:rPr>
          <w:rFonts w:ascii="Lato" w:hAnsi="Lato" w:cs="Arial"/>
          <w:spacing w:val="4"/>
          <w:sz w:val="22"/>
          <w:szCs w:val="22"/>
        </w:rPr>
      </w:pPr>
      <w:r>
        <w:rPr>
          <w:rFonts w:ascii="Lato" w:hAnsi="Lato" w:cs="Arial"/>
          <w:spacing w:val="4"/>
          <w:sz w:val="22"/>
          <w:szCs w:val="22"/>
        </w:rPr>
        <w:t>pozbawieniem możliwości korzystania z wody, kanalizacji, energii elektrycznej i cieplnej oraz ze środków łączności,</w:t>
      </w:r>
    </w:p>
    <w:p w14:paraId="43FA75EA" w14:textId="5EAFC39D" w:rsidR="004358F3" w:rsidRDefault="004358F3" w:rsidP="004358F3">
      <w:pPr>
        <w:pStyle w:val="Akapitzlist"/>
        <w:numPr>
          <w:ilvl w:val="0"/>
          <w:numId w:val="11"/>
        </w:numPr>
        <w:pBdr>
          <w:top w:val="none" w:sz="0" w:space="0" w:color="000000"/>
          <w:left w:val="none" w:sz="0" w:space="0" w:color="000000"/>
          <w:bottom w:val="none" w:sz="0" w:space="0" w:color="000000"/>
          <w:right w:val="none" w:sz="0" w:space="0" w:color="000000"/>
          <w:between w:val="none" w:sz="0" w:space="0" w:color="000000"/>
        </w:pBdr>
        <w:spacing w:after="120" w:line="240" w:lineRule="exact"/>
        <w:ind w:left="1281" w:hanging="357"/>
        <w:contextualSpacing w:val="0"/>
        <w:jc w:val="both"/>
        <w:outlineLvl w:val="0"/>
        <w:rPr>
          <w:rFonts w:ascii="Lato" w:hAnsi="Lato" w:cs="Arial"/>
          <w:spacing w:val="4"/>
          <w:sz w:val="22"/>
          <w:szCs w:val="22"/>
        </w:rPr>
      </w:pPr>
      <w:r>
        <w:rPr>
          <w:rFonts w:ascii="Lato" w:hAnsi="Lato" w:cs="Arial"/>
          <w:spacing w:val="4"/>
          <w:sz w:val="22"/>
          <w:szCs w:val="22"/>
        </w:rPr>
        <w:t>uciążliwościami powodowanymi przez hałas, wibracje, zakłócenia elektryczne i promieniowanie;</w:t>
      </w:r>
    </w:p>
    <w:p w14:paraId="76B051A1" w14:textId="57FA5008" w:rsidR="004358F3" w:rsidRDefault="004358F3" w:rsidP="004358F3">
      <w:pPr>
        <w:pStyle w:val="Akapitzlist"/>
        <w:numPr>
          <w:ilvl w:val="0"/>
          <w:numId w:val="10"/>
        </w:numPr>
        <w:pBdr>
          <w:top w:val="none" w:sz="0" w:space="0" w:color="000000"/>
          <w:left w:val="none" w:sz="0" w:space="0" w:color="000000"/>
          <w:bottom w:val="none" w:sz="0" w:space="0" w:color="000000"/>
          <w:right w:val="none" w:sz="0" w:space="0" w:color="000000"/>
          <w:between w:val="none" w:sz="0" w:space="0" w:color="000000"/>
        </w:pBdr>
        <w:spacing w:after="120" w:line="240" w:lineRule="exact"/>
        <w:ind w:left="924" w:hanging="357"/>
        <w:contextualSpacing w:val="0"/>
        <w:jc w:val="both"/>
        <w:outlineLvl w:val="0"/>
        <w:rPr>
          <w:rFonts w:ascii="Lato" w:hAnsi="Lato" w:cs="Arial"/>
          <w:spacing w:val="4"/>
          <w:sz w:val="22"/>
          <w:szCs w:val="22"/>
        </w:rPr>
      </w:pPr>
      <w:r>
        <w:rPr>
          <w:rFonts w:ascii="Lato" w:hAnsi="Lato" w:cs="Arial"/>
          <w:spacing w:val="4"/>
          <w:sz w:val="22"/>
          <w:szCs w:val="22"/>
        </w:rPr>
        <w:t xml:space="preserve">wejście na teren, który nie jest we władaniu inwestora jest możliwe na warunkach określonych w pkt 9 i 10 decyzji o </w:t>
      </w:r>
      <w:r w:rsidRPr="00391380">
        <w:rPr>
          <w:rFonts w:ascii="Lato" w:hAnsi="Lato" w:cs="Arial"/>
          <w:spacing w:val="4"/>
          <w:sz w:val="22"/>
          <w:szCs w:val="22"/>
        </w:rPr>
        <w:t>ustaleniu lokalizacji inwestycji towarzyszącej inwestycjom w zakresie terminalu regazyfikacyjnego skroplonego gazu ziemnego w Świnoujściu</w:t>
      </w:r>
      <w:r>
        <w:rPr>
          <w:rFonts w:ascii="Lato" w:hAnsi="Lato" w:cs="Arial"/>
          <w:spacing w:val="4"/>
          <w:sz w:val="22"/>
          <w:szCs w:val="22"/>
        </w:rPr>
        <w:t>,</w:t>
      </w:r>
    </w:p>
    <w:p w14:paraId="7C796A78" w14:textId="13876E55" w:rsidR="003D05FD" w:rsidRPr="00670F2A" w:rsidRDefault="003D05FD" w:rsidP="00FB30BF">
      <w:pPr>
        <w:pStyle w:val="Akapitzlist"/>
        <w:numPr>
          <w:ilvl w:val="0"/>
          <w:numId w:val="10"/>
        </w:numPr>
        <w:pBdr>
          <w:top w:val="none" w:sz="0" w:space="0" w:color="000000"/>
          <w:left w:val="none" w:sz="0" w:space="0" w:color="000000"/>
          <w:bottom w:val="none" w:sz="0" w:space="0" w:color="000000"/>
          <w:right w:val="none" w:sz="0" w:space="0" w:color="000000"/>
          <w:between w:val="none" w:sz="0" w:space="0" w:color="000000"/>
        </w:pBdr>
        <w:spacing w:after="240" w:line="240" w:lineRule="exact"/>
        <w:ind w:left="924" w:hanging="357"/>
        <w:jc w:val="both"/>
        <w:outlineLvl w:val="0"/>
        <w:rPr>
          <w:rFonts w:ascii="Lato" w:hAnsi="Lato" w:cs="Arial"/>
          <w:spacing w:val="4"/>
          <w:sz w:val="22"/>
          <w:szCs w:val="22"/>
        </w:rPr>
      </w:pPr>
      <w:r>
        <w:rPr>
          <w:rFonts w:ascii="Lato" w:hAnsi="Lato" w:cs="Arial"/>
          <w:spacing w:val="4"/>
          <w:sz w:val="22"/>
          <w:szCs w:val="22"/>
        </w:rPr>
        <w:t>w</w:t>
      </w:r>
      <w:r w:rsidRPr="003D05FD">
        <w:rPr>
          <w:rFonts w:ascii="Lato" w:hAnsi="Lato" w:cs="Arial"/>
          <w:spacing w:val="4"/>
          <w:sz w:val="22"/>
          <w:szCs w:val="22"/>
        </w:rPr>
        <w:t xml:space="preserve"> celu realizacji </w:t>
      </w:r>
      <w:r w:rsidRPr="00670F2A">
        <w:rPr>
          <w:rFonts w:ascii="Lato" w:hAnsi="Lato" w:cs="Arial"/>
          <w:spacing w:val="4"/>
          <w:sz w:val="22"/>
          <w:szCs w:val="22"/>
        </w:rPr>
        <w:t xml:space="preserve">wymagania dotyczącego zapewnienia dostępu do drogi publicznej, na podstawie art. 120 ustawy z dnia 21 sierpnia 1997 r. </w:t>
      </w:r>
      <w:r w:rsidR="002658DD">
        <w:rPr>
          <w:rFonts w:ascii="Lato" w:hAnsi="Lato" w:cs="Arial"/>
          <w:spacing w:val="4"/>
          <w:sz w:val="22"/>
          <w:szCs w:val="22"/>
        </w:rPr>
        <w:br/>
      </w:r>
      <w:r w:rsidRPr="00670F2A">
        <w:rPr>
          <w:rFonts w:ascii="Lato" w:hAnsi="Lato" w:cs="Arial"/>
          <w:spacing w:val="4"/>
          <w:sz w:val="22"/>
          <w:szCs w:val="22"/>
        </w:rPr>
        <w:lastRenderedPageBreak/>
        <w:t xml:space="preserve">o gospodarce nieruchomościami </w:t>
      </w:r>
      <w:r w:rsidR="007D7FB9" w:rsidRPr="00670F2A">
        <w:rPr>
          <w:rFonts w:ascii="Lato" w:hAnsi="Lato" w:cs="Arial"/>
          <w:spacing w:val="4"/>
          <w:sz w:val="22"/>
          <w:szCs w:val="22"/>
        </w:rPr>
        <w:t xml:space="preserve">(Dz. U. z </w:t>
      </w:r>
      <w:r w:rsidR="00706C7D" w:rsidRPr="00706C7D">
        <w:rPr>
          <w:rFonts w:ascii="Lato" w:hAnsi="Lato" w:cs="Arial"/>
          <w:spacing w:val="4"/>
          <w:sz w:val="22"/>
          <w:szCs w:val="22"/>
        </w:rPr>
        <w:t>2026 r. poz. 399</w:t>
      </w:r>
      <w:r w:rsidR="00706C7D">
        <w:rPr>
          <w:rFonts w:ascii="Lato" w:hAnsi="Lato" w:cs="Arial"/>
          <w:spacing w:val="4"/>
          <w:sz w:val="22"/>
          <w:szCs w:val="22"/>
        </w:rPr>
        <w:t xml:space="preserve"> </w:t>
      </w:r>
      <w:r w:rsidR="007D7FB9" w:rsidRPr="00670F2A">
        <w:rPr>
          <w:rFonts w:ascii="Lato" w:hAnsi="Lato" w:cs="Arial"/>
          <w:spacing w:val="4"/>
          <w:sz w:val="22"/>
          <w:szCs w:val="22"/>
        </w:rPr>
        <w:t xml:space="preserve">z późn. zm.) </w:t>
      </w:r>
      <w:r w:rsidR="002658DD">
        <w:rPr>
          <w:rFonts w:ascii="Lato" w:hAnsi="Lato" w:cs="Arial"/>
          <w:spacing w:val="4"/>
          <w:sz w:val="22"/>
          <w:szCs w:val="22"/>
        </w:rPr>
        <w:br/>
      </w:r>
      <w:r w:rsidRPr="00670F2A">
        <w:rPr>
          <w:rFonts w:ascii="Lato" w:hAnsi="Lato" w:cs="Arial"/>
          <w:spacing w:val="4"/>
          <w:sz w:val="22"/>
          <w:szCs w:val="22"/>
        </w:rPr>
        <w:t xml:space="preserve">w związku z art. </w:t>
      </w:r>
      <w:r w:rsidR="007D7FB9" w:rsidRPr="00670F2A">
        <w:rPr>
          <w:rFonts w:ascii="Lato" w:hAnsi="Lato" w:cs="Arial"/>
          <w:spacing w:val="4"/>
          <w:sz w:val="22"/>
          <w:szCs w:val="22"/>
        </w:rPr>
        <w:t>30 ustawy o inwestycjach w zakresie terminalu regazyfikacyjnego skroplonego gazu ziemnego w Świnoujściu</w:t>
      </w:r>
      <w:r w:rsidR="00307559">
        <w:rPr>
          <w:rFonts w:ascii="Lato" w:hAnsi="Lato" w:cs="Arial"/>
          <w:spacing w:val="4"/>
          <w:sz w:val="22"/>
          <w:szCs w:val="22"/>
        </w:rPr>
        <w:t xml:space="preserve">, </w:t>
      </w:r>
      <w:r w:rsidRPr="00670F2A">
        <w:rPr>
          <w:rFonts w:ascii="Lato" w:hAnsi="Lato" w:cs="Arial"/>
          <w:spacing w:val="4"/>
          <w:sz w:val="22"/>
          <w:szCs w:val="22"/>
        </w:rPr>
        <w:t>usta</w:t>
      </w:r>
      <w:r w:rsidR="00E4389C">
        <w:rPr>
          <w:rFonts w:ascii="Lato" w:hAnsi="Lato" w:cs="Arial"/>
          <w:spacing w:val="4"/>
          <w:sz w:val="22"/>
          <w:szCs w:val="22"/>
        </w:rPr>
        <w:t>nawiam</w:t>
      </w:r>
      <w:r w:rsidRPr="00670F2A">
        <w:rPr>
          <w:rFonts w:ascii="Lato" w:hAnsi="Lato" w:cs="Arial"/>
          <w:spacing w:val="4"/>
          <w:sz w:val="22"/>
          <w:szCs w:val="22"/>
        </w:rPr>
        <w:t xml:space="preserve"> </w:t>
      </w:r>
      <w:bookmarkStart w:id="5" w:name="_Hlk114152955"/>
      <w:r w:rsidRPr="00670F2A">
        <w:rPr>
          <w:rFonts w:ascii="Lato" w:hAnsi="Lato" w:cs="Arial"/>
          <w:spacing w:val="4"/>
          <w:sz w:val="22"/>
          <w:szCs w:val="22"/>
        </w:rPr>
        <w:t>służebność przejazdu i przechodu</w:t>
      </w:r>
      <w:bookmarkEnd w:id="5"/>
      <w:r w:rsidRPr="00670F2A">
        <w:rPr>
          <w:rFonts w:ascii="Lato" w:hAnsi="Lato" w:cs="Arial"/>
          <w:spacing w:val="4"/>
          <w:sz w:val="22"/>
          <w:szCs w:val="22"/>
        </w:rPr>
        <w:t>, zgodnie z poniższą tabelą:</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3686"/>
      </w:tblGrid>
      <w:tr w:rsidR="006D47C4" w:rsidRPr="00A71D65" w14:paraId="00E0AC85" w14:textId="77777777" w:rsidTr="009C0AA5">
        <w:tc>
          <w:tcPr>
            <w:tcW w:w="5245" w:type="dxa"/>
            <w:shd w:val="clear" w:color="auto" w:fill="BFBFBF"/>
            <w:vAlign w:val="center"/>
          </w:tcPr>
          <w:p w14:paraId="27F387B9" w14:textId="77777777" w:rsidR="006D47C4" w:rsidRPr="006D47C4" w:rsidRDefault="006D47C4" w:rsidP="008179E7">
            <w:pPr>
              <w:suppressAutoHyphens/>
              <w:spacing w:line="276" w:lineRule="auto"/>
              <w:jc w:val="center"/>
              <w:rPr>
                <w:rFonts w:ascii="Lato" w:eastAsia="Calibri" w:hAnsi="Lato" w:cs="Arial"/>
                <w:b/>
                <w:spacing w:val="4"/>
                <w:sz w:val="22"/>
                <w:szCs w:val="22"/>
              </w:rPr>
            </w:pPr>
            <w:r w:rsidRPr="006D47C4">
              <w:rPr>
                <w:rFonts w:ascii="Lato" w:eastAsia="Calibri" w:hAnsi="Lato" w:cs="Arial"/>
                <w:b/>
                <w:spacing w:val="4"/>
                <w:sz w:val="22"/>
                <w:szCs w:val="22"/>
              </w:rPr>
              <w:t xml:space="preserve">Numer działki, na rzecz której ustala się służebność przejazdu </w:t>
            </w:r>
            <w:r w:rsidRPr="006D47C4">
              <w:rPr>
                <w:rFonts w:ascii="Lato" w:eastAsia="Calibri" w:hAnsi="Lato" w:cs="Arial"/>
                <w:b/>
                <w:spacing w:val="4"/>
                <w:sz w:val="22"/>
                <w:szCs w:val="22"/>
              </w:rPr>
              <w:br/>
              <w:t>i przechodu</w:t>
            </w:r>
          </w:p>
        </w:tc>
        <w:tc>
          <w:tcPr>
            <w:tcW w:w="3686" w:type="dxa"/>
            <w:shd w:val="clear" w:color="auto" w:fill="BFBFBF"/>
            <w:vAlign w:val="center"/>
          </w:tcPr>
          <w:p w14:paraId="44AA9DE5" w14:textId="77777777" w:rsidR="006D47C4" w:rsidRPr="006D47C4" w:rsidRDefault="006D47C4" w:rsidP="008179E7">
            <w:pPr>
              <w:suppressAutoHyphens/>
              <w:spacing w:line="276" w:lineRule="auto"/>
              <w:rPr>
                <w:rFonts w:ascii="Lato" w:eastAsia="Calibri" w:hAnsi="Lato" w:cs="Arial"/>
                <w:b/>
                <w:spacing w:val="4"/>
                <w:sz w:val="22"/>
                <w:szCs w:val="22"/>
              </w:rPr>
            </w:pPr>
          </w:p>
          <w:p w14:paraId="6078444A" w14:textId="77777777" w:rsidR="006D47C4" w:rsidRPr="006D47C4" w:rsidRDefault="006D47C4" w:rsidP="008179E7">
            <w:pPr>
              <w:suppressAutoHyphens/>
              <w:spacing w:line="276" w:lineRule="auto"/>
              <w:jc w:val="center"/>
              <w:rPr>
                <w:rFonts w:ascii="Lato" w:eastAsia="Calibri" w:hAnsi="Lato" w:cs="Arial"/>
                <w:b/>
                <w:spacing w:val="4"/>
                <w:sz w:val="22"/>
                <w:szCs w:val="22"/>
              </w:rPr>
            </w:pPr>
            <w:r w:rsidRPr="006D47C4">
              <w:rPr>
                <w:rFonts w:ascii="Lato" w:eastAsia="Calibri" w:hAnsi="Lato" w:cs="Arial"/>
                <w:b/>
                <w:spacing w:val="4"/>
                <w:sz w:val="22"/>
                <w:szCs w:val="22"/>
              </w:rPr>
              <w:t xml:space="preserve">Numery </w:t>
            </w:r>
            <w:bookmarkStart w:id="6" w:name="_Hlk138400784"/>
            <w:r w:rsidRPr="006D47C4">
              <w:rPr>
                <w:rFonts w:ascii="Lato" w:eastAsia="Calibri" w:hAnsi="Lato" w:cs="Arial"/>
                <w:b/>
                <w:spacing w:val="4"/>
                <w:sz w:val="22"/>
                <w:szCs w:val="22"/>
              </w:rPr>
              <w:t>działek, przez które ustanawia się służebność przejazdu i przechodu</w:t>
            </w:r>
            <w:bookmarkEnd w:id="6"/>
            <w:r w:rsidRPr="006D47C4">
              <w:rPr>
                <w:rFonts w:ascii="Lato" w:eastAsia="Calibri" w:hAnsi="Lato" w:cs="Arial"/>
                <w:b/>
                <w:spacing w:val="4"/>
                <w:sz w:val="22"/>
                <w:szCs w:val="22"/>
              </w:rPr>
              <w:br/>
            </w:r>
          </w:p>
        </w:tc>
      </w:tr>
      <w:tr w:rsidR="006D47C4" w:rsidRPr="00A71D65" w14:paraId="2F747BC2" w14:textId="77777777" w:rsidTr="003B7A72">
        <w:tc>
          <w:tcPr>
            <w:tcW w:w="8931" w:type="dxa"/>
            <w:gridSpan w:val="2"/>
            <w:vAlign w:val="center"/>
          </w:tcPr>
          <w:p w14:paraId="4647116E" w14:textId="4FC7A640" w:rsidR="006D47C4" w:rsidRPr="006D47C4" w:rsidRDefault="006D47C4" w:rsidP="008179E7">
            <w:pPr>
              <w:suppressAutoHyphens/>
              <w:spacing w:line="276" w:lineRule="auto"/>
              <w:jc w:val="center"/>
              <w:rPr>
                <w:rFonts w:ascii="Lato" w:eastAsia="Calibri" w:hAnsi="Lato" w:cs="Arial"/>
                <w:b/>
                <w:spacing w:val="4"/>
                <w:sz w:val="22"/>
                <w:szCs w:val="22"/>
              </w:rPr>
            </w:pPr>
            <w:r w:rsidRPr="006D47C4">
              <w:rPr>
                <w:rFonts w:ascii="Lato" w:eastAsia="Calibri" w:hAnsi="Lato" w:cs="Arial"/>
                <w:b/>
                <w:spacing w:val="4"/>
                <w:sz w:val="22"/>
                <w:szCs w:val="22"/>
              </w:rPr>
              <w:t xml:space="preserve">Gmina </w:t>
            </w:r>
            <w:r>
              <w:rPr>
                <w:rFonts w:ascii="Lato" w:eastAsia="Calibri" w:hAnsi="Lato" w:cs="Arial"/>
                <w:b/>
                <w:spacing w:val="4"/>
                <w:sz w:val="22"/>
                <w:szCs w:val="22"/>
              </w:rPr>
              <w:t>Świlcza, obręb 0002 Bratkowice</w:t>
            </w:r>
            <w:r w:rsidRPr="006D47C4">
              <w:rPr>
                <w:rFonts w:ascii="Lato" w:eastAsia="Calibri" w:hAnsi="Lato" w:cs="Arial"/>
                <w:b/>
                <w:spacing w:val="4"/>
                <w:sz w:val="22"/>
                <w:szCs w:val="22"/>
              </w:rPr>
              <w:t xml:space="preserve"> </w:t>
            </w:r>
          </w:p>
        </w:tc>
      </w:tr>
      <w:tr w:rsidR="006D47C4" w:rsidRPr="00A71D65" w14:paraId="66AAC7D0" w14:textId="77777777" w:rsidTr="009C0AA5">
        <w:tc>
          <w:tcPr>
            <w:tcW w:w="5245" w:type="dxa"/>
            <w:vAlign w:val="center"/>
          </w:tcPr>
          <w:p w14:paraId="22BC9BC4" w14:textId="18599D5A" w:rsidR="006D47C4" w:rsidRPr="006D47C4" w:rsidRDefault="003B7A72"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1506/12 (powstała z podziału działki nr 1506/11)</w:t>
            </w:r>
          </w:p>
        </w:tc>
        <w:tc>
          <w:tcPr>
            <w:tcW w:w="3686" w:type="dxa"/>
          </w:tcPr>
          <w:p w14:paraId="38B08353" w14:textId="502D6BCE" w:rsidR="006D47C4" w:rsidRPr="006D47C4" w:rsidRDefault="00992D5B" w:rsidP="008179E7">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1506/13 (powstała z podziału działki nr 1506/11)</w:t>
            </w:r>
          </w:p>
        </w:tc>
      </w:tr>
      <w:tr w:rsidR="006D47C4" w:rsidRPr="00A71D65" w14:paraId="5C7ACC6E" w14:textId="77777777" w:rsidTr="009C0AA5">
        <w:tc>
          <w:tcPr>
            <w:tcW w:w="5245" w:type="dxa"/>
            <w:vAlign w:val="center"/>
          </w:tcPr>
          <w:p w14:paraId="40C06D66" w14:textId="62F69912" w:rsidR="006D47C4" w:rsidRPr="006D47C4" w:rsidRDefault="003B7A72"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1507/1 (powstała z podziału działki nr 1507)</w:t>
            </w:r>
          </w:p>
        </w:tc>
        <w:tc>
          <w:tcPr>
            <w:tcW w:w="3686" w:type="dxa"/>
          </w:tcPr>
          <w:p w14:paraId="023CA5BD" w14:textId="77777777" w:rsidR="009C0AA5" w:rsidRDefault="00992D5B" w:rsidP="008179E7">
            <w:pPr>
              <w:suppressAutoHyphens/>
              <w:spacing w:line="276" w:lineRule="auto"/>
              <w:rPr>
                <w:rFonts w:ascii="Lato" w:eastAsia="Calibri" w:hAnsi="Lato" w:cs="Arial"/>
                <w:spacing w:val="4"/>
                <w:sz w:val="22"/>
                <w:szCs w:val="22"/>
              </w:rPr>
            </w:pPr>
            <w:r>
              <w:rPr>
                <w:rFonts w:ascii="Lato" w:eastAsia="Calibri" w:hAnsi="Lato" w:cs="Arial"/>
                <w:spacing w:val="4"/>
                <w:sz w:val="22"/>
                <w:szCs w:val="22"/>
              </w:rPr>
              <w:t xml:space="preserve">1506/13 (powstała z podziału działki nr 1506/11), </w:t>
            </w:r>
          </w:p>
          <w:p w14:paraId="3131BF0B" w14:textId="6FFAC3F6" w:rsidR="006D47C4" w:rsidRPr="006D47C4" w:rsidRDefault="00992D5B" w:rsidP="008179E7">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1507/2 (powstała z podziału działki nr 1507)</w:t>
            </w:r>
          </w:p>
        </w:tc>
      </w:tr>
      <w:tr w:rsidR="00992D5B" w:rsidRPr="00A71D65" w14:paraId="4A0B2D4D" w14:textId="77777777" w:rsidTr="009C0AA5">
        <w:tc>
          <w:tcPr>
            <w:tcW w:w="5245" w:type="dxa"/>
            <w:vAlign w:val="center"/>
          </w:tcPr>
          <w:p w14:paraId="6E018414" w14:textId="6A12E19E" w:rsidR="00992D5B" w:rsidRPr="006D47C4" w:rsidRDefault="00992D5B"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1507/3 (powstała z podziału działki nr 1507)</w:t>
            </w:r>
          </w:p>
        </w:tc>
        <w:tc>
          <w:tcPr>
            <w:tcW w:w="3686" w:type="dxa"/>
          </w:tcPr>
          <w:p w14:paraId="31491708" w14:textId="77777777" w:rsidR="009C0AA5" w:rsidRDefault="00992D5B" w:rsidP="00992D5B">
            <w:pPr>
              <w:suppressAutoHyphens/>
              <w:spacing w:line="276" w:lineRule="auto"/>
              <w:rPr>
                <w:rFonts w:ascii="Lato" w:eastAsia="Calibri" w:hAnsi="Lato" w:cs="Arial"/>
                <w:spacing w:val="4"/>
                <w:sz w:val="22"/>
                <w:szCs w:val="22"/>
              </w:rPr>
            </w:pPr>
            <w:r>
              <w:rPr>
                <w:rFonts w:ascii="Lato" w:eastAsia="Calibri" w:hAnsi="Lato" w:cs="Arial"/>
                <w:spacing w:val="4"/>
                <w:sz w:val="22"/>
                <w:szCs w:val="22"/>
              </w:rPr>
              <w:t xml:space="preserve">1506/13 (powstała z podziału działki nr 1506/11), </w:t>
            </w:r>
          </w:p>
          <w:p w14:paraId="4B34F797" w14:textId="6BAEF064" w:rsidR="00992D5B" w:rsidRPr="006D47C4" w:rsidRDefault="00992D5B" w:rsidP="00992D5B">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1507/2 (powstała z podziału działki nr 1507)</w:t>
            </w:r>
          </w:p>
        </w:tc>
      </w:tr>
      <w:tr w:rsidR="00992D5B" w:rsidRPr="00A71D65" w14:paraId="21D22F93" w14:textId="77777777" w:rsidTr="009C0AA5">
        <w:tc>
          <w:tcPr>
            <w:tcW w:w="5245" w:type="dxa"/>
            <w:vAlign w:val="center"/>
          </w:tcPr>
          <w:p w14:paraId="7B8DB695" w14:textId="528B7F9D" w:rsidR="00992D5B" w:rsidRDefault="00992D5B"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1520/1 (powstała z podziału działki nr 1520)</w:t>
            </w:r>
          </w:p>
        </w:tc>
        <w:tc>
          <w:tcPr>
            <w:tcW w:w="3686" w:type="dxa"/>
          </w:tcPr>
          <w:p w14:paraId="52258D34" w14:textId="77777777" w:rsidR="009C0AA5" w:rsidRDefault="00992D5B" w:rsidP="00992D5B">
            <w:pPr>
              <w:suppressAutoHyphens/>
              <w:spacing w:line="276" w:lineRule="auto"/>
              <w:rPr>
                <w:rFonts w:ascii="Lato" w:eastAsia="Calibri" w:hAnsi="Lato" w:cs="Arial"/>
                <w:spacing w:val="4"/>
                <w:sz w:val="22"/>
                <w:szCs w:val="22"/>
              </w:rPr>
            </w:pPr>
            <w:r>
              <w:rPr>
                <w:rFonts w:ascii="Lato" w:eastAsia="Calibri" w:hAnsi="Lato" w:cs="Arial"/>
                <w:spacing w:val="4"/>
                <w:sz w:val="22"/>
                <w:szCs w:val="22"/>
              </w:rPr>
              <w:t xml:space="preserve">1506/13 (powstała z podziału działki nr 1506/11), </w:t>
            </w:r>
          </w:p>
          <w:p w14:paraId="6C7B6D47" w14:textId="77777777" w:rsidR="009C0AA5" w:rsidRDefault="00992D5B" w:rsidP="00992D5B">
            <w:pPr>
              <w:suppressAutoHyphens/>
              <w:spacing w:line="276" w:lineRule="auto"/>
              <w:rPr>
                <w:rFonts w:ascii="Lato" w:eastAsia="Calibri" w:hAnsi="Lato" w:cs="Arial"/>
                <w:spacing w:val="4"/>
                <w:sz w:val="22"/>
                <w:szCs w:val="22"/>
              </w:rPr>
            </w:pPr>
            <w:r>
              <w:rPr>
                <w:rFonts w:ascii="Lato" w:eastAsia="Calibri" w:hAnsi="Lato" w:cs="Arial"/>
                <w:spacing w:val="4"/>
                <w:sz w:val="22"/>
                <w:szCs w:val="22"/>
              </w:rPr>
              <w:t xml:space="preserve">1507/2 (powstała z podziału działki nr 1507), </w:t>
            </w:r>
          </w:p>
          <w:p w14:paraId="06A27794" w14:textId="05A6D664" w:rsidR="00992D5B" w:rsidRPr="006D47C4" w:rsidRDefault="009C0AA5" w:rsidP="00992D5B">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1520/2 (powstała z podziału działki nr 1520)</w:t>
            </w:r>
          </w:p>
        </w:tc>
      </w:tr>
      <w:tr w:rsidR="009C0AA5" w:rsidRPr="00A71D65" w14:paraId="60D6D001" w14:textId="77777777" w:rsidTr="009C0AA5">
        <w:tc>
          <w:tcPr>
            <w:tcW w:w="5245" w:type="dxa"/>
            <w:vAlign w:val="center"/>
          </w:tcPr>
          <w:p w14:paraId="275B0D20" w14:textId="1851FA5D" w:rsidR="009C0AA5" w:rsidRDefault="009C0AA5"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1520/3 (powstała z podziału działki nr 1520)</w:t>
            </w:r>
          </w:p>
        </w:tc>
        <w:tc>
          <w:tcPr>
            <w:tcW w:w="3686" w:type="dxa"/>
          </w:tcPr>
          <w:p w14:paraId="1193F476" w14:textId="77777777" w:rsidR="009C0AA5" w:rsidRDefault="009C0AA5"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 xml:space="preserve">1506/13 (powstała z podziału działki nr 1506/11), </w:t>
            </w:r>
          </w:p>
          <w:p w14:paraId="0AE75C30" w14:textId="77777777" w:rsidR="009C0AA5" w:rsidRDefault="009C0AA5"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 xml:space="preserve">1507/2 (powstała z podziału działki nr 1507), </w:t>
            </w:r>
          </w:p>
          <w:p w14:paraId="6B135CAA" w14:textId="7415FF12" w:rsidR="009C0AA5" w:rsidRPr="006D47C4" w:rsidRDefault="009C0AA5" w:rsidP="009C0AA5">
            <w:pPr>
              <w:suppressAutoHyphens/>
              <w:spacing w:line="276" w:lineRule="auto"/>
              <w:rPr>
                <w:rFonts w:ascii="Lato" w:eastAsia="Calibri" w:hAnsi="Lato" w:cs="Arial"/>
                <w:spacing w:val="4"/>
                <w:sz w:val="22"/>
                <w:szCs w:val="22"/>
              </w:rPr>
            </w:pPr>
            <w:r>
              <w:rPr>
                <w:rFonts w:ascii="Lato" w:eastAsia="Calibri" w:hAnsi="Lato" w:cs="Arial"/>
                <w:spacing w:val="4"/>
                <w:sz w:val="22"/>
                <w:szCs w:val="22"/>
              </w:rPr>
              <w:t>1520/2 (powstała z podziału działki nr 1520)</w:t>
            </w:r>
          </w:p>
        </w:tc>
      </w:tr>
    </w:tbl>
    <w:p w14:paraId="183F7F0F" w14:textId="58F68656" w:rsidR="004358F3" w:rsidRDefault="004358F3" w:rsidP="003D05FD">
      <w:pPr>
        <w:pStyle w:val="Akapitzlist"/>
        <w:pBdr>
          <w:top w:val="none" w:sz="0" w:space="0" w:color="000000"/>
          <w:left w:val="none" w:sz="0" w:space="0" w:color="000000"/>
          <w:bottom w:val="none" w:sz="0" w:space="0" w:color="000000"/>
          <w:right w:val="none" w:sz="0" w:space="0" w:color="000000"/>
          <w:between w:val="none" w:sz="0" w:space="0" w:color="000000"/>
        </w:pBdr>
        <w:spacing w:after="240" w:line="240" w:lineRule="exact"/>
        <w:ind w:left="927"/>
        <w:jc w:val="both"/>
        <w:outlineLvl w:val="0"/>
        <w:rPr>
          <w:rFonts w:ascii="Lato" w:hAnsi="Lato" w:cs="Arial"/>
          <w:spacing w:val="4"/>
          <w:sz w:val="22"/>
          <w:szCs w:val="22"/>
        </w:rPr>
      </w:pPr>
    </w:p>
    <w:p w14:paraId="6A8E636B" w14:textId="32B522D8" w:rsidR="009C0AA5" w:rsidRDefault="009C0AA5" w:rsidP="009C0AA5">
      <w:pPr>
        <w:pStyle w:val="Akapitzlist"/>
        <w:pBdr>
          <w:top w:val="none" w:sz="0" w:space="0" w:color="000000"/>
          <w:left w:val="none" w:sz="0" w:space="0" w:color="000000"/>
          <w:bottom w:val="none" w:sz="0" w:space="0" w:color="000000"/>
          <w:right w:val="none" w:sz="0" w:space="0" w:color="000000"/>
          <w:between w:val="none" w:sz="0" w:space="0" w:color="000000"/>
        </w:pBdr>
        <w:ind w:left="142"/>
        <w:jc w:val="both"/>
        <w:outlineLvl w:val="0"/>
        <w:rPr>
          <w:rFonts w:ascii="Lato" w:hAnsi="Lato" w:cs="Arial"/>
          <w:spacing w:val="4"/>
          <w:sz w:val="22"/>
          <w:szCs w:val="22"/>
        </w:rPr>
      </w:pPr>
      <w:r w:rsidRPr="009C0AA5">
        <w:rPr>
          <w:rFonts w:ascii="Lato" w:hAnsi="Lato" w:cs="Arial"/>
          <w:spacing w:val="4"/>
          <w:sz w:val="22"/>
          <w:szCs w:val="22"/>
        </w:rPr>
        <w:t xml:space="preserve">Wszelkie koszty ustanowienia ww. służebności </w:t>
      </w:r>
      <w:r w:rsidRPr="009C0AA5">
        <w:rPr>
          <w:rFonts w:ascii="Lato" w:hAnsi="Lato" w:cs="Arial"/>
          <w:bCs/>
          <w:spacing w:val="4"/>
          <w:sz w:val="22"/>
          <w:szCs w:val="22"/>
        </w:rPr>
        <w:t>przejazdu i przechodu obciążają</w:t>
      </w:r>
      <w:r>
        <w:rPr>
          <w:rFonts w:ascii="Lato" w:hAnsi="Lato" w:cs="Arial"/>
          <w:bCs/>
          <w:spacing w:val="4"/>
          <w:sz w:val="22"/>
          <w:szCs w:val="22"/>
        </w:rPr>
        <w:t xml:space="preserve"> inwestora </w:t>
      </w:r>
      <w:r w:rsidR="002815C1">
        <w:rPr>
          <w:rFonts w:ascii="Lato" w:hAnsi="Lato" w:cs="Arial"/>
          <w:bCs/>
          <w:spacing w:val="4"/>
          <w:sz w:val="22"/>
          <w:szCs w:val="22"/>
        </w:rPr>
        <w:t>–</w:t>
      </w:r>
      <w:r>
        <w:rPr>
          <w:rFonts w:ascii="Lato" w:hAnsi="Lato" w:cs="Arial"/>
          <w:bCs/>
          <w:spacing w:val="4"/>
          <w:sz w:val="22"/>
          <w:szCs w:val="22"/>
        </w:rPr>
        <w:t xml:space="preserve"> </w:t>
      </w:r>
      <w:r w:rsidR="002815C1">
        <w:rPr>
          <w:rFonts w:ascii="Lato" w:hAnsi="Lato" w:cs="Arial"/>
          <w:bCs/>
          <w:spacing w:val="4"/>
          <w:sz w:val="22"/>
          <w:szCs w:val="22"/>
        </w:rPr>
        <w:t>Orlen Spółka Akcyjna z siedzibą w Płocku</w:t>
      </w:r>
      <w:r w:rsidRPr="009C0AA5">
        <w:rPr>
          <w:rFonts w:ascii="Lato" w:hAnsi="Lato" w:cs="Arial"/>
          <w:spacing w:val="4"/>
          <w:sz w:val="22"/>
          <w:szCs w:val="22"/>
        </w:rPr>
        <w:t>”,</w:t>
      </w:r>
    </w:p>
    <w:p w14:paraId="79B402E4" w14:textId="77777777" w:rsidR="006A3CCA" w:rsidRDefault="006A3CCA" w:rsidP="009C0AA5">
      <w:pPr>
        <w:pStyle w:val="Akapitzlist"/>
        <w:pBdr>
          <w:top w:val="none" w:sz="0" w:space="0" w:color="000000"/>
          <w:left w:val="none" w:sz="0" w:space="0" w:color="000000"/>
          <w:bottom w:val="none" w:sz="0" w:space="0" w:color="000000"/>
          <w:right w:val="none" w:sz="0" w:space="0" w:color="000000"/>
          <w:between w:val="none" w:sz="0" w:space="0" w:color="000000"/>
        </w:pBdr>
        <w:ind w:left="142"/>
        <w:jc w:val="both"/>
        <w:outlineLvl w:val="0"/>
        <w:rPr>
          <w:rFonts w:ascii="Lato" w:hAnsi="Lato" w:cs="Arial"/>
          <w:bCs/>
          <w:spacing w:val="4"/>
          <w:sz w:val="22"/>
          <w:szCs w:val="22"/>
        </w:rPr>
      </w:pPr>
    </w:p>
    <w:p w14:paraId="6D81AB3E" w14:textId="14F0FDAA" w:rsidR="004358F3" w:rsidRPr="00670F2A" w:rsidRDefault="006A3CCA" w:rsidP="00670F2A">
      <w:pPr>
        <w:numPr>
          <w:ilvl w:val="0"/>
          <w:numId w:val="8"/>
        </w:numPr>
        <w:spacing w:after="240" w:line="240" w:lineRule="exact"/>
        <w:ind w:left="568" w:hanging="284"/>
        <w:jc w:val="both"/>
        <w:rPr>
          <w:rFonts w:ascii="Lato" w:hAnsi="Lato" w:cs="Arial"/>
          <w:spacing w:val="4"/>
          <w:sz w:val="22"/>
          <w:szCs w:val="22"/>
        </w:rPr>
      </w:pPr>
      <w:r>
        <w:rPr>
          <w:rFonts w:ascii="Lato" w:hAnsi="Lato"/>
          <w:bCs/>
          <w:iCs/>
          <w:sz w:val="22"/>
          <w:szCs w:val="22"/>
        </w:rPr>
        <w:t xml:space="preserve">zatwierdzenie </w:t>
      </w:r>
      <w:r w:rsidRPr="006A3CCA">
        <w:rPr>
          <w:rFonts w:ascii="Lato" w:hAnsi="Lato" w:cs="Arial"/>
          <w:spacing w:val="4"/>
          <w:sz w:val="22"/>
          <w:szCs w:val="22"/>
        </w:rPr>
        <w:t xml:space="preserve">mapy </w:t>
      </w:r>
      <w:r w:rsidRPr="006A3CCA">
        <w:rPr>
          <w:rFonts w:ascii="Lato" w:hAnsi="Lato" w:cs="Arial"/>
          <w:spacing w:val="4"/>
          <w:sz w:val="22"/>
          <w:szCs w:val="22"/>
          <w:lang w:bidi="pl-PL"/>
        </w:rPr>
        <w:t>do celów prawnych, sporządzonej przez uprawnionego geodetę, przedstawiającej zakres służebności gruntowej przejazdu i przechodu dla projektowan</w:t>
      </w:r>
      <w:r w:rsidR="00670F2A">
        <w:rPr>
          <w:rFonts w:ascii="Lato" w:hAnsi="Lato" w:cs="Arial"/>
          <w:spacing w:val="4"/>
          <w:sz w:val="22"/>
          <w:szCs w:val="22"/>
          <w:lang w:bidi="pl-PL"/>
        </w:rPr>
        <w:t>ych działek nr 1506/12, 1507/1, 1507/3, 1520/1, 1520/3</w:t>
      </w:r>
      <w:r w:rsidRPr="006A3CCA">
        <w:rPr>
          <w:rFonts w:ascii="Lato" w:hAnsi="Lato" w:cs="Arial"/>
          <w:spacing w:val="4"/>
          <w:sz w:val="22"/>
          <w:szCs w:val="22"/>
        </w:rPr>
        <w:t xml:space="preserve">, z obrębu </w:t>
      </w:r>
      <w:r w:rsidR="00670F2A">
        <w:rPr>
          <w:rFonts w:ascii="Lato" w:hAnsi="Lato" w:cs="Arial"/>
          <w:spacing w:val="4"/>
          <w:sz w:val="22"/>
          <w:szCs w:val="22"/>
        </w:rPr>
        <w:t>0002 Bratkowice</w:t>
      </w:r>
      <w:r w:rsidRPr="006A3CCA">
        <w:rPr>
          <w:rFonts w:ascii="Lato" w:hAnsi="Lato" w:cs="Arial"/>
          <w:spacing w:val="4"/>
          <w:sz w:val="22"/>
          <w:szCs w:val="22"/>
        </w:rPr>
        <w:t xml:space="preserve">, na projektowanych działkach nr </w:t>
      </w:r>
      <w:r w:rsidR="00670F2A">
        <w:rPr>
          <w:rFonts w:ascii="Lato" w:hAnsi="Lato" w:cs="Arial"/>
          <w:spacing w:val="4"/>
          <w:sz w:val="22"/>
          <w:szCs w:val="22"/>
        </w:rPr>
        <w:t>1506/13, 1507/2, 1520/2</w:t>
      </w:r>
      <w:r w:rsidRPr="006A3CCA">
        <w:rPr>
          <w:rFonts w:ascii="Lato" w:hAnsi="Lato" w:cs="Arial"/>
          <w:spacing w:val="4"/>
          <w:sz w:val="22"/>
          <w:szCs w:val="22"/>
        </w:rPr>
        <w:t xml:space="preserve">, </w:t>
      </w:r>
      <w:r w:rsidR="002658DD">
        <w:rPr>
          <w:rFonts w:ascii="Lato" w:hAnsi="Lato" w:cs="Arial"/>
          <w:spacing w:val="4"/>
          <w:sz w:val="22"/>
          <w:szCs w:val="22"/>
        </w:rPr>
        <w:br/>
      </w:r>
      <w:r w:rsidRPr="006A3CCA">
        <w:rPr>
          <w:rFonts w:ascii="Lato" w:hAnsi="Lato" w:cs="Arial"/>
          <w:spacing w:val="4"/>
          <w:sz w:val="22"/>
          <w:szCs w:val="22"/>
        </w:rPr>
        <w:t xml:space="preserve">z obrębu </w:t>
      </w:r>
      <w:r w:rsidR="00670F2A">
        <w:rPr>
          <w:rFonts w:ascii="Lato" w:hAnsi="Lato" w:cs="Arial"/>
          <w:spacing w:val="4"/>
          <w:sz w:val="22"/>
          <w:szCs w:val="22"/>
        </w:rPr>
        <w:t xml:space="preserve">0002 </w:t>
      </w:r>
      <w:proofErr w:type="gramStart"/>
      <w:r w:rsidR="00670F2A">
        <w:rPr>
          <w:rFonts w:ascii="Lato" w:hAnsi="Lato" w:cs="Arial"/>
          <w:spacing w:val="4"/>
          <w:sz w:val="22"/>
          <w:szCs w:val="22"/>
        </w:rPr>
        <w:t>Bratkowice</w:t>
      </w:r>
      <w:r w:rsidRPr="006A3CCA">
        <w:rPr>
          <w:rFonts w:ascii="Lato" w:hAnsi="Lato" w:cs="Arial"/>
          <w:spacing w:val="4"/>
          <w:sz w:val="22"/>
          <w:szCs w:val="22"/>
        </w:rPr>
        <w:t>,  stanowiącej</w:t>
      </w:r>
      <w:proofErr w:type="gramEnd"/>
      <w:r w:rsidRPr="006A3CCA">
        <w:rPr>
          <w:rFonts w:ascii="Lato" w:hAnsi="Lato" w:cs="Arial"/>
          <w:spacing w:val="4"/>
          <w:sz w:val="22"/>
          <w:szCs w:val="22"/>
        </w:rPr>
        <w:t xml:space="preserve"> załącznik nr 1 do niniejszej decyzji</w:t>
      </w:r>
      <w:r w:rsidR="00670F2A">
        <w:rPr>
          <w:rFonts w:ascii="Lato" w:hAnsi="Lato" w:cs="Arial"/>
          <w:spacing w:val="4"/>
          <w:sz w:val="22"/>
          <w:szCs w:val="22"/>
        </w:rPr>
        <w:t>.</w:t>
      </w:r>
    </w:p>
    <w:p w14:paraId="3AE33657" w14:textId="6D31832F" w:rsidR="00391380" w:rsidRPr="00090D6E" w:rsidRDefault="00391380" w:rsidP="0032021F">
      <w:pPr>
        <w:numPr>
          <w:ilvl w:val="0"/>
          <w:numId w:val="5"/>
        </w:numPr>
        <w:tabs>
          <w:tab w:val="center" w:pos="1470"/>
          <w:tab w:val="left" w:pos="5387"/>
        </w:tabs>
        <w:spacing w:before="120" w:after="240" w:line="240" w:lineRule="exact"/>
        <w:ind w:left="284" w:hanging="142"/>
        <w:jc w:val="both"/>
        <w:outlineLvl w:val="0"/>
        <w:rPr>
          <w:rFonts w:ascii="Lato" w:hAnsi="Lato"/>
          <w:b/>
          <w:bCs/>
          <w:sz w:val="22"/>
          <w:szCs w:val="22"/>
        </w:rPr>
      </w:pPr>
      <w:r w:rsidRPr="00391380">
        <w:rPr>
          <w:rFonts w:ascii="Lato" w:hAnsi="Lato"/>
          <w:b/>
          <w:bCs/>
          <w:sz w:val="22"/>
          <w:szCs w:val="22"/>
        </w:rPr>
        <w:t>W pozostałej części zaskarżoną decyzję utrzymuję w mocy</w:t>
      </w:r>
      <w:r w:rsidR="00090D6E">
        <w:rPr>
          <w:rFonts w:ascii="Lato" w:hAnsi="Lato"/>
          <w:b/>
          <w:bCs/>
          <w:sz w:val="22"/>
          <w:szCs w:val="22"/>
        </w:rPr>
        <w:t>.</w:t>
      </w:r>
    </w:p>
    <w:bookmarkEnd w:id="1"/>
    <w:p w14:paraId="5A117736" w14:textId="77777777" w:rsidR="00B61C37" w:rsidRDefault="00B61C37" w:rsidP="00E14456">
      <w:pPr>
        <w:spacing w:after="240" w:line="240" w:lineRule="exact"/>
        <w:jc w:val="center"/>
        <w:rPr>
          <w:rFonts w:ascii="Lato" w:hAnsi="Lato" w:cs="Arial"/>
          <w:b/>
          <w:bCs/>
          <w:spacing w:val="4"/>
          <w:sz w:val="22"/>
          <w:szCs w:val="22"/>
        </w:rPr>
      </w:pPr>
    </w:p>
    <w:p w14:paraId="09D77B02" w14:textId="13F93275" w:rsidR="000058A3" w:rsidRPr="000058A3" w:rsidRDefault="000058A3" w:rsidP="00E14456">
      <w:pPr>
        <w:spacing w:after="240" w:line="240" w:lineRule="exact"/>
        <w:jc w:val="center"/>
        <w:rPr>
          <w:rFonts w:ascii="Lato" w:hAnsi="Lato" w:cs="Arial"/>
          <w:b/>
          <w:bCs/>
          <w:spacing w:val="4"/>
          <w:sz w:val="22"/>
          <w:szCs w:val="22"/>
        </w:rPr>
      </w:pPr>
      <w:r w:rsidRPr="000058A3">
        <w:rPr>
          <w:rFonts w:ascii="Lato" w:hAnsi="Lato" w:cs="Arial"/>
          <w:b/>
          <w:bCs/>
          <w:spacing w:val="4"/>
          <w:sz w:val="22"/>
          <w:szCs w:val="22"/>
        </w:rPr>
        <w:lastRenderedPageBreak/>
        <w:t>UZASADNIENIE</w:t>
      </w:r>
    </w:p>
    <w:p w14:paraId="011FA98E" w14:textId="6298E422" w:rsidR="00253F7B" w:rsidRPr="00B61C37" w:rsidRDefault="00EA32A1" w:rsidP="00253F7B">
      <w:pPr>
        <w:spacing w:after="240" w:line="240" w:lineRule="exact"/>
        <w:jc w:val="both"/>
        <w:rPr>
          <w:rFonts w:ascii="Lato" w:eastAsiaTheme="minorHAnsi" w:hAnsi="Lato" w:cs="Arial"/>
          <w:color w:val="000000"/>
          <w:spacing w:val="4"/>
          <w:sz w:val="22"/>
          <w:szCs w:val="22"/>
          <w:lang w:eastAsia="en-US"/>
        </w:rPr>
      </w:pPr>
      <w:r w:rsidRPr="00B61C37">
        <w:rPr>
          <w:rFonts w:ascii="Lato" w:eastAsiaTheme="minorHAnsi" w:hAnsi="Lato" w:cs="Arial"/>
          <w:color w:val="000000"/>
          <w:spacing w:val="4"/>
          <w:sz w:val="22"/>
          <w:szCs w:val="22"/>
          <w:lang w:eastAsia="en-US"/>
        </w:rPr>
        <w:t xml:space="preserve">Wnioskiem z dnia </w:t>
      </w:r>
      <w:r w:rsidR="000A37F0" w:rsidRPr="00B61C37">
        <w:rPr>
          <w:rFonts w:ascii="Lato" w:eastAsiaTheme="minorHAnsi" w:hAnsi="Lato" w:cs="Arial"/>
          <w:color w:val="000000"/>
          <w:spacing w:val="4"/>
          <w:sz w:val="22"/>
          <w:szCs w:val="22"/>
          <w:lang w:eastAsia="en-US"/>
        </w:rPr>
        <w:t>1 grudnia</w:t>
      </w:r>
      <w:r w:rsidRPr="00B61C37">
        <w:rPr>
          <w:rFonts w:ascii="Lato" w:eastAsiaTheme="minorHAnsi" w:hAnsi="Lato" w:cs="Arial"/>
          <w:color w:val="000000"/>
          <w:spacing w:val="4"/>
          <w:sz w:val="22"/>
          <w:szCs w:val="22"/>
          <w:lang w:eastAsia="en-US"/>
        </w:rPr>
        <w:t xml:space="preserve"> 2022 r</w:t>
      </w:r>
      <w:r w:rsidRPr="00B61C37">
        <w:rPr>
          <w:rFonts w:ascii="Lato" w:eastAsiaTheme="minorHAnsi" w:hAnsi="Lato" w:cs="Arial"/>
          <w:spacing w:val="4"/>
          <w:sz w:val="22"/>
          <w:szCs w:val="22"/>
          <w:lang w:eastAsia="en-US"/>
        </w:rPr>
        <w:t xml:space="preserve">., </w:t>
      </w:r>
      <w:r w:rsidR="00AD4822" w:rsidRPr="00B61C37">
        <w:rPr>
          <w:rFonts w:ascii="Lato" w:eastAsiaTheme="minorHAnsi" w:hAnsi="Lato" w:cs="Arial"/>
          <w:spacing w:val="4"/>
          <w:sz w:val="22"/>
          <w:szCs w:val="22"/>
          <w:lang w:eastAsia="en-US"/>
        </w:rPr>
        <w:t xml:space="preserve">skorygowanym w trakcie prowadzonego postępowania, </w:t>
      </w:r>
      <w:r w:rsidR="000A37F0" w:rsidRPr="00B61C37">
        <w:rPr>
          <w:rFonts w:ascii="Lato" w:eastAsiaTheme="minorHAnsi" w:hAnsi="Lato" w:cs="Arial"/>
          <w:spacing w:val="4"/>
          <w:sz w:val="22"/>
          <w:szCs w:val="22"/>
          <w:lang w:eastAsia="en-US"/>
        </w:rPr>
        <w:t>Polski Koncern Naftowy Orlen S.A. z siedzibą w Płocku</w:t>
      </w:r>
      <w:r w:rsidR="00AF54E3" w:rsidRPr="00B61C37">
        <w:rPr>
          <w:rFonts w:ascii="Lato" w:eastAsiaTheme="minorHAnsi" w:hAnsi="Lato" w:cs="Arial"/>
          <w:spacing w:val="4"/>
          <w:sz w:val="22"/>
          <w:szCs w:val="22"/>
          <w:lang w:eastAsia="en-US"/>
        </w:rPr>
        <w:t xml:space="preserve"> (obecnie ORLEN S.A.)</w:t>
      </w:r>
      <w:r w:rsidRPr="00B61C37">
        <w:rPr>
          <w:rFonts w:ascii="Lato" w:eastAsiaTheme="minorHAnsi" w:hAnsi="Lato" w:cs="Arial"/>
          <w:spacing w:val="4"/>
          <w:sz w:val="22"/>
          <w:szCs w:val="22"/>
          <w:lang w:eastAsia="en-US"/>
        </w:rPr>
        <w:t>, zwan</w:t>
      </w:r>
      <w:r w:rsidR="00253F7B" w:rsidRPr="00B61C37">
        <w:rPr>
          <w:rFonts w:ascii="Lato" w:eastAsiaTheme="minorHAnsi" w:hAnsi="Lato" w:cs="Arial"/>
          <w:spacing w:val="4"/>
          <w:sz w:val="22"/>
          <w:szCs w:val="22"/>
          <w:lang w:eastAsia="en-US"/>
        </w:rPr>
        <w:t>a</w:t>
      </w:r>
      <w:r w:rsidRPr="00B61C37">
        <w:rPr>
          <w:rFonts w:ascii="Lato" w:eastAsiaTheme="minorHAnsi" w:hAnsi="Lato" w:cs="Arial"/>
          <w:spacing w:val="4"/>
          <w:sz w:val="22"/>
          <w:szCs w:val="22"/>
          <w:lang w:eastAsia="en-US"/>
        </w:rPr>
        <w:t xml:space="preserve"> dalej „inwestorem”, </w:t>
      </w:r>
      <w:r w:rsidR="00691867" w:rsidRPr="00B61C37">
        <w:rPr>
          <w:rFonts w:ascii="Lato" w:eastAsiaTheme="minorHAnsi" w:hAnsi="Lato" w:cs="Arial"/>
          <w:spacing w:val="4"/>
          <w:sz w:val="22"/>
          <w:szCs w:val="22"/>
          <w:lang w:eastAsia="en-US"/>
        </w:rPr>
        <w:t xml:space="preserve">reprezentowana przez ustanowionego </w:t>
      </w:r>
      <w:r w:rsidR="00691867" w:rsidRPr="00B61C37">
        <w:rPr>
          <w:rFonts w:ascii="Lato" w:eastAsiaTheme="minorHAnsi" w:hAnsi="Lato" w:cs="Arial"/>
          <w:color w:val="000000"/>
          <w:spacing w:val="4"/>
          <w:sz w:val="22"/>
          <w:szCs w:val="22"/>
          <w:lang w:eastAsia="en-US"/>
        </w:rPr>
        <w:t xml:space="preserve">w sprawie pełnomocnika, </w:t>
      </w:r>
      <w:r w:rsidRPr="00B61C37">
        <w:rPr>
          <w:rFonts w:ascii="Lato" w:eastAsiaTheme="minorHAnsi" w:hAnsi="Lato" w:cs="Arial"/>
          <w:color w:val="000000"/>
          <w:spacing w:val="4"/>
          <w:sz w:val="22"/>
          <w:szCs w:val="22"/>
          <w:lang w:eastAsia="en-US"/>
        </w:rPr>
        <w:t>wystąpił</w:t>
      </w:r>
      <w:r w:rsidR="00253F7B" w:rsidRPr="00B61C37">
        <w:rPr>
          <w:rFonts w:ascii="Lato" w:eastAsiaTheme="minorHAnsi" w:hAnsi="Lato" w:cs="Arial"/>
          <w:color w:val="000000"/>
          <w:spacing w:val="4"/>
          <w:sz w:val="22"/>
          <w:szCs w:val="22"/>
          <w:lang w:eastAsia="en-US"/>
        </w:rPr>
        <w:t>a</w:t>
      </w:r>
      <w:r w:rsidRPr="00B61C37">
        <w:rPr>
          <w:rFonts w:ascii="Lato" w:eastAsiaTheme="minorHAnsi" w:hAnsi="Lato" w:cs="Arial"/>
          <w:color w:val="000000"/>
          <w:spacing w:val="4"/>
          <w:sz w:val="22"/>
          <w:szCs w:val="22"/>
          <w:lang w:eastAsia="en-US"/>
        </w:rPr>
        <w:t xml:space="preserve"> do Wojewody </w:t>
      </w:r>
      <w:r w:rsidR="000A37F0" w:rsidRPr="00B61C37">
        <w:rPr>
          <w:rFonts w:ascii="Lato" w:eastAsiaTheme="minorHAnsi" w:hAnsi="Lato" w:cs="Arial"/>
          <w:color w:val="000000"/>
          <w:spacing w:val="4"/>
          <w:sz w:val="22"/>
          <w:szCs w:val="22"/>
          <w:lang w:eastAsia="en-US"/>
        </w:rPr>
        <w:t>Podkarpackiego</w:t>
      </w:r>
      <w:r w:rsidRPr="00B61C37">
        <w:rPr>
          <w:rFonts w:ascii="Lato" w:eastAsiaTheme="minorHAnsi" w:hAnsi="Lato" w:cs="Arial"/>
          <w:color w:val="000000"/>
          <w:spacing w:val="4"/>
          <w:sz w:val="22"/>
          <w:szCs w:val="22"/>
          <w:lang w:eastAsia="en-US"/>
        </w:rPr>
        <w:t xml:space="preserve"> o wydanie decyzji o ustaleniu lokalizacji</w:t>
      </w:r>
      <w:r w:rsidRPr="00B61C37">
        <w:rPr>
          <w:rFonts w:ascii="Lato" w:eastAsiaTheme="minorHAnsi" w:hAnsi="Lato" w:cstheme="minorBidi"/>
          <w:spacing w:val="4"/>
          <w:sz w:val="22"/>
          <w:szCs w:val="22"/>
          <w:lang w:eastAsia="en-US"/>
        </w:rPr>
        <w:t xml:space="preserve"> inwestycji towarzyszącej </w:t>
      </w:r>
      <w:r w:rsidR="00253F7B" w:rsidRPr="00B61C37">
        <w:rPr>
          <w:rFonts w:ascii="Lato" w:hAnsi="Lato" w:cs="Arial"/>
          <w:spacing w:val="4"/>
          <w:sz w:val="22"/>
          <w:szCs w:val="22"/>
        </w:rPr>
        <w:t xml:space="preserve">inwestycjom w zakresie terminalu regazyfikacyjnego skroplonego gazu ziemnego w Świnoujściu </w:t>
      </w:r>
      <w:r w:rsidR="000A37F0" w:rsidRPr="00B61C37">
        <w:rPr>
          <w:rFonts w:ascii="Lato" w:hAnsi="Lato" w:cs="Arial"/>
          <w:spacing w:val="4"/>
          <w:sz w:val="22"/>
          <w:szCs w:val="22"/>
        </w:rPr>
        <w:t>pod nazwą „Budowa odcinka gazociągu wysokiego ciśnienia DN 50 PN 63 wraz z infrastrukturą towarzyszącą, realizowane w ramach inwestycji pn. „Podłączenie odwiertu Bratkowice 6K – KGZ Czarna</w:t>
      </w:r>
      <w:r w:rsidR="00CC2636">
        <w:rPr>
          <w:rFonts w:ascii="Lato" w:hAnsi="Lato" w:cs="Arial"/>
          <w:spacing w:val="4"/>
          <w:sz w:val="22"/>
          <w:szCs w:val="22"/>
        </w:rPr>
        <w:t xml:space="preserve"> </w:t>
      </w:r>
      <w:r w:rsidR="000A37F0" w:rsidRPr="00B61C37">
        <w:rPr>
          <w:rFonts w:ascii="Lato" w:hAnsi="Lato" w:cs="Arial"/>
          <w:spacing w:val="4"/>
          <w:sz w:val="22"/>
          <w:szCs w:val="22"/>
        </w:rPr>
        <w:t>Sędziszowska”.</w:t>
      </w:r>
    </w:p>
    <w:p w14:paraId="60E17FE7" w14:textId="7048F35F" w:rsidR="00EA32A1" w:rsidRPr="00B61C37" w:rsidRDefault="00EA32A1" w:rsidP="00FA5D77">
      <w:pPr>
        <w:spacing w:after="240" w:line="240" w:lineRule="exact"/>
        <w:jc w:val="both"/>
        <w:rPr>
          <w:rFonts w:ascii="Lato" w:hAnsi="Lato" w:cs="Arial"/>
          <w:spacing w:val="4"/>
          <w:sz w:val="22"/>
          <w:szCs w:val="22"/>
        </w:rPr>
      </w:pPr>
      <w:r w:rsidRPr="00B61C37">
        <w:rPr>
          <w:rFonts w:ascii="Lato" w:eastAsiaTheme="minorHAnsi" w:hAnsi="Lato" w:cs="Arial"/>
          <w:color w:val="000000"/>
          <w:spacing w:val="4"/>
          <w:sz w:val="22"/>
          <w:szCs w:val="22"/>
          <w:lang w:eastAsia="en-US"/>
        </w:rPr>
        <w:t>Po przeprowadzeniu postępowania</w:t>
      </w:r>
      <w:r w:rsidR="00EB24B3" w:rsidRPr="00B61C37">
        <w:rPr>
          <w:rFonts w:ascii="Lato" w:eastAsiaTheme="minorHAnsi" w:hAnsi="Lato" w:cs="Arial"/>
          <w:color w:val="000000"/>
          <w:spacing w:val="4"/>
          <w:sz w:val="22"/>
          <w:szCs w:val="22"/>
          <w:lang w:eastAsia="en-US"/>
        </w:rPr>
        <w:t xml:space="preserve"> w sprawie ww. wniosku</w:t>
      </w:r>
      <w:r w:rsidRPr="00B61C37">
        <w:rPr>
          <w:rFonts w:ascii="Lato" w:eastAsiaTheme="minorHAnsi" w:hAnsi="Lato" w:cs="Arial"/>
          <w:color w:val="000000"/>
          <w:spacing w:val="4"/>
          <w:sz w:val="22"/>
          <w:szCs w:val="22"/>
          <w:lang w:eastAsia="en-US"/>
        </w:rPr>
        <w:t xml:space="preserve">, Wojewoda </w:t>
      </w:r>
      <w:r w:rsidR="000A37F0" w:rsidRPr="00B61C37">
        <w:rPr>
          <w:rFonts w:ascii="Lato" w:eastAsiaTheme="minorHAnsi" w:hAnsi="Lato" w:cs="Arial"/>
          <w:color w:val="000000"/>
          <w:spacing w:val="4"/>
          <w:sz w:val="22"/>
          <w:szCs w:val="22"/>
          <w:lang w:eastAsia="en-US"/>
        </w:rPr>
        <w:t>Podkarpacki</w:t>
      </w:r>
      <w:r w:rsidRPr="00B61C37">
        <w:rPr>
          <w:rFonts w:ascii="Lato" w:eastAsiaTheme="minorHAnsi" w:hAnsi="Lato" w:cs="Arial"/>
          <w:color w:val="000000"/>
          <w:spacing w:val="4"/>
          <w:sz w:val="22"/>
          <w:szCs w:val="22"/>
          <w:lang w:eastAsia="en-US"/>
        </w:rPr>
        <w:t xml:space="preserve"> wydał w dniu </w:t>
      </w:r>
      <w:r w:rsidR="000A37F0" w:rsidRPr="00B61C37">
        <w:rPr>
          <w:rFonts w:ascii="Lato" w:eastAsiaTheme="minorHAnsi" w:hAnsi="Lato" w:cs="Arial"/>
          <w:color w:val="000000"/>
          <w:spacing w:val="4"/>
          <w:sz w:val="22"/>
          <w:szCs w:val="22"/>
          <w:lang w:eastAsia="en-US"/>
        </w:rPr>
        <w:t>22 lutego 2023</w:t>
      </w:r>
      <w:r w:rsidRPr="00B61C37">
        <w:rPr>
          <w:rFonts w:ascii="Lato" w:eastAsiaTheme="minorHAnsi" w:hAnsi="Lato" w:cs="Arial"/>
          <w:color w:val="000000"/>
          <w:spacing w:val="4"/>
          <w:sz w:val="22"/>
          <w:szCs w:val="22"/>
          <w:lang w:eastAsia="en-US"/>
        </w:rPr>
        <w:t xml:space="preserve"> r. decyzję </w:t>
      </w:r>
      <w:r w:rsidR="000A37F0" w:rsidRPr="00B61C37">
        <w:rPr>
          <w:rFonts w:ascii="Lato" w:hAnsi="Lato" w:cs="Arial"/>
          <w:spacing w:val="4"/>
          <w:sz w:val="22"/>
          <w:szCs w:val="22"/>
        </w:rPr>
        <w:t xml:space="preserve">nr 1/25/22, znak: N-VIII.747.1.25.2022, </w:t>
      </w:r>
      <w:r w:rsidR="002658DD" w:rsidRPr="00B61C37">
        <w:rPr>
          <w:rFonts w:ascii="Lato" w:hAnsi="Lato" w:cs="Arial"/>
          <w:spacing w:val="4"/>
          <w:sz w:val="22"/>
          <w:szCs w:val="22"/>
        </w:rPr>
        <w:br/>
      </w:r>
      <w:r w:rsidR="000A37F0" w:rsidRPr="00B61C37">
        <w:rPr>
          <w:rFonts w:ascii="Lato" w:hAnsi="Lato" w:cs="Arial"/>
          <w:spacing w:val="4"/>
          <w:sz w:val="22"/>
          <w:szCs w:val="22"/>
        </w:rPr>
        <w:t xml:space="preserve">o ustaleniu lokalizacji inwestycji towarzyszącej inwestycjom w zakresie terminalu regazyfikacyjnego skroplonego gazu ziemnego w Świnoujściu pod nazwą „Budowa odcinka gazociągu wysokiego ciśnienia DN 50 PN 63 wraz z infrastrukturą towarzyszącą, realizowane w ramach inwestycji pn. „Podłączenie odwiertu Bratkowice 6K – KGZ Czarna Sędziszowska”, </w:t>
      </w:r>
      <w:r w:rsidRPr="00B61C37">
        <w:rPr>
          <w:rFonts w:ascii="Lato" w:eastAsiaTheme="minorHAnsi" w:hAnsi="Lato" w:cs="Arial"/>
          <w:color w:val="000000"/>
          <w:spacing w:val="4"/>
          <w:sz w:val="22"/>
          <w:szCs w:val="22"/>
          <w:lang w:eastAsia="en-US"/>
        </w:rPr>
        <w:t xml:space="preserve">zwaną dalej „decyzją Wojewody </w:t>
      </w:r>
      <w:r w:rsidR="000A37F0" w:rsidRPr="00B61C37">
        <w:rPr>
          <w:rFonts w:ascii="Lato" w:eastAsiaTheme="minorHAnsi" w:hAnsi="Lato" w:cs="Arial"/>
          <w:color w:val="000000"/>
          <w:spacing w:val="4"/>
          <w:sz w:val="22"/>
          <w:szCs w:val="22"/>
          <w:lang w:eastAsia="en-US"/>
        </w:rPr>
        <w:t>Podkarpackieg</w:t>
      </w:r>
      <w:r w:rsidR="00141F77" w:rsidRPr="00B61C37">
        <w:rPr>
          <w:rFonts w:ascii="Lato" w:eastAsiaTheme="minorHAnsi" w:hAnsi="Lato" w:cs="Arial"/>
          <w:color w:val="000000"/>
          <w:spacing w:val="4"/>
          <w:sz w:val="22"/>
          <w:szCs w:val="22"/>
          <w:lang w:eastAsia="en-US"/>
        </w:rPr>
        <w:t>o</w:t>
      </w:r>
      <w:r w:rsidR="00CC2636">
        <w:rPr>
          <w:rFonts w:ascii="Lato" w:eastAsiaTheme="minorHAnsi" w:hAnsi="Lato" w:cs="Arial"/>
          <w:color w:val="000000"/>
          <w:spacing w:val="4"/>
          <w:sz w:val="22"/>
          <w:szCs w:val="22"/>
          <w:lang w:eastAsia="en-US"/>
        </w:rPr>
        <w:t>”</w:t>
      </w:r>
      <w:r w:rsidR="00141F77" w:rsidRPr="00B61C37">
        <w:rPr>
          <w:rFonts w:ascii="Lato" w:eastAsiaTheme="minorHAnsi" w:hAnsi="Lato" w:cs="Arial"/>
          <w:color w:val="000000"/>
          <w:spacing w:val="4"/>
          <w:sz w:val="22"/>
          <w:szCs w:val="22"/>
          <w:lang w:eastAsia="en-US"/>
        </w:rPr>
        <w:t xml:space="preserve">. </w:t>
      </w:r>
    </w:p>
    <w:p w14:paraId="1BC4C3D3" w14:textId="773268F5" w:rsidR="00391380" w:rsidRPr="00B61C37" w:rsidRDefault="00EA32A1" w:rsidP="00FA5D77">
      <w:pPr>
        <w:spacing w:after="240" w:line="240" w:lineRule="exact"/>
        <w:jc w:val="both"/>
        <w:rPr>
          <w:rFonts w:ascii="Lato" w:hAnsi="Lato" w:cs="Arial"/>
          <w:spacing w:val="4"/>
          <w:sz w:val="22"/>
          <w:szCs w:val="22"/>
        </w:rPr>
      </w:pPr>
      <w:r w:rsidRPr="00B61C37">
        <w:rPr>
          <w:rFonts w:ascii="Lato" w:eastAsiaTheme="minorHAnsi" w:hAnsi="Lato" w:cs="Arial"/>
          <w:color w:val="000000"/>
          <w:spacing w:val="4"/>
          <w:sz w:val="22"/>
          <w:szCs w:val="22"/>
          <w:lang w:eastAsia="en-US"/>
        </w:rPr>
        <w:t xml:space="preserve">Od decyzji Wojewody </w:t>
      </w:r>
      <w:r w:rsidR="000A37F0" w:rsidRPr="00B61C37">
        <w:rPr>
          <w:rFonts w:ascii="Lato" w:eastAsiaTheme="minorHAnsi" w:hAnsi="Lato" w:cs="Arial"/>
          <w:color w:val="000000"/>
          <w:spacing w:val="4"/>
          <w:sz w:val="22"/>
          <w:szCs w:val="22"/>
          <w:lang w:eastAsia="en-US"/>
        </w:rPr>
        <w:t>Podkarpackieg</w:t>
      </w:r>
      <w:r w:rsidR="00770DD2" w:rsidRPr="00B61C37">
        <w:rPr>
          <w:rFonts w:ascii="Lato" w:eastAsiaTheme="minorHAnsi" w:hAnsi="Lato" w:cs="Arial"/>
          <w:color w:val="000000"/>
          <w:spacing w:val="4"/>
          <w:sz w:val="22"/>
          <w:szCs w:val="22"/>
          <w:lang w:eastAsia="en-US"/>
        </w:rPr>
        <w:t>o</w:t>
      </w:r>
      <w:r w:rsidRPr="00B61C37">
        <w:rPr>
          <w:rFonts w:ascii="Lato" w:eastAsiaTheme="minorHAnsi" w:hAnsi="Lato" w:cs="Arial"/>
          <w:color w:val="000000"/>
          <w:spacing w:val="4"/>
          <w:sz w:val="22"/>
          <w:szCs w:val="22"/>
          <w:lang w:eastAsia="en-US"/>
        </w:rPr>
        <w:t xml:space="preserve"> odwołani</w:t>
      </w:r>
      <w:r w:rsidR="00224756" w:rsidRPr="00B61C37">
        <w:rPr>
          <w:rFonts w:ascii="Lato" w:eastAsiaTheme="minorHAnsi" w:hAnsi="Lato" w:cs="Arial"/>
          <w:color w:val="000000"/>
          <w:spacing w:val="4"/>
          <w:sz w:val="22"/>
          <w:szCs w:val="22"/>
          <w:lang w:eastAsia="en-US"/>
        </w:rPr>
        <w:t>a</w:t>
      </w:r>
      <w:r w:rsidRPr="00B61C37">
        <w:rPr>
          <w:rFonts w:ascii="Lato" w:eastAsiaTheme="minorHAnsi" w:hAnsi="Lato" w:cs="Arial"/>
          <w:color w:val="000000"/>
          <w:spacing w:val="4"/>
          <w:sz w:val="22"/>
          <w:szCs w:val="22"/>
          <w:lang w:eastAsia="en-US"/>
        </w:rPr>
        <w:t>, za pośrednictwem organu I instancji, wni</w:t>
      </w:r>
      <w:r w:rsidR="00770DD2" w:rsidRPr="00B61C37">
        <w:rPr>
          <w:rFonts w:ascii="Lato" w:eastAsiaTheme="minorHAnsi" w:hAnsi="Lato" w:cs="Arial"/>
          <w:color w:val="000000"/>
          <w:spacing w:val="4"/>
          <w:sz w:val="22"/>
          <w:szCs w:val="22"/>
          <w:lang w:eastAsia="en-US"/>
        </w:rPr>
        <w:t>eśli</w:t>
      </w:r>
      <w:r w:rsidRPr="00B61C37">
        <w:rPr>
          <w:rFonts w:ascii="Lato" w:eastAsiaTheme="minorHAnsi" w:hAnsi="Lato" w:cs="Arial"/>
          <w:color w:val="000000"/>
          <w:spacing w:val="4"/>
          <w:sz w:val="22"/>
          <w:szCs w:val="22"/>
          <w:lang w:eastAsia="en-US"/>
        </w:rPr>
        <w:t xml:space="preserve"> </w:t>
      </w:r>
      <w:r w:rsidR="00FA1FC5" w:rsidRPr="00B61C37">
        <w:rPr>
          <w:rFonts w:ascii="Lato" w:hAnsi="Lato" w:cs="Arial"/>
          <w:spacing w:val="4"/>
          <w:sz w:val="22"/>
          <w:szCs w:val="22"/>
        </w:rPr>
        <w:t xml:space="preserve">Pan </w:t>
      </w:r>
      <w:r w:rsidR="009A4DE8">
        <w:rPr>
          <w:rFonts w:ascii="Lato" w:hAnsi="Lato" w:cs="Arial"/>
          <w:spacing w:val="4"/>
          <w:sz w:val="22"/>
          <w:szCs w:val="22"/>
        </w:rPr>
        <w:t>A.</w:t>
      </w:r>
      <w:r w:rsidR="00FA1FC5" w:rsidRPr="00B61C37">
        <w:rPr>
          <w:rFonts w:ascii="Lato" w:hAnsi="Lato" w:cs="Arial"/>
          <w:spacing w:val="4"/>
          <w:sz w:val="22"/>
          <w:szCs w:val="22"/>
        </w:rPr>
        <w:t xml:space="preserve"> </w:t>
      </w:r>
      <w:r w:rsidR="009A4DE8">
        <w:rPr>
          <w:rFonts w:ascii="Lato" w:hAnsi="Lato" w:cs="Arial"/>
          <w:spacing w:val="4"/>
          <w:sz w:val="22"/>
          <w:szCs w:val="22"/>
        </w:rPr>
        <w:t>B.</w:t>
      </w:r>
      <w:r w:rsidR="00FA1FC5" w:rsidRPr="00B61C37">
        <w:rPr>
          <w:rFonts w:ascii="Lato" w:hAnsi="Lato" w:cs="Arial"/>
          <w:spacing w:val="4"/>
          <w:sz w:val="22"/>
          <w:szCs w:val="22"/>
        </w:rPr>
        <w:t xml:space="preserve">, Pan </w:t>
      </w:r>
      <w:r w:rsidR="009A4DE8">
        <w:rPr>
          <w:rFonts w:ascii="Lato" w:hAnsi="Lato" w:cs="Arial"/>
          <w:spacing w:val="4"/>
          <w:sz w:val="22"/>
          <w:szCs w:val="22"/>
        </w:rPr>
        <w:t>Z.</w:t>
      </w:r>
      <w:r w:rsidR="00FA1FC5" w:rsidRPr="00B61C37">
        <w:rPr>
          <w:rFonts w:ascii="Lato" w:hAnsi="Lato" w:cs="Arial"/>
          <w:spacing w:val="4"/>
          <w:sz w:val="22"/>
          <w:szCs w:val="22"/>
        </w:rPr>
        <w:t xml:space="preserve"> </w:t>
      </w:r>
      <w:r w:rsidR="009A4DE8">
        <w:rPr>
          <w:rFonts w:ascii="Lato" w:hAnsi="Lato" w:cs="Arial"/>
          <w:spacing w:val="4"/>
          <w:sz w:val="22"/>
          <w:szCs w:val="22"/>
        </w:rPr>
        <w:t>B.</w:t>
      </w:r>
      <w:r w:rsidR="00FA1FC5" w:rsidRPr="00B61C37">
        <w:rPr>
          <w:rFonts w:ascii="Lato" w:hAnsi="Lato" w:cs="Arial"/>
          <w:spacing w:val="4"/>
          <w:sz w:val="22"/>
          <w:szCs w:val="22"/>
        </w:rPr>
        <w:t xml:space="preserve"> i Pani </w:t>
      </w:r>
      <w:r w:rsidR="009A4DE8">
        <w:rPr>
          <w:rFonts w:ascii="Lato" w:hAnsi="Lato" w:cs="Arial"/>
          <w:spacing w:val="4"/>
          <w:sz w:val="22"/>
          <w:szCs w:val="22"/>
        </w:rPr>
        <w:t>A.</w:t>
      </w:r>
      <w:r w:rsidR="00FA1FC5" w:rsidRPr="00B61C37">
        <w:rPr>
          <w:rFonts w:ascii="Lato" w:hAnsi="Lato" w:cs="Arial"/>
          <w:spacing w:val="4"/>
          <w:sz w:val="22"/>
          <w:szCs w:val="22"/>
        </w:rPr>
        <w:t xml:space="preserve"> </w:t>
      </w:r>
      <w:r w:rsidR="009A4DE8">
        <w:rPr>
          <w:rFonts w:ascii="Lato" w:hAnsi="Lato" w:cs="Arial"/>
          <w:spacing w:val="4"/>
          <w:sz w:val="22"/>
          <w:szCs w:val="22"/>
        </w:rPr>
        <w:t>S.</w:t>
      </w:r>
      <w:r w:rsidR="00FA1FC5" w:rsidRPr="00B61C37">
        <w:rPr>
          <w:rFonts w:ascii="Lato" w:hAnsi="Lato" w:cs="Arial"/>
          <w:spacing w:val="4"/>
          <w:sz w:val="22"/>
          <w:szCs w:val="22"/>
        </w:rPr>
        <w:t xml:space="preserve">, Pani </w:t>
      </w:r>
      <w:r w:rsidR="009A4DE8">
        <w:rPr>
          <w:rFonts w:ascii="Lato" w:hAnsi="Lato" w:cs="Arial"/>
          <w:spacing w:val="4"/>
          <w:sz w:val="22"/>
          <w:szCs w:val="22"/>
        </w:rPr>
        <w:t>B.</w:t>
      </w:r>
      <w:r w:rsidR="00FA1FC5" w:rsidRPr="00B61C37">
        <w:rPr>
          <w:rFonts w:ascii="Lato" w:hAnsi="Lato" w:cs="Arial"/>
          <w:spacing w:val="4"/>
          <w:sz w:val="22"/>
          <w:szCs w:val="22"/>
        </w:rPr>
        <w:t xml:space="preserve"> </w:t>
      </w:r>
      <w:r w:rsidR="009A4DE8">
        <w:rPr>
          <w:rFonts w:ascii="Lato" w:hAnsi="Lato" w:cs="Arial"/>
          <w:spacing w:val="4"/>
          <w:sz w:val="22"/>
          <w:szCs w:val="22"/>
        </w:rPr>
        <w:t>Z.</w:t>
      </w:r>
      <w:r w:rsidR="00FA1FC5" w:rsidRPr="00B61C37">
        <w:rPr>
          <w:rFonts w:ascii="Lato" w:hAnsi="Lato" w:cs="Arial"/>
          <w:spacing w:val="4"/>
          <w:sz w:val="22"/>
          <w:szCs w:val="22"/>
        </w:rPr>
        <w:t xml:space="preserve"> i Pan </w:t>
      </w:r>
      <w:r w:rsidR="009A4DE8">
        <w:rPr>
          <w:rFonts w:ascii="Lato" w:hAnsi="Lato" w:cs="Arial"/>
          <w:spacing w:val="4"/>
          <w:sz w:val="22"/>
          <w:szCs w:val="22"/>
        </w:rPr>
        <w:t>J.</w:t>
      </w:r>
      <w:r w:rsidR="00FA1FC5" w:rsidRPr="00B61C37">
        <w:rPr>
          <w:rFonts w:ascii="Lato" w:hAnsi="Lato" w:cs="Arial"/>
          <w:spacing w:val="4"/>
          <w:sz w:val="22"/>
          <w:szCs w:val="22"/>
        </w:rPr>
        <w:t xml:space="preserve"> </w:t>
      </w:r>
      <w:r w:rsidR="009A4DE8">
        <w:rPr>
          <w:rFonts w:ascii="Lato" w:hAnsi="Lato" w:cs="Arial"/>
          <w:spacing w:val="4"/>
          <w:sz w:val="22"/>
          <w:szCs w:val="22"/>
        </w:rPr>
        <w:t>Z.</w:t>
      </w:r>
      <w:r w:rsidR="00FA1FC5" w:rsidRPr="00B61C37">
        <w:rPr>
          <w:rFonts w:ascii="Lato" w:hAnsi="Lato" w:cs="Arial"/>
          <w:spacing w:val="4"/>
          <w:sz w:val="22"/>
          <w:szCs w:val="22"/>
        </w:rPr>
        <w:t xml:space="preserve"> oraz Pani </w:t>
      </w:r>
      <w:r w:rsidR="009A4DE8">
        <w:rPr>
          <w:rFonts w:ascii="Lato" w:hAnsi="Lato" w:cs="Arial"/>
          <w:spacing w:val="4"/>
          <w:sz w:val="22"/>
          <w:szCs w:val="22"/>
        </w:rPr>
        <w:t>M.</w:t>
      </w:r>
      <w:r w:rsidR="00FA1FC5" w:rsidRPr="00B61C37">
        <w:rPr>
          <w:rFonts w:ascii="Lato" w:hAnsi="Lato" w:cs="Arial"/>
          <w:spacing w:val="4"/>
          <w:sz w:val="22"/>
          <w:szCs w:val="22"/>
        </w:rPr>
        <w:t xml:space="preserve"> </w:t>
      </w:r>
      <w:r w:rsidR="009A4DE8">
        <w:rPr>
          <w:rFonts w:ascii="Lato" w:hAnsi="Lato" w:cs="Arial"/>
          <w:spacing w:val="4"/>
          <w:sz w:val="22"/>
          <w:szCs w:val="22"/>
        </w:rPr>
        <w:t>S.</w:t>
      </w:r>
    </w:p>
    <w:p w14:paraId="6A8C233D" w14:textId="3D1A15B8" w:rsidR="00391380" w:rsidRPr="00B61C37" w:rsidRDefault="00391380" w:rsidP="00391380">
      <w:pPr>
        <w:spacing w:after="240" w:line="240" w:lineRule="exact"/>
        <w:jc w:val="both"/>
        <w:rPr>
          <w:rFonts w:ascii="Lato" w:hAnsi="Lato" w:cs="Arial"/>
          <w:spacing w:val="4"/>
          <w:sz w:val="22"/>
          <w:szCs w:val="22"/>
        </w:rPr>
      </w:pPr>
      <w:r w:rsidRPr="00B61C37">
        <w:rPr>
          <w:rFonts w:ascii="Lato" w:hAnsi="Lato" w:cs="Arial"/>
          <w:spacing w:val="4"/>
          <w:sz w:val="22"/>
          <w:szCs w:val="22"/>
        </w:rPr>
        <w:t xml:space="preserve">Wyjaśnienia wymaga, iż w toku postępowania odwoławczego w sprawie decyzji Wojewody </w:t>
      </w:r>
      <w:r w:rsidR="00FA1FC5" w:rsidRPr="00B61C37">
        <w:rPr>
          <w:rFonts w:ascii="Lato" w:hAnsi="Lato" w:cs="Arial"/>
          <w:spacing w:val="4"/>
          <w:sz w:val="22"/>
          <w:szCs w:val="22"/>
        </w:rPr>
        <w:t>Podkarpackiego</w:t>
      </w:r>
      <w:r w:rsidRPr="00B61C37">
        <w:rPr>
          <w:rFonts w:ascii="Lato" w:hAnsi="Lato" w:cs="Arial"/>
          <w:spacing w:val="4"/>
          <w:sz w:val="22"/>
          <w:szCs w:val="22"/>
        </w:rPr>
        <w:t xml:space="preserve"> organ II instancji powziął informację o śmierci Skarżącego – Pana </w:t>
      </w:r>
      <w:r w:rsidR="009A4DE8">
        <w:rPr>
          <w:rFonts w:ascii="Lato" w:hAnsi="Lato" w:cs="Arial"/>
          <w:spacing w:val="4"/>
          <w:sz w:val="22"/>
          <w:szCs w:val="22"/>
        </w:rPr>
        <w:t>Z.</w:t>
      </w:r>
      <w:r w:rsidR="00FA1FC5" w:rsidRPr="00B61C37">
        <w:rPr>
          <w:rFonts w:ascii="Lato" w:hAnsi="Lato" w:cs="Arial"/>
          <w:spacing w:val="4"/>
          <w:sz w:val="22"/>
          <w:szCs w:val="22"/>
        </w:rPr>
        <w:t xml:space="preserve"> </w:t>
      </w:r>
      <w:r w:rsidR="009A4DE8">
        <w:rPr>
          <w:rFonts w:ascii="Lato" w:hAnsi="Lato" w:cs="Arial"/>
          <w:spacing w:val="4"/>
          <w:sz w:val="22"/>
          <w:szCs w:val="22"/>
        </w:rPr>
        <w:t xml:space="preserve">B. </w:t>
      </w:r>
      <w:r w:rsidRPr="00B61C37">
        <w:rPr>
          <w:rFonts w:ascii="Lato" w:hAnsi="Lato" w:cs="Arial"/>
          <w:spacing w:val="4"/>
          <w:sz w:val="22"/>
          <w:szCs w:val="22"/>
        </w:rPr>
        <w:t xml:space="preserve">Jak wynika z aktu poświadczenia dziedziczenia nr Rep. </w:t>
      </w:r>
      <w:r w:rsidR="009A4DE8">
        <w:rPr>
          <w:rFonts w:ascii="Lato" w:hAnsi="Lato" w:cs="Arial"/>
          <w:spacing w:val="4"/>
          <w:sz w:val="22"/>
          <w:szCs w:val="22"/>
        </w:rPr>
        <w:t xml:space="preserve">(…) </w:t>
      </w:r>
      <w:r w:rsidRPr="00B61C37">
        <w:rPr>
          <w:rFonts w:ascii="Lato" w:hAnsi="Lato" w:cs="Arial"/>
          <w:spacing w:val="4"/>
          <w:sz w:val="22"/>
          <w:szCs w:val="22"/>
        </w:rPr>
        <w:t>spadek po Skarżącym naby</w:t>
      </w:r>
      <w:r w:rsidR="00257A75" w:rsidRPr="00B61C37">
        <w:rPr>
          <w:rFonts w:ascii="Lato" w:hAnsi="Lato" w:cs="Arial"/>
          <w:spacing w:val="4"/>
          <w:sz w:val="22"/>
          <w:szCs w:val="22"/>
        </w:rPr>
        <w:t xml:space="preserve">li Pani </w:t>
      </w:r>
      <w:r w:rsidR="009A4DE8">
        <w:rPr>
          <w:rFonts w:ascii="Lato" w:hAnsi="Lato" w:cs="Arial"/>
          <w:spacing w:val="4"/>
          <w:sz w:val="22"/>
          <w:szCs w:val="22"/>
        </w:rPr>
        <w:t>A.</w:t>
      </w:r>
      <w:r w:rsidR="00257A75" w:rsidRPr="00B61C37">
        <w:rPr>
          <w:rFonts w:ascii="Lato" w:hAnsi="Lato" w:cs="Arial"/>
          <w:spacing w:val="4"/>
          <w:sz w:val="22"/>
          <w:szCs w:val="22"/>
        </w:rPr>
        <w:t xml:space="preserve"> </w:t>
      </w:r>
      <w:r w:rsidR="009A4DE8">
        <w:rPr>
          <w:rFonts w:ascii="Lato" w:hAnsi="Lato" w:cs="Arial"/>
          <w:spacing w:val="4"/>
          <w:sz w:val="22"/>
          <w:szCs w:val="22"/>
        </w:rPr>
        <w:t>S.</w:t>
      </w:r>
      <w:r w:rsidR="00257A75" w:rsidRPr="00B61C37">
        <w:rPr>
          <w:rFonts w:ascii="Lato" w:hAnsi="Lato" w:cs="Arial"/>
          <w:spacing w:val="4"/>
          <w:sz w:val="22"/>
          <w:szCs w:val="22"/>
        </w:rPr>
        <w:t xml:space="preserve"> i Pan </w:t>
      </w:r>
      <w:r w:rsidR="009A4DE8">
        <w:rPr>
          <w:rFonts w:ascii="Lato" w:hAnsi="Lato" w:cs="Arial"/>
          <w:spacing w:val="4"/>
          <w:sz w:val="22"/>
          <w:szCs w:val="22"/>
        </w:rPr>
        <w:t>A.</w:t>
      </w:r>
      <w:r w:rsidR="00257A75" w:rsidRPr="00B61C37">
        <w:rPr>
          <w:rFonts w:ascii="Lato" w:hAnsi="Lato" w:cs="Arial"/>
          <w:spacing w:val="4"/>
          <w:sz w:val="22"/>
          <w:szCs w:val="22"/>
        </w:rPr>
        <w:t xml:space="preserve"> </w:t>
      </w:r>
      <w:r w:rsidR="009A4DE8">
        <w:rPr>
          <w:rFonts w:ascii="Lato" w:hAnsi="Lato" w:cs="Arial"/>
          <w:spacing w:val="4"/>
          <w:sz w:val="22"/>
          <w:szCs w:val="22"/>
        </w:rPr>
        <w:t>B</w:t>
      </w:r>
      <w:r w:rsidRPr="00B61C37">
        <w:rPr>
          <w:rFonts w:ascii="Lato" w:hAnsi="Lato" w:cs="Arial"/>
          <w:spacing w:val="4"/>
          <w:sz w:val="22"/>
          <w:szCs w:val="22"/>
        </w:rPr>
        <w:t xml:space="preserve">. </w:t>
      </w:r>
    </w:p>
    <w:p w14:paraId="1B0C03B4" w14:textId="41830473" w:rsidR="00391380" w:rsidRPr="00B61C37" w:rsidRDefault="00391380" w:rsidP="00FA5D77">
      <w:pPr>
        <w:spacing w:after="240" w:line="240" w:lineRule="exact"/>
        <w:jc w:val="both"/>
        <w:rPr>
          <w:rFonts w:ascii="Lato" w:hAnsi="Lato" w:cs="Arial"/>
          <w:spacing w:val="4"/>
          <w:sz w:val="22"/>
          <w:szCs w:val="22"/>
        </w:rPr>
      </w:pPr>
      <w:r w:rsidRPr="00B61C37">
        <w:rPr>
          <w:rFonts w:ascii="Lato" w:hAnsi="Lato" w:cs="Arial"/>
          <w:spacing w:val="4"/>
          <w:sz w:val="22"/>
          <w:szCs w:val="22"/>
        </w:rPr>
        <w:t xml:space="preserve">W myśl art. 30 § 4 kpa, w sprawach dotyczących praw zbywalnych lub dziedzicznych </w:t>
      </w:r>
      <w:r w:rsidRPr="00B61C37">
        <w:rPr>
          <w:rFonts w:ascii="Lato" w:hAnsi="Lato" w:cs="Arial"/>
          <w:spacing w:val="4"/>
          <w:sz w:val="22"/>
          <w:szCs w:val="22"/>
        </w:rPr>
        <w:br/>
        <w:t xml:space="preserve">w razie zbycia prawa lub śmierci strony w toku postępowania na miejsce dotychczasowej strony wstępują jej następcy prawni. Mając na uwadze powyższe, stwierdzić należy, że </w:t>
      </w:r>
      <w:r w:rsidR="00257A75" w:rsidRPr="00B61C37">
        <w:rPr>
          <w:rFonts w:ascii="Lato" w:hAnsi="Lato" w:cs="Arial"/>
          <w:spacing w:val="4"/>
          <w:sz w:val="22"/>
          <w:szCs w:val="22"/>
        </w:rPr>
        <w:t xml:space="preserve">Pani </w:t>
      </w:r>
      <w:r w:rsidR="009A4DE8">
        <w:rPr>
          <w:rFonts w:ascii="Lato" w:hAnsi="Lato" w:cs="Arial"/>
          <w:spacing w:val="4"/>
          <w:sz w:val="22"/>
          <w:szCs w:val="22"/>
        </w:rPr>
        <w:t>A.</w:t>
      </w:r>
      <w:r w:rsidR="00257A75" w:rsidRPr="00B61C37">
        <w:rPr>
          <w:rFonts w:ascii="Lato" w:hAnsi="Lato" w:cs="Arial"/>
          <w:spacing w:val="4"/>
          <w:sz w:val="22"/>
          <w:szCs w:val="22"/>
        </w:rPr>
        <w:t xml:space="preserve"> </w:t>
      </w:r>
      <w:r w:rsidR="009A4DE8">
        <w:rPr>
          <w:rFonts w:ascii="Lato" w:hAnsi="Lato" w:cs="Arial"/>
          <w:spacing w:val="4"/>
          <w:sz w:val="22"/>
          <w:szCs w:val="22"/>
        </w:rPr>
        <w:t>S.</w:t>
      </w:r>
      <w:r w:rsidR="00257A75" w:rsidRPr="00B61C37">
        <w:rPr>
          <w:rFonts w:ascii="Lato" w:hAnsi="Lato" w:cs="Arial"/>
          <w:spacing w:val="4"/>
          <w:sz w:val="22"/>
          <w:szCs w:val="22"/>
        </w:rPr>
        <w:t xml:space="preserve"> i Panu </w:t>
      </w:r>
      <w:r w:rsidR="009A4DE8">
        <w:rPr>
          <w:rFonts w:ascii="Lato" w:hAnsi="Lato" w:cs="Arial"/>
          <w:spacing w:val="4"/>
          <w:sz w:val="22"/>
          <w:szCs w:val="22"/>
        </w:rPr>
        <w:t>A.</w:t>
      </w:r>
      <w:r w:rsidR="00257A75" w:rsidRPr="00B61C37">
        <w:rPr>
          <w:rFonts w:ascii="Lato" w:hAnsi="Lato" w:cs="Arial"/>
          <w:spacing w:val="4"/>
          <w:sz w:val="22"/>
          <w:szCs w:val="22"/>
        </w:rPr>
        <w:t xml:space="preserve"> </w:t>
      </w:r>
      <w:r w:rsidR="009A4DE8">
        <w:rPr>
          <w:rFonts w:ascii="Lato" w:hAnsi="Lato" w:cs="Arial"/>
          <w:spacing w:val="4"/>
          <w:sz w:val="22"/>
          <w:szCs w:val="22"/>
        </w:rPr>
        <w:t>B.</w:t>
      </w:r>
      <w:r w:rsidRPr="00B61C37">
        <w:rPr>
          <w:rFonts w:ascii="Lato" w:hAnsi="Lato" w:cs="Arial"/>
          <w:spacing w:val="4"/>
          <w:sz w:val="22"/>
          <w:szCs w:val="22"/>
        </w:rPr>
        <w:t xml:space="preserve"> prawo do udziału w prowadzonym postępowaniu przysługuje również jako następc</w:t>
      </w:r>
      <w:r w:rsidR="00257A75" w:rsidRPr="00B61C37">
        <w:rPr>
          <w:rFonts w:ascii="Lato" w:hAnsi="Lato" w:cs="Arial"/>
          <w:spacing w:val="4"/>
          <w:sz w:val="22"/>
          <w:szCs w:val="22"/>
        </w:rPr>
        <w:t>om</w:t>
      </w:r>
      <w:r w:rsidRPr="00B61C37">
        <w:rPr>
          <w:rFonts w:ascii="Lato" w:hAnsi="Lato" w:cs="Arial"/>
          <w:spacing w:val="4"/>
          <w:sz w:val="22"/>
          <w:szCs w:val="22"/>
        </w:rPr>
        <w:t xml:space="preserve"> prawn</w:t>
      </w:r>
      <w:r w:rsidR="00257A75" w:rsidRPr="00B61C37">
        <w:rPr>
          <w:rFonts w:ascii="Lato" w:hAnsi="Lato" w:cs="Arial"/>
          <w:spacing w:val="4"/>
          <w:sz w:val="22"/>
          <w:szCs w:val="22"/>
        </w:rPr>
        <w:t xml:space="preserve">ym Pana </w:t>
      </w:r>
      <w:r w:rsidR="009A4DE8">
        <w:rPr>
          <w:rFonts w:ascii="Lato" w:hAnsi="Lato" w:cs="Arial"/>
          <w:spacing w:val="4"/>
          <w:sz w:val="22"/>
          <w:szCs w:val="22"/>
        </w:rPr>
        <w:t>Z.</w:t>
      </w:r>
      <w:r w:rsidR="00257A75" w:rsidRPr="00B61C37">
        <w:rPr>
          <w:rFonts w:ascii="Lato" w:hAnsi="Lato" w:cs="Arial"/>
          <w:spacing w:val="4"/>
          <w:sz w:val="22"/>
          <w:szCs w:val="22"/>
        </w:rPr>
        <w:t xml:space="preserve"> </w:t>
      </w:r>
      <w:r w:rsidR="009A4DE8">
        <w:rPr>
          <w:rFonts w:ascii="Lato" w:hAnsi="Lato" w:cs="Arial"/>
          <w:spacing w:val="4"/>
          <w:sz w:val="22"/>
          <w:szCs w:val="22"/>
        </w:rPr>
        <w:t>B</w:t>
      </w:r>
      <w:r w:rsidRPr="00B61C37">
        <w:rPr>
          <w:rFonts w:ascii="Lato" w:hAnsi="Lato" w:cs="Arial"/>
          <w:spacing w:val="4"/>
          <w:sz w:val="22"/>
          <w:szCs w:val="22"/>
        </w:rPr>
        <w:t xml:space="preserve">.  </w:t>
      </w:r>
    </w:p>
    <w:p w14:paraId="711A79E4" w14:textId="4BB8B56B" w:rsidR="00391380" w:rsidRPr="00B61C37" w:rsidRDefault="00EA32A1" w:rsidP="00FA5D77">
      <w:pPr>
        <w:spacing w:after="240" w:line="240" w:lineRule="exact"/>
        <w:jc w:val="both"/>
        <w:rPr>
          <w:rFonts w:ascii="Lato" w:eastAsiaTheme="minorHAnsi" w:hAnsi="Lato" w:cs="Arial"/>
          <w:spacing w:val="4"/>
          <w:sz w:val="22"/>
          <w:szCs w:val="22"/>
          <w:lang w:eastAsia="en-US"/>
        </w:rPr>
      </w:pPr>
      <w:r w:rsidRPr="00B61C37">
        <w:rPr>
          <w:rFonts w:ascii="Lato" w:eastAsiaTheme="minorHAnsi" w:hAnsi="Lato" w:cs="Arial"/>
          <w:spacing w:val="4"/>
          <w:sz w:val="22"/>
          <w:szCs w:val="22"/>
          <w:lang w:eastAsia="en-US"/>
        </w:rPr>
        <w:t>Odwołani</w:t>
      </w:r>
      <w:r w:rsidR="00EC4EA4" w:rsidRPr="00B61C37">
        <w:rPr>
          <w:rFonts w:ascii="Lato" w:eastAsiaTheme="minorHAnsi" w:hAnsi="Lato" w:cs="Arial"/>
          <w:spacing w:val="4"/>
          <w:sz w:val="22"/>
          <w:szCs w:val="22"/>
          <w:lang w:eastAsia="en-US"/>
        </w:rPr>
        <w:t>a</w:t>
      </w:r>
      <w:r w:rsidRPr="00B61C37">
        <w:rPr>
          <w:rFonts w:ascii="Lato" w:eastAsiaTheme="minorHAnsi" w:hAnsi="Lato" w:cs="Arial"/>
          <w:spacing w:val="4"/>
          <w:sz w:val="22"/>
          <w:szCs w:val="22"/>
          <w:lang w:eastAsia="en-US"/>
        </w:rPr>
        <w:t xml:space="preserve"> wniesiono w terminie. </w:t>
      </w:r>
    </w:p>
    <w:p w14:paraId="4F1C496E" w14:textId="7F778CCC" w:rsidR="00CB32DB" w:rsidRPr="00B61C37" w:rsidRDefault="00EA32A1" w:rsidP="00FA5D77">
      <w:pPr>
        <w:spacing w:after="240" w:line="240" w:lineRule="exact"/>
        <w:jc w:val="both"/>
        <w:rPr>
          <w:rFonts w:ascii="Lato" w:hAnsi="Lato" w:cs="Arial"/>
          <w:spacing w:val="4"/>
          <w:sz w:val="22"/>
          <w:szCs w:val="22"/>
        </w:rPr>
      </w:pPr>
      <w:r w:rsidRPr="00B61C37">
        <w:rPr>
          <w:rFonts w:ascii="Lato" w:eastAsiaTheme="minorHAnsi" w:hAnsi="Lato" w:cs="Arial"/>
          <w:spacing w:val="4"/>
          <w:sz w:val="22"/>
          <w:szCs w:val="22"/>
          <w:lang w:eastAsia="en-US"/>
        </w:rPr>
        <w:t xml:space="preserve">W </w:t>
      </w:r>
      <w:proofErr w:type="spellStart"/>
      <w:r w:rsidRPr="00B61C37">
        <w:rPr>
          <w:rFonts w:ascii="Lato" w:eastAsiaTheme="minorHAnsi" w:hAnsi="Lato" w:cs="Arial"/>
          <w:spacing w:val="4"/>
          <w:sz w:val="22"/>
          <w:szCs w:val="22"/>
          <w:lang w:eastAsia="en-US"/>
        </w:rPr>
        <w:t>odwołani</w:t>
      </w:r>
      <w:r w:rsidR="00EC4EA4" w:rsidRPr="00B61C37">
        <w:rPr>
          <w:rFonts w:ascii="Lato" w:eastAsiaTheme="minorHAnsi" w:hAnsi="Lato" w:cs="Arial"/>
          <w:spacing w:val="4"/>
          <w:sz w:val="22"/>
          <w:szCs w:val="22"/>
          <w:lang w:eastAsia="en-US"/>
        </w:rPr>
        <w:t>ach</w:t>
      </w:r>
      <w:proofErr w:type="spellEnd"/>
      <w:r w:rsidRPr="00B61C37">
        <w:rPr>
          <w:rFonts w:ascii="Lato" w:eastAsiaTheme="minorHAnsi" w:hAnsi="Lato" w:cs="Arial"/>
          <w:spacing w:val="4"/>
          <w:sz w:val="22"/>
          <w:szCs w:val="22"/>
          <w:lang w:eastAsia="en-US"/>
        </w:rPr>
        <w:t>, uzupełnion</w:t>
      </w:r>
      <w:r w:rsidR="00EC4EA4" w:rsidRPr="00B61C37">
        <w:rPr>
          <w:rFonts w:ascii="Lato" w:eastAsiaTheme="minorHAnsi" w:hAnsi="Lato" w:cs="Arial"/>
          <w:spacing w:val="4"/>
          <w:sz w:val="22"/>
          <w:szCs w:val="22"/>
          <w:lang w:eastAsia="en-US"/>
        </w:rPr>
        <w:t>ych</w:t>
      </w:r>
      <w:r w:rsidRPr="00B61C37">
        <w:rPr>
          <w:rFonts w:ascii="Lato" w:eastAsiaTheme="minorHAnsi" w:hAnsi="Lato" w:cs="Arial"/>
          <w:spacing w:val="4"/>
          <w:sz w:val="22"/>
          <w:szCs w:val="22"/>
          <w:lang w:eastAsia="en-US"/>
        </w:rPr>
        <w:t xml:space="preserve"> w tra</w:t>
      </w:r>
      <w:r w:rsidR="00E6494C" w:rsidRPr="00B61C37">
        <w:rPr>
          <w:rFonts w:ascii="Lato" w:eastAsiaTheme="minorHAnsi" w:hAnsi="Lato" w:cs="Arial"/>
          <w:spacing w:val="4"/>
          <w:sz w:val="22"/>
          <w:szCs w:val="22"/>
          <w:lang w:eastAsia="en-US"/>
        </w:rPr>
        <w:t>k</w:t>
      </w:r>
      <w:r w:rsidRPr="00B61C37">
        <w:rPr>
          <w:rFonts w:ascii="Lato" w:eastAsiaTheme="minorHAnsi" w:hAnsi="Lato" w:cs="Arial"/>
          <w:spacing w:val="4"/>
          <w:sz w:val="22"/>
          <w:szCs w:val="22"/>
          <w:lang w:eastAsia="en-US"/>
        </w:rPr>
        <w:t xml:space="preserve">cie prowadzonego postępowania, </w:t>
      </w:r>
      <w:r w:rsidR="00691867" w:rsidRPr="00B61C37">
        <w:rPr>
          <w:rFonts w:ascii="Lato" w:hAnsi="Lato" w:cs="Arial"/>
          <w:spacing w:val="4"/>
          <w:sz w:val="22"/>
          <w:szCs w:val="22"/>
        </w:rPr>
        <w:t>S</w:t>
      </w:r>
      <w:r w:rsidR="00CB32DB" w:rsidRPr="00B61C37">
        <w:rPr>
          <w:rFonts w:ascii="Lato" w:hAnsi="Lato" w:cs="Arial"/>
          <w:spacing w:val="4"/>
          <w:sz w:val="22"/>
          <w:szCs w:val="22"/>
        </w:rPr>
        <w:t>karżąc</w:t>
      </w:r>
      <w:r w:rsidR="00EC4EA4" w:rsidRPr="00B61C37">
        <w:rPr>
          <w:rFonts w:ascii="Lato" w:hAnsi="Lato" w:cs="Arial"/>
          <w:spacing w:val="4"/>
          <w:sz w:val="22"/>
          <w:szCs w:val="22"/>
        </w:rPr>
        <w:t>y</w:t>
      </w:r>
      <w:r w:rsidR="00CB32DB" w:rsidRPr="00B61C37">
        <w:rPr>
          <w:rFonts w:ascii="Lato" w:hAnsi="Lato" w:cs="Arial"/>
          <w:spacing w:val="4"/>
          <w:sz w:val="22"/>
          <w:szCs w:val="22"/>
        </w:rPr>
        <w:t xml:space="preserve"> podni</w:t>
      </w:r>
      <w:r w:rsidR="00EC4EA4" w:rsidRPr="00B61C37">
        <w:rPr>
          <w:rFonts w:ascii="Lato" w:hAnsi="Lato" w:cs="Arial"/>
          <w:spacing w:val="4"/>
          <w:sz w:val="22"/>
          <w:szCs w:val="22"/>
        </w:rPr>
        <w:t>eśli</w:t>
      </w:r>
      <w:r w:rsidR="00CB32DB" w:rsidRPr="00B61C37">
        <w:rPr>
          <w:rFonts w:ascii="Lato" w:hAnsi="Lato" w:cs="Arial"/>
          <w:spacing w:val="4"/>
          <w:sz w:val="22"/>
          <w:szCs w:val="22"/>
        </w:rPr>
        <w:t xml:space="preserve"> zarzuty odnoszące się do decyzji Wojewody </w:t>
      </w:r>
      <w:r w:rsidR="00FB30BF" w:rsidRPr="00B61C37">
        <w:rPr>
          <w:rFonts w:ascii="Lato" w:hAnsi="Lato" w:cs="Arial"/>
          <w:spacing w:val="4"/>
          <w:sz w:val="22"/>
          <w:szCs w:val="22"/>
        </w:rPr>
        <w:t>Podkarpackiego</w:t>
      </w:r>
      <w:r w:rsidR="00CB32DB" w:rsidRPr="00B61C37">
        <w:rPr>
          <w:rFonts w:ascii="Lato" w:hAnsi="Lato" w:cs="Arial"/>
          <w:spacing w:val="4"/>
          <w:sz w:val="22"/>
          <w:szCs w:val="22"/>
        </w:rPr>
        <w:t>, określi</w:t>
      </w:r>
      <w:r w:rsidR="00EC4EA4" w:rsidRPr="00B61C37">
        <w:rPr>
          <w:rFonts w:ascii="Lato" w:hAnsi="Lato" w:cs="Arial"/>
          <w:spacing w:val="4"/>
          <w:sz w:val="22"/>
          <w:szCs w:val="22"/>
        </w:rPr>
        <w:t>li</w:t>
      </w:r>
      <w:r w:rsidR="00CB32DB" w:rsidRPr="00B61C37">
        <w:rPr>
          <w:rFonts w:ascii="Lato" w:hAnsi="Lato" w:cs="Arial"/>
          <w:spacing w:val="4"/>
          <w:sz w:val="22"/>
          <w:szCs w:val="22"/>
        </w:rPr>
        <w:t xml:space="preserve"> istotę </w:t>
      </w:r>
      <w:r w:rsidR="00224756" w:rsidRPr="00B61C37">
        <w:rPr>
          <w:rFonts w:ascii="Lato" w:hAnsi="Lato" w:cs="Arial"/>
          <w:spacing w:val="4"/>
          <w:sz w:val="22"/>
          <w:szCs w:val="22"/>
        </w:rPr>
        <w:br/>
      </w:r>
      <w:r w:rsidR="00CB32DB" w:rsidRPr="00B61C37">
        <w:rPr>
          <w:rFonts w:ascii="Lato" w:hAnsi="Lato" w:cs="Arial"/>
          <w:spacing w:val="4"/>
          <w:sz w:val="22"/>
          <w:szCs w:val="22"/>
        </w:rPr>
        <w:t>i zakres żądania będącego przedmiotem odwołania oraz wskaza</w:t>
      </w:r>
      <w:r w:rsidR="00EC4EA4" w:rsidRPr="00B61C37">
        <w:rPr>
          <w:rFonts w:ascii="Lato" w:hAnsi="Lato" w:cs="Arial"/>
          <w:spacing w:val="4"/>
          <w:sz w:val="22"/>
          <w:szCs w:val="22"/>
        </w:rPr>
        <w:t>li</w:t>
      </w:r>
      <w:r w:rsidR="00CB32DB" w:rsidRPr="00B61C37">
        <w:rPr>
          <w:rFonts w:ascii="Lato" w:hAnsi="Lato" w:cs="Arial"/>
          <w:spacing w:val="4"/>
          <w:sz w:val="22"/>
          <w:szCs w:val="22"/>
        </w:rPr>
        <w:t xml:space="preserve"> na dowody uzasadniające to żądanie.</w:t>
      </w:r>
      <w:r w:rsidR="003B62E3" w:rsidRPr="00B61C37">
        <w:rPr>
          <w:rFonts w:ascii="Lato" w:hAnsi="Lato" w:cs="Arial"/>
          <w:spacing w:val="4"/>
          <w:sz w:val="22"/>
          <w:szCs w:val="22"/>
        </w:rPr>
        <w:t xml:space="preserve"> </w:t>
      </w:r>
    </w:p>
    <w:p w14:paraId="217B1BC8" w14:textId="1C526C78" w:rsidR="00691867" w:rsidRPr="00B61C37" w:rsidRDefault="00CC2636" w:rsidP="00691867">
      <w:pPr>
        <w:spacing w:after="240" w:line="240" w:lineRule="exact"/>
        <w:jc w:val="both"/>
        <w:outlineLvl w:val="0"/>
        <w:rPr>
          <w:rFonts w:ascii="Lato" w:eastAsiaTheme="minorHAnsi" w:hAnsi="Lato" w:cs="Arial"/>
          <w:bCs/>
          <w:spacing w:val="4"/>
          <w:sz w:val="22"/>
          <w:szCs w:val="22"/>
          <w:lang w:eastAsia="en-US"/>
        </w:rPr>
      </w:pPr>
      <w:r w:rsidRPr="00CC2636">
        <w:rPr>
          <w:rFonts w:ascii="Lato" w:eastAsiaTheme="minorHAnsi" w:hAnsi="Lato" w:cs="Arial"/>
          <w:bCs/>
          <w:spacing w:val="4"/>
          <w:sz w:val="22"/>
          <w:szCs w:val="22"/>
          <w:lang w:eastAsia="en-US"/>
        </w:rPr>
        <w:t>Na wstępie wyjaśnić należy, iż właściwym w przedmiotowej sprawie - stosownie do treści rozporządzenia Prezesa Rady Ministrów z dnia 25 lipca 2025 r. w sprawie szczegółowego zakresu działania Ministra Finansów i Gospodarki (t.j. Dz.U. z 2025 r. poz. 997) - jest obecnie Minister Finansów i Gospodarki, zwany dalej „Ministrem”. Natomiast zgodnie § 1 ust. 4 pkt 1 lit. a i b ww. rozporządzenia Prezesa Rady Ministrów z dnia 25 lipca 2025 r. obsługę Ministra zapewnia Ministerstwo Rozwoju i Technologii w zakresie działów administracji rządowej: budownictwo, planowanie i zagospodarowanie przestrzenne oraz mieszkalnictwo; gospodarka.</w:t>
      </w:r>
    </w:p>
    <w:p w14:paraId="56BE13A3" w14:textId="500D3C36" w:rsidR="005A7B1F" w:rsidRPr="00B61C37" w:rsidRDefault="005A7B1F" w:rsidP="00FA5D77">
      <w:pPr>
        <w:spacing w:after="240" w:line="240" w:lineRule="exact"/>
        <w:jc w:val="both"/>
        <w:outlineLvl w:val="0"/>
        <w:rPr>
          <w:rFonts w:ascii="Lato" w:eastAsiaTheme="minorHAnsi" w:hAnsi="Lato" w:cs="Arial"/>
          <w:spacing w:val="4"/>
          <w:sz w:val="22"/>
          <w:szCs w:val="22"/>
          <w:lang w:eastAsia="en-US"/>
        </w:rPr>
      </w:pPr>
      <w:r w:rsidRPr="00B61C37">
        <w:rPr>
          <w:rFonts w:ascii="Lato" w:eastAsiaTheme="minorHAnsi" w:hAnsi="Lato" w:cs="Arial"/>
          <w:spacing w:val="4"/>
          <w:sz w:val="22"/>
          <w:szCs w:val="22"/>
          <w:lang w:eastAsia="en-US"/>
        </w:rPr>
        <w:t xml:space="preserve">Kompetencje organu odwoławczego obejmują korygowanie zarówno wad prawnych decyzji organu I instancji, polegających na niewłaściwym zastosowaniu przepisu prawa materialnego, bądź postępowania administracyjnego, jak i wad polegających </w:t>
      </w:r>
      <w:r w:rsidR="000279FC" w:rsidRPr="00B61C37">
        <w:rPr>
          <w:rFonts w:ascii="Lato" w:eastAsiaTheme="minorHAnsi" w:hAnsi="Lato" w:cs="Arial"/>
          <w:spacing w:val="4"/>
          <w:sz w:val="22"/>
          <w:szCs w:val="22"/>
          <w:lang w:eastAsia="en-US"/>
        </w:rPr>
        <w:br/>
      </w:r>
      <w:r w:rsidRPr="00B61C37">
        <w:rPr>
          <w:rFonts w:ascii="Lato" w:eastAsiaTheme="minorHAnsi" w:hAnsi="Lato" w:cs="Arial"/>
          <w:spacing w:val="4"/>
          <w:sz w:val="22"/>
          <w:szCs w:val="22"/>
          <w:lang w:eastAsia="en-US"/>
        </w:rPr>
        <w:t xml:space="preserve">na niewłaściwej ocenie okoliczności faktycznych. Zgodnie z ogólnie przyjętą zasadą, </w:t>
      </w:r>
      <w:r w:rsidRPr="00B61C37">
        <w:rPr>
          <w:rFonts w:ascii="Lato" w:eastAsiaTheme="minorHAnsi" w:hAnsi="Lato" w:cs="Arial"/>
          <w:spacing w:val="4"/>
          <w:sz w:val="22"/>
          <w:szCs w:val="22"/>
          <w:lang w:eastAsia="en-US"/>
        </w:rPr>
        <w:lastRenderedPageBreak/>
        <w:t xml:space="preserve">organy administracji publicznej powinny działać wnikliwie, prowadząc wyczerpujące postępowanie dowodowe w celu uzyskania prawdy obiektywnej, a fakty istotne </w:t>
      </w:r>
      <w:r w:rsidR="00432636" w:rsidRPr="00B61C37">
        <w:rPr>
          <w:rFonts w:ascii="Lato" w:eastAsiaTheme="minorHAnsi" w:hAnsi="Lato" w:cs="Arial"/>
          <w:spacing w:val="4"/>
          <w:sz w:val="22"/>
          <w:szCs w:val="22"/>
          <w:lang w:eastAsia="en-US"/>
        </w:rPr>
        <w:br/>
      </w:r>
      <w:r w:rsidRPr="00B61C37">
        <w:rPr>
          <w:rFonts w:ascii="Lato" w:eastAsiaTheme="minorHAnsi" w:hAnsi="Lato" w:cs="Arial"/>
          <w:spacing w:val="4"/>
          <w:sz w:val="22"/>
          <w:szCs w:val="22"/>
          <w:lang w:eastAsia="en-US"/>
        </w:rPr>
        <w:t xml:space="preserve">dla podjęcia rozstrzygnięcia powinny zostać w miarę możliwości bezsprzecznie ustalone. Obowiązek ten wynika z art. 7 i art. 77 kpa. Dlatego też trafność rozstrzygnięcia </w:t>
      </w:r>
      <w:r w:rsidR="000279FC" w:rsidRPr="00B61C37">
        <w:rPr>
          <w:rFonts w:ascii="Lato" w:eastAsiaTheme="minorHAnsi" w:hAnsi="Lato" w:cs="Arial"/>
          <w:spacing w:val="4"/>
          <w:sz w:val="22"/>
          <w:szCs w:val="22"/>
          <w:lang w:eastAsia="en-US"/>
        </w:rPr>
        <w:br/>
      </w:r>
      <w:r w:rsidRPr="00B61C37">
        <w:rPr>
          <w:rFonts w:ascii="Lato" w:eastAsiaTheme="minorHAnsi" w:hAnsi="Lato" w:cs="Arial"/>
          <w:spacing w:val="4"/>
          <w:sz w:val="22"/>
          <w:szCs w:val="22"/>
          <w:lang w:eastAsia="en-US"/>
        </w:rPr>
        <w:t>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3E5E6336" w14:textId="345ADADB" w:rsidR="00B93F4D" w:rsidRPr="00B61C37" w:rsidRDefault="00855129" w:rsidP="00FA5D77">
      <w:pPr>
        <w:spacing w:after="240" w:line="240" w:lineRule="exact"/>
        <w:jc w:val="both"/>
        <w:outlineLvl w:val="0"/>
        <w:rPr>
          <w:rFonts w:ascii="Lato" w:eastAsiaTheme="minorHAnsi" w:hAnsi="Lato" w:cs="Arial"/>
          <w:spacing w:val="4"/>
          <w:sz w:val="22"/>
          <w:szCs w:val="22"/>
          <w:lang w:eastAsia="en-US"/>
        </w:rPr>
      </w:pPr>
      <w:r w:rsidRPr="00B61C37">
        <w:rPr>
          <w:rFonts w:ascii="Lato" w:eastAsiaTheme="minorHAnsi" w:hAnsi="Lato" w:cs="Arial"/>
          <w:spacing w:val="4"/>
          <w:sz w:val="22"/>
          <w:szCs w:val="22"/>
          <w:lang w:eastAsia="en-US"/>
        </w:rPr>
        <w:t>Mając na uwadze powyższe, w</w:t>
      </w:r>
      <w:r w:rsidR="005A7B1F" w:rsidRPr="00B61C37">
        <w:rPr>
          <w:rFonts w:ascii="Lato" w:eastAsiaTheme="minorHAnsi" w:hAnsi="Lato" w:cs="Arial"/>
          <w:spacing w:val="4"/>
          <w:sz w:val="22"/>
          <w:szCs w:val="22"/>
          <w:lang w:eastAsia="en-US"/>
        </w:rPr>
        <w:t xml:space="preserve"> trakcie przeprowadzonego postępowania odwoławczego Minister rozpatrzył ponownie wniosek inwestora o wydanie </w:t>
      </w:r>
      <w:r w:rsidRPr="00B61C37">
        <w:rPr>
          <w:rFonts w:ascii="Lato" w:eastAsiaTheme="minorHAnsi" w:hAnsi="Lato" w:cs="Arial"/>
          <w:spacing w:val="4"/>
          <w:sz w:val="22"/>
          <w:szCs w:val="22"/>
          <w:lang w:eastAsia="en-US"/>
        </w:rPr>
        <w:t xml:space="preserve">przedmiotowej </w:t>
      </w:r>
      <w:r w:rsidR="005A7B1F" w:rsidRPr="00B61C37">
        <w:rPr>
          <w:rFonts w:ascii="Lato" w:eastAsiaTheme="minorHAnsi" w:hAnsi="Lato" w:cs="Arial"/>
          <w:spacing w:val="4"/>
          <w:sz w:val="22"/>
          <w:szCs w:val="22"/>
          <w:lang w:eastAsia="en-US"/>
        </w:rPr>
        <w:t xml:space="preserve">decyzji </w:t>
      </w:r>
      <w:r w:rsidR="00E6494C" w:rsidRPr="00B61C37">
        <w:rPr>
          <w:rFonts w:ascii="Lato" w:eastAsiaTheme="minorHAnsi" w:hAnsi="Lato" w:cs="Arial"/>
          <w:spacing w:val="4"/>
          <w:sz w:val="22"/>
          <w:szCs w:val="22"/>
          <w:lang w:eastAsia="en-US"/>
        </w:rPr>
        <w:br/>
      </w:r>
      <w:r w:rsidR="005A7B1F" w:rsidRPr="00B61C37">
        <w:rPr>
          <w:rFonts w:ascii="Lato" w:eastAsiaTheme="minorHAnsi" w:hAnsi="Lato" w:cs="Arial"/>
          <w:spacing w:val="4"/>
          <w:sz w:val="22"/>
          <w:szCs w:val="22"/>
          <w:lang w:eastAsia="en-US"/>
        </w:rPr>
        <w:t xml:space="preserve">o ustaleniu lokalizacji inwestycji towarzyszącej inwestycjom w zakresie terminalu, przeanalizował materiał dowodowy zgromadzony przez Wojewodę </w:t>
      </w:r>
      <w:r w:rsidR="00FB30BF" w:rsidRPr="00B61C37">
        <w:rPr>
          <w:rFonts w:ascii="Lato" w:eastAsiaTheme="minorHAnsi" w:hAnsi="Lato" w:cs="Arial"/>
          <w:spacing w:val="4"/>
          <w:sz w:val="22"/>
          <w:szCs w:val="22"/>
          <w:lang w:eastAsia="en-US"/>
        </w:rPr>
        <w:t>Podkarpackiego</w:t>
      </w:r>
      <w:r w:rsidR="005A7B1F" w:rsidRPr="00B61C37">
        <w:rPr>
          <w:rFonts w:ascii="Lato" w:eastAsiaTheme="minorHAnsi" w:hAnsi="Lato" w:cs="Arial"/>
          <w:spacing w:val="4"/>
          <w:sz w:val="22"/>
          <w:szCs w:val="22"/>
          <w:lang w:eastAsia="en-US"/>
        </w:rPr>
        <w:t xml:space="preserve">, </w:t>
      </w:r>
      <w:r w:rsidR="002658DD" w:rsidRPr="00B61C37">
        <w:rPr>
          <w:rFonts w:ascii="Lato" w:eastAsiaTheme="minorHAnsi" w:hAnsi="Lato" w:cs="Arial"/>
          <w:spacing w:val="4"/>
          <w:sz w:val="22"/>
          <w:szCs w:val="22"/>
          <w:lang w:eastAsia="en-US"/>
        </w:rPr>
        <w:br/>
      </w:r>
      <w:r w:rsidR="005A7B1F" w:rsidRPr="00B61C37">
        <w:rPr>
          <w:rFonts w:ascii="Lato" w:eastAsiaTheme="minorHAnsi" w:hAnsi="Lato" w:cs="Arial"/>
          <w:spacing w:val="4"/>
          <w:sz w:val="22"/>
          <w:szCs w:val="22"/>
          <w:lang w:eastAsia="en-US"/>
        </w:rPr>
        <w:t xml:space="preserve">w tym zbadał poprawność postępowania organu I instancji oraz poprawność kończącej </w:t>
      </w:r>
      <w:r w:rsidR="009D28A2" w:rsidRPr="00B61C37">
        <w:rPr>
          <w:rFonts w:ascii="Lato" w:eastAsiaTheme="minorHAnsi" w:hAnsi="Lato" w:cs="Arial"/>
          <w:spacing w:val="4"/>
          <w:sz w:val="22"/>
          <w:szCs w:val="22"/>
          <w:lang w:eastAsia="en-US"/>
        </w:rPr>
        <w:br/>
      </w:r>
      <w:r w:rsidR="005A7B1F" w:rsidRPr="00B61C37">
        <w:rPr>
          <w:rFonts w:ascii="Lato" w:eastAsiaTheme="minorHAnsi" w:hAnsi="Lato" w:cs="Arial"/>
          <w:spacing w:val="4"/>
          <w:sz w:val="22"/>
          <w:szCs w:val="22"/>
          <w:lang w:eastAsia="en-US"/>
        </w:rPr>
        <w:t xml:space="preserve">to postępowanie decyzji Wojewody </w:t>
      </w:r>
      <w:r w:rsidR="00FB30BF" w:rsidRPr="00B61C37">
        <w:rPr>
          <w:rFonts w:ascii="Lato" w:eastAsiaTheme="minorHAnsi" w:hAnsi="Lato" w:cs="Arial"/>
          <w:spacing w:val="4"/>
          <w:sz w:val="22"/>
          <w:szCs w:val="22"/>
          <w:lang w:eastAsia="en-US"/>
        </w:rPr>
        <w:t>Podkarpackiego</w:t>
      </w:r>
      <w:r w:rsidR="005A7B1F" w:rsidRPr="00B61C37">
        <w:rPr>
          <w:rFonts w:ascii="Lato" w:eastAsiaTheme="minorHAnsi" w:hAnsi="Lato" w:cs="Arial"/>
          <w:spacing w:val="4"/>
          <w:sz w:val="22"/>
          <w:szCs w:val="22"/>
          <w:lang w:eastAsia="en-US"/>
        </w:rPr>
        <w:t xml:space="preserve">, jak również rozpoznał zarzuty podniesione przez </w:t>
      </w:r>
      <w:r w:rsidR="00F05CAA" w:rsidRPr="00B61C37">
        <w:rPr>
          <w:rFonts w:ascii="Lato" w:eastAsiaTheme="minorHAnsi" w:hAnsi="Lato" w:cs="Arial"/>
          <w:spacing w:val="4"/>
          <w:sz w:val="22"/>
          <w:szCs w:val="22"/>
          <w:lang w:eastAsia="en-US"/>
        </w:rPr>
        <w:t>stron</w:t>
      </w:r>
      <w:r w:rsidR="009D28A2" w:rsidRPr="00B61C37">
        <w:rPr>
          <w:rFonts w:ascii="Lato" w:eastAsiaTheme="minorHAnsi" w:hAnsi="Lato" w:cs="Arial"/>
          <w:spacing w:val="4"/>
          <w:sz w:val="22"/>
          <w:szCs w:val="22"/>
          <w:lang w:eastAsia="en-US"/>
        </w:rPr>
        <w:t>y</w:t>
      </w:r>
      <w:r w:rsidR="00F05CAA" w:rsidRPr="00B61C37">
        <w:rPr>
          <w:rFonts w:ascii="Lato" w:eastAsiaTheme="minorHAnsi" w:hAnsi="Lato" w:cs="Arial"/>
          <w:spacing w:val="4"/>
          <w:sz w:val="22"/>
          <w:szCs w:val="22"/>
          <w:lang w:eastAsia="en-US"/>
        </w:rPr>
        <w:t xml:space="preserve"> </w:t>
      </w:r>
      <w:r w:rsidR="005A7B1F" w:rsidRPr="00B61C37">
        <w:rPr>
          <w:rFonts w:ascii="Lato" w:eastAsiaTheme="minorHAnsi" w:hAnsi="Lato" w:cs="Arial"/>
          <w:spacing w:val="4"/>
          <w:sz w:val="22"/>
          <w:szCs w:val="22"/>
          <w:lang w:eastAsia="en-US"/>
        </w:rPr>
        <w:t>skarżąc</w:t>
      </w:r>
      <w:r w:rsidR="009D28A2" w:rsidRPr="00B61C37">
        <w:rPr>
          <w:rFonts w:ascii="Lato" w:eastAsiaTheme="minorHAnsi" w:hAnsi="Lato" w:cs="Arial"/>
          <w:spacing w:val="4"/>
          <w:sz w:val="22"/>
          <w:szCs w:val="22"/>
          <w:lang w:eastAsia="en-US"/>
        </w:rPr>
        <w:t>e</w:t>
      </w:r>
      <w:r w:rsidR="005A7B1F" w:rsidRPr="00B61C37">
        <w:rPr>
          <w:rFonts w:ascii="Lato" w:eastAsiaTheme="minorHAnsi" w:hAnsi="Lato" w:cs="Arial"/>
          <w:spacing w:val="4"/>
          <w:sz w:val="22"/>
          <w:szCs w:val="22"/>
          <w:lang w:eastAsia="en-US"/>
        </w:rPr>
        <w:t>.</w:t>
      </w:r>
      <w:r w:rsidR="00CA3979" w:rsidRPr="00B61C37">
        <w:rPr>
          <w:rFonts w:ascii="Lato" w:eastAsiaTheme="minorHAnsi" w:hAnsi="Lato" w:cs="Arial"/>
          <w:spacing w:val="4"/>
          <w:sz w:val="22"/>
          <w:szCs w:val="22"/>
          <w:lang w:eastAsia="en-US"/>
        </w:rPr>
        <w:t xml:space="preserve"> </w:t>
      </w:r>
    </w:p>
    <w:p w14:paraId="5934D76D" w14:textId="06E2B7D7" w:rsidR="00C23C78" w:rsidRPr="00B61C37" w:rsidRDefault="00855129" w:rsidP="00FA5D77">
      <w:pPr>
        <w:spacing w:after="240" w:line="240" w:lineRule="exact"/>
        <w:jc w:val="both"/>
        <w:outlineLvl w:val="0"/>
        <w:rPr>
          <w:rFonts w:ascii="Lato" w:eastAsiaTheme="minorHAnsi" w:hAnsi="Lato" w:cs="Arial"/>
          <w:spacing w:val="4"/>
          <w:sz w:val="22"/>
          <w:szCs w:val="22"/>
          <w:lang w:eastAsia="en-US"/>
        </w:rPr>
      </w:pPr>
      <w:r w:rsidRPr="00B61C37">
        <w:rPr>
          <w:rFonts w:ascii="Lato" w:eastAsiaTheme="minorHAnsi" w:hAnsi="Lato" w:cs="Arial"/>
          <w:spacing w:val="4"/>
          <w:sz w:val="22"/>
          <w:szCs w:val="22"/>
          <w:lang w:eastAsia="en-US"/>
        </w:rPr>
        <w:t>Projektowana inwestycja mieści się w wykazie inwestycji towarzyszących inwestycjom w zakresie terminalu.</w:t>
      </w:r>
      <w:r w:rsidR="008F7867" w:rsidRPr="00B61C37">
        <w:rPr>
          <w:rFonts w:ascii="Lato" w:eastAsiaTheme="minorHAnsi" w:hAnsi="Lato" w:cs="Arial"/>
          <w:spacing w:val="4"/>
          <w:sz w:val="22"/>
          <w:szCs w:val="22"/>
          <w:lang w:eastAsia="en-US"/>
        </w:rPr>
        <w:t xml:space="preserve"> Zgodnie bowiem z art. 38 pkt </w:t>
      </w:r>
      <w:r w:rsidR="00C23C78" w:rsidRPr="00B61C37">
        <w:rPr>
          <w:rFonts w:ascii="Lato" w:eastAsiaTheme="minorHAnsi" w:hAnsi="Lato" w:cs="Arial"/>
          <w:spacing w:val="4"/>
          <w:sz w:val="22"/>
          <w:szCs w:val="22"/>
          <w:lang w:eastAsia="en-US"/>
        </w:rPr>
        <w:t>1</w:t>
      </w:r>
      <w:r w:rsidR="008F7867" w:rsidRPr="00B61C37">
        <w:rPr>
          <w:rFonts w:ascii="Lato" w:eastAsiaTheme="minorHAnsi" w:hAnsi="Lato" w:cs="Arial"/>
          <w:spacing w:val="4"/>
          <w:sz w:val="22"/>
          <w:szCs w:val="22"/>
          <w:lang w:eastAsia="en-US"/>
        </w:rPr>
        <w:t xml:space="preserve"> lit. </w:t>
      </w:r>
      <w:r w:rsidR="00C23C78" w:rsidRPr="00B61C37">
        <w:rPr>
          <w:rFonts w:ascii="Lato" w:eastAsiaTheme="minorHAnsi" w:hAnsi="Lato" w:cs="Arial"/>
          <w:spacing w:val="4"/>
          <w:sz w:val="22"/>
          <w:szCs w:val="22"/>
          <w:lang w:eastAsia="en-US"/>
        </w:rPr>
        <w:t>d</w:t>
      </w:r>
      <w:r w:rsidR="008F7867" w:rsidRPr="00B61C37">
        <w:rPr>
          <w:rFonts w:ascii="Lato" w:eastAsiaTheme="minorHAnsi" w:hAnsi="Lato" w:cs="Arial"/>
          <w:spacing w:val="4"/>
          <w:sz w:val="22"/>
          <w:szCs w:val="22"/>
          <w:lang w:eastAsia="en-US"/>
        </w:rPr>
        <w:t xml:space="preserve"> specustawy gazowej</w:t>
      </w:r>
      <w:r w:rsidR="00C23C78" w:rsidRPr="00B61C37">
        <w:rPr>
          <w:rFonts w:ascii="Lato" w:eastAsiaTheme="minorHAnsi" w:hAnsi="Lato" w:cs="Arial"/>
          <w:spacing w:val="4"/>
          <w:sz w:val="22"/>
          <w:szCs w:val="22"/>
          <w:lang w:eastAsia="en-US"/>
        </w:rPr>
        <w:t xml:space="preserve"> </w:t>
      </w:r>
      <w:r w:rsidR="008F7867" w:rsidRPr="00B61C37">
        <w:rPr>
          <w:rFonts w:ascii="Lato" w:eastAsiaTheme="minorHAnsi" w:hAnsi="Lato" w:cs="Arial"/>
          <w:spacing w:val="4"/>
          <w:sz w:val="22"/>
          <w:szCs w:val="22"/>
          <w:lang w:eastAsia="en-US"/>
        </w:rPr>
        <w:t xml:space="preserve">inwestycją towarzyszącą inwestycjom w zakresie terminalu </w:t>
      </w:r>
      <w:r w:rsidR="00C23C78" w:rsidRPr="00B61C37">
        <w:rPr>
          <w:rFonts w:ascii="Lato" w:eastAsiaTheme="minorHAnsi" w:hAnsi="Lato" w:cs="Arial"/>
          <w:spacing w:val="4"/>
          <w:sz w:val="22"/>
          <w:szCs w:val="22"/>
          <w:lang w:eastAsia="en-US"/>
        </w:rPr>
        <w:t xml:space="preserve">realizowaną przez Polskie Górnictwo Naftowe i Gazownictwo S.A. z siedzibą w Warszawie </w:t>
      </w:r>
      <w:r w:rsidR="00C55901" w:rsidRPr="00B61C37">
        <w:rPr>
          <w:rFonts w:ascii="Lato" w:eastAsiaTheme="minorHAnsi" w:hAnsi="Lato" w:cs="Arial"/>
          <w:spacing w:val="4"/>
          <w:sz w:val="22"/>
          <w:szCs w:val="22"/>
          <w:lang w:eastAsia="en-US"/>
        </w:rPr>
        <w:t xml:space="preserve">(a także ich następców prawnych) </w:t>
      </w:r>
      <w:r w:rsidR="00C23C78" w:rsidRPr="00B61C37">
        <w:rPr>
          <w:rFonts w:ascii="Lato" w:eastAsiaTheme="minorHAnsi" w:hAnsi="Lato" w:cs="Arial"/>
          <w:spacing w:val="4"/>
          <w:sz w:val="22"/>
          <w:szCs w:val="22"/>
          <w:lang w:eastAsia="en-US"/>
        </w:rPr>
        <w:t>jest budowa lub przebudowa instalacji służących do poprawy parametrów jakościowych paliw gazowych wraz z infrastrukturą niezbędną do ich obsługi.</w:t>
      </w:r>
      <w:r w:rsidR="008135C8" w:rsidRPr="00B61C37">
        <w:rPr>
          <w:rFonts w:ascii="Lato" w:hAnsi="Lato"/>
          <w:sz w:val="22"/>
          <w:szCs w:val="22"/>
        </w:rPr>
        <w:t xml:space="preserve"> Przedmiotowe przedsięwzięcie</w:t>
      </w:r>
      <w:r w:rsidR="008135C8" w:rsidRPr="00B61C37">
        <w:rPr>
          <w:rFonts w:ascii="Lato" w:eastAsiaTheme="minorHAnsi" w:hAnsi="Lato" w:cs="Arial"/>
          <w:spacing w:val="4"/>
          <w:sz w:val="22"/>
          <w:szCs w:val="22"/>
          <w:lang w:eastAsia="en-US"/>
        </w:rPr>
        <w:t xml:space="preserve"> obejmuje budowę instalacji technologicznej w strefie </w:t>
      </w:r>
      <w:proofErr w:type="spellStart"/>
      <w:r w:rsidR="008135C8" w:rsidRPr="00B61C37">
        <w:rPr>
          <w:rFonts w:ascii="Lato" w:eastAsiaTheme="minorHAnsi" w:hAnsi="Lato" w:cs="Arial"/>
          <w:spacing w:val="4"/>
          <w:sz w:val="22"/>
          <w:szCs w:val="22"/>
          <w:lang w:eastAsia="en-US"/>
        </w:rPr>
        <w:t>przyodwiertowej</w:t>
      </w:r>
      <w:proofErr w:type="spellEnd"/>
      <w:r w:rsidR="008135C8" w:rsidRPr="00B61C37">
        <w:rPr>
          <w:rFonts w:ascii="Lato" w:eastAsiaTheme="minorHAnsi" w:hAnsi="Lato" w:cs="Arial"/>
          <w:spacing w:val="4"/>
          <w:sz w:val="22"/>
          <w:szCs w:val="22"/>
          <w:lang w:eastAsia="en-US"/>
        </w:rPr>
        <w:t xml:space="preserve"> służącej do przygotowania wydobywanego gazu ziemnego i dostosowania jego parametrów do warunków odbiorcy, wraz z infrastrukturą niezbędną do jej obsługi. Zakres inwestycji odpowiada zatem ustawowemu pojęciu budowy</w:t>
      </w:r>
      <w:r w:rsidR="00E637A4" w:rsidRPr="00B61C37">
        <w:rPr>
          <w:rFonts w:ascii="Lato" w:eastAsiaTheme="minorHAnsi" w:hAnsi="Lato" w:cs="Arial"/>
          <w:spacing w:val="4"/>
          <w:sz w:val="22"/>
          <w:szCs w:val="22"/>
          <w:lang w:eastAsia="en-US"/>
        </w:rPr>
        <w:t>/przebudowy</w:t>
      </w:r>
      <w:r w:rsidR="008135C8" w:rsidRPr="00B61C37">
        <w:rPr>
          <w:rFonts w:ascii="Lato" w:eastAsiaTheme="minorHAnsi" w:hAnsi="Lato" w:cs="Arial"/>
          <w:spacing w:val="4"/>
          <w:sz w:val="22"/>
          <w:szCs w:val="22"/>
          <w:lang w:eastAsia="en-US"/>
        </w:rPr>
        <w:t xml:space="preserve"> instalacji służących poprawie parametrów jakościowych paliw gazowych oraz infrastruktury niezbędnej do ich obsługi</w:t>
      </w:r>
      <w:r w:rsidR="00E637A4" w:rsidRPr="00B61C37">
        <w:rPr>
          <w:rFonts w:ascii="Lato" w:eastAsiaTheme="minorHAnsi" w:hAnsi="Lato" w:cs="Arial"/>
          <w:spacing w:val="4"/>
          <w:sz w:val="22"/>
          <w:szCs w:val="22"/>
          <w:lang w:eastAsia="en-US"/>
        </w:rPr>
        <w:t>.</w:t>
      </w:r>
    </w:p>
    <w:p w14:paraId="31FCFC53" w14:textId="66754618" w:rsidR="00E637A4" w:rsidRPr="00B61C37" w:rsidRDefault="00E637A4" w:rsidP="00FA5D77">
      <w:pPr>
        <w:spacing w:after="240" w:line="240" w:lineRule="exact"/>
        <w:jc w:val="both"/>
        <w:outlineLvl w:val="0"/>
        <w:rPr>
          <w:rFonts w:ascii="Lato" w:eastAsiaTheme="minorHAnsi" w:hAnsi="Lato" w:cs="Arial"/>
          <w:spacing w:val="4"/>
          <w:sz w:val="22"/>
          <w:szCs w:val="22"/>
          <w:lang w:eastAsia="en-US"/>
        </w:rPr>
      </w:pPr>
      <w:r w:rsidRPr="00B61C37">
        <w:rPr>
          <w:rFonts w:ascii="Lato" w:eastAsiaTheme="minorHAnsi" w:hAnsi="Lato" w:cs="Arial"/>
          <w:spacing w:val="4"/>
          <w:sz w:val="22"/>
          <w:szCs w:val="22"/>
          <w:lang w:eastAsia="en-US"/>
        </w:rPr>
        <w:t xml:space="preserve">W niniejszym przypadku wniosek o wydanie zaskarżonej decyzji został złożony przez właściwy podmiot. Stosownie bowiem do art. 38a ust. 1 pkt 1 specustawy gazowej inwestycje towarzyszące, o których mowa w ww. art. 38 pkt 1 ustawy, mogą być realizowane również przez następcę prawnego Polskiego Górnictwa Naftowego </w:t>
      </w:r>
      <w:r w:rsidR="00CC2636">
        <w:rPr>
          <w:rFonts w:ascii="Lato" w:eastAsiaTheme="minorHAnsi" w:hAnsi="Lato" w:cs="Arial"/>
          <w:spacing w:val="4"/>
          <w:sz w:val="22"/>
          <w:szCs w:val="22"/>
          <w:lang w:eastAsia="en-US"/>
        </w:rPr>
        <w:br/>
      </w:r>
      <w:r w:rsidRPr="00B61C37">
        <w:rPr>
          <w:rFonts w:ascii="Lato" w:eastAsiaTheme="minorHAnsi" w:hAnsi="Lato" w:cs="Arial"/>
          <w:spacing w:val="4"/>
          <w:sz w:val="22"/>
          <w:szCs w:val="22"/>
          <w:lang w:eastAsia="en-US"/>
        </w:rPr>
        <w:t xml:space="preserve">i Gazownictwa S.A. z siedzibą w Warszawie, którym jest </w:t>
      </w:r>
      <w:r w:rsidR="00CC2636">
        <w:rPr>
          <w:rFonts w:ascii="Lato" w:eastAsiaTheme="minorHAnsi" w:hAnsi="Lato" w:cs="Arial"/>
          <w:spacing w:val="4"/>
          <w:sz w:val="22"/>
          <w:szCs w:val="22"/>
          <w:lang w:eastAsia="en-US"/>
        </w:rPr>
        <w:t xml:space="preserve">obecnie </w:t>
      </w:r>
      <w:r w:rsidRPr="00B61C37">
        <w:rPr>
          <w:rFonts w:ascii="Lato" w:eastAsiaTheme="minorHAnsi" w:hAnsi="Lato" w:cs="Arial"/>
          <w:spacing w:val="4"/>
          <w:sz w:val="22"/>
          <w:szCs w:val="22"/>
          <w:lang w:eastAsia="en-US"/>
        </w:rPr>
        <w:t>ORLEN S.A.</w:t>
      </w:r>
      <w:r w:rsidR="00CC2636">
        <w:rPr>
          <w:rFonts w:ascii="Lato" w:eastAsiaTheme="minorHAnsi" w:hAnsi="Lato" w:cs="Arial"/>
          <w:spacing w:val="4"/>
          <w:sz w:val="22"/>
          <w:szCs w:val="22"/>
          <w:lang w:eastAsia="en-US"/>
        </w:rPr>
        <w:t xml:space="preserve"> </w:t>
      </w:r>
      <w:r w:rsidRPr="00B61C37">
        <w:rPr>
          <w:rFonts w:ascii="Lato" w:eastAsiaTheme="minorHAnsi" w:hAnsi="Lato" w:cs="Arial"/>
          <w:spacing w:val="4"/>
          <w:sz w:val="22"/>
          <w:szCs w:val="22"/>
          <w:lang w:eastAsia="en-US"/>
        </w:rPr>
        <w:t>Wskazania wymaga, że w dniu 2 listopada 2022 r. Sąd Rejonowy dla Łodzi-Śródmieścia w Łodzi, XX Wydział Gospodarczy Krajowego Rejestru Sądowego, dokonał wpisu do rejestru przedsiębiorców Krajowego Rejestru Sądowego dotyczącego połączenia Polskiego Koncernu Naftowego ORLEN S.A. z Polskim Górnictwem Naftowym i Gazownictwem S.A. W wyniku tego połączenia, stosownie do art. 494 § 1 ustawy z dnia 15 września 2000 r. Kodeks spółek handlowych, Polski Koncern Naftowy ORLEN S.A. z dniem połączenia wstąpił we wszystkie prawa i obowiązki Polskiego Górnictwa Naftowego i Gazownictwa S.A., stając się jego następcą prawnym.</w:t>
      </w:r>
      <w:r w:rsidR="00CC2636" w:rsidRPr="00CC2636">
        <w:t xml:space="preserve"> </w:t>
      </w:r>
      <w:r w:rsidR="00CC2636" w:rsidRPr="00CC2636">
        <w:rPr>
          <w:rFonts w:ascii="Lato" w:hAnsi="Lato"/>
          <w:sz w:val="22"/>
          <w:szCs w:val="22"/>
        </w:rPr>
        <w:t>Następnie</w:t>
      </w:r>
      <w:r w:rsidR="00CC2636">
        <w:rPr>
          <w:rFonts w:ascii="Lato" w:eastAsiaTheme="minorHAnsi" w:hAnsi="Lato" w:cs="Arial"/>
          <w:spacing w:val="4"/>
          <w:sz w:val="22"/>
          <w:szCs w:val="22"/>
          <w:lang w:eastAsia="en-US"/>
        </w:rPr>
        <w:t>,</w:t>
      </w:r>
      <w:r w:rsidR="00CC2636" w:rsidRPr="00CC2636">
        <w:rPr>
          <w:rFonts w:ascii="Lato" w:eastAsiaTheme="minorHAnsi" w:hAnsi="Lato" w:cs="Arial"/>
          <w:spacing w:val="4"/>
          <w:sz w:val="22"/>
          <w:szCs w:val="22"/>
          <w:lang w:eastAsia="en-US"/>
        </w:rPr>
        <w:t xml:space="preserve"> w dniu 3 lipca 2023 r. Sąd Rejonowy dla Łodzi-Śródmieścia w Łodzi, XX Wydział Gospodarczy Krajowego Rejestru Sądowego, dokonał wpisu do rejestru przedsiębiorców Krajowego Rejestru Sądowego zmian Statutu ORLEN S.A., uchwalonych przez Zwyczajne Walne Zgromadzenie ORLEN S.A. w dniu 21 czerwca 2023 r. Tym samym w dniu 3 lipca 2023 roku nastąpiła zmiana firmy (nazwy) Spółki z dotychczasowej Polski Koncern Naftowy ORLEN S.A. na ORLEN S.A. </w:t>
      </w:r>
    </w:p>
    <w:p w14:paraId="191B6D3D" w14:textId="77777777" w:rsidR="00D514B8" w:rsidRDefault="006E1482" w:rsidP="00FA5D77">
      <w:pPr>
        <w:spacing w:after="240" w:line="240" w:lineRule="exact"/>
        <w:jc w:val="both"/>
        <w:outlineLvl w:val="0"/>
        <w:rPr>
          <w:rFonts w:ascii="Lato" w:eastAsiaTheme="minorHAnsi" w:hAnsi="Lato" w:cs="Arial"/>
          <w:spacing w:val="4"/>
          <w:sz w:val="22"/>
          <w:szCs w:val="22"/>
          <w:lang w:eastAsia="en-US"/>
        </w:rPr>
      </w:pPr>
      <w:r w:rsidRPr="00B61C37">
        <w:rPr>
          <w:rFonts w:ascii="Lato" w:eastAsiaTheme="minorHAnsi" w:hAnsi="Lato" w:cs="Arial"/>
          <w:spacing w:val="4"/>
          <w:sz w:val="22"/>
          <w:szCs w:val="22"/>
          <w:lang w:eastAsia="en-US"/>
        </w:rPr>
        <w:t>Analizując złożony przez inwestora wniosek</w:t>
      </w:r>
      <w:r w:rsidR="000B7E8D" w:rsidRPr="00B61C37">
        <w:rPr>
          <w:rFonts w:ascii="Lato" w:eastAsiaTheme="minorHAnsi" w:hAnsi="Lato" w:cs="Arial"/>
          <w:spacing w:val="4"/>
          <w:sz w:val="22"/>
          <w:szCs w:val="22"/>
          <w:lang w:eastAsia="en-US"/>
        </w:rPr>
        <w:t>,</w:t>
      </w:r>
      <w:r w:rsidRPr="00B61C37">
        <w:rPr>
          <w:rFonts w:ascii="Lato" w:eastAsiaTheme="minorHAnsi" w:hAnsi="Lato" w:cs="Arial"/>
          <w:spacing w:val="4"/>
          <w:sz w:val="22"/>
          <w:szCs w:val="22"/>
          <w:lang w:eastAsia="en-US"/>
        </w:rPr>
        <w:t xml:space="preserve"> Minister uznał, że zawiera on wszystkie elementy wymagane na podstawie przepisu art. 6 w zw. z art. 39 ust. 1 specustawy gazowej</w:t>
      </w:r>
      <w:r w:rsidR="008F7867" w:rsidRPr="00B61C37">
        <w:rPr>
          <w:rFonts w:ascii="Lato" w:eastAsiaTheme="minorHAnsi" w:hAnsi="Lato" w:cs="Arial"/>
          <w:spacing w:val="4"/>
          <w:sz w:val="22"/>
          <w:szCs w:val="22"/>
          <w:lang w:eastAsia="en-US"/>
        </w:rPr>
        <w:t xml:space="preserve">, niezbędne w okolicznościach niniejszej sprawy. </w:t>
      </w:r>
    </w:p>
    <w:p w14:paraId="0624AF61" w14:textId="56875060" w:rsidR="00C74982" w:rsidRPr="00B61C37" w:rsidRDefault="00C74982" w:rsidP="00C74982">
      <w:pPr>
        <w:spacing w:after="240" w:line="240" w:lineRule="exact"/>
        <w:jc w:val="both"/>
        <w:outlineLvl w:val="0"/>
        <w:rPr>
          <w:rFonts w:ascii="Lato" w:eastAsiaTheme="minorHAnsi" w:hAnsi="Lato" w:cs="Arial"/>
          <w:spacing w:val="4"/>
          <w:sz w:val="22"/>
          <w:szCs w:val="22"/>
          <w:lang w:eastAsia="en-US"/>
        </w:rPr>
      </w:pPr>
      <w:r>
        <w:rPr>
          <w:rFonts w:ascii="Lato" w:eastAsiaTheme="minorHAnsi" w:hAnsi="Lato" w:cs="Arial"/>
          <w:spacing w:val="4"/>
          <w:sz w:val="22"/>
          <w:szCs w:val="22"/>
          <w:lang w:eastAsia="en-US"/>
        </w:rPr>
        <w:lastRenderedPageBreak/>
        <w:t xml:space="preserve">Inwestor dołączył do wniosku decyzję </w:t>
      </w:r>
      <w:r w:rsidRPr="00C74982">
        <w:rPr>
          <w:rFonts w:ascii="Lato" w:eastAsiaTheme="minorHAnsi" w:hAnsi="Lato" w:cs="Arial"/>
          <w:spacing w:val="4"/>
          <w:sz w:val="22"/>
          <w:szCs w:val="22"/>
          <w:lang w:eastAsia="en-US"/>
        </w:rPr>
        <w:t>Regionaln</w:t>
      </w:r>
      <w:r>
        <w:rPr>
          <w:rFonts w:ascii="Lato" w:eastAsiaTheme="minorHAnsi" w:hAnsi="Lato" w:cs="Arial"/>
          <w:spacing w:val="4"/>
          <w:sz w:val="22"/>
          <w:szCs w:val="22"/>
          <w:lang w:eastAsia="en-US"/>
        </w:rPr>
        <w:t>ego</w:t>
      </w:r>
      <w:r w:rsidRPr="00C74982">
        <w:rPr>
          <w:rFonts w:ascii="Lato" w:eastAsiaTheme="minorHAnsi" w:hAnsi="Lato" w:cs="Arial"/>
          <w:spacing w:val="4"/>
          <w:sz w:val="22"/>
          <w:szCs w:val="22"/>
          <w:lang w:eastAsia="en-US"/>
        </w:rPr>
        <w:t xml:space="preserve"> Dyrektor</w:t>
      </w:r>
      <w:r>
        <w:rPr>
          <w:rFonts w:ascii="Lato" w:eastAsiaTheme="minorHAnsi" w:hAnsi="Lato" w:cs="Arial"/>
          <w:spacing w:val="4"/>
          <w:sz w:val="22"/>
          <w:szCs w:val="22"/>
          <w:lang w:eastAsia="en-US"/>
        </w:rPr>
        <w:t xml:space="preserve">a </w:t>
      </w:r>
      <w:r w:rsidRPr="00C74982">
        <w:rPr>
          <w:rFonts w:ascii="Lato" w:eastAsiaTheme="minorHAnsi" w:hAnsi="Lato" w:cs="Arial"/>
          <w:spacing w:val="4"/>
          <w:sz w:val="22"/>
          <w:szCs w:val="22"/>
          <w:lang w:eastAsia="en-US"/>
        </w:rPr>
        <w:t xml:space="preserve">Ochrony Środowiska </w:t>
      </w:r>
      <w:r w:rsidR="00535F32">
        <w:rPr>
          <w:rFonts w:ascii="Lato" w:eastAsiaTheme="minorHAnsi" w:hAnsi="Lato" w:cs="Arial"/>
          <w:spacing w:val="4"/>
          <w:sz w:val="22"/>
          <w:szCs w:val="22"/>
          <w:lang w:eastAsia="en-US"/>
        </w:rPr>
        <w:br/>
      </w:r>
      <w:r w:rsidRPr="00C74982">
        <w:rPr>
          <w:rFonts w:ascii="Lato" w:eastAsiaTheme="minorHAnsi" w:hAnsi="Lato" w:cs="Arial"/>
          <w:spacing w:val="4"/>
          <w:sz w:val="22"/>
          <w:szCs w:val="22"/>
          <w:lang w:eastAsia="en-US"/>
        </w:rPr>
        <w:t>w Rzeszowie z dnia 31 sierpnia 2022 r. znak:</w:t>
      </w:r>
      <w:r>
        <w:rPr>
          <w:rFonts w:ascii="Lato" w:eastAsiaTheme="minorHAnsi" w:hAnsi="Lato" w:cs="Arial"/>
          <w:spacing w:val="4"/>
          <w:sz w:val="22"/>
          <w:szCs w:val="22"/>
          <w:lang w:eastAsia="en-US"/>
        </w:rPr>
        <w:t xml:space="preserve"> </w:t>
      </w:r>
      <w:r w:rsidRPr="00C74982">
        <w:rPr>
          <w:rFonts w:ascii="Lato" w:eastAsiaTheme="minorHAnsi" w:hAnsi="Lato" w:cs="Arial"/>
          <w:spacing w:val="4"/>
          <w:sz w:val="22"/>
          <w:szCs w:val="22"/>
          <w:lang w:eastAsia="en-US"/>
        </w:rPr>
        <w:t>WOOŚ.420.</w:t>
      </w:r>
      <w:proofErr w:type="gramStart"/>
      <w:r w:rsidRPr="00C74982">
        <w:rPr>
          <w:rFonts w:ascii="Lato" w:eastAsiaTheme="minorHAnsi" w:hAnsi="Lato" w:cs="Arial"/>
          <w:spacing w:val="4"/>
          <w:sz w:val="22"/>
          <w:szCs w:val="22"/>
          <w:lang w:eastAsia="en-US"/>
        </w:rPr>
        <w:t>17.2.2022</w:t>
      </w:r>
      <w:proofErr w:type="gramEnd"/>
      <w:r w:rsidRPr="00C74982">
        <w:rPr>
          <w:rFonts w:ascii="Lato" w:eastAsiaTheme="minorHAnsi" w:hAnsi="Lato" w:cs="Arial"/>
          <w:spacing w:val="4"/>
          <w:sz w:val="22"/>
          <w:szCs w:val="22"/>
          <w:lang w:eastAsia="en-US"/>
        </w:rPr>
        <w:t xml:space="preserve">.NH.27, </w:t>
      </w:r>
      <w:r w:rsidR="006B662F">
        <w:rPr>
          <w:rFonts w:ascii="Lato" w:eastAsiaTheme="minorHAnsi" w:hAnsi="Lato" w:cs="Arial"/>
          <w:spacing w:val="4"/>
          <w:sz w:val="22"/>
          <w:szCs w:val="22"/>
          <w:lang w:eastAsia="en-US"/>
        </w:rPr>
        <w:t xml:space="preserve">w której </w:t>
      </w:r>
      <w:r w:rsidRPr="00C74982">
        <w:rPr>
          <w:rFonts w:ascii="Lato" w:eastAsiaTheme="minorHAnsi" w:hAnsi="Lato" w:cs="Arial"/>
          <w:spacing w:val="4"/>
          <w:sz w:val="22"/>
          <w:szCs w:val="22"/>
          <w:lang w:eastAsia="en-US"/>
        </w:rPr>
        <w:t>stwierdził brak potrzeby przeprowadzenia oceny oddziaływania</w:t>
      </w:r>
      <w:r>
        <w:rPr>
          <w:rFonts w:ascii="Lato" w:eastAsiaTheme="minorHAnsi" w:hAnsi="Lato" w:cs="Arial"/>
          <w:spacing w:val="4"/>
          <w:sz w:val="22"/>
          <w:szCs w:val="22"/>
          <w:lang w:eastAsia="en-US"/>
        </w:rPr>
        <w:t xml:space="preserve"> </w:t>
      </w:r>
      <w:r w:rsidRPr="00C74982">
        <w:rPr>
          <w:rFonts w:ascii="Lato" w:eastAsiaTheme="minorHAnsi" w:hAnsi="Lato" w:cs="Arial"/>
          <w:spacing w:val="4"/>
          <w:sz w:val="22"/>
          <w:szCs w:val="22"/>
          <w:lang w:eastAsia="en-US"/>
        </w:rPr>
        <w:t xml:space="preserve">przedsięwzięcia na środowisko dla inwestycji pn.: „podłączenie odwiertu Bratkowice 6K </w:t>
      </w:r>
      <w:r>
        <w:rPr>
          <w:rFonts w:ascii="Lato" w:eastAsiaTheme="minorHAnsi" w:hAnsi="Lato" w:cs="Arial"/>
          <w:spacing w:val="4"/>
          <w:sz w:val="22"/>
          <w:szCs w:val="22"/>
          <w:lang w:eastAsia="en-US"/>
        </w:rPr>
        <w:t>–</w:t>
      </w:r>
      <w:r w:rsidRPr="00C74982">
        <w:rPr>
          <w:rFonts w:ascii="Lato" w:eastAsiaTheme="minorHAnsi" w:hAnsi="Lato" w:cs="Arial"/>
          <w:spacing w:val="4"/>
          <w:sz w:val="22"/>
          <w:szCs w:val="22"/>
          <w:lang w:eastAsia="en-US"/>
        </w:rPr>
        <w:t xml:space="preserve"> KGZ</w:t>
      </w:r>
      <w:r>
        <w:rPr>
          <w:rFonts w:ascii="Lato" w:eastAsiaTheme="minorHAnsi" w:hAnsi="Lato" w:cs="Arial"/>
          <w:spacing w:val="4"/>
          <w:sz w:val="22"/>
          <w:szCs w:val="22"/>
          <w:lang w:eastAsia="en-US"/>
        </w:rPr>
        <w:t xml:space="preserve"> </w:t>
      </w:r>
      <w:r w:rsidRPr="00C74982">
        <w:rPr>
          <w:rFonts w:ascii="Lato" w:eastAsiaTheme="minorHAnsi" w:hAnsi="Lato" w:cs="Arial"/>
          <w:spacing w:val="4"/>
          <w:sz w:val="22"/>
          <w:szCs w:val="22"/>
          <w:lang w:eastAsia="en-US"/>
        </w:rPr>
        <w:t>Czarna Sędziszowska", przy spełnieniu warunków wskazanych w sentencji powyższej decyzji.</w:t>
      </w:r>
    </w:p>
    <w:p w14:paraId="7830F832" w14:textId="57ECFE6B" w:rsidR="00D514B8" w:rsidRPr="00B61C37" w:rsidRDefault="006E1482" w:rsidP="00FA5D77">
      <w:pPr>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spacing w:val="4"/>
          <w:sz w:val="22"/>
          <w:szCs w:val="22"/>
          <w:lang w:eastAsia="en-US"/>
        </w:rPr>
        <w:t xml:space="preserve">Następnie organ odwoławczy poddał kontroli przeprowadzone przez Wojewodę </w:t>
      </w:r>
      <w:r w:rsidR="00C23C78" w:rsidRPr="00B61C37">
        <w:rPr>
          <w:rFonts w:ascii="Lato" w:eastAsiaTheme="minorHAnsi" w:hAnsi="Lato" w:cs="Arial"/>
          <w:spacing w:val="4"/>
          <w:sz w:val="22"/>
          <w:szCs w:val="22"/>
          <w:lang w:eastAsia="en-US"/>
        </w:rPr>
        <w:t>Podkarpackiego</w:t>
      </w:r>
      <w:r w:rsidRPr="00B61C37">
        <w:rPr>
          <w:rFonts w:ascii="Lato" w:eastAsiaTheme="minorHAnsi" w:hAnsi="Lato" w:cs="Arial"/>
          <w:spacing w:val="4"/>
          <w:sz w:val="22"/>
          <w:szCs w:val="22"/>
          <w:lang w:eastAsia="en-US"/>
        </w:rPr>
        <w:t xml:space="preserve"> postępowanie o wydanie </w:t>
      </w:r>
      <w:bookmarkStart w:id="7" w:name="_Hlk122521283"/>
      <w:r w:rsidRPr="00B61C37">
        <w:rPr>
          <w:rFonts w:ascii="Lato" w:eastAsiaTheme="minorHAnsi" w:hAnsi="Lato" w:cs="Arial"/>
          <w:spacing w:val="4"/>
          <w:sz w:val="22"/>
          <w:szCs w:val="22"/>
          <w:lang w:eastAsia="en-US"/>
        </w:rPr>
        <w:t>decyzji o ustaleniu lokalizacji inwestycji towarzyszącej inwestycjom w zakresie terminalu</w:t>
      </w:r>
      <w:bookmarkEnd w:id="7"/>
      <w:r w:rsidR="00EC1E98" w:rsidRPr="00B61C37">
        <w:rPr>
          <w:rFonts w:ascii="Lato" w:eastAsiaTheme="minorHAnsi" w:hAnsi="Lato" w:cs="Arial"/>
          <w:bCs/>
          <w:spacing w:val="4"/>
          <w:sz w:val="22"/>
          <w:szCs w:val="22"/>
          <w:lang w:eastAsia="en-US"/>
        </w:rPr>
        <w:t xml:space="preserve"> </w:t>
      </w:r>
      <w:r w:rsidRPr="00B61C37">
        <w:rPr>
          <w:rFonts w:ascii="Lato" w:eastAsiaTheme="minorHAnsi" w:hAnsi="Lato" w:cs="Arial"/>
          <w:spacing w:val="4"/>
          <w:sz w:val="22"/>
          <w:szCs w:val="22"/>
          <w:lang w:eastAsia="en-US"/>
        </w:rPr>
        <w:t>i stwierdził, co następuje.</w:t>
      </w:r>
      <w:r w:rsidRPr="00B61C37">
        <w:rPr>
          <w:rFonts w:ascii="Lato" w:eastAsiaTheme="minorHAnsi" w:hAnsi="Lato" w:cs="Arial"/>
          <w:bCs/>
          <w:spacing w:val="4"/>
          <w:sz w:val="22"/>
          <w:szCs w:val="22"/>
          <w:lang w:eastAsia="en-US"/>
        </w:rPr>
        <w:t xml:space="preserve"> </w:t>
      </w:r>
    </w:p>
    <w:p w14:paraId="54265FC9" w14:textId="40F702EC" w:rsidR="006E1482" w:rsidRPr="00B61C37" w:rsidRDefault="006E1482" w:rsidP="00FA5D77">
      <w:pPr>
        <w:spacing w:after="240" w:line="240" w:lineRule="exact"/>
        <w:jc w:val="both"/>
        <w:outlineLvl w:val="0"/>
        <w:rPr>
          <w:rFonts w:ascii="Lato" w:eastAsiaTheme="minorHAnsi" w:hAnsi="Lato" w:cs="Arial"/>
          <w:spacing w:val="4"/>
          <w:sz w:val="22"/>
          <w:szCs w:val="22"/>
          <w:lang w:eastAsia="en-US"/>
        </w:rPr>
      </w:pPr>
      <w:r w:rsidRPr="00B61C37">
        <w:rPr>
          <w:rFonts w:ascii="Lato" w:eastAsiaTheme="minorHAnsi" w:hAnsi="Lato" w:cs="Arial"/>
          <w:bCs/>
          <w:spacing w:val="4"/>
          <w:sz w:val="22"/>
          <w:szCs w:val="22"/>
          <w:lang w:eastAsia="en-US"/>
        </w:rPr>
        <w:t xml:space="preserve">W ocenie Ministra organ pierwszej instancji prawidłowo poinformował strony </w:t>
      </w:r>
      <w:r w:rsidR="00B04F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o wszczętym postępowaniu, podał jego podstawę prawną, pouczył o prawie do składania wniosków, uwag i zastrzeżeń, a zatem należycie i wyczerpująco poinformował strony </w:t>
      </w:r>
      <w:r w:rsidR="00B04F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o okolicznościach faktycznych i prawnych, będących przedmiotem postępowania administracyjnego, które mogły mieć wpływ na ustalenie ich praw i obowiązków.</w:t>
      </w:r>
    </w:p>
    <w:p w14:paraId="6ECD2D88" w14:textId="0E213577" w:rsidR="00E215B9" w:rsidRPr="00B61C37" w:rsidRDefault="00D514B8" w:rsidP="00FA5D77">
      <w:pPr>
        <w:spacing w:after="240" w:line="240" w:lineRule="exact"/>
        <w:jc w:val="both"/>
        <w:outlineLvl w:val="0"/>
        <w:rPr>
          <w:rFonts w:ascii="Lato" w:eastAsiaTheme="minorHAnsi" w:hAnsi="Lato" w:cs="Arial"/>
          <w:spacing w:val="4"/>
          <w:sz w:val="22"/>
          <w:szCs w:val="22"/>
          <w:lang w:eastAsia="en-US"/>
        </w:rPr>
      </w:pPr>
      <w:r w:rsidRPr="00B61C37">
        <w:rPr>
          <w:rFonts w:ascii="Lato" w:hAnsi="Lato"/>
          <w:bCs/>
          <w:sz w:val="22"/>
          <w:szCs w:val="22"/>
        </w:rPr>
        <w:t>Zgodnie z art. 8 ust. 1 specustawy gazowej</w:t>
      </w:r>
      <w:r w:rsidRPr="00B61C37">
        <w:rPr>
          <w:rFonts w:ascii="Lato" w:eastAsiaTheme="minorHAnsi" w:hAnsi="Lato" w:cs="Arial"/>
          <w:spacing w:val="4"/>
          <w:sz w:val="22"/>
          <w:szCs w:val="22"/>
          <w:lang w:eastAsia="en-US"/>
        </w:rPr>
        <w:t xml:space="preserve"> </w:t>
      </w:r>
      <w:r w:rsidR="00E215B9" w:rsidRPr="00B61C37">
        <w:rPr>
          <w:rFonts w:ascii="Lato" w:eastAsiaTheme="minorHAnsi" w:hAnsi="Lato" w:cs="Arial"/>
          <w:spacing w:val="4"/>
          <w:sz w:val="22"/>
          <w:szCs w:val="22"/>
          <w:lang w:eastAsia="en-US"/>
        </w:rPr>
        <w:t xml:space="preserve">Wojewoda </w:t>
      </w:r>
      <w:r w:rsidR="00E64831" w:rsidRPr="00B61C37">
        <w:rPr>
          <w:rFonts w:ascii="Lato" w:eastAsiaTheme="minorHAnsi" w:hAnsi="Lato" w:cs="Arial"/>
          <w:spacing w:val="4"/>
          <w:sz w:val="22"/>
          <w:szCs w:val="22"/>
          <w:lang w:eastAsia="en-US"/>
        </w:rPr>
        <w:t>Podkarpacki</w:t>
      </w:r>
      <w:r w:rsidR="00E215B9" w:rsidRPr="00B61C37">
        <w:rPr>
          <w:rFonts w:ascii="Lato" w:eastAsiaTheme="minorHAnsi" w:hAnsi="Lato" w:cs="Arial"/>
          <w:spacing w:val="4"/>
          <w:sz w:val="22"/>
          <w:szCs w:val="22"/>
          <w:lang w:eastAsia="en-US"/>
        </w:rPr>
        <w:t xml:space="preserve">, pismem z dnia </w:t>
      </w:r>
      <w:r w:rsidR="002658DD" w:rsidRPr="00B61C37">
        <w:rPr>
          <w:rFonts w:ascii="Lato" w:eastAsiaTheme="minorHAnsi" w:hAnsi="Lato" w:cs="Arial"/>
          <w:spacing w:val="4"/>
          <w:sz w:val="22"/>
          <w:szCs w:val="22"/>
          <w:lang w:eastAsia="en-US"/>
        </w:rPr>
        <w:br/>
      </w:r>
      <w:r w:rsidR="00E64831" w:rsidRPr="00B61C37">
        <w:rPr>
          <w:rFonts w:ascii="Lato" w:eastAsiaTheme="minorHAnsi" w:hAnsi="Lato" w:cs="Arial"/>
          <w:spacing w:val="4"/>
          <w:sz w:val="22"/>
          <w:szCs w:val="22"/>
          <w:lang w:eastAsia="en-US"/>
        </w:rPr>
        <w:t>26 stycznia 2023</w:t>
      </w:r>
      <w:r w:rsidR="003000F2" w:rsidRPr="00B61C37">
        <w:rPr>
          <w:rFonts w:ascii="Lato" w:eastAsiaTheme="minorHAnsi" w:hAnsi="Lato" w:cs="Arial"/>
          <w:spacing w:val="4"/>
          <w:sz w:val="22"/>
          <w:szCs w:val="22"/>
          <w:lang w:eastAsia="en-US"/>
        </w:rPr>
        <w:t xml:space="preserve"> r., znak: </w:t>
      </w:r>
      <w:r w:rsidR="00E92FBB" w:rsidRPr="00B61C37">
        <w:rPr>
          <w:rFonts w:ascii="Lato" w:hAnsi="Lato" w:cs="Arial"/>
          <w:spacing w:val="4"/>
          <w:sz w:val="22"/>
          <w:szCs w:val="22"/>
        </w:rPr>
        <w:t>N-VIII.747.1.25.2022</w:t>
      </w:r>
      <w:r w:rsidR="00E215B9" w:rsidRPr="00B61C37">
        <w:rPr>
          <w:rFonts w:ascii="Lato" w:eastAsiaTheme="minorHAnsi" w:hAnsi="Lato" w:cs="Arial"/>
          <w:spacing w:val="4"/>
          <w:sz w:val="22"/>
          <w:szCs w:val="22"/>
          <w:lang w:eastAsia="en-US"/>
        </w:rPr>
        <w:t>,</w:t>
      </w:r>
      <w:r w:rsidR="006F66EC" w:rsidRPr="00B61C37">
        <w:rPr>
          <w:rFonts w:ascii="Lato" w:eastAsiaTheme="minorHAnsi" w:hAnsi="Lato" w:cs="Arial"/>
          <w:spacing w:val="4"/>
          <w:sz w:val="22"/>
          <w:szCs w:val="22"/>
          <w:lang w:eastAsia="en-US"/>
        </w:rPr>
        <w:t xml:space="preserve"> </w:t>
      </w:r>
      <w:r w:rsidR="00E215B9" w:rsidRPr="00B61C37">
        <w:rPr>
          <w:rFonts w:ascii="Lato" w:eastAsiaTheme="minorHAnsi" w:hAnsi="Lato" w:cs="Arial"/>
          <w:spacing w:val="4"/>
          <w:sz w:val="22"/>
          <w:szCs w:val="22"/>
          <w:lang w:eastAsia="en-US"/>
        </w:rPr>
        <w:t xml:space="preserve">zawiadomił o wszczęciu postępowania wnioskodawcę, właścicieli i użytkowników wieczystych nieruchomości objętych wnioskiem, </w:t>
      </w:r>
      <w:r w:rsidR="00E215B9" w:rsidRPr="00B61C37">
        <w:rPr>
          <w:rFonts w:ascii="Lato" w:eastAsiaTheme="minorHAnsi" w:hAnsi="Lato" w:cs="Arial"/>
          <w:bCs/>
          <w:spacing w:val="4"/>
          <w:sz w:val="22"/>
          <w:szCs w:val="22"/>
          <w:lang w:eastAsia="en-US"/>
        </w:rPr>
        <w:t xml:space="preserve">wysyłając zawiadomienie na adresy wskazane w katastrze nieruchomości. </w:t>
      </w:r>
      <w:r w:rsidR="00E215B9" w:rsidRPr="00B61C37">
        <w:rPr>
          <w:rFonts w:ascii="Lato" w:eastAsiaTheme="minorHAnsi" w:hAnsi="Lato" w:cs="Arial"/>
          <w:spacing w:val="4"/>
          <w:sz w:val="22"/>
          <w:szCs w:val="22"/>
          <w:lang w:eastAsia="en-US"/>
        </w:rPr>
        <w:t>Pozostałe strony postępowania zostały poinformowane o jego wszczęciu w drodze obwieszcze</w:t>
      </w:r>
      <w:r w:rsidR="00EC1E98" w:rsidRPr="00B61C37">
        <w:rPr>
          <w:rFonts w:ascii="Lato" w:eastAsiaTheme="minorHAnsi" w:hAnsi="Lato" w:cs="Arial"/>
          <w:spacing w:val="4"/>
          <w:sz w:val="22"/>
          <w:szCs w:val="22"/>
          <w:lang w:eastAsia="en-US"/>
        </w:rPr>
        <w:t>nia</w:t>
      </w:r>
      <w:r w:rsidR="00E215B9" w:rsidRPr="00B61C37">
        <w:rPr>
          <w:rFonts w:ascii="Lato" w:eastAsiaTheme="minorHAnsi" w:hAnsi="Lato" w:cs="Arial"/>
          <w:spacing w:val="4"/>
          <w:sz w:val="22"/>
          <w:szCs w:val="22"/>
          <w:lang w:eastAsia="en-US"/>
        </w:rPr>
        <w:t xml:space="preserve">. W zawiadomieniu i obwieszczeniu organ I instancji poinformował </w:t>
      </w:r>
      <w:r w:rsidR="00B04FDD" w:rsidRPr="00B61C37">
        <w:rPr>
          <w:rFonts w:ascii="Lato" w:eastAsiaTheme="minorHAnsi" w:hAnsi="Lato" w:cs="Arial"/>
          <w:spacing w:val="4"/>
          <w:sz w:val="22"/>
          <w:szCs w:val="22"/>
          <w:lang w:eastAsia="en-US"/>
        </w:rPr>
        <w:br/>
      </w:r>
      <w:r w:rsidR="00E215B9" w:rsidRPr="00B61C37">
        <w:rPr>
          <w:rFonts w:ascii="Lato" w:eastAsiaTheme="minorHAnsi" w:hAnsi="Lato" w:cs="Arial"/>
          <w:spacing w:val="4"/>
          <w:sz w:val="22"/>
          <w:szCs w:val="22"/>
          <w:lang w:eastAsia="en-US"/>
        </w:rPr>
        <w:t xml:space="preserve">o miejscu, gdzie strony mogą zapoznać się z dokumentacją dotyczącą inwestycji. </w:t>
      </w:r>
      <w:r w:rsidR="00E92FBB" w:rsidRPr="00B61C37">
        <w:rPr>
          <w:rFonts w:ascii="Lato" w:eastAsiaTheme="minorHAnsi" w:hAnsi="Lato" w:cs="Arial"/>
          <w:spacing w:val="4"/>
          <w:sz w:val="22"/>
          <w:szCs w:val="22"/>
          <w:lang w:eastAsia="en-US"/>
        </w:rPr>
        <w:t xml:space="preserve"> </w:t>
      </w:r>
    </w:p>
    <w:p w14:paraId="42C1084D" w14:textId="49F9BB8F" w:rsidR="00A84220" w:rsidRPr="00B61C37" w:rsidRDefault="00E215B9" w:rsidP="001733AF">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spacing w:val="4"/>
          <w:sz w:val="22"/>
          <w:szCs w:val="22"/>
          <w:lang w:eastAsia="en-US"/>
        </w:rPr>
        <w:t xml:space="preserve">Uznając, że zebrany w sprawie materiał dowodowy pozwala na wydanie rozstrzygnięcia, Wojewoda </w:t>
      </w:r>
      <w:r w:rsidR="00E92FBB" w:rsidRPr="00B61C37">
        <w:rPr>
          <w:rFonts w:ascii="Lato" w:eastAsiaTheme="minorHAnsi" w:hAnsi="Lato" w:cs="Arial"/>
          <w:spacing w:val="4"/>
          <w:sz w:val="22"/>
          <w:szCs w:val="22"/>
          <w:lang w:eastAsia="en-US"/>
        </w:rPr>
        <w:t>Podkarpacki</w:t>
      </w:r>
      <w:r w:rsidR="003B62E3" w:rsidRPr="00B61C37">
        <w:rPr>
          <w:rFonts w:ascii="Lato" w:eastAsiaTheme="minorHAnsi" w:hAnsi="Lato" w:cs="Arial"/>
          <w:spacing w:val="4"/>
          <w:sz w:val="22"/>
          <w:szCs w:val="22"/>
          <w:lang w:eastAsia="en-US"/>
        </w:rPr>
        <w:t xml:space="preserve"> </w:t>
      </w:r>
      <w:r w:rsidRPr="00B61C37">
        <w:rPr>
          <w:rFonts w:ascii="Lato" w:eastAsiaTheme="minorHAnsi" w:hAnsi="Lato" w:cs="Arial"/>
          <w:spacing w:val="4"/>
          <w:sz w:val="22"/>
          <w:szCs w:val="22"/>
          <w:lang w:eastAsia="en-US"/>
        </w:rPr>
        <w:t xml:space="preserve">wydał w dniu </w:t>
      </w:r>
      <w:r w:rsidR="00E92FBB" w:rsidRPr="00B61C37">
        <w:rPr>
          <w:rFonts w:ascii="Lato" w:hAnsi="Lato" w:cs="Arial"/>
          <w:spacing w:val="4"/>
          <w:sz w:val="22"/>
          <w:szCs w:val="22"/>
        </w:rPr>
        <w:t>22 lutego 2023</w:t>
      </w:r>
      <w:r w:rsidR="00B60207" w:rsidRPr="00B61C37">
        <w:rPr>
          <w:rFonts w:ascii="Lato" w:hAnsi="Lato" w:cs="Arial"/>
          <w:spacing w:val="4"/>
          <w:sz w:val="22"/>
          <w:szCs w:val="22"/>
        </w:rPr>
        <w:t xml:space="preserve"> r.</w:t>
      </w:r>
      <w:r w:rsidR="00432060" w:rsidRPr="00B61C37">
        <w:rPr>
          <w:rFonts w:ascii="Lato" w:hAnsi="Lato" w:cs="Arial"/>
          <w:spacing w:val="4"/>
          <w:sz w:val="22"/>
          <w:szCs w:val="22"/>
        </w:rPr>
        <w:t xml:space="preserve"> </w:t>
      </w:r>
      <w:r w:rsidR="00DE53BF" w:rsidRPr="00B61C37">
        <w:rPr>
          <w:rFonts w:ascii="Lato" w:hAnsi="Lato" w:cs="Arial"/>
          <w:spacing w:val="4"/>
          <w:sz w:val="22"/>
          <w:szCs w:val="22"/>
        </w:rPr>
        <w:t>decyzję</w:t>
      </w:r>
      <w:r w:rsidR="00B60207" w:rsidRPr="00B61C37">
        <w:rPr>
          <w:rFonts w:ascii="Lato" w:hAnsi="Lato" w:cs="Arial"/>
          <w:spacing w:val="4"/>
          <w:sz w:val="22"/>
          <w:szCs w:val="22"/>
        </w:rPr>
        <w:t xml:space="preserve"> </w:t>
      </w:r>
      <w:r w:rsidRPr="00B61C37">
        <w:rPr>
          <w:rFonts w:ascii="Lato" w:eastAsiaTheme="minorHAnsi" w:hAnsi="Lato" w:cs="Arial"/>
          <w:spacing w:val="4"/>
          <w:sz w:val="22"/>
          <w:szCs w:val="22"/>
          <w:lang w:eastAsia="en-US"/>
        </w:rPr>
        <w:t xml:space="preserve">o ustaleniu lokalizacji </w:t>
      </w:r>
      <w:r w:rsidR="002D3C98" w:rsidRPr="00B61C37">
        <w:rPr>
          <w:rFonts w:ascii="Lato" w:eastAsiaTheme="minorHAnsi" w:hAnsi="Lato" w:cs="Arial"/>
          <w:spacing w:val="4"/>
          <w:sz w:val="22"/>
          <w:szCs w:val="22"/>
          <w:lang w:eastAsia="en-US"/>
        </w:rPr>
        <w:br/>
      </w:r>
      <w:r w:rsidRPr="00B61C37">
        <w:rPr>
          <w:rFonts w:ascii="Lato" w:eastAsiaTheme="minorHAnsi" w:hAnsi="Lato" w:cs="Arial"/>
          <w:spacing w:val="4"/>
          <w:sz w:val="22"/>
          <w:szCs w:val="22"/>
          <w:lang w:eastAsia="en-US"/>
        </w:rPr>
        <w:t>ww. inwestycji towarzyszącej inwestycjom w zakresie terminalu</w:t>
      </w:r>
      <w:r w:rsidRPr="00B61C37">
        <w:rPr>
          <w:rFonts w:ascii="Lato" w:eastAsiaTheme="minorHAnsi" w:hAnsi="Lato" w:cs="Arial"/>
          <w:bCs/>
          <w:spacing w:val="4"/>
          <w:sz w:val="22"/>
          <w:szCs w:val="22"/>
          <w:lang w:eastAsia="en-US" w:bidi="pl-PL"/>
        </w:rPr>
        <w:t>.</w:t>
      </w:r>
      <w:r w:rsidRPr="00B61C37">
        <w:rPr>
          <w:rFonts w:ascii="Lato" w:eastAsiaTheme="minorHAnsi" w:hAnsi="Lato" w:cs="Arial"/>
          <w:spacing w:val="4"/>
          <w:sz w:val="22"/>
          <w:szCs w:val="22"/>
          <w:lang w:eastAsia="en-US"/>
        </w:rPr>
        <w:t xml:space="preserve"> Stosownie do </w:t>
      </w:r>
      <w:r w:rsidR="00B04FDD" w:rsidRPr="00B61C37">
        <w:rPr>
          <w:rFonts w:ascii="Lato" w:eastAsiaTheme="minorHAnsi" w:hAnsi="Lato" w:cs="Arial"/>
          <w:spacing w:val="4"/>
          <w:sz w:val="22"/>
          <w:szCs w:val="22"/>
          <w:lang w:eastAsia="en-US"/>
        </w:rPr>
        <w:br/>
      </w:r>
      <w:r w:rsidRPr="00B61C37">
        <w:rPr>
          <w:rFonts w:ascii="Lato" w:eastAsiaTheme="minorHAnsi" w:hAnsi="Lato" w:cs="Arial"/>
          <w:spacing w:val="4"/>
          <w:sz w:val="22"/>
          <w:szCs w:val="22"/>
          <w:lang w:eastAsia="en-US"/>
        </w:rPr>
        <w:t>art. 34 ust. 1 specustawy gazowej decyzja podlega natychmiastowemu wykonaniu.</w:t>
      </w:r>
      <w:r w:rsidRPr="00B61C37">
        <w:rPr>
          <w:rFonts w:ascii="Lato" w:eastAsiaTheme="minorHAnsi" w:hAnsi="Lato" w:cs="Arial"/>
          <w:bCs/>
          <w:spacing w:val="4"/>
          <w:sz w:val="22"/>
          <w:szCs w:val="22"/>
          <w:lang w:eastAsia="en-US" w:bidi="pl-PL"/>
        </w:rPr>
        <w:t xml:space="preserve"> </w:t>
      </w:r>
    </w:p>
    <w:p w14:paraId="6D2DDB18" w14:textId="2B0CDFF6" w:rsidR="00EC719D" w:rsidRPr="00B61C37" w:rsidRDefault="00E215B9" w:rsidP="001733AF">
      <w:pPr>
        <w:spacing w:after="240" w:line="240" w:lineRule="exact"/>
        <w:jc w:val="both"/>
        <w:rPr>
          <w:rFonts w:ascii="Lato" w:eastAsiaTheme="minorHAnsi" w:hAnsi="Lato" w:cs="Arial"/>
          <w:spacing w:val="4"/>
          <w:sz w:val="22"/>
          <w:szCs w:val="22"/>
          <w:lang w:eastAsia="en-US"/>
        </w:rPr>
      </w:pPr>
      <w:r w:rsidRPr="00B61C37">
        <w:rPr>
          <w:rFonts w:ascii="Lato" w:eastAsiaTheme="minorHAnsi" w:hAnsi="Lato" w:cs="Arial"/>
          <w:spacing w:val="4"/>
          <w:sz w:val="22"/>
          <w:szCs w:val="22"/>
          <w:lang w:eastAsia="en-US"/>
        </w:rPr>
        <w:t xml:space="preserve">W myśl art. 12 ust. 1 specustawy gazowej, Wojewoda </w:t>
      </w:r>
      <w:r w:rsidR="00E92FBB" w:rsidRPr="00B61C37">
        <w:rPr>
          <w:rFonts w:ascii="Lato" w:eastAsiaTheme="minorHAnsi" w:hAnsi="Lato" w:cs="Arial"/>
          <w:spacing w:val="4"/>
          <w:sz w:val="22"/>
          <w:szCs w:val="22"/>
          <w:lang w:eastAsia="en-US"/>
        </w:rPr>
        <w:t>Podkarpacki</w:t>
      </w:r>
      <w:r w:rsidRPr="00B61C37">
        <w:rPr>
          <w:rFonts w:ascii="Lato" w:eastAsiaTheme="minorHAnsi" w:hAnsi="Lato" w:cs="Arial"/>
          <w:spacing w:val="4"/>
          <w:sz w:val="22"/>
          <w:szCs w:val="22"/>
          <w:lang w:eastAsia="en-US"/>
        </w:rPr>
        <w:t xml:space="preserve"> doręczył ww. decyzję wnioskodawcy oraz zawiadomił o jej wydaniu pozostałe strony w drodze obwieszczeń.</w:t>
      </w:r>
      <w:r w:rsidR="00EC1E98" w:rsidRPr="00B61C37">
        <w:rPr>
          <w:rFonts w:ascii="Lato" w:eastAsiaTheme="minorHAnsi" w:hAnsi="Lato" w:cs="Arial"/>
          <w:spacing w:val="4"/>
          <w:sz w:val="22"/>
          <w:szCs w:val="22"/>
          <w:lang w:eastAsia="en-US"/>
        </w:rPr>
        <w:t xml:space="preserve"> </w:t>
      </w:r>
      <w:r w:rsidRPr="00B61C37">
        <w:rPr>
          <w:rFonts w:ascii="Lato" w:eastAsiaTheme="minorHAnsi" w:hAnsi="Lato" w:cs="Arial"/>
          <w:spacing w:val="4"/>
          <w:sz w:val="22"/>
          <w:szCs w:val="22"/>
          <w:lang w:eastAsia="en-US"/>
        </w:rPr>
        <w:t xml:space="preserve">Właścicieli </w:t>
      </w:r>
      <w:r w:rsidR="005B087F" w:rsidRPr="00B61C37">
        <w:rPr>
          <w:rFonts w:ascii="Lato" w:eastAsiaTheme="minorHAnsi" w:hAnsi="Lato" w:cs="Arial"/>
          <w:spacing w:val="4"/>
          <w:sz w:val="22"/>
          <w:szCs w:val="22"/>
          <w:lang w:eastAsia="en-US"/>
        </w:rPr>
        <w:t xml:space="preserve">i użytkowników wieczystych </w:t>
      </w:r>
      <w:r w:rsidRPr="00B61C37">
        <w:rPr>
          <w:rFonts w:ascii="Lato" w:eastAsiaTheme="minorHAnsi" w:hAnsi="Lato" w:cs="Arial"/>
          <w:spacing w:val="4"/>
          <w:sz w:val="22"/>
          <w:szCs w:val="22"/>
          <w:lang w:eastAsia="en-US"/>
        </w:rPr>
        <w:t xml:space="preserve">nieruchomości objętych decyzją Wojewody </w:t>
      </w:r>
      <w:r w:rsidR="00E92FBB" w:rsidRPr="00B61C37">
        <w:rPr>
          <w:rFonts w:ascii="Lato" w:eastAsiaTheme="minorHAnsi" w:hAnsi="Lato" w:cs="Arial"/>
          <w:spacing w:val="4"/>
          <w:sz w:val="22"/>
          <w:szCs w:val="22"/>
          <w:lang w:eastAsia="en-US"/>
        </w:rPr>
        <w:t>Podkarpackiego</w:t>
      </w:r>
      <w:r w:rsidRPr="00B61C37">
        <w:rPr>
          <w:rFonts w:ascii="Lato" w:eastAsiaTheme="minorHAnsi" w:hAnsi="Lato" w:cs="Arial"/>
          <w:spacing w:val="4"/>
          <w:sz w:val="22"/>
          <w:szCs w:val="22"/>
          <w:lang w:eastAsia="en-US"/>
        </w:rPr>
        <w:t xml:space="preserve">, organ </w:t>
      </w:r>
      <w:r w:rsidR="0096718D" w:rsidRPr="00B61C37">
        <w:rPr>
          <w:rFonts w:ascii="Lato" w:eastAsiaTheme="minorHAnsi" w:hAnsi="Lato" w:cs="Arial"/>
          <w:spacing w:val="4"/>
          <w:sz w:val="22"/>
          <w:szCs w:val="22"/>
          <w:lang w:eastAsia="en-US"/>
        </w:rPr>
        <w:t>I</w:t>
      </w:r>
      <w:r w:rsidRPr="00B61C37">
        <w:rPr>
          <w:rFonts w:ascii="Lato" w:eastAsiaTheme="minorHAnsi" w:hAnsi="Lato" w:cs="Arial"/>
          <w:spacing w:val="4"/>
          <w:sz w:val="22"/>
          <w:szCs w:val="22"/>
          <w:lang w:eastAsia="en-US"/>
        </w:rPr>
        <w:t xml:space="preserve"> instancji poinformował o wydaniu decyzji w drodze zawiadomienia </w:t>
      </w:r>
      <w:r w:rsidR="0090725E" w:rsidRPr="00B61C37">
        <w:rPr>
          <w:rFonts w:ascii="Lato" w:eastAsiaTheme="minorHAnsi" w:hAnsi="Lato" w:cs="Arial"/>
          <w:spacing w:val="4"/>
          <w:sz w:val="22"/>
          <w:szCs w:val="22"/>
          <w:lang w:eastAsia="en-US"/>
        </w:rPr>
        <w:t xml:space="preserve">z dnia </w:t>
      </w:r>
      <w:r w:rsidR="00E92FBB" w:rsidRPr="00B61C37">
        <w:rPr>
          <w:rFonts w:ascii="Lato" w:eastAsiaTheme="minorHAnsi" w:hAnsi="Lato" w:cs="Arial"/>
          <w:spacing w:val="4"/>
          <w:sz w:val="22"/>
          <w:szCs w:val="22"/>
          <w:lang w:eastAsia="en-US"/>
        </w:rPr>
        <w:t>2 marca 2023</w:t>
      </w:r>
      <w:r w:rsidR="0090725E" w:rsidRPr="00B61C37">
        <w:rPr>
          <w:rFonts w:ascii="Lato" w:eastAsiaTheme="minorHAnsi" w:hAnsi="Lato" w:cs="Arial"/>
          <w:spacing w:val="4"/>
          <w:sz w:val="22"/>
          <w:szCs w:val="22"/>
          <w:lang w:eastAsia="en-US"/>
        </w:rPr>
        <w:t xml:space="preserve"> r., znak:</w:t>
      </w:r>
      <w:r w:rsidR="00BB7E84" w:rsidRPr="00B61C37">
        <w:rPr>
          <w:rFonts w:ascii="Lato" w:eastAsiaTheme="minorHAnsi" w:hAnsi="Lato" w:cs="Arial"/>
          <w:spacing w:val="4"/>
          <w:sz w:val="22"/>
          <w:szCs w:val="22"/>
          <w:lang w:eastAsia="en-US"/>
        </w:rPr>
        <w:t xml:space="preserve"> </w:t>
      </w:r>
      <w:r w:rsidR="00E92FBB" w:rsidRPr="00B61C37">
        <w:rPr>
          <w:rFonts w:ascii="Lato" w:hAnsi="Lato" w:cs="Arial"/>
          <w:spacing w:val="4"/>
          <w:sz w:val="22"/>
          <w:szCs w:val="22"/>
        </w:rPr>
        <w:t>N-VIII.747.1.25.2022</w:t>
      </w:r>
      <w:r w:rsidR="0090725E" w:rsidRPr="00B61C37">
        <w:rPr>
          <w:rFonts w:ascii="Lato" w:eastAsiaTheme="minorHAnsi" w:hAnsi="Lato" w:cs="Arial"/>
          <w:spacing w:val="4"/>
          <w:sz w:val="22"/>
          <w:szCs w:val="22"/>
          <w:lang w:eastAsia="en-US"/>
        </w:rPr>
        <w:t xml:space="preserve">, </w:t>
      </w:r>
      <w:r w:rsidRPr="00B61C37">
        <w:rPr>
          <w:rFonts w:ascii="Lato" w:eastAsiaTheme="minorHAnsi" w:hAnsi="Lato" w:cs="Arial"/>
          <w:bCs/>
          <w:spacing w:val="4"/>
          <w:sz w:val="22"/>
          <w:szCs w:val="22"/>
          <w:lang w:eastAsia="en-US"/>
        </w:rPr>
        <w:t>wysyłanego na adres wskazany w katastrze nieruchomości</w:t>
      </w:r>
      <w:r w:rsidRPr="00B61C37">
        <w:rPr>
          <w:rFonts w:ascii="Lato" w:eastAsiaTheme="minorHAnsi" w:hAnsi="Lato" w:cs="Arial"/>
          <w:spacing w:val="4"/>
          <w:sz w:val="22"/>
          <w:szCs w:val="22"/>
          <w:lang w:eastAsia="en-US"/>
        </w:rPr>
        <w:t xml:space="preserve">. W zawiadomieniu oraz w obwieszczeniu zamieszczono, zgodnie z art. 12 ust. 2 specustawy gazowej, informację o miejscu, </w:t>
      </w:r>
      <w:r w:rsidR="002658DD" w:rsidRPr="00B61C37">
        <w:rPr>
          <w:rFonts w:ascii="Lato" w:eastAsiaTheme="minorHAnsi" w:hAnsi="Lato" w:cs="Arial"/>
          <w:spacing w:val="4"/>
          <w:sz w:val="22"/>
          <w:szCs w:val="22"/>
          <w:lang w:eastAsia="en-US"/>
        </w:rPr>
        <w:br/>
      </w:r>
      <w:r w:rsidRPr="00B61C37">
        <w:rPr>
          <w:rFonts w:ascii="Lato" w:eastAsiaTheme="minorHAnsi" w:hAnsi="Lato" w:cs="Arial"/>
          <w:spacing w:val="4"/>
          <w:sz w:val="22"/>
          <w:szCs w:val="22"/>
          <w:lang w:eastAsia="en-US"/>
        </w:rPr>
        <w:t>w którym strony mogą zapoznać się z treścią decyzji.</w:t>
      </w:r>
      <w:r w:rsidR="00C9124B" w:rsidRPr="00B61C37">
        <w:rPr>
          <w:rFonts w:ascii="Lato" w:eastAsiaTheme="minorHAnsi" w:hAnsi="Lato" w:cs="Arial"/>
          <w:spacing w:val="4"/>
          <w:sz w:val="22"/>
          <w:szCs w:val="22"/>
          <w:lang w:eastAsia="en-US"/>
        </w:rPr>
        <w:t xml:space="preserve"> </w:t>
      </w:r>
      <w:r w:rsidR="00E92FBB" w:rsidRPr="00B61C37">
        <w:rPr>
          <w:rFonts w:ascii="Lato" w:eastAsiaTheme="minorHAnsi" w:hAnsi="Lato" w:cs="Arial"/>
          <w:spacing w:val="4"/>
          <w:sz w:val="22"/>
          <w:szCs w:val="22"/>
          <w:lang w:eastAsia="en-US"/>
        </w:rPr>
        <w:t xml:space="preserve"> </w:t>
      </w:r>
    </w:p>
    <w:p w14:paraId="0DF999E4" w14:textId="12AE5F6A" w:rsidR="00A84220" w:rsidRPr="00B61C37" w:rsidRDefault="00A84220" w:rsidP="00A84220">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Kontrolowana decyzja Wojewody </w:t>
      </w:r>
      <w:r w:rsidR="00E92FBB" w:rsidRPr="00B61C37">
        <w:rPr>
          <w:rFonts w:ascii="Lato" w:eastAsiaTheme="minorHAnsi" w:hAnsi="Lato" w:cs="Arial"/>
          <w:bCs/>
          <w:spacing w:val="4"/>
          <w:sz w:val="22"/>
          <w:szCs w:val="22"/>
          <w:lang w:eastAsia="en-US"/>
        </w:rPr>
        <w:t>Podkarpackieg</w:t>
      </w:r>
      <w:r w:rsidRPr="00B61C37">
        <w:rPr>
          <w:rFonts w:ascii="Lato" w:eastAsiaTheme="minorHAnsi" w:hAnsi="Lato" w:cs="Arial"/>
          <w:bCs/>
          <w:spacing w:val="4"/>
          <w:sz w:val="22"/>
          <w:szCs w:val="22"/>
          <w:lang w:eastAsia="en-US"/>
        </w:rPr>
        <w:t xml:space="preserve">o </w:t>
      </w:r>
      <w:r w:rsidR="00964B7A" w:rsidRPr="00B61C37">
        <w:rPr>
          <w:rFonts w:ascii="Lato" w:eastAsiaTheme="minorHAnsi" w:hAnsi="Lato" w:cs="Arial"/>
          <w:bCs/>
          <w:spacing w:val="4"/>
          <w:sz w:val="22"/>
          <w:szCs w:val="22"/>
          <w:lang w:eastAsia="en-US"/>
        </w:rPr>
        <w:t xml:space="preserve">(z zastrzeżeniem uchybienia, o którym będzie mowa poniżej) </w:t>
      </w:r>
      <w:r w:rsidRPr="00B61C37">
        <w:rPr>
          <w:rFonts w:ascii="Lato" w:eastAsiaTheme="minorHAnsi" w:hAnsi="Lato" w:cs="Arial"/>
          <w:bCs/>
          <w:spacing w:val="4"/>
          <w:sz w:val="22"/>
          <w:szCs w:val="22"/>
          <w:lang w:eastAsia="en-US"/>
        </w:rPr>
        <w:t>czyni zadość wymogom przedstawionym w art. 10 ust. 1 specustawy gazowej, zawiera bowiem niezbędne w okolicznościach niniejszej sprawy elementy.</w:t>
      </w:r>
      <w:r w:rsidRPr="00B61C37">
        <w:rPr>
          <w:rFonts w:ascii="Lato" w:eastAsiaTheme="minorHAnsi" w:hAnsi="Lato" w:cs="Arial"/>
          <w:bCs/>
          <w:spacing w:val="4"/>
          <w:sz w:val="22"/>
          <w:szCs w:val="22"/>
          <w:lang w:val="x-none" w:eastAsia="en-US"/>
        </w:rPr>
        <w:t xml:space="preserve"> </w:t>
      </w:r>
    </w:p>
    <w:p w14:paraId="03507CC7" w14:textId="0285C291" w:rsidR="00964B7A" w:rsidRPr="00B61C37" w:rsidRDefault="00A84220" w:rsidP="00964B7A">
      <w:pPr>
        <w:spacing w:after="240" w:line="240" w:lineRule="exact"/>
        <w:jc w:val="both"/>
        <w:rPr>
          <w:rFonts w:ascii="Lato" w:eastAsiaTheme="minorHAnsi" w:hAnsi="Lato" w:cs="Arial"/>
          <w:bCs/>
          <w:spacing w:val="4"/>
          <w:sz w:val="22"/>
          <w:szCs w:val="22"/>
          <w:lang w:val="x-none" w:eastAsia="en-US"/>
        </w:rPr>
      </w:pPr>
      <w:r w:rsidRPr="00B61C37">
        <w:rPr>
          <w:rFonts w:ascii="Lato" w:eastAsiaTheme="minorHAnsi" w:hAnsi="Lato" w:cs="Arial"/>
          <w:bCs/>
          <w:spacing w:val="4"/>
          <w:sz w:val="22"/>
          <w:szCs w:val="22"/>
          <w:lang w:eastAsia="en-US" w:bidi="pl-PL"/>
        </w:rPr>
        <w:t xml:space="preserve">Projekt </w:t>
      </w:r>
      <w:r w:rsidRPr="00B61C37">
        <w:rPr>
          <w:rFonts w:ascii="Lato" w:eastAsiaTheme="minorHAnsi" w:hAnsi="Lato" w:cs="Arial"/>
          <w:bCs/>
          <w:spacing w:val="4"/>
          <w:sz w:val="22"/>
          <w:szCs w:val="22"/>
          <w:lang w:val="x-none" w:eastAsia="en-US"/>
        </w:rPr>
        <w:t>decyzji został sporządzony przez osobę</w:t>
      </w:r>
      <w:r w:rsidRPr="00B61C37">
        <w:rPr>
          <w:rFonts w:ascii="Lato" w:eastAsiaTheme="minorHAnsi" w:hAnsi="Lato" w:cs="Arial"/>
          <w:bCs/>
          <w:spacing w:val="4"/>
          <w:sz w:val="22"/>
          <w:szCs w:val="22"/>
          <w:lang w:eastAsia="en-US" w:bidi="pl-PL"/>
        </w:rPr>
        <w:t xml:space="preserve"> spełniającą warunki, o których mowa </w:t>
      </w:r>
      <w:r w:rsidR="00B04F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w</w:t>
      </w:r>
      <w:r w:rsidRPr="00B61C37">
        <w:rPr>
          <w:rFonts w:ascii="Lato" w:eastAsiaTheme="minorHAnsi" w:hAnsi="Lato" w:cs="Arial"/>
          <w:bCs/>
          <w:spacing w:val="4"/>
          <w:sz w:val="22"/>
          <w:szCs w:val="22"/>
          <w:lang w:val="x-none" w:eastAsia="en-US"/>
        </w:rPr>
        <w:t xml:space="preserve"> art. </w:t>
      </w:r>
      <w:r w:rsidRPr="00B61C37">
        <w:rPr>
          <w:rFonts w:ascii="Lato" w:eastAsiaTheme="minorHAnsi" w:hAnsi="Lato" w:cs="Arial"/>
          <w:bCs/>
          <w:spacing w:val="4"/>
          <w:sz w:val="22"/>
          <w:szCs w:val="22"/>
          <w:lang w:eastAsia="en-US" w:bidi="pl-PL"/>
        </w:rPr>
        <w:t>10</w:t>
      </w:r>
      <w:r w:rsidRPr="00B61C37">
        <w:rPr>
          <w:rFonts w:ascii="Lato" w:eastAsiaTheme="minorHAnsi" w:hAnsi="Lato" w:cs="Arial"/>
          <w:bCs/>
          <w:spacing w:val="4"/>
          <w:sz w:val="22"/>
          <w:szCs w:val="22"/>
          <w:lang w:val="x-none" w:eastAsia="en-US"/>
        </w:rPr>
        <w:t xml:space="preserve"> ust. 2 specustawy </w:t>
      </w:r>
      <w:r w:rsidRPr="00B61C37">
        <w:rPr>
          <w:rFonts w:ascii="Lato" w:eastAsiaTheme="minorHAnsi" w:hAnsi="Lato" w:cs="Arial"/>
          <w:bCs/>
          <w:spacing w:val="4"/>
          <w:sz w:val="22"/>
          <w:szCs w:val="22"/>
          <w:lang w:eastAsia="en-US" w:bidi="pl-PL"/>
        </w:rPr>
        <w:t>gazowej.</w:t>
      </w:r>
    </w:p>
    <w:p w14:paraId="5C299256" w14:textId="27F8B005" w:rsidR="00964B7A" w:rsidRPr="00B61C37" w:rsidRDefault="00964B7A" w:rsidP="00964B7A">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Po zapoznaniu się ze zgromadzonym materiałem dowodowym organ II instancji stwierdził, iż wydana w I instancji decyzja wymaga dokonania </w:t>
      </w:r>
      <w:r w:rsidRPr="006B662F">
        <w:rPr>
          <w:rFonts w:ascii="Lato" w:eastAsiaTheme="minorHAnsi" w:hAnsi="Lato" w:cs="Arial"/>
          <w:bCs/>
          <w:spacing w:val="4"/>
          <w:sz w:val="22"/>
          <w:szCs w:val="22"/>
          <w:lang w:eastAsia="en-US"/>
        </w:rPr>
        <w:t>korekty</w:t>
      </w:r>
      <w:r w:rsidRPr="00B61C37">
        <w:rPr>
          <w:rFonts w:ascii="Lato" w:eastAsiaTheme="minorHAnsi" w:hAnsi="Lato" w:cs="Arial"/>
          <w:bCs/>
          <w:spacing w:val="4"/>
          <w:sz w:val="22"/>
          <w:szCs w:val="22"/>
          <w:lang w:eastAsia="en-US"/>
        </w:rPr>
        <w:t xml:space="preserve"> merytoryczno-reformacyjnej. Należy zauważyć, iż przepis art. 138 § 1 pkt 2 kpa umożliwia organowi odwoławczemu korektę zaskarżonej decyzji przez jej uchylenie w części i orzeczenie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w tym zakresie co do istoty sprawy.</w:t>
      </w:r>
    </w:p>
    <w:p w14:paraId="05CDEE45" w14:textId="54572C49" w:rsidR="00CB4C49" w:rsidRPr="00B61C37" w:rsidRDefault="00420FC5" w:rsidP="00964B7A">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Analizując decyzję Wojewody Podkarpackiego, </w:t>
      </w:r>
      <w:r w:rsidR="002B544F" w:rsidRPr="00B61C37">
        <w:rPr>
          <w:rFonts w:ascii="Lato" w:eastAsiaTheme="minorHAnsi" w:hAnsi="Lato" w:cs="Arial"/>
          <w:bCs/>
          <w:spacing w:val="4"/>
          <w:sz w:val="22"/>
          <w:szCs w:val="22"/>
          <w:lang w:eastAsia="en-US"/>
        </w:rPr>
        <w:t xml:space="preserve">Minister stwierdził, iż </w:t>
      </w:r>
      <w:r w:rsidRPr="00B61C37">
        <w:rPr>
          <w:rFonts w:ascii="Lato" w:eastAsiaTheme="minorHAnsi" w:hAnsi="Lato" w:cs="Arial"/>
          <w:bCs/>
          <w:spacing w:val="4"/>
          <w:sz w:val="22"/>
          <w:szCs w:val="22"/>
          <w:lang w:eastAsia="en-US"/>
        </w:rPr>
        <w:t>organ I instancji</w:t>
      </w:r>
      <w:r w:rsidR="002B544F" w:rsidRPr="00B61C37">
        <w:rPr>
          <w:rFonts w:ascii="Lato" w:eastAsiaTheme="minorHAnsi" w:hAnsi="Lato" w:cs="Arial"/>
          <w:bCs/>
          <w:spacing w:val="4"/>
          <w:sz w:val="22"/>
          <w:szCs w:val="22"/>
          <w:lang w:eastAsia="en-US"/>
        </w:rPr>
        <w:t xml:space="preserve"> nie zapewnił w sposób prawny, </w:t>
      </w:r>
      <w:r w:rsidRPr="00B61C37">
        <w:rPr>
          <w:rFonts w:ascii="Lato" w:eastAsiaTheme="minorHAnsi" w:hAnsi="Lato" w:cs="Arial"/>
          <w:bCs/>
          <w:spacing w:val="4"/>
          <w:sz w:val="22"/>
          <w:szCs w:val="22"/>
          <w:lang w:eastAsia="en-US"/>
        </w:rPr>
        <w:t xml:space="preserve">tj. </w:t>
      </w:r>
      <w:r w:rsidR="002B544F" w:rsidRPr="00B61C37">
        <w:rPr>
          <w:rFonts w:ascii="Lato" w:eastAsiaTheme="minorHAnsi" w:hAnsi="Lato" w:cs="Arial"/>
          <w:bCs/>
          <w:spacing w:val="4"/>
          <w:sz w:val="22"/>
          <w:szCs w:val="22"/>
          <w:lang w:eastAsia="en-US"/>
        </w:rPr>
        <w:t xml:space="preserve">poprzez ustanowienie odpowiednich służebności </w:t>
      </w:r>
      <w:r w:rsidR="002B544F" w:rsidRPr="00B61C37">
        <w:rPr>
          <w:rFonts w:ascii="Lato" w:eastAsiaTheme="minorHAnsi" w:hAnsi="Lato" w:cs="Arial"/>
          <w:bCs/>
          <w:spacing w:val="4"/>
          <w:sz w:val="22"/>
          <w:szCs w:val="22"/>
          <w:lang w:eastAsia="en-US"/>
        </w:rPr>
        <w:lastRenderedPageBreak/>
        <w:t xml:space="preserve">przejazdu i przechodu, dostępu do drogi publicznej dla </w:t>
      </w:r>
      <w:r w:rsidR="00CB4C49" w:rsidRPr="00B61C37">
        <w:rPr>
          <w:rFonts w:ascii="Lato" w:eastAsiaTheme="minorHAnsi" w:hAnsi="Lato" w:cs="Arial"/>
          <w:bCs/>
          <w:spacing w:val="4"/>
          <w:sz w:val="22"/>
          <w:szCs w:val="22"/>
          <w:lang w:eastAsia="en-US"/>
        </w:rPr>
        <w:t>wszystkich działek podlegających w ramach przedmiotowej inwestycji podziałowi nieruchomości.</w:t>
      </w:r>
    </w:p>
    <w:p w14:paraId="247F81E0" w14:textId="2CE68481" w:rsidR="002B544F" w:rsidRPr="00B61C37" w:rsidRDefault="002B544F" w:rsidP="002B544F">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Wyjaśnienia wymaga, iż w sytuacji, gdy na skutek nabycia przez Skarb Państwa nieruchomości bądź jej części na podstawie decyzji,</w:t>
      </w:r>
      <w:r w:rsidR="004F5704" w:rsidRPr="00B61C37">
        <w:rPr>
          <w:rFonts w:ascii="Lato" w:eastAsiaTheme="minorHAnsi" w:hAnsi="Lato" w:cs="Arial"/>
          <w:bCs/>
          <w:spacing w:val="4"/>
          <w:sz w:val="22"/>
          <w:szCs w:val="22"/>
          <w:lang w:eastAsia="en-US"/>
        </w:rPr>
        <w:t xml:space="preserve"> </w:t>
      </w:r>
      <w:r w:rsidRPr="00B61C37">
        <w:rPr>
          <w:rFonts w:ascii="Lato" w:eastAsiaTheme="minorHAnsi" w:hAnsi="Lato" w:cs="Arial"/>
          <w:bCs/>
          <w:spacing w:val="4"/>
          <w:sz w:val="22"/>
          <w:szCs w:val="22"/>
          <w:lang w:eastAsia="en-US"/>
        </w:rPr>
        <w:t>o któr</w:t>
      </w:r>
      <w:r w:rsidR="004F5704" w:rsidRPr="00B61C37">
        <w:rPr>
          <w:rFonts w:ascii="Lato" w:eastAsiaTheme="minorHAnsi" w:hAnsi="Lato" w:cs="Arial"/>
          <w:bCs/>
          <w:spacing w:val="4"/>
          <w:sz w:val="22"/>
          <w:szCs w:val="22"/>
          <w:lang w:eastAsia="en-US"/>
        </w:rPr>
        <w:t>ych mowa w specustawie gazowej</w:t>
      </w:r>
      <w:r w:rsidRPr="00B61C37">
        <w:rPr>
          <w:rFonts w:ascii="Lato" w:eastAsiaTheme="minorHAnsi" w:hAnsi="Lato" w:cs="Arial"/>
          <w:bCs/>
          <w:spacing w:val="4"/>
          <w:sz w:val="22"/>
          <w:szCs w:val="22"/>
          <w:lang w:eastAsia="en-US"/>
        </w:rPr>
        <w:t xml:space="preserve"> (tj. decyzji o ustaleniu lokalizacji </w:t>
      </w:r>
      <w:r w:rsidR="004F5704" w:rsidRPr="00B61C37">
        <w:rPr>
          <w:rFonts w:ascii="Lato" w:eastAsiaTheme="minorHAnsi" w:hAnsi="Lato" w:cs="Arial"/>
          <w:bCs/>
          <w:spacing w:val="4"/>
          <w:sz w:val="22"/>
          <w:szCs w:val="22"/>
          <w:lang w:eastAsia="en-US"/>
        </w:rPr>
        <w:t xml:space="preserve">inwestycji w zakresie terminalu oraz decyzji </w:t>
      </w:r>
      <w:r w:rsidR="002658DD" w:rsidRPr="00B61C37">
        <w:rPr>
          <w:rFonts w:ascii="Lato" w:eastAsiaTheme="minorHAnsi" w:hAnsi="Lato" w:cs="Arial"/>
          <w:bCs/>
          <w:spacing w:val="4"/>
          <w:sz w:val="22"/>
          <w:szCs w:val="22"/>
          <w:lang w:eastAsia="en-US"/>
        </w:rPr>
        <w:br/>
      </w:r>
      <w:r w:rsidR="004F5704" w:rsidRPr="00B61C37">
        <w:rPr>
          <w:rFonts w:ascii="Lato" w:eastAsiaTheme="minorHAnsi" w:hAnsi="Lato" w:cs="Arial"/>
          <w:bCs/>
          <w:spacing w:val="4"/>
          <w:sz w:val="22"/>
          <w:szCs w:val="22"/>
          <w:lang w:eastAsia="en-US"/>
        </w:rPr>
        <w:t>o ustaleniu lokalizacji inwestycji towarzyszącej inwestycjom w zakresie terminalu</w:t>
      </w:r>
      <w:r w:rsidRPr="00B61C37">
        <w:rPr>
          <w:rFonts w:ascii="Lato" w:eastAsiaTheme="minorHAnsi" w:hAnsi="Lato" w:cs="Arial"/>
          <w:bCs/>
          <w:spacing w:val="4"/>
          <w:sz w:val="22"/>
          <w:szCs w:val="22"/>
          <w:lang w:eastAsia="en-US"/>
        </w:rPr>
        <w:t xml:space="preserve">), właściciel nieruchomości (użytkownik wieczysty) zostaje pozbawiony dostępu do drogi publicznej, odpowiednie zastosowanie – z mocy art. </w:t>
      </w:r>
      <w:r w:rsidR="003C4909" w:rsidRPr="00B61C37">
        <w:rPr>
          <w:rFonts w:ascii="Lato" w:eastAsiaTheme="minorHAnsi" w:hAnsi="Lato" w:cs="Arial"/>
          <w:bCs/>
          <w:spacing w:val="4"/>
          <w:sz w:val="22"/>
          <w:szCs w:val="22"/>
          <w:lang w:eastAsia="en-US"/>
        </w:rPr>
        <w:t>30 specustawy gazowej</w:t>
      </w:r>
      <w:r w:rsidRPr="00B61C37">
        <w:rPr>
          <w:rFonts w:ascii="Lato" w:eastAsiaTheme="minorHAnsi" w:hAnsi="Lato" w:cs="Arial"/>
          <w:bCs/>
          <w:spacing w:val="4"/>
          <w:sz w:val="22"/>
          <w:szCs w:val="22"/>
          <w:lang w:eastAsia="en-US"/>
        </w:rPr>
        <w:t xml:space="preserve"> – znajduje art. 120 ustawy z dnia 21 sierpnia 1997 r. o gospodarce nieruchomościami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(t.j. Dz. U. </w:t>
      </w:r>
      <w:r w:rsidR="001D42CB" w:rsidRPr="001D42CB">
        <w:rPr>
          <w:rFonts w:ascii="Lato" w:eastAsiaTheme="minorHAnsi" w:hAnsi="Lato" w:cs="Arial"/>
          <w:bCs/>
          <w:spacing w:val="4"/>
          <w:sz w:val="22"/>
          <w:szCs w:val="22"/>
          <w:lang w:eastAsia="en-US"/>
        </w:rPr>
        <w:t xml:space="preserve">2026 r. poz. 399 </w:t>
      </w:r>
      <w:r w:rsidR="004070DA" w:rsidRPr="00B61C37">
        <w:rPr>
          <w:rFonts w:ascii="Lato" w:eastAsiaTheme="minorHAnsi" w:hAnsi="Lato" w:cs="Arial"/>
          <w:bCs/>
          <w:spacing w:val="4"/>
          <w:sz w:val="22"/>
          <w:szCs w:val="22"/>
          <w:lang w:eastAsia="en-US"/>
        </w:rPr>
        <w:t>z późn. zm.</w:t>
      </w:r>
      <w:r w:rsidRPr="00B61C37">
        <w:rPr>
          <w:rFonts w:ascii="Lato" w:eastAsiaTheme="minorHAnsi" w:hAnsi="Lato" w:cs="Arial"/>
          <w:bCs/>
          <w:spacing w:val="4"/>
          <w:sz w:val="22"/>
          <w:szCs w:val="22"/>
          <w:lang w:eastAsia="en-US"/>
        </w:rPr>
        <w:t>), zwanej dalej „</w:t>
      </w:r>
      <w:r w:rsidR="00B410F0" w:rsidRPr="00B61C37">
        <w:rPr>
          <w:rFonts w:ascii="Lato" w:eastAsiaTheme="minorHAnsi" w:hAnsi="Lato" w:cs="Arial"/>
          <w:bCs/>
          <w:spacing w:val="4"/>
          <w:sz w:val="22"/>
          <w:szCs w:val="22"/>
          <w:lang w:eastAsia="en-US"/>
        </w:rPr>
        <w:t>ustawą o gospodarce nieruchomościami</w:t>
      </w:r>
      <w:r w:rsidRPr="00B61C37">
        <w:rPr>
          <w:rFonts w:ascii="Lato" w:eastAsiaTheme="minorHAnsi" w:hAnsi="Lato" w:cs="Arial"/>
          <w:bCs/>
          <w:spacing w:val="4"/>
          <w:sz w:val="22"/>
          <w:szCs w:val="22"/>
          <w:lang w:eastAsia="en-US"/>
        </w:rPr>
        <w:t xml:space="preserve">”, normujący ustanowienie niezbędnych służebności [por. wyrok Naczelnego Sądu Administracyjnego z dnia 25 lipca 2012 r., sygn. akt II OSK 1245/12, oraz wyroki Naczelnego Sądu Administracyjnego z dnia 25 lutego 2014 r., sygn. akt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II OSK 339/13 i z dnia 5 grudnia 2019 r., sygn. akt II OSK 1145/18, zapadłe na gruncie ustawy z dnia 12 lutego 2009 r. o szczególnych zasadach przygotowania i realizacji inwestycji w zakresie lotnisk użytku publicznego i ustawy z dnia 10 kwietnia 2003 r. o szczególnych zasadach przygotowania i realizacji inwestycji w zakresie dróg publicznych, </w:t>
      </w:r>
      <w:r w:rsidR="00A027A2" w:rsidRPr="00B61C37">
        <w:rPr>
          <w:rFonts w:ascii="Lato" w:eastAsiaTheme="minorHAnsi" w:hAnsi="Lato" w:cs="Arial"/>
          <w:bCs/>
          <w:spacing w:val="4"/>
          <w:sz w:val="22"/>
          <w:szCs w:val="22"/>
          <w:lang w:eastAsia="en-US"/>
        </w:rPr>
        <w:t xml:space="preserve">zwanej dalej „specustawą drogową”, </w:t>
      </w:r>
      <w:r w:rsidRPr="00B61C37">
        <w:rPr>
          <w:rFonts w:ascii="Lato" w:eastAsiaTheme="minorHAnsi" w:hAnsi="Lato" w:cs="Arial"/>
          <w:bCs/>
          <w:spacing w:val="4"/>
          <w:sz w:val="22"/>
          <w:szCs w:val="22"/>
          <w:lang w:eastAsia="en-US"/>
        </w:rPr>
        <w:t>ale mające analogiczne zastosowanie w</w:t>
      </w:r>
      <w:r w:rsidR="001D42CB">
        <w:rPr>
          <w:rFonts w:ascii="Lato" w:eastAsiaTheme="minorHAnsi" w:hAnsi="Lato" w:cs="Arial"/>
          <w:bCs/>
          <w:spacing w:val="4"/>
          <w:sz w:val="22"/>
          <w:szCs w:val="22"/>
          <w:lang w:eastAsia="en-US"/>
        </w:rPr>
        <w:t xml:space="preserve"> </w:t>
      </w:r>
      <w:r w:rsidRPr="00B61C37">
        <w:rPr>
          <w:rFonts w:ascii="Lato" w:eastAsiaTheme="minorHAnsi" w:hAnsi="Lato" w:cs="Arial"/>
          <w:bCs/>
          <w:spacing w:val="4"/>
          <w:sz w:val="22"/>
          <w:szCs w:val="22"/>
          <w:lang w:eastAsia="en-US"/>
        </w:rPr>
        <w:t xml:space="preserve">przedmiotowych kwestiach również na gruncie szczególnych uregulowań </w:t>
      </w:r>
      <w:r w:rsidR="004070DA" w:rsidRPr="00B61C37">
        <w:rPr>
          <w:rFonts w:ascii="Lato" w:eastAsiaTheme="minorHAnsi" w:hAnsi="Lato" w:cs="Arial"/>
          <w:bCs/>
          <w:spacing w:val="4"/>
          <w:sz w:val="22"/>
          <w:szCs w:val="22"/>
          <w:lang w:eastAsia="en-US"/>
        </w:rPr>
        <w:t>specustawy gazowej</w:t>
      </w:r>
      <w:r w:rsidRPr="00B61C37">
        <w:rPr>
          <w:rFonts w:ascii="Lato" w:eastAsiaTheme="minorHAnsi" w:hAnsi="Lato" w:cs="Arial"/>
          <w:bCs/>
          <w:spacing w:val="4"/>
          <w:sz w:val="22"/>
          <w:szCs w:val="22"/>
          <w:lang w:eastAsia="en-US"/>
        </w:rPr>
        <w:t>].</w:t>
      </w:r>
    </w:p>
    <w:p w14:paraId="3805602A" w14:textId="6B627962" w:rsidR="00FF2DFB" w:rsidRDefault="002B544F" w:rsidP="002B544F">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Z powyższego </w:t>
      </w:r>
      <w:r w:rsidR="001D42CB">
        <w:rPr>
          <w:rFonts w:ascii="Lato" w:eastAsiaTheme="minorHAnsi" w:hAnsi="Lato" w:cs="Arial"/>
          <w:bCs/>
          <w:spacing w:val="4"/>
          <w:sz w:val="22"/>
          <w:szCs w:val="22"/>
          <w:lang w:eastAsia="en-US"/>
        </w:rPr>
        <w:t xml:space="preserve">przepisu </w:t>
      </w:r>
      <w:r w:rsidRPr="00B61C37">
        <w:rPr>
          <w:rFonts w:ascii="Lato" w:eastAsiaTheme="minorHAnsi" w:hAnsi="Lato" w:cs="Arial"/>
          <w:bCs/>
          <w:spacing w:val="4"/>
          <w:sz w:val="22"/>
          <w:szCs w:val="22"/>
          <w:lang w:eastAsia="en-US"/>
        </w:rPr>
        <w:t xml:space="preserve">wynika, iż to już na etapie wydawania decyzji o ustaleniu lokalizacji </w:t>
      </w:r>
      <w:r w:rsidR="004070DA" w:rsidRPr="00B61C37">
        <w:rPr>
          <w:rFonts w:ascii="Lato" w:eastAsiaTheme="minorHAnsi" w:hAnsi="Lato" w:cs="Arial"/>
          <w:bCs/>
          <w:spacing w:val="4"/>
          <w:sz w:val="22"/>
          <w:szCs w:val="22"/>
          <w:lang w:eastAsia="en-US"/>
        </w:rPr>
        <w:t>inwestycji towarzyszącej inwestycjom w zakresie terminalu</w:t>
      </w:r>
      <w:r w:rsidRPr="00B61C37">
        <w:rPr>
          <w:rFonts w:ascii="Lato" w:eastAsiaTheme="minorHAnsi" w:hAnsi="Lato" w:cs="Arial"/>
          <w:bCs/>
          <w:spacing w:val="4"/>
          <w:sz w:val="22"/>
          <w:szCs w:val="22"/>
          <w:lang w:eastAsia="en-US"/>
        </w:rPr>
        <w:t xml:space="preserve"> należy zapewnić dostęp do drogi publicznej, np. poprzez ustanowienie niezbędnych służebności.</w:t>
      </w:r>
      <w:r w:rsidR="00FF2DFB" w:rsidRPr="00FF2DFB">
        <w:t xml:space="preserve"> </w:t>
      </w:r>
      <w:r w:rsidR="00FF2DFB" w:rsidRPr="00FF2DFB">
        <w:rPr>
          <w:rFonts w:ascii="Lato" w:eastAsiaTheme="minorHAnsi" w:hAnsi="Lato" w:cs="Arial"/>
          <w:bCs/>
          <w:spacing w:val="4"/>
          <w:sz w:val="22"/>
          <w:szCs w:val="22"/>
          <w:lang w:eastAsia="en-US"/>
        </w:rPr>
        <w:t>Należy mieć na uwadze, że decyzja o ustaleniu lokalizacji inwestycji towarzyszącej inwestycjom w zakresie terminalu, w zakresie w jakim skutkuje przejęciem nieruchomości lub jej części na własność Skarbu Państwa, prowadzi do odjęcia dotychczasowemu właścicielowi prawa własności z mocy prawa, a tym samym wywołuje w tym zakresie skutki odpowiadające skutkom wywłaszczenia nieruchomości.</w:t>
      </w:r>
    </w:p>
    <w:p w14:paraId="4AA6261F" w14:textId="57653A0E" w:rsidR="002B544F" w:rsidRPr="00B61C37" w:rsidRDefault="00FF2DFB" w:rsidP="002B544F">
      <w:pPr>
        <w:tabs>
          <w:tab w:val="left" w:pos="2977"/>
        </w:tabs>
        <w:spacing w:after="240" w:line="240" w:lineRule="exact"/>
        <w:jc w:val="both"/>
        <w:outlineLvl w:val="0"/>
        <w:rPr>
          <w:rFonts w:ascii="Lato" w:eastAsiaTheme="minorHAnsi" w:hAnsi="Lato" w:cs="Arial"/>
          <w:bCs/>
          <w:spacing w:val="4"/>
          <w:sz w:val="22"/>
          <w:szCs w:val="22"/>
          <w:lang w:eastAsia="en-US"/>
        </w:rPr>
      </w:pPr>
      <w:r>
        <w:rPr>
          <w:rFonts w:ascii="Lato" w:eastAsiaTheme="minorHAnsi" w:hAnsi="Lato" w:cs="Arial"/>
          <w:bCs/>
          <w:spacing w:val="4"/>
          <w:sz w:val="22"/>
          <w:szCs w:val="22"/>
          <w:lang w:eastAsia="en-US"/>
        </w:rPr>
        <w:t>Dodatkowo podkreślić należy, iż u</w:t>
      </w:r>
      <w:r w:rsidR="002B544F" w:rsidRPr="00B61C37">
        <w:rPr>
          <w:rFonts w:ascii="Lato" w:eastAsiaTheme="minorHAnsi" w:hAnsi="Lato" w:cs="Arial"/>
          <w:bCs/>
          <w:spacing w:val="4"/>
          <w:sz w:val="22"/>
          <w:szCs w:val="22"/>
          <w:lang w:eastAsia="en-US"/>
        </w:rPr>
        <w:t xml:space="preserve">stawowy wymóg zapewnienia dostępu do drogi publicznej działce, która w wyniku wydania </w:t>
      </w:r>
      <w:r w:rsidR="004070DA" w:rsidRPr="00B61C37">
        <w:rPr>
          <w:rFonts w:ascii="Lato" w:eastAsiaTheme="minorHAnsi" w:hAnsi="Lato" w:cs="Arial"/>
          <w:bCs/>
          <w:spacing w:val="4"/>
          <w:sz w:val="22"/>
          <w:szCs w:val="22"/>
          <w:lang w:eastAsia="en-US"/>
        </w:rPr>
        <w:t>ww. decyzji</w:t>
      </w:r>
      <w:r w:rsidR="002B544F" w:rsidRPr="00B61C37">
        <w:rPr>
          <w:rFonts w:ascii="Lato" w:eastAsiaTheme="minorHAnsi" w:hAnsi="Lato" w:cs="Arial"/>
          <w:bCs/>
          <w:spacing w:val="4"/>
          <w:sz w:val="22"/>
          <w:szCs w:val="22"/>
          <w:lang w:eastAsia="en-US"/>
        </w:rPr>
        <w:t xml:space="preserve"> traci taki dostęp, mieści się bowiem w normatywnym zakresie art. </w:t>
      </w:r>
      <w:r w:rsidR="004070DA" w:rsidRPr="00B61C37">
        <w:rPr>
          <w:rFonts w:ascii="Lato" w:eastAsiaTheme="minorHAnsi" w:hAnsi="Lato" w:cs="Arial"/>
          <w:bCs/>
          <w:spacing w:val="4"/>
          <w:sz w:val="22"/>
          <w:szCs w:val="22"/>
          <w:lang w:eastAsia="en-US"/>
        </w:rPr>
        <w:t>10 ust. 1 pkt 5</w:t>
      </w:r>
      <w:r w:rsidR="002B544F" w:rsidRPr="00B61C37">
        <w:rPr>
          <w:rFonts w:ascii="Lato" w:eastAsiaTheme="minorHAnsi" w:hAnsi="Lato" w:cs="Arial"/>
          <w:bCs/>
          <w:spacing w:val="4"/>
          <w:sz w:val="22"/>
          <w:szCs w:val="22"/>
          <w:lang w:eastAsia="en-US"/>
        </w:rPr>
        <w:t xml:space="preserve"> </w:t>
      </w:r>
      <w:r w:rsidR="004070DA" w:rsidRPr="00B61C37">
        <w:rPr>
          <w:rFonts w:ascii="Lato" w:eastAsiaTheme="minorHAnsi" w:hAnsi="Lato" w:cs="Arial"/>
          <w:bCs/>
          <w:spacing w:val="4"/>
          <w:sz w:val="22"/>
          <w:szCs w:val="22"/>
          <w:lang w:eastAsia="en-US"/>
        </w:rPr>
        <w:t>specustawy gazowej</w:t>
      </w:r>
      <w:r w:rsidR="002B544F" w:rsidRPr="00B61C37">
        <w:rPr>
          <w:rFonts w:ascii="Lato" w:eastAsiaTheme="minorHAnsi" w:hAnsi="Lato" w:cs="Arial"/>
          <w:bCs/>
          <w:spacing w:val="4"/>
          <w:sz w:val="22"/>
          <w:szCs w:val="22"/>
          <w:lang w:eastAsia="en-US"/>
        </w:rPr>
        <w:t xml:space="preserve">, stanowiącym o obowiązku zamieszczania przez organ w decyzji o ustaleniu lokalizacji </w:t>
      </w:r>
      <w:r w:rsidR="005709EC" w:rsidRPr="00B61C37">
        <w:rPr>
          <w:rFonts w:ascii="Lato" w:eastAsiaTheme="minorHAnsi" w:hAnsi="Lato" w:cs="Arial"/>
          <w:bCs/>
          <w:spacing w:val="4"/>
          <w:sz w:val="22"/>
          <w:szCs w:val="22"/>
          <w:lang w:eastAsia="en-US"/>
        </w:rPr>
        <w:t xml:space="preserve">inwestycji </w:t>
      </w:r>
      <w:r w:rsidR="00210BB2">
        <w:rPr>
          <w:rFonts w:ascii="Lato" w:eastAsiaTheme="minorHAnsi" w:hAnsi="Lato" w:cs="Arial"/>
          <w:bCs/>
          <w:spacing w:val="4"/>
          <w:sz w:val="22"/>
          <w:szCs w:val="22"/>
          <w:lang w:eastAsia="en-US"/>
        </w:rPr>
        <w:br/>
      </w:r>
      <w:r w:rsidR="005709EC" w:rsidRPr="00B61C37">
        <w:rPr>
          <w:rFonts w:ascii="Lato" w:eastAsiaTheme="minorHAnsi" w:hAnsi="Lato" w:cs="Arial"/>
          <w:bCs/>
          <w:spacing w:val="4"/>
          <w:sz w:val="22"/>
          <w:szCs w:val="22"/>
          <w:lang w:eastAsia="en-US"/>
        </w:rPr>
        <w:t>w zakresie terminalu</w:t>
      </w:r>
      <w:r w:rsidR="002B544F" w:rsidRPr="00B61C37">
        <w:rPr>
          <w:rFonts w:ascii="Lato" w:eastAsiaTheme="minorHAnsi" w:hAnsi="Lato" w:cs="Arial"/>
          <w:bCs/>
          <w:spacing w:val="4"/>
          <w:sz w:val="22"/>
          <w:szCs w:val="22"/>
          <w:lang w:eastAsia="en-US"/>
        </w:rPr>
        <w:t xml:space="preserve"> wymagań dotyczących ochrony interesów osób trzecich, którym </w:t>
      </w:r>
      <w:r w:rsidR="00210BB2">
        <w:rPr>
          <w:rFonts w:ascii="Lato" w:eastAsiaTheme="minorHAnsi" w:hAnsi="Lato" w:cs="Arial"/>
          <w:bCs/>
          <w:spacing w:val="4"/>
          <w:sz w:val="22"/>
          <w:szCs w:val="22"/>
          <w:lang w:eastAsia="en-US"/>
        </w:rPr>
        <w:br/>
      </w:r>
      <w:r w:rsidR="002B544F" w:rsidRPr="00B61C37">
        <w:rPr>
          <w:rFonts w:ascii="Lato" w:eastAsiaTheme="minorHAnsi" w:hAnsi="Lato" w:cs="Arial"/>
          <w:bCs/>
          <w:spacing w:val="4"/>
          <w:sz w:val="22"/>
          <w:szCs w:val="22"/>
          <w:lang w:eastAsia="en-US"/>
        </w:rPr>
        <w:t xml:space="preserve">w rozpatrywanej sprawie jest </w:t>
      </w:r>
      <w:r w:rsidR="0028700E">
        <w:rPr>
          <w:rFonts w:ascii="Lato" w:eastAsiaTheme="minorHAnsi" w:hAnsi="Lato" w:cs="Arial"/>
          <w:bCs/>
          <w:spacing w:val="4"/>
          <w:sz w:val="22"/>
          <w:szCs w:val="22"/>
          <w:lang w:eastAsia="en-US"/>
        </w:rPr>
        <w:t xml:space="preserve">zapewnienie w sposób poprawny </w:t>
      </w:r>
      <w:r w:rsidR="002B544F" w:rsidRPr="00B61C37">
        <w:rPr>
          <w:rFonts w:ascii="Lato" w:eastAsiaTheme="minorHAnsi" w:hAnsi="Lato" w:cs="Arial"/>
          <w:bCs/>
          <w:spacing w:val="4"/>
          <w:sz w:val="22"/>
          <w:szCs w:val="22"/>
          <w:lang w:eastAsia="en-US"/>
        </w:rPr>
        <w:t xml:space="preserve">ww. działkom dostępu do drogi publicznej, skoro już w wyniku wydania decyzji tracą one taki dostęp. Właściwa ochrona interesu podmiotów, które w wyniku wydania decyzji o ustaleniu lokalizacji </w:t>
      </w:r>
      <w:r w:rsidR="005709EC" w:rsidRPr="00B61C37">
        <w:rPr>
          <w:rFonts w:ascii="Lato" w:eastAsiaTheme="minorHAnsi" w:hAnsi="Lato" w:cs="Arial"/>
          <w:bCs/>
          <w:spacing w:val="4"/>
          <w:sz w:val="22"/>
          <w:szCs w:val="22"/>
          <w:lang w:eastAsia="en-US"/>
        </w:rPr>
        <w:t>inwestycji w zakresie terminalu</w:t>
      </w:r>
      <w:r w:rsidR="002B544F" w:rsidRPr="00B61C37">
        <w:rPr>
          <w:rFonts w:ascii="Lato" w:eastAsiaTheme="minorHAnsi" w:hAnsi="Lato" w:cs="Arial"/>
          <w:bCs/>
          <w:spacing w:val="4"/>
          <w:sz w:val="22"/>
          <w:szCs w:val="22"/>
          <w:lang w:eastAsia="en-US"/>
        </w:rPr>
        <w:t xml:space="preserve"> tracą dostęp do drogi publicznej, wymaga, aby w decyzji lokalizacyjnej zawarte były postanowienia o ustanowieniu służebności drogowej, zgodnie z art. 120 </w:t>
      </w:r>
      <w:r w:rsidR="00B410F0" w:rsidRPr="00B61C37">
        <w:rPr>
          <w:rFonts w:ascii="Lato" w:eastAsiaTheme="minorHAnsi" w:hAnsi="Lato" w:cs="Arial"/>
          <w:bCs/>
          <w:spacing w:val="4"/>
          <w:sz w:val="22"/>
          <w:szCs w:val="22"/>
          <w:lang w:eastAsia="en-US"/>
        </w:rPr>
        <w:t>ustawy o gospodarce nieruchomościami</w:t>
      </w:r>
      <w:r w:rsidR="002B544F" w:rsidRPr="00B61C37">
        <w:rPr>
          <w:rFonts w:ascii="Lato" w:eastAsiaTheme="minorHAnsi" w:hAnsi="Lato" w:cs="Arial"/>
          <w:bCs/>
          <w:spacing w:val="4"/>
          <w:sz w:val="22"/>
          <w:szCs w:val="22"/>
          <w:lang w:eastAsia="en-US"/>
        </w:rPr>
        <w:t xml:space="preserve"> w związku z art. </w:t>
      </w:r>
      <w:r w:rsidR="005709EC" w:rsidRPr="00B61C37">
        <w:rPr>
          <w:rFonts w:ascii="Lato" w:eastAsiaTheme="minorHAnsi" w:hAnsi="Lato" w:cs="Arial"/>
          <w:bCs/>
          <w:spacing w:val="4"/>
          <w:sz w:val="22"/>
          <w:szCs w:val="22"/>
          <w:lang w:eastAsia="en-US"/>
        </w:rPr>
        <w:t>30 specustawy gazowej</w:t>
      </w:r>
      <w:r w:rsidR="002B544F" w:rsidRPr="00B61C37">
        <w:rPr>
          <w:rFonts w:ascii="Lato" w:eastAsiaTheme="minorHAnsi" w:hAnsi="Lato" w:cs="Arial"/>
          <w:bCs/>
          <w:spacing w:val="4"/>
          <w:sz w:val="22"/>
          <w:szCs w:val="22"/>
          <w:lang w:eastAsia="en-US"/>
        </w:rPr>
        <w:t>.</w:t>
      </w:r>
    </w:p>
    <w:p w14:paraId="41A2A1D2" w14:textId="013A7BE3" w:rsidR="00E23A67" w:rsidRDefault="00D9189F" w:rsidP="00E23A67">
      <w:pPr>
        <w:tabs>
          <w:tab w:val="left" w:pos="2977"/>
        </w:tabs>
        <w:spacing w:after="240" w:line="240" w:lineRule="exact"/>
        <w:jc w:val="both"/>
        <w:outlineLvl w:val="0"/>
        <w:rPr>
          <w:rFonts w:ascii="Lato" w:eastAsiaTheme="minorHAnsi" w:hAnsi="Lato" w:cs="Arial"/>
          <w:bCs/>
          <w:spacing w:val="4"/>
          <w:sz w:val="22"/>
          <w:szCs w:val="22"/>
          <w:lang w:eastAsia="en-US"/>
        </w:rPr>
      </w:pPr>
      <w:r w:rsidRPr="00D9189F">
        <w:rPr>
          <w:rFonts w:ascii="Lato" w:eastAsiaTheme="minorHAnsi" w:hAnsi="Lato" w:cs="Arial"/>
          <w:bCs/>
          <w:spacing w:val="4"/>
          <w:sz w:val="22"/>
          <w:szCs w:val="22"/>
          <w:lang w:eastAsia="en-US"/>
        </w:rPr>
        <w:t>Artykuł 120</w:t>
      </w:r>
      <w:r>
        <w:rPr>
          <w:rFonts w:ascii="Lato" w:eastAsiaTheme="minorHAnsi" w:hAnsi="Lato" w:cs="Arial"/>
          <w:bCs/>
          <w:spacing w:val="4"/>
          <w:sz w:val="22"/>
          <w:szCs w:val="22"/>
          <w:lang w:eastAsia="en-US"/>
        </w:rPr>
        <w:t xml:space="preserve"> </w:t>
      </w:r>
      <w:r w:rsidRPr="00D9189F">
        <w:rPr>
          <w:rFonts w:ascii="Lato" w:eastAsiaTheme="minorHAnsi" w:hAnsi="Lato" w:cs="Arial"/>
          <w:bCs/>
          <w:spacing w:val="4"/>
          <w:sz w:val="22"/>
          <w:szCs w:val="22"/>
          <w:lang w:eastAsia="en-US"/>
        </w:rPr>
        <w:t>ustawy o gospodarce nieruchomościami zamieszczony w rozdziale 4 "Wywłaszczanie nieruchomości", przewiduje</w:t>
      </w:r>
      <w:r w:rsidR="002B544F" w:rsidRPr="00B61C37">
        <w:rPr>
          <w:rFonts w:ascii="Lato" w:eastAsiaTheme="minorHAnsi" w:hAnsi="Lato" w:cs="Arial"/>
          <w:bCs/>
          <w:spacing w:val="4"/>
          <w:sz w:val="22"/>
          <w:szCs w:val="22"/>
          <w:lang w:eastAsia="en-US"/>
        </w:rPr>
        <w:t xml:space="preserve">, że jeżeli zachodzi potrzeba zapobieżenia niebezpieczeństwu, wystąpieniu szkody lub niedogodnościom, jakie mogą powstać dla właścicieli albo użytkowników wieczystych nieruchomości sąsiednich wskutek wywłaszczenia lub innego niż dotychczas zagospodarowania wywłaszczonej nieruchomości, w decyzji o wywłaszczeniu ustanawia się niezbędne służebności. </w:t>
      </w:r>
      <w:r w:rsidRPr="00D9189F">
        <w:rPr>
          <w:rFonts w:ascii="Lato" w:eastAsiaTheme="minorHAnsi" w:hAnsi="Lato" w:cs="Arial"/>
          <w:bCs/>
          <w:spacing w:val="4"/>
          <w:sz w:val="22"/>
          <w:szCs w:val="22"/>
          <w:lang w:eastAsia="en-US"/>
        </w:rPr>
        <w:t xml:space="preserve">Przepis art. 120 ustawy o gospodarce nieruchomościami stanowi uzupełnienie art. 119 tej ustawy, określającego elementy decyzji o wywłaszczeniu nieruchomości, poprzez wskazanie dodatkowych rozstrzygnięć, jakie powinny zostać zawarte w decyzji w sytuacji, gdy wywłaszczenie nieruchomości oraz jej przeznaczenie na określony cel może </w:t>
      </w:r>
      <w:r w:rsidRPr="00D9189F">
        <w:rPr>
          <w:rFonts w:ascii="Lato" w:eastAsiaTheme="minorHAnsi" w:hAnsi="Lato" w:cs="Arial"/>
          <w:bCs/>
          <w:spacing w:val="4"/>
          <w:sz w:val="22"/>
          <w:szCs w:val="22"/>
          <w:lang w:eastAsia="en-US"/>
        </w:rPr>
        <w:lastRenderedPageBreak/>
        <w:t xml:space="preserve">powodować niebezpieczeństwo, szkodę lub niedogodności dla właścicieli albo użytkowników wieczystych nieruchomości sąsiednich. </w:t>
      </w:r>
      <w:r w:rsidR="00B72BF8">
        <w:rPr>
          <w:rFonts w:ascii="Lato" w:eastAsiaTheme="minorHAnsi" w:hAnsi="Lato" w:cs="Arial"/>
          <w:bCs/>
          <w:spacing w:val="4"/>
          <w:sz w:val="22"/>
          <w:szCs w:val="22"/>
          <w:lang w:eastAsia="en-US"/>
        </w:rPr>
        <w:t>T</w:t>
      </w:r>
      <w:r w:rsidRPr="00D9189F">
        <w:rPr>
          <w:rFonts w:ascii="Lato" w:eastAsiaTheme="minorHAnsi" w:hAnsi="Lato" w:cs="Arial"/>
          <w:bCs/>
          <w:spacing w:val="4"/>
          <w:sz w:val="22"/>
          <w:szCs w:val="22"/>
          <w:lang w:eastAsia="en-US"/>
        </w:rPr>
        <w:t>ego rodzaju niedogodnością może być w szczególności utrata dostępu do drogi publicznej. Ochrona interesów właścicieli lub użytkowników wieczystych nieruchomości sąsiednich realizowana jest wówczas na drodze administracyjnej poprzez ustanowienie w decyzji odpowiednich, niezbędnych służebności na rzecz tych nieruchomości.</w:t>
      </w:r>
    </w:p>
    <w:p w14:paraId="2B77DBFA" w14:textId="29B7FC48" w:rsidR="00B72BF8" w:rsidRPr="00B61C37" w:rsidRDefault="00B72BF8" w:rsidP="00E23A67">
      <w:pPr>
        <w:tabs>
          <w:tab w:val="left" w:pos="2977"/>
        </w:tabs>
        <w:spacing w:after="240" w:line="240" w:lineRule="exact"/>
        <w:jc w:val="both"/>
        <w:outlineLvl w:val="0"/>
        <w:rPr>
          <w:rFonts w:ascii="Lato" w:eastAsiaTheme="minorHAnsi" w:hAnsi="Lato" w:cs="Arial"/>
          <w:bCs/>
          <w:spacing w:val="4"/>
          <w:sz w:val="22"/>
          <w:szCs w:val="22"/>
          <w:lang w:eastAsia="en-US"/>
        </w:rPr>
      </w:pPr>
      <w:r w:rsidRPr="00B72BF8">
        <w:rPr>
          <w:rFonts w:ascii="Lato" w:eastAsiaTheme="minorHAnsi" w:hAnsi="Lato" w:cs="Arial"/>
          <w:bCs/>
          <w:spacing w:val="4"/>
          <w:sz w:val="22"/>
          <w:szCs w:val="22"/>
          <w:lang w:eastAsia="en-US"/>
        </w:rPr>
        <w:t xml:space="preserve">W realiach niniejszej sprawy art. 120 ustawy o gospodarce nieruchomościami znajduje odpowiednie zastosowanie na podstawie </w:t>
      </w:r>
      <w:r>
        <w:rPr>
          <w:rFonts w:ascii="Lato" w:eastAsiaTheme="minorHAnsi" w:hAnsi="Lato" w:cs="Arial"/>
          <w:bCs/>
          <w:spacing w:val="4"/>
          <w:sz w:val="22"/>
          <w:szCs w:val="22"/>
          <w:lang w:eastAsia="en-US"/>
        </w:rPr>
        <w:t xml:space="preserve">ww. </w:t>
      </w:r>
      <w:r w:rsidRPr="00B72BF8">
        <w:rPr>
          <w:rFonts w:ascii="Lato" w:eastAsiaTheme="minorHAnsi" w:hAnsi="Lato" w:cs="Arial"/>
          <w:bCs/>
          <w:spacing w:val="4"/>
          <w:sz w:val="22"/>
          <w:szCs w:val="22"/>
          <w:lang w:eastAsia="en-US"/>
        </w:rPr>
        <w:t>art. 30 specustawy gazowej. Specustawa gazowa nie zawiera bowiem szczególnej regulacji dotyczącej sytuacji, w której w związku z przejęciem nieruchomości lub jej części na potrzeby realizacji inwestycji nieruchomość sąsiednia zostaje pozbawiona dostępu do drogi publicznej. W konsekwencji, w przypadku wystąpienia takiej niedogodności, art. 120 ustawy o gospodarce nieruchomościami stanowi podstawę do ustanowienia w decyzji lokalizacyjnej niezbędnej służebności zapewniającej dostęp do drogi publicznej.</w:t>
      </w:r>
    </w:p>
    <w:p w14:paraId="057258BB" w14:textId="50A60F3A" w:rsidR="0002284D" w:rsidRPr="00B61C37" w:rsidRDefault="00B72BF8" w:rsidP="009A6982">
      <w:pPr>
        <w:tabs>
          <w:tab w:val="left" w:pos="2977"/>
        </w:tabs>
        <w:spacing w:after="240" w:line="240" w:lineRule="exact"/>
        <w:jc w:val="both"/>
        <w:outlineLvl w:val="0"/>
        <w:rPr>
          <w:rFonts w:ascii="Lato" w:eastAsiaTheme="minorHAnsi" w:hAnsi="Lato" w:cs="Arial"/>
          <w:bCs/>
          <w:spacing w:val="4"/>
          <w:sz w:val="22"/>
          <w:szCs w:val="22"/>
          <w:lang w:eastAsia="en-US"/>
        </w:rPr>
      </w:pPr>
      <w:r>
        <w:rPr>
          <w:rFonts w:ascii="Lato" w:eastAsiaTheme="minorHAnsi" w:hAnsi="Lato" w:cs="Arial"/>
          <w:bCs/>
          <w:spacing w:val="4"/>
          <w:sz w:val="22"/>
          <w:szCs w:val="22"/>
          <w:lang w:eastAsia="en-US"/>
        </w:rPr>
        <w:t>Należy zaznaczyć</w:t>
      </w:r>
      <w:r w:rsidR="009A6982" w:rsidRPr="00B61C37">
        <w:rPr>
          <w:rFonts w:ascii="Lato" w:eastAsiaTheme="minorHAnsi" w:hAnsi="Lato" w:cs="Arial"/>
          <w:bCs/>
          <w:spacing w:val="4"/>
          <w:sz w:val="22"/>
          <w:szCs w:val="22"/>
          <w:lang w:eastAsia="en-US"/>
        </w:rPr>
        <w:t xml:space="preserve">, iż decyzja Wojewody Podkarpackiego zatwierdziła podział działek </w:t>
      </w:r>
      <w:r w:rsidR="002658DD" w:rsidRPr="00B61C37">
        <w:rPr>
          <w:rFonts w:ascii="Lato" w:eastAsiaTheme="minorHAnsi" w:hAnsi="Lato" w:cs="Arial"/>
          <w:bCs/>
          <w:spacing w:val="4"/>
          <w:sz w:val="22"/>
          <w:szCs w:val="22"/>
          <w:lang w:eastAsia="en-US"/>
        </w:rPr>
        <w:br/>
      </w:r>
      <w:r w:rsidR="009A6982" w:rsidRPr="00B61C37">
        <w:rPr>
          <w:rFonts w:ascii="Lato" w:eastAsiaTheme="minorHAnsi" w:hAnsi="Lato" w:cs="Arial"/>
          <w:bCs/>
          <w:spacing w:val="4"/>
          <w:sz w:val="22"/>
          <w:szCs w:val="22"/>
          <w:lang w:eastAsia="en-US"/>
        </w:rPr>
        <w:t>nr 1506/11, 1507, 1520 z obrębu 0002 Bratkowice</w:t>
      </w:r>
      <w:r w:rsidR="0002284D" w:rsidRPr="00B61C37">
        <w:rPr>
          <w:rFonts w:ascii="Lato" w:eastAsiaTheme="minorHAnsi" w:hAnsi="Lato" w:cs="Arial"/>
          <w:bCs/>
          <w:spacing w:val="4"/>
          <w:sz w:val="22"/>
          <w:szCs w:val="22"/>
          <w:lang w:eastAsia="en-US"/>
        </w:rPr>
        <w:t>.</w:t>
      </w:r>
    </w:p>
    <w:p w14:paraId="53B30DFC" w14:textId="73CC0941" w:rsidR="00B410F0" w:rsidRPr="00B61C37" w:rsidRDefault="00376831" w:rsidP="00B410F0">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Wobec powyższego pismem z dnia 17 listopada 2023 r.</w:t>
      </w:r>
      <w:r w:rsidR="00B72BF8">
        <w:rPr>
          <w:rFonts w:ascii="Lato" w:eastAsiaTheme="minorHAnsi" w:hAnsi="Lato" w:cs="Arial"/>
          <w:bCs/>
          <w:spacing w:val="4"/>
          <w:sz w:val="22"/>
          <w:szCs w:val="22"/>
          <w:lang w:eastAsia="en-US"/>
        </w:rPr>
        <w:t xml:space="preserve"> </w:t>
      </w:r>
      <w:r w:rsidRPr="00B61C37">
        <w:rPr>
          <w:rFonts w:ascii="Lato" w:eastAsiaTheme="minorHAnsi" w:hAnsi="Lato" w:cs="Arial"/>
          <w:bCs/>
          <w:spacing w:val="4"/>
          <w:sz w:val="22"/>
          <w:szCs w:val="22"/>
          <w:lang w:eastAsia="en-US"/>
        </w:rPr>
        <w:t xml:space="preserve">organ odwoławczy </w:t>
      </w:r>
      <w:r w:rsidR="00B410F0" w:rsidRPr="00B61C37">
        <w:rPr>
          <w:rFonts w:ascii="Lato" w:eastAsiaTheme="minorHAnsi" w:hAnsi="Lato" w:cs="Arial"/>
          <w:bCs/>
          <w:spacing w:val="4"/>
          <w:sz w:val="22"/>
          <w:szCs w:val="22"/>
          <w:lang w:eastAsia="en-US"/>
        </w:rPr>
        <w:t xml:space="preserve">wezwał inwestora do wypowiedzenia się w przedmiocie dostępu do drogi publicznej projektowanych działek pozostających przy dotychczasowym właścicielu, tj. działki nr 1506/12 </w:t>
      </w:r>
      <w:r w:rsidR="00B72BF8">
        <w:rPr>
          <w:rFonts w:ascii="Lato" w:eastAsiaTheme="minorHAnsi" w:hAnsi="Lato" w:cs="Arial"/>
          <w:bCs/>
          <w:spacing w:val="4"/>
          <w:sz w:val="22"/>
          <w:szCs w:val="22"/>
          <w:lang w:eastAsia="en-US"/>
        </w:rPr>
        <w:t>(</w:t>
      </w:r>
      <w:r w:rsidR="00B410F0" w:rsidRPr="00B61C37">
        <w:rPr>
          <w:rFonts w:ascii="Lato" w:eastAsiaTheme="minorHAnsi" w:hAnsi="Lato" w:cs="Arial"/>
          <w:bCs/>
          <w:spacing w:val="4"/>
          <w:sz w:val="22"/>
          <w:szCs w:val="22"/>
          <w:lang w:eastAsia="en-US"/>
        </w:rPr>
        <w:t>powstałej z podziału działki nr 1506/11</w:t>
      </w:r>
      <w:r w:rsidR="00B72BF8">
        <w:rPr>
          <w:rFonts w:ascii="Lato" w:eastAsiaTheme="minorHAnsi" w:hAnsi="Lato" w:cs="Arial"/>
          <w:bCs/>
          <w:spacing w:val="4"/>
          <w:sz w:val="22"/>
          <w:szCs w:val="22"/>
          <w:lang w:eastAsia="en-US"/>
        </w:rPr>
        <w:t>)</w:t>
      </w:r>
      <w:r w:rsidR="00B410F0" w:rsidRPr="00B61C37">
        <w:rPr>
          <w:rFonts w:ascii="Lato" w:eastAsiaTheme="minorHAnsi" w:hAnsi="Lato" w:cs="Arial"/>
          <w:bCs/>
          <w:spacing w:val="4"/>
          <w:sz w:val="22"/>
          <w:szCs w:val="22"/>
          <w:lang w:eastAsia="en-US"/>
        </w:rPr>
        <w:t xml:space="preserve">, nr 1507/1 i 1507/3 </w:t>
      </w:r>
      <w:r w:rsidR="00B72BF8">
        <w:rPr>
          <w:rFonts w:ascii="Lato" w:eastAsiaTheme="minorHAnsi" w:hAnsi="Lato" w:cs="Arial"/>
          <w:bCs/>
          <w:spacing w:val="4"/>
          <w:sz w:val="22"/>
          <w:szCs w:val="22"/>
          <w:lang w:eastAsia="en-US"/>
        </w:rPr>
        <w:t>(</w:t>
      </w:r>
      <w:r w:rsidR="00B410F0" w:rsidRPr="00B61C37">
        <w:rPr>
          <w:rFonts w:ascii="Lato" w:eastAsiaTheme="minorHAnsi" w:hAnsi="Lato" w:cs="Arial"/>
          <w:bCs/>
          <w:spacing w:val="4"/>
          <w:sz w:val="22"/>
          <w:szCs w:val="22"/>
          <w:lang w:eastAsia="en-US"/>
        </w:rPr>
        <w:t>powstałych z podziału działki nr 1507</w:t>
      </w:r>
      <w:r w:rsidR="00B72BF8">
        <w:rPr>
          <w:rFonts w:ascii="Lato" w:eastAsiaTheme="minorHAnsi" w:hAnsi="Lato" w:cs="Arial"/>
          <w:bCs/>
          <w:spacing w:val="4"/>
          <w:sz w:val="22"/>
          <w:szCs w:val="22"/>
          <w:lang w:eastAsia="en-US"/>
        </w:rPr>
        <w:t>)</w:t>
      </w:r>
      <w:r w:rsidR="00B410F0" w:rsidRPr="00B61C37">
        <w:rPr>
          <w:rFonts w:ascii="Lato" w:eastAsiaTheme="minorHAnsi" w:hAnsi="Lato" w:cs="Arial"/>
          <w:bCs/>
          <w:spacing w:val="4"/>
          <w:sz w:val="22"/>
          <w:szCs w:val="22"/>
          <w:lang w:eastAsia="en-US"/>
        </w:rPr>
        <w:t>, nr 1520/1 i</w:t>
      </w:r>
      <w:r w:rsidR="002658DD" w:rsidRPr="00B61C37">
        <w:rPr>
          <w:rFonts w:ascii="Lato" w:eastAsiaTheme="minorHAnsi" w:hAnsi="Lato" w:cs="Arial"/>
          <w:bCs/>
          <w:spacing w:val="4"/>
          <w:sz w:val="22"/>
          <w:szCs w:val="22"/>
          <w:lang w:eastAsia="en-US"/>
        </w:rPr>
        <w:t xml:space="preserve"> </w:t>
      </w:r>
      <w:r w:rsidR="00B410F0" w:rsidRPr="00B61C37">
        <w:rPr>
          <w:rFonts w:ascii="Lato" w:eastAsiaTheme="minorHAnsi" w:hAnsi="Lato" w:cs="Arial"/>
          <w:bCs/>
          <w:spacing w:val="4"/>
          <w:sz w:val="22"/>
          <w:szCs w:val="22"/>
          <w:lang w:eastAsia="en-US"/>
        </w:rPr>
        <w:t xml:space="preserve">1520/3 </w:t>
      </w:r>
      <w:r w:rsidR="00B72BF8">
        <w:rPr>
          <w:rFonts w:ascii="Lato" w:eastAsiaTheme="minorHAnsi" w:hAnsi="Lato" w:cs="Arial"/>
          <w:bCs/>
          <w:spacing w:val="4"/>
          <w:sz w:val="22"/>
          <w:szCs w:val="22"/>
          <w:lang w:eastAsia="en-US"/>
        </w:rPr>
        <w:t>(</w:t>
      </w:r>
      <w:r w:rsidR="00B410F0" w:rsidRPr="00B61C37">
        <w:rPr>
          <w:rFonts w:ascii="Lato" w:eastAsiaTheme="minorHAnsi" w:hAnsi="Lato" w:cs="Arial"/>
          <w:bCs/>
          <w:spacing w:val="4"/>
          <w:sz w:val="22"/>
          <w:szCs w:val="22"/>
          <w:lang w:eastAsia="en-US"/>
        </w:rPr>
        <w:t>powstałych z podziału działki nr 1520</w:t>
      </w:r>
      <w:r w:rsidR="00B72BF8">
        <w:rPr>
          <w:rFonts w:ascii="Lato" w:eastAsiaTheme="minorHAnsi" w:hAnsi="Lato" w:cs="Arial"/>
          <w:bCs/>
          <w:spacing w:val="4"/>
          <w:sz w:val="22"/>
          <w:szCs w:val="22"/>
          <w:lang w:eastAsia="en-US"/>
        </w:rPr>
        <w:t>)</w:t>
      </w:r>
      <w:r w:rsidR="00B410F0" w:rsidRPr="00B61C37">
        <w:rPr>
          <w:rFonts w:ascii="Lato" w:eastAsiaTheme="minorHAnsi" w:hAnsi="Lato" w:cs="Arial"/>
          <w:bCs/>
          <w:spacing w:val="4"/>
          <w:sz w:val="22"/>
          <w:szCs w:val="22"/>
          <w:lang w:eastAsia="en-US"/>
        </w:rPr>
        <w:t xml:space="preserve">, </w:t>
      </w:r>
      <w:r w:rsidR="00B72BF8">
        <w:rPr>
          <w:rFonts w:ascii="Lato" w:eastAsiaTheme="minorHAnsi" w:hAnsi="Lato" w:cs="Arial"/>
          <w:bCs/>
          <w:spacing w:val="4"/>
          <w:sz w:val="22"/>
          <w:szCs w:val="22"/>
          <w:lang w:eastAsia="en-US"/>
        </w:rPr>
        <w:t xml:space="preserve">wszystkie znajdujące się w </w:t>
      </w:r>
      <w:r w:rsidR="00B410F0" w:rsidRPr="00B61C37">
        <w:rPr>
          <w:rFonts w:ascii="Lato" w:eastAsiaTheme="minorHAnsi" w:hAnsi="Lato" w:cs="Arial"/>
          <w:bCs/>
          <w:spacing w:val="4"/>
          <w:sz w:val="22"/>
          <w:szCs w:val="22"/>
          <w:lang w:eastAsia="en-US"/>
        </w:rPr>
        <w:t>obręb</w:t>
      </w:r>
      <w:r w:rsidR="00B72BF8">
        <w:rPr>
          <w:rFonts w:ascii="Lato" w:eastAsiaTheme="minorHAnsi" w:hAnsi="Lato" w:cs="Arial"/>
          <w:bCs/>
          <w:spacing w:val="4"/>
          <w:sz w:val="22"/>
          <w:szCs w:val="22"/>
          <w:lang w:eastAsia="en-US"/>
        </w:rPr>
        <w:t>ie</w:t>
      </w:r>
      <w:r w:rsidR="00B410F0" w:rsidRPr="00B61C37">
        <w:rPr>
          <w:rFonts w:ascii="Lato" w:eastAsiaTheme="minorHAnsi" w:hAnsi="Lato" w:cs="Arial"/>
          <w:bCs/>
          <w:spacing w:val="4"/>
          <w:sz w:val="22"/>
          <w:szCs w:val="22"/>
          <w:lang w:eastAsia="en-US"/>
        </w:rPr>
        <w:t xml:space="preserve"> 0002 Bratkowice poprzez wyjaśnienie, czy i w jaki sposób ww. działki powstałe w wyniku zatwierdzenia podziału, na mocy ostatecznej decyzji o ustaleniu lokalizacji inwestycji w zakresie terminalu, będą miały zapewniony prawny dostęp do drogi publicznej, w przypadku zaś stwierdzenia braku takiego dostępu, wskazanie sposobu zapewnienia dostępu do drogi publicznej dla ww. działek, z uwzględnieniem wymogów określonych w art. 93 ust. 3 ustawy o gospodarce nieruchomościami</w:t>
      </w:r>
      <w:r w:rsidR="009B7D19" w:rsidRPr="00B61C37">
        <w:rPr>
          <w:rFonts w:ascii="Lato" w:eastAsiaTheme="minorHAnsi" w:hAnsi="Lato" w:cs="Arial"/>
          <w:bCs/>
          <w:spacing w:val="4"/>
          <w:sz w:val="22"/>
          <w:szCs w:val="22"/>
          <w:lang w:eastAsia="en-US"/>
        </w:rPr>
        <w:t>.</w:t>
      </w:r>
    </w:p>
    <w:p w14:paraId="69E48D4C" w14:textId="25387683" w:rsidR="00611286" w:rsidRDefault="009B7D19" w:rsidP="00611286">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W odpowiedzi na powyższe wezwanie inwestor w piśmie z dnia 26 stycznia 2024 r. poinformował, że zagwarantuje dostęp do drogi publicznej na podstawie umów ustanowienia służebności przejazdu i przechodu dla każdoczesnych właścicieli nieruchomości, które utracą dostęp do drogi publicznej w związku z realizowaną inwestycją</w:t>
      </w:r>
      <w:r w:rsidR="00B16954" w:rsidRPr="00B61C37">
        <w:rPr>
          <w:rFonts w:ascii="Lato" w:eastAsiaTheme="minorHAnsi" w:hAnsi="Lato" w:cs="Arial"/>
          <w:bCs/>
          <w:spacing w:val="4"/>
          <w:sz w:val="22"/>
          <w:szCs w:val="22"/>
          <w:lang w:eastAsia="en-US"/>
        </w:rPr>
        <w:t xml:space="preserve">, przy czym ww. umowy mogłyby zostać podpisane dopiero po uzyskaniu przez decyzję lokalizacyjną klauzuli ostateczności. Dodatkowo wyjaśniono, że dojazd pośredni do drogi publicznej odbywałby się przez działki nr 1520/2 (powstałą z podziału działki nr 1520), 1507/2 (powstałą z podziału działki nr 1507) oraz 1506/13 (powstałą </w:t>
      </w:r>
      <w:r w:rsidR="002658DD" w:rsidRPr="00B61C37">
        <w:rPr>
          <w:rFonts w:ascii="Lato" w:eastAsiaTheme="minorHAnsi" w:hAnsi="Lato" w:cs="Arial"/>
          <w:bCs/>
          <w:spacing w:val="4"/>
          <w:sz w:val="22"/>
          <w:szCs w:val="22"/>
          <w:lang w:eastAsia="en-US"/>
        </w:rPr>
        <w:br/>
      </w:r>
      <w:r w:rsidR="00B16954" w:rsidRPr="00B61C37">
        <w:rPr>
          <w:rFonts w:ascii="Lato" w:eastAsiaTheme="minorHAnsi" w:hAnsi="Lato" w:cs="Arial"/>
          <w:bCs/>
          <w:spacing w:val="4"/>
          <w:sz w:val="22"/>
          <w:szCs w:val="22"/>
          <w:lang w:eastAsia="en-US"/>
        </w:rPr>
        <w:t xml:space="preserve">z podziału działki nr 1506/11). </w:t>
      </w:r>
      <w:r w:rsidRPr="00B61C37">
        <w:rPr>
          <w:rFonts w:ascii="Lato" w:eastAsiaTheme="minorHAnsi" w:hAnsi="Lato" w:cs="Arial"/>
          <w:bCs/>
          <w:spacing w:val="4"/>
          <w:sz w:val="22"/>
          <w:szCs w:val="22"/>
          <w:lang w:eastAsia="en-US"/>
        </w:rPr>
        <w:t>Tym samym</w:t>
      </w:r>
      <w:r w:rsidR="00611286" w:rsidRPr="00B61C37">
        <w:rPr>
          <w:rFonts w:ascii="Lato" w:eastAsiaTheme="minorHAnsi" w:hAnsi="Lato" w:cs="Arial"/>
          <w:bCs/>
          <w:spacing w:val="4"/>
          <w:sz w:val="22"/>
          <w:szCs w:val="22"/>
          <w:lang w:eastAsia="en-US"/>
        </w:rPr>
        <w:t xml:space="preserve"> – w ocenie inwest</w:t>
      </w:r>
      <w:r w:rsidR="00B16954" w:rsidRPr="00B61C37">
        <w:rPr>
          <w:rFonts w:ascii="Lato" w:eastAsiaTheme="minorHAnsi" w:hAnsi="Lato" w:cs="Arial"/>
          <w:bCs/>
          <w:spacing w:val="4"/>
          <w:sz w:val="22"/>
          <w:szCs w:val="22"/>
          <w:lang w:eastAsia="en-US"/>
        </w:rPr>
        <w:t xml:space="preserve">ora – </w:t>
      </w:r>
      <w:r w:rsidRPr="00B61C37">
        <w:rPr>
          <w:rFonts w:ascii="Lato" w:eastAsiaTheme="minorHAnsi" w:hAnsi="Lato" w:cs="Arial"/>
          <w:bCs/>
          <w:spacing w:val="4"/>
          <w:sz w:val="22"/>
          <w:szCs w:val="22"/>
          <w:lang w:eastAsia="en-US"/>
        </w:rPr>
        <w:t>należ</w:t>
      </w:r>
      <w:r w:rsidR="00B16954" w:rsidRPr="00B61C37">
        <w:rPr>
          <w:rFonts w:ascii="Lato" w:eastAsiaTheme="minorHAnsi" w:hAnsi="Lato" w:cs="Arial"/>
          <w:bCs/>
          <w:spacing w:val="4"/>
          <w:sz w:val="22"/>
          <w:szCs w:val="22"/>
          <w:lang w:eastAsia="en-US"/>
        </w:rPr>
        <w:t>ało</w:t>
      </w:r>
      <w:r w:rsidRPr="00B61C37">
        <w:rPr>
          <w:rFonts w:ascii="Lato" w:eastAsiaTheme="minorHAnsi" w:hAnsi="Lato" w:cs="Arial"/>
          <w:bCs/>
          <w:spacing w:val="4"/>
          <w:sz w:val="22"/>
          <w:szCs w:val="22"/>
          <w:lang w:eastAsia="en-US"/>
        </w:rPr>
        <w:t xml:space="preserve"> uznać,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że działk</w:t>
      </w:r>
      <w:r w:rsidR="00611286" w:rsidRPr="00B61C37">
        <w:rPr>
          <w:rFonts w:ascii="Lato" w:eastAsiaTheme="minorHAnsi" w:hAnsi="Lato" w:cs="Arial"/>
          <w:bCs/>
          <w:spacing w:val="4"/>
          <w:sz w:val="22"/>
          <w:szCs w:val="22"/>
          <w:lang w:eastAsia="en-US"/>
        </w:rPr>
        <w:t>om nr 1506/12</w:t>
      </w:r>
      <w:r w:rsidR="00B72BF8">
        <w:rPr>
          <w:rFonts w:ascii="Lato" w:eastAsiaTheme="minorHAnsi" w:hAnsi="Lato" w:cs="Arial"/>
          <w:bCs/>
          <w:spacing w:val="4"/>
          <w:sz w:val="22"/>
          <w:szCs w:val="22"/>
          <w:lang w:eastAsia="en-US"/>
        </w:rPr>
        <w:t xml:space="preserve">, </w:t>
      </w:r>
      <w:r w:rsidR="00611286" w:rsidRPr="00B61C37">
        <w:rPr>
          <w:rFonts w:ascii="Lato" w:eastAsiaTheme="minorHAnsi" w:hAnsi="Lato" w:cs="Arial"/>
          <w:bCs/>
          <w:spacing w:val="4"/>
          <w:sz w:val="22"/>
          <w:szCs w:val="22"/>
          <w:lang w:eastAsia="en-US"/>
        </w:rPr>
        <w:t>nr 1507/1 i 1507</w:t>
      </w:r>
      <w:r w:rsidR="00611286" w:rsidRPr="007F5D60">
        <w:rPr>
          <w:rFonts w:ascii="Lato" w:eastAsiaTheme="minorHAnsi" w:hAnsi="Lato" w:cs="Arial"/>
          <w:bCs/>
          <w:spacing w:val="4"/>
          <w:sz w:val="22"/>
          <w:szCs w:val="22"/>
          <w:lang w:eastAsia="en-US"/>
        </w:rPr>
        <w:t>/3</w:t>
      </w:r>
      <w:r w:rsidR="00B72BF8" w:rsidRPr="007F5D60">
        <w:rPr>
          <w:rFonts w:ascii="Lato" w:eastAsiaTheme="minorHAnsi" w:hAnsi="Lato" w:cs="Arial"/>
          <w:bCs/>
          <w:spacing w:val="4"/>
          <w:sz w:val="22"/>
          <w:szCs w:val="22"/>
          <w:lang w:eastAsia="en-US"/>
        </w:rPr>
        <w:t xml:space="preserve">, </w:t>
      </w:r>
      <w:r w:rsidR="00611286" w:rsidRPr="007F5D60">
        <w:rPr>
          <w:rFonts w:ascii="Lato" w:eastAsiaTheme="minorHAnsi" w:hAnsi="Lato" w:cs="Arial"/>
          <w:bCs/>
          <w:spacing w:val="4"/>
          <w:sz w:val="22"/>
          <w:szCs w:val="22"/>
          <w:lang w:eastAsia="en-US"/>
        </w:rPr>
        <w:t xml:space="preserve">nr 1520/1 i 1520/3 zostanie </w:t>
      </w:r>
      <w:r w:rsidR="00B16954" w:rsidRPr="007F5D60">
        <w:rPr>
          <w:rFonts w:ascii="Lato" w:eastAsiaTheme="minorHAnsi" w:hAnsi="Lato" w:cs="Arial"/>
          <w:bCs/>
          <w:spacing w:val="4"/>
          <w:sz w:val="22"/>
          <w:szCs w:val="22"/>
          <w:lang w:eastAsia="en-US"/>
        </w:rPr>
        <w:t>zapewniony dostęp do drogi publicznej</w:t>
      </w:r>
      <w:r w:rsidR="007F5D60" w:rsidRPr="007F5D60">
        <w:rPr>
          <w:rFonts w:ascii="Lato" w:eastAsiaTheme="minorHAnsi" w:hAnsi="Lato" w:cs="Arial"/>
          <w:bCs/>
          <w:spacing w:val="4"/>
          <w:sz w:val="22"/>
          <w:szCs w:val="22"/>
          <w:lang w:eastAsia="en-US"/>
        </w:rPr>
        <w:t xml:space="preserve"> - pośredni przez inne działki</w:t>
      </w:r>
      <w:r w:rsidR="007F5D60" w:rsidRPr="007F5D60">
        <w:rPr>
          <w:rFonts w:ascii="Lato" w:hAnsi="Lato"/>
          <w:sz w:val="22"/>
          <w:szCs w:val="22"/>
        </w:rPr>
        <w:t xml:space="preserve"> tj. działki nr: </w:t>
      </w:r>
      <w:r w:rsidR="007F5D60" w:rsidRPr="007F5D60">
        <w:rPr>
          <w:rFonts w:ascii="Lato" w:eastAsiaTheme="minorHAnsi" w:hAnsi="Lato" w:cs="Arial"/>
          <w:bCs/>
          <w:spacing w:val="4"/>
          <w:sz w:val="22"/>
          <w:szCs w:val="22"/>
          <w:lang w:eastAsia="en-US"/>
        </w:rPr>
        <w:t>1506/13, 1507/2 i 1520/2</w:t>
      </w:r>
      <w:r w:rsidR="007F5D60">
        <w:rPr>
          <w:rFonts w:ascii="Lato" w:eastAsiaTheme="minorHAnsi" w:hAnsi="Lato" w:cs="Arial"/>
          <w:bCs/>
          <w:spacing w:val="4"/>
          <w:sz w:val="22"/>
          <w:szCs w:val="22"/>
          <w:lang w:eastAsia="en-US"/>
        </w:rPr>
        <w:t>.</w:t>
      </w:r>
    </w:p>
    <w:p w14:paraId="2D62B6BA" w14:textId="1098C8A6" w:rsidR="001B75A9" w:rsidRPr="001B75A9" w:rsidRDefault="001B75A9" w:rsidP="001B75A9">
      <w:pPr>
        <w:tabs>
          <w:tab w:val="left" w:pos="2977"/>
        </w:tabs>
        <w:spacing w:after="240" w:line="240" w:lineRule="exact"/>
        <w:jc w:val="both"/>
        <w:outlineLvl w:val="0"/>
        <w:rPr>
          <w:rFonts w:ascii="Lato" w:eastAsiaTheme="minorHAnsi" w:hAnsi="Lato" w:cs="Arial"/>
          <w:bCs/>
          <w:spacing w:val="4"/>
          <w:sz w:val="22"/>
          <w:szCs w:val="22"/>
          <w:lang w:eastAsia="en-US"/>
        </w:rPr>
      </w:pPr>
      <w:r>
        <w:rPr>
          <w:rFonts w:ascii="Lato" w:eastAsiaTheme="minorHAnsi" w:hAnsi="Lato" w:cs="Arial"/>
          <w:bCs/>
          <w:spacing w:val="4"/>
          <w:sz w:val="22"/>
          <w:szCs w:val="22"/>
          <w:lang w:eastAsia="en-US"/>
        </w:rPr>
        <w:t>Jednakże wyjaśnienia wymaga, iż s</w:t>
      </w:r>
      <w:r w:rsidRPr="001B75A9">
        <w:rPr>
          <w:rFonts w:ascii="Lato" w:eastAsiaTheme="minorHAnsi" w:hAnsi="Lato" w:cs="Arial"/>
          <w:bCs/>
          <w:spacing w:val="4"/>
          <w:sz w:val="22"/>
          <w:szCs w:val="22"/>
          <w:lang w:eastAsia="en-US"/>
        </w:rPr>
        <w:t>tosownie do treści art. 20 ust. 6 specustawy gazowej, z zastrzeżeniem ust. 7, inwestor nabywa z mocy prawa, z dniem, w którym decyzja o ustaleniu lokalizacji inwestycji w zakresie terminalu stała się ostateczna, prawo użytkowania wieczystego nieruchomości gruntowych określonych w ust. 3 oraz prawo własności budynków, innych urządzeń trwale z gruntem związanych i lokali znajdujących się na tych nieruchomościach.</w:t>
      </w:r>
      <w:r>
        <w:rPr>
          <w:rFonts w:ascii="Lato" w:eastAsiaTheme="minorHAnsi" w:hAnsi="Lato" w:cs="Arial"/>
          <w:bCs/>
          <w:spacing w:val="4"/>
          <w:sz w:val="22"/>
          <w:szCs w:val="22"/>
          <w:lang w:eastAsia="en-US"/>
        </w:rPr>
        <w:t xml:space="preserve"> </w:t>
      </w:r>
      <w:r w:rsidRPr="001B75A9">
        <w:rPr>
          <w:rFonts w:ascii="Lato" w:eastAsiaTheme="minorHAnsi" w:hAnsi="Lato" w:cs="Arial"/>
          <w:bCs/>
          <w:spacing w:val="4"/>
          <w:sz w:val="22"/>
          <w:szCs w:val="22"/>
          <w:lang w:eastAsia="en-US"/>
        </w:rPr>
        <w:t xml:space="preserve">W związku z powyższym, z dniem uzyskania przez decyzję o ustaleniu lokalizacji przedmiotowego przedsięwzięcia przymiotu ostateczności, inwestor nabędzie prawo użytkowania wieczystego działek nr 1520/2 (powstałej z </w:t>
      </w:r>
      <w:r w:rsidRPr="001B75A9">
        <w:rPr>
          <w:rFonts w:ascii="Lato" w:eastAsiaTheme="minorHAnsi" w:hAnsi="Lato" w:cs="Arial"/>
          <w:bCs/>
          <w:spacing w:val="4"/>
          <w:sz w:val="22"/>
          <w:szCs w:val="22"/>
          <w:lang w:eastAsia="en-US"/>
        </w:rPr>
        <w:lastRenderedPageBreak/>
        <w:t>podziału działki nr 1520), 1507/2 (powstałej z podziału działki nr 1507) oraz 1506/13 (powstałej z podziału działki nr 1506/11).</w:t>
      </w:r>
    </w:p>
    <w:p w14:paraId="4F14D8A6" w14:textId="24C36C64" w:rsidR="001B75A9" w:rsidRDefault="001B75A9" w:rsidP="001B75A9">
      <w:pPr>
        <w:tabs>
          <w:tab w:val="left" w:pos="2977"/>
        </w:tabs>
        <w:spacing w:after="240" w:line="240" w:lineRule="exact"/>
        <w:jc w:val="both"/>
        <w:outlineLvl w:val="0"/>
        <w:rPr>
          <w:rFonts w:ascii="Lato" w:eastAsiaTheme="minorHAnsi" w:hAnsi="Lato" w:cs="Arial"/>
          <w:bCs/>
          <w:spacing w:val="4"/>
          <w:sz w:val="22"/>
          <w:szCs w:val="22"/>
          <w:lang w:eastAsia="en-US"/>
        </w:rPr>
      </w:pPr>
      <w:r w:rsidRPr="001B75A9">
        <w:rPr>
          <w:rFonts w:ascii="Lato" w:eastAsiaTheme="minorHAnsi" w:hAnsi="Lato" w:cs="Arial"/>
          <w:bCs/>
          <w:spacing w:val="4"/>
          <w:sz w:val="22"/>
          <w:szCs w:val="22"/>
          <w:lang w:eastAsia="en-US"/>
        </w:rPr>
        <w:t>Jednocześnie, zgodnie z art. 93 ust. 3 ustawy o gospodarce nieruchomościami, niedopuszczalny jest podział nieruchomości w przypadku, gdy projektowane do wydzielenia działki gruntu nie mają dostępu do drogi publicznej.</w:t>
      </w:r>
      <w:r w:rsidR="003439A4">
        <w:rPr>
          <w:rFonts w:ascii="Lato" w:eastAsiaTheme="minorHAnsi" w:hAnsi="Lato" w:cs="Arial"/>
          <w:bCs/>
          <w:spacing w:val="4"/>
          <w:sz w:val="22"/>
          <w:szCs w:val="22"/>
          <w:lang w:eastAsia="en-US"/>
        </w:rPr>
        <w:t xml:space="preserve"> </w:t>
      </w:r>
      <w:r w:rsidRPr="001B75A9">
        <w:rPr>
          <w:rFonts w:ascii="Lato" w:eastAsiaTheme="minorHAnsi" w:hAnsi="Lato" w:cs="Arial"/>
          <w:bCs/>
          <w:spacing w:val="4"/>
          <w:sz w:val="22"/>
          <w:szCs w:val="22"/>
          <w:lang w:eastAsia="en-US"/>
        </w:rPr>
        <w:t>Mając zatem na względzie, że w wyniku wydania przez organ II instancji decyzji kończącej postępowanie odwoławcze dojdzie do zmiany stanu prawnego wydzielonych działek gruntu, polegającej na utracie przez dotychczasowych właścicieli prawa własności ww. nieruchomości, konieczne jest zapewnienie nieruchomościom, które w wyniku dokonanego podziału utracą bezpośredni dostęp do drogi publicznej, odpowiedniego dostępu o charakterze prawnym.</w:t>
      </w:r>
    </w:p>
    <w:p w14:paraId="4912477D" w14:textId="0AEA04FB" w:rsidR="003439A4" w:rsidRPr="001B75A9" w:rsidRDefault="003439A4" w:rsidP="001B75A9">
      <w:pPr>
        <w:tabs>
          <w:tab w:val="left" w:pos="2977"/>
        </w:tabs>
        <w:spacing w:after="240" w:line="240" w:lineRule="exact"/>
        <w:jc w:val="both"/>
        <w:outlineLvl w:val="0"/>
        <w:rPr>
          <w:rFonts w:ascii="Lato" w:eastAsiaTheme="minorHAnsi" w:hAnsi="Lato" w:cs="Arial"/>
          <w:bCs/>
          <w:spacing w:val="4"/>
          <w:sz w:val="22"/>
          <w:szCs w:val="22"/>
          <w:lang w:eastAsia="en-US"/>
        </w:rPr>
      </w:pPr>
      <w:r w:rsidRPr="003439A4">
        <w:rPr>
          <w:rFonts w:ascii="Lato" w:eastAsiaTheme="minorHAnsi" w:hAnsi="Lato" w:cs="Arial"/>
          <w:bCs/>
          <w:spacing w:val="4"/>
          <w:sz w:val="22"/>
          <w:szCs w:val="22"/>
          <w:lang w:eastAsia="en-US"/>
        </w:rPr>
        <w:t>Mając na uwadze powyższe, a w szczególności fakt, że działki, przez które zgodnie ze stanowiskiem inwestora miałby odbywać się dojazd do drogi publicznej, z dniem uzyskania przez decyzję lokalizacyjną przymiotu ostateczności zostaną objęte prawem użytkowania wieczystego inwestora, organ II instancji pismem z dnia 14 lutego 2024 r. wezwał inwestora do dostarczenia 4 egzemplarzy mapy do celów prawnych, przedstawiającej przebieg służebności gruntowej przejazdu i przechodu przez działki nr 1520/2 (powstałą z podziału działki nr 1520), 1507/2 (powstałą z podziału działki nr 1507) oraz 1506/13 (powstałą z podziału działki nr 1506), na rzecz działek nr 1506/12 (powstałej z podziału działki nr 1506/11), nr 1507/1 i 1507/3 (powstałych z podziału działki nr 1507), nr 1520/1 i 1520/3 (powstałych z podziału działki nr 1520), obręb 0002 Bratkowice, w celu ustanowienia ww. służebności w decyzji o ustaleniu lokalizacji przedmiotowej inwestycji w zakresie terminalu.</w:t>
      </w:r>
    </w:p>
    <w:p w14:paraId="7B9D2E9D" w14:textId="524A97F8" w:rsidR="009A6982" w:rsidRPr="00B61C37" w:rsidRDefault="009A6982" w:rsidP="009A6982">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Jednocześnie wskazać należy, iż zgodnie z § 24 ust. 1 pkt 1 lit. h rozporządzenia Ministra Rozwoju z dnia 18 sierpnia 2020 r. w sprawie standardów technicznych wykonywania geodezyjnych pomiarów sytuacyjnych i wysokościowych oraz opracowywania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i przekazywania wyników tych pomiarów do państwowego zasobu geodezyjnego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i kartograficznego (t.j. Dz. U. z 2022 r. poz. 1670), na potrzeby podziałów nieruchomości, typowych postępowań sądowych i administracyjnych sporządza się mapy do celów prawnych, w szczególności mapę do ustalenia służebności gruntowych.</w:t>
      </w:r>
    </w:p>
    <w:p w14:paraId="50CBB43B" w14:textId="41F5B02F" w:rsidR="00952A1C" w:rsidRPr="00B61C37" w:rsidRDefault="00952A1C" w:rsidP="002B544F">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Przy piśmie z dnia 27 maja 2024 r. inwestor przedłożył mapę do celów prawnych przedstawiając</w:t>
      </w:r>
      <w:r w:rsidR="00B642A4" w:rsidRPr="00B61C37">
        <w:rPr>
          <w:rFonts w:ascii="Lato" w:eastAsiaTheme="minorHAnsi" w:hAnsi="Lato" w:cs="Arial"/>
          <w:bCs/>
          <w:spacing w:val="4"/>
          <w:sz w:val="22"/>
          <w:szCs w:val="22"/>
          <w:lang w:eastAsia="en-US"/>
        </w:rPr>
        <w:t>ą</w:t>
      </w:r>
      <w:r w:rsidRPr="00B61C37">
        <w:rPr>
          <w:rFonts w:ascii="Lato" w:eastAsiaTheme="minorHAnsi" w:hAnsi="Lato" w:cs="Arial"/>
          <w:bCs/>
          <w:spacing w:val="4"/>
          <w:sz w:val="22"/>
          <w:szCs w:val="22"/>
          <w:lang w:eastAsia="en-US"/>
        </w:rPr>
        <w:t xml:space="preserve"> przebieg służebności</w:t>
      </w:r>
      <w:r w:rsidR="00B642A4" w:rsidRPr="00B61C37">
        <w:rPr>
          <w:rFonts w:ascii="Lato" w:eastAsiaTheme="minorHAnsi" w:hAnsi="Lato" w:cs="Arial"/>
          <w:bCs/>
          <w:spacing w:val="4"/>
          <w:sz w:val="22"/>
          <w:szCs w:val="22"/>
          <w:lang w:eastAsia="en-US"/>
        </w:rPr>
        <w:t xml:space="preserve"> przejazdu i przechodu na rzecz działek nr </w:t>
      </w:r>
      <w:r w:rsidR="00B642A4" w:rsidRPr="00B61C37">
        <w:rPr>
          <w:rFonts w:ascii="Lato" w:eastAsia="Calibri" w:hAnsi="Lato" w:cs="Arial"/>
          <w:spacing w:val="4"/>
          <w:sz w:val="22"/>
          <w:szCs w:val="22"/>
        </w:rPr>
        <w:t xml:space="preserve">1506/12 (powstałej z podziału działki nr 1506/11), nr 1507/1 (powstałej z podziału działki </w:t>
      </w:r>
      <w:r w:rsidR="002658DD" w:rsidRPr="00B61C37">
        <w:rPr>
          <w:rFonts w:ascii="Lato" w:eastAsia="Calibri" w:hAnsi="Lato" w:cs="Arial"/>
          <w:spacing w:val="4"/>
          <w:sz w:val="22"/>
          <w:szCs w:val="22"/>
        </w:rPr>
        <w:br/>
      </w:r>
      <w:r w:rsidR="00B642A4" w:rsidRPr="00B61C37">
        <w:rPr>
          <w:rFonts w:ascii="Lato" w:eastAsia="Calibri" w:hAnsi="Lato" w:cs="Arial"/>
          <w:spacing w:val="4"/>
          <w:sz w:val="22"/>
          <w:szCs w:val="22"/>
        </w:rPr>
        <w:t xml:space="preserve">nr 1507), nr 1507/3 (powstałej z podziału działki nr 1507), nr 1520/1 (powstałej </w:t>
      </w:r>
      <w:r w:rsidR="002658DD" w:rsidRPr="00B61C37">
        <w:rPr>
          <w:rFonts w:ascii="Lato" w:eastAsia="Calibri" w:hAnsi="Lato" w:cs="Arial"/>
          <w:spacing w:val="4"/>
          <w:sz w:val="22"/>
          <w:szCs w:val="22"/>
        </w:rPr>
        <w:br/>
      </w:r>
      <w:r w:rsidR="00B642A4" w:rsidRPr="00B61C37">
        <w:rPr>
          <w:rFonts w:ascii="Lato" w:eastAsia="Calibri" w:hAnsi="Lato" w:cs="Arial"/>
          <w:spacing w:val="4"/>
          <w:sz w:val="22"/>
          <w:szCs w:val="22"/>
        </w:rPr>
        <w:t>z podziału działki nr 1520), 1520/3 (powstałej z podziału działki nr 1520), z obrębu 0002 Bratkowice</w:t>
      </w:r>
      <w:r w:rsidR="00BE7583" w:rsidRPr="00B61C37">
        <w:rPr>
          <w:rFonts w:ascii="Lato" w:eastAsia="Calibri" w:hAnsi="Lato" w:cs="Arial"/>
          <w:spacing w:val="4"/>
          <w:sz w:val="22"/>
          <w:szCs w:val="22"/>
        </w:rPr>
        <w:t xml:space="preserve">, wnosząc tym samym o ustanowienie ww. służebności w decyzji o ustaleniu lokalizacji inwestycji towarzyszącej inwestycjom w zakresie terminalu. </w:t>
      </w:r>
    </w:p>
    <w:p w14:paraId="74F6497D" w14:textId="34FC3D86" w:rsidR="002B544F" w:rsidRPr="00B61C37" w:rsidRDefault="002B544F" w:rsidP="002B544F">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Mając na uwadze powyższe, działając na podstawie art. 138 § 1 pkt 2 kpa, Minister orzekł </w:t>
      </w:r>
      <w:r w:rsidRPr="00B61C37">
        <w:rPr>
          <w:rFonts w:ascii="Lato" w:eastAsiaTheme="minorHAnsi" w:hAnsi="Lato" w:cs="Arial"/>
          <w:bCs/>
          <w:spacing w:val="4"/>
          <w:sz w:val="22"/>
          <w:szCs w:val="22"/>
          <w:lang w:eastAsia="en-US"/>
        </w:rPr>
        <w:br/>
        <w:t xml:space="preserve">o ustanowieniu służebności przejazdu i przechodu na rzecz wskazanych w rozstrzygnięciu niniejszej decyzji działek, poprzez określenie konkretnych </w:t>
      </w:r>
      <w:proofErr w:type="gramStart"/>
      <w:r w:rsidRPr="00B61C37">
        <w:rPr>
          <w:rFonts w:ascii="Lato" w:eastAsiaTheme="minorHAnsi" w:hAnsi="Lato" w:cs="Arial"/>
          <w:bCs/>
          <w:spacing w:val="4"/>
          <w:sz w:val="22"/>
          <w:szCs w:val="22"/>
          <w:lang w:eastAsia="en-US"/>
        </w:rPr>
        <w:t>działek</w:t>
      </w:r>
      <w:proofErr w:type="gramEnd"/>
      <w:r w:rsidRPr="00B61C37">
        <w:rPr>
          <w:rFonts w:ascii="Lato" w:eastAsiaTheme="minorHAnsi" w:hAnsi="Lato" w:cs="Arial"/>
          <w:bCs/>
          <w:spacing w:val="4"/>
          <w:sz w:val="22"/>
          <w:szCs w:val="22"/>
          <w:lang w:eastAsia="en-US"/>
        </w:rPr>
        <w:t xml:space="preserve"> przez które ustanawia się rzeczoną służebność. Uwzględniono przy tym, iż koszty związane z ustanowieniem służebności powinien ponieść inwestor. Powyższe wynika </w:t>
      </w:r>
      <w:r w:rsidRPr="00B61C37">
        <w:rPr>
          <w:rFonts w:ascii="Lato" w:eastAsiaTheme="minorHAnsi" w:hAnsi="Lato" w:cs="Arial"/>
          <w:bCs/>
          <w:spacing w:val="4"/>
          <w:sz w:val="22"/>
          <w:szCs w:val="22"/>
          <w:lang w:eastAsia="en-US"/>
        </w:rPr>
        <w:br/>
        <w:t xml:space="preserve">z faktu, iż to w wyniku działań inwestora związanych z wytyczeniem lokalizacji inwestycji dochodzi do ingerencji w konstytucyjnie chronione prawo własności poprzez przejęcie części gruntu pod inwestycję celu publicznego, co powoduje w niektórych przypadkach, iż nieruchomość traci dostęp do drogi publicznej. Skutkuje to koniecznością zapewnienia takiej działce dostępu do drogi publicznej w decyzji o ustaleniu lokalizacji </w:t>
      </w:r>
      <w:r w:rsidR="0090376C" w:rsidRPr="00B61C37">
        <w:rPr>
          <w:rFonts w:ascii="Lato" w:eastAsiaTheme="minorHAnsi" w:hAnsi="Lato" w:cs="Arial"/>
          <w:bCs/>
          <w:spacing w:val="4"/>
          <w:sz w:val="22"/>
          <w:szCs w:val="22"/>
          <w:lang w:eastAsia="en-US"/>
        </w:rPr>
        <w:t>inwestycji towarzyszącej inwestycjom w zakresie terminalu</w:t>
      </w:r>
      <w:r w:rsidRPr="00B61C37">
        <w:rPr>
          <w:rFonts w:ascii="Lato" w:eastAsiaTheme="minorHAnsi" w:hAnsi="Lato" w:cs="Arial"/>
          <w:bCs/>
          <w:spacing w:val="4"/>
          <w:sz w:val="22"/>
          <w:szCs w:val="22"/>
          <w:lang w:eastAsia="en-US"/>
        </w:rPr>
        <w:t xml:space="preserve">. A zatem koszty ustanowienia służebności drogi koniecznej nie mogą obciążać właściciela działki, dla której taka </w:t>
      </w:r>
      <w:r w:rsidRPr="00B61C37">
        <w:rPr>
          <w:rFonts w:ascii="Lato" w:eastAsiaTheme="minorHAnsi" w:hAnsi="Lato" w:cs="Arial"/>
          <w:bCs/>
          <w:spacing w:val="4"/>
          <w:sz w:val="22"/>
          <w:szCs w:val="22"/>
          <w:lang w:eastAsia="en-US"/>
        </w:rPr>
        <w:lastRenderedPageBreak/>
        <w:t>służebność jest ustanawiana, bowiem to nie w wyniku jego działań nieruchomość utraciła dostęp do drogi publicznej.</w:t>
      </w:r>
    </w:p>
    <w:p w14:paraId="34022AC0" w14:textId="77777777" w:rsidR="009924AD" w:rsidRPr="00B61C37" w:rsidRDefault="002B544F" w:rsidP="00964B7A">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Organ odwoławczy dokonując rozstrzygnięcia, o którym mowa w pkt I przedmiotowej decyzji, uznał, że nie narusza ono zasady dwuinstancyjności postępowania, o której mowa w art. 15 kpa. </w:t>
      </w:r>
    </w:p>
    <w:p w14:paraId="35C784F8" w14:textId="6D9072F1" w:rsidR="00964B7A" w:rsidRPr="00B61C37" w:rsidRDefault="00964B7A" w:rsidP="003259BA">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bidi="pl-PL"/>
        </w:rPr>
        <w:t xml:space="preserve">Badając prawidłowość pozostałej części zaskarżonej decyzji, organ odwoławczy stwierdził brak podstaw do jej zakwestionowania i dlatego – w pkt II niniejszej decyzji – w pozostałej części decyzja Wojewody </w:t>
      </w:r>
      <w:r w:rsidR="009924AD" w:rsidRPr="00B61C37">
        <w:rPr>
          <w:rFonts w:ascii="Lato" w:eastAsiaTheme="minorHAnsi" w:hAnsi="Lato" w:cs="Arial"/>
          <w:bCs/>
          <w:spacing w:val="4"/>
          <w:sz w:val="22"/>
          <w:szCs w:val="22"/>
          <w:lang w:eastAsia="en-US" w:bidi="pl-PL"/>
        </w:rPr>
        <w:t xml:space="preserve">Podkarpackiego </w:t>
      </w:r>
      <w:r w:rsidRPr="00B61C37">
        <w:rPr>
          <w:rFonts w:ascii="Lato" w:eastAsiaTheme="minorHAnsi" w:hAnsi="Lato" w:cs="Arial"/>
          <w:bCs/>
          <w:spacing w:val="4"/>
          <w:sz w:val="22"/>
          <w:szCs w:val="22"/>
          <w:lang w:eastAsia="en-US" w:bidi="pl-PL"/>
        </w:rPr>
        <w:t>została utrzymana w mocy.</w:t>
      </w:r>
    </w:p>
    <w:p w14:paraId="433C4289" w14:textId="30D5C0D0" w:rsidR="008A1F0E" w:rsidRPr="008A1F0E" w:rsidRDefault="00594F01" w:rsidP="008A1F0E">
      <w:pPr>
        <w:tabs>
          <w:tab w:val="left" w:pos="2977"/>
        </w:tabs>
        <w:spacing w:after="240" w:line="240" w:lineRule="exact"/>
        <w:jc w:val="both"/>
        <w:outlineLvl w:val="0"/>
        <w:rPr>
          <w:rFonts w:ascii="Lato" w:hAnsi="Lato" w:cs="Arial"/>
          <w:bCs/>
          <w:spacing w:val="4"/>
          <w:sz w:val="22"/>
          <w:szCs w:val="22"/>
        </w:rPr>
      </w:pPr>
      <w:r w:rsidRPr="00B61C37">
        <w:rPr>
          <w:rFonts w:ascii="Lato" w:eastAsiaTheme="minorHAnsi" w:hAnsi="Lato" w:cs="Arial"/>
          <w:bCs/>
          <w:spacing w:val="4"/>
          <w:sz w:val="22"/>
          <w:szCs w:val="22"/>
          <w:lang w:eastAsia="en-US"/>
        </w:rPr>
        <w:t xml:space="preserve">Rozpatrując </w:t>
      </w:r>
      <w:r w:rsidR="00257CCB" w:rsidRPr="00B61C37">
        <w:rPr>
          <w:rFonts w:ascii="Lato" w:eastAsiaTheme="minorHAnsi" w:hAnsi="Lato" w:cs="Arial"/>
          <w:bCs/>
          <w:spacing w:val="4"/>
          <w:sz w:val="22"/>
          <w:szCs w:val="22"/>
          <w:lang w:eastAsia="en-US"/>
        </w:rPr>
        <w:t xml:space="preserve">natomiast </w:t>
      </w:r>
      <w:r w:rsidRPr="00EC4CF7">
        <w:rPr>
          <w:rFonts w:ascii="Lato" w:eastAsiaTheme="minorHAnsi" w:hAnsi="Lato" w:cs="Arial"/>
          <w:bCs/>
          <w:spacing w:val="4"/>
          <w:sz w:val="22"/>
          <w:szCs w:val="22"/>
          <w:lang w:eastAsia="en-US"/>
        </w:rPr>
        <w:t>odwołani</w:t>
      </w:r>
      <w:r w:rsidR="000B3042" w:rsidRPr="00EC4CF7">
        <w:rPr>
          <w:rFonts w:ascii="Lato" w:eastAsiaTheme="minorHAnsi" w:hAnsi="Lato" w:cs="Arial"/>
          <w:bCs/>
          <w:spacing w:val="4"/>
          <w:sz w:val="22"/>
          <w:szCs w:val="22"/>
          <w:lang w:eastAsia="en-US"/>
        </w:rPr>
        <w:t>a skarżących stron</w:t>
      </w:r>
      <w:r w:rsidRPr="00B61C37">
        <w:rPr>
          <w:rFonts w:ascii="Lato" w:hAnsi="Lato" w:cs="Arial"/>
          <w:spacing w:val="4"/>
          <w:sz w:val="22"/>
          <w:szCs w:val="22"/>
        </w:rPr>
        <w:t xml:space="preserve">, </w:t>
      </w:r>
      <w:r w:rsidRPr="00B61C37">
        <w:rPr>
          <w:rFonts w:ascii="Lato" w:hAnsi="Lato" w:cs="Arial"/>
          <w:bCs/>
          <w:spacing w:val="4"/>
          <w:sz w:val="22"/>
          <w:szCs w:val="22"/>
        </w:rPr>
        <w:t xml:space="preserve">w pierwszej kolejności </w:t>
      </w:r>
      <w:r w:rsidR="00144704">
        <w:rPr>
          <w:rFonts w:ascii="Lato" w:hAnsi="Lato" w:cs="Arial"/>
          <w:bCs/>
          <w:spacing w:val="4"/>
          <w:sz w:val="22"/>
          <w:szCs w:val="22"/>
        </w:rPr>
        <w:t xml:space="preserve">wyjaśnić należy </w:t>
      </w:r>
      <w:r w:rsidR="001272EB">
        <w:rPr>
          <w:rFonts w:ascii="Lato" w:hAnsi="Lato" w:cs="Arial"/>
          <w:bCs/>
          <w:spacing w:val="4"/>
          <w:sz w:val="22"/>
          <w:szCs w:val="22"/>
        </w:rPr>
        <w:t xml:space="preserve">specyfikę </w:t>
      </w:r>
      <w:r w:rsidR="00802FCF">
        <w:rPr>
          <w:rFonts w:ascii="Lato" w:hAnsi="Lato" w:cs="Arial"/>
          <w:bCs/>
          <w:spacing w:val="4"/>
          <w:sz w:val="22"/>
          <w:szCs w:val="22"/>
        </w:rPr>
        <w:t xml:space="preserve">spraw dotyczących </w:t>
      </w:r>
      <w:r w:rsidR="00802FCF" w:rsidRPr="00802FCF">
        <w:rPr>
          <w:rFonts w:ascii="Lato" w:hAnsi="Lato" w:cs="Arial"/>
          <w:bCs/>
          <w:spacing w:val="4"/>
          <w:sz w:val="22"/>
          <w:szCs w:val="22"/>
        </w:rPr>
        <w:t>ustaleniu lokalizacj</w:t>
      </w:r>
      <w:r w:rsidR="00802FCF">
        <w:rPr>
          <w:rFonts w:ascii="Lato" w:hAnsi="Lato" w:cs="Arial"/>
          <w:bCs/>
          <w:spacing w:val="4"/>
          <w:sz w:val="22"/>
          <w:szCs w:val="22"/>
        </w:rPr>
        <w:t>i</w:t>
      </w:r>
      <w:r w:rsidR="00802FCF" w:rsidRPr="00802FCF">
        <w:rPr>
          <w:rFonts w:ascii="Lato" w:hAnsi="Lato" w:cs="Arial"/>
          <w:spacing w:val="4"/>
          <w:sz w:val="22"/>
          <w:szCs w:val="22"/>
        </w:rPr>
        <w:t xml:space="preserve"> </w:t>
      </w:r>
      <w:r w:rsidR="00802FCF" w:rsidRPr="00802FCF">
        <w:rPr>
          <w:rFonts w:ascii="Lato" w:hAnsi="Lato" w:cs="Arial"/>
          <w:bCs/>
          <w:spacing w:val="4"/>
          <w:sz w:val="22"/>
          <w:szCs w:val="22"/>
        </w:rPr>
        <w:t>inwestycji towarzyszącej inwestycjom w zakresie terminalu regazyfikacyjnego skroplonego gazu ziemnego w Świnoujściu</w:t>
      </w:r>
      <w:r w:rsidR="00802FCF">
        <w:rPr>
          <w:rFonts w:ascii="Lato" w:hAnsi="Lato" w:cs="Arial"/>
          <w:bCs/>
          <w:spacing w:val="4"/>
          <w:sz w:val="22"/>
          <w:szCs w:val="22"/>
        </w:rPr>
        <w:t>. W</w:t>
      </w:r>
      <w:r w:rsidRPr="00B61C37">
        <w:rPr>
          <w:rFonts w:ascii="Lato" w:hAnsi="Lato" w:cs="Arial"/>
          <w:bCs/>
          <w:spacing w:val="4"/>
          <w:sz w:val="22"/>
          <w:szCs w:val="22"/>
        </w:rPr>
        <w:t>skazać należy, że zarówno wojewoda orzekający w sprawie jako organ I instancji, jak i Minister działający jako organ odwoławczy, pełnią w procesie inwestycyjnym funkcję organów, które będąc właściwe do wydania decyzji w przedmiocie ustalenia lokalizacji inwestycji w zakresie terminalu regazyfikacyjnego skroplonego gazu ziemnego w Świnoujściu oraz inwestycji towarzyszących, nie są jednocześnie uprawnione do wyznaczania i korygowania trasy tych inwestycji, ani do zmiany proponowanych we wniosku rozwiązań.</w:t>
      </w:r>
      <w:r w:rsidR="00802FCF">
        <w:rPr>
          <w:rFonts w:ascii="Lato" w:hAnsi="Lato" w:cs="Arial"/>
          <w:bCs/>
          <w:spacing w:val="4"/>
          <w:sz w:val="22"/>
          <w:szCs w:val="22"/>
        </w:rPr>
        <w:t xml:space="preserve"> T</w:t>
      </w:r>
      <w:r w:rsidR="008A1F0E" w:rsidRPr="008A1F0E">
        <w:rPr>
          <w:rFonts w:ascii="Lato" w:hAnsi="Lato" w:cs="Arial"/>
          <w:bCs/>
          <w:spacing w:val="4"/>
          <w:sz w:val="22"/>
          <w:szCs w:val="22"/>
        </w:rPr>
        <w:t>o inwestor, składając wniosek o wydanie decyzji o ustaleniu lokalizacji inwestycji w zakresie terminalu regazyfikacyjnego skroplonego gazu ziemnego oraz inwestycji towarzyszących, określa przebieg inwestycji oraz zakres terenu niezbędnego do jej realizacji. Inwestor dokonuje zatem wyboru rozwiązania lokalizacyjnego, natomiast organ administracji publicznej jest związany granicami złożonego wniosku i nie jest uprawniony do samodzielnego kształtowania przebiegu inwestycji.</w:t>
      </w:r>
    </w:p>
    <w:p w14:paraId="79D15E27" w14:textId="77777777" w:rsidR="008A1F0E" w:rsidRPr="008A1F0E" w:rsidRDefault="008A1F0E" w:rsidP="008A1F0E">
      <w:pPr>
        <w:tabs>
          <w:tab w:val="left" w:pos="2977"/>
        </w:tabs>
        <w:spacing w:after="240" w:line="240" w:lineRule="exact"/>
        <w:jc w:val="both"/>
        <w:outlineLvl w:val="0"/>
        <w:rPr>
          <w:rFonts w:ascii="Lato" w:hAnsi="Lato" w:cs="Arial"/>
          <w:bCs/>
          <w:spacing w:val="4"/>
          <w:sz w:val="22"/>
          <w:szCs w:val="22"/>
        </w:rPr>
      </w:pPr>
      <w:r w:rsidRPr="008A1F0E">
        <w:rPr>
          <w:rFonts w:ascii="Lato" w:hAnsi="Lato" w:cs="Arial"/>
          <w:bCs/>
          <w:spacing w:val="4"/>
          <w:sz w:val="22"/>
          <w:szCs w:val="22"/>
        </w:rPr>
        <w:t>Rolą organu jest natomiast ocena, czy planowana inwestycja spełnia wymagania określone w przepisach ustawy z dnia 24 kwietnia 2009 r. o inwestycjach w zakresie terminalu regazyfikacyjnego skroplonego gazu ziemnego oraz inwestycjach towarzyszących, zwanej dalej „specustawą gazową”. W przypadku spełnienia przez inwestora wymagań ustawowych organ nie może zastępować inwestora w wyborze rozwiązania lokalizacyjnego ani ingerować w przebieg inwestycji przedstawiony we wniosku.</w:t>
      </w:r>
    </w:p>
    <w:p w14:paraId="7015FCF2" w14:textId="77777777" w:rsidR="008A1F0E" w:rsidRPr="008A1F0E" w:rsidRDefault="008A1F0E" w:rsidP="008A1F0E">
      <w:pPr>
        <w:tabs>
          <w:tab w:val="left" w:pos="2977"/>
        </w:tabs>
        <w:spacing w:after="240" w:line="240" w:lineRule="exact"/>
        <w:jc w:val="both"/>
        <w:outlineLvl w:val="0"/>
        <w:rPr>
          <w:rFonts w:ascii="Lato" w:hAnsi="Lato" w:cs="Arial"/>
          <w:bCs/>
          <w:spacing w:val="4"/>
          <w:sz w:val="22"/>
          <w:szCs w:val="22"/>
        </w:rPr>
      </w:pPr>
      <w:r w:rsidRPr="008A1F0E">
        <w:rPr>
          <w:rFonts w:ascii="Lato" w:hAnsi="Lato" w:cs="Arial"/>
          <w:bCs/>
          <w:spacing w:val="4"/>
          <w:sz w:val="22"/>
          <w:szCs w:val="22"/>
        </w:rPr>
        <w:t>Powyższe stanowisko znajduje potwierdzenie w utrwalonym orzecznictwie sądów administracyjnych, w którym wskazuje się, że inwestor jest kreatorem miejsca, sposobu i kształtu realizacji inwestycji, natomiast organ określa dopuszczalne prawem granice tej kreacji poprzez dokonanie oceny zgodności zamierzenia z obowiązującymi przepisami (por. m.in. wyroki Naczelnego Sądu Administracyjnego z dnia 12 września 2023 r., sygn. akt II OSK 1004/23, oraz z dnia 8 listopada 2022 r., sygn. akt II OSK 1636/22, a także wyroki Wojewódzkiego Sądu Administracyjnego w Warszawie z dnia 12 lipca 2023 r., sygn. akt VII SA/Wa 1975/22, i z dnia 28 października 2022 r., sygn. akt VII SA/Wa 544/22).</w:t>
      </w:r>
    </w:p>
    <w:p w14:paraId="1695B6A5" w14:textId="77777777" w:rsidR="008A1F0E" w:rsidRPr="008A1F0E" w:rsidRDefault="008A1F0E" w:rsidP="008A1F0E">
      <w:pPr>
        <w:tabs>
          <w:tab w:val="left" w:pos="2977"/>
        </w:tabs>
        <w:spacing w:after="240" w:line="240" w:lineRule="exact"/>
        <w:jc w:val="both"/>
        <w:outlineLvl w:val="0"/>
        <w:rPr>
          <w:rFonts w:ascii="Lato" w:hAnsi="Lato" w:cs="Arial"/>
          <w:bCs/>
          <w:spacing w:val="4"/>
          <w:sz w:val="22"/>
          <w:szCs w:val="22"/>
        </w:rPr>
      </w:pPr>
      <w:r w:rsidRPr="008A1F0E">
        <w:rPr>
          <w:rFonts w:ascii="Lato" w:hAnsi="Lato" w:cs="Arial"/>
          <w:bCs/>
          <w:spacing w:val="4"/>
          <w:sz w:val="22"/>
          <w:szCs w:val="22"/>
        </w:rPr>
        <w:t>W konsekwencji decyzja o ustaleniu lokalizacji inwestycji w zakresie terminalu oraz inwestycji towarzyszących nie ma charakteru uznaniowego. Jeżeli inwestor spełni wymagania określone w specustawie gazowej, organ jest obowiązany ustalić lokalizację inwestycji w zakresie określonym we wniosku inwestora, o ile nie zachodzą ustawowe przeszkody do wydania decyzji.</w:t>
      </w:r>
    </w:p>
    <w:p w14:paraId="088C8C9F" w14:textId="6FE72657" w:rsidR="008A1F0E" w:rsidRPr="008A1F0E" w:rsidRDefault="008A1F0E" w:rsidP="008A1F0E">
      <w:pPr>
        <w:tabs>
          <w:tab w:val="left" w:pos="2977"/>
        </w:tabs>
        <w:spacing w:after="240" w:line="240" w:lineRule="exact"/>
        <w:jc w:val="both"/>
        <w:outlineLvl w:val="0"/>
        <w:rPr>
          <w:rFonts w:ascii="Lato" w:hAnsi="Lato" w:cs="Arial"/>
          <w:bCs/>
          <w:spacing w:val="4"/>
          <w:sz w:val="22"/>
          <w:szCs w:val="22"/>
        </w:rPr>
      </w:pPr>
      <w:r w:rsidRPr="008A1F0E">
        <w:rPr>
          <w:rFonts w:ascii="Lato" w:hAnsi="Lato" w:cs="Arial"/>
          <w:bCs/>
          <w:spacing w:val="4"/>
          <w:sz w:val="22"/>
          <w:szCs w:val="22"/>
        </w:rPr>
        <w:t xml:space="preserve">Powyższe pozostaje również zgodne ze specyfiką inwestycji celu publicznego realizowanych w trybie specustaw. Jak wskazał Trybunał Konstytucyjny w wyroku z dnia </w:t>
      </w:r>
      <w:r w:rsidRPr="008A1F0E">
        <w:rPr>
          <w:rFonts w:ascii="Lato" w:hAnsi="Lato" w:cs="Arial"/>
          <w:bCs/>
          <w:spacing w:val="4"/>
          <w:sz w:val="22"/>
          <w:szCs w:val="22"/>
        </w:rPr>
        <w:lastRenderedPageBreak/>
        <w:t>16 października 2012 r., sygn. akt K 4/10, w przypadku inwestycji liniowych ich przebieg, ustalony z uwzględnieniem uwarunkowań technicznych, środowiskowych i innych wymaganych prawem, w znacznym stopniu determinuje nieruchomości niezbędne do realizacji inwestycji.</w:t>
      </w:r>
      <w:r w:rsidR="00EC4CF7">
        <w:rPr>
          <w:rFonts w:ascii="Lato" w:hAnsi="Lato" w:cs="Arial"/>
          <w:bCs/>
          <w:spacing w:val="4"/>
          <w:sz w:val="22"/>
          <w:szCs w:val="22"/>
        </w:rPr>
        <w:t xml:space="preserve"> Wnioski te</w:t>
      </w:r>
      <w:r w:rsidRPr="008A1F0E">
        <w:rPr>
          <w:rFonts w:ascii="Lato" w:hAnsi="Lato" w:cs="Arial"/>
          <w:bCs/>
          <w:spacing w:val="4"/>
          <w:sz w:val="22"/>
          <w:szCs w:val="22"/>
        </w:rPr>
        <w:t>, z uwagi na analogiczny mechanizm lokalizacyjny przyjęty w specustawie gazowej, zachowują aktualność także na gruncie niniejszej sprawy.</w:t>
      </w:r>
    </w:p>
    <w:p w14:paraId="12FB577A" w14:textId="079D5AD9" w:rsidR="008A1F0E" w:rsidRPr="008A1F0E" w:rsidRDefault="008A1F0E" w:rsidP="008A1F0E">
      <w:pPr>
        <w:tabs>
          <w:tab w:val="left" w:pos="2977"/>
        </w:tabs>
        <w:spacing w:after="240" w:line="240" w:lineRule="exact"/>
        <w:jc w:val="both"/>
        <w:outlineLvl w:val="0"/>
        <w:rPr>
          <w:rFonts w:ascii="Lato" w:hAnsi="Lato" w:cs="Arial"/>
          <w:bCs/>
          <w:spacing w:val="4"/>
          <w:sz w:val="22"/>
          <w:szCs w:val="22"/>
        </w:rPr>
      </w:pPr>
      <w:r w:rsidRPr="008A1F0E">
        <w:rPr>
          <w:rFonts w:ascii="Lato" w:hAnsi="Lato" w:cs="Arial"/>
          <w:bCs/>
          <w:spacing w:val="4"/>
          <w:sz w:val="22"/>
          <w:szCs w:val="22"/>
        </w:rPr>
        <w:t>Tym samym organ nie jest uprawniony do dokonywania oceny, czy możliwe byłoby zrealizowanie inwestycji w innym</w:t>
      </w:r>
      <w:r w:rsidR="00802FCF">
        <w:rPr>
          <w:rFonts w:ascii="Lato" w:hAnsi="Lato" w:cs="Arial"/>
          <w:bCs/>
          <w:spacing w:val="4"/>
          <w:sz w:val="22"/>
          <w:szCs w:val="22"/>
        </w:rPr>
        <w:t xml:space="preserve"> </w:t>
      </w:r>
      <w:r w:rsidRPr="008A1F0E">
        <w:rPr>
          <w:rFonts w:ascii="Lato" w:hAnsi="Lato" w:cs="Arial"/>
          <w:bCs/>
          <w:spacing w:val="4"/>
          <w:sz w:val="22"/>
          <w:szCs w:val="22"/>
        </w:rPr>
        <w:t xml:space="preserve">miejscu, lecz zobowiązany jest zbadać, czy lokalizacja wskazana przez inwestora we wniosku odpowiada wymaganiom określonym </w:t>
      </w:r>
      <w:r w:rsidR="00802FCF">
        <w:rPr>
          <w:rFonts w:ascii="Lato" w:hAnsi="Lato" w:cs="Arial"/>
          <w:bCs/>
          <w:spacing w:val="4"/>
          <w:sz w:val="22"/>
          <w:szCs w:val="22"/>
        </w:rPr>
        <w:br/>
      </w:r>
      <w:r w:rsidRPr="008A1F0E">
        <w:rPr>
          <w:rFonts w:ascii="Lato" w:hAnsi="Lato" w:cs="Arial"/>
          <w:bCs/>
          <w:spacing w:val="4"/>
          <w:sz w:val="22"/>
          <w:szCs w:val="22"/>
        </w:rPr>
        <w:t>w specustawie gazowej.</w:t>
      </w:r>
    </w:p>
    <w:p w14:paraId="4F0D8EEF" w14:textId="26460EB8" w:rsidR="0065078B" w:rsidRPr="00B61C37" w:rsidRDefault="002D367A" w:rsidP="003259BA">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Po przeanalizowaniu zebranego w sprawie materiału dowodowego, w tym stanowisk inwestora, jak również zarzutów stron składając</w:t>
      </w:r>
      <w:r w:rsidR="00E22B41" w:rsidRPr="00B61C37">
        <w:rPr>
          <w:rFonts w:ascii="Lato" w:eastAsiaTheme="minorHAnsi" w:hAnsi="Lato" w:cs="Arial"/>
          <w:bCs/>
          <w:spacing w:val="4"/>
          <w:sz w:val="22"/>
          <w:szCs w:val="22"/>
          <w:lang w:eastAsia="en-US"/>
        </w:rPr>
        <w:t>ych</w:t>
      </w:r>
      <w:r w:rsidRPr="00B61C37">
        <w:rPr>
          <w:rFonts w:ascii="Lato" w:eastAsiaTheme="minorHAnsi" w:hAnsi="Lato" w:cs="Arial"/>
          <w:bCs/>
          <w:spacing w:val="4"/>
          <w:sz w:val="22"/>
          <w:szCs w:val="22"/>
          <w:lang w:eastAsia="en-US"/>
        </w:rPr>
        <w:t xml:space="preserve"> odwołani</w:t>
      </w:r>
      <w:r w:rsidR="00FB3C9C" w:rsidRPr="00B61C37">
        <w:rPr>
          <w:rFonts w:ascii="Lato" w:eastAsiaTheme="minorHAnsi" w:hAnsi="Lato" w:cs="Arial"/>
          <w:bCs/>
          <w:spacing w:val="4"/>
          <w:sz w:val="22"/>
          <w:szCs w:val="22"/>
          <w:lang w:eastAsia="en-US"/>
        </w:rPr>
        <w:t>a</w:t>
      </w:r>
      <w:r w:rsidRPr="00B61C37">
        <w:rPr>
          <w:rFonts w:ascii="Lato" w:eastAsiaTheme="minorHAnsi" w:hAnsi="Lato" w:cs="Arial"/>
          <w:bCs/>
          <w:spacing w:val="4"/>
          <w:sz w:val="22"/>
          <w:szCs w:val="22"/>
          <w:lang w:eastAsia="en-US"/>
        </w:rPr>
        <w:t xml:space="preserve"> od decyzji Wojewody </w:t>
      </w:r>
      <w:r w:rsidR="00D97793" w:rsidRPr="00B61C37">
        <w:rPr>
          <w:rFonts w:ascii="Lato" w:eastAsiaTheme="minorHAnsi" w:hAnsi="Lato" w:cs="Arial"/>
          <w:bCs/>
          <w:spacing w:val="4"/>
          <w:sz w:val="22"/>
          <w:szCs w:val="22"/>
          <w:lang w:eastAsia="en-US"/>
        </w:rPr>
        <w:t>Podkarpackiego</w:t>
      </w:r>
      <w:r w:rsidRPr="00B61C37">
        <w:rPr>
          <w:rFonts w:ascii="Lato" w:eastAsiaTheme="minorHAnsi" w:hAnsi="Lato" w:cs="Arial"/>
          <w:bCs/>
          <w:spacing w:val="4"/>
          <w:sz w:val="22"/>
          <w:szCs w:val="22"/>
          <w:lang w:eastAsia="en-US"/>
        </w:rPr>
        <w:t xml:space="preserve">, Minister </w:t>
      </w:r>
      <w:r w:rsidR="00D97793" w:rsidRPr="00B61C37">
        <w:rPr>
          <w:rFonts w:ascii="Lato" w:eastAsiaTheme="minorHAnsi" w:hAnsi="Lato" w:cs="Arial"/>
          <w:bCs/>
          <w:spacing w:val="4"/>
          <w:sz w:val="22"/>
          <w:szCs w:val="22"/>
          <w:lang w:eastAsia="en-US"/>
        </w:rPr>
        <w:t xml:space="preserve">stwierdził, co następuje. </w:t>
      </w:r>
    </w:p>
    <w:p w14:paraId="7C6989DC" w14:textId="0AC54977" w:rsidR="0071373E" w:rsidRPr="00B61C37" w:rsidRDefault="0071373E" w:rsidP="0071373E">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Na wstępie zauważenia wymaga, iż zarzuty względem decyzji Wojewody Podkarpackiego wyrażone we </w:t>
      </w:r>
      <w:r w:rsidR="00802FCF">
        <w:rPr>
          <w:rFonts w:ascii="Lato" w:eastAsiaTheme="minorHAnsi" w:hAnsi="Lato" w:cs="Arial"/>
          <w:bCs/>
          <w:spacing w:val="4"/>
          <w:sz w:val="22"/>
          <w:szCs w:val="22"/>
          <w:lang w:eastAsia="en-US"/>
        </w:rPr>
        <w:t xml:space="preserve">wszystkich </w:t>
      </w:r>
      <w:r w:rsidRPr="00B61C37">
        <w:rPr>
          <w:rFonts w:ascii="Lato" w:eastAsiaTheme="minorHAnsi" w:hAnsi="Lato" w:cs="Arial"/>
          <w:bCs/>
          <w:spacing w:val="4"/>
          <w:sz w:val="22"/>
          <w:szCs w:val="22"/>
          <w:lang w:eastAsia="en-US"/>
        </w:rPr>
        <w:t xml:space="preserve">wniesionych </w:t>
      </w:r>
      <w:proofErr w:type="spellStart"/>
      <w:r w:rsidRPr="00B61C37">
        <w:rPr>
          <w:rFonts w:ascii="Lato" w:eastAsiaTheme="minorHAnsi" w:hAnsi="Lato" w:cs="Arial"/>
          <w:bCs/>
          <w:spacing w:val="4"/>
          <w:sz w:val="22"/>
          <w:szCs w:val="22"/>
          <w:lang w:eastAsia="en-US"/>
        </w:rPr>
        <w:t>odwołaniach</w:t>
      </w:r>
      <w:proofErr w:type="spellEnd"/>
      <w:r w:rsidRPr="00B61C37">
        <w:rPr>
          <w:rFonts w:ascii="Lato" w:eastAsiaTheme="minorHAnsi" w:hAnsi="Lato" w:cs="Arial"/>
          <w:bCs/>
          <w:spacing w:val="4"/>
          <w:sz w:val="22"/>
          <w:szCs w:val="22"/>
          <w:lang w:eastAsia="en-US"/>
        </w:rPr>
        <w:t xml:space="preserve"> są analogiczne.</w:t>
      </w:r>
    </w:p>
    <w:p w14:paraId="2E0A7E35" w14:textId="60E83463" w:rsidR="00D97793" w:rsidRPr="00B61C37" w:rsidRDefault="0071373E" w:rsidP="0071373E">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Ustosunkowując się zatem do argumentacji Skarżących</w:t>
      </w:r>
      <w:r w:rsidR="008F3324" w:rsidRPr="00B61C37">
        <w:rPr>
          <w:rFonts w:ascii="Lato" w:eastAsiaTheme="minorHAnsi" w:hAnsi="Lato" w:cs="Arial"/>
          <w:bCs/>
          <w:spacing w:val="4"/>
          <w:sz w:val="22"/>
          <w:szCs w:val="22"/>
          <w:lang w:eastAsia="en-US"/>
        </w:rPr>
        <w:t xml:space="preserve"> w przedmiocie naruszenia </w:t>
      </w:r>
      <w:r w:rsidR="002658DD" w:rsidRPr="00B61C37">
        <w:rPr>
          <w:rFonts w:ascii="Lato" w:eastAsiaTheme="minorHAnsi" w:hAnsi="Lato" w:cs="Arial"/>
          <w:bCs/>
          <w:spacing w:val="4"/>
          <w:sz w:val="22"/>
          <w:szCs w:val="22"/>
          <w:lang w:eastAsia="en-US"/>
        </w:rPr>
        <w:br/>
      </w:r>
      <w:r w:rsidR="008F3324" w:rsidRPr="00B61C37">
        <w:rPr>
          <w:rFonts w:ascii="Lato" w:eastAsiaTheme="minorHAnsi" w:hAnsi="Lato" w:cs="Arial"/>
          <w:bCs/>
          <w:spacing w:val="4"/>
          <w:sz w:val="22"/>
          <w:szCs w:val="22"/>
          <w:lang w:eastAsia="en-US"/>
        </w:rPr>
        <w:t xml:space="preserve">art. 10 ust. 1 pkt 5 specustawy gazowej poprzez wydanie zaskarżonej decyzji bez ustalenia wymagań dotyczących ochrony interesów osób trzecich, tj. w </w:t>
      </w:r>
      <w:proofErr w:type="gramStart"/>
      <w:r w:rsidR="008F3324" w:rsidRPr="00B61C37">
        <w:rPr>
          <w:rFonts w:ascii="Lato" w:eastAsiaTheme="minorHAnsi" w:hAnsi="Lato" w:cs="Arial"/>
          <w:bCs/>
          <w:spacing w:val="4"/>
          <w:sz w:val="22"/>
          <w:szCs w:val="22"/>
          <w:lang w:eastAsia="en-US"/>
        </w:rPr>
        <w:t>sytuacji</w:t>
      </w:r>
      <w:proofErr w:type="gramEnd"/>
      <w:r w:rsidR="008F3324" w:rsidRPr="00B61C37">
        <w:rPr>
          <w:rFonts w:ascii="Lato" w:eastAsiaTheme="minorHAnsi" w:hAnsi="Lato" w:cs="Arial"/>
          <w:bCs/>
          <w:spacing w:val="4"/>
          <w:sz w:val="22"/>
          <w:szCs w:val="22"/>
          <w:lang w:eastAsia="en-US"/>
        </w:rPr>
        <w:t xml:space="preserve"> gdy nie zapewniono możliwości przejazdu dla właścicieli działek znajdujących się w obrębie planowanej inwestycji, co będzie skutkowało brakiem możliwości korzystania z części nieruchomości, wyjaśnić należ</w:t>
      </w:r>
      <w:r w:rsidR="00AE5FA3" w:rsidRPr="00B61C37">
        <w:rPr>
          <w:rFonts w:ascii="Lato" w:eastAsiaTheme="minorHAnsi" w:hAnsi="Lato" w:cs="Arial"/>
          <w:bCs/>
          <w:spacing w:val="4"/>
          <w:sz w:val="22"/>
          <w:szCs w:val="22"/>
          <w:lang w:eastAsia="en-US"/>
        </w:rPr>
        <w:t>y</w:t>
      </w:r>
      <w:r w:rsidR="008F3324" w:rsidRPr="00B61C37">
        <w:rPr>
          <w:rFonts w:ascii="Lato" w:eastAsiaTheme="minorHAnsi" w:hAnsi="Lato" w:cs="Arial"/>
          <w:bCs/>
          <w:spacing w:val="4"/>
          <w:sz w:val="22"/>
          <w:szCs w:val="22"/>
          <w:lang w:eastAsia="en-US"/>
        </w:rPr>
        <w:t xml:space="preserve">, co następuje. </w:t>
      </w:r>
    </w:p>
    <w:p w14:paraId="216FF8EB" w14:textId="43DD794F" w:rsidR="00B23B94" w:rsidRPr="00B61C37" w:rsidRDefault="00504B6B" w:rsidP="00B23B94">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D</w:t>
      </w:r>
      <w:r w:rsidR="00B23B94" w:rsidRPr="00B61C37">
        <w:rPr>
          <w:rFonts w:ascii="Lato" w:eastAsiaTheme="minorHAnsi" w:hAnsi="Lato" w:cs="Arial"/>
          <w:bCs/>
          <w:spacing w:val="4"/>
          <w:sz w:val="22"/>
          <w:szCs w:val="22"/>
          <w:lang w:eastAsia="en-US"/>
        </w:rPr>
        <w:t>ostęp do drogi publicznej może mieć charakter bezpośredni lub pośredni. Dostęp bezpośredni do drogi publicznej to takie położenie działki względem drogi publicznej, które zapewnia możliwość obsługi komunikacyjnej tej działki z wyłączeniem konieczności wykorzystania innych terenów (działek), celem zapewnienia dojazdu. Natomiast dostęp pośredni do drogi publicznej polega na wykorzystaniu komunikacyjnym innej działki oddzielającej daną działkę od drogi publicznej i jest możliwy poprzez ustanowienie służebności drogowej, bądź poprzez drogę wewnętrzną.</w:t>
      </w:r>
    </w:p>
    <w:p w14:paraId="3B7A7C98" w14:textId="472EA231" w:rsidR="009B5A05" w:rsidRPr="00B61C37" w:rsidRDefault="009B5A05" w:rsidP="009B5A05">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W toku postępowania odwoławczego inwestor wskazał, iż w ramach przedmiotowej inwestycji zostanie zapewniony dostęp do drogi publicznej dla</w:t>
      </w:r>
      <w:r w:rsidR="001963D2" w:rsidRPr="00B61C37">
        <w:rPr>
          <w:rFonts w:ascii="Lato" w:eastAsiaTheme="minorHAnsi" w:hAnsi="Lato" w:cs="Arial"/>
          <w:bCs/>
          <w:spacing w:val="4"/>
          <w:sz w:val="22"/>
          <w:szCs w:val="22"/>
          <w:lang w:eastAsia="en-US"/>
        </w:rPr>
        <w:t xml:space="preserve"> działek nr 1506/12 (powstałej z podziału działki nr 1506/11), nr 1507/1 i 1507/3 (powstałych z podziału działki nr 1507), nr 1520/1 i 1520/3 (powstałych z podziału działki nr 1520) </w:t>
      </w:r>
      <w:r w:rsidRPr="00B61C37">
        <w:rPr>
          <w:rFonts w:ascii="Lato" w:eastAsiaTheme="minorHAnsi" w:hAnsi="Lato" w:cs="Arial"/>
          <w:bCs/>
          <w:spacing w:val="4"/>
          <w:sz w:val="22"/>
          <w:szCs w:val="22"/>
          <w:lang w:eastAsia="en-US"/>
        </w:rPr>
        <w:t>przez działki</w:t>
      </w:r>
      <w:r w:rsidR="001963D2" w:rsidRPr="00B61C37">
        <w:rPr>
          <w:rFonts w:ascii="Lato" w:eastAsiaTheme="minorHAnsi" w:hAnsi="Lato" w:cs="Arial"/>
          <w:bCs/>
          <w:spacing w:val="4"/>
          <w:sz w:val="22"/>
          <w:szCs w:val="22"/>
          <w:lang w:eastAsia="en-US"/>
        </w:rPr>
        <w:t xml:space="preserve">, w stosunku do których inwestor uzyska prawo użytkowania wieczystego, tj. </w:t>
      </w:r>
      <w:r w:rsidR="003645B6" w:rsidRPr="00B61C37">
        <w:rPr>
          <w:rFonts w:ascii="Lato" w:eastAsiaTheme="minorHAnsi" w:hAnsi="Lato" w:cs="Arial"/>
          <w:bCs/>
          <w:spacing w:val="4"/>
          <w:sz w:val="22"/>
          <w:szCs w:val="22"/>
          <w:lang w:eastAsia="en-US"/>
        </w:rPr>
        <w:t xml:space="preserve">działki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nr 1520/2</w:t>
      </w:r>
      <w:r w:rsidR="003645B6" w:rsidRPr="00B61C37">
        <w:rPr>
          <w:rFonts w:ascii="Lato" w:eastAsiaTheme="minorHAnsi" w:hAnsi="Lato" w:cs="Arial"/>
          <w:bCs/>
          <w:spacing w:val="4"/>
          <w:sz w:val="22"/>
          <w:szCs w:val="22"/>
          <w:lang w:eastAsia="en-US"/>
        </w:rPr>
        <w:t xml:space="preserve">, </w:t>
      </w:r>
      <w:r w:rsidRPr="00B61C37">
        <w:rPr>
          <w:rFonts w:ascii="Lato" w:eastAsiaTheme="minorHAnsi" w:hAnsi="Lato" w:cs="Arial"/>
          <w:bCs/>
          <w:spacing w:val="4"/>
          <w:sz w:val="22"/>
          <w:szCs w:val="22"/>
          <w:lang w:eastAsia="en-US"/>
        </w:rPr>
        <w:t>1507/2</w:t>
      </w:r>
      <w:r w:rsidR="003645B6" w:rsidRPr="00B61C37">
        <w:rPr>
          <w:rFonts w:ascii="Lato" w:eastAsiaTheme="minorHAnsi" w:hAnsi="Lato" w:cs="Arial"/>
          <w:bCs/>
          <w:spacing w:val="4"/>
          <w:sz w:val="22"/>
          <w:szCs w:val="22"/>
          <w:lang w:eastAsia="en-US"/>
        </w:rPr>
        <w:t xml:space="preserve"> i </w:t>
      </w:r>
      <w:r w:rsidRPr="00B61C37">
        <w:rPr>
          <w:rFonts w:ascii="Lato" w:eastAsiaTheme="minorHAnsi" w:hAnsi="Lato" w:cs="Arial"/>
          <w:bCs/>
          <w:spacing w:val="4"/>
          <w:sz w:val="22"/>
          <w:szCs w:val="22"/>
          <w:lang w:eastAsia="en-US"/>
        </w:rPr>
        <w:t>1506/13</w:t>
      </w:r>
      <w:r w:rsidR="003645B6" w:rsidRPr="00B61C37">
        <w:rPr>
          <w:rFonts w:ascii="Lato" w:eastAsiaTheme="minorHAnsi" w:hAnsi="Lato" w:cs="Arial"/>
          <w:bCs/>
          <w:spacing w:val="4"/>
          <w:sz w:val="22"/>
          <w:szCs w:val="22"/>
          <w:lang w:eastAsia="en-US"/>
        </w:rPr>
        <w:t>.</w:t>
      </w:r>
    </w:p>
    <w:p w14:paraId="1390F7AE" w14:textId="6310FEAD" w:rsidR="009B5A05" w:rsidRPr="00B61C37" w:rsidRDefault="003645B6" w:rsidP="003645B6">
      <w:pPr>
        <w:tabs>
          <w:tab w:val="left" w:pos="2977"/>
        </w:tabs>
        <w:spacing w:after="240" w:line="240" w:lineRule="exact"/>
        <w:jc w:val="both"/>
        <w:outlineLvl w:val="0"/>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Jak już wskazano, p</w:t>
      </w:r>
      <w:r w:rsidR="009B5A05" w:rsidRPr="00B61C37">
        <w:rPr>
          <w:rFonts w:ascii="Lato" w:eastAsiaTheme="minorHAnsi" w:hAnsi="Lato" w:cs="Arial"/>
          <w:bCs/>
          <w:spacing w:val="4"/>
          <w:sz w:val="22"/>
          <w:szCs w:val="22"/>
          <w:lang w:eastAsia="en-US"/>
        </w:rPr>
        <w:t xml:space="preserve">rzy piśmie z dnia 27 maja 2024 r. inwestor przedłożył mapę do celów prawnych przedstawiającą przebieg służebności przejazdu i przechodu na rzecz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ww. działek, </w:t>
      </w:r>
      <w:r w:rsidR="009B5A05" w:rsidRPr="00B61C37">
        <w:rPr>
          <w:rFonts w:ascii="Lato" w:eastAsia="Calibri" w:hAnsi="Lato" w:cs="Arial"/>
          <w:spacing w:val="4"/>
          <w:sz w:val="22"/>
          <w:szCs w:val="22"/>
        </w:rPr>
        <w:t xml:space="preserve">wnosząc </w:t>
      </w:r>
      <w:r w:rsidRPr="00B61C37">
        <w:rPr>
          <w:rFonts w:ascii="Lato" w:eastAsia="Calibri" w:hAnsi="Lato" w:cs="Arial"/>
          <w:spacing w:val="4"/>
          <w:sz w:val="22"/>
          <w:szCs w:val="22"/>
        </w:rPr>
        <w:t>jednocześnie</w:t>
      </w:r>
      <w:r w:rsidR="009B5A05" w:rsidRPr="00B61C37">
        <w:rPr>
          <w:rFonts w:ascii="Lato" w:eastAsia="Calibri" w:hAnsi="Lato" w:cs="Arial"/>
          <w:spacing w:val="4"/>
          <w:sz w:val="22"/>
          <w:szCs w:val="22"/>
        </w:rPr>
        <w:t xml:space="preserve"> o ustanowienie ww. służebności w decyzji o ustaleniu lokalizacji inwestycji towarzyszącej inwestycjom w zakresie terminalu. </w:t>
      </w:r>
    </w:p>
    <w:p w14:paraId="0D6C9853" w14:textId="78B56A9F" w:rsidR="00B23B94" w:rsidRPr="00B61C37" w:rsidRDefault="00B23B94" w:rsidP="00B23B94">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Z powyższych względów - w pkt I niniejszej decyzji - Minister orzekł o ustanowieniu stosownej służebności przejazdu i przechodu na rzecz </w:t>
      </w:r>
      <w:r w:rsidR="003645B6" w:rsidRPr="00B61C37">
        <w:rPr>
          <w:rFonts w:ascii="Lato" w:eastAsiaTheme="minorHAnsi" w:hAnsi="Lato" w:cs="Arial"/>
          <w:bCs/>
          <w:spacing w:val="4"/>
          <w:sz w:val="22"/>
          <w:szCs w:val="22"/>
          <w:lang w:eastAsia="en-US"/>
        </w:rPr>
        <w:t>działek nr 1506/12, 1507/1, 1507/3, 1520/1, 1520/3</w:t>
      </w:r>
      <w:r w:rsidRPr="00B61C37">
        <w:rPr>
          <w:rFonts w:ascii="Lato" w:eastAsiaTheme="minorHAnsi" w:hAnsi="Lato" w:cs="Arial"/>
          <w:bCs/>
          <w:spacing w:val="4"/>
          <w:sz w:val="22"/>
          <w:szCs w:val="22"/>
          <w:lang w:eastAsia="en-US"/>
        </w:rPr>
        <w:t>, zapewniającej w ten sposób prawny dostęp dział</w:t>
      </w:r>
      <w:r w:rsidR="003645B6" w:rsidRPr="00B61C37">
        <w:rPr>
          <w:rFonts w:ascii="Lato" w:eastAsiaTheme="minorHAnsi" w:hAnsi="Lato" w:cs="Arial"/>
          <w:bCs/>
          <w:spacing w:val="4"/>
          <w:sz w:val="22"/>
          <w:szCs w:val="22"/>
          <w:lang w:eastAsia="en-US"/>
        </w:rPr>
        <w:t>ek</w:t>
      </w:r>
      <w:r w:rsidRPr="00B61C37">
        <w:rPr>
          <w:rFonts w:ascii="Lato" w:eastAsiaTheme="minorHAnsi" w:hAnsi="Lato" w:cs="Arial"/>
          <w:bCs/>
          <w:spacing w:val="4"/>
          <w:sz w:val="22"/>
          <w:szCs w:val="22"/>
          <w:lang w:eastAsia="en-US"/>
        </w:rPr>
        <w:t xml:space="preserve"> do drogi publicznej i wypełniając tym dyspozycję art. </w:t>
      </w:r>
      <w:r w:rsidR="003645B6" w:rsidRPr="00B61C37">
        <w:rPr>
          <w:rFonts w:ascii="Lato" w:eastAsiaTheme="minorHAnsi" w:hAnsi="Lato" w:cs="Arial"/>
          <w:bCs/>
          <w:spacing w:val="4"/>
          <w:sz w:val="22"/>
          <w:szCs w:val="22"/>
          <w:lang w:eastAsia="en-US"/>
        </w:rPr>
        <w:t>10 ust. 1 pkt 5 specustawy gazowej</w:t>
      </w:r>
      <w:r w:rsidRPr="00B61C37">
        <w:rPr>
          <w:rFonts w:ascii="Lato" w:eastAsiaTheme="minorHAnsi" w:hAnsi="Lato" w:cs="Arial"/>
          <w:bCs/>
          <w:spacing w:val="4"/>
          <w:sz w:val="22"/>
          <w:szCs w:val="22"/>
          <w:lang w:eastAsia="en-US"/>
        </w:rPr>
        <w:t xml:space="preserve">, zgodnie z którym decyzja </w:t>
      </w:r>
      <w:r w:rsidR="003645B6" w:rsidRPr="00B61C37">
        <w:rPr>
          <w:rFonts w:ascii="Lato" w:eastAsiaTheme="minorHAnsi" w:hAnsi="Lato" w:cs="Arial"/>
          <w:bCs/>
          <w:spacing w:val="4"/>
          <w:sz w:val="22"/>
          <w:szCs w:val="22"/>
          <w:lang w:eastAsia="en-US"/>
        </w:rPr>
        <w:t>o ustaleniu lokalizacji inwestycji w zakresie terminalu</w:t>
      </w:r>
      <w:r w:rsidRPr="00B61C37">
        <w:rPr>
          <w:rFonts w:ascii="Lato" w:eastAsiaTheme="minorHAnsi" w:hAnsi="Lato" w:cs="Arial"/>
          <w:bCs/>
          <w:spacing w:val="4"/>
          <w:sz w:val="22"/>
          <w:szCs w:val="22"/>
          <w:lang w:eastAsia="en-US"/>
        </w:rPr>
        <w:t xml:space="preserve"> określa wymagania dotyczące ochrony interesów osób trzecich.</w:t>
      </w:r>
      <w:r w:rsidR="003645B6" w:rsidRPr="00B61C37">
        <w:rPr>
          <w:rFonts w:ascii="Lato" w:eastAsiaTheme="minorHAnsi" w:hAnsi="Lato" w:cs="Arial"/>
          <w:bCs/>
          <w:spacing w:val="4"/>
          <w:sz w:val="22"/>
          <w:szCs w:val="22"/>
          <w:lang w:eastAsia="en-US"/>
        </w:rPr>
        <w:t xml:space="preserve"> </w:t>
      </w:r>
    </w:p>
    <w:p w14:paraId="67E4D3C2" w14:textId="7AB33048" w:rsidR="000F4AB8" w:rsidRDefault="00B23B94" w:rsidP="00B23B94">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Bezspornym jest zatem, że ww. </w:t>
      </w:r>
      <w:r w:rsidR="003645B6" w:rsidRPr="00B61C37">
        <w:rPr>
          <w:rFonts w:ascii="Lato" w:eastAsiaTheme="minorHAnsi" w:hAnsi="Lato" w:cs="Arial"/>
          <w:bCs/>
          <w:spacing w:val="4"/>
          <w:sz w:val="22"/>
          <w:szCs w:val="22"/>
          <w:lang w:eastAsia="en-US"/>
        </w:rPr>
        <w:t>dział</w:t>
      </w:r>
      <w:r w:rsidR="00EC4CF7">
        <w:rPr>
          <w:rFonts w:ascii="Lato" w:eastAsiaTheme="minorHAnsi" w:hAnsi="Lato" w:cs="Arial"/>
          <w:bCs/>
          <w:spacing w:val="4"/>
          <w:sz w:val="22"/>
          <w:szCs w:val="22"/>
          <w:lang w:eastAsia="en-US"/>
        </w:rPr>
        <w:t>kom</w:t>
      </w:r>
      <w:r w:rsidR="00C529DF">
        <w:rPr>
          <w:rFonts w:ascii="Lato" w:eastAsiaTheme="minorHAnsi" w:hAnsi="Lato" w:cs="Arial"/>
          <w:bCs/>
          <w:spacing w:val="4"/>
          <w:sz w:val="22"/>
          <w:szCs w:val="22"/>
          <w:lang w:eastAsia="en-US"/>
        </w:rPr>
        <w:t xml:space="preserve"> </w:t>
      </w:r>
      <w:r w:rsidR="00EC4CF7">
        <w:rPr>
          <w:rFonts w:ascii="Lato" w:eastAsiaTheme="minorHAnsi" w:hAnsi="Lato" w:cs="Arial"/>
          <w:bCs/>
          <w:spacing w:val="4"/>
          <w:sz w:val="22"/>
          <w:szCs w:val="22"/>
          <w:lang w:eastAsia="en-US"/>
        </w:rPr>
        <w:t xml:space="preserve">został </w:t>
      </w:r>
      <w:r w:rsidR="00C529DF">
        <w:rPr>
          <w:rFonts w:ascii="Lato" w:eastAsiaTheme="minorHAnsi" w:hAnsi="Lato" w:cs="Arial"/>
          <w:bCs/>
          <w:spacing w:val="4"/>
          <w:sz w:val="22"/>
          <w:szCs w:val="22"/>
          <w:lang w:eastAsia="en-US"/>
        </w:rPr>
        <w:t>zapewniony</w:t>
      </w:r>
      <w:r w:rsidRPr="00B61C37">
        <w:rPr>
          <w:rFonts w:ascii="Lato" w:eastAsiaTheme="minorHAnsi" w:hAnsi="Lato" w:cs="Arial"/>
          <w:bCs/>
          <w:spacing w:val="4"/>
          <w:sz w:val="22"/>
          <w:szCs w:val="22"/>
          <w:lang w:eastAsia="en-US"/>
        </w:rPr>
        <w:t xml:space="preserve"> </w:t>
      </w:r>
      <w:r w:rsidR="000F4AB8">
        <w:rPr>
          <w:rFonts w:ascii="Lato" w:eastAsiaTheme="minorHAnsi" w:hAnsi="Lato" w:cs="Arial"/>
          <w:bCs/>
          <w:spacing w:val="4"/>
          <w:sz w:val="22"/>
          <w:szCs w:val="22"/>
          <w:lang w:eastAsia="en-US"/>
        </w:rPr>
        <w:t xml:space="preserve">prawny </w:t>
      </w:r>
      <w:r w:rsidRPr="00B61C37">
        <w:rPr>
          <w:rFonts w:ascii="Lato" w:eastAsiaTheme="minorHAnsi" w:hAnsi="Lato" w:cs="Arial"/>
          <w:bCs/>
          <w:spacing w:val="4"/>
          <w:sz w:val="22"/>
          <w:szCs w:val="22"/>
          <w:lang w:eastAsia="en-US"/>
        </w:rPr>
        <w:t>dostęp do drogi publicznej.</w:t>
      </w:r>
    </w:p>
    <w:p w14:paraId="3634259D" w14:textId="776B7D27" w:rsidR="000F4AB8" w:rsidRPr="000F4AB8" w:rsidRDefault="000F4AB8" w:rsidP="000F4AB8">
      <w:pPr>
        <w:spacing w:after="240" w:line="240" w:lineRule="exact"/>
        <w:jc w:val="both"/>
        <w:rPr>
          <w:rFonts w:ascii="Lato" w:eastAsiaTheme="minorHAnsi" w:hAnsi="Lato" w:cs="Arial"/>
          <w:bCs/>
          <w:spacing w:val="4"/>
          <w:sz w:val="22"/>
          <w:szCs w:val="22"/>
          <w:lang w:eastAsia="en-US"/>
        </w:rPr>
      </w:pPr>
      <w:r w:rsidRPr="000F4AB8">
        <w:rPr>
          <w:rFonts w:ascii="Lato" w:eastAsiaTheme="minorHAnsi" w:hAnsi="Lato" w:cs="Arial"/>
          <w:bCs/>
          <w:spacing w:val="4"/>
          <w:sz w:val="22"/>
          <w:szCs w:val="22"/>
          <w:lang w:eastAsia="en-US"/>
        </w:rPr>
        <w:lastRenderedPageBreak/>
        <w:t>Jak wskazano</w:t>
      </w:r>
      <w:r>
        <w:rPr>
          <w:rFonts w:ascii="Lato" w:eastAsiaTheme="minorHAnsi" w:hAnsi="Lato" w:cs="Arial"/>
          <w:bCs/>
          <w:spacing w:val="4"/>
          <w:sz w:val="22"/>
          <w:szCs w:val="22"/>
          <w:lang w:eastAsia="en-US"/>
        </w:rPr>
        <w:t xml:space="preserve"> w </w:t>
      </w:r>
      <w:r w:rsidRPr="000F4AB8">
        <w:rPr>
          <w:rFonts w:ascii="Lato" w:eastAsiaTheme="minorHAnsi" w:hAnsi="Lato" w:cs="Arial"/>
          <w:bCs/>
          <w:spacing w:val="4"/>
          <w:sz w:val="22"/>
          <w:szCs w:val="22"/>
          <w:lang w:eastAsia="en-US"/>
        </w:rPr>
        <w:t>powyż</w:t>
      </w:r>
      <w:r>
        <w:rPr>
          <w:rFonts w:ascii="Lato" w:eastAsiaTheme="minorHAnsi" w:hAnsi="Lato" w:cs="Arial"/>
          <w:bCs/>
          <w:spacing w:val="4"/>
          <w:sz w:val="22"/>
          <w:szCs w:val="22"/>
          <w:lang w:eastAsia="en-US"/>
        </w:rPr>
        <w:t>szej części decyzji</w:t>
      </w:r>
      <w:r w:rsidRPr="000F4AB8">
        <w:rPr>
          <w:rFonts w:ascii="Lato" w:eastAsiaTheme="minorHAnsi" w:hAnsi="Lato" w:cs="Arial"/>
          <w:bCs/>
          <w:spacing w:val="4"/>
          <w:sz w:val="22"/>
          <w:szCs w:val="22"/>
          <w:lang w:eastAsia="en-US"/>
        </w:rPr>
        <w:t>, w toku postępowania odwoławczego dokonano ponownej weryfikacji spełnienia przesłanki określonej w art. 10 ust. 1 pkt 5 specustawy gazowej, w szczególności w zakresie uwzględnienia interesów osób trzecich. W tym celu uzupełniono materiał dowodowy oraz dokonano jego całościowej oceny, co pozwoliło na wyjaśnienie wszystkich istotnych okoliczności sprawy i dokonanie oceny zgodności planowanej lokalizacji z wymaganiami określonymi w specustawie gazowej.</w:t>
      </w:r>
    </w:p>
    <w:p w14:paraId="17262C7D" w14:textId="407C431C" w:rsidR="00381F49" w:rsidRPr="00B61C37" w:rsidRDefault="000F4AB8" w:rsidP="00381F49">
      <w:pPr>
        <w:spacing w:after="240" w:line="240" w:lineRule="exact"/>
        <w:jc w:val="both"/>
        <w:rPr>
          <w:rFonts w:ascii="Lato" w:eastAsiaTheme="minorHAnsi" w:hAnsi="Lato" w:cs="Arial"/>
          <w:bCs/>
          <w:spacing w:val="4"/>
          <w:sz w:val="22"/>
          <w:szCs w:val="22"/>
          <w:lang w:eastAsia="en-US"/>
        </w:rPr>
      </w:pPr>
      <w:r w:rsidRPr="000F4AB8">
        <w:rPr>
          <w:rFonts w:ascii="Lato" w:eastAsiaTheme="minorHAnsi" w:hAnsi="Lato" w:cs="Arial"/>
          <w:bCs/>
          <w:spacing w:val="4"/>
          <w:sz w:val="22"/>
          <w:szCs w:val="22"/>
          <w:lang w:eastAsia="en-US"/>
        </w:rPr>
        <w:t xml:space="preserve">W konsekwencji, w ramach przeprowadzonego postępowania odwoławczego </w:t>
      </w:r>
      <w:proofErr w:type="gramStart"/>
      <w:r w:rsidRPr="000F4AB8">
        <w:rPr>
          <w:rFonts w:ascii="Lato" w:eastAsiaTheme="minorHAnsi" w:hAnsi="Lato" w:cs="Arial"/>
          <w:bCs/>
          <w:spacing w:val="4"/>
          <w:sz w:val="22"/>
          <w:szCs w:val="22"/>
          <w:lang w:eastAsia="en-US"/>
        </w:rPr>
        <w:t>dokonano  weryfikacji</w:t>
      </w:r>
      <w:proofErr w:type="gramEnd"/>
      <w:r w:rsidRPr="000F4AB8">
        <w:rPr>
          <w:rFonts w:ascii="Lato" w:eastAsiaTheme="minorHAnsi" w:hAnsi="Lato" w:cs="Arial"/>
          <w:bCs/>
          <w:spacing w:val="4"/>
          <w:sz w:val="22"/>
          <w:szCs w:val="22"/>
          <w:lang w:eastAsia="en-US"/>
        </w:rPr>
        <w:t xml:space="preserve"> okoliczności podnoszonych przez strony w odniesieniu do art. 7, art. 77 § 1, art. 80 oraz art. 107 § 3 </w:t>
      </w:r>
      <w:r w:rsidR="00C529DF">
        <w:rPr>
          <w:rFonts w:ascii="Lato" w:eastAsiaTheme="minorHAnsi" w:hAnsi="Lato" w:cs="Arial"/>
          <w:bCs/>
          <w:spacing w:val="4"/>
          <w:sz w:val="22"/>
          <w:szCs w:val="22"/>
          <w:lang w:eastAsia="en-US"/>
        </w:rPr>
        <w:t>k</w:t>
      </w:r>
      <w:r w:rsidRPr="000F4AB8">
        <w:rPr>
          <w:rFonts w:ascii="Lato" w:eastAsiaTheme="minorHAnsi" w:hAnsi="Lato" w:cs="Arial"/>
          <w:bCs/>
          <w:spacing w:val="4"/>
          <w:sz w:val="22"/>
          <w:szCs w:val="22"/>
          <w:lang w:eastAsia="en-US"/>
        </w:rPr>
        <w:t>pa, w zakresie dotyczącym oceny materiału dowodowego i spełnienia warunku uwzględnienia interesów osób trzecich. Przeprowadzone czynności wyjaśniające pozwoliły na ostateczne ustalenie stanu faktycznego i prawnego sprawy oraz jego ocenę w kontekście przesłanek wydania decyzji lokalizacyjnej</w:t>
      </w:r>
      <w:r>
        <w:rPr>
          <w:rFonts w:ascii="Lato" w:eastAsiaTheme="minorHAnsi" w:hAnsi="Lato" w:cs="Arial"/>
          <w:bCs/>
          <w:spacing w:val="4"/>
          <w:sz w:val="22"/>
          <w:szCs w:val="22"/>
          <w:lang w:eastAsia="en-US"/>
        </w:rPr>
        <w:t>.</w:t>
      </w:r>
      <w:r w:rsidR="00C529DF">
        <w:rPr>
          <w:rFonts w:ascii="Lato" w:eastAsiaTheme="minorHAnsi" w:hAnsi="Lato" w:cs="Arial"/>
          <w:bCs/>
          <w:spacing w:val="4"/>
          <w:sz w:val="22"/>
          <w:szCs w:val="22"/>
          <w:lang w:eastAsia="en-US"/>
        </w:rPr>
        <w:t xml:space="preserve"> </w:t>
      </w:r>
    </w:p>
    <w:p w14:paraId="2E857424" w14:textId="1195358F" w:rsidR="00381F49" w:rsidRPr="00B61C37" w:rsidRDefault="00381F49" w:rsidP="00381F49">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Istota zasady dwuinstancyjności postępowania administracyjnego polega na dwukrotnym rozpatrzeniu i rozstrzygnięciu przez dwa różne organy tej samej sprawy wyznaczonej treścią zaskarżonego rozstrzygnięcia, zatem zarówno w zakresie ustalenia stanu faktycznego, wskazania dowodów, oceny tych dowodów jak i rozważań prawnych, które mają w tej sprawie zastosowanie, nie zaś tylko na kontroli argumentów podniesionych w stosunku do orzeczenia organu pierwszej instancji. Zadaniem organu drugiej instancji w postępowaniu administracyjnym jest rozważenie, jak należy daną - indywidualnie rozpatrywaną - sprawę rozstrzygnąć zgodnie z zasadą praworządności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i zasadą prawdy obiektywnej, a nie tylko, rozważyć czy utrzymać lub zmienić rozstrzygnięcie organu pierwszej instancji. Obowiązkiem organu odwoławczego jest ponowne rozpatrzenie sprawy tak, jak gdyby nie było rozstrzygnięcia organu pierwszej instancji.</w:t>
      </w:r>
    </w:p>
    <w:p w14:paraId="50C5582A" w14:textId="243462BA" w:rsidR="00381F49" w:rsidRPr="00B61C37" w:rsidRDefault="00381F49" w:rsidP="00381F49">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Podkreślić należy, iż organ administracji publicznej, prowadząc postępowanie administracyjne, zobowiązany jest do dokładnego zbadania okoliczności sprawy, ustosunkowania się do żądań stron oraz uwzględnienia w rozstrzygnięciu zarówno interesu społecznego, jak i słusznego interesu obywateli. Ponadto, należy podkreślić,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że dokładne zbadanie okoliczności sprawy oznacza, że organ administracji publicznej powinien rozpatrzyć cały materiał dowodowy oraz podjąć wszelkie kroki niezbędne dla dokładnego wyjaśnienia stanu faktycznego, jako warunku niezbędnego wydania decyzji o przekonującej treści.</w:t>
      </w:r>
    </w:p>
    <w:p w14:paraId="658FD06B" w14:textId="390CF505" w:rsidR="00177BD2" w:rsidRPr="00B61C37" w:rsidRDefault="00177BD2" w:rsidP="006974C5">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bidi="pl-PL"/>
        </w:rPr>
        <w:t xml:space="preserve">Tym samym pomimo naruszenia przez organ I instancji przepisów kpa skutkujących naruszeniem </w:t>
      </w:r>
      <w:r w:rsidRPr="00B61C37">
        <w:rPr>
          <w:rFonts w:ascii="Lato" w:eastAsiaTheme="minorHAnsi" w:hAnsi="Lato" w:cs="Arial"/>
          <w:bCs/>
          <w:spacing w:val="4"/>
          <w:sz w:val="22"/>
          <w:szCs w:val="22"/>
          <w:lang w:eastAsia="en-US"/>
        </w:rPr>
        <w:t xml:space="preserve">art. 10 ust. 1 pkt 5 specustawy gazowej, stwierdzić należy, że uchybienia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w tym zakresie zostały konwalidowane przez organ odwoławczy na etapie postępowania odwoławczego poprzez </w:t>
      </w:r>
      <w:r w:rsidR="00E50EA9" w:rsidRPr="00B61C37">
        <w:rPr>
          <w:rFonts w:ascii="Lato" w:eastAsiaTheme="minorHAnsi" w:hAnsi="Lato" w:cs="Arial"/>
          <w:bCs/>
          <w:spacing w:val="4"/>
          <w:sz w:val="22"/>
          <w:szCs w:val="22"/>
          <w:lang w:eastAsia="en-US"/>
        </w:rPr>
        <w:t xml:space="preserve">przeprowadzenie dodatkowego postepowania wyjaśniającego, zebranie materiału dowodowego i </w:t>
      </w:r>
      <w:r w:rsidRPr="00B61C37">
        <w:rPr>
          <w:rFonts w:ascii="Lato" w:eastAsiaTheme="minorHAnsi" w:hAnsi="Lato" w:cs="Arial"/>
          <w:bCs/>
          <w:spacing w:val="4"/>
          <w:sz w:val="22"/>
          <w:szCs w:val="22"/>
          <w:lang w:eastAsia="en-US"/>
        </w:rPr>
        <w:t xml:space="preserve">orzeczenie o ustanowieniu służebności przejazdu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i przechodu na rzecz działek nr 1506/12, 1507/1, 1507/3, 1520/1, 1520/3, zapewniającej w ten sposób prawny dostęp działek do drogi publicznej i respektując tym wymagania dotyczące ochrony interesów osób trzecich. </w:t>
      </w:r>
    </w:p>
    <w:p w14:paraId="47EF9839" w14:textId="1955E22A" w:rsidR="006974C5" w:rsidRPr="00B61C37" w:rsidRDefault="006974C5" w:rsidP="006974C5">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Z chwilą bowiem zainicjowania postępowania przed organem drugiej instancji na skutek wniesienia środka odwoławczego, powstaje obowiązek traktowania postępowania odwoławczego jako powtórzenia rozpatrywania i rozstrzygania tej samej sprawy. Rozstrzygnięcie organu drugiej instancji jest takim samym aktem stosowania prawa, jak rozstrzygnięcie organu pierwszej instancji, a działanie organu drugiej instancji nie ma charakteru kontrolnego, ale jest działaniem merytorycznym, równoważnym działaniu organu pierwszej instancji. Z zasady ponownego rozpatrywania sprawy przez organ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II instancji wynika, że ma on prawo korygować błędy popełnione przez organ I instancji, oczywiście o ile nie prowadziłoby to do utrzymania w mocy rozstrzygnięcia niezgodnego </w:t>
      </w:r>
      <w:r w:rsidRPr="00B61C37">
        <w:rPr>
          <w:rFonts w:ascii="Lato" w:eastAsiaTheme="minorHAnsi" w:hAnsi="Lato" w:cs="Arial"/>
          <w:bCs/>
          <w:spacing w:val="4"/>
          <w:sz w:val="22"/>
          <w:szCs w:val="22"/>
          <w:lang w:eastAsia="en-US" w:bidi="pl-PL"/>
        </w:rPr>
        <w:lastRenderedPageBreak/>
        <w:t xml:space="preserve">z prawem. Organ II instancji uprawniony jest także, jeżeli uzna to za konieczne, przeprowadzić uzupełniające postępowanie dowodowe. Zgodnie bowiem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z art. 136 § 1 kpa organ odwoławczy może przeprowadzić na żądanie strony lub z urzędu dodatkowe postępowanie w celu uzupełnienia dowodów i materiałów w sprawie albo zlecić przeprowadzenie tego postępowania organowi, który wydał decyzję.</w:t>
      </w:r>
    </w:p>
    <w:p w14:paraId="714AF9DC" w14:textId="2FDD3582" w:rsidR="00AA1EE8" w:rsidRPr="00B61C37" w:rsidRDefault="00AA1EE8" w:rsidP="006974C5">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Natomiast w kontekście naruszenia możliwości korzystania z części nieruchomości stanowiących własność Skarżących nie można mówić – jak chcieliby tego Skarżący –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o naruszeniu art. 5 ust. 1 i 2, art. 10 ust. 2, art. 34 ust. 1 oraz art. 39 ust. 1 w związku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z art. 38 pkt 1 lit. d specustawy gazowej, stanowiących podstawę prawną zaskarżonego rozstrzygnięcia.</w:t>
      </w:r>
    </w:p>
    <w:p w14:paraId="3BB6298C" w14:textId="26A10A52" w:rsidR="003645B6" w:rsidRPr="00B61C37" w:rsidRDefault="00E50EA9" w:rsidP="00B23B94">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Za niesłuszne należy uznać</w:t>
      </w:r>
      <w:r w:rsidR="00A21DD0" w:rsidRPr="00B61C37">
        <w:rPr>
          <w:rFonts w:ascii="Lato" w:eastAsiaTheme="minorHAnsi" w:hAnsi="Lato" w:cs="Arial"/>
          <w:bCs/>
          <w:spacing w:val="4"/>
          <w:sz w:val="22"/>
          <w:szCs w:val="22"/>
          <w:lang w:eastAsia="en-US" w:bidi="pl-PL"/>
        </w:rPr>
        <w:t xml:space="preserve"> twierdzenia Pani </w:t>
      </w:r>
      <w:r w:rsidR="00FB4FDD">
        <w:rPr>
          <w:rFonts w:ascii="Lato" w:eastAsiaTheme="minorHAnsi" w:hAnsi="Lato" w:cs="Arial"/>
          <w:bCs/>
          <w:spacing w:val="4"/>
          <w:sz w:val="22"/>
          <w:szCs w:val="22"/>
          <w:lang w:eastAsia="en-US" w:bidi="pl-PL"/>
        </w:rPr>
        <w:t>B.</w:t>
      </w:r>
      <w:r w:rsidR="00A21DD0"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A21DD0" w:rsidRPr="00B61C37">
        <w:rPr>
          <w:rFonts w:ascii="Lato" w:eastAsiaTheme="minorHAnsi" w:hAnsi="Lato" w:cs="Arial"/>
          <w:bCs/>
          <w:spacing w:val="4"/>
          <w:sz w:val="22"/>
          <w:szCs w:val="22"/>
          <w:lang w:eastAsia="en-US" w:bidi="pl-PL"/>
        </w:rPr>
        <w:t xml:space="preserve"> i Pana </w:t>
      </w:r>
      <w:r w:rsidR="00FB4FDD">
        <w:rPr>
          <w:rFonts w:ascii="Lato" w:eastAsiaTheme="minorHAnsi" w:hAnsi="Lato" w:cs="Arial"/>
          <w:bCs/>
          <w:spacing w:val="4"/>
          <w:sz w:val="22"/>
          <w:szCs w:val="22"/>
          <w:lang w:eastAsia="en-US" w:bidi="pl-PL"/>
        </w:rPr>
        <w:t>J.</w:t>
      </w:r>
      <w:r w:rsidR="00A21DD0"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A21DD0" w:rsidRPr="00B61C37">
        <w:rPr>
          <w:rFonts w:ascii="Lato" w:eastAsiaTheme="minorHAnsi" w:hAnsi="Lato" w:cs="Arial"/>
          <w:bCs/>
          <w:spacing w:val="4"/>
          <w:sz w:val="22"/>
          <w:szCs w:val="22"/>
          <w:lang w:eastAsia="en-US" w:bidi="pl-PL"/>
        </w:rPr>
        <w:t xml:space="preserve">, </w:t>
      </w:r>
      <w:r w:rsidR="002658DD" w:rsidRPr="00B61C37">
        <w:rPr>
          <w:rFonts w:ascii="Lato" w:eastAsiaTheme="minorHAnsi" w:hAnsi="Lato" w:cs="Arial"/>
          <w:bCs/>
          <w:spacing w:val="4"/>
          <w:sz w:val="22"/>
          <w:szCs w:val="22"/>
          <w:lang w:eastAsia="en-US" w:bidi="pl-PL"/>
        </w:rPr>
        <w:br/>
      </w:r>
      <w:r w:rsidR="00A21DD0" w:rsidRPr="00B61C37">
        <w:rPr>
          <w:rFonts w:ascii="Lato" w:eastAsiaTheme="minorHAnsi" w:hAnsi="Lato" w:cs="Arial"/>
          <w:bCs/>
          <w:spacing w:val="4"/>
          <w:sz w:val="22"/>
          <w:szCs w:val="22"/>
          <w:lang w:eastAsia="en-US" w:bidi="pl-PL"/>
        </w:rPr>
        <w:t xml:space="preserve">iż w wyniku podziału działki nr 1506/11 na działki nr 1506/12, 1506/13 i 1506/14 oraz przejęcia działki nr 1506/13 na własność Skarbu Państwa w użytkowanie wieczyste inwestora, działka nr 1506/14 zostanie pozbawiona możliwości dojazdu z uwagi na oddzielenie jej od działki nr 1506/12. </w:t>
      </w:r>
    </w:p>
    <w:p w14:paraId="24183805" w14:textId="77777777" w:rsidR="00296927" w:rsidRDefault="00AA3311" w:rsidP="0016629B">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Jak wynika ze zgromadzonego materiału dowodowego, w tym wyjaśnień inwestora oraz załączników graficznych do decyzji Wojewody Podkarpackiego, w wyniku realizacji przedmiotowej inwestycji działka nr 1506/14 (powstała z podziału działki nr 1506/11) nie traci dostępu do drogi publicznej. Powyższa działka posiada bowiem komunikację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z drogą publiczną tak jak dotychczas działka nr 1506/1</w:t>
      </w:r>
      <w:r w:rsidR="000A5D45" w:rsidRPr="00B61C37">
        <w:rPr>
          <w:rFonts w:ascii="Lato" w:eastAsiaTheme="minorHAnsi" w:hAnsi="Lato" w:cs="Arial"/>
          <w:bCs/>
          <w:spacing w:val="4"/>
          <w:sz w:val="22"/>
          <w:szCs w:val="22"/>
          <w:lang w:eastAsia="en-US" w:bidi="pl-PL"/>
        </w:rPr>
        <w:t xml:space="preserve">1, bezpośrednio przylegając do </w:t>
      </w:r>
      <w:r w:rsidR="009B763D" w:rsidRPr="00B61C37">
        <w:rPr>
          <w:rFonts w:ascii="Lato" w:eastAsiaTheme="minorHAnsi" w:hAnsi="Lato" w:cs="Arial"/>
          <w:bCs/>
          <w:spacing w:val="4"/>
          <w:sz w:val="22"/>
          <w:szCs w:val="22"/>
          <w:lang w:eastAsia="en-US" w:bidi="pl-PL"/>
        </w:rPr>
        <w:t xml:space="preserve">drogi publicznej (działka nr 6828/3). Zatem zbędnym jest ustanawianie dodatkowej służebności dla działki nr 1506/14. </w:t>
      </w:r>
      <w:r w:rsidR="00296927" w:rsidRPr="00296927">
        <w:rPr>
          <w:rFonts w:ascii="Lato" w:eastAsiaTheme="minorHAnsi" w:hAnsi="Lato" w:cs="Arial"/>
          <w:bCs/>
          <w:spacing w:val="4"/>
          <w:sz w:val="22"/>
          <w:szCs w:val="22"/>
          <w:lang w:eastAsia="en-US" w:bidi="pl-PL"/>
        </w:rPr>
        <w:t>Na marginesie wskazać należy, że inwestor – mając na względzie interes ekonomiczny właścicieli nieruchomości – zadeklarował możliwość korzystania z przejazdu przez działkę nr 1506/13 również na potrzeby działki nr 1506/14. Jednocześnie, z uwagi na fakt, że działka nr 1506/14 posiada dostęp do drogi publicznej, brak jest podstaw do prawnego uregulowania tej kwestii w decyzji o ustaleniu lokalizacji inwestycji w zakresie terminalu.</w:t>
      </w:r>
    </w:p>
    <w:p w14:paraId="36B8CC8E" w14:textId="40BFFF32" w:rsidR="0016629B" w:rsidRPr="00B61C37" w:rsidRDefault="00F65F9F" w:rsidP="0016629B">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Podobnie uzasadnienia nie znajdują twierdzenia Pani </w:t>
      </w:r>
      <w:r w:rsidR="00FB4FDD">
        <w:rPr>
          <w:rFonts w:ascii="Lato" w:eastAsiaTheme="minorHAnsi" w:hAnsi="Lato" w:cs="Arial"/>
          <w:bCs/>
          <w:spacing w:val="4"/>
          <w:sz w:val="22"/>
          <w:szCs w:val="22"/>
          <w:lang w:eastAsia="en-US" w:bidi="pl-PL"/>
        </w:rPr>
        <w:t>M.</w:t>
      </w:r>
      <w:r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 xml:space="preserve">, </w:t>
      </w:r>
      <w:r w:rsidR="0016629B" w:rsidRPr="00B61C37">
        <w:rPr>
          <w:rFonts w:ascii="Lato" w:eastAsiaTheme="minorHAnsi" w:hAnsi="Lato" w:cs="Arial"/>
          <w:bCs/>
          <w:spacing w:val="4"/>
          <w:sz w:val="22"/>
          <w:szCs w:val="22"/>
          <w:lang w:eastAsia="en-US" w:bidi="pl-PL"/>
        </w:rPr>
        <w:t>że w wyniku podziału działki nr 1506/11 oraz przejęcia pod projektowaną drogę dojazdową do wyposażenia odwiertu Bratkowice 6K działki nr 1506/13, działka nr 1506/7 zostanie pozbawiona możliwości dojazdu</w:t>
      </w:r>
      <w:r w:rsidR="00BF233A" w:rsidRPr="00B61C37">
        <w:rPr>
          <w:rFonts w:ascii="Lato" w:eastAsiaTheme="minorHAnsi" w:hAnsi="Lato" w:cs="Arial"/>
          <w:bCs/>
          <w:spacing w:val="4"/>
          <w:sz w:val="22"/>
          <w:szCs w:val="22"/>
          <w:lang w:eastAsia="en-US" w:bidi="pl-PL"/>
        </w:rPr>
        <w:t>, a także</w:t>
      </w:r>
      <w:r w:rsidR="006739C9" w:rsidRPr="00B61C37">
        <w:rPr>
          <w:rFonts w:ascii="Lato" w:eastAsiaTheme="minorHAnsi" w:hAnsi="Lato" w:cs="Arial"/>
          <w:bCs/>
          <w:spacing w:val="4"/>
          <w:sz w:val="22"/>
          <w:szCs w:val="22"/>
          <w:lang w:eastAsia="en-US" w:bidi="pl-PL"/>
        </w:rPr>
        <w:t xml:space="preserve"> żądania Pani </w:t>
      </w:r>
      <w:r w:rsidR="00FB4FDD">
        <w:rPr>
          <w:rFonts w:ascii="Lato" w:eastAsiaTheme="minorHAnsi" w:hAnsi="Lato" w:cs="Arial"/>
          <w:bCs/>
          <w:spacing w:val="4"/>
          <w:sz w:val="22"/>
          <w:szCs w:val="22"/>
          <w:lang w:eastAsia="en-US" w:bidi="pl-PL"/>
        </w:rPr>
        <w:t>B.</w:t>
      </w:r>
      <w:r w:rsidR="006739C9"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6739C9" w:rsidRPr="00B61C37">
        <w:rPr>
          <w:rFonts w:ascii="Lato" w:eastAsiaTheme="minorHAnsi" w:hAnsi="Lato" w:cs="Arial"/>
          <w:bCs/>
          <w:spacing w:val="4"/>
          <w:sz w:val="22"/>
          <w:szCs w:val="22"/>
          <w:lang w:eastAsia="en-US" w:bidi="pl-PL"/>
        </w:rPr>
        <w:t xml:space="preserve"> i Pana </w:t>
      </w:r>
      <w:r w:rsidR="00FB4FDD">
        <w:rPr>
          <w:rFonts w:ascii="Lato" w:eastAsiaTheme="minorHAnsi" w:hAnsi="Lato" w:cs="Arial"/>
          <w:bCs/>
          <w:spacing w:val="4"/>
          <w:sz w:val="22"/>
          <w:szCs w:val="22"/>
          <w:lang w:eastAsia="en-US" w:bidi="pl-PL"/>
        </w:rPr>
        <w:t>J.</w:t>
      </w:r>
      <w:r w:rsidR="006739C9"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6739C9" w:rsidRPr="00B61C37">
        <w:rPr>
          <w:rFonts w:ascii="Lato" w:eastAsiaTheme="minorHAnsi" w:hAnsi="Lato" w:cs="Arial"/>
          <w:bCs/>
          <w:spacing w:val="4"/>
          <w:sz w:val="22"/>
          <w:szCs w:val="22"/>
          <w:lang w:eastAsia="en-US" w:bidi="pl-PL"/>
        </w:rPr>
        <w:t xml:space="preserve"> zapewnienia możliwości przejazdu przez projektowaną drogę dojazdową do odwiertu i zobowiązanie inwestora do ustanowienia służebności przejścia i przejazdu dla każdoczesnych właścicieli nieruchomości oznaczonej jako działka nr </w:t>
      </w:r>
      <w:r w:rsidR="00BF233A" w:rsidRPr="00B61C37">
        <w:rPr>
          <w:rFonts w:ascii="Lato" w:eastAsiaTheme="minorHAnsi" w:hAnsi="Lato" w:cs="Arial"/>
          <w:bCs/>
          <w:spacing w:val="4"/>
          <w:sz w:val="22"/>
          <w:szCs w:val="22"/>
          <w:lang w:eastAsia="en-US" w:bidi="pl-PL"/>
        </w:rPr>
        <w:t>1506/7.</w:t>
      </w:r>
    </w:p>
    <w:p w14:paraId="070BDC4E" w14:textId="4CA9948E" w:rsidR="0016629B" w:rsidRPr="00B61C37" w:rsidRDefault="00BF233A" w:rsidP="0016629B">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Wyjaśnienia w tym miejscu wymaga</w:t>
      </w:r>
      <w:r w:rsidR="0016629B" w:rsidRPr="00B61C37">
        <w:rPr>
          <w:rFonts w:ascii="Lato" w:eastAsiaTheme="minorHAnsi" w:hAnsi="Lato" w:cs="Arial"/>
          <w:bCs/>
          <w:spacing w:val="4"/>
          <w:sz w:val="22"/>
          <w:szCs w:val="22"/>
          <w:lang w:eastAsia="en-US" w:bidi="pl-PL"/>
        </w:rPr>
        <w:t xml:space="preserve">, że zgodnie z zapisami księgi wieczystej </w:t>
      </w:r>
      <w:r w:rsidR="002658DD" w:rsidRPr="00B61C37">
        <w:rPr>
          <w:rFonts w:ascii="Lato" w:eastAsiaTheme="minorHAnsi" w:hAnsi="Lato" w:cs="Arial"/>
          <w:bCs/>
          <w:spacing w:val="4"/>
          <w:sz w:val="22"/>
          <w:szCs w:val="22"/>
          <w:lang w:eastAsia="en-US" w:bidi="pl-PL"/>
        </w:rPr>
        <w:br/>
      </w:r>
      <w:r w:rsidR="0016629B" w:rsidRPr="00B61C37">
        <w:rPr>
          <w:rFonts w:ascii="Lato" w:eastAsiaTheme="minorHAnsi" w:hAnsi="Lato" w:cs="Arial"/>
          <w:bCs/>
          <w:spacing w:val="4"/>
          <w:sz w:val="22"/>
          <w:szCs w:val="22"/>
          <w:lang w:eastAsia="en-US" w:bidi="pl-PL"/>
        </w:rPr>
        <w:t>nr</w:t>
      </w:r>
      <w:r w:rsidR="009A4DE8">
        <w:rPr>
          <w:rFonts w:ascii="Lato" w:eastAsiaTheme="minorHAnsi" w:hAnsi="Lato" w:cs="Arial"/>
          <w:bCs/>
          <w:spacing w:val="4"/>
          <w:sz w:val="22"/>
          <w:szCs w:val="22"/>
          <w:lang w:eastAsia="en-US" w:bidi="pl-PL"/>
        </w:rPr>
        <w:t xml:space="preserve"> (…)</w:t>
      </w:r>
      <w:r w:rsidR="0016629B" w:rsidRPr="00B61C37">
        <w:rPr>
          <w:rFonts w:ascii="Lato" w:eastAsiaTheme="minorHAnsi" w:hAnsi="Lato" w:cs="Arial"/>
          <w:bCs/>
          <w:spacing w:val="4"/>
          <w:sz w:val="22"/>
          <w:szCs w:val="22"/>
          <w:lang w:eastAsia="en-US" w:bidi="pl-PL"/>
        </w:rPr>
        <w:t xml:space="preserve">, prowadzonej m.in. dla nieruchomości oznaczonej jako działka </w:t>
      </w:r>
      <w:r w:rsidR="002658DD" w:rsidRPr="00B61C37">
        <w:rPr>
          <w:rFonts w:ascii="Lato" w:eastAsiaTheme="minorHAnsi" w:hAnsi="Lato" w:cs="Arial"/>
          <w:bCs/>
          <w:spacing w:val="4"/>
          <w:sz w:val="22"/>
          <w:szCs w:val="22"/>
          <w:lang w:eastAsia="en-US" w:bidi="pl-PL"/>
        </w:rPr>
        <w:br/>
      </w:r>
      <w:r w:rsidR="0016629B" w:rsidRPr="00B61C37">
        <w:rPr>
          <w:rFonts w:ascii="Lato" w:eastAsiaTheme="minorHAnsi" w:hAnsi="Lato" w:cs="Arial"/>
          <w:bCs/>
          <w:spacing w:val="4"/>
          <w:sz w:val="22"/>
          <w:szCs w:val="22"/>
          <w:lang w:eastAsia="en-US" w:bidi="pl-PL"/>
        </w:rPr>
        <w:t>nr 1506/11</w:t>
      </w:r>
      <w:r w:rsidR="00415CBE" w:rsidRPr="00B61C37">
        <w:rPr>
          <w:rFonts w:ascii="Lato" w:eastAsiaTheme="minorHAnsi" w:hAnsi="Lato" w:cs="Arial"/>
          <w:bCs/>
          <w:spacing w:val="4"/>
          <w:sz w:val="22"/>
          <w:szCs w:val="22"/>
          <w:lang w:eastAsia="en-US" w:bidi="pl-PL"/>
        </w:rPr>
        <w:t xml:space="preserve"> (stanowiącej dotychczasową własność Pani </w:t>
      </w:r>
      <w:r w:rsidR="00FB4FDD">
        <w:rPr>
          <w:rFonts w:ascii="Lato" w:eastAsiaTheme="minorHAnsi" w:hAnsi="Lato" w:cs="Arial"/>
          <w:bCs/>
          <w:spacing w:val="4"/>
          <w:sz w:val="22"/>
          <w:szCs w:val="22"/>
          <w:lang w:eastAsia="en-US" w:bidi="pl-PL"/>
        </w:rPr>
        <w:t>B.</w:t>
      </w:r>
      <w:r w:rsidR="00415CB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415CBE" w:rsidRPr="00B61C37">
        <w:rPr>
          <w:rFonts w:ascii="Lato" w:eastAsiaTheme="minorHAnsi" w:hAnsi="Lato" w:cs="Arial"/>
          <w:bCs/>
          <w:spacing w:val="4"/>
          <w:sz w:val="22"/>
          <w:szCs w:val="22"/>
          <w:lang w:eastAsia="en-US" w:bidi="pl-PL"/>
        </w:rPr>
        <w:t xml:space="preserve"> i Pana </w:t>
      </w:r>
      <w:r w:rsidR="00FB4FDD">
        <w:rPr>
          <w:rFonts w:ascii="Lato" w:eastAsiaTheme="minorHAnsi" w:hAnsi="Lato" w:cs="Arial"/>
          <w:bCs/>
          <w:spacing w:val="4"/>
          <w:sz w:val="22"/>
          <w:szCs w:val="22"/>
          <w:lang w:eastAsia="en-US" w:bidi="pl-PL"/>
        </w:rPr>
        <w:t>J.</w:t>
      </w:r>
      <w:r w:rsidR="00415CB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415CBE" w:rsidRPr="00B61C37">
        <w:rPr>
          <w:rFonts w:ascii="Lato" w:eastAsiaTheme="minorHAnsi" w:hAnsi="Lato" w:cs="Arial"/>
          <w:bCs/>
          <w:spacing w:val="4"/>
          <w:sz w:val="22"/>
          <w:szCs w:val="22"/>
          <w:lang w:eastAsia="en-US" w:bidi="pl-PL"/>
        </w:rPr>
        <w:t>),</w:t>
      </w:r>
      <w:r w:rsidR="0016629B" w:rsidRPr="00B61C37">
        <w:rPr>
          <w:rFonts w:ascii="Lato" w:eastAsiaTheme="minorHAnsi" w:hAnsi="Lato" w:cs="Arial"/>
          <w:bCs/>
          <w:spacing w:val="4"/>
          <w:sz w:val="22"/>
          <w:szCs w:val="22"/>
          <w:lang w:eastAsia="en-US" w:bidi="pl-PL"/>
        </w:rPr>
        <w:t xml:space="preserve"> działka ta jest obciążona ograniczonym prawem rzeczowym polegającym na prawie przejazdu, przechodu</w:t>
      </w:r>
      <w:r w:rsidR="00F65F9F" w:rsidRPr="00B61C37">
        <w:rPr>
          <w:rFonts w:ascii="Lato" w:eastAsiaTheme="minorHAnsi" w:hAnsi="Lato" w:cs="Arial"/>
          <w:bCs/>
          <w:spacing w:val="4"/>
          <w:sz w:val="22"/>
          <w:szCs w:val="22"/>
          <w:lang w:eastAsia="en-US" w:bidi="pl-PL"/>
        </w:rPr>
        <w:t xml:space="preserve"> </w:t>
      </w:r>
      <w:r w:rsidR="0016629B" w:rsidRPr="00B61C37">
        <w:rPr>
          <w:rFonts w:ascii="Lato" w:eastAsiaTheme="minorHAnsi" w:hAnsi="Lato" w:cs="Arial"/>
          <w:bCs/>
          <w:spacing w:val="4"/>
          <w:sz w:val="22"/>
          <w:szCs w:val="22"/>
          <w:lang w:eastAsia="en-US" w:bidi="pl-PL"/>
        </w:rPr>
        <w:t xml:space="preserve">i przegonu na rzecz każdoczesnego właściciela działki </w:t>
      </w:r>
      <w:r w:rsidR="002658DD" w:rsidRPr="00B61C37">
        <w:rPr>
          <w:rFonts w:ascii="Lato" w:eastAsiaTheme="minorHAnsi" w:hAnsi="Lato" w:cs="Arial"/>
          <w:bCs/>
          <w:spacing w:val="4"/>
          <w:sz w:val="22"/>
          <w:szCs w:val="22"/>
          <w:lang w:eastAsia="en-US" w:bidi="pl-PL"/>
        </w:rPr>
        <w:br/>
      </w:r>
      <w:r w:rsidR="0016629B" w:rsidRPr="00B61C37">
        <w:rPr>
          <w:rFonts w:ascii="Lato" w:eastAsiaTheme="minorHAnsi" w:hAnsi="Lato" w:cs="Arial"/>
          <w:bCs/>
          <w:spacing w:val="4"/>
          <w:sz w:val="22"/>
          <w:szCs w:val="22"/>
          <w:lang w:eastAsia="en-US" w:bidi="pl-PL"/>
        </w:rPr>
        <w:t>nr 1506/7</w:t>
      </w:r>
      <w:r w:rsidR="00415CBE" w:rsidRPr="00B61C37">
        <w:rPr>
          <w:rFonts w:ascii="Lato" w:eastAsiaTheme="minorHAnsi" w:hAnsi="Lato" w:cs="Arial"/>
          <w:bCs/>
          <w:spacing w:val="4"/>
          <w:sz w:val="22"/>
          <w:szCs w:val="22"/>
          <w:lang w:eastAsia="en-US" w:bidi="pl-PL"/>
        </w:rPr>
        <w:t xml:space="preserve"> (stanowiącej własność Pani </w:t>
      </w:r>
      <w:r w:rsidR="00FB4FDD">
        <w:rPr>
          <w:rFonts w:ascii="Lato" w:eastAsiaTheme="minorHAnsi" w:hAnsi="Lato" w:cs="Arial"/>
          <w:bCs/>
          <w:spacing w:val="4"/>
          <w:sz w:val="22"/>
          <w:szCs w:val="22"/>
          <w:lang w:eastAsia="en-US" w:bidi="pl-PL"/>
        </w:rPr>
        <w:t>M.</w:t>
      </w:r>
      <w:r w:rsidR="00415CB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00415CBE" w:rsidRPr="00B61C37">
        <w:rPr>
          <w:rFonts w:ascii="Lato" w:eastAsiaTheme="minorHAnsi" w:hAnsi="Lato" w:cs="Arial"/>
          <w:bCs/>
          <w:spacing w:val="4"/>
          <w:sz w:val="22"/>
          <w:szCs w:val="22"/>
          <w:lang w:eastAsia="en-US" w:bidi="pl-PL"/>
        </w:rPr>
        <w:t xml:space="preserve">). We wniesionych </w:t>
      </w:r>
      <w:proofErr w:type="spellStart"/>
      <w:r w:rsidR="00415CBE" w:rsidRPr="00B61C37">
        <w:rPr>
          <w:rFonts w:ascii="Lato" w:eastAsiaTheme="minorHAnsi" w:hAnsi="Lato" w:cs="Arial"/>
          <w:bCs/>
          <w:spacing w:val="4"/>
          <w:sz w:val="22"/>
          <w:szCs w:val="22"/>
          <w:lang w:eastAsia="en-US" w:bidi="pl-PL"/>
        </w:rPr>
        <w:t>odwołaniach</w:t>
      </w:r>
      <w:proofErr w:type="spellEnd"/>
      <w:r w:rsidR="00415CBE" w:rsidRPr="00B61C37">
        <w:rPr>
          <w:rFonts w:ascii="Lato" w:eastAsiaTheme="minorHAnsi" w:hAnsi="Lato" w:cs="Arial"/>
          <w:bCs/>
          <w:spacing w:val="4"/>
          <w:sz w:val="22"/>
          <w:szCs w:val="22"/>
          <w:lang w:eastAsia="en-US" w:bidi="pl-PL"/>
        </w:rPr>
        <w:t xml:space="preserve"> i ich uzupełnieniach podniesiono, że</w:t>
      </w:r>
      <w:r w:rsidR="0016629B" w:rsidRPr="00B61C37">
        <w:rPr>
          <w:rFonts w:ascii="Lato" w:eastAsiaTheme="minorHAnsi" w:hAnsi="Lato" w:cs="Arial"/>
          <w:bCs/>
          <w:spacing w:val="4"/>
          <w:sz w:val="22"/>
          <w:szCs w:val="22"/>
          <w:lang w:eastAsia="en-US" w:bidi="pl-PL"/>
        </w:rPr>
        <w:t xml:space="preserve"> w sytuacji utrzymania</w:t>
      </w:r>
      <w:r w:rsidR="00F65F9F" w:rsidRPr="00B61C37">
        <w:rPr>
          <w:rFonts w:ascii="Lato" w:eastAsiaTheme="minorHAnsi" w:hAnsi="Lato" w:cs="Arial"/>
          <w:bCs/>
          <w:spacing w:val="4"/>
          <w:sz w:val="22"/>
          <w:szCs w:val="22"/>
          <w:lang w:eastAsia="en-US" w:bidi="pl-PL"/>
        </w:rPr>
        <w:t xml:space="preserve"> </w:t>
      </w:r>
      <w:r w:rsidR="0016629B" w:rsidRPr="00B61C37">
        <w:rPr>
          <w:rFonts w:ascii="Lato" w:eastAsiaTheme="minorHAnsi" w:hAnsi="Lato" w:cs="Arial"/>
          <w:bCs/>
          <w:spacing w:val="4"/>
          <w:sz w:val="22"/>
          <w:szCs w:val="22"/>
          <w:lang w:eastAsia="en-US" w:bidi="pl-PL"/>
        </w:rPr>
        <w:t>w mocy decyzji Wojewody Podkarpackiego ww. służebność wygaśnie, co spowoduje,</w:t>
      </w:r>
      <w:r w:rsidR="00F65F9F" w:rsidRPr="00B61C37">
        <w:rPr>
          <w:rFonts w:ascii="Lato" w:eastAsiaTheme="minorHAnsi" w:hAnsi="Lato" w:cs="Arial"/>
          <w:bCs/>
          <w:spacing w:val="4"/>
          <w:sz w:val="22"/>
          <w:szCs w:val="22"/>
          <w:lang w:eastAsia="en-US" w:bidi="pl-PL"/>
        </w:rPr>
        <w:t xml:space="preserve"> </w:t>
      </w:r>
      <w:r w:rsidR="0016629B" w:rsidRPr="00B61C37">
        <w:rPr>
          <w:rFonts w:ascii="Lato" w:eastAsiaTheme="minorHAnsi" w:hAnsi="Lato" w:cs="Arial"/>
          <w:bCs/>
          <w:spacing w:val="4"/>
          <w:sz w:val="22"/>
          <w:szCs w:val="22"/>
          <w:lang w:eastAsia="en-US" w:bidi="pl-PL"/>
        </w:rPr>
        <w:t xml:space="preserve">że </w:t>
      </w:r>
      <w:r w:rsidR="00415CBE" w:rsidRPr="00B61C37">
        <w:rPr>
          <w:rFonts w:ascii="Lato" w:eastAsiaTheme="minorHAnsi" w:hAnsi="Lato" w:cs="Arial"/>
          <w:bCs/>
          <w:spacing w:val="4"/>
          <w:sz w:val="22"/>
          <w:szCs w:val="22"/>
          <w:lang w:eastAsia="en-US" w:bidi="pl-PL"/>
        </w:rPr>
        <w:t xml:space="preserve">Pani </w:t>
      </w:r>
      <w:r w:rsidR="00FB4FDD">
        <w:rPr>
          <w:rFonts w:ascii="Lato" w:eastAsiaTheme="minorHAnsi" w:hAnsi="Lato" w:cs="Arial"/>
          <w:bCs/>
          <w:spacing w:val="4"/>
          <w:sz w:val="22"/>
          <w:szCs w:val="22"/>
          <w:lang w:eastAsia="en-US" w:bidi="pl-PL"/>
        </w:rPr>
        <w:t>M.</w:t>
      </w:r>
      <w:r w:rsidR="00415CB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00415CBE" w:rsidRPr="00B61C37">
        <w:rPr>
          <w:rFonts w:ascii="Lato" w:eastAsiaTheme="minorHAnsi" w:hAnsi="Lato" w:cs="Arial"/>
          <w:bCs/>
          <w:spacing w:val="4"/>
          <w:sz w:val="22"/>
          <w:szCs w:val="22"/>
          <w:lang w:eastAsia="en-US" w:bidi="pl-PL"/>
        </w:rPr>
        <w:t xml:space="preserve"> utraci</w:t>
      </w:r>
      <w:r w:rsidR="0016629B" w:rsidRPr="00B61C37">
        <w:rPr>
          <w:rFonts w:ascii="Lato" w:eastAsiaTheme="minorHAnsi" w:hAnsi="Lato" w:cs="Arial"/>
          <w:bCs/>
          <w:spacing w:val="4"/>
          <w:sz w:val="22"/>
          <w:szCs w:val="22"/>
          <w:lang w:eastAsia="en-US" w:bidi="pl-PL"/>
        </w:rPr>
        <w:t xml:space="preserve"> możliwość komunikacji swojej działki w dotychczasowy sposób.</w:t>
      </w:r>
    </w:p>
    <w:p w14:paraId="41AEBA7E" w14:textId="457C41EA" w:rsidR="0016629B" w:rsidRPr="00B61C37" w:rsidRDefault="0016629B" w:rsidP="0016629B">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Zauważenia </w:t>
      </w:r>
      <w:r w:rsidR="00415CBE" w:rsidRPr="00B61C37">
        <w:rPr>
          <w:rFonts w:ascii="Lato" w:eastAsiaTheme="minorHAnsi" w:hAnsi="Lato" w:cs="Arial"/>
          <w:bCs/>
          <w:spacing w:val="4"/>
          <w:sz w:val="22"/>
          <w:szCs w:val="22"/>
          <w:lang w:eastAsia="en-US" w:bidi="pl-PL"/>
        </w:rPr>
        <w:t xml:space="preserve">jednak </w:t>
      </w:r>
      <w:r w:rsidRPr="00B61C37">
        <w:rPr>
          <w:rFonts w:ascii="Lato" w:eastAsiaTheme="minorHAnsi" w:hAnsi="Lato" w:cs="Arial"/>
          <w:bCs/>
          <w:spacing w:val="4"/>
          <w:sz w:val="22"/>
          <w:szCs w:val="22"/>
          <w:lang w:eastAsia="en-US" w:bidi="pl-PL"/>
        </w:rPr>
        <w:t xml:space="preserve">wymaga, że działka nr 1506/7 posiada dostęp do drogi publicznej,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a podział działki</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1506/11 i ewentualne wygaszenie praw rzeczowych w żaden sposób nie oddziałują na</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dotychczasowy dostęp działki 1506/7 do drogi publicznej.</w:t>
      </w:r>
    </w:p>
    <w:p w14:paraId="6C9E6DCE" w14:textId="1EA4E8F1" w:rsidR="0016629B" w:rsidRPr="00B61C37" w:rsidRDefault="0016629B" w:rsidP="0016629B">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lastRenderedPageBreak/>
        <w:t xml:space="preserve">Jak wynika z treści kontrolowanej decyzji oraz załączników graficznych, działka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nr 1506/7 w celu</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zapewnienia prawa do wejścia na teren nieruchomości dla prowadzenia na nich budowy</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inwestycji w zakresie terminalu, a także prac związanych z rozbiórką, przebudową, zmianą</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sposobu użytkowania, utrzymaniem, eksploatacją, użytkowaniem, remontami oraz usuwaniem</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awarii została jedynie ograniczona w korzystaniu przez udzielenie zezwolenia w szczególności na</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zakładanie i przeprowadzenie na nieruchomości ciągów drenażowych, przewodów i urządzeń</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służących do przesyłania płynów, pary, gazów i energii elektrycznej oraz urządzeń łączności</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 xml:space="preserve">publicznej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i sygnalizacji, a także innych podziemnych, naziemnych lub nadziemnych obiektów</w:t>
      </w:r>
      <w:r w:rsidR="00F65F9F" w:rsidRPr="00B61C37">
        <w:rPr>
          <w:rFonts w:ascii="Lato" w:eastAsiaTheme="minorHAnsi" w:hAnsi="Lato" w:cs="Arial"/>
          <w:bCs/>
          <w:spacing w:val="4"/>
          <w:sz w:val="22"/>
          <w:szCs w:val="22"/>
          <w:lang w:eastAsia="en-US" w:bidi="pl-PL"/>
        </w:rPr>
        <w:t xml:space="preserve">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i urządzeń niezbędnych do założenia, przeprowadzenia oraz korzystania z tych przewodów</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i urządzeń.</w:t>
      </w:r>
    </w:p>
    <w:p w14:paraId="1E9AC022" w14:textId="3BEB96EE" w:rsidR="003645B6" w:rsidRPr="00B61C37" w:rsidRDefault="0016629B" w:rsidP="0016629B">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Na marginesie dodać wypada, że jak wynika z analizy załączników graficznych do kontrolowanej</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 xml:space="preserve">decyzji, portalu </w:t>
      </w:r>
      <w:proofErr w:type="spellStart"/>
      <w:r w:rsidRPr="00B61C37">
        <w:rPr>
          <w:rFonts w:ascii="Lato" w:eastAsiaTheme="minorHAnsi" w:hAnsi="Lato" w:cs="Arial"/>
          <w:bCs/>
          <w:spacing w:val="4"/>
          <w:sz w:val="22"/>
          <w:szCs w:val="22"/>
          <w:lang w:eastAsia="en-US" w:bidi="pl-PL"/>
        </w:rPr>
        <w:t>Geoportal</w:t>
      </w:r>
      <w:proofErr w:type="spellEnd"/>
      <w:r w:rsidRPr="00B61C37">
        <w:rPr>
          <w:rFonts w:ascii="Lato" w:eastAsiaTheme="minorHAnsi" w:hAnsi="Lato" w:cs="Arial"/>
          <w:bCs/>
          <w:spacing w:val="4"/>
          <w:sz w:val="22"/>
          <w:szCs w:val="22"/>
          <w:lang w:eastAsia="en-US" w:bidi="pl-PL"/>
        </w:rPr>
        <w:t xml:space="preserve"> Krajowy oraz zapisów ksiąg wieczystych dokonanych przez organ</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 xml:space="preserve">odwoławczy, własność </w:t>
      </w:r>
      <w:r w:rsidR="00415CBE" w:rsidRPr="00B61C37">
        <w:rPr>
          <w:rFonts w:ascii="Lato" w:eastAsiaTheme="minorHAnsi" w:hAnsi="Lato" w:cs="Arial"/>
          <w:bCs/>
          <w:spacing w:val="4"/>
          <w:sz w:val="22"/>
          <w:szCs w:val="22"/>
          <w:lang w:eastAsia="en-US" w:bidi="pl-PL"/>
        </w:rPr>
        <w:t xml:space="preserve">Pani </w:t>
      </w:r>
      <w:r w:rsidR="00FB4FDD">
        <w:rPr>
          <w:rFonts w:ascii="Lato" w:eastAsiaTheme="minorHAnsi" w:hAnsi="Lato" w:cs="Arial"/>
          <w:bCs/>
          <w:spacing w:val="4"/>
          <w:sz w:val="22"/>
          <w:szCs w:val="22"/>
          <w:lang w:eastAsia="en-US" w:bidi="pl-PL"/>
        </w:rPr>
        <w:t>M.</w:t>
      </w:r>
      <w:r w:rsidR="00415CB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00415CBE"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stanowi również nieruchomość oznaczona jako działka nr 1506/9,</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obręb 0002 Bratkowice, która nie jest objęta przedmiotową inwestycją w zakresie terminalu,</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a która to działka potencjalnie mogłaby podlegać analizie w kwestii ewentualnej utraty dostępu</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 xml:space="preserve">do drogi publicznej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w wyniku podziału działki 1506/11 i wygaszenia w związku z tym</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ograniczonych praw rzeczowych w postaci ustanowienia na niej służebności. Jednakże</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ww. analiza wykazała, że podział działki nr 1506/11 pozostaje bez wpływu na dostęp do drogi</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publicznej dla działki nr 1506/9 z uwagi na ustanowioną dla tej działki służebność przejazdu,</w:t>
      </w:r>
      <w:r w:rsidR="00F65F9F"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przechodu i przegonu przez działkę nr 1506/8, zapewniającą dostęp do drogi publicznej.</w:t>
      </w:r>
    </w:p>
    <w:p w14:paraId="1096FA1D" w14:textId="2FF4D5AB" w:rsidR="0074175D" w:rsidRPr="00B61C37" w:rsidRDefault="00FA1B2E" w:rsidP="0074175D">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W</w:t>
      </w:r>
      <w:r w:rsidR="00A272C9" w:rsidRPr="00B61C37">
        <w:rPr>
          <w:rFonts w:ascii="Lato" w:eastAsiaTheme="minorHAnsi" w:hAnsi="Lato" w:cs="Arial"/>
          <w:bCs/>
          <w:spacing w:val="4"/>
          <w:sz w:val="22"/>
          <w:szCs w:val="22"/>
          <w:lang w:eastAsia="en-US" w:bidi="pl-PL"/>
        </w:rPr>
        <w:t xml:space="preserve"> związku z powyższym</w:t>
      </w:r>
      <w:r w:rsidR="00FB7CCF">
        <w:rPr>
          <w:rFonts w:ascii="Lato" w:eastAsiaTheme="minorHAnsi" w:hAnsi="Lato" w:cs="Arial"/>
          <w:bCs/>
          <w:spacing w:val="4"/>
          <w:sz w:val="22"/>
          <w:szCs w:val="22"/>
          <w:lang w:eastAsia="en-US" w:bidi="pl-PL"/>
        </w:rPr>
        <w:t>,</w:t>
      </w:r>
      <w:r w:rsidR="00A272C9" w:rsidRPr="00B61C37">
        <w:rPr>
          <w:rFonts w:ascii="Lato" w:eastAsiaTheme="minorHAnsi" w:hAnsi="Lato" w:cs="Arial"/>
          <w:bCs/>
          <w:spacing w:val="4"/>
          <w:sz w:val="22"/>
          <w:szCs w:val="22"/>
          <w:lang w:eastAsia="en-US" w:bidi="pl-PL"/>
        </w:rPr>
        <w:t xml:space="preserve"> </w:t>
      </w:r>
      <w:r w:rsidR="00D12865" w:rsidRPr="00B61C37">
        <w:rPr>
          <w:rFonts w:ascii="Lato" w:eastAsiaTheme="minorHAnsi" w:hAnsi="Lato" w:cs="Arial"/>
          <w:bCs/>
          <w:spacing w:val="4"/>
          <w:sz w:val="22"/>
          <w:szCs w:val="22"/>
          <w:lang w:eastAsia="en-US" w:bidi="pl-PL"/>
        </w:rPr>
        <w:t xml:space="preserve">pismami z dnia 23 lipca 2024 </w:t>
      </w:r>
      <w:proofErr w:type="gramStart"/>
      <w:r w:rsidR="00D12865" w:rsidRPr="00B61C37">
        <w:rPr>
          <w:rFonts w:ascii="Lato" w:eastAsiaTheme="minorHAnsi" w:hAnsi="Lato" w:cs="Arial"/>
          <w:bCs/>
          <w:spacing w:val="4"/>
          <w:sz w:val="22"/>
          <w:szCs w:val="22"/>
          <w:lang w:eastAsia="en-US" w:bidi="pl-PL"/>
        </w:rPr>
        <w:t>r.,</w:t>
      </w:r>
      <w:proofErr w:type="gramEnd"/>
      <w:r w:rsidR="00D12865" w:rsidRPr="00B61C37">
        <w:rPr>
          <w:rFonts w:ascii="Lato" w:eastAsiaTheme="minorHAnsi" w:hAnsi="Lato" w:cs="Arial"/>
          <w:bCs/>
          <w:spacing w:val="4"/>
          <w:sz w:val="22"/>
          <w:szCs w:val="22"/>
          <w:lang w:eastAsia="en-US" w:bidi="pl-PL"/>
        </w:rPr>
        <w:t xml:space="preserve"> oraz z dnia 3 października </w:t>
      </w:r>
      <w:r w:rsidR="00FB4FDD">
        <w:rPr>
          <w:rFonts w:ascii="Lato" w:eastAsiaTheme="minorHAnsi" w:hAnsi="Lato" w:cs="Arial"/>
          <w:bCs/>
          <w:spacing w:val="4"/>
          <w:sz w:val="22"/>
          <w:szCs w:val="22"/>
          <w:lang w:eastAsia="en-US" w:bidi="pl-PL"/>
        </w:rPr>
        <w:br/>
      </w:r>
      <w:r w:rsidR="00D12865" w:rsidRPr="00B61C37">
        <w:rPr>
          <w:rFonts w:ascii="Lato" w:eastAsiaTheme="minorHAnsi" w:hAnsi="Lato" w:cs="Arial"/>
          <w:bCs/>
          <w:spacing w:val="4"/>
          <w:sz w:val="22"/>
          <w:szCs w:val="22"/>
          <w:lang w:eastAsia="en-US" w:bidi="pl-PL"/>
        </w:rPr>
        <w:t xml:space="preserve">2024 r., organ odwoławczy </w:t>
      </w:r>
      <w:r w:rsidR="0074175D" w:rsidRPr="00B61C37">
        <w:rPr>
          <w:rFonts w:ascii="Lato" w:eastAsiaTheme="minorHAnsi" w:hAnsi="Lato" w:cs="Arial"/>
          <w:bCs/>
          <w:spacing w:val="4"/>
          <w:sz w:val="22"/>
          <w:szCs w:val="22"/>
          <w:lang w:eastAsia="en-US" w:bidi="pl-PL"/>
        </w:rPr>
        <w:t xml:space="preserve">wezwał Panią </w:t>
      </w:r>
      <w:r w:rsidR="00FB4FDD">
        <w:rPr>
          <w:rFonts w:ascii="Lato" w:eastAsiaTheme="minorHAnsi" w:hAnsi="Lato" w:cs="Arial"/>
          <w:bCs/>
          <w:spacing w:val="4"/>
          <w:sz w:val="22"/>
          <w:szCs w:val="22"/>
          <w:lang w:eastAsia="en-US" w:bidi="pl-PL"/>
        </w:rPr>
        <w:t>M.</w:t>
      </w:r>
      <w:r w:rsidR="0074175D"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0074175D" w:rsidRPr="00B61C37">
        <w:rPr>
          <w:rFonts w:ascii="Lato" w:eastAsiaTheme="minorHAnsi" w:hAnsi="Lato" w:cs="Arial"/>
          <w:bCs/>
          <w:spacing w:val="4"/>
          <w:sz w:val="22"/>
          <w:szCs w:val="22"/>
          <w:lang w:eastAsia="en-US" w:bidi="pl-PL"/>
        </w:rPr>
        <w:t xml:space="preserve"> do złożenia wyjaśnień dotyczących zarzutów podniesionych w odwołaniu od decyzji Wojewody Podkarpackiego oraz piśmie uzupełniającym wobec realizacji przedmiotowej inwestycji w zakresie terminalu na działce nr 1506/7, obręb 0002 Bratkowice.</w:t>
      </w:r>
    </w:p>
    <w:p w14:paraId="53591089" w14:textId="237D82BF" w:rsidR="0074175D" w:rsidRPr="00B61C37" w:rsidRDefault="0074175D" w:rsidP="00B23B94">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Pomimo skutecznie doręczonych wezwań strona skarżąca nie udzieliła odpowiedzi na ww. wezwania. </w:t>
      </w:r>
    </w:p>
    <w:p w14:paraId="5C420F16" w14:textId="7497E5E5" w:rsidR="00A276E1" w:rsidRPr="00B61C37" w:rsidRDefault="00720C85" w:rsidP="00A276E1">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W tym miejscu </w:t>
      </w:r>
      <w:r w:rsidR="005A6838" w:rsidRPr="00B61C37">
        <w:rPr>
          <w:rFonts w:ascii="Lato" w:eastAsiaTheme="minorHAnsi" w:hAnsi="Lato" w:cs="Arial"/>
          <w:bCs/>
          <w:spacing w:val="4"/>
          <w:sz w:val="22"/>
          <w:szCs w:val="22"/>
          <w:lang w:eastAsia="en-US" w:bidi="pl-PL"/>
        </w:rPr>
        <w:t>wyraźnego</w:t>
      </w:r>
      <w:r w:rsidRPr="00B61C37">
        <w:rPr>
          <w:rFonts w:ascii="Lato" w:eastAsiaTheme="minorHAnsi" w:hAnsi="Lato" w:cs="Arial"/>
          <w:bCs/>
          <w:spacing w:val="4"/>
          <w:sz w:val="22"/>
          <w:szCs w:val="22"/>
          <w:lang w:eastAsia="en-US" w:bidi="pl-PL"/>
        </w:rPr>
        <w:t xml:space="preserve"> podkreślenia wymaga, iż działka nr 1506/7</w:t>
      </w:r>
      <w:r w:rsidR="005A6838" w:rsidRPr="00B61C37">
        <w:rPr>
          <w:rFonts w:ascii="Lato" w:eastAsiaTheme="minorHAnsi" w:hAnsi="Lato" w:cs="Arial"/>
          <w:bCs/>
          <w:spacing w:val="4"/>
          <w:sz w:val="22"/>
          <w:szCs w:val="22"/>
          <w:lang w:eastAsia="en-US" w:bidi="pl-PL"/>
        </w:rPr>
        <w:t xml:space="preserve"> posiada dostęp do drogi publicznej, którą stanowi droga serwisowa autostrady A4 (działka nr 6828/3). Działka nr 1506/7, stanowiąca własność Pani </w:t>
      </w:r>
      <w:r w:rsidR="00FB4FDD">
        <w:rPr>
          <w:rFonts w:ascii="Lato" w:eastAsiaTheme="minorHAnsi" w:hAnsi="Lato" w:cs="Arial"/>
          <w:bCs/>
          <w:spacing w:val="4"/>
          <w:sz w:val="22"/>
          <w:szCs w:val="22"/>
          <w:lang w:eastAsia="en-US" w:bidi="pl-PL"/>
        </w:rPr>
        <w:t>M.</w:t>
      </w:r>
      <w:r w:rsidR="005A6838"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005A6838" w:rsidRPr="00B61C37">
        <w:rPr>
          <w:rFonts w:ascii="Lato" w:eastAsiaTheme="minorHAnsi" w:hAnsi="Lato" w:cs="Arial"/>
          <w:bCs/>
          <w:spacing w:val="4"/>
          <w:sz w:val="22"/>
          <w:szCs w:val="22"/>
          <w:lang w:eastAsia="en-US" w:bidi="pl-PL"/>
        </w:rPr>
        <w:t xml:space="preserve">, znajduje się po przeciwnej stronie autostrady, naprzeciwko działki nr 1506/11. W wyniku realizacji przedmiotowej inwestycji dostęp do drogi publicznej nie ulegnie zmianie. </w:t>
      </w:r>
    </w:p>
    <w:p w14:paraId="70A7F9B1" w14:textId="7341B60F" w:rsidR="0074175D" w:rsidRPr="00B61C37" w:rsidRDefault="00B735CE" w:rsidP="00720C85">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Jeśli zaś chodzi o </w:t>
      </w:r>
      <w:r w:rsidR="00190E32" w:rsidRPr="00B61C37">
        <w:rPr>
          <w:rFonts w:ascii="Lato" w:eastAsiaTheme="minorHAnsi" w:hAnsi="Lato" w:cs="Arial"/>
          <w:bCs/>
          <w:spacing w:val="4"/>
          <w:sz w:val="22"/>
          <w:szCs w:val="22"/>
          <w:lang w:eastAsia="en-US" w:bidi="pl-PL"/>
        </w:rPr>
        <w:t xml:space="preserve">wygaszenie </w:t>
      </w:r>
      <w:r w:rsidR="00720C85" w:rsidRPr="00B61C37">
        <w:rPr>
          <w:rFonts w:ascii="Lato" w:eastAsiaTheme="minorHAnsi" w:hAnsi="Lato" w:cs="Arial"/>
          <w:bCs/>
          <w:spacing w:val="4"/>
          <w:sz w:val="22"/>
          <w:szCs w:val="22"/>
          <w:lang w:eastAsia="en-US" w:bidi="pl-PL"/>
        </w:rPr>
        <w:t>praw</w:t>
      </w:r>
      <w:r w:rsidR="00190E32" w:rsidRPr="00B61C37">
        <w:rPr>
          <w:rFonts w:ascii="Lato" w:eastAsiaTheme="minorHAnsi" w:hAnsi="Lato" w:cs="Arial"/>
          <w:bCs/>
          <w:spacing w:val="4"/>
          <w:sz w:val="22"/>
          <w:szCs w:val="22"/>
          <w:lang w:eastAsia="en-US" w:bidi="pl-PL"/>
        </w:rPr>
        <w:t>a</w:t>
      </w:r>
      <w:r w:rsidR="00720C85" w:rsidRPr="00B61C37">
        <w:rPr>
          <w:rFonts w:ascii="Lato" w:eastAsiaTheme="minorHAnsi" w:hAnsi="Lato" w:cs="Arial"/>
          <w:bCs/>
          <w:spacing w:val="4"/>
          <w:sz w:val="22"/>
          <w:szCs w:val="22"/>
          <w:lang w:eastAsia="en-US" w:bidi="pl-PL"/>
        </w:rPr>
        <w:t xml:space="preserve"> rzeczowe</w:t>
      </w:r>
      <w:r w:rsidR="00190E32" w:rsidRPr="00B61C37">
        <w:rPr>
          <w:rFonts w:ascii="Lato" w:eastAsiaTheme="minorHAnsi" w:hAnsi="Lato" w:cs="Arial"/>
          <w:bCs/>
          <w:spacing w:val="4"/>
          <w:sz w:val="22"/>
          <w:szCs w:val="22"/>
          <w:lang w:eastAsia="en-US" w:bidi="pl-PL"/>
        </w:rPr>
        <w:t>go</w:t>
      </w:r>
      <w:r w:rsidR="00720C85" w:rsidRPr="00B61C37">
        <w:rPr>
          <w:rFonts w:ascii="Lato" w:eastAsiaTheme="minorHAnsi" w:hAnsi="Lato" w:cs="Arial"/>
          <w:bCs/>
          <w:spacing w:val="4"/>
          <w:sz w:val="22"/>
          <w:szCs w:val="22"/>
          <w:lang w:eastAsia="en-US" w:bidi="pl-PL"/>
        </w:rPr>
        <w:t xml:space="preserve"> obciążające</w:t>
      </w:r>
      <w:r w:rsidR="00190E32" w:rsidRPr="00B61C37">
        <w:rPr>
          <w:rFonts w:ascii="Lato" w:eastAsiaTheme="minorHAnsi" w:hAnsi="Lato" w:cs="Arial"/>
          <w:bCs/>
          <w:spacing w:val="4"/>
          <w:sz w:val="22"/>
          <w:szCs w:val="22"/>
          <w:lang w:eastAsia="en-US" w:bidi="pl-PL"/>
        </w:rPr>
        <w:t>go</w:t>
      </w:r>
      <w:r w:rsidR="00720C85" w:rsidRPr="00B61C37">
        <w:rPr>
          <w:rFonts w:ascii="Lato" w:eastAsiaTheme="minorHAnsi" w:hAnsi="Lato" w:cs="Arial"/>
          <w:bCs/>
          <w:spacing w:val="4"/>
          <w:sz w:val="22"/>
          <w:szCs w:val="22"/>
          <w:lang w:eastAsia="en-US" w:bidi="pl-PL"/>
        </w:rPr>
        <w:t xml:space="preserve"> działkę nr 1506/11 polegające</w:t>
      </w:r>
      <w:r w:rsidR="00190E32" w:rsidRPr="00B61C37">
        <w:rPr>
          <w:rFonts w:ascii="Lato" w:eastAsiaTheme="minorHAnsi" w:hAnsi="Lato" w:cs="Arial"/>
          <w:bCs/>
          <w:spacing w:val="4"/>
          <w:sz w:val="22"/>
          <w:szCs w:val="22"/>
          <w:lang w:eastAsia="en-US" w:bidi="pl-PL"/>
        </w:rPr>
        <w:t>go</w:t>
      </w:r>
      <w:r w:rsidR="00720C85" w:rsidRPr="00B61C37">
        <w:rPr>
          <w:rFonts w:ascii="Lato" w:eastAsiaTheme="minorHAnsi" w:hAnsi="Lato" w:cs="Arial"/>
          <w:bCs/>
          <w:spacing w:val="4"/>
          <w:sz w:val="22"/>
          <w:szCs w:val="22"/>
          <w:lang w:eastAsia="en-US" w:bidi="pl-PL"/>
        </w:rPr>
        <w:t xml:space="preserve"> na prawie przejazdu, przechodu i przegonu na rzecz każdoczesnego właściciela działki nr 1506/7</w:t>
      </w:r>
      <w:r w:rsidR="00190E32" w:rsidRPr="00B61C37">
        <w:rPr>
          <w:rFonts w:ascii="Lato" w:eastAsiaTheme="minorHAnsi" w:hAnsi="Lato" w:cs="Arial"/>
          <w:bCs/>
          <w:spacing w:val="4"/>
          <w:sz w:val="22"/>
          <w:szCs w:val="22"/>
          <w:lang w:eastAsia="en-US" w:bidi="pl-PL"/>
        </w:rPr>
        <w:t xml:space="preserve">, wskazać należy, że </w:t>
      </w:r>
      <w:r w:rsidR="00720C85" w:rsidRPr="00B61C37">
        <w:rPr>
          <w:rFonts w:ascii="Lato" w:eastAsiaTheme="minorHAnsi" w:hAnsi="Lato" w:cs="Arial"/>
          <w:bCs/>
          <w:spacing w:val="4"/>
          <w:sz w:val="22"/>
          <w:szCs w:val="22"/>
          <w:lang w:eastAsia="en-US" w:bidi="pl-PL"/>
        </w:rPr>
        <w:t>w myśl art. 20 ust</w:t>
      </w:r>
      <w:r w:rsidR="00D43BEA" w:rsidRPr="00B61C37">
        <w:rPr>
          <w:rFonts w:ascii="Lato" w:eastAsiaTheme="minorHAnsi" w:hAnsi="Lato" w:cs="Arial"/>
          <w:bCs/>
          <w:spacing w:val="4"/>
          <w:sz w:val="22"/>
          <w:szCs w:val="22"/>
          <w:lang w:eastAsia="en-US" w:bidi="pl-PL"/>
        </w:rPr>
        <w:t>.</w:t>
      </w:r>
      <w:r w:rsidR="00720C85" w:rsidRPr="00B61C37">
        <w:rPr>
          <w:rFonts w:ascii="Lato" w:eastAsiaTheme="minorHAnsi" w:hAnsi="Lato" w:cs="Arial"/>
          <w:bCs/>
          <w:spacing w:val="4"/>
          <w:sz w:val="22"/>
          <w:szCs w:val="22"/>
          <w:lang w:eastAsia="en-US" w:bidi="pl-PL"/>
        </w:rPr>
        <w:t xml:space="preserve"> 4 </w:t>
      </w:r>
      <w:r w:rsidR="00D43BEA" w:rsidRPr="00B61C37">
        <w:rPr>
          <w:rFonts w:ascii="Lato" w:eastAsiaTheme="minorHAnsi" w:hAnsi="Lato" w:cs="Arial"/>
          <w:bCs/>
          <w:spacing w:val="4"/>
          <w:sz w:val="22"/>
          <w:szCs w:val="22"/>
          <w:lang w:eastAsia="en-US" w:bidi="pl-PL"/>
        </w:rPr>
        <w:t>specustawy gazowej</w:t>
      </w:r>
      <w:r w:rsidR="00720C85" w:rsidRPr="00B61C37">
        <w:rPr>
          <w:rFonts w:ascii="Lato" w:eastAsiaTheme="minorHAnsi" w:hAnsi="Lato" w:cs="Arial"/>
          <w:bCs/>
          <w:spacing w:val="4"/>
          <w:sz w:val="22"/>
          <w:szCs w:val="22"/>
          <w:lang w:eastAsia="en-US" w:bidi="pl-PL"/>
        </w:rPr>
        <w:t xml:space="preserve"> jeżeli nieruchomości, o których mowa w ust. 3 lub 6a, lub prawa użytkowania wieczystego tych nieruchomości są obciążone ograniczonymi prawami rzeczowymi, z dniem, w którym decyzja o ustaleniu lokalizacji inwestycji w zakresie terminalu stała się ostateczna, prawa te wygasają za odszkodowaniem.</w:t>
      </w:r>
      <w:r w:rsidR="00D43BEA" w:rsidRPr="00B61C37">
        <w:rPr>
          <w:rFonts w:ascii="Lato" w:eastAsiaTheme="minorHAnsi" w:hAnsi="Lato" w:cs="Arial"/>
          <w:bCs/>
          <w:spacing w:val="4"/>
          <w:sz w:val="22"/>
          <w:szCs w:val="22"/>
          <w:lang w:eastAsia="en-US" w:bidi="pl-PL"/>
        </w:rPr>
        <w:t xml:space="preserve"> A zatem utrudnienia związane z powyższym są rekompensowane stosownym odszkodowaniem. Na marginesie dodać wypada, że jak wynika z pisma inwestora z dnia 21 sierpnia 2024 r., zobowiązuje się on do zadośćuczynienia, ale również zawarcia umowy z właścicielem działki nr 1506/7, gwarantując tym samym prawo przejazdu, przechodu i przegonu przez nowopowstałą działkę nr 1506/13</w:t>
      </w:r>
      <w:r w:rsidR="00DE3D87" w:rsidRPr="00B61C37">
        <w:rPr>
          <w:rFonts w:ascii="Lato" w:eastAsiaTheme="minorHAnsi" w:hAnsi="Lato" w:cs="Arial"/>
          <w:bCs/>
          <w:spacing w:val="4"/>
          <w:sz w:val="22"/>
          <w:szCs w:val="22"/>
          <w:lang w:eastAsia="en-US" w:bidi="pl-PL"/>
        </w:rPr>
        <w:t>.</w:t>
      </w:r>
    </w:p>
    <w:p w14:paraId="2FF783A0" w14:textId="340BF8FD" w:rsidR="00DE3D87" w:rsidRPr="00B61C37" w:rsidRDefault="00DE3D87" w:rsidP="00720C85">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Wyjaśnienia wymaga, że dokonany w ramach decyzji lokalizacyjnej podział działki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nr 1506/11 oraz związane z tym wygaszenie prawa rzeczowego obciążającego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lastRenderedPageBreak/>
        <w:t>ww. działkę na rzecz każdoczesnego właściciela działki nr 1506/7 pozostaje bez wpływu na zapewnienie dostępu do</w:t>
      </w:r>
      <w:r w:rsidR="00FB5D69" w:rsidRPr="00B61C37">
        <w:rPr>
          <w:rFonts w:ascii="Lato" w:eastAsiaTheme="minorHAnsi" w:hAnsi="Lato" w:cs="Arial"/>
          <w:bCs/>
          <w:spacing w:val="4"/>
          <w:sz w:val="22"/>
          <w:szCs w:val="22"/>
          <w:lang w:eastAsia="en-US" w:bidi="pl-PL"/>
        </w:rPr>
        <w:t xml:space="preserve"> drogi publicznej działce nr 1506/9. </w:t>
      </w:r>
    </w:p>
    <w:p w14:paraId="791AAE08" w14:textId="3FF1010E" w:rsidR="00EE4E8E" w:rsidRPr="00B61C37" w:rsidRDefault="0000024A" w:rsidP="00EE4E8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Natomiast odnosząc się do podnoszonych przez Panią </w:t>
      </w:r>
      <w:r w:rsidR="00FB4FDD">
        <w:rPr>
          <w:rFonts w:ascii="Lato" w:eastAsiaTheme="minorHAnsi" w:hAnsi="Lato" w:cs="Arial"/>
          <w:bCs/>
          <w:spacing w:val="4"/>
          <w:sz w:val="22"/>
          <w:szCs w:val="22"/>
          <w:lang w:eastAsia="en-US" w:bidi="pl-PL"/>
        </w:rPr>
        <w:t>M.</w:t>
      </w:r>
      <w:r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 xml:space="preserve"> oraz Panią </w:t>
      </w:r>
      <w:r w:rsidR="00FB4FDD">
        <w:rPr>
          <w:rFonts w:ascii="Lato" w:eastAsiaTheme="minorHAnsi" w:hAnsi="Lato" w:cs="Arial"/>
          <w:bCs/>
          <w:spacing w:val="4"/>
          <w:sz w:val="22"/>
          <w:szCs w:val="22"/>
          <w:lang w:eastAsia="en-US" w:bidi="pl-PL"/>
        </w:rPr>
        <w:t>B.</w:t>
      </w:r>
      <w:r w:rsidR="00EE4E8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EE4E8E" w:rsidRPr="00B61C37">
        <w:rPr>
          <w:rFonts w:ascii="Lato" w:eastAsiaTheme="minorHAnsi" w:hAnsi="Lato" w:cs="Arial"/>
          <w:bCs/>
          <w:spacing w:val="4"/>
          <w:sz w:val="22"/>
          <w:szCs w:val="22"/>
          <w:lang w:eastAsia="en-US" w:bidi="pl-PL"/>
        </w:rPr>
        <w:t xml:space="preserve"> i Pana </w:t>
      </w:r>
      <w:r w:rsidR="00FB4FDD">
        <w:rPr>
          <w:rFonts w:ascii="Lato" w:eastAsiaTheme="minorHAnsi" w:hAnsi="Lato" w:cs="Arial"/>
          <w:bCs/>
          <w:spacing w:val="4"/>
          <w:sz w:val="22"/>
          <w:szCs w:val="22"/>
          <w:lang w:eastAsia="en-US" w:bidi="pl-PL"/>
        </w:rPr>
        <w:t>J.</w:t>
      </w:r>
      <w:r w:rsidR="00EE4E8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EE4E8E" w:rsidRPr="00B61C37">
        <w:rPr>
          <w:rFonts w:ascii="Lato" w:eastAsiaTheme="minorHAnsi" w:hAnsi="Lato" w:cs="Arial"/>
          <w:bCs/>
          <w:spacing w:val="4"/>
          <w:sz w:val="22"/>
          <w:szCs w:val="22"/>
          <w:lang w:eastAsia="en-US" w:bidi="pl-PL"/>
        </w:rPr>
        <w:t xml:space="preserve"> kwestii dotyczących utraty bez swojej winy możliwości komunikacji swoich działek </w:t>
      </w:r>
      <w:r w:rsidR="001B4246">
        <w:rPr>
          <w:rFonts w:ascii="Lato" w:eastAsiaTheme="minorHAnsi" w:hAnsi="Lato" w:cs="Arial"/>
          <w:bCs/>
          <w:spacing w:val="4"/>
          <w:sz w:val="22"/>
          <w:szCs w:val="22"/>
          <w:lang w:eastAsia="en-US" w:bidi="pl-PL"/>
        </w:rPr>
        <w:br/>
      </w:r>
      <w:r w:rsidR="00EE4E8E" w:rsidRPr="00B61C37">
        <w:rPr>
          <w:rFonts w:ascii="Lato" w:eastAsiaTheme="minorHAnsi" w:hAnsi="Lato" w:cs="Arial"/>
          <w:bCs/>
          <w:spacing w:val="4"/>
          <w:sz w:val="22"/>
          <w:szCs w:val="22"/>
          <w:lang w:eastAsia="en-US" w:bidi="pl-PL"/>
        </w:rPr>
        <w:t xml:space="preserve">w dotychczasowy sposób i utrudnień w dojeździe sprzętem rolniczym od gospodarstwa do pola, wyjaśnienia wymaga, że z jakiejkolwiek normy obowiązującego prawa nie wynika, aby zapewnienie dostępu do drogi publicznej miało polegać na dostępie do drogi w konkretny sposób (stanowisko wyrażone przez Naczelny Sąd Administracyjny </w:t>
      </w:r>
      <w:r w:rsidR="001B4246">
        <w:rPr>
          <w:rFonts w:ascii="Lato" w:eastAsiaTheme="minorHAnsi" w:hAnsi="Lato" w:cs="Arial"/>
          <w:bCs/>
          <w:spacing w:val="4"/>
          <w:sz w:val="22"/>
          <w:szCs w:val="22"/>
          <w:lang w:eastAsia="en-US" w:bidi="pl-PL"/>
        </w:rPr>
        <w:br/>
      </w:r>
      <w:r w:rsidR="00EE4E8E" w:rsidRPr="00B61C37">
        <w:rPr>
          <w:rFonts w:ascii="Lato" w:eastAsiaTheme="minorHAnsi" w:hAnsi="Lato" w:cs="Arial"/>
          <w:bCs/>
          <w:spacing w:val="4"/>
          <w:sz w:val="22"/>
          <w:szCs w:val="22"/>
          <w:lang w:eastAsia="en-US" w:bidi="pl-PL"/>
        </w:rPr>
        <w:t xml:space="preserve">w wyrokach z dnia 19 lipca 2016 r., sygn. akt </w:t>
      </w:r>
      <w:r w:rsidR="002658DD" w:rsidRPr="00B61C37">
        <w:rPr>
          <w:rFonts w:ascii="Lato" w:eastAsiaTheme="minorHAnsi" w:hAnsi="Lato" w:cs="Arial"/>
          <w:bCs/>
          <w:spacing w:val="4"/>
          <w:sz w:val="22"/>
          <w:szCs w:val="22"/>
          <w:lang w:eastAsia="en-US" w:bidi="pl-PL"/>
        </w:rPr>
        <w:br/>
      </w:r>
      <w:r w:rsidR="00EE4E8E" w:rsidRPr="00B61C37">
        <w:rPr>
          <w:rFonts w:ascii="Lato" w:eastAsiaTheme="minorHAnsi" w:hAnsi="Lato" w:cs="Arial"/>
          <w:bCs/>
          <w:spacing w:val="4"/>
          <w:sz w:val="22"/>
          <w:szCs w:val="22"/>
          <w:lang w:eastAsia="en-US" w:bidi="pl-PL"/>
        </w:rPr>
        <w:t>II OSK 1373/16, Lex nr 2118231 i z dnia 26 lipca 2013 r., sygn. akt II OSK 762/13, Lex nr 1367353).</w:t>
      </w:r>
      <w:r w:rsidR="00EE4E8E" w:rsidRPr="00B61C37">
        <w:rPr>
          <w:rFonts w:ascii="Lato" w:eastAsiaTheme="minorHAnsi" w:hAnsi="Lato" w:cs="Arial"/>
          <w:bCs/>
          <w:spacing w:val="4"/>
          <w:sz w:val="22"/>
          <w:szCs w:val="22"/>
          <w:lang w:eastAsia="en-US"/>
        </w:rPr>
        <w:t xml:space="preserve"> Obowiązek zapewnienia dostępu do drogi publicznej nie jest równoznaczny z obowiązkiem dostępu do drogi publicznej co najmniej na dotychczasowych warunkach (por. wyrok Naczelnego Sądu Administracyjnego z dnia 15 października 2015 r., sygn. akt II OSK 1785/15, opubl. Centralna Baza Orzeczeń Sądów Administracyjnych).</w:t>
      </w:r>
    </w:p>
    <w:p w14:paraId="7D1227AC" w14:textId="26C86FE2" w:rsidR="0000024A" w:rsidRPr="00B61C37" w:rsidRDefault="00EE4E8E" w:rsidP="00FB5D69">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W orzecznictwie wskazuje się, że pojęcie dostępu do drogi publicznej należy rozumieć możliwie jak najszerzej. Z tego względu warunek dostępu do drogi publicznej spełniony jest zawsze wtedy, kiedy na działkę można dostać się - zgodnie z prawem - z drogi publicznej. Ustawodawca nie stawia przy tym wymagań co do rodzaju tego dostępu, czy ma być to droga, ścieżka, itp. (por. wyrok Naczelnego Sądu Administracyjnego z dnia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6 kwietnia 2018 r., sygn. akt II OSK 365/18, wyroki Wojewódzkiego Sądu Administracyjnego w Warszawie z dnia 21 listopada 2019 r., sygn. akt VII SA/Wa 1749/19, z dnia 6 października 2017 r., sygn. akt VII SA/Wa 1388/17 i z dnia 26 listopada 2009 r., sygn. akt IV SA/Wa 1433/09, opubl. Centralna Baza Orzeczeń Sądów Administracyjnych).</w:t>
      </w:r>
    </w:p>
    <w:p w14:paraId="5687E2C0" w14:textId="5DCD4477" w:rsidR="00BF0B2B" w:rsidRPr="00B61C37" w:rsidRDefault="0000024A" w:rsidP="0000024A">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Ponadto, wskazać należy, że – jak już wcześniej ustalono – </w:t>
      </w:r>
      <w:r w:rsidR="00BF0B2B" w:rsidRPr="00B61C37">
        <w:rPr>
          <w:rFonts w:ascii="Lato" w:eastAsiaTheme="minorHAnsi" w:hAnsi="Lato" w:cs="Arial"/>
          <w:bCs/>
          <w:spacing w:val="4"/>
          <w:sz w:val="22"/>
          <w:szCs w:val="22"/>
          <w:lang w:eastAsia="en-US" w:bidi="pl-PL"/>
        </w:rPr>
        <w:t xml:space="preserve">działka nr 1506/7, stanowiąca własność Pani </w:t>
      </w:r>
      <w:r w:rsidR="001B4246">
        <w:rPr>
          <w:rFonts w:ascii="Lato" w:eastAsiaTheme="minorHAnsi" w:hAnsi="Lato" w:cs="Arial"/>
          <w:bCs/>
          <w:spacing w:val="4"/>
          <w:sz w:val="22"/>
          <w:szCs w:val="22"/>
          <w:lang w:eastAsia="en-US" w:bidi="pl-PL"/>
        </w:rPr>
        <w:t>M.</w:t>
      </w:r>
      <w:r w:rsidR="00BF0B2B" w:rsidRPr="00B61C37">
        <w:rPr>
          <w:rFonts w:ascii="Lato" w:eastAsiaTheme="minorHAnsi" w:hAnsi="Lato" w:cs="Arial"/>
          <w:bCs/>
          <w:spacing w:val="4"/>
          <w:sz w:val="22"/>
          <w:szCs w:val="22"/>
          <w:lang w:eastAsia="en-US" w:bidi="pl-PL"/>
        </w:rPr>
        <w:t xml:space="preserve"> </w:t>
      </w:r>
      <w:proofErr w:type="gramStart"/>
      <w:r w:rsidR="001B4246">
        <w:rPr>
          <w:rFonts w:ascii="Lato" w:eastAsiaTheme="minorHAnsi" w:hAnsi="Lato" w:cs="Arial"/>
          <w:bCs/>
          <w:spacing w:val="4"/>
          <w:sz w:val="22"/>
          <w:szCs w:val="22"/>
          <w:lang w:eastAsia="en-US" w:bidi="pl-PL"/>
        </w:rPr>
        <w:t>S.</w:t>
      </w:r>
      <w:r w:rsidR="00BF0B2B" w:rsidRPr="00B61C37">
        <w:rPr>
          <w:rFonts w:ascii="Lato" w:eastAsiaTheme="minorHAnsi" w:hAnsi="Lato" w:cs="Arial"/>
          <w:bCs/>
          <w:spacing w:val="4"/>
          <w:sz w:val="22"/>
          <w:szCs w:val="22"/>
          <w:lang w:eastAsia="en-US" w:bidi="pl-PL"/>
        </w:rPr>
        <w:t>,</w:t>
      </w:r>
      <w:proofErr w:type="gramEnd"/>
      <w:r w:rsidR="00BF0B2B" w:rsidRPr="00B61C37">
        <w:rPr>
          <w:rFonts w:ascii="Lato" w:eastAsiaTheme="minorHAnsi" w:hAnsi="Lato" w:cs="Arial"/>
          <w:bCs/>
          <w:spacing w:val="4"/>
          <w:sz w:val="22"/>
          <w:szCs w:val="22"/>
          <w:lang w:eastAsia="en-US" w:bidi="pl-PL"/>
        </w:rPr>
        <w:t xml:space="preserve"> oraz działka nr 1506/14 (powstała z podziału działki </w:t>
      </w:r>
      <w:r w:rsidR="002658DD" w:rsidRPr="00B61C37">
        <w:rPr>
          <w:rFonts w:ascii="Lato" w:eastAsiaTheme="minorHAnsi" w:hAnsi="Lato" w:cs="Arial"/>
          <w:bCs/>
          <w:spacing w:val="4"/>
          <w:sz w:val="22"/>
          <w:szCs w:val="22"/>
          <w:lang w:eastAsia="en-US" w:bidi="pl-PL"/>
        </w:rPr>
        <w:br/>
      </w:r>
      <w:r w:rsidR="00BF0B2B" w:rsidRPr="00B61C37">
        <w:rPr>
          <w:rFonts w:ascii="Lato" w:eastAsiaTheme="minorHAnsi" w:hAnsi="Lato" w:cs="Arial"/>
          <w:bCs/>
          <w:spacing w:val="4"/>
          <w:sz w:val="22"/>
          <w:szCs w:val="22"/>
          <w:lang w:eastAsia="en-US" w:bidi="pl-PL"/>
        </w:rPr>
        <w:t xml:space="preserve">nr 1506/11), stanowiąca własność Pani </w:t>
      </w:r>
      <w:r w:rsidR="001B4246">
        <w:rPr>
          <w:rFonts w:ascii="Lato" w:eastAsiaTheme="minorHAnsi" w:hAnsi="Lato" w:cs="Arial"/>
          <w:bCs/>
          <w:spacing w:val="4"/>
          <w:sz w:val="22"/>
          <w:szCs w:val="22"/>
          <w:lang w:eastAsia="en-US" w:bidi="pl-PL"/>
        </w:rPr>
        <w:t>B.</w:t>
      </w:r>
      <w:r w:rsidR="00BF0B2B"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Z.</w:t>
      </w:r>
      <w:r w:rsidR="00BF0B2B" w:rsidRPr="00B61C37">
        <w:rPr>
          <w:rFonts w:ascii="Lato" w:eastAsiaTheme="minorHAnsi" w:hAnsi="Lato" w:cs="Arial"/>
          <w:bCs/>
          <w:spacing w:val="4"/>
          <w:sz w:val="22"/>
          <w:szCs w:val="22"/>
          <w:lang w:eastAsia="en-US" w:bidi="pl-PL"/>
        </w:rPr>
        <w:t xml:space="preserve"> i Pana </w:t>
      </w:r>
      <w:r w:rsidR="001B4246">
        <w:rPr>
          <w:rFonts w:ascii="Lato" w:eastAsiaTheme="minorHAnsi" w:hAnsi="Lato" w:cs="Arial"/>
          <w:bCs/>
          <w:spacing w:val="4"/>
          <w:sz w:val="22"/>
          <w:szCs w:val="22"/>
          <w:lang w:eastAsia="en-US" w:bidi="pl-PL"/>
        </w:rPr>
        <w:t>J.</w:t>
      </w:r>
      <w:r w:rsidR="00BF0B2B"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Z.</w:t>
      </w:r>
      <w:r w:rsidR="00BF0B2B" w:rsidRPr="00B61C37">
        <w:rPr>
          <w:rFonts w:ascii="Lato" w:eastAsiaTheme="minorHAnsi" w:hAnsi="Lato" w:cs="Arial"/>
          <w:bCs/>
          <w:spacing w:val="4"/>
          <w:sz w:val="22"/>
          <w:szCs w:val="22"/>
          <w:lang w:eastAsia="en-US" w:bidi="pl-PL"/>
        </w:rPr>
        <w:t>, posiadają</w:t>
      </w:r>
      <w:r w:rsidRPr="00B61C37">
        <w:rPr>
          <w:rFonts w:ascii="Lato" w:eastAsiaTheme="minorHAnsi" w:hAnsi="Lato" w:cs="Arial"/>
          <w:bCs/>
          <w:spacing w:val="4"/>
          <w:sz w:val="22"/>
          <w:szCs w:val="22"/>
          <w:lang w:eastAsia="en-US" w:bidi="pl-PL"/>
        </w:rPr>
        <w:t xml:space="preserve"> dostęp do drogi publicznej. Samo zaś powoływanie się na brak </w:t>
      </w:r>
      <w:r w:rsidR="00BF0B2B" w:rsidRPr="00B61C37">
        <w:rPr>
          <w:rFonts w:ascii="Lato" w:eastAsiaTheme="minorHAnsi" w:hAnsi="Lato" w:cs="Arial"/>
          <w:bCs/>
          <w:spacing w:val="4"/>
          <w:sz w:val="22"/>
          <w:szCs w:val="22"/>
          <w:lang w:eastAsia="en-US" w:bidi="pl-PL"/>
        </w:rPr>
        <w:t xml:space="preserve">dogodnego </w:t>
      </w:r>
      <w:r w:rsidRPr="00B61C37">
        <w:rPr>
          <w:rFonts w:ascii="Lato" w:eastAsiaTheme="minorHAnsi" w:hAnsi="Lato" w:cs="Arial"/>
          <w:bCs/>
          <w:spacing w:val="4"/>
          <w:sz w:val="22"/>
          <w:szCs w:val="22"/>
          <w:lang w:eastAsia="en-US" w:bidi="pl-PL"/>
        </w:rPr>
        <w:t>dostępu do działk</w:t>
      </w:r>
      <w:r w:rsidR="00BF0B2B" w:rsidRPr="00B61C37">
        <w:rPr>
          <w:rFonts w:ascii="Lato" w:eastAsiaTheme="minorHAnsi" w:hAnsi="Lato" w:cs="Arial"/>
          <w:bCs/>
          <w:spacing w:val="4"/>
          <w:sz w:val="22"/>
          <w:szCs w:val="22"/>
          <w:lang w:eastAsia="en-US" w:bidi="pl-PL"/>
        </w:rPr>
        <w:t>i</w:t>
      </w:r>
      <w:r w:rsidRPr="00B61C37">
        <w:rPr>
          <w:rFonts w:ascii="Lato" w:eastAsiaTheme="minorHAnsi" w:hAnsi="Lato" w:cs="Arial"/>
          <w:bCs/>
          <w:spacing w:val="4"/>
          <w:sz w:val="22"/>
          <w:szCs w:val="22"/>
          <w:lang w:eastAsia="en-US" w:bidi="pl-PL"/>
        </w:rPr>
        <w:t xml:space="preserve"> nie może stanowić wykazania naruszenia interesu prawnego Skarżąc</w:t>
      </w:r>
      <w:r w:rsidR="00BF0B2B" w:rsidRPr="00B61C37">
        <w:rPr>
          <w:rFonts w:ascii="Lato" w:eastAsiaTheme="minorHAnsi" w:hAnsi="Lato" w:cs="Arial"/>
          <w:bCs/>
          <w:spacing w:val="4"/>
          <w:sz w:val="22"/>
          <w:szCs w:val="22"/>
          <w:lang w:eastAsia="en-US" w:bidi="pl-PL"/>
        </w:rPr>
        <w:t>ych</w:t>
      </w:r>
      <w:r w:rsidRPr="00B61C37">
        <w:rPr>
          <w:rFonts w:ascii="Lato" w:eastAsiaTheme="minorHAnsi" w:hAnsi="Lato" w:cs="Arial"/>
          <w:bCs/>
          <w:spacing w:val="4"/>
          <w:sz w:val="22"/>
          <w:szCs w:val="22"/>
          <w:lang w:eastAsia="en-US" w:bidi="pl-PL"/>
        </w:rPr>
        <w:t xml:space="preserve">. </w:t>
      </w:r>
    </w:p>
    <w:p w14:paraId="17C72031" w14:textId="2E1A3F4B" w:rsidR="0000024A" w:rsidRPr="00B61C37" w:rsidRDefault="0000024A" w:rsidP="0000024A">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Skoro roszczenia Skarżąc</w:t>
      </w:r>
      <w:r w:rsidR="00BF0B2B" w:rsidRPr="00B61C37">
        <w:rPr>
          <w:rFonts w:ascii="Lato" w:eastAsiaTheme="minorHAnsi" w:hAnsi="Lato" w:cs="Arial"/>
          <w:bCs/>
          <w:spacing w:val="4"/>
          <w:sz w:val="22"/>
          <w:szCs w:val="22"/>
          <w:lang w:eastAsia="en-US" w:bidi="pl-PL"/>
        </w:rPr>
        <w:t>ych</w:t>
      </w:r>
      <w:r w:rsidRPr="00B61C37">
        <w:rPr>
          <w:rFonts w:ascii="Lato" w:eastAsiaTheme="minorHAnsi" w:hAnsi="Lato" w:cs="Arial"/>
          <w:bCs/>
          <w:spacing w:val="4"/>
          <w:sz w:val="22"/>
          <w:szCs w:val="22"/>
          <w:lang w:eastAsia="en-US" w:bidi="pl-PL"/>
        </w:rPr>
        <w:t xml:space="preserve"> sprowadzają się do żądania zapewnienia innego dostępu do </w:t>
      </w:r>
      <w:r w:rsidR="00BF0B2B" w:rsidRPr="00B61C37">
        <w:rPr>
          <w:rFonts w:ascii="Lato" w:eastAsiaTheme="minorHAnsi" w:hAnsi="Lato" w:cs="Arial"/>
          <w:bCs/>
          <w:spacing w:val="4"/>
          <w:sz w:val="22"/>
          <w:szCs w:val="22"/>
          <w:lang w:eastAsia="en-US" w:bidi="pl-PL"/>
        </w:rPr>
        <w:t>ich</w:t>
      </w:r>
      <w:r w:rsidRPr="00B61C37">
        <w:rPr>
          <w:rFonts w:ascii="Lato" w:eastAsiaTheme="minorHAnsi" w:hAnsi="Lato" w:cs="Arial"/>
          <w:bCs/>
          <w:spacing w:val="4"/>
          <w:sz w:val="22"/>
          <w:szCs w:val="22"/>
          <w:lang w:eastAsia="en-US" w:bidi="pl-PL"/>
        </w:rPr>
        <w:t xml:space="preserve"> dział</w:t>
      </w:r>
      <w:r w:rsidR="00BF0B2B" w:rsidRPr="00B61C37">
        <w:rPr>
          <w:rFonts w:ascii="Lato" w:eastAsiaTheme="minorHAnsi" w:hAnsi="Lato" w:cs="Arial"/>
          <w:bCs/>
          <w:spacing w:val="4"/>
          <w:sz w:val="22"/>
          <w:szCs w:val="22"/>
          <w:lang w:eastAsia="en-US" w:bidi="pl-PL"/>
        </w:rPr>
        <w:t>ek</w:t>
      </w:r>
      <w:r w:rsidRPr="00B61C37">
        <w:rPr>
          <w:rFonts w:ascii="Lato" w:eastAsiaTheme="minorHAnsi" w:hAnsi="Lato" w:cs="Arial"/>
          <w:bCs/>
          <w:spacing w:val="4"/>
          <w:sz w:val="22"/>
          <w:szCs w:val="22"/>
          <w:lang w:eastAsia="en-US" w:bidi="pl-PL"/>
        </w:rPr>
        <w:t>, niż ten</w:t>
      </w:r>
      <w:r w:rsidR="00BF0B2B" w:rsidRPr="00B61C37">
        <w:rPr>
          <w:rFonts w:ascii="Lato" w:eastAsiaTheme="minorHAnsi" w:hAnsi="Lato" w:cs="Arial"/>
          <w:bCs/>
          <w:spacing w:val="4"/>
          <w:sz w:val="22"/>
          <w:szCs w:val="22"/>
          <w:lang w:eastAsia="en-US" w:bidi="pl-PL"/>
        </w:rPr>
        <w:t>, który został zapewniony</w:t>
      </w:r>
      <w:r w:rsidRPr="00B61C37">
        <w:rPr>
          <w:rFonts w:ascii="Lato" w:eastAsiaTheme="minorHAnsi" w:hAnsi="Lato" w:cs="Arial"/>
          <w:bCs/>
          <w:spacing w:val="4"/>
          <w:sz w:val="22"/>
          <w:szCs w:val="22"/>
          <w:lang w:eastAsia="en-US" w:bidi="pl-PL"/>
        </w:rPr>
        <w:t xml:space="preserve">, wskazać należy, że stanowią one próbę wykazania posiadania interesu faktycznego, który nie podlega ochronie prawnej na podstawie art. </w:t>
      </w:r>
      <w:r w:rsidR="00BF0B2B" w:rsidRPr="00B61C37">
        <w:rPr>
          <w:rFonts w:ascii="Lato" w:eastAsiaTheme="minorHAnsi" w:hAnsi="Lato" w:cs="Arial"/>
          <w:bCs/>
          <w:spacing w:val="4"/>
          <w:sz w:val="22"/>
          <w:szCs w:val="22"/>
          <w:lang w:eastAsia="en-US" w:bidi="pl-PL"/>
        </w:rPr>
        <w:t>10 ust. 1 pkt 5</w:t>
      </w:r>
      <w:r w:rsidRPr="00B61C37">
        <w:rPr>
          <w:rFonts w:ascii="Lato" w:eastAsiaTheme="minorHAnsi" w:hAnsi="Lato" w:cs="Arial"/>
          <w:bCs/>
          <w:spacing w:val="4"/>
          <w:sz w:val="22"/>
          <w:szCs w:val="22"/>
          <w:lang w:eastAsia="en-US" w:bidi="pl-PL"/>
        </w:rPr>
        <w:t xml:space="preserve"> specustawy </w:t>
      </w:r>
      <w:r w:rsidR="00BF0B2B" w:rsidRPr="00B61C37">
        <w:rPr>
          <w:rFonts w:ascii="Lato" w:eastAsiaTheme="minorHAnsi" w:hAnsi="Lato" w:cs="Arial"/>
          <w:bCs/>
          <w:spacing w:val="4"/>
          <w:sz w:val="22"/>
          <w:szCs w:val="22"/>
          <w:lang w:eastAsia="en-US" w:bidi="pl-PL"/>
        </w:rPr>
        <w:t>gazowej</w:t>
      </w:r>
      <w:r w:rsidRPr="00B61C37">
        <w:rPr>
          <w:rFonts w:ascii="Lato" w:eastAsiaTheme="minorHAnsi" w:hAnsi="Lato" w:cs="Arial"/>
          <w:bCs/>
          <w:spacing w:val="4"/>
          <w:sz w:val="22"/>
          <w:szCs w:val="22"/>
          <w:lang w:eastAsia="en-US" w:bidi="pl-PL"/>
        </w:rPr>
        <w:t xml:space="preserve">. </w:t>
      </w:r>
    </w:p>
    <w:p w14:paraId="12F243F2" w14:textId="498E88A8" w:rsidR="0000024A" w:rsidRPr="00B61C37" w:rsidRDefault="000700DB" w:rsidP="00FB5D69">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Ponownie podkreślić</w:t>
      </w:r>
      <w:r w:rsidR="00BF0B2B" w:rsidRPr="00B61C37">
        <w:rPr>
          <w:rFonts w:ascii="Lato" w:eastAsiaTheme="minorHAnsi" w:hAnsi="Lato" w:cs="Arial"/>
          <w:bCs/>
          <w:spacing w:val="4"/>
          <w:sz w:val="22"/>
          <w:szCs w:val="22"/>
          <w:lang w:eastAsia="en-US" w:bidi="pl-PL"/>
        </w:rPr>
        <w:t xml:space="preserve"> w tym miejscu trzeba, że inwestor zadeklarował zagwarantowanie </w:t>
      </w:r>
      <w:r w:rsidRPr="00B61C37">
        <w:rPr>
          <w:rFonts w:ascii="Lato" w:eastAsiaTheme="minorHAnsi" w:hAnsi="Lato" w:cs="Arial"/>
          <w:bCs/>
          <w:spacing w:val="4"/>
          <w:sz w:val="22"/>
          <w:szCs w:val="22"/>
          <w:lang w:eastAsia="en-US" w:bidi="pl-PL"/>
        </w:rPr>
        <w:t xml:space="preserve">– poza postępowaniem w sprawie ustalenia lokalizacji inwestycji towarzyszącej inwestycjom w zakresie terminalu – </w:t>
      </w:r>
      <w:r w:rsidR="00BF0B2B" w:rsidRPr="00B61C37">
        <w:rPr>
          <w:rFonts w:ascii="Lato" w:eastAsiaTheme="minorHAnsi" w:hAnsi="Lato" w:cs="Arial"/>
          <w:bCs/>
          <w:spacing w:val="4"/>
          <w:sz w:val="22"/>
          <w:szCs w:val="22"/>
          <w:lang w:eastAsia="en-US" w:bidi="pl-PL"/>
        </w:rPr>
        <w:t>możliwości przejazdu, przechodu i przegonu przez nowopowstałą działkę nr 1506/13</w:t>
      </w:r>
      <w:r w:rsidRPr="00B61C37">
        <w:rPr>
          <w:rFonts w:ascii="Lato" w:eastAsiaTheme="minorHAnsi" w:hAnsi="Lato" w:cs="Arial"/>
          <w:bCs/>
          <w:spacing w:val="4"/>
          <w:sz w:val="22"/>
          <w:szCs w:val="22"/>
          <w:lang w:eastAsia="en-US" w:bidi="pl-PL"/>
        </w:rPr>
        <w:t xml:space="preserve"> również na rzecz działki nr 1506/7 i nr 1506/14.</w:t>
      </w:r>
    </w:p>
    <w:p w14:paraId="69CFD367" w14:textId="04DDC4AD" w:rsidR="00B23B94" w:rsidRPr="00B61C37" w:rsidRDefault="00B23B94" w:rsidP="00B23B94">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Odnosząc się do </w:t>
      </w:r>
      <w:r w:rsidR="0000359E" w:rsidRPr="00B61C37">
        <w:rPr>
          <w:rFonts w:ascii="Lato" w:eastAsiaTheme="minorHAnsi" w:hAnsi="Lato" w:cs="Arial"/>
          <w:bCs/>
          <w:spacing w:val="4"/>
          <w:sz w:val="22"/>
          <w:szCs w:val="22"/>
          <w:lang w:eastAsia="en-US"/>
        </w:rPr>
        <w:t>zarzutów stron skarżących, iż pozbawienie właścicieli działek możliwości korzystania ze swoich nieruchomości w sposób dotychczasowy będzie miało znaczenie z ekonomicznego punktu widzenia, bowiem taka zmiana spowoduje znaczne obniżenie wartości rynkowych poszczególnych nieruchomości</w:t>
      </w:r>
      <w:r w:rsidRPr="00B61C37">
        <w:rPr>
          <w:rFonts w:ascii="Lato" w:eastAsiaTheme="minorHAnsi" w:hAnsi="Lato" w:cs="Arial"/>
          <w:bCs/>
          <w:spacing w:val="4"/>
          <w:sz w:val="22"/>
          <w:szCs w:val="22"/>
          <w:lang w:eastAsia="en-US"/>
        </w:rPr>
        <w:t xml:space="preserve">, wyjaśnić należy, iż organ wydający decyzję </w:t>
      </w:r>
      <w:r w:rsidR="0000359E" w:rsidRPr="00B61C37">
        <w:rPr>
          <w:rFonts w:ascii="Lato" w:eastAsiaTheme="minorHAnsi" w:hAnsi="Lato" w:cs="Arial"/>
          <w:bCs/>
          <w:spacing w:val="4"/>
          <w:sz w:val="22"/>
          <w:szCs w:val="22"/>
          <w:lang w:eastAsia="en-US"/>
        </w:rPr>
        <w:t>o ustaleniu lokalizacji inwestycji w zakresie terminalu</w:t>
      </w:r>
      <w:r w:rsidRPr="00B61C37">
        <w:rPr>
          <w:rFonts w:ascii="Lato" w:eastAsiaTheme="minorHAnsi" w:hAnsi="Lato" w:cs="Arial"/>
          <w:bCs/>
          <w:spacing w:val="4"/>
          <w:sz w:val="22"/>
          <w:szCs w:val="22"/>
          <w:lang w:eastAsia="en-US"/>
        </w:rPr>
        <w:t xml:space="preserve"> nie jest kompetentny do oceny przesłanek ekonomicznych oraz społecznych powstającej inwestycji, w jej kształcie określonym przez inwestora. Do organu administracji należy jedynie ocena wniosku inwestora pod względem jego zgodności z prawem powszechnie obowiązującym, </w:t>
      </w:r>
      <w:r w:rsidRPr="00B61C37">
        <w:rPr>
          <w:rFonts w:ascii="Lato" w:eastAsiaTheme="minorHAnsi" w:hAnsi="Lato" w:cs="Arial"/>
          <w:bCs/>
          <w:spacing w:val="4"/>
          <w:sz w:val="22"/>
          <w:szCs w:val="22"/>
          <w:lang w:eastAsia="en-US" w:bidi="pl-PL"/>
        </w:rPr>
        <w:t xml:space="preserve">nie zaś analiza zagadnień dotyczących ewentualnych negatywnych następstw dla podmiotów objętych decyzją </w:t>
      </w:r>
      <w:r w:rsidR="001D459E" w:rsidRPr="00B61C37">
        <w:rPr>
          <w:rFonts w:ascii="Lato" w:eastAsiaTheme="minorHAnsi" w:hAnsi="Lato" w:cs="Arial"/>
          <w:bCs/>
          <w:spacing w:val="4"/>
          <w:sz w:val="22"/>
          <w:szCs w:val="22"/>
          <w:lang w:eastAsia="en-US" w:bidi="pl-PL"/>
        </w:rPr>
        <w:t>lokalizacyjną</w:t>
      </w:r>
      <w:r w:rsidRPr="00B61C37">
        <w:rPr>
          <w:rFonts w:ascii="Lato" w:eastAsiaTheme="minorHAnsi" w:hAnsi="Lato" w:cs="Arial"/>
          <w:bCs/>
          <w:spacing w:val="4"/>
          <w:sz w:val="22"/>
          <w:szCs w:val="22"/>
          <w:lang w:eastAsia="en-US"/>
        </w:rPr>
        <w:t xml:space="preserve">. </w:t>
      </w:r>
      <w:r w:rsidRPr="00B61C37">
        <w:rPr>
          <w:rFonts w:ascii="Lato" w:eastAsiaTheme="minorHAnsi" w:hAnsi="Lato" w:cs="Arial"/>
          <w:bCs/>
          <w:spacing w:val="4"/>
          <w:sz w:val="22"/>
          <w:szCs w:val="22"/>
          <w:lang w:eastAsia="en-US" w:bidi="pl-PL"/>
        </w:rPr>
        <w:t xml:space="preserve">Wskazane przez </w:t>
      </w:r>
      <w:r w:rsidR="001D459E" w:rsidRPr="00B61C37">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karżąc</w:t>
      </w:r>
      <w:r w:rsidR="001D459E" w:rsidRPr="00B61C37">
        <w:rPr>
          <w:rFonts w:ascii="Lato" w:eastAsiaTheme="minorHAnsi" w:hAnsi="Lato" w:cs="Arial"/>
          <w:bCs/>
          <w:spacing w:val="4"/>
          <w:sz w:val="22"/>
          <w:szCs w:val="22"/>
          <w:lang w:eastAsia="en-US" w:bidi="pl-PL"/>
        </w:rPr>
        <w:t>ych</w:t>
      </w:r>
      <w:r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lastRenderedPageBreak/>
        <w:t xml:space="preserve">kwestie nie są zatem przedmiotem rozważań organów administracji właściwych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w sprawie wydania </w:t>
      </w:r>
      <w:r w:rsidR="001D459E" w:rsidRPr="00B61C37">
        <w:rPr>
          <w:rFonts w:ascii="Lato" w:eastAsiaTheme="minorHAnsi" w:hAnsi="Lato" w:cs="Arial"/>
          <w:bCs/>
          <w:spacing w:val="4"/>
          <w:sz w:val="22"/>
          <w:szCs w:val="22"/>
          <w:lang w:eastAsia="en-US" w:bidi="pl-PL"/>
        </w:rPr>
        <w:t xml:space="preserve">decyzji </w:t>
      </w:r>
      <w:r w:rsidR="001D459E" w:rsidRPr="00B61C37">
        <w:rPr>
          <w:rFonts w:ascii="Lato" w:eastAsiaTheme="minorHAnsi" w:hAnsi="Lato" w:cs="Arial"/>
          <w:bCs/>
          <w:spacing w:val="4"/>
          <w:sz w:val="22"/>
          <w:szCs w:val="22"/>
          <w:lang w:eastAsia="en-US"/>
        </w:rPr>
        <w:t>o ustaleniu lokalizacji inwestycji w zakresie terminalu</w:t>
      </w:r>
      <w:r w:rsidRPr="00B61C37">
        <w:rPr>
          <w:rFonts w:ascii="Lato" w:eastAsiaTheme="minorHAnsi" w:hAnsi="Lato" w:cs="Arial"/>
          <w:bCs/>
          <w:spacing w:val="4"/>
          <w:sz w:val="22"/>
          <w:szCs w:val="22"/>
          <w:lang w:eastAsia="en-US" w:bidi="pl-PL"/>
        </w:rPr>
        <w:t>.</w:t>
      </w:r>
    </w:p>
    <w:p w14:paraId="64EDFC52" w14:textId="3AF24946" w:rsidR="00B23B94" w:rsidRPr="00B61C37" w:rsidRDefault="001D459E" w:rsidP="00B23B94">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rPr>
        <w:t>Za wywłaszczone nieruchomości Skarżącym będzie przysługiwało odszkodowanie. Ocenie będą podlegać także s</w:t>
      </w:r>
      <w:r w:rsidRPr="00B61C37">
        <w:rPr>
          <w:rFonts w:ascii="Lato" w:eastAsiaTheme="minorHAnsi" w:hAnsi="Lato" w:cs="Arial"/>
          <w:bCs/>
          <w:spacing w:val="4"/>
          <w:sz w:val="22"/>
          <w:szCs w:val="22"/>
          <w:lang w:eastAsia="en-US" w:bidi="pl-PL"/>
        </w:rPr>
        <w:t xml:space="preserve">kutki ograniczenia w korzystaniu z nieruchomości na mocy art. 24 specustawy gazowej. Natomiast powyższe kwestie będą przedmiotem odrębnego postępowania, a nie decyzji o ustaleniu lokalizacji inwestycji towarzyszącej inwestycjom w zakresie terminalu. </w:t>
      </w:r>
      <w:r w:rsidR="00785A56" w:rsidRPr="00B61C37">
        <w:rPr>
          <w:rFonts w:ascii="Lato" w:eastAsiaTheme="minorHAnsi" w:hAnsi="Lato" w:cs="Arial"/>
          <w:bCs/>
          <w:spacing w:val="4"/>
          <w:sz w:val="22"/>
          <w:szCs w:val="22"/>
          <w:lang w:eastAsia="en-US"/>
        </w:rPr>
        <w:t>Dodatkowo, j</w:t>
      </w:r>
      <w:r w:rsidR="00B23B94" w:rsidRPr="00B61C37">
        <w:rPr>
          <w:rFonts w:ascii="Lato" w:eastAsiaTheme="minorHAnsi" w:hAnsi="Lato" w:cs="Arial"/>
          <w:bCs/>
          <w:spacing w:val="4"/>
          <w:sz w:val="22"/>
          <w:szCs w:val="22"/>
          <w:lang w:eastAsia="en-US"/>
        </w:rPr>
        <w:t xml:space="preserve">eżeli w wyniku realizacji ww. inwestycji </w:t>
      </w:r>
      <w:r w:rsidR="00785A56" w:rsidRPr="00B61C37">
        <w:rPr>
          <w:rFonts w:ascii="Lato" w:eastAsiaTheme="minorHAnsi" w:hAnsi="Lato" w:cs="Arial"/>
          <w:bCs/>
          <w:spacing w:val="4"/>
          <w:sz w:val="22"/>
          <w:szCs w:val="22"/>
          <w:lang w:eastAsia="en-US"/>
        </w:rPr>
        <w:t>S</w:t>
      </w:r>
      <w:r w:rsidR="00B23B94" w:rsidRPr="00B61C37">
        <w:rPr>
          <w:rFonts w:ascii="Lato" w:eastAsiaTheme="minorHAnsi" w:hAnsi="Lato" w:cs="Arial"/>
          <w:bCs/>
          <w:spacing w:val="4"/>
          <w:sz w:val="22"/>
          <w:szCs w:val="22"/>
          <w:lang w:eastAsia="en-US"/>
        </w:rPr>
        <w:t>karżący poni</w:t>
      </w:r>
      <w:r w:rsidR="00785A56" w:rsidRPr="00B61C37">
        <w:rPr>
          <w:rFonts w:ascii="Lato" w:eastAsiaTheme="minorHAnsi" w:hAnsi="Lato" w:cs="Arial"/>
          <w:bCs/>
          <w:spacing w:val="4"/>
          <w:sz w:val="22"/>
          <w:szCs w:val="22"/>
          <w:lang w:eastAsia="en-US"/>
        </w:rPr>
        <w:t>osą</w:t>
      </w:r>
      <w:r w:rsidR="00B23B94" w:rsidRPr="00B61C37">
        <w:rPr>
          <w:rFonts w:ascii="Lato" w:eastAsiaTheme="minorHAnsi" w:hAnsi="Lato" w:cs="Arial"/>
          <w:bCs/>
          <w:spacing w:val="4"/>
          <w:sz w:val="22"/>
          <w:szCs w:val="22"/>
          <w:lang w:eastAsia="en-US"/>
        </w:rPr>
        <w:t xml:space="preserve"> jakiekolwiek szkody materialne, to będzie </w:t>
      </w:r>
      <w:r w:rsidR="00785A56" w:rsidRPr="00B61C37">
        <w:rPr>
          <w:rFonts w:ascii="Lato" w:eastAsiaTheme="minorHAnsi" w:hAnsi="Lato" w:cs="Arial"/>
          <w:bCs/>
          <w:spacing w:val="4"/>
          <w:sz w:val="22"/>
          <w:szCs w:val="22"/>
          <w:lang w:eastAsia="en-US"/>
        </w:rPr>
        <w:t>im</w:t>
      </w:r>
      <w:r w:rsidR="00B23B94" w:rsidRPr="00B61C37">
        <w:rPr>
          <w:rFonts w:ascii="Lato" w:eastAsiaTheme="minorHAnsi" w:hAnsi="Lato" w:cs="Arial"/>
          <w:bCs/>
          <w:spacing w:val="4"/>
          <w:sz w:val="22"/>
          <w:szCs w:val="22"/>
          <w:lang w:eastAsia="en-US"/>
        </w:rPr>
        <w:t xml:space="preserve"> przysługiwało roszczenie odszkodowawcze, dochodzone na zasadach ogólnych w postępowaniu cywilnym. Podkreślić także należy, że przedmiotem orzekania zarówno przez Wojewodę </w:t>
      </w:r>
      <w:r w:rsidR="00785A56" w:rsidRPr="00B61C37">
        <w:rPr>
          <w:rFonts w:ascii="Lato" w:eastAsiaTheme="minorHAnsi" w:hAnsi="Lato" w:cs="Arial"/>
          <w:bCs/>
          <w:spacing w:val="4"/>
          <w:sz w:val="22"/>
          <w:szCs w:val="22"/>
          <w:lang w:eastAsia="en-US"/>
        </w:rPr>
        <w:t>Podkarpackiego</w:t>
      </w:r>
      <w:r w:rsidR="00B23B94" w:rsidRPr="00B61C37">
        <w:rPr>
          <w:rFonts w:ascii="Lato" w:eastAsiaTheme="minorHAnsi" w:hAnsi="Lato" w:cs="Arial"/>
          <w:bCs/>
          <w:spacing w:val="4"/>
          <w:sz w:val="22"/>
          <w:szCs w:val="22"/>
          <w:lang w:eastAsia="en-US"/>
        </w:rPr>
        <w:t xml:space="preserve">, jak i Ministra, nie jest prognozowanie wielkości ewentualnych strat w majątku </w:t>
      </w:r>
      <w:r w:rsidR="00785A56" w:rsidRPr="00B61C37">
        <w:rPr>
          <w:rFonts w:ascii="Lato" w:eastAsiaTheme="minorHAnsi" w:hAnsi="Lato" w:cs="Arial"/>
          <w:bCs/>
          <w:spacing w:val="4"/>
          <w:sz w:val="22"/>
          <w:szCs w:val="22"/>
          <w:lang w:eastAsia="en-US"/>
        </w:rPr>
        <w:t>S</w:t>
      </w:r>
      <w:r w:rsidR="00B23B94" w:rsidRPr="00B61C37">
        <w:rPr>
          <w:rFonts w:ascii="Lato" w:eastAsiaTheme="minorHAnsi" w:hAnsi="Lato" w:cs="Arial"/>
          <w:bCs/>
          <w:spacing w:val="4"/>
          <w:sz w:val="22"/>
          <w:szCs w:val="22"/>
          <w:lang w:eastAsia="en-US"/>
        </w:rPr>
        <w:t>karżąc</w:t>
      </w:r>
      <w:r w:rsidR="00785A56" w:rsidRPr="00B61C37">
        <w:rPr>
          <w:rFonts w:ascii="Lato" w:eastAsiaTheme="minorHAnsi" w:hAnsi="Lato" w:cs="Arial"/>
          <w:bCs/>
          <w:spacing w:val="4"/>
          <w:sz w:val="22"/>
          <w:szCs w:val="22"/>
          <w:lang w:eastAsia="en-US"/>
        </w:rPr>
        <w:t>ych,</w:t>
      </w:r>
      <w:r w:rsidR="00B23B94" w:rsidRPr="00B61C37">
        <w:rPr>
          <w:rFonts w:ascii="Lato" w:eastAsiaTheme="minorHAnsi" w:hAnsi="Lato" w:cs="Arial"/>
          <w:bCs/>
          <w:spacing w:val="4"/>
          <w:sz w:val="22"/>
          <w:szCs w:val="22"/>
          <w:lang w:eastAsia="en-US"/>
        </w:rPr>
        <w:t xml:space="preserve"> jako czynnika decydującego o wyborze przez inwestora przebiegu inwestycji. W tym zakresie podnoszone przez </w:t>
      </w:r>
      <w:r w:rsidR="00785A56" w:rsidRPr="00B61C37">
        <w:rPr>
          <w:rFonts w:ascii="Lato" w:eastAsiaTheme="minorHAnsi" w:hAnsi="Lato" w:cs="Arial"/>
          <w:bCs/>
          <w:spacing w:val="4"/>
          <w:sz w:val="22"/>
          <w:szCs w:val="22"/>
          <w:lang w:eastAsia="en-US"/>
        </w:rPr>
        <w:t>S</w:t>
      </w:r>
      <w:r w:rsidR="00B23B94" w:rsidRPr="00B61C37">
        <w:rPr>
          <w:rFonts w:ascii="Lato" w:eastAsiaTheme="minorHAnsi" w:hAnsi="Lato" w:cs="Arial"/>
          <w:bCs/>
          <w:spacing w:val="4"/>
          <w:sz w:val="22"/>
          <w:szCs w:val="22"/>
          <w:lang w:eastAsia="en-US"/>
        </w:rPr>
        <w:t>karżąc</w:t>
      </w:r>
      <w:r w:rsidR="00785A56" w:rsidRPr="00B61C37">
        <w:rPr>
          <w:rFonts w:ascii="Lato" w:eastAsiaTheme="minorHAnsi" w:hAnsi="Lato" w:cs="Arial"/>
          <w:bCs/>
          <w:spacing w:val="4"/>
          <w:sz w:val="22"/>
          <w:szCs w:val="22"/>
          <w:lang w:eastAsia="en-US"/>
        </w:rPr>
        <w:t>ych</w:t>
      </w:r>
      <w:r w:rsidR="00B23B94" w:rsidRPr="00B61C37">
        <w:rPr>
          <w:rFonts w:ascii="Lato" w:eastAsiaTheme="minorHAnsi" w:hAnsi="Lato" w:cs="Arial"/>
          <w:bCs/>
          <w:spacing w:val="4"/>
          <w:sz w:val="22"/>
          <w:szCs w:val="22"/>
          <w:lang w:eastAsia="en-US"/>
        </w:rPr>
        <w:t xml:space="preserve"> zarzuty pozostają zatem bez wpływu na kształt podjętego rozstrzygnięcia.</w:t>
      </w:r>
      <w:r w:rsidRPr="00B61C37">
        <w:rPr>
          <w:rFonts w:ascii="Lato" w:eastAsiaTheme="minorHAnsi" w:hAnsi="Lato" w:cs="Arial"/>
          <w:bCs/>
          <w:spacing w:val="4"/>
          <w:sz w:val="22"/>
          <w:szCs w:val="22"/>
          <w:lang w:eastAsia="en-US"/>
        </w:rPr>
        <w:t xml:space="preserve"> </w:t>
      </w:r>
    </w:p>
    <w:p w14:paraId="358CB67E" w14:textId="7D026466" w:rsidR="00D9396D" w:rsidRPr="00B61C37" w:rsidRDefault="005813AE" w:rsidP="005813A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rPr>
        <w:t xml:space="preserve">Ustosunkowując się do zarzutu stron skarżących w przedmiocie naruszenia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art. </w:t>
      </w:r>
      <w:r w:rsidRPr="00B61C37">
        <w:rPr>
          <w:rFonts w:ascii="Lato" w:eastAsiaTheme="minorHAnsi" w:hAnsi="Lato" w:cs="Arial"/>
          <w:bCs/>
          <w:spacing w:val="4"/>
          <w:sz w:val="22"/>
          <w:szCs w:val="22"/>
          <w:lang w:eastAsia="en-US" w:bidi="pl-PL"/>
        </w:rPr>
        <w:t>140 ustawy z dnia 23 kwietnia 1964 r. – Kodeks cywilny (Dz. U. z 2024 r. poz. 1061 z późn. zm.)</w:t>
      </w:r>
      <w:r w:rsidR="00242E95" w:rsidRPr="00B61C37">
        <w:rPr>
          <w:rFonts w:ascii="Lato" w:eastAsiaTheme="minorHAnsi" w:hAnsi="Lato" w:cs="Arial"/>
          <w:bCs/>
          <w:spacing w:val="4"/>
          <w:sz w:val="22"/>
          <w:szCs w:val="22"/>
          <w:lang w:eastAsia="en-US" w:bidi="pl-PL"/>
        </w:rPr>
        <w:t xml:space="preserve">, zwanej dalej „kc”, </w:t>
      </w:r>
      <w:r w:rsidRPr="00B61C37">
        <w:rPr>
          <w:rFonts w:ascii="Lato" w:eastAsiaTheme="minorHAnsi" w:hAnsi="Lato" w:cs="Arial"/>
          <w:bCs/>
          <w:spacing w:val="4"/>
          <w:sz w:val="22"/>
          <w:szCs w:val="22"/>
          <w:lang w:eastAsia="en-US" w:bidi="pl-PL"/>
        </w:rPr>
        <w:t xml:space="preserve">poprzez jego niezastosowanie i wydanie zaskarżonej decyzji, w </w:t>
      </w:r>
      <w:proofErr w:type="gramStart"/>
      <w:r w:rsidRPr="00B61C37">
        <w:rPr>
          <w:rFonts w:ascii="Lato" w:eastAsiaTheme="minorHAnsi" w:hAnsi="Lato" w:cs="Arial"/>
          <w:bCs/>
          <w:spacing w:val="4"/>
          <w:sz w:val="22"/>
          <w:szCs w:val="22"/>
          <w:lang w:eastAsia="en-US" w:bidi="pl-PL"/>
        </w:rPr>
        <w:t>sytuacji</w:t>
      </w:r>
      <w:proofErr w:type="gramEnd"/>
      <w:r w:rsidRPr="00B61C37">
        <w:rPr>
          <w:rFonts w:ascii="Lato" w:eastAsiaTheme="minorHAnsi" w:hAnsi="Lato" w:cs="Arial"/>
          <w:bCs/>
          <w:spacing w:val="4"/>
          <w:sz w:val="22"/>
          <w:szCs w:val="22"/>
          <w:lang w:eastAsia="en-US" w:bidi="pl-PL"/>
        </w:rPr>
        <w:t xml:space="preserve"> gdy przedmiotowa decyzja uniemożliwia właścicielom części działek zgodne z prawem korzystanie z należącej do nich nieruchomości</w:t>
      </w:r>
      <w:r w:rsidR="00F46A91" w:rsidRPr="00B61C37">
        <w:rPr>
          <w:rFonts w:ascii="Lato" w:eastAsiaTheme="minorHAnsi" w:hAnsi="Lato" w:cs="Arial"/>
          <w:bCs/>
          <w:spacing w:val="4"/>
          <w:sz w:val="22"/>
          <w:szCs w:val="22"/>
          <w:lang w:eastAsia="en-US" w:bidi="pl-PL"/>
        </w:rPr>
        <w:t xml:space="preserve">, a także zarzutów podniesionych przez Panią </w:t>
      </w:r>
      <w:r w:rsidR="001B4246">
        <w:rPr>
          <w:rFonts w:ascii="Lato" w:eastAsiaTheme="minorHAnsi" w:hAnsi="Lato" w:cs="Arial"/>
          <w:bCs/>
          <w:spacing w:val="4"/>
          <w:sz w:val="22"/>
          <w:szCs w:val="22"/>
          <w:lang w:eastAsia="en-US" w:bidi="pl-PL"/>
        </w:rPr>
        <w:t>A.</w:t>
      </w:r>
      <w:r w:rsidR="00F46A91"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S.</w:t>
      </w:r>
      <w:r w:rsidR="00F46A91" w:rsidRPr="00B61C37">
        <w:rPr>
          <w:rFonts w:ascii="Lato" w:eastAsiaTheme="minorHAnsi" w:hAnsi="Lato" w:cs="Arial"/>
          <w:bCs/>
          <w:spacing w:val="4"/>
          <w:sz w:val="22"/>
          <w:szCs w:val="22"/>
          <w:lang w:eastAsia="en-US" w:bidi="pl-PL"/>
        </w:rPr>
        <w:t xml:space="preserve"> i Pana </w:t>
      </w:r>
      <w:r w:rsidR="001B4246">
        <w:rPr>
          <w:rFonts w:ascii="Lato" w:eastAsiaTheme="minorHAnsi" w:hAnsi="Lato" w:cs="Arial"/>
          <w:bCs/>
          <w:spacing w:val="4"/>
          <w:sz w:val="22"/>
          <w:szCs w:val="22"/>
          <w:lang w:eastAsia="en-US" w:bidi="pl-PL"/>
        </w:rPr>
        <w:t>A.</w:t>
      </w:r>
      <w:r w:rsidR="00F46A91"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B.</w:t>
      </w:r>
      <w:r w:rsidR="00F46A91" w:rsidRPr="00B61C37">
        <w:rPr>
          <w:rFonts w:ascii="Lato" w:eastAsiaTheme="minorHAnsi" w:hAnsi="Lato" w:cs="Arial"/>
          <w:bCs/>
          <w:spacing w:val="4"/>
          <w:sz w:val="22"/>
          <w:szCs w:val="22"/>
          <w:lang w:eastAsia="en-US" w:bidi="pl-PL"/>
        </w:rPr>
        <w:t xml:space="preserve"> </w:t>
      </w:r>
      <w:r w:rsidR="006253E8" w:rsidRPr="00B61C37">
        <w:rPr>
          <w:rFonts w:ascii="Lato" w:eastAsiaTheme="minorHAnsi" w:hAnsi="Lato" w:cs="Arial"/>
          <w:bCs/>
          <w:spacing w:val="4"/>
          <w:sz w:val="22"/>
          <w:szCs w:val="22"/>
          <w:lang w:eastAsia="en-US" w:bidi="pl-PL"/>
        </w:rPr>
        <w:t xml:space="preserve">oraz Panią </w:t>
      </w:r>
      <w:r w:rsidR="001B4246">
        <w:rPr>
          <w:rFonts w:ascii="Lato" w:eastAsiaTheme="minorHAnsi" w:hAnsi="Lato" w:cs="Arial"/>
          <w:bCs/>
          <w:spacing w:val="4"/>
          <w:sz w:val="22"/>
          <w:szCs w:val="22"/>
          <w:lang w:eastAsia="en-US" w:bidi="pl-PL"/>
        </w:rPr>
        <w:t>B.</w:t>
      </w:r>
      <w:r w:rsidR="006253E8"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Z.</w:t>
      </w:r>
      <w:r w:rsidR="006253E8" w:rsidRPr="00B61C37">
        <w:rPr>
          <w:rFonts w:ascii="Lato" w:eastAsiaTheme="minorHAnsi" w:hAnsi="Lato" w:cs="Arial"/>
          <w:bCs/>
          <w:spacing w:val="4"/>
          <w:sz w:val="22"/>
          <w:szCs w:val="22"/>
          <w:lang w:eastAsia="en-US" w:bidi="pl-PL"/>
        </w:rPr>
        <w:t xml:space="preserve"> </w:t>
      </w:r>
      <w:r w:rsidR="00F46A91" w:rsidRPr="00B61C37">
        <w:rPr>
          <w:rFonts w:ascii="Lato" w:eastAsiaTheme="minorHAnsi" w:hAnsi="Lato" w:cs="Arial"/>
          <w:bCs/>
          <w:spacing w:val="4"/>
          <w:sz w:val="22"/>
          <w:szCs w:val="22"/>
          <w:lang w:eastAsia="en-US" w:bidi="pl-PL"/>
        </w:rPr>
        <w:t>w zakresie naruszenia prawnej ochrony prawa własności gwarantowanej przez Konstytucję Rzeczypospolitej Polskiej z dnia 2 kwietnia 1997 r. (Dz. U. Nr 78, poz. 483), zwanej dalej „Konstytucją RP”</w:t>
      </w:r>
      <w:r w:rsidR="000A53A4" w:rsidRPr="00B61C37">
        <w:rPr>
          <w:rFonts w:ascii="Lato" w:eastAsiaTheme="minorHAnsi" w:hAnsi="Lato" w:cs="Arial"/>
          <w:bCs/>
          <w:spacing w:val="4"/>
          <w:sz w:val="22"/>
          <w:szCs w:val="22"/>
          <w:lang w:eastAsia="en-US" w:bidi="pl-PL"/>
        </w:rPr>
        <w:t xml:space="preserve"> oraz przepisów </w:t>
      </w:r>
      <w:r w:rsidR="00B179DC" w:rsidRPr="00B61C37">
        <w:rPr>
          <w:rFonts w:ascii="Lato" w:eastAsiaTheme="minorHAnsi" w:hAnsi="Lato" w:cs="Arial"/>
          <w:spacing w:val="4"/>
          <w:sz w:val="22"/>
          <w:szCs w:val="22"/>
          <w:lang w:eastAsia="en-US" w:bidi="pl-PL"/>
        </w:rPr>
        <w:t xml:space="preserve">Konwencji </w:t>
      </w:r>
      <w:r w:rsidR="00B179DC" w:rsidRPr="00B61C37">
        <w:rPr>
          <w:rFonts w:ascii="Lato" w:eastAsiaTheme="minorHAnsi" w:hAnsi="Lato" w:cs="Arial"/>
          <w:bCs/>
          <w:spacing w:val="4"/>
          <w:sz w:val="22"/>
          <w:szCs w:val="22"/>
          <w:lang w:eastAsia="en-US" w:bidi="pl-PL"/>
        </w:rPr>
        <w:t xml:space="preserve">z dnia 4 listopada 1950 r. </w:t>
      </w:r>
      <w:r w:rsidR="002658DD" w:rsidRPr="00B61C37">
        <w:rPr>
          <w:rFonts w:ascii="Lato" w:eastAsiaTheme="minorHAnsi" w:hAnsi="Lato" w:cs="Arial"/>
          <w:bCs/>
          <w:spacing w:val="4"/>
          <w:sz w:val="22"/>
          <w:szCs w:val="22"/>
          <w:lang w:eastAsia="en-US" w:bidi="pl-PL"/>
        </w:rPr>
        <w:br/>
      </w:r>
      <w:r w:rsidR="00B179DC" w:rsidRPr="00B61C37">
        <w:rPr>
          <w:rFonts w:ascii="Lato" w:eastAsiaTheme="minorHAnsi" w:hAnsi="Lato" w:cs="Arial"/>
          <w:bCs/>
          <w:spacing w:val="4"/>
          <w:sz w:val="22"/>
          <w:szCs w:val="22"/>
          <w:lang w:eastAsia="en-US" w:bidi="pl-PL"/>
        </w:rPr>
        <w:t>o ochronie praw człowieka i podstawowych wolności (Dz. U. 1993 Nr 61 poz. 284 z późn. zm.), zwanej dalej „</w:t>
      </w:r>
      <w:r w:rsidR="00B179DC" w:rsidRPr="00B61C37">
        <w:rPr>
          <w:rFonts w:ascii="Lato" w:eastAsiaTheme="minorHAnsi" w:hAnsi="Lato" w:cs="Arial"/>
          <w:spacing w:val="4"/>
          <w:sz w:val="22"/>
          <w:szCs w:val="22"/>
          <w:lang w:eastAsia="en-US" w:bidi="pl-PL"/>
        </w:rPr>
        <w:t xml:space="preserve">Konwencją o </w:t>
      </w:r>
      <w:r w:rsidR="00B179DC" w:rsidRPr="00B61C37">
        <w:rPr>
          <w:rFonts w:ascii="Lato" w:eastAsiaTheme="minorHAnsi" w:hAnsi="Lato" w:cs="Arial"/>
          <w:bCs/>
          <w:spacing w:val="4"/>
          <w:sz w:val="22"/>
          <w:szCs w:val="22"/>
          <w:lang w:eastAsia="en-US" w:bidi="pl-PL"/>
        </w:rPr>
        <w:t>ochronie praw człowieka i podstawowych wolności”</w:t>
      </w:r>
      <w:r w:rsidR="00390388" w:rsidRPr="00B61C37">
        <w:rPr>
          <w:rFonts w:ascii="Lato" w:eastAsiaTheme="minorHAnsi" w:hAnsi="Lato" w:cs="Arial"/>
          <w:bCs/>
          <w:spacing w:val="4"/>
          <w:sz w:val="22"/>
          <w:szCs w:val="22"/>
          <w:lang w:eastAsia="en-US" w:bidi="pl-PL"/>
        </w:rPr>
        <w:t xml:space="preserve">, wyjaśnić należy, że organ II instancji – mając na uwadze art. </w:t>
      </w:r>
      <w:r w:rsidR="00390388" w:rsidRPr="00B61C37">
        <w:rPr>
          <w:rFonts w:ascii="Lato" w:eastAsiaTheme="minorHAnsi" w:hAnsi="Lato" w:cs="Arial"/>
          <w:bCs/>
          <w:spacing w:val="4"/>
          <w:sz w:val="22"/>
          <w:szCs w:val="22"/>
          <w:lang w:eastAsia="en-US"/>
        </w:rPr>
        <w:t xml:space="preserve">93 ust. 3 ustawy </w:t>
      </w:r>
      <w:r w:rsidR="001B4246">
        <w:rPr>
          <w:rFonts w:ascii="Lato" w:eastAsiaTheme="minorHAnsi" w:hAnsi="Lato" w:cs="Arial"/>
          <w:bCs/>
          <w:spacing w:val="4"/>
          <w:sz w:val="22"/>
          <w:szCs w:val="22"/>
          <w:lang w:eastAsia="en-US"/>
        </w:rPr>
        <w:br/>
      </w:r>
      <w:r w:rsidR="00390388" w:rsidRPr="00B61C37">
        <w:rPr>
          <w:rFonts w:ascii="Lato" w:eastAsiaTheme="minorHAnsi" w:hAnsi="Lato" w:cs="Arial"/>
          <w:bCs/>
          <w:spacing w:val="4"/>
          <w:sz w:val="22"/>
          <w:szCs w:val="22"/>
          <w:lang w:eastAsia="en-US"/>
        </w:rPr>
        <w:t xml:space="preserve">o gospodarce nieruchomościami stanowiący o niedopuszczalności podziału nieruchomości w przypadku, gdy projektowane do wydzielenia działki gruntu nie mają dostępu do drogi publicznej – skorygował zapisy Wojewody Podkarpackiego dotyczące </w:t>
      </w:r>
      <w:r w:rsidR="006C674A" w:rsidRPr="00B61C37">
        <w:rPr>
          <w:rFonts w:ascii="Lato" w:eastAsiaTheme="minorHAnsi" w:hAnsi="Lato" w:cs="Arial"/>
          <w:bCs/>
          <w:spacing w:val="4"/>
          <w:sz w:val="22"/>
          <w:szCs w:val="22"/>
          <w:lang w:eastAsia="en-US"/>
        </w:rPr>
        <w:t>określenia wymagań dotyczących ochrony</w:t>
      </w:r>
      <w:r w:rsidR="00390388" w:rsidRPr="00B61C37">
        <w:rPr>
          <w:rFonts w:ascii="Lato" w:eastAsiaTheme="minorHAnsi" w:hAnsi="Lato" w:cs="Arial"/>
          <w:bCs/>
          <w:spacing w:val="4"/>
          <w:sz w:val="22"/>
          <w:szCs w:val="22"/>
          <w:lang w:eastAsia="en-US"/>
        </w:rPr>
        <w:t xml:space="preserve"> interesów osób trzecich</w:t>
      </w:r>
      <w:r w:rsidR="006C674A" w:rsidRPr="00B61C37">
        <w:rPr>
          <w:rFonts w:ascii="Lato" w:eastAsiaTheme="minorHAnsi" w:hAnsi="Lato" w:cs="Arial"/>
          <w:bCs/>
          <w:spacing w:val="4"/>
          <w:sz w:val="22"/>
          <w:szCs w:val="22"/>
          <w:lang w:eastAsia="en-US"/>
        </w:rPr>
        <w:t xml:space="preserve">, co zostało już szczegółowo omówione w niniejszym rozstrzygnięciu. </w:t>
      </w:r>
    </w:p>
    <w:p w14:paraId="5BE90C9A" w14:textId="718BE135" w:rsidR="00D9396D" w:rsidRPr="00B61C37" w:rsidRDefault="00D9396D" w:rsidP="00D9396D">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Godzi się w tym miejscu zauważyć, iż niewątpliwie </w:t>
      </w:r>
      <w:proofErr w:type="gramStart"/>
      <w:r w:rsidRPr="00B61C37">
        <w:rPr>
          <w:rFonts w:ascii="Lato" w:eastAsiaTheme="minorHAnsi" w:hAnsi="Lato" w:cs="Arial"/>
          <w:bCs/>
          <w:spacing w:val="4"/>
          <w:sz w:val="22"/>
          <w:szCs w:val="22"/>
          <w:lang w:eastAsia="en-US" w:bidi="pl-PL"/>
        </w:rPr>
        <w:t>własność,</w:t>
      </w:r>
      <w:proofErr w:type="gramEnd"/>
      <w:r w:rsidRPr="00B61C37">
        <w:rPr>
          <w:rFonts w:ascii="Lato" w:eastAsiaTheme="minorHAnsi" w:hAnsi="Lato" w:cs="Arial"/>
          <w:bCs/>
          <w:spacing w:val="4"/>
          <w:sz w:val="22"/>
          <w:szCs w:val="22"/>
          <w:lang w:eastAsia="en-US" w:bidi="pl-PL"/>
        </w:rPr>
        <w:t xml:space="preserve"> jako podstawowa wartość państwa praw</w:t>
      </w:r>
      <w:r w:rsidR="008F24FB">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podlega szczególnej ochronie, gwarantowanej w art. 21 ust. 1 ustawy zasadniczej. Jednak ochrona ta ustępuje niekiedy wartościom wyżej cenionym przez ustawodawcę. Za taką wartość, która powinna być w sposób szczególny uwzględniana, ustawodawca przyjął „cel publiczny”. Tym samym, zagwarantowanie w </w:t>
      </w:r>
      <w:r w:rsidRPr="00B61C37">
        <w:rPr>
          <w:rFonts w:ascii="Lato" w:eastAsiaTheme="minorHAnsi" w:hAnsi="Lato" w:cs="Arial"/>
          <w:bCs/>
          <w:spacing w:val="4"/>
          <w:sz w:val="22"/>
          <w:szCs w:val="22"/>
          <w:lang w:eastAsia="en-US"/>
        </w:rPr>
        <w:t xml:space="preserve">Konstytucji </w:t>
      </w:r>
      <w:r w:rsidR="00510989" w:rsidRPr="00B61C37">
        <w:rPr>
          <w:rFonts w:ascii="Lato" w:eastAsiaTheme="minorHAnsi" w:hAnsi="Lato" w:cs="Arial"/>
          <w:bCs/>
          <w:spacing w:val="4"/>
          <w:sz w:val="22"/>
          <w:szCs w:val="22"/>
          <w:lang w:eastAsia="en-US"/>
        </w:rPr>
        <w:t>RP</w:t>
      </w:r>
      <w:r w:rsidRPr="00B61C37">
        <w:rPr>
          <w:rFonts w:ascii="Lato" w:eastAsiaTheme="minorHAnsi" w:hAnsi="Lato" w:cs="Arial"/>
          <w:bCs/>
          <w:spacing w:val="4"/>
          <w:sz w:val="22"/>
          <w:szCs w:val="22"/>
          <w:lang w:eastAsia="en-US" w:bidi="pl-PL"/>
        </w:rPr>
        <w:t xml:space="preserve"> prawnej ochrony prawa własności oznacza, że nie jest ono nienaruszalne i absolutne. Konstytucja RP przewiduje sytuacje tego rodzaju i dlatego nie wyklucza i nie zakazuje dokonywania wywłaszczenia mienia lub ograniczenia w sposobie korzystania z niego.</w:t>
      </w:r>
    </w:p>
    <w:p w14:paraId="16956104" w14:textId="54E9F8DC" w:rsidR="00D9396D" w:rsidRPr="00B61C37" w:rsidRDefault="00D9396D" w:rsidP="00D9396D">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Przepis art. 64 ust. 3 Konstytucji RP wskazuje, że własność może być ograniczona tylko </w:t>
      </w:r>
      <w:r w:rsidRPr="00B61C37">
        <w:rPr>
          <w:rFonts w:ascii="Lato" w:eastAsiaTheme="minorHAnsi" w:hAnsi="Lato" w:cs="Arial"/>
          <w:bCs/>
          <w:spacing w:val="4"/>
          <w:sz w:val="22"/>
          <w:szCs w:val="22"/>
          <w:lang w:eastAsia="en-US" w:bidi="pl-PL"/>
        </w:rPr>
        <w:br/>
        <w:t xml:space="preserve">w drodze ustawy i tylko w zakresie, w jakim nie narusza to istoty prawa własności. Przepis ten statuuje przesłankę formalną ograniczenia prawa własności – wymóg </w:t>
      </w:r>
      <w:proofErr w:type="gramStart"/>
      <w:r w:rsidRPr="00B61C37">
        <w:rPr>
          <w:rFonts w:ascii="Lato" w:eastAsiaTheme="minorHAnsi" w:hAnsi="Lato" w:cs="Arial"/>
          <w:bCs/>
          <w:spacing w:val="4"/>
          <w:sz w:val="22"/>
          <w:szCs w:val="22"/>
          <w:lang w:eastAsia="en-US" w:bidi="pl-PL"/>
        </w:rPr>
        <w:t>ustawy,</w:t>
      </w:r>
      <w:proofErr w:type="gramEnd"/>
      <w:r w:rsidRPr="00B61C37">
        <w:rPr>
          <w:rFonts w:ascii="Lato" w:eastAsiaTheme="minorHAnsi" w:hAnsi="Lato" w:cs="Arial"/>
          <w:bCs/>
          <w:spacing w:val="4"/>
          <w:sz w:val="22"/>
          <w:szCs w:val="22"/>
          <w:lang w:eastAsia="en-US" w:bidi="pl-PL"/>
        </w:rPr>
        <w:t xml:space="preserve"> oraz zakreśla maksymalną granicę ingerencji – zakaz naruszania istoty prawa własności </w:t>
      </w:r>
      <w:r w:rsidRPr="00B61C37">
        <w:rPr>
          <w:rFonts w:ascii="Lato" w:eastAsiaTheme="minorHAnsi" w:hAnsi="Lato" w:cs="Arial"/>
          <w:bCs/>
          <w:spacing w:val="4"/>
          <w:sz w:val="22"/>
          <w:szCs w:val="22"/>
          <w:lang w:eastAsia="en-US" w:bidi="pl-PL"/>
        </w:rPr>
        <w:br/>
        <w:t xml:space="preserve">(vide: wyrok Naczelnego Sądu Administracyjnego z dnia 17 kwietnia 2015 r., sygn. akt </w:t>
      </w:r>
      <w:r w:rsidRPr="00B61C37">
        <w:rPr>
          <w:rFonts w:ascii="Lato" w:eastAsiaTheme="minorHAnsi" w:hAnsi="Lato" w:cs="Arial"/>
          <w:bCs/>
          <w:spacing w:val="4"/>
          <w:sz w:val="22"/>
          <w:szCs w:val="22"/>
          <w:lang w:eastAsia="en-US" w:bidi="pl-PL"/>
        </w:rPr>
        <w:br/>
        <w:t xml:space="preserve">II OSK 2209/13). Zgodnie z utrwalonym orzecznictwem Trybunału Konstytucyjnego, wskazanie w art. 64 ust. 3 Konstytucji RP przesłanek dopuszczających ograniczenie prawa własności nie oznacza wyłączenia zastosowania w odniesieniu do tego prawa generalnej zasady wyrażonej w przepisie art. 31 ust. 3 Konstytucji RP, zgodnie z którym ograniczenia w zakresie korzystania z konstytucyjnych wolności i praw mogą być ustanawiane tylko w ustawie i tylko wtedy, gdy są konieczne w demokratycznym </w:t>
      </w:r>
      <w:r w:rsidRPr="00B61C37">
        <w:rPr>
          <w:rFonts w:ascii="Lato" w:eastAsiaTheme="minorHAnsi" w:hAnsi="Lato" w:cs="Arial"/>
          <w:bCs/>
          <w:spacing w:val="4"/>
          <w:sz w:val="22"/>
          <w:szCs w:val="22"/>
          <w:lang w:eastAsia="en-US" w:bidi="pl-PL"/>
        </w:rPr>
        <w:lastRenderedPageBreak/>
        <w:t>państwie dla jego bezpieczeństwa lub porządku publicznego, bądź dla ochrony środowiska, zdrowia i moralności publicznej, albo wolności i praw innych osób. Ograniczenia te nie mogą naruszać istoty wolności i praw. Przepis art. 31 ust. 3 Konstytucji RP spełnia funkcję podstawową dla ochrony prawa własności. W sposób w pełni samodzielny i całkowity statuuje bowiem zasadę proporcjonalności, a więc zakaz nadmiernej w stosunku do chronionej wartości ingerencji w sferę praw i wolności jednostki. Wskazuje ponadto wartości, których ochrona przemawia za dopuszczalnością ingerencji w konstytucyjne wolności i prawa, w tym w prawa właściciela (wyrok Trybunału Konstytucyjnego z dnia 25 maja 1999 r., sygn. akt SK 9/98).</w:t>
      </w:r>
    </w:p>
    <w:p w14:paraId="4E48FA73" w14:textId="1648F600" w:rsidR="005813AE" w:rsidRPr="00B61C37" w:rsidRDefault="005813AE" w:rsidP="005813A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Jak wyżej zasygnalizowano, cel publiczny zdefiniowany został przez ustawodawcę </w:t>
      </w:r>
      <w:r w:rsidRPr="00B61C37">
        <w:rPr>
          <w:rFonts w:ascii="Lato" w:eastAsiaTheme="minorHAnsi" w:hAnsi="Lato" w:cs="Arial"/>
          <w:bCs/>
          <w:spacing w:val="4"/>
          <w:sz w:val="22"/>
          <w:szCs w:val="22"/>
          <w:lang w:eastAsia="en-US" w:bidi="pl-PL"/>
        </w:rPr>
        <w:br/>
        <w:t xml:space="preserve">w art. 6 </w:t>
      </w:r>
      <w:r w:rsidR="00732524" w:rsidRPr="00B61C37">
        <w:rPr>
          <w:rFonts w:ascii="Lato" w:eastAsiaTheme="minorHAnsi" w:hAnsi="Lato" w:cs="Arial"/>
          <w:bCs/>
          <w:spacing w:val="4"/>
          <w:sz w:val="22"/>
          <w:szCs w:val="22"/>
          <w:lang w:eastAsia="en-US" w:bidi="pl-PL"/>
        </w:rPr>
        <w:t>ustawy o gospodarce nieruchomościami.</w:t>
      </w:r>
      <w:r w:rsidRPr="00B61C37">
        <w:rPr>
          <w:rFonts w:ascii="Lato" w:eastAsiaTheme="minorHAnsi" w:hAnsi="Lato" w:cs="Arial"/>
          <w:bCs/>
          <w:spacing w:val="4"/>
          <w:sz w:val="22"/>
          <w:szCs w:val="22"/>
          <w:lang w:eastAsia="en-US" w:bidi="pl-PL"/>
        </w:rPr>
        <w:t xml:space="preserve"> Zgodnie z treścią art. 6 pkt 10 </w:t>
      </w:r>
      <w:r w:rsidR="00732524" w:rsidRPr="00B61C37">
        <w:rPr>
          <w:rFonts w:ascii="Lato" w:eastAsiaTheme="minorHAnsi" w:hAnsi="Lato" w:cs="Arial"/>
          <w:bCs/>
          <w:spacing w:val="4"/>
          <w:sz w:val="22"/>
          <w:szCs w:val="22"/>
          <w:lang w:eastAsia="en-US" w:bidi="pl-PL"/>
        </w:rPr>
        <w:t xml:space="preserve">ustawy </w:t>
      </w:r>
      <w:r w:rsidR="002658DD" w:rsidRPr="00B61C37">
        <w:rPr>
          <w:rFonts w:ascii="Lato" w:eastAsiaTheme="minorHAnsi" w:hAnsi="Lato" w:cs="Arial"/>
          <w:bCs/>
          <w:spacing w:val="4"/>
          <w:sz w:val="22"/>
          <w:szCs w:val="22"/>
          <w:lang w:eastAsia="en-US" w:bidi="pl-PL"/>
        </w:rPr>
        <w:br/>
      </w:r>
      <w:r w:rsidR="00732524" w:rsidRPr="00B61C37">
        <w:rPr>
          <w:rFonts w:ascii="Lato" w:eastAsiaTheme="minorHAnsi" w:hAnsi="Lato" w:cs="Arial"/>
          <w:bCs/>
          <w:spacing w:val="4"/>
          <w:sz w:val="22"/>
          <w:szCs w:val="22"/>
          <w:lang w:eastAsia="en-US" w:bidi="pl-PL"/>
        </w:rPr>
        <w:t>o gospodarce nieruchomościami</w:t>
      </w:r>
      <w:r w:rsidRPr="00B61C37">
        <w:rPr>
          <w:rFonts w:ascii="Lato" w:eastAsiaTheme="minorHAnsi" w:hAnsi="Lato" w:cs="Arial"/>
          <w:bCs/>
          <w:spacing w:val="4"/>
          <w:sz w:val="22"/>
          <w:szCs w:val="22"/>
          <w:lang w:eastAsia="en-US" w:bidi="pl-PL"/>
        </w:rPr>
        <w:t xml:space="preserve">, celem publicznym, poza celami wymienionymi w pkt 1-9d, jest inny cel publiczny, określony w odrębnych ustawach. Zgodnie z art. 4 specustawy gazowej, inwestycje w zakresie terminalu oraz inwestycje towarzyszące są celami publicznymi w rozumieniu </w:t>
      </w:r>
      <w:r w:rsidR="00732524" w:rsidRPr="00B61C37">
        <w:rPr>
          <w:rFonts w:ascii="Lato" w:eastAsiaTheme="minorHAnsi" w:hAnsi="Lato" w:cs="Arial"/>
          <w:bCs/>
          <w:spacing w:val="4"/>
          <w:sz w:val="22"/>
          <w:szCs w:val="22"/>
          <w:lang w:eastAsia="en-US" w:bidi="pl-PL"/>
        </w:rPr>
        <w:t>ustawy o gospodarce nieruchomościami</w:t>
      </w:r>
      <w:r w:rsidRPr="00B61C37">
        <w:rPr>
          <w:rFonts w:ascii="Lato" w:eastAsiaTheme="minorHAnsi" w:hAnsi="Lato" w:cs="Arial"/>
          <w:bCs/>
          <w:spacing w:val="4"/>
          <w:sz w:val="22"/>
          <w:szCs w:val="22"/>
          <w:lang w:eastAsia="en-US" w:bidi="pl-PL"/>
        </w:rPr>
        <w:t xml:space="preserve">. </w:t>
      </w:r>
    </w:p>
    <w:p w14:paraId="60BCEDC2" w14:textId="2E48333F" w:rsidR="005813AE" w:rsidRPr="00B61C37" w:rsidRDefault="005813AE" w:rsidP="005813A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Specustawa gazowa służy zatem realizacji celu publicznego, jakim jest budowa gazociągów wraz z infrastrukturą towarzyszącą. Zaznaczyć należy, że wprowadzenie odrębnego trybu administracyjnego w sprawie realizacji inwestycji w zakresie terminalu służy realizacji celu publicznego w postaci zapewnienia bezpieczeństwa energetycznego kraju, a jednocześnie skutki z tym związane są rekompensowane w formie odszkodowania. Pomimo zatem ograniczenia prawa własności nieruchomości, dochodzi do wyrównania strat i szkód związanych z prowadzonym postępowaniem (vide: wyrok Wojewódzkiego Sądu Administracyjnego w Warszawie z dnia 10 października 2018 r., sygn. akt IV SA/Wa 2480/17).</w:t>
      </w:r>
    </w:p>
    <w:p w14:paraId="4AFA1F77" w14:textId="77777777" w:rsidR="005813AE" w:rsidRPr="00B61C37" w:rsidRDefault="005813AE" w:rsidP="005813A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Tym samym, stwierdzić należy, że przysługujące Skarżącemu prawo własności nie stanowi „prawa nieskończonego” (</w:t>
      </w:r>
      <w:proofErr w:type="spellStart"/>
      <w:r w:rsidRPr="00B61C37">
        <w:rPr>
          <w:rFonts w:ascii="Lato" w:eastAsiaTheme="minorHAnsi" w:hAnsi="Lato" w:cs="Arial"/>
          <w:bCs/>
          <w:spacing w:val="4"/>
          <w:sz w:val="22"/>
          <w:szCs w:val="22"/>
          <w:lang w:eastAsia="en-US" w:bidi="pl-PL"/>
        </w:rPr>
        <w:t>ius</w:t>
      </w:r>
      <w:proofErr w:type="spellEnd"/>
      <w:r w:rsidRPr="00B61C37">
        <w:rPr>
          <w:rFonts w:ascii="Lato" w:eastAsiaTheme="minorHAnsi" w:hAnsi="Lato" w:cs="Arial"/>
          <w:bCs/>
          <w:spacing w:val="4"/>
          <w:sz w:val="22"/>
          <w:szCs w:val="22"/>
          <w:lang w:eastAsia="en-US" w:bidi="pl-PL"/>
        </w:rPr>
        <w:t xml:space="preserve"> infinitum), tzn. wartości absolutnej, niepodlegającej żadnym ograniczeniom. </w:t>
      </w:r>
    </w:p>
    <w:p w14:paraId="7895F8F6" w14:textId="08120BC9" w:rsidR="005813AE" w:rsidRPr="00B61C37" w:rsidRDefault="005813AE" w:rsidP="005813A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W opinii Ministra, całokształt okoliczności niniejszej sprawy dowodzi, iż </w:t>
      </w:r>
      <w:r w:rsidR="00732524" w:rsidRPr="00B61C37">
        <w:rPr>
          <w:rFonts w:ascii="Lato" w:eastAsiaTheme="minorHAnsi" w:hAnsi="Lato" w:cs="Arial"/>
          <w:bCs/>
          <w:spacing w:val="4"/>
          <w:sz w:val="22"/>
          <w:szCs w:val="22"/>
          <w:lang w:eastAsia="en-US" w:bidi="pl-PL"/>
        </w:rPr>
        <w:t xml:space="preserve">wywłaszczenie działek Skarżących oraz </w:t>
      </w:r>
      <w:r w:rsidRPr="00B61C37">
        <w:rPr>
          <w:rFonts w:ascii="Lato" w:eastAsiaTheme="minorHAnsi" w:hAnsi="Lato" w:cs="Arial"/>
          <w:bCs/>
          <w:spacing w:val="4"/>
          <w:sz w:val="22"/>
          <w:szCs w:val="22"/>
          <w:lang w:eastAsia="en-US" w:bidi="pl-PL"/>
        </w:rPr>
        <w:t xml:space="preserve">ograniczenie w korzystaniu z </w:t>
      </w:r>
      <w:r w:rsidR="0045245E" w:rsidRPr="00B61C37">
        <w:rPr>
          <w:rFonts w:ascii="Lato" w:eastAsiaTheme="minorHAnsi" w:hAnsi="Lato" w:cs="Arial"/>
          <w:bCs/>
          <w:spacing w:val="4"/>
          <w:sz w:val="22"/>
          <w:szCs w:val="22"/>
          <w:lang w:eastAsia="en-US" w:bidi="pl-PL"/>
        </w:rPr>
        <w:t>części nieruchomości</w:t>
      </w:r>
      <w:r w:rsidRPr="00B61C37">
        <w:rPr>
          <w:rFonts w:ascii="Lato" w:eastAsiaTheme="minorHAnsi" w:hAnsi="Lato" w:cs="Arial"/>
          <w:bCs/>
          <w:spacing w:val="4"/>
          <w:sz w:val="22"/>
          <w:szCs w:val="22"/>
          <w:lang w:eastAsia="en-US" w:bidi="pl-PL"/>
        </w:rPr>
        <w:t xml:space="preserve"> jest niezbędne dla realizacji przedmiotowej inwestycji. Brak jest zatem podstaw do podważania zaskarżonej decyzji z powołaniem się na </w:t>
      </w:r>
      <w:r w:rsidR="0045245E" w:rsidRPr="00B61C37">
        <w:rPr>
          <w:rFonts w:ascii="Lato" w:eastAsiaTheme="minorHAnsi" w:hAnsi="Lato" w:cs="Arial"/>
          <w:bCs/>
          <w:spacing w:val="4"/>
          <w:sz w:val="22"/>
          <w:szCs w:val="22"/>
          <w:lang w:eastAsia="en-US" w:bidi="pl-PL"/>
        </w:rPr>
        <w:t>treść i wykonywanie prawa własności</w:t>
      </w:r>
      <w:r w:rsidRPr="00B61C37">
        <w:rPr>
          <w:rFonts w:ascii="Lato" w:eastAsiaTheme="minorHAnsi" w:hAnsi="Lato" w:cs="Arial"/>
          <w:bCs/>
          <w:spacing w:val="4"/>
          <w:sz w:val="22"/>
          <w:szCs w:val="22"/>
          <w:lang w:eastAsia="en-US" w:bidi="pl-PL"/>
        </w:rPr>
        <w:t xml:space="preserve">. W przypadku realizacji celów publicznych niemal zawsze dochodzi bowiem do nieuchronnej kolizji interesu publicznego i interesów indywidualnych. Co do zasady,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w tego rodzaju sytuacji prymat przyznany zostaje interesowi publicznemu, chyba że zakres planowanej ingerencji w prawo podmiotowe doprowadziłby do naruszenia jego istoty</w:t>
      </w:r>
      <w:r w:rsidR="0045245E"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co w niniejszej sprawie nie miało miejsca.</w:t>
      </w:r>
    </w:p>
    <w:p w14:paraId="2C7CE251" w14:textId="77777777" w:rsidR="005813AE" w:rsidRPr="00B61C37" w:rsidRDefault="005813AE" w:rsidP="005813A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Nie wydaje się możliwe zaprojektowanie inwestycji w zakresie terminalu o takim przebiegu, który nie wzbudzałby sprzeciwu przynajmniej części właścicieli nieruchomości objętych inwestycją. Sprzeciw taki wydaje się być oczywiście naturalnym odruchem ochrony sposobu wykonywania własności nieruchomości przez jej właściciela, jednakże rozwój urbanizacyjny skutkuje zwiększającym się ograniczaniem indywidualnych praw właścicielskich na rzecz konieczności rozwoju infrastruktury o publicznej lub społecznej użyteczności w ramach społecznej funkcji prawa własności. W takich okolicznościach inwestor zawsze będzie narażony na wywołanie lokalnego konfliktu społecznego, ponieważ to on samodzielnie dokonuje wyboru najbardziej korzystnych rozwiązań lokalizacyjnych, a następnie techniczno-wykonawczych, mając na uwadze spowodowanie jak najmniejszych uciążliwości dla właścicieli nieruchomości.</w:t>
      </w:r>
    </w:p>
    <w:p w14:paraId="4E02F519" w14:textId="3209E7F9" w:rsidR="005813AE" w:rsidRPr="00B61C37" w:rsidRDefault="005813AE" w:rsidP="005813A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lastRenderedPageBreak/>
        <w:t xml:space="preserve">Ustalenie lokalizacji inwestycji w zakresie terminalu, w wielu wypadkach musi uwzględniać sprzeczne interesy, z jednej strony inwestora, a z drugiej strony osób, których prawa lub interesy mogą być zagrożone lub naruszone w związku z realizacją takiej inwestycji. Granice tych praw i interesów określają przepisy specustawy gazowej oraz innych aktów prawnych wydanych na podstawie i w wykonaniu przepisów tego prawa lub przepisów wydanych dla ochrony środowiska. Poza tymi granicami, a zatem poza ochroną prawną wynikającą z norm prawa pozytywnego, pozostają natomiast protesty obywateli wyrażające ich osobiste zapatrywania, oczekiwania, postulaty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i życzenia co do określonej polityki planowania przestrzennego, wzajemnych relacji między planowanymi lub realizowanymi inwestycjami. Nieuwzględnienie ich nie może jednak stanowić podstawy kwestionowania legalności ustalenia lokalizacji inwestycji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w zakresie terminalu.</w:t>
      </w:r>
    </w:p>
    <w:p w14:paraId="2D49E1BC" w14:textId="4C3BDDCE" w:rsidR="006253E8" w:rsidRPr="00B61C37" w:rsidRDefault="00B179DC" w:rsidP="00B179D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rPr>
        <w:t xml:space="preserve">Co do zaś zarzutów </w:t>
      </w:r>
      <w:r w:rsidR="007278BA" w:rsidRPr="00B61C37">
        <w:rPr>
          <w:rFonts w:ascii="Lato" w:eastAsiaTheme="minorHAnsi" w:hAnsi="Lato" w:cs="Arial"/>
          <w:bCs/>
          <w:spacing w:val="4"/>
          <w:sz w:val="22"/>
          <w:szCs w:val="22"/>
          <w:lang w:eastAsia="en-US"/>
        </w:rPr>
        <w:t xml:space="preserve">w przedmiocie </w:t>
      </w:r>
      <w:r w:rsidRPr="00B61C37">
        <w:rPr>
          <w:rFonts w:ascii="Lato" w:eastAsiaTheme="minorHAnsi" w:hAnsi="Lato" w:cs="Arial"/>
          <w:bCs/>
          <w:spacing w:val="4"/>
          <w:sz w:val="22"/>
          <w:szCs w:val="22"/>
          <w:lang w:eastAsia="en-US"/>
        </w:rPr>
        <w:t xml:space="preserve">naruszenia art. 2, art. 11 oraz art. 49 Konstytucji RP podniesionych przez </w:t>
      </w:r>
      <w:r w:rsidRPr="00B61C37">
        <w:rPr>
          <w:rFonts w:ascii="Lato" w:eastAsiaTheme="minorHAnsi" w:hAnsi="Lato" w:cs="Arial"/>
          <w:bCs/>
          <w:spacing w:val="4"/>
          <w:sz w:val="22"/>
          <w:szCs w:val="22"/>
          <w:lang w:eastAsia="en-US" w:bidi="pl-PL"/>
        </w:rPr>
        <w:t xml:space="preserve">Panią </w:t>
      </w:r>
      <w:r w:rsidR="001B4246">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 xml:space="preserve"> i Pana </w:t>
      </w:r>
      <w:r w:rsidR="001B4246">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B.</w:t>
      </w:r>
      <w:r w:rsidRPr="00B61C37">
        <w:rPr>
          <w:rFonts w:ascii="Lato" w:eastAsiaTheme="minorHAnsi" w:hAnsi="Lato" w:cs="Arial"/>
          <w:bCs/>
          <w:spacing w:val="4"/>
          <w:sz w:val="22"/>
          <w:szCs w:val="22"/>
          <w:lang w:eastAsia="en-US" w:bidi="pl-PL"/>
        </w:rPr>
        <w:t xml:space="preserve"> wyjaśnić należy, że przywołane przepisy zupełnie nie korespondują z argumentacją w zakresie poszanowania prawa własności. </w:t>
      </w:r>
      <w:r w:rsidR="001B4246">
        <w:rPr>
          <w:rFonts w:ascii="Lato" w:eastAsiaTheme="minorHAnsi" w:hAnsi="Lato" w:cs="Arial"/>
          <w:bCs/>
          <w:spacing w:val="4"/>
          <w:sz w:val="22"/>
          <w:szCs w:val="22"/>
          <w:lang w:eastAsia="en-US" w:bidi="pl-PL"/>
        </w:rPr>
        <w:br/>
      </w:r>
      <w:r w:rsidR="00D0124C" w:rsidRPr="00B61C37">
        <w:rPr>
          <w:rFonts w:ascii="Lato" w:eastAsiaTheme="minorHAnsi" w:hAnsi="Lato" w:cs="Arial"/>
          <w:bCs/>
          <w:spacing w:val="4"/>
          <w:sz w:val="22"/>
          <w:szCs w:val="22"/>
          <w:lang w:eastAsia="en-US" w:bidi="pl-PL"/>
        </w:rPr>
        <w:t>W tym aspekcie n</w:t>
      </w:r>
      <w:r w:rsidRPr="00B61C37">
        <w:rPr>
          <w:rFonts w:ascii="Lato" w:eastAsiaTheme="minorHAnsi" w:hAnsi="Lato" w:cs="Arial"/>
          <w:bCs/>
          <w:spacing w:val="4"/>
          <w:sz w:val="22"/>
          <w:szCs w:val="22"/>
          <w:lang w:eastAsia="en-US" w:bidi="pl-PL"/>
        </w:rPr>
        <w:t>iezrozumiał</w:t>
      </w:r>
      <w:r w:rsidR="00D0124C" w:rsidRPr="00B61C37">
        <w:rPr>
          <w:rFonts w:ascii="Lato" w:eastAsiaTheme="minorHAnsi" w:hAnsi="Lato" w:cs="Arial"/>
          <w:bCs/>
          <w:spacing w:val="4"/>
          <w:sz w:val="22"/>
          <w:szCs w:val="22"/>
          <w:lang w:eastAsia="en-US" w:bidi="pl-PL"/>
        </w:rPr>
        <w:t>e</w:t>
      </w:r>
      <w:r w:rsidRPr="00B61C37">
        <w:rPr>
          <w:rFonts w:ascii="Lato" w:eastAsiaTheme="minorHAnsi" w:hAnsi="Lato" w:cs="Arial"/>
          <w:bCs/>
          <w:spacing w:val="4"/>
          <w:sz w:val="22"/>
          <w:szCs w:val="22"/>
          <w:lang w:eastAsia="en-US" w:bidi="pl-PL"/>
        </w:rPr>
        <w:t xml:space="preserve"> jest także powołanie się na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art. 6 </w:t>
      </w:r>
      <w:r w:rsidRPr="00B61C37">
        <w:rPr>
          <w:rFonts w:ascii="Lato" w:eastAsiaTheme="minorHAnsi" w:hAnsi="Lato" w:cs="Arial"/>
          <w:spacing w:val="4"/>
          <w:sz w:val="22"/>
          <w:szCs w:val="22"/>
          <w:lang w:eastAsia="en-US" w:bidi="pl-PL"/>
        </w:rPr>
        <w:t>Konwencji</w:t>
      </w:r>
      <w:r w:rsidRPr="00B61C37">
        <w:rPr>
          <w:rFonts w:ascii="Lato" w:eastAsiaTheme="minorHAnsi" w:hAnsi="Lato" w:cs="Arial"/>
          <w:bCs/>
          <w:spacing w:val="4"/>
          <w:sz w:val="22"/>
          <w:szCs w:val="22"/>
          <w:lang w:eastAsia="en-US" w:bidi="pl-PL"/>
        </w:rPr>
        <w:t xml:space="preserve"> o ochronie praw człowieka i podstawowych wolności, który stanowi,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że każdy ma prawo do sprawiedliwego i publicznego rozpatrzenia jego sprawy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w rozsądnym terminie przez niezawisły i bezstronny sąd ustanowiony ustawą przy rozstrzyganiu o jego prawach i obowiązkach o charakterze cywilnym albo o zasadności każdego oskarżenia w wytoczonej przeciwko niemu sprawie karnej. </w:t>
      </w:r>
    </w:p>
    <w:p w14:paraId="22DD880F" w14:textId="5BCFD2A9" w:rsidR="00D0124C" w:rsidRPr="00B61C37" w:rsidRDefault="00D0124C" w:rsidP="00B179D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Bez wpływu na kształt podjętego rozstrzygnięcia pozostają uwagi Pani </w:t>
      </w:r>
      <w:r w:rsidR="001B4246">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 xml:space="preserve"> i Pana </w:t>
      </w:r>
      <w:r w:rsidR="001B4246">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B.</w:t>
      </w:r>
      <w:r w:rsidRPr="00B61C37">
        <w:rPr>
          <w:rFonts w:ascii="Lato" w:eastAsiaTheme="minorHAnsi" w:hAnsi="Lato" w:cs="Arial"/>
          <w:bCs/>
          <w:spacing w:val="4"/>
          <w:sz w:val="22"/>
          <w:szCs w:val="22"/>
          <w:lang w:eastAsia="en-US" w:bidi="pl-PL"/>
        </w:rPr>
        <w:t xml:space="preserve"> dotyczące braku aneksu do umowy dzierżawy oraz brak wpłaty czynszu przez dzierżawcę działki nr 1520, co może wpłynąć na nieważność tej umowy oraz konieczność jej ponownego podpisania. Powyższe nie stanowi bowiem przedmiotu postępowania </w:t>
      </w:r>
      <w:r w:rsidR="001B4246">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w sprawie wydania decyzji o ustaleniu lokalizacji inwestycji towarzyszącej inwestycjom w zakresie terminalu. </w:t>
      </w:r>
    </w:p>
    <w:p w14:paraId="2A608591" w14:textId="5692E108" w:rsidR="00D0124C" w:rsidRPr="00B61C37" w:rsidRDefault="000D28DD" w:rsidP="00B179D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Odnośnie wniosku </w:t>
      </w:r>
      <w:r w:rsidR="00BE61A2" w:rsidRPr="00B61C37">
        <w:rPr>
          <w:rFonts w:ascii="Lato" w:eastAsiaTheme="minorHAnsi" w:hAnsi="Lato" w:cs="Arial"/>
          <w:bCs/>
          <w:spacing w:val="4"/>
          <w:sz w:val="22"/>
          <w:szCs w:val="22"/>
          <w:lang w:eastAsia="en-US" w:bidi="pl-PL"/>
        </w:rPr>
        <w:t xml:space="preserve">Pani </w:t>
      </w:r>
      <w:r w:rsidR="001B4246">
        <w:rPr>
          <w:rFonts w:ascii="Lato" w:eastAsiaTheme="minorHAnsi" w:hAnsi="Lato" w:cs="Arial"/>
          <w:bCs/>
          <w:spacing w:val="4"/>
          <w:sz w:val="22"/>
          <w:szCs w:val="22"/>
          <w:lang w:eastAsia="en-US" w:bidi="pl-PL"/>
        </w:rPr>
        <w:t>B.</w:t>
      </w:r>
      <w:r w:rsidR="00BE61A2"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Z.</w:t>
      </w:r>
      <w:r w:rsidR="00BE61A2" w:rsidRPr="00B61C37">
        <w:rPr>
          <w:rFonts w:ascii="Lato" w:eastAsiaTheme="minorHAnsi" w:hAnsi="Lato" w:cs="Arial"/>
          <w:bCs/>
          <w:spacing w:val="4"/>
          <w:sz w:val="22"/>
          <w:szCs w:val="22"/>
          <w:lang w:eastAsia="en-US" w:bidi="pl-PL"/>
        </w:rPr>
        <w:t xml:space="preserve"> i Pana </w:t>
      </w:r>
      <w:r w:rsidR="001B4246">
        <w:rPr>
          <w:rFonts w:ascii="Lato" w:eastAsiaTheme="minorHAnsi" w:hAnsi="Lato" w:cs="Arial"/>
          <w:bCs/>
          <w:spacing w:val="4"/>
          <w:sz w:val="22"/>
          <w:szCs w:val="22"/>
          <w:lang w:eastAsia="en-US" w:bidi="pl-PL"/>
        </w:rPr>
        <w:t>J.</w:t>
      </w:r>
      <w:r w:rsidR="00BE61A2"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Z.</w:t>
      </w:r>
      <w:r w:rsidR="00BE61A2" w:rsidRPr="00B61C37">
        <w:rPr>
          <w:rFonts w:ascii="Lato" w:eastAsiaTheme="minorHAnsi" w:hAnsi="Lato" w:cs="Arial"/>
          <w:bCs/>
          <w:spacing w:val="4"/>
          <w:sz w:val="22"/>
          <w:szCs w:val="22"/>
          <w:lang w:eastAsia="en-US" w:bidi="pl-PL"/>
        </w:rPr>
        <w:t xml:space="preserve"> oraz Pani </w:t>
      </w:r>
      <w:r w:rsidR="001B4246">
        <w:rPr>
          <w:rFonts w:ascii="Lato" w:eastAsiaTheme="minorHAnsi" w:hAnsi="Lato" w:cs="Arial"/>
          <w:bCs/>
          <w:spacing w:val="4"/>
          <w:sz w:val="22"/>
          <w:szCs w:val="22"/>
          <w:lang w:eastAsia="en-US" w:bidi="pl-PL"/>
        </w:rPr>
        <w:t>M.</w:t>
      </w:r>
      <w:r w:rsidR="00BE61A2" w:rsidRPr="00B61C37">
        <w:rPr>
          <w:rFonts w:ascii="Lato" w:eastAsiaTheme="minorHAnsi" w:hAnsi="Lato" w:cs="Arial"/>
          <w:bCs/>
          <w:spacing w:val="4"/>
          <w:sz w:val="22"/>
          <w:szCs w:val="22"/>
          <w:lang w:eastAsia="en-US" w:bidi="pl-PL"/>
        </w:rPr>
        <w:t xml:space="preserve"> </w:t>
      </w:r>
      <w:r w:rsidR="001B4246">
        <w:rPr>
          <w:rFonts w:ascii="Lato" w:eastAsiaTheme="minorHAnsi" w:hAnsi="Lato" w:cs="Arial"/>
          <w:bCs/>
          <w:spacing w:val="4"/>
          <w:sz w:val="22"/>
          <w:szCs w:val="22"/>
          <w:lang w:eastAsia="en-US" w:bidi="pl-PL"/>
        </w:rPr>
        <w:t>S.</w:t>
      </w:r>
      <w:r w:rsidR="00BE61A2" w:rsidRPr="00B61C37">
        <w:rPr>
          <w:rFonts w:ascii="Lato" w:eastAsiaTheme="minorHAnsi" w:hAnsi="Lato" w:cs="Arial"/>
          <w:bCs/>
          <w:spacing w:val="4"/>
          <w:sz w:val="22"/>
          <w:szCs w:val="22"/>
          <w:lang w:eastAsia="en-US" w:bidi="pl-PL"/>
        </w:rPr>
        <w:t xml:space="preserve"> o zmianę przebiegu drogi dojazdowej do wyposażenia odwiertu Bratkowice 6K </w:t>
      </w:r>
      <w:r w:rsidR="00E76BE0" w:rsidRPr="00B61C37">
        <w:rPr>
          <w:rFonts w:ascii="Lato" w:eastAsiaTheme="minorHAnsi" w:hAnsi="Lato" w:cs="Arial"/>
          <w:bCs/>
          <w:spacing w:val="4"/>
          <w:sz w:val="22"/>
          <w:szCs w:val="22"/>
          <w:lang w:eastAsia="en-US"/>
        </w:rPr>
        <w:t xml:space="preserve">w kontekście braku uwzględnienia żądania </w:t>
      </w:r>
      <w:r w:rsidR="00BE61A2" w:rsidRPr="00B61C37">
        <w:rPr>
          <w:rFonts w:ascii="Lato" w:eastAsiaTheme="minorHAnsi" w:hAnsi="Lato" w:cs="Arial"/>
          <w:bCs/>
          <w:spacing w:val="4"/>
          <w:sz w:val="22"/>
          <w:szCs w:val="22"/>
          <w:lang w:eastAsia="en-US"/>
        </w:rPr>
        <w:t xml:space="preserve">ustanowienia </w:t>
      </w:r>
      <w:r w:rsidR="00E76BE0" w:rsidRPr="00B61C37">
        <w:rPr>
          <w:rFonts w:ascii="Lato" w:eastAsiaTheme="minorHAnsi" w:hAnsi="Lato" w:cs="Arial"/>
          <w:bCs/>
          <w:spacing w:val="4"/>
          <w:sz w:val="22"/>
          <w:szCs w:val="22"/>
          <w:lang w:eastAsia="en-US"/>
        </w:rPr>
        <w:t xml:space="preserve">służebności </w:t>
      </w:r>
      <w:r w:rsidR="00BE61A2" w:rsidRPr="00B61C37">
        <w:rPr>
          <w:rFonts w:ascii="Lato" w:eastAsiaTheme="minorHAnsi" w:hAnsi="Lato" w:cs="Arial"/>
          <w:bCs/>
          <w:spacing w:val="4"/>
          <w:sz w:val="22"/>
          <w:szCs w:val="22"/>
          <w:lang w:eastAsia="en-US"/>
        </w:rPr>
        <w:t>na rzecz działki nr</w:t>
      </w:r>
      <w:r w:rsidR="00E76BE0" w:rsidRPr="00B61C37">
        <w:rPr>
          <w:rFonts w:ascii="Lato" w:eastAsiaTheme="minorHAnsi" w:hAnsi="Lato" w:cs="Arial"/>
          <w:bCs/>
          <w:spacing w:val="4"/>
          <w:sz w:val="22"/>
          <w:szCs w:val="22"/>
          <w:lang w:eastAsia="en-US"/>
        </w:rPr>
        <w:t xml:space="preserve"> 1506/14</w:t>
      </w:r>
      <w:r w:rsidR="00BE61A2" w:rsidRPr="00B61C37">
        <w:rPr>
          <w:rFonts w:ascii="Lato" w:eastAsiaTheme="minorHAnsi" w:hAnsi="Lato" w:cs="Arial"/>
          <w:bCs/>
          <w:spacing w:val="4"/>
          <w:sz w:val="22"/>
          <w:szCs w:val="22"/>
          <w:lang w:eastAsia="en-US"/>
        </w:rPr>
        <w:t xml:space="preserve">, co zostało wyjaśnione powyżej, wskazać należy, iż – jak wynika z wyjaśnień inwestora – droga dojazdowa do odwiertu Bratkowice 6K została wyznaczona w taki sposób, aby ominąć zadrzewienia </w:t>
      </w:r>
      <w:r w:rsidR="001B4246">
        <w:rPr>
          <w:rFonts w:ascii="Lato" w:eastAsiaTheme="minorHAnsi" w:hAnsi="Lato" w:cs="Arial"/>
          <w:bCs/>
          <w:spacing w:val="4"/>
          <w:sz w:val="22"/>
          <w:szCs w:val="22"/>
          <w:lang w:eastAsia="en-US"/>
        </w:rPr>
        <w:br/>
      </w:r>
      <w:r w:rsidR="00BE61A2" w:rsidRPr="00B61C37">
        <w:rPr>
          <w:rFonts w:ascii="Lato" w:eastAsiaTheme="minorHAnsi" w:hAnsi="Lato" w:cs="Arial"/>
          <w:bCs/>
          <w:spacing w:val="4"/>
          <w:sz w:val="22"/>
          <w:szCs w:val="22"/>
          <w:lang w:eastAsia="en-US"/>
        </w:rPr>
        <w:t>i zakrzaczenia oraz wygrodzony, prywatny teren znajdujący się w linii prostej od odwiertu. Konsekwencją tego jest zlokalizowanie gazociągu, placu i drogi w taki sposób, aby zajmować jak najmniejszą powierzchnię</w:t>
      </w:r>
      <w:r w:rsidR="007D29C7" w:rsidRPr="00B61C37">
        <w:rPr>
          <w:rFonts w:ascii="Lato" w:eastAsiaTheme="minorHAnsi" w:hAnsi="Lato" w:cs="Arial"/>
          <w:bCs/>
          <w:spacing w:val="4"/>
          <w:sz w:val="22"/>
          <w:szCs w:val="22"/>
          <w:lang w:eastAsia="en-US"/>
        </w:rPr>
        <w:t xml:space="preserve">, czyli w kierunku wschodnim, a następnie jak najbliżej granicy działki nr 1506/11 w kierunku południowym. Lokalizacja gazociągu uwzględnia też możliwość jak najprostszego technicznie przekroczenia autostrady A4 przewiertem kierunkowym. </w:t>
      </w:r>
    </w:p>
    <w:p w14:paraId="0A9F27F3" w14:textId="5DFF5963" w:rsidR="007D29C7" w:rsidRPr="00B61C37" w:rsidRDefault="007D29C7" w:rsidP="007D29C7">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Podkreślenia w tym miejscu wymaga, iż specustawa gazowa nie nakłada na inwestora obowiązku przedkładania różnych wariantów planowanego przedsięwzięcia i nie ma on obowiązku uwzględniać oczekiwań stron postępowania co do lokalizacji inwestycji. Tylko </w:t>
      </w:r>
      <w:r w:rsidRPr="00B61C37">
        <w:rPr>
          <w:rFonts w:ascii="Lato" w:eastAsiaTheme="minorHAnsi" w:hAnsi="Lato" w:cs="Arial"/>
          <w:bCs/>
          <w:spacing w:val="4"/>
          <w:sz w:val="22"/>
          <w:szCs w:val="22"/>
          <w:lang w:eastAsia="en-US" w:bidi="pl-PL"/>
        </w:rPr>
        <w:br/>
        <w:t xml:space="preserve">w przypadku stwierdzenia przez organy, że kształt inwestycji w wersji zgłoszonej we wniosku inwestora narusza określony przepis prawa, zobowiązuje te organy do odmowy ustalenia lokalizacji inwestycji w wersji wnioskowanej przez inwestora. Dlatego też organy I </w:t>
      </w:r>
      <w:proofErr w:type="spellStart"/>
      <w:r w:rsidRPr="00B61C37">
        <w:rPr>
          <w:rFonts w:ascii="Lato" w:eastAsiaTheme="minorHAnsi" w:hAnsi="Lato" w:cs="Arial"/>
          <w:bCs/>
          <w:spacing w:val="4"/>
          <w:sz w:val="22"/>
          <w:szCs w:val="22"/>
          <w:lang w:eastAsia="en-US" w:bidi="pl-PL"/>
        </w:rPr>
        <w:t>i</w:t>
      </w:r>
      <w:proofErr w:type="spellEnd"/>
      <w:r w:rsidRPr="00B61C37">
        <w:rPr>
          <w:rFonts w:ascii="Lato" w:eastAsiaTheme="minorHAnsi" w:hAnsi="Lato" w:cs="Arial"/>
          <w:bCs/>
          <w:spacing w:val="4"/>
          <w:sz w:val="22"/>
          <w:szCs w:val="22"/>
          <w:lang w:eastAsia="en-US" w:bidi="pl-PL"/>
        </w:rPr>
        <w:t xml:space="preserve"> II instancji, jak już wspominano, mają obowiązek dokonać oceny zgodności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z prawem takiego wariantu, jaki przedstawił wnioskodawca, nie są natomiast władne nakazać inwestorowi przyjęcia innych rozwiązań lokalizacyjnych, skoro te przedstawione przez inwestora są zgodne z prawem. </w:t>
      </w:r>
    </w:p>
    <w:p w14:paraId="16CC5977" w14:textId="6D43847C" w:rsidR="007D29C7" w:rsidRPr="00B61C37" w:rsidRDefault="007D29C7" w:rsidP="007D29C7">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lastRenderedPageBreak/>
        <w:t>Zaprojektowanie inwestycji pozostawia się specjalistom posiadającym odpowiednie przygotowanie zawodowe, a nie powinny decydować o tym strony postępowania, których nieruchomości zostały objęte wnioskiem o wydanie decyzji lokalizacyjnej, gdyż żaden z przepisów specustawy gazowej nie przewiduje takich uprawnień (por. wyrok Naczelnego Sądu Administracyjnego z dnia 9 lutego 2018 r., sygn. akt II OSK 1282/17, opubl. Centralna Baza Orzeczeń Sądów Administracyjnych).</w:t>
      </w:r>
    </w:p>
    <w:p w14:paraId="3890E8F2" w14:textId="77777777" w:rsidR="007D29C7" w:rsidRPr="00B61C37" w:rsidRDefault="007D29C7" w:rsidP="007D29C7">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Powyższe potwierdza niekwestionowany dorobek powołanego już powyżej w niniejszej decyzji orzecznictwa sądów administracyjnych.</w:t>
      </w:r>
    </w:p>
    <w:p w14:paraId="2A456707" w14:textId="28150302" w:rsidR="007D29C7" w:rsidRPr="00B61C37" w:rsidRDefault="007D29C7" w:rsidP="007D29C7">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W kontekście ww. propozycji istotne jest również to, iż osoba fizyczna posiadająca prawo własności, użytkowania wieczystego lub inne ograniczone prawo rzeczowe jest stroną decyzji lokalizacyjnej, ale tylko w części dotyczącej jej nieruchomości. Powyższe powoduje, że strona może skutecznie podnosić wyłącznie zarzuty dotyczące wpływu lokalizacji inwestycji na własną nieruchomość. Założenie to pozwala na stwierdzenie,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iż Skarżący nie posiadają interesu prawnego do żądania zmiany lokalizacji inwestycji poprzez zmianę przebiegu drogi dojazdowej. </w:t>
      </w:r>
    </w:p>
    <w:p w14:paraId="438E4C96" w14:textId="4921279D" w:rsidR="007D29C7" w:rsidRPr="00B61C37" w:rsidRDefault="007D29C7" w:rsidP="007D29C7">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Na marginesie wskazać należy, że określenie innego przebiegu inwestycji,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z uwzględnieniem żądania stron skarżących, mogłoby również stanowić podstawę do sprzeciwu innych stron postępowania. Lokalizacja inwestycji gazowych z reguły wiąże się z ograniczeniem, a często z odebraniem praw do nieruchomości. Zmiana przebiegu planowanej inwestycji mająca na celu polepszenie sytuacji jednych właścicieli następuje zawsze kosztem drugich. Ich interesy są najczęściej sprzeczne i trudne do pogodzenia. </w:t>
      </w:r>
    </w:p>
    <w:p w14:paraId="6665B91C" w14:textId="74C68F05" w:rsidR="00F5214C" w:rsidRPr="00B61C37" w:rsidRDefault="0098324D" w:rsidP="0098324D">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Za chybioną należy uznać argumentację Pani </w:t>
      </w:r>
      <w:r w:rsidR="00FB4FDD">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 xml:space="preserve"> wyrażoną w piśmie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z dnia 12 marca 2024 r. dotyczącą wypowiedzenia umowy najmu działek nr 1520 i 1507 przez inwestora, a skutkującą – w ocenie Skarżącej – brakiem tytułu prawnego inwestora do dalszego korzystania z ww. nieruchomości. </w:t>
      </w:r>
    </w:p>
    <w:p w14:paraId="20C13746" w14:textId="58F9BEC2" w:rsidR="0098324D" w:rsidRPr="00B61C37" w:rsidRDefault="00242E95" w:rsidP="0098324D">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bidi="pl-PL"/>
        </w:rPr>
        <w:t>Po pierwsze w</w:t>
      </w:r>
      <w:r w:rsidR="0098324D" w:rsidRPr="00B61C37">
        <w:rPr>
          <w:rFonts w:ascii="Lato" w:eastAsiaTheme="minorHAnsi" w:hAnsi="Lato" w:cs="Arial"/>
          <w:bCs/>
          <w:spacing w:val="4"/>
          <w:sz w:val="22"/>
          <w:szCs w:val="22"/>
          <w:lang w:eastAsia="en-US" w:bidi="pl-PL"/>
        </w:rPr>
        <w:t>yjaśnienia wymaga, iż</w:t>
      </w:r>
      <w:r w:rsidR="0098324D" w:rsidRPr="00B61C37">
        <w:rPr>
          <w:rFonts w:ascii="Lato" w:eastAsiaTheme="minorHAnsi" w:hAnsi="Lato" w:cs="Arial"/>
          <w:bCs/>
          <w:spacing w:val="4"/>
          <w:sz w:val="22"/>
          <w:szCs w:val="22"/>
          <w:lang w:eastAsia="en-US"/>
        </w:rPr>
        <w:t xml:space="preserve"> organ orzekający w sprawie lokalizacji inwestycji </w:t>
      </w:r>
      <w:r w:rsidR="002658DD" w:rsidRPr="00B61C37">
        <w:rPr>
          <w:rFonts w:ascii="Lato" w:eastAsiaTheme="minorHAnsi" w:hAnsi="Lato" w:cs="Arial"/>
          <w:bCs/>
          <w:spacing w:val="4"/>
          <w:sz w:val="22"/>
          <w:szCs w:val="22"/>
          <w:lang w:eastAsia="en-US"/>
        </w:rPr>
        <w:br/>
      </w:r>
      <w:r w:rsidR="0098324D" w:rsidRPr="00B61C37">
        <w:rPr>
          <w:rFonts w:ascii="Lato" w:eastAsiaTheme="minorHAnsi" w:hAnsi="Lato" w:cs="Arial"/>
          <w:bCs/>
          <w:spacing w:val="4"/>
          <w:sz w:val="22"/>
          <w:szCs w:val="22"/>
          <w:lang w:eastAsia="en-US"/>
        </w:rPr>
        <w:t xml:space="preserve">w zakresie terminalu nie bada kwestii związanych z pertraktacjami pomiędzy inwestorem a stronami. Dotychczas obowiązująca umowa najmu obowiązywała poza prowadzonym postępowaniem administracyjnym i nie może stanowić jego przedmiotu. </w:t>
      </w:r>
    </w:p>
    <w:p w14:paraId="4B2F961E" w14:textId="618A6FD3" w:rsidR="00242E95" w:rsidRPr="00B61C37" w:rsidRDefault="00F5214C" w:rsidP="00F5214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Odnośnie zaś wątpliwości strony skarżącej co do posiadania przez inwestora tytułu prawnego do działek nr 1520 i 1507, wskazać należy, iż nieruchomości strony skarżącej zostały wymienione na str. 7 kontrolowanej decyzji jako nieruchomości, w stosunku do których niniejsza decyzja ma wywołać skutek, o którym mowa w art. 24 ust. 1 specustawy gazowej, a także na stronie 6 jako nieruchomości, w stosunku do których niniejsza decyzja ma wywołać skutek, o którym mowa w art. 20 ust. 3 i 6 specustawy gazowej.</w:t>
      </w:r>
      <w:r w:rsidR="007960AE">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 xml:space="preserve">Jak wynika z treści art. 24 ust. 1 specustawy gazowej ustawodawca umożliwił organowi wydającemu decyzję o ustaleniu lokalizacji inwestycji w zakresie terminalu wprowadzenie ograniczenia prawa własności nieruchomości określonych w art. 10 ust. 1 pkt 8 specustawy gazowej poprzez określenie sposobu korzystania z tych nieruchomości przez udzielenie zezwolenia w szczególności na zakładanie i przeprowadzenie na nieruchomości ciągów drenażowych, przewodów i urządzeń służących do przesyłania płynów, pary, gazów i energii elektrycznej oraz urządzeń łączności publicznej i sygnalizacji, a także innych podziemnych, naziemnych lub nadziemnych obiektów i urządzeń niezbędnych do założenia, przeprowadzenia oraz korzystania z tych przewodów i urządzeń. Jednocześnie wskazano cel, dla którego wprowadza się takie ograniczenie – zapewnienia prawa do wejścia na teren nieruchomości dla prowadzenia na nich budowy inwestycji w zakresie terminalu, a także </w:t>
      </w:r>
      <w:r w:rsidRPr="00B61C37">
        <w:rPr>
          <w:rFonts w:ascii="Lato" w:eastAsiaTheme="minorHAnsi" w:hAnsi="Lato" w:cs="Arial"/>
          <w:bCs/>
          <w:spacing w:val="4"/>
          <w:sz w:val="22"/>
          <w:szCs w:val="22"/>
          <w:lang w:eastAsia="en-US" w:bidi="pl-PL"/>
        </w:rPr>
        <w:lastRenderedPageBreak/>
        <w:t xml:space="preserve">prac związanych z rozbiórką, przebudową, zmianą sposobu użytkowania, utrzymaniem, eksploatacją, użytkowaniem, remontami oraz usuwaniem awarii. </w:t>
      </w:r>
    </w:p>
    <w:p w14:paraId="5CD2168A" w14:textId="5844607F" w:rsidR="00F5214C" w:rsidRPr="00B61C37" w:rsidRDefault="00F5214C" w:rsidP="00F5214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Takie ograniczenie jest nazywane w doktrynie prawa służebnością publiczną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(por. M. Gdesz, A. Milicka-Stojek, C. Kowalczyk, D. Konieczny: „Aspekty prawne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i ekonomiczne administracyjnego ograniczenia korzystania z nieruchomości – służebność publiczna i odszkodowania”, wyd. Instytut Infrastruktury Liniowej, Olsztyn 2016). Autorzy powołanej publikacji zwrócili m.in. uwagę, że konstrukcja prawna służebności publicznej staje się coraz ważniejszym publicznoprawnym instrumentem kształtowania treści prawa własności w rozumieniu art. 140 </w:t>
      </w:r>
      <w:r w:rsidR="00242E95" w:rsidRPr="00B61C37">
        <w:rPr>
          <w:rFonts w:ascii="Lato" w:eastAsiaTheme="minorHAnsi" w:hAnsi="Lato" w:cs="Arial"/>
          <w:bCs/>
          <w:spacing w:val="4"/>
          <w:sz w:val="22"/>
          <w:szCs w:val="22"/>
          <w:lang w:eastAsia="en-US" w:bidi="pl-PL"/>
        </w:rPr>
        <w:t>kc.</w:t>
      </w:r>
      <w:r w:rsidRPr="00B61C37">
        <w:rPr>
          <w:rFonts w:ascii="Lato" w:eastAsiaTheme="minorHAnsi" w:hAnsi="Lato" w:cs="Arial"/>
          <w:bCs/>
          <w:spacing w:val="4"/>
          <w:sz w:val="22"/>
          <w:szCs w:val="22"/>
          <w:lang w:eastAsia="en-US" w:bidi="pl-PL"/>
        </w:rPr>
        <w:t xml:space="preserve"> Służebność publiczna jest ustanawiana w interesie publicznym,</w:t>
      </w:r>
      <w:r w:rsidR="00C2132F">
        <w:rPr>
          <w:rFonts w:ascii="Lato" w:eastAsiaTheme="minorHAnsi" w:hAnsi="Lato" w:cs="Arial"/>
          <w:bCs/>
          <w:spacing w:val="4"/>
          <w:sz w:val="22"/>
          <w:szCs w:val="22"/>
          <w:lang w:eastAsia="en-US" w:bidi="pl-PL"/>
        </w:rPr>
        <w:t xml:space="preserve"> dla zapewnienia realizacji celu publicznego,</w:t>
      </w:r>
      <w:r w:rsidRPr="00B61C37">
        <w:rPr>
          <w:rFonts w:ascii="Lato" w:eastAsiaTheme="minorHAnsi" w:hAnsi="Lato" w:cs="Arial"/>
          <w:bCs/>
          <w:spacing w:val="4"/>
          <w:sz w:val="22"/>
          <w:szCs w:val="22"/>
          <w:lang w:eastAsia="en-US" w:bidi="pl-PL"/>
        </w:rPr>
        <w:t xml:space="preserve"> które to pojęcie w polskim systemie prawnym zostało na poziomie ustawowym zdefiniowane w art. 6 ugn. Podstawowym elementem służebności publicznej jest ograniczenie prawa własności właśnie w drodze aktu administracyjnego (decyzji administracyjnej). Decyzja administracyjna o ograniczeniu narzuca określoną treść służebności publicznej każdoczesnemu właścicielowi nieruchomości. Innymi słowy jest regulowana "pozycja rzeczy", a nie osoby. Decyzja taka wiąże każdoczesnego właściciela tak długo, jak nie zostanie wyeliminowana z obrotu prawnego. Nie wywołuje ona jednak skutków w sferze prawa cywilnego. Akt ten nakłada na adresata (każdoczesnego właściciela) obowiązek znoszenia określonej ingerencji. Służebność publiczna kształtuje treść prawa własności w ramach kompetencji regulacyjnej – narzucając właścicielowi obowiązek określonego zachowania (znoszenia ingerencji). Jej istotą jest właśnie ograniczenie uprawnień właścicielskich i narzucenie publicznego współkorzystania z nieruchomości w interesie publicznym.</w:t>
      </w:r>
    </w:p>
    <w:p w14:paraId="02B78826" w14:textId="77777777" w:rsidR="00F5214C" w:rsidRPr="00B61C37" w:rsidRDefault="00F5214C" w:rsidP="00F5214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Należy przy tym zauważyć, iż w omawianym przypadku nie stosuje się procedury uzyskiwania zgody właściciela nieruchomości na ograniczenie w korzystaniu. Zauważyć bowiem należy, że art. 10 ust. 1 pkt 8 w zw. z art. 24 specustawy gazowej stanowi normę szczególną wobec art. 124 ust. 1 i ust. 3 ugn i okoliczność określenia ograniczeń </w:t>
      </w:r>
      <w:r w:rsidRPr="00B61C37">
        <w:rPr>
          <w:rFonts w:ascii="Lato" w:eastAsiaTheme="minorHAnsi" w:hAnsi="Lato" w:cs="Arial"/>
          <w:bCs/>
          <w:spacing w:val="4"/>
          <w:sz w:val="22"/>
          <w:szCs w:val="22"/>
          <w:lang w:eastAsia="en-US" w:bidi="pl-PL"/>
        </w:rPr>
        <w:br/>
        <w:t xml:space="preserve">w korzystaniu z nieruchomości i prowadzenia robót może być w tym przypadku oparta tylko na ww. przepisach specustawy gazowej. W tym przypadku wyłączony jest obowiązek prowadzenia rokowań między właścicielem nieruchomości a inwestorem co do przeprowadzenia takich robót. Wszystkie działania w ramach lokalizacji inwestycji gazowej dokonywane są w oparciu o władztwo administracyjne, a specustawa gazowa nie przewiduje w tej materii konsultacji lub uzyskania zezwoleń właścicieli nieruchomości objętych zakresem inwestycji. </w:t>
      </w:r>
    </w:p>
    <w:p w14:paraId="77B08939" w14:textId="64A8D68E" w:rsidR="00242E95" w:rsidRPr="00B61C37" w:rsidRDefault="00242E95" w:rsidP="00F5214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Dodatkowo, ww. działki Skarżącej w części podlegają skutkom prawnym określonym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w art. 20 ust. 3 i 6 specustawy gazowej, tj. stają się z mocy prawa własnością Skarbu Państwa z dniem, w którym decyzja o ustaleniu lokalizacji inwestycji w zakresie terminalu stała się ostateczna, za odszkodowaniem. Inwestor zaś nabywa z mocy prawa z dniem, w którym decyzja o ustaleniu lokalizacji inwestycji w zakresie terminalu stała się ostateczna, prawo użytkowania wieczystego nieruchomości gruntowych, określonych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w ust. 3, oraz prawo własności budynków, innych urządzeń trwale z gruntem związanych i lokali znajdujących się na tych nieruchomościach.</w:t>
      </w:r>
    </w:p>
    <w:p w14:paraId="2E9EDE8D" w14:textId="45497FB5" w:rsidR="00F5214C" w:rsidRPr="00B61C37" w:rsidRDefault="00F5214C" w:rsidP="00F5214C">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Regulacje specustawy gazowej nie wymagają</w:t>
      </w:r>
      <w:r w:rsidR="00B94C81" w:rsidRPr="00B61C37">
        <w:rPr>
          <w:rFonts w:ascii="Lato" w:eastAsiaTheme="minorHAnsi" w:hAnsi="Lato" w:cs="Arial"/>
          <w:bCs/>
          <w:spacing w:val="4"/>
          <w:sz w:val="22"/>
          <w:szCs w:val="22"/>
          <w:lang w:eastAsia="en-US" w:bidi="pl-PL"/>
        </w:rPr>
        <w:t xml:space="preserve"> zatem</w:t>
      </w:r>
      <w:r w:rsidRPr="00B61C37">
        <w:rPr>
          <w:rFonts w:ascii="Lato" w:eastAsiaTheme="minorHAnsi" w:hAnsi="Lato" w:cs="Arial"/>
          <w:bCs/>
          <w:spacing w:val="4"/>
          <w:sz w:val="22"/>
          <w:szCs w:val="22"/>
          <w:lang w:eastAsia="en-US" w:bidi="pl-PL"/>
        </w:rPr>
        <w:t>, aby wnioskodawca był właścicielem lub użytkownikiem wieczystych nieruchomości, na których ma być realizowana inwestycja towarzysząca inwestycji w zakresie terminalu (por. wyrok Wojewódzkiego Sądu Administracyjnego w Warszawie z dnia 19 listopada 2019 r., sygn. akt IV SA/Wa 1496/19, opubl. Centralna Baza Orzeczeń Sądów Administracyjnych).</w:t>
      </w:r>
    </w:p>
    <w:p w14:paraId="628A5ACB" w14:textId="57282FD4" w:rsidR="00E812C2" w:rsidRPr="00B61C37" w:rsidRDefault="00E812C2" w:rsidP="00E812C2">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Ustosunkowując się zaś do wniosk</w:t>
      </w:r>
      <w:r w:rsidR="0006458C" w:rsidRPr="00B61C37">
        <w:rPr>
          <w:rFonts w:ascii="Lato" w:eastAsiaTheme="minorHAnsi" w:hAnsi="Lato" w:cs="Arial"/>
          <w:bCs/>
          <w:spacing w:val="4"/>
          <w:sz w:val="22"/>
          <w:szCs w:val="22"/>
          <w:lang w:eastAsia="en-US" w:bidi="pl-PL"/>
        </w:rPr>
        <w:t>ów</w:t>
      </w:r>
      <w:r w:rsidRPr="00B61C37">
        <w:rPr>
          <w:rFonts w:ascii="Lato" w:eastAsiaTheme="minorHAnsi" w:hAnsi="Lato" w:cs="Arial"/>
          <w:bCs/>
          <w:spacing w:val="4"/>
          <w:sz w:val="22"/>
          <w:szCs w:val="22"/>
          <w:lang w:eastAsia="en-US" w:bidi="pl-PL"/>
        </w:rPr>
        <w:t xml:space="preserve"> Pani </w:t>
      </w:r>
      <w:r w:rsidR="00FB4FDD">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 xml:space="preserve"> </w:t>
      </w:r>
      <w:r w:rsidR="0006458C" w:rsidRPr="00B61C37">
        <w:rPr>
          <w:rFonts w:ascii="Lato" w:eastAsiaTheme="minorHAnsi" w:hAnsi="Lato" w:cs="Arial"/>
          <w:bCs/>
          <w:spacing w:val="4"/>
          <w:sz w:val="22"/>
          <w:szCs w:val="22"/>
          <w:lang w:eastAsia="en-US" w:bidi="pl-PL"/>
        </w:rPr>
        <w:t>z dnia 12 marca 2024 r. oraz</w:t>
      </w:r>
      <w:r w:rsidRPr="00B61C37">
        <w:rPr>
          <w:rFonts w:ascii="Lato" w:eastAsiaTheme="minorHAnsi" w:hAnsi="Lato" w:cs="Arial"/>
          <w:bCs/>
          <w:spacing w:val="4"/>
          <w:sz w:val="22"/>
          <w:szCs w:val="22"/>
          <w:lang w:eastAsia="en-US" w:bidi="pl-PL"/>
        </w:rPr>
        <w:t xml:space="preserve"> Pani </w:t>
      </w:r>
      <w:r w:rsidR="00FB4FDD">
        <w:rPr>
          <w:rFonts w:ascii="Lato" w:eastAsiaTheme="minorHAnsi" w:hAnsi="Lato" w:cs="Arial"/>
          <w:bCs/>
          <w:spacing w:val="4"/>
          <w:sz w:val="22"/>
          <w:szCs w:val="22"/>
          <w:lang w:eastAsia="en-US" w:bidi="pl-PL"/>
        </w:rPr>
        <w:t>B.</w:t>
      </w:r>
      <w:r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br/>
      </w:r>
      <w:r w:rsidR="0006458C" w:rsidRPr="00B61C37">
        <w:rPr>
          <w:rFonts w:ascii="Lato" w:eastAsiaTheme="minorHAnsi" w:hAnsi="Lato" w:cs="Arial"/>
          <w:bCs/>
          <w:spacing w:val="4"/>
          <w:sz w:val="22"/>
          <w:szCs w:val="22"/>
          <w:lang w:eastAsia="en-US" w:bidi="pl-PL"/>
        </w:rPr>
        <w:t xml:space="preserve">i Pana </w:t>
      </w:r>
      <w:r w:rsidR="00FB4FDD">
        <w:rPr>
          <w:rFonts w:ascii="Lato" w:eastAsiaTheme="minorHAnsi" w:hAnsi="Lato" w:cs="Arial"/>
          <w:bCs/>
          <w:spacing w:val="4"/>
          <w:sz w:val="22"/>
          <w:szCs w:val="22"/>
          <w:lang w:eastAsia="en-US" w:bidi="pl-PL"/>
        </w:rPr>
        <w:t>J.</w:t>
      </w:r>
      <w:r w:rsidR="0006458C"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06458C" w:rsidRPr="00B61C37">
        <w:rPr>
          <w:rFonts w:ascii="Lato" w:eastAsiaTheme="minorHAnsi" w:hAnsi="Lato" w:cs="Arial"/>
          <w:bCs/>
          <w:spacing w:val="4"/>
          <w:sz w:val="22"/>
          <w:szCs w:val="22"/>
          <w:lang w:eastAsia="en-US" w:bidi="pl-PL"/>
        </w:rPr>
        <w:t xml:space="preserve"> </w:t>
      </w:r>
      <w:r w:rsidRPr="00B61C37">
        <w:rPr>
          <w:rFonts w:ascii="Lato" w:eastAsiaTheme="minorHAnsi" w:hAnsi="Lato" w:cs="Arial"/>
          <w:bCs/>
          <w:spacing w:val="4"/>
          <w:sz w:val="22"/>
          <w:szCs w:val="22"/>
          <w:lang w:eastAsia="en-US" w:bidi="pl-PL"/>
        </w:rPr>
        <w:t xml:space="preserve">z dnia 7 marca 2024 r. o możliwość </w:t>
      </w:r>
      <w:r w:rsidR="00F168D7" w:rsidRPr="00B61C37">
        <w:rPr>
          <w:rFonts w:ascii="Lato" w:eastAsiaTheme="minorHAnsi" w:hAnsi="Lato" w:cs="Arial"/>
          <w:bCs/>
          <w:spacing w:val="4"/>
          <w:sz w:val="22"/>
          <w:szCs w:val="22"/>
          <w:lang w:eastAsia="en-US" w:bidi="pl-PL"/>
        </w:rPr>
        <w:t xml:space="preserve">wglądu do umowy służebności gruntowej </w:t>
      </w:r>
      <w:r w:rsidR="00F168D7" w:rsidRPr="00B61C37">
        <w:rPr>
          <w:rFonts w:ascii="Lato" w:eastAsiaTheme="minorHAnsi" w:hAnsi="Lato" w:cs="Arial"/>
          <w:bCs/>
          <w:spacing w:val="4"/>
          <w:sz w:val="22"/>
          <w:szCs w:val="22"/>
          <w:lang w:eastAsia="en-US" w:bidi="pl-PL"/>
        </w:rPr>
        <w:lastRenderedPageBreak/>
        <w:t>przed uzyskaniem klauzuli ostateczności decyzji lokalizacyjnej</w:t>
      </w:r>
      <w:r w:rsidR="00012332" w:rsidRPr="00B61C37">
        <w:rPr>
          <w:rFonts w:ascii="Lato" w:eastAsiaTheme="minorHAnsi" w:hAnsi="Lato" w:cs="Arial"/>
          <w:bCs/>
          <w:spacing w:val="4"/>
          <w:sz w:val="22"/>
          <w:szCs w:val="22"/>
          <w:lang w:eastAsia="en-US" w:bidi="pl-PL"/>
        </w:rPr>
        <w:t xml:space="preserve"> oraz o doprecyzowanie warunków służebności, </w:t>
      </w:r>
      <w:r w:rsidRPr="00B61C37">
        <w:rPr>
          <w:rFonts w:ascii="Lato" w:eastAsiaTheme="minorHAnsi" w:hAnsi="Lato" w:cs="Arial"/>
          <w:bCs/>
          <w:spacing w:val="4"/>
          <w:sz w:val="22"/>
          <w:szCs w:val="22"/>
          <w:lang w:eastAsia="en-US"/>
        </w:rPr>
        <w:t xml:space="preserve">podkreślić wyraźnie należy, że zawarcie umowy o ustanowienie służebności </w:t>
      </w:r>
      <w:r w:rsidR="00BA7925" w:rsidRPr="00B61C37">
        <w:rPr>
          <w:rFonts w:ascii="Lato" w:eastAsiaTheme="minorHAnsi" w:hAnsi="Lato" w:cs="Arial"/>
          <w:bCs/>
          <w:spacing w:val="4"/>
          <w:sz w:val="22"/>
          <w:szCs w:val="22"/>
          <w:lang w:eastAsia="en-US"/>
        </w:rPr>
        <w:t>gruntowej</w:t>
      </w:r>
      <w:r w:rsidRPr="00B61C37">
        <w:rPr>
          <w:rFonts w:ascii="Lato" w:eastAsiaTheme="minorHAnsi" w:hAnsi="Lato" w:cs="Arial"/>
          <w:bCs/>
          <w:spacing w:val="4"/>
          <w:sz w:val="22"/>
          <w:szCs w:val="22"/>
          <w:lang w:eastAsia="en-US"/>
        </w:rPr>
        <w:t xml:space="preserve"> nie jest elementem postępowania w sprawie wydania decyzji </w:t>
      </w:r>
      <w:r w:rsidR="001B4246">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o ustaleniu lokalizacji </w:t>
      </w:r>
      <w:r w:rsidR="00BA7925" w:rsidRPr="00B61C37">
        <w:rPr>
          <w:rFonts w:ascii="Lato" w:eastAsiaTheme="minorHAnsi" w:hAnsi="Lato" w:cs="Arial"/>
          <w:bCs/>
          <w:spacing w:val="4"/>
          <w:sz w:val="22"/>
          <w:szCs w:val="22"/>
          <w:lang w:eastAsia="en-US"/>
        </w:rPr>
        <w:t>inwestycji towarzyszącej inwestycjom w zakresie terminalu</w:t>
      </w:r>
      <w:r w:rsidRPr="00B61C37">
        <w:rPr>
          <w:rFonts w:ascii="Lato" w:eastAsiaTheme="minorHAnsi" w:hAnsi="Lato" w:cs="Arial"/>
          <w:bCs/>
          <w:spacing w:val="4"/>
          <w:sz w:val="22"/>
          <w:szCs w:val="22"/>
          <w:lang w:eastAsia="en-US"/>
        </w:rPr>
        <w:t xml:space="preserve">, </w:t>
      </w:r>
      <w:r w:rsidR="007960AE">
        <w:rPr>
          <w:rFonts w:ascii="Lato" w:eastAsiaTheme="minorHAnsi" w:hAnsi="Lato" w:cs="Arial"/>
          <w:bCs/>
          <w:spacing w:val="4"/>
          <w:sz w:val="22"/>
          <w:szCs w:val="22"/>
          <w:lang w:eastAsia="en-US"/>
        </w:rPr>
        <w:t xml:space="preserve">co szeroko już omówiono powyżej w niniejszej decyzji. </w:t>
      </w:r>
    </w:p>
    <w:p w14:paraId="23A8FE03" w14:textId="245C5123" w:rsidR="00351623" w:rsidRPr="00B61C37" w:rsidRDefault="007960AE" w:rsidP="00E812C2">
      <w:pPr>
        <w:spacing w:after="240" w:line="240" w:lineRule="exact"/>
        <w:jc w:val="both"/>
        <w:rPr>
          <w:rFonts w:ascii="Lato" w:eastAsiaTheme="minorHAnsi" w:hAnsi="Lato" w:cs="Arial"/>
          <w:bCs/>
          <w:spacing w:val="4"/>
          <w:sz w:val="22"/>
          <w:szCs w:val="22"/>
          <w:lang w:eastAsia="en-US"/>
        </w:rPr>
      </w:pPr>
      <w:r>
        <w:rPr>
          <w:rFonts w:ascii="Lato" w:eastAsiaTheme="minorHAnsi" w:hAnsi="Lato" w:cs="Arial"/>
          <w:bCs/>
          <w:spacing w:val="4"/>
          <w:sz w:val="22"/>
          <w:szCs w:val="22"/>
          <w:lang w:eastAsia="en-US"/>
        </w:rPr>
        <w:t>Dodatkowo tylko nadmienić można</w:t>
      </w:r>
      <w:r w:rsidR="00E812C2" w:rsidRPr="00B61C37">
        <w:rPr>
          <w:rFonts w:ascii="Lato" w:eastAsiaTheme="minorHAnsi" w:hAnsi="Lato" w:cs="Arial"/>
          <w:bCs/>
          <w:spacing w:val="4"/>
          <w:sz w:val="22"/>
          <w:szCs w:val="22"/>
          <w:lang w:eastAsia="en-US"/>
        </w:rPr>
        <w:t xml:space="preserve">, że </w:t>
      </w:r>
      <w:r w:rsidR="00BA7925" w:rsidRPr="00B61C37">
        <w:rPr>
          <w:rFonts w:ascii="Lato" w:eastAsiaTheme="minorHAnsi" w:hAnsi="Lato" w:cs="Arial"/>
          <w:bCs/>
          <w:spacing w:val="4"/>
          <w:sz w:val="22"/>
          <w:szCs w:val="22"/>
          <w:lang w:eastAsia="en-US"/>
        </w:rPr>
        <w:t xml:space="preserve">służebność gruntowa może być ustanowiona na podstawie umowy, orzeczenia sądowego (zob. </w:t>
      </w:r>
      <w:hyperlink r:id="rId8" w:history="1">
        <w:r w:rsidR="00BA7925" w:rsidRPr="00B61C37">
          <w:rPr>
            <w:rStyle w:val="Hipercze"/>
            <w:rFonts w:ascii="Lato" w:eastAsiaTheme="minorHAnsi" w:hAnsi="Lato" w:cs="Arial"/>
            <w:bCs/>
            <w:color w:val="auto"/>
            <w:spacing w:val="4"/>
            <w:sz w:val="22"/>
            <w:szCs w:val="22"/>
            <w:u w:val="none"/>
            <w:lang w:eastAsia="en-US"/>
          </w:rPr>
          <w:t>art. 145</w:t>
        </w:r>
      </w:hyperlink>
      <w:r w:rsidR="00BA7925" w:rsidRPr="00B61C37">
        <w:rPr>
          <w:rFonts w:ascii="Lato" w:eastAsiaTheme="minorHAnsi" w:hAnsi="Lato" w:cs="Arial"/>
          <w:bCs/>
          <w:spacing w:val="4"/>
          <w:sz w:val="22"/>
          <w:szCs w:val="22"/>
          <w:lang w:eastAsia="en-US"/>
        </w:rPr>
        <w:t xml:space="preserve">, </w:t>
      </w:r>
      <w:hyperlink r:id="rId9" w:history="1">
        <w:r w:rsidR="00BA7925" w:rsidRPr="00B61C37">
          <w:rPr>
            <w:rStyle w:val="Hipercze"/>
            <w:rFonts w:ascii="Lato" w:eastAsiaTheme="minorHAnsi" w:hAnsi="Lato" w:cs="Arial"/>
            <w:bCs/>
            <w:color w:val="auto"/>
            <w:spacing w:val="4"/>
            <w:sz w:val="22"/>
            <w:szCs w:val="22"/>
            <w:u w:val="none"/>
            <w:lang w:eastAsia="en-US"/>
          </w:rPr>
          <w:t>146</w:t>
        </w:r>
      </w:hyperlink>
      <w:r w:rsidR="00BA7925" w:rsidRPr="00B61C37">
        <w:rPr>
          <w:rFonts w:ascii="Lato" w:eastAsiaTheme="minorHAnsi" w:hAnsi="Lato" w:cs="Arial"/>
          <w:bCs/>
          <w:spacing w:val="4"/>
          <w:sz w:val="22"/>
          <w:szCs w:val="22"/>
          <w:lang w:eastAsia="en-US"/>
        </w:rPr>
        <w:t xml:space="preserve">, </w:t>
      </w:r>
      <w:hyperlink r:id="rId10" w:history="1">
        <w:r w:rsidR="00BA7925" w:rsidRPr="00B61C37">
          <w:rPr>
            <w:rStyle w:val="Hipercze"/>
            <w:rFonts w:ascii="Lato" w:eastAsiaTheme="minorHAnsi" w:hAnsi="Lato" w:cs="Arial"/>
            <w:bCs/>
            <w:color w:val="auto"/>
            <w:spacing w:val="4"/>
            <w:sz w:val="22"/>
            <w:szCs w:val="22"/>
            <w:u w:val="none"/>
            <w:lang w:eastAsia="en-US"/>
          </w:rPr>
          <w:t>151</w:t>
        </w:r>
      </w:hyperlink>
      <w:r w:rsidR="00BA7925" w:rsidRPr="00B61C37">
        <w:rPr>
          <w:rFonts w:ascii="Lato" w:eastAsiaTheme="minorHAnsi" w:hAnsi="Lato" w:cs="Arial"/>
          <w:bCs/>
          <w:spacing w:val="4"/>
          <w:sz w:val="22"/>
          <w:szCs w:val="22"/>
          <w:lang w:eastAsia="en-US"/>
        </w:rPr>
        <w:t xml:space="preserve">, </w:t>
      </w:r>
      <w:hyperlink r:id="rId11" w:history="1">
        <w:r w:rsidR="00BA7925" w:rsidRPr="00B61C37">
          <w:rPr>
            <w:rStyle w:val="Hipercze"/>
            <w:rFonts w:ascii="Lato" w:eastAsiaTheme="minorHAnsi" w:hAnsi="Lato" w:cs="Arial"/>
            <w:bCs/>
            <w:color w:val="auto"/>
            <w:spacing w:val="4"/>
            <w:sz w:val="22"/>
            <w:szCs w:val="22"/>
            <w:u w:val="none"/>
            <w:lang w:eastAsia="en-US"/>
          </w:rPr>
          <w:t>212</w:t>
        </w:r>
      </w:hyperlink>
      <w:r w:rsidR="00BA7925" w:rsidRPr="00B61C37">
        <w:rPr>
          <w:rFonts w:ascii="Lato" w:eastAsiaTheme="minorHAnsi" w:hAnsi="Lato" w:cs="Arial"/>
          <w:bCs/>
          <w:spacing w:val="4"/>
          <w:sz w:val="22"/>
          <w:szCs w:val="22"/>
          <w:lang w:eastAsia="en-US"/>
        </w:rPr>
        <w:t xml:space="preserve"> kc), nabyta z uwagi na upływ czasu (zasiedzenie) lub na mocy decyzji administracyjnej (np. w wyniku wywłaszczenia nieruchomości). Jako najbardziej rozpowszechniony sposób powstania służebności gruntowej należy uznać umowę. Forma aktu notarialnego jest konieczna tylko dla oświadczenia osoby, która ustanawia służebność (</w:t>
      </w:r>
      <w:hyperlink r:id="rId12" w:history="1">
        <w:r w:rsidR="00BA7925" w:rsidRPr="00B61C37">
          <w:rPr>
            <w:rStyle w:val="Hipercze"/>
            <w:rFonts w:ascii="Lato" w:eastAsiaTheme="minorHAnsi" w:hAnsi="Lato" w:cs="Arial"/>
            <w:bCs/>
            <w:color w:val="auto"/>
            <w:spacing w:val="4"/>
            <w:sz w:val="22"/>
            <w:szCs w:val="22"/>
            <w:u w:val="none"/>
            <w:lang w:eastAsia="en-US"/>
          </w:rPr>
          <w:t>art. 245 § 2</w:t>
        </w:r>
      </w:hyperlink>
      <w:r w:rsidR="00BA7925" w:rsidRPr="00B61C37">
        <w:rPr>
          <w:rFonts w:ascii="Lato" w:eastAsiaTheme="minorHAnsi" w:hAnsi="Lato" w:cs="Arial"/>
          <w:bCs/>
          <w:spacing w:val="4"/>
          <w:sz w:val="22"/>
          <w:szCs w:val="22"/>
          <w:lang w:eastAsia="en-US"/>
        </w:rPr>
        <w:t xml:space="preserve"> KC). Wpis do księgi wieczystej ustanowionej służebności ma charakter fakultatywny i deklaratoryjny </w:t>
      </w:r>
      <w:r w:rsidR="002658DD" w:rsidRPr="00B61C37">
        <w:rPr>
          <w:rFonts w:ascii="Lato" w:eastAsiaTheme="minorHAnsi" w:hAnsi="Lato" w:cs="Arial"/>
          <w:bCs/>
          <w:spacing w:val="4"/>
          <w:sz w:val="22"/>
          <w:szCs w:val="22"/>
          <w:lang w:eastAsia="en-US"/>
        </w:rPr>
        <w:br/>
      </w:r>
      <w:r w:rsidR="00BA7925" w:rsidRPr="00B61C37">
        <w:rPr>
          <w:rFonts w:ascii="Lato" w:eastAsiaTheme="minorHAnsi" w:hAnsi="Lato" w:cs="Arial"/>
          <w:bCs/>
          <w:spacing w:val="4"/>
          <w:sz w:val="22"/>
          <w:szCs w:val="22"/>
          <w:lang w:eastAsia="en-US"/>
        </w:rPr>
        <w:t xml:space="preserve">(nie konstytutywny) – M. Jankowska, w: M. </w:t>
      </w:r>
      <w:proofErr w:type="spellStart"/>
      <w:r w:rsidR="00BA7925" w:rsidRPr="00B61C37">
        <w:rPr>
          <w:rFonts w:ascii="Lato" w:eastAsiaTheme="minorHAnsi" w:hAnsi="Lato" w:cs="Arial"/>
          <w:bCs/>
          <w:spacing w:val="4"/>
          <w:sz w:val="22"/>
          <w:szCs w:val="22"/>
          <w:lang w:eastAsia="en-US"/>
        </w:rPr>
        <w:t>Habdas</w:t>
      </w:r>
      <w:proofErr w:type="spellEnd"/>
      <w:r w:rsidR="00BA7925" w:rsidRPr="00B61C37">
        <w:rPr>
          <w:rFonts w:ascii="Lato" w:eastAsiaTheme="minorHAnsi" w:hAnsi="Lato" w:cs="Arial"/>
          <w:bCs/>
          <w:spacing w:val="4"/>
          <w:sz w:val="22"/>
          <w:szCs w:val="22"/>
          <w:lang w:eastAsia="en-US"/>
        </w:rPr>
        <w:t xml:space="preserve">, M. </w:t>
      </w:r>
      <w:proofErr w:type="spellStart"/>
      <w:r w:rsidR="00BA7925" w:rsidRPr="00B61C37">
        <w:rPr>
          <w:rFonts w:ascii="Lato" w:eastAsiaTheme="minorHAnsi" w:hAnsi="Lato" w:cs="Arial"/>
          <w:bCs/>
          <w:spacing w:val="4"/>
          <w:sz w:val="22"/>
          <w:szCs w:val="22"/>
          <w:lang w:eastAsia="en-US"/>
        </w:rPr>
        <w:t>Fras</w:t>
      </w:r>
      <w:proofErr w:type="spellEnd"/>
      <w:r w:rsidR="00BA7925" w:rsidRPr="00B61C37">
        <w:rPr>
          <w:rFonts w:ascii="Lato" w:eastAsiaTheme="minorHAnsi" w:hAnsi="Lato" w:cs="Arial"/>
          <w:bCs/>
          <w:spacing w:val="4"/>
          <w:sz w:val="22"/>
          <w:szCs w:val="22"/>
          <w:lang w:eastAsia="en-US"/>
        </w:rPr>
        <w:t xml:space="preserve">, Komentarz KC, t. 2, 2018, art. 285, </w:t>
      </w:r>
      <w:proofErr w:type="spellStart"/>
      <w:r w:rsidR="00BA7925" w:rsidRPr="00B61C37">
        <w:rPr>
          <w:rFonts w:ascii="Lato" w:eastAsiaTheme="minorHAnsi" w:hAnsi="Lato" w:cs="Arial"/>
          <w:bCs/>
          <w:spacing w:val="4"/>
          <w:sz w:val="22"/>
          <w:szCs w:val="22"/>
          <w:lang w:eastAsia="en-US"/>
        </w:rPr>
        <w:t>Nt</w:t>
      </w:r>
      <w:proofErr w:type="spellEnd"/>
      <w:r w:rsidR="00BA7925" w:rsidRPr="00B61C37">
        <w:rPr>
          <w:rFonts w:ascii="Lato" w:eastAsiaTheme="minorHAnsi" w:hAnsi="Lato" w:cs="Arial"/>
          <w:bCs/>
          <w:spacing w:val="4"/>
          <w:sz w:val="22"/>
          <w:szCs w:val="22"/>
          <w:lang w:eastAsia="en-US"/>
        </w:rPr>
        <w:t xml:space="preserve"> 16; zob. też B. </w:t>
      </w:r>
      <w:proofErr w:type="spellStart"/>
      <w:r w:rsidR="00BA7925" w:rsidRPr="00B61C37">
        <w:rPr>
          <w:rFonts w:ascii="Lato" w:eastAsiaTheme="minorHAnsi" w:hAnsi="Lato" w:cs="Arial"/>
          <w:bCs/>
          <w:spacing w:val="4"/>
          <w:sz w:val="22"/>
          <w:szCs w:val="22"/>
          <w:lang w:eastAsia="en-US"/>
        </w:rPr>
        <w:t>Lackoroński</w:t>
      </w:r>
      <w:proofErr w:type="spellEnd"/>
      <w:r w:rsidR="00BA7925" w:rsidRPr="00B61C37">
        <w:rPr>
          <w:rFonts w:ascii="Lato" w:eastAsiaTheme="minorHAnsi" w:hAnsi="Lato" w:cs="Arial"/>
          <w:bCs/>
          <w:spacing w:val="4"/>
          <w:sz w:val="22"/>
          <w:szCs w:val="22"/>
          <w:lang w:eastAsia="en-US"/>
        </w:rPr>
        <w:t xml:space="preserve">, w: K. </w:t>
      </w:r>
      <w:proofErr w:type="spellStart"/>
      <w:r w:rsidR="00BA7925" w:rsidRPr="00B61C37">
        <w:rPr>
          <w:rFonts w:ascii="Lato" w:eastAsiaTheme="minorHAnsi" w:hAnsi="Lato" w:cs="Arial"/>
          <w:bCs/>
          <w:spacing w:val="4"/>
          <w:sz w:val="22"/>
          <w:szCs w:val="22"/>
          <w:lang w:eastAsia="en-US"/>
        </w:rPr>
        <w:t>Osajda</w:t>
      </w:r>
      <w:proofErr w:type="spellEnd"/>
      <w:r w:rsidR="00BA7925" w:rsidRPr="00B61C37">
        <w:rPr>
          <w:rFonts w:ascii="Lato" w:eastAsiaTheme="minorHAnsi" w:hAnsi="Lato" w:cs="Arial"/>
          <w:bCs/>
          <w:spacing w:val="4"/>
          <w:sz w:val="22"/>
          <w:szCs w:val="22"/>
          <w:lang w:eastAsia="en-US"/>
        </w:rPr>
        <w:t>, Komentarz KC, t. 2, 2017</w:t>
      </w:r>
      <w:r w:rsidR="00B61C37">
        <w:rPr>
          <w:rFonts w:ascii="Lato" w:eastAsiaTheme="minorHAnsi" w:hAnsi="Lato" w:cs="Arial"/>
          <w:bCs/>
          <w:spacing w:val="4"/>
          <w:sz w:val="22"/>
          <w:szCs w:val="22"/>
          <w:lang w:eastAsia="en-US"/>
        </w:rPr>
        <w:t>.</w:t>
      </w:r>
      <w:r>
        <w:rPr>
          <w:rFonts w:ascii="Lato" w:eastAsiaTheme="minorHAnsi" w:hAnsi="Lato" w:cs="Arial"/>
          <w:bCs/>
          <w:spacing w:val="4"/>
          <w:sz w:val="22"/>
          <w:szCs w:val="22"/>
          <w:lang w:eastAsia="en-US"/>
        </w:rPr>
        <w:t xml:space="preserve"> </w:t>
      </w:r>
      <w:r w:rsidR="002D1CCA" w:rsidRPr="00B61C37">
        <w:rPr>
          <w:rFonts w:ascii="Lato" w:eastAsiaTheme="minorHAnsi" w:hAnsi="Lato" w:cs="Arial"/>
          <w:bCs/>
          <w:spacing w:val="4"/>
          <w:sz w:val="22"/>
          <w:szCs w:val="22"/>
          <w:lang w:eastAsia="en-US"/>
        </w:rPr>
        <w:t>Z powyższego wynika, że ustanowienie służebności gruntowej w wyniku zawarcia umowy z właścicielem nieruchomości</w:t>
      </w:r>
      <w:r w:rsidR="002D1CCA" w:rsidRPr="00B61C37">
        <w:rPr>
          <w:rFonts w:ascii="Lato" w:eastAsiaTheme="minorHAnsi" w:hAnsi="Lato" w:cs="Arial"/>
          <w:bCs/>
          <w:spacing w:val="4"/>
          <w:sz w:val="22"/>
          <w:szCs w:val="22"/>
          <w:lang w:eastAsia="en-US" w:bidi="pl-PL"/>
        </w:rPr>
        <w:t xml:space="preserve"> jest instytucją prawa rzeczowego i odbywa się na drodze cywilnej, a nie administracyjnej.</w:t>
      </w:r>
      <w:r w:rsidR="00351623" w:rsidRPr="00B61C37">
        <w:rPr>
          <w:rFonts w:ascii="Lato" w:eastAsiaTheme="minorHAnsi" w:hAnsi="Lato" w:cs="Arial"/>
          <w:bCs/>
          <w:spacing w:val="4"/>
          <w:sz w:val="22"/>
          <w:szCs w:val="22"/>
          <w:lang w:eastAsia="en-US"/>
        </w:rPr>
        <w:t xml:space="preserve"> W ramach przedmiotowego postępowania </w:t>
      </w:r>
      <w:r w:rsidR="002658DD" w:rsidRPr="00B61C37">
        <w:rPr>
          <w:rFonts w:ascii="Lato" w:eastAsiaTheme="minorHAnsi" w:hAnsi="Lato" w:cs="Arial"/>
          <w:bCs/>
          <w:spacing w:val="4"/>
          <w:sz w:val="22"/>
          <w:szCs w:val="22"/>
          <w:lang w:eastAsia="en-US"/>
        </w:rPr>
        <w:br/>
      </w:r>
      <w:r w:rsidR="00351623" w:rsidRPr="00B61C37">
        <w:rPr>
          <w:rFonts w:ascii="Lato" w:eastAsiaTheme="minorHAnsi" w:hAnsi="Lato" w:cs="Arial"/>
          <w:bCs/>
          <w:spacing w:val="4"/>
          <w:sz w:val="22"/>
          <w:szCs w:val="22"/>
          <w:lang w:eastAsia="en-US"/>
        </w:rPr>
        <w:t xml:space="preserve">w sprawie ustalenia lokalizacji inwestycji towarzyszącej inwestycjom w zakresie terminalu Minister, działając na podstawie art. 138 § 1 pkt 2 kpa, orzekł o ustanowieniu służebności przejazdu i przechodu na rzecz wskazanych w rozstrzygnięciu niniejszej decyzji działek, poprzez określenie konkretnych </w:t>
      </w:r>
      <w:proofErr w:type="gramStart"/>
      <w:r w:rsidR="00351623" w:rsidRPr="00B61C37">
        <w:rPr>
          <w:rFonts w:ascii="Lato" w:eastAsiaTheme="minorHAnsi" w:hAnsi="Lato" w:cs="Arial"/>
          <w:bCs/>
          <w:spacing w:val="4"/>
          <w:sz w:val="22"/>
          <w:szCs w:val="22"/>
          <w:lang w:eastAsia="en-US"/>
        </w:rPr>
        <w:t>działek</w:t>
      </w:r>
      <w:proofErr w:type="gramEnd"/>
      <w:r w:rsidR="00351623" w:rsidRPr="00B61C37">
        <w:rPr>
          <w:rFonts w:ascii="Lato" w:eastAsiaTheme="minorHAnsi" w:hAnsi="Lato" w:cs="Arial"/>
          <w:bCs/>
          <w:spacing w:val="4"/>
          <w:sz w:val="22"/>
          <w:szCs w:val="22"/>
          <w:lang w:eastAsia="en-US"/>
        </w:rPr>
        <w:t xml:space="preserve"> przez które ustanawia się rzeczoną służebność. Powyższego dokonano na podstawie przedłożonej przez inwestora mapy do celów prawnych przedstawiającej przebieg służebności przejazdu i przechodu, a nie umowy służebności gruntowej.</w:t>
      </w:r>
    </w:p>
    <w:p w14:paraId="06F9D722" w14:textId="77777777" w:rsidR="00E812C2" w:rsidRPr="00B61C37" w:rsidRDefault="00E812C2" w:rsidP="00E812C2">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Mając powyższe na uwadze, żądanie Skarżących należy uznać za bezzasadne. </w:t>
      </w:r>
    </w:p>
    <w:p w14:paraId="55C99BC6" w14:textId="02FBC15D" w:rsidR="00785A56" w:rsidRPr="00B61C37" w:rsidRDefault="00351623" w:rsidP="000D3F89">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Co do zaś wniosku Pani </w:t>
      </w:r>
      <w:r w:rsidR="00FB4FDD">
        <w:rPr>
          <w:rFonts w:ascii="Lato" w:eastAsiaTheme="minorHAnsi" w:hAnsi="Lato" w:cs="Arial"/>
          <w:bCs/>
          <w:spacing w:val="4"/>
          <w:sz w:val="22"/>
          <w:szCs w:val="22"/>
          <w:lang w:eastAsia="en-US"/>
        </w:rPr>
        <w:t>A.</w:t>
      </w:r>
      <w:r w:rsidRPr="00B61C37">
        <w:rPr>
          <w:rFonts w:ascii="Lato" w:eastAsiaTheme="minorHAnsi" w:hAnsi="Lato" w:cs="Arial"/>
          <w:bCs/>
          <w:spacing w:val="4"/>
          <w:sz w:val="22"/>
          <w:szCs w:val="22"/>
          <w:lang w:eastAsia="en-US"/>
        </w:rPr>
        <w:t xml:space="preserve"> </w:t>
      </w:r>
      <w:r w:rsidR="00FB4FDD">
        <w:rPr>
          <w:rFonts w:ascii="Lato" w:eastAsiaTheme="minorHAnsi" w:hAnsi="Lato" w:cs="Arial"/>
          <w:bCs/>
          <w:spacing w:val="4"/>
          <w:sz w:val="22"/>
          <w:szCs w:val="22"/>
          <w:lang w:eastAsia="en-US"/>
        </w:rPr>
        <w:t>S.</w:t>
      </w:r>
      <w:r w:rsidR="0006458C" w:rsidRPr="00B61C37">
        <w:rPr>
          <w:rFonts w:ascii="Lato" w:eastAsiaTheme="minorHAnsi" w:hAnsi="Lato" w:cs="Arial"/>
          <w:bCs/>
          <w:spacing w:val="4"/>
          <w:sz w:val="22"/>
          <w:szCs w:val="22"/>
          <w:lang w:eastAsia="en-US"/>
        </w:rPr>
        <w:t xml:space="preserve"> o możliwość wglądu do mapy przedstawiającej służebność gruntową przejazdu i przechodu stwierdzić należy, że organ II instancji przekazał pełnomocnikowi Skarżącej ww. mapę przedłożoną przez inwestora przy piśmie z dnia </w:t>
      </w:r>
      <w:r w:rsidR="00FB4FDD">
        <w:rPr>
          <w:rFonts w:ascii="Lato" w:eastAsiaTheme="minorHAnsi" w:hAnsi="Lato" w:cs="Arial"/>
          <w:bCs/>
          <w:spacing w:val="4"/>
          <w:sz w:val="22"/>
          <w:szCs w:val="22"/>
          <w:lang w:eastAsia="en-US"/>
        </w:rPr>
        <w:br/>
      </w:r>
      <w:r w:rsidR="0006458C" w:rsidRPr="00B61C37">
        <w:rPr>
          <w:rFonts w:ascii="Lato" w:eastAsiaTheme="minorHAnsi" w:hAnsi="Lato" w:cs="Arial"/>
          <w:bCs/>
          <w:spacing w:val="4"/>
          <w:sz w:val="22"/>
          <w:szCs w:val="22"/>
          <w:lang w:eastAsia="en-US"/>
        </w:rPr>
        <w:t xml:space="preserve">27 maja 2024 r. w załączeniu do pisma z dnia 3 października 2024 r., znak: </w:t>
      </w:r>
      <w:r w:rsidR="00FB4FDD">
        <w:rPr>
          <w:rFonts w:ascii="Lato" w:eastAsiaTheme="minorHAnsi" w:hAnsi="Lato" w:cs="Arial"/>
          <w:bCs/>
          <w:spacing w:val="4"/>
          <w:sz w:val="22"/>
          <w:szCs w:val="22"/>
          <w:lang w:eastAsia="en-US"/>
        </w:rPr>
        <w:br/>
      </w:r>
      <w:r w:rsidR="0006458C" w:rsidRPr="00B61C37">
        <w:rPr>
          <w:rFonts w:ascii="Lato" w:eastAsiaTheme="minorHAnsi" w:hAnsi="Lato" w:cs="Arial"/>
          <w:bCs/>
          <w:spacing w:val="4"/>
          <w:sz w:val="22"/>
          <w:szCs w:val="22"/>
          <w:lang w:eastAsia="en-US"/>
        </w:rPr>
        <w:t xml:space="preserve">DLI-III.7620.10.2023.AW.16. Jednocześnie podkreślenia wymaga, że Pani </w:t>
      </w:r>
      <w:r w:rsidR="00FB4FDD">
        <w:rPr>
          <w:rFonts w:ascii="Lato" w:eastAsiaTheme="minorHAnsi" w:hAnsi="Lato" w:cs="Arial"/>
          <w:bCs/>
          <w:spacing w:val="4"/>
          <w:sz w:val="22"/>
          <w:szCs w:val="22"/>
          <w:lang w:eastAsia="en-US"/>
        </w:rPr>
        <w:t>A.</w:t>
      </w:r>
      <w:r w:rsidR="0006458C" w:rsidRPr="00B61C37">
        <w:rPr>
          <w:rFonts w:ascii="Lato" w:eastAsiaTheme="minorHAnsi" w:hAnsi="Lato" w:cs="Arial"/>
          <w:bCs/>
          <w:spacing w:val="4"/>
          <w:sz w:val="22"/>
          <w:szCs w:val="22"/>
          <w:lang w:eastAsia="en-US"/>
        </w:rPr>
        <w:t xml:space="preserve"> </w:t>
      </w:r>
      <w:r w:rsidR="00FB4FDD">
        <w:rPr>
          <w:rFonts w:ascii="Lato" w:eastAsiaTheme="minorHAnsi" w:hAnsi="Lato" w:cs="Arial"/>
          <w:bCs/>
          <w:spacing w:val="4"/>
          <w:sz w:val="22"/>
          <w:szCs w:val="22"/>
          <w:lang w:eastAsia="en-US"/>
        </w:rPr>
        <w:t>S.</w:t>
      </w:r>
      <w:r w:rsidR="0006458C" w:rsidRPr="00B61C37">
        <w:rPr>
          <w:rFonts w:ascii="Lato" w:eastAsiaTheme="minorHAnsi" w:hAnsi="Lato" w:cs="Arial"/>
          <w:bCs/>
          <w:spacing w:val="4"/>
          <w:sz w:val="22"/>
          <w:szCs w:val="22"/>
          <w:lang w:eastAsia="en-US"/>
        </w:rPr>
        <w:t xml:space="preserve"> przysługiwało prawo zapoznania się z aktami sprawy</w:t>
      </w:r>
      <w:r w:rsidR="0006458C" w:rsidRPr="00B61C37">
        <w:rPr>
          <w:rFonts w:ascii="Lato" w:eastAsiaTheme="minorHAnsi" w:hAnsi="Lato" w:cs="Arial"/>
          <w:bCs/>
          <w:spacing w:val="4"/>
          <w:sz w:val="22"/>
          <w:szCs w:val="22"/>
          <w:lang w:eastAsia="en-US" w:bidi="pl-PL"/>
        </w:rPr>
        <w:t xml:space="preserve">, z którego to uprawnienia Skarżąca nie skorzystała. Godzi się zauważyć, że organ odwoławczy poinformował Skarżącą o przysługującym jej prawie wglądu do akt sprawy już przy piśmie z dnia 18 sierpnia 2023 r., znak: </w:t>
      </w:r>
      <w:r w:rsidR="0006458C" w:rsidRPr="00B61C37">
        <w:rPr>
          <w:rFonts w:ascii="Lato" w:eastAsiaTheme="minorHAnsi" w:hAnsi="Lato" w:cs="Arial"/>
          <w:bCs/>
          <w:spacing w:val="4"/>
          <w:sz w:val="22"/>
          <w:szCs w:val="22"/>
          <w:lang w:eastAsia="en-US"/>
        </w:rPr>
        <w:t xml:space="preserve">DLI-III.7620.10.2023.AW.4, które zostało przez nią odebrane w dniu 28 sierpnia 2024 r., co potwierdza znajdujące się w aktach sprawy zwrotne potwierdzenie odbioru. </w:t>
      </w:r>
    </w:p>
    <w:p w14:paraId="5F6B42DF" w14:textId="7155865E" w:rsidR="0023414E" w:rsidRPr="00B61C37" w:rsidRDefault="00CD6C8F" w:rsidP="0023414E">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Dalej, nie sposób uznać również „zażalenia na rygor natychmiastowej wykonalności” </w:t>
      </w:r>
      <w:r w:rsidR="002658DD" w:rsidRPr="00B61C37">
        <w:rPr>
          <w:rFonts w:ascii="Lato" w:eastAsiaTheme="minorHAnsi" w:hAnsi="Lato" w:cs="Arial"/>
          <w:bCs/>
          <w:spacing w:val="4"/>
          <w:sz w:val="22"/>
          <w:szCs w:val="22"/>
          <w:lang w:eastAsia="en-US" w:bidi="pl-PL"/>
        </w:rPr>
        <w:br/>
      </w:r>
      <w:r w:rsidRPr="00B61C37">
        <w:rPr>
          <w:rFonts w:ascii="Lato" w:eastAsiaTheme="minorHAnsi" w:hAnsi="Lato" w:cs="Arial"/>
          <w:bCs/>
          <w:spacing w:val="4"/>
          <w:sz w:val="22"/>
          <w:szCs w:val="22"/>
          <w:lang w:eastAsia="en-US" w:bidi="pl-PL"/>
        </w:rPr>
        <w:t xml:space="preserve">w odniesieniu do zapisów dotyczących działek </w:t>
      </w:r>
      <w:r w:rsidR="0023414E" w:rsidRPr="00B61C37">
        <w:rPr>
          <w:rFonts w:ascii="Lato" w:eastAsiaTheme="minorHAnsi" w:hAnsi="Lato" w:cs="Arial"/>
          <w:bCs/>
          <w:spacing w:val="4"/>
          <w:sz w:val="22"/>
          <w:szCs w:val="22"/>
          <w:lang w:eastAsia="en-US" w:bidi="pl-PL"/>
        </w:rPr>
        <w:t xml:space="preserve">nr 1507 i 1520, </w:t>
      </w:r>
      <w:r w:rsidRPr="00B61C37">
        <w:rPr>
          <w:rFonts w:ascii="Lato" w:eastAsiaTheme="minorHAnsi" w:hAnsi="Lato" w:cs="Arial"/>
          <w:bCs/>
          <w:spacing w:val="4"/>
          <w:sz w:val="22"/>
          <w:szCs w:val="22"/>
          <w:lang w:eastAsia="en-US" w:bidi="pl-PL"/>
        </w:rPr>
        <w:t xml:space="preserve">wyrażonego w piśmie Pani </w:t>
      </w:r>
      <w:r w:rsidR="00FB4FDD">
        <w:rPr>
          <w:rFonts w:ascii="Lato" w:eastAsiaTheme="minorHAnsi" w:hAnsi="Lato" w:cs="Arial"/>
          <w:bCs/>
          <w:spacing w:val="4"/>
          <w:sz w:val="22"/>
          <w:szCs w:val="22"/>
          <w:lang w:eastAsia="en-US" w:bidi="pl-PL"/>
        </w:rPr>
        <w:t>A.</w:t>
      </w:r>
      <w:r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S.</w:t>
      </w:r>
      <w:r w:rsidRPr="00B61C37">
        <w:rPr>
          <w:rFonts w:ascii="Lato" w:eastAsiaTheme="minorHAnsi" w:hAnsi="Lato" w:cs="Arial"/>
          <w:bCs/>
          <w:spacing w:val="4"/>
          <w:sz w:val="22"/>
          <w:szCs w:val="22"/>
          <w:lang w:eastAsia="en-US" w:bidi="pl-PL"/>
        </w:rPr>
        <w:t xml:space="preserve"> z dnia 25 kwietnia 2024 r.</w:t>
      </w:r>
      <w:r w:rsidR="0023414E" w:rsidRPr="00B61C37">
        <w:rPr>
          <w:rFonts w:ascii="Lato" w:eastAsiaTheme="minorHAnsi" w:hAnsi="Lato" w:cs="Arial"/>
          <w:bCs/>
          <w:spacing w:val="4"/>
          <w:sz w:val="22"/>
          <w:szCs w:val="22"/>
          <w:lang w:eastAsia="en-US" w:bidi="pl-PL"/>
        </w:rPr>
        <w:t xml:space="preserve">, a także w piśmie Pani </w:t>
      </w:r>
      <w:r w:rsidR="00FB4FDD">
        <w:rPr>
          <w:rFonts w:ascii="Lato" w:eastAsiaTheme="minorHAnsi" w:hAnsi="Lato" w:cs="Arial"/>
          <w:bCs/>
          <w:spacing w:val="4"/>
          <w:sz w:val="22"/>
          <w:szCs w:val="22"/>
          <w:lang w:eastAsia="en-US" w:bidi="pl-PL"/>
        </w:rPr>
        <w:t>B.</w:t>
      </w:r>
      <w:r w:rsidR="0023414E" w:rsidRPr="00B61C37">
        <w:rPr>
          <w:rFonts w:ascii="Lato" w:eastAsiaTheme="minorHAnsi" w:hAnsi="Lato" w:cs="Arial"/>
          <w:bCs/>
          <w:spacing w:val="4"/>
          <w:sz w:val="22"/>
          <w:szCs w:val="22"/>
          <w:lang w:eastAsia="en-US" w:bidi="pl-PL"/>
        </w:rPr>
        <w:t xml:space="preserve"> </w:t>
      </w:r>
      <w:r w:rsidR="00FB4FDD">
        <w:rPr>
          <w:rFonts w:ascii="Lato" w:eastAsiaTheme="minorHAnsi" w:hAnsi="Lato" w:cs="Arial"/>
          <w:bCs/>
          <w:spacing w:val="4"/>
          <w:sz w:val="22"/>
          <w:szCs w:val="22"/>
          <w:lang w:eastAsia="en-US" w:bidi="pl-PL"/>
        </w:rPr>
        <w:t>Z.</w:t>
      </w:r>
      <w:r w:rsidR="0023414E" w:rsidRPr="00B61C37">
        <w:rPr>
          <w:rFonts w:ascii="Lato" w:eastAsiaTheme="minorHAnsi" w:hAnsi="Lato" w:cs="Arial"/>
          <w:bCs/>
          <w:spacing w:val="4"/>
          <w:sz w:val="22"/>
          <w:szCs w:val="22"/>
          <w:lang w:eastAsia="en-US" w:bidi="pl-PL"/>
        </w:rPr>
        <w:t xml:space="preserve"> z dnia 25 kwietnia </w:t>
      </w:r>
      <w:r w:rsidR="00FB4FDD">
        <w:rPr>
          <w:rFonts w:ascii="Lato" w:eastAsiaTheme="minorHAnsi" w:hAnsi="Lato" w:cs="Arial"/>
          <w:bCs/>
          <w:spacing w:val="4"/>
          <w:sz w:val="22"/>
          <w:szCs w:val="22"/>
          <w:lang w:eastAsia="en-US" w:bidi="pl-PL"/>
        </w:rPr>
        <w:br/>
      </w:r>
      <w:r w:rsidR="0023414E" w:rsidRPr="00B61C37">
        <w:rPr>
          <w:rFonts w:ascii="Lato" w:eastAsiaTheme="minorHAnsi" w:hAnsi="Lato" w:cs="Arial"/>
          <w:bCs/>
          <w:spacing w:val="4"/>
          <w:sz w:val="22"/>
          <w:szCs w:val="22"/>
          <w:lang w:eastAsia="en-US" w:bidi="pl-PL"/>
        </w:rPr>
        <w:t>2024 r. w odniesieniu do zapisów dotyczących działki nr 1506/11.</w:t>
      </w:r>
    </w:p>
    <w:p w14:paraId="3EDB882F" w14:textId="75D60D0E" w:rsidR="00D755D1" w:rsidRPr="00B61C37" w:rsidRDefault="00AF3A0F" w:rsidP="00D755D1">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Na wstępie</w:t>
      </w:r>
      <w:r w:rsidR="00D755D1" w:rsidRPr="00B61C37">
        <w:rPr>
          <w:rFonts w:ascii="Lato" w:eastAsiaTheme="minorHAnsi" w:hAnsi="Lato" w:cs="Arial"/>
          <w:bCs/>
          <w:spacing w:val="4"/>
          <w:sz w:val="22"/>
          <w:szCs w:val="22"/>
          <w:lang w:eastAsia="en-US" w:bidi="pl-PL"/>
        </w:rPr>
        <w:t xml:space="preserve"> stwierdzić należy, że stosownie do treści art. 141 § 1 kpa, na wydane w toku postępowania postanowienia służy stronie zażalenie, gdy kodeks tak stanowi. </w:t>
      </w:r>
      <w:r w:rsidR="00D755D1" w:rsidRPr="00B61C37">
        <w:rPr>
          <w:rFonts w:ascii="Lato" w:eastAsiaTheme="minorHAnsi" w:hAnsi="Lato" w:cs="Arial"/>
          <w:bCs/>
          <w:spacing w:val="4"/>
          <w:sz w:val="22"/>
          <w:szCs w:val="22"/>
          <w:lang w:eastAsia="en-US" w:bidi="pl-PL"/>
        </w:rPr>
        <w:br/>
        <w:t xml:space="preserve">Z powyższych przepisów wynika, że zażalenie może być wnoszone tylko </w:t>
      </w:r>
      <w:r w:rsidR="00D755D1" w:rsidRPr="00B61C37">
        <w:rPr>
          <w:rFonts w:ascii="Lato" w:eastAsiaTheme="minorHAnsi" w:hAnsi="Lato" w:cs="Arial"/>
          <w:bCs/>
          <w:spacing w:val="4"/>
          <w:sz w:val="22"/>
          <w:szCs w:val="22"/>
          <w:lang w:eastAsia="en-US" w:bidi="pl-PL"/>
        </w:rPr>
        <w:br/>
        <w:t xml:space="preserve">na postanowienia enumeratywnie wymienione w kpa. Innymi słowy, rozpatrzenie sprawy </w:t>
      </w:r>
      <w:r w:rsidR="00D755D1" w:rsidRPr="00B61C37">
        <w:rPr>
          <w:rFonts w:ascii="Lato" w:eastAsiaTheme="minorHAnsi" w:hAnsi="Lato" w:cs="Arial"/>
          <w:bCs/>
          <w:spacing w:val="4"/>
          <w:sz w:val="22"/>
          <w:szCs w:val="22"/>
          <w:lang w:eastAsia="en-US" w:bidi="pl-PL"/>
        </w:rPr>
        <w:br/>
        <w:t xml:space="preserve">w trybie zażaleniowym mogłoby nastąpić po wydaniu postanowienia przez Wojewodę Podkarpackiego i wniesieniu zażalenia na to postanowienie (gdyby takie na nie przysługiwało) przez uprawniony do tego podmiot. Natomiast stosownie do </w:t>
      </w:r>
      <w:r w:rsidR="002658DD" w:rsidRPr="00B61C37">
        <w:rPr>
          <w:rFonts w:ascii="Lato" w:eastAsiaTheme="minorHAnsi" w:hAnsi="Lato" w:cs="Arial"/>
          <w:bCs/>
          <w:spacing w:val="4"/>
          <w:sz w:val="22"/>
          <w:szCs w:val="22"/>
          <w:lang w:eastAsia="en-US" w:bidi="pl-PL"/>
        </w:rPr>
        <w:br/>
      </w:r>
      <w:r w:rsidR="00D755D1" w:rsidRPr="00B61C37">
        <w:rPr>
          <w:rFonts w:ascii="Lato" w:eastAsiaTheme="minorHAnsi" w:hAnsi="Lato" w:cs="Arial"/>
          <w:bCs/>
          <w:spacing w:val="4"/>
          <w:sz w:val="22"/>
          <w:szCs w:val="22"/>
          <w:lang w:eastAsia="en-US" w:bidi="pl-PL"/>
        </w:rPr>
        <w:t xml:space="preserve">art. 34 ust. 1 specustawy gazowej, decyzja o ustaleniu lokalizacji inwestycji w zakresie terminalu podlega natychmiastowemu wykonaniu. Natychmiastowa wykonalność </w:t>
      </w:r>
      <w:r w:rsidR="00D755D1" w:rsidRPr="00B61C37">
        <w:rPr>
          <w:rFonts w:ascii="Lato" w:eastAsiaTheme="minorHAnsi" w:hAnsi="Lato" w:cs="Arial"/>
          <w:bCs/>
          <w:spacing w:val="4"/>
          <w:sz w:val="22"/>
          <w:szCs w:val="22"/>
          <w:lang w:eastAsia="en-US" w:bidi="pl-PL"/>
        </w:rPr>
        <w:lastRenderedPageBreak/>
        <w:t>decyzji, o której mowa w specustawie gazowej, obowiązuje z mocy prawa. Brak jest zatem możliwości wniesienia zażalenia na powyższe uregulowanie.</w:t>
      </w:r>
    </w:p>
    <w:p w14:paraId="38039B5D" w14:textId="2FBFDAD5" w:rsidR="00F0714B" w:rsidRPr="00B61C37" w:rsidRDefault="00D755D1" w:rsidP="000D3F89">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Odnosząc się natomiast do niezadowolenia stron skarżących </w:t>
      </w:r>
      <w:r w:rsidR="00001336" w:rsidRPr="00B61C37">
        <w:rPr>
          <w:rFonts w:ascii="Lato" w:eastAsiaTheme="minorHAnsi" w:hAnsi="Lato" w:cs="Arial"/>
          <w:bCs/>
          <w:spacing w:val="4"/>
          <w:sz w:val="22"/>
          <w:szCs w:val="22"/>
          <w:lang w:eastAsia="en-US" w:bidi="pl-PL"/>
        </w:rPr>
        <w:t xml:space="preserve">z natychmiastowej wykonalności decyzji Wojewody Podkarpackiego, wyjaśnić należy, że skoro dana inwestycja, obejmująca – w tym przypadku – budowę </w:t>
      </w:r>
      <w:r w:rsidR="00001336" w:rsidRPr="00B61C37">
        <w:rPr>
          <w:rFonts w:ascii="Lato" w:hAnsi="Lato" w:cs="Arial"/>
          <w:spacing w:val="4"/>
          <w:sz w:val="22"/>
          <w:szCs w:val="22"/>
        </w:rPr>
        <w:t xml:space="preserve">odcinka gazociągu wysokiego ciśnienia DN 50 PN 63 wraz z infrastrukturą towarzyszącą, realizowaną w ramach inwestycji pn. „Podłączenie odwiertu Bratkowice 6K – KGZ Czarna Sędziszowska” </w:t>
      </w:r>
      <w:r w:rsidR="00001336" w:rsidRPr="00B61C37">
        <w:rPr>
          <w:rFonts w:ascii="Lato" w:eastAsiaTheme="minorHAnsi" w:hAnsi="Lato" w:cs="Arial"/>
          <w:bCs/>
          <w:spacing w:val="4"/>
          <w:sz w:val="22"/>
          <w:szCs w:val="22"/>
          <w:lang w:eastAsia="en-US"/>
        </w:rPr>
        <w:t xml:space="preserve">– </w:t>
      </w:r>
      <w:r w:rsidR="00001336" w:rsidRPr="00B61C37">
        <w:rPr>
          <w:rFonts w:ascii="Lato" w:eastAsiaTheme="minorHAnsi" w:hAnsi="Lato" w:cs="Arial"/>
          <w:bCs/>
          <w:spacing w:val="4"/>
          <w:sz w:val="22"/>
          <w:szCs w:val="22"/>
          <w:lang w:eastAsia="en-US" w:bidi="pl-PL"/>
        </w:rPr>
        <w:t xml:space="preserve">została uznana za jedno z kluczowych przedsięwzięć w zakresie terminalu, to wolą racjonalnego ustawodawcy było nadanie inwestycji priorytetowego charakteru </w:t>
      </w:r>
      <w:r w:rsidR="002658DD" w:rsidRPr="00B61C37">
        <w:rPr>
          <w:rFonts w:ascii="Lato" w:eastAsiaTheme="minorHAnsi" w:hAnsi="Lato" w:cs="Arial"/>
          <w:bCs/>
          <w:spacing w:val="4"/>
          <w:sz w:val="22"/>
          <w:szCs w:val="22"/>
          <w:lang w:eastAsia="en-US" w:bidi="pl-PL"/>
        </w:rPr>
        <w:br/>
      </w:r>
      <w:r w:rsidR="00001336" w:rsidRPr="00B61C37">
        <w:rPr>
          <w:rFonts w:ascii="Lato" w:eastAsiaTheme="minorHAnsi" w:hAnsi="Lato" w:cs="Arial"/>
          <w:bCs/>
          <w:spacing w:val="4"/>
          <w:sz w:val="22"/>
          <w:szCs w:val="22"/>
          <w:lang w:eastAsia="en-US" w:bidi="pl-PL"/>
        </w:rPr>
        <w:t xml:space="preserve">i wykluczenie możliwości udzielenia tymczasowej ochrony w postaci wstrzymania wykonania zaskarżonej decyzji stronom skarżącym. Ma to zapewnić terminową i płynną realizację inwestycji, która ma przede wszystkim zaspokoić interes społeczny (vide: postanowienie Wojewódzkiego Sądu Administracyjnego w Warszawie z dnia 29 maja 2017 r., sygn. akt IV SA/Wa 1120/17). </w:t>
      </w:r>
      <w:r w:rsidR="00F0714B" w:rsidRPr="00B61C37">
        <w:rPr>
          <w:rFonts w:ascii="Lato" w:eastAsiaTheme="minorHAnsi" w:hAnsi="Lato" w:cs="Arial"/>
          <w:bCs/>
          <w:spacing w:val="4"/>
          <w:sz w:val="22"/>
          <w:szCs w:val="22"/>
          <w:lang w:eastAsia="en-US" w:bidi="pl-PL"/>
        </w:rPr>
        <w:t>Powyższe wyklucza analogicznie ewentualne uchylenie rygoru natychmiastowej wykonalności decyzji.</w:t>
      </w:r>
    </w:p>
    <w:p w14:paraId="532C939C" w14:textId="5B458A9E" w:rsidR="00D97793" w:rsidRPr="00B61C37" w:rsidRDefault="0021580D" w:rsidP="000D3F89">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Istotą natychmiastowej wykonalności decyzji administracyjnych w zakresie terminalu jest to, że decyzja o ustaleniu lokalizacji inwestycji staje się od razu wykonalna i jednocześnie stanowi tytuł egzekucyjny. Wniesienie odwołania od takiej decyzji w terminie przez jakikolwiek podmiot trzeci, nie wstrzymuje wykonania tej decyzji przez podmiot, który ją uzyskał i przystąpił na tej podstawie do realizacji poszczególnych etapów przedsięwzięcia</w:t>
      </w:r>
      <w:r w:rsidR="00001336" w:rsidRPr="00B61C37">
        <w:rPr>
          <w:rFonts w:ascii="Lato" w:eastAsiaTheme="minorHAnsi" w:hAnsi="Lato" w:cs="Arial"/>
          <w:bCs/>
          <w:spacing w:val="4"/>
          <w:sz w:val="22"/>
          <w:szCs w:val="22"/>
          <w:lang w:eastAsia="en-US" w:bidi="pl-PL"/>
        </w:rPr>
        <w:t xml:space="preserve"> (vide: wyrok </w:t>
      </w:r>
      <w:r w:rsidR="00001336" w:rsidRPr="00B61C37">
        <w:rPr>
          <w:rFonts w:ascii="Lato" w:eastAsiaTheme="minorHAnsi" w:hAnsi="Lato" w:cs="Arial"/>
          <w:bCs/>
          <w:spacing w:val="4"/>
          <w:sz w:val="22"/>
          <w:szCs w:val="22"/>
          <w:lang w:eastAsia="en-US"/>
        </w:rPr>
        <w:t>Wojewódzkiego Sądu Administracyjnego w Warszawie</w:t>
      </w:r>
      <w:r w:rsidR="00001336" w:rsidRPr="00B61C37">
        <w:rPr>
          <w:rFonts w:ascii="Lato" w:eastAsiaTheme="minorHAnsi" w:hAnsi="Lato" w:cs="Arial"/>
          <w:bCs/>
          <w:spacing w:val="4"/>
          <w:sz w:val="22"/>
          <w:szCs w:val="22"/>
          <w:lang w:eastAsia="en-US"/>
        </w:rPr>
        <w:br/>
        <w:t xml:space="preserve">z dnia 10 listopada 2022 r., sygn. akt VII SA/Wa 1311/22). </w:t>
      </w:r>
      <w:r w:rsidR="00AF3A0F" w:rsidRPr="00B61C37">
        <w:rPr>
          <w:rFonts w:ascii="Lato" w:eastAsiaTheme="minorHAnsi" w:hAnsi="Lato" w:cs="Arial"/>
          <w:bCs/>
          <w:spacing w:val="4"/>
          <w:sz w:val="22"/>
          <w:szCs w:val="22"/>
          <w:lang w:eastAsia="en-US"/>
        </w:rPr>
        <w:t xml:space="preserve">Tym samym za </w:t>
      </w:r>
      <w:r w:rsidR="00F0714B" w:rsidRPr="00B61C37">
        <w:rPr>
          <w:rFonts w:ascii="Lato" w:eastAsiaTheme="minorHAnsi" w:hAnsi="Lato" w:cs="Arial"/>
          <w:bCs/>
          <w:spacing w:val="4"/>
          <w:sz w:val="22"/>
          <w:szCs w:val="22"/>
          <w:lang w:eastAsia="en-US"/>
        </w:rPr>
        <w:t xml:space="preserve">bezzasadne </w:t>
      </w:r>
      <w:r w:rsidR="00AF3A0F" w:rsidRPr="00B61C37">
        <w:rPr>
          <w:rFonts w:ascii="Lato" w:eastAsiaTheme="minorHAnsi" w:hAnsi="Lato" w:cs="Arial"/>
          <w:bCs/>
          <w:spacing w:val="4"/>
          <w:sz w:val="22"/>
          <w:szCs w:val="22"/>
          <w:lang w:eastAsia="en-US"/>
        </w:rPr>
        <w:t xml:space="preserve">należy uznać zarzuty Skarżących, iż naruszane są ich prawa do dysponowania działkami stanowiącymi ich własność. Inwestor bowiem dysponuje tytułem prawnym do działek objętych przedmiotową inwestycją. </w:t>
      </w:r>
    </w:p>
    <w:p w14:paraId="2F54DE98" w14:textId="550A2131" w:rsidR="00E37E9A" w:rsidRPr="00B61C37" w:rsidRDefault="00323C47" w:rsidP="000D3F89">
      <w:pPr>
        <w:spacing w:after="240" w:line="240" w:lineRule="exact"/>
        <w:jc w:val="both"/>
        <w:rPr>
          <w:rFonts w:ascii="Lato" w:eastAsiaTheme="minorHAnsi" w:hAnsi="Lato" w:cs="Arial"/>
          <w:bCs/>
          <w:spacing w:val="4"/>
          <w:sz w:val="22"/>
          <w:szCs w:val="22"/>
          <w:lang w:eastAsia="en-US"/>
        </w:rPr>
      </w:pPr>
      <w:r w:rsidRPr="00B61C37">
        <w:rPr>
          <w:rFonts w:ascii="Lato" w:eastAsiaTheme="minorHAnsi" w:hAnsi="Lato" w:cs="Arial"/>
          <w:bCs/>
          <w:spacing w:val="4"/>
          <w:sz w:val="22"/>
          <w:szCs w:val="22"/>
          <w:lang w:eastAsia="en-US"/>
        </w:rPr>
        <w:t xml:space="preserve">Chybiona jest także argumentacja Pani </w:t>
      </w:r>
      <w:r w:rsidR="001B4246">
        <w:rPr>
          <w:rFonts w:ascii="Lato" w:eastAsiaTheme="minorHAnsi" w:hAnsi="Lato" w:cs="Arial"/>
          <w:bCs/>
          <w:spacing w:val="4"/>
          <w:sz w:val="22"/>
          <w:szCs w:val="22"/>
          <w:lang w:eastAsia="en-US"/>
        </w:rPr>
        <w:t>A.</w:t>
      </w:r>
      <w:r w:rsidRPr="00B61C37">
        <w:rPr>
          <w:rFonts w:ascii="Lato" w:eastAsiaTheme="minorHAnsi" w:hAnsi="Lato" w:cs="Arial"/>
          <w:bCs/>
          <w:spacing w:val="4"/>
          <w:sz w:val="22"/>
          <w:szCs w:val="22"/>
          <w:lang w:eastAsia="en-US"/>
        </w:rPr>
        <w:t xml:space="preserve"> </w:t>
      </w:r>
      <w:r w:rsidR="001B4246">
        <w:rPr>
          <w:rFonts w:ascii="Lato" w:eastAsiaTheme="minorHAnsi" w:hAnsi="Lato" w:cs="Arial"/>
          <w:bCs/>
          <w:spacing w:val="4"/>
          <w:sz w:val="22"/>
          <w:szCs w:val="22"/>
          <w:lang w:eastAsia="en-US"/>
        </w:rPr>
        <w:t>S.</w:t>
      </w:r>
      <w:r w:rsidRPr="00B61C37">
        <w:rPr>
          <w:rFonts w:ascii="Lato" w:eastAsiaTheme="minorHAnsi" w:hAnsi="Lato" w:cs="Arial"/>
          <w:bCs/>
          <w:spacing w:val="4"/>
          <w:sz w:val="22"/>
          <w:szCs w:val="22"/>
          <w:lang w:eastAsia="en-US"/>
        </w:rPr>
        <w:t xml:space="preserve"> i Pani </w:t>
      </w:r>
      <w:r w:rsidR="001B4246">
        <w:rPr>
          <w:rFonts w:ascii="Lato" w:eastAsiaTheme="minorHAnsi" w:hAnsi="Lato" w:cs="Arial"/>
          <w:bCs/>
          <w:spacing w:val="4"/>
          <w:sz w:val="22"/>
          <w:szCs w:val="22"/>
          <w:lang w:eastAsia="en-US"/>
        </w:rPr>
        <w:t>B.</w:t>
      </w:r>
      <w:r w:rsidRPr="00B61C37">
        <w:rPr>
          <w:rFonts w:ascii="Lato" w:eastAsiaTheme="minorHAnsi" w:hAnsi="Lato" w:cs="Arial"/>
          <w:bCs/>
          <w:spacing w:val="4"/>
          <w:sz w:val="22"/>
          <w:szCs w:val="22"/>
          <w:lang w:eastAsia="en-US"/>
        </w:rPr>
        <w:t xml:space="preserve"> </w:t>
      </w:r>
      <w:r w:rsidR="001B4246">
        <w:rPr>
          <w:rFonts w:ascii="Lato" w:eastAsiaTheme="minorHAnsi" w:hAnsi="Lato" w:cs="Arial"/>
          <w:bCs/>
          <w:spacing w:val="4"/>
          <w:sz w:val="22"/>
          <w:szCs w:val="22"/>
          <w:lang w:eastAsia="en-US"/>
        </w:rPr>
        <w:t>Z.</w:t>
      </w:r>
      <w:r w:rsidRPr="00B61C37">
        <w:rPr>
          <w:rFonts w:ascii="Lato" w:eastAsiaTheme="minorHAnsi" w:hAnsi="Lato" w:cs="Arial"/>
          <w:bCs/>
          <w:spacing w:val="4"/>
          <w:sz w:val="22"/>
          <w:szCs w:val="22"/>
          <w:lang w:eastAsia="en-US"/>
        </w:rPr>
        <w:t xml:space="preserve">, </w:t>
      </w:r>
      <w:r w:rsidR="002658DD" w:rsidRPr="00B61C37">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 xml:space="preserve">iż wkroczenie na nieruchomości w oparciu o rygor natychmiastowej wykonalności </w:t>
      </w:r>
      <w:r w:rsidR="001B4246">
        <w:rPr>
          <w:rFonts w:ascii="Lato" w:eastAsiaTheme="minorHAnsi" w:hAnsi="Lato" w:cs="Arial"/>
          <w:bCs/>
          <w:spacing w:val="4"/>
          <w:sz w:val="22"/>
          <w:szCs w:val="22"/>
          <w:lang w:eastAsia="en-US"/>
        </w:rPr>
        <w:br/>
      </w:r>
      <w:r w:rsidRPr="00B61C37">
        <w:rPr>
          <w:rFonts w:ascii="Lato" w:eastAsiaTheme="minorHAnsi" w:hAnsi="Lato" w:cs="Arial"/>
          <w:bCs/>
          <w:spacing w:val="4"/>
          <w:sz w:val="22"/>
          <w:szCs w:val="22"/>
          <w:lang w:eastAsia="en-US"/>
        </w:rPr>
        <w:t>i rozpoczęcie prac budowlanych bez wezwania stron skarżących do wydania nieruchomości może pozbawić je gratyfik</w:t>
      </w:r>
      <w:r w:rsidR="00DB5672" w:rsidRPr="00B61C37">
        <w:rPr>
          <w:rFonts w:ascii="Lato" w:eastAsiaTheme="minorHAnsi" w:hAnsi="Lato" w:cs="Arial"/>
          <w:bCs/>
          <w:spacing w:val="4"/>
          <w:sz w:val="22"/>
          <w:szCs w:val="22"/>
          <w:lang w:eastAsia="en-US"/>
        </w:rPr>
        <w:t xml:space="preserve">acji w wysokości </w:t>
      </w:r>
      <w:r w:rsidR="00CB7884" w:rsidRPr="00B61C37">
        <w:rPr>
          <w:rFonts w:ascii="Lato" w:eastAsiaTheme="minorHAnsi" w:hAnsi="Lato" w:cs="Arial"/>
          <w:bCs/>
          <w:spacing w:val="4"/>
          <w:sz w:val="22"/>
          <w:szCs w:val="22"/>
          <w:lang w:eastAsia="en-US"/>
        </w:rPr>
        <w:t xml:space="preserve">dodatkowych </w:t>
      </w:r>
      <w:r w:rsidR="00DB5672" w:rsidRPr="00B61C37">
        <w:rPr>
          <w:rFonts w:ascii="Lato" w:eastAsiaTheme="minorHAnsi" w:hAnsi="Lato" w:cs="Arial"/>
          <w:bCs/>
          <w:spacing w:val="4"/>
          <w:sz w:val="22"/>
          <w:szCs w:val="22"/>
          <w:lang w:eastAsia="en-US"/>
        </w:rPr>
        <w:t>5% wartości nieruchomości</w:t>
      </w:r>
      <w:r w:rsidR="00CB7884" w:rsidRPr="00B61C37">
        <w:rPr>
          <w:rFonts w:ascii="Lato" w:eastAsiaTheme="minorHAnsi" w:hAnsi="Lato" w:cs="Arial"/>
          <w:bCs/>
          <w:spacing w:val="4"/>
          <w:sz w:val="22"/>
          <w:szCs w:val="22"/>
          <w:lang w:eastAsia="en-US"/>
        </w:rPr>
        <w:t xml:space="preserve">. </w:t>
      </w:r>
      <w:r w:rsidR="00CB7884" w:rsidRPr="00B61C37">
        <w:rPr>
          <w:rFonts w:ascii="Lato" w:eastAsiaTheme="minorHAnsi" w:hAnsi="Lato" w:cs="Arial"/>
          <w:bCs/>
          <w:spacing w:val="4"/>
          <w:sz w:val="22"/>
          <w:szCs w:val="22"/>
          <w:lang w:eastAsia="en-US" w:bidi="pl-PL"/>
        </w:rPr>
        <w:t xml:space="preserve">Wysokość odszkodowania jest przedmiotem odrębnego postępowania administracyjnego prowadzonego przez wojewodę na podstawie przepisów specustawy gazowej oraz odpowiednich przepisów ustawy o gospodarce nieruchomościami. Podstawą wypłaty odszkodowań są decyzje administracyjne wydawane po uzyskaniu przez organ opinii rzeczoznawców majątkowych. Wobec powyższego kwestie odszkodowawcze oraz ewentualne powiększenie jego kwoty nie są przedmiotem decyzji o ustaleniu lokalizacji inwestycji towarzyszącej inwestycjom w zakresie terminalu.  </w:t>
      </w:r>
    </w:p>
    <w:p w14:paraId="737A5B01" w14:textId="77777777" w:rsidR="00177BD2" w:rsidRPr="00B61C37" w:rsidRDefault="00177BD2" w:rsidP="00177BD2">
      <w:pPr>
        <w:spacing w:after="240" w:line="240" w:lineRule="exact"/>
        <w:jc w:val="both"/>
        <w:rPr>
          <w:rFonts w:ascii="Lato" w:eastAsiaTheme="minorHAnsi" w:hAnsi="Lato" w:cs="Arial"/>
          <w:bCs/>
          <w:spacing w:val="4"/>
          <w:sz w:val="22"/>
          <w:szCs w:val="22"/>
          <w:lang w:eastAsia="en-US" w:bidi="pl-PL"/>
        </w:rPr>
      </w:pPr>
      <w:r w:rsidRPr="00B61C37">
        <w:rPr>
          <w:rFonts w:ascii="Lato" w:eastAsiaTheme="minorHAnsi" w:hAnsi="Lato" w:cs="Arial"/>
          <w:bCs/>
          <w:spacing w:val="4"/>
          <w:sz w:val="22"/>
          <w:szCs w:val="22"/>
          <w:lang w:eastAsia="en-US" w:bidi="pl-PL"/>
        </w:rPr>
        <w:t xml:space="preserve">Wobec powyższych ustaleń, orzeczono jak w rozstrzygnięciu. </w:t>
      </w:r>
    </w:p>
    <w:p w14:paraId="08985374" w14:textId="1FE0D3E5" w:rsidR="00DC67C5" w:rsidRPr="00B61C37" w:rsidRDefault="00DC67C5" w:rsidP="000D3F89">
      <w:pPr>
        <w:spacing w:after="240" w:line="240" w:lineRule="exact"/>
        <w:jc w:val="both"/>
        <w:rPr>
          <w:rFonts w:ascii="Lato" w:eastAsiaTheme="minorHAnsi" w:hAnsi="Lato" w:cs="Arial"/>
          <w:bCs/>
          <w:spacing w:val="4"/>
          <w:sz w:val="22"/>
          <w:szCs w:val="22"/>
          <w:lang w:eastAsia="en-US" w:bidi="pl-PL"/>
        </w:rPr>
      </w:pPr>
      <w:r w:rsidRPr="00B61C37">
        <w:rPr>
          <w:rFonts w:ascii="Lato" w:hAnsi="Lato" w:cs="Arial"/>
          <w:spacing w:val="4"/>
          <w:sz w:val="22"/>
          <w:szCs w:val="22"/>
        </w:rPr>
        <w:t xml:space="preserve">Niniejsza decyzja jest ostateczna. </w:t>
      </w:r>
    </w:p>
    <w:p w14:paraId="56C63B31" w14:textId="6AF19292" w:rsidR="00DC67C5" w:rsidRPr="00B61C37" w:rsidRDefault="00DC67C5" w:rsidP="000D3F89">
      <w:pPr>
        <w:spacing w:after="240" w:line="240" w:lineRule="exact"/>
        <w:jc w:val="both"/>
        <w:rPr>
          <w:rFonts w:ascii="Lato" w:hAnsi="Lato" w:cs="Arial"/>
          <w:spacing w:val="4"/>
          <w:sz w:val="22"/>
          <w:szCs w:val="22"/>
        </w:rPr>
      </w:pPr>
      <w:r w:rsidRPr="00B61C37">
        <w:rPr>
          <w:rFonts w:ascii="Lato" w:hAnsi="Lato" w:cs="Arial"/>
          <w:spacing w:val="4"/>
          <w:sz w:val="22"/>
          <w:szCs w:val="22"/>
        </w:rPr>
        <w:t xml:space="preserve">Na decyzję, na podstawie art. 53 § 1 i art. 54 § 1 ustawy z dnia 30 sierpnia 2002 r. </w:t>
      </w:r>
      <w:r w:rsidR="003962E0" w:rsidRPr="00B61C37">
        <w:rPr>
          <w:rFonts w:ascii="Lato" w:hAnsi="Lato" w:cs="Arial"/>
          <w:spacing w:val="4"/>
          <w:sz w:val="22"/>
          <w:szCs w:val="22"/>
        </w:rPr>
        <w:br/>
      </w:r>
      <w:r w:rsidRPr="00B61C37">
        <w:rPr>
          <w:rFonts w:ascii="Lato" w:hAnsi="Lato" w:cs="Arial"/>
          <w:spacing w:val="4"/>
          <w:sz w:val="22"/>
          <w:szCs w:val="22"/>
        </w:rPr>
        <w:t>– Prawo o postępowaniu przed sądami administracyjnymi (</w:t>
      </w:r>
      <w:r w:rsidR="00D44E9B" w:rsidRPr="00B61C37">
        <w:rPr>
          <w:rFonts w:ascii="Lato" w:hAnsi="Lato" w:cs="Arial"/>
          <w:bCs/>
          <w:spacing w:val="4"/>
          <w:sz w:val="22"/>
          <w:szCs w:val="22"/>
          <w:lang w:bidi="pl-PL"/>
        </w:rPr>
        <w:t xml:space="preserve">t.j. Dz.U. </w:t>
      </w:r>
      <w:r w:rsidR="00AC3C49" w:rsidRPr="00AC3C49">
        <w:rPr>
          <w:rFonts w:ascii="Lato" w:hAnsi="Lato" w:cs="Arial"/>
          <w:bCs/>
          <w:spacing w:val="4"/>
          <w:sz w:val="22"/>
          <w:szCs w:val="22"/>
          <w:lang w:bidi="pl-PL"/>
        </w:rPr>
        <w:t>Dz. U. z 2026 r. poz. 143</w:t>
      </w:r>
      <w:r w:rsidR="00275285" w:rsidRPr="00B61C37">
        <w:rPr>
          <w:rFonts w:ascii="Lato" w:hAnsi="Lato" w:cs="Arial"/>
          <w:bCs/>
          <w:spacing w:val="4"/>
          <w:sz w:val="22"/>
          <w:szCs w:val="22"/>
          <w:lang w:bidi="pl-PL"/>
        </w:rPr>
        <w:t>z późn. zm.</w:t>
      </w:r>
      <w:r w:rsidRPr="00B61C37">
        <w:rPr>
          <w:rFonts w:ascii="Lato" w:hAnsi="Lato" w:cs="Arial"/>
          <w:spacing w:val="4"/>
          <w:sz w:val="22"/>
          <w:szCs w:val="22"/>
        </w:rPr>
        <w:t>), zwanej dalej „ppsa”, przysługuje skarga do Wojewódzkiego Sądu Administracyjnego w Warszawie, wnoszona za pośrednictwem Ministra</w:t>
      </w:r>
      <w:r w:rsidR="00AC3C49">
        <w:rPr>
          <w:rFonts w:ascii="Lato" w:hAnsi="Lato" w:cs="Arial"/>
          <w:spacing w:val="4"/>
          <w:sz w:val="22"/>
          <w:szCs w:val="22"/>
        </w:rPr>
        <w:t xml:space="preserve"> Finansów i Gospodarki</w:t>
      </w:r>
      <w:r w:rsidRPr="00B61C37">
        <w:rPr>
          <w:rFonts w:ascii="Lato" w:hAnsi="Lato" w:cs="Arial"/>
          <w:spacing w:val="4"/>
          <w:sz w:val="22"/>
          <w:szCs w:val="22"/>
        </w:rPr>
        <w:t>, w terminie 30 dni od dnia doręczenia decyzji.</w:t>
      </w:r>
    </w:p>
    <w:p w14:paraId="737CBF41" w14:textId="17ED4625" w:rsidR="00D14028" w:rsidRPr="00B61C37" w:rsidRDefault="00DC67C5" w:rsidP="00610303">
      <w:pPr>
        <w:spacing w:after="240" w:line="240" w:lineRule="exact"/>
        <w:jc w:val="both"/>
        <w:rPr>
          <w:rFonts w:ascii="Lato" w:hAnsi="Lato" w:cs="Arial"/>
          <w:spacing w:val="4"/>
          <w:sz w:val="22"/>
          <w:szCs w:val="22"/>
        </w:rPr>
      </w:pPr>
      <w:r w:rsidRPr="00B61C37">
        <w:rPr>
          <w:rFonts w:ascii="Lato" w:hAnsi="Lato" w:cs="Arial"/>
          <w:spacing w:val="4"/>
          <w:sz w:val="22"/>
          <w:szCs w:val="22"/>
        </w:rPr>
        <w:t xml:space="preserve">Jednocześnie informuję, że do skargi należy załączyć dowód uiszczenia wpisu </w:t>
      </w:r>
      <w:r w:rsidR="005A7B1F" w:rsidRPr="00B61C37">
        <w:rPr>
          <w:rFonts w:ascii="Lato" w:hAnsi="Lato" w:cs="Arial"/>
          <w:spacing w:val="4"/>
          <w:sz w:val="22"/>
          <w:szCs w:val="22"/>
        </w:rPr>
        <w:br/>
      </w:r>
      <w:r w:rsidRPr="00B61C37">
        <w:rPr>
          <w:rFonts w:ascii="Lato" w:hAnsi="Lato" w:cs="Arial"/>
          <w:spacing w:val="4"/>
          <w:sz w:val="22"/>
          <w:szCs w:val="22"/>
        </w:rPr>
        <w:t xml:space="preserve">od wniesienia skargi w kwocie 500 zł, płatnego w kasie sądu lub na rachunek bankowy sądu wskazany w publikatorze teleinformatycznym – Biuletynie Informacji Publicznej sądu (http://bip.warszawa.wsa.gov.pl). Strony mogą ubiegać się o przyznanie prawa </w:t>
      </w:r>
      <w:r w:rsidRPr="00B61C37">
        <w:rPr>
          <w:rFonts w:ascii="Lato" w:hAnsi="Lato" w:cs="Arial"/>
          <w:spacing w:val="4"/>
          <w:sz w:val="22"/>
          <w:szCs w:val="22"/>
        </w:rPr>
        <w:lastRenderedPageBreak/>
        <w:t>pomocy, polegającego na zwolnieniu z kosztów sądowych oraz ustanowieniu adwokata lub radcy prawnego. Szczegółowe zasady dotyczące przyznawania prawa pomocy uregulowane są w art. 243-262 ppsa</w:t>
      </w:r>
      <w:r w:rsidR="001B4AD7" w:rsidRPr="00B61C37">
        <w:rPr>
          <w:rFonts w:ascii="Lato" w:hAnsi="Lato" w:cs="Arial"/>
          <w:spacing w:val="4"/>
          <w:sz w:val="22"/>
          <w:szCs w:val="22"/>
        </w:rPr>
        <w:t>.</w:t>
      </w:r>
    </w:p>
    <w:p w14:paraId="545E1615" w14:textId="77777777" w:rsidR="00D97793" w:rsidRDefault="00D97793" w:rsidP="00264A50">
      <w:pPr>
        <w:spacing w:after="80"/>
        <w:jc w:val="both"/>
        <w:rPr>
          <w:rFonts w:ascii="Lato" w:hAnsi="Lato"/>
          <w:b/>
          <w:bCs/>
          <w:sz w:val="22"/>
          <w:szCs w:val="22"/>
        </w:rPr>
      </w:pPr>
    </w:p>
    <w:p w14:paraId="3F3CA541" w14:textId="4157C902" w:rsidR="00040875" w:rsidRPr="00040875" w:rsidRDefault="00040875" w:rsidP="00040875">
      <w:pPr>
        <w:spacing w:after="240" w:line="240" w:lineRule="exact"/>
        <w:jc w:val="both"/>
        <w:rPr>
          <w:rFonts w:ascii="Lato" w:hAnsi="Lato"/>
          <w:sz w:val="22"/>
          <w:szCs w:val="22"/>
        </w:rPr>
      </w:pPr>
      <w:r w:rsidRPr="00040875">
        <w:rPr>
          <w:rFonts w:ascii="Lato" w:hAnsi="Lato"/>
          <w:b/>
          <w:bCs/>
          <w:sz w:val="22"/>
          <w:szCs w:val="22"/>
          <w:u w:val="single"/>
        </w:rPr>
        <w:t>Załącznik:</w:t>
      </w:r>
      <w:r w:rsidRPr="00040875">
        <w:rPr>
          <w:rFonts w:ascii="Lato" w:hAnsi="Lato"/>
          <w:sz w:val="22"/>
          <w:szCs w:val="22"/>
          <w:u w:val="single"/>
        </w:rPr>
        <w:br/>
      </w:r>
      <w:r w:rsidRPr="00040875">
        <w:rPr>
          <w:rFonts w:ascii="Lato" w:hAnsi="Lato"/>
          <w:sz w:val="22"/>
          <w:szCs w:val="22"/>
        </w:rPr>
        <w:t xml:space="preserve">Nr </w:t>
      </w:r>
      <w:r>
        <w:rPr>
          <w:rFonts w:ascii="Lato" w:hAnsi="Lato"/>
          <w:sz w:val="22"/>
          <w:szCs w:val="22"/>
        </w:rPr>
        <w:t>1</w:t>
      </w:r>
      <w:r w:rsidRPr="00040875">
        <w:rPr>
          <w:rFonts w:ascii="Lato" w:hAnsi="Lato"/>
          <w:sz w:val="22"/>
          <w:szCs w:val="22"/>
        </w:rPr>
        <w:t xml:space="preserve"> – map</w:t>
      </w:r>
      <w:r>
        <w:rPr>
          <w:rFonts w:ascii="Lato" w:hAnsi="Lato"/>
          <w:sz w:val="22"/>
          <w:szCs w:val="22"/>
        </w:rPr>
        <w:t>a</w:t>
      </w:r>
      <w:r w:rsidRPr="00040875">
        <w:rPr>
          <w:rFonts w:ascii="Lato" w:hAnsi="Lato"/>
          <w:sz w:val="22"/>
          <w:szCs w:val="22"/>
        </w:rPr>
        <w:t xml:space="preserve"> </w:t>
      </w:r>
      <w:r w:rsidRPr="00040875">
        <w:rPr>
          <w:rFonts w:ascii="Lato" w:hAnsi="Lato"/>
          <w:sz w:val="22"/>
          <w:szCs w:val="22"/>
          <w:lang w:bidi="pl-PL"/>
        </w:rPr>
        <w:t>do celów prawnych, sporządzon</w:t>
      </w:r>
      <w:r>
        <w:rPr>
          <w:rFonts w:ascii="Lato" w:hAnsi="Lato"/>
          <w:sz w:val="22"/>
          <w:szCs w:val="22"/>
          <w:lang w:bidi="pl-PL"/>
        </w:rPr>
        <w:t>a</w:t>
      </w:r>
      <w:r w:rsidRPr="00040875">
        <w:rPr>
          <w:rFonts w:ascii="Lato" w:hAnsi="Lato"/>
          <w:sz w:val="22"/>
          <w:szCs w:val="22"/>
          <w:lang w:bidi="pl-PL"/>
        </w:rPr>
        <w:t xml:space="preserve"> przez uprawnionego geodetę, przedstawiając</w:t>
      </w:r>
      <w:r>
        <w:rPr>
          <w:rFonts w:ascii="Lato" w:hAnsi="Lato"/>
          <w:sz w:val="22"/>
          <w:szCs w:val="22"/>
          <w:lang w:bidi="pl-PL"/>
        </w:rPr>
        <w:t>a</w:t>
      </w:r>
      <w:r w:rsidRPr="00040875">
        <w:rPr>
          <w:rFonts w:ascii="Lato" w:hAnsi="Lato"/>
          <w:sz w:val="22"/>
          <w:szCs w:val="22"/>
          <w:lang w:bidi="pl-PL"/>
        </w:rPr>
        <w:t xml:space="preserve"> zakres służebności gruntowej przejazdu i przechodu dla projektowanych działek nr 1506/12, 1507/1, 1507/3, 1520/1, 1520/3</w:t>
      </w:r>
      <w:r w:rsidRPr="00040875">
        <w:rPr>
          <w:rFonts w:ascii="Lato" w:hAnsi="Lato"/>
          <w:sz w:val="22"/>
          <w:szCs w:val="22"/>
        </w:rPr>
        <w:t>, z obrębu 0002 Bratkowice, na projektowanych działkach nr 1506/13, 1507/2, 1520/2, z obrębu 0002 Bratkowice.</w:t>
      </w:r>
    </w:p>
    <w:p w14:paraId="1C174B94" w14:textId="77777777" w:rsidR="00E01A5D" w:rsidRPr="00E01A5D" w:rsidRDefault="00E01A5D" w:rsidP="00E01A5D">
      <w:pPr>
        <w:spacing w:after="120" w:line="240" w:lineRule="exact"/>
        <w:ind w:left="4253"/>
        <w:rPr>
          <w:rFonts w:ascii="Lato" w:eastAsia="Aptos" w:hAnsi="Lato"/>
          <w:b/>
          <w:bCs/>
          <w:sz w:val="22"/>
          <w:szCs w:val="22"/>
          <w:lang w:eastAsia="en-US"/>
        </w:rPr>
      </w:pPr>
      <w:r w:rsidRPr="00E01A5D">
        <w:rPr>
          <w:rFonts w:ascii="Lato" w:eastAsia="Aptos" w:hAnsi="Lato"/>
          <w:b/>
          <w:bCs/>
          <w:sz w:val="22"/>
          <w:szCs w:val="22"/>
          <w:lang w:eastAsia="en-US"/>
        </w:rPr>
        <w:t>Z upoważnienia,</w:t>
      </w:r>
    </w:p>
    <w:p w14:paraId="44BB391E" w14:textId="77777777" w:rsidR="00E01A5D" w:rsidRPr="00E01A5D" w:rsidRDefault="00E01A5D" w:rsidP="00E01A5D">
      <w:pPr>
        <w:spacing w:after="120" w:line="240" w:lineRule="exact"/>
        <w:ind w:left="4253"/>
        <w:rPr>
          <w:rFonts w:ascii="Lato" w:eastAsia="Aptos" w:hAnsi="Lato"/>
          <w:sz w:val="22"/>
          <w:szCs w:val="22"/>
          <w:lang w:eastAsia="en-US"/>
        </w:rPr>
      </w:pPr>
      <w:r w:rsidRPr="00E01A5D">
        <w:rPr>
          <w:rFonts w:ascii="Lato" w:eastAsia="Aptos" w:hAnsi="Lato"/>
          <w:sz w:val="22"/>
          <w:szCs w:val="22"/>
          <w:lang w:eastAsia="en-US"/>
        </w:rPr>
        <w:t>Edyta Lubaszewska</w:t>
      </w:r>
    </w:p>
    <w:p w14:paraId="5D8B1CC2" w14:textId="77777777" w:rsidR="00E01A5D" w:rsidRPr="00E01A5D" w:rsidRDefault="00E01A5D" w:rsidP="00E01A5D">
      <w:pPr>
        <w:spacing w:after="120" w:line="240" w:lineRule="exact"/>
        <w:ind w:left="4253"/>
        <w:rPr>
          <w:rFonts w:ascii="Lato" w:eastAsia="Aptos" w:hAnsi="Lato"/>
          <w:sz w:val="22"/>
          <w:szCs w:val="22"/>
          <w:lang w:eastAsia="en-US"/>
        </w:rPr>
      </w:pPr>
      <w:r w:rsidRPr="00E01A5D">
        <w:rPr>
          <w:rFonts w:ascii="Lato" w:eastAsia="Aptos" w:hAnsi="Lato"/>
          <w:sz w:val="22"/>
          <w:szCs w:val="22"/>
          <w:lang w:eastAsia="en-US"/>
        </w:rPr>
        <w:t>dyrektor</w:t>
      </w:r>
    </w:p>
    <w:p w14:paraId="3CDB335D" w14:textId="77777777" w:rsidR="00E01A5D" w:rsidRPr="00E01A5D" w:rsidRDefault="00E01A5D" w:rsidP="00E01A5D">
      <w:pPr>
        <w:spacing w:after="120" w:line="240" w:lineRule="exact"/>
        <w:ind w:left="4253"/>
        <w:rPr>
          <w:rFonts w:ascii="Lato" w:eastAsia="Aptos" w:hAnsi="Lato"/>
          <w:sz w:val="22"/>
          <w:szCs w:val="22"/>
          <w:lang w:eastAsia="en-US"/>
        </w:rPr>
      </w:pPr>
      <w:r w:rsidRPr="00E01A5D">
        <w:rPr>
          <w:rFonts w:ascii="Lato" w:eastAsia="Aptos" w:hAnsi="Lato"/>
          <w:sz w:val="22"/>
          <w:szCs w:val="22"/>
          <w:lang w:eastAsia="en-US"/>
        </w:rPr>
        <w:t>Departament Lokalizacji Inwestycji</w:t>
      </w:r>
    </w:p>
    <w:p w14:paraId="404E5E69" w14:textId="77777777" w:rsidR="00E01A5D" w:rsidRPr="00E01A5D" w:rsidRDefault="00E01A5D" w:rsidP="00E01A5D">
      <w:pPr>
        <w:spacing w:after="120" w:line="240" w:lineRule="exact"/>
        <w:ind w:left="4253"/>
        <w:rPr>
          <w:rFonts w:ascii="Lato" w:eastAsia="Aptos" w:hAnsi="Lato"/>
          <w:sz w:val="22"/>
          <w:szCs w:val="22"/>
          <w:lang w:eastAsia="en-US"/>
        </w:rPr>
      </w:pPr>
      <w:r w:rsidRPr="00E01A5D">
        <w:rPr>
          <w:rFonts w:ascii="Lato" w:eastAsia="Aptos" w:hAnsi="Lato"/>
          <w:sz w:val="22"/>
          <w:szCs w:val="22"/>
          <w:lang w:eastAsia="en-US"/>
        </w:rPr>
        <w:t>/ kwalifikowany podpis elektroniczny /</w:t>
      </w:r>
    </w:p>
    <w:p w14:paraId="1988C401" w14:textId="77777777" w:rsidR="00E01A5D" w:rsidRPr="00E01A5D" w:rsidRDefault="00E01A5D" w:rsidP="00E01A5D">
      <w:pPr>
        <w:tabs>
          <w:tab w:val="left" w:pos="567"/>
          <w:tab w:val="left" w:pos="4253"/>
        </w:tabs>
        <w:suppressAutoHyphens/>
        <w:spacing w:line="240" w:lineRule="exact"/>
        <w:ind w:left="4253"/>
        <w:jc w:val="both"/>
        <w:textAlignment w:val="baseline"/>
        <w:rPr>
          <w:rFonts w:ascii="Lato" w:eastAsia="Calibri" w:hAnsi="Lato"/>
          <w:sz w:val="22"/>
          <w:szCs w:val="22"/>
          <w:lang w:eastAsia="en-US"/>
        </w:rPr>
      </w:pPr>
      <w:r w:rsidRPr="00E01A5D">
        <w:rPr>
          <w:rFonts w:ascii="Lato" w:eastAsia="Calibri" w:hAnsi="Lato"/>
          <w:sz w:val="22"/>
          <w:szCs w:val="22"/>
          <w:lang w:eastAsia="en-US"/>
        </w:rPr>
        <w:t>w Ministerstwie Rozwoju i Technologii</w:t>
      </w:r>
    </w:p>
    <w:p w14:paraId="2ED41662" w14:textId="77777777" w:rsidR="00E01A5D" w:rsidRPr="00E01A5D" w:rsidRDefault="00E01A5D" w:rsidP="00E01A5D">
      <w:pPr>
        <w:spacing w:after="120" w:line="240" w:lineRule="exact"/>
        <w:ind w:left="4253"/>
        <w:rPr>
          <w:rFonts w:ascii="Lato" w:eastAsia="Aptos" w:hAnsi="Lato"/>
          <w:sz w:val="22"/>
          <w:szCs w:val="22"/>
          <w:lang w:eastAsia="en-US"/>
        </w:rPr>
      </w:pPr>
      <w:r w:rsidRPr="00E01A5D">
        <w:rPr>
          <w:rFonts w:ascii="Lato" w:eastAsia="Aptos" w:hAnsi="Lato"/>
          <w:sz w:val="22"/>
          <w:szCs w:val="22"/>
          <w:lang w:eastAsia="en-US"/>
        </w:rPr>
        <w:t xml:space="preserve"> </w:t>
      </w:r>
    </w:p>
    <w:p w14:paraId="6D8F7A25" w14:textId="77777777" w:rsidR="00D97793" w:rsidRDefault="00D97793" w:rsidP="00264A50">
      <w:pPr>
        <w:spacing w:after="80"/>
        <w:jc w:val="both"/>
        <w:rPr>
          <w:rFonts w:ascii="Lato" w:hAnsi="Lato"/>
          <w:b/>
          <w:bCs/>
          <w:sz w:val="22"/>
          <w:szCs w:val="22"/>
        </w:rPr>
      </w:pPr>
    </w:p>
    <w:p w14:paraId="570735BB" w14:textId="5C713C91" w:rsidR="001D6BFE" w:rsidRPr="008D4A71" w:rsidRDefault="001D6BFE" w:rsidP="008D4A71">
      <w:pPr>
        <w:tabs>
          <w:tab w:val="left" w:pos="360"/>
        </w:tabs>
        <w:suppressAutoHyphens/>
        <w:jc w:val="both"/>
        <w:rPr>
          <w:rFonts w:ascii="Lato" w:hAnsi="Lato" w:cs="Arial"/>
          <w:bCs/>
          <w:spacing w:val="4"/>
          <w:sz w:val="22"/>
          <w:szCs w:val="22"/>
        </w:rPr>
      </w:pPr>
    </w:p>
    <w:sectPr w:rsidR="001D6BFE" w:rsidRPr="008D4A71" w:rsidSect="004B3753">
      <w:headerReference w:type="default" r:id="rId13"/>
      <w:footerReference w:type="default" r:id="rId14"/>
      <w:headerReference w:type="first" r:id="rId15"/>
      <w:footerReference w:type="first" r:id="rId16"/>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6FEF" w14:textId="77777777" w:rsidR="0036629C" w:rsidRDefault="0036629C" w:rsidP="009276B2">
      <w:r>
        <w:separator/>
      </w:r>
    </w:p>
  </w:endnote>
  <w:endnote w:type="continuationSeparator" w:id="0">
    <w:p w14:paraId="2B470E0A" w14:textId="77777777" w:rsidR="0036629C" w:rsidRDefault="0036629C" w:rsidP="0092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A8CEACB6-0873-4155-82CB-A6415BB45A1C}"/>
    <w:embedBold r:id="rId2" w:fontKey="{768E0640-9302-4F4C-8F09-D507D3D1B28F}"/>
  </w:font>
  <w:font w:name="Calibri Light">
    <w:panose1 w:val="020F0302020204030204"/>
    <w:charset w:val="EE"/>
    <w:family w:val="swiss"/>
    <w:pitch w:val="variable"/>
    <w:sig w:usb0="E4002EFF" w:usb1="C200247B" w:usb2="00000009" w:usb3="00000000" w:csb0="000001FF" w:csb1="00000000"/>
    <w:embedRegular r:id="rId3" w:fontKey="{AC04DF9E-4738-409D-B2C0-C247BB133195}"/>
  </w:font>
  <w:font w:name="Lato">
    <w:charset w:val="00"/>
    <w:family w:val="swiss"/>
    <w:pitch w:val="variable"/>
    <w:sig w:usb0="E10002FF" w:usb1="5000ECFF" w:usb2="00000021" w:usb3="00000000" w:csb0="0000019F" w:csb1="00000000"/>
    <w:embedRegular r:id="rId4" w:fontKey="{75F1CCF5-E6C2-4597-9026-2AA938011BF0}"/>
    <w:embedBold r:id="rId5" w:fontKey="{9D1CD40A-BA52-4B93-82E5-D110A1101FAF}"/>
  </w:font>
  <w:font w:name="Aptos">
    <w:charset w:val="00"/>
    <w:family w:val="swiss"/>
    <w:pitch w:val="variable"/>
    <w:sig w:usb0="20000287" w:usb1="00000003" w:usb2="00000000" w:usb3="00000000" w:csb0="0000019F" w:csb1="00000000"/>
    <w:embedRegular r:id="rId6" w:fontKey="{A1FC663F-65C1-4052-8440-E54D12184876}"/>
    <w:embedBold r:id="rId7" w:fontKey="{40B6DEDF-79CE-4174-8F92-DF49D7B347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098595"/>
      <w:docPartObj>
        <w:docPartGallery w:val="Page Numbers (Bottom of Page)"/>
        <w:docPartUnique/>
      </w:docPartObj>
    </w:sdtPr>
    <w:sdtEndPr/>
    <w:sdtContent>
      <w:p w14:paraId="20BF7B85" w14:textId="03E9D507" w:rsidR="00044B94" w:rsidRDefault="00044B94">
        <w:pPr>
          <w:pStyle w:val="Stopka"/>
          <w:jc w:val="center"/>
        </w:pPr>
        <w:r w:rsidRPr="00044B94">
          <w:rPr>
            <w:rFonts w:ascii="Lato" w:hAnsi="Lato"/>
            <w:sz w:val="16"/>
            <w:szCs w:val="16"/>
          </w:rPr>
          <w:fldChar w:fldCharType="begin"/>
        </w:r>
        <w:r w:rsidRPr="00044B94">
          <w:rPr>
            <w:rFonts w:ascii="Lato" w:hAnsi="Lato"/>
            <w:sz w:val="16"/>
            <w:szCs w:val="16"/>
          </w:rPr>
          <w:instrText>PAGE   \* MERGEFORMAT</w:instrText>
        </w:r>
        <w:r w:rsidRPr="00044B94">
          <w:rPr>
            <w:rFonts w:ascii="Lato" w:hAnsi="Lato"/>
            <w:sz w:val="16"/>
            <w:szCs w:val="16"/>
          </w:rPr>
          <w:fldChar w:fldCharType="separate"/>
        </w:r>
        <w:r w:rsidRPr="00044B94">
          <w:rPr>
            <w:rFonts w:ascii="Lato" w:hAnsi="Lato"/>
            <w:sz w:val="16"/>
            <w:szCs w:val="16"/>
          </w:rPr>
          <w:t>2</w:t>
        </w:r>
        <w:r w:rsidRPr="00044B94">
          <w:rPr>
            <w:rFonts w:ascii="Lato" w:hAnsi="Lato"/>
            <w:sz w:val="16"/>
            <w:szCs w:val="16"/>
          </w:rPr>
          <w:fldChar w:fldCharType="end"/>
        </w:r>
        <w:r>
          <w:rPr>
            <w:rFonts w:ascii="Lato" w:hAnsi="Lato"/>
            <w:sz w:val="16"/>
            <w:szCs w:val="16"/>
          </w:rPr>
          <w:t>(</w:t>
        </w:r>
        <w:r w:rsidR="00683B05">
          <w:rPr>
            <w:rFonts w:ascii="Lato" w:hAnsi="Lato"/>
            <w:sz w:val="16"/>
            <w:szCs w:val="16"/>
          </w:rPr>
          <w:t>2</w:t>
        </w:r>
        <w:r w:rsidR="008D4A71">
          <w:rPr>
            <w:rFonts w:ascii="Lato" w:hAnsi="Lato"/>
            <w:sz w:val="16"/>
            <w:szCs w:val="16"/>
          </w:rPr>
          <w:t>2</w:t>
        </w:r>
        <w:r>
          <w:rPr>
            <w:rFonts w:ascii="Lato" w:hAnsi="Lato"/>
            <w:sz w:val="16"/>
            <w:szCs w:val="16"/>
          </w:rPr>
          <w:t>)</w:t>
        </w:r>
      </w:p>
    </w:sdtContent>
  </w:sdt>
  <w:p w14:paraId="37821F1F" w14:textId="4F7398F3"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p w14:paraId="3AFE0796" w14:textId="77777777" w:rsidR="00FE0EE4" w:rsidRDefault="00FE0E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7A7B4339"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9C2EC" w14:textId="77777777" w:rsidR="0036629C" w:rsidRDefault="0036629C" w:rsidP="009276B2">
      <w:r>
        <w:separator/>
      </w:r>
    </w:p>
  </w:footnote>
  <w:footnote w:type="continuationSeparator" w:id="0">
    <w:p w14:paraId="5623633A" w14:textId="77777777" w:rsidR="0036629C" w:rsidRDefault="0036629C" w:rsidP="00927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p w14:paraId="13893750" w14:textId="77777777" w:rsidR="00FE0EE4" w:rsidRDefault="00FE0E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2532F34D" w:rsidR="00947F4D" w:rsidRDefault="00AC3C49">
    <w:pPr>
      <w:pStyle w:val="Nagwek"/>
    </w:pPr>
    <w:r>
      <w:rPr>
        <w:noProof/>
      </w:rPr>
      <w:drawing>
        <wp:anchor distT="0" distB="0" distL="114300" distR="114300" simplePos="0" relativeHeight="251659264" behindDoc="0" locked="0" layoutInCell="1" allowOverlap="1" wp14:anchorId="2EACA39F" wp14:editId="1620EE5F">
          <wp:simplePos x="0" y="0"/>
          <wp:positionH relativeFrom="column">
            <wp:posOffset>-893495</wp:posOffset>
          </wp:positionH>
          <wp:positionV relativeFrom="paragraph">
            <wp:posOffset>421005</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5F60"/>
    <w:multiLevelType w:val="hybridMultilevel"/>
    <w:tmpl w:val="B440ABCA"/>
    <w:lvl w:ilvl="0" w:tplc="95928E54">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 w15:restartNumberingAfterBreak="0">
    <w:nsid w:val="105C4894"/>
    <w:multiLevelType w:val="hybridMultilevel"/>
    <w:tmpl w:val="2490EF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88195C"/>
    <w:multiLevelType w:val="hybridMultilevel"/>
    <w:tmpl w:val="497C9A8E"/>
    <w:lvl w:ilvl="0" w:tplc="E46A3FC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15:restartNumberingAfterBreak="0">
    <w:nsid w:val="1F0F34C5"/>
    <w:multiLevelType w:val="hybridMultilevel"/>
    <w:tmpl w:val="CEDAFF0C"/>
    <w:lvl w:ilvl="0" w:tplc="D6540666">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6458FF"/>
    <w:multiLevelType w:val="hybridMultilevel"/>
    <w:tmpl w:val="4630F80A"/>
    <w:lvl w:ilvl="0" w:tplc="7F1CF1A8">
      <w:start w:val="1"/>
      <w:numFmt w:val="upperRoman"/>
      <w:lvlText w:val="%1."/>
      <w:lvlJc w:val="right"/>
      <w:pPr>
        <w:ind w:left="360" w:hanging="360"/>
      </w:pPr>
      <w:rPr>
        <w:rFonts w:ascii="Arial" w:hAnsi="Arial"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5ED0708"/>
    <w:multiLevelType w:val="hybridMultilevel"/>
    <w:tmpl w:val="9AE2701E"/>
    <w:lvl w:ilvl="0" w:tplc="ABFED46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8B651E5"/>
    <w:multiLevelType w:val="hybridMultilevel"/>
    <w:tmpl w:val="59B02AF4"/>
    <w:lvl w:ilvl="0" w:tplc="8D3CC05E">
      <w:start w:val="1"/>
      <w:numFmt w:val="bullet"/>
      <w:lvlText w:val=""/>
      <w:lvlJc w:val="left"/>
      <w:pPr>
        <w:ind w:left="644" w:hanging="360"/>
      </w:pPr>
      <w:rPr>
        <w:rFonts w:ascii="Symbol" w:hAnsi="Symbol" w:hint="default"/>
      </w:rPr>
    </w:lvl>
    <w:lvl w:ilvl="1" w:tplc="8D3CC05E">
      <w:start w:val="1"/>
      <w:numFmt w:val="bullet"/>
      <w:lvlText w:val=""/>
      <w:lvlJc w:val="left"/>
      <w:pPr>
        <w:ind w:left="1364" w:hanging="360"/>
      </w:pPr>
      <w:rPr>
        <w:rFonts w:ascii="Symbol" w:hAnsi="Symbol"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 w15:restartNumberingAfterBreak="0">
    <w:nsid w:val="4CEE0E50"/>
    <w:multiLevelType w:val="hybridMultilevel"/>
    <w:tmpl w:val="052A9D26"/>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53FB19FD"/>
    <w:multiLevelType w:val="hybridMultilevel"/>
    <w:tmpl w:val="7BA03A0E"/>
    <w:lvl w:ilvl="0" w:tplc="BBE6F480">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5887001E"/>
    <w:multiLevelType w:val="hybridMultilevel"/>
    <w:tmpl w:val="FAB0CB1E"/>
    <w:lvl w:ilvl="0" w:tplc="DE4E0732">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61D3214A"/>
    <w:multiLevelType w:val="hybridMultilevel"/>
    <w:tmpl w:val="B900C336"/>
    <w:lvl w:ilvl="0" w:tplc="EA66EDF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69256B9E"/>
    <w:multiLevelType w:val="hybridMultilevel"/>
    <w:tmpl w:val="FCF04226"/>
    <w:lvl w:ilvl="0" w:tplc="0AA01B2E">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12" w15:restartNumberingAfterBreak="0">
    <w:nsid w:val="74F7792A"/>
    <w:multiLevelType w:val="hybridMultilevel"/>
    <w:tmpl w:val="33FC92C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788309CF"/>
    <w:multiLevelType w:val="hybridMultilevel"/>
    <w:tmpl w:val="7F569ED2"/>
    <w:lvl w:ilvl="0" w:tplc="7F2C40DA">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6558861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234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2797790">
    <w:abstractNumId w:val="12"/>
  </w:num>
  <w:num w:numId="4" w16cid:durableId="822623840">
    <w:abstractNumId w:val="5"/>
  </w:num>
  <w:num w:numId="5" w16cid:durableId="1935016915">
    <w:abstractNumId w:val="4"/>
  </w:num>
  <w:num w:numId="6" w16cid:durableId="611783290">
    <w:abstractNumId w:val="9"/>
  </w:num>
  <w:num w:numId="7" w16cid:durableId="1595242690">
    <w:abstractNumId w:val="11"/>
  </w:num>
  <w:num w:numId="8" w16cid:durableId="1058750803">
    <w:abstractNumId w:val="6"/>
  </w:num>
  <w:num w:numId="9" w16cid:durableId="1344012320">
    <w:abstractNumId w:val="7"/>
  </w:num>
  <w:num w:numId="10" w16cid:durableId="322589977">
    <w:abstractNumId w:val="10"/>
  </w:num>
  <w:num w:numId="11" w16cid:durableId="330988160">
    <w:abstractNumId w:val="0"/>
  </w:num>
  <w:num w:numId="12" w16cid:durableId="939723007">
    <w:abstractNumId w:val="2"/>
  </w:num>
  <w:num w:numId="13" w16cid:durableId="2056007693">
    <w:abstractNumId w:val="1"/>
  </w:num>
  <w:num w:numId="14" w16cid:durableId="194553428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24A"/>
    <w:rsid w:val="00001336"/>
    <w:rsid w:val="000017C1"/>
    <w:rsid w:val="0000359E"/>
    <w:rsid w:val="000036F1"/>
    <w:rsid w:val="000052E7"/>
    <w:rsid w:val="000057B3"/>
    <w:rsid w:val="000058A3"/>
    <w:rsid w:val="00005EE3"/>
    <w:rsid w:val="000068D0"/>
    <w:rsid w:val="000075B0"/>
    <w:rsid w:val="0001019B"/>
    <w:rsid w:val="00012332"/>
    <w:rsid w:val="00014F3C"/>
    <w:rsid w:val="000150C3"/>
    <w:rsid w:val="0001645C"/>
    <w:rsid w:val="00016FDE"/>
    <w:rsid w:val="00020C84"/>
    <w:rsid w:val="0002284D"/>
    <w:rsid w:val="00024A74"/>
    <w:rsid w:val="000250BF"/>
    <w:rsid w:val="00026573"/>
    <w:rsid w:val="0002674E"/>
    <w:rsid w:val="0002683F"/>
    <w:rsid w:val="000279FC"/>
    <w:rsid w:val="000311F9"/>
    <w:rsid w:val="00034ABD"/>
    <w:rsid w:val="000372C0"/>
    <w:rsid w:val="00040875"/>
    <w:rsid w:val="00041063"/>
    <w:rsid w:val="00044426"/>
    <w:rsid w:val="0004477C"/>
    <w:rsid w:val="00044B94"/>
    <w:rsid w:val="00044D43"/>
    <w:rsid w:val="00044FA7"/>
    <w:rsid w:val="000462D0"/>
    <w:rsid w:val="000477D5"/>
    <w:rsid w:val="0005035A"/>
    <w:rsid w:val="00055F10"/>
    <w:rsid w:val="00057CC6"/>
    <w:rsid w:val="00060297"/>
    <w:rsid w:val="000636CB"/>
    <w:rsid w:val="0006458C"/>
    <w:rsid w:val="0006465B"/>
    <w:rsid w:val="000700DB"/>
    <w:rsid w:val="00073458"/>
    <w:rsid w:val="0007402D"/>
    <w:rsid w:val="0007787A"/>
    <w:rsid w:val="00077C4D"/>
    <w:rsid w:val="00077E29"/>
    <w:rsid w:val="000821D1"/>
    <w:rsid w:val="0008501C"/>
    <w:rsid w:val="00090439"/>
    <w:rsid w:val="00090D6E"/>
    <w:rsid w:val="000918FB"/>
    <w:rsid w:val="0009262A"/>
    <w:rsid w:val="00092D36"/>
    <w:rsid w:val="000945F2"/>
    <w:rsid w:val="000950DF"/>
    <w:rsid w:val="000A27D4"/>
    <w:rsid w:val="000A37F0"/>
    <w:rsid w:val="000A4A62"/>
    <w:rsid w:val="000A53A4"/>
    <w:rsid w:val="000A5D45"/>
    <w:rsid w:val="000A628E"/>
    <w:rsid w:val="000B3042"/>
    <w:rsid w:val="000B4CD8"/>
    <w:rsid w:val="000B7291"/>
    <w:rsid w:val="000B7E8D"/>
    <w:rsid w:val="000B7F5D"/>
    <w:rsid w:val="000C1293"/>
    <w:rsid w:val="000C318E"/>
    <w:rsid w:val="000C4E91"/>
    <w:rsid w:val="000C60CB"/>
    <w:rsid w:val="000C64A4"/>
    <w:rsid w:val="000C77AA"/>
    <w:rsid w:val="000D0FC1"/>
    <w:rsid w:val="000D15E6"/>
    <w:rsid w:val="000D28DD"/>
    <w:rsid w:val="000D32B3"/>
    <w:rsid w:val="000D3F89"/>
    <w:rsid w:val="000D4D24"/>
    <w:rsid w:val="000D5D3C"/>
    <w:rsid w:val="000E0689"/>
    <w:rsid w:val="000E0D2E"/>
    <w:rsid w:val="000E0DEA"/>
    <w:rsid w:val="000E182C"/>
    <w:rsid w:val="000E3C8E"/>
    <w:rsid w:val="000E539A"/>
    <w:rsid w:val="000E64E2"/>
    <w:rsid w:val="000E6677"/>
    <w:rsid w:val="000E7417"/>
    <w:rsid w:val="000E74E7"/>
    <w:rsid w:val="000F2242"/>
    <w:rsid w:val="000F3320"/>
    <w:rsid w:val="000F4A5C"/>
    <w:rsid w:val="000F4AB8"/>
    <w:rsid w:val="00100315"/>
    <w:rsid w:val="00103258"/>
    <w:rsid w:val="001045E9"/>
    <w:rsid w:val="00104D1B"/>
    <w:rsid w:val="00106F46"/>
    <w:rsid w:val="0010776A"/>
    <w:rsid w:val="001107F0"/>
    <w:rsid w:val="0011121C"/>
    <w:rsid w:val="00113528"/>
    <w:rsid w:val="001152E4"/>
    <w:rsid w:val="00115E7F"/>
    <w:rsid w:val="00116078"/>
    <w:rsid w:val="00116660"/>
    <w:rsid w:val="00117C6D"/>
    <w:rsid w:val="00120E32"/>
    <w:rsid w:val="001228A9"/>
    <w:rsid w:val="001233BF"/>
    <w:rsid w:val="001236B0"/>
    <w:rsid w:val="00124033"/>
    <w:rsid w:val="0012665D"/>
    <w:rsid w:val="001266EB"/>
    <w:rsid w:val="001272EB"/>
    <w:rsid w:val="00127C74"/>
    <w:rsid w:val="00130B14"/>
    <w:rsid w:val="001345CE"/>
    <w:rsid w:val="0013537D"/>
    <w:rsid w:val="00137807"/>
    <w:rsid w:val="00140203"/>
    <w:rsid w:val="00141B72"/>
    <w:rsid w:val="00141F77"/>
    <w:rsid w:val="0014286D"/>
    <w:rsid w:val="00142C22"/>
    <w:rsid w:val="00144704"/>
    <w:rsid w:val="00145A1D"/>
    <w:rsid w:val="001463E5"/>
    <w:rsid w:val="0014781E"/>
    <w:rsid w:val="00150CF5"/>
    <w:rsid w:val="00151312"/>
    <w:rsid w:val="00152BC1"/>
    <w:rsid w:val="00153253"/>
    <w:rsid w:val="00155471"/>
    <w:rsid w:val="00156C78"/>
    <w:rsid w:val="00157115"/>
    <w:rsid w:val="00161219"/>
    <w:rsid w:val="00161300"/>
    <w:rsid w:val="00161C23"/>
    <w:rsid w:val="001622F0"/>
    <w:rsid w:val="0016279F"/>
    <w:rsid w:val="0016286C"/>
    <w:rsid w:val="00162BEE"/>
    <w:rsid w:val="00163D92"/>
    <w:rsid w:val="00163DE9"/>
    <w:rsid w:val="001645DC"/>
    <w:rsid w:val="001656A7"/>
    <w:rsid w:val="00165711"/>
    <w:rsid w:val="0016629B"/>
    <w:rsid w:val="00166A88"/>
    <w:rsid w:val="00167538"/>
    <w:rsid w:val="00167588"/>
    <w:rsid w:val="00167E36"/>
    <w:rsid w:val="00170AF0"/>
    <w:rsid w:val="001716D6"/>
    <w:rsid w:val="001733AF"/>
    <w:rsid w:val="00173BB2"/>
    <w:rsid w:val="00174AAB"/>
    <w:rsid w:val="001756F0"/>
    <w:rsid w:val="00175C18"/>
    <w:rsid w:val="00177BD2"/>
    <w:rsid w:val="00181676"/>
    <w:rsid w:val="00181C9B"/>
    <w:rsid w:val="00183B62"/>
    <w:rsid w:val="00190231"/>
    <w:rsid w:val="001904B3"/>
    <w:rsid w:val="00190E32"/>
    <w:rsid w:val="001915D0"/>
    <w:rsid w:val="00192720"/>
    <w:rsid w:val="00194542"/>
    <w:rsid w:val="001945BA"/>
    <w:rsid w:val="00194899"/>
    <w:rsid w:val="00195D86"/>
    <w:rsid w:val="001963D2"/>
    <w:rsid w:val="00196FF5"/>
    <w:rsid w:val="00197E0C"/>
    <w:rsid w:val="001A1D65"/>
    <w:rsid w:val="001A2335"/>
    <w:rsid w:val="001A2B6B"/>
    <w:rsid w:val="001A2CED"/>
    <w:rsid w:val="001A32E2"/>
    <w:rsid w:val="001A34AE"/>
    <w:rsid w:val="001A56D2"/>
    <w:rsid w:val="001A5C85"/>
    <w:rsid w:val="001A6011"/>
    <w:rsid w:val="001A6C9B"/>
    <w:rsid w:val="001B0F52"/>
    <w:rsid w:val="001B4246"/>
    <w:rsid w:val="001B4AD7"/>
    <w:rsid w:val="001B70EB"/>
    <w:rsid w:val="001B75A9"/>
    <w:rsid w:val="001C41F9"/>
    <w:rsid w:val="001C4C9D"/>
    <w:rsid w:val="001C5A50"/>
    <w:rsid w:val="001C682C"/>
    <w:rsid w:val="001D186C"/>
    <w:rsid w:val="001D2296"/>
    <w:rsid w:val="001D3022"/>
    <w:rsid w:val="001D42CB"/>
    <w:rsid w:val="001D459E"/>
    <w:rsid w:val="001D4DFA"/>
    <w:rsid w:val="001D556B"/>
    <w:rsid w:val="001D5F9C"/>
    <w:rsid w:val="001D6BFE"/>
    <w:rsid w:val="001D6C09"/>
    <w:rsid w:val="001D7204"/>
    <w:rsid w:val="001D754C"/>
    <w:rsid w:val="001D75F1"/>
    <w:rsid w:val="001E0225"/>
    <w:rsid w:val="001E2FED"/>
    <w:rsid w:val="001E4F2D"/>
    <w:rsid w:val="001E6E09"/>
    <w:rsid w:val="001E7EB5"/>
    <w:rsid w:val="001F0C7F"/>
    <w:rsid w:val="001F0F37"/>
    <w:rsid w:val="001F34E2"/>
    <w:rsid w:val="001F3ED3"/>
    <w:rsid w:val="001F4089"/>
    <w:rsid w:val="00200080"/>
    <w:rsid w:val="002014EB"/>
    <w:rsid w:val="00204853"/>
    <w:rsid w:val="00205FD7"/>
    <w:rsid w:val="0020698A"/>
    <w:rsid w:val="00207B22"/>
    <w:rsid w:val="00210BB2"/>
    <w:rsid w:val="00213AA1"/>
    <w:rsid w:val="0021580D"/>
    <w:rsid w:val="00216165"/>
    <w:rsid w:val="002168E4"/>
    <w:rsid w:val="00217EDB"/>
    <w:rsid w:val="00220BEE"/>
    <w:rsid w:val="00222C9E"/>
    <w:rsid w:val="00224756"/>
    <w:rsid w:val="002249A7"/>
    <w:rsid w:val="002304B6"/>
    <w:rsid w:val="002326C3"/>
    <w:rsid w:val="00233A9B"/>
    <w:rsid w:val="0023414E"/>
    <w:rsid w:val="00240B08"/>
    <w:rsid w:val="002410D8"/>
    <w:rsid w:val="00242E95"/>
    <w:rsid w:val="002432F6"/>
    <w:rsid w:val="00243F57"/>
    <w:rsid w:val="00244BB4"/>
    <w:rsid w:val="002508F8"/>
    <w:rsid w:val="00252F89"/>
    <w:rsid w:val="00253F7B"/>
    <w:rsid w:val="00254B77"/>
    <w:rsid w:val="00254F51"/>
    <w:rsid w:val="00257A75"/>
    <w:rsid w:val="00257CCB"/>
    <w:rsid w:val="00264A50"/>
    <w:rsid w:val="002658DD"/>
    <w:rsid w:val="0026686A"/>
    <w:rsid w:val="002669C2"/>
    <w:rsid w:val="00273B4B"/>
    <w:rsid w:val="00274D44"/>
    <w:rsid w:val="00275285"/>
    <w:rsid w:val="00281085"/>
    <w:rsid w:val="002815C1"/>
    <w:rsid w:val="002830CF"/>
    <w:rsid w:val="0028700E"/>
    <w:rsid w:val="00287413"/>
    <w:rsid w:val="0029104B"/>
    <w:rsid w:val="002913EC"/>
    <w:rsid w:val="002934F8"/>
    <w:rsid w:val="00295904"/>
    <w:rsid w:val="00295B92"/>
    <w:rsid w:val="00296927"/>
    <w:rsid w:val="002A0552"/>
    <w:rsid w:val="002A2F63"/>
    <w:rsid w:val="002A3B63"/>
    <w:rsid w:val="002A5D0D"/>
    <w:rsid w:val="002A6773"/>
    <w:rsid w:val="002A7392"/>
    <w:rsid w:val="002B494A"/>
    <w:rsid w:val="002B4B38"/>
    <w:rsid w:val="002B544F"/>
    <w:rsid w:val="002B6DF1"/>
    <w:rsid w:val="002C4D6C"/>
    <w:rsid w:val="002C579E"/>
    <w:rsid w:val="002C770F"/>
    <w:rsid w:val="002D0648"/>
    <w:rsid w:val="002D1CCA"/>
    <w:rsid w:val="002D2079"/>
    <w:rsid w:val="002D2A64"/>
    <w:rsid w:val="002D2F93"/>
    <w:rsid w:val="002D367A"/>
    <w:rsid w:val="002D3C98"/>
    <w:rsid w:val="002D7C79"/>
    <w:rsid w:val="002E0C9D"/>
    <w:rsid w:val="002E2308"/>
    <w:rsid w:val="002E2314"/>
    <w:rsid w:val="002E292E"/>
    <w:rsid w:val="002E42DE"/>
    <w:rsid w:val="002E5901"/>
    <w:rsid w:val="002E60CF"/>
    <w:rsid w:val="002E6A3B"/>
    <w:rsid w:val="002E747C"/>
    <w:rsid w:val="002E7C9C"/>
    <w:rsid w:val="002E7FA3"/>
    <w:rsid w:val="002F1091"/>
    <w:rsid w:val="002F310C"/>
    <w:rsid w:val="002F35D9"/>
    <w:rsid w:val="002F67DF"/>
    <w:rsid w:val="003000F2"/>
    <w:rsid w:val="003006D5"/>
    <w:rsid w:val="00301F36"/>
    <w:rsid w:val="003057D6"/>
    <w:rsid w:val="00307559"/>
    <w:rsid w:val="003117DF"/>
    <w:rsid w:val="0031303E"/>
    <w:rsid w:val="0031649A"/>
    <w:rsid w:val="003176D5"/>
    <w:rsid w:val="00320043"/>
    <w:rsid w:val="0032021F"/>
    <w:rsid w:val="00321C82"/>
    <w:rsid w:val="00321F6C"/>
    <w:rsid w:val="00322291"/>
    <w:rsid w:val="00323C47"/>
    <w:rsid w:val="003259BA"/>
    <w:rsid w:val="003262DF"/>
    <w:rsid w:val="00326A12"/>
    <w:rsid w:val="00326A67"/>
    <w:rsid w:val="003273C6"/>
    <w:rsid w:val="00330093"/>
    <w:rsid w:val="00330F64"/>
    <w:rsid w:val="00332651"/>
    <w:rsid w:val="00332A78"/>
    <w:rsid w:val="00332AE9"/>
    <w:rsid w:val="00332DD1"/>
    <w:rsid w:val="00334247"/>
    <w:rsid w:val="003342BC"/>
    <w:rsid w:val="00336D6F"/>
    <w:rsid w:val="0033751C"/>
    <w:rsid w:val="00343330"/>
    <w:rsid w:val="003439A4"/>
    <w:rsid w:val="00343A14"/>
    <w:rsid w:val="003444EF"/>
    <w:rsid w:val="003445AF"/>
    <w:rsid w:val="0034579B"/>
    <w:rsid w:val="00350165"/>
    <w:rsid w:val="00351623"/>
    <w:rsid w:val="00355268"/>
    <w:rsid w:val="003579AA"/>
    <w:rsid w:val="003602F0"/>
    <w:rsid w:val="00361640"/>
    <w:rsid w:val="00361D3C"/>
    <w:rsid w:val="00362CAD"/>
    <w:rsid w:val="00363198"/>
    <w:rsid w:val="003645B6"/>
    <w:rsid w:val="0036629C"/>
    <w:rsid w:val="00366489"/>
    <w:rsid w:val="003715F5"/>
    <w:rsid w:val="003744BC"/>
    <w:rsid w:val="00375C0F"/>
    <w:rsid w:val="00376831"/>
    <w:rsid w:val="0037695A"/>
    <w:rsid w:val="00380104"/>
    <w:rsid w:val="00380C22"/>
    <w:rsid w:val="00380D4E"/>
    <w:rsid w:val="0038114F"/>
    <w:rsid w:val="00381F49"/>
    <w:rsid w:val="0038749F"/>
    <w:rsid w:val="00390388"/>
    <w:rsid w:val="00391380"/>
    <w:rsid w:val="0039273A"/>
    <w:rsid w:val="00393217"/>
    <w:rsid w:val="003936B1"/>
    <w:rsid w:val="00394A0E"/>
    <w:rsid w:val="003951B2"/>
    <w:rsid w:val="003962E0"/>
    <w:rsid w:val="003975F2"/>
    <w:rsid w:val="003A0AFC"/>
    <w:rsid w:val="003A1976"/>
    <w:rsid w:val="003A29E4"/>
    <w:rsid w:val="003A4B15"/>
    <w:rsid w:val="003B098B"/>
    <w:rsid w:val="003B2D5D"/>
    <w:rsid w:val="003B62E3"/>
    <w:rsid w:val="003B7A42"/>
    <w:rsid w:val="003B7A72"/>
    <w:rsid w:val="003C0837"/>
    <w:rsid w:val="003C123B"/>
    <w:rsid w:val="003C3073"/>
    <w:rsid w:val="003C4909"/>
    <w:rsid w:val="003C4B5C"/>
    <w:rsid w:val="003D02DE"/>
    <w:rsid w:val="003D05FD"/>
    <w:rsid w:val="003D12F1"/>
    <w:rsid w:val="003D21E2"/>
    <w:rsid w:val="003D2897"/>
    <w:rsid w:val="003D2AD6"/>
    <w:rsid w:val="003D49F6"/>
    <w:rsid w:val="003D71D8"/>
    <w:rsid w:val="003E0588"/>
    <w:rsid w:val="003E154A"/>
    <w:rsid w:val="003E1E16"/>
    <w:rsid w:val="003E29EB"/>
    <w:rsid w:val="003E3975"/>
    <w:rsid w:val="003E3E3A"/>
    <w:rsid w:val="003E4EE8"/>
    <w:rsid w:val="003F0446"/>
    <w:rsid w:val="003F12F3"/>
    <w:rsid w:val="003F1733"/>
    <w:rsid w:val="003F18D4"/>
    <w:rsid w:val="003F1A48"/>
    <w:rsid w:val="003F2C1A"/>
    <w:rsid w:val="003F4372"/>
    <w:rsid w:val="00400DBF"/>
    <w:rsid w:val="0040133B"/>
    <w:rsid w:val="00402C40"/>
    <w:rsid w:val="00402C82"/>
    <w:rsid w:val="00403E9E"/>
    <w:rsid w:val="00403FA1"/>
    <w:rsid w:val="004042E0"/>
    <w:rsid w:val="004056BB"/>
    <w:rsid w:val="004070DA"/>
    <w:rsid w:val="0040785E"/>
    <w:rsid w:val="00407AA2"/>
    <w:rsid w:val="004116FD"/>
    <w:rsid w:val="0041360A"/>
    <w:rsid w:val="00415CBE"/>
    <w:rsid w:val="00416811"/>
    <w:rsid w:val="004169F4"/>
    <w:rsid w:val="00417720"/>
    <w:rsid w:val="00420FC5"/>
    <w:rsid w:val="00430031"/>
    <w:rsid w:val="00430A7E"/>
    <w:rsid w:val="004312A3"/>
    <w:rsid w:val="00431932"/>
    <w:rsid w:val="00432060"/>
    <w:rsid w:val="00432636"/>
    <w:rsid w:val="004358F3"/>
    <w:rsid w:val="0043753E"/>
    <w:rsid w:val="00442488"/>
    <w:rsid w:val="00443BC4"/>
    <w:rsid w:val="0044432A"/>
    <w:rsid w:val="00445A4B"/>
    <w:rsid w:val="00447F30"/>
    <w:rsid w:val="00450684"/>
    <w:rsid w:val="004510E0"/>
    <w:rsid w:val="0045245E"/>
    <w:rsid w:val="00453C78"/>
    <w:rsid w:val="00456461"/>
    <w:rsid w:val="00457AD2"/>
    <w:rsid w:val="00457B8B"/>
    <w:rsid w:val="00460B3F"/>
    <w:rsid w:val="00460DBF"/>
    <w:rsid w:val="00461E34"/>
    <w:rsid w:val="00463068"/>
    <w:rsid w:val="00463777"/>
    <w:rsid w:val="004655E8"/>
    <w:rsid w:val="00472B42"/>
    <w:rsid w:val="00473A59"/>
    <w:rsid w:val="0047465D"/>
    <w:rsid w:val="00474BAE"/>
    <w:rsid w:val="00475A9A"/>
    <w:rsid w:val="00481AB7"/>
    <w:rsid w:val="00483E3B"/>
    <w:rsid w:val="00484A4C"/>
    <w:rsid w:val="00484D64"/>
    <w:rsid w:val="00484E90"/>
    <w:rsid w:val="00484F17"/>
    <w:rsid w:val="00486C38"/>
    <w:rsid w:val="00487B05"/>
    <w:rsid w:val="00487BD4"/>
    <w:rsid w:val="00490197"/>
    <w:rsid w:val="004902B1"/>
    <w:rsid w:val="004903B9"/>
    <w:rsid w:val="00490926"/>
    <w:rsid w:val="004921A9"/>
    <w:rsid w:val="00492F8C"/>
    <w:rsid w:val="0049443B"/>
    <w:rsid w:val="0049484C"/>
    <w:rsid w:val="00495679"/>
    <w:rsid w:val="004A091E"/>
    <w:rsid w:val="004A2223"/>
    <w:rsid w:val="004A2B2C"/>
    <w:rsid w:val="004A2BF6"/>
    <w:rsid w:val="004A2C36"/>
    <w:rsid w:val="004A48B4"/>
    <w:rsid w:val="004A54A4"/>
    <w:rsid w:val="004A7B3C"/>
    <w:rsid w:val="004B051E"/>
    <w:rsid w:val="004B09CE"/>
    <w:rsid w:val="004B22CC"/>
    <w:rsid w:val="004B2C74"/>
    <w:rsid w:val="004B3753"/>
    <w:rsid w:val="004B4058"/>
    <w:rsid w:val="004B4CED"/>
    <w:rsid w:val="004B7071"/>
    <w:rsid w:val="004B77D2"/>
    <w:rsid w:val="004C0A36"/>
    <w:rsid w:val="004C0C3B"/>
    <w:rsid w:val="004C1B82"/>
    <w:rsid w:val="004C2C1F"/>
    <w:rsid w:val="004C3032"/>
    <w:rsid w:val="004C329C"/>
    <w:rsid w:val="004C40EE"/>
    <w:rsid w:val="004C440B"/>
    <w:rsid w:val="004C4633"/>
    <w:rsid w:val="004C48E4"/>
    <w:rsid w:val="004C6584"/>
    <w:rsid w:val="004C6DEB"/>
    <w:rsid w:val="004D03F4"/>
    <w:rsid w:val="004D0977"/>
    <w:rsid w:val="004D14EB"/>
    <w:rsid w:val="004D1750"/>
    <w:rsid w:val="004D1E8D"/>
    <w:rsid w:val="004D3210"/>
    <w:rsid w:val="004D3783"/>
    <w:rsid w:val="004D3B8F"/>
    <w:rsid w:val="004D505A"/>
    <w:rsid w:val="004D7DBE"/>
    <w:rsid w:val="004E0776"/>
    <w:rsid w:val="004E106E"/>
    <w:rsid w:val="004E2D2E"/>
    <w:rsid w:val="004E4580"/>
    <w:rsid w:val="004E70A5"/>
    <w:rsid w:val="004E7E6A"/>
    <w:rsid w:val="004F2A6C"/>
    <w:rsid w:val="004F3BBE"/>
    <w:rsid w:val="004F470E"/>
    <w:rsid w:val="004F5043"/>
    <w:rsid w:val="004F5704"/>
    <w:rsid w:val="004F5D02"/>
    <w:rsid w:val="004F6D40"/>
    <w:rsid w:val="004F6DD3"/>
    <w:rsid w:val="004F783A"/>
    <w:rsid w:val="004F7EBE"/>
    <w:rsid w:val="005001B2"/>
    <w:rsid w:val="00500299"/>
    <w:rsid w:val="00504B6B"/>
    <w:rsid w:val="00510259"/>
    <w:rsid w:val="00510987"/>
    <w:rsid w:val="00510989"/>
    <w:rsid w:val="005116D9"/>
    <w:rsid w:val="00513A8B"/>
    <w:rsid w:val="00515B48"/>
    <w:rsid w:val="0051605D"/>
    <w:rsid w:val="00516C76"/>
    <w:rsid w:val="00521628"/>
    <w:rsid w:val="00523A2C"/>
    <w:rsid w:val="00524BBB"/>
    <w:rsid w:val="0052511C"/>
    <w:rsid w:val="005274FD"/>
    <w:rsid w:val="00535F32"/>
    <w:rsid w:val="00537AB0"/>
    <w:rsid w:val="00540154"/>
    <w:rsid w:val="00540AC2"/>
    <w:rsid w:val="00547ACE"/>
    <w:rsid w:val="00550837"/>
    <w:rsid w:val="00550C8C"/>
    <w:rsid w:val="00550FA2"/>
    <w:rsid w:val="00557B22"/>
    <w:rsid w:val="00557D28"/>
    <w:rsid w:val="00560431"/>
    <w:rsid w:val="00561421"/>
    <w:rsid w:val="00561EAC"/>
    <w:rsid w:val="005659E4"/>
    <w:rsid w:val="00565D32"/>
    <w:rsid w:val="00570174"/>
    <w:rsid w:val="005709EC"/>
    <w:rsid w:val="00570AAD"/>
    <w:rsid w:val="00571433"/>
    <w:rsid w:val="0057320B"/>
    <w:rsid w:val="00573B1E"/>
    <w:rsid w:val="00573E2D"/>
    <w:rsid w:val="0057444D"/>
    <w:rsid w:val="005754CA"/>
    <w:rsid w:val="00577323"/>
    <w:rsid w:val="00577D3C"/>
    <w:rsid w:val="005813AE"/>
    <w:rsid w:val="00581A26"/>
    <w:rsid w:val="00581B32"/>
    <w:rsid w:val="00581F3E"/>
    <w:rsid w:val="00582E17"/>
    <w:rsid w:val="00584CC7"/>
    <w:rsid w:val="0058794E"/>
    <w:rsid w:val="0059017B"/>
    <w:rsid w:val="00590C4E"/>
    <w:rsid w:val="00591F2D"/>
    <w:rsid w:val="0059434A"/>
    <w:rsid w:val="00594F01"/>
    <w:rsid w:val="0059563A"/>
    <w:rsid w:val="005A2279"/>
    <w:rsid w:val="005A53C3"/>
    <w:rsid w:val="005A6838"/>
    <w:rsid w:val="005A7B1F"/>
    <w:rsid w:val="005B087F"/>
    <w:rsid w:val="005B1558"/>
    <w:rsid w:val="005B3DC2"/>
    <w:rsid w:val="005B5959"/>
    <w:rsid w:val="005C0378"/>
    <w:rsid w:val="005C06E2"/>
    <w:rsid w:val="005C084C"/>
    <w:rsid w:val="005C1960"/>
    <w:rsid w:val="005C323A"/>
    <w:rsid w:val="005C3DC4"/>
    <w:rsid w:val="005C4B16"/>
    <w:rsid w:val="005C4D28"/>
    <w:rsid w:val="005C565F"/>
    <w:rsid w:val="005D01A8"/>
    <w:rsid w:val="005D0338"/>
    <w:rsid w:val="005D2AEC"/>
    <w:rsid w:val="005D4657"/>
    <w:rsid w:val="005D4ED9"/>
    <w:rsid w:val="005D5EA9"/>
    <w:rsid w:val="005E0273"/>
    <w:rsid w:val="005E0DFB"/>
    <w:rsid w:val="005E1527"/>
    <w:rsid w:val="005E23AD"/>
    <w:rsid w:val="005E3B2E"/>
    <w:rsid w:val="005E56C6"/>
    <w:rsid w:val="005E73D5"/>
    <w:rsid w:val="005F104C"/>
    <w:rsid w:val="005F5102"/>
    <w:rsid w:val="00601F56"/>
    <w:rsid w:val="0060505E"/>
    <w:rsid w:val="00605C3A"/>
    <w:rsid w:val="006071E4"/>
    <w:rsid w:val="00610303"/>
    <w:rsid w:val="00610EB4"/>
    <w:rsid w:val="00610FA6"/>
    <w:rsid w:val="00611131"/>
    <w:rsid w:val="00611286"/>
    <w:rsid w:val="00614850"/>
    <w:rsid w:val="0061494D"/>
    <w:rsid w:val="00614A2D"/>
    <w:rsid w:val="00616A00"/>
    <w:rsid w:val="00616D5A"/>
    <w:rsid w:val="006206C1"/>
    <w:rsid w:val="006235A2"/>
    <w:rsid w:val="00623ACC"/>
    <w:rsid w:val="006253E8"/>
    <w:rsid w:val="00625B62"/>
    <w:rsid w:val="0063226D"/>
    <w:rsid w:val="00632306"/>
    <w:rsid w:val="006324D6"/>
    <w:rsid w:val="006410DE"/>
    <w:rsid w:val="00644D51"/>
    <w:rsid w:val="00645A67"/>
    <w:rsid w:val="00645CE5"/>
    <w:rsid w:val="00646BB3"/>
    <w:rsid w:val="00646BCE"/>
    <w:rsid w:val="00647AF4"/>
    <w:rsid w:val="0065078B"/>
    <w:rsid w:val="00650BFD"/>
    <w:rsid w:val="00652B2C"/>
    <w:rsid w:val="00657120"/>
    <w:rsid w:val="006611EE"/>
    <w:rsid w:val="00662541"/>
    <w:rsid w:val="006647C1"/>
    <w:rsid w:val="00665475"/>
    <w:rsid w:val="0067069E"/>
    <w:rsid w:val="00670F2A"/>
    <w:rsid w:val="006714AC"/>
    <w:rsid w:val="00672644"/>
    <w:rsid w:val="00672C81"/>
    <w:rsid w:val="006735D4"/>
    <w:rsid w:val="006739C9"/>
    <w:rsid w:val="00673E82"/>
    <w:rsid w:val="006752BA"/>
    <w:rsid w:val="0067693A"/>
    <w:rsid w:val="006770C5"/>
    <w:rsid w:val="0067798F"/>
    <w:rsid w:val="00680BEB"/>
    <w:rsid w:val="00683B05"/>
    <w:rsid w:val="00683F15"/>
    <w:rsid w:val="006847F9"/>
    <w:rsid w:val="006858F1"/>
    <w:rsid w:val="00685E8C"/>
    <w:rsid w:val="00686490"/>
    <w:rsid w:val="00686527"/>
    <w:rsid w:val="00686548"/>
    <w:rsid w:val="00687208"/>
    <w:rsid w:val="00690E74"/>
    <w:rsid w:val="00691867"/>
    <w:rsid w:val="00692356"/>
    <w:rsid w:val="00692FBE"/>
    <w:rsid w:val="00695141"/>
    <w:rsid w:val="0069532D"/>
    <w:rsid w:val="0069587D"/>
    <w:rsid w:val="006974C5"/>
    <w:rsid w:val="00697FCF"/>
    <w:rsid w:val="006A3CCA"/>
    <w:rsid w:val="006A5AC9"/>
    <w:rsid w:val="006A661B"/>
    <w:rsid w:val="006A7C46"/>
    <w:rsid w:val="006B09A7"/>
    <w:rsid w:val="006B1783"/>
    <w:rsid w:val="006B23F5"/>
    <w:rsid w:val="006B3B27"/>
    <w:rsid w:val="006B3D6E"/>
    <w:rsid w:val="006B5269"/>
    <w:rsid w:val="006B5E9B"/>
    <w:rsid w:val="006B662F"/>
    <w:rsid w:val="006B6E70"/>
    <w:rsid w:val="006C1B27"/>
    <w:rsid w:val="006C24EC"/>
    <w:rsid w:val="006C45D4"/>
    <w:rsid w:val="006C49AB"/>
    <w:rsid w:val="006C5664"/>
    <w:rsid w:val="006C5CF6"/>
    <w:rsid w:val="006C66EF"/>
    <w:rsid w:val="006C674A"/>
    <w:rsid w:val="006C6BD4"/>
    <w:rsid w:val="006C74AA"/>
    <w:rsid w:val="006C7A97"/>
    <w:rsid w:val="006D0196"/>
    <w:rsid w:val="006D2A65"/>
    <w:rsid w:val="006D47C4"/>
    <w:rsid w:val="006D51B2"/>
    <w:rsid w:val="006D787B"/>
    <w:rsid w:val="006D79BC"/>
    <w:rsid w:val="006E1482"/>
    <w:rsid w:val="006F1FD5"/>
    <w:rsid w:val="006F2646"/>
    <w:rsid w:val="006F2E03"/>
    <w:rsid w:val="006F32E1"/>
    <w:rsid w:val="006F66EC"/>
    <w:rsid w:val="006F6A08"/>
    <w:rsid w:val="00700865"/>
    <w:rsid w:val="00703AD3"/>
    <w:rsid w:val="00704B99"/>
    <w:rsid w:val="0070631E"/>
    <w:rsid w:val="00706C7D"/>
    <w:rsid w:val="00710432"/>
    <w:rsid w:val="0071373E"/>
    <w:rsid w:val="00713B07"/>
    <w:rsid w:val="00714215"/>
    <w:rsid w:val="007142E3"/>
    <w:rsid w:val="00715088"/>
    <w:rsid w:val="00716214"/>
    <w:rsid w:val="00716B0E"/>
    <w:rsid w:val="00716FF7"/>
    <w:rsid w:val="00717253"/>
    <w:rsid w:val="00720C85"/>
    <w:rsid w:val="00722569"/>
    <w:rsid w:val="00723740"/>
    <w:rsid w:val="00724BCE"/>
    <w:rsid w:val="00725816"/>
    <w:rsid w:val="007277A5"/>
    <w:rsid w:val="007278BA"/>
    <w:rsid w:val="00727CB7"/>
    <w:rsid w:val="007316A0"/>
    <w:rsid w:val="00732524"/>
    <w:rsid w:val="00734693"/>
    <w:rsid w:val="00736A45"/>
    <w:rsid w:val="0073729D"/>
    <w:rsid w:val="00737504"/>
    <w:rsid w:val="0074175D"/>
    <w:rsid w:val="00742A61"/>
    <w:rsid w:val="00743990"/>
    <w:rsid w:val="007449D8"/>
    <w:rsid w:val="00744C49"/>
    <w:rsid w:val="007475AB"/>
    <w:rsid w:val="00750EAD"/>
    <w:rsid w:val="00750FB2"/>
    <w:rsid w:val="00753D3F"/>
    <w:rsid w:val="007546CD"/>
    <w:rsid w:val="00755D26"/>
    <w:rsid w:val="007567FE"/>
    <w:rsid w:val="007570D7"/>
    <w:rsid w:val="00757649"/>
    <w:rsid w:val="007602BF"/>
    <w:rsid w:val="0076070F"/>
    <w:rsid w:val="00763D93"/>
    <w:rsid w:val="007673F5"/>
    <w:rsid w:val="00767CC0"/>
    <w:rsid w:val="00770DD2"/>
    <w:rsid w:val="00772D59"/>
    <w:rsid w:val="00775B5F"/>
    <w:rsid w:val="00776A1E"/>
    <w:rsid w:val="007770D9"/>
    <w:rsid w:val="00781715"/>
    <w:rsid w:val="00782214"/>
    <w:rsid w:val="007822FB"/>
    <w:rsid w:val="00782D68"/>
    <w:rsid w:val="007832F2"/>
    <w:rsid w:val="0078395D"/>
    <w:rsid w:val="00785A56"/>
    <w:rsid w:val="00785E2B"/>
    <w:rsid w:val="00785FD2"/>
    <w:rsid w:val="00791154"/>
    <w:rsid w:val="007917B0"/>
    <w:rsid w:val="007960AE"/>
    <w:rsid w:val="00797577"/>
    <w:rsid w:val="00797899"/>
    <w:rsid w:val="00797B5A"/>
    <w:rsid w:val="007A0849"/>
    <w:rsid w:val="007A08D5"/>
    <w:rsid w:val="007A3E5E"/>
    <w:rsid w:val="007A46DF"/>
    <w:rsid w:val="007A477F"/>
    <w:rsid w:val="007A529A"/>
    <w:rsid w:val="007B1B23"/>
    <w:rsid w:val="007B29E4"/>
    <w:rsid w:val="007B2BC4"/>
    <w:rsid w:val="007B7418"/>
    <w:rsid w:val="007B77A8"/>
    <w:rsid w:val="007C0044"/>
    <w:rsid w:val="007C02C3"/>
    <w:rsid w:val="007C0FB1"/>
    <w:rsid w:val="007C3653"/>
    <w:rsid w:val="007D103C"/>
    <w:rsid w:val="007D29C7"/>
    <w:rsid w:val="007D2D31"/>
    <w:rsid w:val="007D6D79"/>
    <w:rsid w:val="007D7062"/>
    <w:rsid w:val="007D72E3"/>
    <w:rsid w:val="007D7AAA"/>
    <w:rsid w:val="007D7FB9"/>
    <w:rsid w:val="007E1D83"/>
    <w:rsid w:val="007E2CA1"/>
    <w:rsid w:val="007E45A0"/>
    <w:rsid w:val="007F0A2E"/>
    <w:rsid w:val="007F104C"/>
    <w:rsid w:val="007F2D43"/>
    <w:rsid w:val="007F305D"/>
    <w:rsid w:val="007F308A"/>
    <w:rsid w:val="007F30D6"/>
    <w:rsid w:val="007F5D60"/>
    <w:rsid w:val="007F61CA"/>
    <w:rsid w:val="00801501"/>
    <w:rsid w:val="00801837"/>
    <w:rsid w:val="008027DB"/>
    <w:rsid w:val="00802FCF"/>
    <w:rsid w:val="00803768"/>
    <w:rsid w:val="00803B9C"/>
    <w:rsid w:val="00805AD0"/>
    <w:rsid w:val="008120A7"/>
    <w:rsid w:val="008135C8"/>
    <w:rsid w:val="00813CC7"/>
    <w:rsid w:val="00814096"/>
    <w:rsid w:val="00814528"/>
    <w:rsid w:val="00814DC6"/>
    <w:rsid w:val="008163BB"/>
    <w:rsid w:val="00820293"/>
    <w:rsid w:val="00820FEC"/>
    <w:rsid w:val="008213A7"/>
    <w:rsid w:val="00821B12"/>
    <w:rsid w:val="00822B48"/>
    <w:rsid w:val="00823EE4"/>
    <w:rsid w:val="0082781A"/>
    <w:rsid w:val="00830FF6"/>
    <w:rsid w:val="00832316"/>
    <w:rsid w:val="00833B13"/>
    <w:rsid w:val="00836A07"/>
    <w:rsid w:val="00837EE8"/>
    <w:rsid w:val="00840288"/>
    <w:rsid w:val="0084240E"/>
    <w:rsid w:val="00843122"/>
    <w:rsid w:val="00843A76"/>
    <w:rsid w:val="00843E5E"/>
    <w:rsid w:val="00844110"/>
    <w:rsid w:val="00844917"/>
    <w:rsid w:val="00844C98"/>
    <w:rsid w:val="0084523F"/>
    <w:rsid w:val="00845B16"/>
    <w:rsid w:val="00846D68"/>
    <w:rsid w:val="00847D9B"/>
    <w:rsid w:val="00852008"/>
    <w:rsid w:val="00852B2B"/>
    <w:rsid w:val="00855078"/>
    <w:rsid w:val="00855129"/>
    <w:rsid w:val="008565E2"/>
    <w:rsid w:val="00856A90"/>
    <w:rsid w:val="00856F59"/>
    <w:rsid w:val="00857BBF"/>
    <w:rsid w:val="00861484"/>
    <w:rsid w:val="00862A97"/>
    <w:rsid w:val="00862EE3"/>
    <w:rsid w:val="0086603E"/>
    <w:rsid w:val="00867F82"/>
    <w:rsid w:val="00871FB9"/>
    <w:rsid w:val="00874C1B"/>
    <w:rsid w:val="00874C6B"/>
    <w:rsid w:val="00877AC5"/>
    <w:rsid w:val="00880C5F"/>
    <w:rsid w:val="0088270C"/>
    <w:rsid w:val="00883CB2"/>
    <w:rsid w:val="0088451E"/>
    <w:rsid w:val="008848D0"/>
    <w:rsid w:val="0088506B"/>
    <w:rsid w:val="008871CA"/>
    <w:rsid w:val="0088799B"/>
    <w:rsid w:val="008900C1"/>
    <w:rsid w:val="00890A45"/>
    <w:rsid w:val="00893203"/>
    <w:rsid w:val="008A02AC"/>
    <w:rsid w:val="008A1F0E"/>
    <w:rsid w:val="008A62D0"/>
    <w:rsid w:val="008A796D"/>
    <w:rsid w:val="008B0B20"/>
    <w:rsid w:val="008B0B6D"/>
    <w:rsid w:val="008B10E0"/>
    <w:rsid w:val="008B13D4"/>
    <w:rsid w:val="008B29CE"/>
    <w:rsid w:val="008B4407"/>
    <w:rsid w:val="008B54D5"/>
    <w:rsid w:val="008B7AEF"/>
    <w:rsid w:val="008B7CA4"/>
    <w:rsid w:val="008B7D34"/>
    <w:rsid w:val="008C16CE"/>
    <w:rsid w:val="008C7F6F"/>
    <w:rsid w:val="008D14D1"/>
    <w:rsid w:val="008D1E87"/>
    <w:rsid w:val="008D2D0F"/>
    <w:rsid w:val="008D4A71"/>
    <w:rsid w:val="008D7DFA"/>
    <w:rsid w:val="008E6ADF"/>
    <w:rsid w:val="008E739D"/>
    <w:rsid w:val="008E7B16"/>
    <w:rsid w:val="008F0622"/>
    <w:rsid w:val="008F0A3B"/>
    <w:rsid w:val="008F0E2F"/>
    <w:rsid w:val="008F1882"/>
    <w:rsid w:val="008F1EC7"/>
    <w:rsid w:val="008F24FB"/>
    <w:rsid w:val="008F3324"/>
    <w:rsid w:val="008F5152"/>
    <w:rsid w:val="008F5398"/>
    <w:rsid w:val="008F7867"/>
    <w:rsid w:val="008F7F9D"/>
    <w:rsid w:val="008F7FB6"/>
    <w:rsid w:val="0090054B"/>
    <w:rsid w:val="0090376C"/>
    <w:rsid w:val="00903903"/>
    <w:rsid w:val="0090523E"/>
    <w:rsid w:val="00906240"/>
    <w:rsid w:val="0090725E"/>
    <w:rsid w:val="0091398B"/>
    <w:rsid w:val="00916B27"/>
    <w:rsid w:val="00916FAC"/>
    <w:rsid w:val="00923893"/>
    <w:rsid w:val="00925B79"/>
    <w:rsid w:val="00926AB3"/>
    <w:rsid w:val="009276B2"/>
    <w:rsid w:val="00927F2C"/>
    <w:rsid w:val="00930136"/>
    <w:rsid w:val="00931782"/>
    <w:rsid w:val="00931DCA"/>
    <w:rsid w:val="0093525C"/>
    <w:rsid w:val="00936C9E"/>
    <w:rsid w:val="00940F39"/>
    <w:rsid w:val="009426A3"/>
    <w:rsid w:val="00945252"/>
    <w:rsid w:val="00945393"/>
    <w:rsid w:val="00946408"/>
    <w:rsid w:val="00946722"/>
    <w:rsid w:val="00947F4D"/>
    <w:rsid w:val="009504B4"/>
    <w:rsid w:val="00952282"/>
    <w:rsid w:val="00952885"/>
    <w:rsid w:val="00952A1C"/>
    <w:rsid w:val="00953D75"/>
    <w:rsid w:val="00955322"/>
    <w:rsid w:val="00955852"/>
    <w:rsid w:val="00955F4E"/>
    <w:rsid w:val="0095656A"/>
    <w:rsid w:val="009573E5"/>
    <w:rsid w:val="009577C6"/>
    <w:rsid w:val="00957FA8"/>
    <w:rsid w:val="00960594"/>
    <w:rsid w:val="00960843"/>
    <w:rsid w:val="0096192C"/>
    <w:rsid w:val="00964B7A"/>
    <w:rsid w:val="0096517C"/>
    <w:rsid w:val="009656C9"/>
    <w:rsid w:val="00965EAA"/>
    <w:rsid w:val="00966207"/>
    <w:rsid w:val="0096718D"/>
    <w:rsid w:val="009701E6"/>
    <w:rsid w:val="00970EAF"/>
    <w:rsid w:val="00973224"/>
    <w:rsid w:val="009735B4"/>
    <w:rsid w:val="00974302"/>
    <w:rsid w:val="00974379"/>
    <w:rsid w:val="00975E1D"/>
    <w:rsid w:val="0097615E"/>
    <w:rsid w:val="00976D1C"/>
    <w:rsid w:val="009775C7"/>
    <w:rsid w:val="00980437"/>
    <w:rsid w:val="00982312"/>
    <w:rsid w:val="0098324D"/>
    <w:rsid w:val="00984FAD"/>
    <w:rsid w:val="0098683B"/>
    <w:rsid w:val="00986B2C"/>
    <w:rsid w:val="00986EE1"/>
    <w:rsid w:val="009903C5"/>
    <w:rsid w:val="00991767"/>
    <w:rsid w:val="009924AD"/>
    <w:rsid w:val="009926D7"/>
    <w:rsid w:val="00992D5B"/>
    <w:rsid w:val="00994239"/>
    <w:rsid w:val="009947E0"/>
    <w:rsid w:val="0099541F"/>
    <w:rsid w:val="00995B7B"/>
    <w:rsid w:val="009960FC"/>
    <w:rsid w:val="0099615B"/>
    <w:rsid w:val="009961A4"/>
    <w:rsid w:val="009A0045"/>
    <w:rsid w:val="009A1CE2"/>
    <w:rsid w:val="009A37BC"/>
    <w:rsid w:val="009A4320"/>
    <w:rsid w:val="009A4854"/>
    <w:rsid w:val="009A4DE8"/>
    <w:rsid w:val="009A6982"/>
    <w:rsid w:val="009B32E4"/>
    <w:rsid w:val="009B4962"/>
    <w:rsid w:val="009B5A05"/>
    <w:rsid w:val="009B5F96"/>
    <w:rsid w:val="009B73AF"/>
    <w:rsid w:val="009B763D"/>
    <w:rsid w:val="009B7D19"/>
    <w:rsid w:val="009C0AA5"/>
    <w:rsid w:val="009C0B10"/>
    <w:rsid w:val="009C14A3"/>
    <w:rsid w:val="009C1C3A"/>
    <w:rsid w:val="009C55EC"/>
    <w:rsid w:val="009C7EF8"/>
    <w:rsid w:val="009D28A2"/>
    <w:rsid w:val="009D361E"/>
    <w:rsid w:val="009D58D2"/>
    <w:rsid w:val="009E00EB"/>
    <w:rsid w:val="009E1E7A"/>
    <w:rsid w:val="009E3241"/>
    <w:rsid w:val="009E5D10"/>
    <w:rsid w:val="009E6BE9"/>
    <w:rsid w:val="009E6DCF"/>
    <w:rsid w:val="009E77CF"/>
    <w:rsid w:val="009F1D0B"/>
    <w:rsid w:val="009F6BBB"/>
    <w:rsid w:val="00A01460"/>
    <w:rsid w:val="00A014CA"/>
    <w:rsid w:val="00A027A2"/>
    <w:rsid w:val="00A04E65"/>
    <w:rsid w:val="00A04ECB"/>
    <w:rsid w:val="00A05014"/>
    <w:rsid w:val="00A062D6"/>
    <w:rsid w:val="00A067FD"/>
    <w:rsid w:val="00A10DDA"/>
    <w:rsid w:val="00A12082"/>
    <w:rsid w:val="00A1517B"/>
    <w:rsid w:val="00A159C3"/>
    <w:rsid w:val="00A15A9D"/>
    <w:rsid w:val="00A2037E"/>
    <w:rsid w:val="00A21071"/>
    <w:rsid w:val="00A21DD0"/>
    <w:rsid w:val="00A22CEF"/>
    <w:rsid w:val="00A23181"/>
    <w:rsid w:val="00A272C9"/>
    <w:rsid w:val="00A276E1"/>
    <w:rsid w:val="00A31501"/>
    <w:rsid w:val="00A32177"/>
    <w:rsid w:val="00A35303"/>
    <w:rsid w:val="00A37105"/>
    <w:rsid w:val="00A372C4"/>
    <w:rsid w:val="00A374BC"/>
    <w:rsid w:val="00A41E1A"/>
    <w:rsid w:val="00A434F7"/>
    <w:rsid w:val="00A43831"/>
    <w:rsid w:val="00A440D6"/>
    <w:rsid w:val="00A4457C"/>
    <w:rsid w:val="00A468E6"/>
    <w:rsid w:val="00A46C85"/>
    <w:rsid w:val="00A471B9"/>
    <w:rsid w:val="00A50814"/>
    <w:rsid w:val="00A508F2"/>
    <w:rsid w:val="00A523A3"/>
    <w:rsid w:val="00A54934"/>
    <w:rsid w:val="00A5585E"/>
    <w:rsid w:val="00A558C5"/>
    <w:rsid w:val="00A56A76"/>
    <w:rsid w:val="00A6079F"/>
    <w:rsid w:val="00A614D1"/>
    <w:rsid w:val="00A61B02"/>
    <w:rsid w:val="00A62AE6"/>
    <w:rsid w:val="00A67621"/>
    <w:rsid w:val="00A7096D"/>
    <w:rsid w:val="00A70DEF"/>
    <w:rsid w:val="00A73057"/>
    <w:rsid w:val="00A75360"/>
    <w:rsid w:val="00A7546A"/>
    <w:rsid w:val="00A75E3E"/>
    <w:rsid w:val="00A76EA2"/>
    <w:rsid w:val="00A77A76"/>
    <w:rsid w:val="00A814AF"/>
    <w:rsid w:val="00A81F19"/>
    <w:rsid w:val="00A827E3"/>
    <w:rsid w:val="00A83823"/>
    <w:rsid w:val="00A83BEE"/>
    <w:rsid w:val="00A83D82"/>
    <w:rsid w:val="00A84220"/>
    <w:rsid w:val="00A8440A"/>
    <w:rsid w:val="00A84A0D"/>
    <w:rsid w:val="00A86B86"/>
    <w:rsid w:val="00A87656"/>
    <w:rsid w:val="00A90D95"/>
    <w:rsid w:val="00A910A5"/>
    <w:rsid w:val="00A9118F"/>
    <w:rsid w:val="00A91CD7"/>
    <w:rsid w:val="00A92B08"/>
    <w:rsid w:val="00A93017"/>
    <w:rsid w:val="00A9454B"/>
    <w:rsid w:val="00A9463B"/>
    <w:rsid w:val="00A949AC"/>
    <w:rsid w:val="00A956F1"/>
    <w:rsid w:val="00A95B8A"/>
    <w:rsid w:val="00AA1C3D"/>
    <w:rsid w:val="00AA1EE8"/>
    <w:rsid w:val="00AA2261"/>
    <w:rsid w:val="00AA3311"/>
    <w:rsid w:val="00AA5C5C"/>
    <w:rsid w:val="00AA5DBB"/>
    <w:rsid w:val="00AA60B0"/>
    <w:rsid w:val="00AB123D"/>
    <w:rsid w:val="00AB3540"/>
    <w:rsid w:val="00AB7936"/>
    <w:rsid w:val="00AC17DC"/>
    <w:rsid w:val="00AC1C89"/>
    <w:rsid w:val="00AC20F5"/>
    <w:rsid w:val="00AC3C49"/>
    <w:rsid w:val="00AC3D2E"/>
    <w:rsid w:val="00AC4B61"/>
    <w:rsid w:val="00AC4E36"/>
    <w:rsid w:val="00AD081F"/>
    <w:rsid w:val="00AD2C8B"/>
    <w:rsid w:val="00AD3DDC"/>
    <w:rsid w:val="00AD480C"/>
    <w:rsid w:val="00AD4822"/>
    <w:rsid w:val="00AD484B"/>
    <w:rsid w:val="00AD6984"/>
    <w:rsid w:val="00AD6EBE"/>
    <w:rsid w:val="00AD732A"/>
    <w:rsid w:val="00AE0AFD"/>
    <w:rsid w:val="00AE3506"/>
    <w:rsid w:val="00AE3EC5"/>
    <w:rsid w:val="00AE4C2B"/>
    <w:rsid w:val="00AE5FA3"/>
    <w:rsid w:val="00AE6415"/>
    <w:rsid w:val="00AF22B7"/>
    <w:rsid w:val="00AF3873"/>
    <w:rsid w:val="00AF3A0F"/>
    <w:rsid w:val="00AF3F4A"/>
    <w:rsid w:val="00AF5034"/>
    <w:rsid w:val="00AF54E3"/>
    <w:rsid w:val="00AF5879"/>
    <w:rsid w:val="00AF6725"/>
    <w:rsid w:val="00B0127C"/>
    <w:rsid w:val="00B04FDD"/>
    <w:rsid w:val="00B06E81"/>
    <w:rsid w:val="00B06FC6"/>
    <w:rsid w:val="00B0717E"/>
    <w:rsid w:val="00B07337"/>
    <w:rsid w:val="00B07CF9"/>
    <w:rsid w:val="00B10CEB"/>
    <w:rsid w:val="00B122DB"/>
    <w:rsid w:val="00B12327"/>
    <w:rsid w:val="00B12C20"/>
    <w:rsid w:val="00B12ECB"/>
    <w:rsid w:val="00B15AD1"/>
    <w:rsid w:val="00B15D61"/>
    <w:rsid w:val="00B16954"/>
    <w:rsid w:val="00B16CD0"/>
    <w:rsid w:val="00B179DC"/>
    <w:rsid w:val="00B201F7"/>
    <w:rsid w:val="00B20AD8"/>
    <w:rsid w:val="00B23B94"/>
    <w:rsid w:val="00B24E62"/>
    <w:rsid w:val="00B25E92"/>
    <w:rsid w:val="00B33526"/>
    <w:rsid w:val="00B35DA4"/>
    <w:rsid w:val="00B36262"/>
    <w:rsid w:val="00B37037"/>
    <w:rsid w:val="00B410F0"/>
    <w:rsid w:val="00B41850"/>
    <w:rsid w:val="00B433D5"/>
    <w:rsid w:val="00B475A2"/>
    <w:rsid w:val="00B475EA"/>
    <w:rsid w:val="00B479CA"/>
    <w:rsid w:val="00B47DBB"/>
    <w:rsid w:val="00B515EF"/>
    <w:rsid w:val="00B53441"/>
    <w:rsid w:val="00B55318"/>
    <w:rsid w:val="00B56085"/>
    <w:rsid w:val="00B56E80"/>
    <w:rsid w:val="00B60207"/>
    <w:rsid w:val="00B61170"/>
    <w:rsid w:val="00B6122B"/>
    <w:rsid w:val="00B61C37"/>
    <w:rsid w:val="00B62766"/>
    <w:rsid w:val="00B6377F"/>
    <w:rsid w:val="00B642A4"/>
    <w:rsid w:val="00B65803"/>
    <w:rsid w:val="00B66591"/>
    <w:rsid w:val="00B6689C"/>
    <w:rsid w:val="00B66A36"/>
    <w:rsid w:val="00B72BF8"/>
    <w:rsid w:val="00B731F1"/>
    <w:rsid w:val="00B735CE"/>
    <w:rsid w:val="00B744C2"/>
    <w:rsid w:val="00B747BA"/>
    <w:rsid w:val="00B74B22"/>
    <w:rsid w:val="00B74B95"/>
    <w:rsid w:val="00B75629"/>
    <w:rsid w:val="00B7576E"/>
    <w:rsid w:val="00B8027A"/>
    <w:rsid w:val="00B809CB"/>
    <w:rsid w:val="00B815A0"/>
    <w:rsid w:val="00B82199"/>
    <w:rsid w:val="00B8265B"/>
    <w:rsid w:val="00B84572"/>
    <w:rsid w:val="00B84D3E"/>
    <w:rsid w:val="00B86227"/>
    <w:rsid w:val="00B866EC"/>
    <w:rsid w:val="00B87744"/>
    <w:rsid w:val="00B90498"/>
    <w:rsid w:val="00B93F4D"/>
    <w:rsid w:val="00B94C81"/>
    <w:rsid w:val="00B97CB6"/>
    <w:rsid w:val="00BA04E0"/>
    <w:rsid w:val="00BA0BEF"/>
    <w:rsid w:val="00BA0F15"/>
    <w:rsid w:val="00BA1061"/>
    <w:rsid w:val="00BA1723"/>
    <w:rsid w:val="00BA1754"/>
    <w:rsid w:val="00BA1831"/>
    <w:rsid w:val="00BA424F"/>
    <w:rsid w:val="00BA42AF"/>
    <w:rsid w:val="00BA49EE"/>
    <w:rsid w:val="00BA647B"/>
    <w:rsid w:val="00BA6485"/>
    <w:rsid w:val="00BA7925"/>
    <w:rsid w:val="00BB2331"/>
    <w:rsid w:val="00BB2523"/>
    <w:rsid w:val="00BB2641"/>
    <w:rsid w:val="00BB2D94"/>
    <w:rsid w:val="00BB7E84"/>
    <w:rsid w:val="00BC0E88"/>
    <w:rsid w:val="00BC1545"/>
    <w:rsid w:val="00BC328B"/>
    <w:rsid w:val="00BC6C89"/>
    <w:rsid w:val="00BC786F"/>
    <w:rsid w:val="00BD1152"/>
    <w:rsid w:val="00BD3132"/>
    <w:rsid w:val="00BD349F"/>
    <w:rsid w:val="00BD4B7E"/>
    <w:rsid w:val="00BE0A70"/>
    <w:rsid w:val="00BE232F"/>
    <w:rsid w:val="00BE40E1"/>
    <w:rsid w:val="00BE48C9"/>
    <w:rsid w:val="00BE56F3"/>
    <w:rsid w:val="00BE61A2"/>
    <w:rsid w:val="00BE6444"/>
    <w:rsid w:val="00BE72E7"/>
    <w:rsid w:val="00BE7583"/>
    <w:rsid w:val="00BE77FE"/>
    <w:rsid w:val="00BF0B2B"/>
    <w:rsid w:val="00BF233A"/>
    <w:rsid w:val="00BF2434"/>
    <w:rsid w:val="00BF3FC5"/>
    <w:rsid w:val="00BF46BF"/>
    <w:rsid w:val="00BF5331"/>
    <w:rsid w:val="00C00069"/>
    <w:rsid w:val="00C034A3"/>
    <w:rsid w:val="00C06FDB"/>
    <w:rsid w:val="00C07263"/>
    <w:rsid w:val="00C10A8E"/>
    <w:rsid w:val="00C142FB"/>
    <w:rsid w:val="00C14971"/>
    <w:rsid w:val="00C156E4"/>
    <w:rsid w:val="00C16610"/>
    <w:rsid w:val="00C21199"/>
    <w:rsid w:val="00C2132F"/>
    <w:rsid w:val="00C23C78"/>
    <w:rsid w:val="00C24072"/>
    <w:rsid w:val="00C24BC0"/>
    <w:rsid w:val="00C36C30"/>
    <w:rsid w:val="00C40F1A"/>
    <w:rsid w:val="00C4165F"/>
    <w:rsid w:val="00C43B00"/>
    <w:rsid w:val="00C44F50"/>
    <w:rsid w:val="00C4556B"/>
    <w:rsid w:val="00C46AE7"/>
    <w:rsid w:val="00C46DD3"/>
    <w:rsid w:val="00C478DF"/>
    <w:rsid w:val="00C52239"/>
    <w:rsid w:val="00C529DF"/>
    <w:rsid w:val="00C5303F"/>
    <w:rsid w:val="00C53583"/>
    <w:rsid w:val="00C53987"/>
    <w:rsid w:val="00C547F0"/>
    <w:rsid w:val="00C55062"/>
    <w:rsid w:val="00C55901"/>
    <w:rsid w:val="00C560DC"/>
    <w:rsid w:val="00C56D9A"/>
    <w:rsid w:val="00C57B92"/>
    <w:rsid w:val="00C60F46"/>
    <w:rsid w:val="00C61046"/>
    <w:rsid w:val="00C630A1"/>
    <w:rsid w:val="00C631F3"/>
    <w:rsid w:val="00C63FB7"/>
    <w:rsid w:val="00C6766C"/>
    <w:rsid w:val="00C70405"/>
    <w:rsid w:val="00C70F77"/>
    <w:rsid w:val="00C7174B"/>
    <w:rsid w:val="00C717BD"/>
    <w:rsid w:val="00C72715"/>
    <w:rsid w:val="00C728E4"/>
    <w:rsid w:val="00C74982"/>
    <w:rsid w:val="00C77F11"/>
    <w:rsid w:val="00C8064A"/>
    <w:rsid w:val="00C830B4"/>
    <w:rsid w:val="00C830DA"/>
    <w:rsid w:val="00C85812"/>
    <w:rsid w:val="00C85D56"/>
    <w:rsid w:val="00C86814"/>
    <w:rsid w:val="00C9124B"/>
    <w:rsid w:val="00C91E7D"/>
    <w:rsid w:val="00C934C4"/>
    <w:rsid w:val="00C93C57"/>
    <w:rsid w:val="00C941DF"/>
    <w:rsid w:val="00C96CF3"/>
    <w:rsid w:val="00C977CE"/>
    <w:rsid w:val="00CA2845"/>
    <w:rsid w:val="00CA3979"/>
    <w:rsid w:val="00CA3D9F"/>
    <w:rsid w:val="00CA49CE"/>
    <w:rsid w:val="00CA626A"/>
    <w:rsid w:val="00CA732F"/>
    <w:rsid w:val="00CB0C6E"/>
    <w:rsid w:val="00CB32DB"/>
    <w:rsid w:val="00CB367D"/>
    <w:rsid w:val="00CB4439"/>
    <w:rsid w:val="00CB4A7F"/>
    <w:rsid w:val="00CB4C49"/>
    <w:rsid w:val="00CB543C"/>
    <w:rsid w:val="00CB5440"/>
    <w:rsid w:val="00CB5CDE"/>
    <w:rsid w:val="00CB6B8A"/>
    <w:rsid w:val="00CB7884"/>
    <w:rsid w:val="00CB7B53"/>
    <w:rsid w:val="00CC06B7"/>
    <w:rsid w:val="00CC2636"/>
    <w:rsid w:val="00CC2AFE"/>
    <w:rsid w:val="00CC304F"/>
    <w:rsid w:val="00CC33D7"/>
    <w:rsid w:val="00CC7761"/>
    <w:rsid w:val="00CD0B19"/>
    <w:rsid w:val="00CD3D4F"/>
    <w:rsid w:val="00CD52E6"/>
    <w:rsid w:val="00CD6C8F"/>
    <w:rsid w:val="00CE2C7D"/>
    <w:rsid w:val="00CE31E3"/>
    <w:rsid w:val="00CE3C78"/>
    <w:rsid w:val="00CE6360"/>
    <w:rsid w:val="00CE79A3"/>
    <w:rsid w:val="00CE7F21"/>
    <w:rsid w:val="00CF057A"/>
    <w:rsid w:val="00CF1D4C"/>
    <w:rsid w:val="00CF21C3"/>
    <w:rsid w:val="00CF2B80"/>
    <w:rsid w:val="00CF2CC4"/>
    <w:rsid w:val="00CF3ED3"/>
    <w:rsid w:val="00CF602C"/>
    <w:rsid w:val="00D00B6B"/>
    <w:rsid w:val="00D0124C"/>
    <w:rsid w:val="00D025F1"/>
    <w:rsid w:val="00D03B77"/>
    <w:rsid w:val="00D076CF"/>
    <w:rsid w:val="00D12865"/>
    <w:rsid w:val="00D132C0"/>
    <w:rsid w:val="00D14028"/>
    <w:rsid w:val="00D156BC"/>
    <w:rsid w:val="00D16F5E"/>
    <w:rsid w:val="00D172BB"/>
    <w:rsid w:val="00D207F1"/>
    <w:rsid w:val="00D222BF"/>
    <w:rsid w:val="00D22F0A"/>
    <w:rsid w:val="00D23219"/>
    <w:rsid w:val="00D23324"/>
    <w:rsid w:val="00D23E89"/>
    <w:rsid w:val="00D24C37"/>
    <w:rsid w:val="00D273EE"/>
    <w:rsid w:val="00D27606"/>
    <w:rsid w:val="00D30FCB"/>
    <w:rsid w:val="00D310AC"/>
    <w:rsid w:val="00D317AC"/>
    <w:rsid w:val="00D330A4"/>
    <w:rsid w:val="00D34A1D"/>
    <w:rsid w:val="00D37439"/>
    <w:rsid w:val="00D405A5"/>
    <w:rsid w:val="00D42503"/>
    <w:rsid w:val="00D43ACA"/>
    <w:rsid w:val="00D43BEA"/>
    <w:rsid w:val="00D43CD8"/>
    <w:rsid w:val="00D44E9B"/>
    <w:rsid w:val="00D46AE2"/>
    <w:rsid w:val="00D4773E"/>
    <w:rsid w:val="00D47CB4"/>
    <w:rsid w:val="00D50422"/>
    <w:rsid w:val="00D5071E"/>
    <w:rsid w:val="00D514B8"/>
    <w:rsid w:val="00D519A2"/>
    <w:rsid w:val="00D54443"/>
    <w:rsid w:val="00D545CB"/>
    <w:rsid w:val="00D547E4"/>
    <w:rsid w:val="00D553D4"/>
    <w:rsid w:val="00D55407"/>
    <w:rsid w:val="00D57AB4"/>
    <w:rsid w:val="00D61726"/>
    <w:rsid w:val="00D635A2"/>
    <w:rsid w:val="00D64167"/>
    <w:rsid w:val="00D70D53"/>
    <w:rsid w:val="00D71AFB"/>
    <w:rsid w:val="00D723B5"/>
    <w:rsid w:val="00D73437"/>
    <w:rsid w:val="00D74012"/>
    <w:rsid w:val="00D740B2"/>
    <w:rsid w:val="00D755D1"/>
    <w:rsid w:val="00D76E86"/>
    <w:rsid w:val="00D77AC0"/>
    <w:rsid w:val="00D82B61"/>
    <w:rsid w:val="00D850CF"/>
    <w:rsid w:val="00D91890"/>
    <w:rsid w:val="00D9189F"/>
    <w:rsid w:val="00D91D88"/>
    <w:rsid w:val="00D92E3E"/>
    <w:rsid w:val="00D934EB"/>
    <w:rsid w:val="00D9396D"/>
    <w:rsid w:val="00D94253"/>
    <w:rsid w:val="00D94E42"/>
    <w:rsid w:val="00D950DE"/>
    <w:rsid w:val="00D97793"/>
    <w:rsid w:val="00DA236E"/>
    <w:rsid w:val="00DA2527"/>
    <w:rsid w:val="00DA39FA"/>
    <w:rsid w:val="00DA3CB1"/>
    <w:rsid w:val="00DA3D76"/>
    <w:rsid w:val="00DA46CC"/>
    <w:rsid w:val="00DA4B48"/>
    <w:rsid w:val="00DA5490"/>
    <w:rsid w:val="00DB5672"/>
    <w:rsid w:val="00DB6B6E"/>
    <w:rsid w:val="00DC00A0"/>
    <w:rsid w:val="00DC09EA"/>
    <w:rsid w:val="00DC293B"/>
    <w:rsid w:val="00DC2DAA"/>
    <w:rsid w:val="00DC323D"/>
    <w:rsid w:val="00DC451A"/>
    <w:rsid w:val="00DC4FCC"/>
    <w:rsid w:val="00DC5234"/>
    <w:rsid w:val="00DC5308"/>
    <w:rsid w:val="00DC5E6C"/>
    <w:rsid w:val="00DC67C5"/>
    <w:rsid w:val="00DC6CE7"/>
    <w:rsid w:val="00DC7127"/>
    <w:rsid w:val="00DC7622"/>
    <w:rsid w:val="00DD163A"/>
    <w:rsid w:val="00DD183C"/>
    <w:rsid w:val="00DD3926"/>
    <w:rsid w:val="00DD3B9E"/>
    <w:rsid w:val="00DD69B7"/>
    <w:rsid w:val="00DD7D6C"/>
    <w:rsid w:val="00DE0426"/>
    <w:rsid w:val="00DE1DB7"/>
    <w:rsid w:val="00DE280A"/>
    <w:rsid w:val="00DE2CDD"/>
    <w:rsid w:val="00DE2D8D"/>
    <w:rsid w:val="00DE3D87"/>
    <w:rsid w:val="00DE3E5E"/>
    <w:rsid w:val="00DE53BF"/>
    <w:rsid w:val="00DF0403"/>
    <w:rsid w:val="00DF0920"/>
    <w:rsid w:val="00DF0FC1"/>
    <w:rsid w:val="00DF1194"/>
    <w:rsid w:val="00DF1F8E"/>
    <w:rsid w:val="00DF6EFD"/>
    <w:rsid w:val="00DF71CD"/>
    <w:rsid w:val="00E00CA8"/>
    <w:rsid w:val="00E01A5D"/>
    <w:rsid w:val="00E065F1"/>
    <w:rsid w:val="00E06CE5"/>
    <w:rsid w:val="00E1270C"/>
    <w:rsid w:val="00E14456"/>
    <w:rsid w:val="00E215B9"/>
    <w:rsid w:val="00E22609"/>
    <w:rsid w:val="00E22B41"/>
    <w:rsid w:val="00E23A67"/>
    <w:rsid w:val="00E264F7"/>
    <w:rsid w:val="00E27867"/>
    <w:rsid w:val="00E302F6"/>
    <w:rsid w:val="00E33592"/>
    <w:rsid w:val="00E3400A"/>
    <w:rsid w:val="00E3462E"/>
    <w:rsid w:val="00E37933"/>
    <w:rsid w:val="00E37E9A"/>
    <w:rsid w:val="00E4026F"/>
    <w:rsid w:val="00E424A7"/>
    <w:rsid w:val="00E42FB8"/>
    <w:rsid w:val="00E4389C"/>
    <w:rsid w:val="00E4394A"/>
    <w:rsid w:val="00E43A4A"/>
    <w:rsid w:val="00E44A6B"/>
    <w:rsid w:val="00E45631"/>
    <w:rsid w:val="00E471BC"/>
    <w:rsid w:val="00E478E4"/>
    <w:rsid w:val="00E501E7"/>
    <w:rsid w:val="00E50EA9"/>
    <w:rsid w:val="00E510E1"/>
    <w:rsid w:val="00E524CB"/>
    <w:rsid w:val="00E62DEF"/>
    <w:rsid w:val="00E631AB"/>
    <w:rsid w:val="00E637A4"/>
    <w:rsid w:val="00E64583"/>
    <w:rsid w:val="00E645AF"/>
    <w:rsid w:val="00E64831"/>
    <w:rsid w:val="00E6494C"/>
    <w:rsid w:val="00E66734"/>
    <w:rsid w:val="00E66C17"/>
    <w:rsid w:val="00E671E1"/>
    <w:rsid w:val="00E70A98"/>
    <w:rsid w:val="00E71E89"/>
    <w:rsid w:val="00E74ECA"/>
    <w:rsid w:val="00E76796"/>
    <w:rsid w:val="00E76BE0"/>
    <w:rsid w:val="00E77021"/>
    <w:rsid w:val="00E7727D"/>
    <w:rsid w:val="00E77BBD"/>
    <w:rsid w:val="00E812C2"/>
    <w:rsid w:val="00E84D23"/>
    <w:rsid w:val="00E8724B"/>
    <w:rsid w:val="00E9001C"/>
    <w:rsid w:val="00E92B87"/>
    <w:rsid w:val="00E92CBF"/>
    <w:rsid w:val="00E92FBB"/>
    <w:rsid w:val="00E97271"/>
    <w:rsid w:val="00EA2633"/>
    <w:rsid w:val="00EA31EE"/>
    <w:rsid w:val="00EA32A1"/>
    <w:rsid w:val="00EA34AF"/>
    <w:rsid w:val="00EA5982"/>
    <w:rsid w:val="00EA75B7"/>
    <w:rsid w:val="00EB05AA"/>
    <w:rsid w:val="00EB0C3D"/>
    <w:rsid w:val="00EB222C"/>
    <w:rsid w:val="00EB229D"/>
    <w:rsid w:val="00EB24B3"/>
    <w:rsid w:val="00EB4A91"/>
    <w:rsid w:val="00EB4EA7"/>
    <w:rsid w:val="00EB6F5B"/>
    <w:rsid w:val="00EC1E98"/>
    <w:rsid w:val="00EC4031"/>
    <w:rsid w:val="00EC4CF7"/>
    <w:rsid w:val="00EC4EA4"/>
    <w:rsid w:val="00EC6862"/>
    <w:rsid w:val="00EC719D"/>
    <w:rsid w:val="00EC7B95"/>
    <w:rsid w:val="00ED08A2"/>
    <w:rsid w:val="00ED0A4E"/>
    <w:rsid w:val="00ED0C2B"/>
    <w:rsid w:val="00ED1C45"/>
    <w:rsid w:val="00ED5D70"/>
    <w:rsid w:val="00ED771A"/>
    <w:rsid w:val="00EE34A9"/>
    <w:rsid w:val="00EE3C32"/>
    <w:rsid w:val="00EE4DB2"/>
    <w:rsid w:val="00EE4E8E"/>
    <w:rsid w:val="00EE762F"/>
    <w:rsid w:val="00EF0177"/>
    <w:rsid w:val="00EF2BEA"/>
    <w:rsid w:val="00EF2D92"/>
    <w:rsid w:val="00EF4037"/>
    <w:rsid w:val="00EF424B"/>
    <w:rsid w:val="00EF6564"/>
    <w:rsid w:val="00F01BA7"/>
    <w:rsid w:val="00F02356"/>
    <w:rsid w:val="00F02C41"/>
    <w:rsid w:val="00F04A3E"/>
    <w:rsid w:val="00F05CAA"/>
    <w:rsid w:val="00F05F16"/>
    <w:rsid w:val="00F0714B"/>
    <w:rsid w:val="00F112EF"/>
    <w:rsid w:val="00F13890"/>
    <w:rsid w:val="00F14B6B"/>
    <w:rsid w:val="00F14DBD"/>
    <w:rsid w:val="00F15340"/>
    <w:rsid w:val="00F15448"/>
    <w:rsid w:val="00F168D7"/>
    <w:rsid w:val="00F20479"/>
    <w:rsid w:val="00F22D1E"/>
    <w:rsid w:val="00F321F5"/>
    <w:rsid w:val="00F333C5"/>
    <w:rsid w:val="00F33626"/>
    <w:rsid w:val="00F33ABC"/>
    <w:rsid w:val="00F34D44"/>
    <w:rsid w:val="00F357A3"/>
    <w:rsid w:val="00F3595D"/>
    <w:rsid w:val="00F405A2"/>
    <w:rsid w:val="00F40743"/>
    <w:rsid w:val="00F40896"/>
    <w:rsid w:val="00F42134"/>
    <w:rsid w:val="00F46A91"/>
    <w:rsid w:val="00F5176C"/>
    <w:rsid w:val="00F5214C"/>
    <w:rsid w:val="00F53BC3"/>
    <w:rsid w:val="00F558C8"/>
    <w:rsid w:val="00F57159"/>
    <w:rsid w:val="00F615C0"/>
    <w:rsid w:val="00F626C2"/>
    <w:rsid w:val="00F62887"/>
    <w:rsid w:val="00F63606"/>
    <w:rsid w:val="00F63C87"/>
    <w:rsid w:val="00F6452A"/>
    <w:rsid w:val="00F65242"/>
    <w:rsid w:val="00F65F9F"/>
    <w:rsid w:val="00F66069"/>
    <w:rsid w:val="00F672FF"/>
    <w:rsid w:val="00F676A0"/>
    <w:rsid w:val="00F701AE"/>
    <w:rsid w:val="00F70EE4"/>
    <w:rsid w:val="00F71B9C"/>
    <w:rsid w:val="00F71CF5"/>
    <w:rsid w:val="00F75DDD"/>
    <w:rsid w:val="00F75E1C"/>
    <w:rsid w:val="00F764DB"/>
    <w:rsid w:val="00F76F7E"/>
    <w:rsid w:val="00F77BAF"/>
    <w:rsid w:val="00F80AC2"/>
    <w:rsid w:val="00F848D5"/>
    <w:rsid w:val="00F859D6"/>
    <w:rsid w:val="00F91C77"/>
    <w:rsid w:val="00F94734"/>
    <w:rsid w:val="00F9585F"/>
    <w:rsid w:val="00F96DAA"/>
    <w:rsid w:val="00F979E2"/>
    <w:rsid w:val="00F97C1A"/>
    <w:rsid w:val="00FA08BC"/>
    <w:rsid w:val="00FA09A6"/>
    <w:rsid w:val="00FA1B2E"/>
    <w:rsid w:val="00FA1FC5"/>
    <w:rsid w:val="00FA25AE"/>
    <w:rsid w:val="00FA52BF"/>
    <w:rsid w:val="00FA5D77"/>
    <w:rsid w:val="00FA66B6"/>
    <w:rsid w:val="00FA6BD4"/>
    <w:rsid w:val="00FA72CE"/>
    <w:rsid w:val="00FA76E5"/>
    <w:rsid w:val="00FB08FC"/>
    <w:rsid w:val="00FB1267"/>
    <w:rsid w:val="00FB1D53"/>
    <w:rsid w:val="00FB269B"/>
    <w:rsid w:val="00FB290F"/>
    <w:rsid w:val="00FB30BF"/>
    <w:rsid w:val="00FB3B22"/>
    <w:rsid w:val="00FB3C9C"/>
    <w:rsid w:val="00FB4FDD"/>
    <w:rsid w:val="00FB5D69"/>
    <w:rsid w:val="00FB7CCF"/>
    <w:rsid w:val="00FB7E59"/>
    <w:rsid w:val="00FC127B"/>
    <w:rsid w:val="00FC1656"/>
    <w:rsid w:val="00FC1F97"/>
    <w:rsid w:val="00FC23C7"/>
    <w:rsid w:val="00FC3BBA"/>
    <w:rsid w:val="00FC3D0C"/>
    <w:rsid w:val="00FC423E"/>
    <w:rsid w:val="00FC4B98"/>
    <w:rsid w:val="00FC7EEF"/>
    <w:rsid w:val="00FD15AD"/>
    <w:rsid w:val="00FD1734"/>
    <w:rsid w:val="00FD454E"/>
    <w:rsid w:val="00FD4685"/>
    <w:rsid w:val="00FD6EC9"/>
    <w:rsid w:val="00FD6EDE"/>
    <w:rsid w:val="00FE0EE4"/>
    <w:rsid w:val="00FE191F"/>
    <w:rsid w:val="00FE232D"/>
    <w:rsid w:val="00FE330D"/>
    <w:rsid w:val="00FE51CD"/>
    <w:rsid w:val="00FE55A4"/>
    <w:rsid w:val="00FE5790"/>
    <w:rsid w:val="00FE6AEB"/>
    <w:rsid w:val="00FF032F"/>
    <w:rsid w:val="00FF1614"/>
    <w:rsid w:val="00FF1B23"/>
    <w:rsid w:val="00FF257E"/>
    <w:rsid w:val="00FF2DFB"/>
    <w:rsid w:val="00FF3055"/>
    <w:rsid w:val="00FF4662"/>
    <w:rsid w:val="00FF74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75C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7822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49567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50165"/>
    <w:pPr>
      <w:ind w:left="720"/>
      <w:contextualSpacing/>
    </w:p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50165"/>
    <w:rPr>
      <w:rFonts w:ascii="Times New Roman" w:eastAsia="Times New Roman" w:hAnsi="Times New Roman" w:cs="Times New Roman"/>
      <w:sz w:val="24"/>
      <w:szCs w:val="24"/>
      <w:lang w:eastAsia="pl-PL"/>
    </w:rPr>
  </w:style>
  <w:style w:type="paragraph" w:styleId="Bezodstpw">
    <w:name w:val="No Spacing"/>
    <w:uiPriority w:val="1"/>
    <w:qFormat/>
    <w:rsid w:val="000C77AA"/>
    <w:pPr>
      <w:spacing w:after="0" w:line="240" w:lineRule="auto"/>
    </w:pPr>
    <w:rPr>
      <w:rFonts w:ascii="Calibri" w:eastAsia="Calibri" w:hAnsi="Calibri" w:cs="Times New Roman"/>
    </w:rPr>
  </w:style>
  <w:style w:type="table" w:styleId="Tabela-Siatka">
    <w:name w:val="Table Grid"/>
    <w:basedOn w:val="Standardowy"/>
    <w:rsid w:val="000058A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ED08A2"/>
    <w:rPr>
      <w:sz w:val="20"/>
      <w:szCs w:val="20"/>
    </w:rPr>
  </w:style>
  <w:style w:type="character" w:customStyle="1" w:styleId="TekstprzypisukocowegoZnak">
    <w:name w:val="Tekst przypisu końcowego Znak"/>
    <w:basedOn w:val="Domylnaczcionkaakapitu"/>
    <w:link w:val="Tekstprzypisukocowego"/>
    <w:uiPriority w:val="99"/>
    <w:semiHidden/>
    <w:rsid w:val="00ED08A2"/>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ED08A2"/>
    <w:rPr>
      <w:vertAlign w:val="superscript"/>
    </w:rPr>
  </w:style>
  <w:style w:type="paragraph" w:styleId="NormalnyWeb">
    <w:name w:val="Normal (Web)"/>
    <w:basedOn w:val="Normalny"/>
    <w:uiPriority w:val="99"/>
    <w:semiHidden/>
    <w:unhideWhenUsed/>
    <w:rsid w:val="00153253"/>
  </w:style>
  <w:style w:type="character" w:customStyle="1" w:styleId="Nagwek1Znak">
    <w:name w:val="Nagłówek 1 Znak"/>
    <w:basedOn w:val="Domylnaczcionkaakapitu"/>
    <w:link w:val="Nagwek1"/>
    <w:uiPriority w:val="9"/>
    <w:rsid w:val="00782214"/>
    <w:rPr>
      <w:rFonts w:asciiTheme="majorHAnsi" w:eastAsiaTheme="majorEastAsia" w:hAnsiTheme="majorHAnsi" w:cstheme="majorBidi"/>
      <w:color w:val="2E74B5" w:themeColor="accent1" w:themeShade="BF"/>
      <w:sz w:val="32"/>
      <w:szCs w:val="32"/>
      <w:lang w:eastAsia="pl-PL"/>
    </w:rPr>
  </w:style>
  <w:style w:type="paragraph" w:customStyle="1" w:styleId="Default">
    <w:name w:val="Default"/>
    <w:rsid w:val="000C60C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Poprawka">
    <w:name w:val="Revision"/>
    <w:hidden/>
    <w:uiPriority w:val="99"/>
    <w:semiHidden/>
    <w:rsid w:val="00322291"/>
    <w:pPr>
      <w:spacing w:after="0"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semiHidden/>
    <w:unhideWhenUsed/>
    <w:rsid w:val="00330093"/>
    <w:rPr>
      <w:sz w:val="16"/>
      <w:szCs w:val="16"/>
    </w:rPr>
  </w:style>
  <w:style w:type="paragraph" w:styleId="Tekstkomentarza">
    <w:name w:val="annotation text"/>
    <w:basedOn w:val="Normalny"/>
    <w:link w:val="TekstkomentarzaZnak"/>
    <w:unhideWhenUsed/>
    <w:rsid w:val="00330093"/>
    <w:rPr>
      <w:sz w:val="20"/>
      <w:szCs w:val="20"/>
    </w:rPr>
  </w:style>
  <w:style w:type="character" w:customStyle="1" w:styleId="TekstkomentarzaZnak">
    <w:name w:val="Tekst komentarza Znak"/>
    <w:basedOn w:val="Domylnaczcionkaakapitu"/>
    <w:link w:val="Tekstkomentarza"/>
    <w:uiPriority w:val="99"/>
    <w:rsid w:val="00330093"/>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30093"/>
    <w:rPr>
      <w:b/>
      <w:bCs/>
    </w:rPr>
  </w:style>
  <w:style w:type="character" w:customStyle="1" w:styleId="TematkomentarzaZnak">
    <w:name w:val="Temat komentarza Znak"/>
    <w:basedOn w:val="TekstkomentarzaZnak"/>
    <w:link w:val="Tematkomentarza"/>
    <w:uiPriority w:val="99"/>
    <w:semiHidden/>
    <w:rsid w:val="00330093"/>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rsid w:val="00495679"/>
    <w:rPr>
      <w:rFonts w:asciiTheme="majorHAnsi" w:eastAsiaTheme="majorEastAsia" w:hAnsiTheme="majorHAnsi" w:cstheme="majorBidi"/>
      <w:color w:val="2E74B5" w:themeColor="accent1" w:themeShade="BF"/>
      <w:sz w:val="26"/>
      <w:szCs w:val="26"/>
      <w:lang w:eastAsia="pl-PL"/>
    </w:rPr>
  </w:style>
  <w:style w:type="character" w:styleId="Uwydatnienie">
    <w:name w:val="Emphasis"/>
    <w:basedOn w:val="Domylnaczcionkaakapitu"/>
    <w:uiPriority w:val="20"/>
    <w:qFormat/>
    <w:rsid w:val="00F023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94369">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03083743">
      <w:bodyDiv w:val="1"/>
      <w:marLeft w:val="0"/>
      <w:marRight w:val="0"/>
      <w:marTop w:val="0"/>
      <w:marBottom w:val="0"/>
      <w:divBdr>
        <w:top w:val="none" w:sz="0" w:space="0" w:color="auto"/>
        <w:left w:val="none" w:sz="0" w:space="0" w:color="auto"/>
        <w:bottom w:val="none" w:sz="0" w:space="0" w:color="auto"/>
        <w:right w:val="none" w:sz="0" w:space="0" w:color="auto"/>
      </w:divBdr>
    </w:div>
    <w:div w:id="553198298">
      <w:bodyDiv w:val="1"/>
      <w:marLeft w:val="0"/>
      <w:marRight w:val="0"/>
      <w:marTop w:val="0"/>
      <w:marBottom w:val="0"/>
      <w:divBdr>
        <w:top w:val="none" w:sz="0" w:space="0" w:color="auto"/>
        <w:left w:val="none" w:sz="0" w:space="0" w:color="auto"/>
        <w:bottom w:val="none" w:sz="0" w:space="0" w:color="auto"/>
        <w:right w:val="none" w:sz="0" w:space="0" w:color="auto"/>
      </w:divBdr>
    </w:div>
    <w:div w:id="624314219">
      <w:bodyDiv w:val="1"/>
      <w:marLeft w:val="0"/>
      <w:marRight w:val="0"/>
      <w:marTop w:val="0"/>
      <w:marBottom w:val="0"/>
      <w:divBdr>
        <w:top w:val="none" w:sz="0" w:space="0" w:color="auto"/>
        <w:left w:val="none" w:sz="0" w:space="0" w:color="auto"/>
        <w:bottom w:val="none" w:sz="0" w:space="0" w:color="auto"/>
        <w:right w:val="none" w:sz="0" w:space="0" w:color="auto"/>
      </w:divBdr>
    </w:div>
    <w:div w:id="732507467">
      <w:bodyDiv w:val="1"/>
      <w:marLeft w:val="0"/>
      <w:marRight w:val="0"/>
      <w:marTop w:val="0"/>
      <w:marBottom w:val="0"/>
      <w:divBdr>
        <w:top w:val="none" w:sz="0" w:space="0" w:color="auto"/>
        <w:left w:val="none" w:sz="0" w:space="0" w:color="auto"/>
        <w:bottom w:val="none" w:sz="0" w:space="0" w:color="auto"/>
        <w:right w:val="none" w:sz="0" w:space="0" w:color="auto"/>
      </w:divBdr>
    </w:div>
    <w:div w:id="738789805">
      <w:bodyDiv w:val="1"/>
      <w:marLeft w:val="0"/>
      <w:marRight w:val="0"/>
      <w:marTop w:val="0"/>
      <w:marBottom w:val="0"/>
      <w:divBdr>
        <w:top w:val="none" w:sz="0" w:space="0" w:color="auto"/>
        <w:left w:val="none" w:sz="0" w:space="0" w:color="auto"/>
        <w:bottom w:val="none" w:sz="0" w:space="0" w:color="auto"/>
        <w:right w:val="none" w:sz="0" w:space="0" w:color="auto"/>
      </w:divBdr>
    </w:div>
    <w:div w:id="877474175">
      <w:bodyDiv w:val="1"/>
      <w:marLeft w:val="0"/>
      <w:marRight w:val="0"/>
      <w:marTop w:val="0"/>
      <w:marBottom w:val="0"/>
      <w:divBdr>
        <w:top w:val="none" w:sz="0" w:space="0" w:color="auto"/>
        <w:left w:val="none" w:sz="0" w:space="0" w:color="auto"/>
        <w:bottom w:val="none" w:sz="0" w:space="0" w:color="auto"/>
        <w:right w:val="none" w:sz="0" w:space="0" w:color="auto"/>
      </w:divBdr>
    </w:div>
    <w:div w:id="999774563">
      <w:bodyDiv w:val="1"/>
      <w:marLeft w:val="0"/>
      <w:marRight w:val="0"/>
      <w:marTop w:val="0"/>
      <w:marBottom w:val="0"/>
      <w:divBdr>
        <w:top w:val="none" w:sz="0" w:space="0" w:color="auto"/>
        <w:left w:val="none" w:sz="0" w:space="0" w:color="auto"/>
        <w:bottom w:val="none" w:sz="0" w:space="0" w:color="auto"/>
        <w:right w:val="none" w:sz="0" w:space="0" w:color="auto"/>
      </w:divBdr>
    </w:div>
    <w:div w:id="1128813941">
      <w:bodyDiv w:val="1"/>
      <w:marLeft w:val="0"/>
      <w:marRight w:val="0"/>
      <w:marTop w:val="0"/>
      <w:marBottom w:val="0"/>
      <w:divBdr>
        <w:top w:val="none" w:sz="0" w:space="0" w:color="auto"/>
        <w:left w:val="none" w:sz="0" w:space="0" w:color="auto"/>
        <w:bottom w:val="none" w:sz="0" w:space="0" w:color="auto"/>
        <w:right w:val="none" w:sz="0" w:space="0" w:color="auto"/>
      </w:divBdr>
      <w:divsChild>
        <w:div w:id="2141455526">
          <w:marLeft w:val="0"/>
          <w:marRight w:val="0"/>
          <w:marTop w:val="0"/>
          <w:marBottom w:val="0"/>
          <w:divBdr>
            <w:top w:val="none" w:sz="0" w:space="0" w:color="auto"/>
            <w:left w:val="none" w:sz="0" w:space="0" w:color="auto"/>
            <w:bottom w:val="none" w:sz="0" w:space="0" w:color="auto"/>
            <w:right w:val="none" w:sz="0" w:space="0" w:color="auto"/>
          </w:divBdr>
        </w:div>
        <w:div w:id="1835101190">
          <w:marLeft w:val="0"/>
          <w:marRight w:val="0"/>
          <w:marTop w:val="0"/>
          <w:marBottom w:val="0"/>
          <w:divBdr>
            <w:top w:val="none" w:sz="0" w:space="0" w:color="auto"/>
            <w:left w:val="none" w:sz="0" w:space="0" w:color="auto"/>
            <w:bottom w:val="none" w:sz="0" w:space="0" w:color="auto"/>
            <w:right w:val="none" w:sz="0" w:space="0" w:color="auto"/>
          </w:divBdr>
          <w:divsChild>
            <w:div w:id="2126001532">
              <w:marLeft w:val="0"/>
              <w:marRight w:val="0"/>
              <w:marTop w:val="0"/>
              <w:marBottom w:val="0"/>
              <w:divBdr>
                <w:top w:val="none" w:sz="0" w:space="0" w:color="auto"/>
                <w:left w:val="none" w:sz="0" w:space="0" w:color="auto"/>
                <w:bottom w:val="none" w:sz="0" w:space="0" w:color="auto"/>
                <w:right w:val="none" w:sz="0" w:space="0" w:color="auto"/>
              </w:divBdr>
              <w:divsChild>
                <w:div w:id="137300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201622871">
      <w:bodyDiv w:val="1"/>
      <w:marLeft w:val="0"/>
      <w:marRight w:val="0"/>
      <w:marTop w:val="0"/>
      <w:marBottom w:val="0"/>
      <w:divBdr>
        <w:top w:val="none" w:sz="0" w:space="0" w:color="auto"/>
        <w:left w:val="none" w:sz="0" w:space="0" w:color="auto"/>
        <w:bottom w:val="none" w:sz="0" w:space="0" w:color="auto"/>
        <w:right w:val="none" w:sz="0" w:space="0" w:color="auto"/>
      </w:divBdr>
    </w:div>
    <w:div w:id="1257589419">
      <w:bodyDiv w:val="1"/>
      <w:marLeft w:val="0"/>
      <w:marRight w:val="0"/>
      <w:marTop w:val="0"/>
      <w:marBottom w:val="0"/>
      <w:divBdr>
        <w:top w:val="none" w:sz="0" w:space="0" w:color="auto"/>
        <w:left w:val="none" w:sz="0" w:space="0" w:color="auto"/>
        <w:bottom w:val="none" w:sz="0" w:space="0" w:color="auto"/>
        <w:right w:val="none" w:sz="0" w:space="0" w:color="auto"/>
      </w:divBdr>
    </w:div>
    <w:div w:id="1322808324">
      <w:bodyDiv w:val="1"/>
      <w:marLeft w:val="0"/>
      <w:marRight w:val="0"/>
      <w:marTop w:val="0"/>
      <w:marBottom w:val="0"/>
      <w:divBdr>
        <w:top w:val="none" w:sz="0" w:space="0" w:color="auto"/>
        <w:left w:val="none" w:sz="0" w:space="0" w:color="auto"/>
        <w:bottom w:val="none" w:sz="0" w:space="0" w:color="auto"/>
        <w:right w:val="none" w:sz="0" w:space="0" w:color="auto"/>
      </w:divBdr>
    </w:div>
    <w:div w:id="1339431817">
      <w:bodyDiv w:val="1"/>
      <w:marLeft w:val="0"/>
      <w:marRight w:val="0"/>
      <w:marTop w:val="0"/>
      <w:marBottom w:val="0"/>
      <w:divBdr>
        <w:top w:val="none" w:sz="0" w:space="0" w:color="auto"/>
        <w:left w:val="none" w:sz="0" w:space="0" w:color="auto"/>
        <w:bottom w:val="none" w:sz="0" w:space="0" w:color="auto"/>
        <w:right w:val="none" w:sz="0" w:space="0" w:color="auto"/>
      </w:divBdr>
    </w:div>
    <w:div w:id="1368801194">
      <w:bodyDiv w:val="1"/>
      <w:marLeft w:val="0"/>
      <w:marRight w:val="0"/>
      <w:marTop w:val="0"/>
      <w:marBottom w:val="0"/>
      <w:divBdr>
        <w:top w:val="none" w:sz="0" w:space="0" w:color="auto"/>
        <w:left w:val="none" w:sz="0" w:space="0" w:color="auto"/>
        <w:bottom w:val="none" w:sz="0" w:space="0" w:color="auto"/>
        <w:right w:val="none" w:sz="0" w:space="0" w:color="auto"/>
      </w:divBdr>
    </w:div>
    <w:div w:id="1376198091">
      <w:bodyDiv w:val="1"/>
      <w:marLeft w:val="0"/>
      <w:marRight w:val="0"/>
      <w:marTop w:val="0"/>
      <w:marBottom w:val="0"/>
      <w:divBdr>
        <w:top w:val="none" w:sz="0" w:space="0" w:color="auto"/>
        <w:left w:val="none" w:sz="0" w:space="0" w:color="auto"/>
        <w:bottom w:val="none" w:sz="0" w:space="0" w:color="auto"/>
        <w:right w:val="none" w:sz="0" w:space="0" w:color="auto"/>
      </w:divBdr>
      <w:divsChild>
        <w:div w:id="1340963874">
          <w:marLeft w:val="0"/>
          <w:marRight w:val="0"/>
          <w:marTop w:val="0"/>
          <w:marBottom w:val="0"/>
          <w:divBdr>
            <w:top w:val="none" w:sz="0" w:space="0" w:color="auto"/>
            <w:left w:val="none" w:sz="0" w:space="0" w:color="auto"/>
            <w:bottom w:val="none" w:sz="0" w:space="0" w:color="auto"/>
            <w:right w:val="none" w:sz="0" w:space="0" w:color="auto"/>
          </w:divBdr>
          <w:divsChild>
            <w:div w:id="61460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641996">
      <w:bodyDiv w:val="1"/>
      <w:marLeft w:val="0"/>
      <w:marRight w:val="0"/>
      <w:marTop w:val="0"/>
      <w:marBottom w:val="0"/>
      <w:divBdr>
        <w:top w:val="none" w:sz="0" w:space="0" w:color="auto"/>
        <w:left w:val="none" w:sz="0" w:space="0" w:color="auto"/>
        <w:bottom w:val="none" w:sz="0" w:space="0" w:color="auto"/>
        <w:right w:val="none" w:sz="0" w:space="0" w:color="auto"/>
      </w:divBdr>
      <w:divsChild>
        <w:div w:id="40205790">
          <w:marLeft w:val="0"/>
          <w:marRight w:val="0"/>
          <w:marTop w:val="0"/>
          <w:marBottom w:val="0"/>
          <w:divBdr>
            <w:top w:val="none" w:sz="0" w:space="0" w:color="auto"/>
            <w:left w:val="none" w:sz="0" w:space="0" w:color="auto"/>
            <w:bottom w:val="none" w:sz="0" w:space="0" w:color="auto"/>
            <w:right w:val="none" w:sz="0" w:space="0" w:color="auto"/>
          </w:divBdr>
        </w:div>
      </w:divsChild>
    </w:div>
    <w:div w:id="1430856524">
      <w:bodyDiv w:val="1"/>
      <w:marLeft w:val="0"/>
      <w:marRight w:val="0"/>
      <w:marTop w:val="0"/>
      <w:marBottom w:val="0"/>
      <w:divBdr>
        <w:top w:val="none" w:sz="0" w:space="0" w:color="auto"/>
        <w:left w:val="none" w:sz="0" w:space="0" w:color="auto"/>
        <w:bottom w:val="none" w:sz="0" w:space="0" w:color="auto"/>
        <w:right w:val="none" w:sz="0" w:space="0" w:color="auto"/>
      </w:divBdr>
      <w:divsChild>
        <w:div w:id="623736763">
          <w:marLeft w:val="0"/>
          <w:marRight w:val="0"/>
          <w:marTop w:val="0"/>
          <w:marBottom w:val="0"/>
          <w:divBdr>
            <w:top w:val="none" w:sz="0" w:space="0" w:color="auto"/>
            <w:left w:val="none" w:sz="0" w:space="0" w:color="auto"/>
            <w:bottom w:val="none" w:sz="0" w:space="0" w:color="auto"/>
            <w:right w:val="none" w:sz="0" w:space="0" w:color="auto"/>
          </w:divBdr>
        </w:div>
        <w:div w:id="202183393">
          <w:marLeft w:val="0"/>
          <w:marRight w:val="0"/>
          <w:marTop w:val="0"/>
          <w:marBottom w:val="0"/>
          <w:divBdr>
            <w:top w:val="none" w:sz="0" w:space="0" w:color="auto"/>
            <w:left w:val="none" w:sz="0" w:space="0" w:color="auto"/>
            <w:bottom w:val="none" w:sz="0" w:space="0" w:color="auto"/>
            <w:right w:val="none" w:sz="0" w:space="0" w:color="auto"/>
          </w:divBdr>
          <w:divsChild>
            <w:div w:id="1894657498">
              <w:marLeft w:val="0"/>
              <w:marRight w:val="0"/>
              <w:marTop w:val="0"/>
              <w:marBottom w:val="0"/>
              <w:divBdr>
                <w:top w:val="none" w:sz="0" w:space="0" w:color="auto"/>
                <w:left w:val="none" w:sz="0" w:space="0" w:color="auto"/>
                <w:bottom w:val="none" w:sz="0" w:space="0" w:color="auto"/>
                <w:right w:val="none" w:sz="0" w:space="0" w:color="auto"/>
              </w:divBdr>
              <w:divsChild>
                <w:div w:id="19251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27151">
      <w:bodyDiv w:val="1"/>
      <w:marLeft w:val="0"/>
      <w:marRight w:val="0"/>
      <w:marTop w:val="0"/>
      <w:marBottom w:val="0"/>
      <w:divBdr>
        <w:top w:val="none" w:sz="0" w:space="0" w:color="auto"/>
        <w:left w:val="none" w:sz="0" w:space="0" w:color="auto"/>
        <w:bottom w:val="none" w:sz="0" w:space="0" w:color="auto"/>
        <w:right w:val="none" w:sz="0" w:space="0" w:color="auto"/>
      </w:divBdr>
    </w:div>
    <w:div w:id="1519931512">
      <w:bodyDiv w:val="1"/>
      <w:marLeft w:val="0"/>
      <w:marRight w:val="0"/>
      <w:marTop w:val="0"/>
      <w:marBottom w:val="0"/>
      <w:divBdr>
        <w:top w:val="none" w:sz="0" w:space="0" w:color="auto"/>
        <w:left w:val="none" w:sz="0" w:space="0" w:color="auto"/>
        <w:bottom w:val="none" w:sz="0" w:space="0" w:color="auto"/>
        <w:right w:val="none" w:sz="0" w:space="0" w:color="auto"/>
      </w:divBdr>
    </w:div>
    <w:div w:id="1530027172">
      <w:bodyDiv w:val="1"/>
      <w:marLeft w:val="0"/>
      <w:marRight w:val="0"/>
      <w:marTop w:val="0"/>
      <w:marBottom w:val="0"/>
      <w:divBdr>
        <w:top w:val="none" w:sz="0" w:space="0" w:color="auto"/>
        <w:left w:val="none" w:sz="0" w:space="0" w:color="auto"/>
        <w:bottom w:val="none" w:sz="0" w:space="0" w:color="auto"/>
        <w:right w:val="none" w:sz="0" w:space="0" w:color="auto"/>
      </w:divBdr>
    </w:div>
    <w:div w:id="1534417194">
      <w:bodyDiv w:val="1"/>
      <w:marLeft w:val="0"/>
      <w:marRight w:val="0"/>
      <w:marTop w:val="0"/>
      <w:marBottom w:val="0"/>
      <w:divBdr>
        <w:top w:val="none" w:sz="0" w:space="0" w:color="auto"/>
        <w:left w:val="none" w:sz="0" w:space="0" w:color="auto"/>
        <w:bottom w:val="none" w:sz="0" w:space="0" w:color="auto"/>
        <w:right w:val="none" w:sz="0" w:space="0" w:color="auto"/>
      </w:divBdr>
    </w:div>
    <w:div w:id="1540435532">
      <w:bodyDiv w:val="1"/>
      <w:marLeft w:val="0"/>
      <w:marRight w:val="0"/>
      <w:marTop w:val="0"/>
      <w:marBottom w:val="0"/>
      <w:divBdr>
        <w:top w:val="none" w:sz="0" w:space="0" w:color="auto"/>
        <w:left w:val="none" w:sz="0" w:space="0" w:color="auto"/>
        <w:bottom w:val="none" w:sz="0" w:space="0" w:color="auto"/>
        <w:right w:val="none" w:sz="0" w:space="0" w:color="auto"/>
      </w:divBdr>
    </w:div>
    <w:div w:id="1583251082">
      <w:bodyDiv w:val="1"/>
      <w:marLeft w:val="0"/>
      <w:marRight w:val="0"/>
      <w:marTop w:val="0"/>
      <w:marBottom w:val="0"/>
      <w:divBdr>
        <w:top w:val="none" w:sz="0" w:space="0" w:color="auto"/>
        <w:left w:val="none" w:sz="0" w:space="0" w:color="auto"/>
        <w:bottom w:val="none" w:sz="0" w:space="0" w:color="auto"/>
        <w:right w:val="none" w:sz="0" w:space="0" w:color="auto"/>
      </w:divBdr>
      <w:divsChild>
        <w:div w:id="634677334">
          <w:marLeft w:val="0"/>
          <w:marRight w:val="0"/>
          <w:marTop w:val="0"/>
          <w:marBottom w:val="0"/>
          <w:divBdr>
            <w:top w:val="none" w:sz="0" w:space="0" w:color="auto"/>
            <w:left w:val="none" w:sz="0" w:space="0" w:color="auto"/>
            <w:bottom w:val="none" w:sz="0" w:space="0" w:color="auto"/>
            <w:right w:val="none" w:sz="0" w:space="0" w:color="auto"/>
          </w:divBdr>
          <w:divsChild>
            <w:div w:id="2159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648324">
      <w:bodyDiv w:val="1"/>
      <w:marLeft w:val="0"/>
      <w:marRight w:val="0"/>
      <w:marTop w:val="0"/>
      <w:marBottom w:val="0"/>
      <w:divBdr>
        <w:top w:val="none" w:sz="0" w:space="0" w:color="auto"/>
        <w:left w:val="none" w:sz="0" w:space="0" w:color="auto"/>
        <w:bottom w:val="none" w:sz="0" w:space="0" w:color="auto"/>
        <w:right w:val="none" w:sz="0" w:space="0" w:color="auto"/>
      </w:divBdr>
    </w:div>
    <w:div w:id="1704090513">
      <w:bodyDiv w:val="1"/>
      <w:marLeft w:val="0"/>
      <w:marRight w:val="0"/>
      <w:marTop w:val="0"/>
      <w:marBottom w:val="0"/>
      <w:divBdr>
        <w:top w:val="none" w:sz="0" w:space="0" w:color="auto"/>
        <w:left w:val="none" w:sz="0" w:space="0" w:color="auto"/>
        <w:bottom w:val="none" w:sz="0" w:space="0" w:color="auto"/>
        <w:right w:val="none" w:sz="0" w:space="0" w:color="auto"/>
      </w:divBdr>
    </w:div>
    <w:div w:id="1723750428">
      <w:bodyDiv w:val="1"/>
      <w:marLeft w:val="0"/>
      <w:marRight w:val="0"/>
      <w:marTop w:val="0"/>
      <w:marBottom w:val="0"/>
      <w:divBdr>
        <w:top w:val="none" w:sz="0" w:space="0" w:color="auto"/>
        <w:left w:val="none" w:sz="0" w:space="0" w:color="auto"/>
        <w:bottom w:val="none" w:sz="0" w:space="0" w:color="auto"/>
        <w:right w:val="none" w:sz="0" w:space="0" w:color="auto"/>
      </w:divBdr>
    </w:div>
    <w:div w:id="1730372829">
      <w:bodyDiv w:val="1"/>
      <w:marLeft w:val="0"/>
      <w:marRight w:val="0"/>
      <w:marTop w:val="0"/>
      <w:marBottom w:val="0"/>
      <w:divBdr>
        <w:top w:val="none" w:sz="0" w:space="0" w:color="auto"/>
        <w:left w:val="none" w:sz="0" w:space="0" w:color="auto"/>
        <w:bottom w:val="none" w:sz="0" w:space="0" w:color="auto"/>
        <w:right w:val="none" w:sz="0" w:space="0" w:color="auto"/>
      </w:divBdr>
    </w:div>
    <w:div w:id="1759907794">
      <w:bodyDiv w:val="1"/>
      <w:marLeft w:val="0"/>
      <w:marRight w:val="0"/>
      <w:marTop w:val="0"/>
      <w:marBottom w:val="0"/>
      <w:divBdr>
        <w:top w:val="none" w:sz="0" w:space="0" w:color="auto"/>
        <w:left w:val="none" w:sz="0" w:space="0" w:color="auto"/>
        <w:bottom w:val="none" w:sz="0" w:space="0" w:color="auto"/>
        <w:right w:val="none" w:sz="0" w:space="0" w:color="auto"/>
      </w:divBdr>
    </w:div>
    <w:div w:id="1783842453">
      <w:bodyDiv w:val="1"/>
      <w:marLeft w:val="0"/>
      <w:marRight w:val="0"/>
      <w:marTop w:val="0"/>
      <w:marBottom w:val="0"/>
      <w:divBdr>
        <w:top w:val="none" w:sz="0" w:space="0" w:color="auto"/>
        <w:left w:val="none" w:sz="0" w:space="0" w:color="auto"/>
        <w:bottom w:val="none" w:sz="0" w:space="0" w:color="auto"/>
        <w:right w:val="none" w:sz="0" w:space="0" w:color="auto"/>
      </w:divBdr>
    </w:div>
    <w:div w:id="1786609100">
      <w:bodyDiv w:val="1"/>
      <w:marLeft w:val="0"/>
      <w:marRight w:val="0"/>
      <w:marTop w:val="0"/>
      <w:marBottom w:val="0"/>
      <w:divBdr>
        <w:top w:val="none" w:sz="0" w:space="0" w:color="auto"/>
        <w:left w:val="none" w:sz="0" w:space="0" w:color="auto"/>
        <w:bottom w:val="none" w:sz="0" w:space="0" w:color="auto"/>
        <w:right w:val="none" w:sz="0" w:space="0" w:color="auto"/>
      </w:divBdr>
    </w:div>
    <w:div w:id="1873570835">
      <w:bodyDiv w:val="1"/>
      <w:marLeft w:val="0"/>
      <w:marRight w:val="0"/>
      <w:marTop w:val="0"/>
      <w:marBottom w:val="0"/>
      <w:divBdr>
        <w:top w:val="none" w:sz="0" w:space="0" w:color="auto"/>
        <w:left w:val="none" w:sz="0" w:space="0" w:color="auto"/>
        <w:bottom w:val="none" w:sz="0" w:space="0" w:color="auto"/>
        <w:right w:val="none" w:sz="0" w:space="0" w:color="auto"/>
      </w:divBdr>
    </w:div>
    <w:div w:id="1963076764">
      <w:bodyDiv w:val="1"/>
      <w:marLeft w:val="0"/>
      <w:marRight w:val="0"/>
      <w:marTop w:val="0"/>
      <w:marBottom w:val="0"/>
      <w:divBdr>
        <w:top w:val="none" w:sz="0" w:space="0" w:color="auto"/>
        <w:left w:val="none" w:sz="0" w:space="0" w:color="auto"/>
        <w:bottom w:val="none" w:sz="0" w:space="0" w:color="auto"/>
        <w:right w:val="none" w:sz="0" w:space="0" w:color="auto"/>
      </w:divBdr>
    </w:div>
    <w:div w:id="2005742014">
      <w:bodyDiv w:val="1"/>
      <w:marLeft w:val="0"/>
      <w:marRight w:val="0"/>
      <w:marTop w:val="0"/>
      <w:marBottom w:val="0"/>
      <w:divBdr>
        <w:top w:val="none" w:sz="0" w:space="0" w:color="auto"/>
        <w:left w:val="none" w:sz="0" w:space="0" w:color="auto"/>
        <w:bottom w:val="none" w:sz="0" w:space="0" w:color="auto"/>
        <w:right w:val="none" w:sz="0" w:space="0" w:color="auto"/>
      </w:divBdr>
    </w:div>
    <w:div w:id="2028870890">
      <w:bodyDiv w:val="1"/>
      <w:marLeft w:val="0"/>
      <w:marRight w:val="0"/>
      <w:marTop w:val="0"/>
      <w:marBottom w:val="0"/>
      <w:divBdr>
        <w:top w:val="none" w:sz="0" w:space="0" w:color="auto"/>
        <w:left w:val="none" w:sz="0" w:space="0" w:color="auto"/>
        <w:bottom w:val="none" w:sz="0" w:space="0" w:color="auto"/>
        <w:right w:val="none" w:sz="0" w:space="0" w:color="auto"/>
      </w:divBdr>
    </w:div>
    <w:div w:id="212376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sgm4tanjoobqxalrrgq4dk&amp;refSource=hyplin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sgm4tanjoobqxalrrgi2tmojw&amp;refSource=hypli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sgm4tanjoobqxalrrgu2te&amp;refSource=hyplin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ip.legalis.pl/document-view.seam?documentId=mfrxilrsgm4tanjoobqxalrrgq4tc&amp;refSource=hyplink" TargetMode="External"/><Relationship Id="rId4" Type="http://schemas.openxmlformats.org/officeDocument/2006/relationships/settings" Target="settings.xml"/><Relationship Id="rId9" Type="http://schemas.openxmlformats.org/officeDocument/2006/relationships/hyperlink" Target="https://sip.legalis.pl/document-view.seam?documentId=mfrxilrsgm4tanjoobqxalrrgq4dm&amp;refSource=hyplin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22</Pages>
  <Words>10716</Words>
  <Characters>64298</Characters>
  <Application>Microsoft Office Word</Application>
  <DocSecurity>0</DocSecurity>
  <Lines>535</Lines>
  <Paragraphs>149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74865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Wikalińska Barbara</cp:lastModifiedBy>
  <cp:revision>3</cp:revision>
  <cp:lastPrinted>2026-09-01T12:20:00Z</cp:lastPrinted>
  <dcterms:created xsi:type="dcterms:W3CDTF">2026-09-29T09:01:00Z</dcterms:created>
  <dcterms:modified xsi:type="dcterms:W3CDTF">2026-09-29T09:25:00Z</dcterms:modified>
</cp:coreProperties>
</file>