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E4B" w:rsidRPr="0046048B" w:rsidRDefault="004C0E4B" w:rsidP="0046048B">
      <w:pPr>
        <w:spacing w:after="0" w:line="240" w:lineRule="auto"/>
        <w:rPr>
          <w:rFonts w:ascii="Verdana" w:hAnsi="Verdana" w:cs="Arial"/>
          <w:b/>
          <w:sz w:val="28"/>
          <w:szCs w:val="28"/>
        </w:rPr>
      </w:pPr>
      <w:r w:rsidRPr="0046048B">
        <w:rPr>
          <w:rFonts w:ascii="Verdana" w:hAnsi="Verdana" w:cs="Arial"/>
          <w:b/>
          <w:sz w:val="28"/>
          <w:szCs w:val="28"/>
        </w:rPr>
        <w:t xml:space="preserve">Wymagania techniczne dla uprzywilejowania w ruchu. </w:t>
      </w:r>
    </w:p>
    <w:p w:rsidR="004C0E4B" w:rsidRPr="00564ED3" w:rsidRDefault="004C0E4B" w:rsidP="004C0E4B">
      <w:pPr>
        <w:spacing w:after="0" w:line="240" w:lineRule="auto"/>
        <w:ind w:left="851" w:hanging="851"/>
        <w:rPr>
          <w:rFonts w:ascii="Verdana" w:hAnsi="Verdana" w:cs="Arial"/>
          <w:b/>
          <w:sz w:val="17"/>
          <w:szCs w:val="17"/>
        </w:rPr>
      </w:pPr>
    </w:p>
    <w:p w:rsidR="002C5887" w:rsidRPr="0046048B" w:rsidRDefault="004C0E4B" w:rsidP="00A760E8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>Pojazd musi być wyposażony w system uprzywilejowania w ruchu drogowym, w którego skład wchodzić muszą urząd</w:t>
      </w:r>
      <w:r w:rsidR="00A760E8">
        <w:rPr>
          <w:rFonts w:ascii="Arial" w:hAnsi="Arial" w:cs="Arial"/>
          <w:sz w:val="20"/>
          <w:szCs w:val="20"/>
        </w:rPr>
        <w:t xml:space="preserve">zenia określone w pkt. od 2 do </w:t>
      </w:r>
      <w:r w:rsidRPr="0046048B">
        <w:rPr>
          <w:rFonts w:ascii="Arial" w:hAnsi="Arial" w:cs="Arial"/>
          <w:sz w:val="20"/>
          <w:szCs w:val="20"/>
        </w:rPr>
        <w:t>13.</w:t>
      </w:r>
    </w:p>
    <w:p w:rsidR="004C0E4B" w:rsidRPr="0046048B" w:rsidRDefault="004C0E4B" w:rsidP="004C0E4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 xml:space="preserve">Na dachu </w:t>
      </w:r>
      <w:r w:rsidRPr="0046048B">
        <w:rPr>
          <w:rFonts w:ascii="Arial" w:eastAsia="Times New Roman" w:hAnsi="Arial" w:cs="Arial"/>
          <w:sz w:val="20"/>
          <w:szCs w:val="20"/>
          <w:lang w:eastAsia="ar-SA"/>
        </w:rPr>
        <w:t>pojazdu należy zamontować symetrycznie i prostopadle do podłużnej osi symetrii pojazdu, zespoloną lampę ostrzegawczą spełniająca wymagania określone w Regulaminie 65 EKG ONZ dla klasy 2. Lampa musi być wyposażona w automatyczną funkcje przełączania trybu dzień/noc. Funkcja włączenia jednego z trybów musi być sygnalizowana świeceniem się lampki kontrolnej umieszczonej np. w man</w:t>
      </w:r>
      <w:r w:rsidR="008D1FF1">
        <w:rPr>
          <w:rFonts w:ascii="Arial" w:eastAsia="Times New Roman" w:hAnsi="Arial" w:cs="Arial"/>
          <w:sz w:val="20"/>
          <w:szCs w:val="20"/>
          <w:lang w:eastAsia="ar-SA"/>
        </w:rPr>
        <w:t xml:space="preserve">ipulatorze opisanym w pkt </w:t>
      </w:r>
      <w:r w:rsidRPr="0046048B">
        <w:rPr>
          <w:rFonts w:ascii="Arial" w:eastAsia="Times New Roman" w:hAnsi="Arial" w:cs="Arial"/>
          <w:sz w:val="20"/>
          <w:szCs w:val="20"/>
          <w:lang w:eastAsia="ar-SA"/>
        </w:rPr>
        <w:t>13. Lampa nie może wystawać poza obrys dachu i musi być zamontowana w sposób, jak najmniej ingerujący w strukturę pojazdu oraz umożliwiający mycie pojazdu w myjni automatycznej szczotkowej bez konieczności jej demontażu. Wytrzymałość lampy ostrzegawczej wraz z mocowaniami, zamontowanej w pojeździe musi zapewnić pewne przytrzymanie podczas zadziałania opóźnienia o wartości co najmniej 5g w pięciu prostopadłych kierunkach: do przodu (X+), do tyłu (X-), w lewo (Y+), w prawo (Y-), pionowo (Z+).</w:t>
      </w:r>
      <w:r w:rsidRPr="0046048B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Spełnienie wymogu musi być potwierdzone oświadczeniem Wykonawcy wystawionym na podstawie sprawozdania z badań wykonanego metodą niszczącą lub obliczeniową (symulacja komputerowa) przez akredytowaną jednostkę badawczą oraz pozytywnym wynikiem oględzin dokonanych przez przedstawicieli Zamawiającego w fazie oceny projektu modyfikacji pojazdu.</w:t>
      </w:r>
    </w:p>
    <w:p w:rsidR="004C0E4B" w:rsidRPr="0046048B" w:rsidRDefault="004C0E4B" w:rsidP="004C0E4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 xml:space="preserve">Wszystkie przewody doprowadzone do lampy ostrzegawczej muszą być poprowadzone </w:t>
      </w:r>
      <w:r w:rsidR="008D1FF1">
        <w:rPr>
          <w:rFonts w:ascii="Arial" w:hAnsi="Arial" w:cs="Arial"/>
          <w:sz w:val="20"/>
          <w:szCs w:val="20"/>
        </w:rPr>
        <w:br/>
      </w:r>
      <w:r w:rsidRPr="0046048B">
        <w:rPr>
          <w:rFonts w:ascii="Arial" w:hAnsi="Arial" w:cs="Arial"/>
          <w:sz w:val="20"/>
          <w:szCs w:val="20"/>
        </w:rPr>
        <w:t>w sposób wykorzystujący fabryczne otwory i elementy pojazdu. Zamawiający dopuszcza zastosowanie systemu montażu lampy bezpośrednio do dachu pojazdu, lecz w takim przypadku Wykonawca zobowiązany jest do zastosowania pr</w:t>
      </w:r>
      <w:r w:rsidR="00312DB9">
        <w:rPr>
          <w:rFonts w:ascii="Arial" w:hAnsi="Arial" w:cs="Arial"/>
          <w:sz w:val="20"/>
          <w:szCs w:val="20"/>
        </w:rPr>
        <w:t>ocedury określonej w pkt. 8 OPZ</w:t>
      </w:r>
      <w:r w:rsidRPr="0046048B">
        <w:rPr>
          <w:rFonts w:ascii="Arial" w:hAnsi="Arial" w:cs="Arial"/>
          <w:sz w:val="20"/>
          <w:szCs w:val="20"/>
        </w:rPr>
        <w:t>.</w:t>
      </w:r>
    </w:p>
    <w:p w:rsidR="004C0E4B" w:rsidRPr="0046048B" w:rsidRDefault="004C0E4B" w:rsidP="004C0E4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 xml:space="preserve">Klosz lampy ostrzegawczej (bez elementów mocujących do pojazdu), </w:t>
      </w:r>
      <w:r w:rsidRPr="0046048B">
        <w:rPr>
          <w:rFonts w:ascii="Arial" w:hAnsi="Arial" w:cs="Arial"/>
          <w:sz w:val="20"/>
          <w:szCs w:val="20"/>
        </w:rPr>
        <w:br/>
        <w:t>o</w:t>
      </w:r>
      <w:r w:rsidR="00312DB9">
        <w:rPr>
          <w:rFonts w:ascii="Arial" w:hAnsi="Arial" w:cs="Arial"/>
          <w:sz w:val="20"/>
          <w:szCs w:val="20"/>
        </w:rPr>
        <w:t xml:space="preserve"> której mowa w pkt. 2 i </w:t>
      </w:r>
      <w:r w:rsidRPr="0046048B">
        <w:rPr>
          <w:rFonts w:ascii="Arial" w:hAnsi="Arial" w:cs="Arial"/>
          <w:sz w:val="20"/>
          <w:szCs w:val="20"/>
        </w:rPr>
        <w:t>3 musi</w:t>
      </w:r>
      <w:r w:rsidR="00944B8D" w:rsidRPr="0046048B">
        <w:rPr>
          <w:rFonts w:ascii="Arial" w:hAnsi="Arial" w:cs="Arial"/>
          <w:sz w:val="20"/>
          <w:szCs w:val="20"/>
        </w:rPr>
        <w:t xml:space="preserve"> być ryflowany oraz</w:t>
      </w:r>
      <w:r w:rsidRPr="0046048B">
        <w:rPr>
          <w:rFonts w:ascii="Arial" w:hAnsi="Arial" w:cs="Arial"/>
          <w:sz w:val="20"/>
          <w:szCs w:val="20"/>
        </w:rPr>
        <w:t xml:space="preserve"> mieć wysokość w przedziale od </w:t>
      </w:r>
      <w:smartTag w:uri="urn:schemas-microsoft-com:office:smarttags" w:element="metricconverter">
        <w:smartTagPr>
          <w:attr w:name="ProductID" w:val="80 mm"/>
        </w:smartTagPr>
        <w:r w:rsidRPr="0046048B">
          <w:rPr>
            <w:rFonts w:ascii="Arial" w:hAnsi="Arial" w:cs="Arial"/>
            <w:sz w:val="20"/>
            <w:szCs w:val="20"/>
          </w:rPr>
          <w:t>80 mm</w:t>
        </w:r>
      </w:smartTag>
      <w:r w:rsidRPr="0046048B">
        <w:rPr>
          <w:rFonts w:ascii="Arial" w:hAnsi="Arial" w:cs="Arial"/>
          <w:sz w:val="20"/>
          <w:szCs w:val="20"/>
        </w:rPr>
        <w:t xml:space="preserve"> do </w:t>
      </w:r>
      <w:smartTag w:uri="urn:schemas-microsoft-com:office:smarttags" w:element="metricconverter">
        <w:smartTagPr>
          <w:attr w:name="ProductID" w:val="100 mm"/>
        </w:smartTagPr>
        <w:r w:rsidRPr="0046048B">
          <w:rPr>
            <w:rFonts w:ascii="Arial" w:hAnsi="Arial" w:cs="Arial"/>
            <w:sz w:val="20"/>
            <w:szCs w:val="20"/>
          </w:rPr>
          <w:t>100 mm</w:t>
        </w:r>
      </w:smartTag>
      <w:r w:rsidRPr="0046048B">
        <w:rPr>
          <w:rFonts w:ascii="Arial" w:hAnsi="Arial" w:cs="Arial"/>
          <w:sz w:val="20"/>
          <w:szCs w:val="20"/>
        </w:rPr>
        <w:t>.</w:t>
      </w:r>
    </w:p>
    <w:p w:rsidR="004C0E4B" w:rsidRPr="0046048B" w:rsidRDefault="004C0E4B" w:rsidP="004C0E4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>Zespolona lampa ostrzegawcza musi posiadać:</w:t>
      </w:r>
    </w:p>
    <w:p w:rsidR="00012AE8" w:rsidRPr="0056582D" w:rsidRDefault="004C0E4B" w:rsidP="0056582D">
      <w:pPr>
        <w:pStyle w:val="Mario"/>
        <w:numPr>
          <w:ilvl w:val="1"/>
          <w:numId w:val="2"/>
        </w:numPr>
        <w:spacing w:line="100" w:lineRule="atLeast"/>
        <w:ind w:left="1418" w:hanging="425"/>
        <w:rPr>
          <w:rFonts w:cs="Arial"/>
          <w:sz w:val="20"/>
        </w:rPr>
      </w:pPr>
      <w:r w:rsidRPr="0046048B">
        <w:rPr>
          <w:rFonts w:cs="Arial"/>
          <w:sz w:val="20"/>
        </w:rPr>
        <w:t>min. dwie lampy LED o kloszach w kolorze niebieskim o barwie światła niebieskiej umieszczone w dwóch skrajnych częściach lampy zespolonej, widoczne z każdej strony pojazdu i świecące naprzemiennie. Każda z lamp musi być zbudowana z modułów posiadających łącznie, co najmniej 16 diod LED o wysokiej światłości.</w:t>
      </w:r>
    </w:p>
    <w:p w:rsidR="00012AE8" w:rsidRPr="0056582D" w:rsidRDefault="004C0E4B" w:rsidP="00012AE8">
      <w:pPr>
        <w:pStyle w:val="Mario"/>
        <w:numPr>
          <w:ilvl w:val="1"/>
          <w:numId w:val="2"/>
        </w:numPr>
        <w:spacing w:line="100" w:lineRule="atLeast"/>
        <w:ind w:left="1418" w:hanging="425"/>
        <w:rPr>
          <w:rFonts w:cs="Arial"/>
          <w:sz w:val="20"/>
        </w:rPr>
      </w:pPr>
      <w:r w:rsidRPr="0056582D">
        <w:rPr>
          <w:rFonts w:cs="Arial"/>
          <w:sz w:val="20"/>
        </w:rPr>
        <w:t>podświetlany napis „</w:t>
      </w:r>
      <w:r w:rsidR="00012AE8" w:rsidRPr="0056582D">
        <w:rPr>
          <w:rFonts w:cs="Arial"/>
          <w:sz w:val="20"/>
        </w:rPr>
        <w:t>STRAŻ</w:t>
      </w:r>
      <w:r w:rsidRPr="0056582D">
        <w:rPr>
          <w:rFonts w:cs="Arial"/>
          <w:sz w:val="20"/>
        </w:rPr>
        <w:t xml:space="preserve">” wykonany w kolorze </w:t>
      </w:r>
      <w:r w:rsidR="00012AE8" w:rsidRPr="0056582D">
        <w:rPr>
          <w:rFonts w:cs="Arial"/>
          <w:sz w:val="20"/>
        </w:rPr>
        <w:t>czerwonym</w:t>
      </w:r>
      <w:r w:rsidRPr="0056582D">
        <w:rPr>
          <w:rFonts w:cs="Arial"/>
          <w:sz w:val="20"/>
        </w:rPr>
        <w:t xml:space="preserve">, wypełniający białe pole pomiędzy lampami ostrzegawczymi, widoczny z przodu i z tyłu pojazdu z odległości </w:t>
      </w:r>
      <w:smartTag w:uri="urn:schemas-microsoft-com:office:smarttags" w:element="metricconverter">
        <w:smartTagPr>
          <w:attr w:name="ProductID" w:val="50 m"/>
        </w:smartTagPr>
        <w:r w:rsidRPr="0056582D">
          <w:rPr>
            <w:rFonts w:cs="Arial"/>
            <w:sz w:val="20"/>
          </w:rPr>
          <w:t>50 m</w:t>
        </w:r>
      </w:smartTag>
      <w:r w:rsidRPr="0056582D">
        <w:rPr>
          <w:rFonts w:cs="Arial"/>
          <w:sz w:val="20"/>
        </w:rPr>
        <w:t xml:space="preserve"> w warunkach nocnych, o minimalnej wysokość liter napisu wynoszącej </w:t>
      </w:r>
      <w:smartTag w:uri="urn:schemas-microsoft-com:office:smarttags" w:element="metricconverter">
        <w:smartTagPr>
          <w:attr w:name="ProductID" w:val="65 mm"/>
        </w:smartTagPr>
        <w:r w:rsidRPr="0056582D">
          <w:rPr>
            <w:rFonts w:cs="Arial"/>
            <w:sz w:val="20"/>
          </w:rPr>
          <w:t>65 mm</w:t>
        </w:r>
      </w:smartTag>
      <w:r w:rsidRPr="0056582D">
        <w:rPr>
          <w:rFonts w:cs="Arial"/>
          <w:sz w:val="20"/>
        </w:rPr>
        <w:t>,</w:t>
      </w:r>
    </w:p>
    <w:p w:rsidR="004C0E4B" w:rsidRPr="0056582D" w:rsidRDefault="004C0E4B" w:rsidP="004C0E4B">
      <w:pPr>
        <w:pStyle w:val="Mario"/>
        <w:spacing w:line="100" w:lineRule="atLeast"/>
        <w:ind w:left="1418" w:hanging="458"/>
        <w:rPr>
          <w:rFonts w:cs="Arial"/>
          <w:sz w:val="20"/>
        </w:rPr>
      </w:pPr>
      <w:r w:rsidRPr="0056582D">
        <w:rPr>
          <w:rFonts w:cs="Arial"/>
          <w:sz w:val="20"/>
        </w:rPr>
        <w:t>c)</w:t>
      </w:r>
      <w:r w:rsidRPr="0056582D">
        <w:rPr>
          <w:rFonts w:cs="Arial"/>
          <w:sz w:val="20"/>
        </w:rPr>
        <w:tab/>
        <w:t>jedną lampę LED o kloszu bezbarwnym umieszczoną między lewą lampą o barwie światła niebieskiej, a podświetlanym napisem „</w:t>
      </w:r>
      <w:r w:rsidR="00012AE8" w:rsidRPr="0056582D">
        <w:rPr>
          <w:rFonts w:cs="Arial"/>
          <w:sz w:val="20"/>
        </w:rPr>
        <w:t>STRAŻ</w:t>
      </w:r>
      <w:r w:rsidRPr="0056582D">
        <w:rPr>
          <w:rFonts w:cs="Arial"/>
          <w:sz w:val="20"/>
        </w:rPr>
        <w:t>” widoczną, co najmniej z przodu i tyłu pojazdu. Lampa musi posiadać, co najmniej dwa moduły świetlne LED (duo-kolor) posiadające możliwość emitowania światła o barwie niebieskiej i barwie czerwonej. Każdy z modułów musi posiadać łącznie, co najmniej sześć diod LED o wysokiej światłości ustawionych w dwóch rzędach. Moduły świetlne LED muszą być ustawione w konfiguracji:</w:t>
      </w:r>
    </w:p>
    <w:p w:rsidR="004C0E4B" w:rsidRPr="0056582D" w:rsidRDefault="004C0E4B" w:rsidP="004C0E4B">
      <w:pPr>
        <w:pStyle w:val="Mario"/>
        <w:spacing w:line="100" w:lineRule="atLeast"/>
        <w:ind w:left="1418"/>
        <w:rPr>
          <w:rFonts w:cs="Arial"/>
          <w:sz w:val="20"/>
        </w:rPr>
      </w:pPr>
      <w:r w:rsidRPr="0056582D">
        <w:rPr>
          <w:rFonts w:cs="Arial"/>
          <w:sz w:val="20"/>
        </w:rPr>
        <w:t>- jeden moduł świecący do przodu,</w:t>
      </w:r>
    </w:p>
    <w:p w:rsidR="004C0E4B" w:rsidRPr="0056582D" w:rsidRDefault="004C0E4B" w:rsidP="004C0E4B">
      <w:pPr>
        <w:pStyle w:val="Mario"/>
        <w:spacing w:line="100" w:lineRule="atLeast"/>
        <w:ind w:left="1418"/>
        <w:rPr>
          <w:rFonts w:cs="Arial"/>
          <w:sz w:val="20"/>
        </w:rPr>
      </w:pPr>
      <w:r w:rsidRPr="0056582D">
        <w:rPr>
          <w:rFonts w:cs="Arial"/>
          <w:sz w:val="20"/>
        </w:rPr>
        <w:t xml:space="preserve">- jeden moduł świecący do tyłu. </w:t>
      </w:r>
    </w:p>
    <w:p w:rsidR="00012AE8" w:rsidRPr="0046048B" w:rsidRDefault="004C0E4B" w:rsidP="0056582D">
      <w:pPr>
        <w:pStyle w:val="Mario"/>
        <w:spacing w:line="100" w:lineRule="atLeast"/>
        <w:ind w:left="1418"/>
        <w:rPr>
          <w:rFonts w:cs="Arial"/>
          <w:sz w:val="20"/>
        </w:rPr>
      </w:pPr>
      <w:r w:rsidRPr="0056582D">
        <w:rPr>
          <w:rFonts w:cs="Arial"/>
          <w:sz w:val="20"/>
        </w:rPr>
        <w:t>Po włączeniu uprzywilejowania pojazdu moduły świetlne LED muszą automatycznie załączać się i emitować światło o barwie niebieskim. Po włączeniu na manipulatorze pozycji jazdy w kolumnie, moduły muszą emitować światło o barwie czerwonej.</w:t>
      </w:r>
    </w:p>
    <w:p w:rsidR="004C0E4B" w:rsidRPr="0046048B" w:rsidRDefault="004C0E4B" w:rsidP="00DE475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>Na tylnej części pojazdu</w:t>
      </w:r>
      <w:r w:rsidR="00063A9F">
        <w:rPr>
          <w:rFonts w:ascii="Arial" w:hAnsi="Arial" w:cs="Arial"/>
          <w:sz w:val="20"/>
          <w:szCs w:val="20"/>
        </w:rPr>
        <w:t>,</w:t>
      </w:r>
      <w:r w:rsidRPr="0046048B">
        <w:rPr>
          <w:rFonts w:ascii="Arial" w:hAnsi="Arial" w:cs="Arial"/>
          <w:sz w:val="20"/>
          <w:szCs w:val="20"/>
        </w:rPr>
        <w:t xml:space="preserve"> </w:t>
      </w:r>
      <w:r w:rsidR="00063A9F">
        <w:rPr>
          <w:rFonts w:ascii="Arial" w:hAnsi="Arial" w:cs="Arial"/>
          <w:sz w:val="20"/>
          <w:szCs w:val="20"/>
        </w:rPr>
        <w:t xml:space="preserve">na drzwiach </w:t>
      </w:r>
      <w:r w:rsidRPr="0046048B">
        <w:rPr>
          <w:rFonts w:ascii="Arial" w:hAnsi="Arial" w:cs="Arial"/>
          <w:sz w:val="20"/>
          <w:szCs w:val="20"/>
        </w:rPr>
        <w:t xml:space="preserve">(w prawym i lewym narożniku), muszą być zamontowane symetrycznie względem podłużnej osi symetrii pojazdu, dwie dookólne ostrzegawcze lampy LED o kloszach w kolorze niebieskim i barwie światła </w:t>
      </w:r>
      <w:r w:rsidR="00063A9F">
        <w:rPr>
          <w:rFonts w:ascii="Arial" w:hAnsi="Arial" w:cs="Arial"/>
          <w:sz w:val="20"/>
          <w:szCs w:val="20"/>
        </w:rPr>
        <w:t>niebieskiej</w:t>
      </w:r>
      <w:r w:rsidR="00DE475E" w:rsidRPr="0046048B">
        <w:rPr>
          <w:rFonts w:ascii="Arial" w:hAnsi="Arial" w:cs="Arial"/>
          <w:sz w:val="20"/>
          <w:szCs w:val="20"/>
        </w:rPr>
        <w:t>. Lampy ni</w:t>
      </w:r>
      <w:r w:rsidR="00063A9F">
        <w:rPr>
          <w:rFonts w:ascii="Arial" w:hAnsi="Arial" w:cs="Arial"/>
          <w:sz w:val="20"/>
          <w:szCs w:val="20"/>
        </w:rPr>
        <w:t>e mogą wystawać poza obrys</w:t>
      </w:r>
      <w:r w:rsidR="00DE475E" w:rsidRPr="0046048B">
        <w:rPr>
          <w:rFonts w:ascii="Arial" w:hAnsi="Arial" w:cs="Arial"/>
          <w:sz w:val="20"/>
          <w:szCs w:val="20"/>
        </w:rPr>
        <w:t xml:space="preserve"> i muszą być zamontowane w sposób, jak najmniej ingerujący w strukturę pojazdu  oraz  umożliwiający  mycie  pojazdu  w  myjni  automatycznej szczotkowej  be</w:t>
      </w:r>
      <w:r w:rsidR="00063A9F">
        <w:rPr>
          <w:rFonts w:ascii="Arial" w:hAnsi="Arial" w:cs="Arial"/>
          <w:sz w:val="20"/>
          <w:szCs w:val="20"/>
        </w:rPr>
        <w:t>z  konieczności ich  demontażu. Zamontować lampy LED w tylnej części zabudowy w górnych rogach, które będą emitowały światło niebieskie po otwarciu tylnych drzwi pojazdu w momencie włączonych świateł uprzywilejowania. Światła automatycznie wyłączają się po</w:t>
      </w:r>
      <w:bookmarkStart w:id="0" w:name="_GoBack"/>
      <w:bookmarkEnd w:id="0"/>
      <w:r w:rsidR="00063A9F">
        <w:rPr>
          <w:rFonts w:ascii="Arial" w:hAnsi="Arial" w:cs="Arial"/>
          <w:sz w:val="20"/>
          <w:szCs w:val="20"/>
        </w:rPr>
        <w:t xml:space="preserve"> zamknięciu drzwi.</w:t>
      </w:r>
    </w:p>
    <w:p w:rsidR="004C0E4B" w:rsidRPr="0046048B" w:rsidRDefault="004C0E4B" w:rsidP="004C0E4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 xml:space="preserve">W przedniej części pojazdu, muszą być zamontowane cztery lampy LED </w:t>
      </w:r>
      <w:r w:rsidRPr="0046048B">
        <w:rPr>
          <w:rFonts w:ascii="Arial" w:hAnsi="Arial" w:cs="Arial"/>
          <w:sz w:val="20"/>
          <w:szCs w:val="20"/>
        </w:rPr>
        <w:br/>
        <w:t>o barwie światła niebieskiej:</w:t>
      </w:r>
    </w:p>
    <w:p w:rsidR="004C0E4B" w:rsidRPr="0046048B" w:rsidRDefault="004C0E4B" w:rsidP="004C0E4B">
      <w:pPr>
        <w:pStyle w:val="Mario"/>
        <w:numPr>
          <w:ilvl w:val="0"/>
          <w:numId w:val="4"/>
        </w:numPr>
        <w:spacing w:line="100" w:lineRule="atLeast"/>
        <w:rPr>
          <w:rFonts w:cs="Arial"/>
          <w:sz w:val="20"/>
          <w:lang w:eastAsia="pl-PL"/>
        </w:rPr>
      </w:pPr>
      <w:r w:rsidRPr="0046048B">
        <w:rPr>
          <w:rFonts w:cs="Arial"/>
          <w:sz w:val="20"/>
          <w:lang w:eastAsia="pl-PL"/>
        </w:rPr>
        <w:t>z przodu pojazdu w atrapie chłodnicy lub w zderzaku przednim – 2 szt.</w:t>
      </w:r>
    </w:p>
    <w:p w:rsidR="004C0E4B" w:rsidRPr="0046048B" w:rsidRDefault="004C0E4B" w:rsidP="004C0E4B">
      <w:pPr>
        <w:pStyle w:val="Mario"/>
        <w:numPr>
          <w:ilvl w:val="0"/>
          <w:numId w:val="4"/>
        </w:numPr>
        <w:spacing w:line="100" w:lineRule="atLeast"/>
        <w:rPr>
          <w:rFonts w:cs="Arial"/>
          <w:sz w:val="20"/>
          <w:lang w:eastAsia="pl-PL"/>
        </w:rPr>
      </w:pPr>
      <w:r w:rsidRPr="0046048B">
        <w:rPr>
          <w:rFonts w:cs="Arial"/>
          <w:sz w:val="20"/>
          <w:lang w:eastAsia="pl-PL"/>
        </w:rPr>
        <w:t xml:space="preserve">po prawej i lewej stronie pojazdu w błotnikach przednich lub w zderzaku </w:t>
      </w:r>
      <w:r w:rsidR="00850F4A">
        <w:rPr>
          <w:rFonts w:cs="Arial"/>
          <w:sz w:val="20"/>
          <w:lang w:eastAsia="pl-PL"/>
        </w:rPr>
        <w:t xml:space="preserve">przednim - 2 </w:t>
      </w:r>
      <w:r w:rsidRPr="0046048B">
        <w:rPr>
          <w:rFonts w:cs="Arial"/>
          <w:sz w:val="20"/>
          <w:lang w:eastAsia="pl-PL"/>
        </w:rPr>
        <w:lastRenderedPageBreak/>
        <w:t>szt.</w:t>
      </w:r>
    </w:p>
    <w:p w:rsidR="004C0E4B" w:rsidRPr="0046048B" w:rsidRDefault="004C0E4B" w:rsidP="004C0E4B">
      <w:pPr>
        <w:suppressAutoHyphens/>
        <w:spacing w:after="0" w:line="240" w:lineRule="auto"/>
        <w:ind w:left="1021"/>
        <w:jc w:val="both"/>
        <w:rPr>
          <w:rFonts w:ascii="Arial" w:hAnsi="Arial" w:cs="Arial"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 xml:space="preserve">Każda z lamp musi posiadać łącznie, co najmniej cztery diody LED </w:t>
      </w:r>
      <w:r w:rsidRPr="0046048B">
        <w:rPr>
          <w:rFonts w:ascii="Arial" w:hAnsi="Arial" w:cs="Arial"/>
          <w:sz w:val="20"/>
          <w:szCs w:val="20"/>
        </w:rPr>
        <w:br/>
        <w:t>o wysokiej światłości. Lampy muszą świecić naprzemiennie.</w:t>
      </w:r>
    </w:p>
    <w:p w:rsidR="004C0E4B" w:rsidRPr="0046048B" w:rsidRDefault="004C0E4B" w:rsidP="004C0E4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>Wszystkie zastosowane w pojeździe lampy uprzywilejowania w ruchu drogowym muszą:</w:t>
      </w:r>
    </w:p>
    <w:p w:rsidR="004C0E4B" w:rsidRPr="0046048B" w:rsidRDefault="004C0E4B" w:rsidP="004C0E4B">
      <w:pPr>
        <w:pStyle w:val="Mario"/>
        <w:numPr>
          <w:ilvl w:val="1"/>
          <w:numId w:val="5"/>
        </w:numPr>
        <w:tabs>
          <w:tab w:val="left" w:pos="1418"/>
        </w:tabs>
        <w:spacing w:line="100" w:lineRule="atLeast"/>
        <w:rPr>
          <w:rFonts w:cs="Arial"/>
          <w:sz w:val="20"/>
        </w:rPr>
      </w:pPr>
      <w:r w:rsidRPr="0046048B">
        <w:rPr>
          <w:rFonts w:cs="Arial"/>
          <w:sz w:val="20"/>
        </w:rPr>
        <w:t>posiadać homologację,</w:t>
      </w:r>
    </w:p>
    <w:p w:rsidR="004C0E4B" w:rsidRPr="0046048B" w:rsidRDefault="004C0E4B" w:rsidP="004C0E4B">
      <w:pPr>
        <w:pStyle w:val="Mario"/>
        <w:numPr>
          <w:ilvl w:val="1"/>
          <w:numId w:val="5"/>
        </w:numPr>
        <w:tabs>
          <w:tab w:val="left" w:pos="1418"/>
        </w:tabs>
        <w:spacing w:line="100" w:lineRule="atLeast"/>
        <w:rPr>
          <w:rFonts w:cs="Arial"/>
          <w:sz w:val="20"/>
        </w:rPr>
      </w:pPr>
      <w:r w:rsidRPr="0046048B">
        <w:rPr>
          <w:rFonts w:cs="Arial"/>
          <w:sz w:val="20"/>
        </w:rPr>
        <w:t>być zamontowane w taki sposób, aby źródło światła było umieszczone prostopadle do osi poziomej pojazdu,</w:t>
      </w:r>
    </w:p>
    <w:p w:rsidR="004C0E4B" w:rsidRPr="0046048B" w:rsidRDefault="004C0E4B" w:rsidP="004C0E4B">
      <w:pPr>
        <w:pStyle w:val="Mario"/>
        <w:numPr>
          <w:ilvl w:val="1"/>
          <w:numId w:val="5"/>
        </w:numPr>
        <w:tabs>
          <w:tab w:val="left" w:pos="1418"/>
        </w:tabs>
        <w:spacing w:line="100" w:lineRule="atLeast"/>
        <w:rPr>
          <w:rFonts w:cs="Arial"/>
          <w:sz w:val="20"/>
        </w:rPr>
      </w:pPr>
      <w:r w:rsidRPr="0046048B">
        <w:rPr>
          <w:rFonts w:cs="Arial"/>
          <w:sz w:val="20"/>
        </w:rPr>
        <w:t>posiadać klosze wykonane z poliwęglanu,</w:t>
      </w:r>
    </w:p>
    <w:p w:rsidR="004C0E4B" w:rsidRPr="0046048B" w:rsidRDefault="004C0E4B" w:rsidP="004C0E4B">
      <w:pPr>
        <w:pStyle w:val="Mario"/>
        <w:numPr>
          <w:ilvl w:val="1"/>
          <w:numId w:val="5"/>
        </w:numPr>
        <w:tabs>
          <w:tab w:val="left" w:pos="1418"/>
        </w:tabs>
        <w:spacing w:line="100" w:lineRule="atLeast"/>
        <w:rPr>
          <w:rFonts w:cs="Arial"/>
          <w:sz w:val="20"/>
        </w:rPr>
      </w:pPr>
      <w:r w:rsidRPr="0046048B">
        <w:rPr>
          <w:rFonts w:cs="Arial"/>
          <w:sz w:val="20"/>
        </w:rPr>
        <w:t>być zamontowane w sposób umożliwiający mycie pojazdu w myjni automatycznej szczotkowej bez konieczności ich demontażu.</w:t>
      </w:r>
    </w:p>
    <w:p w:rsidR="004C0E4B" w:rsidRPr="0046048B" w:rsidRDefault="004C0E4B" w:rsidP="004C0E4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>Po zamontowaniu w pojeździe urządzenie emitujące ostrzegawcze sygnały uprzywilejowania pojazdu w ruchu drogowym i rozgłaszające komunikaty musi:</w:t>
      </w:r>
    </w:p>
    <w:p w:rsidR="004C0E4B" w:rsidRPr="0046048B" w:rsidRDefault="004C0E4B" w:rsidP="004C0E4B">
      <w:pPr>
        <w:pStyle w:val="Mario"/>
        <w:numPr>
          <w:ilvl w:val="0"/>
          <w:numId w:val="6"/>
        </w:numPr>
        <w:tabs>
          <w:tab w:val="left" w:pos="1418"/>
        </w:tabs>
        <w:spacing w:line="100" w:lineRule="atLeast"/>
        <w:ind w:left="1418" w:hanging="338"/>
        <w:rPr>
          <w:rFonts w:cs="Arial"/>
          <w:sz w:val="20"/>
        </w:rPr>
      </w:pPr>
      <w:r w:rsidRPr="0046048B">
        <w:rPr>
          <w:rFonts w:cs="Arial"/>
          <w:sz w:val="20"/>
        </w:rPr>
        <w:t xml:space="preserve">wytwarzać dźwięki, których ekwiwalentny poziom ciśnienia akustycznego wg krzywej korekcyjnej A mierzony całkującym miernikiem poziomu dźwięku umieszczonym w odległości </w:t>
      </w:r>
      <w:smartTag w:uri="urn:schemas-microsoft-com:office:smarttags" w:element="metricconverter">
        <w:smartTagPr>
          <w:attr w:name="ProductID" w:val="7 m"/>
        </w:smartTagPr>
        <w:r w:rsidRPr="0046048B">
          <w:rPr>
            <w:rFonts w:cs="Arial"/>
            <w:sz w:val="20"/>
          </w:rPr>
          <w:t>7 m</w:t>
        </w:r>
      </w:smartTag>
      <w:r w:rsidRPr="0046048B">
        <w:rPr>
          <w:rFonts w:cs="Arial"/>
          <w:sz w:val="20"/>
        </w:rPr>
        <w:t xml:space="preserve"> od przedniego zderzaka pojazdu musi zawierać się w granicach 1</w:t>
      </w:r>
      <w:r w:rsidR="00012AE8" w:rsidRPr="0046048B">
        <w:rPr>
          <w:rFonts w:cs="Arial"/>
          <w:sz w:val="20"/>
        </w:rPr>
        <w:t>12</w:t>
      </w:r>
      <w:r w:rsidRPr="0046048B">
        <w:rPr>
          <w:rFonts w:cs="Arial"/>
          <w:sz w:val="20"/>
        </w:rPr>
        <w:t xml:space="preserve"> </w:t>
      </w:r>
      <w:proofErr w:type="spellStart"/>
      <w:r w:rsidRPr="0046048B">
        <w:rPr>
          <w:rFonts w:cs="Arial"/>
          <w:sz w:val="20"/>
        </w:rPr>
        <w:t>dB</w:t>
      </w:r>
      <w:proofErr w:type="spellEnd"/>
      <w:r w:rsidRPr="0046048B">
        <w:rPr>
          <w:rFonts w:cs="Arial"/>
          <w:sz w:val="20"/>
        </w:rPr>
        <w:t>(A) ÷ 11</w:t>
      </w:r>
      <w:r w:rsidR="00012AE8" w:rsidRPr="0046048B">
        <w:rPr>
          <w:rFonts w:cs="Arial"/>
          <w:sz w:val="20"/>
        </w:rPr>
        <w:t>8</w:t>
      </w:r>
      <w:r w:rsidRPr="0046048B">
        <w:rPr>
          <w:rFonts w:cs="Arial"/>
          <w:sz w:val="20"/>
        </w:rPr>
        <w:t xml:space="preserve"> </w:t>
      </w:r>
      <w:proofErr w:type="spellStart"/>
      <w:r w:rsidRPr="0046048B">
        <w:rPr>
          <w:rFonts w:cs="Arial"/>
          <w:sz w:val="20"/>
        </w:rPr>
        <w:t>dB</w:t>
      </w:r>
      <w:proofErr w:type="spellEnd"/>
      <w:r w:rsidRPr="0046048B">
        <w:rPr>
          <w:rFonts w:cs="Arial"/>
          <w:sz w:val="20"/>
        </w:rPr>
        <w:t xml:space="preserve">(A), dla każdego rodzaju dźwięku. Warunki badań wg PN-92/S-76004 lub regulaminu 28 EKG ONZ. </w:t>
      </w:r>
      <w:r w:rsidRPr="0046048B">
        <w:rPr>
          <w:rFonts w:cs="Arial"/>
          <w:b/>
          <w:sz w:val="20"/>
        </w:rPr>
        <w:t>Wymóg musi być potwierdzony badaniem wykonanym przez właściwą akredytowaną jednostkę badawczą. Dokument potwierdzający spełnienie wymogu musi być przedstawiony przez Wykonawcę w fazie odbioru pojazdów,</w:t>
      </w:r>
    </w:p>
    <w:p w:rsidR="004C0E4B" w:rsidRPr="0046048B" w:rsidRDefault="004C0E4B" w:rsidP="004C0E4B">
      <w:pPr>
        <w:pStyle w:val="Mario"/>
        <w:numPr>
          <w:ilvl w:val="0"/>
          <w:numId w:val="6"/>
        </w:numPr>
        <w:tabs>
          <w:tab w:val="left" w:pos="1418"/>
        </w:tabs>
        <w:spacing w:line="100" w:lineRule="atLeast"/>
        <w:ind w:left="1418" w:hanging="338"/>
        <w:rPr>
          <w:rFonts w:cs="Arial"/>
          <w:sz w:val="20"/>
        </w:rPr>
      </w:pPr>
      <w:r w:rsidRPr="0046048B">
        <w:rPr>
          <w:rFonts w:cs="Arial"/>
          <w:sz w:val="20"/>
        </w:rPr>
        <w:t xml:space="preserve">wytwarzać dźwięki, których ekwiwalentny poziom ciśnienia akustycznego wg krzywej korekcyjnej A mierzony całkującym miernikiem poziomu dźwięku w kabinie, na postoju nie może przekraczać 80 </w:t>
      </w:r>
      <w:proofErr w:type="spellStart"/>
      <w:r w:rsidRPr="0046048B">
        <w:rPr>
          <w:rFonts w:cs="Arial"/>
          <w:sz w:val="20"/>
        </w:rPr>
        <w:t>dB</w:t>
      </w:r>
      <w:proofErr w:type="spellEnd"/>
      <w:r w:rsidRPr="0046048B">
        <w:rPr>
          <w:rFonts w:cs="Arial"/>
          <w:sz w:val="20"/>
        </w:rPr>
        <w:t xml:space="preserve">(A), dla każdego rodzaju dźwięku. Warunki badań wg PN-90/S-04052 ISO 5128. </w:t>
      </w:r>
      <w:r w:rsidRPr="0046048B">
        <w:rPr>
          <w:rFonts w:cs="Arial"/>
          <w:b/>
          <w:sz w:val="20"/>
        </w:rPr>
        <w:t>Wymóg musi być potwierdzony badaniem wykonanym przez właściwą akredytowaną jednostkę badawczą. Dokument potwierdzający spełnienie wymogu musi być przedstawiony przez Wykonawcę w fazie odbioru pojazdów</w:t>
      </w:r>
      <w:r w:rsidRPr="0046048B">
        <w:rPr>
          <w:rFonts w:cs="Arial"/>
          <w:sz w:val="20"/>
        </w:rPr>
        <w:t>.</w:t>
      </w:r>
    </w:p>
    <w:p w:rsidR="004C0E4B" w:rsidRPr="0046048B" w:rsidRDefault="004C0E4B" w:rsidP="004C0E4B">
      <w:pPr>
        <w:pStyle w:val="Mario"/>
        <w:numPr>
          <w:ilvl w:val="0"/>
          <w:numId w:val="6"/>
        </w:numPr>
        <w:tabs>
          <w:tab w:val="left" w:pos="1418"/>
        </w:tabs>
        <w:spacing w:line="100" w:lineRule="atLeast"/>
        <w:ind w:left="1418" w:hanging="338"/>
        <w:rPr>
          <w:rFonts w:cs="Arial"/>
          <w:sz w:val="20"/>
        </w:rPr>
      </w:pPr>
      <w:r w:rsidRPr="0046048B">
        <w:rPr>
          <w:rFonts w:cs="Arial"/>
          <w:sz w:val="20"/>
        </w:rPr>
        <w:t xml:space="preserve">spełniać wymagania dla obudów ochronnych w klasie min. </w:t>
      </w:r>
      <w:r w:rsidRPr="0046048B">
        <w:rPr>
          <w:rFonts w:cs="Arial"/>
          <w:sz w:val="20"/>
          <w:lang w:val="de-DE"/>
        </w:rPr>
        <w:t xml:space="preserve">IP 56 </w:t>
      </w:r>
      <w:proofErr w:type="spellStart"/>
      <w:r w:rsidRPr="0046048B">
        <w:rPr>
          <w:rFonts w:cs="Arial"/>
          <w:sz w:val="20"/>
          <w:lang w:val="de-DE"/>
        </w:rPr>
        <w:t>wg</w:t>
      </w:r>
      <w:proofErr w:type="spellEnd"/>
      <w:r w:rsidRPr="0046048B">
        <w:rPr>
          <w:rFonts w:cs="Arial"/>
          <w:sz w:val="20"/>
          <w:lang w:val="de-DE"/>
        </w:rPr>
        <w:t xml:space="preserve"> </w:t>
      </w:r>
      <w:proofErr w:type="spellStart"/>
      <w:r w:rsidRPr="0046048B">
        <w:rPr>
          <w:rFonts w:cs="Arial"/>
          <w:sz w:val="20"/>
          <w:lang w:val="de-DE"/>
        </w:rPr>
        <w:t>normy</w:t>
      </w:r>
      <w:proofErr w:type="spellEnd"/>
      <w:r w:rsidRPr="0046048B">
        <w:rPr>
          <w:rFonts w:cs="Arial"/>
          <w:sz w:val="20"/>
          <w:lang w:val="de-DE"/>
        </w:rPr>
        <w:t xml:space="preserve"> PN-EN 60529:2003. </w:t>
      </w:r>
      <w:r w:rsidRPr="0046048B">
        <w:rPr>
          <w:rFonts w:cs="Arial"/>
          <w:b/>
          <w:sz w:val="20"/>
        </w:rPr>
        <w:t>Dokument potwierdzający spełnienie wymogu musi być przedstawiony przez Wykonawcę w fazie oceny projektu modyfikacji</w:t>
      </w:r>
      <w:r w:rsidRPr="0046048B">
        <w:rPr>
          <w:rFonts w:cs="Arial"/>
          <w:sz w:val="20"/>
        </w:rPr>
        <w:t>.</w:t>
      </w:r>
    </w:p>
    <w:p w:rsidR="004C0E4B" w:rsidRPr="0046048B" w:rsidRDefault="004C0E4B" w:rsidP="004C0E4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>Urządz</w:t>
      </w:r>
      <w:r w:rsidR="00850F4A">
        <w:rPr>
          <w:rFonts w:ascii="Arial" w:hAnsi="Arial" w:cs="Arial"/>
          <w:sz w:val="20"/>
          <w:szCs w:val="20"/>
        </w:rPr>
        <w:t xml:space="preserve">enie, o którym mowa w pkt </w:t>
      </w:r>
      <w:r w:rsidRPr="0046048B">
        <w:rPr>
          <w:rFonts w:ascii="Arial" w:hAnsi="Arial" w:cs="Arial"/>
          <w:sz w:val="20"/>
          <w:szCs w:val="20"/>
        </w:rPr>
        <w:t>9 musi ponadto posiadać funkcje:</w:t>
      </w:r>
    </w:p>
    <w:p w:rsidR="00012AE8" w:rsidRPr="0046048B" w:rsidRDefault="00012AE8" w:rsidP="00012AE8">
      <w:pPr>
        <w:pStyle w:val="Mario"/>
        <w:numPr>
          <w:ilvl w:val="1"/>
          <w:numId w:val="8"/>
        </w:numPr>
        <w:spacing w:line="100" w:lineRule="atLeast"/>
        <w:ind w:left="1418" w:hanging="425"/>
        <w:rPr>
          <w:rFonts w:cs="Arial"/>
          <w:sz w:val="20"/>
        </w:rPr>
      </w:pPr>
      <w:r w:rsidRPr="0046048B">
        <w:rPr>
          <w:rFonts w:cs="Arial"/>
          <w:sz w:val="20"/>
        </w:rPr>
        <w:t>wytwarzania 4 rodzajów dźwięków (modulacja wolna (</w:t>
      </w:r>
      <w:proofErr w:type="spellStart"/>
      <w:r w:rsidRPr="0046048B">
        <w:rPr>
          <w:rFonts w:cs="Arial"/>
          <w:sz w:val="20"/>
        </w:rPr>
        <w:t>Wail</w:t>
      </w:r>
      <w:proofErr w:type="spellEnd"/>
      <w:r w:rsidRPr="0046048B">
        <w:rPr>
          <w:rFonts w:cs="Arial"/>
          <w:sz w:val="20"/>
        </w:rPr>
        <w:t>), szybka (</w:t>
      </w:r>
      <w:proofErr w:type="spellStart"/>
      <w:r w:rsidRPr="0046048B">
        <w:rPr>
          <w:rFonts w:cs="Arial"/>
          <w:sz w:val="20"/>
        </w:rPr>
        <w:t>Yelp</w:t>
      </w:r>
      <w:proofErr w:type="spellEnd"/>
      <w:r w:rsidRPr="0046048B">
        <w:rPr>
          <w:rFonts w:cs="Arial"/>
          <w:sz w:val="20"/>
        </w:rPr>
        <w:t>), bardzo szybka (</w:t>
      </w:r>
      <w:proofErr w:type="spellStart"/>
      <w:r w:rsidRPr="0046048B">
        <w:rPr>
          <w:rFonts w:cs="Arial"/>
          <w:sz w:val="20"/>
        </w:rPr>
        <w:t>Priority</w:t>
      </w:r>
      <w:proofErr w:type="spellEnd"/>
      <w:r w:rsidRPr="0046048B">
        <w:rPr>
          <w:rFonts w:cs="Arial"/>
          <w:sz w:val="20"/>
        </w:rPr>
        <w:t>), dwutonowa (</w:t>
      </w:r>
      <w:proofErr w:type="spellStart"/>
      <w:r w:rsidRPr="0046048B">
        <w:rPr>
          <w:rFonts w:cs="Arial"/>
          <w:sz w:val="20"/>
        </w:rPr>
        <w:t>HiLo</w:t>
      </w:r>
      <w:proofErr w:type="spellEnd"/>
      <w:r w:rsidRPr="0046048B">
        <w:rPr>
          <w:rFonts w:cs="Arial"/>
          <w:sz w:val="20"/>
        </w:rPr>
        <w:t xml:space="preserve">)). Urządzenie może posiadać dodatkową funkcję emitowania sygnału ciągłego </w:t>
      </w:r>
      <w:proofErr w:type="spellStart"/>
      <w:r w:rsidRPr="0046048B">
        <w:rPr>
          <w:rFonts w:cs="Arial"/>
          <w:sz w:val="20"/>
        </w:rPr>
        <w:t>tzw</w:t>
      </w:r>
      <w:proofErr w:type="spellEnd"/>
      <w:r w:rsidRPr="0046048B">
        <w:rPr>
          <w:rFonts w:cs="Arial"/>
          <w:sz w:val="20"/>
        </w:rPr>
        <w:t xml:space="preserve"> „poganiacz </w:t>
      </w:r>
      <w:proofErr w:type="spellStart"/>
      <w:r w:rsidRPr="0046048B">
        <w:rPr>
          <w:rFonts w:cs="Arial"/>
          <w:sz w:val="20"/>
        </w:rPr>
        <w:t>horn</w:t>
      </w:r>
      <w:proofErr w:type="spellEnd"/>
      <w:r w:rsidRPr="0046048B">
        <w:rPr>
          <w:rFonts w:cs="Arial"/>
          <w:sz w:val="20"/>
        </w:rPr>
        <w:t>”</w:t>
      </w:r>
    </w:p>
    <w:p w:rsidR="00012AE8" w:rsidRPr="0046048B" w:rsidRDefault="00012AE8" w:rsidP="00012AE8">
      <w:pPr>
        <w:pStyle w:val="Mario"/>
        <w:numPr>
          <w:ilvl w:val="1"/>
          <w:numId w:val="8"/>
        </w:numPr>
        <w:spacing w:line="100" w:lineRule="atLeast"/>
        <w:ind w:left="1418" w:hanging="425"/>
        <w:rPr>
          <w:rFonts w:cs="Arial"/>
          <w:sz w:val="20"/>
        </w:rPr>
      </w:pPr>
      <w:r w:rsidRPr="0046048B">
        <w:rPr>
          <w:rFonts w:cs="Arial"/>
          <w:sz w:val="20"/>
        </w:rPr>
        <w:t xml:space="preserve">przełączania tonu sygnału uprzywilejowania: w kolejności </w:t>
      </w:r>
      <w:proofErr w:type="spellStart"/>
      <w:r w:rsidRPr="0046048B">
        <w:rPr>
          <w:rFonts w:cs="Arial"/>
          <w:sz w:val="20"/>
        </w:rPr>
        <w:t>Wail</w:t>
      </w:r>
      <w:proofErr w:type="spellEnd"/>
      <w:r w:rsidRPr="0046048B">
        <w:rPr>
          <w:rFonts w:cs="Arial"/>
          <w:sz w:val="20"/>
        </w:rPr>
        <w:t xml:space="preserve"> -&gt; </w:t>
      </w:r>
      <w:proofErr w:type="spellStart"/>
      <w:r w:rsidRPr="0046048B">
        <w:rPr>
          <w:rFonts w:cs="Arial"/>
          <w:sz w:val="20"/>
        </w:rPr>
        <w:t>Yelp</w:t>
      </w:r>
      <w:proofErr w:type="spellEnd"/>
      <w:r w:rsidRPr="0046048B">
        <w:rPr>
          <w:rFonts w:cs="Arial"/>
          <w:sz w:val="20"/>
        </w:rPr>
        <w:t xml:space="preserve"> –&gt; </w:t>
      </w:r>
      <w:proofErr w:type="spellStart"/>
      <w:r w:rsidRPr="0046048B">
        <w:rPr>
          <w:rFonts w:cs="Arial"/>
          <w:sz w:val="20"/>
        </w:rPr>
        <w:t>Priority</w:t>
      </w:r>
      <w:proofErr w:type="spellEnd"/>
      <w:r w:rsidRPr="0046048B">
        <w:rPr>
          <w:rFonts w:cs="Arial"/>
          <w:sz w:val="20"/>
        </w:rPr>
        <w:t xml:space="preserve"> -&gt; </w:t>
      </w:r>
      <w:proofErr w:type="spellStart"/>
      <w:r w:rsidRPr="0046048B">
        <w:rPr>
          <w:rFonts w:cs="Arial"/>
          <w:sz w:val="20"/>
        </w:rPr>
        <w:t>HiLo</w:t>
      </w:r>
      <w:proofErr w:type="spellEnd"/>
      <w:r w:rsidRPr="0046048B">
        <w:rPr>
          <w:rFonts w:cs="Arial"/>
          <w:sz w:val="20"/>
        </w:rPr>
        <w:t>, z wykorzystaniem manipulatora oraz dodatkowo za pomocą klaksonu pojazdu</w:t>
      </w:r>
    </w:p>
    <w:p w:rsidR="004C0E4B" w:rsidRPr="0046048B" w:rsidRDefault="004C0E4B" w:rsidP="004C0E4B">
      <w:pPr>
        <w:pStyle w:val="Mario"/>
        <w:numPr>
          <w:ilvl w:val="1"/>
          <w:numId w:val="8"/>
        </w:numPr>
        <w:spacing w:line="100" w:lineRule="atLeast"/>
        <w:ind w:left="1418" w:hanging="425"/>
        <w:rPr>
          <w:rFonts w:cs="Arial"/>
          <w:sz w:val="20"/>
        </w:rPr>
      </w:pPr>
      <w:r w:rsidRPr="0046048B">
        <w:rPr>
          <w:rFonts w:cs="Arial"/>
          <w:sz w:val="20"/>
        </w:rPr>
        <w:t>sterowania lampami sygnalizacji świetl</w:t>
      </w:r>
      <w:r w:rsidR="00850F4A">
        <w:rPr>
          <w:rFonts w:cs="Arial"/>
          <w:sz w:val="20"/>
        </w:rPr>
        <w:t xml:space="preserve">nej, o których mowa w pkt 2, 3, 5, 6 i </w:t>
      </w:r>
      <w:r w:rsidRPr="0046048B">
        <w:rPr>
          <w:rFonts w:cs="Arial"/>
          <w:sz w:val="20"/>
        </w:rPr>
        <w:t>7,</w:t>
      </w:r>
    </w:p>
    <w:p w:rsidR="004C0E4B" w:rsidRPr="0046048B" w:rsidRDefault="004C0E4B" w:rsidP="004C0E4B">
      <w:pPr>
        <w:pStyle w:val="Mario"/>
        <w:numPr>
          <w:ilvl w:val="1"/>
          <w:numId w:val="8"/>
        </w:numPr>
        <w:spacing w:line="100" w:lineRule="atLeast"/>
        <w:ind w:left="1418" w:hanging="425"/>
        <w:rPr>
          <w:rFonts w:cs="Arial"/>
          <w:sz w:val="20"/>
        </w:rPr>
      </w:pPr>
      <w:r w:rsidRPr="0046048B">
        <w:rPr>
          <w:rFonts w:cs="Arial"/>
          <w:sz w:val="20"/>
        </w:rPr>
        <w:t>rozgłaszania komunikatów i sterowania urządzeniem rozgłoszeniowym,</w:t>
      </w:r>
    </w:p>
    <w:p w:rsidR="004C0E4B" w:rsidRPr="0046048B" w:rsidRDefault="004C0E4B" w:rsidP="004C0E4B">
      <w:pPr>
        <w:pStyle w:val="Mario"/>
        <w:numPr>
          <w:ilvl w:val="1"/>
          <w:numId w:val="8"/>
        </w:numPr>
        <w:spacing w:line="100" w:lineRule="atLeast"/>
        <w:ind w:left="1418" w:hanging="425"/>
        <w:rPr>
          <w:rFonts w:cs="Arial"/>
          <w:sz w:val="20"/>
        </w:rPr>
      </w:pPr>
      <w:r w:rsidRPr="0046048B">
        <w:rPr>
          <w:rFonts w:cs="Arial"/>
          <w:sz w:val="20"/>
        </w:rPr>
        <w:t>sterowania oświetleniem pomocniczym.</w:t>
      </w:r>
    </w:p>
    <w:p w:rsidR="00012AE8" w:rsidRPr="0046048B" w:rsidRDefault="00012AE8" w:rsidP="00012AE8">
      <w:pPr>
        <w:pStyle w:val="Mario"/>
        <w:numPr>
          <w:ilvl w:val="1"/>
          <w:numId w:val="8"/>
        </w:numPr>
        <w:spacing w:line="100" w:lineRule="atLeast"/>
        <w:ind w:left="1418" w:hanging="425"/>
        <w:rPr>
          <w:rFonts w:cs="Arial"/>
          <w:sz w:val="20"/>
        </w:rPr>
      </w:pPr>
      <w:r w:rsidRPr="0046048B">
        <w:rPr>
          <w:rFonts w:cs="Arial"/>
          <w:sz w:val="20"/>
        </w:rPr>
        <w:t xml:space="preserve">zamawiający nie dopuszcza stosowania urządzenia emitującego ostrzegawcze sygnały uprzywilejowania, które posiada funkcję automatycznego zmieniania modulacji (tzw. „MIX”) </w:t>
      </w:r>
    </w:p>
    <w:p w:rsidR="004C0E4B" w:rsidRPr="0046048B" w:rsidRDefault="004C0E4B" w:rsidP="004C0E4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>Urządz</w:t>
      </w:r>
      <w:r w:rsidR="00850F4A">
        <w:rPr>
          <w:rFonts w:ascii="Arial" w:hAnsi="Arial" w:cs="Arial"/>
          <w:sz w:val="20"/>
          <w:szCs w:val="20"/>
        </w:rPr>
        <w:t xml:space="preserve">enie, o którym mowa w pkt </w:t>
      </w:r>
      <w:r w:rsidRPr="0046048B">
        <w:rPr>
          <w:rFonts w:ascii="Arial" w:hAnsi="Arial" w:cs="Arial"/>
          <w:sz w:val="20"/>
          <w:szCs w:val="20"/>
        </w:rPr>
        <w:t xml:space="preserve">9 musi posiadać dodatkową funkcję szybkiego włączania sygnalizacji uprzywilejowania. Funkcja musi być realizowana za pomocą przełącznika (o min. wymiarach przycisku 30x30 mm lub Ø </w:t>
      </w:r>
      <w:smartTag w:uri="urn:schemas-microsoft-com:office:smarttags" w:element="metricconverter">
        <w:smartTagPr>
          <w:attr w:name="ProductID" w:val="30 mm"/>
        </w:smartTagPr>
        <w:r w:rsidRPr="0046048B">
          <w:rPr>
            <w:rFonts w:ascii="Arial" w:hAnsi="Arial" w:cs="Arial"/>
            <w:sz w:val="20"/>
            <w:szCs w:val="20"/>
          </w:rPr>
          <w:t>30 mm</w:t>
        </w:r>
      </w:smartTag>
      <w:r w:rsidRPr="0046048B">
        <w:rPr>
          <w:rFonts w:ascii="Arial" w:hAnsi="Arial" w:cs="Arial"/>
          <w:sz w:val="20"/>
          <w:szCs w:val="20"/>
        </w:rPr>
        <w:t>) zamontowanego w miejscu łatwo dostępnym dla kierowcy i być uruchamiana w  następujący sposób:</w:t>
      </w:r>
    </w:p>
    <w:p w:rsidR="004C0E4B" w:rsidRPr="0046048B" w:rsidRDefault="004C0E4B" w:rsidP="004C0E4B">
      <w:pPr>
        <w:pStyle w:val="Mario"/>
        <w:numPr>
          <w:ilvl w:val="1"/>
          <w:numId w:val="6"/>
        </w:numPr>
        <w:spacing w:line="100" w:lineRule="atLeast"/>
        <w:rPr>
          <w:rFonts w:cs="Arial"/>
          <w:sz w:val="20"/>
        </w:rPr>
      </w:pPr>
      <w:r w:rsidRPr="0046048B">
        <w:rPr>
          <w:rFonts w:cs="Arial"/>
          <w:sz w:val="20"/>
        </w:rPr>
        <w:t>pierwsze wciśnięcie przełącznika musi włączać sygnalizację uprzywilejowania dźwiękową i świetlną w kolorze niebieskim,</w:t>
      </w:r>
    </w:p>
    <w:p w:rsidR="004C0E4B" w:rsidRPr="0046048B" w:rsidRDefault="004C0E4B" w:rsidP="004C0E4B">
      <w:pPr>
        <w:pStyle w:val="Mario"/>
        <w:numPr>
          <w:ilvl w:val="1"/>
          <w:numId w:val="6"/>
        </w:numPr>
        <w:spacing w:line="100" w:lineRule="atLeast"/>
        <w:rPr>
          <w:rFonts w:cs="Arial"/>
          <w:sz w:val="20"/>
        </w:rPr>
      </w:pPr>
      <w:r w:rsidRPr="0046048B">
        <w:rPr>
          <w:rFonts w:cs="Arial"/>
          <w:sz w:val="20"/>
        </w:rPr>
        <w:t>drugie wciśnięcie przełącznika musi włączać jedynie sygnalizację uprzywilejowania świetlną w kolorze niebieskim,</w:t>
      </w:r>
    </w:p>
    <w:p w:rsidR="004C0E4B" w:rsidRPr="0046048B" w:rsidRDefault="004C0E4B" w:rsidP="004C0E4B">
      <w:pPr>
        <w:pStyle w:val="Mario"/>
        <w:numPr>
          <w:ilvl w:val="1"/>
          <w:numId w:val="6"/>
        </w:numPr>
        <w:spacing w:line="100" w:lineRule="atLeast"/>
        <w:rPr>
          <w:rFonts w:cs="Arial"/>
          <w:sz w:val="20"/>
        </w:rPr>
      </w:pPr>
      <w:r w:rsidRPr="0046048B">
        <w:rPr>
          <w:rFonts w:cs="Arial"/>
          <w:sz w:val="20"/>
        </w:rPr>
        <w:t>trzecie wciśnięcie przełącznika musi całkowicie wyłączać sygnalizację uprzywilejowania.</w:t>
      </w:r>
    </w:p>
    <w:p w:rsidR="004C0E4B" w:rsidRPr="0046048B" w:rsidRDefault="004C0E4B" w:rsidP="004C0E4B">
      <w:pPr>
        <w:pStyle w:val="Mario"/>
        <w:spacing w:line="100" w:lineRule="atLeast"/>
        <w:ind w:left="1080"/>
        <w:rPr>
          <w:rFonts w:cs="Arial"/>
          <w:sz w:val="20"/>
        </w:rPr>
      </w:pPr>
      <w:r w:rsidRPr="0046048B">
        <w:rPr>
          <w:rFonts w:cs="Arial"/>
          <w:sz w:val="20"/>
        </w:rPr>
        <w:t>Każda pozycja przełącznika musi być sygnalizowana innym kolorem świecenia się lampki kontrolnej umieszczonej w przełączniku lub w miejscu zapewniającym dobrą widoczność dla kierowcy i dysponenta.</w:t>
      </w:r>
    </w:p>
    <w:p w:rsidR="004C0E4B" w:rsidRPr="0046048B" w:rsidRDefault="004C0E4B" w:rsidP="004C0E4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>Głośnik urządz</w:t>
      </w:r>
      <w:r w:rsidR="00850F4A">
        <w:rPr>
          <w:rFonts w:ascii="Arial" w:hAnsi="Arial" w:cs="Arial"/>
          <w:sz w:val="20"/>
          <w:szCs w:val="20"/>
        </w:rPr>
        <w:t xml:space="preserve">enia, o którym mowa w pkt </w:t>
      </w:r>
      <w:r w:rsidRPr="0046048B">
        <w:rPr>
          <w:rFonts w:ascii="Arial" w:hAnsi="Arial" w:cs="Arial"/>
          <w:sz w:val="20"/>
          <w:szCs w:val="20"/>
        </w:rPr>
        <w:t xml:space="preserve">9 musi być zamontowany </w:t>
      </w:r>
      <w:r w:rsidRPr="0046048B">
        <w:rPr>
          <w:rFonts w:ascii="Arial" w:hAnsi="Arial" w:cs="Arial"/>
          <w:sz w:val="20"/>
          <w:szCs w:val="20"/>
        </w:rPr>
        <w:br/>
        <w:t>w przedniej części pojazdu, w atrapie chłodnicy lub w przednim zderzaku. Sposób i miejsce montażu głośnika nie może ograniczać poziomu emitowanego dźwięku. Miejsce ingerencji w nadwozie pojazdu bazowego związane z montażem głośnika musi być od zewnętrznej strony osłonięte elementem maskującym (obudowa).</w:t>
      </w:r>
    </w:p>
    <w:p w:rsidR="004C0E4B" w:rsidRPr="0046048B" w:rsidRDefault="004C0E4B" w:rsidP="004C0E4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lastRenderedPageBreak/>
        <w:t>We wnętrzu pojazdu w miejscu gwarantującym łatwą obsługę przez kierowcę musi być zamontowany manipulator (z wbudowanym mikrofonem) umożliwiający sterowanie urządzen</w:t>
      </w:r>
      <w:r w:rsidR="00850F4A">
        <w:rPr>
          <w:rFonts w:ascii="Arial" w:hAnsi="Arial" w:cs="Arial"/>
          <w:sz w:val="20"/>
          <w:szCs w:val="20"/>
        </w:rPr>
        <w:t xml:space="preserve">iem, o którym mowa w pkt. </w:t>
      </w:r>
      <w:r w:rsidRPr="0046048B">
        <w:rPr>
          <w:rFonts w:ascii="Arial" w:hAnsi="Arial" w:cs="Arial"/>
          <w:sz w:val="20"/>
          <w:szCs w:val="20"/>
        </w:rPr>
        <w:t>9 i 10.</w:t>
      </w:r>
    </w:p>
    <w:p w:rsidR="004C0E4B" w:rsidRPr="0046048B" w:rsidRDefault="004C0E4B" w:rsidP="004C0E4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>Działanie urządzeń sygnalizacji uprzywilejowania pojazdu w ruchu drogowym musi spełniać następujące warunki:</w:t>
      </w:r>
    </w:p>
    <w:p w:rsidR="004C0E4B" w:rsidRPr="0046048B" w:rsidRDefault="004C0E4B" w:rsidP="004C0E4B">
      <w:pPr>
        <w:pStyle w:val="Mario"/>
        <w:numPr>
          <w:ilvl w:val="0"/>
          <w:numId w:val="7"/>
        </w:numPr>
        <w:spacing w:line="100" w:lineRule="atLeast"/>
        <w:ind w:left="1418" w:hanging="425"/>
        <w:rPr>
          <w:rFonts w:cs="Arial"/>
          <w:sz w:val="20"/>
        </w:rPr>
      </w:pPr>
      <w:r w:rsidRPr="0046048B">
        <w:rPr>
          <w:rFonts w:cs="Arial"/>
          <w:sz w:val="20"/>
        </w:rPr>
        <w:t>włączenie sygnalizacji dźwiękowej musi pociągać za sobą jednocześnie włączenie sygnalizacji świetlnej o barwie światła niebieskiej (nie może być możliwości włączenia samej sygnalizacji dźwiękowej, tj. bez równoczesnej sygnalizacji świetlnej),</w:t>
      </w:r>
    </w:p>
    <w:p w:rsidR="004C0E4B" w:rsidRPr="0046048B" w:rsidRDefault="004C0E4B" w:rsidP="004C0E4B">
      <w:pPr>
        <w:pStyle w:val="Mario"/>
        <w:numPr>
          <w:ilvl w:val="0"/>
          <w:numId w:val="7"/>
        </w:numPr>
        <w:spacing w:line="100" w:lineRule="atLeast"/>
        <w:ind w:left="1418" w:hanging="425"/>
        <w:rPr>
          <w:rFonts w:cs="Arial"/>
          <w:sz w:val="20"/>
        </w:rPr>
      </w:pPr>
      <w:r w:rsidRPr="0046048B">
        <w:rPr>
          <w:rFonts w:cs="Arial"/>
          <w:sz w:val="20"/>
        </w:rPr>
        <w:t>musi istnieć możliwość włączenia samej sygnalizacji świetlnej o barwie światła niebieskiej (bez sygnalizacji dźwiękowej),</w:t>
      </w:r>
    </w:p>
    <w:p w:rsidR="004C0E4B" w:rsidRPr="0046048B" w:rsidRDefault="004C0E4B" w:rsidP="004C0E4B">
      <w:pPr>
        <w:pStyle w:val="Mario"/>
        <w:numPr>
          <w:ilvl w:val="0"/>
          <w:numId w:val="7"/>
        </w:numPr>
        <w:spacing w:line="100" w:lineRule="atLeast"/>
        <w:ind w:left="1418" w:hanging="425"/>
        <w:rPr>
          <w:rFonts w:cs="Arial"/>
          <w:sz w:val="20"/>
        </w:rPr>
      </w:pPr>
      <w:r w:rsidRPr="0046048B">
        <w:rPr>
          <w:rFonts w:cs="Arial"/>
          <w:sz w:val="20"/>
        </w:rPr>
        <w:t>włączenie lamp uprzywilejowania pojazdu w ruchu drogowym musi być sygnalizowane lampką kontrolną,</w:t>
      </w:r>
    </w:p>
    <w:p w:rsidR="004C0E4B" w:rsidRPr="00850F4A" w:rsidRDefault="004C0E4B" w:rsidP="004C0E4B">
      <w:pPr>
        <w:pStyle w:val="Mario"/>
        <w:numPr>
          <w:ilvl w:val="0"/>
          <w:numId w:val="7"/>
        </w:numPr>
        <w:spacing w:line="100" w:lineRule="atLeast"/>
        <w:ind w:left="1418" w:hanging="425"/>
        <w:rPr>
          <w:rFonts w:cs="Arial"/>
          <w:sz w:val="20"/>
        </w:rPr>
      </w:pPr>
      <w:r w:rsidRPr="00850F4A">
        <w:rPr>
          <w:rFonts w:cs="Arial"/>
          <w:sz w:val="20"/>
        </w:rPr>
        <w:t>włączenie sygnalizacji świetlnej o barwie światła czerwonej musi pociągać za sobą włączenie sygnalizacji świetlnej o barwie światła niebieskiej,</w:t>
      </w:r>
    </w:p>
    <w:p w:rsidR="004C0E4B" w:rsidRPr="0046048B" w:rsidRDefault="004C0E4B" w:rsidP="004C0E4B">
      <w:pPr>
        <w:pStyle w:val="Mario"/>
        <w:numPr>
          <w:ilvl w:val="0"/>
          <w:numId w:val="7"/>
        </w:numPr>
        <w:spacing w:line="100" w:lineRule="atLeast"/>
        <w:ind w:left="1418" w:hanging="425"/>
        <w:rPr>
          <w:rFonts w:cs="Arial"/>
          <w:sz w:val="20"/>
        </w:rPr>
      </w:pPr>
      <w:r w:rsidRPr="0046048B">
        <w:rPr>
          <w:rFonts w:cs="Arial"/>
          <w:sz w:val="20"/>
        </w:rPr>
        <w:t>włączenie urządzenia rozgłoszeniowego musi przerywać emisję dźwiękowych sygnałów ostrzegawczych, zaś jego wyłączenie powodować dalszą pracę sygnalizacji dźwiękowej, o ile była ona wcześniej włączona,</w:t>
      </w:r>
    </w:p>
    <w:p w:rsidR="00CB1B81" w:rsidRPr="00850F4A" w:rsidRDefault="004C0E4B" w:rsidP="00CB1B81">
      <w:pPr>
        <w:pStyle w:val="Mario"/>
        <w:numPr>
          <w:ilvl w:val="0"/>
          <w:numId w:val="7"/>
        </w:numPr>
        <w:spacing w:line="100" w:lineRule="atLeast"/>
        <w:ind w:left="1418" w:hanging="425"/>
        <w:rPr>
          <w:rFonts w:cs="Arial"/>
          <w:sz w:val="20"/>
        </w:rPr>
      </w:pPr>
      <w:r w:rsidRPr="0046048B">
        <w:rPr>
          <w:rFonts w:cs="Arial"/>
          <w:sz w:val="20"/>
        </w:rPr>
        <w:t>działanie sygnalizacji świetlnej musi być możliwe również przy wyjętym kluczyku ze stacyjki pojazdu,</w:t>
      </w:r>
    </w:p>
    <w:p w:rsidR="004C0E4B" w:rsidRPr="00850F4A" w:rsidRDefault="004C0E4B" w:rsidP="004C0E4B">
      <w:pPr>
        <w:pStyle w:val="Mario"/>
        <w:numPr>
          <w:ilvl w:val="0"/>
          <w:numId w:val="7"/>
        </w:numPr>
        <w:spacing w:line="100" w:lineRule="atLeast"/>
        <w:ind w:left="1418" w:hanging="425"/>
        <w:rPr>
          <w:rFonts w:cs="Arial"/>
          <w:sz w:val="20"/>
        </w:rPr>
      </w:pPr>
      <w:r w:rsidRPr="00850F4A">
        <w:rPr>
          <w:rFonts w:cs="Arial"/>
          <w:sz w:val="20"/>
        </w:rPr>
        <w:t>włączenie świateł pozycyjnych lub mijania lub drogowych w pojeździe musi powodować włączenie świetlnego napisu „</w:t>
      </w:r>
      <w:r w:rsidR="00CB1B81" w:rsidRPr="00850F4A">
        <w:rPr>
          <w:rFonts w:cs="Arial"/>
          <w:sz w:val="20"/>
        </w:rPr>
        <w:t>STRAŻ</w:t>
      </w:r>
      <w:r w:rsidRPr="00850F4A">
        <w:rPr>
          <w:rFonts w:cs="Arial"/>
          <w:sz w:val="20"/>
        </w:rPr>
        <w:t>” umieszczonego w zespolonej lampie ostrzegawczej,</w:t>
      </w:r>
    </w:p>
    <w:p w:rsidR="004C0E4B" w:rsidRPr="0046048B" w:rsidRDefault="004C0E4B" w:rsidP="004C0E4B">
      <w:pPr>
        <w:pStyle w:val="Mario"/>
        <w:numPr>
          <w:ilvl w:val="0"/>
          <w:numId w:val="7"/>
        </w:numPr>
        <w:spacing w:line="100" w:lineRule="atLeast"/>
        <w:ind w:left="1418" w:hanging="425"/>
        <w:rPr>
          <w:rFonts w:cs="Arial"/>
          <w:sz w:val="20"/>
        </w:rPr>
      </w:pPr>
      <w:r w:rsidRPr="0046048B">
        <w:rPr>
          <w:rFonts w:cs="Arial"/>
          <w:sz w:val="20"/>
        </w:rPr>
        <w:t>przy zapalonych światłach dziennych włączenie sygnalizacji dźwiękowej musi pociągać za sobą jednocześnie włączenie świateł mijania, a wyłączenie sygnalizacji dźwiękowej musi powodować powrót do funkcji świecenia świateł dziennych.</w:t>
      </w:r>
    </w:p>
    <w:p w:rsidR="0089654F" w:rsidRDefault="0089654F"/>
    <w:sectPr w:rsidR="008965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750" w:rsidRDefault="00BF1750" w:rsidP="00BF1750">
      <w:pPr>
        <w:spacing w:after="0" w:line="240" w:lineRule="auto"/>
      </w:pPr>
      <w:r>
        <w:separator/>
      </w:r>
    </w:p>
  </w:endnote>
  <w:endnote w:type="continuationSeparator" w:id="0">
    <w:p w:rsidR="00BF1750" w:rsidRDefault="00BF1750" w:rsidP="00BF1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750" w:rsidRDefault="00BF1750" w:rsidP="00BF1750">
      <w:pPr>
        <w:spacing w:after="0" w:line="240" w:lineRule="auto"/>
      </w:pPr>
      <w:r>
        <w:separator/>
      </w:r>
    </w:p>
  </w:footnote>
  <w:footnote w:type="continuationSeparator" w:id="0">
    <w:p w:rsidR="00BF1750" w:rsidRDefault="00BF1750" w:rsidP="00BF1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750" w:rsidRDefault="00D948B4" w:rsidP="00BF1750">
    <w:pPr>
      <w:pStyle w:val="Nagwek"/>
      <w:jc w:val="right"/>
    </w:pPr>
    <w:r>
      <w:t>Załącznik nr 1 do Wymagań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51E30"/>
    <w:multiLevelType w:val="hybridMultilevel"/>
    <w:tmpl w:val="4CDAD5F0"/>
    <w:lvl w:ilvl="0" w:tplc="723AB91A">
      <w:start w:val="1"/>
      <w:numFmt w:val="lowerLetter"/>
      <w:lvlText w:val="%1)"/>
      <w:lvlJc w:val="left"/>
      <w:pPr>
        <w:ind w:left="1653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0563C"/>
    <w:multiLevelType w:val="hybridMultilevel"/>
    <w:tmpl w:val="44889C6C"/>
    <w:lvl w:ilvl="0" w:tplc="723AB91A">
      <w:start w:val="1"/>
      <w:numFmt w:val="lowerLetter"/>
      <w:lvlText w:val="%1)"/>
      <w:lvlJc w:val="left"/>
      <w:pPr>
        <w:ind w:left="1653" w:hanging="360"/>
      </w:pPr>
      <w:rPr>
        <w:rFonts w:hint="default"/>
      </w:rPr>
    </w:lvl>
    <w:lvl w:ilvl="1" w:tplc="64F21EFA">
      <w:start w:val="1"/>
      <w:numFmt w:val="lowerLetter"/>
      <w:lvlText w:val="%2)"/>
      <w:lvlJc w:val="left"/>
      <w:pPr>
        <w:ind w:left="2373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093" w:hanging="180"/>
      </w:pPr>
    </w:lvl>
    <w:lvl w:ilvl="3" w:tplc="0415000F" w:tentative="1">
      <w:start w:val="1"/>
      <w:numFmt w:val="decimal"/>
      <w:lvlText w:val="%4."/>
      <w:lvlJc w:val="left"/>
      <w:pPr>
        <w:ind w:left="3813" w:hanging="360"/>
      </w:pPr>
    </w:lvl>
    <w:lvl w:ilvl="4" w:tplc="04150019" w:tentative="1">
      <w:start w:val="1"/>
      <w:numFmt w:val="lowerLetter"/>
      <w:lvlText w:val="%5."/>
      <w:lvlJc w:val="left"/>
      <w:pPr>
        <w:ind w:left="4533" w:hanging="360"/>
      </w:pPr>
    </w:lvl>
    <w:lvl w:ilvl="5" w:tplc="0415001B" w:tentative="1">
      <w:start w:val="1"/>
      <w:numFmt w:val="lowerRoman"/>
      <w:lvlText w:val="%6."/>
      <w:lvlJc w:val="right"/>
      <w:pPr>
        <w:ind w:left="5253" w:hanging="180"/>
      </w:pPr>
    </w:lvl>
    <w:lvl w:ilvl="6" w:tplc="0415000F" w:tentative="1">
      <w:start w:val="1"/>
      <w:numFmt w:val="decimal"/>
      <w:lvlText w:val="%7."/>
      <w:lvlJc w:val="left"/>
      <w:pPr>
        <w:ind w:left="5973" w:hanging="360"/>
      </w:pPr>
    </w:lvl>
    <w:lvl w:ilvl="7" w:tplc="04150019" w:tentative="1">
      <w:start w:val="1"/>
      <w:numFmt w:val="lowerLetter"/>
      <w:lvlText w:val="%8."/>
      <w:lvlJc w:val="left"/>
      <w:pPr>
        <w:ind w:left="6693" w:hanging="360"/>
      </w:pPr>
    </w:lvl>
    <w:lvl w:ilvl="8" w:tplc="0415001B" w:tentative="1">
      <w:start w:val="1"/>
      <w:numFmt w:val="lowerRoman"/>
      <w:lvlText w:val="%9."/>
      <w:lvlJc w:val="right"/>
      <w:pPr>
        <w:ind w:left="7413" w:hanging="180"/>
      </w:pPr>
    </w:lvl>
  </w:abstractNum>
  <w:abstractNum w:abstractNumId="2" w15:restartNumberingAfterBreak="0">
    <w:nsid w:val="421F510B"/>
    <w:multiLevelType w:val="multilevel"/>
    <w:tmpl w:val="F8127454"/>
    <w:lvl w:ilvl="0">
      <w:start w:val="1"/>
      <w:numFmt w:val="decimal"/>
      <w:lvlText w:val="%1."/>
      <w:lvlJc w:val="left"/>
      <w:pPr>
        <w:tabs>
          <w:tab w:val="num" w:pos="1021"/>
        </w:tabs>
        <w:ind w:left="1021" w:hanging="454"/>
      </w:pPr>
      <w:rPr>
        <w:rFonts w:ascii="Verdana" w:eastAsia="Calibri" w:hAnsi="Verdana" w:cs="Arial" w:hint="default"/>
        <w:b w:val="0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  <w:b w:val="0"/>
        <w:i w:val="0"/>
        <w:color w:val="auto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" w15:restartNumberingAfterBreak="0">
    <w:nsid w:val="43A308EC"/>
    <w:multiLevelType w:val="hybridMultilevel"/>
    <w:tmpl w:val="07604C84"/>
    <w:name w:val="WW8Num262222"/>
    <w:lvl w:ilvl="0" w:tplc="0762B9D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24F86"/>
    <w:multiLevelType w:val="hybridMultilevel"/>
    <w:tmpl w:val="4CDAD5F0"/>
    <w:lvl w:ilvl="0" w:tplc="723AB91A">
      <w:start w:val="1"/>
      <w:numFmt w:val="lowerLetter"/>
      <w:lvlText w:val="%1)"/>
      <w:lvlJc w:val="left"/>
      <w:pPr>
        <w:ind w:left="1653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967C0"/>
    <w:multiLevelType w:val="hybridMultilevel"/>
    <w:tmpl w:val="F464539C"/>
    <w:name w:val="WW8Num26222222"/>
    <w:lvl w:ilvl="0" w:tplc="64F21EFA">
      <w:start w:val="1"/>
      <w:numFmt w:val="lowerLetter"/>
      <w:lvlText w:val="%1)"/>
      <w:lvlJc w:val="left"/>
      <w:pPr>
        <w:ind w:left="237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CF5A16"/>
    <w:multiLevelType w:val="hybridMultilevel"/>
    <w:tmpl w:val="76CA8F04"/>
    <w:name w:val="WW8Num26222"/>
    <w:lvl w:ilvl="0" w:tplc="B868EB42">
      <w:start w:val="4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B37CE5"/>
    <w:multiLevelType w:val="hybridMultilevel"/>
    <w:tmpl w:val="F74E19B2"/>
    <w:name w:val="WW8Num2622"/>
    <w:lvl w:ilvl="0" w:tplc="6AB2867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E4B"/>
    <w:rsid w:val="00012AE8"/>
    <w:rsid w:val="00063A9F"/>
    <w:rsid w:val="001231D3"/>
    <w:rsid w:val="002C5887"/>
    <w:rsid w:val="00312DB9"/>
    <w:rsid w:val="0046048B"/>
    <w:rsid w:val="004C0E4B"/>
    <w:rsid w:val="0056582D"/>
    <w:rsid w:val="00783A74"/>
    <w:rsid w:val="00850F4A"/>
    <w:rsid w:val="0088393A"/>
    <w:rsid w:val="0089654F"/>
    <w:rsid w:val="008D1FF1"/>
    <w:rsid w:val="00944B8D"/>
    <w:rsid w:val="00A760E8"/>
    <w:rsid w:val="00BF1750"/>
    <w:rsid w:val="00CB1B81"/>
    <w:rsid w:val="00D948B4"/>
    <w:rsid w:val="00DE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D8B084"/>
  <w15:chartTrackingRefBased/>
  <w15:docId w15:val="{D6B2D6EC-A03E-49E8-86DD-545B88BFA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0E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ario">
    <w:name w:val="Mario"/>
    <w:basedOn w:val="Normalny"/>
    <w:rsid w:val="004C0E4B"/>
    <w:pPr>
      <w:widowControl w:val="0"/>
      <w:suppressAutoHyphens/>
      <w:spacing w:after="0" w:line="360" w:lineRule="auto"/>
      <w:jc w:val="both"/>
    </w:pPr>
    <w:rPr>
      <w:rFonts w:ascii="Arial" w:eastAsia="Times New Roman" w:hAnsi="Arial"/>
      <w:sz w:val="24"/>
      <w:szCs w:val="20"/>
      <w:lang w:eastAsia="ar-SA"/>
    </w:rPr>
  </w:style>
  <w:style w:type="character" w:customStyle="1" w:styleId="WW8Num56z0">
    <w:name w:val="WW8Num56z0"/>
    <w:rsid w:val="004C0E4B"/>
    <w:rPr>
      <w:strike w:val="0"/>
      <w:dstrike w:val="0"/>
    </w:rPr>
  </w:style>
  <w:style w:type="paragraph" w:styleId="Akapitzlist">
    <w:name w:val="List Paragraph"/>
    <w:basedOn w:val="Normalny"/>
    <w:uiPriority w:val="34"/>
    <w:qFormat/>
    <w:rsid w:val="0046048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1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17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F1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175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1395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Sc</dc:creator>
  <cp:keywords/>
  <dc:description/>
  <cp:lastModifiedBy>Tomasz Starosta</cp:lastModifiedBy>
  <cp:revision>3</cp:revision>
  <dcterms:created xsi:type="dcterms:W3CDTF">2021-07-21T06:03:00Z</dcterms:created>
  <dcterms:modified xsi:type="dcterms:W3CDTF">2021-07-21T07:39:00Z</dcterms:modified>
</cp:coreProperties>
</file>