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E6297" w14:textId="77777777" w:rsidR="005D3271" w:rsidRPr="00187BF9" w:rsidRDefault="005D3271" w:rsidP="00187BF9">
      <w:pPr>
        <w:rPr>
          <w:rFonts w:ascii="Times New Roman" w:hAnsi="Times New Roman" w:cs="Times New Roman"/>
        </w:rPr>
      </w:pPr>
    </w:p>
    <w:p w14:paraId="7C0F579A" w14:textId="69C1D7FD"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 xml:space="preserve">Poniżej publikujemy zestaw </w:t>
      </w:r>
      <w:r w:rsidRPr="00187BF9">
        <w:rPr>
          <w:rFonts w:ascii="Times New Roman" w:eastAsia="Times New Roman" w:hAnsi="Times New Roman" w:cs="Times New Roman"/>
          <w:b/>
          <w:bCs/>
          <w:spacing w:val="3"/>
          <w:kern w:val="0"/>
          <w:sz w:val="27"/>
          <w:szCs w:val="27"/>
          <w:lang w:eastAsia="pl-PL"/>
          <w14:ligatures w14:val="none"/>
        </w:rPr>
        <w:t>zagadnień</w:t>
      </w:r>
      <w:r w:rsidRPr="00187BF9">
        <w:rPr>
          <w:rFonts w:ascii="Times New Roman" w:eastAsia="Times New Roman" w:hAnsi="Times New Roman" w:cs="Times New Roman"/>
          <w:spacing w:val="3"/>
          <w:kern w:val="0"/>
          <w:sz w:val="27"/>
          <w:szCs w:val="27"/>
          <w:lang w:eastAsia="pl-PL"/>
          <w14:ligatures w14:val="none"/>
        </w:rPr>
        <w:t xml:space="preserve"> wraz z dyspozycjami oraz bibliografią. Każde z nich stawia określone problemy badawcze, wskazuje kierunki interpretacji oraz inspiruje do samodzielnych poszukiwań. </w:t>
      </w:r>
      <w:r w:rsidRPr="00187BF9">
        <w:rPr>
          <w:rFonts w:ascii="Times New Roman" w:eastAsia="Times New Roman" w:hAnsi="Times New Roman" w:cs="Times New Roman"/>
          <w:b/>
          <w:bCs/>
          <w:spacing w:val="3"/>
          <w:kern w:val="0"/>
          <w:sz w:val="27"/>
          <w:szCs w:val="27"/>
          <w:lang w:eastAsia="pl-PL"/>
          <w14:ligatures w14:val="none"/>
        </w:rPr>
        <w:t>Uczestnicy nie piszą pracy w domu</w:t>
      </w:r>
      <w:r w:rsidRPr="00187BF9">
        <w:rPr>
          <w:rFonts w:ascii="Times New Roman" w:eastAsia="Times New Roman" w:hAnsi="Times New Roman" w:cs="Times New Roman"/>
          <w:spacing w:val="3"/>
          <w:kern w:val="0"/>
          <w:sz w:val="27"/>
          <w:szCs w:val="27"/>
          <w:lang w:eastAsia="pl-PL"/>
          <w14:ligatures w14:val="none"/>
        </w:rPr>
        <w:t xml:space="preserve">, lecz opracowują wybrane przez siebie zagadnienie: powinni przeczytać proponowane utwory literackie i opracowania, przygotowywać na własny użytek notatki z lektury. </w:t>
      </w:r>
    </w:p>
    <w:p w14:paraId="73A0AF12" w14:textId="4BB9E4B8"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b/>
          <w:bCs/>
          <w:spacing w:val="3"/>
          <w:kern w:val="0"/>
          <w:sz w:val="27"/>
          <w:szCs w:val="27"/>
          <w:lang w:eastAsia="pl-PL"/>
          <w14:ligatures w14:val="none"/>
        </w:rPr>
        <w:t>Praca pisemna w szkole</w:t>
      </w:r>
    </w:p>
    <w:p w14:paraId="766936C1" w14:textId="5031075F"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 xml:space="preserve">Część pisemna zawodów organizowana jest w szkołach. Zestawy </w:t>
      </w:r>
      <w:r w:rsidRPr="00187BF9">
        <w:rPr>
          <w:rFonts w:ascii="Times New Roman" w:eastAsia="Times New Roman" w:hAnsi="Times New Roman" w:cs="Times New Roman"/>
          <w:b/>
          <w:bCs/>
          <w:spacing w:val="3"/>
          <w:kern w:val="0"/>
          <w:sz w:val="27"/>
          <w:szCs w:val="27"/>
          <w:lang w:eastAsia="pl-PL"/>
          <w14:ligatures w14:val="none"/>
        </w:rPr>
        <w:t>tematów</w:t>
      </w:r>
      <w:r w:rsidRPr="00187BF9">
        <w:rPr>
          <w:rFonts w:ascii="Times New Roman" w:eastAsia="Times New Roman" w:hAnsi="Times New Roman" w:cs="Times New Roman"/>
          <w:spacing w:val="3"/>
          <w:kern w:val="0"/>
          <w:sz w:val="27"/>
          <w:szCs w:val="27"/>
          <w:lang w:eastAsia="pl-PL"/>
          <w14:ligatures w14:val="none"/>
        </w:rPr>
        <w:t xml:space="preserve"> </w:t>
      </w:r>
      <w:proofErr w:type="spellStart"/>
      <w:r w:rsidRPr="00187BF9">
        <w:rPr>
          <w:rFonts w:ascii="Times New Roman" w:eastAsia="Times New Roman" w:hAnsi="Times New Roman" w:cs="Times New Roman"/>
          <w:spacing w:val="3"/>
          <w:kern w:val="0"/>
          <w:sz w:val="27"/>
          <w:szCs w:val="27"/>
          <w:lang w:eastAsia="pl-PL"/>
          <w14:ligatures w14:val="none"/>
        </w:rPr>
        <w:t>rozprawkowych</w:t>
      </w:r>
      <w:proofErr w:type="spellEnd"/>
      <w:r w:rsidRPr="00187BF9">
        <w:rPr>
          <w:rFonts w:ascii="Times New Roman" w:eastAsia="Times New Roman" w:hAnsi="Times New Roman" w:cs="Times New Roman"/>
          <w:spacing w:val="3"/>
          <w:kern w:val="0"/>
          <w:sz w:val="27"/>
          <w:szCs w:val="27"/>
          <w:lang w:eastAsia="pl-PL"/>
          <w14:ligatures w14:val="none"/>
        </w:rPr>
        <w:t xml:space="preserve">, przesyłane do szkół przez Komitet Główny, będą rozwinięciem i kontynuacją </w:t>
      </w:r>
      <w:r w:rsidRPr="00187BF9">
        <w:rPr>
          <w:rFonts w:ascii="Times New Roman" w:eastAsia="Times New Roman" w:hAnsi="Times New Roman" w:cs="Times New Roman"/>
          <w:b/>
          <w:bCs/>
          <w:spacing w:val="3"/>
          <w:kern w:val="0"/>
          <w:sz w:val="27"/>
          <w:szCs w:val="27"/>
          <w:lang w:eastAsia="pl-PL"/>
          <w14:ligatures w14:val="none"/>
        </w:rPr>
        <w:t>zagadnień</w:t>
      </w:r>
      <w:r w:rsidRPr="00187BF9">
        <w:rPr>
          <w:rFonts w:ascii="Times New Roman" w:eastAsia="Times New Roman" w:hAnsi="Times New Roman" w:cs="Times New Roman"/>
          <w:spacing w:val="3"/>
          <w:kern w:val="0"/>
          <w:sz w:val="27"/>
          <w:szCs w:val="27"/>
          <w:lang w:eastAsia="pl-PL"/>
          <w14:ligatures w14:val="none"/>
        </w:rPr>
        <w:t xml:space="preserve"> opublikowanych wcześniej. Do każdego z zagadnień zostanie przesłany temat (jeden lub najwyżej dwa). Podjęcie tematu jest zarazem ostatecznym wyborem zagadnienia, o którym Uczestnik będzie pisał podczas zawodów szkolnych i rozmawiał z komisją w czasie ustnej części zawodów II stopnia (okręgowych). Jeśli wybierze temat z zakresu wiedzy o teatrze, będzie to zarazem wybór specjalizacji teatrologicznej. Do napisania rozprawki niezbędna jest znajomość lektur i opracowań wskazanych w wybranym zagadnieniu.</w:t>
      </w:r>
    </w:p>
    <w:p w14:paraId="3D6675A3"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b/>
          <w:bCs/>
          <w:spacing w:val="3"/>
          <w:kern w:val="0"/>
          <w:sz w:val="27"/>
          <w:szCs w:val="27"/>
          <w:lang w:eastAsia="pl-PL"/>
          <w14:ligatures w14:val="none"/>
        </w:rPr>
        <w:t>Podczas zawodów I stopnia uczestnik może korzystać z wcześniej przygotowanych materiałów</w:t>
      </w:r>
      <w:r w:rsidRPr="00187BF9">
        <w:rPr>
          <w:rFonts w:ascii="Times New Roman" w:eastAsia="Times New Roman" w:hAnsi="Times New Roman" w:cs="Times New Roman"/>
          <w:spacing w:val="3"/>
          <w:kern w:val="0"/>
          <w:sz w:val="27"/>
          <w:szCs w:val="27"/>
          <w:lang w:eastAsia="pl-PL"/>
          <w14:ligatures w14:val="none"/>
        </w:rPr>
        <w:t xml:space="preserve"> pomocniczych obejmujących:</w:t>
      </w:r>
    </w:p>
    <w:p w14:paraId="1EBBBADE" w14:textId="77777777" w:rsidR="005D3271" w:rsidRPr="00187BF9" w:rsidRDefault="005D3271" w:rsidP="00187BF9">
      <w:pPr>
        <w:numPr>
          <w:ilvl w:val="0"/>
          <w:numId w:val="1"/>
        </w:numPr>
        <w:spacing w:before="300" w:after="300" w:line="240" w:lineRule="auto"/>
        <w:ind w:left="495"/>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wydruk wybranego zagadnienia zawodów I stopnia (bez żadnych notatek);</w:t>
      </w:r>
    </w:p>
    <w:p w14:paraId="22FCA985" w14:textId="77777777" w:rsidR="005D3271" w:rsidRPr="00187BF9" w:rsidRDefault="005D3271" w:rsidP="00187BF9">
      <w:pPr>
        <w:numPr>
          <w:ilvl w:val="0"/>
          <w:numId w:val="1"/>
        </w:numPr>
        <w:spacing w:before="300" w:after="300" w:line="240" w:lineRule="auto"/>
        <w:ind w:left="495"/>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notatki o objętości nieprzekraczającej 2 stron formatu A4, sporządzone czcionką Times New Roman 12 pkt, z interlinią 1,5.</w:t>
      </w:r>
    </w:p>
    <w:p w14:paraId="5200291C"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 xml:space="preserve">Notatki mogą zawierać </w:t>
      </w:r>
      <w:r w:rsidRPr="00187BF9">
        <w:rPr>
          <w:rFonts w:ascii="Times New Roman" w:eastAsia="Times New Roman" w:hAnsi="Times New Roman" w:cs="Times New Roman"/>
          <w:b/>
          <w:bCs/>
          <w:spacing w:val="3"/>
          <w:kern w:val="0"/>
          <w:sz w:val="27"/>
          <w:szCs w:val="27"/>
          <w:lang w:eastAsia="pl-PL"/>
          <w14:ligatures w14:val="none"/>
        </w:rPr>
        <w:t>wyłącznie</w:t>
      </w:r>
      <w:r w:rsidRPr="00187BF9">
        <w:rPr>
          <w:rFonts w:ascii="Times New Roman" w:eastAsia="Times New Roman" w:hAnsi="Times New Roman" w:cs="Times New Roman"/>
          <w:spacing w:val="3"/>
          <w:kern w:val="0"/>
          <w:sz w:val="27"/>
          <w:szCs w:val="27"/>
          <w:lang w:eastAsia="pl-PL"/>
          <w14:ligatures w14:val="none"/>
        </w:rPr>
        <w:t xml:space="preserve"> cytaty z utworów literackich i opracowań wraz z podaniem źródeł (podstawowych danych bibliograficznych, łącznie z numerem strony) oraz definicje (w ścisłym słownikowym znaczeniu pojęcia) terminów literackich niezbędnych do opracowania wybranego zagadnienia lub materiał przykładowy, niezbędny do realizacji tematu językowego. Przed wejściem na salę uczestnik przekazuje przygotowane materiały opiekunowi naukowemu w celu weryfikacji ich zgodności z regulaminem; opiekun potwierdza ich poprawność własnoręcznym podpisem.</w:t>
      </w:r>
    </w:p>
    <w:p w14:paraId="1E3CB661" w14:textId="77777777" w:rsidR="005D3271" w:rsidRPr="00187BF9" w:rsidRDefault="005D3271" w:rsidP="00187BF9">
      <w:pPr>
        <w:spacing w:after="0" w:line="240" w:lineRule="auto"/>
        <w:jc w:val="both"/>
        <w:rPr>
          <w:rFonts w:ascii="Times New Roman" w:eastAsia="Times New Roman" w:hAnsi="Times New Roman" w:cs="Times New Roman"/>
          <w:b/>
          <w:bCs/>
          <w:spacing w:val="3"/>
          <w:kern w:val="0"/>
          <w:sz w:val="27"/>
          <w:szCs w:val="27"/>
          <w:lang w:eastAsia="pl-PL"/>
          <w14:ligatures w14:val="none"/>
        </w:rPr>
      </w:pPr>
    </w:p>
    <w:p w14:paraId="0F4C3330"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b/>
          <w:bCs/>
          <w:spacing w:val="3"/>
          <w:kern w:val="0"/>
          <w:sz w:val="27"/>
          <w:szCs w:val="27"/>
          <w:lang w:eastAsia="pl-PL"/>
          <w14:ligatures w14:val="none"/>
        </w:rPr>
        <w:t>Zagadnienia na zawody szkolne LVII OLiJP</w:t>
      </w:r>
    </w:p>
    <w:p w14:paraId="79547281"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 xml:space="preserve">1. </w:t>
      </w:r>
      <w:hyperlink r:id="rId5" w:history="1">
        <w:r w:rsidRPr="00187BF9">
          <w:rPr>
            <w:rFonts w:ascii="Times New Roman" w:eastAsia="Times New Roman" w:hAnsi="Times New Roman" w:cs="Times New Roman"/>
            <w:spacing w:val="3"/>
            <w:kern w:val="0"/>
            <w:sz w:val="27"/>
            <w:szCs w:val="27"/>
            <w:u w:val="single"/>
            <w:lang w:eastAsia="pl-PL"/>
            <w14:ligatures w14:val="none"/>
          </w:rPr>
          <w:t>Słowa klucze w poezji polskiego renesansu i baroku</w:t>
        </w:r>
      </w:hyperlink>
    </w:p>
    <w:p w14:paraId="37B9B64D"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 xml:space="preserve">2. </w:t>
      </w:r>
      <w:hyperlink r:id="rId6" w:history="1">
        <w:r w:rsidRPr="00187BF9">
          <w:rPr>
            <w:rFonts w:ascii="Times New Roman" w:eastAsia="Times New Roman" w:hAnsi="Times New Roman" w:cs="Times New Roman"/>
            <w:spacing w:val="3"/>
            <w:kern w:val="0"/>
            <w:sz w:val="27"/>
            <w:szCs w:val="27"/>
            <w:u w:val="single"/>
            <w:lang w:eastAsia="pl-PL"/>
            <w14:ligatures w14:val="none"/>
          </w:rPr>
          <w:t>Baśnie i antybaśnie w literaturze różnych epok</w:t>
        </w:r>
      </w:hyperlink>
    </w:p>
    <w:p w14:paraId="6A937020"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 xml:space="preserve">3. </w:t>
      </w:r>
      <w:hyperlink r:id="rId7" w:history="1">
        <w:r w:rsidRPr="00187BF9">
          <w:rPr>
            <w:rFonts w:ascii="Times New Roman" w:eastAsia="Times New Roman" w:hAnsi="Times New Roman" w:cs="Times New Roman"/>
            <w:i/>
            <w:iCs/>
            <w:spacing w:val="3"/>
            <w:kern w:val="0"/>
            <w:sz w:val="27"/>
            <w:szCs w:val="27"/>
            <w:u w:val="single"/>
            <w:lang w:eastAsia="pl-PL"/>
            <w14:ligatures w14:val="none"/>
          </w:rPr>
          <w:t>Podróże Guliwera</w:t>
        </w:r>
        <w:r w:rsidRPr="00187BF9">
          <w:rPr>
            <w:rFonts w:ascii="Times New Roman" w:eastAsia="Times New Roman" w:hAnsi="Times New Roman" w:cs="Times New Roman"/>
            <w:spacing w:val="3"/>
            <w:kern w:val="0"/>
            <w:sz w:val="27"/>
            <w:szCs w:val="27"/>
            <w:u w:val="single"/>
            <w:lang w:eastAsia="pl-PL"/>
            <w14:ligatures w14:val="none"/>
          </w:rPr>
          <w:t xml:space="preserve"> Jonathana Swifta. Satyra i utopia</w:t>
        </w:r>
      </w:hyperlink>
    </w:p>
    <w:p w14:paraId="354178C2"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 xml:space="preserve">4. </w:t>
      </w:r>
      <w:hyperlink r:id="rId8" w:tgtFrame="_blank" w:history="1">
        <w:r w:rsidRPr="00187BF9">
          <w:rPr>
            <w:rFonts w:ascii="Times New Roman" w:eastAsia="Times New Roman" w:hAnsi="Times New Roman" w:cs="Times New Roman"/>
            <w:spacing w:val="3"/>
            <w:kern w:val="0"/>
            <w:sz w:val="27"/>
            <w:szCs w:val="27"/>
            <w:u w:val="single"/>
            <w:lang w:eastAsia="pl-PL"/>
            <w14:ligatures w14:val="none"/>
          </w:rPr>
          <w:t>Archetyp domu w twórczości Juliusza Słowackiego</w:t>
        </w:r>
      </w:hyperlink>
    </w:p>
    <w:p w14:paraId="2BC26AFE"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 xml:space="preserve">5. </w:t>
      </w:r>
      <w:hyperlink r:id="rId9" w:history="1">
        <w:r w:rsidRPr="00187BF9">
          <w:rPr>
            <w:rFonts w:ascii="Times New Roman" w:eastAsia="Times New Roman" w:hAnsi="Times New Roman" w:cs="Times New Roman"/>
            <w:i/>
            <w:iCs/>
            <w:spacing w:val="3"/>
            <w:kern w:val="0"/>
            <w:sz w:val="27"/>
            <w:szCs w:val="27"/>
            <w:u w:val="single"/>
            <w:lang w:eastAsia="pl-PL"/>
            <w14:ligatures w14:val="none"/>
          </w:rPr>
          <w:t xml:space="preserve">Tajemnica lorda </w:t>
        </w:r>
        <w:proofErr w:type="spellStart"/>
        <w:r w:rsidRPr="00187BF9">
          <w:rPr>
            <w:rFonts w:ascii="Times New Roman" w:eastAsia="Times New Roman" w:hAnsi="Times New Roman" w:cs="Times New Roman"/>
            <w:i/>
            <w:iCs/>
            <w:spacing w:val="3"/>
            <w:kern w:val="0"/>
            <w:sz w:val="27"/>
            <w:szCs w:val="27"/>
            <w:u w:val="single"/>
            <w:lang w:eastAsia="pl-PL"/>
            <w14:ligatures w14:val="none"/>
          </w:rPr>
          <w:t>Singelworth</w:t>
        </w:r>
        <w:proofErr w:type="spellEnd"/>
        <w:r w:rsidRPr="00187BF9">
          <w:rPr>
            <w:rFonts w:ascii="Times New Roman" w:eastAsia="Times New Roman" w:hAnsi="Times New Roman" w:cs="Times New Roman"/>
            <w:spacing w:val="3"/>
            <w:kern w:val="0"/>
            <w:sz w:val="27"/>
            <w:szCs w:val="27"/>
            <w:u w:val="single"/>
            <w:lang w:eastAsia="pl-PL"/>
            <w14:ligatures w14:val="none"/>
          </w:rPr>
          <w:t xml:space="preserve"> Cypriana Norwida</w:t>
        </w:r>
      </w:hyperlink>
    </w:p>
    <w:p w14:paraId="5C8F54CF"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 xml:space="preserve">6. </w:t>
      </w:r>
      <w:hyperlink r:id="rId10" w:history="1">
        <w:r w:rsidRPr="00187BF9">
          <w:rPr>
            <w:rFonts w:ascii="Times New Roman" w:eastAsia="Times New Roman" w:hAnsi="Times New Roman" w:cs="Times New Roman"/>
            <w:i/>
            <w:iCs/>
            <w:spacing w:val="3"/>
            <w:kern w:val="0"/>
            <w:sz w:val="27"/>
            <w:szCs w:val="27"/>
            <w:u w:val="single"/>
            <w:lang w:eastAsia="pl-PL"/>
            <w14:ligatures w14:val="none"/>
          </w:rPr>
          <w:t>Obroty rzeczy</w:t>
        </w:r>
        <w:r w:rsidRPr="00187BF9">
          <w:rPr>
            <w:rFonts w:ascii="Times New Roman" w:eastAsia="Times New Roman" w:hAnsi="Times New Roman" w:cs="Times New Roman"/>
            <w:spacing w:val="3"/>
            <w:kern w:val="0"/>
            <w:sz w:val="27"/>
            <w:szCs w:val="27"/>
            <w:u w:val="single"/>
            <w:lang w:eastAsia="pl-PL"/>
            <w14:ligatures w14:val="none"/>
          </w:rPr>
          <w:t xml:space="preserve"> Mirona Białoszewskiego</w:t>
        </w:r>
      </w:hyperlink>
    </w:p>
    <w:p w14:paraId="01B56E6E"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 xml:space="preserve">7. </w:t>
      </w:r>
      <w:hyperlink r:id="rId11" w:tgtFrame="_blank" w:history="1">
        <w:r w:rsidRPr="00187BF9">
          <w:rPr>
            <w:rFonts w:ascii="Times New Roman" w:eastAsia="Times New Roman" w:hAnsi="Times New Roman" w:cs="Times New Roman"/>
            <w:spacing w:val="3"/>
            <w:kern w:val="0"/>
            <w:sz w:val="27"/>
            <w:szCs w:val="27"/>
            <w:u w:val="single"/>
            <w:lang w:eastAsia="pl-PL"/>
            <w14:ligatures w14:val="none"/>
          </w:rPr>
          <w:t>„Po co czytać klasyków?”</w:t>
        </w:r>
      </w:hyperlink>
    </w:p>
    <w:p w14:paraId="285A34A6"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 xml:space="preserve">8. </w:t>
      </w:r>
      <w:hyperlink r:id="rId12" w:tgtFrame="_blank" w:history="1">
        <w:r w:rsidRPr="00187BF9">
          <w:rPr>
            <w:rFonts w:ascii="Times New Roman" w:eastAsia="Times New Roman" w:hAnsi="Times New Roman" w:cs="Times New Roman"/>
            <w:spacing w:val="3"/>
            <w:kern w:val="0"/>
            <w:sz w:val="27"/>
            <w:szCs w:val="27"/>
            <w:u w:val="single"/>
            <w:lang w:eastAsia="pl-PL"/>
            <w14:ligatures w14:val="none"/>
          </w:rPr>
          <w:t>Eksperyment w poezji XX i początku XXI wieku</w:t>
        </w:r>
      </w:hyperlink>
    </w:p>
    <w:p w14:paraId="27A2911C"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 xml:space="preserve">9. </w:t>
      </w:r>
      <w:hyperlink r:id="rId13" w:tgtFrame="_blank" w:history="1">
        <w:r w:rsidRPr="00187BF9">
          <w:rPr>
            <w:rFonts w:ascii="Times New Roman" w:eastAsia="Times New Roman" w:hAnsi="Times New Roman" w:cs="Times New Roman"/>
            <w:spacing w:val="3"/>
            <w:kern w:val="0"/>
            <w:sz w:val="27"/>
            <w:szCs w:val="27"/>
            <w:u w:val="single"/>
            <w:lang w:eastAsia="pl-PL"/>
            <w14:ligatures w14:val="none"/>
          </w:rPr>
          <w:t>Językowy portret polskiej rodziny – obraz współczesny i retrospekcje</w:t>
        </w:r>
      </w:hyperlink>
    </w:p>
    <w:p w14:paraId="22A5B09F"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lastRenderedPageBreak/>
        <w:t xml:space="preserve">10. </w:t>
      </w:r>
      <w:hyperlink r:id="rId14" w:tgtFrame="_blank" w:history="1">
        <w:r w:rsidRPr="00187BF9">
          <w:rPr>
            <w:rFonts w:ascii="Times New Roman" w:eastAsia="Times New Roman" w:hAnsi="Times New Roman" w:cs="Times New Roman"/>
            <w:spacing w:val="3"/>
            <w:kern w:val="0"/>
            <w:sz w:val="27"/>
            <w:szCs w:val="27"/>
            <w:u w:val="single"/>
            <w:lang w:eastAsia="pl-PL"/>
            <w14:ligatures w14:val="none"/>
          </w:rPr>
          <w:t>Adaptacje lektur szkolnych na scenie [TEATR]</w:t>
        </w:r>
      </w:hyperlink>
    </w:p>
    <w:p w14:paraId="4975883F"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r w:rsidRPr="00187BF9">
        <w:rPr>
          <w:rFonts w:ascii="Times New Roman" w:eastAsia="Times New Roman" w:hAnsi="Times New Roman" w:cs="Times New Roman"/>
          <w:spacing w:val="3"/>
          <w:kern w:val="0"/>
          <w:sz w:val="27"/>
          <w:szCs w:val="27"/>
          <w:lang w:eastAsia="pl-PL"/>
          <w14:ligatures w14:val="none"/>
        </w:rPr>
        <w:t xml:space="preserve">11. </w:t>
      </w:r>
      <w:hyperlink r:id="rId15" w:tgtFrame="_blank" w:history="1">
        <w:r w:rsidRPr="00187BF9">
          <w:rPr>
            <w:rFonts w:ascii="Times New Roman" w:eastAsia="Times New Roman" w:hAnsi="Times New Roman" w:cs="Times New Roman"/>
            <w:spacing w:val="3"/>
            <w:kern w:val="0"/>
            <w:sz w:val="27"/>
            <w:szCs w:val="27"/>
            <w:u w:val="single"/>
            <w:lang w:eastAsia="pl-PL"/>
            <w14:ligatures w14:val="none"/>
          </w:rPr>
          <w:t>Ruch sceniczny i taniec – przemiany form [TEATR]</w:t>
        </w:r>
      </w:hyperlink>
    </w:p>
    <w:p w14:paraId="2EB298EC" w14:textId="77777777" w:rsidR="005D3271" w:rsidRPr="00187BF9" w:rsidRDefault="005D3271" w:rsidP="00187BF9">
      <w:pPr>
        <w:spacing w:after="0" w:line="240" w:lineRule="auto"/>
        <w:jc w:val="both"/>
        <w:rPr>
          <w:rFonts w:ascii="Times New Roman" w:eastAsia="Times New Roman" w:hAnsi="Times New Roman" w:cs="Times New Roman"/>
          <w:spacing w:val="3"/>
          <w:kern w:val="0"/>
          <w:sz w:val="27"/>
          <w:szCs w:val="27"/>
          <w:lang w:eastAsia="pl-PL"/>
          <w14:ligatures w14:val="none"/>
        </w:rPr>
      </w:pPr>
    </w:p>
    <w:p w14:paraId="796AC410" w14:textId="47CA2275" w:rsidR="00187BF9" w:rsidRDefault="005D3271" w:rsidP="00187BF9">
      <w:pPr>
        <w:spacing w:after="0" w:line="240" w:lineRule="auto"/>
        <w:jc w:val="both"/>
        <w:rPr>
          <w:rFonts w:ascii="Times New Roman" w:hAnsi="Times New Roman" w:cs="Times New Roman"/>
        </w:rPr>
      </w:pPr>
      <w:r w:rsidRPr="00187BF9">
        <w:rPr>
          <w:rFonts w:ascii="Times New Roman" w:eastAsia="Times New Roman" w:hAnsi="Times New Roman" w:cs="Times New Roman"/>
          <w:spacing w:val="3"/>
          <w:kern w:val="0"/>
          <w:sz w:val="27"/>
          <w:szCs w:val="27"/>
          <w:lang w:eastAsia="pl-PL"/>
          <w14:ligatures w14:val="none"/>
        </w:rPr>
        <w:t xml:space="preserve">Przypominamy, że wszystkie lektury niezbędne do opracowania tematów szkolnych Olimpiady Literatury i Języka Polskiego dostępne są także w wersji cyfrowej w </w:t>
      </w:r>
      <w:r w:rsidRPr="00187BF9">
        <w:rPr>
          <w:rFonts w:ascii="Times New Roman" w:eastAsia="Times New Roman" w:hAnsi="Times New Roman" w:cs="Times New Roman"/>
          <w:b/>
          <w:bCs/>
          <w:spacing w:val="3"/>
          <w:kern w:val="0"/>
          <w:sz w:val="27"/>
          <w:szCs w:val="27"/>
          <w:lang w:eastAsia="pl-PL"/>
          <w14:ligatures w14:val="none"/>
        </w:rPr>
        <w:t>wypożyczalni międzybibliotecznej</w:t>
      </w:r>
      <w:r w:rsidRPr="00187BF9">
        <w:rPr>
          <w:rFonts w:ascii="Times New Roman" w:eastAsia="Times New Roman" w:hAnsi="Times New Roman" w:cs="Times New Roman"/>
          <w:spacing w:val="3"/>
          <w:kern w:val="0"/>
          <w:sz w:val="27"/>
          <w:szCs w:val="27"/>
          <w:lang w:eastAsia="pl-PL"/>
          <w14:ligatures w14:val="none"/>
        </w:rPr>
        <w:t xml:space="preserve"> Biblioteki Narodowej w serwisie </w:t>
      </w:r>
      <w:hyperlink r:id="rId16" w:tgtFrame="_blank" w:history="1">
        <w:r w:rsidRPr="00187BF9">
          <w:rPr>
            <w:rFonts w:ascii="Times New Roman" w:eastAsia="Times New Roman" w:hAnsi="Times New Roman" w:cs="Times New Roman"/>
            <w:spacing w:val="3"/>
            <w:kern w:val="0"/>
            <w:sz w:val="27"/>
            <w:szCs w:val="27"/>
            <w:u w:val="single"/>
            <w:lang w:eastAsia="pl-PL"/>
            <w14:ligatures w14:val="none"/>
          </w:rPr>
          <w:t>academica.edu.pl</w:t>
        </w:r>
      </w:hyperlink>
      <w:r w:rsidR="00187BF9">
        <w:rPr>
          <w:rFonts w:ascii="Times New Roman" w:hAnsi="Times New Roman" w:cs="Times New Roman"/>
        </w:rPr>
        <w:t xml:space="preserve"> </w:t>
      </w:r>
    </w:p>
    <w:p w14:paraId="6C50A6BA" w14:textId="77777777" w:rsidR="00187BF9" w:rsidRPr="00187BF9" w:rsidRDefault="00187BF9" w:rsidP="00187BF9">
      <w:pPr>
        <w:spacing w:after="0" w:line="240" w:lineRule="auto"/>
        <w:jc w:val="both"/>
        <w:rPr>
          <w:rFonts w:ascii="Times New Roman" w:hAnsi="Times New Roman" w:cs="Times New Roman"/>
        </w:rPr>
      </w:pPr>
    </w:p>
    <w:p w14:paraId="23DBE999" w14:textId="77777777" w:rsidR="005D3271" w:rsidRPr="00187BF9" w:rsidRDefault="005D3271" w:rsidP="00187BF9">
      <w:pPr>
        <w:rPr>
          <w:rFonts w:ascii="Times New Roman" w:hAnsi="Times New Roman" w:cs="Times New Roman"/>
        </w:rPr>
      </w:pPr>
    </w:p>
    <w:p w14:paraId="5A045532" w14:textId="089CC45F" w:rsidR="005D3271" w:rsidRPr="00187BF9" w:rsidRDefault="005D3271" w:rsidP="00187BF9">
      <w:pPr>
        <w:rPr>
          <w:rFonts w:ascii="Times New Roman" w:hAnsi="Times New Roman" w:cs="Times New Roman"/>
        </w:rPr>
      </w:pPr>
      <w:r w:rsidRPr="00187BF9">
        <w:rPr>
          <w:rFonts w:ascii="Times New Roman" w:hAnsi="Times New Roman" w:cs="Times New Roman"/>
        </w:rPr>
        <w:t xml:space="preserve">Link do zagadnień etapu szkolnego: </w:t>
      </w:r>
      <w:hyperlink r:id="rId17" w:history="1">
        <w:r w:rsidRPr="00187BF9">
          <w:rPr>
            <w:rStyle w:val="Hipercze"/>
            <w:rFonts w:ascii="Times New Roman" w:hAnsi="Times New Roman" w:cs="Times New Roman"/>
            <w:color w:val="auto"/>
          </w:rPr>
          <w:t>Olimpiada Literatury i Języka Polskiego (OLiJP)</w:t>
        </w:r>
      </w:hyperlink>
    </w:p>
    <w:sectPr w:rsidR="005D3271" w:rsidRPr="00187B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54A87"/>
    <w:multiLevelType w:val="multilevel"/>
    <w:tmpl w:val="BE985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6330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271"/>
    <w:rsid w:val="0006798D"/>
    <w:rsid w:val="00187BF9"/>
    <w:rsid w:val="005D3271"/>
    <w:rsid w:val="00A67919"/>
    <w:rsid w:val="00C37A86"/>
    <w:rsid w:val="00EF0B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12F76"/>
  <w15:chartTrackingRefBased/>
  <w15:docId w15:val="{DFC9CB5B-332D-44F7-BA71-A84A1963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D32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D32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D327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D327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D327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D327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D327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D327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D327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D327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D327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D327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D327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D327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D327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D327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D327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D3271"/>
    <w:rPr>
      <w:rFonts w:eastAsiaTheme="majorEastAsia" w:cstheme="majorBidi"/>
      <w:color w:val="272727" w:themeColor="text1" w:themeTint="D8"/>
    </w:rPr>
  </w:style>
  <w:style w:type="paragraph" w:styleId="Tytu">
    <w:name w:val="Title"/>
    <w:basedOn w:val="Normalny"/>
    <w:next w:val="Normalny"/>
    <w:link w:val="TytuZnak"/>
    <w:uiPriority w:val="10"/>
    <w:qFormat/>
    <w:rsid w:val="005D32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D327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D327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D327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D3271"/>
    <w:pPr>
      <w:spacing w:before="160"/>
      <w:jc w:val="center"/>
    </w:pPr>
    <w:rPr>
      <w:i/>
      <w:iCs/>
      <w:color w:val="404040" w:themeColor="text1" w:themeTint="BF"/>
    </w:rPr>
  </w:style>
  <w:style w:type="character" w:customStyle="1" w:styleId="CytatZnak">
    <w:name w:val="Cytat Znak"/>
    <w:basedOn w:val="Domylnaczcionkaakapitu"/>
    <w:link w:val="Cytat"/>
    <w:uiPriority w:val="29"/>
    <w:rsid w:val="005D3271"/>
    <w:rPr>
      <w:i/>
      <w:iCs/>
      <w:color w:val="404040" w:themeColor="text1" w:themeTint="BF"/>
    </w:rPr>
  </w:style>
  <w:style w:type="paragraph" w:styleId="Akapitzlist">
    <w:name w:val="List Paragraph"/>
    <w:basedOn w:val="Normalny"/>
    <w:uiPriority w:val="34"/>
    <w:qFormat/>
    <w:rsid w:val="005D3271"/>
    <w:pPr>
      <w:ind w:left="720"/>
      <w:contextualSpacing/>
    </w:pPr>
  </w:style>
  <w:style w:type="character" w:styleId="Wyrnienieintensywne">
    <w:name w:val="Intense Emphasis"/>
    <w:basedOn w:val="Domylnaczcionkaakapitu"/>
    <w:uiPriority w:val="21"/>
    <w:qFormat/>
    <w:rsid w:val="005D3271"/>
    <w:rPr>
      <w:i/>
      <w:iCs/>
      <w:color w:val="0F4761" w:themeColor="accent1" w:themeShade="BF"/>
    </w:rPr>
  </w:style>
  <w:style w:type="paragraph" w:styleId="Cytatintensywny">
    <w:name w:val="Intense Quote"/>
    <w:basedOn w:val="Normalny"/>
    <w:next w:val="Normalny"/>
    <w:link w:val="CytatintensywnyZnak"/>
    <w:uiPriority w:val="30"/>
    <w:qFormat/>
    <w:rsid w:val="005D3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D3271"/>
    <w:rPr>
      <w:i/>
      <w:iCs/>
      <w:color w:val="0F4761" w:themeColor="accent1" w:themeShade="BF"/>
    </w:rPr>
  </w:style>
  <w:style w:type="character" w:styleId="Odwoanieintensywne">
    <w:name w:val="Intense Reference"/>
    <w:basedOn w:val="Domylnaczcionkaakapitu"/>
    <w:uiPriority w:val="32"/>
    <w:qFormat/>
    <w:rsid w:val="005D3271"/>
    <w:rPr>
      <w:b/>
      <w:bCs/>
      <w:smallCaps/>
      <w:color w:val="0F4761" w:themeColor="accent1" w:themeShade="BF"/>
      <w:spacing w:val="5"/>
    </w:rPr>
  </w:style>
  <w:style w:type="paragraph" w:styleId="NormalnyWeb">
    <w:name w:val="Normal (Web)"/>
    <w:basedOn w:val="Normalny"/>
    <w:uiPriority w:val="99"/>
    <w:semiHidden/>
    <w:unhideWhenUsed/>
    <w:rsid w:val="005D3271"/>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Hipercze">
    <w:name w:val="Hyperlink"/>
    <w:basedOn w:val="Domylnaczcionkaakapitu"/>
    <w:uiPriority w:val="99"/>
    <w:semiHidden/>
    <w:unhideWhenUsed/>
    <w:rsid w:val="005D3271"/>
    <w:rPr>
      <w:color w:val="0000FF"/>
      <w:u w:val="single"/>
    </w:rPr>
  </w:style>
  <w:style w:type="character" w:styleId="Uwydatnienie">
    <w:name w:val="Emphasis"/>
    <w:basedOn w:val="Domylnaczcionkaakapitu"/>
    <w:uiPriority w:val="20"/>
    <w:qFormat/>
    <w:rsid w:val="005D32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dlwJINmZrMOnnvqtwf9rg-AETMzd60Ug/edit" TargetMode="External"/><Relationship Id="rId13" Type="http://schemas.openxmlformats.org/officeDocument/2006/relationships/hyperlink" Target="https://docs.google.com/document/d/1bvD2wEi0SqtDjHlfg1QZTDGTjWNnrLNa/edit?usp=drive_link&amp;ouid=105925267333086818623&amp;rtpof=true&amp;sd=tru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document/d/1yd1xwsYjOmDUCWagUTf98HzuDZrDDB2p/edit?usp=drive_link&amp;ouid=105925267333086818623&amp;rtpof=true&amp;sd=true" TargetMode="External"/><Relationship Id="rId12" Type="http://schemas.openxmlformats.org/officeDocument/2006/relationships/hyperlink" Target="https://docs.google.com/document/d/1C8rdfmVthnf79kVLE74M-DFKOHJz81F2/edit?usp=drive_link&amp;ouid=105925267333086818623&amp;rtpof=true&amp;sd=true" TargetMode="External"/><Relationship Id="rId17" Type="http://schemas.openxmlformats.org/officeDocument/2006/relationships/hyperlink" Target="https://olijp.pl/zagadnienia-i-etapu-lvii-olijp" TargetMode="External"/><Relationship Id="rId2" Type="http://schemas.openxmlformats.org/officeDocument/2006/relationships/styles" Target="styles.xml"/><Relationship Id="rId16" Type="http://schemas.openxmlformats.org/officeDocument/2006/relationships/hyperlink" Target="https://academica.edu.pl/" TargetMode="External"/><Relationship Id="rId1" Type="http://schemas.openxmlformats.org/officeDocument/2006/relationships/numbering" Target="numbering.xml"/><Relationship Id="rId6" Type="http://schemas.openxmlformats.org/officeDocument/2006/relationships/hyperlink" Target="https://docs.google.com/document/d/1lnPCCrkLrhF76mXC1BPlutsbcu4D21lc/edit?usp=drive_link&amp;ouid=105925267333086818623&amp;rtpof=true&amp;sd=true" TargetMode="External"/><Relationship Id="rId11" Type="http://schemas.openxmlformats.org/officeDocument/2006/relationships/hyperlink" Target="https://docs.google.com/document/d/1Ab9xMuT-5D0_GhBh5eSS9AB72AcxfWLD/edit?usp=drive_link&amp;ouid=105925267333086818623&amp;rtpof=true&amp;sd=true" TargetMode="External"/><Relationship Id="rId5" Type="http://schemas.openxmlformats.org/officeDocument/2006/relationships/hyperlink" Target="https://docs.google.com/document/d/1hF2q_Bvxf84yvk9Yw2GgIJ5QMX7g51IH/edit?usp=drive_link&amp;ouid=105925267333086818623&amp;rtpof=true&amp;sd=true" TargetMode="External"/><Relationship Id="rId15" Type="http://schemas.openxmlformats.org/officeDocument/2006/relationships/hyperlink" Target="https://docs.google.com/document/d/1EYySFIeBloK3bJMz0vIczJS5fsqzc9CA/edit?usp=drive_link&amp;ouid=105925267333086818623&amp;rtpof=true&amp;sd=true" TargetMode="External"/><Relationship Id="rId10" Type="http://schemas.openxmlformats.org/officeDocument/2006/relationships/hyperlink" Target="https://docs.google.com/document/d/1g5H9aQ3bdypmnidKh_GGMj3gMUbi9VaQ/edit?usp=drive_link&amp;ouid=105925267333086818623&amp;rtpof=true&amp;sd=tru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google.com/document/d/1o7LHLKdbzicu_02Ptnhm01Nt7ZcgB_TQ/edit?usp=sharing&amp;ouid=105925267333086818623&amp;rtpof=true&amp;sd=true" TargetMode="External"/><Relationship Id="rId14" Type="http://schemas.openxmlformats.org/officeDocument/2006/relationships/hyperlink" Target="https://docs.google.com/document/d/11jKhPx-zUP-8i9VUFv-xdkVl1Grz5gug/edit?usp=drive_link&amp;ouid=105925267333086818623&amp;rtpof=true&amp;sd=tru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663</Words>
  <Characters>3981</Characters>
  <Application>Microsoft Office Word</Application>
  <DocSecurity>4</DocSecurity>
  <Lines>33</Lines>
  <Paragraphs>9</Paragraphs>
  <ScaleCrop>false</ScaleCrop>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Marczewska</dc:creator>
  <cp:keywords/>
  <dc:description/>
  <cp:lastModifiedBy>Agnieszka Koterla</cp:lastModifiedBy>
  <cp:revision>2</cp:revision>
  <dcterms:created xsi:type="dcterms:W3CDTF">2026-10-08T10:30:00Z</dcterms:created>
  <dcterms:modified xsi:type="dcterms:W3CDTF">2026-10-08T10:30:00Z</dcterms:modified>
</cp:coreProperties>
</file>