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155358" w:rsidRDefault="002A6083" w:rsidP="003977EF">
      <w:pPr>
        <w:pStyle w:val="Tytu"/>
        <w:widowControl w:val="0"/>
        <w:spacing w:after="60"/>
        <w:rPr>
          <w:rStyle w:val="Wyrnieniedelikatne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 xml:space="preserve">celu </w:t>
      </w:r>
      <w:r w:rsidR="00C64275" w:rsidRPr="00E55966">
        <w:rPr>
          <w:rFonts w:asciiTheme="minorHAnsi" w:hAnsiTheme="minorHAnsi" w:cstheme="minorHAnsi"/>
          <w:sz w:val="22"/>
        </w:rPr>
        <w:lastRenderedPageBreak/>
        <w:t>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9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 xml:space="preserve">kwalifikowalne </w:t>
      </w:r>
      <w:r w:rsidRPr="00EC580A">
        <w:rPr>
          <w:rFonts w:asciiTheme="minorHAnsi" w:hAnsiTheme="minorHAnsi" w:cstheme="minorHAnsi"/>
          <w:sz w:val="22"/>
        </w:rPr>
        <w:lastRenderedPageBreak/>
        <w:t>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</w:t>
      </w:r>
      <w:r w:rsidR="00BD6184" w:rsidRPr="00F70BC8">
        <w:rPr>
          <w:rFonts w:asciiTheme="minorHAnsi" w:hAnsiTheme="minorHAnsi" w:cstheme="minorHAnsi"/>
          <w:sz w:val="22"/>
        </w:rPr>
        <w:lastRenderedPageBreak/>
        <w:t xml:space="preserve">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B206328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 xml:space="preserve">, albo prac </w:t>
      </w:r>
      <w:r w:rsidR="002D783B" w:rsidRPr="00F70BC8">
        <w:rPr>
          <w:rFonts w:asciiTheme="minorHAnsi" w:hAnsiTheme="minorHAnsi" w:cstheme="minorHAnsi"/>
          <w:sz w:val="22"/>
        </w:rPr>
        <w:lastRenderedPageBreak/>
        <w:t>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 xml:space="preserve">eneficjent będzie mógł </w:t>
      </w:r>
      <w:r w:rsidRPr="00F70BC8">
        <w:rPr>
          <w:rFonts w:asciiTheme="minorHAnsi" w:hAnsiTheme="minorHAnsi" w:cstheme="minorHAnsi"/>
          <w:sz w:val="22"/>
        </w:rPr>
        <w:lastRenderedPageBreak/>
        <w:t>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lastRenderedPageBreak/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</w:t>
      </w:r>
      <w:r w:rsidR="00C67C0F">
        <w:rPr>
          <w:rFonts w:asciiTheme="minorHAnsi" w:hAnsiTheme="minorHAnsi" w:cstheme="minorHAnsi"/>
          <w:i/>
          <w:sz w:val="22"/>
        </w:rPr>
        <w:lastRenderedPageBreak/>
        <w:t>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lastRenderedPageBreak/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 xml:space="preserve">eneficjentowi </w:t>
      </w:r>
      <w:r w:rsidR="00247DE8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skutek </w:t>
      </w:r>
      <w:r w:rsidRPr="00F70BC8">
        <w:rPr>
          <w:rFonts w:asciiTheme="minorHAnsi" w:hAnsiTheme="minorHAnsi" w:cstheme="minorHAnsi"/>
          <w:sz w:val="22"/>
        </w:rPr>
        <w:lastRenderedPageBreak/>
        <w:t>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4EA7285E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141B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8E531" w14:textId="77777777" w:rsidR="00EC735E" w:rsidRDefault="00EC735E" w:rsidP="00771090">
      <w:pPr>
        <w:spacing w:after="0" w:line="240" w:lineRule="auto"/>
      </w:pPr>
      <w:r>
        <w:separator/>
      </w:r>
    </w:p>
  </w:endnote>
  <w:endnote w:type="continuationSeparator" w:id="0">
    <w:p w14:paraId="78499FD6" w14:textId="77777777" w:rsidR="00EC735E" w:rsidRDefault="00EC735E" w:rsidP="00771090">
      <w:pPr>
        <w:spacing w:after="0" w:line="240" w:lineRule="auto"/>
      </w:pPr>
      <w:r>
        <w:continuationSeparator/>
      </w:r>
    </w:p>
  </w:endnote>
  <w:endnote w:type="continuationNotice" w:id="1">
    <w:p w14:paraId="189D55C9" w14:textId="77777777" w:rsidR="00EC735E" w:rsidRDefault="00EC7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ECD1" w14:textId="77777777" w:rsidR="007D6282" w:rsidRDefault="007D62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51A64AFA" w:rsidR="00E34B0C" w:rsidRDefault="00E34B0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7746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941E" w14:textId="77777777" w:rsidR="007D6282" w:rsidRDefault="007D6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3AF36" w14:textId="77777777" w:rsidR="00EC735E" w:rsidRDefault="00EC735E" w:rsidP="00771090">
      <w:pPr>
        <w:spacing w:after="0" w:line="240" w:lineRule="auto"/>
      </w:pPr>
      <w:r>
        <w:separator/>
      </w:r>
    </w:p>
  </w:footnote>
  <w:footnote w:type="continuationSeparator" w:id="0">
    <w:p w14:paraId="4CD6BCFE" w14:textId="77777777" w:rsidR="00EC735E" w:rsidRDefault="00EC735E" w:rsidP="00771090">
      <w:pPr>
        <w:spacing w:after="0" w:line="240" w:lineRule="auto"/>
      </w:pPr>
      <w:r>
        <w:continuationSeparator/>
      </w:r>
    </w:p>
  </w:footnote>
  <w:footnote w:type="continuationNotice" w:id="1">
    <w:p w14:paraId="2BF9D07C" w14:textId="77777777" w:rsidR="00EC735E" w:rsidRDefault="00EC735E">
      <w:pPr>
        <w:spacing w:after="0" w:line="240" w:lineRule="auto"/>
      </w:pPr>
    </w:p>
  </w:footnote>
  <w:footnote w:id="2">
    <w:p w14:paraId="5FD58D93" w14:textId="15E1E2A8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E34B0C" w:rsidRPr="00F70BC8" w:rsidRDefault="00E34B0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E34B0C" w:rsidRPr="00F12120" w:rsidRDefault="00E34B0C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E34B0C" w:rsidRPr="00F70BC8" w:rsidRDefault="00E34B0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E34B0C" w:rsidRPr="00F70BC8" w:rsidRDefault="00E34B0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E34B0C" w:rsidRPr="00F70BC8" w:rsidRDefault="00E34B0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E34B0C" w:rsidRPr="00F70BC8" w:rsidRDefault="00E34B0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E34B0C" w:rsidRPr="00F70BC8" w:rsidRDefault="00E34B0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E34B0C" w:rsidRPr="00F70BC8" w:rsidRDefault="00E34B0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E34B0C" w:rsidRPr="00383C24" w:rsidRDefault="00E34B0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E34B0C" w:rsidRPr="00F70BC8" w:rsidRDefault="00E34B0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E34B0C" w:rsidRPr="00F70BC8" w:rsidRDefault="00E34B0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1">
    <w:p w14:paraId="3DE44F17" w14:textId="517018FB" w:rsidR="00361CA3" w:rsidRPr="00361CA3" w:rsidRDefault="00361CA3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E981" w14:textId="7D709950" w:rsidR="007D6282" w:rsidRDefault="00CD7746">
    <w:pPr>
      <w:pStyle w:val="Nagwek"/>
    </w:pPr>
    <w:r>
      <w:rPr>
        <w:noProof/>
      </w:rPr>
      <w:pict w14:anchorId="42818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20438" o:spid="_x0000_s4098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35336" w14:textId="29AAC593" w:rsidR="007D6282" w:rsidRDefault="00CD7746">
    <w:pPr>
      <w:pStyle w:val="Nagwek"/>
    </w:pPr>
    <w:r>
      <w:rPr>
        <w:noProof/>
      </w:rPr>
      <w:pict w14:anchorId="2723F6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20439" o:spid="_x0000_s4099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7BE8ADB6" w:rsidR="00E34B0C" w:rsidRDefault="00CD7746" w:rsidP="002E5CE5">
    <w:pPr>
      <w:pStyle w:val="Nagwek"/>
    </w:pPr>
    <w:r>
      <w:rPr>
        <w:noProof/>
      </w:rPr>
      <w:pict w14:anchorId="625542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20437" o:spid="_x0000_s4097" type="#_x0000_t136" style="position:absolute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E34B0C"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048DE915" w:rsidR="00E34B0C" w:rsidRPr="005D375D" w:rsidRDefault="00E34B0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155358">
      <w:rPr>
        <w:i/>
        <w:sz w:val="16"/>
        <w:szCs w:val="16"/>
        <w:lang w:val="pl-PL"/>
      </w:rPr>
      <w:t xml:space="preserve"> nr 7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155358">
      <w:rPr>
        <w:i/>
        <w:sz w:val="16"/>
        <w:szCs w:val="16"/>
        <w:lang w:val="pl-PL"/>
      </w:rPr>
      <w:t>20 – 10.08</w:t>
    </w:r>
    <w:r>
      <w:rPr>
        <w:i/>
        <w:sz w:val="16"/>
        <w:szCs w:val="16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5358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41B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282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746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35E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53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E724-54CF-4821-8FBA-D5204BBF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12363</Words>
  <Characters>74184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86375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2020-12-30T11:35:00Z</dcterms:created>
  <dcterms:modified xsi:type="dcterms:W3CDTF">2020-12-30T11:35:00Z</dcterms:modified>
</cp:coreProperties>
</file>