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center"/>
        <w:rPr>
          <w:sz w:val="2"/>
          <w:szCs w:val="2"/>
        </w:rPr>
      </w:pPr>
      <w:r>
        <w:drawing>
          <wp:inline>
            <wp:extent cx="3151505" cy="106045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3151505" cy="1060450"/>
                    </a:xfrm>
                    <a:prstGeom prst="rect"/>
                  </pic:spPr>
                </pic:pic>
              </a:graphicData>
            </a:graphic>
          </wp:inline>
        </w:drawing>
      </w:r>
    </w:p>
    <w:p>
      <w:pPr>
        <w:widowControl w:val="0"/>
        <w:spacing w:after="339" w:line="1" w:lineRule="exact"/>
      </w:pPr>
    </w:p>
    <w:p>
      <w:pPr>
        <w:pStyle w:val="Style7"/>
        <w:keepNext w:val="0"/>
        <w:keepLines w:val="0"/>
        <w:widowControl w:val="0"/>
        <w:shd w:val="clear" w:color="auto" w:fill="auto"/>
        <w:bidi w:val="0"/>
        <w:spacing w:before="0" w:after="0" w:line="240" w:lineRule="auto"/>
        <w:ind w:left="0" w:right="0" w:firstLine="0"/>
        <w:jc w:val="left"/>
      </w:pPr>
      <w:r>
        <w:rPr>
          <w:rStyle w:val="CharStyle8"/>
        </w:rPr>
        <w:t>DGL-WOP.053.3.2026.MJ</w:t>
      </w:r>
    </w:p>
    <w:p>
      <w:pPr>
        <w:pStyle w:val="Style7"/>
        <w:keepNext w:val="0"/>
        <w:keepLines w:val="0"/>
        <w:widowControl w:val="0"/>
        <w:shd w:val="clear" w:color="auto" w:fill="auto"/>
        <w:bidi w:val="0"/>
        <w:spacing w:before="0" w:after="0" w:line="240" w:lineRule="auto"/>
        <w:ind w:left="0" w:right="0" w:firstLine="0"/>
        <w:jc w:val="left"/>
        <w:rPr>
          <w:sz w:val="18"/>
          <w:szCs w:val="18"/>
        </w:rPr>
      </w:pPr>
      <w:r>
        <w:rPr>
          <w:rStyle w:val="CharStyle8"/>
          <w:sz w:val="18"/>
          <w:szCs w:val="18"/>
        </w:rPr>
        <w:t>4335698.18392530.14819730</w:t>
      </w:r>
    </w:p>
    <w:p>
      <w:pPr>
        <w:pStyle w:val="Style7"/>
        <w:keepNext w:val="0"/>
        <w:keepLines w:val="0"/>
        <w:widowControl w:val="0"/>
        <w:shd w:val="clear" w:color="auto" w:fill="auto"/>
        <w:bidi w:val="0"/>
        <w:spacing w:before="0" w:after="720" w:line="240" w:lineRule="auto"/>
        <w:ind w:left="0" w:right="0" w:firstLine="0"/>
        <w:jc w:val="left"/>
      </w:pPr>
      <w:r>
        <w:rPr>
          <w:rStyle w:val="CharStyle8"/>
        </w:rPr>
        <w:t>Warszawa, 20-07-2026</w:t>
      </w:r>
    </w:p>
    <w:p>
      <w:pPr>
        <w:pStyle w:val="Style7"/>
        <w:keepNext w:val="0"/>
        <w:keepLines w:val="0"/>
        <w:widowControl w:val="0"/>
        <w:shd w:val="clear" w:color="auto" w:fill="auto"/>
        <w:bidi w:val="0"/>
        <w:spacing w:before="0" w:after="820"/>
        <w:ind w:left="0" w:right="0" w:firstLine="0"/>
        <w:jc w:val="left"/>
      </w:pPr>
      <w:r>
        <w:rPr>
          <w:rStyle w:val="CharStyle8"/>
        </w:rPr>
        <w:t>Dotyczy - odpowiedzi na petycję</w:t>
      </w:r>
      <w:r>
        <w:rPr>
          <w:rStyle w:val="CharStyle8"/>
          <w:vertAlign w:val="superscript"/>
        </w:rPr>
        <w:footnoteReference w:id="2"/>
      </w:r>
      <w:r>
        <w:rPr>
          <w:rStyle w:val="CharStyle8"/>
        </w:rPr>
        <w:t xml:space="preserve"> w sprawie propozycji zmian przepisów ustawy</w:t>
      </w:r>
      <w:r>
        <w:rPr>
          <w:rStyle w:val="CharStyle8"/>
          <w:vertAlign w:val="superscript"/>
        </w:rPr>
        <w:footnoteReference w:id="3"/>
      </w:r>
      <w:r>
        <w:rPr>
          <w:rStyle w:val="CharStyle8"/>
        </w:rPr>
        <w:t xml:space="preserve"> z dnia 9 czerwca 2011 r. – Prawo geologiczne i górnicze („P.g.g.”) oraz innych aktów prawnych</w:t>
      </w:r>
    </w:p>
    <w:p>
      <w:pPr>
        <w:pStyle w:val="Style10"/>
        <w:keepNext/>
        <w:keepLines/>
        <w:widowControl w:val="0"/>
        <w:shd w:val="clear" w:color="auto" w:fill="auto"/>
        <w:bidi w:val="0"/>
        <w:spacing w:before="0" w:after="1680" w:line="240" w:lineRule="auto"/>
        <w:ind w:left="0" w:right="0" w:firstLine="0"/>
        <w:jc w:val="left"/>
      </w:pPr>
      <w:bookmarkStart w:id="0" w:name="bookmark0"/>
      <w:r>
        <w:rPr>
          <w:rStyle w:val="CharStyle11"/>
          <w:b/>
          <w:bCs/>
        </w:rPr>
        <w:t>Pan</w:t>
      </w:r>
      <w:bookmarkEnd w:id="0"/>
    </w:p>
    <w:p>
      <w:pPr>
        <w:pStyle w:val="Style7"/>
        <w:keepNext w:val="0"/>
        <w:keepLines w:val="0"/>
        <w:widowControl w:val="0"/>
        <w:shd w:val="clear" w:color="auto" w:fill="auto"/>
        <w:bidi w:val="0"/>
        <w:spacing w:before="0"/>
        <w:ind w:left="0" w:right="0" w:firstLine="0"/>
        <w:jc w:val="left"/>
      </w:pPr>
      <w:r>
        <w:rPr>
          <w:rStyle w:val="CharStyle8"/>
        </w:rPr>
        <w:t>Szanowny Panie Dyrektorze,</w:t>
      </w:r>
    </w:p>
    <w:p>
      <w:pPr>
        <w:pStyle w:val="Style7"/>
        <w:keepNext w:val="0"/>
        <w:keepLines w:val="0"/>
        <w:widowControl w:val="0"/>
        <w:shd w:val="clear" w:color="auto" w:fill="auto"/>
        <w:bidi w:val="0"/>
        <w:spacing w:before="0"/>
        <w:ind w:left="0" w:right="0" w:firstLine="0"/>
        <w:jc w:val="left"/>
      </w:pPr>
      <w:r>
        <w:rPr>
          <w:rStyle w:val="CharStyle8"/>
        </w:rPr>
        <w:t>przedstawiam stanowisko Ministerstwa Klimatu i Środowiska do zgłoszonych przy piśmie z 20.04.2026 r. propozycji legislacyjnych:</w:t>
      </w:r>
    </w:p>
    <w:p>
      <w:pPr>
        <w:pStyle w:val="Style10"/>
        <w:keepNext/>
        <w:keepLines/>
        <w:widowControl w:val="0"/>
        <w:numPr>
          <w:ilvl w:val="0"/>
          <w:numId w:val="1"/>
        </w:numPr>
        <w:shd w:val="clear" w:color="auto" w:fill="auto"/>
        <w:tabs>
          <w:tab w:pos="740" w:val="left"/>
        </w:tabs>
        <w:bidi w:val="0"/>
        <w:spacing w:before="0"/>
        <w:ind w:left="0" w:right="0"/>
        <w:jc w:val="left"/>
      </w:pPr>
      <w:bookmarkStart w:id="2" w:name="bookmark2"/>
      <w:r>
        <w:rPr>
          <w:rStyle w:val="CharStyle11"/>
          <w:b/>
          <w:bCs/>
        </w:rPr>
        <w:t>Propozycja zmiany art. 24 ust. 1 pkt 2a w zw. z 28a ust. 1 P.g.g.</w:t>
      </w:r>
      <w:bookmarkEnd w:id="2"/>
    </w:p>
    <w:p>
      <w:pPr>
        <w:pStyle w:val="Style7"/>
        <w:keepNext w:val="0"/>
        <w:keepLines w:val="0"/>
        <w:widowControl w:val="0"/>
        <w:shd w:val="clear" w:color="auto" w:fill="auto"/>
        <w:bidi w:val="0"/>
        <w:spacing w:before="0"/>
        <w:ind w:left="0" w:right="0" w:firstLine="0"/>
        <w:jc w:val="left"/>
      </w:pPr>
      <w:r>
        <w:rPr>
          <w:rStyle w:val="CharStyle8"/>
        </w:rPr>
        <w:t>Propozycja zmiany nie jest zasadna. Ustawodawca słusznie uzależnił udzielenie koncesji na podziemne składowanie dwutlenku węgla od wykazania się przez wnioskodawcę prawem własności lub użytkowania wieczystego nieruchomości, na której będzie zlokalizowany zakład górniczy, w szczególności instalacja zatłaczająca oraz instalacja służąca do prowadzenia monitoringu kompleksu podziemnego składowania dwutlenku węgla. Słabsze tytuły prawne do nieruchomości (np. dzierżawa, użyczenie) nie zapewniają dostatecznej stabilności dla działalności, która jest działalnością długoterminową i wiąże się ze stosunkowo dużym ryzykiem dla środowiska i bezpieczeństwa ludzi. Jednocześnie po zakończeniu działalności Krajowy Administrator Podziemnych Składowisk Dwutlenku Węgla („KAPSDW”) przejmuje odpowiedzialność za podziemne składowisko dwutlenku węgla (art. 32 ust. 8 P.g.g.). Wówczas następuje przeniesienie prawa do nieruchomości na rzecz Skarbu Państwa. Możliwość skutecznego przeniesienia tego prawa nie zostanie dostatecznie zagwarantowana np. w umowie dzierżawy, która stanowi zdecydowanie mniej trwały stosunek prawny. Uzasadnione jest, aby w przypadku podziemnego składowania dwutlenku węgla już na etapie postępowania koncesyjnego organ badał posiadane przez wnioskodawcę prawo do nieruchomości.</w:t>
      </w:r>
    </w:p>
    <w:p>
      <w:pPr>
        <w:pStyle w:val="Style10"/>
        <w:keepNext/>
        <w:keepLines/>
        <w:widowControl w:val="0"/>
        <w:numPr>
          <w:ilvl w:val="0"/>
          <w:numId w:val="1"/>
        </w:numPr>
        <w:shd w:val="clear" w:color="auto" w:fill="auto"/>
        <w:tabs>
          <w:tab w:pos="740" w:val="left"/>
        </w:tabs>
        <w:bidi w:val="0"/>
        <w:spacing w:before="0"/>
        <w:ind w:left="0" w:right="0"/>
        <w:jc w:val="left"/>
      </w:pPr>
      <w:bookmarkStart w:id="4" w:name="bookmark4"/>
      <w:r>
        <w:rPr>
          <w:rStyle w:val="CharStyle11"/>
          <w:b/>
          <w:bCs/>
        </w:rPr>
        <w:t>Propozycja zmiany art. 28a ust. 5 i 8 P.g.g.</w:t>
      </w:r>
      <w:bookmarkEnd w:id="4"/>
    </w:p>
    <w:p>
      <w:pPr>
        <w:pStyle w:val="Style7"/>
        <w:keepNext w:val="0"/>
        <w:keepLines w:val="0"/>
        <w:widowControl w:val="0"/>
        <w:shd w:val="clear" w:color="auto" w:fill="auto"/>
        <w:bidi w:val="0"/>
        <w:spacing w:before="0"/>
        <w:ind w:left="0" w:right="0" w:firstLine="0"/>
        <w:jc w:val="left"/>
      </w:pPr>
      <w:r>
        <w:rPr>
          <w:rStyle w:val="CharStyle8"/>
        </w:rPr>
        <w:t>Propozycja zmiany nie jest zasadna. Ustanowienie zabezpieczenia finansowego to niezwykle istotny warunek udzielenia koncesji na podziemne składowanie dwutlenku. Pełni ono funkcję gwarancyjną i ma zapewnić pokrycie m.in. kosztów wypłaty odszkodowań, monitoringu, działań naprawczych. Celem przepisu jest zabezpieczenie interesu publicznego i społecznego. Forma zabezpieczenia musi zostać dostosowana</w:t>
      </w:r>
    </w:p>
    <w:p>
      <w:pPr>
        <w:pStyle w:val="Style7"/>
        <w:keepNext w:val="0"/>
        <w:keepLines w:val="0"/>
        <w:widowControl w:val="0"/>
        <w:shd w:val="clear" w:color="auto" w:fill="auto"/>
        <w:bidi w:val="0"/>
        <w:spacing w:before="0"/>
        <w:ind w:left="0" w:right="0" w:firstLine="0"/>
        <w:jc w:val="left"/>
      </w:pPr>
      <w:r>
        <w:rPr>
          <w:rStyle w:val="CharStyle8"/>
        </w:rPr>
        <w:t>do ryzyka, które wiąże się z prowadzoną działalnością. Zabezpieczenie finansowe to także narzędzie, za pomocą którego organ realizuje funkcje kontrolną nad działalnością polegającą na podziemnym składowaniu dwutlenku węgla. Organ koncesyjny musi mieć możliwość wybory formy zabezpieczenia najbardziej adekwatnej w każdym indywidualnym przypadku. Warto podkreślić, że zabezpieczenie finansowe mogą stanowić środki pieniężne, gwarancja bankowa, gwarancja ubezpieczeniowa lub umowa ubezpieczenia odpowiedzialności cywilnej i może być ustanowione w jednej lub kilku formach. Jest to szczególnie istotne w tym wypadku, gdy mamy do czynienia z technologią, która do tej pory na skalę przemysłową nie była wykorzystywana i nie jesteśmy w stanie przewidzieć wszystkich ewentualnych konsekwencji tej działalności.</w:t>
      </w:r>
    </w:p>
    <w:p>
      <w:pPr>
        <w:pStyle w:val="Style7"/>
        <w:keepNext w:val="0"/>
        <w:keepLines w:val="0"/>
        <w:widowControl w:val="0"/>
        <w:shd w:val="clear" w:color="auto" w:fill="auto"/>
        <w:bidi w:val="0"/>
        <w:spacing w:before="0"/>
        <w:ind w:left="0" w:right="0" w:firstLine="0"/>
        <w:jc w:val="left"/>
      </w:pPr>
      <w:r>
        <w:rPr>
          <w:rStyle w:val="CharStyle8"/>
        </w:rPr>
        <w:t>Co więcej ustawodawca w art. 28h P.g.g. delegował określenie kryteriów wyboru formy zabezpieczenia do aktu wykonawczego. Wydane na podstawie tego upoważnienia rozporządzenie</w:t>
      </w:r>
      <w:r>
        <w:rPr>
          <w:rStyle w:val="CharStyle8"/>
          <w:vertAlign w:val="superscript"/>
        </w:rPr>
        <w:footnoteReference w:id="4"/>
      </w:r>
      <w:r>
        <w:rPr>
          <w:rStyle w:val="CharStyle8"/>
        </w:rPr>
        <w:t xml:space="preserve"> Ministra Środowiska z dnia 30 października 2015 r. w sprawie zabezpieczenia finansowego i zabezpieczenia środków związanych z podziemnym składowaniem dwutlenku węgla („rozporządzenie w sprawie zabezpieczenia”) doprecyzowuje sposób ustalania wysokości zabezpieczenia finansowego i kryteria wyboru jego formy. Ewentualna zmiana przepisów określających kryteria wyboru formy zabezpieczenia powinna mieć miejsce na poziomie rozporządzenia, a nie na poziomie ustawowym.</w:t>
      </w:r>
    </w:p>
    <w:p>
      <w:pPr>
        <w:pStyle w:val="Style10"/>
        <w:keepNext/>
        <w:keepLines/>
        <w:widowControl w:val="0"/>
        <w:numPr>
          <w:ilvl w:val="0"/>
          <w:numId w:val="1"/>
        </w:numPr>
        <w:shd w:val="clear" w:color="auto" w:fill="auto"/>
        <w:tabs>
          <w:tab w:pos="740" w:val="left"/>
        </w:tabs>
        <w:bidi w:val="0"/>
        <w:spacing w:before="0"/>
        <w:ind w:left="0" w:right="0"/>
        <w:jc w:val="left"/>
      </w:pPr>
      <w:bookmarkStart w:id="6" w:name="bookmark6"/>
      <w:r>
        <w:rPr>
          <w:rStyle w:val="CharStyle11"/>
          <w:b/>
          <w:bCs/>
        </w:rPr>
        <w:t>Propozycja zmiany art. 28b ust. 1 P.g.g.</w:t>
      </w:r>
      <w:bookmarkEnd w:id="6"/>
    </w:p>
    <w:p>
      <w:pPr>
        <w:pStyle w:val="Style7"/>
        <w:keepNext w:val="0"/>
        <w:keepLines w:val="0"/>
        <w:widowControl w:val="0"/>
        <w:shd w:val="clear" w:color="auto" w:fill="auto"/>
        <w:bidi w:val="0"/>
        <w:spacing w:before="0"/>
        <w:ind w:left="0" w:right="0" w:firstLine="0"/>
        <w:jc w:val="left"/>
      </w:pPr>
      <w:r>
        <w:rPr>
          <w:rStyle w:val="CharStyle8"/>
        </w:rPr>
        <w:t>Propozycja zmiany nie jest zasadna. Przepis stałby się kazuistyczny i mógłby nie obejmować wszystkich przypadków zmiany poziomu ryzyka. Obecnie sformułowanie „zmiana poziomu ryzyka” pozwala organowi na podejmowanie odpowiednich działań w wielu różnych sytuacjach, które mogą mieć miejsce w przyszłości podczas wykonywania działalności polegającej na podziemnym składowaniu dwutlenku węgla. Przykładowo organ nie jest w stanie przewidzieć, w jaki sposób będą zachowywały się struktury geologiczne w czasie funkcjonowania składowiska, jak będzie rozwijała się wiedza technologiczna, jakie informacje będą wynikać z monitoringu i ze sprawozdań z działalności, z dodatków do planu zagospodarowania podziemnego składowiska dwutlenku węgla czy z wniosków z przeprowadzonych kontroli. Zasadne jest zatem pozostawienie brzmienia przepisu w obecnym kształcie.</w:t>
      </w:r>
    </w:p>
    <w:p>
      <w:pPr>
        <w:pStyle w:val="Style10"/>
        <w:keepNext/>
        <w:keepLines/>
        <w:widowControl w:val="0"/>
        <w:numPr>
          <w:ilvl w:val="0"/>
          <w:numId w:val="1"/>
        </w:numPr>
        <w:shd w:val="clear" w:color="auto" w:fill="auto"/>
        <w:tabs>
          <w:tab w:pos="740" w:val="left"/>
        </w:tabs>
        <w:bidi w:val="0"/>
        <w:spacing w:before="0"/>
        <w:ind w:left="0" w:right="0"/>
        <w:jc w:val="left"/>
      </w:pPr>
      <w:bookmarkStart w:id="8" w:name="bookmark8"/>
      <w:r>
        <w:rPr>
          <w:rStyle w:val="CharStyle11"/>
          <w:b/>
          <w:bCs/>
        </w:rPr>
        <w:t>Propozycja zmiany art. 28e ust. 3 P.g.g.</w:t>
      </w:r>
      <w:bookmarkEnd w:id="8"/>
    </w:p>
    <w:p>
      <w:pPr>
        <w:pStyle w:val="Style7"/>
        <w:keepNext w:val="0"/>
        <w:keepLines w:val="0"/>
        <w:widowControl w:val="0"/>
        <w:shd w:val="clear" w:color="auto" w:fill="auto"/>
        <w:bidi w:val="0"/>
        <w:spacing w:before="0"/>
        <w:ind w:left="0" w:right="0" w:firstLine="0"/>
        <w:jc w:val="left"/>
      </w:pPr>
      <w:r>
        <w:rPr>
          <w:rStyle w:val="CharStyle8"/>
        </w:rPr>
        <w:t>Propozycja zmiany nie jest zasadna. Uzasadnienie przyjętego stanowiska jest analogiczne, jak w odpowiedzi na propozycję dotyczącą zmiany art. 28a ust. 5 i 8 P.g.g.</w:t>
      </w:r>
    </w:p>
    <w:p>
      <w:pPr>
        <w:pStyle w:val="Style10"/>
        <w:keepNext/>
        <w:keepLines/>
        <w:widowControl w:val="0"/>
        <w:numPr>
          <w:ilvl w:val="0"/>
          <w:numId w:val="1"/>
        </w:numPr>
        <w:shd w:val="clear" w:color="auto" w:fill="auto"/>
        <w:tabs>
          <w:tab w:pos="740" w:val="left"/>
        </w:tabs>
        <w:bidi w:val="0"/>
        <w:spacing w:before="0"/>
        <w:ind w:left="0" w:right="0"/>
        <w:jc w:val="left"/>
      </w:pPr>
      <w:bookmarkStart w:id="10" w:name="bookmark10"/>
      <w:r>
        <w:rPr>
          <w:rStyle w:val="CharStyle11"/>
          <w:b/>
          <w:bCs/>
        </w:rPr>
        <w:t>Propozycja zmiany art. 28f ust. 1 P.g.g.</w:t>
      </w:r>
      <w:bookmarkEnd w:id="10"/>
    </w:p>
    <w:p>
      <w:pPr>
        <w:pStyle w:val="Style7"/>
        <w:keepNext w:val="0"/>
        <w:keepLines w:val="0"/>
        <w:widowControl w:val="0"/>
        <w:shd w:val="clear" w:color="auto" w:fill="auto"/>
        <w:bidi w:val="0"/>
        <w:spacing w:before="0"/>
        <w:ind w:left="0" w:right="0" w:firstLine="0"/>
        <w:jc w:val="left"/>
      </w:pPr>
      <w:r>
        <w:rPr>
          <w:rStyle w:val="CharStyle8"/>
        </w:rPr>
        <w:t>Propozycję zmiany należy uznać za zasadną. Nie można wykluczyć, że z czasem poziom ryzyka może się także zmniejszać, nie tylko zwiększać. Stosowna propozycja zmiany zostanie kierunkowo uwzględniona w przygotowywanym projekcie nowelizacji P.g.g.</w:t>
      </w:r>
    </w:p>
    <w:p>
      <w:pPr>
        <w:pStyle w:val="Style10"/>
        <w:keepNext/>
        <w:keepLines/>
        <w:widowControl w:val="0"/>
        <w:numPr>
          <w:ilvl w:val="0"/>
          <w:numId w:val="1"/>
        </w:numPr>
        <w:shd w:val="clear" w:color="auto" w:fill="auto"/>
        <w:tabs>
          <w:tab w:pos="740" w:val="left"/>
        </w:tabs>
        <w:bidi w:val="0"/>
        <w:spacing w:before="0"/>
        <w:ind w:left="0" w:right="0"/>
        <w:jc w:val="left"/>
      </w:pPr>
      <w:bookmarkStart w:id="12" w:name="bookmark12"/>
      <w:r>
        <w:rPr>
          <w:rStyle w:val="CharStyle11"/>
          <w:b/>
          <w:bCs/>
        </w:rPr>
        <w:t>Propozycja zmiany art. 28h P.g.g.</w:t>
      </w:r>
      <w:bookmarkEnd w:id="12"/>
    </w:p>
    <w:p>
      <w:pPr>
        <w:pStyle w:val="Style7"/>
        <w:keepNext w:val="0"/>
        <w:keepLines w:val="0"/>
        <w:widowControl w:val="0"/>
        <w:shd w:val="clear" w:color="auto" w:fill="auto"/>
        <w:bidi w:val="0"/>
        <w:spacing w:before="0"/>
        <w:ind w:left="0" w:right="0" w:firstLine="0"/>
        <w:jc w:val="left"/>
      </w:pPr>
      <w:r>
        <w:rPr>
          <w:rStyle w:val="CharStyle8"/>
        </w:rPr>
        <w:t xml:space="preserve">W ocenie Ministerstwa po nowelizacji P.g.g. w 2023 r. obowiązujące rozporządzenie w sprawie zabezpieczenia nie stanowi blokady do wykonywania działalności w zakresie podziemnego składowania dwutlenku węgla. Jednakże mając na względzie, że rozporządzenie to weszło w życie ponad 10 lat temu, a sytuacja na rynku podlega dynamicznym zmianom, planowane jest dokonanie rewizji tego aktu wykonawczego. Jest to zbieżne z kierunkiem prac Komisji Europejskiej nad wytycznymi, co do zabezpieczenia </w:t>
      </w:r>
      <w:r>
        <w:rPr>
          <w:rStyle w:val="CharStyle8"/>
          <w:u w:val="single"/>
        </w:rPr>
        <w:t>finansowego i zabezpieczenia śro</w:t>
      </w:r>
      <w:r>
        <w:rPr>
          <w:rStyle w:val="CharStyle8"/>
        </w:rPr>
        <w:t>dków.</w:t>
      </w:r>
    </w:p>
    <w:p>
      <w:pPr>
        <w:pStyle w:val="Style7"/>
        <w:keepNext w:val="0"/>
        <w:keepLines w:val="0"/>
        <w:widowControl w:val="0"/>
        <w:shd w:val="clear" w:color="auto" w:fill="auto"/>
        <w:bidi w:val="0"/>
        <w:spacing w:before="0"/>
        <w:ind w:left="0" w:right="0" w:firstLine="0"/>
        <w:jc w:val="left"/>
      </w:pPr>
      <w:r>
        <w:rPr>
          <w:rStyle w:val="CharStyle8"/>
        </w:rPr>
        <w:t>Ewentualne szczegółowe rekomendacje, co do kierunków zmian ww. rozporządzenia, zostaną przygotowane po dokonaniu rewizji jego brzmienia. Należy jednak podkreślić, że przy ewentualnej zmianie rozporządzenia w sprawie zabezpieczenia finansowego konieczne jest dochowanie wymogów wynikających z dyrektywy CCS</w:t>
      </w:r>
      <w:r>
        <w:rPr>
          <w:rStyle w:val="CharStyle8"/>
          <w:vertAlign w:val="superscript"/>
        </w:rPr>
        <w:t>4</w:t>
      </w:r>
      <w:r>
        <w:rPr>
          <w:rStyle w:val="CharStyle8"/>
        </w:rPr>
        <w:t>, pozwalających na osiągnięcie jej celów – zapewnienia bezpieczeństwa podziemnego składowania dwutlenku węgla oraz ponoszenia odpowiedzialności (w tym finansowej) za tę działalność przez podmioty ją prowadzące.</w:t>
      </w:r>
    </w:p>
    <w:p>
      <w:pPr>
        <w:pStyle w:val="Style10"/>
        <w:keepNext/>
        <w:keepLines/>
        <w:widowControl w:val="0"/>
        <w:numPr>
          <w:ilvl w:val="0"/>
          <w:numId w:val="1"/>
        </w:numPr>
        <w:shd w:val="clear" w:color="auto" w:fill="auto"/>
        <w:tabs>
          <w:tab w:pos="740" w:val="left"/>
        </w:tabs>
        <w:bidi w:val="0"/>
        <w:spacing w:before="0"/>
        <w:ind w:left="0" w:right="0"/>
        <w:jc w:val="left"/>
      </w:pPr>
      <w:bookmarkStart w:id="14" w:name="bookmark14"/>
      <w:r>
        <w:rPr>
          <w:rStyle w:val="CharStyle11"/>
          <w:b/>
          <w:bCs/>
        </w:rPr>
        <w:t>Propozycja zmiany art. 95 ust. 1 i 2 P.g.g.</w:t>
      </w:r>
      <w:bookmarkEnd w:id="14"/>
    </w:p>
    <w:p>
      <w:pPr>
        <w:pStyle w:val="Style7"/>
        <w:keepNext w:val="0"/>
        <w:keepLines w:val="0"/>
        <w:widowControl w:val="0"/>
        <w:shd w:val="clear" w:color="auto" w:fill="auto"/>
        <w:bidi w:val="0"/>
        <w:spacing w:before="0"/>
        <w:ind w:left="0" w:right="0" w:firstLine="0"/>
        <w:jc w:val="left"/>
      </w:pPr>
      <w:r>
        <w:rPr>
          <w:rStyle w:val="CharStyle8"/>
        </w:rPr>
        <w:t xml:space="preserve">Propozycja zostanie przeanalizowana. Należy mieć jednak na uwadze konieczność uzgodnienia ewentualnych zmian przepisów z podmiotami odpowiedzialnymi za opracowywanie planów zagospodarowania dla polskich obszarów morskich (dyrektorzy urzędów morskich) oraz zachowanie spójności z przepisami ustawy z dnia 21 marca 1991 r. o obszarach morskich Rzeczypospolitej Polskiej i administracji morskiej </w:t>
      </w:r>
      <w:r>
        <w:rPr>
          <w:rStyle w:val="CharStyle8"/>
          <w:vertAlign w:val="superscript"/>
        </w:rPr>
        <w:t>5</w:t>
      </w:r>
      <w:r>
        <w:rPr>
          <w:rStyle w:val="CharStyle8"/>
        </w:rPr>
        <w:t>, a także innymi przepisami regulującymi działalność prowadzoną na obszarach morskich RP.</w:t>
      </w:r>
    </w:p>
    <w:p>
      <w:pPr>
        <w:pStyle w:val="Style10"/>
        <w:keepNext/>
        <w:keepLines/>
        <w:widowControl w:val="0"/>
        <w:numPr>
          <w:ilvl w:val="0"/>
          <w:numId w:val="1"/>
        </w:numPr>
        <w:shd w:val="clear" w:color="auto" w:fill="auto"/>
        <w:tabs>
          <w:tab w:pos="740" w:val="left"/>
        </w:tabs>
        <w:bidi w:val="0"/>
        <w:spacing w:before="0"/>
        <w:ind w:left="0" w:right="0"/>
        <w:jc w:val="left"/>
      </w:pPr>
      <w:bookmarkStart w:id="16" w:name="bookmark16"/>
      <w:r>
        <w:rPr>
          <w:rStyle w:val="CharStyle11"/>
          <w:b/>
          <w:bCs/>
        </w:rPr>
        <w:t>Propozycja zmiany art. 100 ust. 10 P.g.g.</w:t>
      </w:r>
      <w:bookmarkEnd w:id="16"/>
    </w:p>
    <w:p>
      <w:pPr>
        <w:pStyle w:val="Style7"/>
        <w:keepNext w:val="0"/>
        <w:keepLines w:val="0"/>
        <w:widowControl w:val="0"/>
        <w:shd w:val="clear" w:color="auto" w:fill="auto"/>
        <w:bidi w:val="0"/>
        <w:spacing w:before="0"/>
        <w:ind w:left="0" w:right="0" w:firstLine="0"/>
        <w:jc w:val="left"/>
      </w:pPr>
      <w:r>
        <w:rPr>
          <w:rStyle w:val="CharStyle8"/>
        </w:rPr>
        <w:t>Propozycja jak najszybszego wejścia w życie projektu rozporządzenia Ministra Klimatu i Środowiska w sprawie korzystania z informacji geologicznej za wynagrodzeniem (projekt nr 1212) nie jest zasadna. Należy wskazać, że skrócenie vacatio legis na obecnym etapie nie jest możliwe ze względu na konieczność przeprowadzenia projektu przez kolejne, znacznie rozciągnięte w czasie etapy ścieżki legislacyjnej. Ewentualne skrócenie tego terminu, w tym zmiana § 17 w zaproponowanym brzmieniu będzie rozpatrywane po uzgodnieniu projektu rozporządzenia przez komisję prawniczą.</w:t>
      </w:r>
    </w:p>
    <w:p>
      <w:pPr>
        <w:pStyle w:val="Style10"/>
        <w:keepNext/>
        <w:keepLines/>
        <w:widowControl w:val="0"/>
        <w:numPr>
          <w:ilvl w:val="0"/>
          <w:numId w:val="1"/>
        </w:numPr>
        <w:shd w:val="clear" w:color="auto" w:fill="auto"/>
        <w:tabs>
          <w:tab w:pos="740" w:val="left"/>
        </w:tabs>
        <w:bidi w:val="0"/>
        <w:spacing w:before="0"/>
        <w:ind w:left="0" w:right="0"/>
        <w:jc w:val="left"/>
      </w:pPr>
      <w:bookmarkStart w:id="18" w:name="bookmark18"/>
      <w:r>
        <w:rPr>
          <w:rStyle w:val="CharStyle11"/>
          <w:b/>
          <w:bCs/>
        </w:rPr>
        <w:t>Propozycja zmiany art. 21 ust. 4 i 4a P.g.g.</w:t>
      </w:r>
      <w:bookmarkEnd w:id="18"/>
    </w:p>
    <w:p>
      <w:pPr>
        <w:pStyle w:val="Style7"/>
        <w:keepNext w:val="0"/>
        <w:keepLines w:val="0"/>
        <w:widowControl w:val="0"/>
        <w:shd w:val="clear" w:color="auto" w:fill="auto"/>
        <w:bidi w:val="0"/>
        <w:spacing w:before="0"/>
        <w:ind w:left="0" w:right="0" w:firstLine="0"/>
        <w:jc w:val="left"/>
      </w:pPr>
      <w:r>
        <w:rPr>
          <w:rStyle w:val="CharStyle8"/>
        </w:rPr>
        <w:t>Propozycja zmiany jest zasadna i została już kierunkowo uwzględniona w przygotowywanym projekcie nowelizacji P.g.g.</w:t>
      </w:r>
    </w:p>
    <w:p>
      <w:pPr>
        <w:pStyle w:val="Style10"/>
        <w:keepNext/>
        <w:keepLines/>
        <w:widowControl w:val="0"/>
        <w:numPr>
          <w:ilvl w:val="0"/>
          <w:numId w:val="1"/>
        </w:numPr>
        <w:shd w:val="clear" w:color="auto" w:fill="auto"/>
        <w:tabs>
          <w:tab w:pos="765" w:val="left"/>
        </w:tabs>
        <w:bidi w:val="0"/>
        <w:spacing w:before="0"/>
        <w:ind w:left="0" w:right="0"/>
        <w:jc w:val="left"/>
      </w:pPr>
      <w:bookmarkStart w:id="20" w:name="bookmark20"/>
      <w:r>
        <w:rPr>
          <w:rStyle w:val="CharStyle11"/>
          <w:b/>
          <w:bCs/>
        </w:rPr>
        <w:t>Propozycja zmiany art. 127d ust. 2 P.g.g.</w:t>
      </w:r>
      <w:bookmarkEnd w:id="20"/>
    </w:p>
    <w:p>
      <w:pPr>
        <w:pStyle w:val="Style7"/>
        <w:keepNext w:val="0"/>
        <w:keepLines w:val="0"/>
        <w:widowControl w:val="0"/>
        <w:shd w:val="clear" w:color="auto" w:fill="auto"/>
        <w:bidi w:val="0"/>
        <w:spacing w:before="0"/>
        <w:ind w:left="0" w:right="0" w:firstLine="0"/>
        <w:jc w:val="left"/>
      </w:pPr>
      <w:r>
        <w:rPr>
          <w:rStyle w:val="CharStyle8"/>
        </w:rPr>
        <w:t>Zagadnienia dotyczące szczegółowych parametrów jakościowych oraz dopuszczalnego składu strumienia CO</w:t>
      </w:r>
      <w:r>
        <w:rPr>
          <w:rStyle w:val="CharStyle8"/>
          <w:rFonts w:ascii="Times New Roman" w:eastAsia="Times New Roman" w:hAnsi="Times New Roman" w:cs="Times New Roman"/>
          <w:sz w:val="22"/>
          <w:szCs w:val="22"/>
          <w:vertAlign w:val="subscript"/>
        </w:rPr>
        <w:t>2</w:t>
      </w:r>
      <w:r>
        <w:rPr>
          <w:rStyle w:val="CharStyle8"/>
          <w:rFonts w:ascii="Times New Roman" w:eastAsia="Times New Roman" w:hAnsi="Times New Roman" w:cs="Times New Roman"/>
          <w:sz w:val="22"/>
          <w:szCs w:val="22"/>
        </w:rPr>
        <w:t xml:space="preserve"> </w:t>
      </w:r>
      <w:r>
        <w:rPr>
          <w:rStyle w:val="CharStyle8"/>
        </w:rPr>
        <w:t>są obecnie uregulowane w P.g.g. oraz w przepisach wykonawczych wydanych na podstawie tej ustawy, w szczególności w rozporządzeniu</w:t>
      </w:r>
      <w:r>
        <w:rPr>
          <w:rStyle w:val="CharStyle8"/>
          <w:vertAlign w:val="superscript"/>
        </w:rPr>
        <w:t>6</w:t>
      </w:r>
      <w:r>
        <w:rPr>
          <w:rStyle w:val="CharStyle8"/>
        </w:rPr>
        <w:t xml:space="preserve"> Ministra Środowiska z dnia 30 października 2015 r. w sprawie szczegółowych wymagań dotyczących eksploatacji podziemnego składowiska dwutlenku węgla, zatłaczanego strumienia dwutlenku węgla oraz prowadzenia monitoringu kompleksu podziemnego składowania dwutlenku węgla („rozporządzenie w sprawie eksploatacji i monitoringu”).</w:t>
      </w:r>
    </w:p>
    <w:p>
      <w:pPr>
        <w:pStyle w:val="Style7"/>
        <w:keepNext w:val="0"/>
        <w:keepLines w:val="0"/>
        <w:widowControl w:val="0"/>
        <w:shd w:val="clear" w:color="auto" w:fill="auto"/>
        <w:bidi w:val="0"/>
        <w:spacing w:before="0" w:after="40"/>
        <w:ind w:left="0" w:right="0" w:firstLine="0"/>
        <w:jc w:val="left"/>
      </w:pPr>
      <w:r>
        <w:rPr>
          <w:rStyle w:val="CharStyle8"/>
        </w:rPr>
        <w:t>Na ten moment w ocenie Ministerstwa rozporządzenie to nie stanowi blokady do wykonywania działalności w zakresie podziemnego składowania dwutlenku węgla. Jednakże mając na względzie, że rozporządzenie weszło w życie ponad 10 lat temu, a sytuacja na rynku podlega dynamicznym zmianom, planowane jest dokonanie rewizji tego aktu wykonawczego. Jest to zbieżne z kierunkiem prac Komisji Europejskiej nad wytycznymi, co do wymogów dotyczących składu strumienia. Ewentualne szczegółowe rekomendacje, co do kierunków zmiany rozporządzenia w sprawie eksploatacji i monitoringu, zostaną przygotowane po rewizji tego aktu prawnego. Należy jednak</w:t>
      </w:r>
    </w:p>
    <w:p>
      <w:pPr>
        <w:pStyle w:val="Style7"/>
        <w:keepNext w:val="0"/>
        <w:keepLines w:val="0"/>
        <w:widowControl w:val="0"/>
        <w:numPr>
          <w:ilvl w:val="0"/>
          <w:numId w:val="3"/>
        </w:numPr>
        <w:shd w:val="clear" w:color="auto" w:fill="auto"/>
        <w:tabs>
          <w:tab w:pos="207" w:val="left"/>
        </w:tabs>
        <w:bidi w:val="0"/>
        <w:spacing w:before="0" w:after="0" w:line="240" w:lineRule="auto"/>
        <w:ind w:left="0" w:right="0" w:firstLine="0"/>
        <w:jc w:val="left"/>
        <w:rPr>
          <w:sz w:val="18"/>
          <w:szCs w:val="18"/>
        </w:rPr>
      </w:pPr>
      <w:r>
        <w:rPr>
          <w:rStyle w:val="CharStyle8"/>
          <w:sz w:val="18"/>
          <w:szCs w:val="18"/>
        </w:rPr>
        <w:t>dyrektywa Parlamentu Europejskiego i Rady 2009/31/WE z dnia 23 kwietnia 2009 r. w sprawie geologicznego składowania dwutlenku węgla oraz zmieniająca dyrektywę Rady 85/337/EWG, dyrektywy Parlamentu Europejskiego i Rady 2000/60/WE, 2001/80/WE, 2004/35/WE, 2006/12/WE, 2008/1/WE i rozporządzenie (WE) nr 1013/2006 (DZ. U. L 140 z 5.06.2009 r., z późn. zm., „dyrektywa CCS”)</w:t>
      </w:r>
    </w:p>
    <w:p>
      <w:pPr>
        <w:pStyle w:val="Style7"/>
        <w:keepNext w:val="0"/>
        <w:keepLines w:val="0"/>
        <w:widowControl w:val="0"/>
        <w:numPr>
          <w:ilvl w:val="0"/>
          <w:numId w:val="3"/>
        </w:numPr>
        <w:shd w:val="clear" w:color="auto" w:fill="auto"/>
        <w:tabs>
          <w:tab w:pos="193" w:val="left"/>
        </w:tabs>
        <w:bidi w:val="0"/>
        <w:spacing w:before="0" w:after="0" w:line="240" w:lineRule="auto"/>
        <w:ind w:left="0" w:right="0" w:firstLine="0"/>
        <w:jc w:val="left"/>
        <w:rPr>
          <w:sz w:val="18"/>
          <w:szCs w:val="18"/>
        </w:rPr>
      </w:pPr>
      <w:r>
        <w:rPr>
          <w:rStyle w:val="CharStyle8"/>
          <w:sz w:val="18"/>
          <w:szCs w:val="18"/>
        </w:rPr>
        <w:t>Dz.U. z 2024 r. poz. 1125, z późn. zm.</w:t>
      </w:r>
    </w:p>
    <w:p>
      <w:pPr>
        <w:pStyle w:val="Style7"/>
        <w:keepNext w:val="0"/>
        <w:keepLines w:val="0"/>
        <w:widowControl w:val="0"/>
        <w:numPr>
          <w:ilvl w:val="0"/>
          <w:numId w:val="3"/>
        </w:numPr>
        <w:shd w:val="clear" w:color="auto" w:fill="auto"/>
        <w:tabs>
          <w:tab w:pos="198" w:val="left"/>
        </w:tabs>
        <w:bidi w:val="0"/>
        <w:spacing w:before="0" w:line="240" w:lineRule="auto"/>
        <w:ind w:left="0" w:right="0" w:firstLine="0"/>
        <w:jc w:val="left"/>
        <w:rPr>
          <w:sz w:val="18"/>
          <w:szCs w:val="18"/>
        </w:rPr>
      </w:pPr>
      <w:r>
        <w:rPr>
          <w:rStyle w:val="CharStyle8"/>
          <w:sz w:val="18"/>
          <w:szCs w:val="18"/>
        </w:rPr>
        <w:t>Dz.U. 2015 r. poz. 1840</w:t>
      </w:r>
    </w:p>
    <w:p>
      <w:pPr>
        <w:pStyle w:val="Style7"/>
        <w:keepNext w:val="0"/>
        <w:keepLines w:val="0"/>
        <w:widowControl w:val="0"/>
        <w:shd w:val="clear" w:color="auto" w:fill="auto"/>
        <w:bidi w:val="0"/>
        <w:spacing w:before="0"/>
        <w:ind w:left="0" w:right="0" w:firstLine="0"/>
        <w:jc w:val="left"/>
      </w:pPr>
      <w:r>
        <w:rPr>
          <w:rStyle w:val="CharStyle8"/>
        </w:rPr>
        <w:t>podkreślić, że przy ewentualnej zmianie rozporządzenia w sprawie eksploatacji i monitoringu konieczne jest dochowanie wymogów wynikających z dyrektywy CCS, pozwalających na osiągnięcie jej celów – zapewnienia bezpieczeństwa podziemnego składowania dwutlenku węgla.</w:t>
      </w:r>
    </w:p>
    <w:p>
      <w:pPr>
        <w:pStyle w:val="Style10"/>
        <w:keepNext/>
        <w:keepLines/>
        <w:widowControl w:val="0"/>
        <w:numPr>
          <w:ilvl w:val="0"/>
          <w:numId w:val="1"/>
        </w:numPr>
        <w:shd w:val="clear" w:color="auto" w:fill="auto"/>
        <w:tabs>
          <w:tab w:pos="765" w:val="left"/>
        </w:tabs>
        <w:bidi w:val="0"/>
        <w:spacing w:before="0"/>
        <w:ind w:left="0" w:right="0"/>
        <w:jc w:val="left"/>
      </w:pPr>
      <w:bookmarkStart w:id="22" w:name="bookmark22"/>
      <w:r>
        <w:rPr>
          <w:rStyle w:val="CharStyle11"/>
          <w:b/>
          <w:bCs/>
        </w:rPr>
        <w:t>Propozycja zmiany art. 127h P.g.g.</w:t>
      </w:r>
      <w:bookmarkEnd w:id="22"/>
    </w:p>
    <w:p>
      <w:pPr>
        <w:pStyle w:val="Style7"/>
        <w:keepNext w:val="0"/>
        <w:keepLines w:val="0"/>
        <w:widowControl w:val="0"/>
        <w:shd w:val="clear" w:color="auto" w:fill="auto"/>
        <w:bidi w:val="0"/>
        <w:spacing w:before="0"/>
        <w:ind w:left="0" w:right="0" w:firstLine="0"/>
        <w:jc w:val="left"/>
      </w:pPr>
      <w:r>
        <w:rPr>
          <w:rStyle w:val="CharStyle8"/>
        </w:rPr>
        <w:t>W ocenie Ministerstwa po nowelizacji P.g.g. z 2023 r. obowiązujące rozporządzenie w sprawie eksploatacji i monitoringu nie stanowi blokady do wykonywania działalności w zakresie podziemnego składowania dwutlenku węgla. Dalsze uzasadnienie jest analogiczne jak w odpowiedzi odnoszącej się do propozycji zmiany art. art. 127d ust. 2 P.g.g.</w:t>
      </w:r>
    </w:p>
    <w:p>
      <w:pPr>
        <w:pStyle w:val="Style10"/>
        <w:keepNext/>
        <w:keepLines/>
        <w:widowControl w:val="0"/>
        <w:numPr>
          <w:ilvl w:val="0"/>
          <w:numId w:val="1"/>
        </w:numPr>
        <w:shd w:val="clear" w:color="auto" w:fill="auto"/>
        <w:tabs>
          <w:tab w:pos="765" w:val="left"/>
        </w:tabs>
        <w:bidi w:val="0"/>
        <w:spacing w:before="0"/>
        <w:ind w:left="0" w:right="0"/>
        <w:jc w:val="left"/>
      </w:pPr>
      <w:bookmarkStart w:id="24" w:name="bookmark24"/>
      <w:r>
        <w:rPr>
          <w:rStyle w:val="CharStyle11"/>
          <w:b/>
          <w:bCs/>
        </w:rPr>
        <w:t>Propozycja zmiany art. 127j ust. 1 pkt 1 P.g.g.</w:t>
      </w:r>
      <w:bookmarkEnd w:id="24"/>
    </w:p>
    <w:p>
      <w:pPr>
        <w:pStyle w:val="Style7"/>
        <w:keepNext w:val="0"/>
        <w:keepLines w:val="0"/>
        <w:widowControl w:val="0"/>
        <w:shd w:val="clear" w:color="auto" w:fill="auto"/>
        <w:bidi w:val="0"/>
        <w:spacing w:before="0"/>
        <w:ind w:left="0" w:right="0" w:firstLine="0"/>
        <w:jc w:val="left"/>
      </w:pPr>
      <w:r>
        <w:rPr>
          <w:rStyle w:val="CharStyle8"/>
        </w:rPr>
        <w:t>Propozycja nie jest zasadna. W ocenie Ministerstwa nie ma sprzeczności w przepisach P.g.g. dotyczących przekazania odpowiedzialności za zamknięte podziemne składowisko dwutlenku węgla KAPSDW.</w:t>
      </w:r>
    </w:p>
    <w:p>
      <w:pPr>
        <w:pStyle w:val="Style10"/>
        <w:keepNext/>
        <w:keepLines/>
        <w:widowControl w:val="0"/>
        <w:numPr>
          <w:ilvl w:val="0"/>
          <w:numId w:val="1"/>
        </w:numPr>
        <w:shd w:val="clear" w:color="auto" w:fill="auto"/>
        <w:tabs>
          <w:tab w:pos="765" w:val="left"/>
        </w:tabs>
        <w:bidi w:val="0"/>
        <w:spacing w:before="0"/>
        <w:ind w:left="0" w:right="0"/>
        <w:jc w:val="left"/>
      </w:pPr>
      <w:bookmarkStart w:id="26" w:name="bookmark26"/>
      <w:r>
        <w:rPr>
          <w:rStyle w:val="CharStyle11"/>
          <w:b/>
          <w:bCs/>
        </w:rPr>
        <w:t>Propozycja zmiany art. 127j ust. 1 pkt 4 P.g.g.</w:t>
      </w:r>
      <w:bookmarkEnd w:id="26"/>
    </w:p>
    <w:p>
      <w:pPr>
        <w:pStyle w:val="Style7"/>
        <w:keepNext w:val="0"/>
        <w:keepLines w:val="0"/>
        <w:widowControl w:val="0"/>
        <w:shd w:val="clear" w:color="auto" w:fill="auto"/>
        <w:bidi w:val="0"/>
        <w:spacing w:before="0" w:after="0"/>
        <w:ind w:left="0" w:right="0" w:firstLine="0"/>
        <w:jc w:val="left"/>
      </w:pPr>
      <w:r>
        <w:rPr>
          <w:rStyle w:val="CharStyle8"/>
        </w:rPr>
        <w:t>Propozycja zmiany została kierunkowo uwzględniona w przygotowywanym projekcie nowelizacji P.g.g. Przewidywane jest wprowadzenie regulacji, zgodnie z którą w przypadku gdy przedsiębiorca wykaże w dodatkach do dokumentacji geologicznych sporządzonych dla podziemnego składowiska dwutlenku węgla, że:</w:t>
      </w:r>
    </w:p>
    <w:p>
      <w:pPr>
        <w:pStyle w:val="Style7"/>
        <w:keepNext w:val="0"/>
        <w:keepLines w:val="0"/>
        <w:widowControl w:val="0"/>
        <w:numPr>
          <w:ilvl w:val="0"/>
          <w:numId w:val="5"/>
        </w:numPr>
        <w:shd w:val="clear" w:color="auto" w:fill="auto"/>
        <w:tabs>
          <w:tab w:pos="346" w:val="left"/>
        </w:tabs>
        <w:bidi w:val="0"/>
        <w:spacing w:before="0" w:after="0"/>
        <w:ind w:left="380" w:right="0" w:hanging="380"/>
        <w:jc w:val="left"/>
      </w:pPr>
      <w:r>
        <w:rPr>
          <w:rStyle w:val="CharStyle8"/>
        </w:rPr>
        <w:t>zachowanie dwutlenku węgla zatłoczonego do podziemnego składowiska dwutlenku węgla odpowiada zachowaniu modelowemu określonemu w dokumentacji geologicznej,</w:t>
      </w:r>
    </w:p>
    <w:p>
      <w:pPr>
        <w:pStyle w:val="Style7"/>
        <w:keepNext w:val="0"/>
        <w:keepLines w:val="0"/>
        <w:widowControl w:val="0"/>
        <w:numPr>
          <w:ilvl w:val="0"/>
          <w:numId w:val="5"/>
        </w:numPr>
        <w:shd w:val="clear" w:color="auto" w:fill="auto"/>
        <w:tabs>
          <w:tab w:pos="346" w:val="left"/>
        </w:tabs>
        <w:bidi w:val="0"/>
        <w:spacing w:before="0" w:after="0"/>
        <w:ind w:left="380" w:right="0" w:hanging="380"/>
        <w:jc w:val="left"/>
      </w:pPr>
      <w:r>
        <w:rPr>
          <w:rStyle w:val="CharStyle8"/>
        </w:rPr>
        <w:t>nie ma wycieku dwutlenku węgla lub dwutlenek węgla nie wydostaje się poza kompleks podziemnego składowania dwutlenku węgla,</w:t>
      </w:r>
    </w:p>
    <w:p>
      <w:pPr>
        <w:pStyle w:val="Style7"/>
        <w:keepNext w:val="0"/>
        <w:keepLines w:val="0"/>
        <w:widowControl w:val="0"/>
        <w:numPr>
          <w:ilvl w:val="0"/>
          <w:numId w:val="5"/>
        </w:numPr>
        <w:shd w:val="clear" w:color="auto" w:fill="auto"/>
        <w:tabs>
          <w:tab w:pos="346" w:val="left"/>
        </w:tabs>
        <w:bidi w:val="0"/>
        <w:spacing w:before="0" w:after="0"/>
        <w:ind w:left="380" w:right="0" w:hanging="380"/>
        <w:jc w:val="left"/>
      </w:pPr>
      <w:r>
        <w:rPr>
          <w:rStyle w:val="CharStyle8"/>
        </w:rPr>
        <w:t>sytuacja kompleksu podziemnego składowania dwutlenku węgla zmierza w kierunku długoterminowej stabilności,</w:t>
      </w:r>
    </w:p>
    <w:p>
      <w:pPr>
        <w:pStyle w:val="Style7"/>
        <w:keepNext w:val="0"/>
        <w:keepLines w:val="0"/>
        <w:widowControl w:val="0"/>
        <w:shd w:val="clear" w:color="auto" w:fill="auto"/>
        <w:bidi w:val="0"/>
        <w:spacing w:before="0"/>
        <w:ind w:left="0" w:right="0" w:firstLine="0"/>
        <w:jc w:val="left"/>
      </w:pPr>
      <w:r>
        <w:rPr>
          <w:rStyle w:val="CharStyle8"/>
        </w:rPr>
        <w:t>dopuszczalne będzie skrócenie okresu monitoringu (na wniosek przedsiębiorcy), ale nie wcześniej niż po upływie okresu, który zostanie podany w projektowanych przepisach nowelizacji P.g.g.</w:t>
      </w:r>
    </w:p>
    <w:p>
      <w:pPr>
        <w:pStyle w:val="Style10"/>
        <w:keepNext/>
        <w:keepLines/>
        <w:widowControl w:val="0"/>
        <w:numPr>
          <w:ilvl w:val="0"/>
          <w:numId w:val="1"/>
        </w:numPr>
        <w:shd w:val="clear" w:color="auto" w:fill="auto"/>
        <w:tabs>
          <w:tab w:pos="765" w:val="left"/>
        </w:tabs>
        <w:bidi w:val="0"/>
        <w:spacing w:before="0"/>
        <w:ind w:left="740" w:right="0" w:hanging="360"/>
        <w:jc w:val="left"/>
      </w:pPr>
      <w:bookmarkStart w:id="28" w:name="bookmark28"/>
      <w:r>
        <w:rPr>
          <w:rStyle w:val="CharStyle11"/>
          <w:b/>
          <w:bCs/>
        </w:rPr>
        <w:t>Postulat wydania rozporządzeń, o których mowa w art. 11r oraz art. 11s ust. 5 ustawy</w:t>
      </w:r>
      <w:r>
        <w:rPr>
          <w:rStyle w:val="CharStyle11"/>
          <w:b/>
          <w:bCs/>
          <w:vertAlign w:val="superscript"/>
        </w:rPr>
        <w:footnoteReference w:id="5"/>
      </w:r>
      <w:r>
        <w:rPr>
          <w:rStyle w:val="CharStyle11"/>
          <w:b/>
          <w:bCs/>
        </w:rPr>
        <w:t xml:space="preserve"> z dnia 10 kwietnia 1997 r. – Prawo energetyczne („P.e.”)</w:t>
      </w:r>
      <w:bookmarkEnd w:id="28"/>
    </w:p>
    <w:p>
      <w:pPr>
        <w:pStyle w:val="Style7"/>
        <w:keepNext w:val="0"/>
        <w:keepLines w:val="0"/>
        <w:widowControl w:val="0"/>
        <w:shd w:val="clear" w:color="auto" w:fill="auto"/>
        <w:bidi w:val="0"/>
        <w:spacing w:before="0"/>
        <w:ind w:left="0" w:right="0" w:firstLine="0"/>
        <w:jc w:val="left"/>
      </w:pPr>
      <w:r>
        <w:rPr>
          <w:rStyle w:val="CharStyle8"/>
        </w:rPr>
        <w:t>Obecnie nie są prowadzone prace zmierzające do wydania oczekiwanych aktów wykonawczych. Wynika to z założeń do projektu ustawy o zasadach zarządzania transportem i składowaniem dwutlenku węgla oraz realizacji projektów inwestycyjnych w zakresie wychwytywania, transportu, składowania i wykorzystania dwutlenku węgla, zgodnie z którymi regulacje dotyczące technologii CCS mają zostać przeniesione z P.e. do nowego aktu prawnego. Jednocześnie należy podkreślić, że nie zakłada się przejęcia obecnych rozwiązań w niezmienionym kształcie, lecz ich kompleksową rewizję i dostosowanie do docelowego modelu funkcjonowania rynku CCS.</w:t>
      </w:r>
    </w:p>
    <w:p>
      <w:pPr>
        <w:pStyle w:val="Style10"/>
        <w:keepNext/>
        <w:keepLines/>
        <w:widowControl w:val="0"/>
        <w:numPr>
          <w:ilvl w:val="0"/>
          <w:numId w:val="1"/>
        </w:numPr>
        <w:shd w:val="clear" w:color="auto" w:fill="auto"/>
        <w:tabs>
          <w:tab w:pos="765" w:val="left"/>
        </w:tabs>
        <w:bidi w:val="0"/>
        <w:spacing w:before="0"/>
        <w:ind w:left="0" w:right="0"/>
        <w:jc w:val="left"/>
      </w:pPr>
      <w:bookmarkStart w:id="30" w:name="bookmark30"/>
      <w:r>
        <w:rPr>
          <w:rStyle w:val="CharStyle11"/>
          <w:b/>
          <w:bCs/>
        </w:rPr>
        <w:t>Propozycja zmiany art. 128-132 P.g.g.</w:t>
      </w:r>
      <w:bookmarkEnd w:id="30"/>
    </w:p>
    <w:p>
      <w:pPr>
        <w:pStyle w:val="Style7"/>
        <w:keepNext w:val="0"/>
        <w:keepLines w:val="0"/>
        <w:widowControl w:val="0"/>
        <w:shd w:val="clear" w:color="auto" w:fill="auto"/>
        <w:bidi w:val="0"/>
        <w:spacing w:before="0"/>
        <w:ind w:left="0" w:right="0" w:firstLine="0"/>
        <w:jc w:val="left"/>
      </w:pPr>
      <w:r>
        <w:rPr>
          <w:rStyle w:val="CharStyle8"/>
        </w:rPr>
        <w:t>Rezygnacja z obowiązku przekazywania szeregu dokumentów (np. tymczasowego planu działań po zamknięciu podziemnego składowiska, dodatku do planu zagospodarowania podziemnego składowiska dwutlenku węgla, planu ruchu likwidowanego zakładu górniczego) i uzyskiwania opinii Komisji Europejskiej nie jest zasadna. Obowiązek przekazywania tych dokumentów jest spójny z innymi procedurami dotyczącymi koncesjonowanych działalności oraz jest zgodny z dyrektywą CCS. Należy podkreślić, że obowiązek uzyskiwania opinii Komisji Europejskiej wprost wynika z ww. dyrektywy.</w:t>
      </w:r>
    </w:p>
    <w:p>
      <w:pPr>
        <w:pStyle w:val="Style7"/>
        <w:keepNext w:val="0"/>
        <w:keepLines w:val="0"/>
        <w:widowControl w:val="0"/>
        <w:numPr>
          <w:ilvl w:val="0"/>
          <w:numId w:val="1"/>
        </w:numPr>
        <w:shd w:val="clear" w:color="auto" w:fill="auto"/>
        <w:tabs>
          <w:tab w:pos="795" w:val="left"/>
        </w:tabs>
        <w:bidi w:val="0"/>
        <w:spacing w:before="0" w:line="276" w:lineRule="auto"/>
        <w:ind w:left="740" w:right="0" w:hanging="360"/>
        <w:jc w:val="left"/>
        <w:rPr>
          <w:sz w:val="18"/>
          <w:szCs w:val="18"/>
        </w:rPr>
      </w:pPr>
      <w:r>
        <w:rPr>
          <w:rStyle w:val="CharStyle8"/>
          <w:b/>
          <w:bCs/>
          <w:sz w:val="18"/>
          <w:szCs w:val="18"/>
        </w:rPr>
        <w:t>Postulat uregulowania zasad określania wysokości wynagrodzenia za ustanowienie użytkowanie górniczego z tytułu podziemnego składowania dwutlenku węgla w akcie prawa powszechnie obowiązującego</w:t>
      </w:r>
    </w:p>
    <w:p>
      <w:pPr>
        <w:pStyle w:val="Style7"/>
        <w:keepNext w:val="0"/>
        <w:keepLines w:val="0"/>
        <w:widowControl w:val="0"/>
        <w:shd w:val="clear" w:color="auto" w:fill="auto"/>
        <w:bidi w:val="0"/>
        <w:spacing w:before="0"/>
        <w:ind w:left="0" w:right="0" w:firstLine="0"/>
        <w:jc w:val="left"/>
      </w:pPr>
      <w:r>
        <w:rPr>
          <w:rStyle w:val="CharStyle8"/>
        </w:rPr>
        <w:t>Nie ma uzasadnienia dla wprowadzenia obowiązku określenia zasad ustanawiania użytkowania górniczego w formie rozporządzenia. Zasady takie zostaną przygotowane, tak jak dotychczas, w formie wewnętrznego dokumentu, który będzie stosowany w Ministerstwie Klimatu i Środowiska.</w:t>
      </w:r>
    </w:p>
    <w:p>
      <w:pPr>
        <w:pStyle w:val="Style7"/>
        <w:keepNext w:val="0"/>
        <w:keepLines w:val="0"/>
        <w:widowControl w:val="0"/>
        <w:shd w:val="clear" w:color="auto" w:fill="auto"/>
        <w:bidi w:val="0"/>
        <w:spacing w:before="0" w:after="0"/>
        <w:ind w:left="0" w:right="0" w:firstLine="0"/>
        <w:jc w:val="left"/>
      </w:pPr>
      <w:r>
        <w:rPr>
          <w:rStyle w:val="CharStyle8"/>
        </w:rPr>
        <w:t>Na zakończenie odnosząc się do podniesionej w treści pisma przewodniego</w:t>
      </w:r>
    </w:p>
    <w:p>
      <w:pPr>
        <w:pStyle w:val="Style7"/>
        <w:keepNext w:val="0"/>
        <w:keepLines w:val="0"/>
        <w:widowControl w:val="0"/>
        <w:shd w:val="clear" w:color="auto" w:fill="auto"/>
        <w:bidi w:val="0"/>
        <w:spacing w:before="0" w:after="460"/>
        <w:ind w:left="0" w:right="0" w:firstLine="0"/>
        <w:jc w:val="left"/>
      </w:pPr>
      <w:r>
        <w:rPr>
          <w:rStyle w:val="CharStyle8"/>
        </w:rPr>
        <w:t>do przekazanych propozycji zmian legislacyjnych - kwestii dotyczącej m.in. konieczności zmian w rozporządzeniu</w:t>
      </w:r>
      <w:r>
        <w:rPr>
          <w:rStyle w:val="CharStyle8"/>
          <w:vertAlign w:val="superscript"/>
        </w:rPr>
        <w:footnoteReference w:id="6"/>
      </w:r>
      <w:r>
        <w:rPr>
          <w:rStyle w:val="CharStyle8"/>
        </w:rPr>
        <w:t xml:space="preserve"> Ministra Środowiska z dnia 3 września 2014 r. w sprawie obszarów, na których dopuszcza się lokalizowanie kompleksu podziemnego składowania dwutlenku węgla, uprzejmie informuję, że rozporządzenie zostało znowelizowane rozporządzeniem Ministra Klimatu i Środowiska z dnia 8 czerwca 2026 r. zmieniającym rozporządzenie sprawie obszarów, na których dopuszcza się lokalizowanie kompleksu podziemnego składowania dwutlenku węgla </w:t>
      </w:r>
      <w:r>
        <w:rPr>
          <w:rStyle w:val="CharStyle8"/>
          <w:vertAlign w:val="superscript"/>
        </w:rPr>
        <w:footnoteReference w:id="7"/>
      </w:r>
      <w:r>
        <w:rPr>
          <w:rStyle w:val="CharStyle8"/>
        </w:rPr>
        <w:t>. Obecnie istnieje możliwość poszukiwania kompleksów podziemnego składowania CO</w:t>
      </w:r>
      <w:r>
        <w:rPr>
          <w:rStyle w:val="CharStyle8"/>
          <w:vertAlign w:val="subscript"/>
        </w:rPr>
        <w:t>2</w:t>
      </w:r>
      <w:r>
        <w:rPr>
          <w:rStyle w:val="CharStyle8"/>
        </w:rPr>
        <w:t xml:space="preserve"> na lądzie oraz na rozszerzonym obszarze morskim – w granicach wyłącznej strefy ekonomicznej RP.</w:t>
      </w:r>
    </w:p>
    <w:p>
      <w:pPr>
        <w:pStyle w:val="Style7"/>
        <w:keepNext w:val="0"/>
        <w:keepLines w:val="0"/>
        <w:widowControl w:val="0"/>
        <w:shd w:val="clear" w:color="auto" w:fill="auto"/>
        <w:bidi w:val="0"/>
        <w:spacing w:before="0" w:after="200"/>
        <w:ind w:left="0" w:right="0" w:firstLine="0"/>
        <w:jc w:val="left"/>
      </w:pPr>
      <w:r>
        <w:rPr>
          <w:rStyle w:val="CharStyle8"/>
        </w:rPr>
        <w:t>Z wyrazami szacunku</w:t>
      </w:r>
    </w:p>
    <w:p>
      <w:pPr>
        <w:pStyle w:val="Style7"/>
        <w:keepNext w:val="0"/>
        <w:keepLines w:val="0"/>
        <w:widowControl w:val="0"/>
        <w:shd w:val="clear" w:color="auto" w:fill="auto"/>
        <w:bidi w:val="0"/>
        <w:spacing w:before="0" w:after="660"/>
        <w:ind w:left="0" w:right="0" w:firstLine="0"/>
        <w:jc w:val="left"/>
      </w:pPr>
      <w:r>
        <w:rPr>
          <w:rStyle w:val="CharStyle8"/>
        </w:rPr>
        <w:t>Z up. Ministra</w:t>
      </w:r>
    </w:p>
    <w:p>
      <w:pPr>
        <w:pStyle w:val="Style7"/>
        <w:keepNext w:val="0"/>
        <w:keepLines w:val="0"/>
        <w:widowControl w:val="0"/>
        <w:shd w:val="clear" w:color="auto" w:fill="auto"/>
        <w:bidi w:val="0"/>
        <w:spacing w:before="0" w:after="0"/>
        <w:ind w:left="0" w:right="0" w:firstLine="0"/>
        <w:jc w:val="left"/>
      </w:pPr>
      <w:r>
        <w:rPr>
          <w:rStyle w:val="CharStyle8"/>
        </w:rPr>
        <w:t>Departament Geologii</w:t>
      </w:r>
    </w:p>
    <w:p>
      <w:pPr>
        <w:pStyle w:val="Style7"/>
        <w:keepNext w:val="0"/>
        <w:keepLines w:val="0"/>
        <w:widowControl w:val="0"/>
        <w:shd w:val="clear" w:color="auto" w:fill="auto"/>
        <w:bidi w:val="0"/>
        <w:spacing w:before="0" w:after="460"/>
        <w:ind w:left="0" w:right="0" w:firstLine="0"/>
        <w:jc w:val="left"/>
      </w:pPr>
      <w:r>
        <w:rPr>
          <w:rStyle w:val="CharStyle8"/>
        </w:rPr>
        <w:t>Ministerstwo Klimatu i Środowiska / – podpisany cyfrowo/</w:t>
      </w:r>
    </w:p>
    <w:p>
      <w:pPr>
        <w:pStyle w:val="Style7"/>
        <w:keepNext w:val="0"/>
        <w:keepLines w:val="0"/>
        <w:widowControl w:val="0"/>
        <w:shd w:val="clear" w:color="auto" w:fill="auto"/>
        <w:bidi w:val="0"/>
        <w:spacing w:before="0" w:after="0"/>
        <w:ind w:left="0" w:right="0" w:firstLine="0"/>
        <w:jc w:val="left"/>
      </w:pPr>
      <w:r>
        <w:rPr>
          <w:rStyle w:val="CharStyle8"/>
        </w:rPr>
        <w:t>Załącznik:</w:t>
      </w:r>
    </w:p>
    <w:p>
      <w:pPr>
        <w:pStyle w:val="Style7"/>
        <w:keepNext w:val="0"/>
        <w:keepLines w:val="0"/>
        <w:widowControl w:val="0"/>
        <w:shd w:val="clear" w:color="auto" w:fill="auto"/>
        <w:bidi w:val="0"/>
        <w:spacing w:before="0" w:after="200"/>
        <w:ind w:left="0" w:right="0" w:firstLine="0"/>
        <w:jc w:val="left"/>
      </w:pPr>
      <w:r>
        <w:rPr>
          <w:rStyle w:val="CharStyle8"/>
        </w:rPr>
        <w:t>klauzula RODO.</w:t>
      </w:r>
    </w:p>
    <w:p>
      <w:pPr>
        <w:pStyle w:val="Style7"/>
        <w:keepNext w:val="0"/>
        <w:keepLines w:val="0"/>
        <w:widowControl w:val="0"/>
        <w:shd w:val="clear" w:color="auto" w:fill="auto"/>
        <w:bidi w:val="0"/>
        <w:spacing w:before="0" w:after="0"/>
        <w:ind w:left="0" w:right="0" w:firstLine="0"/>
        <w:jc w:val="left"/>
      </w:pPr>
      <w:r>
        <w:rPr>
          <w:rStyle w:val="CharStyle8"/>
        </w:rPr>
        <w:t>Do wiadomości:</w:t>
      </w:r>
    </w:p>
    <w:p>
      <w:pPr>
        <w:pStyle w:val="Style7"/>
        <w:keepNext w:val="0"/>
        <w:keepLines w:val="0"/>
        <w:widowControl w:val="0"/>
        <w:shd w:val="clear" w:color="auto" w:fill="auto"/>
        <w:bidi w:val="0"/>
        <w:spacing w:before="0" w:after="340"/>
        <w:ind w:left="0" w:right="0" w:firstLine="0"/>
        <w:jc w:val="left"/>
      </w:pPr>
      <w:r>
        <w:rPr>
          <w:rStyle w:val="CharStyle8"/>
        </w:rPr>
        <w:t>Biuro Kontroli i Audytu – w miejscu.</w:t>
      </w:r>
    </w:p>
    <w:sectPr>
      <w:footerReference w:type="default" r:id="rId7"/>
      <w:footnotePr>
        <w:pos w:val="pageBottom"/>
        <w:numFmt w:val="decimal"/>
        <w:numStart w:val="1"/>
        <w:numRestart w:val="continuous"/>
        <w15:footnoteColumns w:val="1"/>
      </w:footnotePr>
      <w:pgSz w:w="11900" w:h="16840"/>
      <w:pgMar w:top="591" w:right="1967" w:bottom="1769" w:left="1946" w:header="163"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6246495</wp:posOffset>
              </wp:positionH>
              <wp:positionV relativeFrom="page">
                <wp:posOffset>10040620</wp:posOffset>
              </wp:positionV>
              <wp:extent cx="42545" cy="73025"/>
              <wp:wrapNone/>
              <wp:docPr id="2" name="Shape 2"/>
              <a:graphic xmlns:a="http://schemas.openxmlformats.org/drawingml/2006/main">
                <a:graphicData uri="http://schemas.microsoft.com/office/word/2010/wordprocessingShape">
                  <wps:wsp>
                    <wps:cNvSpPr txBox="1"/>
                    <wps:spPr>
                      <a:xfrm>
                        <a:ext cx="42545" cy="7302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5"/>
                                <w:rFonts w:ascii="Arial" w:eastAsia="Arial" w:hAnsi="Arial" w:cs="Arial"/>
                                <w:sz w:val="16"/>
                                <w:szCs w:val="16"/>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91.85000000000002pt;margin-top:790.60000000000002pt;width:3.3500000000000001pt;height:5.75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5"/>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znak: SPC/017/26/BG/ZP</w:t>
      </w:r>
    </w:p>
  </w:footnote>
  <w:footnote w:id="3">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2026 r. poz. 69</w:t>
      </w:r>
    </w:p>
  </w:footnote>
  <w:footnote w:id="4">
    <w:p>
      <w:pPr>
        <w:pStyle w:val="Style2"/>
        <w:keepNext w:val="0"/>
        <w:keepLines w:val="0"/>
        <w:widowControl w:val="0"/>
        <w:shd w:val="clear" w:color="auto" w:fill="auto"/>
        <w:bidi w:val="0"/>
        <w:spacing w:before="0" w:after="0" w:line="276" w:lineRule="auto"/>
        <w:ind w:left="0" w:right="0" w:firstLine="0"/>
        <w:jc w:val="left"/>
      </w:pPr>
      <w:r>
        <w:rPr>
          <w:rStyle w:val="CharStyle3"/>
          <w:vertAlign w:val="superscript"/>
        </w:rPr>
        <w:footnoteRef/>
      </w:r>
      <w:r>
        <w:rPr>
          <w:rStyle w:val="CharStyle3"/>
        </w:rPr>
        <w:t xml:space="preserve"> Dz.U. 2015 poz. 2144</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2026 r. poz. 43 z późn. zm.</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2014 r. poz. 1272</w:t>
      </w:r>
    </w:p>
  </w:footnote>
  <w:footnote w:id="7">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2026 r. poz. 761</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rPr>
    </w:lvl>
  </w:abstractNum>
  <w:abstractNum w:abstractNumId="2">
    <w:multiLevelType w:val="multilevel"/>
    <w:lvl w:ilvl="0">
      <w:start w:val="4"/>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vertAlign w:val="superscript"/>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rPr>
  </w:style>
  <w:style w:type="character" w:customStyle="1" w:styleId="CharStyle8">
    <w:name w:val="Body text_"/>
    <w:basedOn w:val="DefaultParagraphFont"/>
    <w:link w:val="Style7"/>
    <w:rPr>
      <w:rFonts w:ascii="Arial" w:eastAsia="Arial" w:hAnsi="Arial" w:cs="Arial"/>
      <w:b w:val="0"/>
      <w:bCs w:val="0"/>
      <w:i w:val="0"/>
      <w:iCs w:val="0"/>
      <w:smallCaps w:val="0"/>
      <w:strike w:val="0"/>
      <w:sz w:val="19"/>
      <w:szCs w:val="19"/>
      <w:u w:val="none"/>
    </w:rPr>
  </w:style>
  <w:style w:type="character" w:customStyle="1" w:styleId="CharStyle11">
    <w:name w:val="Heading #1_"/>
    <w:basedOn w:val="DefaultParagraphFont"/>
    <w:link w:val="Style10"/>
    <w:rPr>
      <w:rFonts w:ascii="Arial" w:eastAsia="Arial" w:hAnsi="Arial" w:cs="Arial"/>
      <w:b/>
      <w:bCs/>
      <w:i w:val="0"/>
      <w:iCs w:val="0"/>
      <w:smallCaps w:val="0"/>
      <w:strike w:val="0"/>
      <w:sz w:val="18"/>
      <w:szCs w:val="18"/>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8"/>
      <w:szCs w:val="18"/>
      <w:u w:val="none"/>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styleId="Style7">
    <w:name w:val="Body text"/>
    <w:basedOn w:val="Normal"/>
    <w:link w:val="CharStyle8"/>
    <w:qFormat/>
    <w:pPr>
      <w:widowControl w:val="0"/>
      <w:shd w:val="clear" w:color="auto" w:fill="auto"/>
      <w:spacing w:after="100" w:line="264" w:lineRule="auto"/>
    </w:pPr>
    <w:rPr>
      <w:rFonts w:ascii="Arial" w:eastAsia="Arial" w:hAnsi="Arial" w:cs="Arial"/>
      <w:b w:val="0"/>
      <w:bCs w:val="0"/>
      <w:i w:val="0"/>
      <w:iCs w:val="0"/>
      <w:smallCaps w:val="0"/>
      <w:strike w:val="0"/>
      <w:sz w:val="19"/>
      <w:szCs w:val="19"/>
      <w:u w:val="none"/>
    </w:rPr>
  </w:style>
  <w:style w:type="paragraph" w:customStyle="1" w:styleId="Style10">
    <w:name w:val="Heading #1"/>
    <w:basedOn w:val="Normal"/>
    <w:link w:val="CharStyle11"/>
    <w:pPr>
      <w:widowControl w:val="0"/>
      <w:shd w:val="clear" w:color="auto" w:fill="auto"/>
      <w:spacing w:after="100" w:line="276" w:lineRule="auto"/>
      <w:ind w:firstLine="380"/>
      <w:outlineLvl w:val="0"/>
    </w:pPr>
    <w:rPr>
      <w:rFonts w:ascii="Arial" w:eastAsia="Arial" w:hAnsi="Arial" w:cs="Arial"/>
      <w:b/>
      <w:bCs/>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Jakoniak Mariola</dc:creator>
  <cp:keywords>PL, KOLOR</cp:keywords>
</cp:coreProperties>
</file>