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E9" w:rsidRPr="00EC24E9" w:rsidRDefault="00337274" w:rsidP="00EC24E9">
      <w:pPr>
        <w:spacing w:line="360" w:lineRule="auto"/>
        <w:ind w:firstLine="31"/>
        <w:rPr>
          <w:rFonts w:cs="Arial"/>
          <w:b/>
          <w:szCs w:val="20"/>
        </w:rPr>
      </w:pPr>
      <w:bookmarkStart w:id="0" w:name="_GoBack"/>
      <w:bookmarkEnd w:id="0"/>
    </w:p>
    <w:p w:rsidR="003F342C" w:rsidRPr="00EC24E9" w:rsidRDefault="00D8307D" w:rsidP="00985A29">
      <w:pPr>
        <w:pStyle w:val="Nagwek1"/>
        <w:spacing w:before="0" w:after="0"/>
        <w:jc w:val="center"/>
        <w:rPr>
          <w:rFonts w:cs="Arial"/>
          <w:sz w:val="20"/>
          <w:szCs w:val="20"/>
        </w:rPr>
      </w:pPr>
      <w:r w:rsidRPr="00EC24E9">
        <w:rPr>
          <w:rFonts w:cs="Arial"/>
          <w:sz w:val="20"/>
          <w:szCs w:val="20"/>
        </w:rPr>
        <w:t>Plan działalności Ministra Aktywów Państwowych na rok 202</w:t>
      </w:r>
      <w:r>
        <w:rPr>
          <w:rFonts w:cs="Arial"/>
          <w:sz w:val="20"/>
          <w:szCs w:val="20"/>
        </w:rPr>
        <w:t>4</w:t>
      </w:r>
    </w:p>
    <w:p w:rsidR="00990F00" w:rsidRPr="00EC24E9" w:rsidRDefault="00D8307D" w:rsidP="00436375">
      <w:pPr>
        <w:jc w:val="center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dla działów administracji rządowej: aktywa państwowe, gospodarka złożami kopalin</w:t>
      </w:r>
      <w:r>
        <w:rPr>
          <w:rFonts w:cs="Arial"/>
          <w:b/>
          <w:szCs w:val="20"/>
        </w:rPr>
        <w:t>, łączność</w:t>
      </w:r>
    </w:p>
    <w:p w:rsidR="006E747D" w:rsidRPr="00EC24E9" w:rsidRDefault="00337274" w:rsidP="00EC24E9">
      <w:pPr>
        <w:pStyle w:val="Bezodstpw"/>
      </w:pPr>
    </w:p>
    <w:p w:rsidR="003F342C" w:rsidRPr="00EC24E9" w:rsidRDefault="00D8307D" w:rsidP="000C3EC0">
      <w:pPr>
        <w:spacing w:before="120" w:after="120"/>
        <w:jc w:val="both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CZĘŚĆ A: Najważniejsze cele do realizacji w roku 202</w:t>
      </w:r>
      <w:r>
        <w:rPr>
          <w:rFonts w:cs="Arial"/>
          <w:b/>
          <w:szCs w:val="20"/>
        </w:rPr>
        <w:t>4</w:t>
      </w:r>
    </w:p>
    <w:p w:rsidR="006E747D" w:rsidRPr="00EC24E9" w:rsidRDefault="00D8307D" w:rsidP="000C3EC0">
      <w:pPr>
        <w:spacing w:before="120" w:after="120"/>
        <w:jc w:val="both"/>
        <w:rPr>
          <w:rFonts w:cs="Arial"/>
          <w:b/>
          <w:i/>
          <w:szCs w:val="20"/>
        </w:rPr>
      </w:pPr>
      <w:r w:rsidRPr="00EC24E9">
        <w:rPr>
          <w:rFonts w:cs="Arial"/>
          <w:i/>
          <w:szCs w:val="20"/>
        </w:rPr>
        <w:t>(w tej części planu należy wskazać nie więcej niż pięć najważniejszych celów przyjętych przez ministra/kierownika jednostki do realizacji w zakresie jego właściwości)</w:t>
      </w:r>
    </w:p>
    <w:p w:rsidR="00F63BA6" w:rsidRPr="00EC24E9" w:rsidRDefault="00337274">
      <w:pPr>
        <w:rPr>
          <w:rFonts w:cs="Arial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30"/>
        <w:gridCol w:w="2066"/>
        <w:gridCol w:w="2066"/>
        <w:gridCol w:w="5245"/>
        <w:gridCol w:w="2557"/>
      </w:tblGrid>
      <w:tr w:rsidR="00756268" w:rsidTr="003A5CCB">
        <w:trPr>
          <w:tblHeader/>
          <w:jc w:val="center"/>
        </w:trPr>
        <w:tc>
          <w:tcPr>
            <w:tcW w:w="704" w:type="dxa"/>
            <w:vMerge w:val="restart"/>
            <w:vAlign w:val="center"/>
          </w:tcPr>
          <w:p w:rsidR="00F63BA6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:rsidR="00F63BA6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4132" w:type="dxa"/>
            <w:gridSpan w:val="2"/>
            <w:vAlign w:val="center"/>
          </w:tcPr>
          <w:p w:rsidR="00F63BA6" w:rsidRPr="00EC24E9" w:rsidRDefault="00D8307D" w:rsidP="00DC44D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5245" w:type="dxa"/>
            <w:vMerge w:val="restart"/>
            <w:vAlign w:val="center"/>
          </w:tcPr>
          <w:p w:rsidR="00BE7A19" w:rsidRPr="00EC24E9" w:rsidRDefault="00D8307D" w:rsidP="00BE7A19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Najważniejsze zadania służące realizacji celu</w:t>
            </w:r>
          </w:p>
        </w:tc>
        <w:tc>
          <w:tcPr>
            <w:tcW w:w="2557" w:type="dxa"/>
            <w:vMerge w:val="restart"/>
            <w:vAlign w:val="center"/>
          </w:tcPr>
          <w:p w:rsidR="00F63BA6" w:rsidRPr="00EC24E9" w:rsidRDefault="00D8307D" w:rsidP="00EC24E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Odniesienie do </w:t>
            </w:r>
            <w:r w:rsidRPr="00EC24E9">
              <w:rPr>
                <w:rFonts w:cs="Arial"/>
                <w:b/>
                <w:szCs w:val="20"/>
              </w:rPr>
              <w:t>dokumentu o</w:t>
            </w:r>
            <w:r>
              <w:rPr>
                <w:rFonts w:cs="Arial"/>
                <w:b/>
                <w:szCs w:val="20"/>
              </w:rPr>
              <w:t> </w:t>
            </w:r>
            <w:r w:rsidRPr="00EC24E9">
              <w:rPr>
                <w:rFonts w:cs="Arial"/>
                <w:b/>
                <w:szCs w:val="20"/>
              </w:rPr>
              <w:t>charakterze strategicznym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2"/>
            </w:r>
          </w:p>
        </w:tc>
      </w:tr>
      <w:tr w:rsidR="00756268" w:rsidTr="003A5CCB">
        <w:trPr>
          <w:tblHeader/>
          <w:jc w:val="center"/>
        </w:trPr>
        <w:tc>
          <w:tcPr>
            <w:tcW w:w="704" w:type="dxa"/>
            <w:vMerge/>
            <w:vAlign w:val="center"/>
          </w:tcPr>
          <w:p w:rsidR="00F63BA6" w:rsidRPr="00EC24E9" w:rsidRDefault="00337274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vAlign w:val="center"/>
          </w:tcPr>
          <w:p w:rsidR="00F63BA6" w:rsidRPr="00EC24E9" w:rsidRDefault="00337274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F63BA6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2066" w:type="dxa"/>
            <w:vAlign w:val="center"/>
          </w:tcPr>
          <w:p w:rsidR="00F63BA6" w:rsidRPr="00EC24E9" w:rsidRDefault="00D8307D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5245" w:type="dxa"/>
            <w:vMerge/>
            <w:vAlign w:val="center"/>
          </w:tcPr>
          <w:p w:rsidR="00F63BA6" w:rsidRPr="00EC24E9" w:rsidRDefault="00337274" w:rsidP="00F63BA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57" w:type="dxa"/>
            <w:vMerge/>
          </w:tcPr>
          <w:p w:rsidR="00F63BA6" w:rsidRPr="00EC24E9" w:rsidRDefault="00337274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756268" w:rsidTr="003A5CCB">
        <w:trPr>
          <w:tblHeader/>
          <w:jc w:val="center"/>
        </w:trPr>
        <w:tc>
          <w:tcPr>
            <w:tcW w:w="704" w:type="dxa"/>
            <w:vAlign w:val="center"/>
          </w:tcPr>
          <w:p w:rsidR="00DC44D7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30" w:type="dxa"/>
            <w:vAlign w:val="center"/>
          </w:tcPr>
          <w:p w:rsidR="00DC44D7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066" w:type="dxa"/>
            <w:vAlign w:val="center"/>
          </w:tcPr>
          <w:p w:rsidR="00DC44D7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2066" w:type="dxa"/>
            <w:vAlign w:val="center"/>
          </w:tcPr>
          <w:p w:rsidR="00DC44D7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5245" w:type="dxa"/>
          </w:tcPr>
          <w:p w:rsidR="00DC44D7" w:rsidRPr="00EC24E9" w:rsidRDefault="00D8307D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2557" w:type="dxa"/>
          </w:tcPr>
          <w:p w:rsidR="00DC44D7" w:rsidRPr="00EC24E9" w:rsidRDefault="00D8307D" w:rsidP="006E74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6</w:t>
            </w:r>
          </w:p>
        </w:tc>
      </w:tr>
      <w:tr w:rsidR="00756268" w:rsidTr="003A5CCB">
        <w:trPr>
          <w:trHeight w:val="303"/>
          <w:jc w:val="center"/>
        </w:trPr>
        <w:tc>
          <w:tcPr>
            <w:tcW w:w="704" w:type="dxa"/>
          </w:tcPr>
          <w:p w:rsidR="00ED7A06" w:rsidRPr="00EC24E9" w:rsidRDefault="00D8307D" w:rsidP="00ED7A06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1</w:t>
            </w:r>
          </w:p>
        </w:tc>
        <w:tc>
          <w:tcPr>
            <w:tcW w:w="2530" w:type="dxa"/>
          </w:tcPr>
          <w:p w:rsidR="00ED7A06" w:rsidRPr="00AB6FF0" w:rsidRDefault="00D8307D" w:rsidP="00387750">
            <w:pPr>
              <w:spacing w:line="276" w:lineRule="auto"/>
              <w:ind w:left="59"/>
              <w:rPr>
                <w:rFonts w:cs="Arial"/>
                <w:szCs w:val="20"/>
              </w:rPr>
            </w:pPr>
            <w:r w:rsidRPr="003D5897">
              <w:rPr>
                <w:rFonts w:cs="Arial"/>
                <w:szCs w:val="20"/>
              </w:rPr>
              <w:t>Realizacja interesów Skarbu Państwa w</w:t>
            </w:r>
            <w:r>
              <w:rPr>
                <w:rFonts w:cs="Arial"/>
                <w:szCs w:val="20"/>
              </w:rPr>
              <w:t> </w:t>
            </w:r>
            <w:r w:rsidRPr="003D5897">
              <w:rPr>
                <w:rFonts w:cs="Arial"/>
                <w:szCs w:val="20"/>
              </w:rPr>
              <w:t>podmiotach nadzorowanych i</w:t>
            </w:r>
            <w:r>
              <w:rPr>
                <w:rFonts w:cs="Arial"/>
                <w:szCs w:val="20"/>
              </w:rPr>
              <w:t> </w:t>
            </w:r>
            <w:r w:rsidRPr="003D5897">
              <w:rPr>
                <w:rFonts w:cs="Arial"/>
                <w:szCs w:val="20"/>
              </w:rPr>
              <w:t>podległych.</w:t>
            </w:r>
          </w:p>
        </w:tc>
        <w:tc>
          <w:tcPr>
            <w:tcW w:w="2066" w:type="dxa"/>
          </w:tcPr>
          <w:p w:rsidR="00D472BA" w:rsidRPr="009C2A1F" w:rsidRDefault="00D8307D" w:rsidP="004F21DB">
            <w:pPr>
              <w:spacing w:line="276" w:lineRule="auto"/>
              <w:ind w:left="59"/>
              <w:rPr>
                <w:rFonts w:cs="Arial"/>
                <w:szCs w:val="20"/>
              </w:rPr>
            </w:pPr>
            <w:r w:rsidRPr="003D5897">
              <w:rPr>
                <w:rFonts w:cs="Arial"/>
                <w:szCs w:val="20"/>
              </w:rPr>
              <w:t>Wykonywanie praw z akcji/udziałów w</w:t>
            </w:r>
            <w:r>
              <w:rPr>
                <w:rFonts w:cs="Arial"/>
                <w:szCs w:val="20"/>
              </w:rPr>
              <w:t> </w:t>
            </w:r>
            <w:r w:rsidRPr="003D5897">
              <w:rPr>
                <w:rFonts w:cs="Arial"/>
                <w:szCs w:val="20"/>
              </w:rPr>
              <w:t>związku z</w:t>
            </w:r>
            <w:r>
              <w:rPr>
                <w:rFonts w:cs="Arial"/>
                <w:szCs w:val="20"/>
              </w:rPr>
              <w:t> </w:t>
            </w:r>
            <w:r w:rsidRPr="003D5897">
              <w:rPr>
                <w:rFonts w:cs="Arial"/>
                <w:szCs w:val="20"/>
              </w:rPr>
              <w:t>Walnym Zgromadzeniem (WZ)/ Zgromadzeniem Wspólników (ZW) spółek z udziałem Skarbu Państwa, w</w:t>
            </w:r>
            <w:r>
              <w:rPr>
                <w:rFonts w:cs="Arial"/>
                <w:szCs w:val="20"/>
              </w:rPr>
              <w:t> </w:t>
            </w:r>
            <w:r w:rsidRPr="003D5897">
              <w:rPr>
                <w:rFonts w:cs="Arial"/>
                <w:szCs w:val="20"/>
              </w:rPr>
              <w:t>których prawa z</w:t>
            </w:r>
            <w:r>
              <w:rPr>
                <w:rFonts w:cs="Arial"/>
                <w:szCs w:val="20"/>
              </w:rPr>
              <w:t> </w:t>
            </w:r>
            <w:r w:rsidRPr="003D5897">
              <w:rPr>
                <w:rFonts w:cs="Arial"/>
                <w:szCs w:val="20"/>
              </w:rPr>
              <w:t>akcji i udziałów wykonuje minister właściwy do spraw aktywów państwowych (w %)</w:t>
            </w:r>
            <w:r>
              <w:rPr>
                <w:rFonts w:cs="Arial"/>
                <w:szCs w:val="20"/>
              </w:rPr>
              <w:t xml:space="preserve"> – (notatka na Walne Zgromadzenie/ Zgromadzenie Wspólników przez </w:t>
            </w:r>
            <w:r>
              <w:rPr>
                <w:rFonts w:cs="Arial"/>
                <w:szCs w:val="20"/>
              </w:rPr>
              <w:lastRenderedPageBreak/>
              <w:t>łączną liczbę odbytych WZ/ZW).</w:t>
            </w:r>
          </w:p>
        </w:tc>
        <w:tc>
          <w:tcPr>
            <w:tcW w:w="2066" w:type="dxa"/>
            <w:shd w:val="clear" w:color="auto" w:fill="auto"/>
          </w:tcPr>
          <w:p w:rsidR="00ED7A06" w:rsidRPr="00AB6FF0" w:rsidRDefault="00D8307D" w:rsidP="00387750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3D5897">
              <w:rPr>
                <w:rFonts w:cs="Arial"/>
                <w:szCs w:val="20"/>
              </w:rPr>
              <w:lastRenderedPageBreak/>
              <w:t>≥</w:t>
            </w:r>
            <w:r>
              <w:rPr>
                <w:rFonts w:cs="Arial"/>
                <w:szCs w:val="20"/>
              </w:rPr>
              <w:t xml:space="preserve"> </w:t>
            </w:r>
            <w:r w:rsidRPr="003D5897">
              <w:rPr>
                <w:rFonts w:cs="Arial"/>
                <w:szCs w:val="20"/>
              </w:rPr>
              <w:t>80%</w:t>
            </w:r>
          </w:p>
        </w:tc>
        <w:tc>
          <w:tcPr>
            <w:tcW w:w="5245" w:type="dxa"/>
          </w:tcPr>
          <w:p w:rsidR="00ED7A06" w:rsidRPr="00AB6FF0" w:rsidRDefault="00D8307D" w:rsidP="00387750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3D5897">
              <w:rPr>
                <w:rFonts w:cs="Arial"/>
                <w:iCs/>
                <w:szCs w:val="20"/>
              </w:rPr>
              <w:t>Zapewnienie właściwego nadzoru właścicielskiego w</w:t>
            </w:r>
            <w:r>
              <w:rPr>
                <w:rFonts w:cs="Arial"/>
                <w:iCs/>
                <w:szCs w:val="20"/>
              </w:rPr>
              <w:t> </w:t>
            </w:r>
            <w:r w:rsidRPr="003D5897">
              <w:rPr>
                <w:rFonts w:cs="Arial"/>
                <w:iCs/>
                <w:szCs w:val="20"/>
              </w:rPr>
              <w:t>spółkach z udziałem Skarbu Państwa, w których prawa z akcji/udziałów wykonuje minister właściwy do</w:t>
            </w:r>
            <w:r>
              <w:rPr>
                <w:rFonts w:cs="Arial"/>
                <w:iCs/>
                <w:szCs w:val="20"/>
              </w:rPr>
              <w:t> </w:t>
            </w:r>
            <w:r w:rsidRPr="003D5897">
              <w:rPr>
                <w:rFonts w:cs="Arial"/>
                <w:iCs/>
                <w:szCs w:val="20"/>
              </w:rPr>
              <w:t>spraw aktywów państwowych</w:t>
            </w:r>
            <w:r>
              <w:rPr>
                <w:rFonts w:cs="Arial"/>
                <w:iCs/>
                <w:szCs w:val="20"/>
              </w:rPr>
              <w:t>.</w:t>
            </w:r>
          </w:p>
        </w:tc>
        <w:tc>
          <w:tcPr>
            <w:tcW w:w="2557" w:type="dxa"/>
          </w:tcPr>
          <w:p w:rsidR="00ED7A06" w:rsidRPr="003D5897" w:rsidRDefault="00D8307D" w:rsidP="000468F2">
            <w:pPr>
              <w:spacing w:line="276" w:lineRule="auto"/>
              <w:rPr>
                <w:rFonts w:cs="Arial"/>
                <w:iCs/>
                <w:color w:val="000000"/>
                <w:szCs w:val="20"/>
              </w:rPr>
            </w:pPr>
            <w:r w:rsidRPr="003D5897">
              <w:rPr>
                <w:rFonts w:cs="Arial"/>
                <w:iCs/>
                <w:color w:val="000000"/>
                <w:szCs w:val="20"/>
              </w:rPr>
              <w:t>Strategia na rzecz Odpowiedzialnego Rozwoju do roku 2020 (z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perspektywą do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2030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r.).</w:t>
            </w:r>
          </w:p>
          <w:p w:rsidR="00ED7A06" w:rsidRPr="003D5897" w:rsidRDefault="00D8307D" w:rsidP="00DC4896">
            <w:pPr>
              <w:spacing w:before="60" w:line="276" w:lineRule="auto"/>
              <w:rPr>
                <w:rFonts w:cs="Arial"/>
                <w:iCs/>
                <w:color w:val="000000"/>
                <w:szCs w:val="20"/>
              </w:rPr>
            </w:pPr>
            <w:r w:rsidRPr="003D5897">
              <w:rPr>
                <w:rFonts w:cs="Arial"/>
                <w:iCs/>
                <w:color w:val="000000"/>
                <w:szCs w:val="20"/>
              </w:rPr>
              <w:t>Ustawa z dnia 15</w:t>
            </w:r>
            <w: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września 2000 r. – Kodeks spółek handlowych (Dz.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U.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z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2022 r. poz.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1467, z</w:t>
            </w:r>
            <w:r>
              <w:rPr>
                <w:rFonts w:cs="Arial"/>
                <w:iCs/>
                <w:color w:val="000000"/>
                <w:szCs w:val="20"/>
              </w:rPr>
              <w:t xml:space="preserve"> </w:t>
            </w:r>
            <w:r w:rsidRPr="003D5897">
              <w:rPr>
                <w:rFonts w:cs="Arial"/>
                <w:iCs/>
                <w:color w:val="000000"/>
                <w:szCs w:val="20"/>
              </w:rPr>
              <w:t>późn. zm.).</w:t>
            </w:r>
          </w:p>
          <w:p w:rsidR="00ED7A06" w:rsidRPr="00AB6FF0" w:rsidRDefault="00D8307D" w:rsidP="00DC4896">
            <w:pPr>
              <w:spacing w:before="60" w:line="276" w:lineRule="auto"/>
              <w:rPr>
                <w:rFonts w:cs="Arial"/>
                <w:iCs/>
                <w:color w:val="000000"/>
                <w:szCs w:val="20"/>
              </w:rPr>
            </w:pPr>
            <w:r w:rsidRPr="003D5897">
              <w:rPr>
                <w:rFonts w:cs="Arial"/>
                <w:iCs/>
                <w:color w:val="000000"/>
                <w:szCs w:val="20"/>
              </w:rPr>
              <w:t>Ustawa z dnia 16 grudnia 2016 r. o zasadach zarządzania mieniem państwowym (Dz.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U.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z</w:t>
            </w:r>
            <w:r>
              <w:rPr>
                <w:rFonts w:cs="Arial"/>
                <w:iCs/>
                <w:color w:val="000000"/>
                <w:szCs w:val="20"/>
              </w:rPr>
              <w:t> </w:t>
            </w:r>
            <w:r w:rsidRPr="003D5897">
              <w:rPr>
                <w:rFonts w:cs="Arial"/>
                <w:iCs/>
                <w:color w:val="000000"/>
                <w:szCs w:val="20"/>
              </w:rPr>
              <w:t>2023 r. poz.</w:t>
            </w:r>
            <w:r>
              <w:rPr>
                <w:rFonts w:cs="Arial"/>
                <w:iCs/>
                <w:color w:val="000000"/>
                <w:szCs w:val="20"/>
              </w:rPr>
              <w:t xml:space="preserve"> </w:t>
            </w:r>
            <w:r w:rsidRPr="003D5897">
              <w:rPr>
                <w:rFonts w:cs="Arial"/>
                <w:iCs/>
                <w:color w:val="000000"/>
                <w:szCs w:val="20"/>
              </w:rPr>
              <w:t>973</w:t>
            </w:r>
            <w:r>
              <w:rPr>
                <w:rFonts w:cs="Arial"/>
                <w:iCs/>
                <w:color w:val="000000"/>
                <w:szCs w:val="20"/>
              </w:rPr>
              <w:t>, ze zm.</w:t>
            </w:r>
            <w:r w:rsidRPr="003D5897">
              <w:rPr>
                <w:rFonts w:cs="Arial"/>
                <w:iCs/>
                <w:color w:val="000000"/>
                <w:szCs w:val="20"/>
              </w:rPr>
              <w:t>).</w:t>
            </w:r>
          </w:p>
        </w:tc>
      </w:tr>
      <w:tr w:rsidR="00756268" w:rsidTr="00241C4F">
        <w:trPr>
          <w:trHeight w:val="303"/>
          <w:jc w:val="center"/>
        </w:trPr>
        <w:tc>
          <w:tcPr>
            <w:tcW w:w="704" w:type="dxa"/>
          </w:tcPr>
          <w:p w:rsidR="00D472BA" w:rsidRPr="00EC24E9" w:rsidRDefault="00D8307D" w:rsidP="00D472BA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2</w:t>
            </w:r>
          </w:p>
        </w:tc>
        <w:tc>
          <w:tcPr>
            <w:tcW w:w="2530" w:type="dxa"/>
          </w:tcPr>
          <w:p w:rsidR="00D472BA" w:rsidRPr="000531B1" w:rsidRDefault="00D8307D" w:rsidP="0038775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0531B1">
              <w:rPr>
                <w:rFonts w:cs="Arial"/>
                <w:szCs w:val="20"/>
              </w:rPr>
              <w:t>Wykonanie obowiązków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Ministra w zakresie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nieodpłatnego zbywania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akcji/udziałów Skarbu Państwa na rzecz osób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uprawnionych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na</w:t>
            </w:r>
            <w:r>
              <w:rPr>
                <w:rFonts w:cs="Arial"/>
                <w:szCs w:val="20"/>
              </w:rPr>
              <w:t> </w:t>
            </w:r>
            <w:r w:rsidRPr="000531B1">
              <w:rPr>
                <w:rFonts w:cs="Arial"/>
                <w:szCs w:val="20"/>
              </w:rPr>
              <w:t>podstawie ustawy</w:t>
            </w:r>
            <w:r>
              <w:rPr>
                <w:rFonts w:cs="Arial"/>
                <w:szCs w:val="20"/>
              </w:rPr>
              <w:t xml:space="preserve"> </w:t>
            </w:r>
            <w:r w:rsidRPr="00DC4896">
              <w:rPr>
                <w:rFonts w:cs="Arial"/>
                <w:szCs w:val="20"/>
              </w:rPr>
              <w:t>z</w:t>
            </w:r>
            <w:r>
              <w:rPr>
                <w:rFonts w:cs="Arial"/>
                <w:szCs w:val="20"/>
              </w:rPr>
              <w:t> </w:t>
            </w:r>
            <w:r w:rsidRPr="00DC4896">
              <w:rPr>
                <w:rFonts w:cs="Arial"/>
                <w:szCs w:val="20"/>
              </w:rPr>
              <w:t xml:space="preserve">dnia 30 sierpnia 1996 r. </w:t>
            </w:r>
            <w:r w:rsidRPr="000531B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 </w:t>
            </w:r>
            <w:r w:rsidRPr="000531B1">
              <w:rPr>
                <w:rFonts w:cs="Arial"/>
                <w:szCs w:val="20"/>
              </w:rPr>
              <w:t>komercjalizacji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> </w:t>
            </w:r>
            <w:r w:rsidRPr="000531B1">
              <w:rPr>
                <w:rFonts w:cs="Arial"/>
                <w:szCs w:val="20"/>
              </w:rPr>
              <w:t>niektórych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uprawnieniach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pracowników</w:t>
            </w:r>
            <w:r>
              <w:rPr>
                <w:rFonts w:cs="Arial"/>
                <w:szCs w:val="20"/>
              </w:rPr>
              <w:t xml:space="preserve"> </w:t>
            </w:r>
            <w:r w:rsidRPr="00DC4896">
              <w:rPr>
                <w:rFonts w:cs="Arial"/>
                <w:szCs w:val="20"/>
              </w:rPr>
              <w:t>(Dz.</w:t>
            </w:r>
            <w:r>
              <w:rPr>
                <w:rFonts w:cs="Arial"/>
                <w:szCs w:val="20"/>
              </w:rPr>
              <w:t> </w:t>
            </w:r>
            <w:r w:rsidRPr="00DC4896">
              <w:rPr>
                <w:rFonts w:cs="Arial"/>
                <w:szCs w:val="20"/>
              </w:rPr>
              <w:t>U. z</w:t>
            </w:r>
            <w:r>
              <w:rPr>
                <w:rFonts w:cs="Arial"/>
                <w:szCs w:val="20"/>
              </w:rPr>
              <w:t> </w:t>
            </w:r>
            <w:r w:rsidRPr="00DC4896">
              <w:rPr>
                <w:rFonts w:cs="Arial"/>
                <w:szCs w:val="20"/>
              </w:rPr>
              <w:t>2023 r. poz. 343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066" w:type="dxa"/>
          </w:tcPr>
          <w:p w:rsidR="00387750" w:rsidRPr="000531B1" w:rsidRDefault="00D8307D" w:rsidP="0038775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0531B1">
              <w:rPr>
                <w:rFonts w:cs="Arial"/>
                <w:szCs w:val="20"/>
              </w:rPr>
              <w:t>Odsetek prawidłowo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przygotowanych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przez Spółki umów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nieodpłatnego zbycia akcji/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udziałów zawartych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przez Ministra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Aktywów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Państwowych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z</w:t>
            </w:r>
            <w:r>
              <w:rPr>
                <w:rFonts w:cs="Arial"/>
                <w:szCs w:val="20"/>
              </w:rPr>
              <w:t> </w:t>
            </w:r>
            <w:r w:rsidRPr="000531B1">
              <w:rPr>
                <w:rFonts w:cs="Arial"/>
                <w:szCs w:val="20"/>
              </w:rPr>
              <w:t>osobami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uprawnionymi.</w:t>
            </w:r>
          </w:p>
        </w:tc>
        <w:tc>
          <w:tcPr>
            <w:tcW w:w="2066" w:type="dxa"/>
            <w:shd w:val="clear" w:color="auto" w:fill="auto"/>
          </w:tcPr>
          <w:p w:rsidR="00D472BA" w:rsidRPr="000531B1" w:rsidRDefault="00D8307D" w:rsidP="00387750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0531B1">
              <w:rPr>
                <w:rFonts w:cs="Arial"/>
                <w:szCs w:val="20"/>
              </w:rPr>
              <w:t>100%</w:t>
            </w:r>
          </w:p>
        </w:tc>
        <w:tc>
          <w:tcPr>
            <w:tcW w:w="5245" w:type="dxa"/>
          </w:tcPr>
          <w:p w:rsidR="00D472BA" w:rsidRPr="00155278" w:rsidRDefault="00D8307D" w:rsidP="004D4684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3" w:hanging="284"/>
              <w:rPr>
                <w:rFonts w:cs="Arial"/>
                <w:sz w:val="20"/>
                <w:szCs w:val="20"/>
              </w:rPr>
            </w:pPr>
            <w:r w:rsidRPr="00155278">
              <w:rPr>
                <w:rFonts w:cs="Arial"/>
                <w:sz w:val="20"/>
                <w:szCs w:val="20"/>
              </w:rPr>
              <w:t>Weryfikacja umów nieodpłatnego zbycia akcji/udziałów przygotowywanych przez Spółki.</w:t>
            </w:r>
          </w:p>
          <w:p w:rsidR="00D472BA" w:rsidRPr="00DC4896" w:rsidRDefault="00D8307D" w:rsidP="00DC489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3" w:hanging="284"/>
              <w:rPr>
                <w:rFonts w:cs="Arial"/>
                <w:sz w:val="20"/>
                <w:szCs w:val="20"/>
              </w:rPr>
            </w:pPr>
            <w:r w:rsidRPr="00155278">
              <w:rPr>
                <w:rFonts w:cs="Arial"/>
                <w:sz w:val="20"/>
                <w:szCs w:val="20"/>
              </w:rPr>
              <w:t>Zawieranie umów nieodpłatnego zbycia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55278">
              <w:rPr>
                <w:rFonts w:cs="Arial"/>
                <w:sz w:val="20"/>
                <w:szCs w:val="20"/>
              </w:rPr>
              <w:t>akcji/udziałów przez Ministra Aktywów Państwowych.</w:t>
            </w:r>
          </w:p>
        </w:tc>
        <w:tc>
          <w:tcPr>
            <w:tcW w:w="2557" w:type="dxa"/>
          </w:tcPr>
          <w:p w:rsidR="00D472BA" w:rsidRPr="006D3D7E" w:rsidRDefault="00D8307D" w:rsidP="004C59B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0531B1">
              <w:rPr>
                <w:rFonts w:cs="Arial"/>
                <w:szCs w:val="20"/>
              </w:rPr>
              <w:t>Ustawa z dnia 30 sierpnia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1996 r. o komercjalizacji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> </w:t>
            </w:r>
            <w:r w:rsidRPr="000531B1">
              <w:rPr>
                <w:rFonts w:cs="Arial"/>
                <w:szCs w:val="20"/>
              </w:rPr>
              <w:t>niektórych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uprawnieniach</w:t>
            </w:r>
            <w:r>
              <w:rPr>
                <w:rFonts w:cs="Arial"/>
                <w:szCs w:val="20"/>
              </w:rPr>
              <w:t xml:space="preserve"> </w:t>
            </w:r>
            <w:r w:rsidRPr="000531B1">
              <w:rPr>
                <w:rFonts w:cs="Arial"/>
                <w:szCs w:val="20"/>
              </w:rPr>
              <w:t>pracowników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756268" w:rsidTr="003A5CCB">
        <w:trPr>
          <w:trHeight w:val="303"/>
          <w:jc w:val="center"/>
        </w:trPr>
        <w:tc>
          <w:tcPr>
            <w:tcW w:w="704" w:type="dxa"/>
          </w:tcPr>
          <w:p w:rsidR="00155278" w:rsidRPr="00EC24E9" w:rsidRDefault="00D8307D" w:rsidP="00155278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3</w:t>
            </w:r>
          </w:p>
        </w:tc>
        <w:tc>
          <w:tcPr>
            <w:tcW w:w="2530" w:type="dxa"/>
          </w:tcPr>
          <w:p w:rsidR="00155278" w:rsidRPr="00AA174D" w:rsidRDefault="00D8307D" w:rsidP="00387750">
            <w:pPr>
              <w:pStyle w:val="trescpisma"/>
              <w:spacing w:line="276" w:lineRule="auto"/>
              <w:rPr>
                <w:sz w:val="20"/>
                <w:szCs w:val="20"/>
              </w:rPr>
            </w:pPr>
            <w:r w:rsidRPr="00AA174D">
              <w:rPr>
                <w:sz w:val="20"/>
                <w:szCs w:val="20"/>
              </w:rPr>
              <w:t>Rozwój sektora energetycznego, w tym rozwój sektora morskiej energetyki wiatrowej.</w:t>
            </w:r>
          </w:p>
        </w:tc>
        <w:tc>
          <w:tcPr>
            <w:tcW w:w="2066" w:type="dxa"/>
          </w:tcPr>
          <w:p w:rsidR="00155278" w:rsidRPr="00AA174D" w:rsidRDefault="00D8307D" w:rsidP="00387750">
            <w:pPr>
              <w:pStyle w:val="Akapitzlist"/>
              <w:spacing w:after="0"/>
              <w:ind w:left="0"/>
              <w:rPr>
                <w:rFonts w:cs="Arial"/>
                <w:sz w:val="20"/>
                <w:szCs w:val="20"/>
              </w:rPr>
            </w:pPr>
            <w:r w:rsidRPr="00AA174D">
              <w:rPr>
                <w:rFonts w:cs="Arial"/>
                <w:sz w:val="20"/>
                <w:szCs w:val="20"/>
              </w:rPr>
              <w:t>Realizacja zadań ustawowych określonych w:</w:t>
            </w:r>
          </w:p>
          <w:p w:rsidR="00155278" w:rsidRPr="00AA174D" w:rsidRDefault="00D8307D" w:rsidP="004D4684">
            <w:pPr>
              <w:pStyle w:val="Akapitzlist"/>
              <w:numPr>
                <w:ilvl w:val="0"/>
                <w:numId w:val="4"/>
              </w:numPr>
              <w:spacing w:after="0"/>
              <w:ind w:left="200" w:hanging="200"/>
              <w:rPr>
                <w:rFonts w:cs="Arial"/>
                <w:sz w:val="20"/>
                <w:szCs w:val="20"/>
              </w:rPr>
            </w:pPr>
            <w:r w:rsidRPr="00AA174D">
              <w:rPr>
                <w:rFonts w:cs="Arial"/>
                <w:sz w:val="20"/>
                <w:szCs w:val="20"/>
              </w:rPr>
              <w:t>ustawie z dnia 17 grudnia 2020 r. o promowaniu wytwarzania energii elektrycznej w morskich farmach wiatrowych (Dz.</w:t>
            </w:r>
            <w:r>
              <w:rPr>
                <w:rFonts w:cs="Arial"/>
                <w:sz w:val="20"/>
                <w:szCs w:val="20"/>
              </w:rPr>
              <w:t> </w:t>
            </w:r>
            <w:r w:rsidRPr="00AA174D">
              <w:rPr>
                <w:rFonts w:cs="Arial"/>
                <w:sz w:val="20"/>
                <w:szCs w:val="20"/>
              </w:rPr>
              <w:t xml:space="preserve">U. z 2023 r. </w:t>
            </w:r>
            <w:hyperlink r:id="rId8" w:history="1">
              <w:r w:rsidRPr="00AA174D">
                <w:rPr>
                  <w:rFonts w:cs="Arial"/>
                  <w:sz w:val="20"/>
                  <w:szCs w:val="20"/>
                </w:rPr>
                <w:t>poz. 1385</w:t>
              </w:r>
            </w:hyperlink>
            <w:r w:rsidRPr="00AA174D">
              <w:rPr>
                <w:rFonts w:cs="Arial"/>
                <w:sz w:val="20"/>
                <w:szCs w:val="20"/>
              </w:rPr>
              <w:t>, z późn. zm.);</w:t>
            </w:r>
          </w:p>
          <w:p w:rsidR="00155278" w:rsidRPr="00AA174D" w:rsidRDefault="00D8307D" w:rsidP="004D4684">
            <w:pPr>
              <w:pStyle w:val="Akapitzlist"/>
              <w:numPr>
                <w:ilvl w:val="0"/>
                <w:numId w:val="4"/>
              </w:numPr>
              <w:spacing w:after="0"/>
              <w:ind w:left="200" w:hanging="200"/>
              <w:rPr>
                <w:rFonts w:cs="Arial"/>
                <w:sz w:val="20"/>
                <w:szCs w:val="20"/>
              </w:rPr>
            </w:pPr>
            <w:r w:rsidRPr="00AA174D">
              <w:rPr>
                <w:rFonts w:cs="Arial"/>
                <w:sz w:val="20"/>
                <w:szCs w:val="20"/>
              </w:rPr>
              <w:lastRenderedPageBreak/>
              <w:t>ustawie z dnia 24 lipca 2015 r. o przygotowaniu i realizacji strategicznych inwestycji w zakresie sieci przesyłowych (Dz. U. z 2023 r. poz. 1680, z</w:t>
            </w:r>
            <w:r>
              <w:rPr>
                <w:rFonts w:cs="Arial"/>
                <w:sz w:val="20"/>
                <w:szCs w:val="20"/>
              </w:rPr>
              <w:t> późn. </w:t>
            </w:r>
            <w:r w:rsidRPr="00AA174D">
              <w:rPr>
                <w:rFonts w:cs="Arial"/>
                <w:sz w:val="20"/>
                <w:szCs w:val="20"/>
              </w:rPr>
              <w:t>zm.);</w:t>
            </w:r>
          </w:p>
          <w:p w:rsidR="00387750" w:rsidRPr="004F21DB" w:rsidRDefault="00D8307D" w:rsidP="004F21DB">
            <w:pPr>
              <w:pStyle w:val="Akapitzlist"/>
              <w:numPr>
                <w:ilvl w:val="0"/>
                <w:numId w:val="4"/>
              </w:numPr>
              <w:spacing w:after="0"/>
              <w:ind w:left="200" w:hanging="200"/>
              <w:rPr>
                <w:rFonts w:cs="Arial"/>
                <w:sz w:val="20"/>
                <w:szCs w:val="20"/>
              </w:rPr>
            </w:pPr>
            <w:r w:rsidRPr="00AA174D">
              <w:rPr>
                <w:rFonts w:cs="Arial"/>
                <w:sz w:val="20"/>
                <w:szCs w:val="20"/>
              </w:rPr>
              <w:t>ustawie z dnia 29 czerwca 2011 r. o przygotowaniu i realizacji inwestycji w zakresie obiektów energetyki jądrowej oraz inwestycji towarzyszących (Dz.</w:t>
            </w:r>
            <w:r>
              <w:rPr>
                <w:rFonts w:cs="Arial"/>
                <w:sz w:val="20"/>
                <w:szCs w:val="20"/>
              </w:rPr>
              <w:t> </w:t>
            </w:r>
            <w:r w:rsidRPr="00AA174D">
              <w:rPr>
                <w:rFonts w:cs="Arial"/>
                <w:sz w:val="20"/>
                <w:szCs w:val="20"/>
              </w:rPr>
              <w:t xml:space="preserve">U. z 2021 r. </w:t>
            </w:r>
            <w:hyperlink r:id="rId9" w:history="1">
              <w:r w:rsidRPr="00AA174D">
                <w:rPr>
                  <w:rFonts w:cs="Arial"/>
                  <w:sz w:val="20"/>
                  <w:szCs w:val="20"/>
                </w:rPr>
                <w:t>poz. 1484</w:t>
              </w:r>
            </w:hyperlink>
            <w:r w:rsidRPr="00AA174D">
              <w:rPr>
                <w:rFonts w:cs="Arial"/>
                <w:sz w:val="20"/>
                <w:szCs w:val="20"/>
              </w:rPr>
              <w:t>, z późn. zm.).</w:t>
            </w:r>
          </w:p>
        </w:tc>
        <w:tc>
          <w:tcPr>
            <w:tcW w:w="2066" w:type="dxa"/>
            <w:shd w:val="clear" w:color="auto" w:fill="auto"/>
          </w:tcPr>
          <w:p w:rsidR="00155278" w:rsidRPr="00D5453F" w:rsidRDefault="00D8307D" w:rsidP="00D5453F">
            <w:pPr>
              <w:pStyle w:val="Akapitzlist"/>
              <w:rPr>
                <w:rFonts w:cs="Arial"/>
                <w:sz w:val="20"/>
                <w:szCs w:val="20"/>
              </w:rPr>
            </w:pPr>
            <w:r w:rsidRPr="00D5453F">
              <w:rPr>
                <w:rFonts w:cs="Arial"/>
                <w:sz w:val="20"/>
                <w:szCs w:val="20"/>
              </w:rPr>
              <w:lastRenderedPageBreak/>
              <w:t>90%</w:t>
            </w:r>
          </w:p>
        </w:tc>
        <w:tc>
          <w:tcPr>
            <w:tcW w:w="5245" w:type="dxa"/>
          </w:tcPr>
          <w:p w:rsidR="0060220D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 w:val="20"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t>Opiniowanie kierunków zmiany prawa w celu optymalnego wykorzystania aktywów państwowych w zakresie pozwalającym na rozwój sektora energetycznego, w tym rozwój sektora morskiej energetyki wiatrowej.</w:t>
            </w:r>
          </w:p>
          <w:p w:rsidR="0060220D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 w:val="20"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t>Obsługa zadań Pełnomocnika do spraw koordynacji działań podmiotów objętych nadzorem właścicielskim Ministra Aktywów Państwowych w procesie realizacji inwestycji w zakresie morskich farm wiatrowych.</w:t>
            </w:r>
          </w:p>
          <w:p w:rsidR="0060220D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 w:val="20"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t>Przedstawianie opinii ministra właściwego do spraw aktywów państwowych do rozporządzenia Ministra Klimatu określającego maksymalną cenę, wyrażoną w złotych za 1 MWh, jaka może być wskazana w ofertach złożonych w aukcji przez wytwórców prowadzących działalność gospodarczą w sektorze morskiej energetyki wiatrowej.</w:t>
            </w:r>
          </w:p>
          <w:p w:rsidR="0060220D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 w:val="20"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lastRenderedPageBreak/>
              <w:t>Analiza i przetwarzanie informacji przekazywanych przez Prezesa URE dotyczących rozwoju sektora morskiej energetyki wiatrowej.</w:t>
            </w:r>
          </w:p>
          <w:p w:rsidR="0060220D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 w:val="20"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t>Analiza i przetwarzanie informacji przekazywanych przez Prezesa URE dotyczących planu łańcucha dostaw materiałów i usług.</w:t>
            </w:r>
          </w:p>
          <w:p w:rsidR="0060220D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 w:val="20"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t>Opiniowanie wniosków inwestorów o wydanie pozwoleń na wznoszenie lub wykorzystywanie sztucznych wysp, konstrukcji i urządzeń w polskich obszarach morskich ustalających ich lokalizację oraz określających warunki ich wykorzystania na tych obszarach, a także opiniowanie wniosków inwestorów dotyczących infrastruktury kablowej.</w:t>
            </w:r>
          </w:p>
          <w:p w:rsidR="0060220D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 w:val="20"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t>Wydawanie opinii na podstawie przepisów ustawy z dnia 24 lipca 2015 r. o przygotowaniu i realizacji strategicznych inwestycji w zakresie sieci przesyłowych;</w:t>
            </w:r>
          </w:p>
          <w:p w:rsidR="00155278" w:rsidRPr="00AA174D" w:rsidRDefault="00D8307D" w:rsidP="004D4684">
            <w:pPr>
              <w:pStyle w:val="Akapitzlist"/>
              <w:numPr>
                <w:ilvl w:val="0"/>
                <w:numId w:val="5"/>
              </w:numPr>
              <w:ind w:left="313" w:hanging="284"/>
              <w:rPr>
                <w:rFonts w:cs="Arial"/>
                <w:iCs/>
                <w:szCs w:val="20"/>
              </w:rPr>
            </w:pPr>
            <w:r w:rsidRPr="00AA174D">
              <w:rPr>
                <w:rFonts w:cs="Arial"/>
                <w:iCs/>
                <w:sz w:val="20"/>
                <w:szCs w:val="20"/>
              </w:rPr>
              <w:t>Wydawanie opinii na podstawie przepisów ustawy z dnia 29 czerwca 2011 r. o przygotowaniu i realizacji inwestycji w zakresie obiektów energetyki jądrowej oraz inwestycji towarzyszących.</w:t>
            </w:r>
          </w:p>
        </w:tc>
        <w:tc>
          <w:tcPr>
            <w:tcW w:w="2557" w:type="dxa"/>
          </w:tcPr>
          <w:p w:rsidR="000468F2" w:rsidRPr="00AA174D" w:rsidRDefault="00D8307D" w:rsidP="000468F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AA174D">
              <w:rPr>
                <w:rFonts w:cs="Arial"/>
                <w:szCs w:val="20"/>
              </w:rPr>
              <w:lastRenderedPageBreak/>
              <w:t>Ustawa z dnia 17 grudnia 2020 r. o promowaniu wytwarzania energii elektrycznej w morskich farmach wiatrowych.</w:t>
            </w:r>
          </w:p>
          <w:p w:rsidR="000468F2" w:rsidRPr="00AA174D" w:rsidRDefault="00D8307D" w:rsidP="000468F2">
            <w:pPr>
              <w:autoSpaceDE w:val="0"/>
              <w:autoSpaceDN w:val="0"/>
              <w:adjustRightInd w:val="0"/>
              <w:spacing w:before="60" w:line="276" w:lineRule="auto"/>
              <w:rPr>
                <w:rFonts w:cs="Arial"/>
                <w:szCs w:val="20"/>
              </w:rPr>
            </w:pPr>
            <w:r w:rsidRPr="00AA174D">
              <w:rPr>
                <w:rFonts w:cs="Arial"/>
                <w:szCs w:val="20"/>
              </w:rPr>
              <w:t>Ustawa z dnia 24 lipca 2015 r. o przygotowaniu i realizacji strategicznych inwestycji w zakresie sieci przesyłowych.</w:t>
            </w:r>
          </w:p>
          <w:p w:rsidR="000468F2" w:rsidRDefault="00D8307D" w:rsidP="000468F2">
            <w:pPr>
              <w:autoSpaceDE w:val="0"/>
              <w:autoSpaceDN w:val="0"/>
              <w:adjustRightInd w:val="0"/>
              <w:spacing w:before="60" w:line="276" w:lineRule="auto"/>
              <w:rPr>
                <w:rFonts w:cs="Arial"/>
                <w:szCs w:val="20"/>
              </w:rPr>
            </w:pPr>
            <w:r w:rsidRPr="00AA174D">
              <w:rPr>
                <w:rFonts w:cs="Arial"/>
                <w:szCs w:val="20"/>
              </w:rPr>
              <w:t xml:space="preserve">Ustawa z dnia 29 czerwca 2011 r. o przygotowaniu i realizacji inwestycji w zakresie obiektów energetyki jądrowej </w:t>
            </w:r>
            <w:r w:rsidRPr="00AA174D">
              <w:rPr>
                <w:rFonts w:cs="Arial"/>
                <w:szCs w:val="20"/>
              </w:rPr>
              <w:lastRenderedPageBreak/>
              <w:t>oraz inwestycji towarzyszących.</w:t>
            </w:r>
          </w:p>
          <w:p w:rsidR="00155278" w:rsidRPr="000B06D9" w:rsidRDefault="00D8307D" w:rsidP="000468F2">
            <w:pPr>
              <w:autoSpaceDE w:val="0"/>
              <w:autoSpaceDN w:val="0"/>
              <w:adjustRightInd w:val="0"/>
              <w:spacing w:before="60" w:line="276" w:lineRule="auto"/>
              <w:rPr>
                <w:rFonts w:cs="Arial"/>
                <w:szCs w:val="20"/>
              </w:rPr>
            </w:pPr>
            <w:r w:rsidRPr="00AA174D">
              <w:rPr>
                <w:rFonts w:cs="Arial"/>
                <w:szCs w:val="20"/>
              </w:rPr>
              <w:t>Zarządzenie Ministra Aktywów Państwowych z dnia 26 lutego 2020 r. w sprawie ustanowienia Pełnomocnika do spraw koordynacji działań podmiotów objętych nadzorem właścicielskim Ministra Aktywów Państwowych w procesie realizacji inwestycji (Dz.</w:t>
            </w:r>
            <w:r>
              <w:rPr>
                <w:rFonts w:cs="Arial"/>
                <w:szCs w:val="20"/>
              </w:rPr>
              <w:t> </w:t>
            </w:r>
            <w:r w:rsidRPr="00AA174D">
              <w:rPr>
                <w:rFonts w:cs="Arial"/>
                <w:szCs w:val="20"/>
              </w:rPr>
              <w:t>Urz. Min. Ak. Państ. poz. 5).</w:t>
            </w:r>
          </w:p>
        </w:tc>
      </w:tr>
    </w:tbl>
    <w:p w:rsidR="003F342C" w:rsidRPr="00EC24E9" w:rsidRDefault="00D8307D" w:rsidP="000C3EC0">
      <w:pPr>
        <w:spacing w:before="120" w:after="120"/>
        <w:jc w:val="both"/>
        <w:rPr>
          <w:rFonts w:cs="Arial"/>
          <w:b/>
          <w:szCs w:val="20"/>
        </w:rPr>
      </w:pPr>
      <w:r w:rsidRPr="00EC24E9">
        <w:rPr>
          <w:rFonts w:cs="Arial"/>
          <w:szCs w:val="20"/>
        </w:rPr>
        <w:lastRenderedPageBreak/>
        <w:br w:type="page"/>
      </w:r>
      <w:r w:rsidRPr="00EC24E9">
        <w:rPr>
          <w:rFonts w:cs="Arial"/>
          <w:b/>
          <w:szCs w:val="20"/>
        </w:rPr>
        <w:t>CZĘŚĆ B: Cele priorytetowe wynikające z budżetu państwa w układzie zadaniowym do realizacji w roku 202</w:t>
      </w:r>
      <w:r>
        <w:rPr>
          <w:rFonts w:cs="Arial"/>
          <w:b/>
          <w:szCs w:val="20"/>
        </w:rPr>
        <w:t>4</w:t>
      </w:r>
    </w:p>
    <w:p w:rsidR="00387750" w:rsidRPr="00EC24E9" w:rsidRDefault="00D8307D" w:rsidP="000C3EC0">
      <w:pPr>
        <w:spacing w:before="120" w:after="120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172"/>
        <w:gridCol w:w="2557"/>
        <w:gridCol w:w="4813"/>
        <w:gridCol w:w="4208"/>
      </w:tblGrid>
      <w:tr w:rsidR="00756268" w:rsidTr="00A31B16">
        <w:trPr>
          <w:trHeight w:val="516"/>
          <w:tblHeader/>
          <w:jc w:val="center"/>
        </w:trPr>
        <w:tc>
          <w:tcPr>
            <w:tcW w:w="559" w:type="dxa"/>
            <w:vMerge w:val="restart"/>
            <w:vAlign w:val="center"/>
          </w:tcPr>
          <w:p w:rsidR="000C3EC0" w:rsidRPr="00EC24E9" w:rsidRDefault="00D8307D" w:rsidP="00DF15E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3172" w:type="dxa"/>
            <w:vMerge w:val="restart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7370" w:type="dxa"/>
            <w:gridSpan w:val="2"/>
            <w:vAlign w:val="center"/>
          </w:tcPr>
          <w:p w:rsidR="000C3EC0" w:rsidRPr="00EC24E9" w:rsidRDefault="00D8307D" w:rsidP="00740F0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3"/>
            </w:r>
          </w:p>
        </w:tc>
        <w:tc>
          <w:tcPr>
            <w:tcW w:w="4208" w:type="dxa"/>
            <w:vMerge w:val="restart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Podzadania budżetowe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4"/>
            </w:r>
          </w:p>
        </w:tc>
      </w:tr>
      <w:tr w:rsidR="00756268" w:rsidTr="00A31B16">
        <w:trPr>
          <w:trHeight w:val="718"/>
          <w:tblHeader/>
          <w:jc w:val="center"/>
        </w:trPr>
        <w:tc>
          <w:tcPr>
            <w:tcW w:w="559" w:type="dxa"/>
            <w:vMerge/>
            <w:vAlign w:val="center"/>
          </w:tcPr>
          <w:p w:rsidR="000C3EC0" w:rsidRPr="00EC24E9" w:rsidRDefault="00337274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72" w:type="dxa"/>
            <w:vMerge/>
            <w:vAlign w:val="center"/>
          </w:tcPr>
          <w:p w:rsidR="000C3EC0" w:rsidRPr="00EC24E9" w:rsidRDefault="00337274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4813" w:type="dxa"/>
            <w:vAlign w:val="center"/>
          </w:tcPr>
          <w:p w:rsidR="000C3EC0" w:rsidRPr="00EC24E9" w:rsidRDefault="00D8307D" w:rsidP="00740F0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4208" w:type="dxa"/>
            <w:vMerge/>
          </w:tcPr>
          <w:p w:rsidR="000C3EC0" w:rsidRPr="00EC24E9" w:rsidRDefault="00337274" w:rsidP="00CC240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756268" w:rsidTr="00A31B16">
        <w:trPr>
          <w:trHeight w:val="182"/>
          <w:tblHeader/>
          <w:jc w:val="center"/>
        </w:trPr>
        <w:tc>
          <w:tcPr>
            <w:tcW w:w="559" w:type="dxa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172" w:type="dxa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557" w:type="dxa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813" w:type="dxa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208" w:type="dxa"/>
            <w:vAlign w:val="center"/>
          </w:tcPr>
          <w:p w:rsidR="000C3EC0" w:rsidRPr="00EC24E9" w:rsidRDefault="00D8307D" w:rsidP="00CC2401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</w:tr>
      <w:tr w:rsidR="00756268" w:rsidTr="00A31B16">
        <w:trPr>
          <w:trHeight w:val="91"/>
          <w:tblHeader/>
          <w:jc w:val="center"/>
        </w:trPr>
        <w:tc>
          <w:tcPr>
            <w:tcW w:w="559" w:type="dxa"/>
          </w:tcPr>
          <w:p w:rsidR="00A31B16" w:rsidRPr="00EC24E9" w:rsidRDefault="00D8307D" w:rsidP="00A31B16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1</w:t>
            </w:r>
          </w:p>
        </w:tc>
        <w:tc>
          <w:tcPr>
            <w:tcW w:w="3172" w:type="dxa"/>
          </w:tcPr>
          <w:p w:rsidR="00387750" w:rsidRPr="000059FF" w:rsidRDefault="00D8307D" w:rsidP="00387750">
            <w:pPr>
              <w:spacing w:line="276" w:lineRule="auto"/>
              <w:rPr>
                <w:rFonts w:cs="Arial"/>
                <w:szCs w:val="20"/>
              </w:rPr>
            </w:pPr>
            <w:r w:rsidRPr="000059FF">
              <w:rPr>
                <w:rFonts w:cs="Arial"/>
                <w:szCs w:val="20"/>
              </w:rPr>
              <w:t>Zabezpieczenie potrzeb rynku w</w:t>
            </w:r>
            <w:r>
              <w:rPr>
                <w:rFonts w:cs="Arial"/>
                <w:szCs w:val="20"/>
              </w:rPr>
              <w:t> </w:t>
            </w:r>
            <w:r w:rsidRPr="000059FF">
              <w:rPr>
                <w:rFonts w:cs="Arial"/>
                <w:szCs w:val="20"/>
              </w:rPr>
              <w:t>zakresie dostaw surowca krajowego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57" w:type="dxa"/>
          </w:tcPr>
          <w:p w:rsidR="00A31B16" w:rsidRPr="00EC24E9" w:rsidRDefault="00D8307D" w:rsidP="00387750">
            <w:pPr>
              <w:pStyle w:val="Akapitzlist"/>
              <w:spacing w:after="0"/>
              <w:ind w:left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Roczne wydobycie węgla kamiennego (w tonach).</w:t>
            </w:r>
          </w:p>
        </w:tc>
        <w:tc>
          <w:tcPr>
            <w:tcW w:w="4813" w:type="dxa"/>
          </w:tcPr>
          <w:p w:rsidR="00A31B16" w:rsidRPr="00EC24E9" w:rsidRDefault="00D8307D" w:rsidP="00387750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≥ 52 mln t</w:t>
            </w:r>
          </w:p>
        </w:tc>
        <w:tc>
          <w:tcPr>
            <w:tcW w:w="4208" w:type="dxa"/>
          </w:tcPr>
          <w:p w:rsidR="00A31B16" w:rsidRPr="00F95295" w:rsidRDefault="00D8307D" w:rsidP="00387750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Gospodarka złożami kopalin.</w:t>
            </w:r>
          </w:p>
        </w:tc>
      </w:tr>
    </w:tbl>
    <w:p w:rsidR="00182350" w:rsidRDefault="00337274" w:rsidP="00317819">
      <w:pPr>
        <w:spacing w:before="240" w:after="120"/>
        <w:jc w:val="both"/>
        <w:rPr>
          <w:rFonts w:cs="Arial"/>
          <w:b/>
          <w:szCs w:val="20"/>
        </w:rPr>
      </w:pPr>
    </w:p>
    <w:p w:rsidR="00105AD0" w:rsidRPr="00EC24E9" w:rsidRDefault="00D8307D" w:rsidP="00317819">
      <w:pPr>
        <w:spacing w:before="240" w:after="120"/>
        <w:jc w:val="both"/>
        <w:rPr>
          <w:rFonts w:cs="Arial"/>
          <w:b/>
          <w:szCs w:val="20"/>
        </w:rPr>
      </w:pPr>
      <w:r w:rsidRPr="00EC24E9">
        <w:rPr>
          <w:rFonts w:cs="Arial"/>
          <w:b/>
          <w:szCs w:val="20"/>
        </w:rPr>
        <w:t>CZĘŚĆ C: Inne cele przyjęte do realizacji w roku 202</w:t>
      </w:r>
      <w:r>
        <w:rPr>
          <w:rFonts w:cs="Arial"/>
          <w:b/>
          <w:szCs w:val="20"/>
        </w:rPr>
        <w:t>4</w:t>
      </w:r>
    </w:p>
    <w:p w:rsidR="00CA5777" w:rsidRPr="00EC24E9" w:rsidRDefault="00D8307D" w:rsidP="00CA5777">
      <w:pPr>
        <w:spacing w:before="120" w:after="120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>(w tej części planu należy wskazać cele przyjęte do realizacji, które nie zostały wymienione w części A lub B)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231"/>
        <w:gridCol w:w="2598"/>
        <w:gridCol w:w="4811"/>
        <w:gridCol w:w="4118"/>
      </w:tblGrid>
      <w:tr w:rsidR="00756268" w:rsidTr="001A5DFE">
        <w:trPr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7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 w:rsidP="0031781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Mierniki określające stopień realizacji celu</w:t>
            </w:r>
            <w:r w:rsidRPr="00EC24E9">
              <w:rPr>
                <w:rFonts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 w:rsidP="00317819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Najważniejsze zadania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5"/>
            </w:r>
          </w:p>
        </w:tc>
      </w:tr>
      <w:tr w:rsidR="00756268" w:rsidTr="001A5DFE">
        <w:trPr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33727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33727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 w:rsidP="0031781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337274">
            <w:pPr>
              <w:rPr>
                <w:rFonts w:cs="Arial"/>
                <w:b/>
                <w:szCs w:val="20"/>
              </w:rPr>
            </w:pPr>
          </w:p>
        </w:tc>
      </w:tr>
      <w:tr w:rsidR="00756268" w:rsidTr="001A5D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EC24E9" w:rsidRDefault="00D8307D">
            <w:pPr>
              <w:jc w:val="center"/>
              <w:rPr>
                <w:rFonts w:cs="Arial"/>
                <w:b/>
                <w:szCs w:val="20"/>
              </w:rPr>
            </w:pPr>
            <w:r w:rsidRPr="00EC24E9">
              <w:rPr>
                <w:rFonts w:cs="Arial"/>
                <w:b/>
                <w:szCs w:val="20"/>
              </w:rPr>
              <w:t>5</w:t>
            </w:r>
          </w:p>
        </w:tc>
      </w:tr>
      <w:tr w:rsidR="00756268" w:rsidTr="001A5D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4" w:rsidRPr="00EC24E9" w:rsidRDefault="00D8307D" w:rsidP="008D2354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4" w:rsidRPr="000B06D9" w:rsidRDefault="00D8307D" w:rsidP="000B06D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Realizacja zadań wynikających</w:t>
            </w:r>
            <w:r>
              <w:rPr>
                <w:rFonts w:cs="Arial"/>
                <w:szCs w:val="20"/>
              </w:rPr>
              <w:t xml:space="preserve"> </w:t>
            </w:r>
            <w:r w:rsidRPr="0054087A">
              <w:rPr>
                <w:rFonts w:cs="Arial"/>
                <w:szCs w:val="20"/>
              </w:rPr>
              <w:t>z</w:t>
            </w:r>
            <w:r>
              <w:rPr>
                <w:rFonts w:cs="Arial"/>
                <w:szCs w:val="20"/>
              </w:rPr>
              <w:t> </w:t>
            </w:r>
            <w:r w:rsidRPr="0054087A">
              <w:rPr>
                <w:rFonts w:cs="Arial"/>
                <w:szCs w:val="20"/>
              </w:rPr>
              <w:t>art. 21 i art. 8a ust. 1 pkt 3 ustawy z dnia 16 grudnia</w:t>
            </w:r>
            <w:r>
              <w:rPr>
                <w:rFonts w:cs="Arial"/>
                <w:szCs w:val="20"/>
              </w:rPr>
              <w:t xml:space="preserve"> </w:t>
            </w:r>
            <w:r w:rsidRPr="0054087A">
              <w:rPr>
                <w:rFonts w:cs="Arial"/>
                <w:szCs w:val="20"/>
              </w:rPr>
              <w:t>2016 r. o</w:t>
            </w:r>
            <w:r>
              <w:rPr>
                <w:rFonts w:cs="Arial"/>
                <w:szCs w:val="20"/>
              </w:rPr>
              <w:t> </w:t>
            </w:r>
            <w:r w:rsidRPr="0054087A">
              <w:rPr>
                <w:rFonts w:cs="Arial"/>
                <w:szCs w:val="20"/>
              </w:rPr>
              <w:t>zasadach</w:t>
            </w:r>
            <w:r>
              <w:rPr>
                <w:rFonts w:cs="Arial"/>
                <w:szCs w:val="20"/>
              </w:rPr>
              <w:t xml:space="preserve"> </w:t>
            </w:r>
            <w:r w:rsidRPr="0054087A">
              <w:rPr>
                <w:rFonts w:cs="Arial"/>
                <w:szCs w:val="20"/>
              </w:rPr>
              <w:t>zarządzania mieniem</w:t>
            </w:r>
            <w:r>
              <w:rPr>
                <w:rFonts w:cs="Arial"/>
                <w:szCs w:val="20"/>
              </w:rPr>
              <w:t xml:space="preserve"> </w:t>
            </w:r>
            <w:r w:rsidRPr="0054087A">
              <w:rPr>
                <w:rFonts w:cs="Arial"/>
                <w:szCs w:val="20"/>
              </w:rPr>
              <w:t>państwowym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4" w:rsidRPr="00F24F39" w:rsidRDefault="00D8307D" w:rsidP="0038775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Przeprowadzenie egzaminów (przeprowadzone</w:t>
            </w:r>
            <w:r>
              <w:rPr>
                <w:rFonts w:cs="Arial"/>
                <w:szCs w:val="20"/>
              </w:rPr>
              <w:t xml:space="preserve"> </w:t>
            </w:r>
            <w:r w:rsidRPr="0054087A">
              <w:rPr>
                <w:rFonts w:cs="Arial"/>
                <w:szCs w:val="20"/>
              </w:rPr>
              <w:t>egzaminy/</w:t>
            </w:r>
            <w:r>
              <w:rPr>
                <w:rFonts w:cs="Arial"/>
                <w:szCs w:val="20"/>
              </w:rPr>
              <w:t xml:space="preserve"> 6</w:t>
            </w:r>
            <w:r w:rsidRPr="000B06D9">
              <w:rPr>
                <w:rFonts w:cs="Arial"/>
                <w:szCs w:val="20"/>
              </w:rPr>
              <w:t> </w:t>
            </w:r>
            <w:r w:rsidRPr="0054087A">
              <w:rPr>
                <w:rFonts w:cs="Arial"/>
                <w:szCs w:val="20"/>
              </w:rPr>
              <w:t>zaplanowanych egzaminów).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4" w:rsidRPr="00EC24E9" w:rsidRDefault="00D8307D" w:rsidP="00387750">
            <w:pPr>
              <w:spacing w:line="276" w:lineRule="auto"/>
              <w:jc w:val="center"/>
              <w:rPr>
                <w:rFonts w:cs="Arial"/>
                <w:b/>
                <w:i/>
                <w:szCs w:val="20"/>
              </w:rPr>
            </w:pPr>
            <w:r w:rsidRPr="0054087A">
              <w:rPr>
                <w:rFonts w:cs="Arial"/>
                <w:szCs w:val="20"/>
              </w:rPr>
              <w:t>≥ 75%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4" w:rsidRDefault="00D8307D" w:rsidP="004D468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21" w:hanging="221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Organizacja i przeprowadzanie egzaminów dla kandydatów na członków organów nadzorczych.</w:t>
            </w:r>
          </w:p>
          <w:p w:rsidR="008D2354" w:rsidRPr="00F24F39" w:rsidRDefault="00D8307D" w:rsidP="004D468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21" w:hanging="221"/>
              <w:rPr>
                <w:rFonts w:cs="Arial"/>
                <w:sz w:val="20"/>
                <w:szCs w:val="20"/>
              </w:rPr>
            </w:pPr>
            <w:r w:rsidRPr="00F24F39">
              <w:rPr>
                <w:rFonts w:cs="Arial"/>
                <w:sz w:val="20"/>
                <w:szCs w:val="20"/>
              </w:rPr>
              <w:t xml:space="preserve">Prowadzenie listy osób, które złożyły z wynikiem pozytywnym egzamin, o </w:t>
            </w:r>
            <w:r>
              <w:rPr>
                <w:rFonts w:cs="Arial"/>
                <w:sz w:val="20"/>
                <w:szCs w:val="20"/>
              </w:rPr>
              <w:t> </w:t>
            </w:r>
            <w:r w:rsidRPr="00F24F39">
              <w:rPr>
                <w:rFonts w:cs="Arial"/>
                <w:sz w:val="20"/>
                <w:szCs w:val="20"/>
              </w:rPr>
              <w:t>którym mowa w art. 19 ust.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24F39">
              <w:rPr>
                <w:rFonts w:cs="Arial"/>
                <w:sz w:val="20"/>
                <w:szCs w:val="20"/>
              </w:rPr>
              <w:t>1 pkt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24F39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24F39">
              <w:rPr>
                <w:rFonts w:cs="Arial"/>
                <w:sz w:val="20"/>
                <w:szCs w:val="20"/>
              </w:rPr>
              <w:t>lit.</w:t>
            </w:r>
            <w:r>
              <w:rPr>
                <w:rFonts w:cs="Arial"/>
                <w:sz w:val="20"/>
                <w:szCs w:val="20"/>
              </w:rPr>
              <w:t> </w:t>
            </w:r>
            <w:r w:rsidRPr="00F24F39">
              <w:rPr>
                <w:rFonts w:cs="Arial"/>
                <w:sz w:val="20"/>
                <w:szCs w:val="20"/>
              </w:rPr>
              <w:t>h-k ustawy 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24F39">
              <w:rPr>
                <w:rFonts w:cs="Arial"/>
                <w:sz w:val="20"/>
                <w:szCs w:val="20"/>
              </w:rPr>
              <w:t>dnia 16 grudnia 2016 r. o</w:t>
            </w:r>
            <w:r>
              <w:rPr>
                <w:rFonts w:cs="Arial"/>
                <w:sz w:val="20"/>
                <w:szCs w:val="20"/>
              </w:rPr>
              <w:t> </w:t>
            </w:r>
            <w:r w:rsidRPr="00F24F39">
              <w:rPr>
                <w:rFonts w:cs="Arial"/>
                <w:sz w:val="20"/>
                <w:szCs w:val="20"/>
              </w:rPr>
              <w:t>zasadach zarządzania mieniem państwowym.</w:t>
            </w:r>
          </w:p>
        </w:tc>
      </w:tr>
      <w:tr w:rsidR="00756268" w:rsidTr="001A5D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A" w:rsidRPr="00EC24E9" w:rsidRDefault="00D8307D" w:rsidP="00D472BA">
            <w:pPr>
              <w:jc w:val="center"/>
              <w:rPr>
                <w:rFonts w:cs="Arial"/>
                <w:szCs w:val="20"/>
              </w:rPr>
            </w:pPr>
            <w:r w:rsidRPr="00EC24E9">
              <w:rPr>
                <w:rFonts w:cs="Arial"/>
                <w:szCs w:val="20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A" w:rsidRPr="00EC24E9" w:rsidRDefault="00D8307D" w:rsidP="00387750">
            <w:pPr>
              <w:spacing w:line="276" w:lineRule="auto"/>
              <w:rPr>
                <w:rFonts w:cs="Arial"/>
                <w:b/>
                <w:i/>
                <w:szCs w:val="20"/>
              </w:rPr>
            </w:pPr>
            <w:r w:rsidRPr="009C2A1F">
              <w:rPr>
                <w:rFonts w:cs="Arial"/>
                <w:szCs w:val="20"/>
              </w:rPr>
              <w:t>Zapewnienie ram prawnych dla skutecznego funkcjonowania zli</w:t>
            </w:r>
            <w:r>
              <w:rPr>
                <w:rFonts w:cs="Arial"/>
                <w:szCs w:val="20"/>
              </w:rPr>
              <w:t>beralizowanego rynku pocztowego.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A" w:rsidRPr="00EC24E9" w:rsidRDefault="00D8307D" w:rsidP="00387750">
            <w:pPr>
              <w:spacing w:line="276" w:lineRule="auto"/>
              <w:rPr>
                <w:rFonts w:cs="Arial"/>
                <w:b/>
                <w:i/>
                <w:szCs w:val="20"/>
              </w:rPr>
            </w:pPr>
            <w:r w:rsidRPr="009C2A1F">
              <w:rPr>
                <w:rFonts w:cs="Arial"/>
                <w:szCs w:val="20"/>
              </w:rPr>
              <w:t>Stopień liczby przygotowanych aktów normatywnych w stosunku do liczby aktów planowanych do</w:t>
            </w:r>
            <w:r>
              <w:rPr>
                <w:rFonts w:cs="Arial"/>
                <w:szCs w:val="20"/>
              </w:rPr>
              <w:t> </w:t>
            </w:r>
            <w:r w:rsidRPr="009C2A1F">
              <w:rPr>
                <w:rFonts w:cs="Arial"/>
                <w:szCs w:val="20"/>
              </w:rPr>
              <w:t>opracowania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A" w:rsidRPr="00EC24E9" w:rsidRDefault="00D8307D" w:rsidP="00387750">
            <w:pPr>
              <w:spacing w:line="276" w:lineRule="auto"/>
              <w:jc w:val="center"/>
              <w:rPr>
                <w:rFonts w:cs="Arial"/>
                <w:b/>
                <w:i/>
                <w:szCs w:val="20"/>
              </w:rPr>
            </w:pPr>
            <w:r w:rsidRPr="009C2A1F">
              <w:rPr>
                <w:rFonts w:cs="Arial"/>
                <w:szCs w:val="20"/>
              </w:rPr>
              <w:t>100%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A" w:rsidRPr="00241C4F" w:rsidRDefault="00D8307D" w:rsidP="004D4684">
            <w:pPr>
              <w:pStyle w:val="Akapitzlist"/>
              <w:numPr>
                <w:ilvl w:val="0"/>
                <w:numId w:val="2"/>
              </w:numPr>
              <w:spacing w:after="0"/>
              <w:ind w:left="176" w:hanging="176"/>
              <w:rPr>
                <w:rFonts w:cs="Arial"/>
                <w:sz w:val="20"/>
                <w:szCs w:val="20"/>
              </w:rPr>
            </w:pPr>
            <w:r w:rsidRPr="00241C4F">
              <w:rPr>
                <w:rFonts w:cs="Arial"/>
                <w:sz w:val="20"/>
                <w:szCs w:val="20"/>
              </w:rPr>
              <w:t>Ratyfikacja Aktów Światowego Związku Pocztowego przyjętych w 2018 r. na Kongresie w Addis Abebie.</w:t>
            </w:r>
          </w:p>
          <w:p w:rsidR="00D472BA" w:rsidRPr="00241C4F" w:rsidRDefault="00D8307D" w:rsidP="004D4684">
            <w:pPr>
              <w:pStyle w:val="Akapitzlist"/>
              <w:numPr>
                <w:ilvl w:val="0"/>
                <w:numId w:val="2"/>
              </w:numPr>
              <w:spacing w:after="0"/>
              <w:ind w:left="176" w:hanging="176"/>
              <w:rPr>
                <w:rFonts w:cs="Arial"/>
                <w:sz w:val="20"/>
                <w:szCs w:val="20"/>
              </w:rPr>
            </w:pPr>
            <w:r w:rsidRPr="00241C4F">
              <w:rPr>
                <w:rFonts w:cs="Arial"/>
                <w:sz w:val="20"/>
                <w:szCs w:val="20"/>
              </w:rPr>
              <w:t>Ratyfikacja Aktów Światowego Związku Pocztowego przyjętych w 2019 r. na Kongresie w Genewie.</w:t>
            </w:r>
          </w:p>
          <w:p w:rsidR="00D472BA" w:rsidRPr="00241C4F" w:rsidRDefault="00D8307D" w:rsidP="004D4684">
            <w:pPr>
              <w:pStyle w:val="Akapitzlist"/>
              <w:numPr>
                <w:ilvl w:val="0"/>
                <w:numId w:val="2"/>
              </w:numPr>
              <w:spacing w:after="0"/>
              <w:ind w:left="176" w:hanging="176"/>
              <w:rPr>
                <w:rFonts w:cs="Arial"/>
                <w:szCs w:val="20"/>
              </w:rPr>
            </w:pPr>
            <w:r w:rsidRPr="00241C4F">
              <w:rPr>
                <w:rFonts w:cs="Arial"/>
                <w:sz w:val="20"/>
                <w:szCs w:val="20"/>
              </w:rPr>
              <w:t>Ratyfikacja Aktów Światowego Związku Pocztowego przyjętych w 2021 r. na Kongresie w Abidżanie.</w:t>
            </w:r>
          </w:p>
        </w:tc>
      </w:tr>
      <w:tr w:rsidR="00756268" w:rsidTr="001A5D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FE" w:rsidRPr="00EC24E9" w:rsidRDefault="00D8307D" w:rsidP="00FC24F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3</w:t>
            </w:r>
          </w:p>
        </w:tc>
        <w:tc>
          <w:tcPr>
            <w:tcW w:w="3231" w:type="dxa"/>
          </w:tcPr>
          <w:p w:rsidR="008508D1" w:rsidRPr="008508D1" w:rsidRDefault="00D8307D" w:rsidP="00387750">
            <w:pPr>
              <w:spacing w:line="276" w:lineRule="auto"/>
              <w:rPr>
                <w:rFonts w:eastAsia="Arial" w:cs="Arial"/>
                <w:szCs w:val="20"/>
              </w:rPr>
            </w:pPr>
            <w:r w:rsidRPr="005A050D">
              <w:rPr>
                <w:rStyle w:val="Inne"/>
              </w:rPr>
              <w:t>Zapewnienie spójnej polityki zagranicznej Ministerstwa Aktywów Państwowych w</w:t>
            </w:r>
            <w:r>
              <w:rPr>
                <w:rStyle w:val="Inne"/>
              </w:rPr>
              <w:t> </w:t>
            </w:r>
            <w:r w:rsidRPr="005A050D">
              <w:rPr>
                <w:rStyle w:val="Inne"/>
              </w:rPr>
              <w:t>zakresie organizacji i</w:t>
            </w:r>
            <w:r>
              <w:rPr>
                <w:rStyle w:val="Inne"/>
              </w:rPr>
              <w:t> </w:t>
            </w:r>
            <w:r w:rsidRPr="005A050D">
              <w:rPr>
                <w:rStyle w:val="Inne"/>
              </w:rPr>
              <w:t>koordynacji dwustronnej i</w:t>
            </w:r>
            <w:r>
              <w:rPr>
                <w:rStyle w:val="Inne"/>
              </w:rPr>
              <w:t> </w:t>
            </w:r>
            <w:r w:rsidRPr="005A050D">
              <w:rPr>
                <w:rStyle w:val="Inne"/>
              </w:rPr>
              <w:t>wielostronnej współpracy międzynarodowej oraz spraw związanych z</w:t>
            </w:r>
            <w:r>
              <w:t xml:space="preserve"> </w:t>
            </w:r>
            <w:r w:rsidRPr="005A050D">
              <w:rPr>
                <w:rStyle w:val="Inne"/>
              </w:rPr>
              <w:t>członkostwem Polski w</w:t>
            </w:r>
            <w:r>
              <w:rPr>
                <w:rStyle w:val="Inne"/>
              </w:rPr>
              <w:t xml:space="preserve"> </w:t>
            </w:r>
            <w:r w:rsidRPr="005A050D">
              <w:rPr>
                <w:rStyle w:val="Inne"/>
              </w:rPr>
              <w:t>Unii Europejskiej.</w:t>
            </w:r>
          </w:p>
        </w:tc>
        <w:tc>
          <w:tcPr>
            <w:tcW w:w="2598" w:type="dxa"/>
          </w:tcPr>
          <w:p w:rsidR="00FC24FE" w:rsidRPr="00EC24E9" w:rsidRDefault="00D8307D" w:rsidP="00387750">
            <w:pPr>
              <w:spacing w:line="276" w:lineRule="auto"/>
              <w:rPr>
                <w:rFonts w:cs="Arial"/>
                <w:b/>
                <w:i/>
                <w:szCs w:val="20"/>
              </w:rPr>
            </w:pPr>
            <w:r w:rsidRPr="005A050D">
              <w:rPr>
                <w:rStyle w:val="Inne"/>
              </w:rPr>
              <w:t>Opracowanie planu współpracy zagranicznej Ministerstwa Aktywów Państwowych na</w:t>
            </w:r>
            <w:r>
              <w:rPr>
                <w:rStyle w:val="Inne"/>
              </w:rPr>
              <w:t> </w:t>
            </w:r>
            <w:r w:rsidRPr="005A050D">
              <w:rPr>
                <w:rStyle w:val="Inne"/>
              </w:rPr>
              <w:t>2024</w:t>
            </w:r>
            <w:r>
              <w:rPr>
                <w:rStyle w:val="Inne"/>
              </w:rPr>
              <w:t> </w:t>
            </w:r>
            <w:r w:rsidRPr="005A050D">
              <w:rPr>
                <w:rStyle w:val="Inne"/>
              </w:rPr>
              <w:t>rok.</w:t>
            </w:r>
          </w:p>
        </w:tc>
        <w:tc>
          <w:tcPr>
            <w:tcW w:w="4811" w:type="dxa"/>
            <w:shd w:val="clear" w:color="auto" w:fill="auto"/>
          </w:tcPr>
          <w:p w:rsidR="00FC24FE" w:rsidRPr="00EC24E9" w:rsidRDefault="00D8307D" w:rsidP="00387750">
            <w:pPr>
              <w:spacing w:line="276" w:lineRule="auto"/>
              <w:jc w:val="center"/>
              <w:rPr>
                <w:rFonts w:cs="Arial"/>
                <w:b/>
                <w:i/>
                <w:szCs w:val="20"/>
              </w:rPr>
            </w:pPr>
            <w:r w:rsidRPr="005A050D">
              <w:rPr>
                <w:rFonts w:cs="Arial"/>
                <w:szCs w:val="20"/>
              </w:rPr>
              <w:t>1</w:t>
            </w:r>
          </w:p>
        </w:tc>
        <w:tc>
          <w:tcPr>
            <w:tcW w:w="4118" w:type="dxa"/>
          </w:tcPr>
          <w:p w:rsidR="00FC24FE" w:rsidRPr="00F95295" w:rsidRDefault="00D8307D" w:rsidP="00387750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5A050D">
              <w:rPr>
                <w:rStyle w:val="Inne"/>
              </w:rPr>
              <w:t>Sporządzenie planu współpracy zagranicznej Ministerstwa Aktywów Państwowych na 2024 rok.</w:t>
            </w:r>
          </w:p>
        </w:tc>
      </w:tr>
      <w:tr w:rsidR="00756268" w:rsidTr="001A5D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1" w:rsidRDefault="00D8307D" w:rsidP="008508D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B62000">
              <w:rPr>
                <w:rFonts w:cs="Arial"/>
                <w:szCs w:val="20"/>
              </w:rPr>
              <w:t>Usprawnienie</w:t>
            </w:r>
          </w:p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B62000">
              <w:rPr>
                <w:rFonts w:cs="Arial"/>
                <w:szCs w:val="20"/>
              </w:rPr>
              <w:t>pozyskiwania przez spółki</w:t>
            </w:r>
          </w:p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B62000">
              <w:rPr>
                <w:rFonts w:cs="Arial"/>
                <w:szCs w:val="20"/>
              </w:rPr>
              <w:t>Skarbu Państwa funduszy</w:t>
            </w:r>
          </w:p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B62000">
              <w:rPr>
                <w:rFonts w:cs="Arial"/>
                <w:szCs w:val="20"/>
              </w:rPr>
              <w:t>europejskich oraz innych dostępnych źródeł</w:t>
            </w:r>
          </w:p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B62000">
              <w:rPr>
                <w:rFonts w:cs="Arial"/>
                <w:szCs w:val="20"/>
              </w:rPr>
              <w:t>finansowania z udziałem</w:t>
            </w:r>
          </w:p>
          <w:p w:rsidR="008508D1" w:rsidRPr="00B62000" w:rsidRDefault="00D8307D" w:rsidP="008508D1">
            <w:pPr>
              <w:pStyle w:val="trescpisma"/>
              <w:spacing w:line="276" w:lineRule="auto"/>
              <w:rPr>
                <w:rFonts w:cs="Arial"/>
                <w:sz w:val="20"/>
                <w:szCs w:val="20"/>
              </w:rPr>
            </w:pPr>
            <w:r w:rsidRPr="00B62000">
              <w:rPr>
                <w:rFonts w:cs="Arial"/>
                <w:sz w:val="20"/>
                <w:szCs w:val="20"/>
              </w:rPr>
              <w:t>środków europejskich.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B62000">
              <w:rPr>
                <w:rFonts w:cs="Arial"/>
                <w:szCs w:val="20"/>
              </w:rPr>
              <w:t>Spółki Skarbu Państwa, wsparte</w:t>
            </w:r>
            <w:r>
              <w:rPr>
                <w:rFonts w:cs="Arial"/>
                <w:szCs w:val="20"/>
              </w:rPr>
              <w:t xml:space="preserve"> </w:t>
            </w:r>
            <w:r w:rsidRPr="00B62000">
              <w:rPr>
                <w:rFonts w:cs="Arial"/>
                <w:szCs w:val="20"/>
              </w:rPr>
              <w:t>w zakresie możliwości uzyskania</w:t>
            </w:r>
          </w:p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B62000">
              <w:rPr>
                <w:rFonts w:cs="Arial"/>
                <w:szCs w:val="20"/>
              </w:rPr>
              <w:t>pomocy ze środków funduszy</w:t>
            </w:r>
            <w:r>
              <w:rPr>
                <w:rFonts w:cs="Arial"/>
                <w:szCs w:val="20"/>
              </w:rPr>
              <w:t xml:space="preserve"> </w:t>
            </w:r>
            <w:r w:rsidRPr="00B62000">
              <w:rPr>
                <w:rFonts w:cs="Arial"/>
                <w:szCs w:val="20"/>
              </w:rPr>
              <w:t>europejskich oraz innych dostępnych źródeł europejskich.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1" w:rsidRPr="00B62000" w:rsidRDefault="00D8307D" w:rsidP="008508D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B0748E">
              <w:rPr>
                <w:rFonts w:cs="Arial"/>
                <w:szCs w:val="20"/>
              </w:rPr>
              <w:t>≥</w:t>
            </w:r>
            <w:r>
              <w:rPr>
                <w:rFonts w:cs="Arial"/>
                <w:szCs w:val="20"/>
              </w:rPr>
              <w:t xml:space="preserve"> 50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1" w:rsidRPr="00B62000" w:rsidRDefault="00D8307D" w:rsidP="008508D1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Cs w:val="20"/>
              </w:rPr>
            </w:pPr>
            <w:r w:rsidRPr="00B62000">
              <w:rPr>
                <w:rFonts w:cs="Arial"/>
                <w:szCs w:val="20"/>
              </w:rPr>
              <w:t>Wsparcie i rozwój spółek Skarbu Państwa z</w:t>
            </w:r>
            <w:r>
              <w:rPr>
                <w:rFonts w:cs="Arial"/>
                <w:szCs w:val="20"/>
              </w:rPr>
              <w:t> </w:t>
            </w:r>
            <w:r w:rsidRPr="00B62000">
              <w:rPr>
                <w:rFonts w:cs="Arial"/>
                <w:szCs w:val="20"/>
              </w:rPr>
              <w:t>wykorzystaniem zewnętrznych środków finansowania w ramach polityki spójności oraz innych dostępnych źródeł europejskich.</w:t>
            </w:r>
          </w:p>
        </w:tc>
      </w:tr>
    </w:tbl>
    <w:p w:rsidR="003E0B9D" w:rsidRPr="00BE7A19" w:rsidRDefault="00337274" w:rsidP="00BE7A19">
      <w:pPr>
        <w:jc w:val="both"/>
        <w:rPr>
          <w:rFonts w:cs="Arial"/>
          <w:sz w:val="10"/>
          <w:szCs w:val="10"/>
        </w:rPr>
      </w:pPr>
    </w:p>
    <w:tbl>
      <w:tblPr>
        <w:tblW w:w="9214" w:type="dxa"/>
        <w:jc w:val="right"/>
        <w:tblLook w:val="04A0" w:firstRow="1" w:lastRow="0" w:firstColumn="1" w:lastColumn="0" w:noHBand="0" w:noVBand="1"/>
      </w:tblPr>
      <w:tblGrid>
        <w:gridCol w:w="3369"/>
        <w:gridCol w:w="5845"/>
      </w:tblGrid>
      <w:tr w:rsidR="00756268" w:rsidTr="003E75F8">
        <w:trPr>
          <w:jc w:val="right"/>
        </w:trPr>
        <w:tc>
          <w:tcPr>
            <w:tcW w:w="3369" w:type="dxa"/>
            <w:vMerge w:val="restart"/>
          </w:tcPr>
          <w:p w:rsidR="003E75F8" w:rsidRPr="00EC24E9" w:rsidRDefault="00337274" w:rsidP="00E13C9C">
            <w:pPr>
              <w:pStyle w:val="trescpisma"/>
              <w:tabs>
                <w:tab w:val="center" w:pos="6237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D8307D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bookmarkStart w:id="1" w:name="ezdPracownikNazwa"/>
            <w:r w:rsidRPr="00EC24E9">
              <w:rPr>
                <w:rFonts w:cs="Arial"/>
                <w:b/>
                <w:sz w:val="20"/>
                <w:szCs w:val="20"/>
              </w:rPr>
              <w:t>Jacek Sasin</w:t>
            </w:r>
            <w:bookmarkEnd w:id="1"/>
          </w:p>
        </w:tc>
      </w:tr>
      <w:tr w:rsidR="00756268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EC24E9" w:rsidRDefault="00337274" w:rsidP="00E13C9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D8307D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2" w:name="ezdPracownikStanowisko"/>
            <w:r w:rsidRPr="00EC24E9">
              <w:rPr>
                <w:rFonts w:cs="Arial"/>
                <w:sz w:val="20"/>
                <w:szCs w:val="20"/>
              </w:rPr>
              <w:t>minister</w:t>
            </w:r>
            <w:bookmarkEnd w:id="2"/>
          </w:p>
        </w:tc>
      </w:tr>
      <w:tr w:rsidR="00756268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EC24E9" w:rsidRDefault="00337274" w:rsidP="00E13C9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D8307D" w:rsidP="00E13C9C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cs="Arial"/>
                <w:i/>
                <w:sz w:val="20"/>
                <w:szCs w:val="20"/>
              </w:rPr>
            </w:pPr>
            <w:bookmarkStart w:id="3" w:name="ezdPracownikWydzialAtrybut1"/>
            <w:r w:rsidRPr="00EC24E9">
              <w:rPr>
                <w:rFonts w:cs="Arial"/>
                <w:i/>
                <w:sz w:val="20"/>
                <w:szCs w:val="20"/>
              </w:rPr>
              <w:t>dokument podpisany elektronicznie</w:t>
            </w:r>
            <w:bookmarkEnd w:id="3"/>
          </w:p>
        </w:tc>
      </w:tr>
      <w:tr w:rsidR="00756268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Pr="00EC24E9" w:rsidRDefault="00337274" w:rsidP="00E13C9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5845" w:type="dxa"/>
          </w:tcPr>
          <w:p w:rsidR="003E75F8" w:rsidRPr="00EC24E9" w:rsidRDefault="00337274" w:rsidP="00E13C9C">
            <w:pPr>
              <w:pStyle w:val="trescpisma"/>
              <w:tabs>
                <w:tab w:val="center" w:pos="6237"/>
              </w:tabs>
              <w:spacing w:after="60"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4" w:name="ezdIdentyfikatorDokumentuPDF"/>
            <w:bookmarkEnd w:id="4"/>
          </w:p>
        </w:tc>
      </w:tr>
    </w:tbl>
    <w:p w:rsidR="00E56D29" w:rsidRPr="00EC24E9" w:rsidRDefault="00D8307D" w:rsidP="00BE7A19">
      <w:pPr>
        <w:tabs>
          <w:tab w:val="right" w:pos="3578"/>
        </w:tabs>
        <w:ind w:left="28"/>
        <w:rPr>
          <w:rFonts w:cs="Arial"/>
          <w:szCs w:val="20"/>
        </w:rPr>
      </w:pPr>
      <w:r w:rsidRPr="00D91016">
        <w:rPr>
          <w:rFonts w:cs="Arial"/>
          <w:szCs w:val="20"/>
        </w:rPr>
        <w:t xml:space="preserve">Warszawa, </w:t>
      </w:r>
      <w:bookmarkStart w:id="5" w:name="ezdDataPodpisu"/>
      <w:r>
        <w:rPr>
          <w:rFonts w:cs="Arial"/>
          <w:szCs w:val="20"/>
        </w:rPr>
        <w:t>15 listopada 2023</w:t>
      </w:r>
      <w:bookmarkEnd w:id="5"/>
      <w:r>
        <w:rPr>
          <w:rFonts w:cs="Arial"/>
          <w:szCs w:val="20"/>
        </w:rPr>
        <w:t xml:space="preserve"> r.</w:t>
      </w:r>
    </w:p>
    <w:p w:rsidR="003F342C" w:rsidRPr="00EC24E9" w:rsidRDefault="00D8307D" w:rsidP="00BE7A19">
      <w:pPr>
        <w:tabs>
          <w:tab w:val="center" w:pos="1701"/>
          <w:tab w:val="center" w:pos="10773"/>
        </w:tabs>
        <w:rPr>
          <w:rFonts w:cs="Arial"/>
          <w:i/>
          <w:szCs w:val="20"/>
        </w:rPr>
      </w:pPr>
      <w:r w:rsidRPr="00EC24E9">
        <w:rPr>
          <w:rFonts w:cs="Arial"/>
          <w:szCs w:val="20"/>
        </w:rPr>
        <w:tab/>
        <w:t>………………………………………………….</w:t>
      </w:r>
      <w:r w:rsidRPr="00EC24E9">
        <w:rPr>
          <w:rFonts w:cs="Arial"/>
          <w:szCs w:val="20"/>
        </w:rPr>
        <w:tab/>
        <w:t>………………………………………………….</w:t>
      </w:r>
    </w:p>
    <w:p w:rsidR="002647E4" w:rsidRPr="00EC24E9" w:rsidRDefault="00D8307D" w:rsidP="00144E20">
      <w:pPr>
        <w:tabs>
          <w:tab w:val="center" w:pos="1701"/>
          <w:tab w:val="center" w:pos="10773"/>
        </w:tabs>
        <w:spacing w:line="360" w:lineRule="auto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ab/>
        <w:t>(data)</w:t>
      </w:r>
      <w:r w:rsidRPr="00EC24E9">
        <w:rPr>
          <w:rFonts w:cs="Arial"/>
          <w:szCs w:val="20"/>
        </w:rPr>
        <w:tab/>
      </w:r>
      <w:r w:rsidRPr="00EC24E9">
        <w:rPr>
          <w:rFonts w:cs="Arial"/>
          <w:i/>
          <w:szCs w:val="20"/>
        </w:rPr>
        <w:t>(podpis)</w:t>
      </w:r>
    </w:p>
    <w:sectPr w:rsidR="002647E4" w:rsidRPr="00EC24E9" w:rsidSect="003A5CCB">
      <w:footerReference w:type="even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7D" w:rsidRDefault="00D8307D">
      <w:r>
        <w:separator/>
      </w:r>
    </w:p>
  </w:endnote>
  <w:endnote w:type="continuationSeparator" w:id="0">
    <w:p w:rsidR="00D8307D" w:rsidRDefault="00D8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Default="00D8307D" w:rsidP="003F34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F7A" w:rsidRDefault="00337274" w:rsidP="003F3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Pr="002D5BF2" w:rsidRDefault="00D8307D" w:rsidP="003F342C">
    <w:pPr>
      <w:pStyle w:val="Stopka"/>
      <w:ind w:right="360"/>
      <w:jc w:val="right"/>
      <w:rPr>
        <w:sz w:val="16"/>
      </w:rPr>
    </w:pPr>
    <w:r w:rsidRPr="002D5BF2">
      <w:rPr>
        <w:rStyle w:val="Numerstrony"/>
        <w:sz w:val="16"/>
      </w:rPr>
      <w:t xml:space="preserve">str.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PAGE </w:instrText>
    </w:r>
    <w:r w:rsidRPr="002D5BF2">
      <w:rPr>
        <w:rStyle w:val="Numerstrony"/>
        <w:sz w:val="16"/>
      </w:rPr>
      <w:fldChar w:fldCharType="separate"/>
    </w:r>
    <w:r w:rsidR="00337274">
      <w:rPr>
        <w:rStyle w:val="Numerstrony"/>
        <w:noProof/>
        <w:sz w:val="16"/>
      </w:rPr>
      <w:t>1</w:t>
    </w:r>
    <w:r w:rsidRPr="002D5BF2">
      <w:rPr>
        <w:rStyle w:val="Numerstrony"/>
        <w:sz w:val="16"/>
      </w:rPr>
      <w:fldChar w:fldCharType="end"/>
    </w:r>
    <w:r w:rsidRPr="002D5BF2">
      <w:rPr>
        <w:rStyle w:val="Numerstrony"/>
        <w:sz w:val="16"/>
      </w:rPr>
      <w:t xml:space="preserve"> z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NUMPAGES </w:instrText>
    </w:r>
    <w:r w:rsidRPr="002D5BF2">
      <w:rPr>
        <w:rStyle w:val="Numerstrony"/>
        <w:sz w:val="16"/>
      </w:rPr>
      <w:fldChar w:fldCharType="separate"/>
    </w:r>
    <w:r w:rsidR="00337274">
      <w:rPr>
        <w:rStyle w:val="Numerstrony"/>
        <w:noProof/>
        <w:sz w:val="16"/>
      </w:rPr>
      <w:t>1</w:t>
    </w:r>
    <w:r w:rsidRPr="002D5BF2">
      <w:rPr>
        <w:rStyle w:val="Numerstron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7D" w:rsidRDefault="00D8307D">
      <w:r>
        <w:separator/>
      </w:r>
    </w:p>
  </w:footnote>
  <w:footnote w:type="continuationSeparator" w:id="0">
    <w:p w:rsidR="00D8307D" w:rsidRDefault="00D8307D">
      <w:r>
        <w:continuationSeparator/>
      </w:r>
    </w:p>
  </w:footnote>
  <w:footnote w:id="1">
    <w:p w:rsidR="00F63BA6" w:rsidRPr="00EC24E9" w:rsidRDefault="00D8307D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:rsidR="00F63BA6" w:rsidRPr="000C3EC0" w:rsidRDefault="00D8307D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3">
    <w:p w:rsidR="000C3EC0" w:rsidRPr="00EC24E9" w:rsidRDefault="00D8307D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4">
    <w:p w:rsidR="00740F0A" w:rsidRPr="00EC24E9" w:rsidRDefault="00D8307D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wskazać wszystkie podzadania budżetowe służące realizacji poszczególnych celów wymienionych w kolumnie 2.</w:t>
      </w:r>
    </w:p>
  </w:footnote>
  <w:footnote w:id="5">
    <w:p w:rsidR="00317819" w:rsidRPr="00317819" w:rsidRDefault="00D8307D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8EA"/>
    <w:multiLevelType w:val="hybridMultilevel"/>
    <w:tmpl w:val="E33AECB4"/>
    <w:lvl w:ilvl="0" w:tplc="9A3EB406">
      <w:start w:val="1"/>
      <w:numFmt w:val="decimal"/>
      <w:lvlText w:val="%1)"/>
      <w:lvlJc w:val="left"/>
      <w:pPr>
        <w:ind w:left="720" w:hanging="360"/>
      </w:pPr>
    </w:lvl>
    <w:lvl w:ilvl="1" w:tplc="CD92FEC8" w:tentative="1">
      <w:start w:val="1"/>
      <w:numFmt w:val="lowerLetter"/>
      <w:lvlText w:val="%2."/>
      <w:lvlJc w:val="left"/>
      <w:pPr>
        <w:ind w:left="1440" w:hanging="360"/>
      </w:pPr>
    </w:lvl>
    <w:lvl w:ilvl="2" w:tplc="02DAC152" w:tentative="1">
      <w:start w:val="1"/>
      <w:numFmt w:val="lowerRoman"/>
      <w:lvlText w:val="%3."/>
      <w:lvlJc w:val="right"/>
      <w:pPr>
        <w:ind w:left="2160" w:hanging="180"/>
      </w:pPr>
    </w:lvl>
    <w:lvl w:ilvl="3" w:tplc="F1A61950" w:tentative="1">
      <w:start w:val="1"/>
      <w:numFmt w:val="decimal"/>
      <w:lvlText w:val="%4."/>
      <w:lvlJc w:val="left"/>
      <w:pPr>
        <w:ind w:left="2880" w:hanging="360"/>
      </w:pPr>
    </w:lvl>
    <w:lvl w:ilvl="4" w:tplc="72E6556C" w:tentative="1">
      <w:start w:val="1"/>
      <w:numFmt w:val="lowerLetter"/>
      <w:lvlText w:val="%5."/>
      <w:lvlJc w:val="left"/>
      <w:pPr>
        <w:ind w:left="3600" w:hanging="360"/>
      </w:pPr>
    </w:lvl>
    <w:lvl w:ilvl="5" w:tplc="95460D8A" w:tentative="1">
      <w:start w:val="1"/>
      <w:numFmt w:val="lowerRoman"/>
      <w:lvlText w:val="%6."/>
      <w:lvlJc w:val="right"/>
      <w:pPr>
        <w:ind w:left="4320" w:hanging="180"/>
      </w:pPr>
    </w:lvl>
    <w:lvl w:ilvl="6" w:tplc="CD1413EA" w:tentative="1">
      <w:start w:val="1"/>
      <w:numFmt w:val="decimal"/>
      <w:lvlText w:val="%7."/>
      <w:lvlJc w:val="left"/>
      <w:pPr>
        <w:ind w:left="5040" w:hanging="360"/>
      </w:pPr>
    </w:lvl>
    <w:lvl w:ilvl="7" w:tplc="6E0650A4" w:tentative="1">
      <w:start w:val="1"/>
      <w:numFmt w:val="lowerLetter"/>
      <w:lvlText w:val="%8."/>
      <w:lvlJc w:val="left"/>
      <w:pPr>
        <w:ind w:left="5760" w:hanging="360"/>
      </w:pPr>
    </w:lvl>
    <w:lvl w:ilvl="8" w:tplc="2D7A0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0C6"/>
    <w:multiLevelType w:val="hybridMultilevel"/>
    <w:tmpl w:val="0898067C"/>
    <w:lvl w:ilvl="0" w:tplc="590EE026">
      <w:start w:val="1"/>
      <w:numFmt w:val="decimal"/>
      <w:lvlText w:val="%1."/>
      <w:lvlJc w:val="left"/>
      <w:pPr>
        <w:ind w:left="720" w:hanging="360"/>
      </w:pPr>
    </w:lvl>
    <w:lvl w:ilvl="1" w:tplc="B27A8E2C" w:tentative="1">
      <w:start w:val="1"/>
      <w:numFmt w:val="lowerLetter"/>
      <w:lvlText w:val="%2."/>
      <w:lvlJc w:val="left"/>
      <w:pPr>
        <w:ind w:left="1440" w:hanging="360"/>
      </w:pPr>
    </w:lvl>
    <w:lvl w:ilvl="2" w:tplc="C5ACCB4E" w:tentative="1">
      <w:start w:val="1"/>
      <w:numFmt w:val="lowerRoman"/>
      <w:lvlText w:val="%3."/>
      <w:lvlJc w:val="right"/>
      <w:pPr>
        <w:ind w:left="2160" w:hanging="180"/>
      </w:pPr>
    </w:lvl>
    <w:lvl w:ilvl="3" w:tplc="00E0FCA0" w:tentative="1">
      <w:start w:val="1"/>
      <w:numFmt w:val="decimal"/>
      <w:lvlText w:val="%4."/>
      <w:lvlJc w:val="left"/>
      <w:pPr>
        <w:ind w:left="2880" w:hanging="360"/>
      </w:pPr>
    </w:lvl>
    <w:lvl w:ilvl="4" w:tplc="2EC46564" w:tentative="1">
      <w:start w:val="1"/>
      <w:numFmt w:val="lowerLetter"/>
      <w:lvlText w:val="%5."/>
      <w:lvlJc w:val="left"/>
      <w:pPr>
        <w:ind w:left="3600" w:hanging="360"/>
      </w:pPr>
    </w:lvl>
    <w:lvl w:ilvl="5" w:tplc="3A064690" w:tentative="1">
      <w:start w:val="1"/>
      <w:numFmt w:val="lowerRoman"/>
      <w:lvlText w:val="%6."/>
      <w:lvlJc w:val="right"/>
      <w:pPr>
        <w:ind w:left="4320" w:hanging="180"/>
      </w:pPr>
    </w:lvl>
    <w:lvl w:ilvl="6" w:tplc="5F80280C" w:tentative="1">
      <w:start w:val="1"/>
      <w:numFmt w:val="decimal"/>
      <w:lvlText w:val="%7."/>
      <w:lvlJc w:val="left"/>
      <w:pPr>
        <w:ind w:left="5040" w:hanging="360"/>
      </w:pPr>
    </w:lvl>
    <w:lvl w:ilvl="7" w:tplc="E16A2F78" w:tentative="1">
      <w:start w:val="1"/>
      <w:numFmt w:val="lowerLetter"/>
      <w:lvlText w:val="%8."/>
      <w:lvlJc w:val="left"/>
      <w:pPr>
        <w:ind w:left="5760" w:hanging="360"/>
      </w:pPr>
    </w:lvl>
    <w:lvl w:ilvl="8" w:tplc="9C087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E62A1"/>
    <w:multiLevelType w:val="hybridMultilevel"/>
    <w:tmpl w:val="FD2E6414"/>
    <w:lvl w:ilvl="0" w:tplc="90F2FD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8552315E" w:tentative="1">
      <w:start w:val="1"/>
      <w:numFmt w:val="lowerLetter"/>
      <w:lvlText w:val="%2."/>
      <w:lvlJc w:val="left"/>
      <w:pPr>
        <w:ind w:left="1440" w:hanging="360"/>
      </w:pPr>
    </w:lvl>
    <w:lvl w:ilvl="2" w:tplc="41049E94" w:tentative="1">
      <w:start w:val="1"/>
      <w:numFmt w:val="lowerRoman"/>
      <w:lvlText w:val="%3."/>
      <w:lvlJc w:val="right"/>
      <w:pPr>
        <w:ind w:left="2160" w:hanging="180"/>
      </w:pPr>
    </w:lvl>
    <w:lvl w:ilvl="3" w:tplc="1A24210E" w:tentative="1">
      <w:start w:val="1"/>
      <w:numFmt w:val="decimal"/>
      <w:lvlText w:val="%4."/>
      <w:lvlJc w:val="left"/>
      <w:pPr>
        <w:ind w:left="2880" w:hanging="360"/>
      </w:pPr>
    </w:lvl>
    <w:lvl w:ilvl="4" w:tplc="5AAC035A" w:tentative="1">
      <w:start w:val="1"/>
      <w:numFmt w:val="lowerLetter"/>
      <w:lvlText w:val="%5."/>
      <w:lvlJc w:val="left"/>
      <w:pPr>
        <w:ind w:left="3600" w:hanging="360"/>
      </w:pPr>
    </w:lvl>
    <w:lvl w:ilvl="5" w:tplc="D05E2282" w:tentative="1">
      <w:start w:val="1"/>
      <w:numFmt w:val="lowerRoman"/>
      <w:lvlText w:val="%6."/>
      <w:lvlJc w:val="right"/>
      <w:pPr>
        <w:ind w:left="4320" w:hanging="180"/>
      </w:pPr>
    </w:lvl>
    <w:lvl w:ilvl="6" w:tplc="38FEEEE2" w:tentative="1">
      <w:start w:val="1"/>
      <w:numFmt w:val="decimal"/>
      <w:lvlText w:val="%7."/>
      <w:lvlJc w:val="left"/>
      <w:pPr>
        <w:ind w:left="5040" w:hanging="360"/>
      </w:pPr>
    </w:lvl>
    <w:lvl w:ilvl="7" w:tplc="18D4BE72" w:tentative="1">
      <w:start w:val="1"/>
      <w:numFmt w:val="lowerLetter"/>
      <w:lvlText w:val="%8."/>
      <w:lvlJc w:val="left"/>
      <w:pPr>
        <w:ind w:left="5760" w:hanging="360"/>
      </w:pPr>
    </w:lvl>
    <w:lvl w:ilvl="8" w:tplc="91C83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06835"/>
    <w:multiLevelType w:val="hybridMultilevel"/>
    <w:tmpl w:val="04B84DA8"/>
    <w:lvl w:ilvl="0" w:tplc="D33C3C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85EE234" w:tentative="1">
      <w:start w:val="1"/>
      <w:numFmt w:val="lowerLetter"/>
      <w:lvlText w:val="%2."/>
      <w:lvlJc w:val="left"/>
      <w:pPr>
        <w:ind w:left="1440" w:hanging="360"/>
      </w:pPr>
    </w:lvl>
    <w:lvl w:ilvl="2" w:tplc="61B867CC" w:tentative="1">
      <w:start w:val="1"/>
      <w:numFmt w:val="lowerRoman"/>
      <w:lvlText w:val="%3."/>
      <w:lvlJc w:val="right"/>
      <w:pPr>
        <w:ind w:left="2160" w:hanging="180"/>
      </w:pPr>
    </w:lvl>
    <w:lvl w:ilvl="3" w:tplc="914805E4" w:tentative="1">
      <w:start w:val="1"/>
      <w:numFmt w:val="decimal"/>
      <w:lvlText w:val="%4."/>
      <w:lvlJc w:val="left"/>
      <w:pPr>
        <w:ind w:left="2880" w:hanging="360"/>
      </w:pPr>
    </w:lvl>
    <w:lvl w:ilvl="4" w:tplc="47BED694" w:tentative="1">
      <w:start w:val="1"/>
      <w:numFmt w:val="lowerLetter"/>
      <w:lvlText w:val="%5."/>
      <w:lvlJc w:val="left"/>
      <w:pPr>
        <w:ind w:left="3600" w:hanging="360"/>
      </w:pPr>
    </w:lvl>
    <w:lvl w:ilvl="5" w:tplc="A2AC535E" w:tentative="1">
      <w:start w:val="1"/>
      <w:numFmt w:val="lowerRoman"/>
      <w:lvlText w:val="%6."/>
      <w:lvlJc w:val="right"/>
      <w:pPr>
        <w:ind w:left="4320" w:hanging="180"/>
      </w:pPr>
    </w:lvl>
    <w:lvl w:ilvl="6" w:tplc="B240F1F8" w:tentative="1">
      <w:start w:val="1"/>
      <w:numFmt w:val="decimal"/>
      <w:lvlText w:val="%7."/>
      <w:lvlJc w:val="left"/>
      <w:pPr>
        <w:ind w:left="5040" w:hanging="360"/>
      </w:pPr>
    </w:lvl>
    <w:lvl w:ilvl="7" w:tplc="3DFEBFD4" w:tentative="1">
      <w:start w:val="1"/>
      <w:numFmt w:val="lowerLetter"/>
      <w:lvlText w:val="%8."/>
      <w:lvlJc w:val="left"/>
      <w:pPr>
        <w:ind w:left="5760" w:hanging="360"/>
      </w:pPr>
    </w:lvl>
    <w:lvl w:ilvl="8" w:tplc="A5CC1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1615B"/>
    <w:multiLevelType w:val="hybridMultilevel"/>
    <w:tmpl w:val="64DCC64C"/>
    <w:lvl w:ilvl="0" w:tplc="537081F0">
      <w:start w:val="90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31C01E08" w:tentative="1">
      <w:start w:val="1"/>
      <w:numFmt w:val="lowerLetter"/>
      <w:lvlText w:val="%2."/>
      <w:lvlJc w:val="left"/>
      <w:pPr>
        <w:ind w:left="1440" w:hanging="360"/>
      </w:pPr>
    </w:lvl>
    <w:lvl w:ilvl="2" w:tplc="8DDCADC0" w:tentative="1">
      <w:start w:val="1"/>
      <w:numFmt w:val="lowerRoman"/>
      <w:lvlText w:val="%3."/>
      <w:lvlJc w:val="right"/>
      <w:pPr>
        <w:ind w:left="2160" w:hanging="180"/>
      </w:pPr>
    </w:lvl>
    <w:lvl w:ilvl="3" w:tplc="35DA6EA4" w:tentative="1">
      <w:start w:val="1"/>
      <w:numFmt w:val="decimal"/>
      <w:lvlText w:val="%4."/>
      <w:lvlJc w:val="left"/>
      <w:pPr>
        <w:ind w:left="2880" w:hanging="360"/>
      </w:pPr>
    </w:lvl>
    <w:lvl w:ilvl="4" w:tplc="EAD693EE" w:tentative="1">
      <w:start w:val="1"/>
      <w:numFmt w:val="lowerLetter"/>
      <w:lvlText w:val="%5."/>
      <w:lvlJc w:val="left"/>
      <w:pPr>
        <w:ind w:left="3600" w:hanging="360"/>
      </w:pPr>
    </w:lvl>
    <w:lvl w:ilvl="5" w:tplc="8E607486" w:tentative="1">
      <w:start w:val="1"/>
      <w:numFmt w:val="lowerRoman"/>
      <w:lvlText w:val="%6."/>
      <w:lvlJc w:val="right"/>
      <w:pPr>
        <w:ind w:left="4320" w:hanging="180"/>
      </w:pPr>
    </w:lvl>
    <w:lvl w:ilvl="6" w:tplc="9EDCFB46" w:tentative="1">
      <w:start w:val="1"/>
      <w:numFmt w:val="decimal"/>
      <w:lvlText w:val="%7."/>
      <w:lvlJc w:val="left"/>
      <w:pPr>
        <w:ind w:left="5040" w:hanging="360"/>
      </w:pPr>
    </w:lvl>
    <w:lvl w:ilvl="7" w:tplc="4392BEBE" w:tentative="1">
      <w:start w:val="1"/>
      <w:numFmt w:val="lowerLetter"/>
      <w:lvlText w:val="%8."/>
      <w:lvlJc w:val="left"/>
      <w:pPr>
        <w:ind w:left="5760" w:hanging="360"/>
      </w:pPr>
    </w:lvl>
    <w:lvl w:ilvl="8" w:tplc="3878B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33CF"/>
    <w:multiLevelType w:val="hybridMultilevel"/>
    <w:tmpl w:val="97A647CE"/>
    <w:lvl w:ilvl="0" w:tplc="3F4EE572">
      <w:start w:val="1"/>
      <w:numFmt w:val="decimal"/>
      <w:lvlText w:val="%1."/>
      <w:lvlJc w:val="left"/>
      <w:pPr>
        <w:ind w:left="720" w:hanging="360"/>
      </w:pPr>
    </w:lvl>
    <w:lvl w:ilvl="1" w:tplc="DF02088C" w:tentative="1">
      <w:start w:val="1"/>
      <w:numFmt w:val="lowerLetter"/>
      <w:lvlText w:val="%2."/>
      <w:lvlJc w:val="left"/>
      <w:pPr>
        <w:ind w:left="1440" w:hanging="360"/>
      </w:pPr>
    </w:lvl>
    <w:lvl w:ilvl="2" w:tplc="4CBC2C08" w:tentative="1">
      <w:start w:val="1"/>
      <w:numFmt w:val="lowerRoman"/>
      <w:lvlText w:val="%3."/>
      <w:lvlJc w:val="right"/>
      <w:pPr>
        <w:ind w:left="2160" w:hanging="180"/>
      </w:pPr>
    </w:lvl>
    <w:lvl w:ilvl="3" w:tplc="84DEBA1E" w:tentative="1">
      <w:start w:val="1"/>
      <w:numFmt w:val="decimal"/>
      <w:lvlText w:val="%4."/>
      <w:lvlJc w:val="left"/>
      <w:pPr>
        <w:ind w:left="2880" w:hanging="360"/>
      </w:pPr>
    </w:lvl>
    <w:lvl w:ilvl="4" w:tplc="98325E24" w:tentative="1">
      <w:start w:val="1"/>
      <w:numFmt w:val="lowerLetter"/>
      <w:lvlText w:val="%5."/>
      <w:lvlJc w:val="left"/>
      <w:pPr>
        <w:ind w:left="3600" w:hanging="360"/>
      </w:pPr>
    </w:lvl>
    <w:lvl w:ilvl="5" w:tplc="2384D51E" w:tentative="1">
      <w:start w:val="1"/>
      <w:numFmt w:val="lowerRoman"/>
      <w:lvlText w:val="%6."/>
      <w:lvlJc w:val="right"/>
      <w:pPr>
        <w:ind w:left="4320" w:hanging="180"/>
      </w:pPr>
    </w:lvl>
    <w:lvl w:ilvl="6" w:tplc="65AABDC0" w:tentative="1">
      <w:start w:val="1"/>
      <w:numFmt w:val="decimal"/>
      <w:lvlText w:val="%7."/>
      <w:lvlJc w:val="left"/>
      <w:pPr>
        <w:ind w:left="5040" w:hanging="360"/>
      </w:pPr>
    </w:lvl>
    <w:lvl w:ilvl="7" w:tplc="1BAE3D2A" w:tentative="1">
      <w:start w:val="1"/>
      <w:numFmt w:val="lowerLetter"/>
      <w:lvlText w:val="%8."/>
      <w:lvlJc w:val="left"/>
      <w:pPr>
        <w:ind w:left="5760" w:hanging="360"/>
      </w:pPr>
    </w:lvl>
    <w:lvl w:ilvl="8" w:tplc="0234E0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68"/>
    <w:rsid w:val="00337274"/>
    <w:rsid w:val="00756268"/>
    <w:rsid w:val="007D7285"/>
    <w:rsid w:val="00D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5014EA-C844-4F68-8729-35FDEA48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16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580D"/>
  </w:style>
  <w:style w:type="paragraph" w:styleId="Nagwek1">
    <w:name w:val="heading 1"/>
    <w:basedOn w:val="Normalny"/>
    <w:next w:val="Normalny"/>
    <w:link w:val="Nagwek1Znak"/>
    <w:qFormat/>
    <w:rsid w:val="00EC24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4"/>
    <w:uiPriority w:val="99"/>
    <w:semiHidden/>
    <w:unhideWhenUsed/>
  </w:style>
  <w:style w:type="table" w:styleId="Tabela-Siatka">
    <w:name w:val="Table Grid"/>
    <w:basedOn w:val="Standardowy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List Paragraph_0,List Paragraph_0_0,Numerowanie,Wyliczanie"/>
    <w:basedOn w:val="Normalny"/>
    <w:link w:val="AkapitzlistZnak"/>
    <w:qFormat/>
    <w:rsid w:val="00EC24E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rsid w:val="003F34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42C"/>
  </w:style>
  <w:style w:type="paragraph" w:styleId="Tekstdymka">
    <w:name w:val="Balloon Text"/>
    <w:basedOn w:val="Normalny"/>
    <w:semiHidden/>
    <w:rsid w:val="003F342C"/>
    <w:rPr>
      <w:rFonts w:ascii="Tahoma" w:hAnsi="Tahoma" w:cs="Tahoma"/>
      <w:sz w:val="16"/>
    </w:rPr>
  </w:style>
  <w:style w:type="paragraph" w:styleId="Tekstprzypisudolnego">
    <w:name w:val="footnote text"/>
    <w:basedOn w:val="Normalny"/>
    <w:semiHidden/>
    <w:rsid w:val="00774A61"/>
    <w:rPr>
      <w:szCs w:val="20"/>
    </w:rPr>
  </w:style>
  <w:style w:type="character" w:styleId="Odwoanieprzypisudolnego">
    <w:name w:val="footnote reference"/>
    <w:semiHidden/>
    <w:rsid w:val="00774A61"/>
    <w:rPr>
      <w:vertAlign w:val="superscript"/>
    </w:rPr>
  </w:style>
  <w:style w:type="paragraph" w:styleId="Nagwek">
    <w:name w:val="header"/>
    <w:basedOn w:val="Normalny"/>
    <w:rsid w:val="00994D9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Tekstpodstawowy2"/>
    <w:rsid w:val="007A004C"/>
    <w:rPr>
      <w:sz w:val="24"/>
      <w:szCs w:val="24"/>
    </w:rPr>
  </w:style>
  <w:style w:type="paragraph" w:styleId="Tekstpodstawowywcity">
    <w:name w:val="Body Text Indent"/>
    <w:basedOn w:val="Normalny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Odwoaniedokomentarza">
    <w:name w:val="annotation reference"/>
    <w:semiHidden/>
    <w:rsid w:val="00D815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15C6"/>
    <w:rPr>
      <w:szCs w:val="20"/>
    </w:rPr>
  </w:style>
  <w:style w:type="character" w:customStyle="1" w:styleId="Nagwek1Znak">
    <w:name w:val="Nagłówek 1 Znak"/>
    <w:link w:val="Nagwek1"/>
    <w:rsid w:val="00EC24E9"/>
    <w:rPr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7FAA"/>
  </w:style>
  <w:style w:type="character" w:customStyle="1" w:styleId="TematkomentarzaZnak">
    <w:name w:val="Temat komentarza Znak"/>
    <w:link w:val="Tematkomentarza"/>
    <w:rsid w:val="00EA7FAA"/>
    <w:rPr>
      <w:b/>
      <w:bCs/>
    </w:rPr>
  </w:style>
  <w:style w:type="paragraph" w:customStyle="1" w:styleId="trescpisma">
    <w:name w:val="tresc.pisma"/>
    <w:basedOn w:val="Normalny"/>
    <w:link w:val="trescpismaZnak"/>
    <w:autoRedefine/>
    <w:qFormat/>
    <w:rsid w:val="00EA7FCE"/>
    <w:rPr>
      <w:rFonts w:eastAsia="Calibri"/>
      <w:sz w:val="22"/>
      <w:szCs w:val="22"/>
    </w:rPr>
  </w:style>
  <w:style w:type="character" w:customStyle="1" w:styleId="trescpismaZnak">
    <w:name w:val="tresc.pisma Znak"/>
    <w:link w:val="trescpisma"/>
    <w:rsid w:val="00EA7FCE"/>
    <w:rPr>
      <w:rFonts w:eastAsia="Calibri"/>
      <w:sz w:val="22"/>
      <w:szCs w:val="22"/>
      <w:lang w:val="pl-PL" w:eastAsia="pl-PL" w:bidi="ar-SA"/>
    </w:rPr>
  </w:style>
  <w:style w:type="paragraph" w:customStyle="1" w:styleId="Akapitzlist1">
    <w:name w:val="Akapit z listą1"/>
    <w:basedOn w:val="Normalny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ny"/>
    <w:link w:val="Bezlisty"/>
    <w:rsid w:val="00E52FC7"/>
    <w:pPr>
      <w:spacing w:line="360" w:lineRule="auto"/>
      <w:jc w:val="both"/>
    </w:pPr>
    <w:rPr>
      <w:rFonts w:ascii="Verdana" w:hAnsi="Verdana"/>
      <w:szCs w:val="20"/>
    </w:rPr>
  </w:style>
  <w:style w:type="paragraph" w:styleId="Bezodstpw">
    <w:name w:val="No Spacing"/>
    <w:uiPriority w:val="1"/>
    <w:qFormat/>
    <w:rsid w:val="00EC24E9"/>
  </w:style>
  <w:style w:type="character" w:customStyle="1" w:styleId="AkapitzlistZnak">
    <w:name w:val="Akapit z listą Znak"/>
    <w:aliases w:val="BulletC Znak,List Paragraph_0 Znak,List Paragraph_0_0 Znak,Numerowanie Znak,Wyliczanie Znak"/>
    <w:link w:val="Akapitzlist"/>
    <w:locked/>
    <w:rsid w:val="008D2354"/>
    <w:rPr>
      <w:rFonts w:eastAsia="Calibri"/>
      <w:sz w:val="22"/>
      <w:szCs w:val="22"/>
      <w:lang w:eastAsia="en-US"/>
    </w:rPr>
  </w:style>
  <w:style w:type="character" w:customStyle="1" w:styleId="Inne">
    <w:name w:val="Inne_"/>
    <w:basedOn w:val="Domylnaczcionkaakapitu"/>
    <w:link w:val="Inne0"/>
    <w:rsid w:val="00FC24FE"/>
    <w:rPr>
      <w:rFonts w:eastAsia="Arial" w:cs="Arial"/>
      <w:szCs w:val="20"/>
    </w:rPr>
  </w:style>
  <w:style w:type="paragraph" w:customStyle="1" w:styleId="Inne0">
    <w:name w:val="Inne"/>
    <w:basedOn w:val="Normalny"/>
    <w:link w:val="Inne"/>
    <w:rsid w:val="00FC24FE"/>
    <w:pPr>
      <w:widowControl w:val="0"/>
      <w:spacing w:line="276" w:lineRule="auto"/>
    </w:pPr>
    <w:rPr>
      <w:rFonts w:eastAsia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shazteltqmfyc4nrzge2temrwg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jxheztgltqmfyc4njzhe4dsnrz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1E32-EA48-4F82-B7DF-076E7B50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7430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>Ministerstwo Gospodarki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creator>Szulczynska Elzbieta</dc:creator>
  <cp:lastModifiedBy>Blaszczak Anna</cp:lastModifiedBy>
  <cp:revision>2</cp:revision>
  <cp:lastPrinted>2015-12-02T10:17:00Z</cp:lastPrinted>
  <dcterms:created xsi:type="dcterms:W3CDTF">2023-11-24T09:56:00Z</dcterms:created>
  <dcterms:modified xsi:type="dcterms:W3CDTF">2023-11-24T09:56:00Z</dcterms:modified>
</cp:coreProperties>
</file>