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8E6AC1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8E6AC1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8E6AC1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8E6AC1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18 lutego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D60B72" w:rsidRDefault="008E6AC1" w:rsidP="00D60B72">
      <w:pPr>
        <w:pStyle w:val="Nagwek2"/>
      </w:pPr>
      <w:r w:rsidRPr="00422E40">
        <w:t>zmieniające zarządzenie w sprawie</w:t>
      </w:r>
      <w:r>
        <w:t xml:space="preserve"> </w:t>
      </w:r>
      <w:r w:rsidRPr="004A3BA6">
        <w:t>ustalenia regulaminu organizacyjnego Biura Logistyki</w:t>
      </w:r>
    </w:p>
    <w:p w:rsidR="00E53A80" w:rsidRPr="00E53A80" w:rsidRDefault="008E6AC1" w:rsidP="00E53A80">
      <w:pPr>
        <w:spacing w:after="360"/>
      </w:pPr>
      <w:r w:rsidRPr="00E53A80">
        <w:t xml:space="preserve">Na podstawie </w:t>
      </w:r>
      <w:r w:rsidRPr="004A3BA6">
        <w:rPr>
          <w:rFonts w:cs="Arial"/>
          <w:szCs w:val="24"/>
        </w:rPr>
        <w:t xml:space="preserve">art. 25 ust. 4 pkt 1 lit. d ustawy z dnia 21 listopada 2008 r. </w:t>
      </w:r>
      <w:r>
        <w:rPr>
          <w:rFonts w:cs="Arial"/>
          <w:szCs w:val="24"/>
        </w:rPr>
        <w:br/>
      </w:r>
      <w:r w:rsidRPr="004A3BA6">
        <w:rPr>
          <w:rFonts w:cs="Arial"/>
          <w:szCs w:val="24"/>
        </w:rPr>
        <w:t xml:space="preserve">o służbie cywilnej (Dz.U. z </w:t>
      </w:r>
      <w:r>
        <w:rPr>
          <w:rFonts w:cs="Arial"/>
          <w:szCs w:val="24"/>
        </w:rPr>
        <w:t>2024</w:t>
      </w:r>
      <w:r w:rsidRPr="004A3BA6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 w:rsidRPr="004A3BA6">
        <w:rPr>
          <w:rFonts w:cs="Arial"/>
          <w:szCs w:val="24"/>
        </w:rPr>
        <w:t xml:space="preserve">) oraz </w:t>
      </w:r>
      <w:r w:rsidRPr="004A3BA6">
        <w:rPr>
          <w:rFonts w:eastAsiaTheme="minorHAnsi" w:cs="Arial"/>
          <w:szCs w:val="24"/>
        </w:rPr>
        <w:t xml:space="preserve">§ 12 ust. </w:t>
      </w:r>
      <w:r>
        <w:rPr>
          <w:rFonts w:eastAsiaTheme="minorHAnsi" w:cs="Arial"/>
          <w:szCs w:val="24"/>
        </w:rPr>
        <w:t>3 i 5</w:t>
      </w:r>
      <w:r w:rsidRPr="004A3BA6">
        <w:rPr>
          <w:rFonts w:eastAsiaTheme="minorHAnsi" w:cs="Arial"/>
          <w:szCs w:val="24"/>
        </w:rPr>
        <w:t xml:space="preserve"> regulaminu Pomorskiego Urzędu Wojewódzkiego w Gdańsku, stanowiącego załącznik do zarządzenia Wojewody Pomorskiego z dnia </w:t>
      </w:r>
      <w:r>
        <w:rPr>
          <w:rFonts w:eastAsiaTheme="minorHAnsi" w:cs="Arial"/>
          <w:szCs w:val="24"/>
        </w:rPr>
        <w:t>30</w:t>
      </w:r>
      <w:r w:rsidRPr="004A3BA6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>rześnia</w:t>
      </w:r>
      <w:r w:rsidRPr="004A3BA6">
        <w:rPr>
          <w:rFonts w:eastAsiaTheme="minorHAnsi" w:cs="Arial"/>
          <w:szCs w:val="24"/>
        </w:rPr>
        <w:t xml:space="preserve"> 2</w:t>
      </w:r>
      <w:r>
        <w:rPr>
          <w:rFonts w:eastAsiaTheme="minorHAnsi" w:cs="Arial"/>
          <w:szCs w:val="24"/>
        </w:rPr>
        <w:t>021 r.</w:t>
      </w:r>
      <w:r w:rsidRPr="004A3BA6">
        <w:rPr>
          <w:rFonts w:eastAsiaTheme="minorHAnsi" w:cs="Arial"/>
          <w:szCs w:val="24"/>
        </w:rPr>
        <w:t xml:space="preserve"> w sprawie ustalenia regulaminu Pomorskiego Ur</w:t>
      </w:r>
      <w:bookmarkStart w:id="1" w:name="_GoBack"/>
      <w:bookmarkEnd w:id="1"/>
      <w:r w:rsidRPr="004A3BA6">
        <w:rPr>
          <w:rFonts w:eastAsiaTheme="minorHAnsi" w:cs="Arial"/>
          <w:szCs w:val="24"/>
        </w:rPr>
        <w:t>zędu Wojewódzkiego w Gdańsku</w:t>
      </w:r>
      <w:r>
        <w:rPr>
          <w:rStyle w:val="Odwoanieprzypisudolnego"/>
          <w:rFonts w:eastAsiaTheme="minorHAnsi" w:cs="Arial"/>
          <w:szCs w:val="24"/>
        </w:rPr>
        <w:footnoteReference w:id="1"/>
      </w:r>
      <w:r w:rsidRPr="00CF3572">
        <w:rPr>
          <w:rFonts w:eastAsiaTheme="minorHAnsi" w:cs="Arial"/>
          <w:szCs w:val="24"/>
          <w:vertAlign w:val="superscript"/>
        </w:rPr>
        <w:t>)</w:t>
      </w:r>
      <w:r>
        <w:rPr>
          <w:rFonts w:eastAsiaTheme="minorHAnsi" w:cs="Arial"/>
          <w:szCs w:val="24"/>
        </w:rPr>
        <w:t xml:space="preserve">, </w:t>
      </w:r>
      <w:r w:rsidRPr="00E53A80">
        <w:t>zarządza się, co następuje:</w:t>
      </w:r>
    </w:p>
    <w:p w:rsidR="00E53A80" w:rsidRDefault="008E6AC1" w:rsidP="00F2167F">
      <w:bookmarkStart w:id="2" w:name="_Hlk71116339"/>
      <w:r w:rsidRPr="00CF3572">
        <w:rPr>
          <w:b/>
          <w:bCs/>
        </w:rPr>
        <w:t>§</w:t>
      </w:r>
      <w:r w:rsidR="00085110">
        <w:rPr>
          <w:b/>
          <w:bCs/>
        </w:rPr>
        <w:t> </w:t>
      </w:r>
      <w:r w:rsidRPr="00CF3572">
        <w:rPr>
          <w:b/>
          <w:bCs/>
        </w:rPr>
        <w:t>1.</w:t>
      </w:r>
      <w:r>
        <w:t xml:space="preserve"> W regulaminie organizacyjnym Biura Logistyki</w:t>
      </w:r>
      <w:r>
        <w:t xml:space="preserve"> Pomorskiego Urzędu Wojewódzkiego w Gdańsku</w:t>
      </w:r>
      <w:r>
        <w:t xml:space="preserve">, stanowiącym załącznik do zarządzenia Dyrektora Generalnego </w:t>
      </w:r>
      <w:r w:rsidRPr="00B960B1">
        <w:t>Pomorskiego Urzędu</w:t>
      </w:r>
      <w:r>
        <w:t xml:space="preserve"> </w:t>
      </w:r>
      <w:r w:rsidRPr="00B960B1">
        <w:t>Wojewódzkiego w Gdańsku</w:t>
      </w:r>
      <w:r>
        <w:t xml:space="preserve"> z dnia 13 października 2021 r. w sprawie ustalenia regulaminu organizacyjnego Biura Logistyki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, wprowadza się następujące zmiany:</w:t>
      </w:r>
    </w:p>
    <w:p w:rsidR="000F4E37" w:rsidRDefault="008E6AC1" w:rsidP="000F4E37">
      <w:pPr>
        <w:pStyle w:val="Akapitzlist"/>
        <w:numPr>
          <w:ilvl w:val="0"/>
          <w:numId w:val="1"/>
        </w:numPr>
        <w:ind w:left="0" w:firstLine="0"/>
      </w:pPr>
      <w:r>
        <w:t xml:space="preserve"> w </w:t>
      </w:r>
      <w:r>
        <w:rPr>
          <w:rFonts w:cs="Arial"/>
        </w:rPr>
        <w:t>§</w:t>
      </w:r>
      <w:r>
        <w:rPr>
          <w:rFonts w:ascii="Sylfaen" w:hAnsi="Sylfaen"/>
        </w:rPr>
        <w:t xml:space="preserve"> </w:t>
      </w:r>
      <w:r>
        <w:t>10</w:t>
      </w:r>
      <w:r>
        <w:t>:</w:t>
      </w:r>
      <w:r>
        <w:t xml:space="preserve"> </w:t>
      </w:r>
    </w:p>
    <w:p w:rsidR="00E36E10" w:rsidRDefault="008E6AC1" w:rsidP="00E36E10">
      <w:pPr>
        <w:pStyle w:val="Akapitzlist"/>
        <w:numPr>
          <w:ilvl w:val="0"/>
          <w:numId w:val="2"/>
        </w:numPr>
        <w:ind w:left="426" w:hanging="284"/>
      </w:pPr>
      <w:r>
        <w:t>pkt 6 otrzy</w:t>
      </w:r>
      <w:r>
        <w:t>muje brzmienie</w:t>
      </w:r>
      <w:r>
        <w:t>:</w:t>
      </w:r>
    </w:p>
    <w:p w:rsidR="00E36E10" w:rsidRDefault="008E6AC1" w:rsidP="00E36E10">
      <w:pPr>
        <w:pStyle w:val="Akapitzlist"/>
        <w:ind w:left="426" w:firstLine="0"/>
        <w:rPr>
          <w:rFonts w:cs="Arial"/>
          <w:szCs w:val="24"/>
        </w:rPr>
      </w:pPr>
      <w:r>
        <w:t>„</w:t>
      </w:r>
      <w:r>
        <w:t xml:space="preserve"> </w:t>
      </w:r>
      <w:r>
        <w:t xml:space="preserve">6) </w:t>
      </w:r>
      <w:r w:rsidRPr="008B140F">
        <w:rPr>
          <w:rFonts w:cs="Arial"/>
          <w:szCs w:val="24"/>
        </w:rPr>
        <w:t>zapewnienie informacji o pracy urzędu dla klientów</w:t>
      </w:r>
      <w:r>
        <w:rPr>
          <w:rFonts w:cs="Arial"/>
          <w:szCs w:val="24"/>
        </w:rPr>
        <w:t>;</w:t>
      </w:r>
      <w:r>
        <w:rPr>
          <w:rFonts w:cs="Arial"/>
          <w:szCs w:val="24"/>
        </w:rPr>
        <w:t>”,</w:t>
      </w:r>
    </w:p>
    <w:p w:rsidR="0042297F" w:rsidRDefault="008E6AC1" w:rsidP="0042297F">
      <w:pPr>
        <w:pStyle w:val="Akapitzlist"/>
        <w:numPr>
          <w:ilvl w:val="0"/>
          <w:numId w:val="2"/>
        </w:numPr>
        <w:ind w:left="426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po pkt 6 dodaje się pkt 7- </w:t>
      </w:r>
      <w:r>
        <w:rPr>
          <w:rFonts w:cs="Arial"/>
          <w:szCs w:val="24"/>
        </w:rPr>
        <w:t xml:space="preserve">13 </w:t>
      </w:r>
      <w:r>
        <w:rPr>
          <w:rFonts w:cs="Arial"/>
          <w:szCs w:val="24"/>
        </w:rPr>
        <w:t>w brzmieniu:</w:t>
      </w:r>
    </w:p>
    <w:p w:rsidR="0042297F" w:rsidRDefault="008E6AC1" w:rsidP="00085110">
      <w:pPr>
        <w:pStyle w:val="Akapitzlist"/>
        <w:ind w:left="426" w:firstLine="0"/>
        <w:rPr>
          <w:rFonts w:cs="Arial"/>
          <w:szCs w:val="24"/>
        </w:rPr>
      </w:pPr>
      <w:r>
        <w:rPr>
          <w:rFonts w:cs="Arial"/>
          <w:szCs w:val="24"/>
        </w:rPr>
        <w:t>„ 7) obsługa elektronicznej skrzynki podawczej;</w:t>
      </w:r>
    </w:p>
    <w:p w:rsidR="0042297F" w:rsidRDefault="008E6AC1" w:rsidP="00085110">
      <w:pPr>
        <w:pStyle w:val="Akapitzlist"/>
        <w:shd w:val="clear" w:color="auto" w:fill="FFFFFF" w:themeFill="background1"/>
        <w:ind w:left="851" w:hanging="284"/>
        <w:rPr>
          <w:rFonts w:cs="Arial"/>
          <w:szCs w:val="24"/>
          <w:shd w:val="clear" w:color="auto" w:fill="FFFFFF" w:themeFill="background1"/>
        </w:rPr>
      </w:pPr>
      <w:r>
        <w:rPr>
          <w:rFonts w:cs="Arial"/>
          <w:szCs w:val="24"/>
        </w:rPr>
        <w:t xml:space="preserve">8) </w:t>
      </w:r>
      <w:r w:rsidRPr="0042297F">
        <w:rPr>
          <w:rFonts w:cs="Arial"/>
          <w:szCs w:val="24"/>
          <w:shd w:val="clear" w:color="auto" w:fill="FFFFFF" w:themeFill="background1"/>
        </w:rPr>
        <w:t xml:space="preserve">obsługa Platformy Elektronicznego Fakturowania </w:t>
      </w:r>
      <w:proofErr w:type="spellStart"/>
      <w:r w:rsidRPr="0042297F">
        <w:rPr>
          <w:rFonts w:cs="Arial"/>
          <w:szCs w:val="24"/>
          <w:shd w:val="clear" w:color="auto" w:fill="FFFFFF" w:themeFill="background1"/>
        </w:rPr>
        <w:t>PEFexpert</w:t>
      </w:r>
      <w:proofErr w:type="spellEnd"/>
      <w:r w:rsidRPr="0042297F">
        <w:rPr>
          <w:rFonts w:cs="Arial"/>
          <w:szCs w:val="24"/>
          <w:shd w:val="clear" w:color="auto" w:fill="FFFFFF" w:themeFill="background1"/>
        </w:rPr>
        <w:t xml:space="preserve"> oraz platformy faktur ustruktu</w:t>
      </w:r>
      <w:r w:rsidRPr="0042297F">
        <w:rPr>
          <w:rFonts w:cs="Arial"/>
          <w:szCs w:val="24"/>
          <w:shd w:val="clear" w:color="auto" w:fill="FFFFFF" w:themeFill="background1"/>
        </w:rPr>
        <w:t>ryzowanych KSEF</w:t>
      </w:r>
      <w:r>
        <w:rPr>
          <w:rFonts w:cs="Arial"/>
          <w:szCs w:val="24"/>
          <w:shd w:val="clear" w:color="auto" w:fill="FFFFFF" w:themeFill="background1"/>
        </w:rPr>
        <w:t>;</w:t>
      </w:r>
    </w:p>
    <w:p w:rsidR="0042297F" w:rsidRDefault="008E6AC1" w:rsidP="00085110">
      <w:pPr>
        <w:pStyle w:val="Akapitzlist"/>
        <w:shd w:val="clear" w:color="auto" w:fill="FFFFFF" w:themeFill="background1"/>
        <w:ind w:left="567" w:firstLine="0"/>
        <w:rPr>
          <w:rFonts w:cs="Arial"/>
          <w:szCs w:val="24"/>
          <w:shd w:val="clear" w:color="auto" w:fill="FFFFFF" w:themeFill="background1"/>
        </w:rPr>
      </w:pPr>
      <w:r>
        <w:rPr>
          <w:rFonts w:cs="Arial"/>
          <w:szCs w:val="24"/>
          <w:shd w:val="clear" w:color="auto" w:fill="FFFFFF" w:themeFill="background1"/>
        </w:rPr>
        <w:t>9) obsługa tablicy ogłoszeń;</w:t>
      </w:r>
    </w:p>
    <w:p w:rsidR="0042297F" w:rsidRDefault="008E6AC1" w:rsidP="00085110">
      <w:pPr>
        <w:pStyle w:val="Akapitzlist"/>
        <w:shd w:val="clear" w:color="auto" w:fill="FFFFFF" w:themeFill="background1"/>
        <w:ind w:left="851" w:hanging="425"/>
        <w:rPr>
          <w:rFonts w:cs="Arial"/>
          <w:szCs w:val="24"/>
        </w:rPr>
      </w:pPr>
      <w:r>
        <w:rPr>
          <w:rFonts w:cs="Arial"/>
          <w:szCs w:val="24"/>
          <w:shd w:val="clear" w:color="auto" w:fill="FFFFFF" w:themeFill="background1"/>
        </w:rPr>
        <w:t xml:space="preserve">10) </w:t>
      </w:r>
      <w:r w:rsidRPr="008B140F">
        <w:rPr>
          <w:rFonts w:cs="Arial"/>
          <w:szCs w:val="24"/>
        </w:rPr>
        <w:t>przekazywanie zgodnie z właściwością przesyłek mylnie przekazanych przez nadawców za pośrednictwem operatora pocztowego lub osobiście w</w:t>
      </w:r>
      <w:r w:rsidR="00085110">
        <w:rPr>
          <w:rFonts w:cs="Arial"/>
          <w:szCs w:val="24"/>
        </w:rPr>
        <w:t> </w:t>
      </w:r>
      <w:r w:rsidRPr="008B140F">
        <w:rPr>
          <w:rFonts w:cs="Arial"/>
          <w:szCs w:val="24"/>
        </w:rPr>
        <w:t>Kancelarii Ogólnej do Pomorskiego Urzędu Wojewódzkiego w Gdańsku</w:t>
      </w:r>
      <w:r>
        <w:rPr>
          <w:rFonts w:cs="Arial"/>
          <w:szCs w:val="24"/>
        </w:rPr>
        <w:t>;</w:t>
      </w:r>
    </w:p>
    <w:p w:rsidR="0042297F" w:rsidRDefault="008E6AC1" w:rsidP="00085110">
      <w:pPr>
        <w:pStyle w:val="Akapitzlist"/>
        <w:numPr>
          <w:ilvl w:val="0"/>
          <w:numId w:val="3"/>
        </w:numPr>
        <w:shd w:val="clear" w:color="auto" w:fill="FFFFFF" w:themeFill="background1"/>
        <w:ind w:left="851" w:hanging="142"/>
        <w:rPr>
          <w:rFonts w:cs="Arial"/>
          <w:szCs w:val="24"/>
        </w:rPr>
      </w:pPr>
      <w:r w:rsidRPr="008B140F">
        <w:rPr>
          <w:rFonts w:cs="Arial"/>
          <w:szCs w:val="24"/>
        </w:rPr>
        <w:t>prowadzenie rejestru kandydatów byłej Wojewódzkiej Spółdzielni Mieszkaniowej w Gdańsku</w:t>
      </w:r>
      <w:r>
        <w:rPr>
          <w:rFonts w:cs="Arial"/>
          <w:szCs w:val="24"/>
        </w:rPr>
        <w:t>,</w:t>
      </w:r>
      <w:r w:rsidRPr="008B140F">
        <w:rPr>
          <w:rFonts w:cs="Arial"/>
          <w:szCs w:val="24"/>
        </w:rPr>
        <w:t xml:space="preserve"> w tym: wydawanie zaświadczeń niezbędnych przy likwidacji książeczek mieszkaniowych w banku, udostępnianie przechowywanej dokumentacji</w:t>
      </w:r>
      <w:r>
        <w:rPr>
          <w:rFonts w:cs="Arial"/>
          <w:szCs w:val="24"/>
        </w:rPr>
        <w:t>;</w:t>
      </w:r>
    </w:p>
    <w:p w:rsidR="0042297F" w:rsidRDefault="008E6AC1" w:rsidP="00085110">
      <w:pPr>
        <w:pStyle w:val="Akapitzlist"/>
        <w:numPr>
          <w:ilvl w:val="0"/>
          <w:numId w:val="3"/>
        </w:numPr>
        <w:shd w:val="clear" w:color="auto" w:fill="FFFFFF" w:themeFill="background1"/>
        <w:ind w:left="851" w:hanging="142"/>
        <w:rPr>
          <w:rFonts w:cs="Arial"/>
          <w:szCs w:val="24"/>
        </w:rPr>
      </w:pPr>
      <w:r w:rsidRPr="008B140F">
        <w:rPr>
          <w:rFonts w:cs="Arial"/>
          <w:szCs w:val="24"/>
        </w:rPr>
        <w:lastRenderedPageBreak/>
        <w:t xml:space="preserve">prowadzenie punktu </w:t>
      </w:r>
      <w:r w:rsidRPr="008B140F">
        <w:rPr>
          <w:rFonts w:cs="Arial"/>
          <w:szCs w:val="24"/>
        </w:rPr>
        <w:t xml:space="preserve">potwierdzającego profil zaufany </w:t>
      </w:r>
      <w:proofErr w:type="spellStart"/>
      <w:r w:rsidRPr="008B140F">
        <w:rPr>
          <w:rFonts w:cs="Arial"/>
          <w:szCs w:val="24"/>
        </w:rPr>
        <w:t>ePUAP</w:t>
      </w:r>
      <w:proofErr w:type="spellEnd"/>
      <w:r>
        <w:rPr>
          <w:rFonts w:cs="Arial"/>
          <w:szCs w:val="24"/>
        </w:rPr>
        <w:t>;</w:t>
      </w:r>
    </w:p>
    <w:p w:rsidR="00A65049" w:rsidRPr="00C41B41" w:rsidRDefault="008E6AC1" w:rsidP="00085110">
      <w:pPr>
        <w:pStyle w:val="Akapitzlist"/>
        <w:numPr>
          <w:ilvl w:val="0"/>
          <w:numId w:val="3"/>
        </w:numPr>
        <w:ind w:left="851" w:hanging="142"/>
        <w:contextualSpacing w:val="0"/>
        <w:rPr>
          <w:rFonts w:cs="Arial"/>
          <w:szCs w:val="24"/>
        </w:rPr>
      </w:pPr>
      <w:r w:rsidRPr="008B140F">
        <w:rPr>
          <w:rFonts w:cs="Arial"/>
          <w:szCs w:val="24"/>
        </w:rPr>
        <w:t>obsługa systemu tłumaczenia języka migowego on-line przeznaczonego dla osób niesłyszących i słabosłyszących</w:t>
      </w:r>
      <w:r>
        <w:rPr>
          <w:rFonts w:cs="Arial"/>
          <w:szCs w:val="24"/>
        </w:rPr>
        <w:t>.</w:t>
      </w:r>
      <w:r w:rsidRPr="008B140F">
        <w:rPr>
          <w:rFonts w:cs="Arial"/>
          <w:szCs w:val="24"/>
        </w:rPr>
        <w:t>”</w:t>
      </w:r>
      <w:bookmarkEnd w:id="2"/>
      <w:r>
        <w:rPr>
          <w:rFonts w:cs="Arial"/>
          <w:szCs w:val="24"/>
        </w:rPr>
        <w:t>.</w:t>
      </w:r>
    </w:p>
    <w:p w:rsidR="00A65049" w:rsidRDefault="008E6AC1" w:rsidP="00A65049">
      <w:pPr>
        <w:spacing w:after="720"/>
      </w:pPr>
      <w:r w:rsidRPr="00CF3572">
        <w:rPr>
          <w:b/>
          <w:bCs/>
        </w:rPr>
        <w:t xml:space="preserve">§ </w:t>
      </w:r>
      <w:r w:rsidRPr="00CF3572">
        <w:rPr>
          <w:b/>
          <w:bCs/>
        </w:rPr>
        <w:t>2.</w:t>
      </w:r>
      <w:r>
        <w:t xml:space="preserve"> </w:t>
      </w:r>
      <w:r w:rsidRPr="004A3BA6">
        <w:rPr>
          <w:rFonts w:eastAsiaTheme="minorHAnsi" w:cs="Arial"/>
          <w:szCs w:val="24"/>
        </w:rPr>
        <w:t xml:space="preserve">Zarządzenie wchodzi w życie z dniem </w:t>
      </w:r>
      <w:r>
        <w:rPr>
          <w:rFonts w:eastAsiaTheme="minorHAnsi" w:cs="Arial"/>
          <w:szCs w:val="24"/>
        </w:rPr>
        <w:t>podpisania</w:t>
      </w:r>
      <w:r>
        <w:rPr>
          <w:rFonts w:eastAsiaTheme="minorHAnsi" w:cs="Arial"/>
          <w:szCs w:val="24"/>
        </w:rPr>
        <w:t>.</w:t>
      </w:r>
    </w:p>
    <w:p w:rsidR="00085110" w:rsidRPr="00F2167F" w:rsidRDefault="00085110" w:rsidP="00085110">
      <w:pPr>
        <w:ind w:firstLine="567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085110" w:rsidRPr="00F2167F" w:rsidRDefault="00085110" w:rsidP="00085110">
      <w:pPr>
        <w:ind w:firstLine="5670"/>
        <w:jc w:val="center"/>
        <w:rPr>
          <w:rFonts w:cs="Arial"/>
        </w:rPr>
      </w:pPr>
      <w:bookmarkStart w:id="3" w:name="ezdPracownikNazwa"/>
      <w:r w:rsidRPr="00F2167F">
        <w:rPr>
          <w:rFonts w:cs="Arial"/>
        </w:rPr>
        <w:t>Anita Świetlikowska</w:t>
      </w:r>
      <w:bookmarkEnd w:id="3"/>
    </w:p>
    <w:sectPr w:rsidR="00085110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AC1" w:rsidRDefault="008E6AC1">
      <w:pPr>
        <w:spacing w:after="0" w:line="240" w:lineRule="auto"/>
      </w:pPr>
      <w:r>
        <w:separator/>
      </w:r>
    </w:p>
  </w:endnote>
  <w:endnote w:type="continuationSeparator" w:id="0">
    <w:p w:rsidR="008E6AC1" w:rsidRDefault="008E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AC1" w:rsidRDefault="008E6AC1" w:rsidP="00D60B72">
      <w:pPr>
        <w:spacing w:after="0" w:line="240" w:lineRule="auto"/>
      </w:pPr>
      <w:r>
        <w:separator/>
      </w:r>
    </w:p>
  </w:footnote>
  <w:footnote w:type="continuationSeparator" w:id="0">
    <w:p w:rsidR="008E6AC1" w:rsidRDefault="008E6AC1" w:rsidP="00D60B72">
      <w:pPr>
        <w:spacing w:after="0" w:line="240" w:lineRule="auto"/>
      </w:pPr>
      <w:r>
        <w:continuationSeparator/>
      </w:r>
    </w:p>
  </w:footnote>
  <w:footnote w:id="1">
    <w:p w:rsidR="00C41B41" w:rsidRPr="00C41B41" w:rsidRDefault="008E6AC1" w:rsidP="00E70D6B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 xml:space="preserve">mieniony zarządzeniami Wojewody Pomorskiego z dnia 23 grudnia 2021 r., z dnia 23 grudnia 2022 r., z dnia 29 czerwca 2023 r., z dnia 13 października 2023 r., z dnia 6 grudnia 2023 r., z dnia 14 stycznia 2024 r., </w:t>
      </w:r>
      <w:r w:rsidRPr="002C0A93">
        <w:rPr>
          <w:sz w:val="18"/>
          <w:szCs w:val="18"/>
        </w:rPr>
        <w:br/>
        <w:t>z dnia 22 lutego 2024 r., z dnia 26 marca 20</w:t>
      </w:r>
      <w:r w:rsidRPr="002C0A93">
        <w:rPr>
          <w:sz w:val="18"/>
          <w:szCs w:val="18"/>
        </w:rPr>
        <w:t>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>z dnia 29 kwietnia 2024 r</w:t>
      </w:r>
      <w:r>
        <w:rPr>
          <w:sz w:val="18"/>
          <w:szCs w:val="18"/>
        </w:rPr>
        <w:t>. z dnia 28 sierpnia 2024 r. i z dnia 31 grudnia 2024 r.</w:t>
      </w:r>
    </w:p>
  </w:footnote>
  <w:footnote w:id="2">
    <w:p w:rsidR="000F4E37" w:rsidRPr="002C0A93" w:rsidRDefault="008E6AC1" w:rsidP="00E70D6B">
      <w:pPr>
        <w:pStyle w:val="Tekstprzypisudolnego"/>
        <w:ind w:left="142" w:hanging="142"/>
        <w:rPr>
          <w:sz w:val="18"/>
          <w:szCs w:val="18"/>
        </w:rPr>
      </w:pPr>
      <w:r w:rsidRPr="002C0A93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 xml:space="preserve">mieniony zarządzeniem Dyrektora Generalnego Pomorskiego Urzędu Wojewódzkiego w Gdańsku </w:t>
      </w:r>
      <w:r w:rsidRPr="002C0A93">
        <w:rPr>
          <w:sz w:val="18"/>
          <w:szCs w:val="18"/>
        </w:rPr>
        <w:br/>
        <w:t>z dnia 30 sierpnia 2023 r.</w:t>
      </w:r>
      <w:r>
        <w:rPr>
          <w:sz w:val="18"/>
          <w:szCs w:val="18"/>
        </w:rPr>
        <w:t xml:space="preserve"> i z dnia 15 lipca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3C72"/>
    <w:multiLevelType w:val="hybridMultilevel"/>
    <w:tmpl w:val="2D685FA0"/>
    <w:lvl w:ilvl="0" w:tplc="F3A218FC">
      <w:start w:val="8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C114AB38" w:tentative="1">
      <w:start w:val="1"/>
      <w:numFmt w:val="lowerLetter"/>
      <w:lvlText w:val="%2."/>
      <w:lvlJc w:val="left"/>
      <w:pPr>
        <w:ind w:left="1440" w:hanging="360"/>
      </w:pPr>
    </w:lvl>
    <w:lvl w:ilvl="2" w:tplc="1B200DC6" w:tentative="1">
      <w:start w:val="1"/>
      <w:numFmt w:val="lowerRoman"/>
      <w:lvlText w:val="%3."/>
      <w:lvlJc w:val="right"/>
      <w:pPr>
        <w:ind w:left="2160" w:hanging="180"/>
      </w:pPr>
    </w:lvl>
    <w:lvl w:ilvl="3" w:tplc="B76C270C" w:tentative="1">
      <w:start w:val="1"/>
      <w:numFmt w:val="decimal"/>
      <w:lvlText w:val="%4."/>
      <w:lvlJc w:val="left"/>
      <w:pPr>
        <w:ind w:left="2880" w:hanging="360"/>
      </w:pPr>
    </w:lvl>
    <w:lvl w:ilvl="4" w:tplc="6764E662" w:tentative="1">
      <w:start w:val="1"/>
      <w:numFmt w:val="lowerLetter"/>
      <w:lvlText w:val="%5."/>
      <w:lvlJc w:val="left"/>
      <w:pPr>
        <w:ind w:left="3600" w:hanging="360"/>
      </w:pPr>
    </w:lvl>
    <w:lvl w:ilvl="5" w:tplc="E432DDA4" w:tentative="1">
      <w:start w:val="1"/>
      <w:numFmt w:val="lowerRoman"/>
      <w:lvlText w:val="%6."/>
      <w:lvlJc w:val="right"/>
      <w:pPr>
        <w:ind w:left="4320" w:hanging="180"/>
      </w:pPr>
    </w:lvl>
    <w:lvl w:ilvl="6" w:tplc="8C589E14" w:tentative="1">
      <w:start w:val="1"/>
      <w:numFmt w:val="decimal"/>
      <w:lvlText w:val="%7."/>
      <w:lvlJc w:val="left"/>
      <w:pPr>
        <w:ind w:left="5040" w:hanging="360"/>
      </w:pPr>
    </w:lvl>
    <w:lvl w:ilvl="7" w:tplc="F126F26E" w:tentative="1">
      <w:start w:val="1"/>
      <w:numFmt w:val="lowerLetter"/>
      <w:lvlText w:val="%8."/>
      <w:lvlJc w:val="left"/>
      <w:pPr>
        <w:ind w:left="5760" w:hanging="360"/>
      </w:pPr>
    </w:lvl>
    <w:lvl w:ilvl="8" w:tplc="E7AAE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154D"/>
    <w:multiLevelType w:val="hybridMultilevel"/>
    <w:tmpl w:val="A34E80E6"/>
    <w:lvl w:ilvl="0" w:tplc="2E5CDDFE">
      <w:start w:val="1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DEBA0BFE" w:tentative="1">
      <w:start w:val="1"/>
      <w:numFmt w:val="lowerLetter"/>
      <w:lvlText w:val="%2."/>
      <w:lvlJc w:val="left"/>
      <w:pPr>
        <w:ind w:left="1440" w:hanging="360"/>
      </w:pPr>
    </w:lvl>
    <w:lvl w:ilvl="2" w:tplc="8842B3FE" w:tentative="1">
      <w:start w:val="1"/>
      <w:numFmt w:val="lowerRoman"/>
      <w:lvlText w:val="%3."/>
      <w:lvlJc w:val="right"/>
      <w:pPr>
        <w:ind w:left="2160" w:hanging="180"/>
      </w:pPr>
    </w:lvl>
    <w:lvl w:ilvl="3" w:tplc="ACD013E4" w:tentative="1">
      <w:start w:val="1"/>
      <w:numFmt w:val="decimal"/>
      <w:lvlText w:val="%4."/>
      <w:lvlJc w:val="left"/>
      <w:pPr>
        <w:ind w:left="2880" w:hanging="360"/>
      </w:pPr>
    </w:lvl>
    <w:lvl w:ilvl="4" w:tplc="65668B8E" w:tentative="1">
      <w:start w:val="1"/>
      <w:numFmt w:val="lowerLetter"/>
      <w:lvlText w:val="%5."/>
      <w:lvlJc w:val="left"/>
      <w:pPr>
        <w:ind w:left="3600" w:hanging="360"/>
      </w:pPr>
    </w:lvl>
    <w:lvl w:ilvl="5" w:tplc="2AE851C8" w:tentative="1">
      <w:start w:val="1"/>
      <w:numFmt w:val="lowerRoman"/>
      <w:lvlText w:val="%6."/>
      <w:lvlJc w:val="right"/>
      <w:pPr>
        <w:ind w:left="4320" w:hanging="180"/>
      </w:pPr>
    </w:lvl>
    <w:lvl w:ilvl="6" w:tplc="B9EAE078" w:tentative="1">
      <w:start w:val="1"/>
      <w:numFmt w:val="decimal"/>
      <w:lvlText w:val="%7."/>
      <w:lvlJc w:val="left"/>
      <w:pPr>
        <w:ind w:left="5040" w:hanging="360"/>
      </w:pPr>
    </w:lvl>
    <w:lvl w:ilvl="7" w:tplc="DF6CD02A" w:tentative="1">
      <w:start w:val="1"/>
      <w:numFmt w:val="lowerLetter"/>
      <w:lvlText w:val="%8."/>
      <w:lvlJc w:val="left"/>
      <w:pPr>
        <w:ind w:left="5760" w:hanging="360"/>
      </w:pPr>
    </w:lvl>
    <w:lvl w:ilvl="8" w:tplc="65C0D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00E4C"/>
    <w:multiLevelType w:val="hybridMultilevel"/>
    <w:tmpl w:val="BC8A8842"/>
    <w:lvl w:ilvl="0" w:tplc="DE46D098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F2C8684A" w:tentative="1">
      <w:start w:val="1"/>
      <w:numFmt w:val="lowerLetter"/>
      <w:lvlText w:val="%2."/>
      <w:lvlJc w:val="left"/>
      <w:pPr>
        <w:ind w:left="2149" w:hanging="360"/>
      </w:pPr>
    </w:lvl>
    <w:lvl w:ilvl="2" w:tplc="7A70B658" w:tentative="1">
      <w:start w:val="1"/>
      <w:numFmt w:val="lowerRoman"/>
      <w:lvlText w:val="%3."/>
      <w:lvlJc w:val="right"/>
      <w:pPr>
        <w:ind w:left="2869" w:hanging="180"/>
      </w:pPr>
    </w:lvl>
    <w:lvl w:ilvl="3" w:tplc="D4DA6848" w:tentative="1">
      <w:start w:val="1"/>
      <w:numFmt w:val="decimal"/>
      <w:lvlText w:val="%4."/>
      <w:lvlJc w:val="left"/>
      <w:pPr>
        <w:ind w:left="3589" w:hanging="360"/>
      </w:pPr>
    </w:lvl>
    <w:lvl w:ilvl="4" w:tplc="1E8AF14E" w:tentative="1">
      <w:start w:val="1"/>
      <w:numFmt w:val="lowerLetter"/>
      <w:lvlText w:val="%5."/>
      <w:lvlJc w:val="left"/>
      <w:pPr>
        <w:ind w:left="4309" w:hanging="360"/>
      </w:pPr>
    </w:lvl>
    <w:lvl w:ilvl="5" w:tplc="00B8E454" w:tentative="1">
      <w:start w:val="1"/>
      <w:numFmt w:val="lowerRoman"/>
      <w:lvlText w:val="%6."/>
      <w:lvlJc w:val="right"/>
      <w:pPr>
        <w:ind w:left="5029" w:hanging="180"/>
      </w:pPr>
    </w:lvl>
    <w:lvl w:ilvl="6" w:tplc="2E5E539A" w:tentative="1">
      <w:start w:val="1"/>
      <w:numFmt w:val="decimal"/>
      <w:lvlText w:val="%7."/>
      <w:lvlJc w:val="left"/>
      <w:pPr>
        <w:ind w:left="5749" w:hanging="360"/>
      </w:pPr>
    </w:lvl>
    <w:lvl w:ilvl="7" w:tplc="D1509F5C" w:tentative="1">
      <w:start w:val="1"/>
      <w:numFmt w:val="lowerLetter"/>
      <w:lvlText w:val="%8."/>
      <w:lvlJc w:val="left"/>
      <w:pPr>
        <w:ind w:left="6469" w:hanging="360"/>
      </w:pPr>
    </w:lvl>
    <w:lvl w:ilvl="8" w:tplc="F552E3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BC3D8F"/>
    <w:multiLevelType w:val="hybridMultilevel"/>
    <w:tmpl w:val="F82EC1F4"/>
    <w:lvl w:ilvl="0" w:tplc="6E3C686E">
      <w:start w:val="1"/>
      <w:numFmt w:val="lowerLetter"/>
      <w:lvlText w:val="%1)"/>
      <w:lvlJc w:val="left"/>
      <w:pPr>
        <w:ind w:left="720" w:hanging="360"/>
      </w:pPr>
    </w:lvl>
    <w:lvl w:ilvl="1" w:tplc="A2BC8F5A" w:tentative="1">
      <w:start w:val="1"/>
      <w:numFmt w:val="lowerLetter"/>
      <w:lvlText w:val="%2."/>
      <w:lvlJc w:val="left"/>
      <w:pPr>
        <w:ind w:left="1440" w:hanging="360"/>
      </w:pPr>
    </w:lvl>
    <w:lvl w:ilvl="2" w:tplc="F96C2FC0" w:tentative="1">
      <w:start w:val="1"/>
      <w:numFmt w:val="lowerRoman"/>
      <w:lvlText w:val="%3."/>
      <w:lvlJc w:val="right"/>
      <w:pPr>
        <w:ind w:left="2160" w:hanging="180"/>
      </w:pPr>
    </w:lvl>
    <w:lvl w:ilvl="3" w:tplc="22FECEA6" w:tentative="1">
      <w:start w:val="1"/>
      <w:numFmt w:val="decimal"/>
      <w:lvlText w:val="%4."/>
      <w:lvlJc w:val="left"/>
      <w:pPr>
        <w:ind w:left="2880" w:hanging="360"/>
      </w:pPr>
    </w:lvl>
    <w:lvl w:ilvl="4" w:tplc="48ECD5A2" w:tentative="1">
      <w:start w:val="1"/>
      <w:numFmt w:val="lowerLetter"/>
      <w:lvlText w:val="%5."/>
      <w:lvlJc w:val="left"/>
      <w:pPr>
        <w:ind w:left="3600" w:hanging="360"/>
      </w:pPr>
    </w:lvl>
    <w:lvl w:ilvl="5" w:tplc="67BAC5DE" w:tentative="1">
      <w:start w:val="1"/>
      <w:numFmt w:val="lowerRoman"/>
      <w:lvlText w:val="%6."/>
      <w:lvlJc w:val="right"/>
      <w:pPr>
        <w:ind w:left="4320" w:hanging="180"/>
      </w:pPr>
    </w:lvl>
    <w:lvl w:ilvl="6" w:tplc="4F307700" w:tentative="1">
      <w:start w:val="1"/>
      <w:numFmt w:val="decimal"/>
      <w:lvlText w:val="%7."/>
      <w:lvlJc w:val="left"/>
      <w:pPr>
        <w:ind w:left="5040" w:hanging="360"/>
      </w:pPr>
    </w:lvl>
    <w:lvl w:ilvl="7" w:tplc="A06023FA" w:tentative="1">
      <w:start w:val="1"/>
      <w:numFmt w:val="lowerLetter"/>
      <w:lvlText w:val="%8."/>
      <w:lvlJc w:val="left"/>
      <w:pPr>
        <w:ind w:left="5760" w:hanging="360"/>
      </w:pPr>
    </w:lvl>
    <w:lvl w:ilvl="8" w:tplc="A3D6B4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10"/>
    <w:rsid w:val="00085110"/>
    <w:rsid w:val="008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BA95"/>
  <w15:docId w15:val="{613421A9-872D-477A-BF30-0ACD615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B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B7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B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4E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5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572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A8F7A-FAE3-4A2B-A6FC-8219780E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18.02.2025 r. zmieniające zarządzenie w sprawie ustalenia regulaminu organizacyjnego Biura Logistyki</dc:title>
  <cp:lastModifiedBy>Monika Giedrojć</cp:lastModifiedBy>
  <cp:revision>13</cp:revision>
  <cp:lastPrinted>2017-01-05T08:08:00Z</cp:lastPrinted>
  <dcterms:created xsi:type="dcterms:W3CDTF">2021-05-10T11:41:00Z</dcterms:created>
  <dcterms:modified xsi:type="dcterms:W3CDTF">2025-02-18T10:02:00Z</dcterms:modified>
</cp:coreProperties>
</file>